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71A3" w14:textId="77777777" w:rsidR="002676D7" w:rsidRPr="00D76F2D" w:rsidRDefault="002676D7" w:rsidP="002676D7">
      <w:pPr>
        <w:spacing w:line="240" w:lineRule="auto"/>
        <w:rPr>
          <w:sz w:val="2"/>
        </w:rPr>
        <w:sectPr w:rsidR="002676D7" w:rsidRPr="00D76F2D" w:rsidSect="00D76F2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D76F2D">
        <w:rPr>
          <w:rStyle w:val="CommentReference"/>
        </w:rPr>
        <w:commentReference w:id="0"/>
      </w:r>
    </w:p>
    <w:p w14:paraId="7F0BB565" w14:textId="77777777" w:rsidR="00D76F2D" w:rsidRPr="00D76F2D" w:rsidRDefault="00D76F2D" w:rsidP="00D76F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D76F2D">
        <w:rPr>
          <w:lang w:val="fr-FR"/>
        </w:rPr>
        <w:t>Comité pour l’élimination de la discrimination à l’égard des femmes</w:t>
      </w:r>
      <w:bookmarkStart w:id="1" w:name="BeginPage"/>
      <w:bookmarkEnd w:id="1"/>
    </w:p>
    <w:p w14:paraId="7F3AEF21" w14:textId="77777777" w:rsidR="00D76F2D" w:rsidRPr="00D76F2D" w:rsidRDefault="00D76F2D" w:rsidP="00D76F2D">
      <w:pPr>
        <w:pStyle w:val="Session"/>
      </w:pPr>
      <w:r w:rsidRPr="00D76F2D">
        <w:t>Soixante-dix-huitième session</w:t>
      </w:r>
    </w:p>
    <w:p w14:paraId="12F4C68B" w14:textId="3C136EBB" w:rsidR="00D76F2D" w:rsidRPr="00D76F2D" w:rsidRDefault="00D76F2D" w:rsidP="00333D48">
      <w:pPr>
        <w:tabs>
          <w:tab w:val="left" w:pos="2693"/>
        </w:tabs>
        <w:rPr>
          <w:lang w:val="fr-FR"/>
        </w:rPr>
      </w:pPr>
      <w:r w:rsidRPr="00D76F2D">
        <w:rPr>
          <w:lang w:val="fr-FR"/>
        </w:rPr>
        <w:t>15-25 février 2021</w:t>
      </w:r>
    </w:p>
    <w:p w14:paraId="53717838" w14:textId="77777777" w:rsidR="00D76F2D" w:rsidRPr="00D76F2D" w:rsidRDefault="00D76F2D" w:rsidP="00236FB9">
      <w:pPr>
        <w:pStyle w:val="AgendaItemNormal"/>
        <w:rPr>
          <w:lang w:val="fr-FR"/>
        </w:rPr>
      </w:pPr>
      <w:r w:rsidRPr="00D76F2D">
        <w:rPr>
          <w:lang w:val="fr-FR"/>
        </w:rPr>
        <w:t>Point 2 de l’ordre du jour provisoire</w:t>
      </w:r>
    </w:p>
    <w:p w14:paraId="431DDF40" w14:textId="77777777" w:rsidR="00D76F2D" w:rsidRPr="00D76F2D" w:rsidRDefault="00D76F2D" w:rsidP="00D76F2D">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76F2D">
        <w:rPr>
          <w:lang w:val="fr-FR"/>
        </w:rPr>
        <w:t>Adoption de l’ordre du jour et organisation des travaux</w:t>
      </w:r>
    </w:p>
    <w:p w14:paraId="6C0A6B18" w14:textId="77777777" w:rsidR="00D76F2D" w:rsidRPr="00D76F2D" w:rsidRDefault="00D76F2D" w:rsidP="00D76F2D">
      <w:pPr>
        <w:pStyle w:val="SingleTxt"/>
        <w:spacing w:after="0" w:line="120" w:lineRule="exact"/>
        <w:rPr>
          <w:sz w:val="10"/>
          <w:lang w:val="fr-FR"/>
        </w:rPr>
      </w:pPr>
    </w:p>
    <w:p w14:paraId="66BB778B" w14:textId="77777777" w:rsidR="00D76F2D" w:rsidRPr="00D76F2D" w:rsidRDefault="00D76F2D" w:rsidP="00D76F2D">
      <w:pPr>
        <w:pStyle w:val="SingleTxt"/>
        <w:spacing w:after="0" w:line="120" w:lineRule="exact"/>
        <w:rPr>
          <w:sz w:val="10"/>
          <w:lang w:val="fr-FR"/>
        </w:rPr>
      </w:pPr>
    </w:p>
    <w:p w14:paraId="40E60B34" w14:textId="77777777" w:rsidR="00D76F2D" w:rsidRPr="00D76F2D" w:rsidRDefault="00D76F2D" w:rsidP="00D76F2D">
      <w:pPr>
        <w:pStyle w:val="SingleTxt"/>
        <w:spacing w:after="0" w:line="120" w:lineRule="exact"/>
        <w:rPr>
          <w:sz w:val="10"/>
          <w:lang w:val="fr-FR"/>
        </w:rPr>
      </w:pPr>
    </w:p>
    <w:p w14:paraId="54489F75" w14:textId="77777777" w:rsidR="00D76F2D" w:rsidRPr="00D76F2D" w:rsidRDefault="00D76F2D" w:rsidP="00D76F2D">
      <w:pPr>
        <w:pStyle w:val="TitleHCH"/>
        <w:ind w:right="1260"/>
        <w:rPr>
          <w:lang w:val="fr-FR"/>
        </w:rPr>
      </w:pPr>
      <w:r w:rsidRPr="00D76F2D">
        <w:rPr>
          <w:lang w:val="fr-FR"/>
        </w:rPr>
        <w:tab/>
      </w:r>
      <w:r w:rsidRPr="00D76F2D">
        <w:rPr>
          <w:lang w:val="fr-FR"/>
        </w:rPr>
        <w:tab/>
        <w:t>Ordre du jour provisoire annoté</w:t>
      </w:r>
    </w:p>
    <w:p w14:paraId="011A35FB" w14:textId="77777777" w:rsidR="00D76F2D" w:rsidRPr="00D76F2D" w:rsidRDefault="00D76F2D" w:rsidP="00D76F2D">
      <w:pPr>
        <w:pStyle w:val="SingleTxt"/>
        <w:spacing w:after="0" w:line="120" w:lineRule="exact"/>
        <w:rPr>
          <w:sz w:val="10"/>
          <w:lang w:val="fr-FR"/>
        </w:rPr>
      </w:pPr>
    </w:p>
    <w:p w14:paraId="659595EE" w14:textId="77777777" w:rsidR="00D76F2D" w:rsidRPr="00D76F2D" w:rsidRDefault="00D76F2D" w:rsidP="00D76F2D">
      <w:pPr>
        <w:pStyle w:val="SingleTxt"/>
        <w:spacing w:after="0" w:line="120" w:lineRule="exact"/>
        <w:rPr>
          <w:sz w:val="10"/>
          <w:lang w:val="fr-FR"/>
        </w:rPr>
      </w:pPr>
    </w:p>
    <w:p w14:paraId="36A5AAB2" w14:textId="77777777" w:rsidR="00D76F2D" w:rsidRPr="00D76F2D" w:rsidRDefault="00D76F2D" w:rsidP="00D76F2D">
      <w:pPr>
        <w:pStyle w:val="TitleH1"/>
        <w:ind w:right="1260"/>
        <w:rPr>
          <w:lang w:val="fr-FR"/>
        </w:rPr>
      </w:pPr>
      <w:r w:rsidRPr="00D76F2D">
        <w:rPr>
          <w:lang w:val="fr-FR"/>
        </w:rPr>
        <w:tab/>
      </w:r>
      <w:r w:rsidRPr="00D76F2D">
        <w:rPr>
          <w:lang w:val="fr-FR"/>
        </w:rPr>
        <w:tab/>
        <w:t>Ordre du jour provisoire</w:t>
      </w:r>
    </w:p>
    <w:p w14:paraId="0C924ECD" w14:textId="77777777" w:rsidR="00D76F2D" w:rsidRPr="00D76F2D" w:rsidRDefault="00D76F2D" w:rsidP="00D76F2D">
      <w:pPr>
        <w:pStyle w:val="SingleTxt"/>
        <w:spacing w:after="0" w:line="120" w:lineRule="exact"/>
        <w:rPr>
          <w:sz w:val="10"/>
          <w:lang w:val="fr-FR"/>
        </w:rPr>
      </w:pPr>
    </w:p>
    <w:p w14:paraId="63E5C3AB" w14:textId="77777777" w:rsidR="00D76F2D" w:rsidRPr="00D76F2D" w:rsidRDefault="00D76F2D" w:rsidP="00D76F2D">
      <w:pPr>
        <w:pStyle w:val="SingleTxt"/>
        <w:spacing w:after="0" w:line="120" w:lineRule="exact"/>
        <w:rPr>
          <w:sz w:val="10"/>
          <w:lang w:val="fr-FR"/>
        </w:rPr>
      </w:pPr>
    </w:p>
    <w:p w14:paraId="009075FB" w14:textId="77777777" w:rsidR="00D76F2D" w:rsidRPr="00D76F2D" w:rsidRDefault="00D76F2D" w:rsidP="00D76F2D">
      <w:pPr>
        <w:pStyle w:val="SingleTxt"/>
        <w:numPr>
          <w:ilvl w:val="0"/>
          <w:numId w:val="29"/>
        </w:numPr>
        <w:tabs>
          <w:tab w:val="num" w:pos="2804"/>
        </w:tabs>
        <w:spacing w:line="240" w:lineRule="exact"/>
        <w:ind w:left="1267"/>
        <w:jc w:val="left"/>
        <w:rPr>
          <w:lang w:val="fr-FR"/>
        </w:rPr>
      </w:pPr>
      <w:r w:rsidRPr="00D76F2D">
        <w:rPr>
          <w:lang w:val="fr-FR"/>
        </w:rPr>
        <w:t>Ouverture de la session.</w:t>
      </w:r>
    </w:p>
    <w:p w14:paraId="410ABF27" w14:textId="77777777" w:rsidR="00D76F2D" w:rsidRPr="00D76F2D" w:rsidRDefault="00D76F2D" w:rsidP="00D76F2D">
      <w:pPr>
        <w:pStyle w:val="SingleTxt"/>
        <w:numPr>
          <w:ilvl w:val="0"/>
          <w:numId w:val="29"/>
        </w:numPr>
        <w:tabs>
          <w:tab w:val="num" w:pos="2804"/>
        </w:tabs>
        <w:spacing w:line="240" w:lineRule="exact"/>
        <w:ind w:left="1267"/>
        <w:jc w:val="left"/>
        <w:rPr>
          <w:lang w:val="fr-FR"/>
        </w:rPr>
      </w:pPr>
      <w:r w:rsidRPr="00D76F2D">
        <w:rPr>
          <w:lang w:val="fr-FR"/>
        </w:rPr>
        <w:t>Adoption de l’ordre du jour et organisation des travaux.</w:t>
      </w:r>
    </w:p>
    <w:p w14:paraId="54541203" w14:textId="77777777" w:rsidR="00D76F2D" w:rsidRPr="00D76F2D" w:rsidRDefault="00D76F2D" w:rsidP="00D76F2D">
      <w:pPr>
        <w:pStyle w:val="SingleTxt"/>
        <w:numPr>
          <w:ilvl w:val="0"/>
          <w:numId w:val="29"/>
        </w:numPr>
        <w:tabs>
          <w:tab w:val="num" w:pos="2804"/>
        </w:tabs>
        <w:spacing w:line="240" w:lineRule="exact"/>
        <w:ind w:left="1742" w:hanging="475"/>
        <w:jc w:val="left"/>
        <w:rPr>
          <w:lang w:val="fr-FR"/>
        </w:rPr>
      </w:pPr>
      <w:r w:rsidRPr="00D76F2D">
        <w:rPr>
          <w:lang w:val="fr-FR"/>
        </w:rPr>
        <w:t>Rapport de la Présidente sur les activités menées entre la soixante-dix-septième et la soixante-dix-huitième session du Comité.</w:t>
      </w:r>
    </w:p>
    <w:p w14:paraId="3843D009" w14:textId="77777777" w:rsidR="00D76F2D" w:rsidRPr="00D76F2D" w:rsidRDefault="00D76F2D" w:rsidP="00D76F2D">
      <w:pPr>
        <w:pStyle w:val="SingleTxt"/>
        <w:numPr>
          <w:ilvl w:val="0"/>
          <w:numId w:val="29"/>
        </w:numPr>
        <w:tabs>
          <w:tab w:val="num" w:pos="2804"/>
        </w:tabs>
        <w:spacing w:line="240" w:lineRule="exact"/>
        <w:ind w:left="1742" w:hanging="475"/>
        <w:jc w:val="left"/>
        <w:rPr>
          <w:lang w:val="fr-FR"/>
        </w:rPr>
      </w:pPr>
      <w:r w:rsidRPr="00D76F2D">
        <w:rPr>
          <w:lang w:val="fr-FR"/>
        </w:rPr>
        <w:t>Examen des rapports soumis par les États parties en application de l’article 18 de la Convention sur l’élimination de toutes les formes de discrimination à l’égard des femmes.</w:t>
      </w:r>
    </w:p>
    <w:p w14:paraId="1C90C609" w14:textId="77777777" w:rsidR="00D76F2D" w:rsidRPr="00D76F2D" w:rsidRDefault="00D76F2D" w:rsidP="00D76F2D">
      <w:pPr>
        <w:pStyle w:val="SingleTxt"/>
        <w:numPr>
          <w:ilvl w:val="0"/>
          <w:numId w:val="29"/>
        </w:numPr>
        <w:tabs>
          <w:tab w:val="num" w:pos="2804"/>
        </w:tabs>
        <w:spacing w:line="240" w:lineRule="exact"/>
        <w:ind w:left="1742" w:hanging="475"/>
        <w:jc w:val="left"/>
        <w:rPr>
          <w:lang w:val="fr-FR"/>
        </w:rPr>
      </w:pPr>
      <w:r w:rsidRPr="00D76F2D">
        <w:rPr>
          <w:lang w:val="fr-FR"/>
        </w:rPr>
        <w:t>Suite donnée à l’examen des rapports soumis par les États parties en application de l’article 18 de la Convention.</w:t>
      </w:r>
    </w:p>
    <w:p w14:paraId="7909F5CC" w14:textId="77777777" w:rsidR="00D76F2D" w:rsidRPr="00D76F2D" w:rsidRDefault="00D76F2D" w:rsidP="00D76F2D">
      <w:pPr>
        <w:pStyle w:val="SingleTxt"/>
        <w:numPr>
          <w:ilvl w:val="0"/>
          <w:numId w:val="29"/>
        </w:numPr>
        <w:tabs>
          <w:tab w:val="num" w:pos="2804"/>
        </w:tabs>
        <w:spacing w:line="240" w:lineRule="exact"/>
        <w:ind w:left="1267"/>
        <w:jc w:val="left"/>
        <w:rPr>
          <w:lang w:val="fr-FR"/>
        </w:rPr>
      </w:pPr>
      <w:r w:rsidRPr="00D76F2D">
        <w:rPr>
          <w:lang w:val="fr-FR"/>
        </w:rPr>
        <w:t>Application des articles 21 et 22 de la Convention.</w:t>
      </w:r>
    </w:p>
    <w:p w14:paraId="0E278B99" w14:textId="77777777" w:rsidR="00D76F2D" w:rsidRPr="00D76F2D" w:rsidRDefault="00D76F2D" w:rsidP="00D76F2D">
      <w:pPr>
        <w:pStyle w:val="SingleTxt"/>
        <w:numPr>
          <w:ilvl w:val="0"/>
          <w:numId w:val="29"/>
        </w:numPr>
        <w:tabs>
          <w:tab w:val="num" w:pos="2804"/>
        </w:tabs>
        <w:spacing w:line="240" w:lineRule="exact"/>
        <w:ind w:left="1267"/>
        <w:jc w:val="left"/>
        <w:rPr>
          <w:lang w:val="fr-FR"/>
        </w:rPr>
      </w:pPr>
      <w:r w:rsidRPr="00D76F2D">
        <w:rPr>
          <w:lang w:val="fr-FR"/>
        </w:rPr>
        <w:t>Moyens d’accélérer les travaux du Comité.</w:t>
      </w:r>
    </w:p>
    <w:p w14:paraId="1E23230F" w14:textId="77777777" w:rsidR="00D76F2D" w:rsidRPr="00D76F2D" w:rsidRDefault="00D76F2D" w:rsidP="00D76F2D">
      <w:pPr>
        <w:pStyle w:val="SingleTxt"/>
        <w:numPr>
          <w:ilvl w:val="0"/>
          <w:numId w:val="29"/>
        </w:numPr>
        <w:tabs>
          <w:tab w:val="num" w:pos="2804"/>
        </w:tabs>
        <w:spacing w:line="240" w:lineRule="exact"/>
        <w:ind w:left="1742" w:hanging="475"/>
        <w:jc w:val="left"/>
        <w:rPr>
          <w:lang w:val="fr-FR"/>
        </w:rPr>
      </w:pPr>
      <w:r w:rsidRPr="00D76F2D">
        <w:rPr>
          <w:lang w:val="fr-FR"/>
        </w:rPr>
        <w:t>Activités menées par le Comité au titre du Protocole facultatif à la Convention.</w:t>
      </w:r>
    </w:p>
    <w:p w14:paraId="4504ABF3" w14:textId="77777777" w:rsidR="00D76F2D" w:rsidRPr="00D76F2D" w:rsidRDefault="00D76F2D" w:rsidP="00D76F2D">
      <w:pPr>
        <w:pStyle w:val="SingleTxt"/>
        <w:numPr>
          <w:ilvl w:val="0"/>
          <w:numId w:val="29"/>
        </w:numPr>
        <w:tabs>
          <w:tab w:val="num" w:pos="2804"/>
        </w:tabs>
        <w:spacing w:line="240" w:lineRule="exact"/>
        <w:ind w:left="1267"/>
        <w:jc w:val="left"/>
        <w:rPr>
          <w:lang w:val="fr-FR"/>
        </w:rPr>
      </w:pPr>
      <w:r w:rsidRPr="00D76F2D">
        <w:rPr>
          <w:lang w:val="fr-FR"/>
        </w:rPr>
        <w:t>Ordre du jour provisoire de la soixante-dix-neuvième session du Comité.</w:t>
      </w:r>
    </w:p>
    <w:p w14:paraId="5F455747" w14:textId="77777777" w:rsidR="00D76F2D" w:rsidRPr="00D76F2D" w:rsidRDefault="00D76F2D" w:rsidP="00D76F2D">
      <w:pPr>
        <w:pStyle w:val="SingleTxt"/>
        <w:numPr>
          <w:ilvl w:val="0"/>
          <w:numId w:val="29"/>
        </w:numPr>
        <w:tabs>
          <w:tab w:val="num" w:pos="2804"/>
        </w:tabs>
        <w:spacing w:line="240" w:lineRule="exact"/>
        <w:ind w:left="1742" w:hanging="475"/>
        <w:jc w:val="left"/>
        <w:rPr>
          <w:lang w:val="fr-FR"/>
        </w:rPr>
      </w:pPr>
      <w:r w:rsidRPr="00D76F2D">
        <w:rPr>
          <w:lang w:val="fr-FR"/>
        </w:rPr>
        <w:t>Adoption du rapport du Comité sur les travaux de sa soixante-dix-huitième session.</w:t>
      </w:r>
    </w:p>
    <w:p w14:paraId="02321C02" w14:textId="77777777" w:rsidR="00D76F2D" w:rsidRPr="00D76F2D" w:rsidRDefault="00D76F2D" w:rsidP="00D76F2D">
      <w:pPr>
        <w:pStyle w:val="SingleTxt"/>
        <w:spacing w:after="0" w:line="120" w:lineRule="exact"/>
        <w:rPr>
          <w:bCs/>
          <w:sz w:val="10"/>
          <w:lang w:val="fr-FR"/>
        </w:rPr>
      </w:pPr>
    </w:p>
    <w:p w14:paraId="57692AB4" w14:textId="77777777" w:rsidR="00D76F2D" w:rsidRPr="00D76F2D" w:rsidRDefault="00D76F2D" w:rsidP="00D76F2D">
      <w:pPr>
        <w:pStyle w:val="SingleTxt"/>
        <w:spacing w:after="0" w:line="120" w:lineRule="exact"/>
        <w:rPr>
          <w:bCs/>
          <w:sz w:val="10"/>
          <w:lang w:val="fr-FR"/>
        </w:rPr>
      </w:pPr>
    </w:p>
    <w:p w14:paraId="78981B26" w14:textId="77777777" w:rsidR="00D76F2D" w:rsidRPr="00D76F2D" w:rsidRDefault="00D76F2D" w:rsidP="00D76F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r>
      <w:r w:rsidRPr="00D76F2D">
        <w:rPr>
          <w:lang w:val="fr-FR"/>
        </w:rPr>
        <w:tab/>
        <w:t>Annotations</w:t>
      </w:r>
    </w:p>
    <w:p w14:paraId="7E5676E3" w14:textId="77777777" w:rsidR="00D76F2D" w:rsidRPr="00D76F2D" w:rsidRDefault="00D76F2D" w:rsidP="00D76F2D">
      <w:pPr>
        <w:pStyle w:val="SingleTxt"/>
        <w:spacing w:after="0" w:line="120" w:lineRule="exact"/>
        <w:rPr>
          <w:bCs/>
          <w:sz w:val="10"/>
          <w:lang w:val="fr-FR"/>
        </w:rPr>
      </w:pPr>
    </w:p>
    <w:p w14:paraId="561BECDB" w14:textId="77777777" w:rsidR="00D76F2D" w:rsidRPr="00D76F2D" w:rsidRDefault="00D76F2D" w:rsidP="00D76F2D">
      <w:pPr>
        <w:pStyle w:val="SingleTxt"/>
        <w:spacing w:after="0" w:line="120" w:lineRule="exact"/>
        <w:rPr>
          <w:bCs/>
          <w:sz w:val="10"/>
          <w:lang w:val="fr-FR"/>
        </w:rPr>
      </w:pPr>
    </w:p>
    <w:p w14:paraId="085A7A49"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1.</w:t>
      </w:r>
      <w:r w:rsidRPr="00D76F2D">
        <w:rPr>
          <w:lang w:val="fr-FR"/>
        </w:rPr>
        <w:tab/>
        <w:t>Ouverture de la session</w:t>
      </w:r>
    </w:p>
    <w:p w14:paraId="1211E524" w14:textId="77777777" w:rsidR="00D76F2D" w:rsidRPr="00D76F2D" w:rsidRDefault="00D76F2D" w:rsidP="00D76F2D">
      <w:pPr>
        <w:pStyle w:val="SingleTxt"/>
        <w:spacing w:after="0" w:line="120" w:lineRule="exact"/>
        <w:rPr>
          <w:sz w:val="10"/>
          <w:lang w:val="fr-FR"/>
        </w:rPr>
      </w:pPr>
    </w:p>
    <w:p w14:paraId="53904668" w14:textId="77777777" w:rsidR="00D76F2D" w:rsidRPr="00D76F2D" w:rsidRDefault="00D76F2D" w:rsidP="00D76F2D">
      <w:pPr>
        <w:pStyle w:val="SingleTxt"/>
        <w:rPr>
          <w:lang w:val="fr-FR"/>
        </w:rPr>
      </w:pPr>
      <w:r w:rsidRPr="00D76F2D">
        <w:rPr>
          <w:lang w:val="fr-FR"/>
        </w:rPr>
        <w:t>La soixante-dix-huitième session du Comité pour l’élimination de la discrimination à l’égard des femmes se tiendra à distance et sera ouverte par la Présidente du Comité le 15 février 2021.</w:t>
      </w:r>
    </w:p>
    <w:p w14:paraId="60E9E3B0"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lastRenderedPageBreak/>
        <w:tab/>
        <w:t>2.</w:t>
      </w:r>
      <w:r w:rsidRPr="00D76F2D">
        <w:rPr>
          <w:lang w:val="fr-FR"/>
        </w:rPr>
        <w:tab/>
        <w:t>Adoption de l’ordre du jour et organisation des travaux</w:t>
      </w:r>
    </w:p>
    <w:p w14:paraId="07D0C3F6" w14:textId="77777777" w:rsidR="00D76F2D" w:rsidRPr="00D76F2D" w:rsidRDefault="00D76F2D" w:rsidP="00D76F2D">
      <w:pPr>
        <w:pStyle w:val="SingleTxt"/>
        <w:spacing w:after="0" w:line="120" w:lineRule="exact"/>
        <w:rPr>
          <w:sz w:val="10"/>
          <w:lang w:val="fr-FR"/>
        </w:rPr>
      </w:pPr>
    </w:p>
    <w:p w14:paraId="6EFA72DB" w14:textId="77777777" w:rsidR="00D76F2D" w:rsidRPr="00D76F2D" w:rsidRDefault="00D76F2D" w:rsidP="00D76F2D">
      <w:pPr>
        <w:pStyle w:val="SingleTxt"/>
        <w:rPr>
          <w:lang w:val="fr-FR"/>
        </w:rPr>
      </w:pPr>
      <w:r w:rsidRPr="00D76F2D">
        <w:rPr>
          <w:lang w:val="fr-FR"/>
        </w:rPr>
        <w:t>Aux termes de l’article 9 du Règlement intérieur, la première question inscrite à l’ordre du jour provisoire de chaque session est l’adoption de l’ordre du jour. Aux termes de l’article 7, l’ordre du jour provisoire de chaque session est établi par le Secrétaire général en consultation avec la présidence du Comité, conformément aux dispositions pertinentes des articles 17 à 22 de la Convention.</w:t>
      </w:r>
    </w:p>
    <w:p w14:paraId="19152822" w14:textId="2A203C68" w:rsidR="00D76F2D" w:rsidRPr="00D76F2D" w:rsidRDefault="00D76F2D" w:rsidP="00D76F2D">
      <w:pPr>
        <w:pStyle w:val="SingleTxt"/>
        <w:rPr>
          <w:lang w:val="fr-FR"/>
        </w:rPr>
      </w:pPr>
      <w:r w:rsidRPr="00D76F2D">
        <w:rPr>
          <w:lang w:val="fr-FR"/>
        </w:rPr>
        <w:t xml:space="preserve">À sa soixante-dix-septième session, le Comité a approuvé l’ordre du jour provisoire de la soixante-dix-huitième session. En vertu du paragraphe 2 de l’article 20 de la Convention et du paragraphe 2 de l’article 2 et de l’article 5 de son Règlement intérieur, le Comité a décidé de tenir sa soixante-dix-huitième session à distance compte tenu de la continuation de la pandémie de maladie à </w:t>
      </w:r>
      <w:r w:rsidRPr="00D76F2D">
        <w:rPr>
          <w:iCs/>
          <w:lang w:val="fr-FR"/>
        </w:rPr>
        <w:t>coronavirus</w:t>
      </w:r>
      <w:r w:rsidRPr="00D76F2D">
        <w:rPr>
          <w:lang w:val="fr-FR"/>
        </w:rPr>
        <w:t xml:space="preserve"> (COVID-19).</w:t>
      </w:r>
    </w:p>
    <w:p w14:paraId="5BB15B78" w14:textId="77777777" w:rsidR="00D76F2D" w:rsidRPr="00D76F2D" w:rsidRDefault="00D76F2D" w:rsidP="00D76F2D">
      <w:pPr>
        <w:pStyle w:val="SingleTxt"/>
        <w:spacing w:after="0" w:line="120" w:lineRule="exact"/>
        <w:rPr>
          <w:sz w:val="10"/>
          <w:lang w:val="fr-FR"/>
        </w:rPr>
      </w:pPr>
    </w:p>
    <w:p w14:paraId="3E0EF07F"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3.</w:t>
      </w:r>
      <w:r w:rsidRPr="00D76F2D">
        <w:rPr>
          <w:lang w:val="fr-FR"/>
        </w:rPr>
        <w:tab/>
        <w:t>Rapport de la Présidente sur les activités menées entre la soixante-dix-septième et la soixante-dix-huitième session du Comité</w:t>
      </w:r>
    </w:p>
    <w:p w14:paraId="5E2D132C" w14:textId="77777777" w:rsidR="00D76F2D" w:rsidRPr="00D76F2D" w:rsidRDefault="00D76F2D" w:rsidP="00D76F2D">
      <w:pPr>
        <w:pStyle w:val="SingleTxt"/>
        <w:spacing w:after="0" w:line="120" w:lineRule="exact"/>
        <w:rPr>
          <w:sz w:val="10"/>
          <w:lang w:val="fr-FR"/>
        </w:rPr>
      </w:pPr>
    </w:p>
    <w:p w14:paraId="0245736D" w14:textId="77777777" w:rsidR="00D76F2D" w:rsidRPr="00D76F2D" w:rsidRDefault="00D76F2D" w:rsidP="00D76F2D">
      <w:pPr>
        <w:pStyle w:val="SingleTxt"/>
        <w:rPr>
          <w:lang w:val="fr-FR"/>
        </w:rPr>
      </w:pPr>
      <w:r w:rsidRPr="00D76F2D">
        <w:rPr>
          <w:lang w:val="fr-FR"/>
        </w:rPr>
        <w:t>La Présidente rendra compte au Comité des activités menées et des faits nouveaux survenus depuis la session précédente qui ont eu une incidence sur les travaux du Comité.</w:t>
      </w:r>
    </w:p>
    <w:p w14:paraId="3D69DA6A" w14:textId="77777777" w:rsidR="00D76F2D" w:rsidRPr="00D76F2D" w:rsidRDefault="00D76F2D" w:rsidP="00D76F2D">
      <w:pPr>
        <w:pStyle w:val="SingleTxt"/>
        <w:spacing w:after="0" w:line="120" w:lineRule="exact"/>
        <w:rPr>
          <w:i/>
          <w:sz w:val="10"/>
          <w:lang w:val="fr-FR"/>
        </w:rPr>
      </w:pPr>
    </w:p>
    <w:p w14:paraId="20ECE8BB" w14:textId="77777777" w:rsidR="00D76F2D" w:rsidRPr="00D76F2D" w:rsidRDefault="00D76F2D" w:rsidP="00D76F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r>
      <w:r w:rsidRPr="00D76F2D">
        <w:rPr>
          <w:lang w:val="fr-FR"/>
        </w:rPr>
        <w:tab/>
        <w:t>Documentation</w:t>
      </w:r>
    </w:p>
    <w:p w14:paraId="3BA91EB5" w14:textId="77777777" w:rsidR="00D76F2D" w:rsidRPr="00D76F2D" w:rsidRDefault="00D76F2D" w:rsidP="00D76F2D">
      <w:pPr>
        <w:pStyle w:val="SingleTxt"/>
        <w:spacing w:after="0" w:line="120" w:lineRule="exact"/>
        <w:rPr>
          <w:sz w:val="10"/>
          <w:lang w:val="fr-FR"/>
        </w:rPr>
      </w:pPr>
    </w:p>
    <w:p w14:paraId="620BD840" w14:textId="33BE0669" w:rsidR="00D76F2D" w:rsidRDefault="00D76F2D" w:rsidP="00D76F2D">
      <w:pPr>
        <w:pStyle w:val="SingleTxt"/>
      </w:pPr>
      <w:r w:rsidRPr="00D76F2D">
        <w:rPr>
          <w:lang w:val="fr-FR"/>
        </w:rPr>
        <w:t>Ordre du jour provisoire annoté (</w:t>
      </w:r>
      <w:hyperlink r:id="rId16" w:history="1">
        <w:r w:rsidRPr="00D76F2D">
          <w:rPr>
            <w:rStyle w:val="Hyperlink"/>
          </w:rPr>
          <w:t>CEDAW/C/78/1</w:t>
        </w:r>
      </w:hyperlink>
      <w:r w:rsidRPr="00D76F2D">
        <w:t>)</w:t>
      </w:r>
    </w:p>
    <w:p w14:paraId="73C3EC00" w14:textId="3E41A1C1" w:rsidR="00E52089" w:rsidRPr="00E52089" w:rsidRDefault="00E52089" w:rsidP="00E52089">
      <w:pPr>
        <w:pStyle w:val="SingleTxt"/>
        <w:spacing w:after="0" w:line="120" w:lineRule="exact"/>
        <w:rPr>
          <w:sz w:val="10"/>
        </w:rPr>
      </w:pPr>
    </w:p>
    <w:p w14:paraId="7B73E890"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GoBack"/>
      <w:bookmarkEnd w:id="2"/>
      <w:r w:rsidRPr="00D76F2D">
        <w:rPr>
          <w:lang w:val="fr-FR"/>
        </w:rPr>
        <w:tab/>
        <w:t>4.</w:t>
      </w:r>
      <w:r w:rsidRPr="00D76F2D">
        <w:rPr>
          <w:lang w:val="fr-FR"/>
        </w:rPr>
        <w:tab/>
        <w:t>Examen des rapports soumis par les États parties en application de l’article 18 de la Convention sur l’élimination de toutes les formes de discrimination à l’égard des femmes</w:t>
      </w:r>
    </w:p>
    <w:p w14:paraId="28ADC9EF" w14:textId="77777777" w:rsidR="00D76F2D" w:rsidRPr="00D76F2D" w:rsidRDefault="00D76F2D" w:rsidP="00D76F2D">
      <w:pPr>
        <w:pStyle w:val="SingleTxt"/>
        <w:spacing w:after="0" w:line="120" w:lineRule="exact"/>
        <w:rPr>
          <w:sz w:val="10"/>
          <w:lang w:val="fr-FR"/>
        </w:rPr>
      </w:pPr>
    </w:p>
    <w:p w14:paraId="2E28A5C6" w14:textId="77777777" w:rsidR="00D76F2D" w:rsidRPr="00D76F2D" w:rsidRDefault="00D76F2D" w:rsidP="00D76F2D">
      <w:pPr>
        <w:pStyle w:val="SingleTxt"/>
        <w:rPr>
          <w:lang w:val="fr-FR"/>
        </w:rPr>
      </w:pPr>
      <w:r w:rsidRPr="00D76F2D">
        <w:rPr>
          <w:lang w:val="fr-FR"/>
        </w:rPr>
        <w:t>Aux termes de l’article 18 de la Convention, les États parties s’engagent à présenter au Secrétaire général, pour examen par le Comité, un rapport sur les mesures d’ordre législatif, judiciaire, administratif ou autre qu’ils ont adoptées pour donner effet aux dispositions de la Convention et sur les progrès réalisés à cet égard. Les rapports doivent être présentés dans l’année suivant l’entrée en vigueur de la Convention dans l’État intéressé, puis tous les quatre ans, ainsi qu’à la demande du Comité.</w:t>
      </w:r>
    </w:p>
    <w:p w14:paraId="686C6F80" w14:textId="13905CDA" w:rsidR="00D76F2D" w:rsidRPr="00D76F2D" w:rsidRDefault="00D76F2D" w:rsidP="00D76F2D">
      <w:pPr>
        <w:pStyle w:val="SingleTxt"/>
        <w:rPr>
          <w:lang w:val="fr-FR"/>
        </w:rPr>
      </w:pPr>
      <w:r w:rsidRPr="00D76F2D">
        <w:rPr>
          <w:lang w:val="fr-FR"/>
        </w:rPr>
        <w:t xml:space="preserve">À sa soixante-dix-huitième session, le Comité devait examiner les rapports des États parties suivants : Bahreïn, Espagne, Fédération de Russie, </w:t>
      </w:r>
      <w:r w:rsidRPr="00D76F2D">
        <w:rPr>
          <w:rFonts w:ascii="Helvetica Neue" w:eastAsia="Times New Roman" w:hAnsi="Helvetica Neue"/>
          <w:color w:val="333333"/>
          <w:spacing w:val="0"/>
          <w:w w:val="100"/>
          <w:kern w:val="0"/>
          <w:sz w:val="21"/>
          <w:szCs w:val="21"/>
          <w:lang w:val="fr-FR"/>
        </w:rPr>
        <w:t xml:space="preserve">Kirghizistan, </w:t>
      </w:r>
      <w:r w:rsidRPr="00D76F2D">
        <w:rPr>
          <w:lang w:val="fr-FR"/>
        </w:rPr>
        <w:t>Maldives, Nicaragua, Soudan du Sud et Yémen.</w:t>
      </w:r>
    </w:p>
    <w:p w14:paraId="13FA1F29" w14:textId="1EB6EAA4" w:rsidR="00D76F2D" w:rsidRPr="00D76F2D" w:rsidRDefault="00D76F2D" w:rsidP="00D76F2D">
      <w:pPr>
        <w:pStyle w:val="SingleTxt"/>
        <w:rPr>
          <w:lang w:val="fr-FR"/>
        </w:rPr>
      </w:pPr>
      <w:r w:rsidRPr="00D76F2D">
        <w:rPr>
          <w:lang w:val="fr-FR"/>
        </w:rPr>
        <w:t>Le Comité a décidé de reporter l’examen des rapports des États parties susmentionnés à une session ultérieure étant donné qu’aucune séance n’aura lieu en personne dans le cadre de la soixante-dix-septième session en raison de la pandémie de COVID-19.</w:t>
      </w:r>
      <w:r w:rsidRPr="00D76F2D">
        <w:t xml:space="preserve"> Le Comité a aussi décidé d’examiner le rapport d’un État partie (encore à </w:t>
      </w:r>
      <w:r w:rsidR="006E29FB" w:rsidRPr="00D76F2D">
        <w:t>déterminer</w:t>
      </w:r>
      <w:r w:rsidRPr="00D76F2D">
        <w:t>) à distance à titre pilote pendant la soixante-dix-huitième session, grâce à une plateforme de réunion en ligne.</w:t>
      </w:r>
    </w:p>
    <w:p w14:paraId="7D8A11C7" w14:textId="77777777" w:rsidR="00D76F2D" w:rsidRPr="00D76F2D" w:rsidRDefault="00D76F2D" w:rsidP="00D76F2D">
      <w:pPr>
        <w:pStyle w:val="SingleTxt"/>
        <w:rPr>
          <w:lang w:val="fr-FR"/>
        </w:rPr>
      </w:pPr>
      <w:r w:rsidRPr="00D76F2D">
        <w:rPr>
          <w:lang w:val="fr-FR"/>
        </w:rPr>
        <w:t>En vertu de l’article 49 du Règlement intérieur, à chaque session, le Secrétaire général fait savoir au Comité quels États parties n’ont pas soumis les rapports prévus par l’article 18 de la Convention. En outre, il lui fournit périodiquement une liste des rapports soumis par les États parties, ainsi qu’une liste des rapports soumis par les États parties qui n’ont pas encore été examinés par le Comité.</w:t>
      </w:r>
    </w:p>
    <w:p w14:paraId="34D8EDBD" w14:textId="1C08AABC" w:rsidR="00D76F2D" w:rsidRDefault="00D76F2D" w:rsidP="00D76F2D">
      <w:pPr>
        <w:pStyle w:val="SingleTxt"/>
        <w:rPr>
          <w:lang w:val="fr-FR"/>
        </w:rPr>
      </w:pPr>
      <w:r w:rsidRPr="00D76F2D">
        <w:rPr>
          <w:lang w:val="fr-FR"/>
        </w:rPr>
        <w:t>Un groupe de travail d’avant-session établit des listes de points et de questions concernant les rapports, qui sont transmises aux États parties avant les réunions au cours desquelles leurs rapports doivent être examinés. Le groupe de travail d’avant-session de la soixante-dix-huitième session s’est réuni à Genève du 13 au 17 juillet 2020. Le Comité sera saisi du rapport du groupe de travail (</w:t>
      </w:r>
      <w:hyperlink r:id="rId17" w:history="1">
        <w:r w:rsidRPr="00D76F2D">
          <w:rPr>
            <w:rStyle w:val="Hyperlink"/>
          </w:rPr>
          <w:t>CEDAW/C/PSWG/78/1</w:t>
        </w:r>
      </w:hyperlink>
      <w:r w:rsidRPr="00D76F2D">
        <w:rPr>
          <w:lang w:val="fr-FR"/>
        </w:rPr>
        <w:t xml:space="preserve">) </w:t>
      </w:r>
      <w:r w:rsidRPr="00D76F2D">
        <w:rPr>
          <w:lang w:val="fr-FR"/>
        </w:rPr>
        <w:lastRenderedPageBreak/>
        <w:t>et des réponses des États parties aux listes de points et de questions à une session ultérieure, lorsqu’il examinera les rapports des États parties susmentionnés.</w:t>
      </w:r>
    </w:p>
    <w:p w14:paraId="17D21E9B" w14:textId="72ECD50E" w:rsidR="00D76F2D" w:rsidRPr="00D76F2D" w:rsidRDefault="00D76F2D" w:rsidP="00D76F2D">
      <w:pPr>
        <w:pStyle w:val="SingleTxt"/>
        <w:spacing w:after="0" w:line="120" w:lineRule="exact"/>
        <w:rPr>
          <w:sz w:val="10"/>
          <w:lang w:val="fr-FR"/>
        </w:rPr>
      </w:pPr>
    </w:p>
    <w:p w14:paraId="01253B9D"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Hlk39338324"/>
      <w:bookmarkEnd w:id="3"/>
      <w:r w:rsidRPr="00D76F2D">
        <w:rPr>
          <w:lang w:val="fr-FR"/>
        </w:rPr>
        <w:tab/>
        <w:t>5.</w:t>
      </w:r>
      <w:r w:rsidRPr="00D76F2D">
        <w:rPr>
          <w:lang w:val="fr-FR"/>
        </w:rPr>
        <w:tab/>
        <w:t>Suite donnée à l’examen des rapports soumis par les États parties en application de l’article 18 de la Convention</w:t>
      </w:r>
    </w:p>
    <w:p w14:paraId="0C6CA23F" w14:textId="77777777" w:rsidR="00D76F2D" w:rsidRPr="00D76F2D" w:rsidRDefault="00D76F2D" w:rsidP="00D76F2D">
      <w:pPr>
        <w:pStyle w:val="SingleTxt"/>
        <w:spacing w:after="0" w:line="120" w:lineRule="exact"/>
        <w:rPr>
          <w:sz w:val="10"/>
          <w:lang w:val="fr-FR"/>
        </w:rPr>
      </w:pPr>
    </w:p>
    <w:p w14:paraId="3E9904CF" w14:textId="77777777" w:rsidR="00D76F2D" w:rsidRPr="00D76F2D" w:rsidRDefault="00D76F2D" w:rsidP="00D76F2D">
      <w:pPr>
        <w:pStyle w:val="SingleTxt"/>
        <w:rPr>
          <w:lang w:val="fr-FR"/>
        </w:rPr>
      </w:pPr>
      <w:r w:rsidRPr="00D76F2D">
        <w:rPr>
          <w:lang w:val="fr-FR"/>
        </w:rPr>
        <w:t>Le Comité examinera les questions se rapportant à la suite donnée à ses observations finales.</w:t>
      </w:r>
    </w:p>
    <w:p w14:paraId="0F5A47D7" w14:textId="77777777" w:rsidR="00D76F2D" w:rsidRPr="00D76F2D" w:rsidRDefault="00D76F2D" w:rsidP="00D76F2D">
      <w:pPr>
        <w:pStyle w:val="SingleTxt"/>
        <w:spacing w:after="0" w:line="120" w:lineRule="exact"/>
        <w:rPr>
          <w:bCs/>
          <w:sz w:val="10"/>
          <w:lang w:val="fr-FR"/>
        </w:rPr>
      </w:pPr>
    </w:p>
    <w:p w14:paraId="1582BB9B"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6.</w:t>
      </w:r>
      <w:r w:rsidRPr="00D76F2D">
        <w:rPr>
          <w:lang w:val="fr-FR"/>
        </w:rPr>
        <w:tab/>
        <w:t>Application des articles 21 et 22 de la Convention</w:t>
      </w:r>
    </w:p>
    <w:p w14:paraId="5363DB23" w14:textId="77777777" w:rsidR="00D76F2D" w:rsidRPr="00D76F2D" w:rsidRDefault="00D76F2D" w:rsidP="00D76F2D">
      <w:pPr>
        <w:pStyle w:val="SingleTxt"/>
        <w:spacing w:after="0" w:line="120" w:lineRule="exact"/>
        <w:rPr>
          <w:sz w:val="10"/>
          <w:lang w:val="fr-FR"/>
        </w:rPr>
      </w:pPr>
    </w:p>
    <w:p w14:paraId="38DA9F8A" w14:textId="77777777" w:rsidR="00D76F2D" w:rsidRPr="00D76F2D" w:rsidRDefault="00D76F2D" w:rsidP="00D76F2D">
      <w:pPr>
        <w:pStyle w:val="SingleTxt"/>
        <w:rPr>
          <w:lang w:val="fr-FR"/>
        </w:rPr>
      </w:pPr>
      <w:r w:rsidRPr="00D76F2D">
        <w:rPr>
          <w:lang w:val="fr-FR"/>
        </w:rPr>
        <w:t>Aux termes de l’article 21 de la Convention, le Comité peut formuler des suggestions et des recommandations générales fondées sur l’examen des rapports et des renseignements reçus des États parties. Ces suggestions et recommandations sont incluses dans le rapport du Comité à l’Assemblée générale, accompagnées, le cas échéant, des observations des États parties.</w:t>
      </w:r>
    </w:p>
    <w:p w14:paraId="36273219" w14:textId="77777777" w:rsidR="00D76F2D" w:rsidRPr="00D76F2D" w:rsidRDefault="00D76F2D" w:rsidP="00D76F2D">
      <w:pPr>
        <w:pStyle w:val="SingleTxt"/>
        <w:rPr>
          <w:lang w:val="fr-FR"/>
        </w:rPr>
      </w:pPr>
      <w:r w:rsidRPr="00D76F2D">
        <w:rPr>
          <w:lang w:val="fr-FR"/>
        </w:rPr>
        <w:t>Aux termes de l’article 22 de la Convention, les institutions spécialisées ont le droit d’être représentées lors de l’examen de la mise en œuvre de toute disposition de la Convention qui entre dans le cadre de leurs activités, et le Comité peut inviter les institutions spécialisées à soumettre des rapports sur l’application de la Convention dans les domaines qui entrent dans le cadre de leurs activités.</w:t>
      </w:r>
    </w:p>
    <w:p w14:paraId="18B9AF11" w14:textId="77777777" w:rsidR="00D76F2D" w:rsidRPr="00D76F2D" w:rsidRDefault="00D76F2D" w:rsidP="00D76F2D">
      <w:pPr>
        <w:pStyle w:val="SingleTxt"/>
        <w:spacing w:after="0" w:line="120" w:lineRule="exact"/>
        <w:rPr>
          <w:i/>
          <w:sz w:val="10"/>
          <w:lang w:val="fr-FR"/>
        </w:rPr>
      </w:pPr>
    </w:p>
    <w:p w14:paraId="267DEBAE" w14:textId="77777777" w:rsidR="00D76F2D" w:rsidRPr="00D76F2D" w:rsidRDefault="00D76F2D" w:rsidP="00D76F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r>
      <w:r w:rsidRPr="00D76F2D">
        <w:rPr>
          <w:lang w:val="fr-FR"/>
        </w:rPr>
        <w:tab/>
        <w:t>Documentation</w:t>
      </w:r>
    </w:p>
    <w:p w14:paraId="47C73725" w14:textId="77777777" w:rsidR="00D76F2D" w:rsidRPr="00D76F2D" w:rsidRDefault="00D76F2D" w:rsidP="00D76F2D">
      <w:pPr>
        <w:pStyle w:val="SingleTxt"/>
        <w:spacing w:after="0" w:line="120" w:lineRule="exact"/>
        <w:rPr>
          <w:sz w:val="10"/>
          <w:lang w:val="fr-FR"/>
        </w:rPr>
      </w:pPr>
    </w:p>
    <w:p w14:paraId="409B647A" w14:textId="77777777" w:rsidR="00D76F2D" w:rsidRPr="00D76F2D" w:rsidRDefault="00D76F2D" w:rsidP="00D76F2D">
      <w:pPr>
        <w:pStyle w:val="SingleTxt"/>
        <w:rPr>
          <w:lang w:val="fr-FR"/>
        </w:rPr>
      </w:pPr>
      <w:r w:rsidRPr="00D76F2D">
        <w:rPr>
          <w:lang w:val="fr-FR"/>
        </w:rPr>
        <w:t>Rapports présentés par les institutions spécialisées des Nations Unies sur l’application de la Convention dans les domaines qui entrent dans le cadre de leurs activités</w:t>
      </w:r>
    </w:p>
    <w:p w14:paraId="246A7496" w14:textId="77777777" w:rsidR="00D76F2D" w:rsidRPr="00D76F2D" w:rsidRDefault="00D76F2D" w:rsidP="00D76F2D">
      <w:pPr>
        <w:pStyle w:val="SingleTxt"/>
        <w:spacing w:after="0" w:line="120" w:lineRule="exact"/>
        <w:rPr>
          <w:bCs/>
          <w:sz w:val="10"/>
          <w:lang w:val="fr-FR"/>
        </w:rPr>
      </w:pPr>
    </w:p>
    <w:p w14:paraId="23077749"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7.</w:t>
      </w:r>
      <w:r w:rsidRPr="00D76F2D">
        <w:rPr>
          <w:lang w:val="fr-FR"/>
        </w:rPr>
        <w:tab/>
        <w:t>Moyens d’accélérer les travaux du Comité</w:t>
      </w:r>
    </w:p>
    <w:p w14:paraId="7077E85C" w14:textId="77777777" w:rsidR="00D76F2D" w:rsidRPr="00D76F2D" w:rsidRDefault="00D76F2D" w:rsidP="00D76F2D">
      <w:pPr>
        <w:pStyle w:val="SingleTxt"/>
        <w:spacing w:after="0" w:line="120" w:lineRule="exact"/>
        <w:rPr>
          <w:sz w:val="10"/>
          <w:lang w:val="fr-FR"/>
        </w:rPr>
      </w:pPr>
    </w:p>
    <w:p w14:paraId="4319FE25" w14:textId="77777777" w:rsidR="00D76F2D" w:rsidRPr="00D76F2D" w:rsidRDefault="00D76F2D" w:rsidP="00D76F2D">
      <w:pPr>
        <w:pStyle w:val="SingleTxt"/>
        <w:rPr>
          <w:lang w:val="fr-FR"/>
        </w:rPr>
      </w:pPr>
      <w:r w:rsidRPr="00D76F2D">
        <w:rPr>
          <w:lang w:val="fr-FR"/>
        </w:rPr>
        <w:t>Le Comité examinera les questions se rapportant à ses méthodes de travail.</w:t>
      </w:r>
    </w:p>
    <w:p w14:paraId="57379A7F" w14:textId="77777777" w:rsidR="00D76F2D" w:rsidRPr="00F13811" w:rsidRDefault="00D76F2D" w:rsidP="00D76F2D">
      <w:pPr>
        <w:pStyle w:val="SingleTxt"/>
        <w:spacing w:after="0" w:line="120" w:lineRule="exact"/>
        <w:rPr>
          <w:bCs/>
          <w:sz w:val="10"/>
          <w:lang w:val="fr-FR"/>
        </w:rPr>
      </w:pPr>
    </w:p>
    <w:p w14:paraId="0B2ED7CD"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8.</w:t>
      </w:r>
      <w:r w:rsidRPr="00D76F2D">
        <w:rPr>
          <w:lang w:val="fr-FR"/>
        </w:rPr>
        <w:tab/>
        <w:t>Activités menées par le Comité au titre du Protocole facultatif à la Convention</w:t>
      </w:r>
    </w:p>
    <w:p w14:paraId="1F1988E6" w14:textId="77777777" w:rsidR="00D76F2D" w:rsidRPr="00D76F2D" w:rsidRDefault="00D76F2D" w:rsidP="00D76F2D">
      <w:pPr>
        <w:pStyle w:val="SingleTxt"/>
        <w:spacing w:after="0" w:line="120" w:lineRule="exact"/>
        <w:rPr>
          <w:sz w:val="10"/>
          <w:lang w:val="fr-FR"/>
        </w:rPr>
      </w:pPr>
    </w:p>
    <w:p w14:paraId="31A5A697" w14:textId="77777777" w:rsidR="00D76F2D" w:rsidRPr="00D76F2D" w:rsidRDefault="00D76F2D" w:rsidP="00D76F2D">
      <w:pPr>
        <w:pStyle w:val="SingleTxt"/>
        <w:rPr>
          <w:lang w:val="fr-FR"/>
        </w:rPr>
      </w:pPr>
      <w:r w:rsidRPr="00D76F2D">
        <w:rPr>
          <w:lang w:val="fr-FR"/>
        </w:rPr>
        <w:t>La quarante-neuvième session du Groupe de travail des communications présentées en vertu du Protocole facultatif à la Convention se tiendra à distance, les 4 et 5 février 2021.</w:t>
      </w:r>
    </w:p>
    <w:p w14:paraId="3AF4A9D3" w14:textId="77777777" w:rsidR="00D76F2D" w:rsidRPr="00D76F2D" w:rsidRDefault="00D76F2D" w:rsidP="00D76F2D">
      <w:pPr>
        <w:pStyle w:val="SingleTxt"/>
        <w:rPr>
          <w:lang w:val="fr-FR"/>
        </w:rPr>
      </w:pPr>
      <w:r w:rsidRPr="00D76F2D">
        <w:rPr>
          <w:lang w:val="fr-FR"/>
        </w:rPr>
        <w:t>La dix-huitième session du Groupe de travail chargé des enquêtes menées au titre du Protocole facultatif se tiendra également à distance, les 4 et 5 février 2021.</w:t>
      </w:r>
    </w:p>
    <w:p w14:paraId="5723DB9E" w14:textId="77777777" w:rsidR="00D76F2D" w:rsidRPr="00D76F2D" w:rsidRDefault="00D76F2D" w:rsidP="00D76F2D">
      <w:pPr>
        <w:pStyle w:val="SingleTxt"/>
        <w:rPr>
          <w:lang w:val="fr-FR"/>
        </w:rPr>
      </w:pPr>
      <w:r w:rsidRPr="00D76F2D">
        <w:rPr>
          <w:lang w:val="fr-FR"/>
        </w:rPr>
        <w:t>À sa soixante-dix-huitième session, le Comité continuera de s’acquitter de son mandat qu’il tient des articles 2 et 8 du Protocole facultatif à la Convention.</w:t>
      </w:r>
    </w:p>
    <w:p w14:paraId="15AD1FAE" w14:textId="77777777" w:rsidR="00D76F2D" w:rsidRPr="00D76F2D" w:rsidRDefault="00D76F2D" w:rsidP="00D76F2D">
      <w:pPr>
        <w:pStyle w:val="SingleTxt"/>
        <w:spacing w:after="0" w:line="120" w:lineRule="exact"/>
        <w:rPr>
          <w:bCs/>
          <w:sz w:val="10"/>
          <w:lang w:val="fr-FR"/>
        </w:rPr>
      </w:pPr>
    </w:p>
    <w:p w14:paraId="2DA5238A"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9.</w:t>
      </w:r>
      <w:r w:rsidRPr="00D76F2D">
        <w:rPr>
          <w:lang w:val="fr-FR"/>
        </w:rPr>
        <w:tab/>
        <w:t>Ordre du jour provisoire de la soixante-dix-neuvième session du Comité</w:t>
      </w:r>
    </w:p>
    <w:p w14:paraId="335129FE" w14:textId="77777777" w:rsidR="00D76F2D" w:rsidRPr="00D76F2D" w:rsidRDefault="00D76F2D" w:rsidP="00D76F2D">
      <w:pPr>
        <w:pStyle w:val="SingleTxt"/>
        <w:spacing w:after="0" w:line="120" w:lineRule="exact"/>
        <w:rPr>
          <w:i/>
          <w:sz w:val="10"/>
          <w:lang w:val="fr-FR"/>
        </w:rPr>
      </w:pPr>
    </w:p>
    <w:p w14:paraId="4BC4CC57" w14:textId="77777777" w:rsidR="00D76F2D" w:rsidRPr="00D76F2D" w:rsidRDefault="00D76F2D" w:rsidP="00D76F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r>
      <w:r w:rsidRPr="00D76F2D">
        <w:rPr>
          <w:lang w:val="fr-FR"/>
        </w:rPr>
        <w:tab/>
        <w:t>Documentation</w:t>
      </w:r>
    </w:p>
    <w:p w14:paraId="57E001FE" w14:textId="77777777" w:rsidR="00D76F2D" w:rsidRPr="00D76F2D" w:rsidRDefault="00D76F2D" w:rsidP="00D76F2D">
      <w:pPr>
        <w:pStyle w:val="SingleTxt"/>
        <w:spacing w:after="0" w:line="120" w:lineRule="exact"/>
        <w:rPr>
          <w:sz w:val="10"/>
          <w:lang w:val="fr-FR"/>
        </w:rPr>
      </w:pPr>
    </w:p>
    <w:p w14:paraId="47B945B0" w14:textId="138AB7CE" w:rsidR="00D76F2D" w:rsidRPr="00D76F2D" w:rsidRDefault="00D76F2D" w:rsidP="00D76F2D">
      <w:pPr>
        <w:pStyle w:val="SingleTxt"/>
        <w:rPr>
          <w:lang w:val="fr-FR"/>
        </w:rPr>
      </w:pPr>
      <w:r w:rsidRPr="00D76F2D">
        <w:rPr>
          <w:lang w:val="fr-FR"/>
        </w:rPr>
        <w:t>Ordre du jour provisoire annoté de la soixante-dix-neuvième session (</w:t>
      </w:r>
      <w:hyperlink r:id="rId18" w:history="1">
        <w:r w:rsidRPr="00D76F2D">
          <w:rPr>
            <w:rStyle w:val="Hyperlink"/>
          </w:rPr>
          <w:t>CEDAW/C/79/1</w:t>
        </w:r>
      </w:hyperlink>
      <w:r w:rsidRPr="00D76F2D">
        <w:rPr>
          <w:lang w:val="fr-FR"/>
        </w:rPr>
        <w:t>)</w:t>
      </w:r>
    </w:p>
    <w:p w14:paraId="29B357AA" w14:textId="77777777" w:rsidR="00D76F2D" w:rsidRPr="00236FB9" w:rsidRDefault="00D76F2D" w:rsidP="00D76F2D">
      <w:pPr>
        <w:pStyle w:val="SingleTxt"/>
        <w:spacing w:after="0" w:line="120" w:lineRule="exact"/>
        <w:rPr>
          <w:bCs/>
          <w:sz w:val="10"/>
          <w:lang w:val="fr-FR"/>
        </w:rPr>
      </w:pPr>
    </w:p>
    <w:p w14:paraId="6036EFB8" w14:textId="77777777" w:rsidR="00D76F2D" w:rsidRPr="00D76F2D" w:rsidRDefault="00D76F2D" w:rsidP="00D76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6F2D">
        <w:rPr>
          <w:lang w:val="fr-FR"/>
        </w:rPr>
        <w:tab/>
        <w:t>10.</w:t>
      </w:r>
      <w:r w:rsidRPr="00D76F2D">
        <w:rPr>
          <w:lang w:val="fr-FR"/>
        </w:rPr>
        <w:tab/>
        <w:t>Adoption du rapport du Comité sur les travaux de sa soixante-dix-huitième session</w:t>
      </w:r>
    </w:p>
    <w:p w14:paraId="23BAF5A6" w14:textId="22394725" w:rsidR="002676D7" w:rsidRPr="00D76F2D" w:rsidRDefault="00D76F2D" w:rsidP="00D76F2D">
      <w:pPr>
        <w:pStyle w:val="SingleTxt"/>
        <w:spacing w:after="0" w:line="240" w:lineRule="auto"/>
      </w:pPr>
      <w:r w:rsidRPr="00D76F2D">
        <w:rPr>
          <w:noProof/>
          <w:w w:val="100"/>
        </w:rPr>
        <mc:AlternateContent>
          <mc:Choice Requires="wps">
            <w:drawing>
              <wp:anchor distT="0" distB="0" distL="114300" distR="114300" simplePos="0" relativeHeight="251659264" behindDoc="0" locked="0" layoutInCell="1" allowOverlap="1" wp14:anchorId="0A6B2040" wp14:editId="0F90C8F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37E0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676D7" w:rsidRPr="00D76F2D" w:rsidSect="00D76F2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21T11:07:00Z" w:initials="Start">
    <w:p w14:paraId="31D0E137" w14:textId="77777777" w:rsidR="002676D7" w:rsidRPr="00E52089" w:rsidRDefault="002676D7">
      <w:pPr>
        <w:pStyle w:val="CommentText"/>
        <w:rPr>
          <w:lang w:val="en-US"/>
        </w:rPr>
      </w:pPr>
      <w:r>
        <w:rPr>
          <w:rStyle w:val="CommentReference"/>
        </w:rPr>
        <w:annotationRef/>
      </w:r>
      <w:r w:rsidRPr="00E52089">
        <w:rPr>
          <w:lang w:val="en-US"/>
        </w:rPr>
        <w:t>&lt;&lt;ODS JOB NO&gt;&gt;N2034680F&lt;&lt;ODS JOB NO&gt;&gt;</w:t>
      </w:r>
    </w:p>
    <w:p w14:paraId="355CBDE4" w14:textId="77777777" w:rsidR="002676D7" w:rsidRDefault="002676D7">
      <w:pPr>
        <w:pStyle w:val="CommentText"/>
      </w:pPr>
      <w:r>
        <w:t>&lt;&lt;ODS DOC SYMBOL1&gt;&gt;CEDAW/C/78/1&lt;&lt;ODS DOC SYMBOL1&gt;&gt;</w:t>
      </w:r>
    </w:p>
    <w:p w14:paraId="41EDB589" w14:textId="77777777" w:rsidR="002676D7" w:rsidRDefault="002676D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DB5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DB589" w16cid:durableId="238B0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BE2A" w14:textId="77777777" w:rsidR="007204EC" w:rsidRDefault="007204EC" w:rsidP="00101B18">
      <w:pPr>
        <w:spacing w:line="240" w:lineRule="auto"/>
      </w:pPr>
      <w:r>
        <w:separator/>
      </w:r>
    </w:p>
  </w:endnote>
  <w:endnote w:type="continuationSeparator" w:id="0">
    <w:p w14:paraId="029A85BE" w14:textId="77777777" w:rsidR="007204EC" w:rsidRDefault="007204E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676D7" w14:paraId="4EEC796A" w14:textId="77777777" w:rsidTr="002676D7">
      <w:tc>
        <w:tcPr>
          <w:tcW w:w="4920" w:type="dxa"/>
          <w:shd w:val="clear" w:color="auto" w:fill="auto"/>
        </w:tcPr>
        <w:p w14:paraId="487DF5BE" w14:textId="72B0D5F0" w:rsidR="002676D7" w:rsidRPr="002676D7" w:rsidRDefault="002676D7" w:rsidP="002676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4FB">
            <w:rPr>
              <w:b w:val="0"/>
              <w:w w:val="103"/>
              <w:sz w:val="14"/>
            </w:rPr>
            <w:t>20-16549</w:t>
          </w:r>
          <w:r>
            <w:rPr>
              <w:b w:val="0"/>
              <w:w w:val="103"/>
              <w:sz w:val="14"/>
            </w:rPr>
            <w:fldChar w:fldCharType="end"/>
          </w:r>
        </w:p>
      </w:tc>
      <w:tc>
        <w:tcPr>
          <w:tcW w:w="4920" w:type="dxa"/>
          <w:shd w:val="clear" w:color="auto" w:fill="auto"/>
        </w:tcPr>
        <w:p w14:paraId="23495271" w14:textId="77777777" w:rsidR="002676D7" w:rsidRPr="002676D7" w:rsidRDefault="002676D7" w:rsidP="002676D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0FAB278" w14:textId="77777777" w:rsidR="002676D7" w:rsidRPr="002676D7" w:rsidRDefault="002676D7" w:rsidP="0026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676D7" w14:paraId="3D6685E5" w14:textId="77777777" w:rsidTr="002676D7">
      <w:tc>
        <w:tcPr>
          <w:tcW w:w="4920" w:type="dxa"/>
          <w:shd w:val="clear" w:color="auto" w:fill="auto"/>
        </w:tcPr>
        <w:p w14:paraId="141FB51E" w14:textId="77777777" w:rsidR="002676D7" w:rsidRPr="002676D7" w:rsidRDefault="002676D7" w:rsidP="002676D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F73ED62" w14:textId="44407651" w:rsidR="002676D7" w:rsidRPr="002676D7" w:rsidRDefault="002676D7" w:rsidP="002676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4FB">
            <w:rPr>
              <w:b w:val="0"/>
              <w:w w:val="103"/>
              <w:sz w:val="14"/>
            </w:rPr>
            <w:t>20-16549</w:t>
          </w:r>
          <w:r>
            <w:rPr>
              <w:b w:val="0"/>
              <w:w w:val="103"/>
              <w:sz w:val="14"/>
            </w:rPr>
            <w:fldChar w:fldCharType="end"/>
          </w:r>
        </w:p>
      </w:tc>
    </w:tr>
  </w:tbl>
  <w:p w14:paraId="212B6BFF" w14:textId="77777777" w:rsidR="002676D7" w:rsidRPr="002676D7" w:rsidRDefault="002676D7" w:rsidP="00267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3520" w14:textId="77777777" w:rsidR="002676D7" w:rsidRDefault="002676D7">
    <w:pPr>
      <w:pStyle w:val="Footer"/>
    </w:pPr>
    <w:r>
      <w:rPr>
        <w:noProof/>
      </w:rPr>
      <w:drawing>
        <wp:anchor distT="0" distB="0" distL="114300" distR="114300" simplePos="0" relativeHeight="251658240" behindDoc="0" locked="0" layoutInCell="1" allowOverlap="1" wp14:anchorId="249A20FA" wp14:editId="47EFD7EF">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676D7" w14:paraId="111663A7" w14:textId="77777777" w:rsidTr="002676D7">
      <w:tc>
        <w:tcPr>
          <w:tcW w:w="3758" w:type="dxa"/>
        </w:tcPr>
        <w:p w14:paraId="40DACEB6" w14:textId="5F2EBFFD" w:rsidR="002676D7" w:rsidRDefault="002676D7" w:rsidP="002676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44FB">
            <w:rPr>
              <w:b w:val="0"/>
              <w:sz w:val="20"/>
            </w:rPr>
            <w:t>20-16549 (F)</w:t>
          </w:r>
          <w:r>
            <w:rPr>
              <w:b w:val="0"/>
              <w:sz w:val="20"/>
            </w:rPr>
            <w:fldChar w:fldCharType="end"/>
          </w:r>
          <w:r>
            <w:rPr>
              <w:b w:val="0"/>
              <w:sz w:val="20"/>
            </w:rPr>
            <w:t xml:space="preserve">    </w:t>
          </w:r>
          <w:r w:rsidR="00D76F2D">
            <w:rPr>
              <w:b w:val="0"/>
              <w:sz w:val="20"/>
            </w:rPr>
            <w:t>18</w:t>
          </w:r>
          <w:r>
            <w:rPr>
              <w:b w:val="0"/>
              <w:sz w:val="20"/>
            </w:rPr>
            <w:t>1220    2</w:t>
          </w:r>
          <w:r w:rsidR="00D76F2D">
            <w:rPr>
              <w:b w:val="0"/>
              <w:sz w:val="20"/>
            </w:rPr>
            <w:t>3</w:t>
          </w:r>
          <w:r>
            <w:rPr>
              <w:b w:val="0"/>
              <w:sz w:val="20"/>
            </w:rPr>
            <w:t>1220</w:t>
          </w:r>
        </w:p>
        <w:p w14:paraId="2538FDE7" w14:textId="46011CE3" w:rsidR="002676D7" w:rsidRPr="002676D7" w:rsidRDefault="002676D7" w:rsidP="002676D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A44FB">
            <w:rPr>
              <w:rFonts w:ascii="Barcode 3 of 9 by request" w:hAnsi="Barcode 3 of 9 by request"/>
              <w:spacing w:val="0"/>
              <w:w w:val="100"/>
              <w:sz w:val="24"/>
            </w:rPr>
            <w:t>*2016549*</w:t>
          </w:r>
          <w:r>
            <w:rPr>
              <w:rFonts w:ascii="Barcode 3 of 9 by request" w:hAnsi="Barcode 3 of 9 by request"/>
              <w:spacing w:val="0"/>
              <w:w w:val="100"/>
              <w:sz w:val="24"/>
            </w:rPr>
            <w:fldChar w:fldCharType="end"/>
          </w:r>
        </w:p>
      </w:tc>
      <w:tc>
        <w:tcPr>
          <w:tcW w:w="4920" w:type="dxa"/>
        </w:tcPr>
        <w:p w14:paraId="16713BF8" w14:textId="77777777" w:rsidR="002676D7" w:rsidRDefault="002676D7" w:rsidP="002676D7">
          <w:pPr>
            <w:pStyle w:val="Footer"/>
            <w:spacing w:line="240" w:lineRule="atLeast"/>
            <w:jc w:val="right"/>
            <w:rPr>
              <w:b w:val="0"/>
              <w:sz w:val="20"/>
            </w:rPr>
          </w:pPr>
          <w:r>
            <w:rPr>
              <w:b w:val="0"/>
              <w:noProof/>
              <w:sz w:val="20"/>
            </w:rPr>
            <w:drawing>
              <wp:inline distT="0" distB="0" distL="0" distR="0" wp14:anchorId="573BBFBE" wp14:editId="2A37C6A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2F9A6E1" w14:textId="77777777" w:rsidR="002676D7" w:rsidRPr="002676D7" w:rsidRDefault="002676D7" w:rsidP="002676D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95A8" w14:textId="77777777" w:rsidR="007204EC" w:rsidRDefault="007204EC" w:rsidP="00101B18">
      <w:pPr>
        <w:spacing w:line="240" w:lineRule="auto"/>
      </w:pPr>
      <w:r>
        <w:separator/>
      </w:r>
    </w:p>
  </w:footnote>
  <w:footnote w:type="continuationSeparator" w:id="0">
    <w:p w14:paraId="5F173A0C" w14:textId="77777777" w:rsidR="007204EC" w:rsidRDefault="007204EC"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676D7" w14:paraId="4B86214C" w14:textId="77777777" w:rsidTr="002676D7">
      <w:trPr>
        <w:trHeight w:hRule="exact" w:val="864"/>
      </w:trPr>
      <w:tc>
        <w:tcPr>
          <w:tcW w:w="4920" w:type="dxa"/>
          <w:shd w:val="clear" w:color="auto" w:fill="auto"/>
          <w:vAlign w:val="bottom"/>
        </w:tcPr>
        <w:p w14:paraId="7190589E" w14:textId="4C58E461" w:rsidR="002676D7" w:rsidRPr="002676D7" w:rsidRDefault="002676D7" w:rsidP="002676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4FB">
            <w:rPr>
              <w:b/>
              <w:color w:val="000000"/>
            </w:rPr>
            <w:t>CEDAW/C/78/1</w:t>
          </w:r>
          <w:r>
            <w:rPr>
              <w:b/>
              <w:color w:val="000000"/>
            </w:rPr>
            <w:fldChar w:fldCharType="end"/>
          </w:r>
        </w:p>
      </w:tc>
      <w:tc>
        <w:tcPr>
          <w:tcW w:w="4920" w:type="dxa"/>
          <w:shd w:val="clear" w:color="auto" w:fill="auto"/>
          <w:vAlign w:val="bottom"/>
        </w:tcPr>
        <w:p w14:paraId="49A49F75" w14:textId="77777777" w:rsidR="002676D7" w:rsidRDefault="002676D7" w:rsidP="002676D7">
          <w:pPr>
            <w:pStyle w:val="Header"/>
          </w:pPr>
        </w:p>
      </w:tc>
    </w:tr>
  </w:tbl>
  <w:p w14:paraId="73B8399F" w14:textId="77777777" w:rsidR="002676D7" w:rsidRPr="002676D7" w:rsidRDefault="002676D7" w:rsidP="002676D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676D7" w14:paraId="2E80544A" w14:textId="77777777" w:rsidTr="002676D7">
      <w:trPr>
        <w:trHeight w:hRule="exact" w:val="864"/>
      </w:trPr>
      <w:tc>
        <w:tcPr>
          <w:tcW w:w="4920" w:type="dxa"/>
          <w:shd w:val="clear" w:color="auto" w:fill="auto"/>
          <w:vAlign w:val="bottom"/>
        </w:tcPr>
        <w:p w14:paraId="5267CB72" w14:textId="77777777" w:rsidR="002676D7" w:rsidRDefault="002676D7" w:rsidP="002676D7">
          <w:pPr>
            <w:pStyle w:val="Header"/>
          </w:pPr>
        </w:p>
      </w:tc>
      <w:tc>
        <w:tcPr>
          <w:tcW w:w="4920" w:type="dxa"/>
          <w:shd w:val="clear" w:color="auto" w:fill="auto"/>
          <w:vAlign w:val="bottom"/>
        </w:tcPr>
        <w:p w14:paraId="72F4A58F" w14:textId="35DEC8E4" w:rsidR="002676D7" w:rsidRPr="002676D7" w:rsidRDefault="002676D7" w:rsidP="002676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4FB">
            <w:rPr>
              <w:b/>
              <w:color w:val="000000"/>
            </w:rPr>
            <w:t>CEDAW/C/78/1</w:t>
          </w:r>
          <w:r>
            <w:rPr>
              <w:b/>
              <w:color w:val="000000"/>
            </w:rPr>
            <w:fldChar w:fldCharType="end"/>
          </w:r>
        </w:p>
      </w:tc>
    </w:tr>
  </w:tbl>
  <w:p w14:paraId="0C2E5FBF" w14:textId="77777777" w:rsidR="002676D7" w:rsidRPr="002676D7" w:rsidRDefault="002676D7" w:rsidP="002676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676D7" w:rsidRPr="006E29FB" w14:paraId="0734D7E8" w14:textId="77777777" w:rsidTr="002676D7">
      <w:trPr>
        <w:trHeight w:hRule="exact" w:val="864"/>
      </w:trPr>
      <w:tc>
        <w:tcPr>
          <w:tcW w:w="1267" w:type="dxa"/>
          <w:tcBorders>
            <w:bottom w:val="single" w:sz="4" w:space="0" w:color="auto"/>
          </w:tcBorders>
          <w:shd w:val="clear" w:color="auto" w:fill="auto"/>
          <w:vAlign w:val="bottom"/>
        </w:tcPr>
        <w:p w14:paraId="7EA6528D" w14:textId="77777777" w:rsidR="002676D7" w:rsidRPr="006E29FB" w:rsidRDefault="002676D7" w:rsidP="002676D7">
          <w:pPr>
            <w:pStyle w:val="Header"/>
            <w:spacing w:after="120"/>
            <w:rPr>
              <w:lang w:val="fr-FR"/>
            </w:rPr>
          </w:pPr>
        </w:p>
      </w:tc>
      <w:tc>
        <w:tcPr>
          <w:tcW w:w="2059" w:type="dxa"/>
          <w:tcBorders>
            <w:bottom w:val="single" w:sz="4" w:space="0" w:color="auto"/>
          </w:tcBorders>
          <w:shd w:val="clear" w:color="auto" w:fill="auto"/>
          <w:vAlign w:val="bottom"/>
        </w:tcPr>
        <w:p w14:paraId="4DB9DC5D" w14:textId="77777777" w:rsidR="002676D7" w:rsidRPr="006E29FB" w:rsidRDefault="002676D7" w:rsidP="002676D7">
          <w:pPr>
            <w:pStyle w:val="HCH"/>
            <w:spacing w:after="80"/>
            <w:rPr>
              <w:b w:val="0"/>
              <w:color w:val="010000"/>
              <w:spacing w:val="2"/>
              <w:w w:val="96"/>
              <w:lang w:val="fr-FR"/>
            </w:rPr>
          </w:pPr>
          <w:r w:rsidRPr="006E29FB">
            <w:rPr>
              <w:b w:val="0"/>
              <w:color w:val="010000"/>
              <w:spacing w:val="2"/>
              <w:w w:val="96"/>
              <w:lang w:val="fr-FR"/>
            </w:rPr>
            <w:t>Nations Unies</w:t>
          </w:r>
        </w:p>
      </w:tc>
      <w:tc>
        <w:tcPr>
          <w:tcW w:w="58" w:type="dxa"/>
          <w:tcBorders>
            <w:bottom w:val="single" w:sz="4" w:space="0" w:color="auto"/>
          </w:tcBorders>
          <w:shd w:val="clear" w:color="auto" w:fill="auto"/>
          <w:vAlign w:val="bottom"/>
        </w:tcPr>
        <w:p w14:paraId="6E47C069" w14:textId="77777777" w:rsidR="002676D7" w:rsidRPr="006E29FB" w:rsidRDefault="002676D7" w:rsidP="002676D7">
          <w:pPr>
            <w:pStyle w:val="Header"/>
            <w:spacing w:after="120"/>
            <w:rPr>
              <w:lang w:val="fr-FR"/>
            </w:rPr>
          </w:pPr>
        </w:p>
      </w:tc>
      <w:tc>
        <w:tcPr>
          <w:tcW w:w="6466" w:type="dxa"/>
          <w:gridSpan w:val="3"/>
          <w:tcBorders>
            <w:bottom w:val="single" w:sz="4" w:space="0" w:color="auto"/>
          </w:tcBorders>
          <w:shd w:val="clear" w:color="auto" w:fill="auto"/>
          <w:vAlign w:val="bottom"/>
        </w:tcPr>
        <w:p w14:paraId="51AD7A2C" w14:textId="77777777" w:rsidR="002676D7" w:rsidRPr="006E29FB" w:rsidRDefault="002676D7" w:rsidP="002676D7">
          <w:pPr>
            <w:spacing w:after="80" w:line="240" w:lineRule="auto"/>
            <w:jc w:val="right"/>
            <w:rPr>
              <w:position w:val="-4"/>
              <w:lang w:val="fr-FR"/>
            </w:rPr>
          </w:pPr>
          <w:r w:rsidRPr="006E29FB">
            <w:rPr>
              <w:position w:val="-4"/>
              <w:sz w:val="40"/>
              <w:lang w:val="fr-FR"/>
            </w:rPr>
            <w:t>CEDAW</w:t>
          </w:r>
          <w:r w:rsidRPr="006E29FB">
            <w:rPr>
              <w:position w:val="-4"/>
              <w:lang w:val="fr-FR"/>
            </w:rPr>
            <w:t>/C/78/1</w:t>
          </w:r>
        </w:p>
      </w:tc>
    </w:tr>
    <w:tr w:rsidR="002676D7" w:rsidRPr="006E29FB" w14:paraId="215BD639" w14:textId="77777777" w:rsidTr="002676D7">
      <w:trPr>
        <w:trHeight w:hRule="exact" w:val="2880"/>
      </w:trPr>
      <w:tc>
        <w:tcPr>
          <w:tcW w:w="1267" w:type="dxa"/>
          <w:tcBorders>
            <w:top w:val="single" w:sz="4" w:space="0" w:color="auto"/>
            <w:bottom w:val="single" w:sz="12" w:space="0" w:color="auto"/>
          </w:tcBorders>
          <w:shd w:val="clear" w:color="auto" w:fill="auto"/>
        </w:tcPr>
        <w:p w14:paraId="114BA4AB" w14:textId="77777777" w:rsidR="002676D7" w:rsidRPr="006E29FB" w:rsidRDefault="002676D7" w:rsidP="002676D7">
          <w:pPr>
            <w:pStyle w:val="Header"/>
            <w:spacing w:before="120" w:line="240" w:lineRule="auto"/>
            <w:ind w:left="-72"/>
            <w:jc w:val="center"/>
            <w:rPr>
              <w:lang w:val="fr-FR"/>
            </w:rPr>
          </w:pPr>
          <w:r w:rsidRPr="006E29FB">
            <w:rPr>
              <w:lang w:val="fr-FR"/>
            </w:rPr>
            <w:t xml:space="preserve">  </w:t>
          </w:r>
          <w:r w:rsidRPr="006E29FB">
            <w:rPr>
              <w:noProof/>
              <w:lang w:val="fr-FR"/>
            </w:rPr>
            <w:drawing>
              <wp:inline distT="0" distB="0" distL="0" distR="0" wp14:anchorId="5C1DB700" wp14:editId="7B025C4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F8EF3E" w14:textId="36F23852" w:rsidR="002676D7" w:rsidRPr="006E29FB" w:rsidRDefault="002676D7" w:rsidP="002676D7">
          <w:pPr>
            <w:pStyle w:val="XLarge"/>
            <w:spacing w:before="120" w:line="360" w:lineRule="exact"/>
            <w:rPr>
              <w:sz w:val="36"/>
              <w:lang w:val="fr-FR"/>
            </w:rPr>
          </w:pPr>
          <w:r w:rsidRPr="006E29FB">
            <w:rPr>
              <w:sz w:val="36"/>
              <w:lang w:val="fr-FR"/>
            </w:rPr>
            <w:t>Convention sur l’élimination</w:t>
          </w:r>
          <w:r w:rsidRPr="006E29FB">
            <w:rPr>
              <w:sz w:val="36"/>
              <w:lang w:val="fr-FR"/>
            </w:rPr>
            <w:br/>
            <w:t>de toutes les formes</w:t>
          </w:r>
          <w:r w:rsidRPr="006E29FB">
            <w:rPr>
              <w:sz w:val="36"/>
              <w:lang w:val="fr-FR"/>
            </w:rPr>
            <w:br/>
            <w:t>de discrimination à l’égard</w:t>
          </w:r>
          <w:r w:rsidRPr="006E29FB">
            <w:rPr>
              <w:sz w:val="36"/>
              <w:lang w:val="fr-FR"/>
            </w:rPr>
            <w:br/>
            <w:t>des femmes</w:t>
          </w:r>
        </w:p>
      </w:tc>
      <w:tc>
        <w:tcPr>
          <w:tcW w:w="245" w:type="dxa"/>
          <w:tcBorders>
            <w:top w:val="single" w:sz="4" w:space="0" w:color="auto"/>
            <w:bottom w:val="single" w:sz="12" w:space="0" w:color="auto"/>
          </w:tcBorders>
          <w:shd w:val="clear" w:color="auto" w:fill="auto"/>
        </w:tcPr>
        <w:p w14:paraId="71FEDD0F" w14:textId="77777777" w:rsidR="002676D7" w:rsidRPr="006E29FB" w:rsidRDefault="002676D7" w:rsidP="002676D7">
          <w:pPr>
            <w:pStyle w:val="Header"/>
            <w:spacing w:before="109"/>
            <w:rPr>
              <w:lang w:val="fr-FR"/>
            </w:rPr>
          </w:pPr>
        </w:p>
      </w:tc>
      <w:tc>
        <w:tcPr>
          <w:tcW w:w="3110" w:type="dxa"/>
          <w:tcBorders>
            <w:top w:val="single" w:sz="4" w:space="0" w:color="auto"/>
            <w:bottom w:val="single" w:sz="12" w:space="0" w:color="auto"/>
          </w:tcBorders>
          <w:shd w:val="clear" w:color="auto" w:fill="auto"/>
        </w:tcPr>
        <w:p w14:paraId="597389D9" w14:textId="77777777" w:rsidR="002676D7" w:rsidRPr="006E29FB" w:rsidRDefault="002676D7" w:rsidP="002676D7">
          <w:pPr>
            <w:pStyle w:val="Distribution"/>
            <w:rPr>
              <w:color w:val="000000"/>
              <w:lang w:val="fr-FR"/>
            </w:rPr>
          </w:pPr>
          <w:r w:rsidRPr="006E29FB">
            <w:rPr>
              <w:color w:val="000000"/>
              <w:lang w:val="fr-FR"/>
            </w:rPr>
            <w:t>Distr. générale</w:t>
          </w:r>
        </w:p>
        <w:p w14:paraId="407C3E59" w14:textId="77777777" w:rsidR="002676D7" w:rsidRPr="006E29FB" w:rsidRDefault="002676D7" w:rsidP="002676D7">
          <w:pPr>
            <w:pStyle w:val="Publication"/>
            <w:rPr>
              <w:color w:val="000000"/>
              <w:lang w:val="fr-FR"/>
            </w:rPr>
          </w:pPr>
          <w:r w:rsidRPr="006E29FB">
            <w:rPr>
              <w:color w:val="000000"/>
              <w:lang w:val="fr-FR"/>
            </w:rPr>
            <w:t>8 décembre 2020</w:t>
          </w:r>
        </w:p>
        <w:p w14:paraId="7970A11D" w14:textId="77777777" w:rsidR="002676D7" w:rsidRPr="006E29FB" w:rsidRDefault="002676D7" w:rsidP="002676D7">
          <w:pPr>
            <w:rPr>
              <w:lang w:val="fr-FR"/>
            </w:rPr>
          </w:pPr>
          <w:r w:rsidRPr="006E29FB">
            <w:rPr>
              <w:lang w:val="fr-FR"/>
            </w:rPr>
            <w:t>Français</w:t>
          </w:r>
        </w:p>
        <w:p w14:paraId="48DF14C1" w14:textId="1C1D9BE4" w:rsidR="002676D7" w:rsidRPr="006E29FB" w:rsidRDefault="002676D7" w:rsidP="002676D7">
          <w:pPr>
            <w:pStyle w:val="Original"/>
            <w:rPr>
              <w:color w:val="000000"/>
              <w:lang w:val="fr-FR"/>
            </w:rPr>
          </w:pPr>
          <w:r w:rsidRPr="006E29FB">
            <w:rPr>
              <w:color w:val="000000"/>
              <w:lang w:val="fr-FR"/>
            </w:rPr>
            <w:t>Original</w:t>
          </w:r>
          <w:r w:rsidR="00D76F2D" w:rsidRPr="006E29FB">
            <w:rPr>
              <w:color w:val="000000"/>
              <w:lang w:val="fr-FR"/>
            </w:rPr>
            <w:t> </w:t>
          </w:r>
          <w:r w:rsidRPr="006E29FB">
            <w:rPr>
              <w:color w:val="000000"/>
              <w:lang w:val="fr-FR"/>
            </w:rPr>
            <w:t>: anglais</w:t>
          </w:r>
        </w:p>
        <w:p w14:paraId="70E1CBFE" w14:textId="312C1CD6" w:rsidR="00D76F2D" w:rsidRPr="006E29FB" w:rsidRDefault="00D76F2D" w:rsidP="00D76F2D">
          <w:pPr>
            <w:rPr>
              <w:lang w:val="fr-FR"/>
            </w:rPr>
          </w:pPr>
          <w:r w:rsidRPr="006E29FB">
            <w:rPr>
              <w:lang w:val="fr-FR"/>
            </w:rPr>
            <w:t>Anglais, espagnol et français seulement</w:t>
          </w:r>
        </w:p>
      </w:tc>
    </w:tr>
  </w:tbl>
  <w:p w14:paraId="5B36016D" w14:textId="77777777" w:rsidR="002676D7" w:rsidRPr="006E29FB" w:rsidRDefault="002676D7" w:rsidP="002676D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1747CB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887233"/>
    <w:multiLevelType w:val="singleLevel"/>
    <w:tmpl w:val="BC3850E2"/>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49*"/>
    <w:docVar w:name="CreationDt" w:val="21/12/2020 11:07:47"/>
    <w:docVar w:name="DocCategory" w:val="Doc"/>
    <w:docVar w:name="DocType" w:val="Final"/>
    <w:docVar w:name="DutyStation" w:val="New York"/>
    <w:docVar w:name="FooterJN" w:val="20-16549"/>
    <w:docVar w:name="jobn" w:val="20-16549 (F)"/>
    <w:docVar w:name="jobnDT" w:val="20-16549 (F)   211220"/>
    <w:docVar w:name="jobnDTDT" w:val="20-16549 (F)   211220   211220"/>
    <w:docVar w:name="JobNo" w:val="2016549F"/>
    <w:docVar w:name="JobNo2" w:val="2034680F"/>
    <w:docVar w:name="LocalDrive" w:val="-1"/>
    <w:docVar w:name="OandT" w:val="Moïse"/>
    <w:docVar w:name="sss1" w:val="CEDAW/C/78/1"/>
    <w:docVar w:name="sss2" w:val="-"/>
    <w:docVar w:name="Symbol1" w:val="CEDAW/C/78/1"/>
    <w:docVar w:name="Symbol2" w:val="-"/>
  </w:docVars>
  <w:rsids>
    <w:rsidRoot w:val="007204EC"/>
    <w:rsid w:val="00002584"/>
    <w:rsid w:val="00022192"/>
    <w:rsid w:val="000232F7"/>
    <w:rsid w:val="0006491F"/>
    <w:rsid w:val="00071D43"/>
    <w:rsid w:val="00082144"/>
    <w:rsid w:val="00095806"/>
    <w:rsid w:val="00101B18"/>
    <w:rsid w:val="0012086A"/>
    <w:rsid w:val="00122A56"/>
    <w:rsid w:val="00134FEE"/>
    <w:rsid w:val="00146C6A"/>
    <w:rsid w:val="001571F8"/>
    <w:rsid w:val="001600C4"/>
    <w:rsid w:val="00166A0D"/>
    <w:rsid w:val="00167D41"/>
    <w:rsid w:val="001C159C"/>
    <w:rsid w:val="001E2379"/>
    <w:rsid w:val="001E4B50"/>
    <w:rsid w:val="00236FB9"/>
    <w:rsid w:val="00243CD6"/>
    <w:rsid w:val="00245107"/>
    <w:rsid w:val="00245FDC"/>
    <w:rsid w:val="002478A0"/>
    <w:rsid w:val="002676D7"/>
    <w:rsid w:val="002A5E20"/>
    <w:rsid w:val="002E6E9F"/>
    <w:rsid w:val="0030765E"/>
    <w:rsid w:val="00333D48"/>
    <w:rsid w:val="003544C4"/>
    <w:rsid w:val="00366D21"/>
    <w:rsid w:val="003905FA"/>
    <w:rsid w:val="003A675A"/>
    <w:rsid w:val="003F61E1"/>
    <w:rsid w:val="00410BE8"/>
    <w:rsid w:val="00440C93"/>
    <w:rsid w:val="00472B7F"/>
    <w:rsid w:val="00480B84"/>
    <w:rsid w:val="004B64F9"/>
    <w:rsid w:val="004C1A25"/>
    <w:rsid w:val="004F361B"/>
    <w:rsid w:val="005020C9"/>
    <w:rsid w:val="00515991"/>
    <w:rsid w:val="005225EC"/>
    <w:rsid w:val="00525097"/>
    <w:rsid w:val="00546E67"/>
    <w:rsid w:val="005509B6"/>
    <w:rsid w:val="00571235"/>
    <w:rsid w:val="00577A36"/>
    <w:rsid w:val="00580CF2"/>
    <w:rsid w:val="005B398E"/>
    <w:rsid w:val="005C03A7"/>
    <w:rsid w:val="005C5330"/>
    <w:rsid w:val="005F1F5F"/>
    <w:rsid w:val="00632BF5"/>
    <w:rsid w:val="00632C10"/>
    <w:rsid w:val="00690698"/>
    <w:rsid w:val="006A72AB"/>
    <w:rsid w:val="006C6F3D"/>
    <w:rsid w:val="006E29FB"/>
    <w:rsid w:val="006E4A4B"/>
    <w:rsid w:val="006E5107"/>
    <w:rsid w:val="006F2D78"/>
    <w:rsid w:val="00703106"/>
    <w:rsid w:val="007204EC"/>
    <w:rsid w:val="007459AE"/>
    <w:rsid w:val="007531A5"/>
    <w:rsid w:val="007709E1"/>
    <w:rsid w:val="00771C9E"/>
    <w:rsid w:val="007E1619"/>
    <w:rsid w:val="00816F85"/>
    <w:rsid w:val="0082045E"/>
    <w:rsid w:val="008222A3"/>
    <w:rsid w:val="0083733A"/>
    <w:rsid w:val="00867102"/>
    <w:rsid w:val="00883D3C"/>
    <w:rsid w:val="00886CF2"/>
    <w:rsid w:val="008A6715"/>
    <w:rsid w:val="008C69F2"/>
    <w:rsid w:val="008F3462"/>
    <w:rsid w:val="0090104D"/>
    <w:rsid w:val="009237A6"/>
    <w:rsid w:val="00935932"/>
    <w:rsid w:val="00945691"/>
    <w:rsid w:val="009547DC"/>
    <w:rsid w:val="00993CB7"/>
    <w:rsid w:val="00994877"/>
    <w:rsid w:val="009C3BFE"/>
    <w:rsid w:val="009D0EE3"/>
    <w:rsid w:val="009E3220"/>
    <w:rsid w:val="009F40B9"/>
    <w:rsid w:val="00A2494D"/>
    <w:rsid w:val="00A33CA1"/>
    <w:rsid w:val="00A34D2F"/>
    <w:rsid w:val="00A536A1"/>
    <w:rsid w:val="00A55EC3"/>
    <w:rsid w:val="00A87393"/>
    <w:rsid w:val="00AA44FB"/>
    <w:rsid w:val="00AB0B7D"/>
    <w:rsid w:val="00AD5F2F"/>
    <w:rsid w:val="00B858D5"/>
    <w:rsid w:val="00BD7A7A"/>
    <w:rsid w:val="00C11E9B"/>
    <w:rsid w:val="00C138C6"/>
    <w:rsid w:val="00C143AA"/>
    <w:rsid w:val="00C32F8A"/>
    <w:rsid w:val="00C35E62"/>
    <w:rsid w:val="00C64F39"/>
    <w:rsid w:val="00CB06FB"/>
    <w:rsid w:val="00CB63C5"/>
    <w:rsid w:val="00CD3742"/>
    <w:rsid w:val="00D30EED"/>
    <w:rsid w:val="00D61FC8"/>
    <w:rsid w:val="00D76F2D"/>
    <w:rsid w:val="00DC7881"/>
    <w:rsid w:val="00E126C3"/>
    <w:rsid w:val="00E343A6"/>
    <w:rsid w:val="00E443AC"/>
    <w:rsid w:val="00E47A1E"/>
    <w:rsid w:val="00E52089"/>
    <w:rsid w:val="00E7105F"/>
    <w:rsid w:val="00E7792F"/>
    <w:rsid w:val="00EA0F9C"/>
    <w:rsid w:val="00EE339E"/>
    <w:rsid w:val="00EE37EC"/>
    <w:rsid w:val="00EE549A"/>
    <w:rsid w:val="00EF2DFA"/>
    <w:rsid w:val="00F13811"/>
    <w:rsid w:val="00F313F6"/>
    <w:rsid w:val="00F5012D"/>
    <w:rsid w:val="00F67A3E"/>
    <w:rsid w:val="00F70249"/>
    <w:rsid w:val="00F73093"/>
    <w:rsid w:val="00F8634F"/>
    <w:rsid w:val="00FA3D05"/>
    <w:rsid w:val="00FA5CC9"/>
    <w:rsid w:val="00FB056D"/>
    <w:rsid w:val="00FB0A2C"/>
    <w:rsid w:val="00FB5046"/>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CC93FD"/>
  <w15:chartTrackingRefBased/>
  <w15:docId w15:val="{3FFAED63-846A-442F-B6B9-63C30B4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8A"/>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32F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32F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32F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32F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32F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32F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32F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32F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32F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32F8A"/>
    <w:pPr>
      <w:keepNext/>
      <w:keepLines/>
      <w:suppressAutoHyphens/>
      <w:spacing w:line="270" w:lineRule="exact"/>
      <w:outlineLvl w:val="0"/>
    </w:pPr>
    <w:rPr>
      <w:b/>
      <w:sz w:val="24"/>
    </w:rPr>
  </w:style>
  <w:style w:type="paragraph" w:customStyle="1" w:styleId="HCH">
    <w:name w:val="_ H _CH"/>
    <w:basedOn w:val="H1"/>
    <w:next w:val="Normal"/>
    <w:qFormat/>
    <w:rsid w:val="00C32F8A"/>
    <w:pPr>
      <w:spacing w:line="300" w:lineRule="exact"/>
    </w:pPr>
    <w:rPr>
      <w:spacing w:val="-2"/>
      <w:sz w:val="28"/>
    </w:rPr>
  </w:style>
  <w:style w:type="paragraph" w:customStyle="1" w:styleId="HM">
    <w:name w:val="_ H __M"/>
    <w:basedOn w:val="HCH"/>
    <w:next w:val="Normal"/>
    <w:qFormat/>
    <w:rsid w:val="00C32F8A"/>
    <w:pPr>
      <w:spacing w:line="360" w:lineRule="exact"/>
    </w:pPr>
    <w:rPr>
      <w:spacing w:val="-3"/>
      <w:w w:val="99"/>
      <w:sz w:val="34"/>
    </w:rPr>
  </w:style>
  <w:style w:type="paragraph" w:customStyle="1" w:styleId="H23">
    <w:name w:val="_ H_2/3"/>
    <w:basedOn w:val="H1"/>
    <w:next w:val="Normal"/>
    <w:qFormat/>
    <w:rsid w:val="00C32F8A"/>
    <w:pPr>
      <w:spacing w:line="240" w:lineRule="exact"/>
      <w:outlineLvl w:val="1"/>
    </w:pPr>
    <w:rPr>
      <w:spacing w:val="2"/>
      <w:sz w:val="20"/>
    </w:rPr>
  </w:style>
  <w:style w:type="paragraph" w:customStyle="1" w:styleId="H4">
    <w:name w:val="_ H_4"/>
    <w:basedOn w:val="Normal"/>
    <w:next w:val="Normal"/>
    <w:qFormat/>
    <w:rsid w:val="00C32F8A"/>
    <w:pPr>
      <w:keepNext/>
      <w:keepLines/>
      <w:tabs>
        <w:tab w:val="right" w:pos="360"/>
      </w:tabs>
      <w:suppressAutoHyphens/>
      <w:outlineLvl w:val="3"/>
    </w:pPr>
    <w:rPr>
      <w:i/>
      <w:spacing w:val="3"/>
    </w:rPr>
  </w:style>
  <w:style w:type="paragraph" w:customStyle="1" w:styleId="H56">
    <w:name w:val="_ H_5/6"/>
    <w:basedOn w:val="Normal"/>
    <w:next w:val="Normal"/>
    <w:qFormat/>
    <w:rsid w:val="00C32F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32F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32F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32F8A"/>
    <w:pPr>
      <w:spacing w:line="540" w:lineRule="exact"/>
    </w:pPr>
    <w:rPr>
      <w:spacing w:val="-8"/>
      <w:w w:val="96"/>
      <w:sz w:val="57"/>
    </w:rPr>
  </w:style>
  <w:style w:type="paragraph" w:customStyle="1" w:styleId="SS">
    <w:name w:val="__S_S"/>
    <w:basedOn w:val="HCH"/>
    <w:next w:val="Normal"/>
    <w:qFormat/>
    <w:rsid w:val="00C32F8A"/>
    <w:pPr>
      <w:ind w:left="1267" w:right="1267"/>
    </w:pPr>
  </w:style>
  <w:style w:type="paragraph" w:customStyle="1" w:styleId="SingleTxt">
    <w:name w:val="__Single Txt"/>
    <w:basedOn w:val="Normal"/>
    <w:qFormat/>
    <w:rsid w:val="00C32F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36FB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exact"/>
      <w:ind w:right="1260"/>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C32F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32F8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32F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2F8A"/>
    <w:rPr>
      <w:rFonts w:ascii="Tahoma" w:hAnsi="Tahoma" w:cs="Tahoma"/>
      <w:spacing w:val="4"/>
      <w:w w:val="103"/>
      <w:kern w:val="14"/>
      <w:sz w:val="16"/>
      <w:szCs w:val="16"/>
      <w:lang w:val="fr-CA" w:eastAsia="en-US"/>
    </w:rPr>
  </w:style>
  <w:style w:type="paragraph" w:customStyle="1" w:styleId="Bullet1">
    <w:name w:val="Bullet 1"/>
    <w:basedOn w:val="Normal"/>
    <w:qFormat/>
    <w:rsid w:val="00C32F8A"/>
    <w:pPr>
      <w:numPr>
        <w:numId w:val="17"/>
      </w:numPr>
      <w:spacing w:after="120"/>
      <w:ind w:right="1267"/>
      <w:jc w:val="both"/>
    </w:pPr>
  </w:style>
  <w:style w:type="paragraph" w:customStyle="1" w:styleId="Bullet2">
    <w:name w:val="Bullet 2"/>
    <w:basedOn w:val="Normal"/>
    <w:qFormat/>
    <w:rsid w:val="00C32F8A"/>
    <w:pPr>
      <w:numPr>
        <w:numId w:val="18"/>
      </w:numPr>
      <w:spacing w:after="120"/>
      <w:ind w:right="1264"/>
      <w:jc w:val="both"/>
    </w:pPr>
  </w:style>
  <w:style w:type="paragraph" w:customStyle="1" w:styleId="Bullet3">
    <w:name w:val="Bullet 3"/>
    <w:basedOn w:val="SingleTxt"/>
    <w:qFormat/>
    <w:rsid w:val="00C32F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32F8A"/>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32F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32F8A"/>
    <w:pPr>
      <w:spacing w:line="210" w:lineRule="exact"/>
    </w:pPr>
    <w:rPr>
      <w:sz w:val="17"/>
      <w:szCs w:val="20"/>
    </w:rPr>
  </w:style>
  <w:style w:type="character" w:customStyle="1" w:styleId="EndnoteTextChar">
    <w:name w:val="Endnote Text Char"/>
    <w:link w:val="EndnoteText"/>
    <w:uiPriority w:val="99"/>
    <w:semiHidden/>
    <w:rsid w:val="00C32F8A"/>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C32F8A"/>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C32F8A"/>
    <w:rPr>
      <w:rFonts w:ascii="Times New Roman" w:hAnsi="Times New Roman" w:cs="Times New Roman"/>
      <w:b/>
      <w:spacing w:val="3"/>
      <w:w w:val="105"/>
      <w:sz w:val="17"/>
      <w:lang w:val="en-US" w:eastAsia="en-US"/>
    </w:rPr>
  </w:style>
  <w:style w:type="character" w:styleId="FootnoteReference">
    <w:name w:val="footnote reference"/>
    <w:uiPriority w:val="99"/>
    <w:rsid w:val="00C32F8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32F8A"/>
    <w:pPr>
      <w:spacing w:line="210" w:lineRule="exact"/>
    </w:pPr>
    <w:rPr>
      <w:sz w:val="17"/>
      <w:szCs w:val="20"/>
    </w:rPr>
  </w:style>
  <w:style w:type="character" w:customStyle="1" w:styleId="FootnoteTextChar">
    <w:name w:val="Footnote Text Char"/>
    <w:link w:val="FootnoteText"/>
    <w:uiPriority w:val="99"/>
    <w:rsid w:val="00C32F8A"/>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C32F8A"/>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C32F8A"/>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C32F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32F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32F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32F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32F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32F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32F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32F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32F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32F8A"/>
    <w:rPr>
      <w:sz w:val="14"/>
    </w:rPr>
  </w:style>
  <w:style w:type="paragraph" w:styleId="ListParagraph">
    <w:name w:val="List Paragraph"/>
    <w:basedOn w:val="Normal"/>
    <w:uiPriority w:val="34"/>
    <w:rsid w:val="00C32F8A"/>
    <w:pPr>
      <w:ind w:left="720"/>
      <w:contextualSpacing/>
    </w:pPr>
  </w:style>
  <w:style w:type="paragraph" w:styleId="NoSpacing">
    <w:name w:val="No Spacing"/>
    <w:uiPriority w:val="1"/>
    <w:rsid w:val="00C32F8A"/>
    <w:pPr>
      <w:spacing w:after="0" w:line="240" w:lineRule="auto"/>
    </w:pPr>
    <w:rPr>
      <w:rFonts w:ascii="Calibri" w:hAnsi="Calibri" w:cs="Times New Roman"/>
      <w:lang w:val="en-US" w:eastAsia="en-US"/>
    </w:rPr>
  </w:style>
  <w:style w:type="paragraph" w:customStyle="1" w:styleId="Original">
    <w:name w:val="Original"/>
    <w:next w:val="Normal"/>
    <w:autoRedefine/>
    <w:qFormat/>
    <w:rsid w:val="00C32F8A"/>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C32F8A"/>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C32F8A"/>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32F8A"/>
    <w:pPr>
      <w:tabs>
        <w:tab w:val="right" w:pos="9965"/>
      </w:tabs>
      <w:spacing w:line="210" w:lineRule="exact"/>
    </w:pPr>
    <w:rPr>
      <w:spacing w:val="5"/>
      <w:w w:val="104"/>
      <w:sz w:val="17"/>
    </w:rPr>
  </w:style>
  <w:style w:type="paragraph" w:customStyle="1" w:styleId="SmallX">
    <w:name w:val="SmallX"/>
    <w:basedOn w:val="Small"/>
    <w:next w:val="Normal"/>
    <w:qFormat/>
    <w:rsid w:val="00C32F8A"/>
    <w:pPr>
      <w:spacing w:line="180" w:lineRule="exact"/>
      <w:jc w:val="right"/>
    </w:pPr>
    <w:rPr>
      <w:spacing w:val="6"/>
      <w:w w:val="106"/>
      <w:sz w:val="14"/>
    </w:rPr>
  </w:style>
  <w:style w:type="character" w:styleId="Strong">
    <w:name w:val="Strong"/>
    <w:uiPriority w:val="22"/>
    <w:rsid w:val="00C32F8A"/>
    <w:rPr>
      <w:b/>
      <w:bCs/>
    </w:rPr>
  </w:style>
  <w:style w:type="paragraph" w:customStyle="1" w:styleId="Style1">
    <w:name w:val="Style1"/>
    <w:basedOn w:val="Normal"/>
    <w:qFormat/>
    <w:rsid w:val="00C32F8A"/>
  </w:style>
  <w:style w:type="paragraph" w:customStyle="1" w:styleId="Style2">
    <w:name w:val="Style2"/>
    <w:basedOn w:val="Normal"/>
    <w:autoRedefine/>
    <w:qFormat/>
    <w:rsid w:val="00C32F8A"/>
  </w:style>
  <w:style w:type="paragraph" w:customStyle="1" w:styleId="TitleHCH">
    <w:name w:val="Title_H_CH"/>
    <w:basedOn w:val="H1"/>
    <w:next w:val="Normal"/>
    <w:qFormat/>
    <w:rsid w:val="00C32F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32F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32F8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676D7"/>
    <w:rPr>
      <w:sz w:val="16"/>
      <w:szCs w:val="16"/>
    </w:rPr>
  </w:style>
  <w:style w:type="paragraph" w:styleId="CommentText">
    <w:name w:val="annotation text"/>
    <w:basedOn w:val="Normal"/>
    <w:link w:val="CommentTextChar"/>
    <w:uiPriority w:val="99"/>
    <w:semiHidden/>
    <w:unhideWhenUsed/>
    <w:rsid w:val="002676D7"/>
    <w:pPr>
      <w:spacing w:line="240" w:lineRule="auto"/>
    </w:pPr>
    <w:rPr>
      <w:szCs w:val="20"/>
    </w:rPr>
  </w:style>
  <w:style w:type="character" w:customStyle="1" w:styleId="CommentTextChar">
    <w:name w:val="Comment Text Char"/>
    <w:basedOn w:val="DefaultParagraphFont"/>
    <w:link w:val="CommentText"/>
    <w:uiPriority w:val="99"/>
    <w:semiHidden/>
    <w:rsid w:val="002676D7"/>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676D7"/>
    <w:rPr>
      <w:b/>
      <w:bCs/>
    </w:rPr>
  </w:style>
  <w:style w:type="character" w:customStyle="1" w:styleId="CommentSubjectChar">
    <w:name w:val="Comment Subject Char"/>
    <w:basedOn w:val="CommentTextChar"/>
    <w:link w:val="CommentSubject"/>
    <w:uiPriority w:val="99"/>
    <w:semiHidden/>
    <w:rsid w:val="002676D7"/>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76F2D"/>
    <w:rPr>
      <w:color w:val="0000FF"/>
      <w:u w:val="none"/>
    </w:rPr>
  </w:style>
  <w:style w:type="character" w:styleId="FollowedHyperlink">
    <w:name w:val="FollowedHyperlink"/>
    <w:basedOn w:val="DefaultParagraphFont"/>
    <w:uiPriority w:val="99"/>
    <w:semiHidden/>
    <w:unhideWhenUsed/>
    <w:rsid w:val="00D76F2D"/>
    <w:rPr>
      <w:color w:val="0000FF"/>
      <w:u w:val="none"/>
    </w:rPr>
  </w:style>
  <w:style w:type="character" w:styleId="UnresolvedMention">
    <w:name w:val="Unresolved Mention"/>
    <w:basedOn w:val="DefaultParagraphFont"/>
    <w:uiPriority w:val="99"/>
    <w:semiHidden/>
    <w:unhideWhenUsed/>
    <w:rsid w:val="00D76F2D"/>
    <w:rPr>
      <w:color w:val="605E5C"/>
      <w:shd w:val="clear" w:color="auto" w:fill="E1DFDD"/>
    </w:rPr>
  </w:style>
  <w:style w:type="paragraph" w:styleId="Revision">
    <w:name w:val="Revision"/>
    <w:hidden/>
    <w:uiPriority w:val="99"/>
    <w:semiHidden/>
    <w:rsid w:val="00236FB9"/>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79/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PSWG/78/1" TargetMode="External"/><Relationship Id="rId2" Type="http://schemas.openxmlformats.org/officeDocument/2006/relationships/styles" Target="styles.xml"/><Relationship Id="rId16" Type="http://schemas.openxmlformats.org/officeDocument/2006/relationships/hyperlink" Target="https://undocs.org/fr/CEDAW/C/7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Marieme Gueye</cp:lastModifiedBy>
  <cp:revision>3</cp:revision>
  <cp:lastPrinted>2020-12-23T13:28:00Z</cp:lastPrinted>
  <dcterms:created xsi:type="dcterms:W3CDTF">2020-12-23T13:28:00Z</dcterms:created>
  <dcterms:modified xsi:type="dcterms:W3CDTF">2020-12-23T13:28:00Z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2016549F</vt:lpwstr>
  </property>
  <property fmtid="{D5CDD505-2E9C-101B-9397-08002B2CF9AE}" pid="3" name="ODSRefJobNo">
    <vt:lpwstr>2034680F</vt:lpwstr>
  </property>
  <property fmtid="{D5CDD505-2E9C-101B-9397-08002B2CF9AE}" pid="4" name="Symbol1">
    <vt:lpwstr>CEDAW/C/78/1</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Soixante-dix-huitième session_x000d_</vt:lpwstr>
  </property>
  <property fmtid="{D5CDD505-2E9C-101B-9397-08002B2CF9AE}" pid="14" name="Agenda1">
    <vt:lpwstr>Point 2 de l’ordre du jour provisoire_x000d_</vt:lpwstr>
  </property>
  <property fmtid="{D5CDD505-2E9C-101B-9397-08002B2CF9AE}" pid="15" name="Agenda Title1">
    <vt:lpwstr>Adoption de l’ordre du jour et organisation des travaux_x000d_</vt:lpwstr>
  </property>
  <property fmtid="{D5CDD505-2E9C-101B-9397-08002B2CF9AE}" pid="16" name="Title1">
    <vt:lpwstr>		Ordre du jour provisoire annoté_x000d_</vt:lpwstr>
  </property>
  <property fmtid="{D5CDD505-2E9C-101B-9397-08002B2CF9AE}" pid="17" name="Title2">
    <vt:lpwstr>		Ordre du jour provisoire_x000d_</vt:lpwstr>
  </property>
</Properties>
</file>