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9A57" w14:textId="77777777" w:rsidR="00A91ACD" w:rsidRPr="00E12237" w:rsidRDefault="00A91ACD" w:rsidP="00A91ACD">
      <w:pPr>
        <w:spacing w:line="240" w:lineRule="auto"/>
        <w:rPr>
          <w:sz w:val="2"/>
          <w:lang w:val="fr-FR"/>
        </w:rPr>
        <w:sectPr w:rsidR="00A91ACD" w:rsidRPr="00E12237" w:rsidSect="00704AC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E12237">
        <w:rPr>
          <w:rStyle w:val="CommentReference"/>
          <w:lang w:val="fr-FR"/>
        </w:rPr>
        <w:commentReference w:id="0"/>
      </w:r>
    </w:p>
    <w:p w14:paraId="234D8087" w14:textId="036F4FFC" w:rsidR="00704AC4" w:rsidRPr="00E12237" w:rsidRDefault="00704AC4" w:rsidP="00704A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12237">
        <w:rPr>
          <w:lang w:val="fr-FR"/>
        </w:rPr>
        <w:t>Comité pour l</w:t>
      </w:r>
      <w:r w:rsidR="00582008" w:rsidRPr="00E12237">
        <w:rPr>
          <w:lang w:val="fr-FR"/>
        </w:rPr>
        <w:t>’</w:t>
      </w:r>
      <w:r w:rsidRPr="00E12237">
        <w:rPr>
          <w:lang w:val="fr-FR"/>
        </w:rPr>
        <w:t xml:space="preserve">élimination de la discrimination </w:t>
      </w:r>
      <w:r w:rsidRPr="00E12237">
        <w:rPr>
          <w:lang w:val="fr-FR"/>
        </w:rPr>
        <w:br/>
        <w:t>à l</w:t>
      </w:r>
      <w:r w:rsidR="00582008" w:rsidRPr="00E12237">
        <w:rPr>
          <w:lang w:val="fr-FR"/>
        </w:rPr>
        <w:t>’</w:t>
      </w:r>
      <w:r w:rsidRPr="00E12237">
        <w:rPr>
          <w:lang w:val="fr-FR"/>
        </w:rPr>
        <w:t>égard des femmes</w:t>
      </w:r>
    </w:p>
    <w:p w14:paraId="6F487410" w14:textId="3D8CD463" w:rsidR="00704AC4" w:rsidRPr="00E12237" w:rsidRDefault="00704AC4" w:rsidP="00704AC4">
      <w:pPr>
        <w:pStyle w:val="SingleTxt"/>
        <w:spacing w:after="0" w:line="120" w:lineRule="exact"/>
        <w:rPr>
          <w:sz w:val="10"/>
          <w:lang w:val="fr-FR"/>
        </w:rPr>
      </w:pPr>
    </w:p>
    <w:p w14:paraId="5EBCAB7C" w14:textId="070BA5DE" w:rsidR="00704AC4" w:rsidRPr="00E12237" w:rsidRDefault="00704AC4" w:rsidP="00704AC4">
      <w:pPr>
        <w:pStyle w:val="SingleTxt"/>
        <w:spacing w:after="0" w:line="120" w:lineRule="exact"/>
        <w:rPr>
          <w:sz w:val="10"/>
          <w:lang w:val="fr-FR"/>
        </w:rPr>
      </w:pPr>
    </w:p>
    <w:p w14:paraId="64E6E5C0" w14:textId="0908E81F" w:rsidR="00704AC4" w:rsidRPr="00E12237" w:rsidRDefault="00704AC4" w:rsidP="00704AC4">
      <w:pPr>
        <w:pStyle w:val="SingleTxt"/>
        <w:spacing w:after="0" w:line="120" w:lineRule="exact"/>
        <w:rPr>
          <w:sz w:val="10"/>
          <w:lang w:val="fr-FR"/>
        </w:rPr>
      </w:pPr>
    </w:p>
    <w:p w14:paraId="49996C6B" w14:textId="72E84295" w:rsidR="00704AC4" w:rsidRPr="00E12237" w:rsidRDefault="00704AC4" w:rsidP="00704AC4">
      <w:pPr>
        <w:pStyle w:val="TitleHCH"/>
        <w:ind w:right="1260"/>
        <w:rPr>
          <w:vertAlign w:val="superscript"/>
          <w:lang w:val="fr-FR"/>
        </w:rPr>
      </w:pPr>
      <w:r w:rsidRPr="00E12237">
        <w:rPr>
          <w:lang w:val="fr-FR"/>
        </w:rPr>
        <w:tab/>
      </w:r>
      <w:r w:rsidRPr="00E12237">
        <w:rPr>
          <w:lang w:val="fr-FR"/>
        </w:rPr>
        <w:tab/>
        <w:t>Décision adoptée par le Comité au sujet de la communication n</w:t>
      </w:r>
      <w:r w:rsidRPr="00E12237">
        <w:rPr>
          <w:vertAlign w:val="superscript"/>
          <w:lang w:val="fr-FR"/>
        </w:rPr>
        <w:t>o</w:t>
      </w:r>
      <w:r w:rsidRPr="00E12237">
        <w:rPr>
          <w:lang w:val="fr-FR"/>
        </w:rPr>
        <w:t xml:space="preserve"> 96/2015 au titre de l</w:t>
      </w:r>
      <w:r w:rsidR="00582008" w:rsidRPr="00E12237">
        <w:rPr>
          <w:lang w:val="fr-FR"/>
        </w:rPr>
        <w:t>’</w:t>
      </w:r>
      <w:r w:rsidRPr="00E12237">
        <w:rPr>
          <w:lang w:val="fr-FR"/>
        </w:rPr>
        <w:t>alinéa c) du paragraphe 2 de l</w:t>
      </w:r>
      <w:r w:rsidR="00582008" w:rsidRPr="00E12237">
        <w:rPr>
          <w:lang w:val="fr-FR"/>
        </w:rPr>
        <w:t>’</w:t>
      </w:r>
      <w:r w:rsidRPr="00E12237">
        <w:rPr>
          <w:lang w:val="fr-FR"/>
        </w:rPr>
        <w:t>article 4 du Protocole facultatif</w:t>
      </w:r>
      <w:r w:rsidRPr="00E12237">
        <w:rPr>
          <w:b w:val="0"/>
          <w:bCs/>
          <w:sz w:val="20"/>
          <w:szCs w:val="20"/>
          <w:lang w:val="fr-FR"/>
        </w:rPr>
        <w:footnoteReference w:customMarkFollows="1" w:id="1"/>
        <w:t>*</w:t>
      </w:r>
      <w:r w:rsidRPr="00E12237">
        <w:rPr>
          <w:b w:val="0"/>
          <w:bCs/>
          <w:sz w:val="20"/>
          <w:szCs w:val="20"/>
          <w:vertAlign w:val="superscript"/>
          <w:lang w:val="fr-FR"/>
        </w:rPr>
        <w:t>,</w:t>
      </w:r>
      <w:r w:rsidRPr="00E12237">
        <w:rPr>
          <w:b w:val="0"/>
          <w:bCs/>
          <w:sz w:val="20"/>
          <w:szCs w:val="20"/>
          <w:lang w:val="fr-FR"/>
        </w:rPr>
        <w:t xml:space="preserve"> </w:t>
      </w:r>
      <w:r w:rsidRPr="00E12237">
        <w:rPr>
          <w:b w:val="0"/>
          <w:bCs/>
          <w:sz w:val="20"/>
          <w:szCs w:val="20"/>
          <w:lang w:val="fr-FR"/>
        </w:rPr>
        <w:footnoteReference w:customMarkFollows="1" w:id="2"/>
        <w:t>**</w:t>
      </w:r>
    </w:p>
    <w:p w14:paraId="1DE12036" w14:textId="794B4EFB" w:rsidR="00704AC4" w:rsidRPr="00E12237" w:rsidRDefault="00704AC4" w:rsidP="00704AC4">
      <w:pPr>
        <w:pStyle w:val="SingleTxt"/>
        <w:spacing w:after="0" w:line="120" w:lineRule="exact"/>
        <w:rPr>
          <w:sz w:val="10"/>
          <w:lang w:val="fr-FR"/>
        </w:rPr>
      </w:pPr>
    </w:p>
    <w:p w14:paraId="25927D93" w14:textId="7FE825D3" w:rsidR="00704AC4" w:rsidRPr="00E12237" w:rsidRDefault="00704AC4" w:rsidP="00704AC4">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66"/>
        <w:gridCol w:w="4349"/>
      </w:tblGrid>
      <w:tr w:rsidR="00704AC4" w:rsidRPr="00E00A16" w14:paraId="4C9CF31D" w14:textId="77777777" w:rsidTr="00E00A16">
        <w:tc>
          <w:tcPr>
            <w:tcW w:w="2966" w:type="dxa"/>
            <w:hideMark/>
          </w:tcPr>
          <w:p w14:paraId="18F13C44" w14:textId="77777777" w:rsidR="00704AC4" w:rsidRPr="00185A46" w:rsidRDefault="00704AC4">
            <w:pPr>
              <w:pStyle w:val="SingleTxtG"/>
              <w:ind w:left="0" w:right="0"/>
              <w:jc w:val="left"/>
              <w:rPr>
                <w:i/>
                <w:lang w:val="fr-FR"/>
              </w:rPr>
            </w:pPr>
            <w:r w:rsidRPr="00E12237">
              <w:rPr>
                <w:i/>
                <w:lang w:val="fr-FR"/>
              </w:rPr>
              <w:t>Communication présentée par</w:t>
            </w:r>
            <w:r w:rsidRPr="00E12237">
              <w:rPr>
                <w:lang w:val="fr-FR"/>
              </w:rPr>
              <w:t> :</w:t>
            </w:r>
          </w:p>
        </w:tc>
        <w:tc>
          <w:tcPr>
            <w:tcW w:w="4349" w:type="dxa"/>
            <w:hideMark/>
          </w:tcPr>
          <w:p w14:paraId="79A1BB57" w14:textId="77777777"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A. R. I. (représentée par un conseil, Jytte Lindgård)</w:t>
            </w:r>
          </w:p>
        </w:tc>
      </w:tr>
      <w:tr w:rsidR="00704AC4" w:rsidRPr="00E00A16" w14:paraId="31DB6A20" w14:textId="77777777" w:rsidTr="00E00A16">
        <w:tc>
          <w:tcPr>
            <w:tcW w:w="2966" w:type="dxa"/>
            <w:hideMark/>
          </w:tcPr>
          <w:p w14:paraId="3C2778C6" w14:textId="77777777" w:rsidR="00704AC4" w:rsidRPr="00E00A16" w:rsidRDefault="00704AC4">
            <w:pPr>
              <w:pStyle w:val="SingleTxtG"/>
              <w:ind w:left="0" w:right="0"/>
              <w:jc w:val="left"/>
              <w:rPr>
                <w:i/>
                <w:lang w:val="fr-FR"/>
              </w:rPr>
            </w:pPr>
            <w:r w:rsidRPr="00E00A16">
              <w:rPr>
                <w:i/>
                <w:lang w:val="fr-FR"/>
              </w:rPr>
              <w:t>Au nom de</w:t>
            </w:r>
            <w:r w:rsidRPr="00E00A16">
              <w:rPr>
                <w:lang w:val="fr-FR"/>
              </w:rPr>
              <w:t> :</w:t>
            </w:r>
          </w:p>
        </w:tc>
        <w:tc>
          <w:tcPr>
            <w:tcW w:w="4349" w:type="dxa"/>
            <w:hideMark/>
          </w:tcPr>
          <w:p w14:paraId="51512A95" w14:textId="21358A64"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L</w:t>
            </w:r>
            <w:r w:rsidR="00582008" w:rsidRPr="00E00A16">
              <w:rPr>
                <w:szCs w:val="22"/>
                <w:lang w:val="fr-FR"/>
              </w:rPr>
              <w:t>’</w:t>
            </w:r>
            <w:r w:rsidRPr="00E00A16">
              <w:rPr>
                <w:szCs w:val="22"/>
                <w:lang w:val="fr-FR"/>
              </w:rPr>
              <w:t>auteur</w:t>
            </w:r>
          </w:p>
        </w:tc>
      </w:tr>
      <w:tr w:rsidR="00704AC4" w:rsidRPr="00E00A16" w14:paraId="2717BBA1" w14:textId="77777777" w:rsidTr="00E00A16">
        <w:tc>
          <w:tcPr>
            <w:tcW w:w="2966" w:type="dxa"/>
            <w:hideMark/>
          </w:tcPr>
          <w:p w14:paraId="498318DA" w14:textId="77777777" w:rsidR="00704AC4" w:rsidRPr="00E00A16" w:rsidRDefault="00704AC4">
            <w:pPr>
              <w:pStyle w:val="SingleTxtG"/>
              <w:ind w:left="0" w:right="0"/>
              <w:jc w:val="left"/>
              <w:rPr>
                <w:i/>
                <w:lang w:val="fr-FR"/>
              </w:rPr>
            </w:pPr>
            <w:r w:rsidRPr="00E00A16">
              <w:rPr>
                <w:i/>
                <w:lang w:val="fr-FR"/>
              </w:rPr>
              <w:t>État partie</w:t>
            </w:r>
            <w:r w:rsidRPr="00E00A16">
              <w:rPr>
                <w:lang w:val="fr-FR"/>
              </w:rPr>
              <w:t> :</w:t>
            </w:r>
          </w:p>
        </w:tc>
        <w:tc>
          <w:tcPr>
            <w:tcW w:w="4349" w:type="dxa"/>
            <w:hideMark/>
          </w:tcPr>
          <w:p w14:paraId="455D4B1F" w14:textId="77777777"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Danemark</w:t>
            </w:r>
          </w:p>
        </w:tc>
      </w:tr>
      <w:tr w:rsidR="00704AC4" w:rsidRPr="00E00A16" w14:paraId="20BFEB6B" w14:textId="77777777" w:rsidTr="00E00A16">
        <w:tc>
          <w:tcPr>
            <w:tcW w:w="2966" w:type="dxa"/>
            <w:hideMark/>
          </w:tcPr>
          <w:p w14:paraId="5485E162" w14:textId="77777777" w:rsidR="00704AC4" w:rsidRPr="00E00A16" w:rsidRDefault="00704AC4">
            <w:pPr>
              <w:pStyle w:val="SingleTxtG"/>
              <w:ind w:left="0" w:right="0"/>
              <w:jc w:val="left"/>
              <w:rPr>
                <w:i/>
                <w:lang w:val="fr-FR"/>
              </w:rPr>
            </w:pPr>
            <w:r w:rsidRPr="00E00A16">
              <w:rPr>
                <w:i/>
                <w:lang w:val="fr-FR"/>
              </w:rPr>
              <w:t>Date de la communication</w:t>
            </w:r>
            <w:r w:rsidRPr="00E00A16">
              <w:rPr>
                <w:lang w:val="fr-FR"/>
              </w:rPr>
              <w:t> :</w:t>
            </w:r>
          </w:p>
        </w:tc>
        <w:tc>
          <w:tcPr>
            <w:tcW w:w="4349" w:type="dxa"/>
            <w:hideMark/>
          </w:tcPr>
          <w:p w14:paraId="2F245AE6" w14:textId="77777777"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17 septembre 2015 (date de la lettre initiale)</w:t>
            </w:r>
          </w:p>
        </w:tc>
      </w:tr>
      <w:tr w:rsidR="00704AC4" w:rsidRPr="00E00A16" w14:paraId="656EF3C3" w14:textId="77777777" w:rsidTr="00E00A16">
        <w:tc>
          <w:tcPr>
            <w:tcW w:w="2966" w:type="dxa"/>
            <w:hideMark/>
          </w:tcPr>
          <w:p w14:paraId="7DB734BE" w14:textId="77777777" w:rsidR="00704AC4" w:rsidRPr="00E00A16" w:rsidRDefault="00704AC4">
            <w:pPr>
              <w:pStyle w:val="SingleTxtG"/>
              <w:ind w:left="0" w:right="0"/>
              <w:jc w:val="left"/>
              <w:rPr>
                <w:lang w:val="fr-FR"/>
              </w:rPr>
            </w:pPr>
            <w:r w:rsidRPr="00E00A16">
              <w:rPr>
                <w:i/>
                <w:lang w:val="fr-FR"/>
              </w:rPr>
              <w:t>Références </w:t>
            </w:r>
            <w:r w:rsidRPr="00E00A16">
              <w:rPr>
                <w:lang w:val="fr-FR"/>
              </w:rPr>
              <w:t>:</w:t>
            </w:r>
          </w:p>
        </w:tc>
        <w:tc>
          <w:tcPr>
            <w:tcW w:w="4349" w:type="dxa"/>
            <w:hideMark/>
          </w:tcPr>
          <w:p w14:paraId="786F6B29" w14:textId="233619F2"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Communiquée à l</w:t>
            </w:r>
            <w:r w:rsidR="00582008" w:rsidRPr="00E00A16">
              <w:rPr>
                <w:szCs w:val="22"/>
                <w:lang w:val="fr-FR"/>
              </w:rPr>
              <w:t>’</w:t>
            </w:r>
            <w:r w:rsidRPr="00E00A16">
              <w:rPr>
                <w:szCs w:val="22"/>
                <w:lang w:val="fr-FR"/>
              </w:rPr>
              <w:t>État partie le 22 septembre 2015</w:t>
            </w:r>
          </w:p>
        </w:tc>
      </w:tr>
      <w:tr w:rsidR="00704AC4" w:rsidRPr="00E00A16" w14:paraId="3870F5C7" w14:textId="77777777" w:rsidTr="00E00A16">
        <w:tc>
          <w:tcPr>
            <w:tcW w:w="2966" w:type="dxa"/>
            <w:hideMark/>
          </w:tcPr>
          <w:p w14:paraId="6C8A6105" w14:textId="77777777" w:rsidR="00704AC4" w:rsidRPr="00E00A16" w:rsidRDefault="00704AC4">
            <w:pPr>
              <w:pStyle w:val="SingleTxtG"/>
              <w:ind w:left="0" w:right="0"/>
              <w:jc w:val="left"/>
              <w:rPr>
                <w:i/>
                <w:lang w:val="fr-FR"/>
              </w:rPr>
            </w:pPr>
            <w:r w:rsidRPr="00E00A16">
              <w:rPr>
                <w:i/>
                <w:lang w:val="fr-FR"/>
              </w:rPr>
              <w:t>Date de la décision</w:t>
            </w:r>
            <w:r w:rsidRPr="00E00A16">
              <w:rPr>
                <w:lang w:val="fr-FR"/>
              </w:rPr>
              <w:t> :</w:t>
            </w:r>
          </w:p>
        </w:tc>
        <w:tc>
          <w:tcPr>
            <w:tcW w:w="4349" w:type="dxa"/>
            <w:vAlign w:val="bottom"/>
            <w:hideMark/>
          </w:tcPr>
          <w:p w14:paraId="13B8ED36" w14:textId="77777777" w:rsidR="00704AC4" w:rsidRPr="00E00A16" w:rsidRDefault="00704AC4" w:rsidP="00E00A16">
            <w:pPr>
              <w:pStyle w:val="SingleTxt"/>
              <w:tabs>
                <w:tab w:val="left" w:pos="720"/>
              </w:tabs>
              <w:spacing w:before="40" w:after="80" w:line="240" w:lineRule="exact"/>
              <w:ind w:left="144" w:right="43"/>
              <w:jc w:val="left"/>
              <w:rPr>
                <w:lang w:val="fr-FR"/>
              </w:rPr>
            </w:pPr>
            <w:r w:rsidRPr="00E00A16">
              <w:rPr>
                <w:szCs w:val="22"/>
                <w:lang w:val="fr-FR"/>
              </w:rPr>
              <w:t>25 février 2019</w:t>
            </w:r>
          </w:p>
        </w:tc>
      </w:tr>
    </w:tbl>
    <w:p w14:paraId="644DC45B" w14:textId="1672C881" w:rsidR="00704AC4" w:rsidRPr="00E00A16" w:rsidRDefault="00704AC4" w:rsidP="00A91ACD">
      <w:pPr>
        <w:pStyle w:val="SingleTxt"/>
        <w:rPr>
          <w:lang w:val="fr-FR"/>
        </w:rPr>
      </w:pPr>
    </w:p>
    <w:p w14:paraId="4C82B07D" w14:textId="6BA0ACB8" w:rsidR="00704AC4" w:rsidRPr="00E00A16" w:rsidRDefault="00704AC4">
      <w:pPr>
        <w:spacing w:after="200" w:line="276" w:lineRule="auto"/>
        <w:rPr>
          <w:lang w:val="fr-FR"/>
        </w:rPr>
      </w:pPr>
      <w:r w:rsidRPr="00E00A16">
        <w:rPr>
          <w:lang w:val="fr-FR"/>
        </w:rPr>
        <w:br w:type="page"/>
      </w:r>
    </w:p>
    <w:p w14:paraId="51D33102" w14:textId="77777777"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lastRenderedPageBreak/>
        <w:tab/>
      </w:r>
      <w:r w:rsidRPr="00E00A16">
        <w:rPr>
          <w:lang w:val="fr-FR"/>
        </w:rPr>
        <w:tab/>
        <w:t>Exposé des faits</w:t>
      </w:r>
    </w:p>
    <w:p w14:paraId="0725958D" w14:textId="77777777" w:rsidR="00704AC4" w:rsidRPr="00E00A16" w:rsidRDefault="00704AC4" w:rsidP="00704AC4">
      <w:pPr>
        <w:pStyle w:val="SingleTxt"/>
        <w:spacing w:after="0" w:line="120" w:lineRule="exact"/>
        <w:rPr>
          <w:sz w:val="10"/>
          <w:lang w:val="fr-FR"/>
        </w:rPr>
      </w:pPr>
      <w:bookmarkStart w:id="1" w:name="BeginPage"/>
    </w:p>
    <w:p w14:paraId="2E0C0147" w14:textId="5F415A6A" w:rsidR="00704AC4" w:rsidRPr="00E00A16" w:rsidRDefault="00704AC4" w:rsidP="00704AC4">
      <w:pPr>
        <w:pStyle w:val="SingleTxt"/>
        <w:numPr>
          <w:ilvl w:val="0"/>
          <w:numId w:val="31"/>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de la communication est A. R. I., ressortissante de la Fédération de Russie d</w:t>
      </w:r>
      <w:r w:rsidR="00582008" w:rsidRPr="00E00A16">
        <w:rPr>
          <w:lang w:val="fr-FR"/>
        </w:rPr>
        <w:t>’</w:t>
      </w:r>
      <w:r w:rsidRPr="00E00A16">
        <w:rPr>
          <w:lang w:val="fr-FR"/>
        </w:rPr>
        <w:t>origine tchétchène, née en 1995. Elle a présenté une demande d</w:t>
      </w:r>
      <w:r w:rsidR="00582008" w:rsidRPr="00E00A16">
        <w:rPr>
          <w:lang w:val="fr-FR"/>
        </w:rPr>
        <w:t>’</w:t>
      </w:r>
      <w:r w:rsidRPr="00E00A16">
        <w:rPr>
          <w:lang w:val="fr-FR"/>
        </w:rPr>
        <w:t>asile au Danemark, qui a été rejetée, et affirme que son expulsion vers la Fédération de Russie constitue une violation des droits qui lui sont conférés par les alinéas</w:t>
      </w:r>
      <w:r w:rsidR="00714A14" w:rsidRPr="00E00A16">
        <w:rPr>
          <w:lang w:val="fr-FR"/>
        </w:rPr>
        <w:t xml:space="preserve"> </w:t>
      </w:r>
      <w:r w:rsidRPr="00E00A16">
        <w:rPr>
          <w:lang w:val="fr-FR"/>
        </w:rPr>
        <w:t>c) à f) de l</w:t>
      </w:r>
      <w:r w:rsidR="00582008" w:rsidRPr="00E00A16">
        <w:rPr>
          <w:lang w:val="fr-FR"/>
        </w:rPr>
        <w:t>’</w:t>
      </w:r>
      <w:r w:rsidRPr="00E00A16">
        <w:rPr>
          <w:lang w:val="fr-FR"/>
        </w:rPr>
        <w:t>article 2 et l</w:t>
      </w:r>
      <w:r w:rsidR="00582008" w:rsidRPr="00E00A16">
        <w:rPr>
          <w:lang w:val="fr-FR"/>
        </w:rPr>
        <w:t>’</w:t>
      </w:r>
      <w:r w:rsidRPr="00E00A16">
        <w:rPr>
          <w:lang w:val="fr-FR"/>
        </w:rPr>
        <w:t>alinéa</w:t>
      </w:r>
      <w:r w:rsidR="00714A14" w:rsidRPr="00E00A16">
        <w:rPr>
          <w:lang w:val="fr-FR"/>
        </w:rPr>
        <w:t xml:space="preserve"> </w:t>
      </w:r>
      <w:r w:rsidRPr="00E00A16">
        <w:rPr>
          <w:lang w:val="fr-FR"/>
        </w:rPr>
        <w:t>a) de l</w:t>
      </w:r>
      <w:r w:rsidR="00582008" w:rsidRPr="00E00A16">
        <w:rPr>
          <w:lang w:val="fr-FR"/>
        </w:rPr>
        <w:t>’</w:t>
      </w:r>
      <w:r w:rsidRPr="00E00A16">
        <w:rPr>
          <w:lang w:val="fr-FR"/>
        </w:rPr>
        <w:t>article</w:t>
      </w:r>
      <w:r w:rsidR="00714A14" w:rsidRPr="00E00A16">
        <w:rPr>
          <w:lang w:val="fr-FR"/>
        </w:rPr>
        <w:t xml:space="preserve"> </w:t>
      </w:r>
      <w:r w:rsidRPr="00E00A16">
        <w:rPr>
          <w:lang w:val="fr-FR"/>
        </w:rPr>
        <w:t>5 de la Convention. La Convention et le Protocole facultatif s</w:t>
      </w:r>
      <w:r w:rsidR="00582008" w:rsidRPr="00E00A16">
        <w:rPr>
          <w:lang w:val="fr-FR"/>
        </w:rPr>
        <w:t>’</w:t>
      </w:r>
      <w:r w:rsidRPr="00E00A16">
        <w:rPr>
          <w:lang w:val="fr-FR"/>
        </w:rPr>
        <w:t>y rapportant sont entrés en vigueur au Danemark le 21</w:t>
      </w:r>
      <w:r w:rsidR="00714A14" w:rsidRPr="00E00A16">
        <w:rPr>
          <w:lang w:val="fr-FR"/>
        </w:rPr>
        <w:t xml:space="preserve"> </w:t>
      </w:r>
      <w:r w:rsidRPr="00E00A16">
        <w:rPr>
          <w:lang w:val="fr-FR"/>
        </w:rPr>
        <w:t>mai 1983 et le 22 décembre 2000, respectivement. L</w:t>
      </w:r>
      <w:r w:rsidR="00582008" w:rsidRPr="00E00A16">
        <w:rPr>
          <w:lang w:val="fr-FR"/>
        </w:rPr>
        <w:t>’</w:t>
      </w:r>
      <w:r w:rsidRPr="00E00A16">
        <w:rPr>
          <w:lang w:val="fr-FR"/>
        </w:rPr>
        <w:t>auteure est représentée par un conseil, Jytte Lindgård.</w:t>
      </w:r>
    </w:p>
    <w:p w14:paraId="1D99DBAF" w14:textId="4F857EEA" w:rsidR="00704AC4" w:rsidRPr="00E00A16" w:rsidRDefault="00704AC4" w:rsidP="00704AC4">
      <w:pPr>
        <w:pStyle w:val="SingleTxt"/>
        <w:numPr>
          <w:ilvl w:val="0"/>
          <w:numId w:val="31"/>
        </w:numPr>
        <w:tabs>
          <w:tab w:val="left" w:pos="1742"/>
        </w:tabs>
        <w:spacing w:line="240" w:lineRule="exact"/>
        <w:rPr>
          <w:lang w:val="fr-FR"/>
        </w:rPr>
      </w:pPr>
      <w:r w:rsidRPr="00E00A16">
        <w:rPr>
          <w:lang w:val="fr-FR"/>
        </w:rPr>
        <w:t>Lorsqu</w:t>
      </w:r>
      <w:r w:rsidR="00582008" w:rsidRPr="00E00A16">
        <w:rPr>
          <w:lang w:val="fr-FR"/>
        </w:rPr>
        <w:t>’</w:t>
      </w:r>
      <w:r w:rsidRPr="00E00A16">
        <w:rPr>
          <w:lang w:val="fr-FR"/>
        </w:rPr>
        <w:t>il a enregistré la communication le 22</w:t>
      </w:r>
      <w:r w:rsidR="00714A14" w:rsidRPr="00E00A16">
        <w:rPr>
          <w:lang w:val="fr-FR"/>
        </w:rPr>
        <w:t xml:space="preserve"> </w:t>
      </w:r>
      <w:r w:rsidRPr="00E00A16">
        <w:rPr>
          <w:lang w:val="fr-FR"/>
        </w:rPr>
        <w:t>septembre 2015, le Comité, agissant en vertu de l</w:t>
      </w:r>
      <w:r w:rsidR="00582008" w:rsidRPr="00E00A16">
        <w:rPr>
          <w:lang w:val="fr-FR"/>
        </w:rPr>
        <w:t>’</w:t>
      </w:r>
      <w:r w:rsidRPr="00E00A16">
        <w:rPr>
          <w:lang w:val="fr-FR"/>
        </w:rPr>
        <w:t>article</w:t>
      </w:r>
      <w:r w:rsidR="00714A14" w:rsidRPr="00E00A16">
        <w:rPr>
          <w:lang w:val="fr-FR"/>
        </w:rPr>
        <w:t xml:space="preserve"> </w:t>
      </w:r>
      <w:r w:rsidRPr="00E00A16">
        <w:rPr>
          <w:lang w:val="fr-FR"/>
        </w:rPr>
        <w:t>5 du Protocole facultatif et de l</w:t>
      </w:r>
      <w:r w:rsidR="00582008" w:rsidRPr="00E00A16">
        <w:rPr>
          <w:lang w:val="fr-FR"/>
        </w:rPr>
        <w:t>’</w:t>
      </w:r>
      <w:r w:rsidRPr="00E00A16">
        <w:rPr>
          <w:lang w:val="fr-FR"/>
        </w:rPr>
        <w:t>article</w:t>
      </w:r>
      <w:r w:rsidR="00714A14" w:rsidRPr="00E00A16">
        <w:rPr>
          <w:lang w:val="fr-FR"/>
        </w:rPr>
        <w:t xml:space="preserve"> </w:t>
      </w:r>
      <w:r w:rsidRPr="00E00A16">
        <w:rPr>
          <w:lang w:val="fr-FR"/>
        </w:rPr>
        <w:t>63 de son règlement intérieur, a demandé à l</w:t>
      </w:r>
      <w:r w:rsidR="00582008" w:rsidRPr="00E00A16">
        <w:rPr>
          <w:lang w:val="fr-FR"/>
        </w:rPr>
        <w:t>’</w:t>
      </w:r>
      <w:r w:rsidRPr="00E00A16">
        <w:rPr>
          <w:lang w:val="fr-FR"/>
        </w:rPr>
        <w:t>État partie de surseoir à l</w:t>
      </w:r>
      <w:r w:rsidR="00582008" w:rsidRPr="00E00A16">
        <w:rPr>
          <w:lang w:val="fr-FR"/>
        </w:rPr>
        <w:t>’</w:t>
      </w:r>
      <w:r w:rsidRPr="00E00A16">
        <w:rPr>
          <w:lang w:val="fr-FR"/>
        </w:rPr>
        <w:t>expulsion de l</w:t>
      </w:r>
      <w:r w:rsidR="00582008" w:rsidRPr="00E00A16">
        <w:rPr>
          <w:lang w:val="fr-FR"/>
        </w:rPr>
        <w:t>’</w:t>
      </w:r>
      <w:r w:rsidRPr="00E00A16">
        <w:rPr>
          <w:lang w:val="fr-FR"/>
        </w:rPr>
        <w:t>auteure tant que sa communication serait à l</w:t>
      </w:r>
      <w:r w:rsidR="00582008" w:rsidRPr="00E00A16">
        <w:rPr>
          <w:lang w:val="fr-FR"/>
        </w:rPr>
        <w:t>’</w:t>
      </w:r>
      <w:r w:rsidRPr="00E00A16">
        <w:rPr>
          <w:lang w:val="fr-FR"/>
        </w:rPr>
        <w:t>examen. Le 24</w:t>
      </w:r>
      <w:r w:rsidR="00714A14" w:rsidRPr="00E00A16">
        <w:rPr>
          <w:lang w:val="fr-FR"/>
        </w:rPr>
        <w:t xml:space="preserve"> </w:t>
      </w:r>
      <w:r w:rsidRPr="00E00A16">
        <w:rPr>
          <w:lang w:val="fr-FR"/>
        </w:rPr>
        <w:t>septembre 2015, la Commission danoise des recours des réfugiés a suspendu la procédure d</w:t>
      </w:r>
      <w:r w:rsidR="00582008" w:rsidRPr="00E00A16">
        <w:rPr>
          <w:lang w:val="fr-FR"/>
        </w:rPr>
        <w:t>’</w:t>
      </w:r>
      <w:r w:rsidRPr="00E00A16">
        <w:rPr>
          <w:lang w:val="fr-FR"/>
        </w:rPr>
        <w:t>expulsion engagée contre l</w:t>
      </w:r>
      <w:r w:rsidR="00582008" w:rsidRPr="00E00A16">
        <w:rPr>
          <w:lang w:val="fr-FR"/>
        </w:rPr>
        <w:t>’</w:t>
      </w:r>
      <w:r w:rsidRPr="00E00A16">
        <w:rPr>
          <w:lang w:val="fr-FR"/>
        </w:rPr>
        <w:t>auteure.</w:t>
      </w:r>
    </w:p>
    <w:p w14:paraId="102B2B91" w14:textId="77777777" w:rsidR="00704AC4" w:rsidRPr="00E00A16" w:rsidRDefault="00704AC4" w:rsidP="00704AC4">
      <w:pPr>
        <w:pStyle w:val="SingleTxt"/>
        <w:spacing w:after="0" w:line="120" w:lineRule="exact"/>
        <w:rPr>
          <w:b/>
          <w:sz w:val="10"/>
          <w:lang w:val="fr-FR"/>
        </w:rPr>
      </w:pPr>
    </w:p>
    <w:p w14:paraId="328D88B7" w14:textId="33D7909B"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Rappel des faits présentés par l</w:t>
      </w:r>
      <w:r w:rsidR="00582008" w:rsidRPr="00E00A16">
        <w:rPr>
          <w:lang w:val="fr-FR"/>
        </w:rPr>
        <w:t>’</w:t>
      </w:r>
      <w:r w:rsidRPr="00E00A16">
        <w:rPr>
          <w:lang w:val="fr-FR"/>
        </w:rPr>
        <w:t>auteure</w:t>
      </w:r>
    </w:p>
    <w:p w14:paraId="3AAE8A45" w14:textId="77777777" w:rsidR="00704AC4" w:rsidRPr="00E00A16" w:rsidRDefault="00704AC4" w:rsidP="00704AC4">
      <w:pPr>
        <w:pStyle w:val="SingleTxt"/>
        <w:spacing w:after="0" w:line="120" w:lineRule="exact"/>
        <w:rPr>
          <w:sz w:val="10"/>
          <w:lang w:val="fr-FR"/>
        </w:rPr>
      </w:pPr>
    </w:p>
    <w:p w14:paraId="7AC29A89" w14:textId="4F62C3F4" w:rsidR="00704AC4" w:rsidRPr="00E12237" w:rsidRDefault="00704AC4" w:rsidP="00E00A16">
      <w:pPr>
        <w:pStyle w:val="SingleTxt"/>
        <w:numPr>
          <w:ilvl w:val="0"/>
          <w:numId w:val="33"/>
        </w:numPr>
        <w:tabs>
          <w:tab w:val="left" w:pos="1440"/>
        </w:tabs>
        <w:spacing w:line="240" w:lineRule="exact"/>
        <w:rPr>
          <w:lang w:val="fr-FR"/>
        </w:rPr>
      </w:pPr>
      <w:r w:rsidRPr="00E00A16">
        <w:rPr>
          <w:lang w:val="fr-FR"/>
        </w:rPr>
        <w:t>Avant son arrivée au Danemark, l</w:t>
      </w:r>
      <w:r w:rsidR="00582008" w:rsidRPr="00E00A16">
        <w:rPr>
          <w:lang w:val="fr-FR"/>
        </w:rPr>
        <w:t>’</w:t>
      </w:r>
      <w:r w:rsidRPr="00E00A16">
        <w:rPr>
          <w:lang w:val="fr-FR"/>
        </w:rPr>
        <w:t>auteure vivait dans une petite ville près de</w:t>
      </w:r>
      <w:r w:rsidR="00714A14" w:rsidRPr="00E00A16">
        <w:rPr>
          <w:lang w:val="fr-FR"/>
        </w:rPr>
        <w:t xml:space="preserve"> </w:t>
      </w:r>
      <w:r w:rsidRPr="00E00A16">
        <w:rPr>
          <w:lang w:val="fr-FR"/>
        </w:rPr>
        <w:t>Grozny. Elle était étudiante en médecine depuis environ un an lorsque le conflit armé a éclaté en Tchétchénie</w:t>
      </w:r>
      <w:r w:rsidRPr="00E12237">
        <w:rPr>
          <w:vertAlign w:val="superscript"/>
          <w:lang w:val="fr-FR"/>
        </w:rPr>
        <w:footnoteReference w:id="3"/>
      </w:r>
      <w:r w:rsidRPr="00E12237">
        <w:rPr>
          <w:lang w:val="fr-FR"/>
        </w:rPr>
        <w:t>. Elle n</w:t>
      </w:r>
      <w:r w:rsidR="00582008" w:rsidRPr="00E12237">
        <w:rPr>
          <w:lang w:val="fr-FR"/>
        </w:rPr>
        <w:t>’</w:t>
      </w:r>
      <w:r w:rsidRPr="00E12237">
        <w:rPr>
          <w:lang w:val="fr-FR"/>
        </w:rPr>
        <w:t>était membre d</w:t>
      </w:r>
      <w:r w:rsidR="00582008" w:rsidRPr="00185A46">
        <w:rPr>
          <w:lang w:val="fr-FR"/>
        </w:rPr>
        <w:t>’</w:t>
      </w:r>
      <w:r w:rsidRPr="007815D5">
        <w:rPr>
          <w:lang w:val="fr-FR"/>
        </w:rPr>
        <w:t>aucune organisation politique ou religieuse et ne soutenait pas le mouvement rebelle tchétchène. Toutefois, son co</w:t>
      </w:r>
      <w:r w:rsidRPr="00E00A16">
        <w:rPr>
          <w:lang w:val="fr-FR"/>
        </w:rPr>
        <w:t>usin faisait partie du mouvement</w:t>
      </w:r>
      <w:r w:rsidRPr="00E12237">
        <w:rPr>
          <w:vertAlign w:val="superscript"/>
          <w:lang w:val="fr-FR"/>
        </w:rPr>
        <w:footnoteReference w:id="4"/>
      </w:r>
      <w:r w:rsidRPr="00E12237">
        <w:rPr>
          <w:lang w:val="fr-FR"/>
        </w:rPr>
        <w:t>.</w:t>
      </w:r>
    </w:p>
    <w:p w14:paraId="16AF739B" w14:textId="6F167BCF" w:rsidR="00704AC4" w:rsidRPr="00E00A16" w:rsidRDefault="00704AC4" w:rsidP="00704AC4">
      <w:pPr>
        <w:pStyle w:val="SingleTxt"/>
        <w:numPr>
          <w:ilvl w:val="0"/>
          <w:numId w:val="33"/>
        </w:numPr>
        <w:tabs>
          <w:tab w:val="left" w:pos="1742"/>
        </w:tabs>
        <w:spacing w:line="240" w:lineRule="exact"/>
        <w:rPr>
          <w:lang w:val="fr-FR"/>
        </w:rPr>
      </w:pPr>
      <w:r w:rsidRPr="00E00A16">
        <w:rPr>
          <w:lang w:val="fr-FR"/>
        </w:rPr>
        <w:t>En juin 2014, l</w:t>
      </w:r>
      <w:r w:rsidR="00582008" w:rsidRPr="00E00A16">
        <w:rPr>
          <w:lang w:val="fr-FR"/>
        </w:rPr>
        <w:t>’</w:t>
      </w:r>
      <w:r w:rsidRPr="00E00A16">
        <w:rPr>
          <w:lang w:val="fr-FR"/>
        </w:rPr>
        <w:t>auteure s</w:t>
      </w:r>
      <w:r w:rsidR="00582008" w:rsidRPr="00E00A16">
        <w:rPr>
          <w:lang w:val="fr-FR"/>
        </w:rPr>
        <w:t>’</w:t>
      </w:r>
      <w:r w:rsidRPr="00E00A16">
        <w:rPr>
          <w:lang w:val="fr-FR"/>
        </w:rPr>
        <w:t>est vu demander par sa tante de soigner son cousin, qui avait été blessé par balle à la jambe. Elle n</w:t>
      </w:r>
      <w:r w:rsidR="00582008" w:rsidRPr="00E00A16">
        <w:rPr>
          <w:lang w:val="fr-FR"/>
        </w:rPr>
        <w:t>’</w:t>
      </w:r>
      <w:r w:rsidRPr="00E00A16">
        <w:rPr>
          <w:lang w:val="fr-FR"/>
        </w:rPr>
        <w:t>a pas pu prodiguer à celui-ci les soins nécessaires et a conseillé de l</w:t>
      </w:r>
      <w:r w:rsidR="00582008" w:rsidRPr="00E00A16">
        <w:rPr>
          <w:lang w:val="fr-FR"/>
        </w:rPr>
        <w:t>’</w:t>
      </w:r>
      <w:r w:rsidRPr="00E00A16">
        <w:rPr>
          <w:lang w:val="fr-FR"/>
        </w:rPr>
        <w:t>emmener à l</w:t>
      </w:r>
      <w:r w:rsidR="00582008" w:rsidRPr="00E00A16">
        <w:rPr>
          <w:lang w:val="fr-FR"/>
        </w:rPr>
        <w:t>’</w:t>
      </w:r>
      <w:r w:rsidRPr="00E00A16">
        <w:rPr>
          <w:lang w:val="fr-FR"/>
        </w:rPr>
        <w:t>hôpital, mais son oncle a refusé, pensant que l</w:t>
      </w:r>
      <w:r w:rsidR="00582008" w:rsidRPr="00E00A16">
        <w:rPr>
          <w:lang w:val="fr-FR"/>
        </w:rPr>
        <w:t>’</w:t>
      </w:r>
      <w:r w:rsidRPr="00E00A16">
        <w:rPr>
          <w:lang w:val="fr-FR"/>
        </w:rPr>
        <w:t>intéressé serait arrêté parce que c</w:t>
      </w:r>
      <w:r w:rsidR="00582008" w:rsidRPr="00E00A16">
        <w:rPr>
          <w:lang w:val="fr-FR"/>
        </w:rPr>
        <w:t>’</w:t>
      </w:r>
      <w:r w:rsidRPr="00E00A16">
        <w:rPr>
          <w:lang w:val="fr-FR"/>
        </w:rPr>
        <w:t>était un rebelle. L</w:t>
      </w:r>
      <w:r w:rsidR="00582008" w:rsidRPr="00E00A16">
        <w:rPr>
          <w:lang w:val="fr-FR"/>
        </w:rPr>
        <w:t>’</w:t>
      </w:r>
      <w:r w:rsidRPr="00E00A16">
        <w:rPr>
          <w:lang w:val="fr-FR"/>
        </w:rPr>
        <w:t>auteure a donné à son oncle et sa tante le numéro de téléphone de la mère d</w:t>
      </w:r>
      <w:r w:rsidR="00582008" w:rsidRPr="00E00A16">
        <w:rPr>
          <w:lang w:val="fr-FR"/>
        </w:rPr>
        <w:t>’</w:t>
      </w:r>
      <w:r w:rsidRPr="00E00A16">
        <w:rPr>
          <w:lang w:val="fr-FR"/>
        </w:rPr>
        <w:t>un ami, chirurgienne, qui a soigné son cousin le jour même et a dit qu</w:t>
      </w:r>
      <w:r w:rsidR="00582008" w:rsidRPr="00E00A16">
        <w:rPr>
          <w:lang w:val="fr-FR"/>
        </w:rPr>
        <w:t>’</w:t>
      </w:r>
      <w:r w:rsidRPr="00E00A16">
        <w:rPr>
          <w:lang w:val="fr-FR"/>
        </w:rPr>
        <w:t>elle reviendrait s</w:t>
      </w:r>
      <w:r w:rsidR="00582008" w:rsidRPr="00E00A16">
        <w:rPr>
          <w:lang w:val="fr-FR"/>
        </w:rPr>
        <w:t>’</w:t>
      </w:r>
      <w:r w:rsidRPr="00E00A16">
        <w:rPr>
          <w:lang w:val="fr-FR"/>
        </w:rPr>
        <w:t>occuper de lui le lendemain matin, munie de son matériel médical. L</w:t>
      </w:r>
      <w:r w:rsidR="00582008" w:rsidRPr="00E00A16">
        <w:rPr>
          <w:lang w:val="fr-FR"/>
        </w:rPr>
        <w:t>’</w:t>
      </w:r>
      <w:r w:rsidRPr="00E00A16">
        <w:rPr>
          <w:lang w:val="fr-FR"/>
        </w:rPr>
        <w:t>auteure est ensuite rentrée chez elle. Le lendemain, au petit matin, les autorités sont venues l</w:t>
      </w:r>
      <w:r w:rsidR="00582008" w:rsidRPr="00E00A16">
        <w:rPr>
          <w:lang w:val="fr-FR"/>
        </w:rPr>
        <w:t>’</w:t>
      </w:r>
      <w:r w:rsidRPr="00E00A16">
        <w:rPr>
          <w:lang w:val="fr-FR"/>
        </w:rPr>
        <w:t>arrêter à son domicile, ainsi que son frère cadet, et l</w:t>
      </w:r>
      <w:r w:rsidR="00582008" w:rsidRPr="00E00A16">
        <w:rPr>
          <w:lang w:val="fr-FR"/>
        </w:rPr>
        <w:t>’</w:t>
      </w:r>
      <w:r w:rsidRPr="00E00A16">
        <w:rPr>
          <w:lang w:val="fr-FR"/>
        </w:rPr>
        <w:t>ont placée en détention durant trois jours.</w:t>
      </w:r>
    </w:p>
    <w:p w14:paraId="63F2C245" w14:textId="4F49D1C4" w:rsidR="00704AC4" w:rsidRPr="00E00A16" w:rsidRDefault="00704AC4" w:rsidP="00704AC4">
      <w:pPr>
        <w:pStyle w:val="SingleTxt"/>
        <w:numPr>
          <w:ilvl w:val="0"/>
          <w:numId w:val="33"/>
        </w:numPr>
        <w:tabs>
          <w:tab w:val="left" w:pos="1742"/>
        </w:tabs>
        <w:spacing w:line="240" w:lineRule="exact"/>
        <w:rPr>
          <w:lang w:val="fr-FR"/>
        </w:rPr>
      </w:pPr>
      <w:r w:rsidRPr="00E00A16">
        <w:rPr>
          <w:lang w:val="fr-FR"/>
        </w:rPr>
        <w:t>En détention, l</w:t>
      </w:r>
      <w:r w:rsidR="00582008" w:rsidRPr="00E00A16">
        <w:rPr>
          <w:lang w:val="fr-FR"/>
        </w:rPr>
        <w:t>’</w:t>
      </w:r>
      <w:r w:rsidRPr="00E00A16">
        <w:rPr>
          <w:lang w:val="fr-FR"/>
        </w:rPr>
        <w:t>auteure a été interrogée, rouée de coups de pied et bousculée. On lui a posé des questions sur les liens qu</w:t>
      </w:r>
      <w:r w:rsidR="00582008" w:rsidRPr="00E00A16">
        <w:rPr>
          <w:lang w:val="fr-FR"/>
        </w:rPr>
        <w:t>’</w:t>
      </w:r>
      <w:r w:rsidRPr="00E00A16">
        <w:rPr>
          <w:lang w:val="fr-FR"/>
        </w:rPr>
        <w:t>elle-même, son frère et son cousin entretenaient avec le « gang », c</w:t>
      </w:r>
      <w:r w:rsidR="00582008" w:rsidRPr="00E00A16">
        <w:rPr>
          <w:lang w:val="fr-FR"/>
        </w:rPr>
        <w:t>’</w:t>
      </w:r>
      <w:r w:rsidRPr="00E00A16">
        <w:rPr>
          <w:lang w:val="fr-FR"/>
        </w:rPr>
        <w:t>est-à-dire le mouvement rebelle tchétchène. L</w:t>
      </w:r>
      <w:r w:rsidR="00582008" w:rsidRPr="00E00A16">
        <w:rPr>
          <w:lang w:val="fr-FR"/>
        </w:rPr>
        <w:t>’</w:t>
      </w:r>
      <w:r w:rsidRPr="00E00A16">
        <w:rPr>
          <w:lang w:val="fr-FR"/>
        </w:rPr>
        <w:t>auteure a nié faire partie d</w:t>
      </w:r>
      <w:r w:rsidR="00582008" w:rsidRPr="00E00A16">
        <w:rPr>
          <w:lang w:val="fr-FR"/>
        </w:rPr>
        <w:t>’</w:t>
      </w:r>
      <w:r w:rsidRPr="00E00A16">
        <w:rPr>
          <w:lang w:val="fr-FR"/>
        </w:rPr>
        <w:t>un quelconque « gang », et les autorités lui ont présenté une « déclaration de coopération » qu</w:t>
      </w:r>
      <w:r w:rsidR="00582008" w:rsidRPr="00E00A16">
        <w:rPr>
          <w:lang w:val="fr-FR"/>
        </w:rPr>
        <w:t>’</w:t>
      </w:r>
      <w:r w:rsidRPr="00E00A16">
        <w:rPr>
          <w:lang w:val="fr-FR"/>
        </w:rPr>
        <w:t xml:space="preserve">elles lui ont dit de signer si elle était innocente. Elle a </w:t>
      </w:r>
      <w:r w:rsidRPr="00E00A16">
        <w:t>signé le document sans en lire le contenu</w:t>
      </w:r>
      <w:r w:rsidRPr="00E12237">
        <w:rPr>
          <w:vertAlign w:val="superscript"/>
        </w:rPr>
        <w:footnoteReference w:id="5"/>
      </w:r>
      <w:r w:rsidRPr="00E12237">
        <w:t>. Au cours de la nuit qui a suivi, la deuxième qu</w:t>
      </w:r>
      <w:r w:rsidR="00582008" w:rsidRPr="00E00A16">
        <w:t>’</w:t>
      </w:r>
      <w:r w:rsidRPr="00E00A16">
        <w:t>elle passait en détention, un homme est entré dans sa cellule et l</w:t>
      </w:r>
      <w:r w:rsidR="00582008" w:rsidRPr="00E00A16">
        <w:t>’</w:t>
      </w:r>
      <w:r w:rsidRPr="00E00A16">
        <w:t>a agressée ver</w:t>
      </w:r>
      <w:r w:rsidRPr="00E00A16">
        <w:rPr>
          <w:lang w:val="fr-FR"/>
        </w:rPr>
        <w:t>balement et sexuellement, lui disant que si elle parlait à qui que ce soit de ce qu</w:t>
      </w:r>
      <w:r w:rsidR="00582008" w:rsidRPr="00E00A16">
        <w:rPr>
          <w:lang w:val="fr-FR"/>
        </w:rPr>
        <w:t>’</w:t>
      </w:r>
      <w:r w:rsidRPr="00E00A16">
        <w:rPr>
          <w:lang w:val="fr-FR"/>
        </w:rPr>
        <w:t>il lui avait fait, elle ne reverrait plus jamais la lumière du jour. Le lendemain, troisième jour de détention de l</w:t>
      </w:r>
      <w:r w:rsidR="00582008" w:rsidRPr="00E00A16">
        <w:rPr>
          <w:lang w:val="fr-FR"/>
        </w:rPr>
        <w:t>’</w:t>
      </w:r>
      <w:r w:rsidRPr="00E00A16">
        <w:rPr>
          <w:lang w:val="fr-FR"/>
        </w:rPr>
        <w:t>auteure, au lieu d</w:t>
      </w:r>
      <w:r w:rsidR="00582008" w:rsidRPr="00E00A16">
        <w:rPr>
          <w:lang w:val="fr-FR"/>
        </w:rPr>
        <w:t>’</w:t>
      </w:r>
      <w:r w:rsidRPr="00E00A16">
        <w:rPr>
          <w:lang w:val="fr-FR"/>
        </w:rPr>
        <w:t>interroger l</w:t>
      </w:r>
      <w:r w:rsidR="00582008" w:rsidRPr="00E00A16">
        <w:rPr>
          <w:lang w:val="fr-FR"/>
        </w:rPr>
        <w:t>’</w:t>
      </w:r>
      <w:r w:rsidRPr="00E00A16">
        <w:rPr>
          <w:lang w:val="fr-FR"/>
        </w:rPr>
        <w:t>intéressée, les autorités lui ont apporté de la nourriture et lui ont promis de la libérer car « sa famille avait été très gentille ». Ce soir-là, l</w:t>
      </w:r>
      <w:r w:rsidR="00582008" w:rsidRPr="00E00A16">
        <w:rPr>
          <w:lang w:val="fr-FR"/>
        </w:rPr>
        <w:t>’</w:t>
      </w:r>
      <w:r w:rsidRPr="00E00A16">
        <w:rPr>
          <w:lang w:val="fr-FR"/>
        </w:rPr>
        <w:t>auteure a été relâchée près d</w:t>
      </w:r>
      <w:r w:rsidR="00582008" w:rsidRPr="00E00A16">
        <w:rPr>
          <w:lang w:val="fr-FR"/>
        </w:rPr>
        <w:t>’</w:t>
      </w:r>
      <w:r w:rsidRPr="00E00A16">
        <w:rPr>
          <w:lang w:val="fr-FR"/>
        </w:rPr>
        <w:t>une mosquée de sa ville, où elle a été accueillie par sa mère et son oncle, qui avaient obtenu sa libération au moyen d</w:t>
      </w:r>
      <w:r w:rsidR="00582008" w:rsidRPr="00E00A16">
        <w:rPr>
          <w:lang w:val="fr-FR"/>
        </w:rPr>
        <w:t>’</w:t>
      </w:r>
      <w:r w:rsidRPr="00E00A16">
        <w:rPr>
          <w:lang w:val="fr-FR"/>
        </w:rPr>
        <w:t>une rançon. Elle a passé la nuit chez sa grand-mère et, le lendemain, a été emmenée chez un autre oncle à l</w:t>
      </w:r>
      <w:r w:rsidR="00582008" w:rsidRPr="00E00A16">
        <w:rPr>
          <w:lang w:val="fr-FR"/>
        </w:rPr>
        <w:t>’</w:t>
      </w:r>
      <w:r w:rsidRPr="00E00A16">
        <w:rPr>
          <w:lang w:val="fr-FR"/>
        </w:rPr>
        <w:t>extérieur de la ville. Après avoir passé un mois et demi à deux mois cachée chez son oncle, elle a quitté la Fédération de Russie le 13 août 2014.</w:t>
      </w:r>
    </w:p>
    <w:p w14:paraId="7313BD69" w14:textId="65A6374E" w:rsidR="00704AC4" w:rsidRPr="00E00A16" w:rsidRDefault="00704AC4" w:rsidP="00704AC4">
      <w:pPr>
        <w:pStyle w:val="SingleTxt"/>
        <w:numPr>
          <w:ilvl w:val="0"/>
          <w:numId w:val="33"/>
        </w:numPr>
        <w:tabs>
          <w:tab w:val="left" w:pos="1742"/>
        </w:tabs>
        <w:spacing w:line="240" w:lineRule="exact"/>
        <w:rPr>
          <w:lang w:val="fr-FR"/>
        </w:rPr>
      </w:pPr>
      <w:r w:rsidRPr="00E00A16">
        <w:rPr>
          <w:lang w:val="fr-FR"/>
        </w:rPr>
        <w:lastRenderedPageBreak/>
        <w:t>L</w:t>
      </w:r>
      <w:r w:rsidR="00582008" w:rsidRPr="00E00A16">
        <w:rPr>
          <w:lang w:val="fr-FR"/>
        </w:rPr>
        <w:t>’</w:t>
      </w:r>
      <w:r w:rsidRPr="00E00A16">
        <w:rPr>
          <w:lang w:val="fr-FR"/>
        </w:rPr>
        <w:t>auteure soutient que, dans sa culture, être victime de violences sexuelles est synonyme de déshonneur. La nouvelle de son viol s</w:t>
      </w:r>
      <w:r w:rsidR="00582008" w:rsidRPr="00E00A16">
        <w:rPr>
          <w:lang w:val="fr-FR"/>
        </w:rPr>
        <w:t>’</w:t>
      </w:r>
      <w:r w:rsidRPr="00E00A16">
        <w:rPr>
          <w:lang w:val="fr-FR"/>
        </w:rPr>
        <w:t>est propagée dans sa ville, et elle a dès lors été considérée comme une « femme souillée ». Son frère aîné a dit à sa mère que le fait qu</w:t>
      </w:r>
      <w:r w:rsidR="00582008" w:rsidRPr="00E00A16">
        <w:rPr>
          <w:lang w:val="fr-FR"/>
        </w:rPr>
        <w:t>’</w:t>
      </w:r>
      <w:r w:rsidRPr="00E00A16">
        <w:rPr>
          <w:lang w:val="fr-FR"/>
        </w:rPr>
        <w:t>elle ait subi des violences sexuelles avait jeté la honte sur la famille et qu</w:t>
      </w:r>
      <w:r w:rsidR="00582008" w:rsidRPr="00E00A16">
        <w:rPr>
          <w:lang w:val="fr-FR"/>
        </w:rPr>
        <w:t>’</w:t>
      </w:r>
      <w:r w:rsidRPr="00E00A16">
        <w:rPr>
          <w:lang w:val="fr-FR"/>
        </w:rPr>
        <w:t>il allait la tuer pour rétablir leur honneur, une pratique connue sous le nom de « crime d</w:t>
      </w:r>
      <w:r w:rsidR="00582008" w:rsidRPr="00E00A16">
        <w:rPr>
          <w:lang w:val="fr-FR"/>
        </w:rPr>
        <w:t>’</w:t>
      </w:r>
      <w:r w:rsidRPr="00E00A16">
        <w:rPr>
          <w:lang w:val="fr-FR"/>
        </w:rPr>
        <w:t>honneur ». L</w:t>
      </w:r>
      <w:r w:rsidR="00582008" w:rsidRPr="00E00A16">
        <w:rPr>
          <w:lang w:val="fr-FR"/>
        </w:rPr>
        <w:t>’</w:t>
      </w:r>
      <w:r w:rsidRPr="00E00A16">
        <w:rPr>
          <w:lang w:val="fr-FR"/>
        </w:rPr>
        <w:t>auteure soutient également qu</w:t>
      </w:r>
      <w:r w:rsidR="00582008" w:rsidRPr="00E00A16">
        <w:rPr>
          <w:lang w:val="fr-FR"/>
        </w:rPr>
        <w:t>’</w:t>
      </w:r>
      <w:r w:rsidRPr="00E00A16">
        <w:rPr>
          <w:lang w:val="fr-FR"/>
        </w:rPr>
        <w:t>elle a peur de retourner dans sa ville car il lui semble que le document qu</w:t>
      </w:r>
      <w:r w:rsidR="00582008" w:rsidRPr="00E00A16">
        <w:rPr>
          <w:lang w:val="fr-FR"/>
        </w:rPr>
        <w:t>’</w:t>
      </w:r>
      <w:r w:rsidRPr="00E00A16">
        <w:rPr>
          <w:lang w:val="fr-FR"/>
        </w:rPr>
        <w:t>elle a signé indique qu</w:t>
      </w:r>
      <w:r w:rsidR="00582008" w:rsidRPr="00E00A16">
        <w:rPr>
          <w:lang w:val="fr-FR"/>
        </w:rPr>
        <w:t>’</w:t>
      </w:r>
      <w:r w:rsidRPr="00E00A16">
        <w:rPr>
          <w:lang w:val="fr-FR"/>
        </w:rPr>
        <w:t>elle a collaboré avec les autorités tchétchènes.</w:t>
      </w:r>
    </w:p>
    <w:p w14:paraId="57565802" w14:textId="793A104E" w:rsidR="00704AC4" w:rsidRPr="00E00A16" w:rsidRDefault="00704AC4" w:rsidP="00704AC4">
      <w:pPr>
        <w:pStyle w:val="SingleTxt"/>
        <w:numPr>
          <w:ilvl w:val="0"/>
          <w:numId w:val="33"/>
        </w:numPr>
        <w:tabs>
          <w:tab w:val="left" w:pos="1742"/>
        </w:tabs>
        <w:spacing w:line="240" w:lineRule="exact"/>
        <w:rPr>
          <w:lang w:val="fr-FR"/>
        </w:rPr>
      </w:pPr>
      <w:r w:rsidRPr="00E00A16">
        <w:rPr>
          <w:lang w:val="fr-FR"/>
        </w:rPr>
        <w:t>Le 15</w:t>
      </w:r>
      <w:r w:rsidR="00592F39">
        <w:rPr>
          <w:lang w:val="fr-FR"/>
        </w:rPr>
        <w:t xml:space="preserve"> </w:t>
      </w:r>
      <w:r w:rsidRPr="00E00A16">
        <w:rPr>
          <w:lang w:val="fr-FR"/>
        </w:rPr>
        <w:t>août 2014, l</w:t>
      </w:r>
      <w:r w:rsidR="00582008" w:rsidRPr="00E00A16">
        <w:rPr>
          <w:lang w:val="fr-FR"/>
        </w:rPr>
        <w:t>’</w:t>
      </w:r>
      <w:r w:rsidRPr="00E00A16">
        <w:rPr>
          <w:lang w:val="fr-FR"/>
        </w:rPr>
        <w:t>auteure est arrivée au Danemark et a présenté une demande d</w:t>
      </w:r>
      <w:r w:rsidR="00582008" w:rsidRPr="00E00A16">
        <w:rPr>
          <w:lang w:val="fr-FR"/>
        </w:rPr>
        <w:t>’</w:t>
      </w:r>
      <w:r w:rsidRPr="00E00A16">
        <w:rPr>
          <w:lang w:val="fr-FR"/>
        </w:rPr>
        <w:t>asile. Le 30</w:t>
      </w:r>
      <w:r w:rsidR="00592F39">
        <w:rPr>
          <w:lang w:val="fr-FR"/>
        </w:rPr>
        <w:t xml:space="preserve"> </w:t>
      </w:r>
      <w:r w:rsidRPr="00E00A16">
        <w:rPr>
          <w:lang w:val="fr-FR"/>
        </w:rPr>
        <w:t>janvier et le 18</w:t>
      </w:r>
      <w:r w:rsidR="00592F39">
        <w:rPr>
          <w:lang w:val="fr-FR"/>
        </w:rPr>
        <w:t xml:space="preserve"> </w:t>
      </w:r>
      <w:r w:rsidRPr="00E00A16">
        <w:rPr>
          <w:lang w:val="fr-FR"/>
        </w:rPr>
        <w:t>juin 2015, elle a été interrogée par le Service danois de l</w:t>
      </w:r>
      <w:r w:rsidR="00582008" w:rsidRPr="00E00A16">
        <w:rPr>
          <w:lang w:val="fr-FR"/>
        </w:rPr>
        <w:t>’</w:t>
      </w:r>
      <w:r w:rsidRPr="00E00A16">
        <w:rPr>
          <w:lang w:val="fr-FR"/>
        </w:rPr>
        <w:t>immigration. Le 26</w:t>
      </w:r>
      <w:r w:rsidR="00592F39">
        <w:rPr>
          <w:lang w:val="fr-FR"/>
        </w:rPr>
        <w:t xml:space="preserve"> </w:t>
      </w:r>
      <w:r w:rsidRPr="00E00A16">
        <w:rPr>
          <w:lang w:val="fr-FR"/>
        </w:rPr>
        <w:t>juin 2015, le Service a rejeté sa demande d</w:t>
      </w:r>
      <w:r w:rsidR="00582008" w:rsidRPr="00E00A16">
        <w:rPr>
          <w:lang w:val="fr-FR"/>
        </w:rPr>
        <w:t>’</w:t>
      </w:r>
      <w:r w:rsidRPr="00E00A16">
        <w:rPr>
          <w:lang w:val="fr-FR"/>
        </w:rPr>
        <w:t>asile, estimant qu</w:t>
      </w:r>
      <w:r w:rsidR="00582008" w:rsidRPr="00E00A16">
        <w:rPr>
          <w:lang w:val="fr-FR"/>
        </w:rPr>
        <w:t>’</w:t>
      </w:r>
      <w:r w:rsidRPr="00E00A16">
        <w:rPr>
          <w:lang w:val="fr-FR"/>
        </w:rPr>
        <w:t>elle ne remplissait pas les conditions posées aux articles 7 et 31 de la loi sur les étrangers en ce qu</w:t>
      </w:r>
      <w:r w:rsidR="00582008" w:rsidRPr="00E00A16">
        <w:rPr>
          <w:lang w:val="fr-FR"/>
        </w:rPr>
        <w:t>’</w:t>
      </w:r>
      <w:r w:rsidRPr="00E00A16">
        <w:rPr>
          <w:lang w:val="fr-FR"/>
        </w:rPr>
        <w:t>elle ne risquait pas d</w:t>
      </w:r>
      <w:r w:rsidR="00582008" w:rsidRPr="00E00A16">
        <w:rPr>
          <w:lang w:val="fr-FR"/>
        </w:rPr>
        <w:t>’</w:t>
      </w:r>
      <w:r w:rsidRPr="00E00A16">
        <w:rPr>
          <w:lang w:val="fr-FR"/>
        </w:rPr>
        <w:t>être persécutée, condamnée à mort, torturée ou soumise à des peines ou traitements inhumains ou dégradants si elle était renvoyée en Fédération de Russie. Le Service a estimé que le récit de l</w:t>
      </w:r>
      <w:r w:rsidR="00582008" w:rsidRPr="00E00A16">
        <w:rPr>
          <w:lang w:val="fr-FR"/>
        </w:rPr>
        <w:t>’</w:t>
      </w:r>
      <w:r w:rsidRPr="00E00A16">
        <w:rPr>
          <w:lang w:val="fr-FR"/>
        </w:rPr>
        <w:t>auteure semblait fabriqué de toutes pièces et était improbable, n</w:t>
      </w:r>
      <w:r w:rsidR="00582008" w:rsidRPr="00E00A16">
        <w:rPr>
          <w:lang w:val="fr-FR"/>
        </w:rPr>
        <w:t>’</w:t>
      </w:r>
      <w:r w:rsidRPr="00E00A16">
        <w:rPr>
          <w:lang w:val="fr-FR"/>
        </w:rPr>
        <w:t>a pas retenu l</w:t>
      </w:r>
      <w:r w:rsidR="00582008" w:rsidRPr="00E00A16">
        <w:rPr>
          <w:lang w:val="fr-FR"/>
        </w:rPr>
        <w:t>’</w:t>
      </w:r>
      <w:r w:rsidRPr="00E00A16">
        <w:rPr>
          <w:lang w:val="fr-FR"/>
        </w:rPr>
        <w:t>argument selon lequel la nouvelle des violences sexuelles subies s</w:t>
      </w:r>
      <w:r w:rsidR="00582008" w:rsidRPr="00E00A16">
        <w:rPr>
          <w:lang w:val="fr-FR"/>
        </w:rPr>
        <w:t>’</w:t>
      </w:r>
      <w:r w:rsidRPr="00E00A16">
        <w:rPr>
          <w:lang w:val="fr-FR"/>
        </w:rPr>
        <w:t>était largement répandue au sein de la communauté de l</w:t>
      </w:r>
      <w:r w:rsidR="00582008" w:rsidRPr="00E00A16">
        <w:rPr>
          <w:lang w:val="fr-FR"/>
        </w:rPr>
        <w:t>’</w:t>
      </w:r>
      <w:r w:rsidRPr="00E00A16">
        <w:rPr>
          <w:lang w:val="fr-FR"/>
        </w:rPr>
        <w:t>intéressée</w:t>
      </w:r>
      <w:r w:rsidRPr="00E12237">
        <w:rPr>
          <w:vertAlign w:val="superscript"/>
          <w:lang w:val="fr-FR"/>
        </w:rPr>
        <w:footnoteReference w:id="6"/>
      </w:r>
      <w:r w:rsidRPr="00E12237">
        <w:rPr>
          <w:lang w:val="fr-FR"/>
        </w:rPr>
        <w:t xml:space="preserve"> et a conclu que celle-ci ne risquait pas d</w:t>
      </w:r>
      <w:r w:rsidR="00582008" w:rsidRPr="00E12237">
        <w:rPr>
          <w:lang w:val="fr-FR"/>
        </w:rPr>
        <w:t>’</w:t>
      </w:r>
      <w:r w:rsidRPr="00E12237">
        <w:rPr>
          <w:lang w:val="fr-FR"/>
        </w:rPr>
        <w:t>être personnellement et spécialement prise pour cible par les autorités tchétchènes</w:t>
      </w:r>
      <w:r w:rsidRPr="00E12237">
        <w:rPr>
          <w:vertAlign w:val="superscript"/>
          <w:lang w:val="fr-FR"/>
        </w:rPr>
        <w:footnoteReference w:id="7"/>
      </w:r>
      <w:r w:rsidRPr="00E12237">
        <w:rPr>
          <w:lang w:val="fr-FR"/>
        </w:rPr>
        <w:t xml:space="preserve">. Le </w:t>
      </w:r>
      <w:r w:rsidRPr="00E00A16">
        <w:rPr>
          <w:lang w:val="fr-FR"/>
        </w:rPr>
        <w:t>19 août 2015, l</w:t>
      </w:r>
      <w:r w:rsidR="00582008" w:rsidRPr="00E00A16">
        <w:rPr>
          <w:lang w:val="fr-FR"/>
        </w:rPr>
        <w:t>’</w:t>
      </w:r>
      <w:r w:rsidRPr="00E00A16">
        <w:rPr>
          <w:lang w:val="fr-FR"/>
        </w:rPr>
        <w:t>auteure a interjeté appel devant la Commission des recours des réfugiés. Le 31 août 2015, la Commission l</w:t>
      </w:r>
      <w:r w:rsidR="00582008" w:rsidRPr="00E00A16">
        <w:rPr>
          <w:lang w:val="fr-FR"/>
        </w:rPr>
        <w:t>’</w:t>
      </w:r>
      <w:r w:rsidRPr="00E00A16">
        <w:rPr>
          <w:lang w:val="fr-FR"/>
        </w:rPr>
        <w:t>a déboutée, estimant qu</w:t>
      </w:r>
      <w:r w:rsidR="00582008" w:rsidRPr="00E00A16">
        <w:rPr>
          <w:lang w:val="fr-FR"/>
        </w:rPr>
        <w:t>’</w:t>
      </w:r>
      <w:r w:rsidRPr="00E00A16">
        <w:rPr>
          <w:lang w:val="fr-FR"/>
        </w:rPr>
        <w:t>elle ne serait pas en danger si elle était renvoyée en Fédération de Russie et ne remplissait donc pas les conditions énoncées à l</w:t>
      </w:r>
      <w:r w:rsidR="00582008" w:rsidRPr="00E00A16">
        <w:rPr>
          <w:lang w:val="fr-FR"/>
        </w:rPr>
        <w:t>’</w:t>
      </w:r>
      <w:r w:rsidRPr="00E00A16">
        <w:rPr>
          <w:lang w:val="fr-FR"/>
        </w:rPr>
        <w:t>article 7 de la loi sur les étrangers. La Commission a jugé que le récit de l</w:t>
      </w:r>
      <w:r w:rsidR="00582008" w:rsidRPr="00E00A16">
        <w:rPr>
          <w:lang w:val="fr-FR"/>
        </w:rPr>
        <w:t>’</w:t>
      </w:r>
      <w:r w:rsidRPr="00E00A16">
        <w:rPr>
          <w:lang w:val="fr-FR"/>
        </w:rPr>
        <w:t>auteure était invraisemblable, en particulier les allégations selon lesquelles les autorités tchétchènes continuaient de s</w:t>
      </w:r>
      <w:r w:rsidR="00582008" w:rsidRPr="00E00A16">
        <w:rPr>
          <w:lang w:val="fr-FR"/>
        </w:rPr>
        <w:t>’</w:t>
      </w:r>
      <w:r w:rsidRPr="00E00A16">
        <w:rPr>
          <w:lang w:val="fr-FR"/>
        </w:rPr>
        <w:t>intéresser à elle</w:t>
      </w:r>
      <w:r w:rsidRPr="00E12237">
        <w:rPr>
          <w:vertAlign w:val="superscript"/>
          <w:lang w:val="fr-FR"/>
        </w:rPr>
        <w:footnoteReference w:id="8"/>
      </w:r>
      <w:r w:rsidRPr="00E12237">
        <w:rPr>
          <w:lang w:val="fr-FR"/>
        </w:rPr>
        <w:t xml:space="preserve"> et sa famille la persécuterait</w:t>
      </w:r>
      <w:r w:rsidRPr="00E12237">
        <w:rPr>
          <w:vertAlign w:val="superscript"/>
          <w:lang w:val="fr-FR"/>
        </w:rPr>
        <w:footnoteReference w:id="9"/>
      </w:r>
      <w:r w:rsidRPr="00E12237">
        <w:rPr>
          <w:lang w:val="fr-FR"/>
        </w:rPr>
        <w:t>. En</w:t>
      </w:r>
      <w:r w:rsidR="00714A14" w:rsidRPr="00E12237">
        <w:rPr>
          <w:lang w:val="fr-FR"/>
        </w:rPr>
        <w:t xml:space="preserve"> </w:t>
      </w:r>
      <w:r w:rsidRPr="00E12237">
        <w:rPr>
          <w:lang w:val="fr-FR"/>
        </w:rPr>
        <w:t>application de la décision de la Commission, l</w:t>
      </w:r>
      <w:r w:rsidR="00582008" w:rsidRPr="00185A46">
        <w:rPr>
          <w:lang w:val="fr-FR"/>
        </w:rPr>
        <w:t>’</w:t>
      </w:r>
      <w:r w:rsidRPr="001D5004">
        <w:rPr>
          <w:lang w:val="fr-FR"/>
        </w:rPr>
        <w:t xml:space="preserve">auteure devait quitter le Danemark dans </w:t>
      </w:r>
      <w:r w:rsidRPr="00E00A16">
        <w:rPr>
          <w:lang w:val="fr-FR"/>
        </w:rPr>
        <w:t>un délai de quinze jours.</w:t>
      </w:r>
    </w:p>
    <w:p w14:paraId="267B301A" w14:textId="0DEC1660" w:rsidR="00704AC4" w:rsidRPr="00E00A16" w:rsidRDefault="00704AC4" w:rsidP="00704AC4">
      <w:pPr>
        <w:pStyle w:val="SingleTxt"/>
        <w:numPr>
          <w:ilvl w:val="0"/>
          <w:numId w:val="33"/>
        </w:numPr>
        <w:tabs>
          <w:tab w:val="left" w:pos="1742"/>
        </w:tabs>
        <w:spacing w:line="240" w:lineRule="exact"/>
        <w:rPr>
          <w:lang w:val="fr-FR"/>
        </w:rPr>
      </w:pPr>
      <w:r w:rsidRPr="00E00A16">
        <w:rPr>
          <w:lang w:val="fr-FR"/>
        </w:rPr>
        <w:t>Le Service danois de l</w:t>
      </w:r>
      <w:r w:rsidR="00582008" w:rsidRPr="00E00A16">
        <w:rPr>
          <w:lang w:val="fr-FR"/>
        </w:rPr>
        <w:t>’</w:t>
      </w:r>
      <w:r w:rsidRPr="00E00A16">
        <w:rPr>
          <w:lang w:val="fr-FR"/>
        </w:rPr>
        <w:t>immigration et la Commission des recours des réfugiés ont interrogé l</w:t>
      </w:r>
      <w:r w:rsidR="00582008" w:rsidRPr="00E00A16">
        <w:rPr>
          <w:lang w:val="fr-FR"/>
        </w:rPr>
        <w:t>’</w:t>
      </w:r>
      <w:r w:rsidRPr="00E00A16">
        <w:rPr>
          <w:lang w:val="fr-FR"/>
        </w:rPr>
        <w:t>auteure sur les raisons qui avaient poussé sa mère à réunir des fonds pour lui permettre de fuir la Fédération de Russie, au lieu de s</w:t>
      </w:r>
      <w:r w:rsidR="00582008" w:rsidRPr="00E00A16">
        <w:rPr>
          <w:lang w:val="fr-FR"/>
        </w:rPr>
        <w:t>’</w:t>
      </w:r>
      <w:r w:rsidRPr="00E00A16">
        <w:rPr>
          <w:lang w:val="fr-FR"/>
        </w:rPr>
        <w:t>en servir pour payer la rançon de son frère cadet. D</w:t>
      </w:r>
      <w:r w:rsidR="00582008" w:rsidRPr="00E00A16">
        <w:rPr>
          <w:lang w:val="fr-FR"/>
        </w:rPr>
        <w:t>’</w:t>
      </w:r>
      <w:r w:rsidRPr="00E00A16">
        <w:rPr>
          <w:lang w:val="fr-FR"/>
        </w:rPr>
        <w:t>après l</w:t>
      </w:r>
      <w:r w:rsidR="00582008" w:rsidRPr="00E00A16">
        <w:rPr>
          <w:lang w:val="fr-FR"/>
        </w:rPr>
        <w:t>’</w:t>
      </w:r>
      <w:r w:rsidRPr="00E00A16">
        <w:rPr>
          <w:lang w:val="fr-FR"/>
        </w:rPr>
        <w:t>auteure, sa mère savait à quoi une femme était exposée lorsqu</w:t>
      </w:r>
      <w:r w:rsidR="00582008" w:rsidRPr="00E00A16">
        <w:rPr>
          <w:lang w:val="fr-FR"/>
        </w:rPr>
        <w:t>’</w:t>
      </w:r>
      <w:r w:rsidRPr="00E00A16">
        <w:rPr>
          <w:lang w:val="fr-FR"/>
        </w:rPr>
        <w:t>elle était arrêtée par les autorités et ce qui pouvait arriver si elle était à nouveau arrêtée</w:t>
      </w:r>
      <w:r w:rsidR="00714A14" w:rsidRPr="00E00A16">
        <w:rPr>
          <w:lang w:val="fr-FR"/>
        </w:rPr>
        <w:t> ;</w:t>
      </w:r>
      <w:r w:rsidRPr="00E00A16">
        <w:rPr>
          <w:lang w:val="fr-FR"/>
        </w:rPr>
        <w:t xml:space="preserve"> c</w:t>
      </w:r>
      <w:r w:rsidR="00582008" w:rsidRPr="00E00A16">
        <w:rPr>
          <w:lang w:val="fr-FR"/>
        </w:rPr>
        <w:t>’</w:t>
      </w:r>
      <w:r w:rsidRPr="00E00A16">
        <w:rPr>
          <w:lang w:val="fr-FR"/>
        </w:rPr>
        <w:t>est pourquoi elle estimait qu</w:t>
      </w:r>
      <w:r w:rsidR="00582008" w:rsidRPr="00E00A16">
        <w:rPr>
          <w:lang w:val="fr-FR"/>
        </w:rPr>
        <w:t>’</w:t>
      </w:r>
      <w:r w:rsidRPr="00E00A16">
        <w:rPr>
          <w:lang w:val="fr-FR"/>
        </w:rPr>
        <w:t>il fallait la faire sortir du pays. L</w:t>
      </w:r>
      <w:r w:rsidR="00582008" w:rsidRPr="00E00A16">
        <w:rPr>
          <w:lang w:val="fr-FR"/>
        </w:rPr>
        <w:t>’</w:t>
      </w:r>
      <w:r w:rsidRPr="00E00A16">
        <w:rPr>
          <w:lang w:val="fr-FR"/>
        </w:rPr>
        <w:t>auteure indique que depuis son départ, elle a eu peu de contacts avec sa mère, mais celle-ci l</w:t>
      </w:r>
      <w:r w:rsidR="00582008" w:rsidRPr="00E00A16">
        <w:rPr>
          <w:lang w:val="fr-FR"/>
        </w:rPr>
        <w:t>’</w:t>
      </w:r>
      <w:r w:rsidRPr="00E00A16">
        <w:rPr>
          <w:lang w:val="fr-FR"/>
        </w:rPr>
        <w:t>a informée qu</w:t>
      </w:r>
      <w:r w:rsidR="00582008" w:rsidRPr="00E00A16">
        <w:rPr>
          <w:lang w:val="fr-FR"/>
        </w:rPr>
        <w:t>’</w:t>
      </w:r>
      <w:r w:rsidRPr="00E00A16">
        <w:rPr>
          <w:lang w:val="fr-FR"/>
        </w:rPr>
        <w:t>elle était toujours recherchée et que sa famille recevait encore des convocations à son nom.</w:t>
      </w:r>
    </w:p>
    <w:p w14:paraId="5EF11415" w14:textId="29DF0C35" w:rsidR="00704AC4" w:rsidRPr="00E00A16" w:rsidRDefault="00704AC4" w:rsidP="00704AC4">
      <w:pPr>
        <w:pStyle w:val="SingleTxt"/>
        <w:numPr>
          <w:ilvl w:val="0"/>
          <w:numId w:val="33"/>
        </w:numPr>
        <w:tabs>
          <w:tab w:val="left" w:pos="1742"/>
        </w:tabs>
        <w:spacing w:line="240" w:lineRule="exact"/>
        <w:rPr>
          <w:lang w:val="fr-FR"/>
        </w:rPr>
      </w:pPr>
      <w:bookmarkStart w:id="2" w:name="_GoBack"/>
      <w:r w:rsidRPr="00E00A16">
        <w:rPr>
          <w:lang w:val="fr-FR"/>
        </w:rPr>
        <w:t>L</w:t>
      </w:r>
      <w:r w:rsidR="00582008" w:rsidRPr="00E00A16">
        <w:rPr>
          <w:lang w:val="fr-FR"/>
        </w:rPr>
        <w:t>’</w:t>
      </w:r>
      <w:r w:rsidRPr="00E00A16">
        <w:rPr>
          <w:lang w:val="fr-FR"/>
        </w:rPr>
        <w:t>auteure explique qu</w:t>
      </w:r>
      <w:r w:rsidR="00582008" w:rsidRPr="00E00A16">
        <w:rPr>
          <w:lang w:val="fr-FR"/>
        </w:rPr>
        <w:t>’</w:t>
      </w:r>
      <w:r w:rsidRPr="00E00A16">
        <w:rPr>
          <w:lang w:val="fr-FR"/>
        </w:rPr>
        <w:t xml:space="preserve">elle a épuisé toutes les voies de recours internes car les décisions rendues par la Commission sont définitives et ne sont pas susceptibles </w:t>
      </w:r>
      <w:r w:rsidRPr="00E00A16">
        <w:rPr>
          <w:lang w:val="fr-FR"/>
        </w:rPr>
        <w:lastRenderedPageBreak/>
        <w:t>d</w:t>
      </w:r>
      <w:r w:rsidR="00582008" w:rsidRPr="00E00A16">
        <w:rPr>
          <w:lang w:val="fr-FR"/>
        </w:rPr>
        <w:t>’</w:t>
      </w:r>
      <w:r w:rsidRPr="00E00A16">
        <w:rPr>
          <w:lang w:val="fr-FR"/>
        </w:rPr>
        <w:t>appel devant un tribunal. L</w:t>
      </w:r>
      <w:r w:rsidR="00582008" w:rsidRPr="00E00A16">
        <w:rPr>
          <w:lang w:val="fr-FR"/>
        </w:rPr>
        <w:t>’</w:t>
      </w:r>
      <w:r w:rsidRPr="00E00A16">
        <w:rPr>
          <w:lang w:val="fr-FR"/>
        </w:rPr>
        <w:t>affaire n</w:t>
      </w:r>
      <w:r w:rsidR="00582008" w:rsidRPr="00E00A16">
        <w:rPr>
          <w:lang w:val="fr-FR"/>
        </w:rPr>
        <w:t>’</w:t>
      </w:r>
      <w:r w:rsidRPr="00E00A16">
        <w:rPr>
          <w:lang w:val="fr-FR"/>
        </w:rPr>
        <w:t>est pas déjà en cours d</w:t>
      </w:r>
      <w:r w:rsidR="00582008" w:rsidRPr="00E00A16">
        <w:rPr>
          <w:lang w:val="fr-FR"/>
        </w:rPr>
        <w:t>’</w:t>
      </w:r>
      <w:r w:rsidRPr="00E00A16">
        <w:rPr>
          <w:lang w:val="fr-FR"/>
        </w:rPr>
        <w:t>examen devant une autre instance internationale d</w:t>
      </w:r>
      <w:r w:rsidR="00582008" w:rsidRPr="00E00A16">
        <w:rPr>
          <w:lang w:val="fr-FR"/>
        </w:rPr>
        <w:t>’</w:t>
      </w:r>
      <w:r w:rsidRPr="00E00A16">
        <w:rPr>
          <w:lang w:val="fr-FR"/>
        </w:rPr>
        <w:t>enquête ou de règlement.</w:t>
      </w:r>
    </w:p>
    <w:bookmarkEnd w:id="2"/>
    <w:p w14:paraId="26BB435C" w14:textId="77777777" w:rsidR="00704AC4" w:rsidRPr="00E00A16" w:rsidRDefault="00704AC4" w:rsidP="00704AC4">
      <w:pPr>
        <w:pStyle w:val="SingleTxt"/>
        <w:spacing w:after="0" w:line="120" w:lineRule="exact"/>
        <w:rPr>
          <w:b/>
          <w:sz w:val="10"/>
          <w:lang w:val="fr-FR"/>
        </w:rPr>
      </w:pPr>
    </w:p>
    <w:p w14:paraId="619C6423" w14:textId="5C005669"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Teneur de la plainte</w:t>
      </w:r>
    </w:p>
    <w:p w14:paraId="58297F94" w14:textId="77777777" w:rsidR="00704AC4" w:rsidRPr="00E00A16" w:rsidRDefault="00704AC4" w:rsidP="00704AC4">
      <w:pPr>
        <w:pStyle w:val="SingleTxt"/>
        <w:spacing w:after="0" w:line="120" w:lineRule="exact"/>
        <w:rPr>
          <w:sz w:val="10"/>
          <w:lang w:val="fr-FR"/>
        </w:rPr>
      </w:pPr>
    </w:p>
    <w:p w14:paraId="47BA6BE1" w14:textId="028F04D4" w:rsidR="00704AC4" w:rsidRPr="00E00A16" w:rsidRDefault="00704AC4" w:rsidP="00704AC4">
      <w:pPr>
        <w:pStyle w:val="SingleTxt"/>
        <w:numPr>
          <w:ilvl w:val="0"/>
          <w:numId w:val="34"/>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affirme que son expulsion vers la Fédération de Russie constituerait une violation des droits qui lui sont conférés par les alinéas</w:t>
      </w:r>
      <w:r w:rsidR="001F539B" w:rsidRPr="00E00A16">
        <w:rPr>
          <w:lang w:val="fr-FR"/>
        </w:rPr>
        <w:t xml:space="preserve"> </w:t>
      </w:r>
      <w:r w:rsidRPr="00E00A16">
        <w:rPr>
          <w:lang w:val="fr-FR"/>
        </w:rPr>
        <w:t>c) à f) de l</w:t>
      </w:r>
      <w:r w:rsidR="00582008" w:rsidRPr="00E00A16">
        <w:rPr>
          <w:lang w:val="fr-FR"/>
        </w:rPr>
        <w:t>’</w:t>
      </w:r>
      <w:r w:rsidRPr="00E00A16">
        <w:rPr>
          <w:lang w:val="fr-FR"/>
        </w:rPr>
        <w:t>article</w:t>
      </w:r>
      <w:r w:rsidR="001F539B" w:rsidRPr="00E00A16">
        <w:rPr>
          <w:lang w:val="fr-FR"/>
        </w:rPr>
        <w:t xml:space="preserve"> </w:t>
      </w:r>
      <w:r w:rsidRPr="00E00A16">
        <w:rPr>
          <w:lang w:val="fr-FR"/>
        </w:rPr>
        <w:t>2 et l</w:t>
      </w:r>
      <w:r w:rsidR="00582008" w:rsidRPr="00E00A16">
        <w:rPr>
          <w:lang w:val="fr-FR"/>
        </w:rPr>
        <w:t>’</w:t>
      </w:r>
      <w:r w:rsidRPr="00E00A16">
        <w:rPr>
          <w:lang w:val="fr-FR"/>
        </w:rPr>
        <w:t>alinéa</w:t>
      </w:r>
      <w:r w:rsidR="001F539B" w:rsidRPr="00E00A16">
        <w:rPr>
          <w:lang w:val="fr-FR"/>
        </w:rPr>
        <w:t xml:space="preserve"> </w:t>
      </w:r>
      <w:r w:rsidRPr="00E00A16">
        <w:rPr>
          <w:lang w:val="fr-FR"/>
        </w:rPr>
        <w:t>a) de l</w:t>
      </w:r>
      <w:r w:rsidR="00582008" w:rsidRPr="00E00A16">
        <w:rPr>
          <w:lang w:val="fr-FR"/>
        </w:rPr>
        <w:t>’</w:t>
      </w:r>
      <w:r w:rsidRPr="00E00A16">
        <w:rPr>
          <w:lang w:val="fr-FR"/>
        </w:rPr>
        <w:t>article</w:t>
      </w:r>
      <w:r w:rsidR="001F539B" w:rsidRPr="00E00A16">
        <w:rPr>
          <w:lang w:val="fr-FR"/>
        </w:rPr>
        <w:t xml:space="preserve"> </w:t>
      </w:r>
      <w:r w:rsidRPr="00E00A16">
        <w:rPr>
          <w:lang w:val="fr-FR"/>
        </w:rPr>
        <w:t>5 de la Convention.</w:t>
      </w:r>
    </w:p>
    <w:p w14:paraId="55C9766C" w14:textId="4F534ADD" w:rsidR="00704AC4" w:rsidRPr="00E00A16" w:rsidRDefault="00704AC4" w:rsidP="00704AC4">
      <w:pPr>
        <w:pStyle w:val="SingleTxt"/>
        <w:numPr>
          <w:ilvl w:val="0"/>
          <w:numId w:val="34"/>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affirme que son expulsion constituerait une violation par l</w:t>
      </w:r>
      <w:r w:rsidR="00582008" w:rsidRPr="00E00A16">
        <w:rPr>
          <w:lang w:val="fr-FR"/>
        </w:rPr>
        <w:t>’</w:t>
      </w:r>
      <w:r w:rsidRPr="00E00A16">
        <w:rPr>
          <w:lang w:val="fr-FR"/>
        </w:rPr>
        <w:t>État partie des alinéas</w:t>
      </w:r>
      <w:r w:rsidR="001F539B" w:rsidRPr="00E00A16">
        <w:rPr>
          <w:lang w:val="fr-FR"/>
        </w:rPr>
        <w:t xml:space="preserve"> </w:t>
      </w:r>
      <w:r w:rsidRPr="00E00A16">
        <w:rPr>
          <w:lang w:val="fr-FR"/>
        </w:rPr>
        <w:t>c) et d) de l</w:t>
      </w:r>
      <w:r w:rsidR="00582008" w:rsidRPr="00E00A16">
        <w:rPr>
          <w:lang w:val="fr-FR"/>
        </w:rPr>
        <w:t>’</w:t>
      </w:r>
      <w:r w:rsidRPr="00E00A16">
        <w:rPr>
          <w:lang w:val="fr-FR"/>
        </w:rPr>
        <w:t>article</w:t>
      </w:r>
      <w:r w:rsidR="001F539B" w:rsidRPr="00E00A16">
        <w:rPr>
          <w:lang w:val="fr-FR"/>
        </w:rPr>
        <w:t xml:space="preserve"> </w:t>
      </w:r>
      <w:r w:rsidRPr="00E00A16">
        <w:rPr>
          <w:lang w:val="fr-FR"/>
        </w:rPr>
        <w:t>2 de la Convention car elle a informé les autorités danoises que les autorités tchétchènes la considéraient comme une personne qui aidait le mouvement rebelle tchétchène, dont fait partie son cousin. Elle se réfère à un rapport établi par le</w:t>
      </w:r>
      <w:r w:rsidR="001F539B" w:rsidRPr="00E00A16">
        <w:rPr>
          <w:lang w:val="fr-FR"/>
        </w:rPr>
        <w:t xml:space="preserve"> </w:t>
      </w:r>
      <w:r w:rsidRPr="00E00A16">
        <w:rPr>
          <w:lang w:val="fr-FR"/>
        </w:rPr>
        <w:t>Service danois de l</w:t>
      </w:r>
      <w:r w:rsidR="00582008" w:rsidRPr="00E00A16">
        <w:rPr>
          <w:lang w:val="fr-FR"/>
        </w:rPr>
        <w:t>’</w:t>
      </w:r>
      <w:r w:rsidRPr="00E00A16">
        <w:rPr>
          <w:lang w:val="fr-FR"/>
        </w:rPr>
        <w:t>immigration dans lequel il est indiqué que les femmes des familles des rebelles présumés courent un risque élevé d</w:t>
      </w:r>
      <w:r w:rsidR="00582008" w:rsidRPr="00E00A16">
        <w:rPr>
          <w:lang w:val="fr-FR"/>
        </w:rPr>
        <w:t>’</w:t>
      </w:r>
      <w:r w:rsidRPr="00E00A16">
        <w:rPr>
          <w:lang w:val="fr-FR"/>
        </w:rPr>
        <w:t>être violées, de perdre leur travail et d</w:t>
      </w:r>
      <w:r w:rsidR="00582008" w:rsidRPr="00E00A16">
        <w:rPr>
          <w:lang w:val="fr-FR"/>
        </w:rPr>
        <w:t>’</w:t>
      </w:r>
      <w:r w:rsidRPr="00E00A16">
        <w:rPr>
          <w:lang w:val="fr-FR"/>
        </w:rPr>
        <w:t>être poursuivies en justice pour des motifs fabriqués de toutes pièces, et que les viols sont rarement signalés sous peine pour la victime d</w:t>
      </w:r>
      <w:r w:rsidR="00582008" w:rsidRPr="00E00A16">
        <w:rPr>
          <w:lang w:val="fr-FR"/>
        </w:rPr>
        <w:t>’</w:t>
      </w:r>
      <w:r w:rsidRPr="00E00A16">
        <w:rPr>
          <w:lang w:val="fr-FR"/>
        </w:rPr>
        <w:t>aggraver sa situation.</w:t>
      </w:r>
    </w:p>
    <w:p w14:paraId="2CD0E55A" w14:textId="05EBB8A0" w:rsidR="00704AC4" w:rsidRPr="00E00A16" w:rsidRDefault="00704AC4" w:rsidP="00704AC4">
      <w:pPr>
        <w:pStyle w:val="SingleTxt"/>
        <w:numPr>
          <w:ilvl w:val="0"/>
          <w:numId w:val="34"/>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affirme également que son expulsion constituerait une violation de l</w:t>
      </w:r>
      <w:r w:rsidR="00582008" w:rsidRPr="00E00A16">
        <w:rPr>
          <w:lang w:val="fr-FR"/>
        </w:rPr>
        <w:t>’</w:t>
      </w:r>
      <w:r w:rsidRPr="00E00A16">
        <w:rPr>
          <w:lang w:val="fr-FR"/>
        </w:rPr>
        <w:t>alinéa f) de l</w:t>
      </w:r>
      <w:r w:rsidR="00582008" w:rsidRPr="00E00A16">
        <w:rPr>
          <w:lang w:val="fr-FR"/>
        </w:rPr>
        <w:t>’</w:t>
      </w:r>
      <w:r w:rsidRPr="00E00A16">
        <w:rPr>
          <w:lang w:val="fr-FR"/>
        </w:rPr>
        <w:t>article</w:t>
      </w:r>
      <w:r w:rsidR="001F539B" w:rsidRPr="00E00A16">
        <w:rPr>
          <w:lang w:val="fr-FR"/>
        </w:rPr>
        <w:t xml:space="preserve"> </w:t>
      </w:r>
      <w:r w:rsidRPr="00E00A16">
        <w:rPr>
          <w:lang w:val="fr-FR"/>
        </w:rPr>
        <w:t>2 de la Convention car elle court un « risque réel » d</w:t>
      </w:r>
      <w:r w:rsidR="00582008" w:rsidRPr="00E00A16">
        <w:rPr>
          <w:lang w:val="fr-FR"/>
        </w:rPr>
        <w:t>’</w:t>
      </w:r>
      <w:r w:rsidRPr="00E00A16">
        <w:rPr>
          <w:lang w:val="fr-FR"/>
        </w:rPr>
        <w:t>être victime d</w:t>
      </w:r>
      <w:r w:rsidR="00582008" w:rsidRPr="00E00A16">
        <w:rPr>
          <w:lang w:val="fr-FR"/>
        </w:rPr>
        <w:t>’</w:t>
      </w:r>
      <w:r w:rsidRPr="00E00A16">
        <w:rPr>
          <w:lang w:val="fr-FR"/>
        </w:rPr>
        <w:t>un crime d</w:t>
      </w:r>
      <w:r w:rsidR="00582008" w:rsidRPr="00E00A16">
        <w:rPr>
          <w:lang w:val="fr-FR"/>
        </w:rPr>
        <w:t>’</w:t>
      </w:r>
      <w:r w:rsidRPr="00E00A16">
        <w:rPr>
          <w:lang w:val="fr-FR"/>
        </w:rPr>
        <w:t>honneur commis par son frère aîné</w:t>
      </w:r>
      <w:r w:rsidRPr="00E12237">
        <w:rPr>
          <w:vertAlign w:val="superscript"/>
          <w:lang w:val="fr-FR"/>
        </w:rPr>
        <w:footnoteReference w:id="10"/>
      </w:r>
      <w:r w:rsidRPr="00E12237">
        <w:rPr>
          <w:lang w:val="fr-FR"/>
        </w:rPr>
        <w:t>. Elle fait valoir que les autorités tchétchènes n</w:t>
      </w:r>
      <w:r w:rsidR="00582008" w:rsidRPr="00E00A16">
        <w:rPr>
          <w:lang w:val="fr-FR"/>
        </w:rPr>
        <w:t>’</w:t>
      </w:r>
      <w:r w:rsidRPr="00E00A16">
        <w:rPr>
          <w:lang w:val="fr-FR"/>
        </w:rPr>
        <w:t>offrent pas de véritable protection contre ce risque car elles considèrent les crimes d</w:t>
      </w:r>
      <w:r w:rsidR="00582008" w:rsidRPr="00E00A16">
        <w:rPr>
          <w:lang w:val="fr-FR"/>
        </w:rPr>
        <w:t>’</w:t>
      </w:r>
      <w:r w:rsidRPr="00E00A16">
        <w:rPr>
          <w:lang w:val="fr-FR"/>
        </w:rPr>
        <w:t>honneur comme une tradition. L</w:t>
      </w:r>
      <w:r w:rsidR="00582008" w:rsidRPr="00E00A16">
        <w:rPr>
          <w:lang w:val="fr-FR"/>
        </w:rPr>
        <w:t>’</w:t>
      </w:r>
      <w:r w:rsidRPr="00E00A16">
        <w:rPr>
          <w:lang w:val="fr-FR"/>
        </w:rPr>
        <w:t>auteure ne précise pas en quoi son expulsion constituerait une violation de l</w:t>
      </w:r>
      <w:r w:rsidR="00582008" w:rsidRPr="00E00A16">
        <w:rPr>
          <w:lang w:val="fr-FR"/>
        </w:rPr>
        <w:t>’</w:t>
      </w:r>
      <w:r w:rsidRPr="00E00A16">
        <w:rPr>
          <w:lang w:val="fr-FR"/>
        </w:rPr>
        <w:t>alinéa</w:t>
      </w:r>
      <w:r w:rsidR="001F539B" w:rsidRPr="00E00A16">
        <w:rPr>
          <w:lang w:val="fr-FR"/>
        </w:rPr>
        <w:t xml:space="preserve"> </w:t>
      </w:r>
      <w:r w:rsidRPr="00E00A16">
        <w:rPr>
          <w:lang w:val="fr-FR"/>
        </w:rPr>
        <w:t>e) de l</w:t>
      </w:r>
      <w:r w:rsidR="00582008" w:rsidRPr="00E00A16">
        <w:rPr>
          <w:lang w:val="fr-FR"/>
        </w:rPr>
        <w:t>’</w:t>
      </w:r>
      <w:r w:rsidRPr="00E00A16">
        <w:rPr>
          <w:lang w:val="fr-FR"/>
        </w:rPr>
        <w:t>article</w:t>
      </w:r>
      <w:r w:rsidR="001F539B" w:rsidRPr="00E00A16">
        <w:rPr>
          <w:lang w:val="fr-FR"/>
        </w:rPr>
        <w:t xml:space="preserve"> </w:t>
      </w:r>
      <w:r w:rsidRPr="00E00A16">
        <w:rPr>
          <w:lang w:val="fr-FR"/>
        </w:rPr>
        <w:t>2 et de l</w:t>
      </w:r>
      <w:r w:rsidR="00582008" w:rsidRPr="00E00A16">
        <w:rPr>
          <w:lang w:val="fr-FR"/>
        </w:rPr>
        <w:t>’</w:t>
      </w:r>
      <w:r w:rsidRPr="00E00A16">
        <w:rPr>
          <w:lang w:val="fr-FR"/>
        </w:rPr>
        <w:t>alinéa a) de l</w:t>
      </w:r>
      <w:r w:rsidR="00582008" w:rsidRPr="00E00A16">
        <w:rPr>
          <w:lang w:val="fr-FR"/>
        </w:rPr>
        <w:t>’</w:t>
      </w:r>
      <w:r w:rsidRPr="00E00A16">
        <w:rPr>
          <w:lang w:val="fr-FR"/>
        </w:rPr>
        <w:t>article</w:t>
      </w:r>
      <w:r w:rsidR="001F539B" w:rsidRPr="00E00A16">
        <w:rPr>
          <w:lang w:val="fr-FR"/>
        </w:rPr>
        <w:t xml:space="preserve"> </w:t>
      </w:r>
      <w:r w:rsidRPr="00E00A16">
        <w:rPr>
          <w:lang w:val="fr-FR"/>
        </w:rPr>
        <w:t>5 de la Convention.</w:t>
      </w:r>
    </w:p>
    <w:p w14:paraId="64FB788C" w14:textId="58969E67" w:rsidR="00704AC4" w:rsidRPr="00E00A16" w:rsidRDefault="00704AC4" w:rsidP="00704AC4">
      <w:pPr>
        <w:pStyle w:val="SingleTxt"/>
        <w:numPr>
          <w:ilvl w:val="0"/>
          <w:numId w:val="34"/>
        </w:numPr>
        <w:tabs>
          <w:tab w:val="left" w:pos="1742"/>
        </w:tabs>
        <w:spacing w:line="240" w:lineRule="exact"/>
        <w:rPr>
          <w:lang w:val="fr-FR"/>
        </w:rPr>
      </w:pPr>
      <w:r w:rsidRPr="00E00A16">
        <w:rPr>
          <w:lang w:val="fr-FR"/>
        </w:rPr>
        <w:t>La Commission des recours des réfugiés aurait fondé sa décision sur l</w:t>
      </w:r>
      <w:r w:rsidR="00582008" w:rsidRPr="00E00A16">
        <w:rPr>
          <w:lang w:val="fr-FR"/>
        </w:rPr>
        <w:t>’</w:t>
      </w:r>
      <w:r w:rsidRPr="00E00A16">
        <w:rPr>
          <w:lang w:val="fr-FR"/>
        </w:rPr>
        <w:t>impression que le récit de l</w:t>
      </w:r>
      <w:r w:rsidR="00582008" w:rsidRPr="00E00A16">
        <w:rPr>
          <w:lang w:val="fr-FR"/>
        </w:rPr>
        <w:t>’</w:t>
      </w:r>
      <w:r w:rsidRPr="00E00A16">
        <w:rPr>
          <w:lang w:val="fr-FR"/>
        </w:rPr>
        <w:t>auteure manquait de crédibilité, sans évaluer le risque que l</w:t>
      </w:r>
      <w:r w:rsidR="00582008" w:rsidRPr="00E00A16">
        <w:rPr>
          <w:lang w:val="fr-FR"/>
        </w:rPr>
        <w:t>’</w:t>
      </w:r>
      <w:r w:rsidRPr="00E00A16">
        <w:rPr>
          <w:lang w:val="fr-FR"/>
        </w:rPr>
        <w:t>intéressée courrait si elle était expulsée. L</w:t>
      </w:r>
      <w:r w:rsidR="00582008" w:rsidRPr="00E00A16">
        <w:rPr>
          <w:lang w:val="fr-FR"/>
        </w:rPr>
        <w:t>’</w:t>
      </w:r>
      <w:r w:rsidRPr="00E00A16">
        <w:rPr>
          <w:lang w:val="fr-FR"/>
        </w:rPr>
        <w:t>auteure soutient que, bien qu</w:t>
      </w:r>
      <w:r w:rsidR="00582008" w:rsidRPr="00E00A16">
        <w:rPr>
          <w:lang w:val="fr-FR"/>
        </w:rPr>
        <w:t>’</w:t>
      </w:r>
      <w:r w:rsidRPr="00E00A16">
        <w:rPr>
          <w:lang w:val="fr-FR"/>
        </w:rPr>
        <w:t>elle ait soulevé la question au cours de la procédure, la Commission n</w:t>
      </w:r>
      <w:r w:rsidR="00582008" w:rsidRPr="00E00A16">
        <w:rPr>
          <w:lang w:val="fr-FR"/>
        </w:rPr>
        <w:t>’</w:t>
      </w:r>
      <w:r w:rsidRPr="00E00A16">
        <w:rPr>
          <w:lang w:val="fr-FR"/>
        </w:rPr>
        <w:t>a pas cherché à savoir si les dispositions de la Convention avaient été enfreintes.</w:t>
      </w:r>
    </w:p>
    <w:p w14:paraId="1E4C7E4F" w14:textId="3F168D18" w:rsidR="00704AC4" w:rsidRPr="00E12237" w:rsidRDefault="00704AC4" w:rsidP="00704AC4">
      <w:pPr>
        <w:pStyle w:val="SingleTxt"/>
        <w:numPr>
          <w:ilvl w:val="0"/>
          <w:numId w:val="34"/>
        </w:numPr>
        <w:tabs>
          <w:tab w:val="left" w:pos="1742"/>
        </w:tabs>
        <w:spacing w:line="240" w:lineRule="exact"/>
        <w:rPr>
          <w:lang w:val="fr-FR"/>
        </w:rPr>
      </w:pPr>
      <w:r w:rsidRPr="00E00A16">
        <w:rPr>
          <w:lang w:val="fr-FR"/>
        </w:rPr>
        <w:t>Même si la Commission n</w:t>
      </w:r>
      <w:r w:rsidR="00582008" w:rsidRPr="00E00A16">
        <w:rPr>
          <w:lang w:val="fr-FR"/>
        </w:rPr>
        <w:t>’</w:t>
      </w:r>
      <w:r w:rsidRPr="00E00A16">
        <w:rPr>
          <w:lang w:val="fr-FR"/>
        </w:rPr>
        <w:t>a pas mentionné qu</w:t>
      </w:r>
      <w:r w:rsidR="00582008" w:rsidRPr="00E00A16">
        <w:rPr>
          <w:lang w:val="fr-FR"/>
        </w:rPr>
        <w:t>’</w:t>
      </w:r>
      <w:r w:rsidRPr="00E00A16">
        <w:rPr>
          <w:lang w:val="fr-FR"/>
        </w:rPr>
        <w:t>elle pourrait s</w:t>
      </w:r>
      <w:r w:rsidR="00582008" w:rsidRPr="00E00A16">
        <w:rPr>
          <w:lang w:val="fr-FR"/>
        </w:rPr>
        <w:t>’</w:t>
      </w:r>
      <w:r w:rsidRPr="00E00A16">
        <w:rPr>
          <w:lang w:val="fr-FR"/>
        </w:rPr>
        <w:t>installer ailleurs en Fédération de Russie lors du rejet de sa demande d</w:t>
      </w:r>
      <w:r w:rsidR="00582008" w:rsidRPr="00E00A16">
        <w:rPr>
          <w:lang w:val="fr-FR"/>
        </w:rPr>
        <w:t>’</w:t>
      </w:r>
      <w:r w:rsidRPr="00E00A16">
        <w:rPr>
          <w:lang w:val="fr-FR"/>
        </w:rPr>
        <w:t>asile, l</w:t>
      </w:r>
      <w:r w:rsidR="00582008" w:rsidRPr="00E00A16">
        <w:rPr>
          <w:lang w:val="fr-FR"/>
        </w:rPr>
        <w:t>’</w:t>
      </w:r>
      <w:r w:rsidRPr="00E00A16">
        <w:rPr>
          <w:lang w:val="fr-FR"/>
        </w:rPr>
        <w:t>auteure avance que cela serait impossible pour une femme tchétchène dans sa situation. Elle se réfère à un rapport du Conseil danois pour les réfugiés</w:t>
      </w:r>
      <w:r w:rsidRPr="00E12237">
        <w:rPr>
          <w:vertAlign w:val="superscript"/>
          <w:lang w:val="fr-FR"/>
        </w:rPr>
        <w:footnoteReference w:id="11"/>
      </w:r>
      <w:r w:rsidRPr="00E12237">
        <w:rPr>
          <w:lang w:val="fr-FR"/>
        </w:rPr>
        <w:t xml:space="preserve"> dans lequel il est mentionné qu</w:t>
      </w:r>
      <w:r w:rsidR="00582008" w:rsidRPr="00E12237">
        <w:rPr>
          <w:lang w:val="fr-FR"/>
        </w:rPr>
        <w:t>’</w:t>
      </w:r>
      <w:r w:rsidRPr="00E12237">
        <w:rPr>
          <w:lang w:val="fr-FR"/>
        </w:rPr>
        <w:t>il est très difficile, voire impossible, pour les Tchétchènes de s</w:t>
      </w:r>
      <w:r w:rsidR="00582008" w:rsidRPr="00E00A16">
        <w:rPr>
          <w:lang w:val="fr-FR"/>
        </w:rPr>
        <w:t>’</w:t>
      </w:r>
      <w:r w:rsidRPr="00E00A16">
        <w:rPr>
          <w:lang w:val="fr-FR"/>
        </w:rPr>
        <w:t>installer ailleurs en Fédération de Russie. Elle</w:t>
      </w:r>
      <w:r w:rsidR="001F539B" w:rsidRPr="00E00A16">
        <w:rPr>
          <w:lang w:val="fr-FR"/>
        </w:rPr>
        <w:t xml:space="preserve"> </w:t>
      </w:r>
      <w:r w:rsidRPr="00E00A16">
        <w:rPr>
          <w:lang w:val="fr-FR"/>
        </w:rPr>
        <w:t>indique que les Tchétchènes doivent s</w:t>
      </w:r>
      <w:r w:rsidR="00582008" w:rsidRPr="00E00A16">
        <w:rPr>
          <w:lang w:val="fr-FR"/>
        </w:rPr>
        <w:t>’</w:t>
      </w:r>
      <w:r w:rsidRPr="00E00A16">
        <w:rPr>
          <w:lang w:val="fr-FR"/>
        </w:rPr>
        <w:t>enregistrer auprès des autorités locales pour pouvoir séjourner légalement dans un lieu donné et que les autorités tchétchènes confisquent régulièrement leurs papiers d</w:t>
      </w:r>
      <w:r w:rsidR="00582008" w:rsidRPr="00E00A16">
        <w:rPr>
          <w:lang w:val="fr-FR"/>
        </w:rPr>
        <w:t>’</w:t>
      </w:r>
      <w:r w:rsidRPr="00E00A16">
        <w:rPr>
          <w:lang w:val="fr-FR"/>
        </w:rPr>
        <w:t>identité afin de les en empêcher. De plus, elle fait valoir que si une femme tchétchène quitte sa famille et tente de s</w:t>
      </w:r>
      <w:r w:rsidR="00582008" w:rsidRPr="00E00A16">
        <w:rPr>
          <w:lang w:val="fr-FR"/>
        </w:rPr>
        <w:t>’</w:t>
      </w:r>
      <w:r w:rsidRPr="00E00A16">
        <w:rPr>
          <w:lang w:val="fr-FR"/>
        </w:rPr>
        <w:t>établir ailleurs, personne ne la soutiendra et elle continuera d</w:t>
      </w:r>
      <w:r w:rsidR="00582008" w:rsidRPr="00E00A16">
        <w:rPr>
          <w:lang w:val="fr-FR"/>
        </w:rPr>
        <w:t>’</w:t>
      </w:r>
      <w:r w:rsidRPr="00E00A16">
        <w:rPr>
          <w:lang w:val="fr-FR"/>
        </w:rPr>
        <w:t>avoir des ennuis</w:t>
      </w:r>
      <w:r w:rsidRPr="00E12237">
        <w:rPr>
          <w:vertAlign w:val="superscript"/>
          <w:lang w:val="fr-FR"/>
        </w:rPr>
        <w:footnoteReference w:id="12"/>
      </w:r>
      <w:r w:rsidRPr="00E12237">
        <w:rPr>
          <w:lang w:val="fr-FR"/>
        </w:rPr>
        <w:t>.</w:t>
      </w:r>
    </w:p>
    <w:p w14:paraId="1A458159" w14:textId="77777777" w:rsidR="00704AC4" w:rsidRPr="00E00A16" w:rsidRDefault="00704AC4" w:rsidP="00704AC4">
      <w:pPr>
        <w:pStyle w:val="SingleTxt"/>
        <w:spacing w:after="0" w:line="120" w:lineRule="exact"/>
        <w:rPr>
          <w:b/>
          <w:sz w:val="10"/>
          <w:lang w:val="fr-FR"/>
        </w:rPr>
      </w:pPr>
    </w:p>
    <w:p w14:paraId="7796624E" w14:textId="31B0C850"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Observations de l</w:t>
      </w:r>
      <w:r w:rsidR="00582008" w:rsidRPr="00E00A16">
        <w:rPr>
          <w:lang w:val="fr-FR"/>
        </w:rPr>
        <w:t>’</w:t>
      </w:r>
      <w:r w:rsidRPr="00E00A16">
        <w:rPr>
          <w:lang w:val="fr-FR"/>
        </w:rPr>
        <w:t>État partie sur la recevabilité</w:t>
      </w:r>
    </w:p>
    <w:p w14:paraId="3A257C7D" w14:textId="77777777" w:rsidR="00704AC4" w:rsidRPr="00E00A16" w:rsidRDefault="00704AC4" w:rsidP="00704AC4">
      <w:pPr>
        <w:pStyle w:val="SingleTxt"/>
        <w:spacing w:after="0" w:line="120" w:lineRule="exact"/>
        <w:rPr>
          <w:sz w:val="10"/>
          <w:lang w:val="fr-FR"/>
        </w:rPr>
      </w:pPr>
    </w:p>
    <w:p w14:paraId="5F4640B9" w14:textId="49BB7BE2" w:rsidR="00704AC4" w:rsidRPr="00E00A16" w:rsidRDefault="00704AC4" w:rsidP="00704AC4">
      <w:pPr>
        <w:pStyle w:val="SingleTxt"/>
        <w:numPr>
          <w:ilvl w:val="0"/>
          <w:numId w:val="36"/>
        </w:numPr>
        <w:tabs>
          <w:tab w:val="left" w:pos="1742"/>
        </w:tabs>
        <w:spacing w:line="240" w:lineRule="exact"/>
        <w:rPr>
          <w:lang w:val="fr-FR"/>
        </w:rPr>
      </w:pPr>
      <w:r w:rsidRPr="00E00A16">
        <w:rPr>
          <w:lang w:val="fr-FR"/>
        </w:rPr>
        <w:t>Dans une note verbale datée du 18</w:t>
      </w:r>
      <w:r w:rsidR="001F539B" w:rsidRPr="00E00A16">
        <w:rPr>
          <w:lang w:val="fr-FR"/>
        </w:rPr>
        <w:t xml:space="preserve"> </w:t>
      </w:r>
      <w:r w:rsidRPr="00E00A16">
        <w:rPr>
          <w:lang w:val="fr-FR"/>
        </w:rPr>
        <w:t>novembre 2015, l</w:t>
      </w:r>
      <w:r w:rsidR="00582008" w:rsidRPr="00E00A16">
        <w:rPr>
          <w:lang w:val="fr-FR"/>
        </w:rPr>
        <w:t>’</w:t>
      </w:r>
      <w:r w:rsidRPr="00E00A16">
        <w:rPr>
          <w:lang w:val="fr-FR"/>
        </w:rPr>
        <w:t>État partie a soumis ses observations sur la recevabilité de la communication. Il demande au Comité d</w:t>
      </w:r>
      <w:r w:rsidR="00582008" w:rsidRPr="00E00A16">
        <w:rPr>
          <w:lang w:val="fr-FR"/>
        </w:rPr>
        <w:t>’</w:t>
      </w:r>
      <w:r w:rsidRPr="00E00A16">
        <w:rPr>
          <w:lang w:val="fr-FR"/>
        </w:rPr>
        <w:t>examiner séparément la recevabilité et le fond de la communication. Il soutient que la communication devrait être déclarée irrecevable au regard de l</w:t>
      </w:r>
      <w:r w:rsidR="00582008" w:rsidRPr="00E00A16">
        <w:rPr>
          <w:lang w:val="fr-FR"/>
        </w:rPr>
        <w:t>’</w:t>
      </w:r>
      <w:r w:rsidRPr="00E00A16">
        <w:rPr>
          <w:lang w:val="fr-FR"/>
        </w:rPr>
        <w:t>alinéa</w:t>
      </w:r>
      <w:r w:rsidR="001F539B" w:rsidRPr="00E00A16">
        <w:rPr>
          <w:lang w:val="fr-FR"/>
        </w:rPr>
        <w:t xml:space="preserve"> </w:t>
      </w:r>
      <w:r w:rsidRPr="00E00A16">
        <w:rPr>
          <w:lang w:val="fr-FR"/>
        </w:rPr>
        <w:t xml:space="preserve">c) du </w:t>
      </w:r>
      <w:r w:rsidRPr="00E00A16">
        <w:rPr>
          <w:lang w:val="fr-FR"/>
        </w:rPr>
        <w:lastRenderedPageBreak/>
        <w:t>paragraphe 2 de l</w:t>
      </w:r>
      <w:r w:rsidR="00582008" w:rsidRPr="00E00A16">
        <w:rPr>
          <w:lang w:val="fr-FR"/>
        </w:rPr>
        <w:t>’</w:t>
      </w:r>
      <w:r w:rsidRPr="00E00A16">
        <w:rPr>
          <w:lang w:val="fr-FR"/>
        </w:rPr>
        <w:t>article</w:t>
      </w:r>
      <w:r w:rsidR="001F539B" w:rsidRPr="00E00A16">
        <w:rPr>
          <w:lang w:val="fr-FR"/>
        </w:rPr>
        <w:t xml:space="preserve"> </w:t>
      </w:r>
      <w:r w:rsidRPr="00E00A16">
        <w:rPr>
          <w:lang w:val="fr-FR"/>
        </w:rPr>
        <w:t>4 du Protocole facultatif car elle est manifestement infondée et l</w:t>
      </w:r>
      <w:r w:rsidR="00582008" w:rsidRPr="00E00A16">
        <w:rPr>
          <w:lang w:val="fr-FR"/>
        </w:rPr>
        <w:t>’</w:t>
      </w:r>
      <w:r w:rsidRPr="00E00A16">
        <w:rPr>
          <w:lang w:val="fr-FR"/>
        </w:rPr>
        <w:t>auteure n</w:t>
      </w:r>
      <w:r w:rsidR="00582008" w:rsidRPr="00E00A16">
        <w:rPr>
          <w:lang w:val="fr-FR"/>
        </w:rPr>
        <w:t>’</w:t>
      </w:r>
      <w:r w:rsidRPr="00E00A16">
        <w:rPr>
          <w:lang w:val="fr-FR"/>
        </w:rPr>
        <w:t>a pas été en mesure d</w:t>
      </w:r>
      <w:r w:rsidR="00582008" w:rsidRPr="00E00A16">
        <w:rPr>
          <w:lang w:val="fr-FR"/>
        </w:rPr>
        <w:t>’</w:t>
      </w:r>
      <w:r w:rsidRPr="00E00A16">
        <w:rPr>
          <w:lang w:val="fr-FR"/>
        </w:rPr>
        <w:t>établir qu</w:t>
      </w:r>
      <w:r w:rsidR="00582008" w:rsidRPr="00E00A16">
        <w:rPr>
          <w:lang w:val="fr-FR"/>
        </w:rPr>
        <w:t>’</w:t>
      </w:r>
      <w:r w:rsidRPr="00E00A16">
        <w:rPr>
          <w:lang w:val="fr-FR"/>
        </w:rPr>
        <w:t>elle était à première vue recevable.</w:t>
      </w:r>
    </w:p>
    <w:p w14:paraId="252DD2C0" w14:textId="3A6D8DD0" w:rsidR="00704AC4" w:rsidRPr="00E00A16" w:rsidRDefault="00704AC4" w:rsidP="00704AC4">
      <w:pPr>
        <w:pStyle w:val="SingleTxt"/>
        <w:numPr>
          <w:ilvl w:val="0"/>
          <w:numId w:val="36"/>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rappelle les principaux faits de l</w:t>
      </w:r>
      <w:r w:rsidR="00582008" w:rsidRPr="00E00A16">
        <w:rPr>
          <w:lang w:val="fr-FR"/>
        </w:rPr>
        <w:t>’</w:t>
      </w:r>
      <w:r w:rsidRPr="00E00A16">
        <w:rPr>
          <w:lang w:val="fr-FR"/>
        </w:rPr>
        <w:t>espèce et la décision rendue le 31 août 2013 par la Commission des recours des réfugiés</w:t>
      </w:r>
      <w:r w:rsidRPr="00E12237">
        <w:rPr>
          <w:vertAlign w:val="superscript"/>
          <w:lang w:val="fr-FR"/>
        </w:rPr>
        <w:footnoteReference w:id="13"/>
      </w:r>
      <w:r w:rsidRPr="00E12237">
        <w:rPr>
          <w:lang w:val="fr-FR"/>
        </w:rPr>
        <w:t>. Il fournit de surcroît des informations sur l</w:t>
      </w:r>
      <w:r w:rsidR="00582008" w:rsidRPr="00E00A16">
        <w:rPr>
          <w:lang w:val="fr-FR"/>
        </w:rPr>
        <w:t>’</w:t>
      </w:r>
      <w:r w:rsidRPr="00E00A16">
        <w:rPr>
          <w:lang w:val="fr-FR"/>
        </w:rPr>
        <w:t>organisation et la compétence de la Commission, le fondement juridique de ses décisions et les affaires dont elle est saisie.</w:t>
      </w:r>
    </w:p>
    <w:p w14:paraId="69FAC58C" w14:textId="6B8DEC0A" w:rsidR="00704AC4" w:rsidRPr="00E00A16" w:rsidRDefault="00704AC4" w:rsidP="00704AC4">
      <w:pPr>
        <w:pStyle w:val="SingleTxt"/>
        <w:numPr>
          <w:ilvl w:val="0"/>
          <w:numId w:val="36"/>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constate que l</w:t>
      </w:r>
      <w:r w:rsidR="00582008" w:rsidRPr="00E00A16">
        <w:rPr>
          <w:lang w:val="fr-FR"/>
        </w:rPr>
        <w:t>’</w:t>
      </w:r>
      <w:r w:rsidRPr="00E00A16">
        <w:rPr>
          <w:lang w:val="fr-FR"/>
        </w:rPr>
        <w:t>auteure n</w:t>
      </w:r>
      <w:r w:rsidR="00582008" w:rsidRPr="00E00A16">
        <w:rPr>
          <w:lang w:val="fr-FR"/>
        </w:rPr>
        <w:t>’</w:t>
      </w:r>
      <w:r w:rsidRPr="00E00A16">
        <w:rPr>
          <w:lang w:val="fr-FR"/>
        </w:rPr>
        <w:t>étaye pas l</w:t>
      </w:r>
      <w:r w:rsidR="00582008" w:rsidRPr="00E00A16">
        <w:rPr>
          <w:lang w:val="fr-FR"/>
        </w:rPr>
        <w:t>’</w:t>
      </w:r>
      <w:r w:rsidRPr="00E00A16">
        <w:rPr>
          <w:lang w:val="fr-FR"/>
        </w:rPr>
        <w:t>argument selon lequel son expulsion enfreindrait l</w:t>
      </w:r>
      <w:r w:rsidR="00582008" w:rsidRPr="00E00A16">
        <w:rPr>
          <w:lang w:val="fr-FR"/>
        </w:rPr>
        <w:t>’</w:t>
      </w:r>
      <w:r w:rsidRPr="00E00A16">
        <w:rPr>
          <w:lang w:val="fr-FR"/>
        </w:rPr>
        <w:t>alinéa e) de l</w:t>
      </w:r>
      <w:r w:rsidR="00582008" w:rsidRPr="00E00A16">
        <w:rPr>
          <w:lang w:val="fr-FR"/>
        </w:rPr>
        <w:t>’</w:t>
      </w:r>
      <w:r w:rsidRPr="00E00A16">
        <w:rPr>
          <w:lang w:val="fr-FR"/>
        </w:rPr>
        <w:t>article 2 et l</w:t>
      </w:r>
      <w:r w:rsidR="00582008" w:rsidRPr="00E00A16">
        <w:rPr>
          <w:lang w:val="fr-FR"/>
        </w:rPr>
        <w:t>’</w:t>
      </w:r>
      <w:r w:rsidRPr="00E00A16">
        <w:rPr>
          <w:lang w:val="fr-FR"/>
        </w:rPr>
        <w:t>alinéa a) de l</w:t>
      </w:r>
      <w:r w:rsidR="00582008" w:rsidRPr="00E00A16">
        <w:rPr>
          <w:lang w:val="fr-FR"/>
        </w:rPr>
        <w:t>’</w:t>
      </w:r>
      <w:r w:rsidRPr="00E00A16">
        <w:rPr>
          <w:lang w:val="fr-FR"/>
        </w:rPr>
        <w:t>article 5 de la Convention. Il soutient qu</w:t>
      </w:r>
      <w:r w:rsidR="00582008" w:rsidRPr="00E00A16">
        <w:rPr>
          <w:lang w:val="fr-FR"/>
        </w:rPr>
        <w:t>’</w:t>
      </w:r>
      <w:r w:rsidRPr="00E00A16">
        <w:rPr>
          <w:lang w:val="fr-FR"/>
        </w:rPr>
        <w:t>elle est simplement en désaccord avec l</w:t>
      </w:r>
      <w:r w:rsidR="00582008" w:rsidRPr="00E00A16">
        <w:rPr>
          <w:lang w:val="fr-FR"/>
        </w:rPr>
        <w:t>’</w:t>
      </w:r>
      <w:r w:rsidRPr="00E00A16">
        <w:rPr>
          <w:lang w:val="fr-FR"/>
        </w:rPr>
        <w:t>appréciation que la Commission des recours des réfugiés a faite de sa crédibilité et qu</w:t>
      </w:r>
      <w:r w:rsidR="00582008" w:rsidRPr="00E00A16">
        <w:rPr>
          <w:lang w:val="fr-FR"/>
        </w:rPr>
        <w:t>’</w:t>
      </w:r>
      <w:r w:rsidRPr="00E00A16">
        <w:rPr>
          <w:lang w:val="fr-FR"/>
        </w:rPr>
        <w:t>elle demande au Comité de réexaminer son dossier. Selon lui, elle n</w:t>
      </w:r>
      <w:r w:rsidR="00582008" w:rsidRPr="00E00A16">
        <w:rPr>
          <w:lang w:val="fr-FR"/>
        </w:rPr>
        <w:t>’</w:t>
      </w:r>
      <w:r w:rsidRPr="00E00A16">
        <w:rPr>
          <w:lang w:val="fr-FR"/>
        </w:rPr>
        <w:t>a décelé aucune irrégularité dans la procédure et n</w:t>
      </w:r>
      <w:r w:rsidR="00582008" w:rsidRPr="00E00A16">
        <w:rPr>
          <w:lang w:val="fr-FR"/>
        </w:rPr>
        <w:t>’</w:t>
      </w:r>
      <w:r w:rsidRPr="00E00A16">
        <w:rPr>
          <w:lang w:val="fr-FR"/>
        </w:rPr>
        <w:t>a pas démontré que la Commission n</w:t>
      </w:r>
      <w:r w:rsidR="00582008" w:rsidRPr="00E00A16">
        <w:rPr>
          <w:lang w:val="fr-FR"/>
        </w:rPr>
        <w:t>’</w:t>
      </w:r>
      <w:r w:rsidRPr="00E00A16">
        <w:rPr>
          <w:lang w:val="fr-FR"/>
        </w:rPr>
        <w:t>avait pas dûment pris en compte tel ou tel élément. Si elle s</w:t>
      </w:r>
      <w:r w:rsidR="00582008" w:rsidRPr="00E00A16">
        <w:rPr>
          <w:lang w:val="fr-FR"/>
        </w:rPr>
        <w:t>’</w:t>
      </w:r>
      <w:r w:rsidRPr="00E00A16">
        <w:rPr>
          <w:lang w:val="fr-FR"/>
        </w:rPr>
        <w:t>adresse au Comité, c</w:t>
      </w:r>
      <w:r w:rsidR="00582008" w:rsidRPr="00E00A16">
        <w:rPr>
          <w:lang w:val="fr-FR"/>
        </w:rPr>
        <w:t>’</w:t>
      </w:r>
      <w:r w:rsidRPr="00E00A16">
        <w:rPr>
          <w:lang w:val="fr-FR"/>
        </w:rPr>
        <w:t>est pour qu</w:t>
      </w:r>
      <w:r w:rsidR="00582008" w:rsidRPr="00E00A16">
        <w:rPr>
          <w:lang w:val="fr-FR"/>
        </w:rPr>
        <w:t>’</w:t>
      </w:r>
      <w:r w:rsidRPr="00E00A16">
        <w:rPr>
          <w:lang w:val="fr-FR"/>
        </w:rPr>
        <w:t>il agisse comme un organe d</w:t>
      </w:r>
      <w:r w:rsidR="00582008" w:rsidRPr="00E00A16">
        <w:rPr>
          <w:lang w:val="fr-FR"/>
        </w:rPr>
        <w:t>’</w:t>
      </w:r>
      <w:r w:rsidRPr="00E00A16">
        <w:rPr>
          <w:lang w:val="fr-FR"/>
        </w:rPr>
        <w:t>appel et procède à un nouvel examen des faits présentés à l</w:t>
      </w:r>
      <w:r w:rsidR="00582008" w:rsidRPr="00E00A16">
        <w:rPr>
          <w:lang w:val="fr-FR"/>
        </w:rPr>
        <w:t>’</w:t>
      </w:r>
      <w:r w:rsidRPr="00E00A16">
        <w:rPr>
          <w:lang w:val="fr-FR"/>
        </w:rPr>
        <w:t>examen de sa demande d</w:t>
      </w:r>
      <w:r w:rsidR="00582008" w:rsidRPr="00E00A16">
        <w:rPr>
          <w:lang w:val="fr-FR"/>
        </w:rPr>
        <w:t>’</w:t>
      </w:r>
      <w:r w:rsidRPr="00E00A16">
        <w:rPr>
          <w:lang w:val="fr-FR"/>
        </w:rPr>
        <w:t>asile. L</w:t>
      </w:r>
      <w:r w:rsidR="00582008" w:rsidRPr="00E00A16">
        <w:rPr>
          <w:lang w:val="fr-FR"/>
        </w:rPr>
        <w:t>’</w:t>
      </w:r>
      <w:r w:rsidRPr="00E00A16">
        <w:rPr>
          <w:lang w:val="fr-FR"/>
        </w:rPr>
        <w:t>État partie constate par ailleurs que l</w:t>
      </w:r>
      <w:r w:rsidR="00582008" w:rsidRPr="00E00A16">
        <w:rPr>
          <w:lang w:val="fr-FR"/>
        </w:rPr>
        <w:t>’</w:t>
      </w:r>
      <w:r w:rsidRPr="00E00A16">
        <w:rPr>
          <w:lang w:val="fr-FR"/>
        </w:rPr>
        <w:t>auteure n</w:t>
      </w:r>
      <w:r w:rsidR="00582008" w:rsidRPr="00E00A16">
        <w:rPr>
          <w:lang w:val="fr-FR"/>
        </w:rPr>
        <w:t>’</w:t>
      </w:r>
      <w:r w:rsidRPr="00E00A16">
        <w:rPr>
          <w:lang w:val="fr-FR"/>
        </w:rPr>
        <w:t>a fourni aucune précision nouvelle sur sa situation, c</w:t>
      </w:r>
      <w:r w:rsidR="00582008" w:rsidRPr="00E00A16">
        <w:rPr>
          <w:lang w:val="fr-FR"/>
        </w:rPr>
        <w:t>’</w:t>
      </w:r>
      <w:r w:rsidRPr="00E00A16">
        <w:rPr>
          <w:lang w:val="fr-FR"/>
        </w:rPr>
        <w:t>est-à-dire aucune information en plus de celles sur lesquelles le Service danois de l</w:t>
      </w:r>
      <w:r w:rsidR="00582008" w:rsidRPr="00E00A16">
        <w:rPr>
          <w:lang w:val="fr-FR"/>
        </w:rPr>
        <w:t>’</w:t>
      </w:r>
      <w:r w:rsidRPr="00E00A16">
        <w:rPr>
          <w:lang w:val="fr-FR"/>
        </w:rPr>
        <w:t>immigration s</w:t>
      </w:r>
      <w:r w:rsidR="00582008" w:rsidRPr="00E00A16">
        <w:rPr>
          <w:lang w:val="fr-FR"/>
        </w:rPr>
        <w:t>’</w:t>
      </w:r>
      <w:r w:rsidRPr="00E00A16">
        <w:rPr>
          <w:lang w:val="fr-FR"/>
        </w:rPr>
        <w:t>est appuyé pour rejeter sa demande d</w:t>
      </w:r>
      <w:r w:rsidR="00582008" w:rsidRPr="00E00A16">
        <w:rPr>
          <w:lang w:val="fr-FR"/>
        </w:rPr>
        <w:t>’</w:t>
      </w:r>
      <w:r w:rsidRPr="00E00A16">
        <w:rPr>
          <w:lang w:val="fr-FR"/>
        </w:rPr>
        <w:t>asile. Faisant référence à la jurisprudence du Comité des droits de l</w:t>
      </w:r>
      <w:r w:rsidR="00582008" w:rsidRPr="00E00A16">
        <w:rPr>
          <w:lang w:val="fr-FR"/>
        </w:rPr>
        <w:t>’</w:t>
      </w:r>
      <w:r w:rsidRPr="00E00A16">
        <w:rPr>
          <w:lang w:val="fr-FR"/>
        </w:rPr>
        <w:t>homme, l</w:t>
      </w:r>
      <w:r w:rsidR="00582008" w:rsidRPr="00E00A16">
        <w:rPr>
          <w:lang w:val="fr-FR"/>
        </w:rPr>
        <w:t>’</w:t>
      </w:r>
      <w:r w:rsidRPr="00E00A16">
        <w:rPr>
          <w:lang w:val="fr-FR"/>
        </w:rPr>
        <w:t>État partie avance que le Comité pour l</w:t>
      </w:r>
      <w:r w:rsidR="00582008" w:rsidRPr="00E00A16">
        <w:rPr>
          <w:lang w:val="fr-FR"/>
        </w:rPr>
        <w:t>’</w:t>
      </w:r>
      <w:r w:rsidRPr="00E00A16">
        <w:rPr>
          <w:lang w:val="fr-FR"/>
        </w:rPr>
        <w:t>élimination de la discrimination à l</w:t>
      </w:r>
      <w:r w:rsidR="00582008" w:rsidRPr="00E00A16">
        <w:rPr>
          <w:lang w:val="fr-FR"/>
        </w:rPr>
        <w:t>’</w:t>
      </w:r>
      <w:r w:rsidRPr="00E00A16">
        <w:rPr>
          <w:lang w:val="fr-FR"/>
        </w:rPr>
        <w:t>égard des femmes devrait accorder une importance déterminante aux faits établis par la Commission, qui est mieux à même d</w:t>
      </w:r>
      <w:r w:rsidR="00582008" w:rsidRPr="00E00A16">
        <w:rPr>
          <w:lang w:val="fr-FR"/>
        </w:rPr>
        <w:t>’</w:t>
      </w:r>
      <w:r w:rsidRPr="00E00A16">
        <w:rPr>
          <w:lang w:val="fr-FR"/>
        </w:rPr>
        <w:t>apprécier les circonstances de l</w:t>
      </w:r>
      <w:r w:rsidR="00582008" w:rsidRPr="00E00A16">
        <w:rPr>
          <w:lang w:val="fr-FR"/>
        </w:rPr>
        <w:t>’</w:t>
      </w:r>
      <w:r w:rsidRPr="00E00A16">
        <w:rPr>
          <w:lang w:val="fr-FR"/>
        </w:rPr>
        <w:t>espèce</w:t>
      </w:r>
      <w:r w:rsidRPr="00E12237">
        <w:rPr>
          <w:vertAlign w:val="superscript"/>
          <w:lang w:val="fr-FR"/>
        </w:rPr>
        <w:footnoteReference w:id="14"/>
      </w:r>
      <w:r w:rsidRPr="00E12237">
        <w:rPr>
          <w:lang w:val="fr-FR"/>
        </w:rPr>
        <w:t>. Il rappelle qu</w:t>
      </w:r>
      <w:r w:rsidR="00582008" w:rsidRPr="00E00A16">
        <w:rPr>
          <w:lang w:val="fr-FR"/>
        </w:rPr>
        <w:t>’</w:t>
      </w:r>
      <w:r w:rsidRPr="00E00A16">
        <w:rPr>
          <w:lang w:val="fr-FR"/>
        </w:rPr>
        <w:t>après avoir soigneusement examiné la crédibilité de l</w:t>
      </w:r>
      <w:r w:rsidR="00582008" w:rsidRPr="00E00A16">
        <w:rPr>
          <w:lang w:val="fr-FR"/>
        </w:rPr>
        <w:t>’</w:t>
      </w:r>
      <w:r w:rsidRPr="00E00A16">
        <w:rPr>
          <w:lang w:val="fr-FR"/>
        </w:rPr>
        <w:t>auteure, sa situation particulière et les informations générales disponibles sur le contexte de l</w:t>
      </w:r>
      <w:r w:rsidR="00582008" w:rsidRPr="00E00A16">
        <w:rPr>
          <w:lang w:val="fr-FR"/>
        </w:rPr>
        <w:t>’</w:t>
      </w:r>
      <w:r w:rsidRPr="00E00A16">
        <w:rPr>
          <w:lang w:val="fr-FR"/>
        </w:rPr>
        <w:t>affaire, la Commission a conclu qu</w:t>
      </w:r>
      <w:r w:rsidR="00582008" w:rsidRPr="00E00A16">
        <w:rPr>
          <w:lang w:val="fr-FR"/>
        </w:rPr>
        <w:t>’</w:t>
      </w:r>
      <w:r w:rsidRPr="00E00A16">
        <w:rPr>
          <w:lang w:val="fr-FR"/>
        </w:rPr>
        <w:t>il serait peu probable que l</w:t>
      </w:r>
      <w:r w:rsidR="00582008" w:rsidRPr="00E00A16">
        <w:rPr>
          <w:lang w:val="fr-FR"/>
        </w:rPr>
        <w:t>’</w:t>
      </w:r>
      <w:r w:rsidRPr="00E00A16">
        <w:rPr>
          <w:lang w:val="fr-FR"/>
        </w:rPr>
        <w:t>auteure subisse des persécutions ou des violences si elle était expulsée.</w:t>
      </w:r>
    </w:p>
    <w:p w14:paraId="547975BB" w14:textId="76796A3D" w:rsidR="00704AC4" w:rsidRPr="00E00A16" w:rsidRDefault="00704AC4" w:rsidP="00704AC4">
      <w:pPr>
        <w:pStyle w:val="SingleTxt"/>
        <w:numPr>
          <w:ilvl w:val="0"/>
          <w:numId w:val="36"/>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conteste l</w:t>
      </w:r>
      <w:r w:rsidR="00582008" w:rsidRPr="00E00A16">
        <w:rPr>
          <w:lang w:val="fr-FR"/>
        </w:rPr>
        <w:t>’</w:t>
      </w:r>
      <w:r w:rsidRPr="00E00A16">
        <w:rPr>
          <w:lang w:val="fr-FR"/>
        </w:rPr>
        <w:t>argument selon lequel la Commission des recours des réfugiés n</w:t>
      </w:r>
      <w:r w:rsidR="00582008" w:rsidRPr="00E00A16">
        <w:rPr>
          <w:lang w:val="fr-FR"/>
        </w:rPr>
        <w:t>’</w:t>
      </w:r>
      <w:r w:rsidRPr="00E00A16">
        <w:rPr>
          <w:lang w:val="fr-FR"/>
        </w:rPr>
        <w:t>a pas fait cas de la Convention lors de l</w:t>
      </w:r>
      <w:r w:rsidR="00582008" w:rsidRPr="00E00A16">
        <w:rPr>
          <w:lang w:val="fr-FR"/>
        </w:rPr>
        <w:t>’</w:t>
      </w:r>
      <w:r w:rsidRPr="00E00A16">
        <w:rPr>
          <w:lang w:val="fr-FR"/>
        </w:rPr>
        <w:t>examen du dossier de l</w:t>
      </w:r>
      <w:r w:rsidR="00582008" w:rsidRPr="00E00A16">
        <w:rPr>
          <w:lang w:val="fr-FR"/>
        </w:rPr>
        <w:t>’</w:t>
      </w:r>
      <w:r w:rsidRPr="00E00A16">
        <w:rPr>
          <w:lang w:val="fr-FR"/>
        </w:rPr>
        <w:t>auteure. Il réaffirme que la Commission est légalement tenue de tenir compte des obligations internationales du Danemark et souligne que le fait qu</w:t>
      </w:r>
      <w:r w:rsidR="00582008" w:rsidRPr="00E00A16">
        <w:rPr>
          <w:lang w:val="fr-FR"/>
        </w:rPr>
        <w:t>’</w:t>
      </w:r>
      <w:r w:rsidRPr="00E00A16">
        <w:rPr>
          <w:lang w:val="fr-FR"/>
        </w:rPr>
        <w:t>elle n</w:t>
      </w:r>
      <w:r w:rsidR="00582008" w:rsidRPr="00E00A16">
        <w:rPr>
          <w:lang w:val="fr-FR"/>
        </w:rPr>
        <w:t>’</w:t>
      </w:r>
      <w:r w:rsidRPr="00E00A16">
        <w:rPr>
          <w:lang w:val="fr-FR"/>
        </w:rPr>
        <w:t>ait pas fait expressément référence à la Convention dans sa décision ne signifie pas qu</w:t>
      </w:r>
      <w:r w:rsidR="00582008" w:rsidRPr="00E00A16">
        <w:rPr>
          <w:lang w:val="fr-FR"/>
        </w:rPr>
        <w:t>’</w:t>
      </w:r>
      <w:r w:rsidRPr="00E00A16">
        <w:rPr>
          <w:lang w:val="fr-FR"/>
        </w:rPr>
        <w:t>elle n</w:t>
      </w:r>
      <w:r w:rsidR="00582008" w:rsidRPr="00E00A16">
        <w:rPr>
          <w:lang w:val="fr-FR"/>
        </w:rPr>
        <w:t>’</w:t>
      </w:r>
      <w:r w:rsidRPr="00E00A16">
        <w:rPr>
          <w:lang w:val="fr-FR"/>
        </w:rPr>
        <w:t>a pas pris ses dispositions en considération.</w:t>
      </w:r>
    </w:p>
    <w:p w14:paraId="0BC3C1F6" w14:textId="77777777" w:rsidR="00704AC4" w:rsidRPr="00E00A16" w:rsidRDefault="00704AC4" w:rsidP="00704AC4">
      <w:pPr>
        <w:pStyle w:val="SingleTxt"/>
        <w:spacing w:after="0" w:line="120" w:lineRule="exact"/>
        <w:rPr>
          <w:b/>
          <w:sz w:val="10"/>
          <w:lang w:val="fr-FR"/>
        </w:rPr>
      </w:pPr>
    </w:p>
    <w:p w14:paraId="52A67A06" w14:textId="7DC5B41E"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Commentaires de l</w:t>
      </w:r>
      <w:r w:rsidR="00582008" w:rsidRPr="00E00A16">
        <w:rPr>
          <w:lang w:val="fr-FR"/>
        </w:rPr>
        <w:t>’</w:t>
      </w:r>
      <w:r w:rsidRPr="00E00A16">
        <w:rPr>
          <w:lang w:val="fr-FR"/>
        </w:rPr>
        <w:t>auteure sur les observations de l</w:t>
      </w:r>
      <w:r w:rsidR="00582008" w:rsidRPr="00E00A16">
        <w:rPr>
          <w:lang w:val="fr-FR"/>
        </w:rPr>
        <w:t>’</w:t>
      </w:r>
      <w:r w:rsidRPr="00E00A16">
        <w:rPr>
          <w:lang w:val="fr-FR"/>
        </w:rPr>
        <w:t xml:space="preserve">État partie concernant </w:t>
      </w:r>
      <w:r w:rsidRPr="00E00A16">
        <w:rPr>
          <w:lang w:val="fr-FR"/>
        </w:rPr>
        <w:br/>
        <w:t>la recevabilité</w:t>
      </w:r>
    </w:p>
    <w:p w14:paraId="16B8A06C" w14:textId="77777777" w:rsidR="00704AC4" w:rsidRPr="00E00A16" w:rsidRDefault="00704AC4" w:rsidP="00704AC4">
      <w:pPr>
        <w:pStyle w:val="SingleTxt"/>
        <w:spacing w:after="0" w:line="120" w:lineRule="exact"/>
        <w:rPr>
          <w:sz w:val="10"/>
          <w:lang w:val="fr-FR"/>
        </w:rPr>
      </w:pPr>
    </w:p>
    <w:p w14:paraId="57A41205" w14:textId="0741B6B3"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Le 22 janvier 2016, l</w:t>
      </w:r>
      <w:r w:rsidR="00582008" w:rsidRPr="00E00A16">
        <w:rPr>
          <w:lang w:val="fr-FR"/>
        </w:rPr>
        <w:t>’</w:t>
      </w:r>
      <w:r w:rsidRPr="00E00A16">
        <w:rPr>
          <w:lang w:val="fr-FR"/>
        </w:rPr>
        <w:t>auteure a présenté ses commentaires sur les observations de l</w:t>
      </w:r>
      <w:r w:rsidR="00582008" w:rsidRPr="00E00A16">
        <w:rPr>
          <w:lang w:val="fr-FR"/>
        </w:rPr>
        <w:t>’</w:t>
      </w:r>
      <w:r w:rsidRPr="00E00A16">
        <w:rPr>
          <w:lang w:val="fr-FR"/>
        </w:rPr>
        <w:t>État partie concernant la recevabilité. Elle réaffirme qu</w:t>
      </w:r>
      <w:r w:rsidR="00582008" w:rsidRPr="00E00A16">
        <w:rPr>
          <w:lang w:val="fr-FR"/>
        </w:rPr>
        <w:t>’</w:t>
      </w:r>
      <w:r w:rsidRPr="00E00A16">
        <w:rPr>
          <w:lang w:val="fr-FR"/>
        </w:rPr>
        <w:t>elle risquerait d</w:t>
      </w:r>
      <w:r w:rsidR="00582008" w:rsidRPr="00E00A16">
        <w:rPr>
          <w:lang w:val="fr-FR"/>
        </w:rPr>
        <w:t>’</w:t>
      </w:r>
      <w:r w:rsidRPr="00E00A16">
        <w:rPr>
          <w:lang w:val="fr-FR"/>
        </w:rPr>
        <w:t>être victime de persécution sexiste si elle était renvoyée en Fédération de Russie.</w:t>
      </w:r>
    </w:p>
    <w:p w14:paraId="4C541B7D" w14:textId="0743AEC7"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avance que les crimes d</w:t>
      </w:r>
      <w:r w:rsidR="00582008" w:rsidRPr="00E00A16">
        <w:rPr>
          <w:lang w:val="fr-FR"/>
        </w:rPr>
        <w:t>’</w:t>
      </w:r>
      <w:r w:rsidRPr="00E00A16">
        <w:rPr>
          <w:lang w:val="fr-FR"/>
        </w:rPr>
        <w:t>honneur sont devenus de plus en plus fréquents en Tchétchénie ces dernières années et leurs auteurs sont rarement amenés à répondre de leurs actes en justice</w:t>
      </w:r>
      <w:r w:rsidRPr="00E12237">
        <w:rPr>
          <w:vertAlign w:val="superscript"/>
          <w:lang w:val="fr-FR"/>
        </w:rPr>
        <w:footnoteReference w:id="15"/>
      </w:r>
      <w:r w:rsidRPr="00E12237">
        <w:rPr>
          <w:lang w:val="fr-FR"/>
        </w:rPr>
        <w:t>. Elle indique que le Président tchétchène, Ramzan Kadyrov, a publiquement</w:t>
      </w:r>
      <w:r w:rsidRPr="00E00A16">
        <w:rPr>
          <w:lang w:val="fr-FR"/>
        </w:rPr>
        <w:t xml:space="preserve"> approuvé cette pratique et a fait d</w:t>
      </w:r>
      <w:r w:rsidR="00582008" w:rsidRPr="00E00A16">
        <w:rPr>
          <w:lang w:val="fr-FR"/>
        </w:rPr>
        <w:t>’</w:t>
      </w:r>
      <w:r w:rsidRPr="00E00A16">
        <w:rPr>
          <w:lang w:val="fr-FR"/>
        </w:rPr>
        <w:t>autres déclarations discriminatoires à l</w:t>
      </w:r>
      <w:r w:rsidR="00582008" w:rsidRPr="00E00A16">
        <w:rPr>
          <w:lang w:val="fr-FR"/>
        </w:rPr>
        <w:t>’</w:t>
      </w:r>
      <w:r w:rsidRPr="00E00A16">
        <w:rPr>
          <w:lang w:val="fr-FR"/>
        </w:rPr>
        <w:t>égard des femmes</w:t>
      </w:r>
      <w:r w:rsidRPr="00E12237">
        <w:rPr>
          <w:vertAlign w:val="superscript"/>
          <w:lang w:val="fr-FR"/>
        </w:rPr>
        <w:footnoteReference w:id="16"/>
      </w:r>
      <w:r w:rsidRPr="00E12237">
        <w:rPr>
          <w:lang w:val="fr-FR"/>
        </w:rPr>
        <w:t xml:space="preserve">. Elle rappelle que sa famille </w:t>
      </w:r>
      <w:r w:rsidRPr="00E12237">
        <w:rPr>
          <w:lang w:val="fr-FR"/>
        </w:rPr>
        <w:lastRenderedPageBreak/>
        <w:t>pense toujours qu</w:t>
      </w:r>
      <w:r w:rsidR="00582008" w:rsidRPr="00E12237">
        <w:rPr>
          <w:lang w:val="fr-FR"/>
        </w:rPr>
        <w:t>’</w:t>
      </w:r>
      <w:r w:rsidRPr="00E12237">
        <w:rPr>
          <w:lang w:val="fr-FR"/>
        </w:rPr>
        <w:t>elle est une « femme souillée », ce qui lui donne le droit de la tuer. Elle fait valoir qu</w:t>
      </w:r>
      <w:r w:rsidR="00582008" w:rsidRPr="00E00A16">
        <w:rPr>
          <w:lang w:val="fr-FR"/>
        </w:rPr>
        <w:t>’</w:t>
      </w:r>
      <w:r w:rsidRPr="00E00A16">
        <w:rPr>
          <w:lang w:val="fr-FR"/>
        </w:rPr>
        <w:t>elle risquerait d</w:t>
      </w:r>
      <w:r w:rsidR="00582008" w:rsidRPr="00E00A16">
        <w:rPr>
          <w:lang w:val="fr-FR"/>
        </w:rPr>
        <w:t>’</w:t>
      </w:r>
      <w:r w:rsidRPr="00E00A16">
        <w:rPr>
          <w:lang w:val="fr-FR"/>
        </w:rPr>
        <w:t>être victime d</w:t>
      </w:r>
      <w:r w:rsidR="00582008" w:rsidRPr="00E00A16">
        <w:rPr>
          <w:lang w:val="fr-FR"/>
        </w:rPr>
        <w:t>’</w:t>
      </w:r>
      <w:r w:rsidRPr="00E00A16">
        <w:rPr>
          <w:lang w:val="fr-FR"/>
        </w:rPr>
        <w:t>un crime d</w:t>
      </w:r>
      <w:r w:rsidR="00582008" w:rsidRPr="00E00A16">
        <w:rPr>
          <w:lang w:val="fr-FR"/>
        </w:rPr>
        <w:t>’</w:t>
      </w:r>
      <w:r w:rsidRPr="00E00A16">
        <w:rPr>
          <w:lang w:val="fr-FR"/>
        </w:rPr>
        <w:t>honneur si elle était expulsée.</w:t>
      </w:r>
    </w:p>
    <w:p w14:paraId="51AF63CD" w14:textId="56B043BB"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communique de nouvelles informations, à savoir que les autorités tchétchènes se rendent souvent chez sa mère pour la retrouver, ce qui, selon elle, justifie sa crainte d</w:t>
      </w:r>
      <w:r w:rsidR="00582008" w:rsidRPr="00E00A16">
        <w:rPr>
          <w:lang w:val="fr-FR"/>
        </w:rPr>
        <w:t>’</w:t>
      </w:r>
      <w:r w:rsidRPr="00E00A16">
        <w:rPr>
          <w:lang w:val="fr-FR"/>
        </w:rPr>
        <w:t>être à nouveau victime de violences sexuelles de leur part. Le 14 janvier 2016, elle a fourni deux convocations de la police, datées des 9 et 21</w:t>
      </w:r>
      <w:r w:rsidR="00CE2F3F" w:rsidRPr="00E00A16">
        <w:rPr>
          <w:lang w:val="fr-FR"/>
        </w:rPr>
        <w:t xml:space="preserve"> </w:t>
      </w:r>
      <w:r w:rsidRPr="00E00A16">
        <w:rPr>
          <w:lang w:val="fr-FR"/>
        </w:rPr>
        <w:t>avril 2015. De surcroît, sa mère lui a parlé des visites des autorités lors d</w:t>
      </w:r>
      <w:r w:rsidR="00582008" w:rsidRPr="00E00A16">
        <w:rPr>
          <w:lang w:val="fr-FR"/>
        </w:rPr>
        <w:t>’</w:t>
      </w:r>
      <w:r w:rsidRPr="00E00A16">
        <w:rPr>
          <w:lang w:val="fr-FR"/>
        </w:rPr>
        <w:t>une conversation téléphonique qui a eu lieu le</w:t>
      </w:r>
      <w:r w:rsidR="00CE2F3F" w:rsidRPr="00E00A16">
        <w:rPr>
          <w:lang w:val="fr-FR"/>
        </w:rPr>
        <w:t xml:space="preserve"> </w:t>
      </w:r>
      <w:r w:rsidRPr="00E00A16">
        <w:rPr>
          <w:lang w:val="fr-FR"/>
        </w:rPr>
        <w:t>17</w:t>
      </w:r>
      <w:r w:rsidR="00CE2F3F" w:rsidRPr="00E00A16">
        <w:rPr>
          <w:lang w:val="fr-FR"/>
        </w:rPr>
        <w:t xml:space="preserve"> </w:t>
      </w:r>
      <w:r w:rsidRPr="00E00A16">
        <w:rPr>
          <w:lang w:val="fr-FR"/>
        </w:rPr>
        <w:t>janvier 2015 ou vers cette date. Elle lui a expliqué que les autorités tchétchènes avaient arrêté son frère aîné peu de temps avant le 31 décembre 2015 et l</w:t>
      </w:r>
      <w:r w:rsidR="00582008" w:rsidRPr="00E00A16">
        <w:rPr>
          <w:lang w:val="fr-FR"/>
        </w:rPr>
        <w:t>’</w:t>
      </w:r>
      <w:r w:rsidRPr="00E00A16">
        <w:rPr>
          <w:lang w:val="fr-FR"/>
        </w:rPr>
        <w:t>avaient placé en garde à vue durant deux jours, et qu</w:t>
      </w:r>
      <w:r w:rsidR="00582008" w:rsidRPr="00E00A16">
        <w:rPr>
          <w:lang w:val="fr-FR"/>
        </w:rPr>
        <w:t>’</w:t>
      </w:r>
      <w:r w:rsidRPr="00E00A16">
        <w:rPr>
          <w:lang w:val="fr-FR"/>
        </w:rPr>
        <w:t>elle ne savait pas où se trouvait son frère cadet.</w:t>
      </w:r>
    </w:p>
    <w:p w14:paraId="50947DB2" w14:textId="6F8E8BB4"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Par ailleurs, l</w:t>
      </w:r>
      <w:r w:rsidR="00582008" w:rsidRPr="00E00A16">
        <w:rPr>
          <w:lang w:val="fr-FR"/>
        </w:rPr>
        <w:t>’</w:t>
      </w:r>
      <w:r w:rsidRPr="00E00A16">
        <w:rPr>
          <w:lang w:val="fr-FR"/>
        </w:rPr>
        <w:t>auteure soutient que le conflit en Tchétchénie s</w:t>
      </w:r>
      <w:r w:rsidR="00582008" w:rsidRPr="00E00A16">
        <w:rPr>
          <w:lang w:val="fr-FR"/>
        </w:rPr>
        <w:t>’</w:t>
      </w:r>
      <w:r w:rsidRPr="00E00A16">
        <w:rPr>
          <w:lang w:val="fr-FR"/>
        </w:rPr>
        <w:t>est envenimé. Le</w:t>
      </w:r>
      <w:r w:rsidR="00CE2F3F" w:rsidRPr="00E00A16">
        <w:rPr>
          <w:lang w:val="fr-FR"/>
        </w:rPr>
        <w:t xml:space="preserve"> </w:t>
      </w:r>
      <w:r w:rsidRPr="00E00A16">
        <w:rPr>
          <w:lang w:val="fr-FR"/>
        </w:rPr>
        <w:t>Président Kadyrov a réagi vigoureusement aux « attaques » lancées contre Grozny le</w:t>
      </w:r>
      <w:r w:rsidR="00CE2F3F" w:rsidRPr="00E00A16">
        <w:rPr>
          <w:lang w:val="fr-FR"/>
        </w:rPr>
        <w:t xml:space="preserve"> </w:t>
      </w:r>
      <w:r w:rsidRPr="00E00A16">
        <w:rPr>
          <w:lang w:val="fr-FR"/>
        </w:rPr>
        <w:t>4 décembre 2014 et s</w:t>
      </w:r>
      <w:r w:rsidR="00582008" w:rsidRPr="00E00A16">
        <w:rPr>
          <w:lang w:val="fr-FR"/>
        </w:rPr>
        <w:t>’</w:t>
      </w:r>
      <w:r w:rsidRPr="00E00A16">
        <w:rPr>
          <w:lang w:val="fr-FR"/>
        </w:rPr>
        <w:t>en est pris aux proches des insurgés en ordonnant leur expulsion de</w:t>
      </w:r>
      <w:r w:rsidR="00CE2F3F" w:rsidRPr="00E00A16">
        <w:rPr>
          <w:lang w:val="fr-FR"/>
        </w:rPr>
        <w:t xml:space="preserve"> </w:t>
      </w:r>
      <w:r w:rsidRPr="00E00A16">
        <w:rPr>
          <w:lang w:val="fr-FR"/>
        </w:rPr>
        <w:t>Tchétchénie et la destruction de leurs logements</w:t>
      </w:r>
      <w:r w:rsidRPr="00E12237">
        <w:rPr>
          <w:vertAlign w:val="superscript"/>
          <w:lang w:val="fr-FR"/>
        </w:rPr>
        <w:footnoteReference w:id="17"/>
      </w:r>
      <w:r w:rsidRPr="00E12237">
        <w:rPr>
          <w:lang w:val="fr-FR"/>
        </w:rPr>
        <w:t>. L</w:t>
      </w:r>
      <w:r w:rsidR="00582008" w:rsidRPr="00E12237">
        <w:rPr>
          <w:lang w:val="fr-FR"/>
        </w:rPr>
        <w:t>’</w:t>
      </w:r>
      <w:r w:rsidRPr="00E12237">
        <w:rPr>
          <w:lang w:val="fr-FR"/>
        </w:rPr>
        <w:t>auteure constate qu</w:t>
      </w:r>
      <w:r w:rsidR="00582008" w:rsidRPr="00E00A16">
        <w:rPr>
          <w:lang w:val="fr-FR"/>
        </w:rPr>
        <w:t>’</w:t>
      </w:r>
      <w:r w:rsidRPr="00E00A16">
        <w:rPr>
          <w:lang w:val="fr-FR"/>
        </w:rPr>
        <w:t>un mois après que le Président Kadyrov a fait cette déclaration, au moins 1</w:t>
      </w:r>
      <w:r w:rsidR="00CE2F3F" w:rsidRPr="00E00A16">
        <w:rPr>
          <w:lang w:val="fr-FR"/>
        </w:rPr>
        <w:t xml:space="preserve">5 </w:t>
      </w:r>
      <w:r w:rsidRPr="00E00A16">
        <w:rPr>
          <w:lang w:val="fr-FR"/>
        </w:rPr>
        <w:t>maisons ont été détruites</w:t>
      </w:r>
      <w:r w:rsidRPr="00E12237">
        <w:rPr>
          <w:vertAlign w:val="superscript"/>
          <w:lang w:val="fr-FR"/>
        </w:rPr>
        <w:footnoteReference w:id="18"/>
      </w:r>
      <w:r w:rsidRPr="00E12237">
        <w:rPr>
          <w:lang w:val="fr-FR"/>
        </w:rPr>
        <w:t>. Elle rappelle qu</w:t>
      </w:r>
      <w:r w:rsidR="00582008" w:rsidRPr="00E12237">
        <w:rPr>
          <w:lang w:val="fr-FR"/>
        </w:rPr>
        <w:t>’</w:t>
      </w:r>
      <w:r w:rsidRPr="00E12237">
        <w:rPr>
          <w:lang w:val="fr-FR"/>
        </w:rPr>
        <w:t>elle demande l</w:t>
      </w:r>
      <w:r w:rsidR="00582008" w:rsidRPr="007815D5">
        <w:rPr>
          <w:lang w:val="fr-FR"/>
        </w:rPr>
        <w:t>’</w:t>
      </w:r>
      <w:r w:rsidRPr="007815D5">
        <w:rPr>
          <w:lang w:val="fr-FR"/>
        </w:rPr>
        <w:t>asile parce qu</w:t>
      </w:r>
      <w:r w:rsidR="00582008" w:rsidRPr="007815D5">
        <w:rPr>
          <w:lang w:val="fr-FR"/>
        </w:rPr>
        <w:t>’</w:t>
      </w:r>
      <w:r w:rsidRPr="007815D5">
        <w:rPr>
          <w:lang w:val="fr-FR"/>
        </w:rPr>
        <w:t xml:space="preserve">elle est </w:t>
      </w:r>
      <w:r w:rsidRPr="00E00A16">
        <w:rPr>
          <w:lang w:val="fr-FR"/>
        </w:rPr>
        <w:t>officiellement considérée comme une partisane des rebelles, voire pire, étant donné qu</w:t>
      </w:r>
      <w:r w:rsidR="00582008" w:rsidRPr="00E00A16">
        <w:rPr>
          <w:lang w:val="fr-FR"/>
        </w:rPr>
        <w:t>’</w:t>
      </w:r>
      <w:r w:rsidRPr="00E00A16">
        <w:rPr>
          <w:lang w:val="fr-FR"/>
        </w:rPr>
        <w:t>elle a soigné son cousin, un rebelle tchétchène, d</w:t>
      </w:r>
      <w:r w:rsidR="00582008" w:rsidRPr="00E00A16">
        <w:rPr>
          <w:lang w:val="fr-FR"/>
        </w:rPr>
        <w:t>’</w:t>
      </w:r>
      <w:r w:rsidRPr="00E00A16">
        <w:rPr>
          <w:lang w:val="fr-FR"/>
        </w:rPr>
        <w:t>une blessure qu</w:t>
      </w:r>
      <w:r w:rsidR="00582008" w:rsidRPr="00E00A16">
        <w:rPr>
          <w:lang w:val="fr-FR"/>
        </w:rPr>
        <w:t>’</w:t>
      </w:r>
      <w:r w:rsidRPr="00E00A16">
        <w:rPr>
          <w:lang w:val="fr-FR"/>
        </w:rPr>
        <w:t>il aurait reçue au cours d</w:t>
      </w:r>
      <w:r w:rsidR="00582008" w:rsidRPr="00E00A16">
        <w:rPr>
          <w:lang w:val="fr-FR"/>
        </w:rPr>
        <w:t>’</w:t>
      </w:r>
      <w:r w:rsidRPr="00E00A16">
        <w:rPr>
          <w:lang w:val="fr-FR"/>
        </w:rPr>
        <w:t>une altercation avec les autorités tchétchènes.</w:t>
      </w:r>
    </w:p>
    <w:p w14:paraId="6BA707C7" w14:textId="35B435DA"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affirme que les informations susmentionnées viennent corroborer les renseignements qu</w:t>
      </w:r>
      <w:r w:rsidR="00582008" w:rsidRPr="00E00A16">
        <w:rPr>
          <w:lang w:val="fr-FR"/>
        </w:rPr>
        <w:t>’</w:t>
      </w:r>
      <w:r w:rsidRPr="00E00A16">
        <w:rPr>
          <w:lang w:val="fr-FR"/>
        </w:rPr>
        <w:t>elle a communiqués aux autorités danoises dans sa demande d</w:t>
      </w:r>
      <w:r w:rsidR="00582008" w:rsidRPr="00E00A16">
        <w:rPr>
          <w:lang w:val="fr-FR"/>
        </w:rPr>
        <w:t>’</w:t>
      </w:r>
      <w:r w:rsidRPr="00E00A16">
        <w:rPr>
          <w:lang w:val="fr-FR"/>
        </w:rPr>
        <w:t>asile, ce qui est un gage de sa crédibilité. Elle fait observer qu</w:t>
      </w:r>
      <w:r w:rsidR="00582008" w:rsidRPr="00E00A16">
        <w:rPr>
          <w:lang w:val="fr-FR"/>
        </w:rPr>
        <w:t>’</w:t>
      </w:r>
      <w:r w:rsidRPr="00E00A16">
        <w:rPr>
          <w:lang w:val="fr-FR"/>
        </w:rPr>
        <w:t>il lui est difficile de fournir des preuves compte tenu du risque de subir des violences de la part des autorités tchétchènes et de sa famille. Elle rappelle que l</w:t>
      </w:r>
      <w:r w:rsidR="00582008" w:rsidRPr="00E00A16">
        <w:rPr>
          <w:lang w:val="fr-FR"/>
        </w:rPr>
        <w:t>’</w:t>
      </w:r>
      <w:r w:rsidRPr="00E00A16">
        <w:rPr>
          <w:lang w:val="fr-FR"/>
        </w:rPr>
        <w:t>État partie ne peut pas renvoyer un demandeur d</w:t>
      </w:r>
      <w:r w:rsidR="00582008" w:rsidRPr="00E00A16">
        <w:rPr>
          <w:lang w:val="fr-FR"/>
        </w:rPr>
        <w:t>’</w:t>
      </w:r>
      <w:r w:rsidRPr="00E00A16">
        <w:rPr>
          <w:lang w:val="fr-FR"/>
        </w:rPr>
        <w:t>asile dans son pays d</w:t>
      </w:r>
      <w:r w:rsidR="00582008" w:rsidRPr="00E00A16">
        <w:rPr>
          <w:lang w:val="fr-FR"/>
        </w:rPr>
        <w:t>’</w:t>
      </w:r>
      <w:r w:rsidRPr="00E00A16">
        <w:rPr>
          <w:lang w:val="fr-FR"/>
        </w:rPr>
        <w:t>origine s</w:t>
      </w:r>
      <w:r w:rsidR="00582008" w:rsidRPr="00E00A16">
        <w:rPr>
          <w:lang w:val="fr-FR"/>
        </w:rPr>
        <w:t>’</w:t>
      </w:r>
      <w:r w:rsidRPr="00E00A16">
        <w:rPr>
          <w:lang w:val="fr-FR"/>
        </w:rPr>
        <w:t>il court un danger imminent d</w:t>
      </w:r>
      <w:r w:rsidR="00582008" w:rsidRPr="00E00A16">
        <w:rPr>
          <w:lang w:val="fr-FR"/>
        </w:rPr>
        <w:t>’</w:t>
      </w:r>
      <w:r w:rsidRPr="00E00A16">
        <w:rPr>
          <w:lang w:val="fr-FR"/>
        </w:rPr>
        <w:t>être maltraité. Elle se réfère à l</w:t>
      </w:r>
      <w:r w:rsidR="00582008" w:rsidRPr="00E00A16">
        <w:rPr>
          <w:lang w:val="fr-FR"/>
        </w:rPr>
        <w:t>’</w:t>
      </w:r>
      <w:r w:rsidRPr="00E00A16">
        <w:rPr>
          <w:lang w:val="fr-FR"/>
        </w:rPr>
        <w:t xml:space="preserve">affaire </w:t>
      </w:r>
      <w:r w:rsidRPr="00E00A16">
        <w:rPr>
          <w:i/>
          <w:iCs/>
          <w:lang w:val="fr-FR"/>
        </w:rPr>
        <w:t xml:space="preserve">A. </w:t>
      </w:r>
      <w:r w:rsidRPr="00E00A16">
        <w:rPr>
          <w:lang w:val="fr-FR"/>
        </w:rPr>
        <w:t>c. </w:t>
      </w:r>
      <w:r w:rsidRPr="00E00A16">
        <w:rPr>
          <w:i/>
          <w:iCs/>
          <w:lang w:val="fr-FR"/>
        </w:rPr>
        <w:t>Danemark</w:t>
      </w:r>
      <w:r w:rsidRPr="00E12237">
        <w:rPr>
          <w:vertAlign w:val="superscript"/>
          <w:lang w:val="fr-FR"/>
        </w:rPr>
        <w:footnoteReference w:id="19"/>
      </w:r>
      <w:r w:rsidRPr="00E12237">
        <w:rPr>
          <w:lang w:val="fr-FR"/>
        </w:rPr>
        <w:t>, dans laquelle le Comité a fait observer que les États parties devaient tenir compte du fait que le critère applicable en ce qui concernait l</w:t>
      </w:r>
      <w:r w:rsidR="00582008" w:rsidRPr="00E00A16">
        <w:rPr>
          <w:lang w:val="fr-FR"/>
        </w:rPr>
        <w:t>’</w:t>
      </w:r>
      <w:r w:rsidRPr="00E00A16">
        <w:rPr>
          <w:lang w:val="fr-FR"/>
        </w:rPr>
        <w:t>octroi de l</w:t>
      </w:r>
      <w:r w:rsidR="00582008" w:rsidRPr="00E00A16">
        <w:rPr>
          <w:lang w:val="fr-FR"/>
        </w:rPr>
        <w:t>’</w:t>
      </w:r>
      <w:r w:rsidRPr="00E00A16">
        <w:rPr>
          <w:lang w:val="fr-FR"/>
        </w:rPr>
        <w:t>asile était non la probabilité absolue, mais la probabilité raisonnable, que le demandeur risque d</w:t>
      </w:r>
      <w:r w:rsidR="00582008" w:rsidRPr="00E00A16">
        <w:rPr>
          <w:lang w:val="fr-FR"/>
        </w:rPr>
        <w:t>’</w:t>
      </w:r>
      <w:r w:rsidRPr="00E00A16">
        <w:rPr>
          <w:lang w:val="fr-FR"/>
        </w:rPr>
        <w:t>être persécuté à son retour dans son pays ou craigne à juste titre de l</w:t>
      </w:r>
      <w:r w:rsidR="00582008" w:rsidRPr="00E00A16">
        <w:rPr>
          <w:lang w:val="fr-FR"/>
        </w:rPr>
        <w:t>’</w:t>
      </w:r>
      <w:r w:rsidRPr="00E00A16">
        <w:rPr>
          <w:lang w:val="fr-FR"/>
        </w:rPr>
        <w:t>être. L</w:t>
      </w:r>
      <w:r w:rsidR="00582008" w:rsidRPr="00E00A16">
        <w:rPr>
          <w:lang w:val="fr-FR"/>
        </w:rPr>
        <w:t>’</w:t>
      </w:r>
      <w:r w:rsidRPr="00E00A16">
        <w:rPr>
          <w:lang w:val="fr-FR"/>
        </w:rPr>
        <w:t>auteure souligne qu</w:t>
      </w:r>
      <w:r w:rsidR="00582008" w:rsidRPr="00E00A16">
        <w:rPr>
          <w:lang w:val="fr-FR"/>
        </w:rPr>
        <w:t>’</w:t>
      </w:r>
      <w:r w:rsidRPr="00E00A16">
        <w:rPr>
          <w:lang w:val="fr-FR"/>
        </w:rPr>
        <w:t>elle a été violée et a subi des traitements cruels et inhumains qui s</w:t>
      </w:r>
      <w:r w:rsidR="00582008" w:rsidRPr="00E00A16">
        <w:rPr>
          <w:lang w:val="fr-FR"/>
        </w:rPr>
        <w:t>’</w:t>
      </w:r>
      <w:r w:rsidRPr="00E00A16">
        <w:rPr>
          <w:lang w:val="fr-FR"/>
        </w:rPr>
        <w:t>apparentent à des actes de torture. Elle renvoie à la décision rendue dans l</w:t>
      </w:r>
      <w:r w:rsidR="00582008" w:rsidRPr="00E00A16">
        <w:rPr>
          <w:lang w:val="fr-FR"/>
        </w:rPr>
        <w:t>’</w:t>
      </w:r>
      <w:r w:rsidRPr="00E00A16">
        <w:rPr>
          <w:lang w:val="fr-FR"/>
        </w:rPr>
        <w:t xml:space="preserve">affaire </w:t>
      </w:r>
      <w:r w:rsidRPr="00E00A16">
        <w:rPr>
          <w:i/>
          <w:iCs/>
          <w:lang w:val="fr-FR"/>
        </w:rPr>
        <w:t xml:space="preserve">Rong </w:t>
      </w:r>
      <w:r w:rsidRPr="00E00A16">
        <w:rPr>
          <w:lang w:val="fr-FR"/>
        </w:rPr>
        <w:t>c. </w:t>
      </w:r>
      <w:r w:rsidRPr="00E00A16">
        <w:rPr>
          <w:i/>
          <w:iCs/>
          <w:lang w:val="fr-FR"/>
        </w:rPr>
        <w:t>Australie</w:t>
      </w:r>
      <w:r w:rsidRPr="00E12237">
        <w:rPr>
          <w:vertAlign w:val="superscript"/>
          <w:lang w:val="fr-FR"/>
        </w:rPr>
        <w:footnoteReference w:id="20"/>
      </w:r>
      <w:r w:rsidRPr="00E12237">
        <w:rPr>
          <w:lang w:val="fr-FR"/>
        </w:rPr>
        <w:t>, dans laquelle le Comité contre la torture a constaté que l</w:t>
      </w:r>
      <w:r w:rsidR="00582008" w:rsidRPr="00E00A16">
        <w:rPr>
          <w:lang w:val="fr-FR"/>
        </w:rPr>
        <w:t>’</w:t>
      </w:r>
      <w:r w:rsidRPr="00E00A16">
        <w:rPr>
          <w:lang w:val="fr-FR"/>
        </w:rPr>
        <w:t>on ne pouvait guère s</w:t>
      </w:r>
      <w:r w:rsidR="00582008" w:rsidRPr="00E00A16">
        <w:rPr>
          <w:lang w:val="fr-FR"/>
        </w:rPr>
        <w:t>’</w:t>
      </w:r>
      <w:r w:rsidRPr="00E00A16">
        <w:rPr>
          <w:lang w:val="fr-FR"/>
        </w:rPr>
        <w:t>attendre à ce que le récit d</w:t>
      </w:r>
      <w:r w:rsidR="00582008" w:rsidRPr="00E00A16">
        <w:rPr>
          <w:lang w:val="fr-FR"/>
        </w:rPr>
        <w:t>’</w:t>
      </w:r>
      <w:r w:rsidRPr="00E00A16">
        <w:rPr>
          <w:lang w:val="fr-FR"/>
        </w:rPr>
        <w:t>une victime de la torture soit d</w:t>
      </w:r>
      <w:r w:rsidR="00582008" w:rsidRPr="00E00A16">
        <w:rPr>
          <w:lang w:val="fr-FR"/>
        </w:rPr>
        <w:t>’</w:t>
      </w:r>
      <w:r w:rsidRPr="00E00A16">
        <w:rPr>
          <w:lang w:val="fr-FR"/>
        </w:rPr>
        <w:t>une parfaite exactitude. Elle renvoie également à l</w:t>
      </w:r>
      <w:r w:rsidR="00582008" w:rsidRPr="00E00A16">
        <w:rPr>
          <w:lang w:val="fr-FR"/>
        </w:rPr>
        <w:t>’</w:t>
      </w:r>
      <w:r w:rsidRPr="00E00A16">
        <w:rPr>
          <w:lang w:val="fr-FR"/>
        </w:rPr>
        <w:t>opinion individuelle formulée par un membre du Comité des droits de l</w:t>
      </w:r>
      <w:r w:rsidR="00582008" w:rsidRPr="00E00A16">
        <w:rPr>
          <w:lang w:val="fr-FR"/>
        </w:rPr>
        <w:t>’</w:t>
      </w:r>
      <w:r w:rsidRPr="00E00A16">
        <w:rPr>
          <w:lang w:val="fr-FR"/>
        </w:rPr>
        <w:t>homme dans l</w:t>
      </w:r>
      <w:r w:rsidR="00582008" w:rsidRPr="00E00A16">
        <w:rPr>
          <w:lang w:val="fr-FR"/>
        </w:rPr>
        <w:t>’</w:t>
      </w:r>
      <w:r w:rsidRPr="00E00A16">
        <w:rPr>
          <w:lang w:val="fr-FR"/>
        </w:rPr>
        <w:t xml:space="preserve">affaire </w:t>
      </w:r>
      <w:r w:rsidRPr="00E00A16">
        <w:rPr>
          <w:i/>
          <w:iCs/>
          <w:lang w:val="fr-FR"/>
        </w:rPr>
        <w:t xml:space="preserve">P. T. </w:t>
      </w:r>
      <w:r w:rsidRPr="00E00A16">
        <w:rPr>
          <w:lang w:val="fr-FR"/>
        </w:rPr>
        <w:t>c.</w:t>
      </w:r>
      <w:r w:rsidRPr="00E00A16">
        <w:rPr>
          <w:i/>
          <w:iCs/>
          <w:lang w:val="fr-FR"/>
        </w:rPr>
        <w:t> Danemark</w:t>
      </w:r>
      <w:r w:rsidRPr="00E12237">
        <w:rPr>
          <w:vertAlign w:val="superscript"/>
          <w:lang w:val="fr-FR"/>
        </w:rPr>
        <w:footnoteReference w:id="21"/>
      </w:r>
      <w:r w:rsidRPr="00E12237">
        <w:rPr>
          <w:lang w:val="fr-FR"/>
        </w:rPr>
        <w:t>, selon laquelle, en cas de doute, ce Comité doit de manière générale choisir la solution la plus favorable à la victime présumée.</w:t>
      </w:r>
    </w:p>
    <w:p w14:paraId="01E24FA3" w14:textId="0BA09D09" w:rsidR="00704AC4" w:rsidRPr="00E00A16" w:rsidRDefault="00704AC4" w:rsidP="00704AC4">
      <w:pPr>
        <w:pStyle w:val="SingleTxt"/>
        <w:numPr>
          <w:ilvl w:val="0"/>
          <w:numId w:val="37"/>
        </w:numPr>
        <w:tabs>
          <w:tab w:val="left" w:pos="1742"/>
        </w:tabs>
        <w:spacing w:line="240" w:lineRule="exact"/>
        <w:rPr>
          <w:lang w:val="fr-FR"/>
        </w:rPr>
      </w:pPr>
      <w:r w:rsidRPr="00E00A16">
        <w:rPr>
          <w:lang w:val="fr-FR"/>
        </w:rPr>
        <w:t>En outre, l</w:t>
      </w:r>
      <w:r w:rsidR="00582008" w:rsidRPr="00E00A16">
        <w:rPr>
          <w:lang w:val="fr-FR"/>
        </w:rPr>
        <w:t>’</w:t>
      </w:r>
      <w:r w:rsidRPr="00E00A16">
        <w:rPr>
          <w:lang w:val="fr-FR"/>
        </w:rPr>
        <w:t>auteure rejette l</w:t>
      </w:r>
      <w:r w:rsidR="00582008" w:rsidRPr="00E00A16">
        <w:rPr>
          <w:lang w:val="fr-FR"/>
        </w:rPr>
        <w:t>’</w:t>
      </w:r>
      <w:r w:rsidRPr="00E00A16">
        <w:rPr>
          <w:lang w:val="fr-FR"/>
        </w:rPr>
        <w:t>allégation de l</w:t>
      </w:r>
      <w:r w:rsidR="00582008" w:rsidRPr="00E00A16">
        <w:rPr>
          <w:lang w:val="fr-FR"/>
        </w:rPr>
        <w:t>’</w:t>
      </w:r>
      <w:r w:rsidRPr="00E00A16">
        <w:rPr>
          <w:lang w:val="fr-FR"/>
        </w:rPr>
        <w:t xml:space="preserve">État partie selon laquelle la Commission des recours des réfugiés a tenu compte de la Convention dans sa décision du 31 août 2015. Elle se réfère aux affaires </w:t>
      </w:r>
      <w:r w:rsidRPr="00E00A16">
        <w:rPr>
          <w:i/>
          <w:iCs/>
          <w:lang w:val="fr-FR"/>
        </w:rPr>
        <w:t>M.</w:t>
      </w:r>
      <w:r w:rsidR="003506A6" w:rsidRPr="00E00A16">
        <w:rPr>
          <w:i/>
          <w:iCs/>
          <w:lang w:val="fr-FR"/>
        </w:rPr>
        <w:t xml:space="preserve"> </w:t>
      </w:r>
      <w:r w:rsidRPr="00E00A16">
        <w:rPr>
          <w:i/>
          <w:iCs/>
          <w:lang w:val="fr-FR"/>
        </w:rPr>
        <w:t>N.</w:t>
      </w:r>
      <w:r w:rsidR="003506A6" w:rsidRPr="00E00A16">
        <w:rPr>
          <w:i/>
          <w:iCs/>
          <w:lang w:val="fr-FR"/>
        </w:rPr>
        <w:t xml:space="preserve"> </w:t>
      </w:r>
      <w:r w:rsidRPr="00E00A16">
        <w:rPr>
          <w:i/>
          <w:iCs/>
          <w:lang w:val="fr-FR"/>
        </w:rPr>
        <w:t xml:space="preserve">N. </w:t>
      </w:r>
      <w:r w:rsidRPr="00E00A16">
        <w:rPr>
          <w:lang w:val="fr-FR"/>
        </w:rPr>
        <w:t>c.</w:t>
      </w:r>
      <w:r w:rsidRPr="00E00A16">
        <w:rPr>
          <w:i/>
          <w:iCs/>
          <w:lang w:val="fr-FR"/>
        </w:rPr>
        <w:t> Danemark</w:t>
      </w:r>
      <w:r w:rsidRPr="00E00A16">
        <w:rPr>
          <w:lang w:val="fr-FR"/>
        </w:rPr>
        <w:t xml:space="preserve"> et </w:t>
      </w:r>
      <w:r w:rsidRPr="00E00A16">
        <w:rPr>
          <w:i/>
          <w:iCs/>
          <w:lang w:val="fr-FR"/>
        </w:rPr>
        <w:t xml:space="preserve">A. </w:t>
      </w:r>
      <w:r w:rsidRPr="00E00A16">
        <w:rPr>
          <w:lang w:val="fr-FR"/>
        </w:rPr>
        <w:t>c.</w:t>
      </w:r>
      <w:r w:rsidRPr="00E00A16">
        <w:rPr>
          <w:i/>
          <w:iCs/>
          <w:lang w:val="fr-FR"/>
        </w:rPr>
        <w:t> Danemark</w:t>
      </w:r>
      <w:r w:rsidRPr="00E00A16">
        <w:rPr>
          <w:lang w:val="fr-FR"/>
        </w:rPr>
        <w:t>, dans lesquelles le</w:t>
      </w:r>
      <w:r w:rsidR="003506A6" w:rsidRPr="00E00A16">
        <w:rPr>
          <w:lang w:val="fr-FR"/>
        </w:rPr>
        <w:t xml:space="preserve"> </w:t>
      </w:r>
      <w:r w:rsidRPr="00E00A16">
        <w:rPr>
          <w:lang w:val="fr-FR"/>
        </w:rPr>
        <w:t>Comité pour l</w:t>
      </w:r>
      <w:r w:rsidR="00582008" w:rsidRPr="00E00A16">
        <w:rPr>
          <w:lang w:val="fr-FR"/>
        </w:rPr>
        <w:t>’</w:t>
      </w:r>
      <w:r w:rsidRPr="00E00A16">
        <w:rPr>
          <w:lang w:val="fr-FR"/>
        </w:rPr>
        <w:t>élimination de la discrimination à l</w:t>
      </w:r>
      <w:r w:rsidR="00582008" w:rsidRPr="00E00A16">
        <w:rPr>
          <w:lang w:val="fr-FR"/>
        </w:rPr>
        <w:t>’</w:t>
      </w:r>
      <w:r w:rsidRPr="00E00A16">
        <w:rPr>
          <w:lang w:val="fr-FR"/>
        </w:rPr>
        <w:t>égard des femmes a estimé que l</w:t>
      </w:r>
      <w:r w:rsidR="00582008" w:rsidRPr="00E00A16">
        <w:rPr>
          <w:lang w:val="fr-FR"/>
        </w:rPr>
        <w:t>’</w:t>
      </w:r>
      <w:r w:rsidRPr="00E00A16">
        <w:rPr>
          <w:lang w:val="fr-FR"/>
        </w:rPr>
        <w:t>État partie qui renvoyait une personne dans un État où elle était susceptible de subir de graves violences sexistes enfreignait la Convention</w:t>
      </w:r>
      <w:r w:rsidRPr="00E12237">
        <w:rPr>
          <w:vertAlign w:val="superscript"/>
          <w:lang w:val="fr-FR"/>
        </w:rPr>
        <w:footnoteReference w:id="22"/>
      </w:r>
      <w:r w:rsidRPr="00E12237">
        <w:rPr>
          <w:lang w:val="fr-FR"/>
        </w:rPr>
        <w:t xml:space="preserve">. </w:t>
      </w:r>
      <w:r w:rsidRPr="00E12237">
        <w:rPr>
          <w:lang w:val="fr-FR"/>
        </w:rPr>
        <w:lastRenderedPageBreak/>
        <w:t>Elle rappelle que sa mère lui a dit que son frère avait l</w:t>
      </w:r>
      <w:r w:rsidR="00582008" w:rsidRPr="00E12237">
        <w:rPr>
          <w:lang w:val="fr-FR"/>
        </w:rPr>
        <w:t>’</w:t>
      </w:r>
      <w:r w:rsidRPr="00E12237">
        <w:rPr>
          <w:lang w:val="fr-FR"/>
        </w:rPr>
        <w:t>intention de commettre un crime d</w:t>
      </w:r>
      <w:r w:rsidR="00582008" w:rsidRPr="00E00A16">
        <w:rPr>
          <w:lang w:val="fr-FR"/>
        </w:rPr>
        <w:t>’</w:t>
      </w:r>
      <w:r w:rsidRPr="00E00A16">
        <w:rPr>
          <w:lang w:val="fr-FR"/>
        </w:rPr>
        <w:t>honneur.</w:t>
      </w:r>
    </w:p>
    <w:p w14:paraId="3C25DF6F" w14:textId="77777777" w:rsidR="00704AC4" w:rsidRPr="00E00A16" w:rsidRDefault="00704AC4" w:rsidP="00704AC4">
      <w:pPr>
        <w:pStyle w:val="SingleTxt"/>
        <w:spacing w:after="0" w:line="120" w:lineRule="exact"/>
        <w:rPr>
          <w:b/>
          <w:sz w:val="10"/>
          <w:lang w:val="fr-FR"/>
        </w:rPr>
      </w:pPr>
    </w:p>
    <w:p w14:paraId="6215DAE2" w14:textId="67B7483C"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Observations de l</w:t>
      </w:r>
      <w:r w:rsidR="00582008" w:rsidRPr="00E00A16">
        <w:rPr>
          <w:lang w:val="fr-FR"/>
        </w:rPr>
        <w:t>’</w:t>
      </w:r>
      <w:r w:rsidRPr="00E00A16">
        <w:rPr>
          <w:lang w:val="fr-FR"/>
        </w:rPr>
        <w:t>État partie sur le fond</w:t>
      </w:r>
    </w:p>
    <w:p w14:paraId="66061AA0" w14:textId="77777777" w:rsidR="00704AC4" w:rsidRPr="00E00A16" w:rsidRDefault="00704AC4" w:rsidP="00704AC4">
      <w:pPr>
        <w:pStyle w:val="SingleTxt"/>
        <w:spacing w:after="0" w:line="120" w:lineRule="exact"/>
        <w:rPr>
          <w:sz w:val="10"/>
          <w:lang w:val="fr-FR"/>
        </w:rPr>
      </w:pPr>
    </w:p>
    <w:p w14:paraId="7B7AF28E" w14:textId="7D9345B7"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Dans une note verbale datée du 22</w:t>
      </w:r>
      <w:r w:rsidR="003506A6" w:rsidRPr="00E00A16">
        <w:rPr>
          <w:lang w:val="fr-FR"/>
        </w:rPr>
        <w:t xml:space="preserve"> </w:t>
      </w:r>
      <w:r w:rsidRPr="00E00A16">
        <w:rPr>
          <w:lang w:val="fr-FR"/>
        </w:rPr>
        <w:t>décembre 2016</w:t>
      </w:r>
      <w:r w:rsidRPr="00E12237">
        <w:rPr>
          <w:vertAlign w:val="superscript"/>
          <w:lang w:val="fr-FR"/>
        </w:rPr>
        <w:footnoteReference w:id="23"/>
      </w:r>
      <w:r w:rsidRPr="00E12237">
        <w:rPr>
          <w:lang w:val="fr-FR"/>
        </w:rPr>
        <w:t>, l</w:t>
      </w:r>
      <w:r w:rsidR="00582008" w:rsidRPr="00E12237">
        <w:rPr>
          <w:lang w:val="fr-FR"/>
        </w:rPr>
        <w:t>’</w:t>
      </w:r>
      <w:r w:rsidRPr="00E12237">
        <w:rPr>
          <w:lang w:val="fr-FR"/>
        </w:rPr>
        <w:t xml:space="preserve">État partie a présenté ses observations sur le fond de la communication. Il réaffirme que celle-ci devrait être </w:t>
      </w:r>
      <w:r w:rsidRPr="00E00A16">
        <w:rPr>
          <w:lang w:val="fr-FR"/>
        </w:rPr>
        <w:t>déclarée irrecevable au regard de l</w:t>
      </w:r>
      <w:r w:rsidR="00582008" w:rsidRPr="00E00A16">
        <w:rPr>
          <w:lang w:val="fr-FR"/>
        </w:rPr>
        <w:t>’</w:t>
      </w:r>
      <w:r w:rsidRPr="00E00A16">
        <w:rPr>
          <w:lang w:val="fr-FR"/>
        </w:rPr>
        <w:t>alinéa</w:t>
      </w:r>
      <w:r w:rsidR="003506A6" w:rsidRPr="00E00A16">
        <w:rPr>
          <w:lang w:val="fr-FR"/>
        </w:rPr>
        <w:t xml:space="preserve"> </w:t>
      </w:r>
      <w:r w:rsidRPr="00E00A16">
        <w:rPr>
          <w:lang w:val="fr-FR"/>
        </w:rPr>
        <w:t>c) du paragraphe</w:t>
      </w:r>
      <w:r w:rsidR="003506A6" w:rsidRPr="00E00A16">
        <w:rPr>
          <w:lang w:val="fr-FR"/>
        </w:rPr>
        <w:t> </w:t>
      </w:r>
      <w:r w:rsidRPr="00E00A16">
        <w:rPr>
          <w:lang w:val="fr-FR"/>
        </w:rPr>
        <w:t>2 de l</w:t>
      </w:r>
      <w:r w:rsidR="00582008" w:rsidRPr="00E00A16">
        <w:rPr>
          <w:lang w:val="fr-FR"/>
        </w:rPr>
        <w:t>’</w:t>
      </w:r>
      <w:r w:rsidRPr="00E00A16">
        <w:rPr>
          <w:lang w:val="fr-FR"/>
        </w:rPr>
        <w:t>article 4 du Protocole facultatif car elle est manifestement infondée et l</w:t>
      </w:r>
      <w:r w:rsidR="00582008" w:rsidRPr="00E00A16">
        <w:rPr>
          <w:lang w:val="fr-FR"/>
        </w:rPr>
        <w:t>’</w:t>
      </w:r>
      <w:r w:rsidRPr="00E00A16">
        <w:rPr>
          <w:lang w:val="fr-FR"/>
        </w:rPr>
        <w:t>auteure n</w:t>
      </w:r>
      <w:r w:rsidR="00582008" w:rsidRPr="00E00A16">
        <w:rPr>
          <w:lang w:val="fr-FR"/>
        </w:rPr>
        <w:t>’</w:t>
      </w:r>
      <w:r w:rsidRPr="00E00A16">
        <w:rPr>
          <w:lang w:val="fr-FR"/>
        </w:rPr>
        <w:t>a pas été en mesure d</w:t>
      </w:r>
      <w:r w:rsidR="00582008" w:rsidRPr="00E00A16">
        <w:rPr>
          <w:lang w:val="fr-FR"/>
        </w:rPr>
        <w:t>’</w:t>
      </w:r>
      <w:r w:rsidRPr="00E00A16">
        <w:rPr>
          <w:lang w:val="fr-FR"/>
        </w:rPr>
        <w:t>établir qu</w:t>
      </w:r>
      <w:r w:rsidR="00582008" w:rsidRPr="00E00A16">
        <w:rPr>
          <w:lang w:val="fr-FR"/>
        </w:rPr>
        <w:t>’</w:t>
      </w:r>
      <w:r w:rsidRPr="00E00A16">
        <w:rPr>
          <w:lang w:val="fr-FR"/>
        </w:rPr>
        <w:t>elle était à première vue recevable. Au cas où le Comité jugerait la communication recevable, l</w:t>
      </w:r>
      <w:r w:rsidR="00582008" w:rsidRPr="00E00A16">
        <w:rPr>
          <w:lang w:val="fr-FR"/>
        </w:rPr>
        <w:t>’</w:t>
      </w:r>
      <w:r w:rsidRPr="00E00A16">
        <w:rPr>
          <w:lang w:val="fr-FR"/>
        </w:rPr>
        <w:t>État partie soutient que l</w:t>
      </w:r>
      <w:r w:rsidR="00582008" w:rsidRPr="00E00A16">
        <w:rPr>
          <w:lang w:val="fr-FR"/>
        </w:rPr>
        <w:t>’</w:t>
      </w:r>
      <w:r w:rsidRPr="00E00A16">
        <w:rPr>
          <w:lang w:val="fr-FR"/>
        </w:rPr>
        <w:t>auteure n</w:t>
      </w:r>
      <w:r w:rsidR="00582008" w:rsidRPr="00E00A16">
        <w:rPr>
          <w:lang w:val="fr-FR"/>
        </w:rPr>
        <w:t>’</w:t>
      </w:r>
      <w:r w:rsidRPr="00E00A16">
        <w:rPr>
          <w:lang w:val="fr-FR"/>
        </w:rPr>
        <w:t>a pas suffisamment démontré qu</w:t>
      </w:r>
      <w:r w:rsidR="00582008" w:rsidRPr="00E00A16">
        <w:rPr>
          <w:lang w:val="fr-FR"/>
        </w:rPr>
        <w:t>’</w:t>
      </w:r>
      <w:r w:rsidRPr="00E00A16">
        <w:rPr>
          <w:lang w:val="fr-FR"/>
        </w:rPr>
        <w:t>elle serait exposée à un risque réel, personnel et prévisible de graves actes de violence sexiste si elle était renvoyée en Fédération de Russie.</w:t>
      </w:r>
    </w:p>
    <w:p w14:paraId="36B83C5B" w14:textId="7759F5D8"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rappelle les observations de l</w:t>
      </w:r>
      <w:r w:rsidR="00582008" w:rsidRPr="00E00A16">
        <w:rPr>
          <w:lang w:val="fr-FR"/>
        </w:rPr>
        <w:t>’</w:t>
      </w:r>
      <w:r w:rsidRPr="00E00A16">
        <w:rPr>
          <w:lang w:val="fr-FR"/>
        </w:rPr>
        <w:t>auteure datées du 17</w:t>
      </w:r>
      <w:r w:rsidR="003506A6" w:rsidRPr="00E00A16">
        <w:rPr>
          <w:lang w:val="fr-FR"/>
        </w:rPr>
        <w:t xml:space="preserve"> </w:t>
      </w:r>
      <w:r w:rsidRPr="00E00A16">
        <w:rPr>
          <w:lang w:val="fr-FR"/>
        </w:rPr>
        <w:t>septembre 2015 et du 22</w:t>
      </w:r>
      <w:r w:rsidR="003506A6" w:rsidRPr="00E00A16">
        <w:rPr>
          <w:lang w:val="fr-FR"/>
        </w:rPr>
        <w:t xml:space="preserve"> </w:t>
      </w:r>
      <w:r w:rsidRPr="00E00A16">
        <w:rPr>
          <w:lang w:val="fr-FR"/>
        </w:rPr>
        <w:t>janvier 2016. Il fait observer que l</w:t>
      </w:r>
      <w:r w:rsidR="00582008" w:rsidRPr="00E00A16">
        <w:rPr>
          <w:lang w:val="fr-FR"/>
        </w:rPr>
        <w:t>’</w:t>
      </w:r>
      <w:r w:rsidRPr="00E00A16">
        <w:rPr>
          <w:lang w:val="fr-FR"/>
        </w:rPr>
        <w:t>auteure ne fournit apparemment aucune précision nouvelle sur sa situation, c</w:t>
      </w:r>
      <w:r w:rsidR="00582008" w:rsidRPr="00E00A16">
        <w:rPr>
          <w:lang w:val="fr-FR"/>
        </w:rPr>
        <w:t>’</w:t>
      </w:r>
      <w:r w:rsidRPr="00E00A16">
        <w:rPr>
          <w:lang w:val="fr-FR"/>
        </w:rPr>
        <w:t>est-à-dire aucune autre information que celles sur lesquelles la</w:t>
      </w:r>
      <w:r w:rsidR="003506A6" w:rsidRPr="00E00A16">
        <w:rPr>
          <w:lang w:val="fr-FR"/>
        </w:rPr>
        <w:t xml:space="preserve"> </w:t>
      </w:r>
      <w:r w:rsidRPr="00E00A16">
        <w:rPr>
          <w:lang w:val="fr-FR"/>
        </w:rPr>
        <w:t>Commission des recours des réfugiés s</w:t>
      </w:r>
      <w:r w:rsidR="00582008" w:rsidRPr="00E00A16">
        <w:rPr>
          <w:lang w:val="fr-FR"/>
        </w:rPr>
        <w:t>’</w:t>
      </w:r>
      <w:r w:rsidRPr="00E00A16">
        <w:rPr>
          <w:lang w:val="fr-FR"/>
        </w:rPr>
        <w:t>est appuyée pour rejeter sa demande d</w:t>
      </w:r>
      <w:r w:rsidR="00582008" w:rsidRPr="00E00A16">
        <w:rPr>
          <w:lang w:val="fr-FR"/>
        </w:rPr>
        <w:t>’</w:t>
      </w:r>
      <w:r w:rsidRPr="00E00A16">
        <w:rPr>
          <w:lang w:val="fr-FR"/>
        </w:rPr>
        <w:t>asile, et renvoie donc à ses observations du 15</w:t>
      </w:r>
      <w:r w:rsidR="003506A6" w:rsidRPr="00E00A16">
        <w:rPr>
          <w:lang w:val="fr-FR"/>
        </w:rPr>
        <w:t xml:space="preserve"> </w:t>
      </w:r>
      <w:r w:rsidRPr="00E00A16">
        <w:rPr>
          <w:lang w:val="fr-FR"/>
        </w:rPr>
        <w:t>novembre 2015. L</w:t>
      </w:r>
      <w:r w:rsidR="00582008" w:rsidRPr="00E00A16">
        <w:rPr>
          <w:lang w:val="fr-FR"/>
        </w:rPr>
        <w:t>’</w:t>
      </w:r>
      <w:r w:rsidRPr="00E00A16">
        <w:rPr>
          <w:lang w:val="fr-FR"/>
        </w:rPr>
        <w:t>État partie réaffirme que la</w:t>
      </w:r>
      <w:r w:rsidR="003506A6" w:rsidRPr="00E00A16">
        <w:rPr>
          <w:lang w:val="fr-FR"/>
        </w:rPr>
        <w:t xml:space="preserve"> </w:t>
      </w:r>
      <w:r w:rsidRPr="00E00A16">
        <w:rPr>
          <w:lang w:val="fr-FR"/>
        </w:rPr>
        <w:t>Commission a soigneusement examiné les allégations de l</w:t>
      </w:r>
      <w:r w:rsidR="00582008" w:rsidRPr="00E00A16">
        <w:rPr>
          <w:lang w:val="fr-FR"/>
        </w:rPr>
        <w:t>’</w:t>
      </w:r>
      <w:r w:rsidRPr="00E00A16">
        <w:rPr>
          <w:lang w:val="fr-FR"/>
        </w:rPr>
        <w:t>auteure en tenant compte de la situation de celle-ci et les a jugées incohérentes et invraisemblables.</w:t>
      </w:r>
    </w:p>
    <w:p w14:paraId="54F031D2" w14:textId="1EF03410"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rappelle que, dans sa décision du 31 août 2015, la Commission des recours des réfugiés a estimé que l</w:t>
      </w:r>
      <w:r w:rsidR="00582008" w:rsidRPr="00E00A16">
        <w:rPr>
          <w:lang w:val="fr-FR"/>
        </w:rPr>
        <w:t>’</w:t>
      </w:r>
      <w:r w:rsidRPr="00E00A16">
        <w:rPr>
          <w:lang w:val="fr-FR"/>
        </w:rPr>
        <w:t>auteure n</w:t>
      </w:r>
      <w:r w:rsidR="00582008" w:rsidRPr="00E00A16">
        <w:rPr>
          <w:lang w:val="fr-FR"/>
        </w:rPr>
        <w:t>’</w:t>
      </w:r>
      <w:r w:rsidRPr="00E00A16">
        <w:rPr>
          <w:lang w:val="fr-FR"/>
        </w:rPr>
        <w:t>avait pas démontré qu</w:t>
      </w:r>
      <w:r w:rsidR="00582008" w:rsidRPr="00E00A16">
        <w:rPr>
          <w:lang w:val="fr-FR"/>
        </w:rPr>
        <w:t>’</w:t>
      </w:r>
      <w:r w:rsidRPr="00E00A16">
        <w:rPr>
          <w:lang w:val="fr-FR"/>
        </w:rPr>
        <w:t>elle risquait d</w:t>
      </w:r>
      <w:r w:rsidR="00582008" w:rsidRPr="00E00A16">
        <w:rPr>
          <w:lang w:val="fr-FR"/>
        </w:rPr>
        <w:t>’</w:t>
      </w:r>
      <w:r w:rsidRPr="00E00A16">
        <w:rPr>
          <w:lang w:val="fr-FR"/>
        </w:rPr>
        <w:t>être persécutée ou maltraitée si elle était renvoyée en Tchétchénie et ne remplissait donc pas les conditions posées aux paragraphes</w:t>
      </w:r>
      <w:r w:rsidR="003506A6" w:rsidRPr="00E00A16">
        <w:rPr>
          <w:lang w:val="fr-FR"/>
        </w:rPr>
        <w:t xml:space="preserve"> </w:t>
      </w:r>
      <w:r w:rsidRPr="00E00A16">
        <w:rPr>
          <w:lang w:val="fr-FR"/>
        </w:rPr>
        <w:t>1 et 2 de l</w:t>
      </w:r>
      <w:r w:rsidR="00582008" w:rsidRPr="00E00A16">
        <w:rPr>
          <w:lang w:val="fr-FR"/>
        </w:rPr>
        <w:t>’</w:t>
      </w:r>
      <w:r w:rsidRPr="00E00A16">
        <w:rPr>
          <w:lang w:val="fr-FR"/>
        </w:rPr>
        <w:t>article</w:t>
      </w:r>
      <w:r w:rsidR="003506A6" w:rsidRPr="00E00A16">
        <w:rPr>
          <w:lang w:val="fr-FR"/>
        </w:rPr>
        <w:t xml:space="preserve"> </w:t>
      </w:r>
      <w:r w:rsidRPr="00E00A16">
        <w:rPr>
          <w:lang w:val="fr-FR"/>
        </w:rPr>
        <w:t>7 de la loi sur les étrangers.</w:t>
      </w:r>
    </w:p>
    <w:p w14:paraId="1DB41910" w14:textId="1ED8BCEC"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rappelle que la Commission des recours des réfugiés a rejeté la demande d</w:t>
      </w:r>
      <w:r w:rsidR="00582008" w:rsidRPr="00E00A16">
        <w:rPr>
          <w:lang w:val="fr-FR"/>
        </w:rPr>
        <w:t>’</w:t>
      </w:r>
      <w:r w:rsidRPr="00E00A16">
        <w:rPr>
          <w:lang w:val="fr-FR"/>
        </w:rPr>
        <w:t>asile de l</w:t>
      </w:r>
      <w:r w:rsidR="00582008" w:rsidRPr="00E00A16">
        <w:rPr>
          <w:lang w:val="fr-FR"/>
        </w:rPr>
        <w:t>’</w:t>
      </w:r>
      <w:r w:rsidRPr="00E00A16">
        <w:rPr>
          <w:lang w:val="fr-FR"/>
        </w:rPr>
        <w:t>auteure au motif que les informations fournies par celle-ci n</w:t>
      </w:r>
      <w:r w:rsidR="00582008" w:rsidRPr="00E00A16">
        <w:rPr>
          <w:lang w:val="fr-FR"/>
        </w:rPr>
        <w:t>’</w:t>
      </w:r>
      <w:r w:rsidRPr="00E00A16">
        <w:rPr>
          <w:lang w:val="fr-FR"/>
        </w:rPr>
        <w:t>étaient pas crédibles, ni même vraisemblables</w:t>
      </w:r>
      <w:r w:rsidRPr="00E12237">
        <w:rPr>
          <w:vertAlign w:val="superscript"/>
          <w:lang w:val="fr-FR"/>
        </w:rPr>
        <w:footnoteReference w:id="24"/>
      </w:r>
      <w:r w:rsidRPr="00E12237">
        <w:rPr>
          <w:lang w:val="fr-FR"/>
        </w:rPr>
        <w:t>. Il se réfère à un rapport de janvier 2015</w:t>
      </w:r>
      <w:r w:rsidRPr="00E12237">
        <w:rPr>
          <w:vertAlign w:val="superscript"/>
          <w:lang w:val="fr-FR"/>
        </w:rPr>
        <w:footnoteReference w:id="25"/>
      </w:r>
      <w:r w:rsidRPr="00E12237">
        <w:rPr>
          <w:lang w:val="fr-FR"/>
        </w:rPr>
        <w:t xml:space="preserve"> dans lequel le Service danois de l</w:t>
      </w:r>
      <w:r w:rsidR="00582008" w:rsidRPr="00E12237">
        <w:rPr>
          <w:lang w:val="fr-FR"/>
        </w:rPr>
        <w:t>’</w:t>
      </w:r>
      <w:r w:rsidRPr="00E12237">
        <w:rPr>
          <w:lang w:val="fr-FR"/>
        </w:rPr>
        <w:t>immigration indique que les autorités tchétchènes ne s</w:t>
      </w:r>
      <w:r w:rsidR="00582008" w:rsidRPr="00E00A16">
        <w:rPr>
          <w:lang w:val="fr-FR"/>
        </w:rPr>
        <w:t>’</w:t>
      </w:r>
      <w:r w:rsidRPr="00E00A16">
        <w:rPr>
          <w:lang w:val="fr-FR"/>
        </w:rPr>
        <w:t>intéressent que très rarement, voire jamais, aux parents éloignés d</w:t>
      </w:r>
      <w:r w:rsidR="00582008" w:rsidRPr="00E00A16">
        <w:rPr>
          <w:lang w:val="fr-FR"/>
        </w:rPr>
        <w:t>’</w:t>
      </w:r>
      <w:r w:rsidRPr="00E00A16">
        <w:rPr>
          <w:lang w:val="fr-FR"/>
        </w:rPr>
        <w:t>un criminel présumé, et que ces personnes ne risquent pas d</w:t>
      </w:r>
      <w:r w:rsidR="00582008" w:rsidRPr="00E00A16">
        <w:rPr>
          <w:lang w:val="fr-FR"/>
        </w:rPr>
        <w:t>’</w:t>
      </w:r>
      <w:r w:rsidRPr="00E00A16">
        <w:rPr>
          <w:lang w:val="fr-FR"/>
        </w:rPr>
        <w:t>être sanctionnées, maltraitées ou torturées. L</w:t>
      </w:r>
      <w:r w:rsidR="00582008" w:rsidRPr="00E00A16">
        <w:rPr>
          <w:lang w:val="fr-FR"/>
        </w:rPr>
        <w:t>’</w:t>
      </w:r>
      <w:r w:rsidRPr="00E00A16">
        <w:rPr>
          <w:lang w:val="fr-FR"/>
        </w:rPr>
        <w:t>auteure est entrée au Danemark avec un vrai passeport temporaire délivré à Grozny le 4</w:t>
      </w:r>
      <w:r w:rsidR="003506A6" w:rsidRPr="00E00A16">
        <w:rPr>
          <w:lang w:val="fr-FR"/>
        </w:rPr>
        <w:t xml:space="preserve"> </w:t>
      </w:r>
      <w:r w:rsidRPr="00E00A16">
        <w:rPr>
          <w:lang w:val="fr-FR"/>
        </w:rPr>
        <w:t>août 2014, et l</w:t>
      </w:r>
      <w:r w:rsidR="00582008" w:rsidRPr="00E00A16">
        <w:rPr>
          <w:lang w:val="fr-FR"/>
        </w:rPr>
        <w:t>’</w:t>
      </w:r>
      <w:r w:rsidRPr="00E00A16">
        <w:rPr>
          <w:lang w:val="fr-FR"/>
        </w:rPr>
        <w:t>État partie estime qu</w:t>
      </w:r>
      <w:r w:rsidR="00582008" w:rsidRPr="00E00A16">
        <w:rPr>
          <w:lang w:val="fr-FR"/>
        </w:rPr>
        <w:t>’</w:t>
      </w:r>
      <w:r w:rsidRPr="00E00A16">
        <w:rPr>
          <w:lang w:val="fr-FR"/>
        </w:rPr>
        <w:t>il est peu probable que les autorités lui aient délivré un document lui permettant de quitter la Fédération de Russie si elles s</w:t>
      </w:r>
      <w:r w:rsidR="00582008" w:rsidRPr="00E00A16">
        <w:rPr>
          <w:lang w:val="fr-FR"/>
        </w:rPr>
        <w:t>’</w:t>
      </w:r>
      <w:r w:rsidRPr="00E00A16">
        <w:rPr>
          <w:lang w:val="fr-FR"/>
        </w:rPr>
        <w:t>intéressaient toujours à elle. En</w:t>
      </w:r>
      <w:r w:rsidR="003506A6" w:rsidRPr="00E00A16">
        <w:rPr>
          <w:lang w:val="fr-FR"/>
        </w:rPr>
        <w:t xml:space="preserve"> </w:t>
      </w:r>
      <w:r w:rsidRPr="00E00A16">
        <w:rPr>
          <w:lang w:val="fr-FR"/>
        </w:rPr>
        <w:t>outre, l</w:t>
      </w:r>
      <w:r w:rsidR="00582008" w:rsidRPr="00E00A16">
        <w:rPr>
          <w:lang w:val="fr-FR"/>
        </w:rPr>
        <w:t>’</w:t>
      </w:r>
      <w:r w:rsidRPr="00E00A16">
        <w:rPr>
          <w:lang w:val="fr-FR"/>
        </w:rPr>
        <w:t>État partie rappelle que la Commission des recours des réfugiés a rejeté l</w:t>
      </w:r>
      <w:r w:rsidR="00582008" w:rsidRPr="00E00A16">
        <w:rPr>
          <w:lang w:val="fr-FR"/>
        </w:rPr>
        <w:t>’</w:t>
      </w:r>
      <w:r w:rsidRPr="00E00A16">
        <w:rPr>
          <w:lang w:val="fr-FR"/>
        </w:rPr>
        <w:t>argument selon lequel l</w:t>
      </w:r>
      <w:r w:rsidR="00582008" w:rsidRPr="00E00A16">
        <w:rPr>
          <w:lang w:val="fr-FR"/>
        </w:rPr>
        <w:t>’</w:t>
      </w:r>
      <w:r w:rsidRPr="00E00A16">
        <w:rPr>
          <w:lang w:val="fr-FR"/>
        </w:rPr>
        <w:t>auteure risquait d</w:t>
      </w:r>
      <w:r w:rsidR="00582008" w:rsidRPr="00E00A16">
        <w:rPr>
          <w:lang w:val="fr-FR"/>
        </w:rPr>
        <w:t>’</w:t>
      </w:r>
      <w:r w:rsidRPr="00E00A16">
        <w:rPr>
          <w:lang w:val="fr-FR"/>
        </w:rPr>
        <w:t>être victime d</w:t>
      </w:r>
      <w:r w:rsidR="00582008" w:rsidRPr="00E00A16">
        <w:rPr>
          <w:lang w:val="fr-FR"/>
        </w:rPr>
        <w:t>’</w:t>
      </w:r>
      <w:r w:rsidRPr="00E00A16">
        <w:rPr>
          <w:lang w:val="fr-FR"/>
        </w:rPr>
        <w:t>un crime d</w:t>
      </w:r>
      <w:r w:rsidR="00582008" w:rsidRPr="00E00A16">
        <w:rPr>
          <w:lang w:val="fr-FR"/>
        </w:rPr>
        <w:t>’</w:t>
      </w:r>
      <w:r w:rsidRPr="00E00A16">
        <w:rPr>
          <w:lang w:val="fr-FR"/>
        </w:rPr>
        <w:t>honneur</w:t>
      </w:r>
      <w:r w:rsidRPr="00E12237">
        <w:rPr>
          <w:vertAlign w:val="superscript"/>
          <w:lang w:val="fr-FR"/>
        </w:rPr>
        <w:footnoteReference w:id="26"/>
      </w:r>
      <w:r w:rsidRPr="00E12237">
        <w:rPr>
          <w:lang w:val="fr-FR"/>
        </w:rPr>
        <w:t>. Étant donné que l</w:t>
      </w:r>
      <w:r w:rsidR="00582008" w:rsidRPr="00E12237">
        <w:rPr>
          <w:lang w:val="fr-FR"/>
        </w:rPr>
        <w:t>’</w:t>
      </w:r>
      <w:r w:rsidRPr="00E12237">
        <w:rPr>
          <w:lang w:val="fr-FR"/>
        </w:rPr>
        <w:t>intéressée affirme qu</w:t>
      </w:r>
      <w:r w:rsidR="00582008" w:rsidRPr="00E00A16">
        <w:rPr>
          <w:lang w:val="fr-FR"/>
        </w:rPr>
        <w:t>’</w:t>
      </w:r>
      <w:r w:rsidRPr="00E00A16">
        <w:rPr>
          <w:lang w:val="fr-FR"/>
        </w:rPr>
        <w:t>elle n</w:t>
      </w:r>
      <w:r w:rsidR="00582008" w:rsidRPr="00E00A16">
        <w:rPr>
          <w:lang w:val="fr-FR"/>
        </w:rPr>
        <w:t>’</w:t>
      </w:r>
      <w:r w:rsidRPr="00E00A16">
        <w:rPr>
          <w:lang w:val="fr-FR"/>
        </w:rPr>
        <w:t>a parlé du viol qu</w:t>
      </w:r>
      <w:r w:rsidR="00582008" w:rsidRPr="00E00A16">
        <w:rPr>
          <w:lang w:val="fr-FR"/>
        </w:rPr>
        <w:t>’</w:t>
      </w:r>
      <w:r w:rsidRPr="00E00A16">
        <w:rPr>
          <w:lang w:val="fr-FR"/>
        </w:rPr>
        <w:t>à sa mère et que celle-ci a nié les rumeurs qui circulaient en ville, l</w:t>
      </w:r>
      <w:r w:rsidR="00582008" w:rsidRPr="00E00A16">
        <w:rPr>
          <w:lang w:val="fr-FR"/>
        </w:rPr>
        <w:t>’</w:t>
      </w:r>
      <w:r w:rsidRPr="00E00A16">
        <w:rPr>
          <w:lang w:val="fr-FR"/>
        </w:rPr>
        <w:t>État partie estime qu</w:t>
      </w:r>
      <w:r w:rsidR="00582008" w:rsidRPr="00E00A16">
        <w:rPr>
          <w:lang w:val="fr-FR"/>
        </w:rPr>
        <w:t>’</w:t>
      </w:r>
      <w:r w:rsidRPr="00E00A16">
        <w:rPr>
          <w:lang w:val="fr-FR"/>
        </w:rPr>
        <w:t>il est peu probable que son frère ait cru ces rumeurs. L</w:t>
      </w:r>
      <w:r w:rsidR="00582008" w:rsidRPr="00E00A16">
        <w:rPr>
          <w:lang w:val="fr-FR"/>
        </w:rPr>
        <w:t>’</w:t>
      </w:r>
      <w:r w:rsidRPr="00E00A16">
        <w:rPr>
          <w:lang w:val="fr-FR"/>
        </w:rPr>
        <w:t>État partie estime qu</w:t>
      </w:r>
      <w:r w:rsidR="00582008" w:rsidRPr="00E00A16">
        <w:rPr>
          <w:lang w:val="fr-FR"/>
        </w:rPr>
        <w:t>’</w:t>
      </w:r>
      <w:r w:rsidRPr="00E00A16">
        <w:rPr>
          <w:lang w:val="fr-FR"/>
        </w:rPr>
        <w:t>il est également peu probable que le frère de l</w:t>
      </w:r>
      <w:r w:rsidR="00582008" w:rsidRPr="00E00A16">
        <w:rPr>
          <w:lang w:val="fr-FR"/>
        </w:rPr>
        <w:t>’</w:t>
      </w:r>
      <w:r w:rsidRPr="00E00A16">
        <w:rPr>
          <w:lang w:val="fr-FR"/>
        </w:rPr>
        <w:t>auteure ait été le seul à vouloir la tuer et que le reste de la famille n</w:t>
      </w:r>
      <w:r w:rsidR="00582008" w:rsidRPr="00E00A16">
        <w:rPr>
          <w:lang w:val="fr-FR"/>
        </w:rPr>
        <w:t>’</w:t>
      </w:r>
      <w:r w:rsidRPr="00E00A16">
        <w:rPr>
          <w:lang w:val="fr-FR"/>
        </w:rPr>
        <w:t>ait pas entendu les rumeurs ou soit resté disposé à l</w:t>
      </w:r>
      <w:r w:rsidR="00582008" w:rsidRPr="00E00A16">
        <w:rPr>
          <w:lang w:val="fr-FR"/>
        </w:rPr>
        <w:t>’</w:t>
      </w:r>
      <w:r w:rsidRPr="00E00A16">
        <w:rPr>
          <w:lang w:val="fr-FR"/>
        </w:rPr>
        <w:t>aider malgré tout.</w:t>
      </w:r>
    </w:p>
    <w:p w14:paraId="21323123" w14:textId="2F905168"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lastRenderedPageBreak/>
        <w:t>En ce qui concerne les convocations datées des 9 et 21</w:t>
      </w:r>
      <w:r w:rsidR="003506A6" w:rsidRPr="00E00A16">
        <w:rPr>
          <w:lang w:val="fr-FR"/>
        </w:rPr>
        <w:t xml:space="preserve"> </w:t>
      </w:r>
      <w:r w:rsidRPr="00E00A16">
        <w:rPr>
          <w:lang w:val="fr-FR"/>
        </w:rPr>
        <w:t>avril 2015 dont l</w:t>
      </w:r>
      <w:r w:rsidR="00582008" w:rsidRPr="00E00A16">
        <w:rPr>
          <w:lang w:val="fr-FR"/>
        </w:rPr>
        <w:t>’</w:t>
      </w:r>
      <w:r w:rsidRPr="00E00A16">
        <w:rPr>
          <w:lang w:val="fr-FR"/>
        </w:rPr>
        <w:t>auteure a fourni des copies le 22</w:t>
      </w:r>
      <w:r w:rsidR="003506A6" w:rsidRPr="00E00A16">
        <w:rPr>
          <w:lang w:val="fr-FR"/>
        </w:rPr>
        <w:t xml:space="preserve"> </w:t>
      </w:r>
      <w:r w:rsidRPr="00E00A16">
        <w:rPr>
          <w:lang w:val="fr-FR"/>
        </w:rPr>
        <w:t>janvier 2016, l</w:t>
      </w:r>
      <w:r w:rsidR="00582008" w:rsidRPr="00E00A16">
        <w:rPr>
          <w:lang w:val="fr-FR"/>
        </w:rPr>
        <w:t>’</w:t>
      </w:r>
      <w:r w:rsidRPr="00E00A16">
        <w:rPr>
          <w:lang w:val="fr-FR"/>
        </w:rPr>
        <w:t>État partie soutient que l</w:t>
      </w:r>
      <w:r w:rsidR="00582008" w:rsidRPr="00E00A16">
        <w:rPr>
          <w:lang w:val="fr-FR"/>
        </w:rPr>
        <w:t>’</w:t>
      </w:r>
      <w:r w:rsidRPr="00E00A16">
        <w:rPr>
          <w:lang w:val="fr-FR"/>
        </w:rPr>
        <w:t>intéressée a eu suffisamment de temps pour présenter de nouvelles informations pendant la procédure d</w:t>
      </w:r>
      <w:r w:rsidR="00582008" w:rsidRPr="00E00A16">
        <w:rPr>
          <w:lang w:val="fr-FR"/>
        </w:rPr>
        <w:t>’</w:t>
      </w:r>
      <w:r w:rsidRPr="00E00A16">
        <w:rPr>
          <w:lang w:val="fr-FR"/>
        </w:rPr>
        <w:t>asile. Rappelant que l</w:t>
      </w:r>
      <w:r w:rsidR="00582008" w:rsidRPr="00E00A16">
        <w:rPr>
          <w:lang w:val="fr-FR"/>
        </w:rPr>
        <w:t>’</w:t>
      </w:r>
      <w:r w:rsidRPr="00E00A16">
        <w:rPr>
          <w:lang w:val="fr-FR"/>
        </w:rPr>
        <w:t>auteure avait connaissance des citations à comparaître depuis le 26</w:t>
      </w:r>
      <w:r w:rsidR="003506A6" w:rsidRPr="00E00A16">
        <w:rPr>
          <w:lang w:val="fr-FR"/>
        </w:rPr>
        <w:t xml:space="preserve"> </w:t>
      </w:r>
      <w:r w:rsidRPr="00E00A16">
        <w:rPr>
          <w:lang w:val="fr-FR"/>
        </w:rPr>
        <w:t>juin 2015, l</w:t>
      </w:r>
      <w:r w:rsidR="00582008" w:rsidRPr="00E00A16">
        <w:rPr>
          <w:lang w:val="fr-FR"/>
        </w:rPr>
        <w:t>’</w:t>
      </w:r>
      <w:r w:rsidRPr="00E00A16">
        <w:rPr>
          <w:lang w:val="fr-FR"/>
        </w:rPr>
        <w:t>État partie souligne qu</w:t>
      </w:r>
      <w:r w:rsidR="00582008" w:rsidRPr="00E00A16">
        <w:rPr>
          <w:lang w:val="fr-FR"/>
        </w:rPr>
        <w:t>’</w:t>
      </w:r>
      <w:r w:rsidRPr="00E00A16">
        <w:rPr>
          <w:lang w:val="fr-FR"/>
        </w:rPr>
        <w:t>il est étrange qu</w:t>
      </w:r>
      <w:r w:rsidR="00582008" w:rsidRPr="00E00A16">
        <w:rPr>
          <w:lang w:val="fr-FR"/>
        </w:rPr>
        <w:t>’</w:t>
      </w:r>
      <w:r w:rsidRPr="00E00A16">
        <w:rPr>
          <w:lang w:val="fr-FR"/>
        </w:rPr>
        <w:t>elle ne les ait transmises que le 14</w:t>
      </w:r>
      <w:r w:rsidR="003506A6" w:rsidRPr="00E00A16">
        <w:rPr>
          <w:lang w:val="fr-FR"/>
        </w:rPr>
        <w:t xml:space="preserve"> </w:t>
      </w:r>
      <w:r w:rsidRPr="00E00A16">
        <w:rPr>
          <w:lang w:val="fr-FR"/>
        </w:rPr>
        <w:t>janvier 2016.</w:t>
      </w:r>
    </w:p>
    <w:p w14:paraId="1D93D9A5" w14:textId="7E7D2389"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rappelle que, dans ses observations datées du 17</w:t>
      </w:r>
      <w:r w:rsidR="00E05944" w:rsidRPr="00E00A16">
        <w:rPr>
          <w:lang w:val="fr-FR"/>
        </w:rPr>
        <w:t xml:space="preserve"> </w:t>
      </w:r>
      <w:r w:rsidRPr="00E00A16">
        <w:rPr>
          <w:lang w:val="fr-FR"/>
        </w:rPr>
        <w:t>septembre 2015, l</w:t>
      </w:r>
      <w:r w:rsidR="00582008" w:rsidRPr="00E00A16">
        <w:rPr>
          <w:lang w:val="fr-FR"/>
        </w:rPr>
        <w:t>’</w:t>
      </w:r>
      <w:r w:rsidRPr="00E00A16">
        <w:rPr>
          <w:lang w:val="fr-FR"/>
        </w:rPr>
        <w:t>auteure a contesté l</w:t>
      </w:r>
      <w:r w:rsidR="00582008" w:rsidRPr="00E00A16">
        <w:rPr>
          <w:lang w:val="fr-FR"/>
        </w:rPr>
        <w:t>’</w:t>
      </w:r>
      <w:r w:rsidRPr="00E00A16">
        <w:rPr>
          <w:lang w:val="fr-FR"/>
        </w:rPr>
        <w:t>appréciation des faits et des éléments de preuve faite par la</w:t>
      </w:r>
      <w:r w:rsidR="00E05944" w:rsidRPr="00E00A16">
        <w:rPr>
          <w:lang w:val="fr-FR"/>
        </w:rPr>
        <w:t xml:space="preserve"> </w:t>
      </w:r>
      <w:r w:rsidRPr="00E00A16">
        <w:rPr>
          <w:lang w:val="fr-FR"/>
        </w:rPr>
        <w:t>Commission des recours des réfugiés mais n</w:t>
      </w:r>
      <w:r w:rsidR="00582008" w:rsidRPr="00E00A16">
        <w:rPr>
          <w:lang w:val="fr-FR"/>
        </w:rPr>
        <w:t>’</w:t>
      </w:r>
      <w:r w:rsidRPr="00E00A16">
        <w:rPr>
          <w:lang w:val="fr-FR"/>
        </w:rPr>
        <w:t>a pas démontré que cette évaluation était arbitraire ou constituait un déni de justice. Il rappelle également que l</w:t>
      </w:r>
      <w:r w:rsidR="00582008" w:rsidRPr="00E00A16">
        <w:rPr>
          <w:lang w:val="fr-FR"/>
        </w:rPr>
        <w:t>’</w:t>
      </w:r>
      <w:r w:rsidRPr="00E00A16">
        <w:rPr>
          <w:lang w:val="fr-FR"/>
        </w:rPr>
        <w:t>auteure n</w:t>
      </w:r>
      <w:r w:rsidR="00582008" w:rsidRPr="00E00A16">
        <w:rPr>
          <w:lang w:val="fr-FR"/>
        </w:rPr>
        <w:t>’</w:t>
      </w:r>
      <w:r w:rsidRPr="00E00A16">
        <w:rPr>
          <w:lang w:val="fr-FR"/>
        </w:rPr>
        <w:t>a mis en évidence aucune irrégularité de procédure ni démontré que la Commission n</w:t>
      </w:r>
      <w:r w:rsidR="00582008" w:rsidRPr="00E00A16">
        <w:rPr>
          <w:lang w:val="fr-FR"/>
        </w:rPr>
        <w:t>’</w:t>
      </w:r>
      <w:r w:rsidRPr="00E00A16">
        <w:rPr>
          <w:lang w:val="fr-FR"/>
        </w:rPr>
        <w:t>a pas dûment pris en compte tel ou tel élément. En outre, il fait observer que l</w:t>
      </w:r>
      <w:r w:rsidR="00582008" w:rsidRPr="00E00A16">
        <w:rPr>
          <w:lang w:val="fr-FR"/>
        </w:rPr>
        <w:t>’</w:t>
      </w:r>
      <w:r w:rsidRPr="00E00A16">
        <w:rPr>
          <w:lang w:val="fr-FR"/>
        </w:rPr>
        <w:t>auteure n</w:t>
      </w:r>
      <w:r w:rsidR="00582008" w:rsidRPr="00E00A16">
        <w:rPr>
          <w:lang w:val="fr-FR"/>
        </w:rPr>
        <w:t>’</w:t>
      </w:r>
      <w:r w:rsidRPr="00E00A16">
        <w:rPr>
          <w:lang w:val="fr-FR"/>
        </w:rPr>
        <w:t>a pas contesté l</w:t>
      </w:r>
      <w:r w:rsidR="00582008" w:rsidRPr="00E00A16">
        <w:rPr>
          <w:lang w:val="fr-FR"/>
        </w:rPr>
        <w:t>’</w:t>
      </w:r>
      <w:r w:rsidRPr="00E00A16">
        <w:rPr>
          <w:lang w:val="fr-FR"/>
        </w:rPr>
        <w:t>évaluation que la Commission a faite de sa crédibilité. À ce propos, il se réfère aux affaires portées devant la Cour européenne des droits de l</w:t>
      </w:r>
      <w:r w:rsidR="00582008" w:rsidRPr="00E00A16">
        <w:rPr>
          <w:lang w:val="fr-FR"/>
        </w:rPr>
        <w:t>’</w:t>
      </w:r>
      <w:r w:rsidRPr="00E00A16">
        <w:rPr>
          <w:lang w:val="fr-FR"/>
        </w:rPr>
        <w:t>homme</w:t>
      </w:r>
      <w:r w:rsidRPr="00E12237">
        <w:rPr>
          <w:vertAlign w:val="superscript"/>
          <w:lang w:val="fr-FR"/>
        </w:rPr>
        <w:footnoteReference w:id="27"/>
      </w:r>
      <w:r w:rsidRPr="00E12237">
        <w:rPr>
          <w:lang w:val="fr-FR"/>
        </w:rPr>
        <w:t xml:space="preserve"> et aux communications soumises au Comité des droits de l</w:t>
      </w:r>
      <w:r w:rsidR="00582008" w:rsidRPr="00E12237">
        <w:rPr>
          <w:lang w:val="fr-FR"/>
        </w:rPr>
        <w:t>’</w:t>
      </w:r>
      <w:r w:rsidRPr="00E12237">
        <w:rPr>
          <w:lang w:val="fr-FR"/>
        </w:rPr>
        <w:t>homme</w:t>
      </w:r>
      <w:r w:rsidRPr="00E12237">
        <w:rPr>
          <w:vertAlign w:val="superscript"/>
          <w:lang w:val="fr-FR"/>
        </w:rPr>
        <w:footnoteReference w:id="28"/>
      </w:r>
      <w:r w:rsidRPr="00E12237">
        <w:rPr>
          <w:lang w:val="fr-FR"/>
        </w:rPr>
        <w:t>, dans lesquelles la Cour et le Comité on</w:t>
      </w:r>
      <w:r w:rsidRPr="00E00A16">
        <w:rPr>
          <w:lang w:val="fr-FR"/>
        </w:rPr>
        <w:t>t estimé que l</w:t>
      </w:r>
      <w:r w:rsidR="00582008" w:rsidRPr="00E00A16">
        <w:rPr>
          <w:lang w:val="fr-FR"/>
        </w:rPr>
        <w:t>’</w:t>
      </w:r>
      <w:r w:rsidRPr="00E00A16">
        <w:rPr>
          <w:lang w:val="fr-FR"/>
        </w:rPr>
        <w:t>État partie était le mieux placé pour apprécier les faits et les éléments de preuve et la crédibilité de l</w:t>
      </w:r>
      <w:r w:rsidR="00582008" w:rsidRPr="00E00A16">
        <w:rPr>
          <w:lang w:val="fr-FR"/>
        </w:rPr>
        <w:t>’</w:t>
      </w:r>
      <w:r w:rsidRPr="00E00A16">
        <w:rPr>
          <w:lang w:val="fr-FR"/>
        </w:rPr>
        <w:t>auteur dans une affaire donnée. L</w:t>
      </w:r>
      <w:r w:rsidR="00582008" w:rsidRPr="00E00A16">
        <w:rPr>
          <w:lang w:val="fr-FR"/>
        </w:rPr>
        <w:t>’</w:t>
      </w:r>
      <w:r w:rsidRPr="00E00A16">
        <w:rPr>
          <w:lang w:val="fr-FR"/>
        </w:rPr>
        <w:t>État partie s</w:t>
      </w:r>
      <w:r w:rsidR="00582008" w:rsidRPr="00E00A16">
        <w:rPr>
          <w:lang w:val="fr-FR"/>
        </w:rPr>
        <w:t>’</w:t>
      </w:r>
      <w:r w:rsidRPr="00E00A16">
        <w:rPr>
          <w:lang w:val="fr-FR"/>
        </w:rPr>
        <w:t>en remet donc à la décision de la Commission des recours des réfugiés en date du 31 août 2015, rendue à l</w:t>
      </w:r>
      <w:r w:rsidR="00582008" w:rsidRPr="00E00A16">
        <w:rPr>
          <w:lang w:val="fr-FR"/>
        </w:rPr>
        <w:t>’</w:t>
      </w:r>
      <w:r w:rsidRPr="00E00A16">
        <w:rPr>
          <w:lang w:val="fr-FR"/>
        </w:rPr>
        <w:t>issue d</w:t>
      </w:r>
      <w:r w:rsidR="00582008" w:rsidRPr="00E00A16">
        <w:rPr>
          <w:lang w:val="fr-FR"/>
        </w:rPr>
        <w:t>’</w:t>
      </w:r>
      <w:r w:rsidRPr="00E00A16">
        <w:rPr>
          <w:lang w:val="fr-FR"/>
        </w:rPr>
        <w:t>un examen approfondi de l</w:t>
      </w:r>
      <w:r w:rsidR="00582008" w:rsidRPr="00E00A16">
        <w:rPr>
          <w:lang w:val="fr-FR"/>
        </w:rPr>
        <w:t>’</w:t>
      </w:r>
      <w:r w:rsidRPr="00E00A16">
        <w:rPr>
          <w:lang w:val="fr-FR"/>
        </w:rPr>
        <w:t>affaire au cours duquel l</w:t>
      </w:r>
      <w:r w:rsidR="00582008" w:rsidRPr="00E00A16">
        <w:rPr>
          <w:lang w:val="fr-FR"/>
        </w:rPr>
        <w:t>’</w:t>
      </w:r>
      <w:r w:rsidRPr="00E00A16">
        <w:rPr>
          <w:lang w:val="fr-FR"/>
        </w:rPr>
        <w:t>auteure a eu la possibilité d</w:t>
      </w:r>
      <w:r w:rsidR="00582008" w:rsidRPr="00E00A16">
        <w:rPr>
          <w:lang w:val="fr-FR"/>
        </w:rPr>
        <w:t>’</w:t>
      </w:r>
      <w:r w:rsidRPr="00E00A16">
        <w:rPr>
          <w:lang w:val="fr-FR"/>
        </w:rPr>
        <w:t>exprimer ses vues, par écrit et à l</w:t>
      </w:r>
      <w:r w:rsidR="00582008" w:rsidRPr="00E00A16">
        <w:rPr>
          <w:lang w:val="fr-FR"/>
        </w:rPr>
        <w:t>’</w:t>
      </w:r>
      <w:r w:rsidRPr="00E00A16">
        <w:rPr>
          <w:lang w:val="fr-FR"/>
        </w:rPr>
        <w:t>oral, avec l</w:t>
      </w:r>
      <w:r w:rsidR="00582008" w:rsidRPr="00E00A16">
        <w:rPr>
          <w:lang w:val="fr-FR"/>
        </w:rPr>
        <w:t>’</w:t>
      </w:r>
      <w:r w:rsidRPr="00E00A16">
        <w:rPr>
          <w:lang w:val="fr-FR"/>
        </w:rPr>
        <w:t>assistance d</w:t>
      </w:r>
      <w:r w:rsidR="00582008" w:rsidRPr="00E00A16">
        <w:rPr>
          <w:lang w:val="fr-FR"/>
        </w:rPr>
        <w:t>’</w:t>
      </w:r>
      <w:r w:rsidRPr="00E00A16">
        <w:rPr>
          <w:lang w:val="fr-FR"/>
        </w:rPr>
        <w:t>un conseil. Il réaffirme que si elle était renvoyée en Fédération de Russie, l</w:t>
      </w:r>
      <w:r w:rsidR="00582008" w:rsidRPr="00E00A16">
        <w:rPr>
          <w:lang w:val="fr-FR"/>
        </w:rPr>
        <w:t>’</w:t>
      </w:r>
      <w:r w:rsidRPr="00E00A16">
        <w:rPr>
          <w:lang w:val="fr-FR"/>
        </w:rPr>
        <w:t>auteure ne risquerait pas de subir des persécutions ou des violences de nature à justifier l</w:t>
      </w:r>
      <w:r w:rsidR="00582008" w:rsidRPr="00E00A16">
        <w:rPr>
          <w:lang w:val="fr-FR"/>
        </w:rPr>
        <w:t>’</w:t>
      </w:r>
      <w:r w:rsidRPr="00E00A16">
        <w:rPr>
          <w:lang w:val="fr-FR"/>
        </w:rPr>
        <w:t>octroi de l</w:t>
      </w:r>
      <w:r w:rsidR="00582008" w:rsidRPr="00E00A16">
        <w:rPr>
          <w:lang w:val="fr-FR"/>
        </w:rPr>
        <w:t>’</w:t>
      </w:r>
      <w:r w:rsidRPr="00E00A16">
        <w:rPr>
          <w:lang w:val="fr-FR"/>
        </w:rPr>
        <w:t>asile, et que son expulsion ne constituerait pas une violation de la Convention.</w:t>
      </w:r>
      <w:bookmarkStart w:id="6" w:name="_Hlk532892998"/>
      <w:bookmarkEnd w:id="6"/>
    </w:p>
    <w:p w14:paraId="4C113ED2" w14:textId="7828E5D6"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conteste l</w:t>
      </w:r>
      <w:r w:rsidR="00582008" w:rsidRPr="00E00A16">
        <w:rPr>
          <w:lang w:val="fr-FR"/>
        </w:rPr>
        <w:t>’</w:t>
      </w:r>
      <w:r w:rsidRPr="00E00A16">
        <w:rPr>
          <w:lang w:val="fr-FR"/>
        </w:rPr>
        <w:t>argument avancé par l</w:t>
      </w:r>
      <w:r w:rsidR="00582008" w:rsidRPr="00E00A16">
        <w:rPr>
          <w:lang w:val="fr-FR"/>
        </w:rPr>
        <w:t>’</w:t>
      </w:r>
      <w:r w:rsidRPr="00E00A16">
        <w:rPr>
          <w:lang w:val="fr-FR"/>
        </w:rPr>
        <w:t>auteure selon lequel la Commission des recours des réfugiés n</w:t>
      </w:r>
      <w:r w:rsidR="00582008" w:rsidRPr="00E00A16">
        <w:rPr>
          <w:lang w:val="fr-FR"/>
        </w:rPr>
        <w:t>’</w:t>
      </w:r>
      <w:r w:rsidRPr="00E00A16">
        <w:rPr>
          <w:lang w:val="fr-FR"/>
        </w:rPr>
        <w:t>a pas tenu compte de la Convention lors de l</w:t>
      </w:r>
      <w:r w:rsidR="00582008" w:rsidRPr="00E00A16">
        <w:rPr>
          <w:lang w:val="fr-FR"/>
        </w:rPr>
        <w:t>’</w:t>
      </w:r>
      <w:r w:rsidRPr="00E00A16">
        <w:rPr>
          <w:lang w:val="fr-FR"/>
        </w:rPr>
        <w:t>examen de son affaire. Il rappelle que la Commission prend toujours la Convention en considération dans ses appréciations et que le fait qu</w:t>
      </w:r>
      <w:r w:rsidR="00582008" w:rsidRPr="00E00A16">
        <w:rPr>
          <w:lang w:val="fr-FR"/>
        </w:rPr>
        <w:t>’</w:t>
      </w:r>
      <w:r w:rsidRPr="00E00A16">
        <w:rPr>
          <w:lang w:val="fr-FR"/>
        </w:rPr>
        <w:t>elle n</w:t>
      </w:r>
      <w:r w:rsidR="00582008" w:rsidRPr="00E00A16">
        <w:rPr>
          <w:lang w:val="fr-FR"/>
        </w:rPr>
        <w:t>’</w:t>
      </w:r>
      <w:r w:rsidRPr="00E00A16">
        <w:rPr>
          <w:lang w:val="fr-FR"/>
        </w:rPr>
        <w:t>ait pas fait explicitement référence à cet instrument dans sa décision ne signifie pas qu</w:t>
      </w:r>
      <w:r w:rsidR="00582008" w:rsidRPr="00E00A16">
        <w:rPr>
          <w:lang w:val="fr-FR"/>
        </w:rPr>
        <w:t>’</w:t>
      </w:r>
      <w:r w:rsidRPr="00E00A16">
        <w:rPr>
          <w:lang w:val="fr-FR"/>
        </w:rPr>
        <w:t>elle n</w:t>
      </w:r>
      <w:r w:rsidR="00582008" w:rsidRPr="00E00A16">
        <w:rPr>
          <w:lang w:val="fr-FR"/>
        </w:rPr>
        <w:t>’</w:t>
      </w:r>
      <w:r w:rsidRPr="00E00A16">
        <w:rPr>
          <w:lang w:val="fr-FR"/>
        </w:rPr>
        <w:t>a pas fait cas de ses dispositions. L</w:t>
      </w:r>
      <w:r w:rsidR="00582008" w:rsidRPr="00E00A16">
        <w:rPr>
          <w:lang w:val="fr-FR"/>
        </w:rPr>
        <w:t>’</w:t>
      </w:r>
      <w:r w:rsidRPr="00E00A16">
        <w:rPr>
          <w:lang w:val="fr-FR"/>
        </w:rPr>
        <w:t>État partie se réfère aux constatations adoptées par le Comité dans l</w:t>
      </w:r>
      <w:r w:rsidR="00582008" w:rsidRPr="00E00A16">
        <w:rPr>
          <w:lang w:val="fr-FR"/>
        </w:rPr>
        <w:t>’</w:t>
      </w:r>
      <w:r w:rsidRPr="00E00A16">
        <w:rPr>
          <w:lang w:val="fr-FR"/>
        </w:rPr>
        <w:t xml:space="preserve">affaire </w:t>
      </w:r>
      <w:r w:rsidRPr="00E00A16">
        <w:rPr>
          <w:i/>
          <w:iCs/>
          <w:lang w:val="fr-FR"/>
        </w:rPr>
        <w:t xml:space="preserve">P. H. A </w:t>
      </w:r>
      <w:r w:rsidRPr="00E00A16">
        <w:rPr>
          <w:lang w:val="fr-FR"/>
        </w:rPr>
        <w:t>c.</w:t>
      </w:r>
      <w:r w:rsidRPr="00E00A16">
        <w:rPr>
          <w:i/>
          <w:iCs/>
          <w:lang w:val="fr-FR"/>
        </w:rPr>
        <w:t xml:space="preserve"> Danemark</w:t>
      </w:r>
      <w:r w:rsidRPr="00E12237">
        <w:rPr>
          <w:vertAlign w:val="superscript"/>
          <w:lang w:val="fr-FR"/>
        </w:rPr>
        <w:footnoteReference w:id="29"/>
      </w:r>
      <w:r w:rsidRPr="00E12237">
        <w:rPr>
          <w:lang w:val="fr-FR"/>
        </w:rPr>
        <w:t>, selon lesquelles l</w:t>
      </w:r>
      <w:r w:rsidR="00582008" w:rsidRPr="00E12237">
        <w:rPr>
          <w:lang w:val="fr-FR"/>
        </w:rPr>
        <w:t>’</w:t>
      </w:r>
      <w:r w:rsidRPr="00E12237">
        <w:rPr>
          <w:lang w:val="fr-FR"/>
        </w:rPr>
        <w:t>auteure n</w:t>
      </w:r>
      <w:r w:rsidR="00582008" w:rsidRPr="007815D5">
        <w:rPr>
          <w:lang w:val="fr-FR"/>
        </w:rPr>
        <w:t>’</w:t>
      </w:r>
      <w:r w:rsidRPr="007815D5">
        <w:rPr>
          <w:lang w:val="fr-FR"/>
        </w:rPr>
        <w:t xml:space="preserve">avait pas démontré en </w:t>
      </w:r>
      <w:r w:rsidRPr="00E00A16">
        <w:rPr>
          <w:lang w:val="fr-FR"/>
        </w:rPr>
        <w:t>quoi le fait de mentionner la Convention soulevait des questions différentes de celles déjà examinées par la Commission des recours des réfugiés dans le cadre de sa demande d</w:t>
      </w:r>
      <w:r w:rsidR="00582008" w:rsidRPr="00E00A16">
        <w:rPr>
          <w:lang w:val="fr-FR"/>
        </w:rPr>
        <w:t>’</w:t>
      </w:r>
      <w:r w:rsidRPr="00E00A16">
        <w:rPr>
          <w:lang w:val="fr-FR"/>
        </w:rPr>
        <w:t>asile.</w:t>
      </w:r>
    </w:p>
    <w:p w14:paraId="4CA3DAC0" w14:textId="50F87DB8" w:rsidR="00704AC4" w:rsidRPr="00E00A16" w:rsidRDefault="00704AC4" w:rsidP="00704AC4">
      <w:pPr>
        <w:pStyle w:val="SingleTxt"/>
        <w:numPr>
          <w:ilvl w:val="0"/>
          <w:numId w:val="38"/>
        </w:numPr>
        <w:tabs>
          <w:tab w:val="left" w:pos="1742"/>
        </w:tabs>
        <w:spacing w:line="240" w:lineRule="exact"/>
        <w:rPr>
          <w:lang w:val="fr-FR"/>
        </w:rPr>
      </w:pPr>
      <w:r w:rsidRPr="00E00A16">
        <w:rPr>
          <w:lang w:val="fr-FR"/>
        </w:rPr>
        <w:t>L</w:t>
      </w:r>
      <w:r w:rsidR="00582008" w:rsidRPr="00E00A16">
        <w:rPr>
          <w:lang w:val="fr-FR"/>
        </w:rPr>
        <w:t>’</w:t>
      </w:r>
      <w:r w:rsidRPr="00E00A16">
        <w:rPr>
          <w:lang w:val="fr-FR"/>
        </w:rPr>
        <w:t>État partie maintient que l</w:t>
      </w:r>
      <w:r w:rsidR="00582008" w:rsidRPr="00E00A16">
        <w:rPr>
          <w:lang w:val="fr-FR"/>
        </w:rPr>
        <w:t>’</w:t>
      </w:r>
      <w:r w:rsidRPr="00E00A16">
        <w:rPr>
          <w:lang w:val="fr-FR"/>
        </w:rPr>
        <w:t>auteure n</w:t>
      </w:r>
      <w:r w:rsidR="00582008" w:rsidRPr="00E00A16">
        <w:rPr>
          <w:lang w:val="fr-FR"/>
        </w:rPr>
        <w:t>’</w:t>
      </w:r>
      <w:r w:rsidRPr="00E00A16">
        <w:rPr>
          <w:lang w:val="fr-FR"/>
        </w:rPr>
        <w:t>a pas démontré que sa communication était recevable et réaffirme que la communication est manifestement infondée et devrait être déclarée irrecevable au regard du paragraphe 2</w:t>
      </w:r>
      <w:r w:rsidR="00E05944" w:rsidRPr="00E00A16">
        <w:rPr>
          <w:lang w:val="fr-FR"/>
        </w:rPr>
        <w:t xml:space="preserve"> </w:t>
      </w:r>
      <w:r w:rsidRPr="00E00A16">
        <w:rPr>
          <w:lang w:val="fr-FR"/>
        </w:rPr>
        <w:t>c) de l</w:t>
      </w:r>
      <w:r w:rsidR="00582008" w:rsidRPr="00E00A16">
        <w:rPr>
          <w:lang w:val="fr-FR"/>
        </w:rPr>
        <w:t>’</w:t>
      </w:r>
      <w:r w:rsidRPr="00E00A16">
        <w:rPr>
          <w:lang w:val="fr-FR"/>
        </w:rPr>
        <w:t>article</w:t>
      </w:r>
      <w:r w:rsidR="00E05944" w:rsidRPr="00E00A16">
        <w:rPr>
          <w:lang w:val="fr-FR"/>
        </w:rPr>
        <w:t xml:space="preserve"> </w:t>
      </w:r>
      <w:r w:rsidRPr="00E00A16">
        <w:rPr>
          <w:lang w:val="fr-FR"/>
        </w:rPr>
        <w:t>4 du Protocole facultatif. Si la communication était déclarée recevable, le renvoi de l</w:t>
      </w:r>
      <w:r w:rsidR="00582008" w:rsidRPr="00E00A16">
        <w:rPr>
          <w:lang w:val="fr-FR"/>
        </w:rPr>
        <w:t>’</w:t>
      </w:r>
      <w:r w:rsidRPr="00E00A16">
        <w:rPr>
          <w:lang w:val="fr-FR"/>
        </w:rPr>
        <w:t xml:space="preserve">auteure en Fédération de Russie ne constituerait pas une violation de la Convention. </w:t>
      </w:r>
      <w:r w:rsidRPr="00E00A16">
        <w:rPr>
          <w:lang w:val="fr-FR"/>
        </w:rPr>
        <w:lastRenderedPageBreak/>
        <w:t>Par ailleurs, l</w:t>
      </w:r>
      <w:r w:rsidR="00582008" w:rsidRPr="00E00A16">
        <w:rPr>
          <w:lang w:val="fr-FR"/>
        </w:rPr>
        <w:t>’</w:t>
      </w:r>
      <w:r w:rsidRPr="00E00A16">
        <w:rPr>
          <w:lang w:val="fr-FR"/>
        </w:rPr>
        <w:t>État partie appelle l</w:t>
      </w:r>
      <w:r w:rsidR="00582008" w:rsidRPr="00E00A16">
        <w:rPr>
          <w:lang w:val="fr-FR"/>
        </w:rPr>
        <w:t>’</w:t>
      </w:r>
      <w:r w:rsidRPr="00E00A16">
        <w:rPr>
          <w:lang w:val="fr-FR"/>
        </w:rPr>
        <w:t>attention sur les statistiques concernant la jurisprudence des autorités danoises de l</w:t>
      </w:r>
      <w:r w:rsidR="00582008" w:rsidRPr="00E00A16">
        <w:rPr>
          <w:lang w:val="fr-FR"/>
        </w:rPr>
        <w:t>’</w:t>
      </w:r>
      <w:r w:rsidRPr="00E00A16">
        <w:rPr>
          <w:lang w:val="fr-FR"/>
        </w:rPr>
        <w:t>immigration, qui montrent qu</w:t>
      </w:r>
      <w:r w:rsidR="00582008" w:rsidRPr="00E00A16">
        <w:rPr>
          <w:lang w:val="fr-FR"/>
        </w:rPr>
        <w:t>’</w:t>
      </w:r>
      <w:r w:rsidRPr="00E00A16">
        <w:rPr>
          <w:lang w:val="fr-FR"/>
        </w:rPr>
        <w:t>entre 2013 et 2015, la Commission a fait droit à un pourcentage important des demandes d</w:t>
      </w:r>
      <w:r w:rsidR="00582008" w:rsidRPr="00E00A16">
        <w:rPr>
          <w:lang w:val="fr-FR"/>
        </w:rPr>
        <w:t>’</w:t>
      </w:r>
      <w:r w:rsidRPr="00E00A16">
        <w:rPr>
          <w:lang w:val="fr-FR"/>
        </w:rPr>
        <w:t>asile émanant de membres des 10</w:t>
      </w:r>
      <w:r w:rsidR="00E05944" w:rsidRPr="00E00A16">
        <w:rPr>
          <w:lang w:val="fr-FR"/>
        </w:rPr>
        <w:t xml:space="preserve"> </w:t>
      </w:r>
      <w:r w:rsidRPr="00E00A16">
        <w:rPr>
          <w:lang w:val="fr-FR"/>
        </w:rPr>
        <w:t>plus grands groupes nationaux de demandeurs d</w:t>
      </w:r>
      <w:r w:rsidR="00582008" w:rsidRPr="00E00A16">
        <w:rPr>
          <w:lang w:val="fr-FR"/>
        </w:rPr>
        <w:t>’</w:t>
      </w:r>
      <w:r w:rsidRPr="00E00A16">
        <w:rPr>
          <w:lang w:val="fr-FR"/>
        </w:rPr>
        <w:t>asile.</w:t>
      </w:r>
    </w:p>
    <w:p w14:paraId="732185B3" w14:textId="77777777" w:rsidR="00704AC4" w:rsidRPr="00E00A16" w:rsidRDefault="00704AC4" w:rsidP="00704AC4">
      <w:pPr>
        <w:pStyle w:val="SingleTxt"/>
        <w:spacing w:after="0" w:line="120" w:lineRule="exact"/>
        <w:rPr>
          <w:b/>
          <w:sz w:val="10"/>
          <w:lang w:val="fr-FR"/>
        </w:rPr>
      </w:pPr>
    </w:p>
    <w:p w14:paraId="450BD722" w14:textId="4B089CFB"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Commentaires de l</w:t>
      </w:r>
      <w:r w:rsidR="00582008" w:rsidRPr="00E00A16">
        <w:rPr>
          <w:lang w:val="fr-FR"/>
        </w:rPr>
        <w:t>’</w:t>
      </w:r>
      <w:r w:rsidRPr="00E00A16">
        <w:rPr>
          <w:lang w:val="fr-FR"/>
        </w:rPr>
        <w:t>auteure sur les observations de l</w:t>
      </w:r>
      <w:r w:rsidR="00582008" w:rsidRPr="00E00A16">
        <w:rPr>
          <w:lang w:val="fr-FR"/>
        </w:rPr>
        <w:t>’</w:t>
      </w:r>
      <w:r w:rsidRPr="00E00A16">
        <w:rPr>
          <w:lang w:val="fr-FR"/>
        </w:rPr>
        <w:t xml:space="preserve">État partie concernant </w:t>
      </w:r>
      <w:r w:rsidRPr="00E00A16">
        <w:rPr>
          <w:lang w:val="fr-FR"/>
        </w:rPr>
        <w:br/>
        <w:t>le fond</w:t>
      </w:r>
    </w:p>
    <w:p w14:paraId="1FE61297" w14:textId="77777777" w:rsidR="00704AC4" w:rsidRPr="00E00A16" w:rsidRDefault="00704AC4" w:rsidP="00704AC4">
      <w:pPr>
        <w:pStyle w:val="SingleTxt"/>
        <w:spacing w:after="0" w:line="120" w:lineRule="exact"/>
        <w:rPr>
          <w:sz w:val="10"/>
          <w:lang w:val="fr-FR"/>
        </w:rPr>
      </w:pPr>
    </w:p>
    <w:p w14:paraId="724915F4" w14:textId="6A452212"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Le 28 février 2017, l</w:t>
      </w:r>
      <w:r w:rsidR="00582008" w:rsidRPr="00E00A16">
        <w:rPr>
          <w:lang w:val="fr-FR"/>
        </w:rPr>
        <w:t>’</w:t>
      </w:r>
      <w:r w:rsidRPr="00E00A16">
        <w:rPr>
          <w:lang w:val="fr-FR"/>
        </w:rPr>
        <w:t>auteure a présenté ses commentaires sur les observations de l</w:t>
      </w:r>
      <w:r w:rsidR="00582008" w:rsidRPr="00E00A16">
        <w:rPr>
          <w:lang w:val="fr-FR"/>
        </w:rPr>
        <w:t>’</w:t>
      </w:r>
      <w:r w:rsidRPr="00E00A16">
        <w:rPr>
          <w:lang w:val="fr-FR"/>
        </w:rPr>
        <w:t>État partie concernant le fond de la communication.</w:t>
      </w:r>
    </w:p>
    <w:p w14:paraId="78DC3357" w14:textId="4CD94790"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rappelle que les autorités tchétchènes continuent de se présenter au domicile de sa famille en Tchétchénie et de la convoquer à des interrogatoires. Elle indique qu</w:t>
      </w:r>
      <w:r w:rsidR="00582008" w:rsidRPr="00E00A16">
        <w:rPr>
          <w:lang w:val="fr-FR"/>
        </w:rPr>
        <w:t>’</w:t>
      </w:r>
      <w:r w:rsidRPr="00E00A16">
        <w:rPr>
          <w:lang w:val="fr-FR"/>
        </w:rPr>
        <w:t>il lui est difficile de parler à sa mère, qui craint que son téléphone ne soit sur écoute et a peur de son frère aîné. Elle rappelle qu</w:t>
      </w:r>
      <w:r w:rsidR="00582008" w:rsidRPr="00E00A16">
        <w:rPr>
          <w:lang w:val="fr-FR"/>
        </w:rPr>
        <w:t>’</w:t>
      </w:r>
      <w:r w:rsidRPr="00E00A16">
        <w:rPr>
          <w:lang w:val="fr-FR"/>
        </w:rPr>
        <w:t>elle risque d</w:t>
      </w:r>
      <w:r w:rsidR="00582008" w:rsidRPr="00E00A16">
        <w:rPr>
          <w:lang w:val="fr-FR"/>
        </w:rPr>
        <w:t>’</w:t>
      </w:r>
      <w:r w:rsidRPr="00E00A16">
        <w:rPr>
          <w:lang w:val="fr-FR"/>
        </w:rPr>
        <w:t>être persécutée par ce frère, qui pense que son viol par les autorités tchétchènes déshonore la famille. En outre, elle signale que son frère cadet, qui avait été arrêté et placé en détention en même temps qu</w:t>
      </w:r>
      <w:r w:rsidR="00582008" w:rsidRPr="00E00A16">
        <w:rPr>
          <w:lang w:val="fr-FR"/>
        </w:rPr>
        <w:t>’</w:t>
      </w:r>
      <w:r w:rsidRPr="00E00A16">
        <w:rPr>
          <w:lang w:val="fr-FR"/>
        </w:rPr>
        <w:t>elle, n</w:t>
      </w:r>
      <w:r w:rsidR="00582008" w:rsidRPr="00E00A16">
        <w:rPr>
          <w:lang w:val="fr-FR"/>
        </w:rPr>
        <w:t>’</w:t>
      </w:r>
      <w:r w:rsidRPr="00E00A16">
        <w:rPr>
          <w:lang w:val="fr-FR"/>
        </w:rPr>
        <w:t>a toujours pas été libéré. Ni elle ni sa mère ne savent où il se trouve exactement, s</w:t>
      </w:r>
      <w:r w:rsidR="00582008" w:rsidRPr="00E00A16">
        <w:rPr>
          <w:lang w:val="fr-FR"/>
        </w:rPr>
        <w:t>’</w:t>
      </w:r>
      <w:r w:rsidRPr="00E00A16">
        <w:rPr>
          <w:lang w:val="fr-FR"/>
        </w:rPr>
        <w:t>il est toujours en prison ou même s</w:t>
      </w:r>
      <w:r w:rsidR="00582008" w:rsidRPr="00E00A16">
        <w:rPr>
          <w:lang w:val="fr-FR"/>
        </w:rPr>
        <w:t>’</w:t>
      </w:r>
      <w:r w:rsidRPr="00E00A16">
        <w:rPr>
          <w:lang w:val="fr-FR"/>
        </w:rPr>
        <w:t>il est encore en vie.</w:t>
      </w:r>
    </w:p>
    <w:p w14:paraId="32AA7AA1" w14:textId="2672B51E" w:rsidR="00704AC4" w:rsidRPr="00E12237" w:rsidRDefault="00704AC4" w:rsidP="00704AC4">
      <w:pPr>
        <w:pStyle w:val="SingleTxt"/>
        <w:numPr>
          <w:ilvl w:val="0"/>
          <w:numId w:val="39"/>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indique que son frère aîné a été arrêté à deux reprises, le 23</w:t>
      </w:r>
      <w:r w:rsidR="00E05944" w:rsidRPr="00E00A16">
        <w:rPr>
          <w:lang w:val="fr-FR"/>
        </w:rPr>
        <w:t xml:space="preserve"> </w:t>
      </w:r>
      <w:r w:rsidRPr="00E00A16">
        <w:rPr>
          <w:lang w:val="fr-FR"/>
        </w:rPr>
        <w:t>décembre 2015 et le 28</w:t>
      </w:r>
      <w:r w:rsidR="00E05944" w:rsidRPr="00E00A16">
        <w:rPr>
          <w:lang w:val="fr-FR"/>
        </w:rPr>
        <w:t xml:space="preserve"> </w:t>
      </w:r>
      <w:r w:rsidRPr="00E00A16">
        <w:rPr>
          <w:lang w:val="fr-FR"/>
        </w:rPr>
        <w:t>juin 2016</w:t>
      </w:r>
      <w:r w:rsidRPr="00E12237">
        <w:rPr>
          <w:vertAlign w:val="superscript"/>
          <w:lang w:val="fr-FR"/>
        </w:rPr>
        <w:footnoteReference w:id="30"/>
      </w:r>
      <w:r w:rsidRPr="00E12237">
        <w:rPr>
          <w:lang w:val="fr-FR"/>
        </w:rPr>
        <w:t>, à cause d</w:t>
      </w:r>
      <w:r w:rsidR="00582008" w:rsidRPr="00E12237">
        <w:rPr>
          <w:lang w:val="fr-FR"/>
        </w:rPr>
        <w:t>’</w:t>
      </w:r>
      <w:r w:rsidRPr="00E12237">
        <w:rPr>
          <w:lang w:val="fr-FR"/>
        </w:rPr>
        <w:t>elle</w:t>
      </w:r>
      <w:r w:rsidRPr="00E12237">
        <w:rPr>
          <w:vertAlign w:val="superscript"/>
          <w:lang w:val="fr-FR"/>
        </w:rPr>
        <w:footnoteReference w:id="31"/>
      </w:r>
      <w:r w:rsidRPr="00E12237">
        <w:rPr>
          <w:lang w:val="fr-FR"/>
        </w:rPr>
        <w:t>. Elle soutient que, depuis qu</w:t>
      </w:r>
      <w:r w:rsidR="00582008" w:rsidRPr="00E12237">
        <w:rPr>
          <w:lang w:val="fr-FR"/>
        </w:rPr>
        <w:t>’</w:t>
      </w:r>
      <w:r w:rsidRPr="00E12237">
        <w:rPr>
          <w:lang w:val="fr-FR"/>
        </w:rPr>
        <w:t>elle a quitté la</w:t>
      </w:r>
      <w:r w:rsidR="00E05944" w:rsidRPr="00E00A16">
        <w:rPr>
          <w:lang w:val="fr-FR"/>
        </w:rPr>
        <w:t xml:space="preserve"> </w:t>
      </w:r>
      <w:r w:rsidRPr="00E00A16">
        <w:rPr>
          <w:lang w:val="fr-FR"/>
        </w:rPr>
        <w:t>Tchétchénie, il se terre, étant harcelé et menacé par les autorités tchétchènes, qui l</w:t>
      </w:r>
      <w:r w:rsidR="00582008" w:rsidRPr="00E00A16">
        <w:rPr>
          <w:lang w:val="fr-FR"/>
        </w:rPr>
        <w:t>’</w:t>
      </w:r>
      <w:r w:rsidRPr="00E00A16">
        <w:rPr>
          <w:lang w:val="fr-FR"/>
        </w:rPr>
        <w:t>appellent au téléphone pour le convoquer à des interrogatoires. Elle ajoute que le nouveau chef de la police d</w:t>
      </w:r>
      <w:r w:rsidR="00582008" w:rsidRPr="00E00A16">
        <w:rPr>
          <w:lang w:val="fr-FR"/>
        </w:rPr>
        <w:t>’</w:t>
      </w:r>
      <w:r w:rsidRPr="00E00A16">
        <w:rPr>
          <w:lang w:val="fr-FR"/>
        </w:rPr>
        <w:t>un district tchétchène a envenimé la situation. Elle renvoie à un rapport du Centre d</w:t>
      </w:r>
      <w:r w:rsidR="00582008" w:rsidRPr="00E00A16">
        <w:rPr>
          <w:lang w:val="fr-FR"/>
        </w:rPr>
        <w:t>’</w:t>
      </w:r>
      <w:r w:rsidRPr="00E00A16">
        <w:rPr>
          <w:lang w:val="fr-FR"/>
        </w:rPr>
        <w:t>information norvégien sur les pays d</w:t>
      </w:r>
      <w:r w:rsidR="00582008" w:rsidRPr="00E00A16">
        <w:rPr>
          <w:lang w:val="fr-FR"/>
        </w:rPr>
        <w:t>’</w:t>
      </w:r>
      <w:r w:rsidRPr="00E00A16">
        <w:rPr>
          <w:lang w:val="fr-FR"/>
        </w:rPr>
        <w:t>origine, Landinfo, daté du</w:t>
      </w:r>
      <w:r w:rsidR="00E05944" w:rsidRPr="00E00A16">
        <w:rPr>
          <w:lang w:val="fr-FR"/>
        </w:rPr>
        <w:t xml:space="preserve"> </w:t>
      </w:r>
      <w:r w:rsidRPr="00E00A16">
        <w:rPr>
          <w:lang w:val="fr-FR"/>
        </w:rPr>
        <w:t>4</w:t>
      </w:r>
      <w:r w:rsidR="00E05944" w:rsidRPr="00E00A16">
        <w:rPr>
          <w:lang w:val="fr-FR"/>
        </w:rPr>
        <w:t xml:space="preserve"> </w:t>
      </w:r>
      <w:r w:rsidRPr="00E00A16">
        <w:rPr>
          <w:lang w:val="fr-FR"/>
        </w:rPr>
        <w:t>octobre 2016, dans lequel il est indiqué que les familles et les partisans des insurgés continuent d</w:t>
      </w:r>
      <w:r w:rsidR="00582008" w:rsidRPr="00E00A16">
        <w:rPr>
          <w:lang w:val="fr-FR"/>
        </w:rPr>
        <w:t>’</w:t>
      </w:r>
      <w:r w:rsidRPr="00E00A16">
        <w:rPr>
          <w:lang w:val="fr-FR"/>
        </w:rPr>
        <w:t>être persécutés par les autorités tchétchènes, que les proches sont placés sous surveillance et contraints par la menace de fournir des informations sur les insurgés, en plus de subir diverses sanctions, et qu</w:t>
      </w:r>
      <w:r w:rsidR="00582008" w:rsidRPr="00E00A16">
        <w:rPr>
          <w:lang w:val="fr-FR"/>
        </w:rPr>
        <w:t>’</w:t>
      </w:r>
      <w:r w:rsidRPr="00E00A16">
        <w:rPr>
          <w:lang w:val="fr-FR"/>
        </w:rPr>
        <w:t>un climat de peur perdure en Tchétchénie. Il est également indiqué dans ce rapport que le fait de prodiguer des soins médicaux à des insurgés est considéré comme un acte criminel passible de sanctions en application du droit pénal russe. L</w:t>
      </w:r>
      <w:r w:rsidR="00582008" w:rsidRPr="00E00A16">
        <w:rPr>
          <w:lang w:val="fr-FR"/>
        </w:rPr>
        <w:t>’</w:t>
      </w:r>
      <w:r w:rsidRPr="00E00A16">
        <w:rPr>
          <w:lang w:val="fr-FR"/>
        </w:rPr>
        <w:t>auteure avance que la situation est particulièrement difficile pour les femmes qui soutiennent les insurgés ou sont soupçonnées de le faire car elles risquent d</w:t>
      </w:r>
      <w:r w:rsidR="00582008" w:rsidRPr="00E00A16">
        <w:rPr>
          <w:lang w:val="fr-FR"/>
        </w:rPr>
        <w:t>’</w:t>
      </w:r>
      <w:r w:rsidRPr="00E00A16">
        <w:rPr>
          <w:lang w:val="fr-FR"/>
        </w:rPr>
        <w:t>être victimes de harcèlement sexuel et de violences, y</w:t>
      </w:r>
      <w:r w:rsidR="00E05944" w:rsidRPr="00E00A16">
        <w:rPr>
          <w:lang w:val="fr-FR"/>
        </w:rPr>
        <w:t xml:space="preserve"> </w:t>
      </w:r>
      <w:r w:rsidRPr="00E00A16">
        <w:rPr>
          <w:lang w:val="fr-FR"/>
        </w:rPr>
        <w:t>compris de violences sexuelles, de la part des autorités tchétchènes</w:t>
      </w:r>
      <w:r w:rsidRPr="00E12237">
        <w:rPr>
          <w:vertAlign w:val="superscript"/>
          <w:lang w:val="fr-FR"/>
        </w:rPr>
        <w:footnoteReference w:id="32"/>
      </w:r>
      <w:r w:rsidRPr="00E12237">
        <w:rPr>
          <w:lang w:val="fr-FR"/>
        </w:rPr>
        <w:t>.</w:t>
      </w:r>
    </w:p>
    <w:p w14:paraId="512F4D3A" w14:textId="77C123C9"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rappelle que dans ses observations datées du 22</w:t>
      </w:r>
      <w:r w:rsidR="00E05944" w:rsidRPr="00E00A16">
        <w:rPr>
          <w:lang w:val="fr-FR"/>
        </w:rPr>
        <w:t xml:space="preserve"> </w:t>
      </w:r>
      <w:r w:rsidRPr="00E00A16">
        <w:rPr>
          <w:lang w:val="fr-FR"/>
        </w:rPr>
        <w:t>décembre 2016, l</w:t>
      </w:r>
      <w:r w:rsidR="00582008" w:rsidRPr="00E00A16">
        <w:rPr>
          <w:lang w:val="fr-FR"/>
        </w:rPr>
        <w:t>’</w:t>
      </w:r>
      <w:r w:rsidRPr="00E00A16">
        <w:rPr>
          <w:lang w:val="fr-FR"/>
        </w:rPr>
        <w:t>État partie a affirmé que, même si le Comité déclarait sa communication recevable, elle pourrait être renvoyée en Fédération de Russie. Elle réaffirme que son expulsion constituerait une violation des alinéas</w:t>
      </w:r>
      <w:r w:rsidR="00E05944" w:rsidRPr="00E00A16">
        <w:rPr>
          <w:lang w:val="fr-FR"/>
        </w:rPr>
        <w:t xml:space="preserve"> </w:t>
      </w:r>
      <w:r w:rsidRPr="00E00A16">
        <w:rPr>
          <w:lang w:val="fr-FR"/>
        </w:rPr>
        <w:t>c), d) et f) de l</w:t>
      </w:r>
      <w:r w:rsidR="00582008" w:rsidRPr="00E00A16">
        <w:rPr>
          <w:lang w:val="fr-FR"/>
        </w:rPr>
        <w:t>’</w:t>
      </w:r>
      <w:r w:rsidRPr="00E00A16">
        <w:rPr>
          <w:lang w:val="fr-FR"/>
        </w:rPr>
        <w:t>article</w:t>
      </w:r>
      <w:r w:rsidR="00E05944" w:rsidRPr="00E00A16">
        <w:rPr>
          <w:lang w:val="fr-FR"/>
        </w:rPr>
        <w:t xml:space="preserve"> </w:t>
      </w:r>
      <w:r w:rsidRPr="00E00A16">
        <w:rPr>
          <w:lang w:val="fr-FR"/>
        </w:rPr>
        <w:t>2 de la Convention. Elle souligne qu</w:t>
      </w:r>
      <w:r w:rsidR="00582008" w:rsidRPr="00E00A16">
        <w:rPr>
          <w:lang w:val="fr-FR"/>
        </w:rPr>
        <w:t>’</w:t>
      </w:r>
      <w:r w:rsidRPr="00E00A16">
        <w:rPr>
          <w:lang w:val="fr-FR"/>
        </w:rPr>
        <w:t>en tant que femme recherchée par les autorités tchétchènes pour avoir aidé un insurgé, elle courrait un grand risque de subir un traitement cruel et dégradant et des violences sexuelles fondées sur le genre si elle était renvoyée en Fédération de Russie.</w:t>
      </w:r>
    </w:p>
    <w:p w14:paraId="1EB282A3" w14:textId="17965FE8"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rappelle que l</w:t>
      </w:r>
      <w:r w:rsidR="00582008" w:rsidRPr="00E00A16">
        <w:rPr>
          <w:lang w:val="fr-FR"/>
        </w:rPr>
        <w:t>’</w:t>
      </w:r>
      <w:r w:rsidRPr="00E00A16">
        <w:rPr>
          <w:lang w:val="fr-FR"/>
        </w:rPr>
        <w:t>État partie renvoie à un rapport établi par le Service danois de l</w:t>
      </w:r>
      <w:r w:rsidR="00582008" w:rsidRPr="00E00A16">
        <w:rPr>
          <w:lang w:val="fr-FR"/>
        </w:rPr>
        <w:t>’</w:t>
      </w:r>
      <w:r w:rsidRPr="00E00A16">
        <w:rPr>
          <w:lang w:val="fr-FR"/>
        </w:rPr>
        <w:t>immigration le 15</w:t>
      </w:r>
      <w:r w:rsidR="0036046B" w:rsidRPr="00E00A16">
        <w:rPr>
          <w:lang w:val="fr-FR"/>
        </w:rPr>
        <w:t xml:space="preserve"> </w:t>
      </w:r>
      <w:r w:rsidRPr="00E00A16">
        <w:rPr>
          <w:lang w:val="fr-FR"/>
        </w:rPr>
        <w:t>janvier 2015. Elle soutient que ce rapport a été rédigé avant l</w:t>
      </w:r>
      <w:r w:rsidR="00582008" w:rsidRPr="00E00A16">
        <w:rPr>
          <w:lang w:val="fr-FR"/>
        </w:rPr>
        <w:t>’</w:t>
      </w:r>
      <w:r w:rsidRPr="00E00A16">
        <w:rPr>
          <w:lang w:val="fr-FR"/>
        </w:rPr>
        <w:t>attaque commise contre Grozny le 4</w:t>
      </w:r>
      <w:r w:rsidR="0036046B" w:rsidRPr="00E00A16">
        <w:rPr>
          <w:lang w:val="fr-FR"/>
        </w:rPr>
        <w:t xml:space="preserve"> </w:t>
      </w:r>
      <w:r w:rsidRPr="00E00A16">
        <w:rPr>
          <w:lang w:val="fr-FR"/>
        </w:rPr>
        <w:t xml:space="preserve">décembre 2014 et ne mentionne que </w:t>
      </w:r>
      <w:r w:rsidRPr="00E00A16">
        <w:rPr>
          <w:lang w:val="fr-FR"/>
        </w:rPr>
        <w:lastRenderedPageBreak/>
        <w:t>brièvement les tensions qui sont apparues par la suite. Elle indique qu</w:t>
      </w:r>
      <w:r w:rsidR="00582008" w:rsidRPr="00E00A16">
        <w:rPr>
          <w:lang w:val="fr-FR"/>
        </w:rPr>
        <w:t>’</w:t>
      </w:r>
      <w:r w:rsidRPr="00E00A16">
        <w:rPr>
          <w:lang w:val="fr-FR"/>
        </w:rPr>
        <w:t>après l</w:t>
      </w:r>
      <w:r w:rsidR="00582008" w:rsidRPr="00E00A16">
        <w:rPr>
          <w:lang w:val="fr-FR"/>
        </w:rPr>
        <w:t>’</w:t>
      </w:r>
      <w:r w:rsidRPr="00E00A16">
        <w:rPr>
          <w:lang w:val="fr-FR"/>
        </w:rPr>
        <w:t>attaque, le Président Kadyrov a déclaré qu</w:t>
      </w:r>
      <w:r w:rsidR="00582008" w:rsidRPr="00E00A16">
        <w:rPr>
          <w:lang w:val="fr-FR"/>
        </w:rPr>
        <w:t>’</w:t>
      </w:r>
      <w:r w:rsidRPr="00E00A16">
        <w:rPr>
          <w:lang w:val="fr-FR"/>
        </w:rPr>
        <w:t>il demanderait que tous les responsables soient amenés à répondre de leurs actes et soient punis.</w:t>
      </w:r>
    </w:p>
    <w:p w14:paraId="414A7584" w14:textId="1BADFC2F"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L</w:t>
      </w:r>
      <w:r w:rsidR="00582008" w:rsidRPr="00E00A16">
        <w:rPr>
          <w:lang w:val="fr-FR"/>
        </w:rPr>
        <w:t>’</w:t>
      </w:r>
      <w:r w:rsidRPr="00E00A16">
        <w:rPr>
          <w:lang w:val="fr-FR"/>
        </w:rPr>
        <w:t>auteure renvoie à la décision rendue dans l</w:t>
      </w:r>
      <w:r w:rsidR="00582008" w:rsidRPr="00E00A16">
        <w:rPr>
          <w:lang w:val="fr-FR"/>
        </w:rPr>
        <w:t>’</w:t>
      </w:r>
      <w:r w:rsidRPr="00E00A16">
        <w:rPr>
          <w:lang w:val="fr-FR"/>
        </w:rPr>
        <w:t xml:space="preserve">affaire </w:t>
      </w:r>
      <w:r w:rsidRPr="00E00A16">
        <w:rPr>
          <w:i/>
          <w:iCs/>
          <w:lang w:val="fr-FR"/>
        </w:rPr>
        <w:t xml:space="preserve">Y. W. </w:t>
      </w:r>
      <w:r w:rsidRPr="00E00A16">
        <w:rPr>
          <w:lang w:val="fr-FR"/>
        </w:rPr>
        <w:t>c.</w:t>
      </w:r>
      <w:r w:rsidRPr="00E00A16">
        <w:rPr>
          <w:i/>
          <w:iCs/>
          <w:lang w:val="fr-FR"/>
        </w:rPr>
        <w:t> Danemark</w:t>
      </w:r>
      <w:r w:rsidRPr="00E00A16">
        <w:rPr>
          <w:lang w:val="fr-FR"/>
        </w:rPr>
        <w:t>, dans laquelle le Comité a indiqué que la Convention avait un effet extraterritorial et qu</w:t>
      </w:r>
      <w:r w:rsidR="00582008" w:rsidRPr="00E00A16">
        <w:rPr>
          <w:lang w:val="fr-FR"/>
        </w:rPr>
        <w:t>’</w:t>
      </w:r>
      <w:r w:rsidRPr="00E00A16">
        <w:rPr>
          <w:lang w:val="fr-FR"/>
        </w:rPr>
        <w:t>aux termes de l</w:t>
      </w:r>
      <w:r w:rsidR="00582008" w:rsidRPr="00E00A16">
        <w:rPr>
          <w:lang w:val="fr-FR"/>
        </w:rPr>
        <w:t>’</w:t>
      </w:r>
      <w:r w:rsidRPr="00E00A16">
        <w:rPr>
          <w:lang w:val="fr-FR"/>
        </w:rPr>
        <w:t>alinéa d) de l</w:t>
      </w:r>
      <w:r w:rsidR="00582008" w:rsidRPr="00E00A16">
        <w:rPr>
          <w:lang w:val="fr-FR"/>
        </w:rPr>
        <w:t>’</w:t>
      </w:r>
      <w:r w:rsidRPr="00E00A16">
        <w:rPr>
          <w:lang w:val="fr-FR"/>
        </w:rPr>
        <w:t>article 2, les États parties devaient s</w:t>
      </w:r>
      <w:r w:rsidR="00582008" w:rsidRPr="00E00A16">
        <w:rPr>
          <w:lang w:val="fr-FR"/>
        </w:rPr>
        <w:t>’</w:t>
      </w:r>
      <w:r w:rsidRPr="00E00A16">
        <w:rPr>
          <w:lang w:val="fr-FR"/>
        </w:rPr>
        <w:t>abstenir de tout acte ou pratique discriminatoire à l</w:t>
      </w:r>
      <w:r w:rsidR="00582008" w:rsidRPr="00E00A16">
        <w:rPr>
          <w:lang w:val="fr-FR"/>
        </w:rPr>
        <w:t>’</w:t>
      </w:r>
      <w:r w:rsidRPr="00E00A16">
        <w:rPr>
          <w:lang w:val="fr-FR"/>
        </w:rPr>
        <w:t>égard des femmes et faire en sorte que les autorités publiques se conforment à cette obligation</w:t>
      </w:r>
      <w:r w:rsidRPr="00E12237">
        <w:rPr>
          <w:vertAlign w:val="superscript"/>
          <w:lang w:val="fr-FR"/>
        </w:rPr>
        <w:footnoteReference w:id="33"/>
      </w:r>
      <w:r w:rsidRPr="00E12237">
        <w:rPr>
          <w:lang w:val="fr-FR"/>
        </w:rPr>
        <w:t>. Le Comité a également dit que l</w:t>
      </w:r>
      <w:r w:rsidR="00582008" w:rsidRPr="00E12237">
        <w:rPr>
          <w:lang w:val="fr-FR"/>
        </w:rPr>
        <w:t>’</w:t>
      </w:r>
      <w:r w:rsidRPr="00E12237">
        <w:rPr>
          <w:lang w:val="fr-FR"/>
        </w:rPr>
        <w:t>État partie qui soumettait une personne se trouvant sur son territoire à une décision dont la conséquence nécessaire et prévisible était la violation, dans un autre pays, des dro</w:t>
      </w:r>
      <w:r w:rsidRPr="00E00A16">
        <w:rPr>
          <w:lang w:val="fr-FR"/>
        </w:rPr>
        <w:t>its que cette personne tenait de la Convention pourrait lui-même être coupable d</w:t>
      </w:r>
      <w:r w:rsidR="00582008" w:rsidRPr="00E00A16">
        <w:rPr>
          <w:lang w:val="fr-FR"/>
        </w:rPr>
        <w:t>’</w:t>
      </w:r>
      <w:r w:rsidRPr="00E00A16">
        <w:rPr>
          <w:lang w:val="fr-FR"/>
        </w:rPr>
        <w:t>une violation de cet instrument.</w:t>
      </w:r>
    </w:p>
    <w:p w14:paraId="608B1BAC" w14:textId="5DF40311" w:rsidR="00704AC4" w:rsidRPr="00E00A16" w:rsidRDefault="00704AC4" w:rsidP="00704AC4">
      <w:pPr>
        <w:pStyle w:val="SingleTxt"/>
        <w:numPr>
          <w:ilvl w:val="0"/>
          <w:numId w:val="39"/>
        </w:numPr>
        <w:tabs>
          <w:tab w:val="left" w:pos="1742"/>
        </w:tabs>
        <w:spacing w:line="240" w:lineRule="exact"/>
        <w:rPr>
          <w:lang w:val="fr-FR"/>
        </w:rPr>
      </w:pPr>
      <w:r w:rsidRPr="00E00A16">
        <w:rPr>
          <w:lang w:val="fr-FR"/>
        </w:rPr>
        <w:t>En réponse aux observations de l</w:t>
      </w:r>
      <w:r w:rsidR="00582008" w:rsidRPr="00E00A16">
        <w:rPr>
          <w:lang w:val="fr-FR"/>
        </w:rPr>
        <w:t>’</w:t>
      </w:r>
      <w:r w:rsidRPr="00E00A16">
        <w:rPr>
          <w:lang w:val="fr-FR"/>
        </w:rPr>
        <w:t>État partie sur la situation en Tchétchénie, l</w:t>
      </w:r>
      <w:r w:rsidR="00582008" w:rsidRPr="00E00A16">
        <w:rPr>
          <w:lang w:val="fr-FR"/>
        </w:rPr>
        <w:t>’</w:t>
      </w:r>
      <w:r w:rsidRPr="00E00A16">
        <w:rPr>
          <w:lang w:val="fr-FR"/>
        </w:rPr>
        <w:t>auteure avance que bien qu</w:t>
      </w:r>
      <w:r w:rsidR="00582008" w:rsidRPr="00E00A16">
        <w:rPr>
          <w:lang w:val="fr-FR"/>
        </w:rPr>
        <w:t>’</w:t>
      </w:r>
      <w:r w:rsidRPr="00E00A16">
        <w:rPr>
          <w:lang w:val="fr-FR"/>
        </w:rPr>
        <w:t>il fasse partie de la Fédération de Russie, le pays a un Gouvernement fort et indépendant dirigé par le Président Kadyrov.</w:t>
      </w:r>
    </w:p>
    <w:p w14:paraId="7737826B" w14:textId="77777777" w:rsidR="00704AC4" w:rsidRPr="00E00A16" w:rsidRDefault="00704AC4" w:rsidP="00704AC4">
      <w:pPr>
        <w:pStyle w:val="SingleTxt"/>
        <w:spacing w:after="0" w:line="120" w:lineRule="exact"/>
        <w:rPr>
          <w:b/>
          <w:sz w:val="10"/>
          <w:lang w:val="fr-FR"/>
        </w:rPr>
      </w:pPr>
    </w:p>
    <w:p w14:paraId="53B183B4" w14:textId="62F838B5"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Observations supplémentaires de l</w:t>
      </w:r>
      <w:r w:rsidR="00582008" w:rsidRPr="00E00A16">
        <w:rPr>
          <w:lang w:val="fr-FR"/>
        </w:rPr>
        <w:t>’</w:t>
      </w:r>
      <w:r w:rsidRPr="00E00A16">
        <w:rPr>
          <w:lang w:val="fr-FR"/>
        </w:rPr>
        <w:t>État partie</w:t>
      </w:r>
    </w:p>
    <w:p w14:paraId="560E3268" w14:textId="77777777" w:rsidR="00704AC4" w:rsidRPr="00E00A16" w:rsidRDefault="00704AC4" w:rsidP="00704AC4">
      <w:pPr>
        <w:pStyle w:val="SingleTxt"/>
        <w:spacing w:after="0" w:line="120" w:lineRule="exact"/>
        <w:rPr>
          <w:sz w:val="10"/>
          <w:lang w:val="fr-FR"/>
        </w:rPr>
      </w:pPr>
    </w:p>
    <w:p w14:paraId="5C1671A5" w14:textId="7EEA09F7" w:rsidR="00704AC4" w:rsidRPr="00E00A16" w:rsidRDefault="00704AC4" w:rsidP="00704AC4">
      <w:pPr>
        <w:pStyle w:val="SingleTxt"/>
        <w:numPr>
          <w:ilvl w:val="0"/>
          <w:numId w:val="41"/>
        </w:numPr>
        <w:tabs>
          <w:tab w:val="left" w:pos="1742"/>
        </w:tabs>
        <w:spacing w:line="240" w:lineRule="exact"/>
        <w:rPr>
          <w:lang w:val="fr-FR"/>
        </w:rPr>
      </w:pPr>
      <w:r w:rsidRPr="00E00A16">
        <w:rPr>
          <w:lang w:val="fr-FR"/>
        </w:rPr>
        <w:t>Le 10</w:t>
      </w:r>
      <w:r w:rsidR="0036046B" w:rsidRPr="00E00A16">
        <w:rPr>
          <w:lang w:val="fr-FR"/>
        </w:rPr>
        <w:t xml:space="preserve"> </w:t>
      </w:r>
      <w:r w:rsidRPr="00E00A16">
        <w:rPr>
          <w:lang w:val="fr-FR"/>
        </w:rPr>
        <w:t>juillet 2017, l</w:t>
      </w:r>
      <w:r w:rsidR="00582008" w:rsidRPr="00E00A16">
        <w:rPr>
          <w:lang w:val="fr-FR"/>
        </w:rPr>
        <w:t>’</w:t>
      </w:r>
      <w:r w:rsidRPr="00E00A16">
        <w:rPr>
          <w:lang w:val="fr-FR"/>
        </w:rPr>
        <w:t>État partie a informé le Comité qu</w:t>
      </w:r>
      <w:r w:rsidR="00582008" w:rsidRPr="00E00A16">
        <w:rPr>
          <w:lang w:val="fr-FR"/>
        </w:rPr>
        <w:t>’</w:t>
      </w:r>
      <w:r w:rsidRPr="00E00A16">
        <w:rPr>
          <w:lang w:val="fr-FR"/>
        </w:rPr>
        <w:t>il ne présenterait aucun commentaire en réponse aux observations de l</w:t>
      </w:r>
      <w:r w:rsidR="00582008" w:rsidRPr="00E00A16">
        <w:rPr>
          <w:lang w:val="fr-FR"/>
        </w:rPr>
        <w:t>’</w:t>
      </w:r>
      <w:r w:rsidRPr="00E00A16">
        <w:rPr>
          <w:lang w:val="fr-FR"/>
        </w:rPr>
        <w:t>auteure datées du 28 février 2017. L</w:t>
      </w:r>
      <w:r w:rsidR="00582008" w:rsidRPr="00E00A16">
        <w:rPr>
          <w:lang w:val="fr-FR"/>
        </w:rPr>
        <w:t>’</w:t>
      </w:r>
      <w:r w:rsidRPr="00E00A16">
        <w:rPr>
          <w:lang w:val="fr-FR"/>
        </w:rPr>
        <w:t>État partie estime que la communication de l</w:t>
      </w:r>
      <w:r w:rsidR="00582008" w:rsidRPr="00E00A16">
        <w:rPr>
          <w:lang w:val="fr-FR"/>
        </w:rPr>
        <w:t>’</w:t>
      </w:r>
      <w:r w:rsidRPr="00E00A16">
        <w:rPr>
          <w:lang w:val="fr-FR"/>
        </w:rPr>
        <w:t>auteure est manifestement dénuée de fondement et irrecevable. Si le Comité devait juger la communication recevable, il soutient que l</w:t>
      </w:r>
      <w:r w:rsidR="00582008" w:rsidRPr="00E00A16">
        <w:rPr>
          <w:lang w:val="fr-FR"/>
        </w:rPr>
        <w:t>’</w:t>
      </w:r>
      <w:r w:rsidRPr="00E00A16">
        <w:rPr>
          <w:lang w:val="fr-FR"/>
        </w:rPr>
        <w:t>auteure n</w:t>
      </w:r>
      <w:r w:rsidR="00582008" w:rsidRPr="00E00A16">
        <w:rPr>
          <w:lang w:val="fr-FR"/>
        </w:rPr>
        <w:t>’</w:t>
      </w:r>
      <w:r w:rsidRPr="00E00A16">
        <w:rPr>
          <w:lang w:val="fr-FR"/>
        </w:rPr>
        <w:t>a pas démontré que son renvoi en Fédération de Russie serait contraire à la Convention.</w:t>
      </w:r>
      <w:bookmarkEnd w:id="1"/>
    </w:p>
    <w:p w14:paraId="26EAA485" w14:textId="77777777" w:rsidR="00704AC4" w:rsidRPr="00E00A16" w:rsidRDefault="00704AC4" w:rsidP="00704AC4">
      <w:pPr>
        <w:pStyle w:val="SingleTxt"/>
        <w:spacing w:after="0" w:line="120" w:lineRule="exact"/>
        <w:rPr>
          <w:b/>
          <w:sz w:val="10"/>
          <w:lang w:val="fr-FR"/>
        </w:rPr>
      </w:pPr>
    </w:p>
    <w:p w14:paraId="6412BE4D" w14:textId="62653EB9" w:rsidR="00704AC4" w:rsidRPr="00E00A16" w:rsidRDefault="00704AC4" w:rsidP="00704A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Délibérations du Comité</w:t>
      </w:r>
    </w:p>
    <w:p w14:paraId="4226846B" w14:textId="77777777" w:rsidR="00704AC4" w:rsidRPr="00E00A16" w:rsidRDefault="00704AC4" w:rsidP="00704AC4">
      <w:pPr>
        <w:pStyle w:val="SingleTxt"/>
        <w:spacing w:after="0" w:line="120" w:lineRule="exact"/>
        <w:rPr>
          <w:i/>
          <w:sz w:val="10"/>
          <w:lang w:val="fr-FR"/>
        </w:rPr>
      </w:pPr>
    </w:p>
    <w:p w14:paraId="3E1B7760" w14:textId="61242183" w:rsidR="00704AC4" w:rsidRPr="00E00A16" w:rsidRDefault="00704AC4" w:rsidP="00704AC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Demande de mesures conservatoires</w:t>
      </w:r>
    </w:p>
    <w:p w14:paraId="19067FC0" w14:textId="77777777" w:rsidR="00704AC4" w:rsidRPr="00E00A16" w:rsidRDefault="00704AC4" w:rsidP="00704AC4">
      <w:pPr>
        <w:pStyle w:val="SingleTxt"/>
        <w:spacing w:after="0" w:line="120" w:lineRule="exact"/>
        <w:rPr>
          <w:sz w:val="10"/>
          <w:lang w:val="fr-FR"/>
        </w:rPr>
      </w:pPr>
    </w:p>
    <w:p w14:paraId="3EBF6AD4" w14:textId="7341AA98" w:rsidR="00704AC4" w:rsidRPr="00E00A16" w:rsidRDefault="00704AC4" w:rsidP="00704AC4">
      <w:pPr>
        <w:pStyle w:val="SingleTxt"/>
        <w:numPr>
          <w:ilvl w:val="0"/>
          <w:numId w:val="41"/>
        </w:numPr>
        <w:tabs>
          <w:tab w:val="left" w:pos="1742"/>
        </w:tabs>
        <w:spacing w:line="240" w:lineRule="exact"/>
        <w:rPr>
          <w:lang w:val="fr-FR"/>
        </w:rPr>
      </w:pPr>
      <w:r w:rsidRPr="00E00A16">
        <w:rPr>
          <w:lang w:val="fr-FR"/>
        </w:rPr>
        <w:t>Le Comité constate que le 24</w:t>
      </w:r>
      <w:r w:rsidR="0036046B" w:rsidRPr="00E00A16">
        <w:rPr>
          <w:lang w:val="fr-FR"/>
        </w:rPr>
        <w:t xml:space="preserve"> </w:t>
      </w:r>
      <w:r w:rsidRPr="00E00A16">
        <w:rPr>
          <w:lang w:val="fr-FR"/>
        </w:rPr>
        <w:t>septembre 2015, comme suite à la demande qu</w:t>
      </w:r>
      <w:r w:rsidR="00582008" w:rsidRPr="00E00A16">
        <w:rPr>
          <w:lang w:val="fr-FR"/>
        </w:rPr>
        <w:t>’</w:t>
      </w:r>
      <w:r w:rsidRPr="00E00A16">
        <w:rPr>
          <w:lang w:val="fr-FR"/>
        </w:rPr>
        <w:t>il avait formulée le</w:t>
      </w:r>
      <w:r w:rsidR="0036046B" w:rsidRPr="00E00A16">
        <w:rPr>
          <w:lang w:val="fr-FR"/>
        </w:rPr>
        <w:t xml:space="preserve"> </w:t>
      </w:r>
      <w:r w:rsidRPr="00E00A16">
        <w:rPr>
          <w:lang w:val="fr-FR"/>
        </w:rPr>
        <w:t>22</w:t>
      </w:r>
      <w:r w:rsidR="0036046B" w:rsidRPr="00E00A16">
        <w:rPr>
          <w:lang w:val="fr-FR"/>
        </w:rPr>
        <w:t xml:space="preserve"> </w:t>
      </w:r>
      <w:r w:rsidRPr="00E00A16">
        <w:rPr>
          <w:lang w:val="fr-FR"/>
        </w:rPr>
        <w:t>septembre 2015 au titre de l</w:t>
      </w:r>
      <w:r w:rsidR="00582008" w:rsidRPr="00E00A16">
        <w:rPr>
          <w:lang w:val="fr-FR"/>
        </w:rPr>
        <w:t>’</w:t>
      </w:r>
      <w:r w:rsidRPr="00E00A16">
        <w:rPr>
          <w:lang w:val="fr-FR"/>
        </w:rPr>
        <w:t>article</w:t>
      </w:r>
      <w:r w:rsidR="0036046B" w:rsidRPr="00E00A16">
        <w:rPr>
          <w:lang w:val="fr-FR"/>
        </w:rPr>
        <w:t xml:space="preserve"> </w:t>
      </w:r>
      <w:r w:rsidRPr="00E00A16">
        <w:rPr>
          <w:lang w:val="fr-FR"/>
        </w:rPr>
        <w:t>5 du Protocole facultatif et de l</w:t>
      </w:r>
      <w:r w:rsidR="00582008" w:rsidRPr="00E00A16">
        <w:rPr>
          <w:lang w:val="fr-FR"/>
        </w:rPr>
        <w:t>’</w:t>
      </w:r>
      <w:r w:rsidRPr="00E00A16">
        <w:rPr>
          <w:lang w:val="fr-FR"/>
        </w:rPr>
        <w:t>article</w:t>
      </w:r>
      <w:r w:rsidR="0036046B" w:rsidRPr="00E00A16">
        <w:rPr>
          <w:lang w:val="fr-FR"/>
        </w:rPr>
        <w:t xml:space="preserve"> </w:t>
      </w:r>
      <w:r w:rsidRPr="00E00A16">
        <w:rPr>
          <w:lang w:val="fr-FR"/>
        </w:rPr>
        <w:t>63 de son règlement intérieur, la Commission des recours des réfugiés a décidé de surseoir à l</w:t>
      </w:r>
      <w:r w:rsidR="00582008" w:rsidRPr="00E00A16">
        <w:rPr>
          <w:lang w:val="fr-FR"/>
        </w:rPr>
        <w:t>’</w:t>
      </w:r>
      <w:r w:rsidRPr="00E00A16">
        <w:rPr>
          <w:lang w:val="fr-FR"/>
        </w:rPr>
        <w:t>expulsion de l</w:t>
      </w:r>
      <w:r w:rsidR="00582008" w:rsidRPr="00E00A16">
        <w:rPr>
          <w:lang w:val="fr-FR"/>
        </w:rPr>
        <w:t>’</w:t>
      </w:r>
      <w:r w:rsidRPr="00E00A16">
        <w:rPr>
          <w:lang w:val="fr-FR"/>
        </w:rPr>
        <w:t>auteure. Le Comité se félicite que l</w:t>
      </w:r>
      <w:r w:rsidR="00582008" w:rsidRPr="00E00A16">
        <w:rPr>
          <w:lang w:val="fr-FR"/>
        </w:rPr>
        <w:t>’</w:t>
      </w:r>
      <w:r w:rsidRPr="00E00A16">
        <w:rPr>
          <w:lang w:val="fr-FR"/>
        </w:rPr>
        <w:t>État partie ait ordonné les mesures conservatoires demandées afin que l</w:t>
      </w:r>
      <w:r w:rsidR="00582008" w:rsidRPr="00E00A16">
        <w:rPr>
          <w:lang w:val="fr-FR"/>
        </w:rPr>
        <w:t>’</w:t>
      </w:r>
      <w:r w:rsidRPr="00E00A16">
        <w:rPr>
          <w:lang w:val="fr-FR"/>
        </w:rPr>
        <w:t>intéressée ne soit pas expulsée tant que l</w:t>
      </w:r>
      <w:r w:rsidR="00582008" w:rsidRPr="00E00A16">
        <w:rPr>
          <w:lang w:val="fr-FR"/>
        </w:rPr>
        <w:t>’</w:t>
      </w:r>
      <w:r w:rsidRPr="00E00A16">
        <w:rPr>
          <w:lang w:val="fr-FR"/>
        </w:rPr>
        <w:t>affaire serait à l</w:t>
      </w:r>
      <w:r w:rsidR="00582008" w:rsidRPr="00E00A16">
        <w:rPr>
          <w:lang w:val="fr-FR"/>
        </w:rPr>
        <w:t>’</w:t>
      </w:r>
      <w:r w:rsidRPr="00E00A16">
        <w:rPr>
          <w:lang w:val="fr-FR"/>
        </w:rPr>
        <w:t>examen.</w:t>
      </w:r>
    </w:p>
    <w:p w14:paraId="64180BDF" w14:textId="77777777" w:rsidR="00704AC4" w:rsidRPr="00E00A16" w:rsidRDefault="00704AC4" w:rsidP="00704AC4">
      <w:pPr>
        <w:pStyle w:val="SingleTxt"/>
        <w:spacing w:after="0" w:line="120" w:lineRule="exact"/>
        <w:rPr>
          <w:i/>
          <w:sz w:val="10"/>
          <w:lang w:val="fr-FR"/>
        </w:rPr>
      </w:pPr>
    </w:p>
    <w:p w14:paraId="50720F65" w14:textId="39023E74" w:rsidR="00704AC4" w:rsidRPr="00E00A16" w:rsidRDefault="00704AC4" w:rsidP="00704AC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00A16">
        <w:rPr>
          <w:lang w:val="fr-FR"/>
        </w:rPr>
        <w:tab/>
      </w:r>
      <w:r w:rsidRPr="00E00A16">
        <w:rPr>
          <w:lang w:val="fr-FR"/>
        </w:rPr>
        <w:tab/>
        <w:t>Examen de la recevabilité</w:t>
      </w:r>
    </w:p>
    <w:p w14:paraId="1D6A5804" w14:textId="77777777" w:rsidR="00704AC4" w:rsidRPr="00E00A16" w:rsidRDefault="00704AC4" w:rsidP="00704AC4">
      <w:pPr>
        <w:pStyle w:val="SingleTxt"/>
        <w:spacing w:after="0" w:line="120" w:lineRule="exact"/>
        <w:rPr>
          <w:sz w:val="10"/>
          <w:lang w:val="fr-FR"/>
        </w:rPr>
      </w:pPr>
    </w:p>
    <w:p w14:paraId="42C5815D" w14:textId="393A77D0"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Le Comité doit, en application de l</w:t>
      </w:r>
      <w:r w:rsidR="00582008" w:rsidRPr="00E00A16">
        <w:rPr>
          <w:lang w:val="fr-FR"/>
        </w:rPr>
        <w:t>’</w:t>
      </w:r>
      <w:r w:rsidRPr="00E00A16">
        <w:rPr>
          <w:lang w:val="fr-FR"/>
        </w:rPr>
        <w:t>article 64 de son règlement intérieur, déterminer si la communication est recevable au regard du Protocole facultatif. Il peut, conformément à l</w:t>
      </w:r>
      <w:r w:rsidR="00582008" w:rsidRPr="00E00A16">
        <w:rPr>
          <w:lang w:val="fr-FR"/>
        </w:rPr>
        <w:t>’</w:t>
      </w:r>
      <w:r w:rsidRPr="00E00A16">
        <w:rPr>
          <w:lang w:val="fr-FR"/>
        </w:rPr>
        <w:t>article</w:t>
      </w:r>
      <w:r w:rsidR="0036046B" w:rsidRPr="00E00A16">
        <w:rPr>
          <w:lang w:val="fr-FR"/>
        </w:rPr>
        <w:t xml:space="preserve"> </w:t>
      </w:r>
      <w:r w:rsidRPr="00E00A16">
        <w:rPr>
          <w:lang w:val="fr-FR"/>
        </w:rPr>
        <w:t>66, décider d</w:t>
      </w:r>
      <w:r w:rsidR="00582008" w:rsidRPr="00E00A16">
        <w:rPr>
          <w:lang w:val="fr-FR"/>
        </w:rPr>
        <w:t>’</w:t>
      </w:r>
      <w:r w:rsidRPr="00E00A16">
        <w:rPr>
          <w:lang w:val="fr-FR"/>
        </w:rPr>
        <w:t>examiner séparément la recevabilité et le fond de la communication.</w:t>
      </w:r>
    </w:p>
    <w:p w14:paraId="2E00A74D" w14:textId="652FFA5D"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Le Comité s</w:t>
      </w:r>
      <w:r w:rsidR="00582008" w:rsidRPr="00E00A16">
        <w:rPr>
          <w:lang w:val="fr-FR"/>
        </w:rPr>
        <w:t>’</w:t>
      </w:r>
      <w:r w:rsidRPr="00E00A16">
        <w:rPr>
          <w:lang w:val="fr-FR"/>
        </w:rPr>
        <w:t>est assuré, comme il est tenu de le faire conformément à l</w:t>
      </w:r>
      <w:r w:rsidR="00582008" w:rsidRPr="00E00A16">
        <w:rPr>
          <w:lang w:val="fr-FR"/>
        </w:rPr>
        <w:t>’</w:t>
      </w:r>
      <w:r w:rsidRPr="00E00A16">
        <w:rPr>
          <w:lang w:val="fr-FR"/>
        </w:rPr>
        <w:t>alinéa a) du paragraphe</w:t>
      </w:r>
      <w:r w:rsidR="0036046B" w:rsidRPr="00E00A16">
        <w:rPr>
          <w:lang w:val="fr-FR"/>
        </w:rPr>
        <w:t xml:space="preserve"> </w:t>
      </w:r>
      <w:r w:rsidRPr="00E00A16">
        <w:rPr>
          <w:lang w:val="fr-FR"/>
        </w:rPr>
        <w:t>2 de l</w:t>
      </w:r>
      <w:r w:rsidR="00582008" w:rsidRPr="00E00A16">
        <w:rPr>
          <w:lang w:val="fr-FR"/>
        </w:rPr>
        <w:t>’</w:t>
      </w:r>
      <w:r w:rsidRPr="00E00A16">
        <w:rPr>
          <w:lang w:val="fr-FR"/>
        </w:rPr>
        <w:t>article</w:t>
      </w:r>
      <w:r w:rsidR="0036046B" w:rsidRPr="00E00A16">
        <w:rPr>
          <w:lang w:val="fr-FR"/>
        </w:rPr>
        <w:t xml:space="preserve"> </w:t>
      </w:r>
      <w:r w:rsidRPr="00E00A16">
        <w:rPr>
          <w:lang w:val="fr-FR"/>
        </w:rPr>
        <w:t>4 du Protocole facultatif, que la même question n</w:t>
      </w:r>
      <w:r w:rsidR="00582008" w:rsidRPr="00E00A16">
        <w:rPr>
          <w:lang w:val="fr-FR"/>
        </w:rPr>
        <w:t>’</w:t>
      </w:r>
      <w:r w:rsidRPr="00E00A16">
        <w:rPr>
          <w:lang w:val="fr-FR"/>
        </w:rPr>
        <w:t>avait pas déjà été examinée ou n</w:t>
      </w:r>
      <w:r w:rsidR="00582008" w:rsidRPr="00E00A16">
        <w:rPr>
          <w:lang w:val="fr-FR"/>
        </w:rPr>
        <w:t>’</w:t>
      </w:r>
      <w:r w:rsidRPr="00E00A16">
        <w:rPr>
          <w:lang w:val="fr-FR"/>
        </w:rPr>
        <w:t>était pas déjà en cours d</w:t>
      </w:r>
      <w:r w:rsidR="00582008" w:rsidRPr="00E00A16">
        <w:rPr>
          <w:lang w:val="fr-FR"/>
        </w:rPr>
        <w:t>’</w:t>
      </w:r>
      <w:r w:rsidRPr="00E00A16">
        <w:rPr>
          <w:lang w:val="fr-FR"/>
        </w:rPr>
        <w:t>examen devant une autre instance internationale d</w:t>
      </w:r>
      <w:r w:rsidR="00582008" w:rsidRPr="00E00A16">
        <w:rPr>
          <w:lang w:val="fr-FR"/>
        </w:rPr>
        <w:t>’</w:t>
      </w:r>
      <w:r w:rsidRPr="00E00A16">
        <w:rPr>
          <w:lang w:val="fr-FR"/>
        </w:rPr>
        <w:t>enquête ou de règlement.</w:t>
      </w:r>
    </w:p>
    <w:p w14:paraId="6A1EF8A1" w14:textId="330112FA"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Le Comité note que l</w:t>
      </w:r>
      <w:r w:rsidR="00582008" w:rsidRPr="00E00A16">
        <w:rPr>
          <w:lang w:val="fr-FR"/>
        </w:rPr>
        <w:t>’</w:t>
      </w:r>
      <w:r w:rsidRPr="00E00A16">
        <w:rPr>
          <w:lang w:val="fr-FR"/>
        </w:rPr>
        <w:t>État partie conteste la recevabilité de la communication au regard de l</w:t>
      </w:r>
      <w:r w:rsidR="00582008" w:rsidRPr="00E00A16">
        <w:rPr>
          <w:lang w:val="fr-FR"/>
        </w:rPr>
        <w:t>’</w:t>
      </w:r>
      <w:r w:rsidRPr="00E00A16">
        <w:rPr>
          <w:lang w:val="fr-FR"/>
        </w:rPr>
        <w:t>alinéa</w:t>
      </w:r>
      <w:r w:rsidR="0036046B" w:rsidRPr="00E00A16">
        <w:rPr>
          <w:lang w:val="fr-FR"/>
        </w:rPr>
        <w:t xml:space="preserve"> </w:t>
      </w:r>
      <w:r w:rsidRPr="00E00A16">
        <w:rPr>
          <w:lang w:val="fr-FR"/>
        </w:rPr>
        <w:t>c) du paragraphe</w:t>
      </w:r>
      <w:r w:rsidR="0036046B" w:rsidRPr="00E00A16">
        <w:rPr>
          <w:lang w:val="fr-FR"/>
        </w:rPr>
        <w:t xml:space="preserve"> </w:t>
      </w:r>
      <w:r w:rsidRPr="00E00A16">
        <w:rPr>
          <w:lang w:val="fr-FR"/>
        </w:rPr>
        <w:t>2 de l</w:t>
      </w:r>
      <w:r w:rsidR="00582008" w:rsidRPr="00E00A16">
        <w:rPr>
          <w:lang w:val="fr-FR"/>
        </w:rPr>
        <w:t>’</w:t>
      </w:r>
      <w:r w:rsidRPr="00E00A16">
        <w:rPr>
          <w:lang w:val="fr-FR"/>
        </w:rPr>
        <w:t>articl</w:t>
      </w:r>
      <w:r w:rsidR="0036046B" w:rsidRPr="00E00A16">
        <w:rPr>
          <w:lang w:val="fr-FR"/>
        </w:rPr>
        <w:t xml:space="preserve">e </w:t>
      </w:r>
      <w:r w:rsidRPr="00E00A16">
        <w:rPr>
          <w:lang w:val="fr-FR"/>
        </w:rPr>
        <w:t>4 du Protocole facultatif au motif que les allégations de l</w:t>
      </w:r>
      <w:r w:rsidR="00582008" w:rsidRPr="00E00A16">
        <w:rPr>
          <w:lang w:val="fr-FR"/>
        </w:rPr>
        <w:t>’</w:t>
      </w:r>
      <w:r w:rsidRPr="00E00A16">
        <w:rPr>
          <w:lang w:val="fr-FR"/>
        </w:rPr>
        <w:t>auteure sont manifestement infondées et insuffisamment étayées.</w:t>
      </w:r>
    </w:p>
    <w:p w14:paraId="41353984" w14:textId="4B41CF7F"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Le Comité note également qu</w:t>
      </w:r>
      <w:r w:rsidR="00582008" w:rsidRPr="00E00A16">
        <w:rPr>
          <w:lang w:val="fr-FR"/>
        </w:rPr>
        <w:t>’</w:t>
      </w:r>
      <w:r w:rsidRPr="00E00A16">
        <w:rPr>
          <w:lang w:val="fr-FR"/>
        </w:rPr>
        <w:t>en substance, les allégations de l</w:t>
      </w:r>
      <w:r w:rsidR="00582008" w:rsidRPr="00E00A16">
        <w:rPr>
          <w:lang w:val="fr-FR"/>
        </w:rPr>
        <w:t>’</w:t>
      </w:r>
      <w:r w:rsidRPr="00E00A16">
        <w:rPr>
          <w:lang w:val="fr-FR"/>
        </w:rPr>
        <w:t>auteure visent à contester la manière dont les autorités de l</w:t>
      </w:r>
      <w:r w:rsidR="00582008" w:rsidRPr="00E00A16">
        <w:rPr>
          <w:lang w:val="fr-FR"/>
        </w:rPr>
        <w:t>’</w:t>
      </w:r>
      <w:r w:rsidRPr="00E00A16">
        <w:rPr>
          <w:lang w:val="fr-FR"/>
        </w:rPr>
        <w:t xml:space="preserve">État partie ont apprécié les circonstances </w:t>
      </w:r>
      <w:r w:rsidRPr="00E00A16">
        <w:rPr>
          <w:lang w:val="fr-FR"/>
        </w:rPr>
        <w:lastRenderedPageBreak/>
        <w:t>de l</w:t>
      </w:r>
      <w:r w:rsidR="00582008" w:rsidRPr="00E00A16">
        <w:rPr>
          <w:lang w:val="fr-FR"/>
        </w:rPr>
        <w:t>’</w:t>
      </w:r>
      <w:r w:rsidRPr="00E00A16">
        <w:rPr>
          <w:lang w:val="fr-FR"/>
        </w:rPr>
        <w:t>affaire et appliqué les dispositions de la législation nationale, ainsi que les conclusions auxquelles elles sont parvenues. Le Comité rappelle qu</w:t>
      </w:r>
      <w:r w:rsidR="00582008" w:rsidRPr="00E00A16">
        <w:rPr>
          <w:lang w:val="fr-FR"/>
        </w:rPr>
        <w:t>’</w:t>
      </w:r>
      <w:r w:rsidRPr="00E00A16">
        <w:rPr>
          <w:lang w:val="fr-FR"/>
        </w:rPr>
        <w:t>il appartient généralement aux autorités des États parties à la Convention d</w:t>
      </w:r>
      <w:r w:rsidR="00582008" w:rsidRPr="00E00A16">
        <w:rPr>
          <w:lang w:val="fr-FR"/>
        </w:rPr>
        <w:t>’</w:t>
      </w:r>
      <w:r w:rsidRPr="00E00A16">
        <w:rPr>
          <w:lang w:val="fr-FR"/>
        </w:rPr>
        <w:t>évaluer les faits et les éléments de preuve et l</w:t>
      </w:r>
      <w:r w:rsidR="00582008" w:rsidRPr="00E00A16">
        <w:rPr>
          <w:lang w:val="fr-FR"/>
        </w:rPr>
        <w:t>’</w:t>
      </w:r>
      <w:r w:rsidRPr="00E00A16">
        <w:rPr>
          <w:lang w:val="fr-FR"/>
        </w:rPr>
        <w:t>application de la législation nationale dans tel ou tel cas</w:t>
      </w:r>
      <w:r w:rsidRPr="00E12237">
        <w:rPr>
          <w:vertAlign w:val="superscript"/>
          <w:lang w:val="fr-FR"/>
        </w:rPr>
        <w:footnoteReference w:id="34"/>
      </w:r>
      <w:r w:rsidRPr="00E12237">
        <w:rPr>
          <w:lang w:val="fr-FR"/>
        </w:rPr>
        <w:t>, à moins qu</w:t>
      </w:r>
      <w:r w:rsidR="00582008" w:rsidRPr="00E00A16">
        <w:rPr>
          <w:lang w:val="fr-FR"/>
        </w:rPr>
        <w:t>’</w:t>
      </w:r>
      <w:r w:rsidRPr="00E00A16">
        <w:rPr>
          <w:lang w:val="fr-FR"/>
        </w:rPr>
        <w:t>il puisse être établi que leur appréciation était entachée de partialité ou fondée sur des stéréotypes de genre qui constituent une discrimination à l</w:t>
      </w:r>
      <w:r w:rsidR="00582008" w:rsidRPr="00E00A16">
        <w:rPr>
          <w:lang w:val="fr-FR"/>
        </w:rPr>
        <w:t>’</w:t>
      </w:r>
      <w:r w:rsidRPr="00E00A16">
        <w:rPr>
          <w:lang w:val="fr-FR"/>
        </w:rPr>
        <w:t>égard des femmes, était clairement arbitraire, ou constituait un déni de justice</w:t>
      </w:r>
      <w:r w:rsidRPr="00E12237">
        <w:rPr>
          <w:vertAlign w:val="superscript"/>
          <w:lang w:val="fr-FR"/>
        </w:rPr>
        <w:footnoteReference w:id="35"/>
      </w:r>
      <w:r w:rsidRPr="00E12237">
        <w:rPr>
          <w:lang w:val="fr-FR"/>
        </w:rPr>
        <w:t>. Le Comité remarque que rien dans le dossier ne vient démontrer que l</w:t>
      </w:r>
      <w:r w:rsidR="00582008" w:rsidRPr="00E00A16">
        <w:rPr>
          <w:lang w:val="fr-FR"/>
        </w:rPr>
        <w:t>’</w:t>
      </w:r>
      <w:r w:rsidRPr="00E00A16">
        <w:rPr>
          <w:lang w:val="fr-FR"/>
        </w:rPr>
        <w:t>appréciation que les autorités ont faite des craintes de l</w:t>
      </w:r>
      <w:r w:rsidR="00582008" w:rsidRPr="00E00A16">
        <w:rPr>
          <w:lang w:val="fr-FR"/>
        </w:rPr>
        <w:t>’</w:t>
      </w:r>
      <w:r w:rsidRPr="00E00A16">
        <w:rPr>
          <w:lang w:val="fr-FR"/>
        </w:rPr>
        <w:t>auteure quant aux risques qu</w:t>
      </w:r>
      <w:r w:rsidR="00582008" w:rsidRPr="00E00A16">
        <w:rPr>
          <w:lang w:val="fr-FR"/>
        </w:rPr>
        <w:t>’</w:t>
      </w:r>
      <w:r w:rsidRPr="00E00A16">
        <w:rPr>
          <w:lang w:val="fr-FR"/>
        </w:rPr>
        <w:t>elle courrait si elle retournait en Tchétchénie ait été entachée d</w:t>
      </w:r>
      <w:r w:rsidR="00582008" w:rsidRPr="00E00A16">
        <w:rPr>
          <w:lang w:val="fr-FR"/>
        </w:rPr>
        <w:t>’</w:t>
      </w:r>
      <w:r w:rsidRPr="00E00A16">
        <w:rPr>
          <w:lang w:val="fr-FR"/>
        </w:rPr>
        <w:t>irrégularités. Il</w:t>
      </w:r>
      <w:r w:rsidR="0036046B" w:rsidRPr="00E00A16">
        <w:rPr>
          <w:lang w:val="fr-FR"/>
        </w:rPr>
        <w:t xml:space="preserve"> </w:t>
      </w:r>
      <w:r w:rsidRPr="00E00A16">
        <w:rPr>
          <w:lang w:val="fr-FR"/>
        </w:rPr>
        <w:t>constate que, si elle argue de lacunes générales dans la procédure d</w:t>
      </w:r>
      <w:r w:rsidR="00582008" w:rsidRPr="00E00A16">
        <w:rPr>
          <w:lang w:val="fr-FR"/>
        </w:rPr>
        <w:t>’</w:t>
      </w:r>
      <w:r w:rsidRPr="00E00A16">
        <w:rPr>
          <w:lang w:val="fr-FR"/>
        </w:rPr>
        <w:t>asile de l</w:t>
      </w:r>
      <w:r w:rsidR="00582008" w:rsidRPr="00E00A16">
        <w:rPr>
          <w:lang w:val="fr-FR"/>
        </w:rPr>
        <w:t>’</w:t>
      </w:r>
      <w:r w:rsidRPr="00E00A16">
        <w:rPr>
          <w:lang w:val="fr-FR"/>
        </w:rPr>
        <w:t>État partie, le conseil de l</w:t>
      </w:r>
      <w:r w:rsidR="00582008" w:rsidRPr="00E00A16">
        <w:rPr>
          <w:lang w:val="fr-FR"/>
        </w:rPr>
        <w:t>’</w:t>
      </w:r>
      <w:r w:rsidRPr="00E00A16">
        <w:rPr>
          <w:lang w:val="fr-FR"/>
        </w:rPr>
        <w:t>auteur ne prétend pas pour autant que ces supposées lacunes ont constitué ou provoqué une discrimination, ni qu</w:t>
      </w:r>
      <w:r w:rsidR="00582008" w:rsidRPr="00E00A16">
        <w:rPr>
          <w:lang w:val="fr-FR"/>
        </w:rPr>
        <w:t>’</w:t>
      </w:r>
      <w:r w:rsidRPr="00E00A16">
        <w:rPr>
          <w:lang w:val="fr-FR"/>
        </w:rPr>
        <w:t>elles rendent arbitraires les décisions prises par les autorités au sujet de l</w:t>
      </w:r>
      <w:r w:rsidR="00582008" w:rsidRPr="00E00A16">
        <w:rPr>
          <w:lang w:val="fr-FR"/>
        </w:rPr>
        <w:t>’</w:t>
      </w:r>
      <w:r w:rsidRPr="00E00A16">
        <w:rPr>
          <w:lang w:val="fr-FR"/>
        </w:rPr>
        <w:t>auteure. En outre, dès lors que les garanties de procédure fondamentales prévues par le droit international sont respectées, chaque État partie souverain peut choisir la nature, la structure et le statut de son mécanisme d</w:t>
      </w:r>
      <w:r w:rsidR="00582008" w:rsidRPr="00E00A16">
        <w:rPr>
          <w:lang w:val="fr-FR"/>
        </w:rPr>
        <w:t>’</w:t>
      </w:r>
      <w:r w:rsidRPr="00E00A16">
        <w:rPr>
          <w:lang w:val="fr-FR"/>
        </w:rPr>
        <w:t>octroi du statut de réfugié.</w:t>
      </w:r>
    </w:p>
    <w:p w14:paraId="31EC4E8D" w14:textId="30A013A2"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Le Comité fait observer qu</w:t>
      </w:r>
      <w:r w:rsidR="00582008" w:rsidRPr="00E00A16">
        <w:rPr>
          <w:lang w:val="fr-FR"/>
        </w:rPr>
        <w:t>’</w:t>
      </w:r>
      <w:r w:rsidRPr="00E00A16">
        <w:rPr>
          <w:lang w:val="fr-FR"/>
        </w:rPr>
        <w:t>il doit accorder un poids considérable à l</w:t>
      </w:r>
      <w:r w:rsidR="00582008" w:rsidRPr="00E00A16">
        <w:rPr>
          <w:lang w:val="fr-FR"/>
        </w:rPr>
        <w:t>’</w:t>
      </w:r>
      <w:r w:rsidRPr="00E00A16">
        <w:rPr>
          <w:lang w:val="fr-FR"/>
        </w:rPr>
        <w:t>appréciation faite par les autorités nationales, à moins qu</w:t>
      </w:r>
      <w:r w:rsidR="00582008" w:rsidRPr="00E00A16">
        <w:rPr>
          <w:lang w:val="fr-FR"/>
        </w:rPr>
        <w:t>’</w:t>
      </w:r>
      <w:r w:rsidRPr="00E00A16">
        <w:rPr>
          <w:lang w:val="fr-FR"/>
        </w:rPr>
        <w:t>elle ne soit manifestement arbitraire ou ne représente un déni de justice. En l</w:t>
      </w:r>
      <w:r w:rsidR="00582008" w:rsidRPr="00E00A16">
        <w:rPr>
          <w:lang w:val="fr-FR"/>
        </w:rPr>
        <w:t>’</w:t>
      </w:r>
      <w:r w:rsidRPr="00E00A16">
        <w:rPr>
          <w:lang w:val="fr-FR"/>
        </w:rPr>
        <w:t>espèce, il estime que rien dans le dossier ne permet de conclure que les autorités danoises de l</w:t>
      </w:r>
      <w:r w:rsidR="00582008" w:rsidRPr="00E00A16">
        <w:rPr>
          <w:lang w:val="fr-FR"/>
        </w:rPr>
        <w:t>’</w:t>
      </w:r>
      <w:r w:rsidRPr="00E00A16">
        <w:rPr>
          <w:lang w:val="fr-FR"/>
        </w:rPr>
        <w:t>immigration, et en particulier la Commission des recours des réfugiés, ont manqué à leur devoir au moment d</w:t>
      </w:r>
      <w:r w:rsidR="00582008" w:rsidRPr="00E00A16">
        <w:rPr>
          <w:lang w:val="fr-FR"/>
        </w:rPr>
        <w:t>’</w:t>
      </w:r>
      <w:r w:rsidRPr="00E00A16">
        <w:rPr>
          <w:lang w:val="fr-FR"/>
        </w:rPr>
        <w:t>examiner l</w:t>
      </w:r>
      <w:r w:rsidR="00582008" w:rsidRPr="00E00A16">
        <w:rPr>
          <w:lang w:val="fr-FR"/>
        </w:rPr>
        <w:t>’</w:t>
      </w:r>
      <w:r w:rsidRPr="00E00A16">
        <w:rPr>
          <w:lang w:val="fr-FR"/>
        </w:rPr>
        <w:t>affaire de l</w:t>
      </w:r>
      <w:r w:rsidR="00582008" w:rsidRPr="00E00A16">
        <w:rPr>
          <w:lang w:val="fr-FR"/>
        </w:rPr>
        <w:t>’</w:t>
      </w:r>
      <w:r w:rsidRPr="00E00A16">
        <w:rPr>
          <w:lang w:val="fr-FR"/>
        </w:rPr>
        <w:t>auteure, ou que leurs décisions ont été arbitraires ou ont représenté un déni de justice.</w:t>
      </w:r>
    </w:p>
    <w:p w14:paraId="518E49A5" w14:textId="36C20A56" w:rsidR="00704AC4" w:rsidRPr="00E00A16" w:rsidRDefault="00704AC4" w:rsidP="00704AC4">
      <w:pPr>
        <w:pStyle w:val="SingleTxt"/>
        <w:numPr>
          <w:ilvl w:val="0"/>
          <w:numId w:val="42"/>
        </w:numPr>
        <w:tabs>
          <w:tab w:val="left" w:pos="1742"/>
        </w:tabs>
        <w:spacing w:line="240" w:lineRule="exact"/>
        <w:rPr>
          <w:lang w:val="fr-FR"/>
        </w:rPr>
      </w:pPr>
      <w:r w:rsidRPr="00E00A16">
        <w:rPr>
          <w:lang w:val="fr-FR"/>
        </w:rPr>
        <w:t>En l</w:t>
      </w:r>
      <w:r w:rsidR="00582008" w:rsidRPr="00E00A16">
        <w:rPr>
          <w:lang w:val="fr-FR"/>
        </w:rPr>
        <w:t>’</w:t>
      </w:r>
      <w:r w:rsidRPr="00E00A16">
        <w:rPr>
          <w:lang w:val="fr-FR"/>
        </w:rPr>
        <w:t>espèce, le Comité constate que, après avoir examiné les arguments présentés par l</w:t>
      </w:r>
      <w:r w:rsidR="00582008" w:rsidRPr="00E00A16">
        <w:rPr>
          <w:lang w:val="fr-FR"/>
        </w:rPr>
        <w:t>’</w:t>
      </w:r>
      <w:r w:rsidRPr="00E00A16">
        <w:rPr>
          <w:lang w:val="fr-FR"/>
        </w:rPr>
        <w:t>auteure, les autorités danoises de l</w:t>
      </w:r>
      <w:r w:rsidR="00582008" w:rsidRPr="00E00A16">
        <w:rPr>
          <w:lang w:val="fr-FR"/>
        </w:rPr>
        <w:t>’</w:t>
      </w:r>
      <w:r w:rsidRPr="00E00A16">
        <w:rPr>
          <w:lang w:val="fr-FR"/>
        </w:rPr>
        <w:t>immigration ont jugé qu</w:t>
      </w:r>
      <w:r w:rsidR="00582008" w:rsidRPr="00E00A16">
        <w:rPr>
          <w:lang w:val="fr-FR"/>
        </w:rPr>
        <w:t>’</w:t>
      </w:r>
      <w:r w:rsidRPr="00E00A16">
        <w:rPr>
          <w:lang w:val="fr-FR"/>
        </w:rPr>
        <w:t>ils manquaient de crédibilité parce qu</w:t>
      </w:r>
      <w:r w:rsidR="00582008" w:rsidRPr="00E00A16">
        <w:rPr>
          <w:lang w:val="fr-FR"/>
        </w:rPr>
        <w:t>’</w:t>
      </w:r>
      <w:r w:rsidRPr="00E00A16">
        <w:rPr>
          <w:lang w:val="fr-FR"/>
        </w:rPr>
        <w:t>ils n</w:t>
      </w:r>
      <w:r w:rsidR="00582008" w:rsidRPr="00E00A16">
        <w:rPr>
          <w:lang w:val="fr-FR"/>
        </w:rPr>
        <w:t>’</w:t>
      </w:r>
      <w:r w:rsidRPr="00E00A16">
        <w:rPr>
          <w:lang w:val="fr-FR"/>
        </w:rPr>
        <w:t>étaient pas cohérents ni suffisamment étayés. Le Comité note que rien dans le dossier ne permet de conclure que d</w:t>
      </w:r>
      <w:r w:rsidR="00582008" w:rsidRPr="00E00A16">
        <w:rPr>
          <w:lang w:val="fr-FR"/>
        </w:rPr>
        <w:t>’</w:t>
      </w:r>
      <w:r w:rsidRPr="00E00A16">
        <w:rPr>
          <w:lang w:val="fr-FR"/>
        </w:rPr>
        <w:t>éventuelles irrégularités dans l</w:t>
      </w:r>
      <w:r w:rsidR="00582008" w:rsidRPr="00E00A16">
        <w:rPr>
          <w:lang w:val="fr-FR"/>
        </w:rPr>
        <w:t>’</w:t>
      </w:r>
      <w:r w:rsidRPr="00E00A16">
        <w:rPr>
          <w:lang w:val="fr-FR"/>
        </w:rPr>
        <w:t>examen des arguments de l</w:t>
      </w:r>
      <w:r w:rsidR="00582008" w:rsidRPr="00E00A16">
        <w:rPr>
          <w:lang w:val="fr-FR"/>
        </w:rPr>
        <w:t>’</w:t>
      </w:r>
      <w:r w:rsidRPr="00E00A16">
        <w:rPr>
          <w:lang w:val="fr-FR"/>
        </w:rPr>
        <w:t>auteure conduit par les autorités danoises ont empêché les autorités de l</w:t>
      </w:r>
      <w:r w:rsidR="00582008" w:rsidRPr="00E00A16">
        <w:rPr>
          <w:lang w:val="fr-FR"/>
        </w:rPr>
        <w:t>’</w:t>
      </w:r>
      <w:r w:rsidRPr="00E00A16">
        <w:rPr>
          <w:lang w:val="fr-FR"/>
        </w:rPr>
        <w:t>État partie d</w:t>
      </w:r>
      <w:r w:rsidR="00582008" w:rsidRPr="00E00A16">
        <w:rPr>
          <w:lang w:val="fr-FR"/>
        </w:rPr>
        <w:t>’</w:t>
      </w:r>
      <w:r w:rsidRPr="00E00A16">
        <w:rPr>
          <w:lang w:val="fr-FR"/>
        </w:rPr>
        <w:t>apprécier comme il se doit les risques auxquels l</w:t>
      </w:r>
      <w:r w:rsidR="00582008" w:rsidRPr="00E00A16">
        <w:rPr>
          <w:lang w:val="fr-FR"/>
        </w:rPr>
        <w:t>’</w:t>
      </w:r>
      <w:r w:rsidRPr="00E00A16">
        <w:rPr>
          <w:lang w:val="fr-FR"/>
        </w:rPr>
        <w:t>auteure serait exposée en cas d</w:t>
      </w:r>
      <w:r w:rsidR="00582008" w:rsidRPr="00E00A16">
        <w:rPr>
          <w:lang w:val="fr-FR"/>
        </w:rPr>
        <w:t>’</w:t>
      </w:r>
      <w:r w:rsidRPr="00E00A16">
        <w:rPr>
          <w:lang w:val="fr-FR"/>
        </w:rPr>
        <w:t>expulsion vers la Fédération de Russie.</w:t>
      </w:r>
    </w:p>
    <w:p w14:paraId="5AAC1149" w14:textId="09FE0831" w:rsidR="00704AC4" w:rsidRPr="00E00A16" w:rsidRDefault="00704AC4" w:rsidP="00704AC4">
      <w:pPr>
        <w:pStyle w:val="SingleTxt"/>
        <w:numPr>
          <w:ilvl w:val="0"/>
          <w:numId w:val="43"/>
        </w:numPr>
        <w:tabs>
          <w:tab w:val="left" w:pos="1742"/>
        </w:tabs>
        <w:rPr>
          <w:lang w:val="fr-FR"/>
        </w:rPr>
      </w:pPr>
      <w:r w:rsidRPr="00E00A16">
        <w:rPr>
          <w:lang w:val="fr-FR"/>
        </w:rPr>
        <w:t>En conséquence, le Comité décide ce qui suit :</w:t>
      </w:r>
    </w:p>
    <w:p w14:paraId="16200F43" w14:textId="361477B1" w:rsidR="00704AC4" w:rsidRPr="00E00A16" w:rsidRDefault="00704AC4" w:rsidP="00704AC4">
      <w:pPr>
        <w:pStyle w:val="SingleTxt"/>
        <w:rPr>
          <w:lang w:val="fr-FR"/>
        </w:rPr>
      </w:pPr>
      <w:r w:rsidRPr="00E00A16">
        <w:rPr>
          <w:lang w:val="fr-FR"/>
        </w:rPr>
        <w:tab/>
        <w:t>a)</w:t>
      </w:r>
      <w:r w:rsidRPr="00E00A16">
        <w:rPr>
          <w:lang w:val="fr-FR"/>
        </w:rPr>
        <w:tab/>
        <w:t>La communication est irrecevable au regard du paragraphe</w:t>
      </w:r>
      <w:r w:rsidR="0036046B" w:rsidRPr="00E00A16">
        <w:rPr>
          <w:lang w:val="fr-FR"/>
        </w:rPr>
        <w:t xml:space="preserve"> </w:t>
      </w:r>
      <w:r w:rsidRPr="00E00A16">
        <w:rPr>
          <w:lang w:val="fr-FR"/>
        </w:rPr>
        <w:t>2</w:t>
      </w:r>
      <w:r w:rsidR="0036046B" w:rsidRPr="00E00A16">
        <w:rPr>
          <w:lang w:val="fr-FR"/>
        </w:rPr>
        <w:t xml:space="preserve"> </w:t>
      </w:r>
      <w:r w:rsidRPr="00E00A16">
        <w:rPr>
          <w:lang w:val="fr-FR"/>
        </w:rPr>
        <w:t>c) de l</w:t>
      </w:r>
      <w:r w:rsidR="00582008" w:rsidRPr="00E00A16">
        <w:rPr>
          <w:lang w:val="fr-FR"/>
        </w:rPr>
        <w:t>’</w:t>
      </w:r>
      <w:r w:rsidRPr="00E00A16">
        <w:rPr>
          <w:lang w:val="fr-FR"/>
        </w:rPr>
        <w:t>article4 du Protocole facultatif ;</w:t>
      </w:r>
    </w:p>
    <w:p w14:paraId="66F64CD6" w14:textId="6454E16C" w:rsidR="00704AC4" w:rsidRPr="00E00A16" w:rsidRDefault="00704AC4" w:rsidP="00704AC4">
      <w:pPr>
        <w:pStyle w:val="SingleTxt"/>
        <w:rPr>
          <w:lang w:val="fr-FR"/>
        </w:rPr>
      </w:pPr>
      <w:r w:rsidRPr="00E00A16">
        <w:rPr>
          <w:lang w:val="fr-FR"/>
        </w:rPr>
        <w:tab/>
        <w:t>b)</w:t>
      </w:r>
      <w:r w:rsidRPr="00E00A16">
        <w:rPr>
          <w:lang w:val="fr-FR"/>
        </w:rPr>
        <w:tab/>
        <w:t>La présente décision sera communiquée à l</w:t>
      </w:r>
      <w:r w:rsidR="00582008" w:rsidRPr="00E00A16">
        <w:rPr>
          <w:lang w:val="fr-FR"/>
        </w:rPr>
        <w:t>’</w:t>
      </w:r>
      <w:r w:rsidRPr="00E00A16">
        <w:rPr>
          <w:lang w:val="fr-FR"/>
        </w:rPr>
        <w:t>État partie et à l</w:t>
      </w:r>
      <w:r w:rsidR="00582008" w:rsidRPr="00E00A16">
        <w:rPr>
          <w:lang w:val="fr-FR"/>
        </w:rPr>
        <w:t>’</w:t>
      </w:r>
      <w:r w:rsidRPr="00E00A16">
        <w:rPr>
          <w:lang w:val="fr-FR"/>
        </w:rPr>
        <w:t xml:space="preserve">auteure. </w:t>
      </w:r>
    </w:p>
    <w:p w14:paraId="179AF577" w14:textId="465B081B" w:rsidR="00704AC4" w:rsidRPr="00704AC4" w:rsidRDefault="00704AC4" w:rsidP="00704AC4">
      <w:pPr>
        <w:pStyle w:val="SingleTxt"/>
        <w:spacing w:after="0" w:line="240" w:lineRule="auto"/>
        <w:rPr>
          <w:lang w:val="fr-FR"/>
        </w:rPr>
      </w:pPr>
      <w:r w:rsidRPr="00E12237">
        <w:rPr>
          <w:noProof/>
          <w:w w:val="100"/>
          <w:lang w:val="fr-FR"/>
        </w:rPr>
        <mc:AlternateContent>
          <mc:Choice Requires="wps">
            <w:drawing>
              <wp:anchor distT="0" distB="0" distL="114300" distR="114300" simplePos="0" relativeHeight="251659264" behindDoc="0" locked="0" layoutInCell="1" allowOverlap="1" wp14:anchorId="2D52C076" wp14:editId="170CE78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9E06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04AC4" w:rsidRPr="00704AC4" w:rsidSect="00704AC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9T14:53:00Z" w:initials="Start">
    <w:p w14:paraId="25E25986" w14:textId="77777777" w:rsidR="00CC55E2" w:rsidRPr="00704AC4" w:rsidRDefault="00CC55E2">
      <w:pPr>
        <w:pStyle w:val="CommentText"/>
        <w:rPr>
          <w:lang w:val="en-US"/>
        </w:rPr>
      </w:pPr>
      <w:r>
        <w:fldChar w:fldCharType="begin"/>
      </w:r>
      <w:r w:rsidRPr="00704AC4">
        <w:rPr>
          <w:rStyle w:val="CommentReference"/>
          <w:lang w:val="en-US"/>
        </w:rPr>
        <w:instrText xml:space="preserve"> </w:instrText>
      </w:r>
      <w:r w:rsidRPr="00704AC4">
        <w:rPr>
          <w:lang w:val="en-US"/>
        </w:rPr>
        <w:instrText>PAGE \# "'Page: '#'</w:instrText>
      </w:r>
      <w:r w:rsidRPr="00704AC4">
        <w:rPr>
          <w:lang w:val="en-US"/>
        </w:rPr>
        <w:br/>
        <w:instrText>'"</w:instrText>
      </w:r>
      <w:r w:rsidRPr="00704AC4">
        <w:rPr>
          <w:rStyle w:val="CommentReference"/>
          <w:lang w:val="en-US"/>
        </w:rPr>
        <w:instrText xml:space="preserve"> </w:instrText>
      </w:r>
      <w:r>
        <w:fldChar w:fldCharType="end"/>
      </w:r>
      <w:r>
        <w:rPr>
          <w:rStyle w:val="CommentReference"/>
        </w:rPr>
        <w:annotationRef/>
      </w:r>
      <w:r w:rsidRPr="00704AC4">
        <w:rPr>
          <w:lang w:val="en-US"/>
        </w:rPr>
        <w:t>&lt;&lt;ODS JOB NO&gt;&gt;N1910192F&lt;&lt;ODS JOB NO&gt;&gt;</w:t>
      </w:r>
    </w:p>
    <w:p w14:paraId="7791408E" w14:textId="77777777" w:rsidR="00CC55E2" w:rsidRDefault="00CC55E2">
      <w:pPr>
        <w:pStyle w:val="CommentText"/>
      </w:pPr>
      <w:r>
        <w:t>&lt;&lt;ODS DOC SYMBOL1&gt;&gt;&lt;&lt;ODS DOC SYMBOL1&gt;&gt;</w:t>
      </w:r>
    </w:p>
    <w:p w14:paraId="1A668C19" w14:textId="77777777" w:rsidR="00CC55E2" w:rsidRDefault="00CC55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68C1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5870" w14:textId="77777777" w:rsidR="00CC55E2" w:rsidRDefault="00CC55E2" w:rsidP="00101B18">
      <w:pPr>
        <w:spacing w:line="240" w:lineRule="auto"/>
      </w:pPr>
      <w:r>
        <w:separator/>
      </w:r>
    </w:p>
  </w:endnote>
  <w:endnote w:type="continuationSeparator" w:id="0">
    <w:p w14:paraId="65734B55" w14:textId="77777777" w:rsidR="00CC55E2" w:rsidRDefault="00CC55E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55E2" w14:paraId="1482F74E" w14:textId="77777777" w:rsidTr="00A91ACD">
      <w:tc>
        <w:tcPr>
          <w:tcW w:w="4920" w:type="dxa"/>
          <w:shd w:val="clear" w:color="auto" w:fill="auto"/>
        </w:tcPr>
        <w:p w14:paraId="4BE52BAD" w14:textId="3E46DF19" w:rsidR="00CC55E2" w:rsidRPr="00A91ACD" w:rsidRDefault="00CC55E2" w:rsidP="00A91A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3E0">
            <w:rPr>
              <w:b w:val="0"/>
              <w:w w:val="103"/>
              <w:sz w:val="14"/>
            </w:rPr>
            <w:t>19-05867</w:t>
          </w:r>
          <w:r>
            <w:rPr>
              <w:b w:val="0"/>
              <w:w w:val="103"/>
              <w:sz w:val="14"/>
            </w:rPr>
            <w:fldChar w:fldCharType="end"/>
          </w:r>
        </w:p>
      </w:tc>
      <w:tc>
        <w:tcPr>
          <w:tcW w:w="4920" w:type="dxa"/>
          <w:shd w:val="clear" w:color="auto" w:fill="auto"/>
        </w:tcPr>
        <w:p w14:paraId="31C959B3" w14:textId="77777777" w:rsidR="00CC55E2" w:rsidRPr="00A91ACD" w:rsidRDefault="00CC55E2" w:rsidP="00A91AC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F56258D" w14:textId="77777777" w:rsidR="00CC55E2" w:rsidRPr="00A91ACD" w:rsidRDefault="00CC55E2" w:rsidP="00A9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55E2" w14:paraId="5294DDB8" w14:textId="77777777" w:rsidTr="00A91ACD">
      <w:tc>
        <w:tcPr>
          <w:tcW w:w="4920" w:type="dxa"/>
          <w:shd w:val="clear" w:color="auto" w:fill="auto"/>
        </w:tcPr>
        <w:p w14:paraId="37238859" w14:textId="77777777" w:rsidR="00CC55E2" w:rsidRPr="00A91ACD" w:rsidRDefault="00CC55E2" w:rsidP="00A91AC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93287E9" w14:textId="00D2F59E" w:rsidR="00CC55E2" w:rsidRPr="00A91ACD" w:rsidRDefault="00CC55E2" w:rsidP="00A91A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3E0">
            <w:rPr>
              <w:b w:val="0"/>
              <w:w w:val="103"/>
              <w:sz w:val="14"/>
            </w:rPr>
            <w:t>19-05867</w:t>
          </w:r>
          <w:r>
            <w:rPr>
              <w:b w:val="0"/>
              <w:w w:val="103"/>
              <w:sz w:val="14"/>
            </w:rPr>
            <w:fldChar w:fldCharType="end"/>
          </w:r>
        </w:p>
      </w:tc>
    </w:tr>
  </w:tbl>
  <w:p w14:paraId="340AC126" w14:textId="77777777" w:rsidR="00CC55E2" w:rsidRPr="00A91ACD" w:rsidRDefault="00CC55E2" w:rsidP="00A91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4912" w14:textId="77777777" w:rsidR="00CC55E2" w:rsidRDefault="00CC55E2">
    <w:pPr>
      <w:pStyle w:val="Footer"/>
    </w:pPr>
    <w:r>
      <w:rPr>
        <w:noProof/>
      </w:rPr>
      <w:drawing>
        <wp:anchor distT="0" distB="0" distL="114300" distR="114300" simplePos="0" relativeHeight="251658240" behindDoc="0" locked="0" layoutInCell="1" allowOverlap="1" wp14:anchorId="3253C41A" wp14:editId="5296DC5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C55E2" w14:paraId="1BB115C3" w14:textId="77777777" w:rsidTr="00A91ACD">
      <w:tc>
        <w:tcPr>
          <w:tcW w:w="3758" w:type="dxa"/>
        </w:tcPr>
        <w:p w14:paraId="100F3905" w14:textId="0B56F501" w:rsidR="00CC55E2" w:rsidRDefault="00CC55E2" w:rsidP="00A91AC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33E0">
            <w:rPr>
              <w:b w:val="0"/>
              <w:sz w:val="20"/>
            </w:rPr>
            <w:t>19-05867 (F)</w:t>
          </w:r>
          <w:r>
            <w:rPr>
              <w:b w:val="0"/>
              <w:sz w:val="20"/>
            </w:rPr>
            <w:fldChar w:fldCharType="end"/>
          </w:r>
          <w:r>
            <w:rPr>
              <w:b w:val="0"/>
              <w:sz w:val="20"/>
            </w:rPr>
            <w:t xml:space="preserve">    230419    300419</w:t>
          </w:r>
        </w:p>
        <w:p w14:paraId="330B237F" w14:textId="3A6C3057" w:rsidR="00CC55E2" w:rsidRPr="00A91ACD" w:rsidRDefault="00CC55E2" w:rsidP="00A91AC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633E0">
            <w:rPr>
              <w:rFonts w:ascii="Barcode 3 of 9 by request" w:hAnsi="Barcode 3 of 9 by request"/>
              <w:spacing w:val="0"/>
              <w:w w:val="100"/>
              <w:sz w:val="24"/>
            </w:rPr>
            <w:t>*1905867*</w:t>
          </w:r>
          <w:r>
            <w:rPr>
              <w:rFonts w:ascii="Barcode 3 of 9 by request" w:hAnsi="Barcode 3 of 9 by request"/>
              <w:spacing w:val="0"/>
              <w:w w:val="100"/>
              <w:sz w:val="24"/>
            </w:rPr>
            <w:fldChar w:fldCharType="end"/>
          </w:r>
        </w:p>
      </w:tc>
      <w:tc>
        <w:tcPr>
          <w:tcW w:w="4920" w:type="dxa"/>
        </w:tcPr>
        <w:p w14:paraId="4D5D9F32" w14:textId="77777777" w:rsidR="00CC55E2" w:rsidRDefault="00CC55E2" w:rsidP="00A91ACD">
          <w:pPr>
            <w:pStyle w:val="Footer"/>
            <w:spacing w:line="240" w:lineRule="atLeast"/>
            <w:jc w:val="right"/>
            <w:rPr>
              <w:b w:val="0"/>
              <w:sz w:val="20"/>
            </w:rPr>
          </w:pPr>
          <w:r>
            <w:rPr>
              <w:b w:val="0"/>
              <w:noProof/>
              <w:sz w:val="20"/>
            </w:rPr>
            <w:drawing>
              <wp:inline distT="0" distB="0" distL="0" distR="0" wp14:anchorId="009070C5" wp14:editId="4042E3A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39C9016" w14:textId="77777777" w:rsidR="00CC55E2" w:rsidRPr="00A91ACD" w:rsidRDefault="00CC55E2" w:rsidP="00A91AC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064FF" w14:textId="11563CD9" w:rsidR="00CC55E2" w:rsidRPr="00704AC4" w:rsidRDefault="00CC55E2" w:rsidP="00704AC4">
      <w:pPr>
        <w:pStyle w:val="Footer"/>
        <w:spacing w:after="80"/>
        <w:ind w:left="792"/>
        <w:rPr>
          <w:sz w:val="16"/>
        </w:rPr>
      </w:pPr>
      <w:r w:rsidRPr="00704AC4">
        <w:rPr>
          <w:sz w:val="16"/>
        </w:rPr>
        <w:t>__________________</w:t>
      </w:r>
    </w:p>
  </w:footnote>
  <w:footnote w:type="continuationSeparator" w:id="0">
    <w:p w14:paraId="7F04085F" w14:textId="3ED699D7" w:rsidR="00CC55E2" w:rsidRPr="00704AC4" w:rsidRDefault="00CC55E2" w:rsidP="00704AC4">
      <w:pPr>
        <w:pStyle w:val="Footer"/>
        <w:spacing w:after="80"/>
        <w:ind w:left="792"/>
        <w:rPr>
          <w:sz w:val="16"/>
        </w:rPr>
      </w:pPr>
      <w:r w:rsidRPr="00704AC4">
        <w:rPr>
          <w:sz w:val="16"/>
        </w:rPr>
        <w:t>__________________</w:t>
      </w:r>
    </w:p>
  </w:footnote>
  <w:footnote w:id="1">
    <w:p w14:paraId="609D7B33" w14:textId="0A547498"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04AC4">
        <w:rPr>
          <w:lang w:val="fr-FR"/>
        </w:rPr>
        <w:tab/>
      </w:r>
      <w:r w:rsidRPr="00E12237">
        <w:rPr>
          <w:rStyle w:val="FootnoteReference"/>
          <w:spacing w:val="4"/>
          <w:vertAlign w:val="baseline"/>
          <w:lang w:val="fr-FR"/>
        </w:rPr>
        <w:t>*</w:t>
      </w:r>
      <w:r w:rsidRPr="00185A46">
        <w:rPr>
          <w:rStyle w:val="FootnoteReference"/>
          <w:spacing w:val="4"/>
          <w:lang w:val="fr-FR"/>
        </w:rPr>
        <w:tab/>
      </w:r>
      <w:r w:rsidRPr="007815D5">
        <w:rPr>
          <w:lang w:val="fr-FR"/>
        </w:rPr>
        <w:t xml:space="preserve">Soixante-douzième session (18 février-8 mars </w:t>
      </w:r>
      <w:r w:rsidRPr="00E00A16">
        <w:rPr>
          <w:lang w:val="fr-FR"/>
        </w:rPr>
        <w:t>2019).</w:t>
      </w:r>
    </w:p>
  </w:footnote>
  <w:footnote w:id="2">
    <w:p w14:paraId="65894935" w14:textId="4A408E8D"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00A16">
        <w:rPr>
          <w:rStyle w:val="FootnoteReference"/>
          <w:vertAlign w:val="baseline"/>
          <w:lang w:val="fr-FR"/>
        </w:rPr>
        <w:t>*</w:t>
      </w:r>
      <w:r w:rsidRPr="00E00A16">
        <w:rPr>
          <w:rStyle w:val="FootnoteReference"/>
          <w:spacing w:val="4"/>
          <w:vertAlign w:val="baseline"/>
          <w:lang w:val="fr-FR"/>
        </w:rPr>
        <w:t>*</w:t>
      </w:r>
      <w:r w:rsidRPr="00E00A16">
        <w:rPr>
          <w:rStyle w:val="FootnoteReference"/>
          <w:spacing w:val="4"/>
          <w:lang w:val="fr-FR"/>
        </w:rPr>
        <w:tab/>
      </w:r>
      <w:r w:rsidRPr="00E00A16">
        <w:rPr>
          <w:lang w:val="fr-FR"/>
        </w:rPr>
        <w:t>Les membres du Comité dont le nom suit ont participé à l’examen de la communication</w:t>
      </w:r>
      <w:r w:rsidR="00714A14" w:rsidRPr="00E00A16">
        <w:rPr>
          <w:lang w:val="fr-FR"/>
        </w:rPr>
        <w:t> :</w:t>
      </w:r>
      <w:r w:rsidRPr="00E00A16">
        <w:rPr>
          <w:lang w:val="fr-FR"/>
        </w:rPr>
        <w:t xml:space="preserve"> </w:t>
      </w:r>
      <w:r w:rsidRPr="00E00A16">
        <w:rPr>
          <w:szCs w:val="18"/>
          <w:lang w:val="fr-FR"/>
        </w:rPr>
        <w:t>Gladys Acosta Vargas, Hiroko Akizuki, Nicole Ameline, Gunnar Bergby, Marion Bethel, Louiza Chalal, Naéla Mohamed Gabr, Hilary Gbedemah, Nahla Haidar, Dalia Leinarte, Rosario G. Manalo, Lia Nadaraia, Aruna Devi Narain, Ana Peláez Narváez, Rhoda Reddock, Elgun Safarov, Wenyan Song, Genoveva Tisheva, Franceline Toé-Bouda et Aicha Vall Verges.</w:t>
      </w:r>
    </w:p>
  </w:footnote>
  <w:footnote w:id="3">
    <w:p w14:paraId="11EEA33C" w14:textId="17A8AA10"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185A46">
        <w:rPr>
          <w:lang w:val="fr-FR"/>
        </w:rPr>
        <w:t>auteure ne fournit aucun détail supplémentaire.</w:t>
      </w:r>
    </w:p>
  </w:footnote>
  <w:footnote w:id="4">
    <w:p w14:paraId="0AF8E115" w14:textId="6ECA9C2C"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815D5">
        <w:rPr>
          <w:lang w:val="fr-FR"/>
        </w:rPr>
        <w:tab/>
      </w:r>
      <w:r w:rsidRPr="00E12237">
        <w:rPr>
          <w:rStyle w:val="FootnoteReference"/>
          <w:spacing w:val="4"/>
          <w:lang w:val="fr-FR"/>
        </w:rPr>
        <w:footnoteRef/>
      </w:r>
      <w:r w:rsidRPr="00E12237">
        <w:rPr>
          <w:lang w:val="fr-FR"/>
        </w:rPr>
        <w:tab/>
        <w:t>Également appelé « les insurgés » dans les observations de l’</w:t>
      </w:r>
      <w:r w:rsidRPr="00185A46">
        <w:rPr>
          <w:lang w:val="fr-FR"/>
        </w:rPr>
        <w:t>auteure et de l</w:t>
      </w:r>
      <w:r w:rsidRPr="007815D5">
        <w:rPr>
          <w:lang w:val="fr-FR"/>
        </w:rPr>
        <w:t>’État partie.</w:t>
      </w:r>
    </w:p>
  </w:footnote>
  <w:footnote w:id="5">
    <w:p w14:paraId="08DFA385" w14:textId="455715FA"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spacing w:val="-1"/>
          <w:lang w:val="fr-FR"/>
        </w:rPr>
        <w:tab/>
      </w:r>
      <w:r w:rsidRPr="00E12237">
        <w:rPr>
          <w:rStyle w:val="FootnoteReference"/>
          <w:spacing w:val="4"/>
          <w:lang w:val="fr-FR"/>
        </w:rPr>
        <w:footnoteRef/>
      </w:r>
      <w:r w:rsidRPr="00E12237">
        <w:rPr>
          <w:lang w:val="fr-FR"/>
        </w:rPr>
        <w:tab/>
        <w:t>L’</w:t>
      </w:r>
      <w:r w:rsidRPr="00185A46">
        <w:rPr>
          <w:lang w:val="fr-FR"/>
        </w:rPr>
        <w:t>auteure indique ne pas avoir lu la déclaration de coopération car on ne lui en a pas donné l</w:t>
      </w:r>
      <w:r w:rsidRPr="007815D5">
        <w:rPr>
          <w:lang w:val="fr-FR"/>
        </w:rPr>
        <w:t>’occasion.</w:t>
      </w:r>
    </w:p>
  </w:footnote>
  <w:footnote w:id="6">
    <w:p w14:paraId="0690E456" w14:textId="29A99B7A"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La décision contient la déclaration suivante</w:t>
      </w:r>
      <w:r w:rsidR="00714A14" w:rsidRPr="00185A46">
        <w:rPr>
          <w:lang w:val="fr-FR"/>
        </w:rPr>
        <w:t> :</w:t>
      </w:r>
      <w:r w:rsidRPr="001D5004">
        <w:rPr>
          <w:lang w:val="fr-FR"/>
        </w:rPr>
        <w:t xml:space="preserve"> « Il semble peu probable que votre frère et les habitants de votre village aient su que vous aviez subi des violences sexuelles. Vous avez expliqué qu</w:t>
      </w:r>
      <w:r w:rsidRPr="007815D5">
        <w:rPr>
          <w:lang w:val="fr-FR"/>
        </w:rPr>
        <w:t>’ils pouvaient s</w:t>
      </w:r>
      <w:r w:rsidRPr="00E00A16">
        <w:rPr>
          <w:lang w:val="fr-FR"/>
        </w:rPr>
        <w:t>’en douter car vous êtes une femme et vous avez été détenue durant trois jours. Toutefois, nous ne pensons pas que ces explications puissent nous amener à revoir notre appréciation car vous avez déclaré que l’oncle chez qui vous vous étiez cachée n’était en aucune façon au courant des violences que vous aviez subies ».</w:t>
      </w:r>
    </w:p>
  </w:footnote>
  <w:footnote w:id="7">
    <w:p w14:paraId="7F946180" w14:textId="273BC13E"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La décision contient la déclaration suivante</w:t>
      </w:r>
      <w:r w:rsidR="00714A14" w:rsidRPr="00185A46">
        <w:rPr>
          <w:lang w:val="fr-FR"/>
        </w:rPr>
        <w:t> :</w:t>
      </w:r>
      <w:r w:rsidRPr="001D5004">
        <w:rPr>
          <w:lang w:val="fr-FR"/>
        </w:rPr>
        <w:t xml:space="preserve"> «</w:t>
      </w:r>
      <w:r w:rsidR="001F539B" w:rsidRPr="00D42071">
        <w:rPr>
          <w:lang w:val="fr-FR"/>
        </w:rPr>
        <w:t> </w:t>
      </w:r>
      <w:r w:rsidRPr="007815D5">
        <w:rPr>
          <w:lang w:val="fr-FR"/>
        </w:rPr>
        <w:t>Il ne semble guère probable que les autorités continuent de s’intéresser à vous alors qu’elles détiennent votre cousin ».</w:t>
      </w:r>
    </w:p>
  </w:footnote>
  <w:footnote w:id="8">
    <w:p w14:paraId="7A6D566B" w14:textId="3A711D19"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Il y est précisé que l’</w:t>
      </w:r>
      <w:r w:rsidRPr="00185A46">
        <w:rPr>
          <w:lang w:val="fr-FR"/>
        </w:rPr>
        <w:t>auteure n</w:t>
      </w:r>
      <w:r w:rsidRPr="001D5004">
        <w:rPr>
          <w:lang w:val="fr-FR"/>
        </w:rPr>
        <w:t>’</w:t>
      </w:r>
      <w:r w:rsidRPr="00D42071">
        <w:rPr>
          <w:lang w:val="fr-FR"/>
        </w:rPr>
        <w:t>était p</w:t>
      </w:r>
      <w:r w:rsidRPr="007815D5">
        <w:rPr>
          <w:lang w:val="fr-FR"/>
        </w:rPr>
        <w:t xml:space="preserve">as associée aux rebelles et n’avait pas coopéré avec eux, ou n’en avait pas connaissance, ce que les autorités savaient, et qu’elle avait un rôle complètement secondaire </w:t>
      </w:r>
      <w:r w:rsidR="00E12237" w:rsidRPr="00E00A16">
        <w:t>lorsque, selon ses dires, elle avait examiné son cousin</w:t>
      </w:r>
      <w:r w:rsidRPr="00E12237">
        <w:rPr>
          <w:lang w:val="fr-FR"/>
        </w:rPr>
        <w:t>, qu</w:t>
      </w:r>
      <w:r w:rsidRPr="00185A46">
        <w:rPr>
          <w:lang w:val="fr-FR"/>
        </w:rPr>
        <w:t>’</w:t>
      </w:r>
      <w:r w:rsidRPr="001D5004">
        <w:rPr>
          <w:lang w:val="fr-FR"/>
        </w:rPr>
        <w:t>elle n</w:t>
      </w:r>
      <w:r w:rsidRPr="00D42071">
        <w:rPr>
          <w:lang w:val="fr-FR"/>
        </w:rPr>
        <w:t>’</w:t>
      </w:r>
      <w:r w:rsidRPr="007815D5">
        <w:rPr>
          <w:lang w:val="fr-FR"/>
        </w:rPr>
        <w:t>avait d’ailleurs pas été en mesure d’aider.</w:t>
      </w:r>
    </w:p>
  </w:footnote>
  <w:footnote w:id="9">
    <w:p w14:paraId="4F994EDE" w14:textId="38364239"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Dans sa décision, la Commission note qu’</w:t>
      </w:r>
      <w:r w:rsidRPr="00185A46">
        <w:rPr>
          <w:lang w:val="fr-FR"/>
        </w:rPr>
        <w:t>il semble étonnant que la mère de la requérante et ses deux oncles l</w:t>
      </w:r>
      <w:r w:rsidRPr="007815D5">
        <w:rPr>
          <w:lang w:val="fr-FR"/>
        </w:rPr>
        <w:t>’aient aidée, malgré les rumeurs de viol, et que seul son frère aîné ait voulu la tuer.</w:t>
      </w:r>
    </w:p>
  </w:footnote>
  <w:footnote w:id="10">
    <w:p w14:paraId="47736833" w14:textId="0C6C061B"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815D5">
        <w:rPr>
          <w:lang w:val="fr-FR"/>
        </w:rPr>
        <w:tab/>
      </w:r>
      <w:r w:rsidRPr="00E12237">
        <w:rPr>
          <w:rStyle w:val="FootnoteReference"/>
          <w:spacing w:val="4"/>
          <w:lang w:val="fr-FR"/>
        </w:rPr>
        <w:footnoteRef/>
      </w:r>
      <w:r w:rsidRPr="00E12237">
        <w:rPr>
          <w:lang w:val="fr-FR"/>
        </w:rPr>
        <w:tab/>
        <w:t>L’</w:t>
      </w:r>
      <w:r w:rsidRPr="007815D5">
        <w:rPr>
          <w:lang w:val="fr-FR"/>
        </w:rPr>
        <w:t>auteure déclare que le risque est particulièrement élevé car sa famille est originaire d’un village très orthodoxe et très traditionnel.</w:t>
      </w:r>
    </w:p>
  </w:footnote>
  <w:footnote w:id="11">
    <w:p w14:paraId="3171464B" w14:textId="6B01B5F1"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auteure fournit une copie du rapport daté du 30 novembre 2012</w:t>
      </w:r>
      <w:r w:rsidRPr="00E00A16">
        <w:rPr>
          <w:lang w:val="fr-FR"/>
        </w:rPr>
        <w:t>.</w:t>
      </w:r>
    </w:p>
  </w:footnote>
  <w:footnote w:id="12">
    <w:p w14:paraId="61A275F3" w14:textId="161A8C9F"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auteure se réfère au rapport daté du 16 juillet 2014</w:t>
      </w:r>
      <w:r w:rsidRPr="00E00A16">
        <w:rPr>
          <w:lang w:val="fr-FR"/>
        </w:rPr>
        <w:t xml:space="preserve"> émanant de Landinfo, le Centre d’information norvégien sur les pays d’origine.</w:t>
      </w:r>
    </w:p>
  </w:footnote>
  <w:footnote w:id="13">
    <w:p w14:paraId="3093C8CA" w14:textId="4B1D5265"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’État partie fournit une copie de la décision.</w:t>
      </w:r>
    </w:p>
  </w:footnote>
  <w:footnote w:id="14">
    <w:p w14:paraId="308ABB3C" w14:textId="139FBEC3"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815D5">
        <w:rPr>
          <w:lang w:val="fr-FR"/>
        </w:rPr>
        <w:tab/>
      </w:r>
      <w:r w:rsidRPr="00E12237">
        <w:rPr>
          <w:rStyle w:val="FootnoteReference"/>
          <w:spacing w:val="4"/>
          <w:lang w:val="fr-FR"/>
        </w:rPr>
        <w:footnoteRef/>
      </w:r>
      <w:r w:rsidRPr="00E12237">
        <w:rPr>
          <w:lang w:val="fr-FR"/>
        </w:rPr>
        <w:tab/>
        <w:t>À l</w:t>
      </w:r>
      <w:r w:rsidRPr="007815D5">
        <w:rPr>
          <w:lang w:val="fr-FR"/>
        </w:rPr>
        <w:t xml:space="preserve">’appui de ses observations, l’État partie renvoie aux affaires </w:t>
      </w:r>
      <w:r w:rsidRPr="007815D5">
        <w:rPr>
          <w:i/>
          <w:iCs/>
          <w:lang w:val="fr-FR"/>
        </w:rPr>
        <w:t>M. X et M</w:t>
      </w:r>
      <w:r w:rsidRPr="007815D5">
        <w:rPr>
          <w:i/>
          <w:iCs/>
          <w:vertAlign w:val="superscript"/>
          <w:lang w:val="fr-FR"/>
        </w:rPr>
        <w:t>me</w:t>
      </w:r>
      <w:r w:rsidRPr="007815D5">
        <w:rPr>
          <w:i/>
          <w:iCs/>
          <w:lang w:val="fr-FR"/>
        </w:rPr>
        <w:t xml:space="preserve"> X </w:t>
      </w:r>
      <w:r w:rsidRPr="00E00A16">
        <w:rPr>
          <w:lang w:val="fr-FR"/>
        </w:rPr>
        <w:t>c.</w:t>
      </w:r>
      <w:r w:rsidRPr="00E00A16">
        <w:rPr>
          <w:i/>
          <w:iCs/>
          <w:lang w:val="fr-FR"/>
        </w:rPr>
        <w:t> Danemark</w:t>
      </w:r>
      <w:r w:rsidRPr="00E00A16">
        <w:rPr>
          <w:lang w:val="fr-FR"/>
        </w:rPr>
        <w:t xml:space="preserve"> (</w:t>
      </w:r>
      <w:hyperlink r:id="rId1" w:history="1">
        <w:r w:rsidRPr="007815D5">
          <w:rPr>
            <w:rStyle w:val="Hyperlink"/>
            <w:lang w:val="fr-FR"/>
          </w:rPr>
          <w:t>CCPR/C/112/D/2186/2012</w:t>
        </w:r>
      </w:hyperlink>
      <w:r w:rsidRPr="00E12237">
        <w:rPr>
          <w:lang w:val="fr-FR"/>
        </w:rPr>
        <w:t>), par. </w:t>
      </w:r>
      <w:r w:rsidRPr="007815D5">
        <w:rPr>
          <w:lang w:val="fr-FR"/>
        </w:rPr>
        <w:t xml:space="preserve">7.5 ; </w:t>
      </w:r>
      <w:r w:rsidRPr="007815D5">
        <w:rPr>
          <w:i/>
          <w:iCs/>
          <w:lang w:val="fr-FR"/>
        </w:rPr>
        <w:t xml:space="preserve">P. T. </w:t>
      </w:r>
      <w:r w:rsidRPr="007815D5">
        <w:rPr>
          <w:lang w:val="fr-FR"/>
        </w:rPr>
        <w:t>c.</w:t>
      </w:r>
      <w:r w:rsidRPr="007815D5">
        <w:rPr>
          <w:i/>
          <w:iCs/>
          <w:lang w:val="fr-FR"/>
        </w:rPr>
        <w:t> Danemark</w:t>
      </w:r>
      <w:r w:rsidRPr="00E00A16">
        <w:rPr>
          <w:lang w:val="fr-FR"/>
        </w:rPr>
        <w:t xml:space="preserve"> (</w:t>
      </w:r>
      <w:hyperlink r:id="rId2" w:history="1">
        <w:r w:rsidRPr="007815D5">
          <w:rPr>
            <w:rStyle w:val="Hyperlink"/>
            <w:lang w:val="fr-FR"/>
          </w:rPr>
          <w:t>CCPR/C/113/D/2272/2013</w:t>
        </w:r>
      </w:hyperlink>
      <w:r w:rsidRPr="00E12237">
        <w:rPr>
          <w:lang w:val="fr-FR"/>
        </w:rPr>
        <w:t>), par. </w:t>
      </w:r>
      <w:r w:rsidRPr="007815D5">
        <w:rPr>
          <w:lang w:val="fr-FR"/>
        </w:rPr>
        <w:t xml:space="preserve">7.3 ; </w:t>
      </w:r>
      <w:r w:rsidRPr="007815D5">
        <w:rPr>
          <w:i/>
          <w:iCs/>
          <w:lang w:val="fr-FR"/>
        </w:rPr>
        <w:t>N. </w:t>
      </w:r>
      <w:r w:rsidRPr="007815D5">
        <w:rPr>
          <w:lang w:val="fr-FR"/>
        </w:rPr>
        <w:t>c.</w:t>
      </w:r>
      <w:r w:rsidRPr="007815D5">
        <w:rPr>
          <w:i/>
          <w:iCs/>
          <w:lang w:val="fr-FR"/>
        </w:rPr>
        <w:t xml:space="preserve"> Danemark</w:t>
      </w:r>
      <w:r w:rsidRPr="00E00A16">
        <w:rPr>
          <w:lang w:val="fr-FR"/>
        </w:rPr>
        <w:t xml:space="preserve"> (</w:t>
      </w:r>
      <w:hyperlink r:id="rId3" w:history="1">
        <w:r w:rsidRPr="007815D5">
          <w:rPr>
            <w:rStyle w:val="Hyperlink"/>
            <w:lang w:val="fr-FR"/>
          </w:rPr>
          <w:t>CCPR/C/114/D/2426/2014</w:t>
        </w:r>
      </w:hyperlink>
      <w:r w:rsidRPr="00E12237">
        <w:rPr>
          <w:lang w:val="fr-FR"/>
        </w:rPr>
        <w:t>), par. </w:t>
      </w:r>
      <w:r w:rsidRPr="007815D5">
        <w:rPr>
          <w:lang w:val="fr-FR"/>
        </w:rPr>
        <w:t xml:space="preserve">6.6 ; </w:t>
      </w:r>
      <w:r w:rsidRPr="007815D5">
        <w:rPr>
          <w:i/>
          <w:iCs/>
          <w:lang w:val="fr-FR"/>
        </w:rPr>
        <w:t xml:space="preserve">Z. </w:t>
      </w:r>
      <w:r w:rsidRPr="007815D5">
        <w:rPr>
          <w:lang w:val="fr-FR"/>
        </w:rPr>
        <w:t>c.</w:t>
      </w:r>
      <w:r w:rsidRPr="007815D5">
        <w:rPr>
          <w:i/>
          <w:iCs/>
          <w:lang w:val="fr-FR"/>
        </w:rPr>
        <w:t> Danemark</w:t>
      </w:r>
      <w:r w:rsidRPr="00E00A16">
        <w:rPr>
          <w:lang w:val="fr-FR"/>
        </w:rPr>
        <w:t xml:space="preserve"> (</w:t>
      </w:r>
      <w:hyperlink r:id="rId4" w:history="1">
        <w:r w:rsidRPr="007815D5">
          <w:rPr>
            <w:rStyle w:val="Hyperlink"/>
            <w:lang w:val="fr-FR"/>
          </w:rPr>
          <w:t>CCPR/C/114/D/2329/2014</w:t>
        </w:r>
      </w:hyperlink>
      <w:r w:rsidRPr="00E12237">
        <w:rPr>
          <w:lang w:val="fr-FR"/>
        </w:rPr>
        <w:t>), par. </w:t>
      </w:r>
      <w:r w:rsidRPr="007815D5">
        <w:rPr>
          <w:lang w:val="fr-FR"/>
        </w:rPr>
        <w:t xml:space="preserve">7.4 ; </w:t>
      </w:r>
      <w:r w:rsidRPr="007815D5">
        <w:rPr>
          <w:i/>
          <w:iCs/>
          <w:lang w:val="fr-FR"/>
        </w:rPr>
        <w:t xml:space="preserve">K. </w:t>
      </w:r>
      <w:r w:rsidRPr="007815D5">
        <w:rPr>
          <w:lang w:val="fr-FR"/>
        </w:rPr>
        <w:t>c.</w:t>
      </w:r>
      <w:r w:rsidRPr="007815D5">
        <w:rPr>
          <w:i/>
          <w:iCs/>
          <w:lang w:val="fr-FR"/>
        </w:rPr>
        <w:t> Danemark</w:t>
      </w:r>
      <w:r w:rsidRPr="00E00A16">
        <w:rPr>
          <w:lang w:val="fr-FR"/>
        </w:rPr>
        <w:t xml:space="preserve"> (</w:t>
      </w:r>
      <w:hyperlink r:id="rId5" w:history="1">
        <w:r w:rsidRPr="007815D5">
          <w:rPr>
            <w:rStyle w:val="Hyperlink"/>
            <w:lang w:val="fr-FR"/>
          </w:rPr>
          <w:t>CCPR/C/114/D/2393/2014</w:t>
        </w:r>
      </w:hyperlink>
      <w:r w:rsidRPr="00E12237">
        <w:rPr>
          <w:lang w:val="fr-FR"/>
        </w:rPr>
        <w:t>), par. </w:t>
      </w:r>
      <w:r w:rsidRPr="007815D5">
        <w:rPr>
          <w:lang w:val="fr-FR"/>
        </w:rPr>
        <w:t>7.4 et 7.5</w:t>
      </w:r>
      <w:r w:rsidRPr="00E00A16">
        <w:rPr>
          <w:lang w:val="fr-FR"/>
        </w:rPr>
        <w:t>.</w:t>
      </w:r>
    </w:p>
  </w:footnote>
  <w:footnote w:id="15">
    <w:p w14:paraId="553DBC12" w14:textId="20761D0E"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’auteure se réfère à un rapport de Human Rights Watch, publié en 2012, dans lequel l’organisation a</w:t>
      </w:r>
      <w:r w:rsidR="00CE2F3F" w:rsidRPr="00E00A16">
        <w:rPr>
          <w:lang w:val="fr-FR"/>
        </w:rPr>
        <w:t xml:space="preserve"> </w:t>
      </w:r>
      <w:r w:rsidRPr="00E00A16">
        <w:rPr>
          <w:lang w:val="fr-FR"/>
        </w:rPr>
        <w:t>insisté sur le fait que des crimes d’honneur étaient régulièrement signalés en Tchétchénie.</w:t>
      </w:r>
      <w:bookmarkStart w:id="3" w:name="_Hlk533086729"/>
      <w:bookmarkEnd w:id="3"/>
    </w:p>
  </w:footnote>
  <w:footnote w:id="16">
    <w:p w14:paraId="3C64DF1F" w14:textId="7F0E0298"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 xml:space="preserve">’auteure fournit une copie d’un article du journal </w:t>
      </w:r>
      <w:r w:rsidRPr="007815D5">
        <w:rPr>
          <w:i/>
          <w:iCs/>
          <w:lang w:val="fr-FR"/>
        </w:rPr>
        <w:t>The Moscow Times</w:t>
      </w:r>
      <w:r w:rsidRPr="007815D5">
        <w:rPr>
          <w:lang w:val="fr-FR"/>
        </w:rPr>
        <w:t xml:space="preserve">, daté du </w:t>
      </w:r>
      <w:r w:rsidRPr="00E00A16">
        <w:rPr>
          <w:lang w:val="fr-FR"/>
        </w:rPr>
        <w:t>23 novembre 2014.</w:t>
      </w:r>
    </w:p>
  </w:footnote>
  <w:footnote w:id="17">
    <w:p w14:paraId="04D08746" w14:textId="6E4554CF"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 xml:space="preserve">’auteure fournit une copie d’un article du </w:t>
      </w:r>
      <w:r w:rsidRPr="007815D5">
        <w:rPr>
          <w:i/>
          <w:iCs/>
          <w:lang w:val="fr-FR"/>
        </w:rPr>
        <w:t>Eurasia Daily Monitor</w:t>
      </w:r>
      <w:r w:rsidRPr="007815D5">
        <w:rPr>
          <w:lang w:val="fr-FR"/>
        </w:rPr>
        <w:t xml:space="preserve"> daté du </w:t>
      </w:r>
      <w:r w:rsidRPr="00E00A16">
        <w:rPr>
          <w:lang w:val="fr-FR"/>
        </w:rPr>
        <w:t>12</w:t>
      </w:r>
      <w:r w:rsidR="003506A6" w:rsidRPr="00E00A16">
        <w:rPr>
          <w:lang w:val="fr-FR"/>
        </w:rPr>
        <w:t xml:space="preserve"> </w:t>
      </w:r>
      <w:r w:rsidRPr="00E00A16">
        <w:rPr>
          <w:lang w:val="fr-FR"/>
        </w:rPr>
        <w:t>mars 2015.</w:t>
      </w:r>
    </w:p>
  </w:footnote>
  <w:footnote w:id="18">
    <w:p w14:paraId="4EE24831" w14:textId="74D38846"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 xml:space="preserve">’auteure fournit une copie d’un article du journal </w:t>
      </w:r>
      <w:r w:rsidRPr="007815D5">
        <w:rPr>
          <w:i/>
          <w:iCs/>
          <w:lang w:val="fr-FR"/>
        </w:rPr>
        <w:t>The Telegraph</w:t>
      </w:r>
      <w:r w:rsidRPr="007815D5">
        <w:rPr>
          <w:lang w:val="fr-FR"/>
        </w:rPr>
        <w:t xml:space="preserve"> daté du </w:t>
      </w:r>
      <w:r w:rsidRPr="00E00A16">
        <w:rPr>
          <w:lang w:val="fr-FR"/>
        </w:rPr>
        <w:t>17</w:t>
      </w:r>
      <w:r w:rsidR="003506A6" w:rsidRPr="00E00A16">
        <w:rPr>
          <w:lang w:val="fr-FR"/>
        </w:rPr>
        <w:t xml:space="preserve"> </w:t>
      </w:r>
      <w:r w:rsidRPr="00E00A16">
        <w:rPr>
          <w:lang w:val="fr-FR"/>
        </w:rPr>
        <w:t>janvier 2015.</w:t>
      </w:r>
    </w:p>
  </w:footnote>
  <w:footnote w:id="19">
    <w:p w14:paraId="59F86FBE" w14:textId="7265F323"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i/>
          <w:iCs/>
          <w:lang w:val="fr-FR"/>
        </w:rPr>
        <w:t xml:space="preserve">A. </w:t>
      </w:r>
      <w:r w:rsidRPr="007815D5">
        <w:rPr>
          <w:lang w:val="fr-FR"/>
        </w:rPr>
        <w:t>c.</w:t>
      </w:r>
      <w:r w:rsidRPr="007815D5">
        <w:rPr>
          <w:i/>
          <w:iCs/>
          <w:lang w:val="fr-FR"/>
        </w:rPr>
        <w:t> Danemark</w:t>
      </w:r>
      <w:r w:rsidRPr="007815D5">
        <w:rPr>
          <w:lang w:val="fr-FR"/>
        </w:rPr>
        <w:t xml:space="preserve"> (</w:t>
      </w:r>
      <w:hyperlink r:id="rId6" w:history="1">
        <w:r w:rsidRPr="007815D5">
          <w:rPr>
            <w:rStyle w:val="Hyperlink"/>
            <w:lang w:val="fr-FR"/>
          </w:rPr>
          <w:t>CEDAW/C/62/D/53/2013</w:t>
        </w:r>
      </w:hyperlink>
      <w:r w:rsidRPr="00E12237">
        <w:rPr>
          <w:lang w:val="fr-FR"/>
        </w:rPr>
        <w:t>), par.</w:t>
      </w:r>
      <w:r w:rsidR="003506A6" w:rsidRPr="007815D5">
        <w:rPr>
          <w:lang w:val="fr-FR"/>
        </w:rPr>
        <w:t xml:space="preserve"> </w:t>
      </w:r>
      <w:r w:rsidRPr="007815D5">
        <w:rPr>
          <w:lang w:val="fr-FR"/>
        </w:rPr>
        <w:t>9.3.</w:t>
      </w:r>
      <w:bookmarkStart w:id="4" w:name="_Hlk533087218"/>
      <w:bookmarkEnd w:id="4"/>
    </w:p>
  </w:footnote>
  <w:footnote w:id="20">
    <w:p w14:paraId="2AE3B41A" w14:textId="4C2D7DAD"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i/>
          <w:iCs/>
          <w:lang w:val="fr-FR"/>
        </w:rPr>
        <w:t>Rong</w:t>
      </w:r>
      <w:r w:rsidRPr="007815D5">
        <w:rPr>
          <w:lang w:val="fr-FR"/>
        </w:rPr>
        <w:t xml:space="preserve"> c. </w:t>
      </w:r>
      <w:r w:rsidRPr="007815D5">
        <w:rPr>
          <w:i/>
          <w:iCs/>
          <w:lang w:val="fr-FR"/>
        </w:rPr>
        <w:t>Australie</w:t>
      </w:r>
      <w:r w:rsidRPr="007815D5">
        <w:rPr>
          <w:lang w:val="fr-FR"/>
        </w:rPr>
        <w:t xml:space="preserve"> (</w:t>
      </w:r>
      <w:hyperlink r:id="rId7" w:history="1">
        <w:r w:rsidRPr="007815D5">
          <w:rPr>
            <w:rStyle w:val="Hyperlink"/>
            <w:lang w:val="fr-FR"/>
          </w:rPr>
          <w:t>CAT/C/49/D/416/2010</w:t>
        </w:r>
      </w:hyperlink>
      <w:r w:rsidRPr="00E12237">
        <w:rPr>
          <w:lang w:val="fr-FR"/>
        </w:rPr>
        <w:t>), par.</w:t>
      </w:r>
      <w:r w:rsidR="003506A6" w:rsidRPr="007815D5">
        <w:rPr>
          <w:lang w:val="fr-FR"/>
        </w:rPr>
        <w:t xml:space="preserve"> </w:t>
      </w:r>
      <w:r w:rsidRPr="007815D5">
        <w:rPr>
          <w:lang w:val="fr-FR"/>
        </w:rPr>
        <w:t>7.5.</w:t>
      </w:r>
    </w:p>
  </w:footnote>
  <w:footnote w:id="21">
    <w:p w14:paraId="7C810862" w14:textId="143EC122"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i/>
          <w:iCs/>
          <w:lang w:val="fr-FR"/>
        </w:rPr>
        <w:t xml:space="preserve">P. T. </w:t>
      </w:r>
      <w:r w:rsidRPr="007815D5">
        <w:rPr>
          <w:lang w:val="fr-FR"/>
        </w:rPr>
        <w:t>c.</w:t>
      </w:r>
      <w:r w:rsidRPr="007815D5">
        <w:rPr>
          <w:i/>
          <w:iCs/>
          <w:lang w:val="fr-FR"/>
        </w:rPr>
        <w:t xml:space="preserve"> Danemark</w:t>
      </w:r>
      <w:r w:rsidRPr="007815D5">
        <w:rPr>
          <w:lang w:val="fr-FR"/>
        </w:rPr>
        <w:t>, appendice II, par. 3, opinio</w:t>
      </w:r>
      <w:r w:rsidRPr="00E00A16">
        <w:rPr>
          <w:lang w:val="fr-FR"/>
        </w:rPr>
        <w:t>n individuelle de Fabián Salvioli, membre du Comité des droits de l’homme.</w:t>
      </w:r>
    </w:p>
  </w:footnote>
  <w:footnote w:id="22">
    <w:p w14:paraId="7D2B879E" w14:textId="083B2859"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i/>
          <w:iCs/>
          <w:lang w:val="fr-FR"/>
        </w:rPr>
        <w:t>M.</w:t>
      </w:r>
      <w:r w:rsidR="003506A6" w:rsidRPr="007815D5">
        <w:rPr>
          <w:i/>
          <w:iCs/>
          <w:lang w:val="fr-FR"/>
        </w:rPr>
        <w:t xml:space="preserve"> </w:t>
      </w:r>
      <w:r w:rsidRPr="007815D5">
        <w:rPr>
          <w:i/>
          <w:iCs/>
          <w:lang w:val="fr-FR"/>
        </w:rPr>
        <w:t>N.</w:t>
      </w:r>
      <w:r w:rsidR="003506A6" w:rsidRPr="007815D5">
        <w:rPr>
          <w:i/>
          <w:iCs/>
          <w:lang w:val="fr-FR"/>
        </w:rPr>
        <w:t xml:space="preserve"> </w:t>
      </w:r>
      <w:r w:rsidRPr="00E00A16">
        <w:rPr>
          <w:i/>
          <w:iCs/>
          <w:lang w:val="fr-FR"/>
        </w:rPr>
        <w:t xml:space="preserve">N </w:t>
      </w:r>
      <w:r w:rsidRPr="00E00A16">
        <w:rPr>
          <w:lang w:val="fr-FR"/>
        </w:rPr>
        <w:t>c.</w:t>
      </w:r>
      <w:r w:rsidRPr="00E00A16">
        <w:rPr>
          <w:i/>
          <w:iCs/>
          <w:lang w:val="fr-FR"/>
        </w:rPr>
        <w:t xml:space="preserve"> Danemark</w:t>
      </w:r>
      <w:r w:rsidRPr="00E00A16">
        <w:rPr>
          <w:lang w:val="fr-FR"/>
        </w:rPr>
        <w:t xml:space="preserve"> (</w:t>
      </w:r>
      <w:hyperlink r:id="rId8" w:history="1">
        <w:r w:rsidRPr="007815D5">
          <w:rPr>
            <w:rStyle w:val="Hyperlink"/>
            <w:lang w:val="fr-FR"/>
          </w:rPr>
          <w:t>CEDAW/C/55/D/33/2011</w:t>
        </w:r>
      </w:hyperlink>
      <w:r w:rsidRPr="00E12237">
        <w:rPr>
          <w:lang w:val="fr-FR"/>
        </w:rPr>
        <w:t>).</w:t>
      </w:r>
    </w:p>
  </w:footnote>
  <w:footnote w:id="23">
    <w:p w14:paraId="09FEA785" w14:textId="5003221B"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815D5">
        <w:rPr>
          <w:spacing w:val="-2"/>
          <w:lang w:val="fr-FR"/>
        </w:rPr>
        <w:tab/>
      </w:r>
      <w:r w:rsidRPr="00E12237">
        <w:rPr>
          <w:rStyle w:val="FootnoteReference"/>
          <w:spacing w:val="4"/>
          <w:lang w:val="fr-FR"/>
        </w:rPr>
        <w:footnoteRef/>
      </w:r>
      <w:r w:rsidRPr="00E12237">
        <w:rPr>
          <w:lang w:val="fr-FR"/>
        </w:rPr>
        <w:tab/>
        <w:t xml:space="preserve">Le </w:t>
      </w:r>
      <w:r w:rsidRPr="007815D5">
        <w:rPr>
          <w:lang w:val="fr-FR"/>
        </w:rPr>
        <w:t xml:space="preserve">12 juillet 2016, le Comité a décidé de maintenir sa demande de </w:t>
      </w:r>
      <w:r w:rsidRPr="00E00A16">
        <w:rPr>
          <w:lang w:val="fr-FR"/>
        </w:rPr>
        <w:t>mesures conservatoires et d’examiner la recevabilité et le fond de la communication.</w:t>
      </w:r>
    </w:p>
  </w:footnote>
  <w:footnote w:id="24">
    <w:p w14:paraId="096D5B2F" w14:textId="3E58088F"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’État partie renvoie à la décision du 31</w:t>
      </w:r>
      <w:r w:rsidR="003506A6" w:rsidRPr="007815D5">
        <w:rPr>
          <w:lang w:val="fr-FR"/>
        </w:rPr>
        <w:t xml:space="preserve"> </w:t>
      </w:r>
      <w:r w:rsidRPr="00E00A16">
        <w:rPr>
          <w:lang w:val="fr-FR"/>
        </w:rPr>
        <w:t>août 2015, dans laquelle la Commission a indiqué qu’elle ne</w:t>
      </w:r>
      <w:r w:rsidR="003506A6" w:rsidRPr="00E00A16">
        <w:rPr>
          <w:lang w:val="fr-FR"/>
        </w:rPr>
        <w:t xml:space="preserve"> </w:t>
      </w:r>
      <w:r w:rsidRPr="00E00A16">
        <w:rPr>
          <w:lang w:val="fr-FR"/>
        </w:rPr>
        <w:t>pouvait accepter l’affirmation de l’auteure selon laquelle elle était en conflit avec les autorités et, partant, avec sa famille.</w:t>
      </w:r>
    </w:p>
  </w:footnote>
  <w:footnote w:id="25">
    <w:p w14:paraId="434FC096" w14:textId="524D3448"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’État partie se réfère à la page</w:t>
      </w:r>
      <w:r w:rsidR="003506A6" w:rsidRPr="007815D5">
        <w:rPr>
          <w:lang w:val="fr-FR"/>
        </w:rPr>
        <w:t xml:space="preserve"> </w:t>
      </w:r>
      <w:r w:rsidRPr="00E00A16">
        <w:rPr>
          <w:lang w:val="fr-FR"/>
        </w:rPr>
        <w:t>52 du rapport sur la sécurité et les droits de la personne en Tchétchénie et la situation des Tchétchènes en Fédération de Russie.</w:t>
      </w:r>
    </w:p>
  </w:footnote>
  <w:footnote w:id="26">
    <w:p w14:paraId="659C2244" w14:textId="76DBA24B"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’État partie se reporte à la décision du 31</w:t>
      </w:r>
      <w:r w:rsidR="003506A6" w:rsidRPr="00E00A16">
        <w:rPr>
          <w:lang w:val="fr-FR"/>
        </w:rPr>
        <w:t xml:space="preserve"> </w:t>
      </w:r>
      <w:r w:rsidRPr="00E00A16">
        <w:rPr>
          <w:lang w:val="fr-FR"/>
        </w:rPr>
        <w:t>août 2015, dans laquelle la Commission a précisé qu’elle estimait que la déclaration de l’auteure selon laquelle elle serait poursuivie par sa famille n’était pas crédible.</w:t>
      </w:r>
    </w:p>
  </w:footnote>
  <w:footnote w:id="27">
    <w:p w14:paraId="31DB7A7F" w14:textId="62EE05EA"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 xml:space="preserve">’État partie renvoie à l’arrêt rendu dans l’affaire </w:t>
      </w:r>
      <w:r w:rsidRPr="00E00A16">
        <w:rPr>
          <w:i/>
          <w:iCs/>
          <w:lang w:val="fr-FR"/>
        </w:rPr>
        <w:t xml:space="preserve">R. C. </w:t>
      </w:r>
      <w:r w:rsidRPr="00E00A16">
        <w:rPr>
          <w:lang w:val="fr-FR"/>
        </w:rPr>
        <w:t>c.</w:t>
      </w:r>
      <w:r w:rsidRPr="00E00A16">
        <w:rPr>
          <w:i/>
          <w:iCs/>
          <w:lang w:val="fr-FR"/>
        </w:rPr>
        <w:t xml:space="preserve"> Suède</w:t>
      </w:r>
      <w:r w:rsidRPr="00E00A16">
        <w:rPr>
          <w:lang w:val="fr-FR"/>
        </w:rPr>
        <w:t xml:space="preserve"> (requête n</w:t>
      </w:r>
      <w:r w:rsidRPr="00E00A16">
        <w:rPr>
          <w:vertAlign w:val="superscript"/>
          <w:lang w:val="fr-FR"/>
        </w:rPr>
        <w:t>o</w:t>
      </w:r>
      <w:r w:rsidRPr="00E00A16">
        <w:rPr>
          <w:lang w:val="fr-FR"/>
        </w:rPr>
        <w:t> 4</w:t>
      </w:r>
      <w:bookmarkStart w:id="5" w:name="SCName"/>
      <w:r w:rsidRPr="00E00A16">
        <w:rPr>
          <w:lang w:val="fr-FR"/>
        </w:rPr>
        <w:t>1827/07</w:t>
      </w:r>
      <w:bookmarkEnd w:id="5"/>
      <w:r w:rsidRPr="00E00A16">
        <w:rPr>
          <w:lang w:val="fr-FR"/>
        </w:rPr>
        <w:t>), par.</w:t>
      </w:r>
      <w:r w:rsidR="00E05944" w:rsidRPr="00E00A16">
        <w:rPr>
          <w:lang w:val="fr-FR"/>
        </w:rPr>
        <w:t xml:space="preserve"> </w:t>
      </w:r>
      <w:r w:rsidRPr="00E00A16">
        <w:rPr>
          <w:lang w:val="fr-FR"/>
        </w:rPr>
        <w:t>52, dans lequel il est indiqué qu’à titre de principe général, les autorités nationales sont les mieux placées pour apprécier non seulement les faits, mais aussi et surtout la crédibilité des témoins.</w:t>
      </w:r>
    </w:p>
  </w:footnote>
  <w:footnote w:id="28">
    <w:p w14:paraId="4BF73446" w14:textId="6065C6C9"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lang w:val="fr-FR"/>
        </w:rPr>
        <w:t xml:space="preserve">L’État partie se réfère à l’affaire </w:t>
      </w:r>
      <w:r w:rsidRPr="007815D5">
        <w:rPr>
          <w:i/>
          <w:iCs/>
          <w:lang w:val="fr-FR"/>
        </w:rPr>
        <w:t xml:space="preserve">P. T. </w:t>
      </w:r>
      <w:r w:rsidRPr="00E00A16">
        <w:rPr>
          <w:lang w:val="fr-FR"/>
        </w:rPr>
        <w:t>c.</w:t>
      </w:r>
      <w:r w:rsidRPr="00E00A16">
        <w:rPr>
          <w:i/>
          <w:iCs/>
          <w:lang w:val="fr-FR"/>
        </w:rPr>
        <w:t xml:space="preserve"> Danemark,</w:t>
      </w:r>
      <w:r w:rsidRPr="00E00A16">
        <w:rPr>
          <w:lang w:val="fr-FR"/>
        </w:rPr>
        <w:t xml:space="preserve"> par.</w:t>
      </w:r>
      <w:r w:rsidR="00E05944" w:rsidRPr="00E00A16">
        <w:rPr>
          <w:lang w:val="fr-FR"/>
        </w:rPr>
        <w:t xml:space="preserve"> </w:t>
      </w:r>
      <w:r w:rsidRPr="00E00A16">
        <w:rPr>
          <w:lang w:val="fr-FR"/>
        </w:rPr>
        <w:t>7.3, dans laquelle le Comité des droits de l’homme a rappelé que, selon sa jurisprudence, il convenait d’accorder un poids important à l’appréciation qu’avait faite l’État partie de l’affaire, sauf s’il pouvait être établi que cette appréciation avait été manifestement arbitraire ou avait représenté un déni de justice, et que, d’une manière générale, c’était aux organes des États parties au Pacte international relatif aux droits civils et politiques d’examiner ou d’apprécier les faits et les preuves en vue d’établir l’existence d’un risque.</w:t>
      </w:r>
    </w:p>
  </w:footnote>
  <w:footnote w:id="29">
    <w:p w14:paraId="659D4EF9" w14:textId="60879148"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 xml:space="preserve">’État partie se réfère à l’affaire </w:t>
      </w:r>
      <w:r w:rsidRPr="007815D5">
        <w:rPr>
          <w:i/>
          <w:iCs/>
          <w:lang w:val="fr-FR"/>
        </w:rPr>
        <w:t xml:space="preserve">P. H. A. </w:t>
      </w:r>
      <w:r w:rsidRPr="007815D5">
        <w:rPr>
          <w:lang w:val="fr-FR"/>
        </w:rPr>
        <w:t>c.</w:t>
      </w:r>
      <w:r w:rsidRPr="00E00A16">
        <w:rPr>
          <w:i/>
          <w:iCs/>
          <w:lang w:val="fr-FR"/>
        </w:rPr>
        <w:t xml:space="preserve"> Danemark</w:t>
      </w:r>
      <w:r w:rsidRPr="00E00A16">
        <w:rPr>
          <w:lang w:val="fr-FR"/>
        </w:rPr>
        <w:t xml:space="preserve"> (</w:t>
      </w:r>
      <w:hyperlink r:id="rId9" w:history="1">
        <w:r w:rsidRPr="007815D5">
          <w:rPr>
            <w:rStyle w:val="Hyperlink"/>
            <w:lang w:val="fr-FR"/>
          </w:rPr>
          <w:t>CEDAW/C/65/D/61/2013</w:t>
        </w:r>
      </w:hyperlink>
      <w:r w:rsidRPr="00E12237">
        <w:rPr>
          <w:lang w:val="fr-FR"/>
        </w:rPr>
        <w:t>), par.</w:t>
      </w:r>
      <w:r w:rsidR="00E05944" w:rsidRPr="007815D5">
        <w:rPr>
          <w:lang w:val="fr-FR"/>
        </w:rPr>
        <w:t xml:space="preserve"> </w:t>
      </w:r>
      <w:r w:rsidRPr="007815D5">
        <w:rPr>
          <w:lang w:val="fr-FR"/>
        </w:rPr>
        <w:t xml:space="preserve">6.7, dans </w:t>
      </w:r>
      <w:r w:rsidRPr="00E00A16">
        <w:rPr>
          <w:lang w:val="fr-FR"/>
        </w:rPr>
        <w:t>laquelle le Comité a conclu que cette partie de la communication n’était pas suffisamment étayée aux fins de la recevabilité et était donc irrecevable au regard du paragraphe 2</w:t>
      </w:r>
      <w:r w:rsidR="00E05944" w:rsidRPr="00E00A16">
        <w:rPr>
          <w:lang w:val="fr-FR"/>
        </w:rPr>
        <w:t xml:space="preserve"> </w:t>
      </w:r>
      <w:r w:rsidRPr="00E00A16">
        <w:rPr>
          <w:lang w:val="fr-FR"/>
        </w:rPr>
        <w:t>c) de l’article</w:t>
      </w:r>
      <w:r w:rsidR="00E05944" w:rsidRPr="00E00A16">
        <w:rPr>
          <w:lang w:val="fr-FR"/>
        </w:rPr>
        <w:t xml:space="preserve"> </w:t>
      </w:r>
      <w:r w:rsidRPr="00E00A16">
        <w:rPr>
          <w:lang w:val="fr-FR"/>
        </w:rPr>
        <w:t>4 du Protocole facultatif.</w:t>
      </w:r>
    </w:p>
  </w:footnote>
  <w:footnote w:id="30">
    <w:p w14:paraId="5EEB95B9" w14:textId="5A3D2321"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spacing w:val="-1"/>
          <w:lang w:val="fr-FR"/>
        </w:rPr>
        <w:tab/>
      </w:r>
      <w:r w:rsidRPr="00E12237">
        <w:rPr>
          <w:rStyle w:val="FootnoteReference"/>
          <w:spacing w:val="4"/>
          <w:lang w:val="fr-FR"/>
        </w:rPr>
        <w:footnoteRef/>
      </w:r>
      <w:r w:rsidRPr="00E12237">
        <w:rPr>
          <w:lang w:val="fr-FR"/>
        </w:rPr>
        <w:tab/>
        <w:t>Le conseil de l</w:t>
      </w:r>
      <w:r w:rsidRPr="007815D5">
        <w:rPr>
          <w:lang w:val="fr-FR"/>
        </w:rPr>
        <w:t>’auteure informe le Comité qu’elle n’a pas reçu les informations concernant le frère aîné de l</w:t>
      </w:r>
      <w:r w:rsidRPr="00E00A16">
        <w:rPr>
          <w:lang w:val="fr-FR"/>
        </w:rPr>
        <w:t>’auteure plus tôt car sa dernière rencontre en date avec l’auteure a eu lieu un peu avant Noël 2015.</w:t>
      </w:r>
    </w:p>
  </w:footnote>
  <w:footnote w:id="31">
    <w:p w14:paraId="0EDBD04C" w14:textId="32CFE052"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L</w:t>
      </w:r>
      <w:r w:rsidRPr="007815D5">
        <w:rPr>
          <w:lang w:val="fr-FR"/>
        </w:rPr>
        <w:t>’auteure ne fournit aucun détail supplémentaire.</w:t>
      </w:r>
    </w:p>
  </w:footnote>
  <w:footnote w:id="32">
    <w:p w14:paraId="21D2B147" w14:textId="1EC69672" w:rsidR="00CC55E2" w:rsidRPr="007815D5"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7815D5">
        <w:rPr>
          <w:lang w:val="fr-FR"/>
        </w:rPr>
        <w:tab/>
      </w:r>
      <w:r w:rsidRPr="00E12237">
        <w:rPr>
          <w:rStyle w:val="FootnoteReference"/>
          <w:spacing w:val="4"/>
          <w:lang w:val="fr-FR"/>
        </w:rPr>
        <w:footnoteRef/>
      </w:r>
      <w:r w:rsidRPr="00E12237">
        <w:rPr>
          <w:lang w:val="fr-FR"/>
        </w:rPr>
        <w:tab/>
        <w:t>Pour étayer son propo</w:t>
      </w:r>
      <w:r w:rsidRPr="007815D5">
        <w:rPr>
          <w:lang w:val="fr-FR"/>
        </w:rPr>
        <w:t>s, l’auteure renvoie à un rapport du Bureau européen d’appui en matière d’asile, intitulé « EASO Country of Origin Information Report: Chechnya − Women, Marriage, Divorce and Child Custody » (septembre 2014).</w:t>
      </w:r>
    </w:p>
  </w:footnote>
  <w:footnote w:id="33">
    <w:p w14:paraId="2AE7B714" w14:textId="4BDD64C7"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r>
      <w:r w:rsidRPr="007815D5">
        <w:rPr>
          <w:i/>
          <w:iCs/>
          <w:lang w:val="fr-FR"/>
        </w:rPr>
        <w:t xml:space="preserve">Y. W. </w:t>
      </w:r>
      <w:r w:rsidRPr="007815D5">
        <w:rPr>
          <w:lang w:val="fr-FR"/>
        </w:rPr>
        <w:t>c.</w:t>
      </w:r>
      <w:r w:rsidRPr="007815D5">
        <w:rPr>
          <w:i/>
          <w:iCs/>
          <w:lang w:val="fr-FR"/>
        </w:rPr>
        <w:t> Danemark</w:t>
      </w:r>
      <w:r w:rsidRPr="007815D5">
        <w:rPr>
          <w:lang w:val="fr-FR"/>
        </w:rPr>
        <w:t xml:space="preserve"> (</w:t>
      </w:r>
      <w:hyperlink r:id="rId10" w:history="1">
        <w:r w:rsidRPr="007815D5">
          <w:rPr>
            <w:rStyle w:val="Hyperlink"/>
            <w:lang w:val="fr-FR"/>
          </w:rPr>
          <w:t>CEDAW/C/60/D/51/2013</w:t>
        </w:r>
      </w:hyperlink>
      <w:r w:rsidRPr="00E12237">
        <w:rPr>
          <w:lang w:val="fr-FR"/>
        </w:rPr>
        <w:t>), par. </w:t>
      </w:r>
      <w:r w:rsidRPr="007815D5">
        <w:rPr>
          <w:lang w:val="fr-FR"/>
        </w:rPr>
        <w:t>8.7.</w:t>
      </w:r>
    </w:p>
  </w:footnote>
  <w:footnote w:id="34">
    <w:p w14:paraId="16673C48" w14:textId="55A6BE1C" w:rsidR="00CC55E2" w:rsidRPr="00E00A16"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 xml:space="preserve">Voir, par exemple, </w:t>
      </w:r>
      <w:r w:rsidRPr="007815D5">
        <w:rPr>
          <w:i/>
          <w:iCs/>
          <w:lang w:val="fr-FR"/>
        </w:rPr>
        <w:t xml:space="preserve">R. P. B. </w:t>
      </w:r>
      <w:r w:rsidRPr="007815D5">
        <w:rPr>
          <w:lang w:val="fr-FR"/>
        </w:rPr>
        <w:t>c.</w:t>
      </w:r>
      <w:r w:rsidRPr="00E00A16">
        <w:rPr>
          <w:i/>
          <w:iCs/>
          <w:lang w:val="fr-FR"/>
        </w:rPr>
        <w:t xml:space="preserve"> Philippines</w:t>
      </w:r>
      <w:r w:rsidRPr="00E00A16">
        <w:rPr>
          <w:lang w:val="fr-FR"/>
        </w:rPr>
        <w:t xml:space="preserve"> (</w:t>
      </w:r>
      <w:hyperlink r:id="rId11" w:history="1">
        <w:r w:rsidRPr="007815D5">
          <w:rPr>
            <w:rStyle w:val="Hyperlink"/>
            <w:lang w:val="fr-FR"/>
          </w:rPr>
          <w:t>CEDAW/C/57/D/34/2011</w:t>
        </w:r>
      </w:hyperlink>
      <w:r w:rsidRPr="00E12237">
        <w:rPr>
          <w:lang w:val="fr-FR"/>
        </w:rPr>
        <w:t>), par. </w:t>
      </w:r>
      <w:r w:rsidRPr="007815D5">
        <w:rPr>
          <w:lang w:val="fr-FR"/>
        </w:rPr>
        <w:t>7.</w:t>
      </w:r>
      <w:r w:rsidRPr="00E00A16">
        <w:rPr>
          <w:lang w:val="fr-FR"/>
        </w:rPr>
        <w:t xml:space="preserve">5 ; </w:t>
      </w:r>
      <w:r w:rsidRPr="00E00A16">
        <w:rPr>
          <w:i/>
          <w:iCs/>
          <w:lang w:val="fr-FR"/>
        </w:rPr>
        <w:t xml:space="preserve">N. M. </w:t>
      </w:r>
      <w:r w:rsidRPr="00E00A16">
        <w:rPr>
          <w:lang w:val="fr-FR"/>
        </w:rPr>
        <w:t>c.</w:t>
      </w:r>
      <w:r w:rsidRPr="00E00A16">
        <w:rPr>
          <w:i/>
          <w:iCs/>
          <w:lang w:val="fr-FR"/>
        </w:rPr>
        <w:t xml:space="preserve"> Danemark </w:t>
      </w:r>
      <w:r w:rsidRPr="00E00A16">
        <w:rPr>
          <w:lang w:val="fr-FR"/>
        </w:rPr>
        <w:t>(</w:t>
      </w:r>
      <w:hyperlink r:id="rId12" w:history="1">
        <w:r w:rsidRPr="007815D5">
          <w:rPr>
            <w:rStyle w:val="Hyperlink"/>
            <w:lang w:val="fr-FR"/>
          </w:rPr>
          <w:t>CEDAW/C/67/D/78/2014</w:t>
        </w:r>
      </w:hyperlink>
      <w:r w:rsidRPr="00E12237">
        <w:rPr>
          <w:lang w:val="fr-FR"/>
        </w:rPr>
        <w:t>), par. </w:t>
      </w:r>
      <w:r w:rsidRPr="007815D5">
        <w:rPr>
          <w:lang w:val="fr-FR"/>
        </w:rPr>
        <w:t>8.</w:t>
      </w:r>
      <w:r w:rsidRPr="00E00A16">
        <w:rPr>
          <w:lang w:val="fr-FR"/>
        </w:rPr>
        <w:t xml:space="preserve">6 ; </w:t>
      </w:r>
      <w:r w:rsidRPr="00E00A16">
        <w:rPr>
          <w:i/>
          <w:iCs/>
          <w:lang w:val="fr-FR"/>
        </w:rPr>
        <w:t xml:space="preserve">M. K. M. </w:t>
      </w:r>
      <w:r w:rsidRPr="00E00A16">
        <w:rPr>
          <w:lang w:val="fr-FR"/>
        </w:rPr>
        <w:t>c.</w:t>
      </w:r>
      <w:r w:rsidRPr="00E00A16">
        <w:rPr>
          <w:i/>
          <w:iCs/>
          <w:lang w:val="fr-FR"/>
        </w:rPr>
        <w:t xml:space="preserve"> Danemark</w:t>
      </w:r>
      <w:r w:rsidRPr="00E00A16">
        <w:rPr>
          <w:lang w:val="fr-FR"/>
        </w:rPr>
        <w:t xml:space="preserve"> (</w:t>
      </w:r>
      <w:hyperlink r:id="rId13" w:history="1">
        <w:r w:rsidRPr="007815D5">
          <w:rPr>
            <w:rStyle w:val="Hyperlink"/>
            <w:lang w:val="fr-FR"/>
          </w:rPr>
          <w:t>CEDAW/C/71/D/81/2015</w:t>
        </w:r>
      </w:hyperlink>
      <w:r w:rsidRPr="00E12237">
        <w:rPr>
          <w:lang w:val="fr-FR"/>
        </w:rPr>
        <w:t>), par. </w:t>
      </w:r>
      <w:r w:rsidRPr="007815D5">
        <w:rPr>
          <w:lang w:val="fr-FR"/>
        </w:rPr>
        <w:t>10.</w:t>
      </w:r>
    </w:p>
  </w:footnote>
  <w:footnote w:id="35">
    <w:p w14:paraId="11804A9C" w14:textId="78D8214B" w:rsidR="00CC55E2" w:rsidRPr="00704AC4" w:rsidRDefault="00CC55E2" w:rsidP="00E00A16">
      <w:pPr>
        <w:pStyle w:val="FootnoteText"/>
        <w:tabs>
          <w:tab w:val="right" w:pos="1195"/>
          <w:tab w:val="left" w:pos="1267"/>
          <w:tab w:val="left" w:pos="1742"/>
          <w:tab w:val="left" w:pos="2218"/>
          <w:tab w:val="left" w:pos="2693"/>
        </w:tabs>
        <w:suppressAutoHyphens/>
        <w:ind w:left="1267" w:right="1267" w:hanging="432"/>
        <w:rPr>
          <w:lang w:val="fr-FR"/>
        </w:rPr>
      </w:pPr>
      <w:r w:rsidRPr="00E00A16">
        <w:rPr>
          <w:lang w:val="fr-FR"/>
        </w:rPr>
        <w:tab/>
      </w:r>
      <w:r w:rsidRPr="00E12237">
        <w:rPr>
          <w:rStyle w:val="FootnoteReference"/>
          <w:spacing w:val="4"/>
          <w:lang w:val="fr-FR"/>
        </w:rPr>
        <w:footnoteRef/>
      </w:r>
      <w:r w:rsidRPr="00E12237">
        <w:rPr>
          <w:lang w:val="fr-FR"/>
        </w:rPr>
        <w:tab/>
        <w:t xml:space="preserve">Voir, par exemple, </w:t>
      </w:r>
      <w:r w:rsidRPr="007815D5">
        <w:rPr>
          <w:i/>
          <w:iCs/>
          <w:lang w:val="fr-FR"/>
        </w:rPr>
        <w:t xml:space="preserve">N. Q. </w:t>
      </w:r>
      <w:r w:rsidRPr="007815D5">
        <w:rPr>
          <w:lang w:val="fr-FR"/>
        </w:rPr>
        <w:t>c.</w:t>
      </w:r>
      <w:r w:rsidRPr="00E00A16">
        <w:rPr>
          <w:i/>
          <w:iCs/>
          <w:lang w:val="fr-FR"/>
        </w:rPr>
        <w:t xml:space="preserve"> Royaume-Uni de Grande-Bretagne et d’Irlande du Nord</w:t>
      </w:r>
      <w:r w:rsidRPr="00E00A16">
        <w:rPr>
          <w:lang w:val="fr-FR"/>
        </w:rPr>
        <w:t xml:space="preserve"> (</w:t>
      </w:r>
      <w:hyperlink r:id="rId14" w:history="1">
        <w:r w:rsidRPr="007815D5">
          <w:rPr>
            <w:rStyle w:val="Hyperlink"/>
            <w:lang w:val="fr-FR"/>
          </w:rPr>
          <w:t>CEDAW/C/63/D/62/2013</w:t>
        </w:r>
      </w:hyperlink>
      <w:r w:rsidRPr="00E12237">
        <w:rPr>
          <w:lang w:val="fr-FR"/>
        </w:rPr>
        <w:t>), par. </w:t>
      </w:r>
      <w:r w:rsidRPr="007815D5">
        <w:rPr>
          <w:lang w:val="fr-FR"/>
        </w:rPr>
        <w:t>6.</w:t>
      </w:r>
      <w:r w:rsidRPr="00E00A16">
        <w:rPr>
          <w:lang w:val="fr-FR"/>
        </w:rPr>
        <w:t xml:space="preserve">6 ; </w:t>
      </w:r>
      <w:r w:rsidRPr="00E00A16">
        <w:rPr>
          <w:i/>
          <w:iCs/>
          <w:lang w:val="fr-FR"/>
        </w:rPr>
        <w:t xml:space="preserve">N. M. </w:t>
      </w:r>
      <w:r w:rsidRPr="00E00A16">
        <w:rPr>
          <w:lang w:val="fr-FR"/>
        </w:rPr>
        <w:t>c.</w:t>
      </w:r>
      <w:r w:rsidRPr="00E00A16">
        <w:rPr>
          <w:i/>
          <w:iCs/>
          <w:lang w:val="fr-FR"/>
        </w:rPr>
        <w:t xml:space="preserve"> Danemark</w:t>
      </w:r>
      <w:r w:rsidRPr="00E00A16">
        <w:rPr>
          <w:iCs/>
          <w:lang w:val="fr-FR"/>
        </w:rPr>
        <w:t>,</w:t>
      </w:r>
      <w:r w:rsidRPr="00E00A16">
        <w:rPr>
          <w:lang w:val="fr-FR"/>
        </w:rPr>
        <w:t xml:space="preserve"> par.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C55E2" w14:paraId="1DD5FD6A" w14:textId="77777777" w:rsidTr="00A91ACD">
      <w:trPr>
        <w:trHeight w:hRule="exact" w:val="864"/>
      </w:trPr>
      <w:tc>
        <w:tcPr>
          <w:tcW w:w="4920" w:type="dxa"/>
          <w:shd w:val="clear" w:color="auto" w:fill="auto"/>
          <w:vAlign w:val="bottom"/>
        </w:tcPr>
        <w:p w14:paraId="7AE4A247" w14:textId="62E16A99" w:rsidR="00CC55E2" w:rsidRPr="00A91ACD" w:rsidRDefault="00CC55E2" w:rsidP="00A91AC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3E0">
            <w:rPr>
              <w:b/>
              <w:color w:val="000000"/>
            </w:rPr>
            <w:t>-</w:t>
          </w:r>
          <w:r>
            <w:rPr>
              <w:b/>
              <w:color w:val="000000"/>
            </w:rPr>
            <w:fldChar w:fldCharType="end"/>
          </w:r>
        </w:p>
      </w:tc>
      <w:tc>
        <w:tcPr>
          <w:tcW w:w="4920" w:type="dxa"/>
          <w:shd w:val="clear" w:color="auto" w:fill="auto"/>
          <w:vAlign w:val="bottom"/>
        </w:tcPr>
        <w:p w14:paraId="3032899C" w14:textId="77777777" w:rsidR="00CC55E2" w:rsidRDefault="00CC55E2" w:rsidP="00A91ACD">
          <w:pPr>
            <w:pStyle w:val="Header"/>
          </w:pPr>
        </w:p>
      </w:tc>
    </w:tr>
  </w:tbl>
  <w:p w14:paraId="356799E2" w14:textId="77777777" w:rsidR="00CC55E2" w:rsidRPr="00A91ACD" w:rsidRDefault="00CC55E2" w:rsidP="00A91AC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C55E2" w14:paraId="26F863FA" w14:textId="77777777" w:rsidTr="00A91ACD">
      <w:trPr>
        <w:trHeight w:hRule="exact" w:val="864"/>
      </w:trPr>
      <w:tc>
        <w:tcPr>
          <w:tcW w:w="4920" w:type="dxa"/>
          <w:shd w:val="clear" w:color="auto" w:fill="auto"/>
          <w:vAlign w:val="bottom"/>
        </w:tcPr>
        <w:p w14:paraId="7B99CB7A" w14:textId="77777777" w:rsidR="00CC55E2" w:rsidRDefault="00CC55E2" w:rsidP="00A91ACD">
          <w:pPr>
            <w:pStyle w:val="Header"/>
          </w:pPr>
        </w:p>
      </w:tc>
      <w:tc>
        <w:tcPr>
          <w:tcW w:w="4920" w:type="dxa"/>
          <w:shd w:val="clear" w:color="auto" w:fill="auto"/>
          <w:vAlign w:val="bottom"/>
        </w:tcPr>
        <w:p w14:paraId="56200F50" w14:textId="6DCA248A" w:rsidR="00CC55E2" w:rsidRPr="00A91ACD" w:rsidRDefault="00CC55E2" w:rsidP="00A91AC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3E0">
            <w:rPr>
              <w:b/>
              <w:color w:val="000000"/>
            </w:rPr>
            <w:t>-</w:t>
          </w:r>
          <w:r>
            <w:rPr>
              <w:b/>
              <w:color w:val="000000"/>
            </w:rPr>
            <w:fldChar w:fldCharType="end"/>
          </w:r>
        </w:p>
      </w:tc>
    </w:tr>
  </w:tbl>
  <w:p w14:paraId="22204796" w14:textId="77777777" w:rsidR="00CC55E2" w:rsidRPr="00A91ACD" w:rsidRDefault="00CC55E2" w:rsidP="00A91AC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55E9F" w14:paraId="4A1537DC" w14:textId="77777777" w:rsidTr="00A91ACD">
      <w:trPr>
        <w:trHeight w:hRule="exact" w:val="864"/>
      </w:trPr>
      <w:tc>
        <w:tcPr>
          <w:tcW w:w="1267" w:type="dxa"/>
          <w:tcBorders>
            <w:bottom w:val="single" w:sz="4" w:space="0" w:color="auto"/>
          </w:tcBorders>
          <w:shd w:val="clear" w:color="auto" w:fill="auto"/>
          <w:vAlign w:val="bottom"/>
        </w:tcPr>
        <w:p w14:paraId="7B05AF8B" w14:textId="77777777" w:rsidR="00155E9F" w:rsidRDefault="00155E9F" w:rsidP="00155E9F">
          <w:pPr>
            <w:pStyle w:val="Header"/>
            <w:spacing w:after="120"/>
          </w:pPr>
        </w:p>
      </w:tc>
      <w:tc>
        <w:tcPr>
          <w:tcW w:w="2059" w:type="dxa"/>
          <w:tcBorders>
            <w:bottom w:val="single" w:sz="4" w:space="0" w:color="auto"/>
          </w:tcBorders>
          <w:shd w:val="clear" w:color="auto" w:fill="auto"/>
          <w:vAlign w:val="bottom"/>
        </w:tcPr>
        <w:p w14:paraId="242C6F0B" w14:textId="77777777" w:rsidR="00155E9F" w:rsidRPr="00A91ACD" w:rsidRDefault="00155E9F" w:rsidP="00155E9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7ACC319" w14:textId="77777777" w:rsidR="00155E9F" w:rsidRDefault="00155E9F" w:rsidP="00155E9F">
          <w:pPr>
            <w:pStyle w:val="Header"/>
            <w:spacing w:after="120"/>
          </w:pPr>
        </w:p>
      </w:tc>
      <w:tc>
        <w:tcPr>
          <w:tcW w:w="6466" w:type="dxa"/>
          <w:gridSpan w:val="3"/>
          <w:tcBorders>
            <w:bottom w:val="single" w:sz="4" w:space="0" w:color="auto"/>
          </w:tcBorders>
          <w:shd w:val="clear" w:color="auto" w:fill="auto"/>
          <w:vAlign w:val="bottom"/>
        </w:tcPr>
        <w:p w14:paraId="19C58893" w14:textId="78736A3A" w:rsidR="00155E9F" w:rsidRPr="00A91ACD" w:rsidRDefault="00155E9F" w:rsidP="00155E9F">
          <w:pPr>
            <w:spacing w:after="80" w:line="240" w:lineRule="auto"/>
            <w:jc w:val="right"/>
            <w:rPr>
              <w:position w:val="-4"/>
            </w:rPr>
          </w:pPr>
          <w:r w:rsidRPr="0050048B">
            <w:rPr>
              <w:position w:val="-4"/>
              <w:sz w:val="40"/>
              <w:lang w:val="fr-FR"/>
            </w:rPr>
            <w:t>CEDAW</w:t>
          </w:r>
          <w:r w:rsidRPr="0050048B">
            <w:rPr>
              <w:position w:val="-4"/>
              <w:lang w:val="fr-FR"/>
            </w:rPr>
            <w:t>/C/72/D/98/2016</w:t>
          </w:r>
        </w:p>
      </w:tc>
    </w:tr>
    <w:tr w:rsidR="00155E9F" w:rsidRPr="00A91ACD" w14:paraId="5F9AC330" w14:textId="77777777" w:rsidTr="00155E9F">
      <w:trPr>
        <w:trHeight w:hRule="exact" w:val="2880"/>
      </w:trPr>
      <w:tc>
        <w:tcPr>
          <w:tcW w:w="1267" w:type="dxa"/>
          <w:tcBorders>
            <w:top w:val="single" w:sz="4" w:space="0" w:color="auto"/>
            <w:bottom w:val="single" w:sz="12" w:space="0" w:color="auto"/>
          </w:tcBorders>
          <w:shd w:val="clear" w:color="auto" w:fill="auto"/>
        </w:tcPr>
        <w:p w14:paraId="2B0CBF33" w14:textId="77777777" w:rsidR="00155E9F" w:rsidRPr="00A91ACD" w:rsidRDefault="00155E9F" w:rsidP="00155E9F">
          <w:pPr>
            <w:pStyle w:val="Header"/>
            <w:spacing w:before="120" w:line="240" w:lineRule="auto"/>
            <w:ind w:left="-72"/>
            <w:jc w:val="center"/>
          </w:pPr>
          <w:r>
            <w:t xml:space="preserve">  </w:t>
          </w:r>
          <w:r>
            <w:rPr>
              <w:noProof/>
            </w:rPr>
            <w:drawing>
              <wp:inline distT="0" distB="0" distL="0" distR="0" wp14:anchorId="4E3621AC" wp14:editId="0DB6A13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0FDDEC" w14:textId="5A610869" w:rsidR="00155E9F" w:rsidRDefault="00155E9F" w:rsidP="00155E9F">
          <w:pPr>
            <w:pStyle w:val="XLarge"/>
            <w:spacing w:before="109"/>
          </w:pPr>
          <w:r w:rsidRPr="0050048B">
            <w:rPr>
              <w:sz w:val="36"/>
              <w:lang w:val="fr-FR"/>
            </w:rPr>
            <w:t>Convention sur l’élimination</w:t>
          </w:r>
          <w:r w:rsidRPr="0050048B">
            <w:rPr>
              <w:sz w:val="36"/>
              <w:lang w:val="fr-FR"/>
            </w:rPr>
            <w:br/>
            <w:t>de toutes les formes</w:t>
          </w:r>
          <w:r w:rsidRPr="0050048B">
            <w:rPr>
              <w:sz w:val="36"/>
              <w:lang w:val="fr-FR"/>
            </w:rPr>
            <w:br/>
            <w:t>de discrimination à l’égard</w:t>
          </w:r>
          <w:r w:rsidRPr="0050048B">
            <w:rPr>
              <w:sz w:val="36"/>
              <w:lang w:val="fr-FR"/>
            </w:rPr>
            <w:br/>
            <w:t>des femmes</w:t>
          </w:r>
        </w:p>
        <w:p w14:paraId="59DC91AF" w14:textId="578C8639" w:rsidR="00155E9F" w:rsidRPr="00E12237" w:rsidRDefault="00155E9F" w:rsidP="00E00A16">
          <w:pPr>
            <w:tabs>
              <w:tab w:val="left" w:pos="951"/>
            </w:tabs>
          </w:pPr>
        </w:p>
      </w:tc>
      <w:tc>
        <w:tcPr>
          <w:tcW w:w="245" w:type="dxa"/>
          <w:tcBorders>
            <w:top w:val="single" w:sz="4" w:space="0" w:color="auto"/>
            <w:bottom w:val="single" w:sz="12" w:space="0" w:color="auto"/>
          </w:tcBorders>
          <w:shd w:val="clear" w:color="auto" w:fill="auto"/>
        </w:tcPr>
        <w:p w14:paraId="32C16AC5" w14:textId="77777777" w:rsidR="00155E9F" w:rsidRPr="00A91ACD" w:rsidRDefault="00155E9F" w:rsidP="00155E9F">
          <w:pPr>
            <w:pStyle w:val="Header"/>
            <w:spacing w:before="109"/>
          </w:pPr>
        </w:p>
      </w:tc>
      <w:tc>
        <w:tcPr>
          <w:tcW w:w="3111" w:type="dxa"/>
          <w:tcBorders>
            <w:top w:val="single" w:sz="4" w:space="0" w:color="auto"/>
            <w:bottom w:val="single" w:sz="12" w:space="0" w:color="auto"/>
          </w:tcBorders>
          <w:shd w:val="clear" w:color="auto" w:fill="auto"/>
        </w:tcPr>
        <w:p w14:paraId="4129DEB5" w14:textId="77777777" w:rsidR="00155E9F" w:rsidRPr="00704AC4" w:rsidRDefault="00155E9F" w:rsidP="00155E9F">
          <w:pPr>
            <w:pStyle w:val="Distribution"/>
            <w:rPr>
              <w:color w:val="000000"/>
              <w:lang w:val="fr-CA"/>
            </w:rPr>
          </w:pPr>
          <w:r w:rsidRPr="00704AC4">
            <w:rPr>
              <w:color w:val="000000"/>
              <w:lang w:val="fr-CA"/>
            </w:rPr>
            <w:t>Distr. générale</w:t>
          </w:r>
        </w:p>
        <w:p w14:paraId="7E51A91B" w14:textId="77777777" w:rsidR="00155E9F" w:rsidRPr="00704AC4" w:rsidRDefault="00155E9F" w:rsidP="00155E9F">
          <w:pPr>
            <w:pStyle w:val="Publication"/>
            <w:rPr>
              <w:color w:val="000000"/>
              <w:lang w:val="fr-CA"/>
            </w:rPr>
          </w:pPr>
          <w:r w:rsidRPr="00704AC4">
            <w:rPr>
              <w:color w:val="000000"/>
              <w:lang w:val="fr-CA"/>
            </w:rPr>
            <w:t>8 avril 2019</w:t>
          </w:r>
        </w:p>
        <w:p w14:paraId="1DD16B78" w14:textId="77777777" w:rsidR="00155E9F" w:rsidRPr="00704AC4" w:rsidRDefault="00155E9F" w:rsidP="00155E9F">
          <w:r w:rsidRPr="00704AC4">
            <w:t>Français</w:t>
          </w:r>
        </w:p>
        <w:p w14:paraId="06149B69" w14:textId="77777777" w:rsidR="00155E9F" w:rsidRPr="00704AC4" w:rsidRDefault="00155E9F" w:rsidP="00155E9F">
          <w:pPr>
            <w:pStyle w:val="Original"/>
            <w:rPr>
              <w:color w:val="000000"/>
              <w:lang w:val="fr-CA"/>
            </w:rPr>
          </w:pPr>
          <w:r w:rsidRPr="00704AC4">
            <w:rPr>
              <w:color w:val="000000"/>
              <w:lang w:val="fr-CA"/>
            </w:rPr>
            <w:t>Original : anglais</w:t>
          </w:r>
        </w:p>
      </w:tc>
    </w:tr>
  </w:tbl>
  <w:p w14:paraId="4F3F038B" w14:textId="77777777" w:rsidR="00CC55E2" w:rsidRPr="00704AC4" w:rsidRDefault="00CC55E2" w:rsidP="00A91ACD">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E141FA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E4EEE4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2B3EF8"/>
    <w:multiLevelType w:val="singleLevel"/>
    <w:tmpl w:val="E872225A"/>
    <w:lvl w:ilvl="0">
      <w:start w:val="1"/>
      <w:numFmt w:val="decimal"/>
      <w:lvlRestart w:val="0"/>
      <w:lvlText w:val="1.%1"/>
      <w:lvlJc w:val="left"/>
      <w:pPr>
        <w:tabs>
          <w:tab w:val="num" w:pos="1742"/>
        </w:tabs>
        <w:ind w:left="1267" w:firstLine="0"/>
      </w:pPr>
      <w:rPr>
        <w:w w:val="100"/>
      </w:rPr>
    </w:lvl>
  </w:abstractNum>
  <w:abstractNum w:abstractNumId="3" w15:restartNumberingAfterBreak="0">
    <w:nsid w:val="172F270D"/>
    <w:multiLevelType w:val="hybridMultilevel"/>
    <w:tmpl w:val="E156653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BAB"/>
    <w:multiLevelType w:val="singleLevel"/>
    <w:tmpl w:val="9C482162"/>
    <w:lvl w:ilvl="0">
      <w:start w:val="1"/>
      <w:numFmt w:val="decimal"/>
      <w:lvlRestart w:val="0"/>
      <w:lvlText w:val="2.%1"/>
      <w:lvlJc w:val="left"/>
      <w:pPr>
        <w:tabs>
          <w:tab w:val="num" w:pos="1742"/>
        </w:tabs>
        <w:ind w:left="1267" w:firstLine="0"/>
      </w:pPr>
      <w:rPr>
        <w:w w:val="100"/>
      </w:rPr>
    </w:lvl>
  </w:abstractNum>
  <w:abstractNum w:abstractNumId="5" w15:restartNumberingAfterBreak="0">
    <w:nsid w:val="21E50C9B"/>
    <w:multiLevelType w:val="singleLevel"/>
    <w:tmpl w:val="8DA47050"/>
    <w:lvl w:ilvl="0">
      <w:start w:val="8"/>
      <w:numFmt w:val="decimal"/>
      <w:lvlRestart w:val="0"/>
      <w:lvlText w:val="%1."/>
      <w:lvlJc w:val="left"/>
      <w:pPr>
        <w:tabs>
          <w:tab w:val="num" w:pos="1742"/>
        </w:tabs>
        <w:ind w:left="1267" w:firstLine="0"/>
      </w:pPr>
      <w:rPr>
        <w:w w:val="100"/>
      </w:rPr>
    </w:lvl>
  </w:abstractNum>
  <w:abstractNum w:abstractNumId="6" w15:restartNumberingAfterBreak="0">
    <w:nsid w:val="2C753AE0"/>
    <w:multiLevelType w:val="singleLevel"/>
    <w:tmpl w:val="6FD83E32"/>
    <w:lvl w:ilvl="0">
      <w:start w:val="1"/>
      <w:numFmt w:val="decimal"/>
      <w:lvlRestart w:val="0"/>
      <w:lvlText w:val="4.%1"/>
      <w:lvlJc w:val="left"/>
      <w:pPr>
        <w:tabs>
          <w:tab w:val="num" w:pos="1742"/>
        </w:tabs>
        <w:ind w:left="1267" w:firstLine="0"/>
      </w:pPr>
      <w:rPr>
        <w:w w:val="100"/>
      </w:rPr>
    </w:lvl>
  </w:abstractNum>
  <w:abstractNum w:abstractNumId="7" w15:restartNumberingAfterBreak="0">
    <w:nsid w:val="2FD655B7"/>
    <w:multiLevelType w:val="singleLevel"/>
    <w:tmpl w:val="677201E8"/>
    <w:lvl w:ilvl="0">
      <w:start w:val="1"/>
      <w:numFmt w:val="decimal"/>
      <w:lvlRestart w:val="0"/>
      <w:lvlText w:val="6.%1"/>
      <w:lvlJc w:val="left"/>
      <w:pPr>
        <w:tabs>
          <w:tab w:val="num" w:pos="1742"/>
        </w:tabs>
        <w:ind w:left="1267" w:firstLine="0"/>
      </w:pPr>
      <w:rPr>
        <w:w w:val="100"/>
      </w:rPr>
    </w:lvl>
  </w:abstractNum>
  <w:abstractNum w:abstractNumId="8" w15:restartNumberingAfterBreak="0">
    <w:nsid w:val="3DC56EB7"/>
    <w:multiLevelType w:val="singleLevel"/>
    <w:tmpl w:val="67E2A154"/>
    <w:lvl w:ilvl="0">
      <w:start w:val="1"/>
      <w:numFmt w:val="decimal"/>
      <w:lvlRestart w:val="0"/>
      <w:lvlText w:val="10.%1"/>
      <w:lvlJc w:val="left"/>
      <w:pPr>
        <w:tabs>
          <w:tab w:val="num" w:pos="1742"/>
        </w:tabs>
        <w:ind w:left="1267" w:firstLine="0"/>
      </w:pPr>
      <w:rPr>
        <w:w w:val="100"/>
      </w:rPr>
    </w:lvl>
  </w:abstractNum>
  <w:abstractNum w:abstractNumId="9" w15:restartNumberingAfterBreak="0">
    <w:nsid w:val="45D67423"/>
    <w:multiLevelType w:val="singleLevel"/>
    <w:tmpl w:val="94A61524"/>
    <w:lvl w:ilvl="0">
      <w:start w:val="3"/>
      <w:numFmt w:val="decimal"/>
      <w:lvlRestart w:val="0"/>
      <w:lvlText w:val="2.%1"/>
      <w:lvlJc w:val="left"/>
      <w:pPr>
        <w:tabs>
          <w:tab w:val="num" w:pos="1742"/>
        </w:tabs>
        <w:ind w:left="1267" w:firstLine="0"/>
      </w:pPr>
      <w:rPr>
        <w:w w:val="100"/>
      </w:rPr>
    </w:lvl>
  </w:abstractNum>
  <w:abstractNum w:abstractNumId="10" w15:restartNumberingAfterBreak="0">
    <w:nsid w:val="47B40547"/>
    <w:multiLevelType w:val="hybridMultilevel"/>
    <w:tmpl w:val="B38449B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60078"/>
    <w:multiLevelType w:val="singleLevel"/>
    <w:tmpl w:val="66843302"/>
    <w:lvl w:ilvl="0">
      <w:start w:val="1"/>
      <w:numFmt w:val="decimal"/>
      <w:lvlRestart w:val="0"/>
      <w:lvlText w:val="%1."/>
      <w:lvlJc w:val="left"/>
      <w:pPr>
        <w:tabs>
          <w:tab w:val="num" w:pos="475"/>
        </w:tabs>
        <w:ind w:left="0" w:firstLine="0"/>
      </w:pPr>
      <w:rPr>
        <w:w w:val="100"/>
      </w:rPr>
    </w:lvl>
  </w:abstractNum>
  <w:abstractNum w:abstractNumId="12" w15:restartNumberingAfterBreak="0">
    <w:nsid w:val="49E177FD"/>
    <w:multiLevelType w:val="singleLevel"/>
    <w:tmpl w:val="6D12E354"/>
    <w:lvl w:ilvl="0">
      <w:start w:val="1"/>
      <w:numFmt w:val="decimal"/>
      <w:lvlRestart w:val="0"/>
      <w:lvlText w:val="5.%1"/>
      <w:lvlJc w:val="left"/>
      <w:pPr>
        <w:tabs>
          <w:tab w:val="num" w:pos="1742"/>
        </w:tabs>
        <w:ind w:left="1267" w:firstLine="0"/>
      </w:pPr>
      <w:rPr>
        <w:w w:val="100"/>
      </w:rPr>
    </w:lvl>
  </w:abstractNum>
  <w:abstractNum w:abstractNumId="13" w15:restartNumberingAfterBreak="0">
    <w:nsid w:val="4CAF1529"/>
    <w:multiLevelType w:val="singleLevel"/>
    <w:tmpl w:val="B4A6D428"/>
    <w:lvl w:ilvl="0">
      <w:start w:val="11"/>
      <w:numFmt w:val="decimal"/>
      <w:lvlRestart w:val="0"/>
      <w:lvlText w:val="%1."/>
      <w:lvlJc w:val="left"/>
      <w:pPr>
        <w:tabs>
          <w:tab w:val="num" w:pos="1742"/>
        </w:tabs>
        <w:ind w:left="1267" w:firstLine="0"/>
      </w:pPr>
      <w:rPr>
        <w:w w:val="100"/>
      </w:rPr>
    </w:lvl>
  </w:abstractNum>
  <w:abstractNum w:abstractNumId="14" w15:restartNumberingAfterBreak="0">
    <w:nsid w:val="564D174B"/>
    <w:multiLevelType w:val="multilevel"/>
    <w:tmpl w:val="92FC3440"/>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5" w15:restartNumberingAfterBreak="0">
    <w:nsid w:val="5DF70D93"/>
    <w:multiLevelType w:val="singleLevel"/>
    <w:tmpl w:val="3CA272BA"/>
    <w:lvl w:ilvl="0">
      <w:start w:val="1"/>
      <w:numFmt w:val="decimal"/>
      <w:lvlRestart w:val="0"/>
      <w:lvlText w:val="7.%1"/>
      <w:lvlJc w:val="left"/>
      <w:pPr>
        <w:tabs>
          <w:tab w:val="num" w:pos="1742"/>
        </w:tabs>
        <w:ind w:left="1267" w:firstLine="0"/>
      </w:pPr>
      <w:rPr>
        <w:w w:val="100"/>
      </w:rPr>
    </w:lvl>
  </w:abstractNum>
  <w:abstractNum w:abstractNumId="16" w15:restartNumberingAfterBreak="0">
    <w:nsid w:val="5EC44B94"/>
    <w:multiLevelType w:val="singleLevel"/>
    <w:tmpl w:val="33F6AD60"/>
    <w:lvl w:ilvl="0">
      <w:start w:val="1"/>
      <w:numFmt w:val="decimal"/>
      <w:lvlRestart w:val="0"/>
      <w:lvlText w:val="3.%1"/>
      <w:lvlJc w:val="left"/>
      <w:pPr>
        <w:tabs>
          <w:tab w:val="num" w:pos="1742"/>
        </w:tabs>
        <w:ind w:left="1267" w:firstLine="0"/>
      </w:pPr>
      <w:rPr>
        <w:w w:val="100"/>
      </w:rPr>
    </w:lvl>
  </w:abstractNum>
  <w:num w:numId="1">
    <w:abstractNumId w:val="3"/>
  </w:num>
  <w:num w:numId="2">
    <w:abstractNumId w:val="10"/>
  </w:num>
  <w:num w:numId="3">
    <w:abstractNumId w:val="0"/>
  </w:num>
  <w:num w:numId="4">
    <w:abstractNumId w:val="1"/>
  </w:num>
  <w:num w:numId="5">
    <w:abstractNumId w:val="3"/>
  </w:num>
  <w:num w:numId="6">
    <w:abstractNumId w:val="10"/>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10"/>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14"/>
  </w:num>
  <w:num w:numId="31">
    <w:abstractNumId w:val="2"/>
  </w:num>
  <w:num w:numId="32">
    <w:abstractNumId w:val="9"/>
  </w:num>
  <w:num w:numId="33">
    <w:abstractNumId w:val="4"/>
  </w:num>
  <w:num w:numId="34">
    <w:abstractNumId w:val="16"/>
  </w:num>
  <w:num w:numId="35">
    <w:abstractNumId w:val="16"/>
    <w:lvlOverride w:ilvl="0">
      <w:lvl w:ilvl="0">
        <w:start w:val="1"/>
        <w:numFmt w:val="decimal"/>
        <w:lvlRestart w:val="0"/>
        <w:lvlText w:val="3.%1"/>
        <w:lvlJc w:val="left"/>
        <w:pPr>
          <w:tabs>
            <w:tab w:val="num" w:pos="1742"/>
          </w:tabs>
          <w:ind w:left="1267" w:firstLine="0"/>
        </w:pPr>
        <w:rPr>
          <w:w w:val="100"/>
        </w:rPr>
      </w:lvl>
    </w:lvlOverride>
  </w:num>
  <w:num w:numId="36">
    <w:abstractNumId w:val="6"/>
  </w:num>
  <w:num w:numId="37">
    <w:abstractNumId w:val="12"/>
  </w:num>
  <w:num w:numId="38">
    <w:abstractNumId w:val="7"/>
  </w:num>
  <w:num w:numId="39">
    <w:abstractNumId w:val="15"/>
  </w:num>
  <w:num w:numId="40">
    <w:abstractNumId w:val="15"/>
    <w:lvlOverride w:ilvl="0">
      <w:lvl w:ilvl="0">
        <w:start w:val="1"/>
        <w:numFmt w:val="decimal"/>
        <w:lvlRestart w:val="0"/>
        <w:lvlText w:val="7.%1"/>
        <w:lvlJc w:val="left"/>
        <w:pPr>
          <w:tabs>
            <w:tab w:val="num" w:pos="1742"/>
          </w:tabs>
          <w:ind w:left="1267" w:firstLine="0"/>
        </w:pPr>
        <w:rPr>
          <w:w w:val="100"/>
        </w:rPr>
      </w:lvl>
    </w:lvlOverride>
  </w:num>
  <w:num w:numId="41">
    <w:abstractNumId w:val="5"/>
  </w:num>
  <w:num w:numId="42">
    <w:abstractNumId w:val="8"/>
  </w:num>
  <w:num w:numId="4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7*"/>
    <w:docVar w:name="CreationDt" w:val="29/04/2019 2:53: PM"/>
    <w:docVar w:name="DocCategory" w:val="Doc"/>
    <w:docVar w:name="DocType" w:val="Final"/>
    <w:docVar w:name="DutyStation" w:val="New York"/>
    <w:docVar w:name="FooterJN" w:val="19-05867"/>
    <w:docVar w:name="jobn" w:val="19-05867 (F)"/>
    <w:docVar w:name="jobnDT" w:val="19-05867 (F)   290419"/>
    <w:docVar w:name="jobnDTDT" w:val="19-05867 (F)   290419   290419"/>
    <w:docVar w:name="JobNo" w:val="1905867F"/>
    <w:docVar w:name="JobNo2" w:val="1910192F"/>
    <w:docVar w:name="LocalDrive" w:val="0"/>
    <w:docVar w:name="OandT" w:val="CMA"/>
    <w:docVar w:name="sss1" w:val="-"/>
    <w:docVar w:name="sss2" w:val="-"/>
    <w:docVar w:name="Symbol1" w:val="-"/>
    <w:docVar w:name="Symbol2" w:val="-"/>
  </w:docVars>
  <w:rsids>
    <w:rsidRoot w:val="008818E7"/>
    <w:rsid w:val="00002584"/>
    <w:rsid w:val="00036505"/>
    <w:rsid w:val="00036A30"/>
    <w:rsid w:val="00071D43"/>
    <w:rsid w:val="00082144"/>
    <w:rsid w:val="000A0FDF"/>
    <w:rsid w:val="000D47D3"/>
    <w:rsid w:val="000E5ACE"/>
    <w:rsid w:val="00101B18"/>
    <w:rsid w:val="00113C78"/>
    <w:rsid w:val="00122A56"/>
    <w:rsid w:val="00130E9E"/>
    <w:rsid w:val="00134FEE"/>
    <w:rsid w:val="00142BCE"/>
    <w:rsid w:val="001442AC"/>
    <w:rsid w:val="00146C6A"/>
    <w:rsid w:val="00155E9F"/>
    <w:rsid w:val="001602C6"/>
    <w:rsid w:val="00166A0D"/>
    <w:rsid w:val="00166D23"/>
    <w:rsid w:val="00170E79"/>
    <w:rsid w:val="00185A46"/>
    <w:rsid w:val="001C5E50"/>
    <w:rsid w:val="001D5004"/>
    <w:rsid w:val="001D564F"/>
    <w:rsid w:val="001E4B50"/>
    <w:rsid w:val="001F539B"/>
    <w:rsid w:val="002248DA"/>
    <w:rsid w:val="002478A0"/>
    <w:rsid w:val="002740F1"/>
    <w:rsid w:val="002A5E20"/>
    <w:rsid w:val="002D6850"/>
    <w:rsid w:val="0032649B"/>
    <w:rsid w:val="00336BA6"/>
    <w:rsid w:val="003506A6"/>
    <w:rsid w:val="0036046B"/>
    <w:rsid w:val="00366087"/>
    <w:rsid w:val="00366D21"/>
    <w:rsid w:val="003779B2"/>
    <w:rsid w:val="003A675A"/>
    <w:rsid w:val="003B3E8D"/>
    <w:rsid w:val="003B5959"/>
    <w:rsid w:val="003F418C"/>
    <w:rsid w:val="003F61E1"/>
    <w:rsid w:val="004252E9"/>
    <w:rsid w:val="00426B5B"/>
    <w:rsid w:val="00440C93"/>
    <w:rsid w:val="00480B84"/>
    <w:rsid w:val="004B64F9"/>
    <w:rsid w:val="004C1A25"/>
    <w:rsid w:val="0050127B"/>
    <w:rsid w:val="005025A5"/>
    <w:rsid w:val="00515991"/>
    <w:rsid w:val="005225EC"/>
    <w:rsid w:val="00525097"/>
    <w:rsid w:val="005509B6"/>
    <w:rsid w:val="00566DEF"/>
    <w:rsid w:val="00582008"/>
    <w:rsid w:val="00592F39"/>
    <w:rsid w:val="005D732F"/>
    <w:rsid w:val="005F1F5F"/>
    <w:rsid w:val="00640CC3"/>
    <w:rsid w:val="00640E41"/>
    <w:rsid w:val="00657937"/>
    <w:rsid w:val="0067337D"/>
    <w:rsid w:val="00690698"/>
    <w:rsid w:val="006A1A07"/>
    <w:rsid w:val="006D2574"/>
    <w:rsid w:val="006E4A4B"/>
    <w:rsid w:val="006F0B11"/>
    <w:rsid w:val="00704AC4"/>
    <w:rsid w:val="00714A14"/>
    <w:rsid w:val="007459AE"/>
    <w:rsid w:val="007531A5"/>
    <w:rsid w:val="00771C9E"/>
    <w:rsid w:val="007815D5"/>
    <w:rsid w:val="007D270E"/>
    <w:rsid w:val="007D5002"/>
    <w:rsid w:val="007E1D51"/>
    <w:rsid w:val="0082045E"/>
    <w:rsid w:val="008222A3"/>
    <w:rsid w:val="008759CC"/>
    <w:rsid w:val="008818E7"/>
    <w:rsid w:val="008A60EF"/>
    <w:rsid w:val="008B2C5F"/>
    <w:rsid w:val="008B4FFB"/>
    <w:rsid w:val="008F08B8"/>
    <w:rsid w:val="008F3462"/>
    <w:rsid w:val="00925CC1"/>
    <w:rsid w:val="00935932"/>
    <w:rsid w:val="00985027"/>
    <w:rsid w:val="0098783D"/>
    <w:rsid w:val="00993CB7"/>
    <w:rsid w:val="009B0AFA"/>
    <w:rsid w:val="009D0EE3"/>
    <w:rsid w:val="00A2494D"/>
    <w:rsid w:val="00A536A1"/>
    <w:rsid w:val="00A81AF3"/>
    <w:rsid w:val="00A91ACD"/>
    <w:rsid w:val="00AB0B7D"/>
    <w:rsid w:val="00AC50F4"/>
    <w:rsid w:val="00AD5F2F"/>
    <w:rsid w:val="00B633E0"/>
    <w:rsid w:val="00B858D5"/>
    <w:rsid w:val="00BF4DB3"/>
    <w:rsid w:val="00C02FB3"/>
    <w:rsid w:val="00C14119"/>
    <w:rsid w:val="00CB06FB"/>
    <w:rsid w:val="00CB63C5"/>
    <w:rsid w:val="00CC55E2"/>
    <w:rsid w:val="00CE2F3F"/>
    <w:rsid w:val="00D30EED"/>
    <w:rsid w:val="00D42071"/>
    <w:rsid w:val="00D44948"/>
    <w:rsid w:val="00D874AE"/>
    <w:rsid w:val="00DA47D0"/>
    <w:rsid w:val="00DD73DB"/>
    <w:rsid w:val="00E00A16"/>
    <w:rsid w:val="00E00B0C"/>
    <w:rsid w:val="00E05944"/>
    <w:rsid w:val="00E12237"/>
    <w:rsid w:val="00E343A6"/>
    <w:rsid w:val="00E7105F"/>
    <w:rsid w:val="00E74A87"/>
    <w:rsid w:val="00E940E2"/>
    <w:rsid w:val="00EE37EC"/>
    <w:rsid w:val="00EF2DFA"/>
    <w:rsid w:val="00F5012D"/>
    <w:rsid w:val="00F73093"/>
    <w:rsid w:val="00FA3D05"/>
    <w:rsid w:val="00FA5CC9"/>
    <w:rsid w:val="00FB0A2C"/>
    <w:rsid w:val="00FB53B7"/>
    <w:rsid w:val="00FC59F1"/>
    <w:rsid w:val="00FD350A"/>
    <w:rsid w:val="00FD4E1B"/>
    <w:rsid w:val="00FF39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425FB"/>
  <w15:chartTrackingRefBased/>
  <w15:docId w15:val="{48C1CEDF-C403-4318-94D8-5A1C137F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E9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30E9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30E9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30E9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30E9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30E9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30E9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30E9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30E9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30E9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30E9E"/>
    <w:pPr>
      <w:keepNext/>
      <w:keepLines/>
      <w:suppressAutoHyphens/>
      <w:spacing w:line="270" w:lineRule="exact"/>
      <w:outlineLvl w:val="0"/>
    </w:pPr>
    <w:rPr>
      <w:b/>
      <w:sz w:val="24"/>
    </w:rPr>
  </w:style>
  <w:style w:type="paragraph" w:customStyle="1" w:styleId="HCH">
    <w:name w:val="_ H _CH"/>
    <w:basedOn w:val="H1"/>
    <w:next w:val="Normal"/>
    <w:qFormat/>
    <w:rsid w:val="00130E9E"/>
    <w:pPr>
      <w:spacing w:line="300" w:lineRule="exact"/>
    </w:pPr>
    <w:rPr>
      <w:spacing w:val="-2"/>
      <w:sz w:val="28"/>
    </w:rPr>
  </w:style>
  <w:style w:type="paragraph" w:customStyle="1" w:styleId="HM">
    <w:name w:val="_ H __M"/>
    <w:basedOn w:val="HCH"/>
    <w:next w:val="Normal"/>
    <w:qFormat/>
    <w:rsid w:val="00130E9E"/>
    <w:pPr>
      <w:spacing w:line="360" w:lineRule="exact"/>
    </w:pPr>
    <w:rPr>
      <w:spacing w:val="-3"/>
      <w:w w:val="99"/>
      <w:sz w:val="34"/>
    </w:rPr>
  </w:style>
  <w:style w:type="paragraph" w:customStyle="1" w:styleId="H23">
    <w:name w:val="_ H_2/3"/>
    <w:basedOn w:val="H1"/>
    <w:next w:val="SingleTxt"/>
    <w:qFormat/>
    <w:rsid w:val="00130E9E"/>
    <w:pPr>
      <w:spacing w:line="240" w:lineRule="exact"/>
      <w:outlineLvl w:val="1"/>
    </w:pPr>
    <w:rPr>
      <w:spacing w:val="2"/>
      <w:sz w:val="20"/>
    </w:rPr>
  </w:style>
  <w:style w:type="paragraph" w:customStyle="1" w:styleId="H4">
    <w:name w:val="_ H_4"/>
    <w:basedOn w:val="Normal"/>
    <w:next w:val="SingleTxt"/>
    <w:qFormat/>
    <w:rsid w:val="00130E9E"/>
    <w:pPr>
      <w:keepNext/>
      <w:keepLines/>
      <w:tabs>
        <w:tab w:val="right" w:pos="360"/>
      </w:tabs>
      <w:suppressAutoHyphens/>
      <w:outlineLvl w:val="3"/>
    </w:pPr>
    <w:rPr>
      <w:i/>
      <w:spacing w:val="3"/>
    </w:rPr>
  </w:style>
  <w:style w:type="paragraph" w:customStyle="1" w:styleId="H56">
    <w:name w:val="_ H_5/6"/>
    <w:basedOn w:val="Normal"/>
    <w:next w:val="Normal"/>
    <w:qFormat/>
    <w:rsid w:val="00130E9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30E9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30E9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30E9E"/>
    <w:pPr>
      <w:spacing w:line="540" w:lineRule="exact"/>
    </w:pPr>
    <w:rPr>
      <w:spacing w:val="-8"/>
      <w:w w:val="96"/>
      <w:sz w:val="57"/>
    </w:rPr>
  </w:style>
  <w:style w:type="paragraph" w:customStyle="1" w:styleId="SS">
    <w:name w:val="__S_S"/>
    <w:basedOn w:val="HCH"/>
    <w:next w:val="Normal"/>
    <w:qFormat/>
    <w:rsid w:val="00130E9E"/>
    <w:pPr>
      <w:ind w:left="1267" w:right="1267"/>
    </w:pPr>
  </w:style>
  <w:style w:type="paragraph" w:customStyle="1" w:styleId="SingleTxt">
    <w:name w:val="__Single Txt"/>
    <w:basedOn w:val="Normal"/>
    <w:qFormat/>
    <w:rsid w:val="00130E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30E9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30E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30E9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30E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0E9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30E9E"/>
    <w:pPr>
      <w:numPr>
        <w:numId w:val="17"/>
      </w:numPr>
      <w:spacing w:after="120"/>
      <w:ind w:right="1267"/>
      <w:jc w:val="both"/>
    </w:pPr>
  </w:style>
  <w:style w:type="paragraph" w:customStyle="1" w:styleId="Bullet2">
    <w:name w:val="Bullet 2"/>
    <w:basedOn w:val="Normal"/>
    <w:qFormat/>
    <w:rsid w:val="00130E9E"/>
    <w:pPr>
      <w:numPr>
        <w:numId w:val="18"/>
      </w:numPr>
      <w:spacing w:after="120"/>
      <w:ind w:right="1264"/>
      <w:jc w:val="both"/>
    </w:pPr>
  </w:style>
  <w:style w:type="paragraph" w:customStyle="1" w:styleId="Bullet3">
    <w:name w:val="Bullet 3"/>
    <w:basedOn w:val="SingleTxt"/>
    <w:qFormat/>
    <w:rsid w:val="00130E9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30E9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30E9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30E9E"/>
    <w:pPr>
      <w:spacing w:line="210" w:lineRule="exact"/>
    </w:pPr>
    <w:rPr>
      <w:sz w:val="17"/>
      <w:szCs w:val="20"/>
    </w:rPr>
  </w:style>
  <w:style w:type="character" w:customStyle="1" w:styleId="EndnoteTextChar">
    <w:name w:val="Endnote Text Char"/>
    <w:link w:val="EndnoteText"/>
    <w:uiPriority w:val="99"/>
    <w:semiHidden/>
    <w:rsid w:val="00130E9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30E9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30E9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30E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30E9E"/>
    <w:pPr>
      <w:spacing w:line="210" w:lineRule="exact"/>
    </w:pPr>
    <w:rPr>
      <w:sz w:val="17"/>
      <w:szCs w:val="20"/>
    </w:rPr>
  </w:style>
  <w:style w:type="character" w:customStyle="1" w:styleId="FootnoteTextChar">
    <w:name w:val="Footnote Text Char"/>
    <w:link w:val="FootnoteText"/>
    <w:uiPriority w:val="99"/>
    <w:rsid w:val="00130E9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30E9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30E9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30E9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30E9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30E9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30E9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30E9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30E9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30E9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30E9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30E9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30E9E"/>
    <w:rPr>
      <w:sz w:val="14"/>
    </w:rPr>
  </w:style>
  <w:style w:type="paragraph" w:styleId="ListParagraph">
    <w:name w:val="List Paragraph"/>
    <w:basedOn w:val="Normal"/>
    <w:uiPriority w:val="34"/>
    <w:rsid w:val="00130E9E"/>
    <w:pPr>
      <w:ind w:left="720"/>
      <w:contextualSpacing/>
    </w:pPr>
  </w:style>
  <w:style w:type="paragraph" w:styleId="NoSpacing">
    <w:name w:val="No Spacing"/>
    <w:uiPriority w:val="1"/>
    <w:rsid w:val="00130E9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30E9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30E9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30E9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30E9E"/>
    <w:pPr>
      <w:tabs>
        <w:tab w:val="right" w:pos="9965"/>
      </w:tabs>
      <w:spacing w:line="210" w:lineRule="exact"/>
    </w:pPr>
    <w:rPr>
      <w:spacing w:val="5"/>
      <w:w w:val="104"/>
      <w:sz w:val="17"/>
    </w:rPr>
  </w:style>
  <w:style w:type="paragraph" w:customStyle="1" w:styleId="SmallX">
    <w:name w:val="SmallX"/>
    <w:basedOn w:val="Small"/>
    <w:next w:val="Normal"/>
    <w:qFormat/>
    <w:rsid w:val="00130E9E"/>
    <w:pPr>
      <w:spacing w:line="180" w:lineRule="exact"/>
      <w:jc w:val="right"/>
    </w:pPr>
    <w:rPr>
      <w:spacing w:val="6"/>
      <w:w w:val="106"/>
      <w:sz w:val="14"/>
    </w:rPr>
  </w:style>
  <w:style w:type="character" w:styleId="Strong">
    <w:name w:val="Strong"/>
    <w:uiPriority w:val="22"/>
    <w:rsid w:val="00130E9E"/>
    <w:rPr>
      <w:b/>
      <w:bCs/>
    </w:rPr>
  </w:style>
  <w:style w:type="paragraph" w:customStyle="1" w:styleId="Style1">
    <w:name w:val="Style1"/>
    <w:basedOn w:val="Normal"/>
    <w:qFormat/>
    <w:rsid w:val="00130E9E"/>
  </w:style>
  <w:style w:type="paragraph" w:customStyle="1" w:styleId="Style2">
    <w:name w:val="Style2"/>
    <w:basedOn w:val="Normal"/>
    <w:autoRedefine/>
    <w:qFormat/>
    <w:rsid w:val="00130E9E"/>
  </w:style>
  <w:style w:type="paragraph" w:customStyle="1" w:styleId="TitleHCH">
    <w:name w:val="Title_H_CH"/>
    <w:basedOn w:val="H1"/>
    <w:next w:val="Normal"/>
    <w:qFormat/>
    <w:rsid w:val="00130E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30E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30E9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91ACD"/>
    <w:rPr>
      <w:sz w:val="16"/>
      <w:szCs w:val="16"/>
    </w:rPr>
  </w:style>
  <w:style w:type="paragraph" w:styleId="CommentText">
    <w:name w:val="annotation text"/>
    <w:basedOn w:val="Normal"/>
    <w:link w:val="CommentTextChar"/>
    <w:uiPriority w:val="99"/>
    <w:semiHidden/>
    <w:unhideWhenUsed/>
    <w:rsid w:val="00A91ACD"/>
    <w:pPr>
      <w:spacing w:line="240" w:lineRule="auto"/>
    </w:pPr>
    <w:rPr>
      <w:szCs w:val="20"/>
    </w:rPr>
  </w:style>
  <w:style w:type="character" w:customStyle="1" w:styleId="CommentTextChar">
    <w:name w:val="Comment Text Char"/>
    <w:basedOn w:val="DefaultParagraphFont"/>
    <w:link w:val="CommentText"/>
    <w:uiPriority w:val="99"/>
    <w:semiHidden/>
    <w:rsid w:val="00A91AC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91ACD"/>
    <w:rPr>
      <w:b/>
      <w:bCs/>
    </w:rPr>
  </w:style>
  <w:style w:type="character" w:customStyle="1" w:styleId="CommentSubjectChar">
    <w:name w:val="Comment Subject Char"/>
    <w:basedOn w:val="CommentTextChar"/>
    <w:link w:val="CommentSubject"/>
    <w:uiPriority w:val="99"/>
    <w:semiHidden/>
    <w:rsid w:val="00A91ACD"/>
    <w:rPr>
      <w:rFonts w:ascii="Times New Roman" w:eastAsiaTheme="minorHAnsi" w:hAnsi="Times New Roman" w:cs="Times New Roman"/>
      <w:b/>
      <w:bCs/>
      <w:spacing w:val="4"/>
      <w:w w:val="103"/>
      <w:kern w:val="14"/>
      <w:sz w:val="20"/>
      <w:szCs w:val="20"/>
      <w:lang w:val="fr-CA" w:eastAsia="en-US"/>
    </w:rPr>
  </w:style>
  <w:style w:type="character" w:customStyle="1" w:styleId="SingleTxtGChar">
    <w:name w:val="_ Single Txt_G Char"/>
    <w:link w:val="SingleTxtG"/>
    <w:locked/>
    <w:rsid w:val="00704AC4"/>
    <w:rPr>
      <w:rFonts w:ascii="Times New Roman" w:eastAsiaTheme="minorHAnsi" w:hAnsi="Times New Roman" w:cs="Times New Roman"/>
      <w:sz w:val="20"/>
      <w:szCs w:val="20"/>
      <w:lang w:eastAsia="en-US"/>
    </w:rPr>
  </w:style>
  <w:style w:type="paragraph" w:customStyle="1" w:styleId="SingleTxtG">
    <w:name w:val="_ Single Txt_G"/>
    <w:basedOn w:val="Normal"/>
    <w:link w:val="SingleTxtGChar"/>
    <w:qFormat/>
    <w:rsid w:val="00704AC4"/>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table" w:styleId="TableGrid">
    <w:name w:val="Table Grid"/>
    <w:basedOn w:val="TableNormal"/>
    <w:rsid w:val="00704AC4"/>
    <w:pPr>
      <w:suppressAutoHyphens/>
      <w:spacing w:after="0" w:line="240" w:lineRule="atLeast"/>
    </w:pPr>
    <w:rPr>
      <w:rFonts w:ascii="Times New Roman" w:eastAsiaTheme="minorHAnsi" w:hAnsi="Times New Roman" w:cs="Times New Roman"/>
      <w:sz w:val="20"/>
      <w:szCs w:val="20"/>
      <w:lang w:val="fr-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unhideWhenUsed/>
    <w:rsid w:val="00704AC4"/>
    <w:rPr>
      <w:strike w:val="0"/>
      <w:dstrike w:val="0"/>
      <w:color w:val="0000FF"/>
      <w:u w:val="none"/>
      <w:effect w:val="none"/>
    </w:rPr>
  </w:style>
  <w:style w:type="paragraph" w:styleId="Revision">
    <w:name w:val="Revision"/>
    <w:hidden/>
    <w:uiPriority w:val="99"/>
    <w:semiHidden/>
    <w:rsid w:val="00AC50F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870">
      <w:bodyDiv w:val="1"/>
      <w:marLeft w:val="0"/>
      <w:marRight w:val="0"/>
      <w:marTop w:val="0"/>
      <w:marBottom w:val="0"/>
      <w:divBdr>
        <w:top w:val="none" w:sz="0" w:space="0" w:color="auto"/>
        <w:left w:val="none" w:sz="0" w:space="0" w:color="auto"/>
        <w:bottom w:val="none" w:sz="0" w:space="0" w:color="auto"/>
        <w:right w:val="none" w:sz="0" w:space="0" w:color="auto"/>
      </w:divBdr>
    </w:div>
    <w:div w:id="175585475">
      <w:bodyDiv w:val="1"/>
      <w:marLeft w:val="0"/>
      <w:marRight w:val="0"/>
      <w:marTop w:val="0"/>
      <w:marBottom w:val="0"/>
      <w:divBdr>
        <w:top w:val="none" w:sz="0" w:space="0" w:color="auto"/>
        <w:left w:val="none" w:sz="0" w:space="0" w:color="auto"/>
        <w:bottom w:val="none" w:sz="0" w:space="0" w:color="auto"/>
        <w:right w:val="none" w:sz="0" w:space="0" w:color="auto"/>
      </w:divBdr>
    </w:div>
    <w:div w:id="2079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55/D/33/2011" TargetMode="External"/><Relationship Id="rId13" Type="http://schemas.openxmlformats.org/officeDocument/2006/relationships/hyperlink" Target="https://undocs.org/fr/CEDAW/C/71/D/81/2015" TargetMode="External"/><Relationship Id="rId3" Type="http://schemas.openxmlformats.org/officeDocument/2006/relationships/hyperlink" Target="https://undocs.org/fr/CCPR/C/114/D/2426/2014" TargetMode="External"/><Relationship Id="rId7" Type="http://schemas.openxmlformats.org/officeDocument/2006/relationships/hyperlink" Target="https://undocs.org/fr/CAT/C/49/D/416/2010" TargetMode="External"/><Relationship Id="rId12" Type="http://schemas.openxmlformats.org/officeDocument/2006/relationships/hyperlink" Target="https://undocs.org/fr/CEDAW/C/67/D/78/2014" TargetMode="External"/><Relationship Id="rId2" Type="http://schemas.openxmlformats.org/officeDocument/2006/relationships/hyperlink" Target="https://undocs.org/fr/CCPR/C/113/D/2272/2013" TargetMode="External"/><Relationship Id="rId1" Type="http://schemas.openxmlformats.org/officeDocument/2006/relationships/hyperlink" Target="https://undocs.org/fr/CCPR/C/112/D/2186/2012" TargetMode="External"/><Relationship Id="rId6" Type="http://schemas.openxmlformats.org/officeDocument/2006/relationships/hyperlink" Target="https://undocs.org/fr/CEDAW/C/62/D/53/2013" TargetMode="External"/><Relationship Id="rId11" Type="http://schemas.openxmlformats.org/officeDocument/2006/relationships/hyperlink" Target="https://undocs.org/fr/CEDAW/C/57/D/34/2011" TargetMode="External"/><Relationship Id="rId5" Type="http://schemas.openxmlformats.org/officeDocument/2006/relationships/hyperlink" Target="https://undocs.org/fr/CCPR/C/114/D/2393/2014" TargetMode="External"/><Relationship Id="rId10" Type="http://schemas.openxmlformats.org/officeDocument/2006/relationships/hyperlink" Target="https://undocs.org/fr/CEDAW/C/60/D/51/2013" TargetMode="External"/><Relationship Id="rId4" Type="http://schemas.openxmlformats.org/officeDocument/2006/relationships/hyperlink" Target="https://undocs.org/fr/CCPR/C/114/D/2329/2014" TargetMode="External"/><Relationship Id="rId9" Type="http://schemas.openxmlformats.org/officeDocument/2006/relationships/hyperlink" Target="https://undocs.org/fr/CEDAW/C/65/D/61/2013" TargetMode="External"/><Relationship Id="rId14" Type="http://schemas.openxmlformats.org/officeDocument/2006/relationships/hyperlink" Target="https://undocs.org/fr/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Musa Ali Okenda</cp:lastModifiedBy>
  <cp:revision>3</cp:revision>
  <cp:lastPrinted>2019-04-30T17:09:00Z</cp:lastPrinted>
  <dcterms:created xsi:type="dcterms:W3CDTF">2019-04-30T17:09:00Z</dcterms:created>
  <dcterms:modified xsi:type="dcterms:W3CDTF">2019-04-30T17:09:00Z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1905867F</vt:lpwstr>
  </property>
  <property fmtid="{D5CDD505-2E9C-101B-9397-08002B2CF9AE}" pid="3" name="ODSRefJobNo">
    <vt:lpwstr>1910192F</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8 avril 2019</vt:lpwstr>
  </property>
  <property fmtid="{D5CDD505-2E9C-101B-9397-08002B2CF9AE}" pid="14" name="Release Date">
    <vt:lpwstr/>
  </property>
  <property fmtid="{D5CDD505-2E9C-101B-9397-08002B2CF9AE}" pid="15" name="Title1">
    <vt:lpwstr>		Décision adoptée par le Comité au sujet de la communication no 96/2015 au titre de l’alinéa c) du paragraphe 2 de l’article 4 du Protocole facultatif*, **_x000d_</vt:lpwstr>
  </property>
</Properties>
</file>