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44623" w14:textId="77777777" w:rsidR="002126E2" w:rsidRDefault="002126E2" w:rsidP="002126E2">
      <w:pPr>
        <w:spacing w:line="240" w:lineRule="auto"/>
        <w:rPr>
          <w:sz w:val="2"/>
        </w:rPr>
        <w:sectPr w:rsidR="002126E2" w:rsidSect="00D45859">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23A003E7" w14:textId="2AF30388" w:rsidR="00D45859" w:rsidRDefault="00D45859" w:rsidP="00D4585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AA3DF7">
        <w:t>Comité pour l</w:t>
      </w:r>
      <w:r>
        <w:t>’</w:t>
      </w:r>
      <w:r w:rsidRPr="00AA3DF7">
        <w:t>élimination de la discrimination</w:t>
      </w:r>
      <w:r w:rsidRPr="00AA3DF7">
        <w:br/>
        <w:t>à l</w:t>
      </w:r>
      <w:r>
        <w:t>’</w:t>
      </w:r>
      <w:r w:rsidRPr="00AA3DF7">
        <w:t>égard des femmes</w:t>
      </w:r>
    </w:p>
    <w:p w14:paraId="47DB3147" w14:textId="3EFE4576" w:rsidR="00D45859" w:rsidRPr="00D45859" w:rsidRDefault="00D45859" w:rsidP="00D45859">
      <w:pPr>
        <w:pStyle w:val="SingleTxt"/>
        <w:spacing w:after="0" w:line="120" w:lineRule="exact"/>
        <w:rPr>
          <w:sz w:val="10"/>
        </w:rPr>
      </w:pPr>
    </w:p>
    <w:p w14:paraId="3BBBA373" w14:textId="287A359D" w:rsidR="00D45859" w:rsidRPr="00D45859" w:rsidRDefault="00D45859" w:rsidP="00D45859">
      <w:pPr>
        <w:pStyle w:val="SingleTxt"/>
        <w:spacing w:after="0" w:line="120" w:lineRule="exact"/>
        <w:rPr>
          <w:sz w:val="10"/>
        </w:rPr>
      </w:pPr>
    </w:p>
    <w:p w14:paraId="7367A2C5" w14:textId="69DC5E7E" w:rsidR="00D45859" w:rsidRPr="00D45859" w:rsidRDefault="00D45859" w:rsidP="00D45859">
      <w:pPr>
        <w:pStyle w:val="SingleTxt"/>
        <w:spacing w:after="0" w:line="120" w:lineRule="exact"/>
        <w:rPr>
          <w:sz w:val="10"/>
        </w:rPr>
      </w:pPr>
    </w:p>
    <w:p w14:paraId="4CC28CBC" w14:textId="20D114AA" w:rsidR="00D45859" w:rsidRDefault="00D45859" w:rsidP="00D45859">
      <w:pPr>
        <w:pStyle w:val="TitleHCH"/>
        <w:ind w:right="1470"/>
        <w:rPr>
          <w:vertAlign w:val="superscript"/>
          <w:lang w:val="fr-FR"/>
        </w:rPr>
      </w:pPr>
      <w:r>
        <w:rPr>
          <w:lang w:val="fr-FR"/>
        </w:rPr>
        <w:tab/>
      </w:r>
      <w:r>
        <w:rPr>
          <w:lang w:val="fr-FR"/>
        </w:rPr>
        <w:tab/>
        <w:t>Décision adoptée par le Comité au sujet de la communication n</w:t>
      </w:r>
      <w:r w:rsidRPr="007C4F2F">
        <w:rPr>
          <w:vertAlign w:val="superscript"/>
          <w:lang w:val="fr-FR"/>
        </w:rPr>
        <w:t>o</w:t>
      </w:r>
      <w:r>
        <w:rPr>
          <w:vertAlign w:val="superscript"/>
          <w:lang w:val="fr-FR"/>
        </w:rPr>
        <w:t> </w:t>
      </w:r>
      <w:r w:rsidRPr="00C74BFE">
        <w:rPr>
          <w:lang w:val="fr-FR"/>
        </w:rPr>
        <w:t>101</w:t>
      </w:r>
      <w:r>
        <w:rPr>
          <w:lang w:val="fr-FR"/>
        </w:rPr>
        <w:t>/</w:t>
      </w:r>
      <w:r w:rsidRPr="00C74BFE">
        <w:rPr>
          <w:lang w:val="fr-FR"/>
        </w:rPr>
        <w:t>2016</w:t>
      </w:r>
      <w:r>
        <w:rPr>
          <w:lang w:val="fr-FR"/>
        </w:rPr>
        <w:t xml:space="preserve"> au titre du paragraphe </w:t>
      </w:r>
      <w:r w:rsidRPr="00C74BFE">
        <w:rPr>
          <w:lang w:val="fr-FR"/>
        </w:rPr>
        <w:t>2</w:t>
      </w:r>
      <w:r>
        <w:rPr>
          <w:lang w:val="fr-FR"/>
        </w:rPr>
        <w:t xml:space="preserve"> c) de l’article </w:t>
      </w:r>
      <w:r w:rsidRPr="00C74BFE">
        <w:rPr>
          <w:lang w:val="fr-FR"/>
        </w:rPr>
        <w:t>4</w:t>
      </w:r>
      <w:r>
        <w:rPr>
          <w:lang w:val="fr-FR"/>
        </w:rPr>
        <w:t xml:space="preserve"> du Protocole facultatif</w:t>
      </w:r>
      <w:r w:rsidRPr="001E7B1C">
        <w:rPr>
          <w:b w:val="0"/>
          <w:bCs/>
          <w:sz w:val="20"/>
          <w:szCs w:val="20"/>
          <w:lang w:val="fr-FR"/>
        </w:rPr>
        <w:t>*</w:t>
      </w:r>
      <w:r w:rsidRPr="001E7B1C">
        <w:rPr>
          <w:b w:val="0"/>
          <w:bCs/>
          <w:sz w:val="20"/>
          <w:szCs w:val="20"/>
          <w:vertAlign w:val="superscript"/>
          <w:lang w:val="fr-FR"/>
        </w:rPr>
        <w:t>,</w:t>
      </w:r>
      <w:r w:rsidRPr="001E7B1C">
        <w:rPr>
          <w:b w:val="0"/>
          <w:bCs/>
          <w:sz w:val="20"/>
          <w:szCs w:val="20"/>
          <w:lang w:val="fr-FR"/>
        </w:rPr>
        <w:t xml:space="preserve"> **</w:t>
      </w:r>
    </w:p>
    <w:p w14:paraId="101287B7" w14:textId="51EE08D5" w:rsidR="00D45859" w:rsidRPr="00D45859" w:rsidRDefault="00D45859" w:rsidP="00D45859">
      <w:pPr>
        <w:pStyle w:val="SingleTxt"/>
        <w:spacing w:after="0" w:line="120" w:lineRule="exact"/>
        <w:rPr>
          <w:sz w:val="10"/>
          <w:vertAlign w:val="superscript"/>
          <w:lang w:val="fr-FR"/>
        </w:rPr>
      </w:pPr>
    </w:p>
    <w:p w14:paraId="33D5A188" w14:textId="25A2A331" w:rsidR="00D45859" w:rsidRPr="00D45859" w:rsidRDefault="00D45859" w:rsidP="00D45859">
      <w:pPr>
        <w:pStyle w:val="SingleTxt"/>
        <w:spacing w:after="0" w:line="120" w:lineRule="exact"/>
        <w:rPr>
          <w:sz w:val="10"/>
          <w:vertAlign w:val="superscript"/>
          <w:lang w:val="fr-FR"/>
        </w:rPr>
      </w:pPr>
    </w:p>
    <w:tbl>
      <w:tblPr>
        <w:tblW w:w="0" w:type="auto"/>
        <w:tblInd w:w="1251" w:type="dxa"/>
        <w:tblLayout w:type="fixed"/>
        <w:tblCellMar>
          <w:left w:w="0" w:type="dxa"/>
          <w:right w:w="0" w:type="dxa"/>
        </w:tblCellMar>
        <w:tblLook w:val="01E0" w:firstRow="1" w:lastRow="1" w:firstColumn="1" w:lastColumn="1" w:noHBand="0" w:noVBand="0"/>
      </w:tblPr>
      <w:tblGrid>
        <w:gridCol w:w="3002"/>
        <w:gridCol w:w="4253"/>
      </w:tblGrid>
      <w:tr w:rsidR="00D45859" w14:paraId="3E5B1FEA" w14:textId="77777777" w:rsidTr="00D45859">
        <w:tc>
          <w:tcPr>
            <w:tcW w:w="3002" w:type="dxa"/>
          </w:tcPr>
          <w:p w14:paraId="5E9DDDA3" w14:textId="77777777" w:rsidR="00D45859" w:rsidRPr="003639F9" w:rsidRDefault="00D45859" w:rsidP="00197BEE">
            <w:pPr>
              <w:pStyle w:val="SingleTxtG"/>
              <w:ind w:left="0" w:right="0"/>
              <w:jc w:val="left"/>
              <w:rPr>
                <w:i/>
                <w:spacing w:val="4"/>
                <w:w w:val="103"/>
              </w:rPr>
            </w:pPr>
            <w:r w:rsidRPr="003639F9">
              <w:rPr>
                <w:i/>
                <w:spacing w:val="4"/>
                <w:w w:val="103"/>
              </w:rPr>
              <w:t>Communication présentée par</w:t>
            </w:r>
            <w:r w:rsidRPr="003639F9">
              <w:rPr>
                <w:spacing w:val="4"/>
                <w:w w:val="103"/>
              </w:rPr>
              <w:t> :</w:t>
            </w:r>
          </w:p>
        </w:tc>
        <w:tc>
          <w:tcPr>
            <w:tcW w:w="4253" w:type="dxa"/>
          </w:tcPr>
          <w:p w14:paraId="694CB225" w14:textId="77777777" w:rsidR="00D45859" w:rsidRPr="003639F9" w:rsidRDefault="00D45859" w:rsidP="00197BEE">
            <w:pPr>
              <w:pStyle w:val="SingleTxtG"/>
              <w:ind w:left="0" w:right="0"/>
              <w:jc w:val="left"/>
              <w:rPr>
                <w:spacing w:val="4"/>
                <w:w w:val="103"/>
              </w:rPr>
            </w:pPr>
            <w:r w:rsidRPr="003639F9">
              <w:rPr>
                <w:spacing w:val="4"/>
                <w:w w:val="103"/>
                <w:lang w:val="fr-FR"/>
              </w:rPr>
              <w:t>S. A. O. (représentée par un conseil, Niels-Erik Hansen)</w:t>
            </w:r>
          </w:p>
        </w:tc>
      </w:tr>
      <w:tr w:rsidR="00D45859" w14:paraId="066A5506" w14:textId="77777777" w:rsidTr="00D45859">
        <w:tc>
          <w:tcPr>
            <w:tcW w:w="3002" w:type="dxa"/>
          </w:tcPr>
          <w:p w14:paraId="48E4321E" w14:textId="77777777" w:rsidR="00D45859" w:rsidRPr="003639F9" w:rsidRDefault="00D45859" w:rsidP="00197BEE">
            <w:pPr>
              <w:pStyle w:val="SingleTxtG"/>
              <w:ind w:left="0" w:right="0"/>
              <w:jc w:val="left"/>
              <w:rPr>
                <w:i/>
                <w:spacing w:val="4"/>
                <w:w w:val="103"/>
              </w:rPr>
            </w:pPr>
            <w:r w:rsidRPr="003639F9">
              <w:rPr>
                <w:i/>
                <w:spacing w:val="4"/>
                <w:w w:val="103"/>
              </w:rPr>
              <w:t>Au nom de</w:t>
            </w:r>
            <w:r w:rsidRPr="003639F9">
              <w:rPr>
                <w:spacing w:val="4"/>
                <w:w w:val="103"/>
              </w:rPr>
              <w:t> :</w:t>
            </w:r>
          </w:p>
        </w:tc>
        <w:tc>
          <w:tcPr>
            <w:tcW w:w="4253" w:type="dxa"/>
          </w:tcPr>
          <w:p w14:paraId="75638821" w14:textId="77777777" w:rsidR="00D45859" w:rsidRPr="003639F9" w:rsidRDefault="00D45859" w:rsidP="00197BEE">
            <w:pPr>
              <w:pStyle w:val="SingleTxtG"/>
              <w:ind w:left="0" w:right="0"/>
              <w:jc w:val="left"/>
              <w:rPr>
                <w:spacing w:val="4"/>
                <w:w w:val="103"/>
              </w:rPr>
            </w:pPr>
            <w:r w:rsidRPr="003639F9">
              <w:rPr>
                <w:spacing w:val="4"/>
                <w:w w:val="103"/>
                <w:lang w:val="fr-FR"/>
              </w:rPr>
              <w:t>L’auteure</w:t>
            </w:r>
          </w:p>
        </w:tc>
      </w:tr>
      <w:tr w:rsidR="00D45859" w14:paraId="28157C59" w14:textId="77777777" w:rsidTr="00D45859">
        <w:tc>
          <w:tcPr>
            <w:tcW w:w="3002" w:type="dxa"/>
          </w:tcPr>
          <w:p w14:paraId="384C848C" w14:textId="77777777" w:rsidR="00D45859" w:rsidRPr="003639F9" w:rsidRDefault="00D45859" w:rsidP="00197BEE">
            <w:pPr>
              <w:pStyle w:val="SingleTxtG"/>
              <w:ind w:left="0" w:right="0"/>
              <w:jc w:val="left"/>
              <w:rPr>
                <w:i/>
                <w:spacing w:val="4"/>
                <w:w w:val="103"/>
              </w:rPr>
            </w:pPr>
            <w:r w:rsidRPr="003639F9">
              <w:rPr>
                <w:i/>
                <w:spacing w:val="4"/>
                <w:w w:val="103"/>
              </w:rPr>
              <w:t>État partie</w:t>
            </w:r>
            <w:r w:rsidRPr="003639F9">
              <w:rPr>
                <w:spacing w:val="4"/>
                <w:w w:val="103"/>
              </w:rPr>
              <w:t> :</w:t>
            </w:r>
          </w:p>
        </w:tc>
        <w:tc>
          <w:tcPr>
            <w:tcW w:w="4253" w:type="dxa"/>
          </w:tcPr>
          <w:p w14:paraId="6A85BFA1" w14:textId="77777777" w:rsidR="00D45859" w:rsidRPr="003639F9" w:rsidRDefault="00D45859" w:rsidP="00197BEE">
            <w:pPr>
              <w:pStyle w:val="SingleTxtG"/>
              <w:ind w:left="0" w:right="0"/>
              <w:jc w:val="left"/>
              <w:rPr>
                <w:spacing w:val="4"/>
                <w:w w:val="103"/>
              </w:rPr>
            </w:pPr>
            <w:r w:rsidRPr="003639F9">
              <w:rPr>
                <w:spacing w:val="4"/>
                <w:w w:val="103"/>
                <w:lang w:val="fr-FR"/>
              </w:rPr>
              <w:t>Danemark</w:t>
            </w:r>
          </w:p>
        </w:tc>
      </w:tr>
      <w:tr w:rsidR="00D45859" w14:paraId="01276231" w14:textId="77777777" w:rsidTr="00D45859">
        <w:tc>
          <w:tcPr>
            <w:tcW w:w="3002" w:type="dxa"/>
          </w:tcPr>
          <w:p w14:paraId="5B503BA5" w14:textId="77777777" w:rsidR="00D45859" w:rsidRPr="003639F9" w:rsidRDefault="00D45859" w:rsidP="00197BEE">
            <w:pPr>
              <w:pStyle w:val="SingleTxtG"/>
              <w:ind w:left="0" w:right="0"/>
              <w:jc w:val="left"/>
              <w:rPr>
                <w:i/>
                <w:spacing w:val="4"/>
                <w:w w:val="103"/>
              </w:rPr>
            </w:pPr>
            <w:r w:rsidRPr="003639F9">
              <w:rPr>
                <w:i/>
                <w:spacing w:val="4"/>
                <w:w w:val="103"/>
              </w:rPr>
              <w:t>Date de la communication</w:t>
            </w:r>
            <w:r w:rsidRPr="003639F9">
              <w:rPr>
                <w:spacing w:val="4"/>
                <w:w w:val="103"/>
              </w:rPr>
              <w:t> :</w:t>
            </w:r>
          </w:p>
        </w:tc>
        <w:tc>
          <w:tcPr>
            <w:tcW w:w="4253" w:type="dxa"/>
          </w:tcPr>
          <w:p w14:paraId="300D1690" w14:textId="77777777" w:rsidR="00D45859" w:rsidRPr="003639F9" w:rsidRDefault="00D45859" w:rsidP="00197BEE">
            <w:pPr>
              <w:pStyle w:val="SingleTxtG"/>
              <w:ind w:left="0" w:right="0"/>
              <w:jc w:val="left"/>
              <w:rPr>
                <w:spacing w:val="4"/>
                <w:w w:val="103"/>
              </w:rPr>
            </w:pPr>
            <w:r w:rsidRPr="003639F9">
              <w:rPr>
                <w:spacing w:val="4"/>
                <w:w w:val="103"/>
                <w:lang w:val="fr-FR"/>
              </w:rPr>
              <w:t>7 décembre 2015 (date de la lettre initiale)</w:t>
            </w:r>
          </w:p>
        </w:tc>
      </w:tr>
      <w:tr w:rsidR="00D45859" w14:paraId="69F030DB" w14:textId="77777777" w:rsidTr="00D45859">
        <w:tc>
          <w:tcPr>
            <w:tcW w:w="3002" w:type="dxa"/>
          </w:tcPr>
          <w:p w14:paraId="5EEE970A" w14:textId="77777777" w:rsidR="00D45859" w:rsidRPr="003639F9" w:rsidRDefault="00D45859" w:rsidP="00197BEE">
            <w:pPr>
              <w:pStyle w:val="SingleTxtG"/>
              <w:ind w:left="0" w:right="0"/>
              <w:jc w:val="left"/>
              <w:rPr>
                <w:i/>
                <w:spacing w:val="4"/>
                <w:w w:val="103"/>
              </w:rPr>
            </w:pPr>
            <w:r w:rsidRPr="003639F9">
              <w:rPr>
                <w:i/>
                <w:spacing w:val="4"/>
                <w:w w:val="103"/>
              </w:rPr>
              <w:t>Références</w:t>
            </w:r>
            <w:r w:rsidRPr="003639F9">
              <w:rPr>
                <w:spacing w:val="4"/>
                <w:w w:val="103"/>
              </w:rPr>
              <w:t> :</w:t>
            </w:r>
          </w:p>
        </w:tc>
        <w:tc>
          <w:tcPr>
            <w:tcW w:w="4253" w:type="dxa"/>
            <w:vAlign w:val="bottom"/>
          </w:tcPr>
          <w:p w14:paraId="02253F0B" w14:textId="77777777" w:rsidR="00D45859" w:rsidRPr="003639F9" w:rsidRDefault="00D45859" w:rsidP="00197BEE">
            <w:pPr>
              <w:pStyle w:val="SingleTxtG"/>
              <w:ind w:left="0" w:right="0"/>
              <w:jc w:val="left"/>
              <w:rPr>
                <w:spacing w:val="4"/>
                <w:w w:val="103"/>
              </w:rPr>
            </w:pPr>
            <w:r w:rsidRPr="003639F9">
              <w:rPr>
                <w:spacing w:val="4"/>
                <w:w w:val="103"/>
                <w:lang w:val="fr-FR"/>
              </w:rPr>
              <w:t>Communiquée à l’État partie le 22 février 2016 (non publiée sous forme de document)</w:t>
            </w:r>
          </w:p>
        </w:tc>
      </w:tr>
      <w:tr w:rsidR="00D45859" w14:paraId="1F15DAD5" w14:textId="77777777" w:rsidTr="00D45859">
        <w:tc>
          <w:tcPr>
            <w:tcW w:w="3002" w:type="dxa"/>
          </w:tcPr>
          <w:p w14:paraId="3E8F33AD" w14:textId="77777777" w:rsidR="00D45859" w:rsidRPr="003639F9" w:rsidRDefault="00D45859" w:rsidP="00197BEE">
            <w:pPr>
              <w:pStyle w:val="SingleTxtG"/>
              <w:ind w:left="0" w:right="0"/>
              <w:jc w:val="left"/>
              <w:rPr>
                <w:i/>
                <w:spacing w:val="4"/>
                <w:w w:val="103"/>
              </w:rPr>
            </w:pPr>
            <w:r w:rsidRPr="003639F9">
              <w:rPr>
                <w:i/>
                <w:spacing w:val="4"/>
                <w:w w:val="103"/>
              </w:rPr>
              <w:t>Date de la décision </w:t>
            </w:r>
            <w:r w:rsidRPr="003639F9">
              <w:rPr>
                <w:spacing w:val="4"/>
                <w:w w:val="103"/>
              </w:rPr>
              <w:t>:</w:t>
            </w:r>
          </w:p>
        </w:tc>
        <w:tc>
          <w:tcPr>
            <w:tcW w:w="4253" w:type="dxa"/>
            <w:vAlign w:val="bottom"/>
          </w:tcPr>
          <w:p w14:paraId="16BE56D5" w14:textId="77777777" w:rsidR="00D45859" w:rsidRPr="003639F9" w:rsidRDefault="00D45859" w:rsidP="00197BEE">
            <w:pPr>
              <w:pStyle w:val="SingleTxtG"/>
              <w:ind w:left="0" w:right="0"/>
              <w:jc w:val="left"/>
              <w:rPr>
                <w:spacing w:val="4"/>
                <w:w w:val="103"/>
                <w:lang w:val="fr-FR"/>
              </w:rPr>
            </w:pPr>
            <w:r w:rsidRPr="003639F9">
              <w:rPr>
                <w:spacing w:val="4"/>
                <w:w w:val="103"/>
                <w:lang w:val="fr-FR"/>
              </w:rPr>
              <w:t>29 octobre 2018</w:t>
            </w:r>
          </w:p>
        </w:tc>
      </w:tr>
    </w:tbl>
    <w:p w14:paraId="2478F2B9" w14:textId="5435417C" w:rsidR="00D45859" w:rsidRPr="00D45859" w:rsidRDefault="00D45859" w:rsidP="00D45859">
      <w:pPr>
        <w:pStyle w:val="SingleTxtG"/>
        <w:spacing w:after="0" w:line="120" w:lineRule="exact"/>
        <w:rPr>
          <w:sz w:val="10"/>
        </w:rPr>
      </w:pPr>
    </w:p>
    <w:p w14:paraId="1A1E0572" w14:textId="0CC3A043" w:rsidR="00D45859" w:rsidRPr="00D45859" w:rsidRDefault="00D45859" w:rsidP="00D45859">
      <w:pPr>
        <w:pStyle w:val="SingleTxtG"/>
        <w:spacing w:after="0" w:line="120" w:lineRule="exact"/>
        <w:rPr>
          <w:sz w:val="10"/>
        </w:rPr>
      </w:pPr>
    </w:p>
    <w:p w14:paraId="0F97E8C9" w14:textId="21F10CE3" w:rsidR="00D45859" w:rsidRDefault="00D45859" w:rsidP="001D2C46">
      <w:pPr>
        <w:framePr w:w="9792" w:h="432" w:hSpace="180" w:wrap="around" w:vAnchor="page" w:hAnchor="page" w:x="1210" w:y="1331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20"/>
        </w:rPr>
      </w:pPr>
      <w:r w:rsidRPr="00D45859">
        <w:rPr>
          <w:noProof/>
          <w:w w:val="100"/>
        </w:rPr>
        <mc:AlternateContent>
          <mc:Choice Requires="wps">
            <w:drawing>
              <wp:anchor distT="0" distB="0" distL="114300" distR="114300" simplePos="0" relativeHeight="251659264" behindDoc="0" locked="0" layoutInCell="1" allowOverlap="1" wp14:anchorId="65E940DE" wp14:editId="50F336D1">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85722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D45859">
        <w:rPr>
          <w:spacing w:val="5"/>
          <w:w w:val="104"/>
          <w:sz w:val="17"/>
          <w:szCs w:val="20"/>
        </w:rPr>
        <w:t>Adoptée par le Comité à sa soixante et onzième session (</w:t>
      </w:r>
      <w:r w:rsidRPr="00C74BFE">
        <w:rPr>
          <w:spacing w:val="5"/>
          <w:w w:val="104"/>
          <w:sz w:val="17"/>
          <w:szCs w:val="20"/>
        </w:rPr>
        <w:t>22</w:t>
      </w:r>
      <w:r w:rsidRPr="00D45859">
        <w:rPr>
          <w:spacing w:val="5"/>
          <w:w w:val="104"/>
          <w:sz w:val="17"/>
          <w:szCs w:val="20"/>
        </w:rPr>
        <w:t xml:space="preserve"> octobre-</w:t>
      </w:r>
      <w:r w:rsidRPr="00C74BFE">
        <w:rPr>
          <w:spacing w:val="5"/>
          <w:w w:val="104"/>
          <w:sz w:val="17"/>
          <w:szCs w:val="20"/>
        </w:rPr>
        <w:t>9</w:t>
      </w:r>
      <w:r w:rsidRPr="00D45859">
        <w:rPr>
          <w:spacing w:val="5"/>
          <w:w w:val="104"/>
          <w:sz w:val="17"/>
          <w:szCs w:val="20"/>
        </w:rPr>
        <w:t xml:space="preserve"> novembre </w:t>
      </w:r>
      <w:r w:rsidRPr="00C74BFE">
        <w:rPr>
          <w:spacing w:val="5"/>
          <w:w w:val="104"/>
          <w:sz w:val="17"/>
          <w:szCs w:val="20"/>
        </w:rPr>
        <w:t>2018</w:t>
      </w:r>
      <w:r w:rsidRPr="00D45859">
        <w:rPr>
          <w:spacing w:val="5"/>
          <w:w w:val="104"/>
          <w:sz w:val="17"/>
          <w:szCs w:val="20"/>
        </w:rPr>
        <w:t>).</w:t>
      </w:r>
    </w:p>
    <w:p w14:paraId="37882241" w14:textId="0CD21E0E" w:rsidR="00D45859" w:rsidRPr="00D45859" w:rsidRDefault="00D45859" w:rsidP="001D2C46">
      <w:pPr>
        <w:framePr w:w="9792" w:h="432" w:hSpace="180" w:wrap="around" w:vAnchor="page" w:hAnchor="page" w:x="1210" w:y="1331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20"/>
        </w:rPr>
      </w:pPr>
      <w:r>
        <w:rPr>
          <w:spacing w:val="5"/>
          <w:w w:val="104"/>
          <w:sz w:val="17"/>
          <w:szCs w:val="20"/>
        </w:rPr>
        <w:tab/>
        <w:t>**</w:t>
      </w:r>
      <w:r>
        <w:rPr>
          <w:spacing w:val="5"/>
          <w:w w:val="104"/>
          <w:sz w:val="17"/>
          <w:szCs w:val="20"/>
        </w:rPr>
        <w:tab/>
      </w:r>
      <w:r w:rsidRPr="00D45859">
        <w:rPr>
          <w:spacing w:val="5"/>
          <w:w w:val="104"/>
          <w:sz w:val="17"/>
          <w:szCs w:val="20"/>
        </w:rPr>
        <w:t>Les membres du Comité ci-après ont participé à l’examen de la communication : Ayşe Feride Acar, Gladys Acosta Vargas, Nicole Ameline, Magalys Arocha Domínguez, Gunnar Bergby, Marion Bethel, Louiza Chalal, Esther Eghobamien-Mshelia, Naéla Gabr, Hilary Gbedemah, Nahla Haidar, Yoko Hayashi, Lilian Hofmeister, Ismat Jahan, Dalia Leinarte, Rosario G. Manalo, Lia Nadaraia, Aruna Devi Narain, Bandana Rana, Patricia Schulz et Wenyan Song.</w:t>
      </w:r>
    </w:p>
    <w:p w14:paraId="47E7E682" w14:textId="2B547E10" w:rsidR="00D45859" w:rsidRDefault="00D45859">
      <w:pPr>
        <w:spacing w:after="200" w:line="276" w:lineRule="auto"/>
        <w:rPr>
          <w:spacing w:val="0"/>
          <w:w w:val="100"/>
          <w:kern w:val="0"/>
          <w:szCs w:val="20"/>
          <w:lang w:val="fr-CH"/>
        </w:rPr>
      </w:pPr>
      <w:r>
        <w:br w:type="page"/>
      </w:r>
    </w:p>
    <w:p w14:paraId="45400B59" w14:textId="4B51D842" w:rsidR="00D45859" w:rsidRPr="00980AD6" w:rsidRDefault="00D45859" w:rsidP="000975ED">
      <w:pPr>
        <w:pStyle w:val="SingleTxt"/>
        <w:numPr>
          <w:ilvl w:val="0"/>
          <w:numId w:val="8"/>
        </w:numPr>
        <w:tabs>
          <w:tab w:val="num" w:pos="2804"/>
        </w:tabs>
        <w:spacing w:line="240" w:lineRule="exact"/>
        <w:rPr>
          <w:lang w:val="fr-FR"/>
        </w:rPr>
      </w:pPr>
      <w:r w:rsidRPr="00980AD6">
        <w:rPr>
          <w:lang w:val="fr-FR"/>
        </w:rPr>
        <w:lastRenderedPageBreak/>
        <w:t>L</w:t>
      </w:r>
      <w:r>
        <w:rPr>
          <w:lang w:val="fr-FR"/>
        </w:rPr>
        <w:t>’</w:t>
      </w:r>
      <w:r w:rsidRPr="00980AD6">
        <w:rPr>
          <w:lang w:val="fr-FR"/>
        </w:rPr>
        <w:t xml:space="preserve">auteure de la communication est S. A. O., de nationalité somalienne, née en </w:t>
      </w:r>
      <w:r w:rsidRPr="00C74BFE">
        <w:rPr>
          <w:lang w:val="fr-FR"/>
        </w:rPr>
        <w:t>1989</w:t>
      </w:r>
      <w:r w:rsidRPr="00980AD6">
        <w:rPr>
          <w:lang w:val="fr-FR"/>
        </w:rPr>
        <w:t>. Elle a sollicité l</w:t>
      </w:r>
      <w:r>
        <w:rPr>
          <w:lang w:val="fr-FR"/>
        </w:rPr>
        <w:t>’</w:t>
      </w:r>
      <w:r w:rsidRPr="00980AD6">
        <w:rPr>
          <w:lang w:val="fr-FR"/>
        </w:rPr>
        <w:t xml:space="preserve">asile au Danemark en </w:t>
      </w:r>
      <w:r w:rsidRPr="00C74BFE">
        <w:rPr>
          <w:lang w:val="fr-FR"/>
        </w:rPr>
        <w:t>2014</w:t>
      </w:r>
      <w:r w:rsidRPr="00980AD6">
        <w:rPr>
          <w:lang w:val="fr-FR"/>
        </w:rPr>
        <w:t>, mais sa demande a été rejetée et elle risque maintenant l</w:t>
      </w:r>
      <w:r>
        <w:rPr>
          <w:lang w:val="fr-FR"/>
        </w:rPr>
        <w:t>’</w:t>
      </w:r>
      <w:r w:rsidRPr="00980AD6">
        <w:rPr>
          <w:lang w:val="fr-FR"/>
        </w:rPr>
        <w:t>expulsion vers la Somalie. Elle affirme que son expulsion constituerait une violation par le Danemark des articles</w:t>
      </w:r>
      <w:r w:rsidR="00C74BFE">
        <w:rPr>
          <w:lang w:val="fr-FR"/>
        </w:rPr>
        <w:t xml:space="preserve"> </w:t>
      </w:r>
      <w:r w:rsidRPr="00C74BFE">
        <w:rPr>
          <w:lang w:val="fr-FR"/>
        </w:rPr>
        <w:t>2</w:t>
      </w:r>
      <w:r>
        <w:rPr>
          <w:lang w:val="fr-FR"/>
        </w:rPr>
        <w:t> </w:t>
      </w:r>
      <w:r w:rsidRPr="00980AD6">
        <w:rPr>
          <w:lang w:val="fr-FR"/>
        </w:rPr>
        <w:t xml:space="preserve">d), </w:t>
      </w:r>
      <w:r w:rsidRPr="00C74BFE">
        <w:rPr>
          <w:lang w:val="fr-FR"/>
        </w:rPr>
        <w:t>12</w:t>
      </w:r>
      <w:r>
        <w:rPr>
          <w:lang w:val="fr-FR"/>
        </w:rPr>
        <w:t xml:space="preserve">, </w:t>
      </w:r>
      <w:r w:rsidRPr="00C74BFE">
        <w:rPr>
          <w:lang w:val="fr-FR"/>
        </w:rPr>
        <w:t>15</w:t>
      </w:r>
      <w:r w:rsidRPr="00980AD6">
        <w:rPr>
          <w:lang w:val="fr-FR"/>
        </w:rPr>
        <w:t xml:space="preserve"> et </w:t>
      </w:r>
      <w:r w:rsidRPr="00C74BFE">
        <w:rPr>
          <w:lang w:val="fr-FR"/>
        </w:rPr>
        <w:t>16</w:t>
      </w:r>
      <w:r w:rsidRPr="00980AD6">
        <w:rPr>
          <w:lang w:val="fr-FR"/>
        </w:rPr>
        <w:t xml:space="preserve"> de la Convention, lus conjointement avec le principe de non-refoulement tel qu</w:t>
      </w:r>
      <w:r>
        <w:rPr>
          <w:lang w:val="fr-FR"/>
        </w:rPr>
        <w:t>’</w:t>
      </w:r>
      <w:r w:rsidRPr="00980AD6">
        <w:rPr>
          <w:lang w:val="fr-FR"/>
        </w:rPr>
        <w:t>énoncé dans la recommandation générale n</w:t>
      </w:r>
      <w:r w:rsidRPr="00980AD6">
        <w:rPr>
          <w:vertAlign w:val="superscript"/>
          <w:lang w:val="fr-FR"/>
        </w:rPr>
        <w:t>o</w:t>
      </w:r>
      <w:r w:rsidRPr="00980AD6">
        <w:rPr>
          <w:lang w:val="fr-FR"/>
        </w:rPr>
        <w:t> </w:t>
      </w:r>
      <w:r w:rsidRPr="00C74BFE">
        <w:rPr>
          <w:lang w:val="fr-FR"/>
        </w:rPr>
        <w:t>32</w:t>
      </w:r>
      <w:r w:rsidR="00C74BFE">
        <w:rPr>
          <w:lang w:val="fr-FR"/>
        </w:rPr>
        <w:t xml:space="preserve"> </w:t>
      </w:r>
      <w:r w:rsidRPr="00980AD6">
        <w:rPr>
          <w:lang w:val="fr-FR"/>
        </w:rPr>
        <w:t>(</w:t>
      </w:r>
      <w:r w:rsidRPr="00C74BFE">
        <w:rPr>
          <w:lang w:val="fr-FR"/>
        </w:rPr>
        <w:t>2014</w:t>
      </w:r>
      <w:r w:rsidRPr="00980AD6">
        <w:rPr>
          <w:lang w:val="fr-FR"/>
        </w:rPr>
        <w:t>) du Comité relative aux aspects liés au genre des questions touchant les réfugiées, les demandeuses d</w:t>
      </w:r>
      <w:r>
        <w:rPr>
          <w:lang w:val="fr-FR"/>
        </w:rPr>
        <w:t>’</w:t>
      </w:r>
      <w:r w:rsidRPr="00980AD6">
        <w:rPr>
          <w:lang w:val="fr-FR"/>
        </w:rPr>
        <w:t>asile et de la nation</w:t>
      </w:r>
      <w:r>
        <w:rPr>
          <w:lang w:val="fr-FR"/>
        </w:rPr>
        <w:t>alité et l’apatridie des femmes</w:t>
      </w:r>
      <w:r w:rsidRPr="00980AD6">
        <w:t>.</w:t>
      </w:r>
      <w:r w:rsidRPr="00980AD6">
        <w:rPr>
          <w:lang w:val="fr-FR"/>
        </w:rPr>
        <w:t xml:space="preserve"> La Convention et son Protocole facultatif sont entrés en v</w:t>
      </w:r>
      <w:r>
        <w:rPr>
          <w:lang w:val="fr-FR"/>
        </w:rPr>
        <w:t xml:space="preserve">igueur pour l’État partie le </w:t>
      </w:r>
      <w:r w:rsidRPr="00C74BFE">
        <w:rPr>
          <w:lang w:val="fr-FR"/>
        </w:rPr>
        <w:t>21</w:t>
      </w:r>
      <w:r>
        <w:rPr>
          <w:lang w:val="fr-FR"/>
        </w:rPr>
        <w:t> </w:t>
      </w:r>
      <w:r w:rsidRPr="00980AD6">
        <w:rPr>
          <w:lang w:val="fr-FR"/>
        </w:rPr>
        <w:t xml:space="preserve">mai </w:t>
      </w:r>
      <w:r w:rsidRPr="00C74BFE">
        <w:rPr>
          <w:lang w:val="fr-FR"/>
        </w:rPr>
        <w:t>1983</w:t>
      </w:r>
      <w:r w:rsidRPr="00980AD6">
        <w:rPr>
          <w:lang w:val="fr-FR"/>
        </w:rPr>
        <w:t xml:space="preserve"> et le </w:t>
      </w:r>
      <w:r w:rsidRPr="00C74BFE">
        <w:rPr>
          <w:lang w:val="fr-FR"/>
        </w:rPr>
        <w:t>22</w:t>
      </w:r>
      <w:r>
        <w:rPr>
          <w:lang w:val="fr-FR"/>
        </w:rPr>
        <w:t> </w:t>
      </w:r>
      <w:r w:rsidRPr="00980AD6">
        <w:rPr>
          <w:lang w:val="fr-FR"/>
        </w:rPr>
        <w:t xml:space="preserve">décembre </w:t>
      </w:r>
      <w:r w:rsidRPr="00C74BFE">
        <w:rPr>
          <w:lang w:val="fr-FR"/>
        </w:rPr>
        <w:t>2000</w:t>
      </w:r>
      <w:r w:rsidRPr="00980AD6">
        <w:rPr>
          <w:lang w:val="fr-FR"/>
        </w:rPr>
        <w:t>, respectivement. L</w:t>
      </w:r>
      <w:r>
        <w:rPr>
          <w:lang w:val="fr-FR"/>
        </w:rPr>
        <w:t>’</w:t>
      </w:r>
      <w:r w:rsidRPr="00980AD6">
        <w:rPr>
          <w:lang w:val="fr-FR"/>
        </w:rPr>
        <w:t>auteure est représentée par un conseil.</w:t>
      </w:r>
    </w:p>
    <w:p w14:paraId="45003371" w14:textId="448541F2" w:rsidR="00D45859" w:rsidRDefault="00D45859" w:rsidP="000975ED">
      <w:pPr>
        <w:pStyle w:val="SingleTxt"/>
        <w:numPr>
          <w:ilvl w:val="0"/>
          <w:numId w:val="8"/>
        </w:numPr>
        <w:spacing w:line="240" w:lineRule="exact"/>
        <w:rPr>
          <w:lang w:val="fr-FR"/>
        </w:rPr>
      </w:pPr>
      <w:r w:rsidRPr="00980AD6">
        <w:rPr>
          <w:lang w:val="fr-FR"/>
        </w:rPr>
        <w:t xml:space="preserve">Dans sa lettre initiale, datée du </w:t>
      </w:r>
      <w:r w:rsidRPr="00C74BFE">
        <w:rPr>
          <w:lang w:val="fr-FR"/>
        </w:rPr>
        <w:t>7</w:t>
      </w:r>
      <w:r>
        <w:rPr>
          <w:lang w:val="fr-FR"/>
        </w:rPr>
        <w:t> </w:t>
      </w:r>
      <w:r w:rsidRPr="00980AD6">
        <w:rPr>
          <w:lang w:val="fr-FR"/>
        </w:rPr>
        <w:t xml:space="preserve">décembre </w:t>
      </w:r>
      <w:r w:rsidRPr="00C74BFE">
        <w:rPr>
          <w:lang w:val="fr-FR"/>
        </w:rPr>
        <w:t>2015</w:t>
      </w:r>
      <w:r w:rsidRPr="00980AD6">
        <w:rPr>
          <w:lang w:val="fr-FR"/>
        </w:rPr>
        <w:t>, l</w:t>
      </w:r>
      <w:r>
        <w:rPr>
          <w:lang w:val="fr-FR"/>
        </w:rPr>
        <w:t>’</w:t>
      </w:r>
      <w:r w:rsidRPr="00980AD6">
        <w:rPr>
          <w:lang w:val="fr-FR"/>
        </w:rPr>
        <w:t xml:space="preserve">auteure a prié le Comité de demander au Danemark de suspendre son expulsion le temps que son dossier soit examiné. Le </w:t>
      </w:r>
      <w:r w:rsidRPr="00C74BFE">
        <w:rPr>
          <w:lang w:val="fr-FR"/>
        </w:rPr>
        <w:t>22</w:t>
      </w:r>
      <w:r>
        <w:rPr>
          <w:lang w:val="fr-FR"/>
        </w:rPr>
        <w:t> </w:t>
      </w:r>
      <w:r w:rsidRPr="00980AD6">
        <w:rPr>
          <w:lang w:val="fr-FR"/>
        </w:rPr>
        <w:t xml:space="preserve">février </w:t>
      </w:r>
      <w:r w:rsidRPr="00C74BFE">
        <w:rPr>
          <w:lang w:val="fr-FR"/>
        </w:rPr>
        <w:t>2016</w:t>
      </w:r>
      <w:r w:rsidRPr="00980AD6">
        <w:rPr>
          <w:lang w:val="fr-FR"/>
        </w:rPr>
        <w:t>, lors de l</w:t>
      </w:r>
      <w:r>
        <w:rPr>
          <w:lang w:val="fr-FR"/>
        </w:rPr>
        <w:t>’</w:t>
      </w:r>
      <w:r w:rsidRPr="00980AD6">
        <w:rPr>
          <w:lang w:val="fr-FR"/>
        </w:rPr>
        <w:t>enregistrement de la communication, le Comité a transmis cette requête à l</w:t>
      </w:r>
      <w:r>
        <w:rPr>
          <w:lang w:val="fr-FR"/>
        </w:rPr>
        <w:t>’</w:t>
      </w:r>
      <w:r w:rsidRPr="00980AD6">
        <w:rPr>
          <w:lang w:val="fr-FR"/>
        </w:rPr>
        <w:t xml:space="preserve">État partie. Le </w:t>
      </w:r>
      <w:r w:rsidRPr="00C74BFE">
        <w:rPr>
          <w:lang w:val="fr-FR"/>
        </w:rPr>
        <w:t>11</w:t>
      </w:r>
      <w:r>
        <w:rPr>
          <w:lang w:val="fr-FR"/>
        </w:rPr>
        <w:t> </w:t>
      </w:r>
      <w:r w:rsidRPr="00980AD6">
        <w:rPr>
          <w:lang w:val="fr-FR"/>
        </w:rPr>
        <w:t xml:space="preserve">août </w:t>
      </w:r>
      <w:r w:rsidRPr="00C74BFE">
        <w:rPr>
          <w:lang w:val="fr-FR"/>
        </w:rPr>
        <w:t>2016</w:t>
      </w:r>
      <w:r w:rsidRPr="00980AD6">
        <w:rPr>
          <w:lang w:val="fr-FR"/>
        </w:rPr>
        <w:t>, l</w:t>
      </w:r>
      <w:r>
        <w:rPr>
          <w:lang w:val="fr-FR"/>
        </w:rPr>
        <w:t>’</w:t>
      </w:r>
      <w:r w:rsidRPr="00980AD6">
        <w:rPr>
          <w:lang w:val="fr-FR"/>
        </w:rPr>
        <w:t xml:space="preserve">État partie a informé le Comité que, le </w:t>
      </w:r>
      <w:r w:rsidRPr="00C74BFE">
        <w:rPr>
          <w:lang w:val="fr-FR"/>
        </w:rPr>
        <w:t>22</w:t>
      </w:r>
      <w:r>
        <w:rPr>
          <w:lang w:val="fr-FR"/>
        </w:rPr>
        <w:t> </w:t>
      </w:r>
      <w:r w:rsidRPr="00980AD6">
        <w:rPr>
          <w:lang w:val="fr-FR"/>
        </w:rPr>
        <w:t xml:space="preserve">février </w:t>
      </w:r>
      <w:r w:rsidRPr="00C74BFE">
        <w:rPr>
          <w:lang w:val="fr-FR"/>
        </w:rPr>
        <w:t>2016</w:t>
      </w:r>
      <w:r w:rsidRPr="00980AD6">
        <w:rPr>
          <w:lang w:val="fr-FR"/>
        </w:rPr>
        <w:t>, la Commission danoise des recours des réfugiés avait suspendu le délai fixé pour l</w:t>
      </w:r>
      <w:r>
        <w:rPr>
          <w:lang w:val="fr-FR"/>
        </w:rPr>
        <w:t>’</w:t>
      </w:r>
      <w:r w:rsidRPr="00980AD6">
        <w:rPr>
          <w:lang w:val="fr-FR"/>
        </w:rPr>
        <w:t>expulsion de l</w:t>
      </w:r>
      <w:r>
        <w:rPr>
          <w:lang w:val="fr-FR"/>
        </w:rPr>
        <w:t>’</w:t>
      </w:r>
      <w:r w:rsidRPr="00980AD6">
        <w:rPr>
          <w:lang w:val="fr-FR"/>
        </w:rPr>
        <w:t>auteure.</w:t>
      </w:r>
    </w:p>
    <w:p w14:paraId="473FAFBD" w14:textId="7145C2CB" w:rsidR="00D45859" w:rsidRPr="00D45859" w:rsidRDefault="00D45859" w:rsidP="00D45859">
      <w:pPr>
        <w:pStyle w:val="SingleTxt"/>
        <w:spacing w:after="0" w:line="120" w:lineRule="exact"/>
        <w:rPr>
          <w:sz w:val="10"/>
          <w:lang w:val="fr-FR"/>
        </w:rPr>
      </w:pPr>
    </w:p>
    <w:p w14:paraId="33C25549" w14:textId="18939BB7" w:rsidR="00D45859" w:rsidRDefault="00D45859" w:rsidP="00D4585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r w:rsidRPr="00DA70BB">
        <w:rPr>
          <w:lang w:val="fr-FR"/>
        </w:rPr>
        <w:t>Rappel des faits présentés par l</w:t>
      </w:r>
      <w:r>
        <w:rPr>
          <w:lang w:val="fr-FR"/>
        </w:rPr>
        <w:t>’</w:t>
      </w:r>
      <w:r w:rsidRPr="00DA70BB">
        <w:rPr>
          <w:lang w:val="fr-FR"/>
        </w:rPr>
        <w:t>auteure</w:t>
      </w:r>
    </w:p>
    <w:p w14:paraId="71C981C3" w14:textId="19905127" w:rsidR="00D45859" w:rsidRPr="00D45859" w:rsidRDefault="00D45859" w:rsidP="00D45859">
      <w:pPr>
        <w:pStyle w:val="SingleTxt"/>
        <w:spacing w:after="0" w:line="120" w:lineRule="exact"/>
        <w:rPr>
          <w:sz w:val="10"/>
          <w:lang w:val="fr-FR"/>
        </w:rPr>
      </w:pPr>
    </w:p>
    <w:p w14:paraId="414EA630" w14:textId="65B761F1" w:rsidR="00D45859" w:rsidRPr="00CE5415" w:rsidRDefault="00D45859" w:rsidP="000975ED">
      <w:pPr>
        <w:pStyle w:val="SingleTxt"/>
        <w:numPr>
          <w:ilvl w:val="0"/>
          <w:numId w:val="9"/>
        </w:numPr>
        <w:spacing w:line="240" w:lineRule="exact"/>
        <w:rPr>
          <w:lang w:val="fr-FR"/>
        </w:rPr>
      </w:pPr>
      <w:r w:rsidRPr="00CE5415">
        <w:rPr>
          <w:lang w:val="fr-FR"/>
        </w:rPr>
        <w:t xml:space="preserve">Après le décès de son père en </w:t>
      </w:r>
      <w:r w:rsidRPr="00C74BFE">
        <w:rPr>
          <w:lang w:val="fr-FR"/>
        </w:rPr>
        <w:t>2005</w:t>
      </w:r>
      <w:r w:rsidRPr="00CE5415">
        <w:rPr>
          <w:lang w:val="fr-FR"/>
        </w:rPr>
        <w:t>, l</w:t>
      </w:r>
      <w:r>
        <w:rPr>
          <w:lang w:val="fr-FR"/>
        </w:rPr>
        <w:t>’</w:t>
      </w:r>
      <w:r w:rsidRPr="00CE5415">
        <w:rPr>
          <w:lang w:val="fr-FR"/>
        </w:rPr>
        <w:t xml:space="preserve">auteure est partie vivre dans la famille de son oncle à </w:t>
      </w:r>
      <w:r w:rsidRPr="00F215AF">
        <w:rPr>
          <w:lang w:val="fr-FR"/>
        </w:rPr>
        <w:t>Baardheere</w:t>
      </w:r>
      <w:r w:rsidRPr="00CE5415">
        <w:rPr>
          <w:lang w:val="fr-FR"/>
        </w:rPr>
        <w:t>, dans la région somalienne de Gedo. Elle a une sœur cadette, qu</w:t>
      </w:r>
      <w:r>
        <w:rPr>
          <w:lang w:val="fr-FR"/>
        </w:rPr>
        <w:t>’</w:t>
      </w:r>
      <w:r w:rsidRPr="00CE5415">
        <w:rPr>
          <w:lang w:val="fr-FR"/>
        </w:rPr>
        <w:t>elle n</w:t>
      </w:r>
      <w:r>
        <w:rPr>
          <w:lang w:val="fr-FR"/>
        </w:rPr>
        <w:t>’</w:t>
      </w:r>
      <w:r w:rsidRPr="00CE5415">
        <w:rPr>
          <w:lang w:val="fr-FR"/>
        </w:rPr>
        <w:t>a cependant pas contactée depuis son arrivée au Danemark. La famille de son oncle la battait, s</w:t>
      </w:r>
      <w:r>
        <w:rPr>
          <w:lang w:val="fr-FR"/>
        </w:rPr>
        <w:t>’</w:t>
      </w:r>
      <w:r w:rsidRPr="00CE5415">
        <w:rPr>
          <w:lang w:val="fr-FR"/>
        </w:rPr>
        <w:t>adressait à elle de façon brutale et la traitait comme une esclave. Elle était amoureuse de S., qu</w:t>
      </w:r>
      <w:r>
        <w:rPr>
          <w:lang w:val="fr-FR"/>
        </w:rPr>
        <w:t>’</w:t>
      </w:r>
      <w:r w:rsidRPr="00CE5415">
        <w:rPr>
          <w:lang w:val="fr-FR"/>
        </w:rPr>
        <w:t>elle retrouvait au magasin de celui-ci. Elle souhaitait épouser S., mais la famille de son oncle s</w:t>
      </w:r>
      <w:r>
        <w:rPr>
          <w:lang w:val="fr-FR"/>
        </w:rPr>
        <w:t>’</w:t>
      </w:r>
      <w:r w:rsidRPr="00CE5415">
        <w:rPr>
          <w:lang w:val="fr-FR"/>
        </w:rPr>
        <w:t xml:space="preserve">est opposée à cette union et a arrangé son mariage avec F., un homme plus âgé. Elle ne connaissait pas F., mais précise que celui-ci appartenait à un clan de la ville de </w:t>
      </w:r>
      <w:r w:rsidRPr="00106883">
        <w:rPr>
          <w:lang w:val="fr-FR"/>
        </w:rPr>
        <w:t>Baardheere</w:t>
      </w:r>
      <w:r w:rsidRPr="00CE5415">
        <w:rPr>
          <w:lang w:val="fr-FR"/>
        </w:rPr>
        <w:t xml:space="preserve"> et qu</w:t>
      </w:r>
      <w:r>
        <w:rPr>
          <w:lang w:val="fr-FR"/>
        </w:rPr>
        <w:t>’</w:t>
      </w:r>
      <w:r w:rsidRPr="00CE5415">
        <w:rPr>
          <w:lang w:val="fr-FR"/>
        </w:rPr>
        <w:t>il était le beau-frère de son oncle.</w:t>
      </w:r>
    </w:p>
    <w:p w14:paraId="014A6305" w14:textId="5FD9E9FB" w:rsidR="00D45859" w:rsidRPr="00CE5415" w:rsidRDefault="00D45859" w:rsidP="000975ED">
      <w:pPr>
        <w:pStyle w:val="SingleTxt"/>
        <w:numPr>
          <w:ilvl w:val="0"/>
          <w:numId w:val="9"/>
        </w:numPr>
        <w:spacing w:line="240" w:lineRule="exact"/>
        <w:rPr>
          <w:lang w:val="fr-FR"/>
        </w:rPr>
      </w:pPr>
      <w:r w:rsidRPr="00CE5415">
        <w:rPr>
          <w:lang w:val="fr-FR"/>
        </w:rPr>
        <w:t>Le jour du mariage, l</w:t>
      </w:r>
      <w:r>
        <w:rPr>
          <w:lang w:val="fr-FR"/>
        </w:rPr>
        <w:t>’</w:t>
      </w:r>
      <w:r w:rsidRPr="00CE5415">
        <w:rPr>
          <w:lang w:val="fr-FR"/>
        </w:rPr>
        <w:t>auteure n</w:t>
      </w:r>
      <w:r>
        <w:rPr>
          <w:lang w:val="fr-FR"/>
        </w:rPr>
        <w:t>’</w:t>
      </w:r>
      <w:r w:rsidRPr="00CE5415">
        <w:rPr>
          <w:lang w:val="fr-FR"/>
        </w:rPr>
        <w:t>a pas été autorisée à participer à la cérémonie qui a eu lieu à la mosquée. Lorsqu</w:t>
      </w:r>
      <w:r>
        <w:rPr>
          <w:lang w:val="fr-FR"/>
        </w:rPr>
        <w:t>’</w:t>
      </w:r>
      <w:r w:rsidRPr="00CE5415">
        <w:rPr>
          <w:lang w:val="fr-FR"/>
        </w:rPr>
        <w:t>elle a appris que la cérémonie avait pris fin, elle a rendu visite à S. Son oncle et la femme de celui-ci sont alors arrivés et l</w:t>
      </w:r>
      <w:r>
        <w:rPr>
          <w:lang w:val="fr-FR"/>
        </w:rPr>
        <w:t>’</w:t>
      </w:r>
      <w:r w:rsidRPr="00CE5415">
        <w:rPr>
          <w:lang w:val="fr-FR"/>
        </w:rPr>
        <w:t>ont battue. Ils ont menacé de la lapider au motif qu</w:t>
      </w:r>
      <w:r>
        <w:rPr>
          <w:lang w:val="fr-FR"/>
        </w:rPr>
        <w:t>’</w:t>
      </w:r>
      <w:r w:rsidRPr="00CE5415">
        <w:rPr>
          <w:lang w:val="fr-FR"/>
        </w:rPr>
        <w:t>elle était mariée et ne pouvait donc pas avoir d</w:t>
      </w:r>
      <w:r>
        <w:rPr>
          <w:lang w:val="fr-FR"/>
        </w:rPr>
        <w:t>’</w:t>
      </w:r>
      <w:r w:rsidRPr="00CE5415">
        <w:rPr>
          <w:lang w:val="fr-FR"/>
        </w:rPr>
        <w:t>ami. L</w:t>
      </w:r>
      <w:r>
        <w:rPr>
          <w:lang w:val="fr-FR"/>
        </w:rPr>
        <w:t>’</w:t>
      </w:r>
      <w:r w:rsidRPr="00CE5415">
        <w:rPr>
          <w:lang w:val="fr-FR"/>
        </w:rPr>
        <w:t xml:space="preserve">auteure affirme </w:t>
      </w:r>
      <w:r w:rsidRPr="00357AE4">
        <w:rPr>
          <w:spacing w:val="-2"/>
          <w:lang w:val="fr-FR"/>
        </w:rPr>
        <w:t>qu</w:t>
      </w:r>
      <w:r>
        <w:rPr>
          <w:spacing w:val="-2"/>
          <w:lang w:val="fr-FR"/>
        </w:rPr>
        <w:t>’</w:t>
      </w:r>
      <w:r w:rsidRPr="00357AE4">
        <w:rPr>
          <w:spacing w:val="-2"/>
          <w:lang w:val="fr-FR"/>
        </w:rPr>
        <w:t>aucun agent de police n</w:t>
      </w:r>
      <w:r>
        <w:rPr>
          <w:spacing w:val="-2"/>
          <w:lang w:val="fr-FR"/>
        </w:rPr>
        <w:t>’</w:t>
      </w:r>
      <w:r w:rsidRPr="00357AE4">
        <w:rPr>
          <w:spacing w:val="-2"/>
          <w:lang w:val="fr-FR"/>
        </w:rPr>
        <w:t>était présent et que seuls des membres des Chabab se trouvaient à proximité, mais qu</w:t>
      </w:r>
      <w:r>
        <w:rPr>
          <w:spacing w:val="-2"/>
          <w:lang w:val="fr-FR"/>
        </w:rPr>
        <w:t>’</w:t>
      </w:r>
      <w:r w:rsidRPr="00357AE4">
        <w:rPr>
          <w:spacing w:val="-2"/>
          <w:lang w:val="fr-FR"/>
        </w:rPr>
        <w:t>elle ne s</w:t>
      </w:r>
      <w:r>
        <w:rPr>
          <w:spacing w:val="-2"/>
          <w:lang w:val="fr-FR"/>
        </w:rPr>
        <w:t>’</w:t>
      </w:r>
      <w:r w:rsidRPr="00357AE4">
        <w:rPr>
          <w:spacing w:val="-2"/>
          <w:lang w:val="fr-FR"/>
        </w:rPr>
        <w:t>est pas plainte auprès d</w:t>
      </w:r>
      <w:r>
        <w:rPr>
          <w:spacing w:val="-2"/>
          <w:lang w:val="fr-FR"/>
        </w:rPr>
        <w:t>’</w:t>
      </w:r>
      <w:r w:rsidRPr="00357AE4">
        <w:rPr>
          <w:spacing w:val="-2"/>
          <w:lang w:val="fr-FR"/>
        </w:rPr>
        <w:t>eux pour éviter de créer des problèmes.</w:t>
      </w:r>
    </w:p>
    <w:p w14:paraId="1DC579A8" w14:textId="760CCE1F" w:rsidR="00D45859" w:rsidRPr="00CE5415" w:rsidRDefault="00D45859" w:rsidP="000975ED">
      <w:pPr>
        <w:pStyle w:val="SingleTxt"/>
        <w:numPr>
          <w:ilvl w:val="0"/>
          <w:numId w:val="9"/>
        </w:numPr>
        <w:spacing w:line="240" w:lineRule="exact"/>
        <w:rPr>
          <w:lang w:val="fr-FR"/>
        </w:rPr>
      </w:pPr>
      <w:r w:rsidRPr="00CE5415">
        <w:rPr>
          <w:lang w:val="fr-FR"/>
        </w:rPr>
        <w:t>L</w:t>
      </w:r>
      <w:r>
        <w:rPr>
          <w:lang w:val="fr-FR"/>
        </w:rPr>
        <w:t>’</w:t>
      </w:r>
      <w:r w:rsidRPr="00CE5415">
        <w:rPr>
          <w:lang w:val="fr-FR"/>
        </w:rPr>
        <w:t>auteure a été enfermée dans l</w:t>
      </w:r>
      <w:r>
        <w:rPr>
          <w:lang w:val="fr-FR"/>
        </w:rPr>
        <w:t>’</w:t>
      </w:r>
      <w:r w:rsidRPr="00CE5415">
        <w:rPr>
          <w:lang w:val="fr-FR"/>
        </w:rPr>
        <w:t>une des chambres de la maison familiale pendant deux jours, puis son mari est arrivé. La femme de son oncle a menacé de la dénoncer aux Chabab si elle refusait de reconnaître F. comme étant son mari. F. a frappé l</w:t>
      </w:r>
      <w:r>
        <w:rPr>
          <w:lang w:val="fr-FR"/>
        </w:rPr>
        <w:t>’</w:t>
      </w:r>
      <w:r w:rsidRPr="00CE5415">
        <w:rPr>
          <w:lang w:val="fr-FR"/>
        </w:rPr>
        <w:t>auteure avec un bâton. L</w:t>
      </w:r>
      <w:r>
        <w:rPr>
          <w:lang w:val="fr-FR"/>
        </w:rPr>
        <w:t>’</w:t>
      </w:r>
      <w:r w:rsidRPr="00CE5415">
        <w:rPr>
          <w:lang w:val="fr-FR"/>
        </w:rPr>
        <w:t>auteure a déclaré que, pour pouvoir quitter la maison, elle a reconnu son mariage avec F. Elle a été libérée, mais faisait l</w:t>
      </w:r>
      <w:r>
        <w:rPr>
          <w:lang w:val="fr-FR"/>
        </w:rPr>
        <w:t>’</w:t>
      </w:r>
      <w:r w:rsidRPr="00CE5415">
        <w:rPr>
          <w:lang w:val="fr-FR"/>
        </w:rPr>
        <w:t>objet d</w:t>
      </w:r>
      <w:r>
        <w:rPr>
          <w:lang w:val="fr-FR"/>
        </w:rPr>
        <w:t>’</w:t>
      </w:r>
      <w:r w:rsidRPr="00CE5415">
        <w:rPr>
          <w:lang w:val="fr-FR"/>
        </w:rPr>
        <w:t>une étroite surveillance. Les membres de la famille ont entamé les préparatifs de la fête de mariage, qui devait avoir lieu le lendemain. Ils ont décoré la maison et préparé l</w:t>
      </w:r>
      <w:r>
        <w:rPr>
          <w:lang w:val="fr-FR"/>
        </w:rPr>
        <w:t>’</w:t>
      </w:r>
      <w:r w:rsidRPr="00CE5415">
        <w:rPr>
          <w:lang w:val="fr-FR"/>
        </w:rPr>
        <w:t>animal qui serait abattu pour l</w:t>
      </w:r>
      <w:r>
        <w:rPr>
          <w:lang w:val="fr-FR"/>
        </w:rPr>
        <w:t>’</w:t>
      </w:r>
      <w:r w:rsidRPr="00CE5415">
        <w:rPr>
          <w:lang w:val="fr-FR"/>
        </w:rPr>
        <w:t>occasion. S. a envoyé un ami prévenir l</w:t>
      </w:r>
      <w:r>
        <w:rPr>
          <w:lang w:val="fr-FR"/>
        </w:rPr>
        <w:t>’</w:t>
      </w:r>
      <w:r w:rsidRPr="00CE5415">
        <w:rPr>
          <w:lang w:val="fr-FR"/>
        </w:rPr>
        <w:t>auteure qu</w:t>
      </w:r>
      <w:r>
        <w:rPr>
          <w:lang w:val="fr-FR"/>
        </w:rPr>
        <w:t>’</w:t>
      </w:r>
      <w:r w:rsidRPr="00CE5415">
        <w:rPr>
          <w:lang w:val="fr-FR"/>
        </w:rPr>
        <w:t>elle devait se tenir prête parce qu</w:t>
      </w:r>
      <w:r>
        <w:rPr>
          <w:lang w:val="fr-FR"/>
        </w:rPr>
        <w:t>’</w:t>
      </w:r>
      <w:r w:rsidRPr="00CE5415">
        <w:rPr>
          <w:lang w:val="fr-FR"/>
        </w:rPr>
        <w:t>il enverrait une voiture la chercher plus tard dans la so</w:t>
      </w:r>
      <w:r>
        <w:rPr>
          <w:lang w:val="fr-FR"/>
        </w:rPr>
        <w:t>irée pour l’aider à s’échapper.</w:t>
      </w:r>
    </w:p>
    <w:p w14:paraId="3BD8D668" w14:textId="64D319DB" w:rsidR="00D45859" w:rsidRPr="00CE5415" w:rsidRDefault="00D45859" w:rsidP="000975ED">
      <w:pPr>
        <w:pStyle w:val="SingleTxt"/>
        <w:numPr>
          <w:ilvl w:val="0"/>
          <w:numId w:val="9"/>
        </w:numPr>
        <w:spacing w:line="240" w:lineRule="exact"/>
        <w:rPr>
          <w:lang w:val="fr-FR"/>
        </w:rPr>
      </w:pPr>
      <w:r w:rsidRPr="00CE5415">
        <w:rPr>
          <w:lang w:val="fr-FR"/>
        </w:rPr>
        <w:t>Le coût du voyage de l</w:t>
      </w:r>
      <w:r>
        <w:rPr>
          <w:lang w:val="fr-FR"/>
        </w:rPr>
        <w:t>’</w:t>
      </w:r>
      <w:r w:rsidRPr="00CE5415">
        <w:rPr>
          <w:lang w:val="fr-FR"/>
        </w:rPr>
        <w:t>auteure a été pris en charge par sa tante, par S. et par la mère de celui-ci. Craignant pour sa sécurité, S. devait également prendre la fuite, mais il a dû retarder son départ en attendant le remboursement d</w:t>
      </w:r>
      <w:r>
        <w:rPr>
          <w:lang w:val="fr-FR"/>
        </w:rPr>
        <w:t>’</w:t>
      </w:r>
      <w:r w:rsidRPr="00CE5415">
        <w:rPr>
          <w:lang w:val="fr-FR"/>
        </w:rPr>
        <w:t>une somme d</w:t>
      </w:r>
      <w:r>
        <w:rPr>
          <w:lang w:val="fr-FR"/>
        </w:rPr>
        <w:t>’</w:t>
      </w:r>
      <w:r w:rsidRPr="00CE5415">
        <w:rPr>
          <w:lang w:val="fr-FR"/>
        </w:rPr>
        <w:t>argent.</w:t>
      </w:r>
    </w:p>
    <w:p w14:paraId="08A637DA" w14:textId="6E8AA0BB" w:rsidR="00D45859" w:rsidRPr="00CE5415" w:rsidRDefault="00D45859" w:rsidP="000975ED">
      <w:pPr>
        <w:pStyle w:val="SingleTxt"/>
        <w:numPr>
          <w:ilvl w:val="0"/>
          <w:numId w:val="9"/>
        </w:numPr>
        <w:spacing w:line="240" w:lineRule="exact"/>
        <w:rPr>
          <w:lang w:val="fr-FR"/>
        </w:rPr>
      </w:pPr>
      <w:r w:rsidRPr="00CE5415">
        <w:rPr>
          <w:lang w:val="fr-FR"/>
        </w:rPr>
        <w:t>L</w:t>
      </w:r>
      <w:r>
        <w:rPr>
          <w:lang w:val="fr-FR"/>
        </w:rPr>
        <w:t>’</w:t>
      </w:r>
      <w:r w:rsidRPr="00CE5415">
        <w:rPr>
          <w:lang w:val="fr-FR"/>
        </w:rPr>
        <w:t>auteure affirme que si elle n</w:t>
      </w:r>
      <w:r>
        <w:rPr>
          <w:lang w:val="fr-FR"/>
        </w:rPr>
        <w:t>’</w:t>
      </w:r>
      <w:r w:rsidRPr="00CE5415">
        <w:rPr>
          <w:lang w:val="fr-FR"/>
        </w:rPr>
        <w:t>avait pas immédiatement pris la fuite, elle aurait été séquestrée par son oncle. Elle s</w:t>
      </w:r>
      <w:r>
        <w:rPr>
          <w:lang w:val="fr-FR"/>
        </w:rPr>
        <w:t>’</w:t>
      </w:r>
      <w:r w:rsidRPr="00CE5415">
        <w:rPr>
          <w:lang w:val="fr-FR"/>
        </w:rPr>
        <w:t>est dans un premier temps rendue en Éthiopie, où elle a été informée par la mère de S. que celui-ci avait été arrêté sur la base d</w:t>
      </w:r>
      <w:r>
        <w:rPr>
          <w:lang w:val="fr-FR"/>
        </w:rPr>
        <w:t>’</w:t>
      </w:r>
      <w:r w:rsidRPr="00CE5415">
        <w:rPr>
          <w:lang w:val="fr-FR"/>
        </w:rPr>
        <w:t>accusations portées par son oncle.</w:t>
      </w:r>
    </w:p>
    <w:p w14:paraId="6BB95CBE" w14:textId="66CD1266" w:rsidR="00D45859" w:rsidRPr="00CE5415" w:rsidRDefault="00D45859" w:rsidP="000975ED">
      <w:pPr>
        <w:pStyle w:val="SingleTxt"/>
        <w:numPr>
          <w:ilvl w:val="0"/>
          <w:numId w:val="9"/>
        </w:numPr>
        <w:spacing w:line="240" w:lineRule="exact"/>
        <w:rPr>
          <w:lang w:val="fr-FR"/>
        </w:rPr>
      </w:pPr>
      <w:r w:rsidRPr="00CE5415">
        <w:rPr>
          <w:lang w:val="fr-FR"/>
        </w:rPr>
        <w:lastRenderedPageBreak/>
        <w:t>L</w:t>
      </w:r>
      <w:r>
        <w:rPr>
          <w:lang w:val="fr-FR"/>
        </w:rPr>
        <w:t>’</w:t>
      </w:r>
      <w:r w:rsidRPr="00CE5415">
        <w:rPr>
          <w:lang w:val="fr-FR"/>
        </w:rPr>
        <w:t>auteure explique qu</w:t>
      </w:r>
      <w:r>
        <w:rPr>
          <w:lang w:val="fr-FR"/>
        </w:rPr>
        <w:t>’</w:t>
      </w:r>
      <w:r w:rsidRPr="00CE5415">
        <w:rPr>
          <w:lang w:val="fr-FR"/>
        </w:rPr>
        <w:t>elle a demandé à la Commission danoise des recours des réfugiés de prendre en compte son besoin de protection et d</w:t>
      </w:r>
      <w:r>
        <w:rPr>
          <w:lang w:val="fr-FR"/>
        </w:rPr>
        <w:t>’</w:t>
      </w:r>
      <w:r w:rsidRPr="00CE5415">
        <w:rPr>
          <w:lang w:val="fr-FR"/>
        </w:rPr>
        <w:t>examiner sa requête sous l</w:t>
      </w:r>
      <w:r>
        <w:rPr>
          <w:lang w:val="fr-FR"/>
        </w:rPr>
        <w:t>’</w:t>
      </w:r>
      <w:r w:rsidRPr="00CE5415">
        <w:rPr>
          <w:lang w:val="fr-FR"/>
        </w:rPr>
        <w:t>angle de la Convention. Selon l</w:t>
      </w:r>
      <w:r>
        <w:rPr>
          <w:lang w:val="fr-FR"/>
        </w:rPr>
        <w:t>’</w:t>
      </w:r>
      <w:r w:rsidRPr="00CE5415">
        <w:rPr>
          <w:lang w:val="fr-FR"/>
        </w:rPr>
        <w:t>auteure, la Commission n</w:t>
      </w:r>
      <w:r>
        <w:rPr>
          <w:lang w:val="fr-FR"/>
        </w:rPr>
        <w:t>’</w:t>
      </w:r>
      <w:r w:rsidRPr="00CE5415">
        <w:rPr>
          <w:lang w:val="fr-FR"/>
        </w:rPr>
        <w:t>a absolument pas tenu compte de la Convention, alors qu</w:t>
      </w:r>
      <w:r>
        <w:rPr>
          <w:lang w:val="fr-FR"/>
        </w:rPr>
        <w:t>’</w:t>
      </w:r>
      <w:r w:rsidRPr="00CE5415">
        <w:rPr>
          <w:lang w:val="fr-FR"/>
        </w:rPr>
        <w:t>elle traitait le dossier d</w:t>
      </w:r>
      <w:r>
        <w:rPr>
          <w:lang w:val="fr-FR"/>
        </w:rPr>
        <w:t>’</w:t>
      </w:r>
      <w:r w:rsidRPr="00CE5415">
        <w:rPr>
          <w:lang w:val="fr-FR"/>
        </w:rPr>
        <w:t>une femme seule, originaire de l</w:t>
      </w:r>
      <w:r>
        <w:rPr>
          <w:lang w:val="fr-FR"/>
        </w:rPr>
        <w:t>’</w:t>
      </w:r>
      <w:r w:rsidRPr="00CE5415">
        <w:rPr>
          <w:lang w:val="fr-FR"/>
        </w:rPr>
        <w:t>un des pays les plus dangereux qui soient pour les femmes. De plus, l</w:t>
      </w:r>
      <w:r>
        <w:rPr>
          <w:lang w:val="fr-FR"/>
        </w:rPr>
        <w:t>’</w:t>
      </w:r>
      <w:r w:rsidRPr="00CE5415">
        <w:rPr>
          <w:lang w:val="fr-FR"/>
        </w:rPr>
        <w:t>auteure appartient au clan minoritaire des A</w:t>
      </w:r>
      <w:r>
        <w:rPr>
          <w:lang w:val="fr-FR"/>
        </w:rPr>
        <w:t>c</w:t>
      </w:r>
      <w:r w:rsidRPr="00CE5415">
        <w:rPr>
          <w:lang w:val="fr-FR"/>
        </w:rPr>
        <w:t>hraf, ce qui complique encore davantage sa situation. Il importait que la Commission prenne en compte le risque que l</w:t>
      </w:r>
      <w:r>
        <w:rPr>
          <w:lang w:val="fr-FR"/>
        </w:rPr>
        <w:t>’</w:t>
      </w:r>
      <w:r w:rsidRPr="00CE5415">
        <w:rPr>
          <w:lang w:val="fr-FR"/>
        </w:rPr>
        <w:t>auteure subisse des actes de violence fondée sur le genre en cas de retour forcé. Toutefois, elle a fondé sa décision sur des considérations de crédibilité, sans tenir compte du besoin de protection de l</w:t>
      </w:r>
      <w:r>
        <w:rPr>
          <w:lang w:val="fr-FR"/>
        </w:rPr>
        <w:t>’</w:t>
      </w:r>
      <w:r w:rsidRPr="00CE5415">
        <w:rPr>
          <w:lang w:val="fr-FR"/>
        </w:rPr>
        <w:t>auteure.</w:t>
      </w:r>
    </w:p>
    <w:p w14:paraId="4127C7DB" w14:textId="3B453A46" w:rsidR="00D45859" w:rsidRPr="00CE5415" w:rsidRDefault="00D45859" w:rsidP="000975ED">
      <w:pPr>
        <w:pStyle w:val="SingleTxt"/>
        <w:numPr>
          <w:ilvl w:val="0"/>
          <w:numId w:val="14"/>
        </w:numPr>
        <w:spacing w:line="240" w:lineRule="exact"/>
        <w:rPr>
          <w:lang w:val="fr-FR"/>
        </w:rPr>
      </w:pPr>
      <w:r w:rsidRPr="00CE5415">
        <w:rPr>
          <w:lang w:val="fr-FR"/>
        </w:rPr>
        <w:t xml:space="preserve">Le </w:t>
      </w:r>
      <w:r w:rsidRPr="00C74BFE">
        <w:rPr>
          <w:lang w:val="fr-FR"/>
        </w:rPr>
        <w:t>1</w:t>
      </w:r>
      <w:r w:rsidRPr="00CE5415">
        <w:rPr>
          <w:vertAlign w:val="superscript"/>
          <w:lang w:val="fr-FR"/>
        </w:rPr>
        <w:t>er</w:t>
      </w:r>
      <w:r>
        <w:rPr>
          <w:lang w:val="fr-FR"/>
        </w:rPr>
        <w:t> </w:t>
      </w:r>
      <w:r w:rsidRPr="00CE5415">
        <w:rPr>
          <w:lang w:val="fr-FR"/>
        </w:rPr>
        <w:t xml:space="preserve">décembre </w:t>
      </w:r>
      <w:r w:rsidRPr="00C74BFE">
        <w:rPr>
          <w:lang w:val="fr-FR"/>
        </w:rPr>
        <w:t>2015</w:t>
      </w:r>
      <w:r w:rsidRPr="00CE5415">
        <w:rPr>
          <w:lang w:val="fr-FR"/>
        </w:rPr>
        <w:t>, la majorité des membres de la Commission danoise des recours des réfugiés ont rejeté la demande d</w:t>
      </w:r>
      <w:r>
        <w:rPr>
          <w:lang w:val="fr-FR"/>
        </w:rPr>
        <w:t>’</w:t>
      </w:r>
      <w:r w:rsidRPr="00CE5415">
        <w:rPr>
          <w:lang w:val="fr-FR"/>
        </w:rPr>
        <w:t>asile de l</w:t>
      </w:r>
      <w:r>
        <w:rPr>
          <w:lang w:val="fr-FR"/>
        </w:rPr>
        <w:t>’</w:t>
      </w:r>
      <w:r w:rsidRPr="00CE5415">
        <w:rPr>
          <w:lang w:val="fr-FR"/>
        </w:rPr>
        <w:t>auteure, estimant que les explications fournies par celle-ci étaient imprécises et contradictoires. Ils n</w:t>
      </w:r>
      <w:r>
        <w:rPr>
          <w:lang w:val="fr-FR"/>
        </w:rPr>
        <w:t>’</w:t>
      </w:r>
      <w:r w:rsidRPr="00CE5415">
        <w:rPr>
          <w:lang w:val="fr-FR"/>
        </w:rPr>
        <w:t>ont pas considéré que, dans l</w:t>
      </w:r>
      <w:r>
        <w:rPr>
          <w:lang w:val="fr-FR"/>
        </w:rPr>
        <w:t>’</w:t>
      </w:r>
      <w:r w:rsidRPr="00CE5415">
        <w:rPr>
          <w:lang w:val="fr-FR"/>
        </w:rPr>
        <w:t>éventualité où l</w:t>
      </w:r>
      <w:r>
        <w:rPr>
          <w:lang w:val="fr-FR"/>
        </w:rPr>
        <w:t>’</w:t>
      </w:r>
      <w:r w:rsidRPr="00CE5415">
        <w:rPr>
          <w:lang w:val="fr-FR"/>
        </w:rPr>
        <w:t>auteure retournerait en Somalie sans entourage masculin, celle-ci courrait le risque d</w:t>
      </w:r>
      <w:r>
        <w:rPr>
          <w:lang w:val="fr-FR"/>
        </w:rPr>
        <w:t>’</w:t>
      </w:r>
      <w:r w:rsidRPr="00CE5415">
        <w:rPr>
          <w:lang w:val="fr-FR"/>
        </w:rPr>
        <w:t>être victime d</w:t>
      </w:r>
      <w:r>
        <w:rPr>
          <w:lang w:val="fr-FR"/>
        </w:rPr>
        <w:t>’</w:t>
      </w:r>
      <w:r w:rsidRPr="00CE5415">
        <w:rPr>
          <w:lang w:val="fr-FR"/>
        </w:rPr>
        <w:t>actes d</w:t>
      </w:r>
      <w:r>
        <w:rPr>
          <w:lang w:val="fr-FR"/>
        </w:rPr>
        <w:t>’</w:t>
      </w:r>
      <w:r w:rsidRPr="00CE5415">
        <w:rPr>
          <w:lang w:val="fr-FR"/>
        </w:rPr>
        <w:t>agression visés à l</w:t>
      </w:r>
      <w:r>
        <w:rPr>
          <w:lang w:val="fr-FR"/>
        </w:rPr>
        <w:t>’</w:t>
      </w:r>
      <w:r w:rsidRPr="00CE5415">
        <w:rPr>
          <w:lang w:val="fr-FR"/>
        </w:rPr>
        <w:t>alinéa</w:t>
      </w:r>
      <w:r w:rsidRPr="00C74BFE">
        <w:rPr>
          <w:lang w:val="fr-FR"/>
        </w:rPr>
        <w:t>2</w:t>
      </w:r>
      <w:r w:rsidRPr="00CE5415">
        <w:rPr>
          <w:lang w:val="fr-FR"/>
        </w:rPr>
        <w:t xml:space="preserve"> de l</w:t>
      </w:r>
      <w:r>
        <w:rPr>
          <w:lang w:val="fr-FR"/>
        </w:rPr>
        <w:t>’</w:t>
      </w:r>
      <w:r w:rsidRPr="00CE5415">
        <w:rPr>
          <w:lang w:val="fr-FR"/>
        </w:rPr>
        <w:t>article</w:t>
      </w:r>
      <w:r w:rsidR="00C03EAF">
        <w:rPr>
          <w:lang w:val="fr-FR"/>
        </w:rPr>
        <w:t xml:space="preserve"> </w:t>
      </w:r>
      <w:r w:rsidRPr="00C74BFE">
        <w:rPr>
          <w:lang w:val="fr-FR"/>
        </w:rPr>
        <w:t>7</w:t>
      </w:r>
      <w:r w:rsidRPr="00CE5415">
        <w:rPr>
          <w:lang w:val="fr-FR"/>
        </w:rPr>
        <w:t xml:space="preserve"> de la loi sur les étrangers. En outre, selon eux, le fait que l</w:t>
      </w:r>
      <w:r>
        <w:rPr>
          <w:lang w:val="fr-FR"/>
        </w:rPr>
        <w:t>’</w:t>
      </w:r>
      <w:r w:rsidRPr="00CE5415">
        <w:rPr>
          <w:lang w:val="fr-FR"/>
        </w:rPr>
        <w:t xml:space="preserve">auteure prétende devoir se rendre à </w:t>
      </w:r>
      <w:r w:rsidRPr="0010073B">
        <w:rPr>
          <w:lang w:val="fr-FR"/>
        </w:rPr>
        <w:t>Baardheere</w:t>
      </w:r>
      <w:r w:rsidRPr="00CE5415">
        <w:rPr>
          <w:lang w:val="fr-FR"/>
        </w:rPr>
        <w:t xml:space="preserve"> depuis Mogadiscio ne pouvait amener la Commission à tirer une conclusion différente. D</w:t>
      </w:r>
      <w:r>
        <w:rPr>
          <w:lang w:val="fr-FR"/>
        </w:rPr>
        <w:t>’</w:t>
      </w:r>
      <w:r w:rsidRPr="00CE5415">
        <w:rPr>
          <w:lang w:val="fr-FR"/>
        </w:rPr>
        <w:t>après l</w:t>
      </w:r>
      <w:r>
        <w:rPr>
          <w:lang w:val="fr-FR"/>
        </w:rPr>
        <w:t>’</w:t>
      </w:r>
      <w:r w:rsidRPr="00CE5415">
        <w:rPr>
          <w:lang w:val="fr-FR"/>
        </w:rPr>
        <w:t>auteure, bien qu</w:t>
      </w:r>
      <w:r>
        <w:rPr>
          <w:lang w:val="fr-FR"/>
        </w:rPr>
        <w:t>’</w:t>
      </w:r>
      <w:r w:rsidRPr="00CE5415">
        <w:rPr>
          <w:lang w:val="fr-FR"/>
        </w:rPr>
        <w:t>une minorité des membres de la Commission aient estimé qu</w:t>
      </w:r>
      <w:r>
        <w:rPr>
          <w:lang w:val="fr-FR"/>
        </w:rPr>
        <w:t>’</w:t>
      </w:r>
      <w:r w:rsidRPr="00CE5415">
        <w:rPr>
          <w:lang w:val="fr-FR"/>
        </w:rPr>
        <w:t>elle risquait d</w:t>
      </w:r>
      <w:r>
        <w:rPr>
          <w:lang w:val="fr-FR"/>
        </w:rPr>
        <w:t>’</w:t>
      </w:r>
      <w:r w:rsidRPr="00CE5415">
        <w:rPr>
          <w:lang w:val="fr-FR"/>
        </w:rPr>
        <w:t>être victime de persécutions en cas d</w:t>
      </w:r>
      <w:r>
        <w:rPr>
          <w:lang w:val="fr-FR"/>
        </w:rPr>
        <w:t>’</w:t>
      </w:r>
      <w:r w:rsidRPr="00CE5415">
        <w:rPr>
          <w:lang w:val="fr-FR"/>
        </w:rPr>
        <w:t>expulsion, la majorité d</w:t>
      </w:r>
      <w:r>
        <w:rPr>
          <w:lang w:val="fr-FR"/>
        </w:rPr>
        <w:t>’</w:t>
      </w:r>
      <w:r w:rsidRPr="00CE5415">
        <w:rPr>
          <w:lang w:val="fr-FR"/>
        </w:rPr>
        <w:t>entre eux ont rejeté sa demande, arguant que son récit ne leur paraissait pas crédible et que le fait d</w:t>
      </w:r>
      <w:r>
        <w:rPr>
          <w:lang w:val="fr-FR"/>
        </w:rPr>
        <w:t>’</w:t>
      </w:r>
      <w:r w:rsidRPr="00CE5415">
        <w:rPr>
          <w:lang w:val="fr-FR"/>
        </w:rPr>
        <w:t>être une femme seule craignant d</w:t>
      </w:r>
      <w:r>
        <w:rPr>
          <w:lang w:val="fr-FR"/>
        </w:rPr>
        <w:t>’</w:t>
      </w:r>
      <w:r w:rsidRPr="00CE5415">
        <w:rPr>
          <w:lang w:val="fr-FR"/>
        </w:rPr>
        <w:t>être persécutée en Somalie ne constituait pas un motif suffisant po</w:t>
      </w:r>
      <w:r>
        <w:rPr>
          <w:lang w:val="fr-FR"/>
        </w:rPr>
        <w:t>ur obtenir l’asile au Danemark.</w:t>
      </w:r>
    </w:p>
    <w:p w14:paraId="2E2AE684" w14:textId="656B328C" w:rsidR="00D45859" w:rsidRPr="00CE5415" w:rsidRDefault="00D45859" w:rsidP="000975ED">
      <w:pPr>
        <w:pStyle w:val="SingleTxt"/>
        <w:numPr>
          <w:ilvl w:val="0"/>
          <w:numId w:val="13"/>
        </w:numPr>
        <w:spacing w:line="240" w:lineRule="exact"/>
        <w:rPr>
          <w:lang w:val="fr-FR"/>
        </w:rPr>
      </w:pPr>
      <w:r w:rsidRPr="00CE5415">
        <w:rPr>
          <w:lang w:val="fr-FR"/>
        </w:rPr>
        <w:t>L</w:t>
      </w:r>
      <w:r>
        <w:rPr>
          <w:lang w:val="fr-FR"/>
        </w:rPr>
        <w:t>’</w:t>
      </w:r>
      <w:r w:rsidRPr="00CE5415">
        <w:rPr>
          <w:lang w:val="fr-FR"/>
        </w:rPr>
        <w:t>auteure ajoute que des mutilations génitales féminines lui ont été infligées par le passé et que, en tant que femme vivant en Somalie, elle a été opprimée tout au long de sa vie. Dans une société dominée par les hommes, elle n</w:t>
      </w:r>
      <w:r>
        <w:rPr>
          <w:lang w:val="fr-FR"/>
        </w:rPr>
        <w:t>’</w:t>
      </w:r>
      <w:r w:rsidRPr="00CE5415">
        <w:rPr>
          <w:lang w:val="fr-FR"/>
        </w:rPr>
        <w:t>a pas pu trouver d</w:t>
      </w:r>
      <w:r>
        <w:rPr>
          <w:lang w:val="fr-FR"/>
        </w:rPr>
        <w:t>’</w:t>
      </w:r>
      <w:r w:rsidRPr="00CE5415">
        <w:rPr>
          <w:lang w:val="fr-FR"/>
        </w:rPr>
        <w:t>aide auprès des autorités. Son souhait et son droit de choisir son mari n</w:t>
      </w:r>
      <w:r>
        <w:rPr>
          <w:lang w:val="fr-FR"/>
        </w:rPr>
        <w:t>’</w:t>
      </w:r>
      <w:r w:rsidRPr="00CE5415">
        <w:rPr>
          <w:lang w:val="fr-FR"/>
        </w:rPr>
        <w:t>ont pas été respectés, son oncle ayant voulu la marier de force à un homme qu</w:t>
      </w:r>
      <w:r>
        <w:rPr>
          <w:lang w:val="fr-FR"/>
        </w:rPr>
        <w:t>’</w:t>
      </w:r>
      <w:r w:rsidRPr="00CE5415">
        <w:rPr>
          <w:lang w:val="fr-FR"/>
        </w:rPr>
        <w:t>elle ne connaissait pas. Certes, les Chabab ne contrôlent plus la zone, mais il n</w:t>
      </w:r>
      <w:r>
        <w:rPr>
          <w:lang w:val="fr-FR"/>
        </w:rPr>
        <w:t>’</w:t>
      </w:r>
      <w:r w:rsidRPr="00CE5415">
        <w:rPr>
          <w:lang w:val="fr-FR"/>
        </w:rPr>
        <w:t>en demeure pas moins que la société somalienne est très patriarcale et opprime les femmes désireuses de s</w:t>
      </w:r>
      <w:r>
        <w:rPr>
          <w:lang w:val="fr-FR"/>
        </w:rPr>
        <w:t>’</w:t>
      </w:r>
      <w:r w:rsidRPr="00CE5415">
        <w:rPr>
          <w:lang w:val="fr-FR"/>
        </w:rPr>
        <w:t>émanciper, notamment en perpétuant des pratiques violentes, telles que les crimes d</w:t>
      </w:r>
      <w:r>
        <w:rPr>
          <w:lang w:val="fr-FR"/>
        </w:rPr>
        <w:t>’</w:t>
      </w:r>
      <w:r w:rsidRPr="00CE5415">
        <w:rPr>
          <w:lang w:val="fr-FR"/>
        </w:rPr>
        <w:t>honneur.</w:t>
      </w:r>
    </w:p>
    <w:p w14:paraId="3EDA1425" w14:textId="03C631A5" w:rsidR="00D45859" w:rsidRPr="00CE5415" w:rsidRDefault="00D45859" w:rsidP="000975ED">
      <w:pPr>
        <w:pStyle w:val="SingleTxt"/>
        <w:numPr>
          <w:ilvl w:val="0"/>
          <w:numId w:val="12"/>
        </w:numPr>
        <w:spacing w:line="240" w:lineRule="exact"/>
        <w:rPr>
          <w:lang w:val="fr-FR"/>
        </w:rPr>
      </w:pPr>
      <w:r w:rsidRPr="00CE5415">
        <w:rPr>
          <w:lang w:val="fr-FR"/>
        </w:rPr>
        <w:t>Selon l</w:t>
      </w:r>
      <w:r>
        <w:rPr>
          <w:lang w:val="fr-FR"/>
        </w:rPr>
        <w:t>’</w:t>
      </w:r>
      <w:r w:rsidRPr="00CE5415">
        <w:rPr>
          <w:lang w:val="fr-FR"/>
        </w:rPr>
        <w:t>auteure, au-delà de toute considération de crédibilité, il est un fait qu</w:t>
      </w:r>
      <w:r>
        <w:rPr>
          <w:lang w:val="fr-FR"/>
        </w:rPr>
        <w:t>’</w:t>
      </w:r>
      <w:r w:rsidRPr="00CE5415">
        <w:rPr>
          <w:lang w:val="fr-FR"/>
        </w:rPr>
        <w:t>elle est une femme seule, originaire de l</w:t>
      </w:r>
      <w:r>
        <w:rPr>
          <w:lang w:val="fr-FR"/>
        </w:rPr>
        <w:t>’</w:t>
      </w:r>
      <w:r w:rsidRPr="00CE5415">
        <w:rPr>
          <w:lang w:val="fr-FR"/>
        </w:rPr>
        <w:t>un des pays les plus répressifs et discriminatoires à l</w:t>
      </w:r>
      <w:r>
        <w:rPr>
          <w:lang w:val="fr-FR"/>
        </w:rPr>
        <w:t>’</w:t>
      </w:r>
      <w:r w:rsidRPr="00CE5415">
        <w:rPr>
          <w:lang w:val="fr-FR"/>
        </w:rPr>
        <w:t>égard des femmes. L</w:t>
      </w:r>
      <w:r>
        <w:rPr>
          <w:lang w:val="fr-FR"/>
        </w:rPr>
        <w:t>’</w:t>
      </w:r>
      <w:r w:rsidRPr="00CE5415">
        <w:rPr>
          <w:lang w:val="fr-FR"/>
        </w:rPr>
        <w:t>auteure avait notamment justifié sa demande d</w:t>
      </w:r>
      <w:r>
        <w:rPr>
          <w:lang w:val="fr-FR"/>
        </w:rPr>
        <w:t>’</w:t>
      </w:r>
      <w:r w:rsidRPr="00CE5415">
        <w:rPr>
          <w:lang w:val="fr-FR"/>
        </w:rPr>
        <w:t>asile en mentionnant qu</w:t>
      </w:r>
      <w:r>
        <w:rPr>
          <w:lang w:val="fr-FR"/>
        </w:rPr>
        <w:t>’</w:t>
      </w:r>
      <w:r w:rsidRPr="00CE5415">
        <w:rPr>
          <w:lang w:val="fr-FR"/>
        </w:rPr>
        <w:t>elle courait le risque d</w:t>
      </w:r>
      <w:r>
        <w:rPr>
          <w:lang w:val="fr-FR"/>
        </w:rPr>
        <w:t>’</w:t>
      </w:r>
      <w:r w:rsidRPr="00CE5415">
        <w:rPr>
          <w:lang w:val="fr-FR"/>
        </w:rPr>
        <w:t>être victime d</w:t>
      </w:r>
      <w:r>
        <w:rPr>
          <w:lang w:val="fr-FR"/>
        </w:rPr>
        <w:t>’</w:t>
      </w:r>
      <w:r w:rsidRPr="00CE5415">
        <w:rPr>
          <w:lang w:val="fr-FR"/>
        </w:rPr>
        <w:t xml:space="preserve">actes de violence fondée sur le genre en Somalie, </w:t>
      </w:r>
      <w:r>
        <w:rPr>
          <w:lang w:val="fr-FR"/>
        </w:rPr>
        <w:t>y compris</w:t>
      </w:r>
      <w:r w:rsidRPr="00CE5415">
        <w:rPr>
          <w:lang w:val="fr-FR"/>
        </w:rPr>
        <w:t xml:space="preserve"> de viol. Une femme ne peut se déplacer en Somalie sans la protection d</w:t>
      </w:r>
      <w:r>
        <w:rPr>
          <w:lang w:val="fr-FR"/>
        </w:rPr>
        <w:t>’</w:t>
      </w:r>
      <w:r w:rsidRPr="00CE5415">
        <w:rPr>
          <w:lang w:val="fr-FR"/>
        </w:rPr>
        <w:t>un entourage masculin. Divers groupes contrôlent les routes et profitent de la domination masculine pou</w:t>
      </w:r>
      <w:r>
        <w:rPr>
          <w:lang w:val="fr-FR"/>
        </w:rPr>
        <w:t>r persécuter les femmes seules.</w:t>
      </w:r>
    </w:p>
    <w:p w14:paraId="4F43A023" w14:textId="6901C3EC" w:rsidR="00D45859" w:rsidRDefault="00D45859" w:rsidP="000975ED">
      <w:pPr>
        <w:pStyle w:val="SingleTxt"/>
        <w:numPr>
          <w:ilvl w:val="0"/>
          <w:numId w:val="11"/>
        </w:numPr>
        <w:spacing w:line="240" w:lineRule="exact"/>
        <w:rPr>
          <w:lang w:val="fr-FR"/>
        </w:rPr>
      </w:pPr>
      <w:r w:rsidRPr="00CE5415">
        <w:rPr>
          <w:lang w:val="fr-FR"/>
        </w:rPr>
        <w:t>L</w:t>
      </w:r>
      <w:r>
        <w:rPr>
          <w:lang w:val="fr-FR"/>
        </w:rPr>
        <w:t>’</w:t>
      </w:r>
      <w:r w:rsidRPr="00CE5415">
        <w:rPr>
          <w:lang w:val="fr-FR"/>
        </w:rPr>
        <w:t>auteure craint également d</w:t>
      </w:r>
      <w:r>
        <w:rPr>
          <w:lang w:val="fr-FR"/>
        </w:rPr>
        <w:t>’</w:t>
      </w:r>
      <w:r w:rsidRPr="00CE5415">
        <w:rPr>
          <w:lang w:val="fr-FR"/>
        </w:rPr>
        <w:t>être persécutée par sa propre famille dans sa ville natale. Bien que la zone soit sous le contrôle des forces gouvernementales, il n</w:t>
      </w:r>
      <w:r>
        <w:rPr>
          <w:lang w:val="fr-FR"/>
        </w:rPr>
        <w:t>’</w:t>
      </w:r>
      <w:r w:rsidRPr="00CE5415">
        <w:rPr>
          <w:lang w:val="fr-FR"/>
        </w:rPr>
        <w:t xml:space="preserve">y a pas à </w:t>
      </w:r>
      <w:r w:rsidRPr="00A53D61">
        <w:rPr>
          <w:lang w:val="fr-FR"/>
        </w:rPr>
        <w:t>Baardheere</w:t>
      </w:r>
      <w:r w:rsidRPr="00CE5415">
        <w:rPr>
          <w:lang w:val="fr-FR"/>
        </w:rPr>
        <w:t xml:space="preserve"> d</w:t>
      </w:r>
      <w:r>
        <w:rPr>
          <w:lang w:val="fr-FR"/>
        </w:rPr>
        <w:t>’</w:t>
      </w:r>
      <w:r w:rsidRPr="00CE5415">
        <w:rPr>
          <w:lang w:val="fr-FR"/>
        </w:rPr>
        <w:t>autorités capables de la protéger de la violence sexuelle et sexiste. Ainsi, en plus d</w:t>
      </w:r>
      <w:r>
        <w:rPr>
          <w:lang w:val="fr-FR"/>
        </w:rPr>
        <w:t>’</w:t>
      </w:r>
      <w:r w:rsidRPr="00CE5415">
        <w:rPr>
          <w:lang w:val="fr-FR"/>
        </w:rPr>
        <w:t>être victime de cette forme de violence, elle ne recevra aucune protection policière ou autre.</w:t>
      </w:r>
    </w:p>
    <w:p w14:paraId="7063509A" w14:textId="049B576A" w:rsidR="00D45859" w:rsidRPr="00DF738B" w:rsidRDefault="00D45859" w:rsidP="000975ED">
      <w:pPr>
        <w:pStyle w:val="SingleTxt"/>
        <w:numPr>
          <w:ilvl w:val="0"/>
          <w:numId w:val="10"/>
        </w:numPr>
        <w:spacing w:line="240" w:lineRule="exact"/>
        <w:rPr>
          <w:lang w:val="fr-FR"/>
        </w:rPr>
      </w:pPr>
      <w:r w:rsidRPr="00DF738B">
        <w:rPr>
          <w:lang w:val="fr-FR"/>
        </w:rPr>
        <w:t>L</w:t>
      </w:r>
      <w:r>
        <w:rPr>
          <w:lang w:val="fr-FR"/>
        </w:rPr>
        <w:t>’</w:t>
      </w:r>
      <w:r w:rsidRPr="00DF738B">
        <w:rPr>
          <w:lang w:val="fr-FR"/>
        </w:rPr>
        <w:t>auteure affirme que les autorités n</w:t>
      </w:r>
      <w:r>
        <w:rPr>
          <w:lang w:val="fr-FR"/>
        </w:rPr>
        <w:t>’</w:t>
      </w:r>
      <w:r w:rsidRPr="00DF738B">
        <w:rPr>
          <w:lang w:val="fr-FR"/>
        </w:rPr>
        <w:t>ont pas examiné sa demande d</w:t>
      </w:r>
      <w:r>
        <w:rPr>
          <w:lang w:val="fr-FR"/>
        </w:rPr>
        <w:t>’</w:t>
      </w:r>
      <w:r w:rsidRPr="00DF738B">
        <w:rPr>
          <w:lang w:val="fr-FR"/>
        </w:rPr>
        <w:t>asile compte tenu des obligations que leur imposait la Convention, ce que son conseil les avait pourtant expressément invitées à faire.</w:t>
      </w:r>
    </w:p>
    <w:p w14:paraId="2D1827BF" w14:textId="0DFC52BE" w:rsidR="00D45859" w:rsidRDefault="00D45859" w:rsidP="000975ED">
      <w:pPr>
        <w:pStyle w:val="SingleTxt"/>
        <w:numPr>
          <w:ilvl w:val="0"/>
          <w:numId w:val="10"/>
        </w:numPr>
        <w:spacing w:line="240" w:lineRule="exact"/>
        <w:rPr>
          <w:lang w:val="fr-FR"/>
        </w:rPr>
      </w:pPr>
      <w:r w:rsidRPr="00DF738B">
        <w:rPr>
          <w:lang w:val="fr-FR"/>
        </w:rPr>
        <w:t>L</w:t>
      </w:r>
      <w:r>
        <w:rPr>
          <w:lang w:val="fr-FR"/>
        </w:rPr>
        <w:t>’</w:t>
      </w:r>
      <w:r w:rsidRPr="00DF738B">
        <w:rPr>
          <w:lang w:val="fr-FR"/>
        </w:rPr>
        <w:t>auteure affirme également que son expulsion vers la Somalie constituerait une violation par le Danemark des articles</w:t>
      </w:r>
      <w:r>
        <w:rPr>
          <w:lang w:val="fr-FR"/>
        </w:rPr>
        <w:t> </w:t>
      </w:r>
      <w:r w:rsidRPr="00C74BFE">
        <w:rPr>
          <w:lang w:val="fr-FR"/>
        </w:rPr>
        <w:t>2</w:t>
      </w:r>
      <w:r w:rsidRPr="00DF738B">
        <w:rPr>
          <w:lang w:val="fr-FR"/>
        </w:rPr>
        <w:t xml:space="preserve"> d), </w:t>
      </w:r>
      <w:r w:rsidRPr="00C74BFE">
        <w:rPr>
          <w:lang w:val="fr-FR"/>
        </w:rPr>
        <w:t>12</w:t>
      </w:r>
      <w:r>
        <w:rPr>
          <w:lang w:val="fr-FR"/>
        </w:rPr>
        <w:t xml:space="preserve">, </w:t>
      </w:r>
      <w:r w:rsidRPr="00C74BFE">
        <w:rPr>
          <w:lang w:val="fr-FR"/>
        </w:rPr>
        <w:t>15</w:t>
      </w:r>
      <w:r w:rsidRPr="00DF738B">
        <w:rPr>
          <w:lang w:val="fr-FR"/>
        </w:rPr>
        <w:t xml:space="preserve"> et </w:t>
      </w:r>
      <w:r w:rsidRPr="00C74BFE">
        <w:rPr>
          <w:lang w:val="fr-FR"/>
        </w:rPr>
        <w:t>16</w:t>
      </w:r>
      <w:r w:rsidRPr="00DF738B">
        <w:rPr>
          <w:lang w:val="fr-FR"/>
        </w:rPr>
        <w:t xml:space="preserve"> de la Convention, ainsi que du principe de non-refoulement tel qu</w:t>
      </w:r>
      <w:r>
        <w:rPr>
          <w:lang w:val="fr-FR"/>
        </w:rPr>
        <w:t>’</w:t>
      </w:r>
      <w:r w:rsidRPr="00DF738B">
        <w:rPr>
          <w:lang w:val="fr-FR"/>
        </w:rPr>
        <w:t>énoncé dans la recommandation générale n</w:t>
      </w:r>
      <w:r w:rsidRPr="00DF738B">
        <w:rPr>
          <w:vertAlign w:val="superscript"/>
          <w:lang w:val="fr-FR"/>
        </w:rPr>
        <w:t>o</w:t>
      </w:r>
      <w:r w:rsidRPr="00DF738B">
        <w:rPr>
          <w:lang w:val="fr-FR"/>
        </w:rPr>
        <w:t> </w:t>
      </w:r>
      <w:r w:rsidRPr="00C74BFE">
        <w:rPr>
          <w:lang w:val="fr-FR"/>
        </w:rPr>
        <w:t>32</w:t>
      </w:r>
      <w:r w:rsidR="00197BEE">
        <w:rPr>
          <w:color w:val="FF0000"/>
          <w:lang w:val="fr-FR"/>
        </w:rPr>
        <w:t xml:space="preserve"> </w:t>
      </w:r>
      <w:r w:rsidRPr="00DF738B">
        <w:rPr>
          <w:lang w:val="fr-FR"/>
        </w:rPr>
        <w:t>(</w:t>
      </w:r>
      <w:r w:rsidRPr="00C74BFE">
        <w:rPr>
          <w:lang w:val="fr-FR"/>
        </w:rPr>
        <w:t>2014</w:t>
      </w:r>
      <w:r w:rsidRPr="00DF738B">
        <w:rPr>
          <w:lang w:val="fr-FR"/>
        </w:rPr>
        <w:t>) du Comité</w:t>
      </w:r>
      <w:r>
        <w:rPr>
          <w:lang w:val="fr-FR"/>
        </w:rPr>
        <w:t>.</w:t>
      </w:r>
    </w:p>
    <w:p w14:paraId="12B99159" w14:textId="75DD88F1" w:rsidR="00D45859" w:rsidRDefault="00D45859" w:rsidP="00D4585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lastRenderedPageBreak/>
        <w:tab/>
      </w:r>
      <w:r>
        <w:tab/>
      </w:r>
      <w:r w:rsidRPr="00DA70BB">
        <w:rPr>
          <w:lang w:val="fr-FR"/>
        </w:rPr>
        <w:t>Observations de l</w:t>
      </w:r>
      <w:r>
        <w:rPr>
          <w:lang w:val="fr-FR"/>
        </w:rPr>
        <w:t>’</w:t>
      </w:r>
      <w:r w:rsidRPr="00DA70BB">
        <w:rPr>
          <w:lang w:val="fr-FR"/>
        </w:rPr>
        <w:t>État partie sur la recevabilité et sur le fond</w:t>
      </w:r>
    </w:p>
    <w:p w14:paraId="4EDB8501" w14:textId="568A5027" w:rsidR="00D45859" w:rsidRPr="00D45859" w:rsidRDefault="00D45859" w:rsidP="00D45859">
      <w:pPr>
        <w:pStyle w:val="SingleTxt"/>
        <w:spacing w:after="0" w:line="120" w:lineRule="exact"/>
        <w:rPr>
          <w:sz w:val="10"/>
          <w:lang w:val="fr-FR"/>
        </w:rPr>
      </w:pPr>
    </w:p>
    <w:p w14:paraId="7409B754" w14:textId="7853E83B" w:rsidR="00D45859" w:rsidRPr="003078EC" w:rsidRDefault="00D45859" w:rsidP="000975ED">
      <w:pPr>
        <w:pStyle w:val="SingleTxt"/>
        <w:numPr>
          <w:ilvl w:val="0"/>
          <w:numId w:val="15"/>
        </w:numPr>
        <w:spacing w:line="240" w:lineRule="exact"/>
        <w:rPr>
          <w:lang w:val="fr-FR"/>
        </w:rPr>
      </w:pPr>
      <w:r w:rsidRPr="003078EC">
        <w:rPr>
          <w:lang w:val="fr-FR"/>
        </w:rPr>
        <w:t>L</w:t>
      </w:r>
      <w:r>
        <w:rPr>
          <w:lang w:val="fr-FR"/>
        </w:rPr>
        <w:t>’</w:t>
      </w:r>
      <w:r w:rsidRPr="003078EC">
        <w:rPr>
          <w:lang w:val="fr-FR"/>
        </w:rPr>
        <w:t xml:space="preserve">État partie a présenté ses observations sur la recevabilité et sur le fond de la requête dans une note verbale datée du </w:t>
      </w:r>
      <w:r w:rsidRPr="00C74BFE">
        <w:rPr>
          <w:lang w:val="fr-FR"/>
        </w:rPr>
        <w:t>11</w:t>
      </w:r>
      <w:r>
        <w:rPr>
          <w:lang w:val="fr-FR"/>
        </w:rPr>
        <w:t> </w:t>
      </w:r>
      <w:r w:rsidRPr="003078EC">
        <w:rPr>
          <w:lang w:val="fr-FR"/>
        </w:rPr>
        <w:t xml:space="preserve">août </w:t>
      </w:r>
      <w:r w:rsidRPr="00C74BFE">
        <w:rPr>
          <w:lang w:val="fr-FR"/>
        </w:rPr>
        <w:t>2016</w:t>
      </w:r>
      <w:r w:rsidRPr="003078EC">
        <w:rPr>
          <w:lang w:val="fr-FR"/>
        </w:rPr>
        <w:t xml:space="preserve">. À titre préliminaire, il informe le Comité que, le </w:t>
      </w:r>
      <w:r w:rsidRPr="00C74BFE">
        <w:rPr>
          <w:lang w:val="fr-FR"/>
        </w:rPr>
        <w:t>22</w:t>
      </w:r>
      <w:r>
        <w:rPr>
          <w:lang w:val="fr-FR"/>
        </w:rPr>
        <w:t> </w:t>
      </w:r>
      <w:r w:rsidRPr="003078EC">
        <w:rPr>
          <w:lang w:val="fr-FR"/>
        </w:rPr>
        <w:t xml:space="preserve">février </w:t>
      </w:r>
      <w:r w:rsidRPr="00C74BFE">
        <w:rPr>
          <w:lang w:val="fr-FR"/>
        </w:rPr>
        <w:t>2016</w:t>
      </w:r>
      <w:r w:rsidRPr="003078EC">
        <w:rPr>
          <w:lang w:val="fr-FR"/>
        </w:rPr>
        <w:t>, la Commission des recours des réfugiés a suspendu le délai fixé pour l</w:t>
      </w:r>
      <w:r>
        <w:rPr>
          <w:lang w:val="fr-FR"/>
        </w:rPr>
        <w:t>’</w:t>
      </w:r>
      <w:r w:rsidRPr="003078EC">
        <w:rPr>
          <w:lang w:val="fr-FR"/>
        </w:rPr>
        <w:t>expulsion de l</w:t>
      </w:r>
      <w:r>
        <w:rPr>
          <w:lang w:val="fr-FR"/>
        </w:rPr>
        <w:t>’</w:t>
      </w:r>
      <w:r w:rsidRPr="003078EC">
        <w:rPr>
          <w:lang w:val="fr-FR"/>
        </w:rPr>
        <w:t>auteure après la soumission par le Comité d</w:t>
      </w:r>
      <w:r>
        <w:rPr>
          <w:lang w:val="fr-FR"/>
        </w:rPr>
        <w:t>’</w:t>
      </w:r>
      <w:r w:rsidRPr="003078EC">
        <w:rPr>
          <w:lang w:val="fr-FR"/>
        </w:rPr>
        <w:t>une demande de mesures conservatoires. L</w:t>
      </w:r>
      <w:r>
        <w:rPr>
          <w:lang w:val="fr-FR"/>
        </w:rPr>
        <w:t>’</w:t>
      </w:r>
      <w:r w:rsidRPr="003078EC">
        <w:rPr>
          <w:lang w:val="fr-FR"/>
        </w:rPr>
        <w:t>État partie rappelle les faits : l</w:t>
      </w:r>
      <w:r>
        <w:rPr>
          <w:lang w:val="fr-FR"/>
        </w:rPr>
        <w:t>’</w:t>
      </w:r>
      <w:r w:rsidRPr="003078EC">
        <w:rPr>
          <w:lang w:val="fr-FR"/>
        </w:rPr>
        <w:t xml:space="preserve">auteure, de nationalité somalienne et née en </w:t>
      </w:r>
      <w:r w:rsidRPr="00C74BFE">
        <w:rPr>
          <w:lang w:val="fr-FR"/>
        </w:rPr>
        <w:t>1989</w:t>
      </w:r>
      <w:r w:rsidRPr="003078EC">
        <w:rPr>
          <w:lang w:val="fr-FR"/>
        </w:rPr>
        <w:t xml:space="preserve">, est entrée au Danemark le </w:t>
      </w:r>
      <w:r w:rsidRPr="00C74BFE">
        <w:rPr>
          <w:lang w:val="fr-FR"/>
        </w:rPr>
        <w:t>15</w:t>
      </w:r>
      <w:r>
        <w:rPr>
          <w:lang w:val="fr-FR"/>
        </w:rPr>
        <w:t> </w:t>
      </w:r>
      <w:r w:rsidRPr="003078EC">
        <w:rPr>
          <w:lang w:val="fr-FR"/>
        </w:rPr>
        <w:t xml:space="preserve">août </w:t>
      </w:r>
      <w:r w:rsidRPr="00C74BFE">
        <w:rPr>
          <w:lang w:val="fr-FR"/>
        </w:rPr>
        <w:t>2014</w:t>
      </w:r>
      <w:r w:rsidRPr="003078EC">
        <w:rPr>
          <w:lang w:val="fr-FR"/>
        </w:rPr>
        <w:t xml:space="preserve"> sans papiers en règle et a demandé l</w:t>
      </w:r>
      <w:r>
        <w:rPr>
          <w:lang w:val="fr-FR"/>
        </w:rPr>
        <w:t>’</w:t>
      </w:r>
      <w:r w:rsidRPr="003078EC">
        <w:rPr>
          <w:lang w:val="fr-FR"/>
        </w:rPr>
        <w:t xml:space="preserve">asile. Le </w:t>
      </w:r>
      <w:r w:rsidRPr="00C74BFE">
        <w:rPr>
          <w:lang w:val="fr-FR"/>
        </w:rPr>
        <w:t>20</w:t>
      </w:r>
      <w:r>
        <w:rPr>
          <w:lang w:val="fr-FR"/>
        </w:rPr>
        <w:t> </w:t>
      </w:r>
      <w:r w:rsidRPr="003078EC">
        <w:rPr>
          <w:lang w:val="fr-FR"/>
        </w:rPr>
        <w:t xml:space="preserve">août </w:t>
      </w:r>
      <w:r w:rsidRPr="00C74BFE">
        <w:rPr>
          <w:lang w:val="fr-FR"/>
        </w:rPr>
        <w:t>2015</w:t>
      </w:r>
      <w:r w:rsidRPr="003078EC">
        <w:rPr>
          <w:lang w:val="fr-FR"/>
        </w:rPr>
        <w:t>, le Service danois de l</w:t>
      </w:r>
      <w:r>
        <w:rPr>
          <w:lang w:val="fr-FR"/>
        </w:rPr>
        <w:t>’</w:t>
      </w:r>
      <w:r w:rsidRPr="003078EC">
        <w:rPr>
          <w:lang w:val="fr-FR"/>
        </w:rPr>
        <w:t xml:space="preserve">immigration a rejeté sa demande. Le </w:t>
      </w:r>
      <w:r w:rsidRPr="00C74BFE">
        <w:rPr>
          <w:lang w:val="fr-FR"/>
        </w:rPr>
        <w:t>1</w:t>
      </w:r>
      <w:r w:rsidRPr="003078EC">
        <w:rPr>
          <w:vertAlign w:val="superscript"/>
          <w:lang w:val="fr-FR"/>
        </w:rPr>
        <w:t>er</w:t>
      </w:r>
      <w:r>
        <w:rPr>
          <w:lang w:val="fr-FR"/>
        </w:rPr>
        <w:t> </w:t>
      </w:r>
      <w:r w:rsidRPr="003078EC">
        <w:rPr>
          <w:lang w:val="fr-FR"/>
        </w:rPr>
        <w:t xml:space="preserve">décembre </w:t>
      </w:r>
      <w:r w:rsidRPr="00C74BFE">
        <w:rPr>
          <w:lang w:val="fr-FR"/>
        </w:rPr>
        <w:t>2015</w:t>
      </w:r>
      <w:r w:rsidRPr="003078EC">
        <w:rPr>
          <w:lang w:val="fr-FR"/>
        </w:rPr>
        <w:t>, la Commission a confirmé ce refus.</w:t>
      </w:r>
    </w:p>
    <w:p w14:paraId="33CB13F8" w14:textId="5DF9E797" w:rsidR="00D45859" w:rsidRPr="003078EC" w:rsidRDefault="00D45859" w:rsidP="000975ED">
      <w:pPr>
        <w:pStyle w:val="SingleTxt"/>
        <w:numPr>
          <w:ilvl w:val="0"/>
          <w:numId w:val="15"/>
        </w:numPr>
        <w:spacing w:line="240" w:lineRule="exact"/>
        <w:rPr>
          <w:lang w:val="fr-FR"/>
        </w:rPr>
      </w:pPr>
      <w:r w:rsidRPr="003078EC">
        <w:rPr>
          <w:lang w:val="fr-FR"/>
        </w:rPr>
        <w:t>L</w:t>
      </w:r>
      <w:r>
        <w:rPr>
          <w:lang w:val="fr-FR"/>
        </w:rPr>
        <w:t>’</w:t>
      </w:r>
      <w:r w:rsidRPr="003078EC">
        <w:rPr>
          <w:lang w:val="fr-FR"/>
        </w:rPr>
        <w:t xml:space="preserve">État partie </w:t>
      </w:r>
      <w:r>
        <w:rPr>
          <w:lang w:val="fr-FR"/>
        </w:rPr>
        <w:t xml:space="preserve"> approfondit l’analyse</w:t>
      </w:r>
      <w:r w:rsidRPr="003078EC">
        <w:rPr>
          <w:lang w:val="fr-FR"/>
        </w:rPr>
        <w:t xml:space="preserve"> </w:t>
      </w:r>
      <w:r>
        <w:rPr>
          <w:lang w:val="fr-FR"/>
        </w:rPr>
        <w:t>du</w:t>
      </w:r>
      <w:r w:rsidRPr="003078EC">
        <w:rPr>
          <w:lang w:val="fr-FR"/>
        </w:rPr>
        <w:t xml:space="preserve"> raisonnement suivi par la Commission des recours des réfugiés dans sa décision </w:t>
      </w:r>
      <w:r>
        <w:rPr>
          <w:lang w:val="fr-FR"/>
        </w:rPr>
        <w:t xml:space="preserve">du </w:t>
      </w:r>
      <w:r w:rsidRPr="00C74BFE">
        <w:rPr>
          <w:lang w:val="fr-FR"/>
        </w:rPr>
        <w:t>1</w:t>
      </w:r>
      <w:r w:rsidRPr="009D0201">
        <w:rPr>
          <w:vertAlign w:val="superscript"/>
          <w:lang w:val="fr-FR"/>
        </w:rPr>
        <w:t>er</w:t>
      </w:r>
      <w:r>
        <w:rPr>
          <w:lang w:val="fr-FR"/>
        </w:rPr>
        <w:t xml:space="preserve"> décembre </w:t>
      </w:r>
      <w:r w:rsidRPr="00C74BFE">
        <w:rPr>
          <w:lang w:val="fr-FR"/>
        </w:rPr>
        <w:t>2015</w:t>
      </w:r>
      <w:r w:rsidRPr="003078EC">
        <w:rPr>
          <w:lang w:val="fr-FR"/>
        </w:rPr>
        <w:t>. L</w:t>
      </w:r>
      <w:r>
        <w:rPr>
          <w:lang w:val="fr-FR"/>
        </w:rPr>
        <w:t>’</w:t>
      </w:r>
      <w:r w:rsidRPr="003078EC">
        <w:rPr>
          <w:lang w:val="fr-FR"/>
        </w:rPr>
        <w:t>auteure a justifié sa demande d</w:t>
      </w:r>
      <w:r>
        <w:rPr>
          <w:lang w:val="fr-FR"/>
        </w:rPr>
        <w:t>’</w:t>
      </w:r>
      <w:r w:rsidRPr="003078EC">
        <w:rPr>
          <w:lang w:val="fr-FR"/>
        </w:rPr>
        <w:t>asile en indiquant qu</w:t>
      </w:r>
      <w:r>
        <w:rPr>
          <w:lang w:val="fr-FR"/>
        </w:rPr>
        <w:t>’</w:t>
      </w:r>
      <w:r w:rsidRPr="003078EC">
        <w:rPr>
          <w:lang w:val="fr-FR"/>
        </w:rPr>
        <w:t>elle craignait que sa famille et son mari la persécutent pour s</w:t>
      </w:r>
      <w:r>
        <w:rPr>
          <w:lang w:val="fr-FR"/>
        </w:rPr>
        <w:t>’</w:t>
      </w:r>
      <w:r w:rsidRPr="003078EC">
        <w:rPr>
          <w:lang w:val="fr-FR"/>
        </w:rPr>
        <w:t xml:space="preserve">être opposée au mariage. Elle a affirmé que, début </w:t>
      </w:r>
      <w:r w:rsidRPr="00C74BFE">
        <w:rPr>
          <w:lang w:val="fr-FR"/>
        </w:rPr>
        <w:t>2013</w:t>
      </w:r>
      <w:r w:rsidRPr="003078EC">
        <w:rPr>
          <w:lang w:val="fr-FR"/>
        </w:rPr>
        <w:t>, son oncle avait arrangé son mariage avec le frère de sa femme. Environ une semaine plus tard, le mariage a eu lieu en l</w:t>
      </w:r>
      <w:r>
        <w:rPr>
          <w:lang w:val="fr-FR"/>
        </w:rPr>
        <w:t>’</w:t>
      </w:r>
      <w:r w:rsidRPr="003078EC">
        <w:rPr>
          <w:lang w:val="fr-FR"/>
        </w:rPr>
        <w:t>absence de l</w:t>
      </w:r>
      <w:r>
        <w:rPr>
          <w:lang w:val="fr-FR"/>
        </w:rPr>
        <w:t>’</w:t>
      </w:r>
      <w:r w:rsidRPr="003078EC">
        <w:rPr>
          <w:lang w:val="fr-FR"/>
        </w:rPr>
        <w:t>auteure. Le jour du mariage, elle s</w:t>
      </w:r>
      <w:r>
        <w:rPr>
          <w:lang w:val="fr-FR"/>
        </w:rPr>
        <w:t>’</w:t>
      </w:r>
      <w:r w:rsidRPr="003078EC">
        <w:rPr>
          <w:lang w:val="fr-FR"/>
        </w:rPr>
        <w:t>est rendue au magasin de son ami S., mais son oncle et la femme de celui-ci sont arrivés, l</w:t>
      </w:r>
      <w:r>
        <w:rPr>
          <w:lang w:val="fr-FR"/>
        </w:rPr>
        <w:t>’</w:t>
      </w:r>
      <w:r w:rsidRPr="003078EC">
        <w:rPr>
          <w:lang w:val="fr-FR"/>
        </w:rPr>
        <w:t>ont battue et l</w:t>
      </w:r>
      <w:r>
        <w:rPr>
          <w:lang w:val="fr-FR"/>
        </w:rPr>
        <w:t>’</w:t>
      </w:r>
      <w:r w:rsidRPr="003078EC">
        <w:rPr>
          <w:lang w:val="fr-FR"/>
        </w:rPr>
        <w:t>ont séquestrée dans la maison familiale pendant deux jours. Elle a ensuite contacté S., qui a organisé sa fuite quelques jours plus tard.</w:t>
      </w:r>
    </w:p>
    <w:p w14:paraId="10C9CDB7" w14:textId="5DA5E6CD" w:rsidR="00D45859" w:rsidRPr="003078EC" w:rsidRDefault="00D45859" w:rsidP="000975ED">
      <w:pPr>
        <w:pStyle w:val="SingleTxt"/>
        <w:numPr>
          <w:ilvl w:val="0"/>
          <w:numId w:val="15"/>
        </w:numPr>
        <w:spacing w:line="240" w:lineRule="exact"/>
        <w:rPr>
          <w:lang w:val="fr-FR"/>
        </w:rPr>
      </w:pPr>
      <w:r w:rsidRPr="003078EC">
        <w:rPr>
          <w:lang w:val="fr-FR"/>
        </w:rPr>
        <w:t>La Commission des recours des réfugiés n</w:t>
      </w:r>
      <w:r>
        <w:rPr>
          <w:lang w:val="fr-FR"/>
        </w:rPr>
        <w:t>’</w:t>
      </w:r>
      <w:r w:rsidRPr="003078EC">
        <w:rPr>
          <w:lang w:val="fr-FR"/>
        </w:rPr>
        <w:t>a pu accepter comme véridiques ni la déclaration faite par l</w:t>
      </w:r>
      <w:r>
        <w:rPr>
          <w:lang w:val="fr-FR"/>
        </w:rPr>
        <w:t>’</w:t>
      </w:r>
      <w:r w:rsidRPr="003078EC">
        <w:rPr>
          <w:lang w:val="fr-FR"/>
        </w:rPr>
        <w:t>auteure pour justifier sa demande d</w:t>
      </w:r>
      <w:r>
        <w:rPr>
          <w:lang w:val="fr-FR"/>
        </w:rPr>
        <w:t>’</w:t>
      </w:r>
      <w:r w:rsidRPr="003078EC">
        <w:rPr>
          <w:lang w:val="fr-FR"/>
        </w:rPr>
        <w:t>asile, qui lui paraissait invraisemblable et forgée de toutes pièces, ni la déclaration faite devant elle, qui ne semblait pas être le reflet de faits effectivement vécus par l</w:t>
      </w:r>
      <w:r>
        <w:rPr>
          <w:lang w:val="fr-FR"/>
        </w:rPr>
        <w:t>’</w:t>
      </w:r>
      <w:r w:rsidRPr="003078EC">
        <w:rPr>
          <w:lang w:val="fr-FR"/>
        </w:rPr>
        <w:t>auteure. La majorité des membres de la Commission ont souligné qu</w:t>
      </w:r>
      <w:r>
        <w:rPr>
          <w:lang w:val="fr-FR"/>
        </w:rPr>
        <w:t>’</w:t>
      </w:r>
      <w:r w:rsidRPr="003078EC">
        <w:rPr>
          <w:lang w:val="fr-FR"/>
        </w:rPr>
        <w:t>il était peu plausible que la demandeuse ait rendu visite à S. dans le magasin de celui-ci le jour où elle se serait mariée, puis à nouveau quelques jours plus tard, et que S. soit resté en Somalie alors qu</w:t>
      </w:r>
      <w:r>
        <w:rPr>
          <w:lang w:val="fr-FR"/>
        </w:rPr>
        <w:t>’</w:t>
      </w:r>
      <w:r w:rsidRPr="003078EC">
        <w:rPr>
          <w:lang w:val="fr-FR"/>
        </w:rPr>
        <w:t>il avait prétendument été menacé de mort. Les arguments avancés pour justifier le fait que S. n</w:t>
      </w:r>
      <w:r>
        <w:rPr>
          <w:lang w:val="fr-FR"/>
        </w:rPr>
        <w:t>’</w:t>
      </w:r>
      <w:r w:rsidRPr="003078EC">
        <w:rPr>
          <w:lang w:val="fr-FR"/>
        </w:rPr>
        <w:t>ait pas pu quitter la Somalie n</w:t>
      </w:r>
      <w:r>
        <w:rPr>
          <w:lang w:val="fr-FR"/>
        </w:rPr>
        <w:t>’</w:t>
      </w:r>
      <w:r w:rsidRPr="003078EC">
        <w:rPr>
          <w:lang w:val="fr-FR"/>
        </w:rPr>
        <w:t>étaient pas non plus crédibles, en particulier dans la mesure où celui-ci a pu, avec l</w:t>
      </w:r>
      <w:r>
        <w:rPr>
          <w:lang w:val="fr-FR"/>
        </w:rPr>
        <w:t>’</w:t>
      </w:r>
      <w:r w:rsidRPr="003078EC">
        <w:rPr>
          <w:lang w:val="fr-FR"/>
        </w:rPr>
        <w:t>aide de la tante paternelle de l</w:t>
      </w:r>
      <w:r>
        <w:rPr>
          <w:lang w:val="fr-FR"/>
        </w:rPr>
        <w:t>’</w:t>
      </w:r>
      <w:r w:rsidRPr="003078EC">
        <w:rPr>
          <w:lang w:val="fr-FR"/>
        </w:rPr>
        <w:t>auteure, réunir les fonds qui ont permis à l</w:t>
      </w:r>
      <w:r>
        <w:rPr>
          <w:lang w:val="fr-FR"/>
        </w:rPr>
        <w:t>’</w:t>
      </w:r>
      <w:r w:rsidRPr="003078EC">
        <w:rPr>
          <w:lang w:val="fr-FR"/>
        </w:rPr>
        <w:t>auteure de fuir vers l</w:t>
      </w:r>
      <w:r>
        <w:rPr>
          <w:lang w:val="fr-FR"/>
        </w:rPr>
        <w:t>’</w:t>
      </w:r>
      <w:r w:rsidRPr="003078EC">
        <w:rPr>
          <w:lang w:val="fr-FR"/>
        </w:rPr>
        <w:t>Europe.</w:t>
      </w:r>
    </w:p>
    <w:p w14:paraId="28E596EF" w14:textId="08ECD379" w:rsidR="00D45859" w:rsidRPr="003078EC" w:rsidRDefault="00D45859" w:rsidP="000975ED">
      <w:pPr>
        <w:pStyle w:val="SingleTxt"/>
        <w:numPr>
          <w:ilvl w:val="0"/>
          <w:numId w:val="15"/>
        </w:numPr>
        <w:spacing w:line="240" w:lineRule="exact"/>
        <w:rPr>
          <w:lang w:val="fr-FR"/>
        </w:rPr>
      </w:pPr>
      <w:r w:rsidRPr="003078EC">
        <w:rPr>
          <w:lang w:val="fr-FR"/>
        </w:rPr>
        <w:t>Les motifs invoqués par l</w:t>
      </w:r>
      <w:r>
        <w:rPr>
          <w:lang w:val="fr-FR"/>
        </w:rPr>
        <w:t>’</w:t>
      </w:r>
      <w:r w:rsidRPr="003078EC">
        <w:rPr>
          <w:lang w:val="fr-FR"/>
        </w:rPr>
        <w:t>auteure pour justifier sa demande d</w:t>
      </w:r>
      <w:r>
        <w:rPr>
          <w:lang w:val="fr-FR"/>
        </w:rPr>
        <w:t>’</w:t>
      </w:r>
      <w:r w:rsidRPr="003078EC">
        <w:rPr>
          <w:lang w:val="fr-FR"/>
        </w:rPr>
        <w:t>asile ne pouvant être acceptés comme véridiques, la majorité des membres de la Commission des recours des réfugiés n</w:t>
      </w:r>
      <w:r>
        <w:rPr>
          <w:lang w:val="fr-FR"/>
        </w:rPr>
        <w:t>’</w:t>
      </w:r>
      <w:r w:rsidRPr="003078EC">
        <w:rPr>
          <w:lang w:val="fr-FR"/>
        </w:rPr>
        <w:t>ont pas non plus pu considérer comme fidèles à la réalité les allégations selon lesquelles l</w:t>
      </w:r>
      <w:r>
        <w:rPr>
          <w:lang w:val="fr-FR"/>
        </w:rPr>
        <w:t>’</w:t>
      </w:r>
      <w:r w:rsidRPr="003078EC">
        <w:rPr>
          <w:lang w:val="fr-FR"/>
        </w:rPr>
        <w:t>auteure n</w:t>
      </w:r>
      <w:r>
        <w:rPr>
          <w:lang w:val="fr-FR"/>
        </w:rPr>
        <w:t>’</w:t>
      </w:r>
      <w:r w:rsidRPr="003078EC">
        <w:rPr>
          <w:lang w:val="fr-FR"/>
        </w:rPr>
        <w:t>aurait pas d</w:t>
      </w:r>
      <w:r>
        <w:rPr>
          <w:lang w:val="fr-FR"/>
        </w:rPr>
        <w:t>’</w:t>
      </w:r>
      <w:r w:rsidRPr="003078EC">
        <w:rPr>
          <w:lang w:val="fr-FR"/>
        </w:rPr>
        <w:t>entourage masculin en cas de retour en Somalie et courrait pour cette seule raison le risque de subir des violences visées à l</w:t>
      </w:r>
      <w:r>
        <w:rPr>
          <w:lang w:val="fr-FR"/>
        </w:rPr>
        <w:t>’</w:t>
      </w:r>
      <w:r w:rsidRPr="003078EC">
        <w:rPr>
          <w:lang w:val="fr-FR"/>
        </w:rPr>
        <w:t>article</w:t>
      </w:r>
      <w:r w:rsidR="00C74BFE">
        <w:rPr>
          <w:lang w:val="fr-FR"/>
        </w:rPr>
        <w:t xml:space="preserve"> </w:t>
      </w:r>
      <w:r w:rsidRPr="00C74BFE">
        <w:rPr>
          <w:lang w:val="fr-FR"/>
        </w:rPr>
        <w:t>7</w:t>
      </w:r>
      <w:r w:rsidRPr="003078EC">
        <w:rPr>
          <w:lang w:val="fr-FR"/>
        </w:rPr>
        <w:t xml:space="preserve"> de la loi sur les étrangers. Le fait que l</w:t>
      </w:r>
      <w:r>
        <w:rPr>
          <w:lang w:val="fr-FR"/>
        </w:rPr>
        <w:t>’</w:t>
      </w:r>
      <w:r w:rsidRPr="003078EC">
        <w:rPr>
          <w:lang w:val="fr-FR"/>
        </w:rPr>
        <w:t xml:space="preserve">auteure doive se rendre à </w:t>
      </w:r>
      <w:r w:rsidRPr="00A53D61">
        <w:rPr>
          <w:lang w:val="fr-FR"/>
        </w:rPr>
        <w:t>Baardheere</w:t>
      </w:r>
      <w:r w:rsidRPr="003078EC">
        <w:rPr>
          <w:lang w:val="fr-FR"/>
        </w:rPr>
        <w:t xml:space="preserve"> depuis Mogadiscio ne pouvait amener la Commission à tirer une conclusion différente. Par conséquent, la Commission a estimé que l</w:t>
      </w:r>
      <w:r>
        <w:rPr>
          <w:lang w:val="fr-FR"/>
        </w:rPr>
        <w:t>’</w:t>
      </w:r>
      <w:r w:rsidRPr="003078EC">
        <w:rPr>
          <w:lang w:val="fr-FR"/>
        </w:rPr>
        <w:t>auteure n</w:t>
      </w:r>
      <w:r>
        <w:rPr>
          <w:lang w:val="fr-FR"/>
        </w:rPr>
        <w:t>’</w:t>
      </w:r>
      <w:r w:rsidRPr="003078EC">
        <w:rPr>
          <w:lang w:val="fr-FR"/>
        </w:rPr>
        <w:t>avait pas démontré de façon convaincante qu</w:t>
      </w:r>
      <w:r>
        <w:rPr>
          <w:lang w:val="fr-FR"/>
        </w:rPr>
        <w:t>’</w:t>
      </w:r>
      <w:r w:rsidRPr="003078EC">
        <w:rPr>
          <w:lang w:val="fr-FR"/>
        </w:rPr>
        <w:t>elle courrait un risque particulier de persécution en cas de retour en Somalie.</w:t>
      </w:r>
    </w:p>
    <w:p w14:paraId="0ADC242C" w14:textId="08C0129F" w:rsidR="00D45859" w:rsidRPr="003078EC" w:rsidRDefault="00D45859" w:rsidP="000975ED">
      <w:pPr>
        <w:pStyle w:val="SingleTxt"/>
        <w:numPr>
          <w:ilvl w:val="0"/>
          <w:numId w:val="15"/>
        </w:numPr>
        <w:spacing w:line="240" w:lineRule="exact"/>
        <w:rPr>
          <w:lang w:val="fr-FR"/>
        </w:rPr>
      </w:pPr>
      <w:r w:rsidRPr="003078EC">
        <w:rPr>
          <w:lang w:val="fr-FR"/>
        </w:rPr>
        <w:t>L</w:t>
      </w:r>
      <w:r>
        <w:rPr>
          <w:lang w:val="fr-FR"/>
        </w:rPr>
        <w:t>’</w:t>
      </w:r>
      <w:r w:rsidRPr="003078EC">
        <w:rPr>
          <w:lang w:val="fr-FR"/>
        </w:rPr>
        <w:t>État partie a également fourni des informations détaillées sur l</w:t>
      </w:r>
      <w:r>
        <w:rPr>
          <w:lang w:val="fr-FR"/>
        </w:rPr>
        <w:t>’</w:t>
      </w:r>
      <w:r w:rsidRPr="003078EC">
        <w:rPr>
          <w:lang w:val="fr-FR"/>
        </w:rPr>
        <w:t>organisation, les compétences, la composition, les prérogatives, le fonctionnement et l</w:t>
      </w:r>
      <w:r>
        <w:rPr>
          <w:lang w:val="fr-FR"/>
        </w:rPr>
        <w:t>’</w:t>
      </w:r>
      <w:r w:rsidRPr="003078EC">
        <w:rPr>
          <w:lang w:val="fr-FR"/>
        </w:rPr>
        <w:t>indépendance de la Commission, ainsi que sur le fondement juridique de ses décisions, sur la prise de ses décisions, sur son mode d</w:t>
      </w:r>
      <w:r>
        <w:rPr>
          <w:lang w:val="fr-FR"/>
        </w:rPr>
        <w:t>’</w:t>
      </w:r>
      <w:r w:rsidRPr="003078EC">
        <w:rPr>
          <w:lang w:val="fr-FR"/>
        </w:rPr>
        <w:t xml:space="preserve">appréciation des preuves et sur la documentation dont elle disposait. </w:t>
      </w:r>
    </w:p>
    <w:p w14:paraId="3A645B31" w14:textId="5AB391EB" w:rsidR="00D45859" w:rsidRPr="003078EC" w:rsidRDefault="00D45859" w:rsidP="000975ED">
      <w:pPr>
        <w:pStyle w:val="SingleTxt"/>
        <w:numPr>
          <w:ilvl w:val="0"/>
          <w:numId w:val="15"/>
        </w:numPr>
        <w:spacing w:line="240" w:lineRule="exact"/>
        <w:rPr>
          <w:lang w:val="fr-FR"/>
        </w:rPr>
      </w:pPr>
      <w:r w:rsidRPr="003078EC">
        <w:rPr>
          <w:lang w:val="fr-FR"/>
        </w:rPr>
        <w:t>En ce qui concerne la recevabilité de la requête, l</w:t>
      </w:r>
      <w:r>
        <w:rPr>
          <w:lang w:val="fr-FR"/>
        </w:rPr>
        <w:t>’</w:t>
      </w:r>
      <w:r w:rsidRPr="003078EC">
        <w:rPr>
          <w:lang w:val="fr-FR"/>
        </w:rPr>
        <w:t>État partie estime que l</w:t>
      </w:r>
      <w:r>
        <w:rPr>
          <w:lang w:val="fr-FR"/>
        </w:rPr>
        <w:t>’</w:t>
      </w:r>
      <w:r w:rsidRPr="003078EC">
        <w:rPr>
          <w:lang w:val="fr-FR"/>
        </w:rPr>
        <w:t>auteure n</w:t>
      </w:r>
      <w:r>
        <w:rPr>
          <w:lang w:val="fr-FR"/>
        </w:rPr>
        <w:t>’</w:t>
      </w:r>
      <w:r w:rsidRPr="003078EC">
        <w:rPr>
          <w:lang w:val="fr-FR"/>
        </w:rPr>
        <w:t>a pas été en mesure d</w:t>
      </w:r>
      <w:r>
        <w:rPr>
          <w:lang w:val="fr-FR"/>
        </w:rPr>
        <w:t>’</w:t>
      </w:r>
      <w:r w:rsidRPr="003078EC">
        <w:rPr>
          <w:lang w:val="fr-FR"/>
        </w:rPr>
        <w:t>en faire la démonstration devant le Comité. En d</w:t>
      </w:r>
      <w:r>
        <w:rPr>
          <w:lang w:val="fr-FR"/>
        </w:rPr>
        <w:t>’</w:t>
      </w:r>
      <w:r w:rsidRPr="003078EC">
        <w:rPr>
          <w:lang w:val="fr-FR"/>
        </w:rPr>
        <w:t>autres termes, l</w:t>
      </w:r>
      <w:r>
        <w:rPr>
          <w:lang w:val="fr-FR"/>
        </w:rPr>
        <w:t>’</w:t>
      </w:r>
      <w:r w:rsidRPr="003078EC">
        <w:rPr>
          <w:lang w:val="fr-FR"/>
        </w:rPr>
        <w:t>auteure n</w:t>
      </w:r>
      <w:r>
        <w:rPr>
          <w:lang w:val="fr-FR"/>
        </w:rPr>
        <w:t>’</w:t>
      </w:r>
      <w:r w:rsidRPr="003078EC">
        <w:rPr>
          <w:lang w:val="fr-FR"/>
        </w:rPr>
        <w:t>a pas démontré à suffisance qu</w:t>
      </w:r>
      <w:r>
        <w:rPr>
          <w:lang w:val="fr-FR"/>
        </w:rPr>
        <w:t>’</w:t>
      </w:r>
      <w:r w:rsidRPr="003078EC">
        <w:rPr>
          <w:lang w:val="fr-FR"/>
        </w:rPr>
        <w:t>elle courrait en Somalie un risque réel, personnel et prévisible d</w:t>
      </w:r>
      <w:r>
        <w:rPr>
          <w:lang w:val="fr-FR"/>
        </w:rPr>
        <w:t>’</w:t>
      </w:r>
      <w:r w:rsidRPr="003078EC">
        <w:rPr>
          <w:lang w:val="fr-FR"/>
        </w:rPr>
        <w:t xml:space="preserve">être victime de formes graves de violence fondée sur le genre. Par conséquent, la communication devrait être déclarée </w:t>
      </w:r>
      <w:r w:rsidRPr="003078EC">
        <w:rPr>
          <w:lang w:val="fr-FR"/>
        </w:rPr>
        <w:lastRenderedPageBreak/>
        <w:t>irrecevable au regard du paragraphe</w:t>
      </w:r>
      <w:r w:rsidR="00C74BFE">
        <w:rPr>
          <w:lang w:val="fr-FR"/>
        </w:rPr>
        <w:t xml:space="preserve"> </w:t>
      </w:r>
      <w:r w:rsidRPr="00C74BFE">
        <w:rPr>
          <w:lang w:val="fr-FR"/>
        </w:rPr>
        <w:t>2</w:t>
      </w:r>
      <w:r w:rsidRPr="003078EC">
        <w:rPr>
          <w:lang w:val="fr-FR"/>
        </w:rPr>
        <w:t xml:space="preserve"> de l</w:t>
      </w:r>
      <w:r>
        <w:rPr>
          <w:lang w:val="fr-FR"/>
        </w:rPr>
        <w:t>’</w:t>
      </w:r>
      <w:r w:rsidRPr="003078EC">
        <w:rPr>
          <w:lang w:val="fr-FR"/>
        </w:rPr>
        <w:t>article</w:t>
      </w:r>
      <w:r w:rsidR="00C74BFE">
        <w:rPr>
          <w:lang w:val="fr-FR"/>
        </w:rPr>
        <w:t xml:space="preserve"> </w:t>
      </w:r>
      <w:r w:rsidRPr="00C74BFE">
        <w:rPr>
          <w:lang w:val="fr-FR"/>
        </w:rPr>
        <w:t>4</w:t>
      </w:r>
      <w:r w:rsidRPr="003078EC">
        <w:rPr>
          <w:lang w:val="fr-FR"/>
        </w:rPr>
        <w:t xml:space="preserve"> du Protocole facultatif, parce qu</w:t>
      </w:r>
      <w:r>
        <w:rPr>
          <w:lang w:val="fr-FR"/>
        </w:rPr>
        <w:t>’</w:t>
      </w:r>
      <w:r w:rsidRPr="003078EC">
        <w:rPr>
          <w:lang w:val="fr-FR"/>
        </w:rPr>
        <w:t>elle est manifestement mal-fondée.</w:t>
      </w:r>
    </w:p>
    <w:p w14:paraId="370B2AE9" w14:textId="7FD307EE" w:rsidR="00D45859" w:rsidRPr="003078EC" w:rsidRDefault="00D45859" w:rsidP="000975ED">
      <w:pPr>
        <w:pStyle w:val="SingleTxt"/>
        <w:numPr>
          <w:ilvl w:val="0"/>
          <w:numId w:val="15"/>
        </w:numPr>
        <w:spacing w:line="240" w:lineRule="exact"/>
        <w:rPr>
          <w:lang w:val="fr-FR"/>
        </w:rPr>
      </w:pPr>
      <w:r w:rsidRPr="003078EC">
        <w:rPr>
          <w:lang w:val="fr-FR"/>
        </w:rPr>
        <w:t>En ce qui concerne le fond de la requête, l</w:t>
      </w:r>
      <w:r>
        <w:rPr>
          <w:lang w:val="fr-FR"/>
        </w:rPr>
        <w:t>’</w:t>
      </w:r>
      <w:r w:rsidRPr="003078EC">
        <w:rPr>
          <w:lang w:val="fr-FR"/>
        </w:rPr>
        <w:t>État partie fait tout d</w:t>
      </w:r>
      <w:r>
        <w:rPr>
          <w:lang w:val="fr-FR"/>
        </w:rPr>
        <w:t>’</w:t>
      </w:r>
      <w:r w:rsidRPr="003078EC">
        <w:rPr>
          <w:lang w:val="fr-FR"/>
        </w:rPr>
        <w:t>abord remarquer que, dans la présente communication, l</w:t>
      </w:r>
      <w:r>
        <w:rPr>
          <w:lang w:val="fr-FR"/>
        </w:rPr>
        <w:t>’</w:t>
      </w:r>
      <w:r w:rsidRPr="003078EC">
        <w:rPr>
          <w:lang w:val="fr-FR"/>
        </w:rPr>
        <w:t>auteure n</w:t>
      </w:r>
      <w:r>
        <w:rPr>
          <w:lang w:val="fr-FR"/>
        </w:rPr>
        <w:t>’</w:t>
      </w:r>
      <w:r w:rsidRPr="003078EC">
        <w:rPr>
          <w:lang w:val="fr-FR"/>
        </w:rPr>
        <w:t>a fourni aucune information qu</w:t>
      </w:r>
      <w:r>
        <w:rPr>
          <w:lang w:val="fr-FR"/>
        </w:rPr>
        <w:t>’</w:t>
      </w:r>
      <w:r w:rsidRPr="003078EC">
        <w:rPr>
          <w:lang w:val="fr-FR"/>
        </w:rPr>
        <w:t>elle n</w:t>
      </w:r>
      <w:r>
        <w:rPr>
          <w:lang w:val="fr-FR"/>
        </w:rPr>
        <w:t>’</w:t>
      </w:r>
      <w:r w:rsidRPr="003078EC">
        <w:rPr>
          <w:lang w:val="fr-FR"/>
        </w:rPr>
        <w:t>avait pas déjà communiquée aux services de l</w:t>
      </w:r>
      <w:r>
        <w:rPr>
          <w:lang w:val="fr-FR"/>
        </w:rPr>
        <w:t>’</w:t>
      </w:r>
      <w:r w:rsidRPr="003078EC">
        <w:rPr>
          <w:lang w:val="fr-FR"/>
        </w:rPr>
        <w:t>immigration et à la Commission des recours des réfugiés. L</w:t>
      </w:r>
      <w:r>
        <w:rPr>
          <w:lang w:val="fr-FR"/>
        </w:rPr>
        <w:t>’</w:t>
      </w:r>
      <w:r w:rsidRPr="003078EC">
        <w:rPr>
          <w:lang w:val="fr-FR"/>
        </w:rPr>
        <w:t>expulsion de l</w:t>
      </w:r>
      <w:r>
        <w:rPr>
          <w:lang w:val="fr-FR"/>
        </w:rPr>
        <w:t>’</w:t>
      </w:r>
      <w:r w:rsidRPr="003078EC">
        <w:rPr>
          <w:lang w:val="fr-FR"/>
        </w:rPr>
        <w:t>auteure ne constituerait pas une violation de la Convention. À l</w:t>
      </w:r>
      <w:r>
        <w:rPr>
          <w:lang w:val="fr-FR"/>
        </w:rPr>
        <w:t>’</w:t>
      </w:r>
      <w:r w:rsidRPr="003078EC">
        <w:rPr>
          <w:lang w:val="fr-FR"/>
        </w:rPr>
        <w:t>appui de cette affirmation, l</w:t>
      </w:r>
      <w:r>
        <w:rPr>
          <w:lang w:val="fr-FR"/>
        </w:rPr>
        <w:t>’</w:t>
      </w:r>
      <w:r w:rsidRPr="003078EC">
        <w:rPr>
          <w:lang w:val="fr-FR"/>
        </w:rPr>
        <w:t>État partie fait observer, s</w:t>
      </w:r>
      <w:r>
        <w:rPr>
          <w:lang w:val="fr-FR"/>
        </w:rPr>
        <w:t>’</w:t>
      </w:r>
      <w:r w:rsidRPr="003078EC">
        <w:rPr>
          <w:lang w:val="fr-FR"/>
        </w:rPr>
        <w:t>agissant de la crédibilité de l</w:t>
      </w:r>
      <w:r>
        <w:rPr>
          <w:lang w:val="fr-FR"/>
        </w:rPr>
        <w:t>’</w:t>
      </w:r>
      <w:r w:rsidRPr="003078EC">
        <w:rPr>
          <w:lang w:val="fr-FR"/>
        </w:rPr>
        <w:t>auteure, que la Commission apprécie la crédibilité des demandeurs d</w:t>
      </w:r>
      <w:r>
        <w:rPr>
          <w:lang w:val="fr-FR"/>
        </w:rPr>
        <w:t>’</w:t>
      </w:r>
      <w:r w:rsidRPr="003078EC">
        <w:rPr>
          <w:lang w:val="fr-FR"/>
        </w:rPr>
        <w:t>asile en s</w:t>
      </w:r>
      <w:r>
        <w:rPr>
          <w:lang w:val="fr-FR"/>
        </w:rPr>
        <w:t>’</w:t>
      </w:r>
      <w:r w:rsidRPr="003078EC">
        <w:rPr>
          <w:lang w:val="fr-FR"/>
        </w:rPr>
        <w:t>appuyant sur une évaluation globale, notamment des déclarations et du comportement du demandeur lors de son audition devant elle, qu</w:t>
      </w:r>
      <w:r>
        <w:rPr>
          <w:lang w:val="fr-FR"/>
        </w:rPr>
        <w:t>’</w:t>
      </w:r>
      <w:r w:rsidRPr="003078EC">
        <w:rPr>
          <w:lang w:val="fr-FR"/>
        </w:rPr>
        <w:t xml:space="preserve">elle met en regard des autres informations figurant dans le dossier, </w:t>
      </w:r>
      <w:r>
        <w:rPr>
          <w:lang w:val="fr-FR"/>
        </w:rPr>
        <w:t>y compris</w:t>
      </w:r>
      <w:r w:rsidRPr="003078EC">
        <w:rPr>
          <w:lang w:val="fr-FR"/>
        </w:rPr>
        <w:t xml:space="preserve"> des renseignements sur la situation du pays dont est originaire le demandeur et des informations recueillies dans le cadre de l</w:t>
      </w:r>
      <w:r>
        <w:rPr>
          <w:lang w:val="fr-FR"/>
        </w:rPr>
        <w:t>’</w:t>
      </w:r>
      <w:r w:rsidRPr="003078EC">
        <w:rPr>
          <w:lang w:val="fr-FR"/>
        </w:rPr>
        <w:t>affaire. Si les déclarations du demandeur d</w:t>
      </w:r>
      <w:r>
        <w:rPr>
          <w:lang w:val="fr-FR"/>
        </w:rPr>
        <w:t>’</w:t>
      </w:r>
      <w:r w:rsidRPr="003078EC">
        <w:rPr>
          <w:lang w:val="fr-FR"/>
        </w:rPr>
        <w:t xml:space="preserve">asile semblent cohérentes, la Commission les considère en principe comme véridiques. Si les déclarations sont caractérisées par des contradictions, des inconstances, des ajouts ou des omissions, la Commission cherche </w:t>
      </w:r>
      <w:r>
        <w:rPr>
          <w:lang w:val="fr-FR"/>
        </w:rPr>
        <w:t>à obtenir des éclaircissements.</w:t>
      </w:r>
    </w:p>
    <w:p w14:paraId="427A0AC1" w14:textId="5DE42806" w:rsidR="00D45859" w:rsidRPr="003078EC" w:rsidRDefault="00D45859" w:rsidP="000975ED">
      <w:pPr>
        <w:pStyle w:val="SingleTxt"/>
        <w:numPr>
          <w:ilvl w:val="0"/>
          <w:numId w:val="15"/>
        </w:numPr>
        <w:spacing w:line="240" w:lineRule="exact"/>
        <w:rPr>
          <w:lang w:val="fr-FR"/>
        </w:rPr>
      </w:pPr>
      <w:r w:rsidRPr="003078EC">
        <w:rPr>
          <w:lang w:val="fr-FR"/>
        </w:rPr>
        <w:t xml:space="preserve">Selon la décision prise par la Commission des recours des réfugiés le </w:t>
      </w:r>
      <w:r w:rsidRPr="00C74BFE">
        <w:rPr>
          <w:lang w:val="fr-FR"/>
        </w:rPr>
        <w:t>1</w:t>
      </w:r>
      <w:r w:rsidRPr="003078EC">
        <w:rPr>
          <w:vertAlign w:val="superscript"/>
          <w:lang w:val="fr-FR"/>
        </w:rPr>
        <w:t>er</w:t>
      </w:r>
      <w:r w:rsidRPr="003078EC">
        <w:rPr>
          <w:lang w:val="fr-FR"/>
        </w:rPr>
        <w:t xml:space="preserve"> décembre </w:t>
      </w:r>
      <w:r w:rsidRPr="00C74BFE">
        <w:rPr>
          <w:lang w:val="fr-FR"/>
        </w:rPr>
        <w:t>2015</w:t>
      </w:r>
      <w:r w:rsidRPr="003078EC">
        <w:rPr>
          <w:lang w:val="fr-FR"/>
        </w:rPr>
        <w:t>, la majorité des membres de la Commission ont estimé que les déclarations faites par l</w:t>
      </w:r>
      <w:r>
        <w:rPr>
          <w:lang w:val="fr-FR"/>
        </w:rPr>
        <w:t>’</w:t>
      </w:r>
      <w:r w:rsidRPr="003078EC">
        <w:rPr>
          <w:lang w:val="fr-FR"/>
        </w:rPr>
        <w:t>auteure pour justifier sa demande d</w:t>
      </w:r>
      <w:r>
        <w:rPr>
          <w:lang w:val="fr-FR"/>
        </w:rPr>
        <w:t>’</w:t>
      </w:r>
      <w:r w:rsidRPr="003078EC">
        <w:rPr>
          <w:lang w:val="fr-FR"/>
        </w:rPr>
        <w:t>asile ne pouvaient être considérées comme véridiques. Ils ont souligné, en particulier, qu</w:t>
      </w:r>
      <w:r>
        <w:rPr>
          <w:lang w:val="fr-FR"/>
        </w:rPr>
        <w:t>’</w:t>
      </w:r>
      <w:r w:rsidRPr="003078EC">
        <w:rPr>
          <w:lang w:val="fr-FR"/>
        </w:rPr>
        <w:t>il leur paraissait peu plausible que l</w:t>
      </w:r>
      <w:r>
        <w:rPr>
          <w:lang w:val="fr-FR"/>
        </w:rPr>
        <w:t>’</w:t>
      </w:r>
      <w:r w:rsidRPr="003078EC">
        <w:rPr>
          <w:lang w:val="fr-FR"/>
        </w:rPr>
        <w:t>auteure se soit rendue le jour où elle se serait mariée, puis à nouveau quelques jours plus tard, au magasin de S., situé non loin du domicile familial. Ils ont également insisté sur le fait qu</w:t>
      </w:r>
      <w:r>
        <w:rPr>
          <w:lang w:val="fr-FR"/>
        </w:rPr>
        <w:t>’</w:t>
      </w:r>
      <w:r w:rsidRPr="003078EC">
        <w:rPr>
          <w:lang w:val="fr-FR"/>
        </w:rPr>
        <w:t>il était improbable que S. soit resté en Somalie alors qu</w:t>
      </w:r>
      <w:r>
        <w:rPr>
          <w:lang w:val="fr-FR"/>
        </w:rPr>
        <w:t>’</w:t>
      </w:r>
      <w:r w:rsidRPr="003078EC">
        <w:rPr>
          <w:lang w:val="fr-FR"/>
        </w:rPr>
        <w:t>il avait reçu des menaces de mort. Étant donné que la présente communication ne comporte aucune nouvelle information attestant la crédibilité de l</w:t>
      </w:r>
      <w:r>
        <w:rPr>
          <w:lang w:val="fr-FR"/>
        </w:rPr>
        <w:t>’</w:t>
      </w:r>
      <w:r w:rsidRPr="003078EC">
        <w:rPr>
          <w:lang w:val="fr-FR"/>
        </w:rPr>
        <w:t>auteure, l</w:t>
      </w:r>
      <w:r>
        <w:rPr>
          <w:lang w:val="fr-FR"/>
        </w:rPr>
        <w:t>’</w:t>
      </w:r>
      <w:r w:rsidRPr="003078EC">
        <w:rPr>
          <w:lang w:val="fr-FR"/>
        </w:rPr>
        <w:t>État partie ne saurait considérer comme véridiques les déclarations de celle-ci. En outre, dans la communication qu</w:t>
      </w:r>
      <w:r>
        <w:rPr>
          <w:lang w:val="fr-FR"/>
        </w:rPr>
        <w:t>’</w:t>
      </w:r>
      <w:r w:rsidRPr="003078EC">
        <w:rPr>
          <w:lang w:val="fr-FR"/>
        </w:rPr>
        <w:t>elle a adressée au Comité, l</w:t>
      </w:r>
      <w:r>
        <w:rPr>
          <w:lang w:val="fr-FR"/>
        </w:rPr>
        <w:t>’</w:t>
      </w:r>
      <w:r w:rsidRPr="003078EC">
        <w:rPr>
          <w:lang w:val="fr-FR"/>
        </w:rPr>
        <w:t>auteure n</w:t>
      </w:r>
      <w:r>
        <w:rPr>
          <w:lang w:val="fr-FR"/>
        </w:rPr>
        <w:t>’</w:t>
      </w:r>
      <w:r w:rsidRPr="003078EC">
        <w:rPr>
          <w:lang w:val="fr-FR"/>
        </w:rPr>
        <w:t>a pas remis en cause l</w:t>
      </w:r>
      <w:r>
        <w:rPr>
          <w:lang w:val="fr-FR"/>
        </w:rPr>
        <w:t>’</w:t>
      </w:r>
      <w:r w:rsidRPr="003078EC">
        <w:rPr>
          <w:lang w:val="fr-FR"/>
        </w:rPr>
        <w:t xml:space="preserve">évaluation menée par la Commission pour apprécier sa crédibilité. </w:t>
      </w:r>
    </w:p>
    <w:p w14:paraId="5EFB6D58" w14:textId="14E0640B" w:rsidR="00D45859" w:rsidRPr="003078EC" w:rsidRDefault="00D45859" w:rsidP="000975ED">
      <w:pPr>
        <w:pStyle w:val="SingleTxt"/>
        <w:numPr>
          <w:ilvl w:val="0"/>
          <w:numId w:val="15"/>
        </w:numPr>
        <w:spacing w:line="240" w:lineRule="exact"/>
        <w:rPr>
          <w:lang w:val="fr-FR"/>
        </w:rPr>
      </w:pPr>
      <w:r w:rsidRPr="003078EC">
        <w:rPr>
          <w:lang w:val="fr-FR"/>
        </w:rPr>
        <w:t>En ce qui concerne l</w:t>
      </w:r>
      <w:r>
        <w:rPr>
          <w:lang w:val="fr-FR"/>
        </w:rPr>
        <w:t>’</w:t>
      </w:r>
      <w:r w:rsidRPr="003078EC">
        <w:rPr>
          <w:lang w:val="fr-FR"/>
        </w:rPr>
        <w:t>appréciation de la crédibilité de manière générale, l</w:t>
      </w:r>
      <w:r>
        <w:rPr>
          <w:lang w:val="fr-FR"/>
        </w:rPr>
        <w:t>’</w:t>
      </w:r>
      <w:r w:rsidRPr="003078EC">
        <w:rPr>
          <w:lang w:val="fr-FR"/>
        </w:rPr>
        <w:t>État partie invoque la jurisprudence de la Cour européenne des droits de l</w:t>
      </w:r>
      <w:r>
        <w:rPr>
          <w:lang w:val="fr-FR"/>
        </w:rPr>
        <w:t>’</w:t>
      </w:r>
      <w:r w:rsidRPr="003078EC">
        <w:rPr>
          <w:lang w:val="fr-FR"/>
        </w:rPr>
        <w:t>homme, en particulier l</w:t>
      </w:r>
      <w:r>
        <w:rPr>
          <w:lang w:val="fr-FR"/>
        </w:rPr>
        <w:t>’</w:t>
      </w:r>
      <w:r w:rsidRPr="003078EC">
        <w:rPr>
          <w:lang w:val="fr-FR"/>
        </w:rPr>
        <w:t xml:space="preserve">affaire </w:t>
      </w:r>
      <w:r w:rsidRPr="00C74BFE">
        <w:rPr>
          <w:i/>
          <w:lang w:val="fr-FR"/>
        </w:rPr>
        <w:t xml:space="preserve">R. C. </w:t>
      </w:r>
      <w:r w:rsidRPr="003078EC">
        <w:rPr>
          <w:iCs/>
          <w:lang w:val="fr-FR"/>
        </w:rPr>
        <w:t>c</w:t>
      </w:r>
      <w:r w:rsidRPr="00C74BFE">
        <w:rPr>
          <w:i/>
          <w:lang w:val="fr-FR"/>
        </w:rPr>
        <w:t>. Suède</w:t>
      </w:r>
      <w:r w:rsidRPr="00C74BFE">
        <w:rPr>
          <w:rStyle w:val="FootnoteReference"/>
        </w:rPr>
        <w:footnoteReference w:id="1"/>
      </w:r>
      <w:r w:rsidRPr="003078EC">
        <w:rPr>
          <w:lang w:val="fr-FR"/>
        </w:rPr>
        <w:t>, dans le cadre de laquelle la Cour a observé, dès le départ, qu</w:t>
      </w:r>
      <w:r>
        <w:rPr>
          <w:lang w:val="fr-FR"/>
        </w:rPr>
        <w:t>’</w:t>
      </w:r>
      <w:r w:rsidRPr="003078EC">
        <w:rPr>
          <w:lang w:val="fr-FR"/>
        </w:rPr>
        <w:t>il y avait un désaccord entre les parties en ce qui concerne les faits, et que le Gouvernement avait mis en cause la crédibilité de l</w:t>
      </w:r>
      <w:r>
        <w:rPr>
          <w:lang w:val="fr-FR"/>
        </w:rPr>
        <w:t>’</w:t>
      </w:r>
      <w:r w:rsidRPr="003078EC">
        <w:rPr>
          <w:lang w:val="fr-FR"/>
        </w:rPr>
        <w:t>auteur et souligné certaines incohérences dans son récit. Elle a reconnu qu</w:t>
      </w:r>
      <w:r>
        <w:rPr>
          <w:lang w:val="fr-FR"/>
        </w:rPr>
        <w:t>’</w:t>
      </w:r>
      <w:r w:rsidRPr="003078EC">
        <w:rPr>
          <w:lang w:val="fr-FR"/>
        </w:rPr>
        <w:t>il était souvent difficile d</w:t>
      </w:r>
      <w:r>
        <w:rPr>
          <w:lang w:val="fr-FR"/>
        </w:rPr>
        <w:t>’</w:t>
      </w:r>
      <w:r w:rsidRPr="003078EC">
        <w:rPr>
          <w:lang w:val="fr-FR"/>
        </w:rPr>
        <w:t>établir avec précision la réalité des faits dans des affaires comme celle-ci, et admis, en tant que principe général, que les autorités nationales étaient les mieux placées pour évaluer non seulement les faits mais, plus particulièrement, la crédibilité des témoins, car c</w:t>
      </w:r>
      <w:r>
        <w:rPr>
          <w:lang w:val="fr-FR"/>
        </w:rPr>
        <w:t>’</w:t>
      </w:r>
      <w:r w:rsidRPr="003078EC">
        <w:rPr>
          <w:lang w:val="fr-FR"/>
        </w:rPr>
        <w:t>était elles qui avaient eu l</w:t>
      </w:r>
      <w:r>
        <w:rPr>
          <w:lang w:val="fr-FR"/>
        </w:rPr>
        <w:t>’</w:t>
      </w:r>
      <w:r w:rsidRPr="003078EC">
        <w:rPr>
          <w:lang w:val="fr-FR"/>
        </w:rPr>
        <w:t>occasion de voir l</w:t>
      </w:r>
      <w:r>
        <w:rPr>
          <w:lang w:val="fr-FR"/>
        </w:rPr>
        <w:t>’</w:t>
      </w:r>
      <w:r w:rsidRPr="003078EC">
        <w:rPr>
          <w:lang w:val="fr-FR"/>
        </w:rPr>
        <w:t>intéressé, de l</w:t>
      </w:r>
      <w:r>
        <w:rPr>
          <w:lang w:val="fr-FR"/>
        </w:rPr>
        <w:t>’</w:t>
      </w:r>
      <w:r w:rsidRPr="003078EC">
        <w:rPr>
          <w:lang w:val="fr-FR"/>
        </w:rPr>
        <w:t>entendre et d</w:t>
      </w:r>
      <w:r>
        <w:rPr>
          <w:lang w:val="fr-FR"/>
        </w:rPr>
        <w:t>’</w:t>
      </w:r>
      <w:r w:rsidRPr="003078EC">
        <w:rPr>
          <w:lang w:val="fr-FR"/>
        </w:rPr>
        <w:t>apprécier son comportement.</w:t>
      </w:r>
    </w:p>
    <w:p w14:paraId="6E9EC400" w14:textId="7F6AC91E" w:rsidR="00D45859" w:rsidRPr="003078EC" w:rsidRDefault="00D45859" w:rsidP="000975ED">
      <w:pPr>
        <w:pStyle w:val="SingleTxt"/>
        <w:numPr>
          <w:ilvl w:val="0"/>
          <w:numId w:val="15"/>
        </w:numPr>
        <w:spacing w:line="240" w:lineRule="exact"/>
        <w:rPr>
          <w:lang w:val="fr-FR"/>
        </w:rPr>
      </w:pPr>
      <w:r w:rsidRPr="003078EC">
        <w:rPr>
          <w:lang w:val="fr-FR"/>
        </w:rPr>
        <w:t>En ce qui concerne la situation générale des droits de l</w:t>
      </w:r>
      <w:r>
        <w:rPr>
          <w:lang w:val="fr-FR"/>
        </w:rPr>
        <w:t>’</w:t>
      </w:r>
      <w:r w:rsidRPr="003078EC">
        <w:rPr>
          <w:lang w:val="fr-FR"/>
        </w:rPr>
        <w:t>homme en Somalie, l</w:t>
      </w:r>
      <w:r>
        <w:rPr>
          <w:lang w:val="fr-FR"/>
        </w:rPr>
        <w:t>’</w:t>
      </w:r>
      <w:r w:rsidRPr="003078EC">
        <w:rPr>
          <w:lang w:val="fr-FR"/>
        </w:rPr>
        <w:t>État partie note que l</w:t>
      </w:r>
      <w:r>
        <w:rPr>
          <w:lang w:val="fr-FR"/>
        </w:rPr>
        <w:t>’</w:t>
      </w:r>
      <w:r w:rsidRPr="003078EC">
        <w:rPr>
          <w:lang w:val="fr-FR"/>
        </w:rPr>
        <w:t>auteure a affirmé être une femme seule, sans entourage, et risquer pour cette seule raison, compte tenu de son appartenance clanique, d</w:t>
      </w:r>
      <w:r>
        <w:rPr>
          <w:lang w:val="fr-FR"/>
        </w:rPr>
        <w:t>’</w:t>
      </w:r>
      <w:r w:rsidRPr="003078EC">
        <w:rPr>
          <w:lang w:val="fr-FR"/>
        </w:rPr>
        <w:t>être victime de persécutions sexistes en Somalie. Il signale que la Commission des recours des réfugiés, lorsqu</w:t>
      </w:r>
      <w:r>
        <w:rPr>
          <w:lang w:val="fr-FR"/>
        </w:rPr>
        <w:t>’</w:t>
      </w:r>
      <w:r w:rsidRPr="003078EC">
        <w:rPr>
          <w:lang w:val="fr-FR"/>
        </w:rPr>
        <w:t>elle s</w:t>
      </w:r>
      <w:r>
        <w:rPr>
          <w:lang w:val="fr-FR"/>
        </w:rPr>
        <w:t>’</w:t>
      </w:r>
      <w:r w:rsidRPr="003078EC">
        <w:rPr>
          <w:lang w:val="fr-FR"/>
        </w:rPr>
        <w:t xml:space="preserve">est prononcée sur le recours, le </w:t>
      </w:r>
      <w:r w:rsidRPr="00C74BFE">
        <w:rPr>
          <w:lang w:val="fr-FR"/>
        </w:rPr>
        <w:t>1</w:t>
      </w:r>
      <w:r w:rsidRPr="003078EC">
        <w:rPr>
          <w:vertAlign w:val="superscript"/>
          <w:lang w:val="fr-FR"/>
        </w:rPr>
        <w:t>er</w:t>
      </w:r>
      <w:r>
        <w:rPr>
          <w:lang w:val="fr-FR"/>
        </w:rPr>
        <w:t> </w:t>
      </w:r>
      <w:r w:rsidRPr="003078EC">
        <w:rPr>
          <w:lang w:val="fr-FR"/>
        </w:rPr>
        <w:t xml:space="preserve">décembre </w:t>
      </w:r>
      <w:r w:rsidRPr="00C74BFE">
        <w:rPr>
          <w:lang w:val="fr-FR"/>
        </w:rPr>
        <w:t>2015</w:t>
      </w:r>
      <w:r w:rsidRPr="003078EC">
        <w:rPr>
          <w:lang w:val="fr-FR"/>
        </w:rPr>
        <w:t>, avait connaissance du rapport du Haut</w:t>
      </w:r>
      <w:r>
        <w:rPr>
          <w:lang w:val="fr-FR"/>
        </w:rPr>
        <w:noBreakHyphen/>
      </w:r>
      <w:r w:rsidRPr="003078EC">
        <w:rPr>
          <w:lang w:val="fr-FR"/>
        </w:rPr>
        <w:t>Commissariat des Nations Unies pour les réfugiés intitulé « UNHCR position on returns to southern and central Somalia » (juin</w:t>
      </w:r>
      <w:r>
        <w:rPr>
          <w:lang w:val="fr-FR"/>
        </w:rPr>
        <w:t xml:space="preserve"> </w:t>
      </w:r>
      <w:r w:rsidRPr="00C74BFE">
        <w:rPr>
          <w:lang w:val="fr-FR"/>
        </w:rPr>
        <w:t>2014</w:t>
      </w:r>
      <w:r w:rsidRPr="003078EC">
        <w:rPr>
          <w:lang w:val="fr-FR"/>
        </w:rPr>
        <w:t>) et l</w:t>
      </w:r>
      <w:r>
        <w:rPr>
          <w:lang w:val="fr-FR"/>
        </w:rPr>
        <w:t>’</w:t>
      </w:r>
      <w:r w:rsidRPr="003078EC">
        <w:rPr>
          <w:lang w:val="fr-FR"/>
        </w:rPr>
        <w:t>a pris en considération, de même que d</w:t>
      </w:r>
      <w:r>
        <w:rPr>
          <w:lang w:val="fr-FR"/>
        </w:rPr>
        <w:t>’</w:t>
      </w:r>
      <w:r w:rsidRPr="003078EC">
        <w:rPr>
          <w:lang w:val="fr-FR"/>
        </w:rPr>
        <w:t>autres documents d</w:t>
      </w:r>
      <w:r>
        <w:rPr>
          <w:lang w:val="fr-FR"/>
        </w:rPr>
        <w:t>’</w:t>
      </w:r>
      <w:r w:rsidRPr="003078EC">
        <w:rPr>
          <w:lang w:val="fr-FR"/>
        </w:rPr>
        <w:t>information. L</w:t>
      </w:r>
      <w:r>
        <w:rPr>
          <w:lang w:val="fr-FR"/>
        </w:rPr>
        <w:t>’</w:t>
      </w:r>
      <w:r w:rsidRPr="003078EC">
        <w:rPr>
          <w:lang w:val="fr-FR"/>
        </w:rPr>
        <w:t>auteure n</w:t>
      </w:r>
      <w:r>
        <w:rPr>
          <w:lang w:val="fr-FR"/>
        </w:rPr>
        <w:t>’</w:t>
      </w:r>
      <w:r w:rsidRPr="003078EC">
        <w:rPr>
          <w:lang w:val="fr-FR"/>
        </w:rPr>
        <w:t>a pas démontré de façon convaincante qu</w:t>
      </w:r>
      <w:r>
        <w:rPr>
          <w:lang w:val="fr-FR"/>
        </w:rPr>
        <w:t>’</w:t>
      </w:r>
      <w:r w:rsidRPr="003078EC">
        <w:rPr>
          <w:lang w:val="fr-FR"/>
        </w:rPr>
        <w:t xml:space="preserve">elle était en conflit avec son oncle et </w:t>
      </w:r>
      <w:r w:rsidRPr="003078EC">
        <w:rPr>
          <w:lang w:val="fr-FR"/>
        </w:rPr>
        <w:lastRenderedPageBreak/>
        <w:t>n</w:t>
      </w:r>
      <w:r>
        <w:rPr>
          <w:lang w:val="fr-FR"/>
        </w:rPr>
        <w:t>’</w:t>
      </w:r>
      <w:r w:rsidRPr="003078EC">
        <w:rPr>
          <w:lang w:val="fr-FR"/>
        </w:rPr>
        <w:t>aurait pas d</w:t>
      </w:r>
      <w:r>
        <w:rPr>
          <w:lang w:val="fr-FR"/>
        </w:rPr>
        <w:t>’</w:t>
      </w:r>
      <w:r w:rsidRPr="003078EC">
        <w:rPr>
          <w:lang w:val="fr-FR"/>
        </w:rPr>
        <w:t>entourage masculin en cas de retour en Somalie. Il lui incombait d</w:t>
      </w:r>
      <w:r>
        <w:rPr>
          <w:lang w:val="fr-FR"/>
        </w:rPr>
        <w:t>’</w:t>
      </w:r>
      <w:r w:rsidRPr="003078EC">
        <w:rPr>
          <w:lang w:val="fr-FR"/>
        </w:rPr>
        <w:t>invoquer des motifs suffisants pour justifier sa demande d</w:t>
      </w:r>
      <w:r>
        <w:rPr>
          <w:lang w:val="fr-FR"/>
        </w:rPr>
        <w:t>’</w:t>
      </w:r>
      <w:r w:rsidRPr="003078EC">
        <w:rPr>
          <w:lang w:val="fr-FR"/>
        </w:rPr>
        <w:t>asile, mais elle n</w:t>
      </w:r>
      <w:r>
        <w:rPr>
          <w:lang w:val="fr-FR"/>
        </w:rPr>
        <w:t>’</w:t>
      </w:r>
      <w:r w:rsidRPr="003078EC">
        <w:rPr>
          <w:lang w:val="fr-FR"/>
        </w:rPr>
        <w:t>a pas été en mesure d</w:t>
      </w:r>
      <w:r>
        <w:rPr>
          <w:lang w:val="fr-FR"/>
        </w:rPr>
        <w:t>’</w:t>
      </w:r>
      <w:r w:rsidRPr="003078EC">
        <w:rPr>
          <w:lang w:val="fr-FR"/>
        </w:rPr>
        <w:t>apporter la preuve de ce qu</w:t>
      </w:r>
      <w:r>
        <w:rPr>
          <w:lang w:val="fr-FR"/>
        </w:rPr>
        <w:t>’</w:t>
      </w:r>
      <w:r w:rsidRPr="003078EC">
        <w:rPr>
          <w:lang w:val="fr-FR"/>
        </w:rPr>
        <w:t>elle avançait. Par conséquent, l</w:t>
      </w:r>
      <w:r>
        <w:rPr>
          <w:lang w:val="fr-FR"/>
        </w:rPr>
        <w:t>’</w:t>
      </w:r>
      <w:r w:rsidRPr="003078EC">
        <w:rPr>
          <w:lang w:val="fr-FR"/>
        </w:rPr>
        <w:t>affirmation selon laquelle l</w:t>
      </w:r>
      <w:r>
        <w:rPr>
          <w:lang w:val="fr-FR"/>
        </w:rPr>
        <w:t>’</w:t>
      </w:r>
      <w:r w:rsidRPr="003078EC">
        <w:rPr>
          <w:lang w:val="fr-FR"/>
        </w:rPr>
        <w:t xml:space="preserve">auteure serait une femme seule, sans entourage, ne saurait être </w:t>
      </w:r>
      <w:r>
        <w:rPr>
          <w:lang w:val="fr-FR"/>
        </w:rPr>
        <w:t>considérée comme un fait avéré.</w:t>
      </w:r>
    </w:p>
    <w:p w14:paraId="5BD21794" w14:textId="3EB27CE8" w:rsidR="00D45859" w:rsidRPr="003078EC" w:rsidRDefault="00D45859" w:rsidP="000975ED">
      <w:pPr>
        <w:pStyle w:val="SingleTxt"/>
        <w:numPr>
          <w:ilvl w:val="0"/>
          <w:numId w:val="15"/>
        </w:numPr>
        <w:spacing w:line="240" w:lineRule="exact"/>
        <w:rPr>
          <w:lang w:val="fr-FR"/>
        </w:rPr>
      </w:pPr>
      <w:r w:rsidRPr="003078EC">
        <w:rPr>
          <w:lang w:val="fr-FR"/>
        </w:rPr>
        <w:t>L</w:t>
      </w:r>
      <w:r>
        <w:rPr>
          <w:lang w:val="fr-FR"/>
        </w:rPr>
        <w:t>’</w:t>
      </w:r>
      <w:r w:rsidRPr="003078EC">
        <w:rPr>
          <w:lang w:val="fr-FR"/>
        </w:rPr>
        <w:t>État partie ajoute que, dans l</w:t>
      </w:r>
      <w:r>
        <w:rPr>
          <w:lang w:val="fr-FR"/>
        </w:rPr>
        <w:t>’</w:t>
      </w:r>
      <w:r w:rsidRPr="003078EC">
        <w:rPr>
          <w:lang w:val="fr-FR"/>
        </w:rPr>
        <w:t>arrêt qu</w:t>
      </w:r>
      <w:r>
        <w:rPr>
          <w:lang w:val="fr-FR"/>
        </w:rPr>
        <w:t>’</w:t>
      </w:r>
      <w:r w:rsidRPr="003078EC">
        <w:rPr>
          <w:lang w:val="fr-FR"/>
        </w:rPr>
        <w:t>elle a rendu en l</w:t>
      </w:r>
      <w:r>
        <w:rPr>
          <w:lang w:val="fr-FR"/>
        </w:rPr>
        <w:t>’</w:t>
      </w:r>
      <w:r w:rsidRPr="003078EC">
        <w:rPr>
          <w:lang w:val="fr-FR"/>
        </w:rPr>
        <w:t xml:space="preserve">affaire </w:t>
      </w:r>
      <w:r w:rsidRPr="00C74BFE">
        <w:rPr>
          <w:i/>
          <w:lang w:val="fr-FR"/>
        </w:rPr>
        <w:t xml:space="preserve">R. H. </w:t>
      </w:r>
      <w:r w:rsidRPr="003078EC">
        <w:rPr>
          <w:iCs/>
          <w:lang w:val="fr-FR"/>
        </w:rPr>
        <w:t>c</w:t>
      </w:r>
      <w:r w:rsidRPr="00C74BFE">
        <w:rPr>
          <w:i/>
          <w:lang w:val="fr-FR"/>
        </w:rPr>
        <w:t>. Suède</w:t>
      </w:r>
      <w:r w:rsidRPr="00C74BFE">
        <w:rPr>
          <w:rStyle w:val="FootnoteReference"/>
        </w:rPr>
        <w:footnoteReference w:id="2"/>
      </w:r>
      <w:r w:rsidRPr="003078EC">
        <w:rPr>
          <w:lang w:val="fr-FR"/>
        </w:rPr>
        <w:t>, la Cour européenne des droits de l</w:t>
      </w:r>
      <w:r>
        <w:rPr>
          <w:lang w:val="fr-FR"/>
        </w:rPr>
        <w:t>’</w:t>
      </w:r>
      <w:r w:rsidRPr="003078EC">
        <w:rPr>
          <w:lang w:val="fr-FR"/>
        </w:rPr>
        <w:t>homme a déclaré que, de son avis, il pouvait être établi qu</w:t>
      </w:r>
      <w:r>
        <w:rPr>
          <w:lang w:val="fr-FR"/>
        </w:rPr>
        <w:t>’</w:t>
      </w:r>
      <w:r w:rsidRPr="003078EC">
        <w:rPr>
          <w:lang w:val="fr-FR"/>
        </w:rPr>
        <w:t>une femme célibataire retournant à Mogadiscio sans disposer de la protection d</w:t>
      </w:r>
      <w:r>
        <w:rPr>
          <w:lang w:val="fr-FR"/>
        </w:rPr>
        <w:t>’</w:t>
      </w:r>
      <w:r w:rsidRPr="003078EC">
        <w:rPr>
          <w:lang w:val="fr-FR"/>
        </w:rPr>
        <w:t>un réseau masculin serait exposée à un risque réel de vivre dans des conditions constitutives d</w:t>
      </w:r>
      <w:r>
        <w:rPr>
          <w:lang w:val="fr-FR"/>
        </w:rPr>
        <w:t>’</w:t>
      </w:r>
      <w:r w:rsidRPr="003078EC">
        <w:rPr>
          <w:lang w:val="fr-FR"/>
        </w:rPr>
        <w:t>un traitement inhumain ou dégradant au sens de l</w:t>
      </w:r>
      <w:r>
        <w:rPr>
          <w:lang w:val="fr-FR"/>
        </w:rPr>
        <w:t>’</w:t>
      </w:r>
      <w:r w:rsidRPr="003078EC">
        <w:rPr>
          <w:lang w:val="fr-FR"/>
        </w:rPr>
        <w:t>article </w:t>
      </w:r>
      <w:r w:rsidRPr="00C74BFE">
        <w:rPr>
          <w:lang w:val="fr-FR"/>
        </w:rPr>
        <w:t>3</w:t>
      </w:r>
      <w:r w:rsidRPr="003078EC">
        <w:rPr>
          <w:lang w:val="fr-FR"/>
        </w:rPr>
        <w:t xml:space="preserve"> de la Convention. Toutefois, selon l</w:t>
      </w:r>
      <w:r>
        <w:rPr>
          <w:lang w:val="fr-FR"/>
        </w:rPr>
        <w:t>’</w:t>
      </w:r>
      <w:r w:rsidRPr="003078EC">
        <w:rPr>
          <w:lang w:val="fr-FR"/>
        </w:rPr>
        <w:t>État partie, la présente affaire ne saurait être appréciée autrement à la lumière de cet arrêt, dans la mesure où les circonstances factuelles diffèrent considérablement. La situation en Somalie, notamment dans la région de Gedo, n</w:t>
      </w:r>
      <w:r>
        <w:rPr>
          <w:lang w:val="fr-FR"/>
        </w:rPr>
        <w:t>’</w:t>
      </w:r>
      <w:r w:rsidRPr="003078EC">
        <w:rPr>
          <w:lang w:val="fr-FR"/>
        </w:rPr>
        <w:t>est pas telle que toute femme qui y</w:t>
      </w:r>
      <w:r>
        <w:rPr>
          <w:lang w:val="fr-FR"/>
        </w:rPr>
        <w:t> </w:t>
      </w:r>
      <w:r w:rsidRPr="003078EC">
        <w:rPr>
          <w:lang w:val="fr-FR"/>
        </w:rPr>
        <w:t>retourne risque d</w:t>
      </w:r>
      <w:r>
        <w:rPr>
          <w:lang w:val="fr-FR"/>
        </w:rPr>
        <w:t>’</w:t>
      </w:r>
      <w:r w:rsidRPr="003078EC">
        <w:rPr>
          <w:lang w:val="fr-FR"/>
        </w:rPr>
        <w:t>être victime de violences. L</w:t>
      </w:r>
      <w:r>
        <w:rPr>
          <w:lang w:val="fr-FR"/>
        </w:rPr>
        <w:t>’</w:t>
      </w:r>
      <w:r w:rsidRPr="003078EC">
        <w:rPr>
          <w:lang w:val="fr-FR"/>
        </w:rPr>
        <w:t>État partie se réfère également à des documents d</w:t>
      </w:r>
      <w:r>
        <w:rPr>
          <w:lang w:val="fr-FR"/>
        </w:rPr>
        <w:t>’</w:t>
      </w:r>
      <w:r w:rsidRPr="003078EC">
        <w:rPr>
          <w:lang w:val="fr-FR"/>
        </w:rPr>
        <w:t>information émanant du Ministère de l</w:t>
      </w:r>
      <w:r>
        <w:rPr>
          <w:lang w:val="fr-FR"/>
        </w:rPr>
        <w:t>’</w:t>
      </w:r>
      <w:r w:rsidRPr="003078EC">
        <w:rPr>
          <w:lang w:val="fr-FR"/>
        </w:rPr>
        <w:t>intérieur du Royaume-Uni de Grande</w:t>
      </w:r>
      <w:r>
        <w:rPr>
          <w:lang w:val="fr-FR"/>
        </w:rPr>
        <w:noBreakHyphen/>
      </w:r>
      <w:r w:rsidRPr="003078EC">
        <w:rPr>
          <w:lang w:val="fr-FR"/>
        </w:rPr>
        <w:t>Bretagne et d</w:t>
      </w:r>
      <w:r>
        <w:rPr>
          <w:lang w:val="fr-FR"/>
        </w:rPr>
        <w:t>’</w:t>
      </w:r>
      <w:r w:rsidRPr="003078EC">
        <w:rPr>
          <w:lang w:val="fr-FR"/>
        </w:rPr>
        <w:t>Irlande du Nord (</w:t>
      </w:r>
      <w:r w:rsidRPr="00C74BFE">
        <w:rPr>
          <w:lang w:val="fr-FR"/>
        </w:rPr>
        <w:t>2016</w:t>
      </w:r>
      <w:r w:rsidRPr="003078EC">
        <w:rPr>
          <w:lang w:val="fr-FR"/>
        </w:rPr>
        <w:t>) et de l</w:t>
      </w:r>
      <w:r>
        <w:rPr>
          <w:lang w:val="fr-FR"/>
        </w:rPr>
        <w:t>’</w:t>
      </w:r>
      <w:r w:rsidRPr="003078EC">
        <w:rPr>
          <w:lang w:val="fr-FR"/>
        </w:rPr>
        <w:t>Office fédéral autrichien de l</w:t>
      </w:r>
      <w:r>
        <w:rPr>
          <w:lang w:val="fr-FR"/>
        </w:rPr>
        <w:t>’</w:t>
      </w:r>
      <w:r w:rsidRPr="003078EC">
        <w:rPr>
          <w:lang w:val="fr-FR"/>
        </w:rPr>
        <w:t>immigration et de l</w:t>
      </w:r>
      <w:r>
        <w:rPr>
          <w:lang w:val="fr-FR"/>
        </w:rPr>
        <w:t>’</w:t>
      </w:r>
      <w:r w:rsidRPr="003078EC">
        <w:rPr>
          <w:lang w:val="fr-FR"/>
        </w:rPr>
        <w:t>asile (</w:t>
      </w:r>
      <w:r w:rsidRPr="00C74BFE">
        <w:rPr>
          <w:lang w:val="fr-FR"/>
        </w:rPr>
        <w:t>2015</w:t>
      </w:r>
      <w:r w:rsidRPr="003078EC">
        <w:rPr>
          <w:lang w:val="fr-FR"/>
        </w:rPr>
        <w:t>), selon lesquels la ville natale de l</w:t>
      </w:r>
      <w:r>
        <w:rPr>
          <w:lang w:val="fr-FR"/>
        </w:rPr>
        <w:t>’</w:t>
      </w:r>
      <w:r w:rsidRPr="003078EC">
        <w:rPr>
          <w:lang w:val="fr-FR"/>
        </w:rPr>
        <w:t>auteure est maintenant sous le contrôle de la Mission de l</w:t>
      </w:r>
      <w:r>
        <w:rPr>
          <w:lang w:val="fr-FR"/>
        </w:rPr>
        <w:t>’</w:t>
      </w:r>
      <w:r w:rsidRPr="003078EC">
        <w:rPr>
          <w:lang w:val="fr-FR"/>
        </w:rPr>
        <w:t>Union africaine en Somalie (AMISOM) et de l</w:t>
      </w:r>
      <w:r>
        <w:rPr>
          <w:lang w:val="fr-FR"/>
        </w:rPr>
        <w:t>’</w:t>
      </w:r>
      <w:r w:rsidRPr="003078EC">
        <w:rPr>
          <w:lang w:val="fr-FR"/>
        </w:rPr>
        <w:t>Alliance nationale somalie. En outre, il fait observer que la jurisprudence de la Commission des recours des réfugiés n</w:t>
      </w:r>
      <w:r>
        <w:rPr>
          <w:lang w:val="fr-FR"/>
        </w:rPr>
        <w:t>’</w:t>
      </w:r>
      <w:r w:rsidRPr="003078EC">
        <w:rPr>
          <w:lang w:val="fr-FR"/>
        </w:rPr>
        <w:t>exige pas qu</w:t>
      </w:r>
      <w:r>
        <w:rPr>
          <w:lang w:val="fr-FR"/>
        </w:rPr>
        <w:t>’</w:t>
      </w:r>
      <w:r w:rsidRPr="003078EC">
        <w:rPr>
          <w:lang w:val="fr-FR"/>
        </w:rPr>
        <w:t>une femme renvoyée à Mogadiscio ait un entourage masculin. Une fois arrivée à Mogadiscio, l</w:t>
      </w:r>
      <w:r>
        <w:rPr>
          <w:lang w:val="fr-FR"/>
        </w:rPr>
        <w:t>’</w:t>
      </w:r>
      <w:r w:rsidRPr="003078EC">
        <w:rPr>
          <w:lang w:val="fr-FR"/>
        </w:rPr>
        <w:t>auteure pourrait contacter sa famille et demander de l</w:t>
      </w:r>
      <w:r>
        <w:rPr>
          <w:lang w:val="fr-FR"/>
        </w:rPr>
        <w:t>’</w:t>
      </w:r>
      <w:r w:rsidRPr="003078EC">
        <w:rPr>
          <w:lang w:val="fr-FR"/>
        </w:rPr>
        <w:t>aide pour se rendre jusqu</w:t>
      </w:r>
      <w:r>
        <w:rPr>
          <w:lang w:val="fr-FR"/>
        </w:rPr>
        <w:t>’à sa ville natale.</w:t>
      </w:r>
    </w:p>
    <w:p w14:paraId="25DF720B" w14:textId="606EB79B" w:rsidR="00D45859" w:rsidRPr="003078EC" w:rsidRDefault="00D45859" w:rsidP="000975ED">
      <w:pPr>
        <w:pStyle w:val="SingleTxt"/>
        <w:numPr>
          <w:ilvl w:val="0"/>
          <w:numId w:val="15"/>
        </w:numPr>
        <w:spacing w:line="240" w:lineRule="exact"/>
        <w:rPr>
          <w:lang w:val="fr-FR"/>
        </w:rPr>
      </w:pPr>
      <w:r w:rsidRPr="003078EC">
        <w:rPr>
          <w:lang w:val="fr-FR"/>
        </w:rPr>
        <w:t>Quant à la question de la violence fondée sur le genre en Somalie, l</w:t>
      </w:r>
      <w:r>
        <w:rPr>
          <w:lang w:val="fr-FR"/>
        </w:rPr>
        <w:t>’</w:t>
      </w:r>
      <w:r w:rsidRPr="003078EC">
        <w:rPr>
          <w:lang w:val="fr-FR"/>
        </w:rPr>
        <w:t>État partie répète que l</w:t>
      </w:r>
      <w:r>
        <w:rPr>
          <w:lang w:val="fr-FR"/>
        </w:rPr>
        <w:t>’</w:t>
      </w:r>
      <w:r w:rsidRPr="003078EC">
        <w:rPr>
          <w:lang w:val="fr-FR"/>
        </w:rPr>
        <w:t>auteure n</w:t>
      </w:r>
      <w:r>
        <w:rPr>
          <w:lang w:val="fr-FR"/>
        </w:rPr>
        <w:t>’</w:t>
      </w:r>
      <w:r w:rsidRPr="003078EC">
        <w:rPr>
          <w:lang w:val="fr-FR"/>
        </w:rPr>
        <w:t>a pas démontré à suffisance qu</w:t>
      </w:r>
      <w:r>
        <w:rPr>
          <w:lang w:val="fr-FR"/>
        </w:rPr>
        <w:t>’</w:t>
      </w:r>
      <w:r w:rsidRPr="003078EC">
        <w:rPr>
          <w:lang w:val="fr-FR"/>
        </w:rPr>
        <w:t>elle courrait un risque réel, personnel et prévisible si elle retournait en Somalie. Les déclarations faites par l</w:t>
      </w:r>
      <w:r>
        <w:rPr>
          <w:lang w:val="fr-FR"/>
        </w:rPr>
        <w:t>’</w:t>
      </w:r>
      <w:r w:rsidRPr="003078EC">
        <w:rPr>
          <w:lang w:val="fr-FR"/>
        </w:rPr>
        <w:t>auteure pour justifier sa demande d</w:t>
      </w:r>
      <w:r>
        <w:rPr>
          <w:lang w:val="fr-FR"/>
        </w:rPr>
        <w:t>’</w:t>
      </w:r>
      <w:r w:rsidRPr="003078EC">
        <w:rPr>
          <w:lang w:val="fr-FR"/>
        </w:rPr>
        <w:t>asile ne pouvant être considérées comme véridiques, sachant qu</w:t>
      </w:r>
      <w:r>
        <w:rPr>
          <w:lang w:val="fr-FR"/>
        </w:rPr>
        <w:t>’</w:t>
      </w:r>
      <w:r w:rsidRPr="003078EC">
        <w:rPr>
          <w:lang w:val="fr-FR"/>
        </w:rPr>
        <w:t>il ne peut être accepté comme un fait avéré qu</w:t>
      </w:r>
      <w:r>
        <w:rPr>
          <w:lang w:val="fr-FR"/>
        </w:rPr>
        <w:t>’</w:t>
      </w:r>
      <w:r w:rsidRPr="003078EC">
        <w:rPr>
          <w:lang w:val="fr-FR"/>
        </w:rPr>
        <w:t>elle ait été mariée de force à un homme plus âgé et qu</w:t>
      </w:r>
      <w:r>
        <w:rPr>
          <w:lang w:val="fr-FR"/>
        </w:rPr>
        <w:t>’</w:t>
      </w:r>
      <w:r w:rsidRPr="003078EC">
        <w:rPr>
          <w:lang w:val="fr-FR"/>
        </w:rPr>
        <w:t>elle ait entretenu une relation avec un autre homme avant son mariage, l</w:t>
      </w:r>
      <w:r>
        <w:rPr>
          <w:lang w:val="fr-FR"/>
        </w:rPr>
        <w:t>’</w:t>
      </w:r>
      <w:r w:rsidRPr="003078EC">
        <w:rPr>
          <w:lang w:val="fr-FR"/>
        </w:rPr>
        <w:t>État partie estime qu</w:t>
      </w:r>
      <w:r>
        <w:rPr>
          <w:lang w:val="fr-FR"/>
        </w:rPr>
        <w:t>’</w:t>
      </w:r>
      <w:r w:rsidRPr="003078EC">
        <w:rPr>
          <w:lang w:val="fr-FR"/>
        </w:rPr>
        <w:t>il ne peut être démontré que l</w:t>
      </w:r>
      <w:r>
        <w:rPr>
          <w:lang w:val="fr-FR"/>
        </w:rPr>
        <w:t>’</w:t>
      </w:r>
      <w:r w:rsidRPr="003078EC">
        <w:rPr>
          <w:lang w:val="fr-FR"/>
        </w:rPr>
        <w:t>auteure courrait un risque réel, personnel et prévisible, si elle retournait en Somalie, d</w:t>
      </w:r>
      <w:r>
        <w:rPr>
          <w:lang w:val="fr-FR"/>
        </w:rPr>
        <w:t>’</w:t>
      </w:r>
      <w:r w:rsidRPr="003078EC">
        <w:rPr>
          <w:lang w:val="fr-FR"/>
        </w:rPr>
        <w:t>être victime de formes graves de violence fondée sur le genre ou de mauvais traitements exercés par sa famille, par les autorités ou par d</w:t>
      </w:r>
      <w:r>
        <w:rPr>
          <w:lang w:val="fr-FR"/>
        </w:rPr>
        <w:t>’</w:t>
      </w:r>
      <w:r w:rsidRPr="003078EC">
        <w:rPr>
          <w:lang w:val="fr-FR"/>
        </w:rPr>
        <w:t>autres acteurs. Il ajoute que le fait que l</w:t>
      </w:r>
      <w:r>
        <w:rPr>
          <w:lang w:val="fr-FR"/>
        </w:rPr>
        <w:t>’</w:t>
      </w:r>
      <w:r w:rsidRPr="003078EC">
        <w:rPr>
          <w:lang w:val="fr-FR"/>
        </w:rPr>
        <w:t>auteure ait subi des mutilations génitales féminines n</w:t>
      </w:r>
      <w:r>
        <w:rPr>
          <w:lang w:val="fr-FR"/>
        </w:rPr>
        <w:t>’</w:t>
      </w:r>
      <w:r w:rsidRPr="003078EC">
        <w:rPr>
          <w:lang w:val="fr-FR"/>
        </w:rPr>
        <w:t>est pas en soi un motif d</w:t>
      </w:r>
      <w:r>
        <w:rPr>
          <w:lang w:val="fr-FR"/>
        </w:rPr>
        <w:t>’</w:t>
      </w:r>
      <w:r w:rsidRPr="003078EC">
        <w:rPr>
          <w:lang w:val="fr-FR"/>
        </w:rPr>
        <w:t>octroi de l</w:t>
      </w:r>
      <w:r>
        <w:rPr>
          <w:lang w:val="fr-FR"/>
        </w:rPr>
        <w:t>’</w:t>
      </w:r>
      <w:r w:rsidRPr="003078EC">
        <w:rPr>
          <w:lang w:val="fr-FR"/>
        </w:rPr>
        <w:t>asile et n</w:t>
      </w:r>
      <w:r>
        <w:rPr>
          <w:lang w:val="fr-FR"/>
        </w:rPr>
        <w:t>’</w:t>
      </w:r>
      <w:r w:rsidRPr="003078EC">
        <w:rPr>
          <w:lang w:val="fr-FR"/>
        </w:rPr>
        <w:t>implique pas forcément qu</w:t>
      </w:r>
      <w:r>
        <w:rPr>
          <w:lang w:val="fr-FR"/>
        </w:rPr>
        <w:t>’</w:t>
      </w:r>
      <w:r w:rsidRPr="003078EC">
        <w:rPr>
          <w:lang w:val="fr-FR"/>
        </w:rPr>
        <w:t>elle sera victime d</w:t>
      </w:r>
      <w:r>
        <w:rPr>
          <w:lang w:val="fr-FR"/>
        </w:rPr>
        <w:t>’</w:t>
      </w:r>
      <w:r w:rsidRPr="003078EC">
        <w:rPr>
          <w:lang w:val="fr-FR"/>
        </w:rPr>
        <w:t>actes de violence fondée sur le genre</w:t>
      </w:r>
      <w:r>
        <w:rPr>
          <w:lang w:val="fr-FR"/>
        </w:rPr>
        <w:t xml:space="preserve"> à l’avenir.</w:t>
      </w:r>
    </w:p>
    <w:p w14:paraId="0826CB58" w14:textId="1286A1A8" w:rsidR="00D45859" w:rsidRPr="003078EC" w:rsidRDefault="00D45859" w:rsidP="000975ED">
      <w:pPr>
        <w:pStyle w:val="SingleTxt"/>
        <w:numPr>
          <w:ilvl w:val="0"/>
          <w:numId w:val="15"/>
        </w:numPr>
        <w:spacing w:line="240" w:lineRule="exact"/>
        <w:rPr>
          <w:lang w:val="fr-FR"/>
        </w:rPr>
      </w:pPr>
      <w:r w:rsidRPr="003078EC">
        <w:rPr>
          <w:lang w:val="fr-FR"/>
        </w:rPr>
        <w:t>En ce qui concerne l</w:t>
      </w:r>
      <w:r>
        <w:rPr>
          <w:lang w:val="fr-FR"/>
        </w:rPr>
        <w:t>’</w:t>
      </w:r>
      <w:r w:rsidRPr="003078EC">
        <w:rPr>
          <w:lang w:val="fr-FR"/>
        </w:rPr>
        <w:t>appartenance de l</w:t>
      </w:r>
      <w:r>
        <w:rPr>
          <w:lang w:val="fr-FR"/>
        </w:rPr>
        <w:t>’</w:t>
      </w:r>
      <w:r w:rsidRPr="003078EC">
        <w:rPr>
          <w:lang w:val="fr-FR"/>
        </w:rPr>
        <w:t>auteure au clan minoritaire des A</w:t>
      </w:r>
      <w:r>
        <w:rPr>
          <w:lang w:val="fr-FR"/>
        </w:rPr>
        <w:t>c</w:t>
      </w:r>
      <w:r w:rsidRPr="003078EC">
        <w:rPr>
          <w:lang w:val="fr-FR"/>
        </w:rPr>
        <w:t>hraf, l</w:t>
      </w:r>
      <w:r>
        <w:rPr>
          <w:lang w:val="fr-FR"/>
        </w:rPr>
        <w:t>’</w:t>
      </w:r>
      <w:r w:rsidRPr="003078EC">
        <w:rPr>
          <w:lang w:val="fr-FR"/>
        </w:rPr>
        <w:t>État partie fait observer que ce fait ne peut à lui seul donner lieu à une appréciation différente des circonstances de l</w:t>
      </w:r>
      <w:r>
        <w:rPr>
          <w:lang w:val="fr-FR"/>
        </w:rPr>
        <w:t>’</w:t>
      </w:r>
      <w:r w:rsidRPr="003078EC">
        <w:rPr>
          <w:lang w:val="fr-FR"/>
        </w:rPr>
        <w:t>affaire. Il ressort de documents d</w:t>
      </w:r>
      <w:r>
        <w:rPr>
          <w:lang w:val="fr-FR"/>
        </w:rPr>
        <w:t>’</w:t>
      </w:r>
      <w:r w:rsidRPr="003078EC">
        <w:rPr>
          <w:lang w:val="fr-FR"/>
        </w:rPr>
        <w:t>information émanant du Ministère de l</w:t>
      </w:r>
      <w:r>
        <w:rPr>
          <w:lang w:val="fr-FR"/>
        </w:rPr>
        <w:t>’</w:t>
      </w:r>
      <w:r w:rsidRPr="003078EC">
        <w:rPr>
          <w:lang w:val="fr-FR"/>
        </w:rPr>
        <w:t>intérieur du Royaume-Uni de Grande-Bretagne et d</w:t>
      </w:r>
      <w:r>
        <w:rPr>
          <w:lang w:val="fr-FR"/>
        </w:rPr>
        <w:t>’</w:t>
      </w:r>
      <w:r w:rsidRPr="003078EC">
        <w:rPr>
          <w:lang w:val="fr-FR"/>
        </w:rPr>
        <w:t>Irlande du Nord (</w:t>
      </w:r>
      <w:r w:rsidRPr="00C74BFE">
        <w:rPr>
          <w:lang w:val="fr-FR"/>
        </w:rPr>
        <w:t>2015</w:t>
      </w:r>
      <w:r w:rsidRPr="003078EC">
        <w:rPr>
          <w:lang w:val="fr-FR"/>
        </w:rPr>
        <w:t>) que, dans les régions du sud et du centre de la Somalie, hors de Mogadiscio, les clans dominants peuvent être en mesure de protéger leurs membres et les membres de groupes minoritaires avec lesquels ils ont noué des relations ou des liens.</w:t>
      </w:r>
    </w:p>
    <w:p w14:paraId="53539D0C" w14:textId="2A742AB5" w:rsidR="00D45859" w:rsidRPr="003078EC" w:rsidRDefault="00D45859" w:rsidP="000975ED">
      <w:pPr>
        <w:pStyle w:val="SingleTxt"/>
        <w:numPr>
          <w:ilvl w:val="0"/>
          <w:numId w:val="15"/>
        </w:numPr>
        <w:spacing w:line="240" w:lineRule="exact"/>
        <w:rPr>
          <w:lang w:val="fr-FR"/>
        </w:rPr>
      </w:pPr>
      <w:r w:rsidRPr="003078EC">
        <w:rPr>
          <w:lang w:val="fr-FR"/>
        </w:rPr>
        <w:t>L</w:t>
      </w:r>
      <w:r>
        <w:rPr>
          <w:lang w:val="fr-FR"/>
        </w:rPr>
        <w:t>’</w:t>
      </w:r>
      <w:r w:rsidRPr="003078EC">
        <w:rPr>
          <w:lang w:val="fr-FR"/>
        </w:rPr>
        <w:t>État partie ajoute que l</w:t>
      </w:r>
      <w:r>
        <w:rPr>
          <w:lang w:val="fr-FR"/>
        </w:rPr>
        <w:t>’</w:t>
      </w:r>
      <w:r w:rsidRPr="003078EC">
        <w:rPr>
          <w:lang w:val="fr-FR"/>
        </w:rPr>
        <w:t xml:space="preserve">absence de référence explicite à la Convention dans la décision rendue le </w:t>
      </w:r>
      <w:r w:rsidRPr="00C74BFE">
        <w:rPr>
          <w:lang w:val="fr-FR"/>
        </w:rPr>
        <w:t>1</w:t>
      </w:r>
      <w:r w:rsidRPr="003078EC">
        <w:rPr>
          <w:vertAlign w:val="superscript"/>
          <w:lang w:val="fr-FR"/>
        </w:rPr>
        <w:t>er</w:t>
      </w:r>
      <w:r>
        <w:rPr>
          <w:lang w:val="fr-FR"/>
        </w:rPr>
        <w:t> </w:t>
      </w:r>
      <w:r w:rsidRPr="003078EC">
        <w:rPr>
          <w:lang w:val="fr-FR"/>
        </w:rPr>
        <w:t xml:space="preserve">décembre </w:t>
      </w:r>
      <w:r w:rsidRPr="00C74BFE">
        <w:rPr>
          <w:lang w:val="fr-FR"/>
        </w:rPr>
        <w:t>2015</w:t>
      </w:r>
      <w:r w:rsidRPr="003078EC">
        <w:rPr>
          <w:lang w:val="fr-FR"/>
        </w:rPr>
        <w:t xml:space="preserve"> ne signifie pas que la Commission des recours des réfugiés a omis de prendre en considération le risque que l</w:t>
      </w:r>
      <w:r>
        <w:rPr>
          <w:lang w:val="fr-FR"/>
        </w:rPr>
        <w:t>’</w:t>
      </w:r>
      <w:r w:rsidRPr="003078EC">
        <w:rPr>
          <w:lang w:val="fr-FR"/>
        </w:rPr>
        <w:t>auteure soit victime de violences et bafoué ainsi le droit de celle-ci d</w:t>
      </w:r>
      <w:r>
        <w:rPr>
          <w:lang w:val="fr-FR"/>
        </w:rPr>
        <w:t>’</w:t>
      </w:r>
      <w:r w:rsidRPr="003078EC">
        <w:rPr>
          <w:lang w:val="fr-FR"/>
        </w:rPr>
        <w:t xml:space="preserve">être protégée au titre de la Convention. Dans la majeure partie du texte de sa décision, la Commission renvoie </w:t>
      </w:r>
      <w:r w:rsidRPr="003078EC">
        <w:rPr>
          <w:lang w:val="fr-FR"/>
        </w:rPr>
        <w:lastRenderedPageBreak/>
        <w:t>uniquement aux dispositions de la loi sur les étrangers, et pas à celles des conventions qui sous-tendent la législation danoise et que le Danemark est tenu de respecter</w:t>
      </w:r>
      <w:r w:rsidRPr="00C74BFE">
        <w:rPr>
          <w:rStyle w:val="FootnoteReference"/>
        </w:rPr>
        <w:footnoteReference w:id="3"/>
      </w:r>
      <w:r w:rsidRPr="003078EC">
        <w:rPr>
          <w:lang w:val="fr-FR"/>
        </w:rPr>
        <w:t>.</w:t>
      </w:r>
    </w:p>
    <w:p w14:paraId="49BCCA66" w14:textId="26CCCF40" w:rsidR="00D45859" w:rsidRPr="003078EC" w:rsidRDefault="00D45859" w:rsidP="000975ED">
      <w:pPr>
        <w:pStyle w:val="SingleTxt"/>
        <w:numPr>
          <w:ilvl w:val="0"/>
          <w:numId w:val="15"/>
        </w:numPr>
        <w:spacing w:line="240" w:lineRule="exact"/>
        <w:rPr>
          <w:lang w:val="fr-FR"/>
        </w:rPr>
      </w:pPr>
      <w:r w:rsidRPr="003078EC">
        <w:rPr>
          <w:lang w:val="fr-FR"/>
        </w:rPr>
        <w:t>Selon l</w:t>
      </w:r>
      <w:r>
        <w:rPr>
          <w:lang w:val="fr-FR"/>
        </w:rPr>
        <w:t>’</w:t>
      </w:r>
      <w:r w:rsidRPr="003078EC">
        <w:rPr>
          <w:lang w:val="fr-FR"/>
        </w:rPr>
        <w:t>État partie, dans la présente affaire, la Commission des recours des réfugiés a pris en considération toutes les informations pertinentes. La présente communication n</w:t>
      </w:r>
      <w:r>
        <w:rPr>
          <w:lang w:val="fr-FR"/>
        </w:rPr>
        <w:t>’</w:t>
      </w:r>
      <w:r w:rsidRPr="003078EC">
        <w:rPr>
          <w:lang w:val="fr-FR"/>
        </w:rPr>
        <w:t>a mis en lumière aucune nouvelle information indiquant que l</w:t>
      </w:r>
      <w:r>
        <w:rPr>
          <w:lang w:val="fr-FR"/>
        </w:rPr>
        <w:t>’</w:t>
      </w:r>
      <w:r w:rsidRPr="003078EC">
        <w:rPr>
          <w:lang w:val="fr-FR"/>
        </w:rPr>
        <w:t>auteure risquerait d</w:t>
      </w:r>
      <w:r>
        <w:rPr>
          <w:lang w:val="fr-FR"/>
        </w:rPr>
        <w:t>’</w:t>
      </w:r>
      <w:r w:rsidRPr="003078EC">
        <w:rPr>
          <w:lang w:val="fr-FR"/>
        </w:rPr>
        <w:t>être victime de persécutions ou de violences justifiant l</w:t>
      </w:r>
      <w:r>
        <w:rPr>
          <w:lang w:val="fr-FR"/>
        </w:rPr>
        <w:t>’</w:t>
      </w:r>
      <w:r w:rsidRPr="003078EC">
        <w:rPr>
          <w:lang w:val="fr-FR"/>
        </w:rPr>
        <w:t>octroi de l</w:t>
      </w:r>
      <w:r>
        <w:rPr>
          <w:lang w:val="fr-FR"/>
        </w:rPr>
        <w:t>’</w:t>
      </w:r>
      <w:r w:rsidRPr="003078EC">
        <w:rPr>
          <w:lang w:val="fr-FR"/>
        </w:rPr>
        <w:t>asile. L</w:t>
      </w:r>
      <w:r>
        <w:rPr>
          <w:lang w:val="fr-FR"/>
        </w:rPr>
        <w:t>’</w:t>
      </w:r>
      <w:r w:rsidRPr="003078EC">
        <w:rPr>
          <w:lang w:val="fr-FR"/>
        </w:rPr>
        <w:t>État partie se réfère aux constatations adoptées par le Comité des droits de l</w:t>
      </w:r>
      <w:r>
        <w:rPr>
          <w:lang w:val="fr-FR"/>
        </w:rPr>
        <w:t>’</w:t>
      </w:r>
      <w:r w:rsidRPr="003078EC">
        <w:rPr>
          <w:lang w:val="fr-FR"/>
        </w:rPr>
        <w:t>homme dans l</w:t>
      </w:r>
      <w:r>
        <w:rPr>
          <w:lang w:val="fr-FR"/>
        </w:rPr>
        <w:t>’</w:t>
      </w:r>
      <w:r w:rsidRPr="003078EC">
        <w:rPr>
          <w:lang w:val="fr-FR"/>
        </w:rPr>
        <w:t xml:space="preserve">affaire </w:t>
      </w:r>
      <w:r w:rsidRPr="00C74BFE">
        <w:rPr>
          <w:i/>
          <w:lang w:val="fr-FR"/>
        </w:rPr>
        <w:t xml:space="preserve">P. T. </w:t>
      </w:r>
      <w:r w:rsidRPr="003078EC">
        <w:rPr>
          <w:iCs/>
          <w:lang w:val="fr-FR"/>
        </w:rPr>
        <w:t>c.</w:t>
      </w:r>
      <w:r w:rsidRPr="00C74BFE">
        <w:rPr>
          <w:i/>
          <w:lang w:val="fr-FR"/>
        </w:rPr>
        <w:t xml:space="preserve"> Danemark</w:t>
      </w:r>
      <w:r w:rsidRPr="00C74BFE">
        <w:rPr>
          <w:rStyle w:val="FootnoteReference"/>
        </w:rPr>
        <w:footnoteReference w:id="4"/>
      </w:r>
      <w:r w:rsidRPr="003078EC">
        <w:rPr>
          <w:lang w:val="fr-FR"/>
        </w:rPr>
        <w:t> : « Le Comité rappelle sa jurisprudence dont il ressort qu</w:t>
      </w:r>
      <w:r>
        <w:rPr>
          <w:lang w:val="fr-FR"/>
        </w:rPr>
        <w:t>’</w:t>
      </w:r>
      <w:r w:rsidRPr="003078EC">
        <w:rPr>
          <w:lang w:val="fr-FR"/>
        </w:rPr>
        <w:t>il convient d</w:t>
      </w:r>
      <w:r>
        <w:rPr>
          <w:lang w:val="fr-FR"/>
        </w:rPr>
        <w:t>’</w:t>
      </w:r>
      <w:r w:rsidRPr="003078EC">
        <w:rPr>
          <w:lang w:val="fr-FR"/>
        </w:rPr>
        <w:t>accorder un poids important à l</w:t>
      </w:r>
      <w:r>
        <w:rPr>
          <w:lang w:val="fr-FR"/>
        </w:rPr>
        <w:t>’</w:t>
      </w:r>
      <w:r w:rsidRPr="003078EC">
        <w:rPr>
          <w:lang w:val="fr-FR"/>
        </w:rPr>
        <w:t>analyse qu</w:t>
      </w:r>
      <w:r>
        <w:rPr>
          <w:lang w:val="fr-FR"/>
        </w:rPr>
        <w:t>’</w:t>
      </w:r>
      <w:r w:rsidRPr="003078EC">
        <w:rPr>
          <w:lang w:val="fr-FR"/>
        </w:rPr>
        <w:t>a faite l</w:t>
      </w:r>
      <w:r>
        <w:rPr>
          <w:lang w:val="fr-FR"/>
        </w:rPr>
        <w:t>’</w:t>
      </w:r>
      <w:r w:rsidRPr="003078EC">
        <w:rPr>
          <w:lang w:val="fr-FR"/>
        </w:rPr>
        <w:t>État partie de l</w:t>
      </w:r>
      <w:r>
        <w:rPr>
          <w:lang w:val="fr-FR"/>
        </w:rPr>
        <w:t>’</w:t>
      </w:r>
      <w:r w:rsidRPr="003078EC">
        <w:rPr>
          <w:lang w:val="fr-FR"/>
        </w:rPr>
        <w:t>affaire, sauf s</w:t>
      </w:r>
      <w:r>
        <w:rPr>
          <w:lang w:val="fr-FR"/>
        </w:rPr>
        <w:t>’</w:t>
      </w:r>
      <w:r w:rsidRPr="003078EC">
        <w:rPr>
          <w:lang w:val="fr-FR"/>
        </w:rPr>
        <w:t>il peut être établi que cette appréciation a été manifestement arbitraire ou a représenté un déni de justice, et que, d</w:t>
      </w:r>
      <w:r>
        <w:rPr>
          <w:lang w:val="fr-FR"/>
        </w:rPr>
        <w:t>’</w:t>
      </w:r>
      <w:r w:rsidRPr="003078EC">
        <w:rPr>
          <w:lang w:val="fr-FR"/>
        </w:rPr>
        <w:t>une manière générale, c</w:t>
      </w:r>
      <w:r>
        <w:rPr>
          <w:lang w:val="fr-FR"/>
        </w:rPr>
        <w:t>’</w:t>
      </w:r>
      <w:r w:rsidRPr="003078EC">
        <w:rPr>
          <w:lang w:val="fr-FR"/>
        </w:rPr>
        <w:t>est aux organes des États parties au Pacte d</w:t>
      </w:r>
      <w:r>
        <w:rPr>
          <w:lang w:val="fr-FR"/>
        </w:rPr>
        <w:t>’</w:t>
      </w:r>
      <w:r w:rsidRPr="003078EC">
        <w:rPr>
          <w:lang w:val="fr-FR"/>
        </w:rPr>
        <w:t>examiner ou d</w:t>
      </w:r>
      <w:r>
        <w:rPr>
          <w:lang w:val="fr-FR"/>
        </w:rPr>
        <w:t>’</w:t>
      </w:r>
      <w:r w:rsidRPr="003078EC">
        <w:rPr>
          <w:lang w:val="fr-FR"/>
        </w:rPr>
        <w:t>apprécier les faits et les preuves en vue d</w:t>
      </w:r>
      <w:r>
        <w:rPr>
          <w:lang w:val="fr-FR"/>
        </w:rPr>
        <w:t>’</w:t>
      </w:r>
      <w:r w:rsidRPr="003078EC">
        <w:rPr>
          <w:lang w:val="fr-FR"/>
        </w:rPr>
        <w:t>établir l</w:t>
      </w:r>
      <w:r>
        <w:rPr>
          <w:lang w:val="fr-FR"/>
        </w:rPr>
        <w:t>’</w:t>
      </w:r>
      <w:r w:rsidRPr="003078EC">
        <w:rPr>
          <w:lang w:val="fr-FR"/>
        </w:rPr>
        <w:t>existence d</w:t>
      </w:r>
      <w:r>
        <w:rPr>
          <w:lang w:val="fr-FR"/>
        </w:rPr>
        <w:t>’</w:t>
      </w:r>
      <w:r w:rsidRPr="003078EC">
        <w:rPr>
          <w:lang w:val="fr-FR"/>
        </w:rPr>
        <w:t>un tel risque ». Il fait également observer que, dans ses constatations relatives à l</w:t>
      </w:r>
      <w:r>
        <w:rPr>
          <w:lang w:val="fr-FR"/>
        </w:rPr>
        <w:t>’</w:t>
      </w:r>
      <w:r w:rsidRPr="003078EC">
        <w:rPr>
          <w:lang w:val="fr-FR"/>
        </w:rPr>
        <w:t xml:space="preserve">affaire </w:t>
      </w:r>
      <w:r w:rsidRPr="00C74BFE">
        <w:rPr>
          <w:i/>
          <w:lang w:val="fr-FR"/>
        </w:rPr>
        <w:t>M. et M</w:t>
      </w:r>
      <w:r w:rsidRPr="00C74BFE">
        <w:rPr>
          <w:i/>
          <w:vertAlign w:val="superscript"/>
          <w:lang w:val="fr-FR"/>
        </w:rPr>
        <w:t>me</w:t>
      </w:r>
      <w:r w:rsidRPr="00C74BFE">
        <w:rPr>
          <w:i/>
          <w:lang w:val="fr-FR"/>
        </w:rPr>
        <w:t xml:space="preserve"> X </w:t>
      </w:r>
      <w:r w:rsidRPr="003078EC">
        <w:rPr>
          <w:iCs/>
          <w:lang w:val="fr-FR"/>
        </w:rPr>
        <w:t>c.</w:t>
      </w:r>
      <w:r w:rsidRPr="00C74BFE">
        <w:rPr>
          <w:i/>
          <w:lang w:val="fr-FR"/>
        </w:rPr>
        <w:t xml:space="preserve"> Danemark</w:t>
      </w:r>
      <w:r w:rsidRPr="00C74BFE">
        <w:rPr>
          <w:rStyle w:val="FootnoteReference"/>
        </w:rPr>
        <w:footnoteReference w:id="5"/>
      </w:r>
      <w:r w:rsidRPr="003078EC">
        <w:rPr>
          <w:lang w:val="fr-FR"/>
        </w:rPr>
        <w:t>, le Comité des droits de l</w:t>
      </w:r>
      <w:r>
        <w:rPr>
          <w:lang w:val="fr-FR"/>
        </w:rPr>
        <w:t>’</w:t>
      </w:r>
      <w:r w:rsidRPr="003078EC">
        <w:rPr>
          <w:lang w:val="fr-FR"/>
        </w:rPr>
        <w:t>homme a noté ce qui suit : « Le Comité constate que la demande de statut de réfugié présentée par les auteurs a été soigneusement évaluée par les autorités de l</w:t>
      </w:r>
      <w:r>
        <w:rPr>
          <w:lang w:val="fr-FR"/>
        </w:rPr>
        <w:t>’</w:t>
      </w:r>
      <w:r w:rsidRPr="003078EC">
        <w:rPr>
          <w:lang w:val="fr-FR"/>
        </w:rPr>
        <w:t>État partie, qui ont conclu que les déclarations des auteurs concernant le motif de la demande et le compte rendu des événements qui étaient à l</w:t>
      </w:r>
      <w:r>
        <w:rPr>
          <w:lang w:val="fr-FR"/>
        </w:rPr>
        <w:t>’</w:t>
      </w:r>
      <w:r w:rsidRPr="003078EC">
        <w:rPr>
          <w:lang w:val="fr-FR"/>
        </w:rPr>
        <w:t>origine de leur crainte d</w:t>
      </w:r>
      <w:r>
        <w:rPr>
          <w:lang w:val="fr-FR"/>
        </w:rPr>
        <w:t>’</w:t>
      </w:r>
      <w:r w:rsidRPr="003078EC">
        <w:rPr>
          <w:lang w:val="fr-FR"/>
        </w:rPr>
        <w:t>être torturés ou tués n</w:t>
      </w:r>
      <w:r>
        <w:rPr>
          <w:lang w:val="fr-FR"/>
        </w:rPr>
        <w:t>’</w:t>
      </w:r>
      <w:r w:rsidRPr="003078EC">
        <w:rPr>
          <w:lang w:val="fr-FR"/>
        </w:rPr>
        <w:t>étaient pas crédibles. Le Comité constate aussi que les auteurs n</w:t>
      </w:r>
      <w:r>
        <w:rPr>
          <w:lang w:val="fr-FR"/>
        </w:rPr>
        <w:t>’</w:t>
      </w:r>
      <w:r w:rsidRPr="003078EC">
        <w:rPr>
          <w:lang w:val="fr-FR"/>
        </w:rPr>
        <w:t>ont pas mis en évidence une irrégularité quelconque dans le processus de prise de décisions ni un facteur de risque qui n</w:t>
      </w:r>
      <w:r>
        <w:rPr>
          <w:lang w:val="fr-FR"/>
        </w:rPr>
        <w:t>’</w:t>
      </w:r>
      <w:r w:rsidRPr="003078EC">
        <w:rPr>
          <w:lang w:val="fr-FR"/>
        </w:rPr>
        <w:t>aurait pas été suffisamment pris en compte par les autorités de l</w:t>
      </w:r>
      <w:r>
        <w:rPr>
          <w:lang w:val="fr-FR"/>
        </w:rPr>
        <w:t>’</w:t>
      </w:r>
      <w:r w:rsidRPr="003078EC">
        <w:rPr>
          <w:lang w:val="fr-FR"/>
        </w:rPr>
        <w:t>État partie. Compte tenu de ce qui précède, le Comité ne peut pas conclure que les auteurs seraient exposés à un risque réel de traitement contraire aux articles</w:t>
      </w:r>
      <w:r w:rsidR="002F1178">
        <w:rPr>
          <w:lang w:val="fr-FR"/>
        </w:rPr>
        <w:t xml:space="preserve"> </w:t>
      </w:r>
      <w:r w:rsidRPr="00C74BFE">
        <w:rPr>
          <w:lang w:val="fr-FR"/>
        </w:rPr>
        <w:t>6</w:t>
      </w:r>
      <w:r w:rsidRPr="003078EC">
        <w:rPr>
          <w:lang w:val="fr-FR"/>
        </w:rPr>
        <w:t xml:space="preserve"> ou </w:t>
      </w:r>
      <w:r w:rsidRPr="00C74BFE">
        <w:rPr>
          <w:lang w:val="fr-FR"/>
        </w:rPr>
        <w:t>7</w:t>
      </w:r>
      <w:r w:rsidRPr="003078EC">
        <w:rPr>
          <w:lang w:val="fr-FR"/>
        </w:rPr>
        <w:t xml:space="preserve"> du Pacte s</w:t>
      </w:r>
      <w:r>
        <w:rPr>
          <w:lang w:val="fr-FR"/>
        </w:rPr>
        <w:t>’</w:t>
      </w:r>
      <w:r w:rsidRPr="003078EC">
        <w:rPr>
          <w:lang w:val="fr-FR"/>
        </w:rPr>
        <w:t>ils étaient renvoyés </w:t>
      </w:r>
      <w:r>
        <w:rPr>
          <w:lang w:val="fr-FR"/>
        </w:rPr>
        <w:t>».</w:t>
      </w:r>
    </w:p>
    <w:p w14:paraId="6AAD7A40" w14:textId="2DA4B1AB" w:rsidR="00D45859" w:rsidRPr="003078EC" w:rsidRDefault="00D45859" w:rsidP="000975ED">
      <w:pPr>
        <w:pStyle w:val="SingleTxt"/>
        <w:numPr>
          <w:ilvl w:val="0"/>
          <w:numId w:val="15"/>
        </w:numPr>
        <w:spacing w:line="240" w:lineRule="exact"/>
        <w:rPr>
          <w:lang w:val="fr-FR"/>
        </w:rPr>
      </w:pPr>
      <w:r w:rsidRPr="003078EC">
        <w:rPr>
          <w:lang w:val="fr-FR"/>
        </w:rPr>
        <w:t>L</w:t>
      </w:r>
      <w:r>
        <w:rPr>
          <w:lang w:val="fr-FR"/>
        </w:rPr>
        <w:t>’</w:t>
      </w:r>
      <w:r w:rsidRPr="003078EC">
        <w:rPr>
          <w:lang w:val="fr-FR"/>
        </w:rPr>
        <w:t>État partie affirme que les mêmes garanties de procédure régulière ont été appliquées dans la présente affaire. Il renvoie également à la décision adoptée par le Comité des droits de l</w:t>
      </w:r>
      <w:r>
        <w:rPr>
          <w:lang w:val="fr-FR"/>
        </w:rPr>
        <w:t>’</w:t>
      </w:r>
      <w:r w:rsidRPr="003078EC">
        <w:rPr>
          <w:lang w:val="fr-FR"/>
        </w:rPr>
        <w:t>homme dans l</w:t>
      </w:r>
      <w:r>
        <w:rPr>
          <w:lang w:val="fr-FR"/>
        </w:rPr>
        <w:t>’</w:t>
      </w:r>
      <w:r w:rsidRPr="003078EC">
        <w:rPr>
          <w:lang w:val="fr-FR"/>
        </w:rPr>
        <w:t xml:space="preserve">affaire </w:t>
      </w:r>
      <w:r w:rsidRPr="00C74BFE">
        <w:rPr>
          <w:i/>
          <w:lang w:val="fr-FR"/>
        </w:rPr>
        <w:t xml:space="preserve">N. </w:t>
      </w:r>
      <w:r w:rsidRPr="003078EC">
        <w:rPr>
          <w:iCs/>
          <w:lang w:val="fr-FR"/>
        </w:rPr>
        <w:t>c</w:t>
      </w:r>
      <w:r w:rsidRPr="00C74BFE">
        <w:rPr>
          <w:i/>
          <w:lang w:val="fr-FR"/>
        </w:rPr>
        <w:t>. Danemark</w:t>
      </w:r>
      <w:r w:rsidRPr="00C74BFE">
        <w:rPr>
          <w:rStyle w:val="FootnoteReference"/>
        </w:rPr>
        <w:footnoteReference w:id="6"/>
      </w:r>
      <w:r w:rsidRPr="003078EC">
        <w:rPr>
          <w:lang w:val="fr-FR"/>
        </w:rPr>
        <w:t> : « Le Comité rappelle qu</w:t>
      </w:r>
      <w:r>
        <w:rPr>
          <w:lang w:val="fr-FR"/>
        </w:rPr>
        <w:t>’</w:t>
      </w:r>
      <w:r w:rsidRPr="003078EC">
        <w:rPr>
          <w:lang w:val="fr-FR"/>
        </w:rPr>
        <w:t>il appartient en général aux organes des États parties d</w:t>
      </w:r>
      <w:r>
        <w:rPr>
          <w:lang w:val="fr-FR"/>
        </w:rPr>
        <w:t>’</w:t>
      </w:r>
      <w:r w:rsidRPr="003078EC">
        <w:rPr>
          <w:lang w:val="fr-FR"/>
        </w:rPr>
        <w:t>examiner les faits et les éléments de preuve, sauf s</w:t>
      </w:r>
      <w:r>
        <w:rPr>
          <w:lang w:val="fr-FR"/>
        </w:rPr>
        <w:t>’</w:t>
      </w:r>
      <w:r w:rsidRPr="003078EC">
        <w:rPr>
          <w:lang w:val="fr-FR"/>
        </w:rPr>
        <w:t>il peut être établi que cette appréciation a été arbitraire ou manifestement entachée d</w:t>
      </w:r>
      <w:r>
        <w:rPr>
          <w:lang w:val="fr-FR"/>
        </w:rPr>
        <w:t>’</w:t>
      </w:r>
      <w:r w:rsidRPr="003078EC">
        <w:rPr>
          <w:lang w:val="fr-FR"/>
        </w:rPr>
        <w:t>erreurs ou qu</w:t>
      </w:r>
      <w:r>
        <w:rPr>
          <w:lang w:val="fr-FR"/>
        </w:rPr>
        <w:t>’</w:t>
      </w:r>
      <w:r w:rsidRPr="003078EC">
        <w:rPr>
          <w:lang w:val="fr-FR"/>
        </w:rPr>
        <w:t>elle a représenté un déni de justice. L</w:t>
      </w:r>
      <w:r>
        <w:rPr>
          <w:lang w:val="fr-FR"/>
        </w:rPr>
        <w:t>’</w:t>
      </w:r>
      <w:r w:rsidRPr="003078EC">
        <w:rPr>
          <w:lang w:val="fr-FR"/>
        </w:rPr>
        <w:t>auteur n</w:t>
      </w:r>
      <w:r>
        <w:rPr>
          <w:lang w:val="fr-FR"/>
        </w:rPr>
        <w:t>’</w:t>
      </w:r>
      <w:r w:rsidRPr="003078EC">
        <w:rPr>
          <w:lang w:val="fr-FR"/>
        </w:rPr>
        <w:t>a pas expliqué en quoi la décision rendue par la Commission des recours des réfugiés n</w:t>
      </w:r>
      <w:r>
        <w:rPr>
          <w:lang w:val="fr-FR"/>
        </w:rPr>
        <w:t>’</w:t>
      </w:r>
      <w:r w:rsidRPr="003078EC">
        <w:rPr>
          <w:lang w:val="fr-FR"/>
        </w:rPr>
        <w:t>aurait pas rempli les critères susmentionnés, et n</w:t>
      </w:r>
      <w:r>
        <w:rPr>
          <w:lang w:val="fr-FR"/>
        </w:rPr>
        <w:t>’</w:t>
      </w:r>
      <w:r w:rsidRPr="003078EC">
        <w:rPr>
          <w:lang w:val="fr-FR"/>
        </w:rPr>
        <w:t>a pas non plus fourni de motif sérieux de croire, comme il l</w:t>
      </w:r>
      <w:r>
        <w:rPr>
          <w:lang w:val="fr-FR"/>
        </w:rPr>
        <w:t>’</w:t>
      </w:r>
      <w:r w:rsidRPr="003078EC">
        <w:rPr>
          <w:lang w:val="fr-FR"/>
        </w:rPr>
        <w:t>affirme, que son renvoi [...] l</w:t>
      </w:r>
      <w:r>
        <w:rPr>
          <w:lang w:val="fr-FR"/>
        </w:rPr>
        <w:t>’</w:t>
      </w:r>
      <w:r w:rsidRPr="003078EC">
        <w:rPr>
          <w:lang w:val="fr-FR"/>
        </w:rPr>
        <w:t>exposerait à un risque réel de préjudice irréparable, en violation de l</w:t>
      </w:r>
      <w:r>
        <w:rPr>
          <w:lang w:val="fr-FR"/>
        </w:rPr>
        <w:t>’</w:t>
      </w:r>
      <w:r w:rsidRPr="003078EC">
        <w:rPr>
          <w:lang w:val="fr-FR"/>
        </w:rPr>
        <w:t>article</w:t>
      </w:r>
      <w:r w:rsidR="00C74BFE">
        <w:rPr>
          <w:lang w:val="fr-FR"/>
        </w:rPr>
        <w:t xml:space="preserve"> </w:t>
      </w:r>
      <w:r w:rsidRPr="00C74BFE">
        <w:rPr>
          <w:lang w:val="fr-FR"/>
        </w:rPr>
        <w:t>7</w:t>
      </w:r>
      <w:r w:rsidRPr="003078EC">
        <w:rPr>
          <w:lang w:val="fr-FR"/>
        </w:rPr>
        <w:t xml:space="preserve"> du Pacte. En conséquence, le Comité conclut que l</w:t>
      </w:r>
      <w:r>
        <w:rPr>
          <w:lang w:val="fr-FR"/>
        </w:rPr>
        <w:t>’</w:t>
      </w:r>
      <w:r w:rsidRPr="003078EC">
        <w:rPr>
          <w:lang w:val="fr-FR"/>
        </w:rPr>
        <w:t>auteur n</w:t>
      </w:r>
      <w:r>
        <w:rPr>
          <w:lang w:val="fr-FR"/>
        </w:rPr>
        <w:t>’</w:t>
      </w:r>
      <w:r w:rsidRPr="003078EC">
        <w:rPr>
          <w:lang w:val="fr-FR"/>
        </w:rPr>
        <w:t xml:space="preserve">a pas suffisamment étayé son grief de </w:t>
      </w:r>
      <w:r w:rsidRPr="003078EC">
        <w:rPr>
          <w:lang w:val="fr-FR"/>
        </w:rPr>
        <w:lastRenderedPageBreak/>
        <w:t>violation de l</w:t>
      </w:r>
      <w:r>
        <w:rPr>
          <w:lang w:val="fr-FR"/>
        </w:rPr>
        <w:t>’</w:t>
      </w:r>
      <w:r w:rsidRPr="003078EC">
        <w:rPr>
          <w:lang w:val="fr-FR"/>
        </w:rPr>
        <w:t>article </w:t>
      </w:r>
      <w:r w:rsidRPr="00C74BFE">
        <w:rPr>
          <w:lang w:val="fr-FR"/>
        </w:rPr>
        <w:t>7</w:t>
      </w:r>
      <w:r w:rsidRPr="003078EC">
        <w:rPr>
          <w:lang w:val="fr-FR"/>
        </w:rPr>
        <w:t xml:space="preserve"> aux fins de la recevabilité et déclare la communication irrecevable [...]. »</w:t>
      </w:r>
    </w:p>
    <w:p w14:paraId="1C37E93B" w14:textId="218CF114" w:rsidR="00D45859" w:rsidRPr="003078EC" w:rsidRDefault="00D45859" w:rsidP="000975ED">
      <w:pPr>
        <w:pStyle w:val="SingleTxt"/>
        <w:numPr>
          <w:ilvl w:val="0"/>
          <w:numId w:val="15"/>
        </w:numPr>
        <w:spacing w:line="240" w:lineRule="exact"/>
        <w:rPr>
          <w:lang w:val="fr-FR"/>
        </w:rPr>
      </w:pPr>
      <w:r w:rsidRPr="003078EC">
        <w:rPr>
          <w:lang w:val="fr-FR"/>
        </w:rPr>
        <w:t>L</w:t>
      </w:r>
      <w:r>
        <w:rPr>
          <w:lang w:val="fr-FR"/>
        </w:rPr>
        <w:t>’</w:t>
      </w:r>
      <w:r w:rsidRPr="003078EC">
        <w:rPr>
          <w:lang w:val="fr-FR"/>
        </w:rPr>
        <w:t>État partie souligne que la Commission des recours des réfugiés, organe quasi judiciaire, a estimé, à l</w:t>
      </w:r>
      <w:r>
        <w:rPr>
          <w:lang w:val="fr-FR"/>
        </w:rPr>
        <w:t>’</w:t>
      </w:r>
      <w:r w:rsidRPr="003078EC">
        <w:rPr>
          <w:lang w:val="fr-FR"/>
        </w:rPr>
        <w:t>issue d</w:t>
      </w:r>
      <w:r>
        <w:rPr>
          <w:lang w:val="fr-FR"/>
        </w:rPr>
        <w:t>’</w:t>
      </w:r>
      <w:r w:rsidRPr="003078EC">
        <w:rPr>
          <w:lang w:val="fr-FR"/>
        </w:rPr>
        <w:t>une analyse approfondie de la crédibilité de l</w:t>
      </w:r>
      <w:r>
        <w:rPr>
          <w:lang w:val="fr-FR"/>
        </w:rPr>
        <w:t>’</w:t>
      </w:r>
      <w:r w:rsidRPr="003078EC">
        <w:rPr>
          <w:lang w:val="fr-FR"/>
        </w:rPr>
        <w:t>auteure, de la documentation disponible et de la situation particulière de l</w:t>
      </w:r>
      <w:r>
        <w:rPr>
          <w:lang w:val="fr-FR"/>
        </w:rPr>
        <w:t>’</w:t>
      </w:r>
      <w:r w:rsidRPr="003078EC">
        <w:rPr>
          <w:lang w:val="fr-FR"/>
        </w:rPr>
        <w:t>auteure, que celle</w:t>
      </w:r>
      <w:r w:rsidRPr="003078EC">
        <w:rPr>
          <w:lang w:val="fr-FR"/>
        </w:rPr>
        <w:noBreakHyphen/>
        <w:t>ci n</w:t>
      </w:r>
      <w:r>
        <w:rPr>
          <w:lang w:val="fr-FR"/>
        </w:rPr>
        <w:t>’</w:t>
      </w:r>
      <w:r w:rsidRPr="003078EC">
        <w:rPr>
          <w:lang w:val="fr-FR"/>
        </w:rPr>
        <w:t>avait pas démontré de façon convaincante qu</w:t>
      </w:r>
      <w:r>
        <w:rPr>
          <w:lang w:val="fr-FR"/>
        </w:rPr>
        <w:t>’</w:t>
      </w:r>
      <w:r w:rsidRPr="003078EC">
        <w:rPr>
          <w:lang w:val="fr-FR"/>
        </w:rPr>
        <w:t>elle courrait le risque d</w:t>
      </w:r>
      <w:r>
        <w:rPr>
          <w:lang w:val="fr-FR"/>
        </w:rPr>
        <w:t>’</w:t>
      </w:r>
      <w:r w:rsidRPr="003078EC">
        <w:rPr>
          <w:lang w:val="fr-FR"/>
        </w:rPr>
        <w:t xml:space="preserve">être victime de persécutions ou de violences en cas de retour en Somalie. Il souscrit à cette conclusion. </w:t>
      </w:r>
    </w:p>
    <w:p w14:paraId="27FB3934" w14:textId="25A59083" w:rsidR="00D45859" w:rsidRPr="003078EC" w:rsidRDefault="00D45859" w:rsidP="000975ED">
      <w:pPr>
        <w:pStyle w:val="SingleTxt"/>
        <w:numPr>
          <w:ilvl w:val="0"/>
          <w:numId w:val="15"/>
        </w:numPr>
        <w:spacing w:line="240" w:lineRule="exact"/>
        <w:rPr>
          <w:lang w:val="fr-FR"/>
        </w:rPr>
      </w:pPr>
      <w:r w:rsidRPr="003078EC">
        <w:rPr>
          <w:lang w:val="fr-FR"/>
        </w:rPr>
        <w:t>À cet égard, l</w:t>
      </w:r>
      <w:r>
        <w:rPr>
          <w:lang w:val="fr-FR"/>
        </w:rPr>
        <w:t>’</w:t>
      </w:r>
      <w:r w:rsidRPr="003078EC">
        <w:rPr>
          <w:lang w:val="fr-FR"/>
        </w:rPr>
        <w:t>État partie rappelle également les conclusions tirées par le Comité des droits de l</w:t>
      </w:r>
      <w:r>
        <w:rPr>
          <w:lang w:val="fr-FR"/>
        </w:rPr>
        <w:t>’</w:t>
      </w:r>
      <w:r w:rsidRPr="003078EC">
        <w:rPr>
          <w:lang w:val="fr-FR"/>
        </w:rPr>
        <w:t>homme dans l</w:t>
      </w:r>
      <w:r>
        <w:rPr>
          <w:lang w:val="fr-FR"/>
        </w:rPr>
        <w:t>’</w:t>
      </w:r>
      <w:r w:rsidRPr="003078EC">
        <w:rPr>
          <w:lang w:val="fr-FR"/>
        </w:rPr>
        <w:t xml:space="preserve">affaire </w:t>
      </w:r>
      <w:r w:rsidRPr="00C74BFE">
        <w:rPr>
          <w:i/>
          <w:lang w:val="fr-FR"/>
        </w:rPr>
        <w:t xml:space="preserve">Z. </w:t>
      </w:r>
      <w:r w:rsidRPr="003078EC">
        <w:rPr>
          <w:iCs/>
          <w:lang w:val="fr-FR"/>
        </w:rPr>
        <w:t>c</w:t>
      </w:r>
      <w:r w:rsidRPr="00C74BFE">
        <w:rPr>
          <w:i/>
          <w:lang w:val="fr-FR"/>
        </w:rPr>
        <w:t>. Danemark</w:t>
      </w:r>
      <w:r w:rsidRPr="00C74BFE">
        <w:rPr>
          <w:rStyle w:val="FootnoteReference"/>
        </w:rPr>
        <w:footnoteReference w:id="7"/>
      </w:r>
      <w:r w:rsidRPr="003078EC">
        <w:rPr>
          <w:lang w:val="fr-FR"/>
        </w:rPr>
        <w:t> : « En l</w:t>
      </w:r>
      <w:r>
        <w:rPr>
          <w:lang w:val="fr-FR"/>
        </w:rPr>
        <w:t>’</w:t>
      </w:r>
      <w:r w:rsidRPr="003078EC">
        <w:rPr>
          <w:lang w:val="fr-FR"/>
        </w:rPr>
        <w:t>absence d</w:t>
      </w:r>
      <w:r>
        <w:rPr>
          <w:lang w:val="fr-FR"/>
        </w:rPr>
        <w:t>’</w:t>
      </w:r>
      <w:r w:rsidRPr="003078EC">
        <w:rPr>
          <w:lang w:val="fr-FR"/>
        </w:rPr>
        <w:t>élément indiquant que les décisions de la Commission des recours des réfugiés étaient manifestement déraisonnables ou arbitraires eu égard aux allégations de l</w:t>
      </w:r>
      <w:r>
        <w:rPr>
          <w:lang w:val="fr-FR"/>
        </w:rPr>
        <w:t>’</w:t>
      </w:r>
      <w:r w:rsidRPr="003078EC">
        <w:rPr>
          <w:lang w:val="fr-FR"/>
        </w:rPr>
        <w:t>auteur, le Comité ne peut pas conclure que les renseignements dont il dispose montrent que l</w:t>
      </w:r>
      <w:r>
        <w:rPr>
          <w:lang w:val="fr-FR"/>
        </w:rPr>
        <w:t>’</w:t>
      </w:r>
      <w:r w:rsidRPr="003078EC">
        <w:rPr>
          <w:lang w:val="fr-FR"/>
        </w:rPr>
        <w:t>expulsion de l</w:t>
      </w:r>
      <w:r>
        <w:rPr>
          <w:lang w:val="fr-FR"/>
        </w:rPr>
        <w:t>’</w:t>
      </w:r>
      <w:r w:rsidRPr="003078EC">
        <w:rPr>
          <w:lang w:val="fr-FR"/>
        </w:rPr>
        <w:t>auteur [...] l</w:t>
      </w:r>
      <w:r>
        <w:rPr>
          <w:lang w:val="fr-FR"/>
        </w:rPr>
        <w:t>’</w:t>
      </w:r>
      <w:r w:rsidRPr="003078EC">
        <w:rPr>
          <w:lang w:val="fr-FR"/>
        </w:rPr>
        <w:t>exposerait à un risque réel de traitement contraire à l</w:t>
      </w:r>
      <w:r>
        <w:rPr>
          <w:lang w:val="fr-FR"/>
        </w:rPr>
        <w:t>’</w:t>
      </w:r>
      <w:r w:rsidRPr="003078EC">
        <w:rPr>
          <w:lang w:val="fr-FR"/>
        </w:rPr>
        <w:t>article</w:t>
      </w:r>
      <w:r w:rsidR="00C74BFE">
        <w:rPr>
          <w:lang w:val="fr-FR"/>
        </w:rPr>
        <w:t xml:space="preserve"> </w:t>
      </w:r>
      <w:r w:rsidRPr="00C74BFE">
        <w:rPr>
          <w:lang w:val="fr-FR"/>
        </w:rPr>
        <w:t>7</w:t>
      </w:r>
      <w:r w:rsidRPr="003078EC">
        <w:rPr>
          <w:lang w:val="fr-FR"/>
        </w:rPr>
        <w:t xml:space="preserve"> du Pacte. » </w:t>
      </w:r>
    </w:p>
    <w:p w14:paraId="6BCE3F47" w14:textId="00FE9DB5" w:rsidR="00D45859" w:rsidRDefault="00D45859" w:rsidP="000975ED">
      <w:pPr>
        <w:pStyle w:val="SingleTxt"/>
        <w:numPr>
          <w:ilvl w:val="0"/>
          <w:numId w:val="15"/>
        </w:numPr>
        <w:spacing w:line="240" w:lineRule="exact"/>
        <w:rPr>
          <w:lang w:val="fr-FR"/>
        </w:rPr>
      </w:pPr>
      <w:r w:rsidRPr="003078EC">
        <w:rPr>
          <w:lang w:val="fr-FR"/>
        </w:rPr>
        <w:t>L</w:t>
      </w:r>
      <w:r>
        <w:rPr>
          <w:lang w:val="fr-FR"/>
        </w:rPr>
        <w:t>’</w:t>
      </w:r>
      <w:r w:rsidRPr="003078EC">
        <w:rPr>
          <w:lang w:val="fr-FR"/>
        </w:rPr>
        <w:t>État partie rappelle que, dans la présente communication, l</w:t>
      </w:r>
      <w:r>
        <w:rPr>
          <w:lang w:val="fr-FR"/>
        </w:rPr>
        <w:t>’</w:t>
      </w:r>
      <w:r w:rsidRPr="003078EC">
        <w:rPr>
          <w:lang w:val="fr-FR"/>
        </w:rPr>
        <w:t>auteure n</w:t>
      </w:r>
      <w:r>
        <w:rPr>
          <w:lang w:val="fr-FR"/>
        </w:rPr>
        <w:t>’</w:t>
      </w:r>
      <w:r w:rsidRPr="003078EC">
        <w:rPr>
          <w:lang w:val="fr-FR"/>
        </w:rPr>
        <w:t>a pas fourni de nouvelles informations sur sa situation. Elle cherche plutôt à obtenir du Comité qu</w:t>
      </w:r>
      <w:r>
        <w:rPr>
          <w:lang w:val="fr-FR"/>
        </w:rPr>
        <w:t>’</w:t>
      </w:r>
      <w:r w:rsidRPr="003078EC">
        <w:rPr>
          <w:lang w:val="fr-FR"/>
        </w:rPr>
        <w:t>il agisse comme un organe d</w:t>
      </w:r>
      <w:r>
        <w:rPr>
          <w:lang w:val="fr-FR"/>
        </w:rPr>
        <w:t>’</w:t>
      </w:r>
      <w:r w:rsidRPr="003078EC">
        <w:rPr>
          <w:lang w:val="fr-FR"/>
        </w:rPr>
        <w:t>appel et procède à un nouvel examen des éléments factuels de son dossier. L</w:t>
      </w:r>
      <w:r>
        <w:rPr>
          <w:lang w:val="fr-FR"/>
        </w:rPr>
        <w:t>’</w:t>
      </w:r>
      <w:r w:rsidRPr="003078EC">
        <w:rPr>
          <w:lang w:val="fr-FR"/>
        </w:rPr>
        <w:t>État partie estime que le Comité doit accorder une importance déterminante aux conclusions factuelles tirées par la Commission des recours des réfugiés, qui est la mieux placée pour apprécier les éléments de fait du dossier de l</w:t>
      </w:r>
      <w:r>
        <w:rPr>
          <w:lang w:val="fr-FR"/>
        </w:rPr>
        <w:t>’</w:t>
      </w:r>
      <w:r w:rsidRPr="003078EC">
        <w:rPr>
          <w:lang w:val="fr-FR"/>
        </w:rPr>
        <w:t>auteure. Selon lui, il n</w:t>
      </w:r>
      <w:r>
        <w:rPr>
          <w:lang w:val="fr-FR"/>
        </w:rPr>
        <w:t>’</w:t>
      </w:r>
      <w:r w:rsidRPr="003078EC">
        <w:rPr>
          <w:lang w:val="fr-FR"/>
        </w:rPr>
        <w:t>y a aucune raison de remettre en cause, et moins encore de rejeter l</w:t>
      </w:r>
      <w:r>
        <w:rPr>
          <w:lang w:val="fr-FR"/>
        </w:rPr>
        <w:t>’</w:t>
      </w:r>
      <w:r w:rsidRPr="003078EC">
        <w:rPr>
          <w:lang w:val="fr-FR"/>
        </w:rPr>
        <w:t>appréciation de la Commission, selon laquelle l</w:t>
      </w:r>
      <w:r>
        <w:rPr>
          <w:lang w:val="fr-FR"/>
        </w:rPr>
        <w:t>’</w:t>
      </w:r>
      <w:r w:rsidRPr="003078EC">
        <w:rPr>
          <w:lang w:val="fr-FR"/>
        </w:rPr>
        <w:t>auteure n</w:t>
      </w:r>
      <w:r>
        <w:rPr>
          <w:lang w:val="fr-FR"/>
        </w:rPr>
        <w:t>’</w:t>
      </w:r>
      <w:r w:rsidRPr="003078EC">
        <w:rPr>
          <w:lang w:val="fr-FR"/>
        </w:rPr>
        <w:t>a pas été en mesure de prouver de façon convaincante qu</w:t>
      </w:r>
      <w:r>
        <w:rPr>
          <w:lang w:val="fr-FR"/>
        </w:rPr>
        <w:t>’</w:t>
      </w:r>
      <w:r w:rsidRPr="003078EC">
        <w:rPr>
          <w:lang w:val="fr-FR"/>
        </w:rPr>
        <w:t>elle encourrait un risque réel, personnel et prévisible d</w:t>
      </w:r>
      <w:r>
        <w:rPr>
          <w:lang w:val="fr-FR"/>
        </w:rPr>
        <w:t>’</w:t>
      </w:r>
      <w:r w:rsidRPr="003078EC">
        <w:rPr>
          <w:lang w:val="fr-FR"/>
        </w:rPr>
        <w:t>être victime de persécutions si elle était renvoyée en Somalie et que son renvoi aurait pour conséquence nécessaire et prévisible la violation des droits qui lui sont conférés par la Convention. Par conséquent, le renvoi de l</w:t>
      </w:r>
      <w:r>
        <w:rPr>
          <w:lang w:val="fr-FR"/>
        </w:rPr>
        <w:t>’</w:t>
      </w:r>
      <w:r w:rsidRPr="003078EC">
        <w:rPr>
          <w:lang w:val="fr-FR"/>
        </w:rPr>
        <w:t>auteure en Somalie ne constituerait pas une violation des articles</w:t>
      </w:r>
      <w:r w:rsidR="00C74BFE">
        <w:rPr>
          <w:lang w:val="fr-FR"/>
        </w:rPr>
        <w:t xml:space="preserve"> </w:t>
      </w:r>
      <w:r w:rsidRPr="00C74BFE">
        <w:rPr>
          <w:lang w:val="fr-FR"/>
        </w:rPr>
        <w:t>2</w:t>
      </w:r>
      <w:r w:rsidRPr="003078EC">
        <w:rPr>
          <w:lang w:val="fr-FR"/>
        </w:rPr>
        <w:t xml:space="preserve"> d), </w:t>
      </w:r>
      <w:r w:rsidRPr="00C74BFE">
        <w:rPr>
          <w:lang w:val="fr-FR"/>
        </w:rPr>
        <w:t>12</w:t>
      </w:r>
      <w:r w:rsidRPr="003078EC">
        <w:rPr>
          <w:lang w:val="fr-FR"/>
        </w:rPr>
        <w:t xml:space="preserve"> et </w:t>
      </w:r>
      <w:r w:rsidRPr="00C74BFE">
        <w:rPr>
          <w:lang w:val="fr-FR"/>
        </w:rPr>
        <w:t>16</w:t>
      </w:r>
      <w:r w:rsidRPr="003078EC">
        <w:rPr>
          <w:lang w:val="fr-FR"/>
        </w:rPr>
        <w:t xml:space="preserve"> de la Convention.</w:t>
      </w:r>
    </w:p>
    <w:p w14:paraId="310513CF" w14:textId="77777777" w:rsidR="00D45859" w:rsidRPr="00D45859" w:rsidRDefault="00D45859" w:rsidP="00D45859">
      <w:pPr>
        <w:pStyle w:val="SingleTxt"/>
        <w:spacing w:after="0" w:line="120" w:lineRule="exact"/>
        <w:rPr>
          <w:sz w:val="10"/>
          <w:lang w:val="fr-FR"/>
        </w:rPr>
      </w:pPr>
    </w:p>
    <w:p w14:paraId="625E7A41" w14:textId="25D40274" w:rsidR="00D45859" w:rsidRDefault="00D45859" w:rsidP="00C74BFE">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50" w:hanging="1267"/>
        <w:rPr>
          <w:lang w:val="fr-FR"/>
        </w:rPr>
      </w:pPr>
      <w:r>
        <w:rPr>
          <w:lang w:val="fr-FR"/>
        </w:rPr>
        <w:tab/>
      </w:r>
      <w:r>
        <w:rPr>
          <w:lang w:val="fr-FR"/>
        </w:rPr>
        <w:tab/>
      </w:r>
      <w:r w:rsidRPr="00DA70BB">
        <w:rPr>
          <w:lang w:val="fr-FR"/>
        </w:rPr>
        <w:t>Commentaires de l</w:t>
      </w:r>
      <w:r>
        <w:rPr>
          <w:lang w:val="fr-FR"/>
        </w:rPr>
        <w:t>’</w:t>
      </w:r>
      <w:r w:rsidRPr="00DA70BB">
        <w:rPr>
          <w:lang w:val="fr-FR"/>
        </w:rPr>
        <w:t>auteure sur les observations de l</w:t>
      </w:r>
      <w:r>
        <w:rPr>
          <w:lang w:val="fr-FR"/>
        </w:rPr>
        <w:t>’</w:t>
      </w:r>
      <w:r w:rsidRPr="00DA70BB">
        <w:rPr>
          <w:lang w:val="fr-FR"/>
        </w:rPr>
        <w:t>État partie</w:t>
      </w:r>
      <w:r>
        <w:rPr>
          <w:lang w:val="fr-FR"/>
        </w:rPr>
        <w:t xml:space="preserve"> </w:t>
      </w:r>
      <w:r w:rsidR="001D2C46">
        <w:rPr>
          <w:lang w:val="fr-FR"/>
        </w:rPr>
        <w:t>sur </w:t>
      </w:r>
      <w:r w:rsidRPr="00DB0E12">
        <w:rPr>
          <w:lang w:val="fr-FR"/>
        </w:rPr>
        <w:t>la recevabilité et sur le fond</w:t>
      </w:r>
    </w:p>
    <w:p w14:paraId="2607DF18" w14:textId="1706598A" w:rsidR="00D45859" w:rsidRPr="00D45859" w:rsidRDefault="00D45859" w:rsidP="00197BEE">
      <w:pPr>
        <w:pStyle w:val="SingleTxt"/>
        <w:keepNext/>
        <w:spacing w:after="0" w:line="120" w:lineRule="exact"/>
        <w:rPr>
          <w:sz w:val="10"/>
          <w:lang w:val="fr-FR"/>
        </w:rPr>
      </w:pPr>
    </w:p>
    <w:p w14:paraId="5D850C5E" w14:textId="47A8C9FC" w:rsidR="00D45859" w:rsidRPr="00650CAC" w:rsidRDefault="00D45859" w:rsidP="00197BEE">
      <w:pPr>
        <w:pStyle w:val="SingleTxt"/>
        <w:keepNext/>
        <w:numPr>
          <w:ilvl w:val="0"/>
          <w:numId w:val="16"/>
        </w:numPr>
        <w:spacing w:line="240" w:lineRule="exact"/>
        <w:rPr>
          <w:lang w:val="fr-FR"/>
        </w:rPr>
      </w:pPr>
      <w:r w:rsidRPr="00650CAC">
        <w:rPr>
          <w:lang w:val="fr-FR"/>
        </w:rPr>
        <w:t xml:space="preserve">Le </w:t>
      </w:r>
      <w:r w:rsidRPr="00C74BFE">
        <w:rPr>
          <w:lang w:val="fr-FR"/>
        </w:rPr>
        <w:t>24</w:t>
      </w:r>
      <w:r>
        <w:rPr>
          <w:lang w:val="fr-FR"/>
        </w:rPr>
        <w:t> </w:t>
      </w:r>
      <w:r w:rsidRPr="00650CAC">
        <w:rPr>
          <w:lang w:val="fr-FR"/>
        </w:rPr>
        <w:t xml:space="preserve">février </w:t>
      </w:r>
      <w:r w:rsidRPr="00C74BFE">
        <w:rPr>
          <w:lang w:val="fr-FR"/>
        </w:rPr>
        <w:t>2017</w:t>
      </w:r>
      <w:r w:rsidRPr="00650CAC">
        <w:rPr>
          <w:lang w:val="fr-FR"/>
        </w:rPr>
        <w:t>, le conseil de l</w:t>
      </w:r>
      <w:r>
        <w:rPr>
          <w:lang w:val="fr-FR"/>
        </w:rPr>
        <w:t>’</w:t>
      </w:r>
      <w:r w:rsidRPr="00650CAC">
        <w:rPr>
          <w:lang w:val="fr-FR"/>
        </w:rPr>
        <w:t>auteure a formulé des commentaires. D</w:t>
      </w:r>
      <w:r>
        <w:rPr>
          <w:lang w:val="fr-FR"/>
        </w:rPr>
        <w:t>’</w:t>
      </w:r>
      <w:r w:rsidRPr="00650CAC">
        <w:rPr>
          <w:lang w:val="fr-FR"/>
        </w:rPr>
        <w:t>abord, il prend note des observations de l</w:t>
      </w:r>
      <w:r>
        <w:rPr>
          <w:lang w:val="fr-FR"/>
        </w:rPr>
        <w:t>’</w:t>
      </w:r>
      <w:r w:rsidRPr="00650CAC">
        <w:rPr>
          <w:lang w:val="fr-FR"/>
        </w:rPr>
        <w:t>État partie sur les éléments de preuve à l</w:t>
      </w:r>
      <w:r>
        <w:rPr>
          <w:lang w:val="fr-FR"/>
        </w:rPr>
        <w:t>’</w:t>
      </w:r>
      <w:r w:rsidRPr="00650CAC">
        <w:rPr>
          <w:lang w:val="fr-FR"/>
        </w:rPr>
        <w:t>appui de la communication et soutient que cette question semble étroitement liée au fond de l</w:t>
      </w:r>
      <w:r>
        <w:rPr>
          <w:lang w:val="fr-FR"/>
        </w:rPr>
        <w:t>’</w:t>
      </w:r>
      <w:r w:rsidRPr="00650CAC">
        <w:rPr>
          <w:lang w:val="fr-FR"/>
        </w:rPr>
        <w:t>affaire. En tout état de cause, le fait que l</w:t>
      </w:r>
      <w:r>
        <w:rPr>
          <w:lang w:val="fr-FR"/>
        </w:rPr>
        <w:t>’</w:t>
      </w:r>
      <w:r w:rsidRPr="00650CAC">
        <w:rPr>
          <w:lang w:val="fr-FR"/>
        </w:rPr>
        <w:t>auteure soit une femme seule qui risque d</w:t>
      </w:r>
      <w:r>
        <w:rPr>
          <w:lang w:val="fr-FR"/>
        </w:rPr>
        <w:t>’</w:t>
      </w:r>
      <w:r w:rsidRPr="00650CAC">
        <w:rPr>
          <w:lang w:val="fr-FR"/>
        </w:rPr>
        <w:t>être expulsée vers un pays qui n</w:t>
      </w:r>
      <w:r>
        <w:rPr>
          <w:lang w:val="fr-FR"/>
        </w:rPr>
        <w:t>’</w:t>
      </w:r>
      <w:r w:rsidRPr="00650CAC">
        <w:rPr>
          <w:lang w:val="fr-FR"/>
        </w:rPr>
        <w:t>est pas partie à la Convention, auquel s</w:t>
      </w:r>
      <w:r>
        <w:rPr>
          <w:lang w:val="fr-FR"/>
        </w:rPr>
        <w:t>’</w:t>
      </w:r>
      <w:r w:rsidRPr="00650CAC">
        <w:rPr>
          <w:lang w:val="fr-FR"/>
        </w:rPr>
        <w:t>ajoutent les informations générales confirmant sa peur d</w:t>
      </w:r>
      <w:r>
        <w:rPr>
          <w:lang w:val="fr-FR"/>
        </w:rPr>
        <w:t>’</w:t>
      </w:r>
      <w:r w:rsidRPr="00650CAC">
        <w:rPr>
          <w:lang w:val="fr-FR"/>
        </w:rPr>
        <w:t>être renvoyée dans ce pays, montre qu</w:t>
      </w:r>
      <w:r>
        <w:rPr>
          <w:lang w:val="fr-FR"/>
        </w:rPr>
        <w:t>’</w:t>
      </w:r>
      <w:r w:rsidRPr="00650CAC">
        <w:rPr>
          <w:lang w:val="fr-FR"/>
        </w:rPr>
        <w:t>elle a des preuves suffisantes à première vue en vertu des articles</w:t>
      </w:r>
      <w:r w:rsidR="00C74BFE">
        <w:rPr>
          <w:lang w:val="fr-FR"/>
        </w:rPr>
        <w:t xml:space="preserve"> </w:t>
      </w:r>
      <w:r w:rsidRPr="00C74BFE">
        <w:rPr>
          <w:lang w:val="fr-FR"/>
        </w:rPr>
        <w:t>1</w:t>
      </w:r>
      <w:r w:rsidRPr="00650CAC">
        <w:rPr>
          <w:lang w:val="fr-FR"/>
        </w:rPr>
        <w:t xml:space="preserve">, </w:t>
      </w:r>
      <w:r w:rsidRPr="00C74BFE">
        <w:rPr>
          <w:lang w:val="fr-FR"/>
        </w:rPr>
        <w:t>2</w:t>
      </w:r>
      <w:r w:rsidRPr="00650CAC">
        <w:rPr>
          <w:lang w:val="fr-FR"/>
        </w:rPr>
        <w:t xml:space="preserve"> d), </w:t>
      </w:r>
      <w:r w:rsidRPr="00C74BFE">
        <w:rPr>
          <w:lang w:val="fr-FR"/>
        </w:rPr>
        <w:t>12</w:t>
      </w:r>
      <w:r w:rsidRPr="00650CAC">
        <w:rPr>
          <w:lang w:val="fr-FR"/>
        </w:rPr>
        <w:t xml:space="preserve"> et </w:t>
      </w:r>
      <w:r w:rsidRPr="00C74BFE">
        <w:rPr>
          <w:lang w:val="fr-FR"/>
        </w:rPr>
        <w:t>15</w:t>
      </w:r>
      <w:r w:rsidRPr="00650CAC">
        <w:rPr>
          <w:lang w:val="fr-FR"/>
        </w:rPr>
        <w:t xml:space="preserve"> de la Convention</w:t>
      </w:r>
      <w:r w:rsidRPr="00C74BFE">
        <w:rPr>
          <w:rStyle w:val="FootnoteReference"/>
        </w:rPr>
        <w:footnoteReference w:id="8"/>
      </w:r>
      <w:r>
        <w:rPr>
          <w:lang w:val="fr-FR"/>
        </w:rPr>
        <w:t>.</w:t>
      </w:r>
      <w:r w:rsidRPr="00650CAC">
        <w:rPr>
          <w:lang w:val="fr-FR"/>
        </w:rPr>
        <w:t xml:space="preserve"> Il</w:t>
      </w:r>
      <w:r>
        <w:rPr>
          <w:lang w:val="fr-FR"/>
        </w:rPr>
        <w:t> </w:t>
      </w:r>
      <w:r w:rsidRPr="00650CAC">
        <w:rPr>
          <w:lang w:val="fr-FR"/>
        </w:rPr>
        <w:t>réaffirme que la Commission des recours des réfugiés a été invitée à tenir compte expressément de la question de la Convention dans sa décision mais ne l</w:t>
      </w:r>
      <w:r>
        <w:rPr>
          <w:lang w:val="fr-FR"/>
        </w:rPr>
        <w:t>’</w:t>
      </w:r>
      <w:r w:rsidRPr="00650CAC">
        <w:rPr>
          <w:lang w:val="fr-FR"/>
        </w:rPr>
        <w:t>a pas fait. En outre, certains membres de la Commission ont voté contre la décision négative prise concernant le cas de l</w:t>
      </w:r>
      <w:r>
        <w:rPr>
          <w:lang w:val="fr-FR"/>
        </w:rPr>
        <w:t>’</w:t>
      </w:r>
      <w:r w:rsidRPr="00650CAC">
        <w:rPr>
          <w:lang w:val="fr-FR"/>
        </w:rPr>
        <w:t>auteure.</w:t>
      </w:r>
    </w:p>
    <w:p w14:paraId="54385C8C" w14:textId="63D8D75D" w:rsidR="00D45859" w:rsidRPr="00650CAC" w:rsidRDefault="00D45859" w:rsidP="000975ED">
      <w:pPr>
        <w:pStyle w:val="SingleTxt"/>
        <w:numPr>
          <w:ilvl w:val="0"/>
          <w:numId w:val="16"/>
        </w:numPr>
        <w:spacing w:line="240" w:lineRule="exact"/>
        <w:rPr>
          <w:lang w:val="fr-FR"/>
        </w:rPr>
      </w:pPr>
      <w:r w:rsidRPr="00650CAC">
        <w:rPr>
          <w:lang w:val="fr-FR"/>
        </w:rPr>
        <w:t>Sur le fond, le conseil fait valoir au contraire que, même si l</w:t>
      </w:r>
      <w:r>
        <w:rPr>
          <w:lang w:val="fr-FR"/>
        </w:rPr>
        <w:t>’</w:t>
      </w:r>
      <w:r w:rsidRPr="00650CAC">
        <w:rPr>
          <w:lang w:val="fr-FR"/>
        </w:rPr>
        <w:t>on devait admettre que sa version des faits manquait de crédibilité, l</w:t>
      </w:r>
      <w:r>
        <w:rPr>
          <w:lang w:val="fr-FR"/>
        </w:rPr>
        <w:t>’</w:t>
      </w:r>
      <w:r w:rsidRPr="00650CAC">
        <w:rPr>
          <w:lang w:val="fr-FR"/>
        </w:rPr>
        <w:t>auteure n</w:t>
      </w:r>
      <w:r>
        <w:rPr>
          <w:lang w:val="fr-FR"/>
        </w:rPr>
        <w:t>’</w:t>
      </w:r>
      <w:r w:rsidRPr="00650CAC">
        <w:rPr>
          <w:lang w:val="fr-FR"/>
        </w:rPr>
        <w:t>en est pas moins une femme seule originaire d</w:t>
      </w:r>
      <w:r>
        <w:rPr>
          <w:lang w:val="fr-FR"/>
        </w:rPr>
        <w:t>’</w:t>
      </w:r>
      <w:r w:rsidRPr="00650CAC">
        <w:rPr>
          <w:lang w:val="fr-FR"/>
        </w:rPr>
        <w:t>une région de la Somalie où elle ne peut plus retourner. Elle craint non seulement d</w:t>
      </w:r>
      <w:r>
        <w:rPr>
          <w:lang w:val="fr-FR"/>
        </w:rPr>
        <w:t>’</w:t>
      </w:r>
      <w:r w:rsidRPr="00650CAC">
        <w:rPr>
          <w:lang w:val="fr-FR"/>
        </w:rPr>
        <w:t>être persécutée par sa propre famille, mais également de subir d</w:t>
      </w:r>
      <w:r>
        <w:rPr>
          <w:lang w:val="fr-FR"/>
        </w:rPr>
        <w:t>’</w:t>
      </w:r>
      <w:r w:rsidRPr="00650CAC">
        <w:rPr>
          <w:lang w:val="fr-FR"/>
        </w:rPr>
        <w:t xml:space="preserve">autres formes sexistes de persécution de la part de la société somalienne dominée par les hommes. La société fortement patriarcale opprime les femmes qui cherchent </w:t>
      </w:r>
      <w:r w:rsidRPr="00650CAC">
        <w:rPr>
          <w:lang w:val="fr-FR"/>
        </w:rPr>
        <w:lastRenderedPageBreak/>
        <w:t>à s</w:t>
      </w:r>
      <w:r>
        <w:rPr>
          <w:lang w:val="fr-FR"/>
        </w:rPr>
        <w:t>’</w:t>
      </w:r>
      <w:r w:rsidRPr="00650CAC">
        <w:rPr>
          <w:lang w:val="fr-FR"/>
        </w:rPr>
        <w:t>émanciper en usant de méthodes très violentes, notamment les crimes d</w:t>
      </w:r>
      <w:r>
        <w:rPr>
          <w:lang w:val="fr-FR"/>
        </w:rPr>
        <w:t>’</w:t>
      </w:r>
      <w:r w:rsidRPr="00650CAC">
        <w:rPr>
          <w:lang w:val="fr-FR"/>
        </w:rPr>
        <w:t>honneur. Le fait que l</w:t>
      </w:r>
      <w:r>
        <w:rPr>
          <w:lang w:val="fr-FR"/>
        </w:rPr>
        <w:t>’</w:t>
      </w:r>
      <w:r w:rsidRPr="00650CAC">
        <w:rPr>
          <w:lang w:val="fr-FR"/>
        </w:rPr>
        <w:t>auteure soit une femme seule en Europe montre clairement qu</w:t>
      </w:r>
      <w:r>
        <w:rPr>
          <w:lang w:val="fr-FR"/>
        </w:rPr>
        <w:t>’</w:t>
      </w:r>
      <w:r w:rsidRPr="00650CAC">
        <w:rPr>
          <w:lang w:val="fr-FR"/>
        </w:rPr>
        <w:t>en fuyant seule, elle s</w:t>
      </w:r>
      <w:r>
        <w:rPr>
          <w:lang w:val="fr-FR"/>
        </w:rPr>
        <w:t>’</w:t>
      </w:r>
      <w:r w:rsidRPr="00650CAC">
        <w:rPr>
          <w:lang w:val="fr-FR"/>
        </w:rPr>
        <w:t>est rebellée. À cet égard, le conseil renvoie à l</w:t>
      </w:r>
      <w:r>
        <w:rPr>
          <w:lang w:val="fr-FR"/>
        </w:rPr>
        <w:t>’</w:t>
      </w:r>
      <w:r w:rsidRPr="00650CAC">
        <w:rPr>
          <w:lang w:val="fr-FR"/>
        </w:rPr>
        <w:t>arrêt rendu par la Cour européenne des droits de l</w:t>
      </w:r>
      <w:r>
        <w:rPr>
          <w:lang w:val="fr-FR"/>
        </w:rPr>
        <w:t>’</w:t>
      </w:r>
      <w:r w:rsidRPr="00650CAC">
        <w:rPr>
          <w:lang w:val="fr-FR"/>
        </w:rPr>
        <w:t>homme dans l</w:t>
      </w:r>
      <w:r>
        <w:rPr>
          <w:lang w:val="fr-FR"/>
        </w:rPr>
        <w:t>’</w:t>
      </w:r>
      <w:r w:rsidRPr="00650CAC">
        <w:rPr>
          <w:lang w:val="fr-FR"/>
        </w:rPr>
        <w:t xml:space="preserve">affaire </w:t>
      </w:r>
      <w:r w:rsidRPr="00C74BFE">
        <w:rPr>
          <w:i/>
          <w:lang w:val="fr-FR"/>
        </w:rPr>
        <w:t xml:space="preserve">R. H. </w:t>
      </w:r>
      <w:r w:rsidRPr="00650CAC">
        <w:rPr>
          <w:iCs/>
          <w:lang w:val="fr-FR"/>
        </w:rPr>
        <w:t>c.</w:t>
      </w:r>
      <w:r w:rsidRPr="00C74BFE">
        <w:rPr>
          <w:i/>
          <w:lang w:val="fr-FR"/>
        </w:rPr>
        <w:t xml:space="preserve"> Suède</w:t>
      </w:r>
      <w:r w:rsidRPr="00650CAC">
        <w:rPr>
          <w:lang w:val="fr-FR"/>
        </w:rPr>
        <w:t xml:space="preserve"> (voir par. </w:t>
      </w:r>
      <w:r w:rsidRPr="00C74BFE">
        <w:rPr>
          <w:lang w:val="fr-FR"/>
        </w:rPr>
        <w:t>3</w:t>
      </w:r>
      <w:r w:rsidRPr="00650CAC">
        <w:rPr>
          <w:lang w:val="fr-FR"/>
        </w:rPr>
        <w:t>.</w:t>
      </w:r>
      <w:r w:rsidRPr="00C74BFE">
        <w:rPr>
          <w:lang w:val="fr-FR"/>
        </w:rPr>
        <w:t>11</w:t>
      </w:r>
      <w:r w:rsidRPr="00650CAC">
        <w:rPr>
          <w:lang w:val="fr-FR"/>
        </w:rPr>
        <w:t xml:space="preserve"> ci</w:t>
      </w:r>
      <w:r w:rsidRPr="00650CAC">
        <w:rPr>
          <w:lang w:val="fr-FR"/>
        </w:rPr>
        <w:noBreakHyphen/>
        <w:t>dessus). Il rejette les arguments avancés par l</w:t>
      </w:r>
      <w:r>
        <w:rPr>
          <w:lang w:val="fr-FR"/>
        </w:rPr>
        <w:t>’</w:t>
      </w:r>
      <w:r w:rsidRPr="00650CAC">
        <w:rPr>
          <w:lang w:val="fr-FR"/>
        </w:rPr>
        <w:t>État partie à ce sujet et note que la Commission des recours des réfugiés n</w:t>
      </w:r>
      <w:r>
        <w:rPr>
          <w:lang w:val="fr-FR"/>
        </w:rPr>
        <w:t>’</w:t>
      </w:r>
      <w:r w:rsidRPr="00650CAC">
        <w:rPr>
          <w:lang w:val="fr-FR"/>
        </w:rPr>
        <w:t>a pas conclu que l</w:t>
      </w:r>
      <w:r>
        <w:rPr>
          <w:lang w:val="fr-FR"/>
        </w:rPr>
        <w:t>’</w:t>
      </w:r>
      <w:r w:rsidRPr="00650CAC">
        <w:rPr>
          <w:lang w:val="fr-FR"/>
        </w:rPr>
        <w:t>auteure serait en mesure de demander la protection nécessaire à partir de Mogadiscio afin de faire le déplacement pour rentrer. Cependant, ayant peur de sa famille, l</w:t>
      </w:r>
      <w:r>
        <w:rPr>
          <w:lang w:val="fr-FR"/>
        </w:rPr>
        <w:t>’</w:t>
      </w:r>
      <w:r w:rsidRPr="00650CAC">
        <w:rPr>
          <w:lang w:val="fr-FR"/>
        </w:rPr>
        <w:t>auteure ne serait pas en mesure d</w:t>
      </w:r>
      <w:r>
        <w:rPr>
          <w:lang w:val="fr-FR"/>
        </w:rPr>
        <w:t>’</w:t>
      </w:r>
      <w:r w:rsidRPr="00650CAC">
        <w:rPr>
          <w:lang w:val="fr-FR"/>
        </w:rPr>
        <w:t>obtenir le soutien nécessaire en question. De plus, le conseil fait valoir que le Gouvernement et l</w:t>
      </w:r>
      <w:r>
        <w:rPr>
          <w:lang w:val="fr-FR"/>
        </w:rPr>
        <w:t>’</w:t>
      </w:r>
      <w:r w:rsidRPr="00650CAC">
        <w:rPr>
          <w:lang w:val="fr-FR"/>
        </w:rPr>
        <w:t>AMISOM contrôlent certaines zones urbaines, mais que les routes sont contrôlées par les Chabab et des groupes criminels. Prétendre qu</w:t>
      </w:r>
      <w:r>
        <w:rPr>
          <w:lang w:val="fr-FR"/>
        </w:rPr>
        <w:t>’</w:t>
      </w:r>
      <w:r w:rsidRPr="00650CAC">
        <w:rPr>
          <w:lang w:val="fr-FR"/>
        </w:rPr>
        <w:t>un parent de sexe masculin se rendrait à Mogadiscio pour accompagner l</w:t>
      </w:r>
      <w:r>
        <w:rPr>
          <w:lang w:val="fr-FR"/>
        </w:rPr>
        <w:t>’</w:t>
      </w:r>
      <w:r w:rsidRPr="00650CAC">
        <w:rPr>
          <w:lang w:val="fr-FR"/>
        </w:rPr>
        <w:t>auteure donne à penser que le parent en question mettrait sa vie en danger.</w:t>
      </w:r>
    </w:p>
    <w:p w14:paraId="11433E01" w14:textId="581281D9" w:rsidR="00D45859" w:rsidRPr="00650CAC" w:rsidRDefault="00D45859" w:rsidP="000975ED">
      <w:pPr>
        <w:pStyle w:val="SingleTxt"/>
        <w:numPr>
          <w:ilvl w:val="0"/>
          <w:numId w:val="16"/>
        </w:numPr>
        <w:spacing w:line="240" w:lineRule="exact"/>
        <w:rPr>
          <w:lang w:val="fr-FR"/>
        </w:rPr>
      </w:pPr>
      <w:r w:rsidRPr="00650CAC">
        <w:rPr>
          <w:lang w:val="fr-FR"/>
        </w:rPr>
        <w:t>Le conseil ajoute que l</w:t>
      </w:r>
      <w:r>
        <w:rPr>
          <w:lang w:val="fr-FR"/>
        </w:rPr>
        <w:t>’</w:t>
      </w:r>
      <w:r w:rsidRPr="00650CAC">
        <w:rPr>
          <w:lang w:val="fr-FR"/>
        </w:rPr>
        <w:t>auteure a été contrainte de se marier en Somalie mais elle a refusé d</w:t>
      </w:r>
      <w:r>
        <w:rPr>
          <w:lang w:val="fr-FR"/>
        </w:rPr>
        <w:t>’</w:t>
      </w:r>
      <w:r w:rsidRPr="00650CAC">
        <w:rPr>
          <w:lang w:val="fr-FR"/>
        </w:rPr>
        <w:t xml:space="preserve">obtempérer et pris la fuite. Il existe dans le pays un risque généralisé de violence fondée sur le genre, </w:t>
      </w:r>
      <w:r>
        <w:rPr>
          <w:lang w:val="fr-FR"/>
        </w:rPr>
        <w:t>y compris</w:t>
      </w:r>
      <w:r w:rsidRPr="00650CAC">
        <w:rPr>
          <w:lang w:val="fr-FR"/>
        </w:rPr>
        <w:t xml:space="preserve"> les mutilations génitales féminines, les mariages forcés, les viols et d</w:t>
      </w:r>
      <w:r>
        <w:rPr>
          <w:lang w:val="fr-FR"/>
        </w:rPr>
        <w:t>’</w:t>
      </w:r>
      <w:r w:rsidRPr="00650CAC">
        <w:rPr>
          <w:lang w:val="fr-FR"/>
        </w:rPr>
        <w:t>autres formes de violence fondée sur le genre. L</w:t>
      </w:r>
      <w:r>
        <w:rPr>
          <w:lang w:val="fr-FR"/>
        </w:rPr>
        <w:t>’</w:t>
      </w:r>
      <w:r w:rsidRPr="00650CAC">
        <w:rPr>
          <w:lang w:val="fr-FR"/>
        </w:rPr>
        <w:t>auteure a raconté avoir été victime de violence sexuelle et sexiste avant de quitter le pays. Elle a clairement affirmé qu</w:t>
      </w:r>
      <w:r>
        <w:rPr>
          <w:lang w:val="fr-FR"/>
        </w:rPr>
        <w:t>’</w:t>
      </w:r>
      <w:r w:rsidRPr="00650CAC">
        <w:rPr>
          <w:lang w:val="fr-FR"/>
        </w:rPr>
        <w:t>en cas de retour, elle subirait un traitement contraire à la Convention. Toutefois, la Commission des recours des réfugiés ne fait aucune référence à son argument portant sur le risque de violence fondée sur le genre dans sa déc</w:t>
      </w:r>
      <w:r>
        <w:rPr>
          <w:lang w:val="fr-FR"/>
        </w:rPr>
        <w:t>ision.</w:t>
      </w:r>
    </w:p>
    <w:p w14:paraId="5BAE695B" w14:textId="74DE8751" w:rsidR="00D45859" w:rsidRDefault="00D45859" w:rsidP="000975ED">
      <w:pPr>
        <w:pStyle w:val="SingleTxt"/>
        <w:numPr>
          <w:ilvl w:val="0"/>
          <w:numId w:val="16"/>
        </w:numPr>
        <w:spacing w:line="240" w:lineRule="exact"/>
        <w:rPr>
          <w:lang w:val="fr-FR"/>
        </w:rPr>
      </w:pPr>
      <w:r w:rsidRPr="00650CAC">
        <w:rPr>
          <w:lang w:val="fr-FR"/>
        </w:rPr>
        <w:t>Le co</w:t>
      </w:r>
      <w:r>
        <w:rPr>
          <w:lang w:val="fr-FR"/>
        </w:rPr>
        <w:t>nseil soutient que les articles</w:t>
      </w:r>
      <w:r w:rsidR="00C74BFE">
        <w:rPr>
          <w:lang w:val="fr-FR"/>
        </w:rPr>
        <w:t xml:space="preserve"> </w:t>
      </w:r>
      <w:r w:rsidRPr="00C74BFE">
        <w:rPr>
          <w:lang w:val="fr-FR"/>
        </w:rPr>
        <w:t>12</w:t>
      </w:r>
      <w:r w:rsidRPr="00650CAC">
        <w:rPr>
          <w:lang w:val="fr-FR"/>
        </w:rPr>
        <w:t xml:space="preserve"> et </w:t>
      </w:r>
      <w:r w:rsidRPr="00C74BFE">
        <w:rPr>
          <w:lang w:val="fr-FR"/>
        </w:rPr>
        <w:t>15</w:t>
      </w:r>
      <w:r w:rsidRPr="00650CAC">
        <w:rPr>
          <w:lang w:val="fr-FR"/>
        </w:rPr>
        <w:t xml:space="preserve"> de la Convention ont été violés. S</w:t>
      </w:r>
      <w:r>
        <w:rPr>
          <w:lang w:val="fr-FR"/>
        </w:rPr>
        <w:t>’</w:t>
      </w:r>
      <w:r w:rsidRPr="00650CAC">
        <w:rPr>
          <w:lang w:val="fr-FR"/>
        </w:rPr>
        <w:t>agissant de l</w:t>
      </w:r>
      <w:r>
        <w:rPr>
          <w:lang w:val="fr-FR"/>
        </w:rPr>
        <w:t>’</w:t>
      </w:r>
      <w:r w:rsidRPr="00650CAC">
        <w:rPr>
          <w:lang w:val="fr-FR"/>
        </w:rPr>
        <w:t>article</w:t>
      </w:r>
      <w:r w:rsidR="00C74BFE">
        <w:rPr>
          <w:lang w:val="fr-FR"/>
        </w:rPr>
        <w:t xml:space="preserve"> </w:t>
      </w:r>
      <w:r w:rsidRPr="00C74BFE">
        <w:rPr>
          <w:lang w:val="fr-FR"/>
        </w:rPr>
        <w:t>12</w:t>
      </w:r>
      <w:r w:rsidRPr="00650CAC">
        <w:rPr>
          <w:lang w:val="fr-FR"/>
        </w:rPr>
        <w:t>, il précise que l</w:t>
      </w:r>
      <w:r>
        <w:rPr>
          <w:lang w:val="fr-FR"/>
        </w:rPr>
        <w:t>’</w:t>
      </w:r>
      <w:r w:rsidRPr="00650CAC">
        <w:rPr>
          <w:lang w:val="fr-FR"/>
        </w:rPr>
        <w:t>auteure a déjà montré des cicatrices de brûlures et qu</w:t>
      </w:r>
      <w:r>
        <w:rPr>
          <w:lang w:val="fr-FR"/>
        </w:rPr>
        <w:t>’</w:t>
      </w:r>
      <w:r w:rsidRPr="00650CAC">
        <w:rPr>
          <w:lang w:val="fr-FR"/>
        </w:rPr>
        <w:t>elle craint de subir à nouveau ces traitements, sans donner davantage d</w:t>
      </w:r>
      <w:r>
        <w:rPr>
          <w:lang w:val="fr-FR"/>
        </w:rPr>
        <w:t>’</w:t>
      </w:r>
      <w:r w:rsidRPr="00650CAC">
        <w:rPr>
          <w:lang w:val="fr-FR"/>
        </w:rPr>
        <w:t>explications. L</w:t>
      </w:r>
      <w:r>
        <w:rPr>
          <w:lang w:val="fr-FR"/>
        </w:rPr>
        <w:t>’</w:t>
      </w:r>
      <w:r w:rsidRPr="00650CAC">
        <w:rPr>
          <w:lang w:val="fr-FR"/>
        </w:rPr>
        <w:t>article</w:t>
      </w:r>
      <w:r w:rsidR="00C74BFE">
        <w:rPr>
          <w:lang w:val="fr-FR"/>
        </w:rPr>
        <w:t xml:space="preserve"> </w:t>
      </w:r>
      <w:r w:rsidRPr="00C74BFE">
        <w:rPr>
          <w:lang w:val="fr-FR"/>
        </w:rPr>
        <w:t>15</w:t>
      </w:r>
      <w:r w:rsidRPr="00650CAC">
        <w:rPr>
          <w:lang w:val="fr-FR"/>
        </w:rPr>
        <w:t xml:space="preserve"> aurait été violé car l</w:t>
      </w:r>
      <w:r>
        <w:rPr>
          <w:lang w:val="fr-FR"/>
        </w:rPr>
        <w:t>’</w:t>
      </w:r>
      <w:r w:rsidRPr="00650CAC">
        <w:rPr>
          <w:lang w:val="fr-FR"/>
        </w:rPr>
        <w:t>auteure « n</w:t>
      </w:r>
      <w:r>
        <w:rPr>
          <w:lang w:val="fr-FR"/>
        </w:rPr>
        <w:t>’</w:t>
      </w:r>
      <w:r w:rsidRPr="00650CAC">
        <w:rPr>
          <w:lang w:val="fr-FR"/>
        </w:rPr>
        <w:t>a pas eu droit à un procès équitable » et « un homme/garçon n</w:t>
      </w:r>
      <w:r>
        <w:rPr>
          <w:lang w:val="fr-FR"/>
        </w:rPr>
        <w:t>’</w:t>
      </w:r>
      <w:r w:rsidRPr="00650CAC">
        <w:rPr>
          <w:lang w:val="fr-FR"/>
        </w:rPr>
        <w:t>aurait pas été ainsi traité dans le système juridique ».</w:t>
      </w:r>
    </w:p>
    <w:p w14:paraId="33352F6B" w14:textId="77777777" w:rsidR="00197BEE" w:rsidRPr="00197BEE" w:rsidRDefault="00197BEE" w:rsidP="00197BEE">
      <w:pPr>
        <w:pStyle w:val="SingleTxt"/>
        <w:spacing w:after="0" w:line="120" w:lineRule="exact"/>
        <w:rPr>
          <w:sz w:val="10"/>
          <w:lang w:val="fr-FR"/>
        </w:rPr>
      </w:pPr>
    </w:p>
    <w:p w14:paraId="4D0C9C5A" w14:textId="562A1466" w:rsidR="00D45859" w:rsidRDefault="000975ED" w:rsidP="00197BEE">
      <w:pPr>
        <w:pStyle w:val="H23"/>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r w:rsidR="00D45859" w:rsidRPr="00DA70BB">
        <w:rPr>
          <w:lang w:val="fr-FR"/>
        </w:rPr>
        <w:t>Observations complémentaires de l</w:t>
      </w:r>
      <w:r w:rsidR="00D45859">
        <w:rPr>
          <w:lang w:val="fr-FR"/>
        </w:rPr>
        <w:t>’</w:t>
      </w:r>
      <w:r w:rsidR="00D45859" w:rsidRPr="00DA70BB">
        <w:rPr>
          <w:lang w:val="fr-FR"/>
        </w:rPr>
        <w:t>État partie</w:t>
      </w:r>
    </w:p>
    <w:p w14:paraId="275D7C8D" w14:textId="5748B0AC" w:rsidR="000975ED" w:rsidRPr="000975ED" w:rsidRDefault="000975ED" w:rsidP="00197BEE">
      <w:pPr>
        <w:pStyle w:val="SingleTxt"/>
        <w:keepNext/>
        <w:spacing w:after="0" w:line="120" w:lineRule="exact"/>
        <w:rPr>
          <w:sz w:val="10"/>
          <w:lang w:val="fr-FR"/>
        </w:rPr>
      </w:pPr>
    </w:p>
    <w:p w14:paraId="77D70FCB" w14:textId="73CAEFAE" w:rsidR="00D45859" w:rsidRPr="0043581E" w:rsidRDefault="00D45859" w:rsidP="00197BEE">
      <w:pPr>
        <w:pStyle w:val="SingleTxt"/>
        <w:keepNext/>
        <w:numPr>
          <w:ilvl w:val="0"/>
          <w:numId w:val="17"/>
        </w:numPr>
        <w:spacing w:line="240" w:lineRule="exact"/>
        <w:rPr>
          <w:lang w:val="fr-FR"/>
        </w:rPr>
      </w:pPr>
      <w:r w:rsidRPr="0043581E">
        <w:rPr>
          <w:lang w:val="fr-FR"/>
        </w:rPr>
        <w:t xml:space="preserve">Le </w:t>
      </w:r>
      <w:r w:rsidRPr="00C74BFE">
        <w:rPr>
          <w:lang w:val="fr-FR"/>
        </w:rPr>
        <w:t>26</w:t>
      </w:r>
      <w:r w:rsidRPr="0043581E">
        <w:rPr>
          <w:lang w:val="fr-FR"/>
        </w:rPr>
        <w:t xml:space="preserve"> juin </w:t>
      </w:r>
      <w:r w:rsidRPr="00C74BFE">
        <w:rPr>
          <w:lang w:val="fr-FR"/>
        </w:rPr>
        <w:t>2017</w:t>
      </w:r>
      <w:r w:rsidRPr="0043581E">
        <w:rPr>
          <w:lang w:val="fr-FR"/>
        </w:rPr>
        <w:t>, l</w:t>
      </w:r>
      <w:r>
        <w:rPr>
          <w:lang w:val="fr-FR"/>
        </w:rPr>
        <w:t>’</w:t>
      </w:r>
      <w:r w:rsidRPr="0043581E">
        <w:rPr>
          <w:lang w:val="fr-FR"/>
        </w:rPr>
        <w:t>État partie a présenté des observations complémentaires. Il note que l</w:t>
      </w:r>
      <w:r>
        <w:rPr>
          <w:lang w:val="fr-FR"/>
        </w:rPr>
        <w:t>’</w:t>
      </w:r>
      <w:r w:rsidRPr="0043581E">
        <w:rPr>
          <w:lang w:val="fr-FR"/>
        </w:rPr>
        <w:t>affirmation de l</w:t>
      </w:r>
      <w:r>
        <w:rPr>
          <w:lang w:val="fr-FR"/>
        </w:rPr>
        <w:t>’</w:t>
      </w:r>
      <w:r w:rsidRPr="0043581E">
        <w:rPr>
          <w:lang w:val="fr-FR"/>
        </w:rPr>
        <w:t>auteure selon laquelle elle est une femme seule craignant d</w:t>
      </w:r>
      <w:r>
        <w:rPr>
          <w:lang w:val="fr-FR"/>
        </w:rPr>
        <w:t>’</w:t>
      </w:r>
      <w:r w:rsidRPr="0043581E">
        <w:rPr>
          <w:lang w:val="fr-FR"/>
        </w:rPr>
        <w:t>être persécutée par les membres de sa famille ne peut être considérée comme une information nouvelle, car elle a déjà dit qu</w:t>
      </w:r>
      <w:r>
        <w:rPr>
          <w:lang w:val="fr-FR"/>
        </w:rPr>
        <w:t>’</w:t>
      </w:r>
      <w:r w:rsidRPr="0043581E">
        <w:rPr>
          <w:lang w:val="fr-FR"/>
        </w:rPr>
        <w:t>elle était une femme seule devant la Commission des recours des réfugiés et dans sa communication. En revanche, cette affirmation montre qu</w:t>
      </w:r>
      <w:r>
        <w:rPr>
          <w:lang w:val="fr-FR"/>
        </w:rPr>
        <w:t>’</w:t>
      </w:r>
      <w:r w:rsidRPr="0043581E">
        <w:rPr>
          <w:lang w:val="fr-FR"/>
        </w:rPr>
        <w:t>elle n</w:t>
      </w:r>
      <w:r>
        <w:rPr>
          <w:lang w:val="fr-FR"/>
        </w:rPr>
        <w:t>’</w:t>
      </w:r>
      <w:r w:rsidRPr="0043581E">
        <w:rPr>
          <w:lang w:val="fr-FR"/>
        </w:rPr>
        <w:t xml:space="preserve">approuve pas la décision négative de la Commission. Se référant à la décision de la Commission en date du </w:t>
      </w:r>
      <w:r w:rsidRPr="00C74BFE">
        <w:rPr>
          <w:lang w:val="fr-FR"/>
        </w:rPr>
        <w:t>1</w:t>
      </w:r>
      <w:r w:rsidRPr="0043581E">
        <w:rPr>
          <w:vertAlign w:val="superscript"/>
          <w:lang w:val="fr-FR"/>
        </w:rPr>
        <w:t>er</w:t>
      </w:r>
      <w:r w:rsidRPr="0043581E">
        <w:rPr>
          <w:lang w:val="fr-FR"/>
        </w:rPr>
        <w:t xml:space="preserve"> décembre </w:t>
      </w:r>
      <w:r w:rsidRPr="00C74BFE">
        <w:rPr>
          <w:lang w:val="fr-FR"/>
        </w:rPr>
        <w:t>2015</w:t>
      </w:r>
      <w:r w:rsidRPr="0043581E">
        <w:rPr>
          <w:lang w:val="fr-FR"/>
        </w:rPr>
        <w:t xml:space="preserve"> et à ses précédentes observations, l</w:t>
      </w:r>
      <w:r>
        <w:rPr>
          <w:lang w:val="fr-FR"/>
        </w:rPr>
        <w:t>’</w:t>
      </w:r>
      <w:r w:rsidRPr="0043581E">
        <w:rPr>
          <w:lang w:val="fr-FR"/>
        </w:rPr>
        <w:t>État partie souligne qu</w:t>
      </w:r>
      <w:r>
        <w:rPr>
          <w:lang w:val="fr-FR"/>
        </w:rPr>
        <w:t>’</w:t>
      </w:r>
      <w:r w:rsidRPr="0043581E">
        <w:rPr>
          <w:lang w:val="fr-FR"/>
        </w:rPr>
        <w:t>à la suite de l</w:t>
      </w:r>
      <w:r>
        <w:rPr>
          <w:lang w:val="fr-FR"/>
        </w:rPr>
        <w:t>’</w:t>
      </w:r>
      <w:r w:rsidRPr="0043581E">
        <w:rPr>
          <w:lang w:val="fr-FR"/>
        </w:rPr>
        <w:t>évaluation faite par la Commission, il ne peut pas considérer comme un fait que l</w:t>
      </w:r>
      <w:r>
        <w:rPr>
          <w:lang w:val="fr-FR"/>
        </w:rPr>
        <w:t>’</w:t>
      </w:r>
      <w:r w:rsidRPr="0043581E">
        <w:rPr>
          <w:lang w:val="fr-FR"/>
        </w:rPr>
        <w:t>auteure sera une femme seule ne pouvant compter sur le soutien d</w:t>
      </w:r>
      <w:r>
        <w:rPr>
          <w:lang w:val="fr-FR"/>
        </w:rPr>
        <w:t>’</w:t>
      </w:r>
      <w:r w:rsidRPr="0043581E">
        <w:rPr>
          <w:lang w:val="fr-FR"/>
        </w:rPr>
        <w:t>hommes dans son entourage en Somalie, ou qu</w:t>
      </w:r>
      <w:r>
        <w:rPr>
          <w:lang w:val="fr-FR"/>
        </w:rPr>
        <w:t>’</w:t>
      </w:r>
      <w:r w:rsidRPr="0043581E">
        <w:rPr>
          <w:lang w:val="fr-FR"/>
        </w:rPr>
        <w:t>elle était en conflit avec sa famille lorsqu</w:t>
      </w:r>
      <w:r>
        <w:rPr>
          <w:lang w:val="fr-FR"/>
        </w:rPr>
        <w:t>’</w:t>
      </w:r>
      <w:r w:rsidRPr="0043581E">
        <w:rPr>
          <w:lang w:val="fr-FR"/>
        </w:rPr>
        <w:t xml:space="preserve">elle a quitté le pays. </w:t>
      </w:r>
    </w:p>
    <w:p w14:paraId="1085DC8E" w14:textId="536A9C5C" w:rsidR="00D45859" w:rsidRPr="0043581E" w:rsidRDefault="00D45859" w:rsidP="000975ED">
      <w:pPr>
        <w:pStyle w:val="SingleTxt"/>
        <w:numPr>
          <w:ilvl w:val="0"/>
          <w:numId w:val="17"/>
        </w:numPr>
        <w:spacing w:line="240" w:lineRule="exact"/>
        <w:rPr>
          <w:lang w:val="fr-FR"/>
        </w:rPr>
      </w:pPr>
      <w:r w:rsidRPr="0043581E">
        <w:rPr>
          <w:lang w:val="fr-FR"/>
        </w:rPr>
        <w:t>Pour ce qui est de la référence faite par le conseil à l</w:t>
      </w:r>
      <w:r>
        <w:rPr>
          <w:lang w:val="fr-FR"/>
        </w:rPr>
        <w:t>’</w:t>
      </w:r>
      <w:r w:rsidRPr="0043581E">
        <w:rPr>
          <w:lang w:val="fr-FR"/>
        </w:rPr>
        <w:t xml:space="preserve">affaire </w:t>
      </w:r>
      <w:r w:rsidRPr="00C74BFE">
        <w:rPr>
          <w:i/>
          <w:iCs/>
          <w:lang w:val="fr-FR"/>
        </w:rPr>
        <w:t xml:space="preserve">R. H. </w:t>
      </w:r>
      <w:r w:rsidRPr="0043581E">
        <w:rPr>
          <w:lang w:val="fr-FR"/>
        </w:rPr>
        <w:t>c.</w:t>
      </w:r>
      <w:r w:rsidRPr="00C74BFE">
        <w:rPr>
          <w:i/>
          <w:iCs/>
          <w:lang w:val="fr-FR"/>
        </w:rPr>
        <w:t xml:space="preserve"> Suède </w:t>
      </w:r>
      <w:r w:rsidRPr="0043581E">
        <w:rPr>
          <w:lang w:val="fr-FR"/>
        </w:rPr>
        <w:t>et des arguments concernant la capacité de l</w:t>
      </w:r>
      <w:r>
        <w:rPr>
          <w:lang w:val="fr-FR"/>
        </w:rPr>
        <w:t>’</w:t>
      </w:r>
      <w:r w:rsidRPr="0043581E">
        <w:rPr>
          <w:lang w:val="fr-FR"/>
        </w:rPr>
        <w:t>auteure de demander l</w:t>
      </w:r>
      <w:r>
        <w:rPr>
          <w:lang w:val="fr-FR"/>
        </w:rPr>
        <w:t>’</w:t>
      </w:r>
      <w:r w:rsidRPr="0043581E">
        <w:rPr>
          <w:lang w:val="fr-FR"/>
        </w:rPr>
        <w:t>aide des hommes de sa famille pour son voyage de retour à sa ville natale, l</w:t>
      </w:r>
      <w:r>
        <w:rPr>
          <w:lang w:val="fr-FR"/>
        </w:rPr>
        <w:t>’</w:t>
      </w:r>
      <w:r w:rsidRPr="0043581E">
        <w:rPr>
          <w:lang w:val="fr-FR"/>
        </w:rPr>
        <w:t xml:space="preserve">État partie fait observer que la Commission des recours des réfugiés a apporté un complément à ses observations du </w:t>
      </w:r>
      <w:r w:rsidRPr="00C74BFE">
        <w:rPr>
          <w:lang w:val="fr-FR"/>
        </w:rPr>
        <w:t>23</w:t>
      </w:r>
      <w:r>
        <w:rPr>
          <w:lang w:val="fr-FR"/>
        </w:rPr>
        <w:t> </w:t>
      </w:r>
      <w:r w:rsidRPr="0043581E">
        <w:rPr>
          <w:lang w:val="fr-FR"/>
        </w:rPr>
        <w:t xml:space="preserve">juin </w:t>
      </w:r>
      <w:r w:rsidRPr="00C74BFE">
        <w:rPr>
          <w:lang w:val="fr-FR"/>
        </w:rPr>
        <w:t>2016</w:t>
      </w:r>
      <w:r w:rsidRPr="0043581E">
        <w:rPr>
          <w:lang w:val="fr-FR"/>
        </w:rPr>
        <w:t>, conformément à sa pratique habituelle. Il n</w:t>
      </w:r>
      <w:r>
        <w:rPr>
          <w:lang w:val="fr-FR"/>
        </w:rPr>
        <w:t>’</w:t>
      </w:r>
      <w:r w:rsidRPr="0043581E">
        <w:rPr>
          <w:lang w:val="fr-FR"/>
        </w:rPr>
        <w:t>a donc fait aucune interprétation de la décision de la Commission. La jurisprudence de la Cour européenne des droits de l</w:t>
      </w:r>
      <w:r>
        <w:rPr>
          <w:lang w:val="fr-FR"/>
        </w:rPr>
        <w:t>’</w:t>
      </w:r>
      <w:r w:rsidRPr="0043581E">
        <w:rPr>
          <w:lang w:val="fr-FR"/>
        </w:rPr>
        <w:t>homme n</w:t>
      </w:r>
      <w:r>
        <w:rPr>
          <w:lang w:val="fr-FR"/>
        </w:rPr>
        <w:t>’</w:t>
      </w:r>
      <w:r w:rsidRPr="0043581E">
        <w:rPr>
          <w:lang w:val="fr-FR"/>
        </w:rPr>
        <w:t>exige pas que les femmes aient un entourage masculin à Mogadiscio. Étant donné qu</w:t>
      </w:r>
      <w:r>
        <w:rPr>
          <w:lang w:val="fr-FR"/>
        </w:rPr>
        <w:t>’</w:t>
      </w:r>
      <w:r w:rsidRPr="0043581E">
        <w:rPr>
          <w:lang w:val="fr-FR"/>
        </w:rPr>
        <w:t>aucune information nouvelle n</w:t>
      </w:r>
      <w:r>
        <w:rPr>
          <w:lang w:val="fr-FR"/>
        </w:rPr>
        <w:t>’</w:t>
      </w:r>
      <w:r w:rsidRPr="0043581E">
        <w:rPr>
          <w:lang w:val="fr-FR"/>
        </w:rPr>
        <w:t>a été fournie sur les liens familiaux de l</w:t>
      </w:r>
      <w:r>
        <w:rPr>
          <w:lang w:val="fr-FR"/>
        </w:rPr>
        <w:t>’</w:t>
      </w:r>
      <w:r w:rsidRPr="0043581E">
        <w:rPr>
          <w:lang w:val="fr-FR"/>
        </w:rPr>
        <w:t>auteure, l</w:t>
      </w:r>
      <w:r>
        <w:rPr>
          <w:lang w:val="fr-FR"/>
        </w:rPr>
        <w:t>’</w:t>
      </w:r>
      <w:r w:rsidRPr="0043581E">
        <w:rPr>
          <w:lang w:val="fr-FR"/>
        </w:rPr>
        <w:t>État partie continue de penser qu</w:t>
      </w:r>
      <w:r>
        <w:rPr>
          <w:lang w:val="fr-FR"/>
        </w:rPr>
        <w:t>’</w:t>
      </w:r>
      <w:r w:rsidRPr="0043581E">
        <w:rPr>
          <w:lang w:val="fr-FR"/>
        </w:rPr>
        <w:t>elle a un entourage masculin qui serait en mesure de lui apporter une protection.</w:t>
      </w:r>
    </w:p>
    <w:p w14:paraId="7A6AE629" w14:textId="00B9A4CD" w:rsidR="00D45859" w:rsidRPr="0043581E" w:rsidRDefault="00D45859" w:rsidP="000975ED">
      <w:pPr>
        <w:pStyle w:val="SingleTxt"/>
        <w:numPr>
          <w:ilvl w:val="0"/>
          <w:numId w:val="17"/>
        </w:numPr>
        <w:spacing w:line="240" w:lineRule="exact"/>
        <w:rPr>
          <w:lang w:val="fr-FR"/>
        </w:rPr>
      </w:pPr>
      <w:r w:rsidRPr="0043581E">
        <w:rPr>
          <w:lang w:val="fr-FR"/>
        </w:rPr>
        <w:lastRenderedPageBreak/>
        <w:t>Pour ce qui est de l</w:t>
      </w:r>
      <w:r>
        <w:rPr>
          <w:lang w:val="fr-FR"/>
        </w:rPr>
        <w:t>’</w:t>
      </w:r>
      <w:r w:rsidRPr="0043581E">
        <w:rPr>
          <w:lang w:val="fr-FR"/>
        </w:rPr>
        <w:t>allégation selon laquelle la Commission des recours des réfugiés n</w:t>
      </w:r>
      <w:r>
        <w:rPr>
          <w:lang w:val="fr-FR"/>
        </w:rPr>
        <w:t>’</w:t>
      </w:r>
      <w:r w:rsidRPr="0043581E">
        <w:rPr>
          <w:lang w:val="fr-FR"/>
        </w:rPr>
        <w:t>a pas pris en considération la Convention dans son appréciation, car elle ne faisait pas explicitement référence aux dispositions de la Convention dans sa décision, l</w:t>
      </w:r>
      <w:r>
        <w:rPr>
          <w:lang w:val="fr-FR"/>
        </w:rPr>
        <w:t>’</w:t>
      </w:r>
      <w:r w:rsidRPr="0043581E">
        <w:rPr>
          <w:lang w:val="fr-FR"/>
        </w:rPr>
        <w:t>État partie note que cette question a été examinée par le Comité dans un certain nombre de cas soumis par le même conseil</w:t>
      </w:r>
      <w:r w:rsidRPr="00C74BFE">
        <w:rPr>
          <w:rStyle w:val="FootnoteReference"/>
        </w:rPr>
        <w:footnoteReference w:id="9"/>
      </w:r>
      <w:r w:rsidRPr="0043581E">
        <w:rPr>
          <w:lang w:val="fr-FR"/>
        </w:rPr>
        <w:t>. Il cite la décision prise par le Comité en l</w:t>
      </w:r>
      <w:r>
        <w:rPr>
          <w:lang w:val="fr-FR"/>
        </w:rPr>
        <w:t>’</w:t>
      </w:r>
      <w:r w:rsidRPr="0043581E">
        <w:rPr>
          <w:lang w:val="fr-FR"/>
        </w:rPr>
        <w:t xml:space="preserve">affaire </w:t>
      </w:r>
      <w:r w:rsidRPr="00C74BFE">
        <w:rPr>
          <w:i/>
          <w:lang w:val="fr-FR"/>
        </w:rPr>
        <w:t xml:space="preserve">K. S. </w:t>
      </w:r>
      <w:r w:rsidRPr="0043581E">
        <w:rPr>
          <w:iCs/>
          <w:lang w:val="fr-FR"/>
        </w:rPr>
        <w:t>c.</w:t>
      </w:r>
      <w:r w:rsidRPr="00C74BFE">
        <w:rPr>
          <w:i/>
          <w:lang w:val="fr-FR"/>
        </w:rPr>
        <w:t xml:space="preserve"> Danemark</w:t>
      </w:r>
      <w:r w:rsidRPr="0043581E">
        <w:rPr>
          <w:lang w:val="fr-FR"/>
        </w:rPr>
        <w:t xml:space="preserve">, dans laquelle le Comité </w:t>
      </w:r>
      <w:r>
        <w:rPr>
          <w:lang w:val="fr-FR"/>
        </w:rPr>
        <w:t>a</w:t>
      </w:r>
      <w:r w:rsidRPr="0043581E">
        <w:rPr>
          <w:lang w:val="fr-FR"/>
        </w:rPr>
        <w:t xml:space="preserve"> également</w:t>
      </w:r>
      <w:r>
        <w:rPr>
          <w:lang w:val="fr-FR"/>
        </w:rPr>
        <w:t xml:space="preserve"> pris</w:t>
      </w:r>
      <w:r w:rsidRPr="0043581E">
        <w:rPr>
          <w:lang w:val="fr-FR"/>
        </w:rPr>
        <w:t xml:space="preserve"> acte des griefs de l</w:t>
      </w:r>
      <w:r>
        <w:rPr>
          <w:lang w:val="fr-FR"/>
        </w:rPr>
        <w:t>’</w:t>
      </w:r>
      <w:r w:rsidRPr="0043581E">
        <w:rPr>
          <w:lang w:val="fr-FR"/>
        </w:rPr>
        <w:t>auteure selon lesquels les autorités danoises de l</w:t>
      </w:r>
      <w:r>
        <w:rPr>
          <w:lang w:val="fr-FR"/>
        </w:rPr>
        <w:t>’</w:t>
      </w:r>
      <w:r w:rsidRPr="0043581E">
        <w:rPr>
          <w:lang w:val="fr-FR"/>
        </w:rPr>
        <w:t>immigration n</w:t>
      </w:r>
      <w:r>
        <w:rPr>
          <w:lang w:val="fr-FR"/>
        </w:rPr>
        <w:t>’avaient</w:t>
      </w:r>
      <w:r w:rsidRPr="0043581E">
        <w:rPr>
          <w:lang w:val="fr-FR"/>
        </w:rPr>
        <w:t xml:space="preserve"> pas examiné son cas sous l</w:t>
      </w:r>
      <w:r>
        <w:rPr>
          <w:lang w:val="fr-FR"/>
        </w:rPr>
        <w:t>’</w:t>
      </w:r>
      <w:r w:rsidRPr="0043581E">
        <w:rPr>
          <w:lang w:val="fr-FR"/>
        </w:rPr>
        <w:t>angle de la Convention ni fait mention de celle-ci dans leur décision, bien que son conseil ait soulevé cette question oralement et par écrit à l</w:t>
      </w:r>
      <w:r>
        <w:rPr>
          <w:lang w:val="fr-FR"/>
        </w:rPr>
        <w:t>’</w:t>
      </w:r>
      <w:r w:rsidRPr="0043581E">
        <w:rPr>
          <w:lang w:val="fr-FR"/>
        </w:rPr>
        <w:t>audience devant la Commission de recours des réfugiés. Le Comité prend note de la réponse de l</w:t>
      </w:r>
      <w:r>
        <w:rPr>
          <w:lang w:val="fr-FR"/>
        </w:rPr>
        <w:t>’</w:t>
      </w:r>
      <w:r w:rsidRPr="0043581E">
        <w:rPr>
          <w:lang w:val="fr-FR"/>
        </w:rPr>
        <w:t>État partie selon laquelle la Convention fait partie de l</w:t>
      </w:r>
      <w:r>
        <w:rPr>
          <w:lang w:val="fr-FR"/>
        </w:rPr>
        <w:t>’</w:t>
      </w:r>
      <w:r w:rsidRPr="0043581E">
        <w:rPr>
          <w:lang w:val="fr-FR"/>
        </w:rPr>
        <w:t>ordre juridique interne et est pleinement prise en considération par la Commission dans l</w:t>
      </w:r>
      <w:r>
        <w:rPr>
          <w:lang w:val="fr-FR"/>
        </w:rPr>
        <w:t>’</w:t>
      </w:r>
      <w:r w:rsidRPr="0043581E">
        <w:rPr>
          <w:lang w:val="fr-FR"/>
        </w:rPr>
        <w:t>examen des demandes d</w:t>
      </w:r>
      <w:r>
        <w:rPr>
          <w:lang w:val="fr-FR"/>
        </w:rPr>
        <w:t>’</w:t>
      </w:r>
      <w:r w:rsidRPr="0043581E">
        <w:rPr>
          <w:lang w:val="fr-FR"/>
        </w:rPr>
        <w:t>asile. Il fait observer que l</w:t>
      </w:r>
      <w:r>
        <w:rPr>
          <w:lang w:val="fr-FR"/>
        </w:rPr>
        <w:t>’</w:t>
      </w:r>
      <w:r w:rsidRPr="0043581E">
        <w:rPr>
          <w:lang w:val="fr-FR"/>
        </w:rPr>
        <w:t>avocat de l</w:t>
      </w:r>
      <w:r>
        <w:rPr>
          <w:lang w:val="fr-FR"/>
        </w:rPr>
        <w:t>’</w:t>
      </w:r>
      <w:r w:rsidRPr="0043581E">
        <w:rPr>
          <w:lang w:val="fr-FR"/>
        </w:rPr>
        <w:t>auteure a demandé aux autorités de l</w:t>
      </w:r>
      <w:r>
        <w:rPr>
          <w:lang w:val="fr-FR"/>
        </w:rPr>
        <w:t>’</w:t>
      </w:r>
      <w:r w:rsidRPr="0043581E">
        <w:rPr>
          <w:lang w:val="fr-FR"/>
        </w:rPr>
        <w:t>immigration d</w:t>
      </w:r>
      <w:r>
        <w:rPr>
          <w:lang w:val="fr-FR"/>
        </w:rPr>
        <w:t>’</w:t>
      </w:r>
      <w:r w:rsidRPr="0043581E">
        <w:rPr>
          <w:lang w:val="fr-FR"/>
        </w:rPr>
        <w:t>examiner sa demande d</w:t>
      </w:r>
      <w:r>
        <w:rPr>
          <w:lang w:val="fr-FR"/>
        </w:rPr>
        <w:t>’</w:t>
      </w:r>
      <w:r w:rsidRPr="0043581E">
        <w:rPr>
          <w:lang w:val="fr-FR"/>
        </w:rPr>
        <w:t>asile sous l</w:t>
      </w:r>
      <w:r>
        <w:rPr>
          <w:lang w:val="fr-FR"/>
        </w:rPr>
        <w:t>’</w:t>
      </w:r>
      <w:r w:rsidRPr="0043581E">
        <w:rPr>
          <w:lang w:val="fr-FR"/>
        </w:rPr>
        <w:t>angle de la Convention, sans faire référence à des dispositions spécifiques de la Convention ni étayer les griefs de l</w:t>
      </w:r>
      <w:r>
        <w:rPr>
          <w:lang w:val="fr-FR"/>
        </w:rPr>
        <w:t>’</w:t>
      </w:r>
      <w:r w:rsidRPr="0043581E">
        <w:rPr>
          <w:lang w:val="fr-FR"/>
        </w:rPr>
        <w:t xml:space="preserve">auteure par un quelconque article donné de celle-ci. </w:t>
      </w:r>
    </w:p>
    <w:p w14:paraId="720CA409" w14:textId="040F604D" w:rsidR="00D45859" w:rsidRPr="0043581E" w:rsidRDefault="00D45859" w:rsidP="000975ED">
      <w:pPr>
        <w:pStyle w:val="SingleTxt"/>
        <w:numPr>
          <w:ilvl w:val="0"/>
          <w:numId w:val="17"/>
        </w:numPr>
        <w:spacing w:line="240" w:lineRule="exact"/>
        <w:rPr>
          <w:lang w:val="fr-FR"/>
        </w:rPr>
      </w:pPr>
      <w:r w:rsidRPr="0043581E">
        <w:rPr>
          <w:lang w:val="fr-FR"/>
        </w:rPr>
        <w:t>S</w:t>
      </w:r>
      <w:r>
        <w:rPr>
          <w:lang w:val="fr-FR"/>
        </w:rPr>
        <w:t>’</w:t>
      </w:r>
      <w:r w:rsidRPr="0043581E">
        <w:rPr>
          <w:lang w:val="fr-FR"/>
        </w:rPr>
        <w:t>agissant de l</w:t>
      </w:r>
      <w:r>
        <w:rPr>
          <w:lang w:val="fr-FR"/>
        </w:rPr>
        <w:t>’</w:t>
      </w:r>
      <w:r w:rsidRPr="0043581E">
        <w:rPr>
          <w:lang w:val="fr-FR"/>
        </w:rPr>
        <w:t>assertion du conseil selon laquelle une minorité des membres de la Commission des recours des réfugiés n</w:t>
      </w:r>
      <w:r>
        <w:rPr>
          <w:lang w:val="fr-FR"/>
        </w:rPr>
        <w:t>’</w:t>
      </w:r>
      <w:r w:rsidRPr="0043581E">
        <w:rPr>
          <w:lang w:val="fr-FR"/>
        </w:rPr>
        <w:t>a pas accepté la décision négative prise par le Service danois de l</w:t>
      </w:r>
      <w:r>
        <w:rPr>
          <w:lang w:val="fr-FR"/>
        </w:rPr>
        <w:t>’</w:t>
      </w:r>
      <w:r w:rsidRPr="0043581E">
        <w:rPr>
          <w:lang w:val="fr-FR"/>
        </w:rPr>
        <w:t>immigration, l</w:t>
      </w:r>
      <w:r>
        <w:rPr>
          <w:lang w:val="fr-FR"/>
        </w:rPr>
        <w:t>’</w:t>
      </w:r>
      <w:r w:rsidRPr="0043581E">
        <w:rPr>
          <w:lang w:val="fr-FR"/>
        </w:rPr>
        <w:t xml:space="preserve">État partie invoque le paragraphe </w:t>
      </w:r>
      <w:r w:rsidRPr="00C74BFE">
        <w:rPr>
          <w:lang w:val="fr-FR"/>
        </w:rPr>
        <w:t>6</w:t>
      </w:r>
      <w:r w:rsidRPr="0043581E">
        <w:rPr>
          <w:lang w:val="fr-FR"/>
        </w:rPr>
        <w:t>.</w:t>
      </w:r>
      <w:r w:rsidRPr="00C74BFE">
        <w:rPr>
          <w:lang w:val="fr-FR"/>
        </w:rPr>
        <w:t>3</w:t>
      </w:r>
      <w:r w:rsidRPr="0043581E">
        <w:rPr>
          <w:lang w:val="fr-FR"/>
        </w:rPr>
        <w:t xml:space="preserve"> de la décision du Comité dans l</w:t>
      </w:r>
      <w:r>
        <w:rPr>
          <w:lang w:val="fr-FR"/>
        </w:rPr>
        <w:t>’</w:t>
      </w:r>
      <w:r w:rsidRPr="0043581E">
        <w:rPr>
          <w:lang w:val="fr-FR"/>
        </w:rPr>
        <w:t xml:space="preserve">affaire </w:t>
      </w:r>
      <w:r w:rsidRPr="00C74BFE">
        <w:rPr>
          <w:i/>
          <w:iCs/>
          <w:lang w:val="fr-FR"/>
        </w:rPr>
        <w:t xml:space="preserve">K. S. </w:t>
      </w:r>
      <w:r w:rsidRPr="0043581E">
        <w:rPr>
          <w:lang w:val="fr-FR"/>
        </w:rPr>
        <w:t>c.</w:t>
      </w:r>
      <w:r w:rsidRPr="00C74BFE">
        <w:rPr>
          <w:i/>
          <w:iCs/>
          <w:lang w:val="fr-FR"/>
        </w:rPr>
        <w:t xml:space="preserve"> Danemark</w:t>
      </w:r>
      <w:r w:rsidRPr="0043581E">
        <w:rPr>
          <w:lang w:val="fr-FR"/>
        </w:rPr>
        <w:t> : en ce qui concerne les observations relatives à la minorité des membres de la Commission, l</w:t>
      </w:r>
      <w:r>
        <w:rPr>
          <w:lang w:val="fr-FR"/>
        </w:rPr>
        <w:t>’</w:t>
      </w:r>
      <w:r w:rsidRPr="0043581E">
        <w:rPr>
          <w:lang w:val="fr-FR"/>
        </w:rPr>
        <w:t>État partie relève que l</w:t>
      </w:r>
      <w:r>
        <w:rPr>
          <w:lang w:val="fr-FR"/>
        </w:rPr>
        <w:t>’</w:t>
      </w:r>
      <w:r w:rsidRPr="0043581E">
        <w:rPr>
          <w:lang w:val="fr-FR"/>
        </w:rPr>
        <w:t>auteure a plusieurs fois spéculé sur les faits et conclusions sur lesquels ces membres ont basé leur opinion. Il fait observer qu</w:t>
      </w:r>
      <w:r>
        <w:rPr>
          <w:lang w:val="fr-FR"/>
        </w:rPr>
        <w:t>’</w:t>
      </w:r>
      <w:r w:rsidRPr="0043581E">
        <w:rPr>
          <w:lang w:val="fr-FR"/>
        </w:rPr>
        <w:t>en vertu de l</w:t>
      </w:r>
      <w:r>
        <w:rPr>
          <w:lang w:val="fr-FR"/>
        </w:rPr>
        <w:t>’</w:t>
      </w:r>
      <w:r w:rsidRPr="0043581E">
        <w:rPr>
          <w:lang w:val="fr-FR"/>
        </w:rPr>
        <w:t>article</w:t>
      </w:r>
      <w:r w:rsidR="00C03EAF">
        <w:rPr>
          <w:lang w:val="fr-FR"/>
        </w:rPr>
        <w:t xml:space="preserve"> </w:t>
      </w:r>
      <w:r w:rsidRPr="00C74BFE">
        <w:rPr>
          <w:lang w:val="fr-FR"/>
        </w:rPr>
        <w:t>40</w:t>
      </w:r>
      <w:r w:rsidRPr="0043581E">
        <w:rPr>
          <w:lang w:val="fr-FR"/>
        </w:rPr>
        <w:t xml:space="preserve"> du règlement intérieur de la Commission, les décisions de la Commission sont adoptées à la majorité simple, et que les délibérations de la Commission sont confidentielles. Par ailleurs, selon l</w:t>
      </w:r>
      <w:r>
        <w:rPr>
          <w:lang w:val="fr-FR"/>
        </w:rPr>
        <w:t>’</w:t>
      </w:r>
      <w:r w:rsidRPr="0043581E">
        <w:rPr>
          <w:lang w:val="fr-FR"/>
        </w:rPr>
        <w:t>article</w:t>
      </w:r>
      <w:r w:rsidR="00C03EAF">
        <w:rPr>
          <w:lang w:val="fr-FR"/>
        </w:rPr>
        <w:t xml:space="preserve"> </w:t>
      </w:r>
      <w:r w:rsidRPr="00C74BFE">
        <w:rPr>
          <w:lang w:val="fr-FR"/>
        </w:rPr>
        <w:t>41</w:t>
      </w:r>
      <w:r w:rsidRPr="0043581E">
        <w:rPr>
          <w:lang w:val="fr-FR"/>
        </w:rPr>
        <w:t xml:space="preserve"> du même règlement, immédiatement après la fin des délibérations, une note relative à l</w:t>
      </w:r>
      <w:r>
        <w:rPr>
          <w:lang w:val="fr-FR"/>
        </w:rPr>
        <w:t>’</w:t>
      </w:r>
      <w:r w:rsidRPr="0043581E">
        <w:rPr>
          <w:lang w:val="fr-FR"/>
        </w:rPr>
        <w:t>affaire examinée doit être rédigée sur les résultats des délibérations, celle-ci n</w:t>
      </w:r>
      <w:r>
        <w:rPr>
          <w:lang w:val="fr-FR"/>
        </w:rPr>
        <w:t>’</w:t>
      </w:r>
      <w:r w:rsidRPr="0043581E">
        <w:rPr>
          <w:lang w:val="fr-FR"/>
        </w:rPr>
        <w:t>étant pas confidentielle. L</w:t>
      </w:r>
      <w:r>
        <w:rPr>
          <w:lang w:val="fr-FR"/>
        </w:rPr>
        <w:t>’</w:t>
      </w:r>
      <w:r w:rsidRPr="0043581E">
        <w:rPr>
          <w:lang w:val="fr-FR"/>
        </w:rPr>
        <w:t>État partie relève que la Convention n</w:t>
      </w:r>
      <w:r>
        <w:rPr>
          <w:lang w:val="fr-FR"/>
        </w:rPr>
        <w:t>’</w:t>
      </w:r>
      <w:r w:rsidRPr="0043581E">
        <w:rPr>
          <w:lang w:val="fr-FR"/>
        </w:rPr>
        <w:t>emporte pas obligation de publier l</w:t>
      </w:r>
      <w:r>
        <w:rPr>
          <w:lang w:val="fr-FR"/>
        </w:rPr>
        <w:t>’</w:t>
      </w:r>
      <w:r w:rsidRPr="0043581E">
        <w:rPr>
          <w:lang w:val="fr-FR"/>
        </w:rPr>
        <w:t>opinion de la minorité des membres de la Commission ; aucune obligation de ce type ne découle non plus du droit danois.</w:t>
      </w:r>
    </w:p>
    <w:p w14:paraId="69FDD1E5" w14:textId="33F86CF4" w:rsidR="00D45859" w:rsidRPr="0043581E" w:rsidRDefault="00D45859" w:rsidP="000975ED">
      <w:pPr>
        <w:pStyle w:val="SingleTxt"/>
        <w:numPr>
          <w:ilvl w:val="0"/>
          <w:numId w:val="17"/>
        </w:numPr>
        <w:spacing w:line="240" w:lineRule="exact"/>
        <w:rPr>
          <w:lang w:val="fr-FR"/>
        </w:rPr>
      </w:pPr>
      <w:r w:rsidRPr="0043581E">
        <w:rPr>
          <w:lang w:val="fr-FR"/>
        </w:rPr>
        <w:t>L</w:t>
      </w:r>
      <w:r>
        <w:rPr>
          <w:lang w:val="fr-FR"/>
        </w:rPr>
        <w:t>’</w:t>
      </w:r>
      <w:r w:rsidRPr="0043581E">
        <w:rPr>
          <w:lang w:val="fr-FR"/>
        </w:rPr>
        <w:t>État partie fait observer que la situation générale en Somalie, notamment celle des femmes, n</w:t>
      </w:r>
      <w:r>
        <w:rPr>
          <w:lang w:val="fr-FR"/>
        </w:rPr>
        <w:t>’</w:t>
      </w:r>
      <w:r w:rsidRPr="0043581E">
        <w:rPr>
          <w:lang w:val="fr-FR"/>
        </w:rPr>
        <w:t>est pas telle que toutes les personnes qui y retournent risquent de subir une atteinte au sens du paragraphe</w:t>
      </w:r>
      <w:r w:rsidR="00C03EAF">
        <w:rPr>
          <w:lang w:val="fr-FR"/>
        </w:rPr>
        <w:t xml:space="preserve"> </w:t>
      </w:r>
      <w:r w:rsidRPr="00C74BFE">
        <w:rPr>
          <w:lang w:val="fr-FR"/>
        </w:rPr>
        <w:t>2</w:t>
      </w:r>
      <w:r w:rsidRPr="0043581E">
        <w:rPr>
          <w:lang w:val="fr-FR"/>
        </w:rPr>
        <w:t>) de l</w:t>
      </w:r>
      <w:r>
        <w:rPr>
          <w:lang w:val="fr-FR"/>
        </w:rPr>
        <w:t>’</w:t>
      </w:r>
      <w:r w:rsidRPr="0043581E">
        <w:rPr>
          <w:lang w:val="fr-FR"/>
        </w:rPr>
        <w:t>article</w:t>
      </w:r>
      <w:r>
        <w:rPr>
          <w:lang w:val="fr-FR"/>
        </w:rPr>
        <w:t> </w:t>
      </w:r>
      <w:r w:rsidRPr="00C74BFE">
        <w:rPr>
          <w:lang w:val="fr-FR"/>
        </w:rPr>
        <w:t>7</w:t>
      </w:r>
      <w:r w:rsidRPr="0043581E">
        <w:rPr>
          <w:lang w:val="fr-FR"/>
        </w:rPr>
        <w:t xml:space="preserve"> de la loi sur les étrangers. L</w:t>
      </w:r>
      <w:r>
        <w:rPr>
          <w:lang w:val="fr-FR"/>
        </w:rPr>
        <w:t>’</w:t>
      </w:r>
      <w:r w:rsidRPr="0043581E">
        <w:rPr>
          <w:lang w:val="fr-FR"/>
        </w:rPr>
        <w:t>État partie renvoie à l</w:t>
      </w:r>
      <w:r>
        <w:rPr>
          <w:lang w:val="fr-FR"/>
        </w:rPr>
        <w:t>’</w:t>
      </w:r>
      <w:r w:rsidRPr="0043581E">
        <w:rPr>
          <w:lang w:val="fr-FR"/>
        </w:rPr>
        <w:t>arrêt rendu par la Cour européenne des droits de l</w:t>
      </w:r>
      <w:r>
        <w:rPr>
          <w:lang w:val="fr-FR"/>
        </w:rPr>
        <w:t>’</w:t>
      </w:r>
      <w:r w:rsidRPr="0043581E">
        <w:rPr>
          <w:lang w:val="fr-FR"/>
        </w:rPr>
        <w:t>homme dans l</w:t>
      </w:r>
      <w:r>
        <w:rPr>
          <w:lang w:val="fr-FR"/>
        </w:rPr>
        <w:t>’</w:t>
      </w:r>
      <w:r w:rsidRPr="0043581E">
        <w:rPr>
          <w:lang w:val="fr-FR"/>
        </w:rPr>
        <w:t xml:space="preserve">affaire </w:t>
      </w:r>
      <w:r w:rsidRPr="00C74BFE">
        <w:rPr>
          <w:i/>
          <w:iCs/>
          <w:lang w:val="fr-FR"/>
        </w:rPr>
        <w:t xml:space="preserve">R. H. </w:t>
      </w:r>
      <w:r w:rsidRPr="0043581E">
        <w:rPr>
          <w:lang w:val="fr-FR"/>
        </w:rPr>
        <w:t>c.</w:t>
      </w:r>
      <w:r w:rsidRPr="00C74BFE">
        <w:rPr>
          <w:i/>
          <w:iCs/>
          <w:lang w:val="fr-FR"/>
        </w:rPr>
        <w:t xml:space="preserve"> Suède</w:t>
      </w:r>
      <w:r w:rsidRPr="0043581E">
        <w:rPr>
          <w:lang w:val="fr-FR"/>
        </w:rPr>
        <w:t xml:space="preserve"> et aux dernières informations générales, notamment le rapport établi par le Service danois de l</w:t>
      </w:r>
      <w:r>
        <w:rPr>
          <w:lang w:val="fr-FR"/>
        </w:rPr>
        <w:t>’</w:t>
      </w:r>
      <w:r w:rsidRPr="0043581E">
        <w:rPr>
          <w:lang w:val="fr-FR"/>
        </w:rPr>
        <w:t>immigration et le Conseil danois pour les réfugiés intitulé : « South and central Somalia: security situation, al-Shabaab presence, and target groups ». Il ressort de ces informations que la ville d</w:t>
      </w:r>
      <w:r>
        <w:rPr>
          <w:lang w:val="fr-FR"/>
        </w:rPr>
        <w:t>’</w:t>
      </w:r>
      <w:r w:rsidRPr="0043581E">
        <w:rPr>
          <w:lang w:val="fr-FR"/>
        </w:rPr>
        <w:t>origine de l</w:t>
      </w:r>
      <w:r>
        <w:rPr>
          <w:lang w:val="fr-FR"/>
        </w:rPr>
        <w:t>’</w:t>
      </w:r>
      <w:r w:rsidRPr="0043581E">
        <w:rPr>
          <w:lang w:val="fr-FR"/>
        </w:rPr>
        <w:t>auteure est sous le contrôle de l</w:t>
      </w:r>
      <w:r>
        <w:rPr>
          <w:lang w:val="fr-FR"/>
        </w:rPr>
        <w:t>’AMISOM.</w:t>
      </w:r>
    </w:p>
    <w:p w14:paraId="496A3C4C" w14:textId="19C02391" w:rsidR="00D45859" w:rsidRPr="0043581E" w:rsidRDefault="00D45859" w:rsidP="000975ED">
      <w:pPr>
        <w:pStyle w:val="SingleTxt"/>
        <w:numPr>
          <w:ilvl w:val="0"/>
          <w:numId w:val="17"/>
        </w:numPr>
        <w:spacing w:line="240" w:lineRule="exact"/>
        <w:rPr>
          <w:lang w:val="fr-FR"/>
        </w:rPr>
      </w:pPr>
      <w:r w:rsidRPr="0043581E">
        <w:rPr>
          <w:lang w:val="fr-FR"/>
        </w:rPr>
        <w:t>L</w:t>
      </w:r>
      <w:r>
        <w:rPr>
          <w:lang w:val="fr-FR"/>
        </w:rPr>
        <w:t>’</w:t>
      </w:r>
      <w:r w:rsidRPr="0043581E">
        <w:rPr>
          <w:lang w:val="fr-FR"/>
        </w:rPr>
        <w:t>État partie ajoute que l</w:t>
      </w:r>
      <w:r>
        <w:rPr>
          <w:lang w:val="fr-FR"/>
        </w:rPr>
        <w:t>’</w:t>
      </w:r>
      <w:r w:rsidRPr="0043581E">
        <w:rPr>
          <w:lang w:val="fr-FR"/>
        </w:rPr>
        <w:t xml:space="preserve">auteure, dans ses observations du </w:t>
      </w:r>
      <w:r w:rsidRPr="00C74BFE">
        <w:rPr>
          <w:lang w:val="fr-FR"/>
        </w:rPr>
        <w:t>24</w:t>
      </w:r>
      <w:r>
        <w:rPr>
          <w:lang w:val="fr-FR"/>
        </w:rPr>
        <w:t> </w:t>
      </w:r>
      <w:r w:rsidRPr="0043581E">
        <w:rPr>
          <w:lang w:val="fr-FR"/>
        </w:rPr>
        <w:t xml:space="preserve">février </w:t>
      </w:r>
      <w:r w:rsidRPr="00C74BFE">
        <w:rPr>
          <w:lang w:val="fr-FR"/>
        </w:rPr>
        <w:t>2017</w:t>
      </w:r>
      <w:r w:rsidRPr="0043581E">
        <w:rPr>
          <w:lang w:val="fr-FR"/>
        </w:rPr>
        <w:t>, a déclaré que le Danemark avait violé l</w:t>
      </w:r>
      <w:r>
        <w:rPr>
          <w:lang w:val="fr-FR"/>
        </w:rPr>
        <w:t>’</w:t>
      </w:r>
      <w:r w:rsidRPr="0043581E">
        <w:rPr>
          <w:lang w:val="fr-FR"/>
        </w:rPr>
        <w:t>article</w:t>
      </w:r>
      <w:r w:rsidR="00C03EAF">
        <w:rPr>
          <w:lang w:val="fr-FR"/>
        </w:rPr>
        <w:t xml:space="preserve"> </w:t>
      </w:r>
      <w:r w:rsidRPr="00C74BFE">
        <w:rPr>
          <w:lang w:val="fr-FR"/>
        </w:rPr>
        <w:t>12</w:t>
      </w:r>
      <w:r w:rsidRPr="0043581E">
        <w:rPr>
          <w:lang w:val="fr-FR"/>
        </w:rPr>
        <w:t xml:space="preserve"> de la Convention, puisqu</w:t>
      </w:r>
      <w:r>
        <w:rPr>
          <w:lang w:val="fr-FR"/>
        </w:rPr>
        <w:t>’</w:t>
      </w:r>
      <w:r w:rsidRPr="0043581E">
        <w:rPr>
          <w:lang w:val="fr-FR"/>
        </w:rPr>
        <w:t>elle avait déjà montré des cicatrices de brûlures et qu</w:t>
      </w:r>
      <w:r>
        <w:rPr>
          <w:lang w:val="fr-FR"/>
        </w:rPr>
        <w:t>’</w:t>
      </w:r>
      <w:r w:rsidRPr="0043581E">
        <w:rPr>
          <w:lang w:val="fr-FR"/>
        </w:rPr>
        <w:t>elle avait peur de subir de nouvelles attaques en cas de renvoi en Somalie. Il note que l</w:t>
      </w:r>
      <w:r>
        <w:rPr>
          <w:lang w:val="fr-FR"/>
        </w:rPr>
        <w:t>’</w:t>
      </w:r>
      <w:r w:rsidRPr="0043581E">
        <w:rPr>
          <w:lang w:val="fr-FR"/>
        </w:rPr>
        <w:t>auteure n</w:t>
      </w:r>
      <w:r>
        <w:rPr>
          <w:lang w:val="fr-FR"/>
        </w:rPr>
        <w:t>’</w:t>
      </w:r>
      <w:r w:rsidRPr="0043581E">
        <w:rPr>
          <w:lang w:val="fr-FR"/>
        </w:rPr>
        <w:t>a présenté aucune information sur des cicatrices tout au long de sa procédure d</w:t>
      </w:r>
      <w:r>
        <w:rPr>
          <w:lang w:val="fr-FR"/>
        </w:rPr>
        <w:t>’</w:t>
      </w:r>
      <w:r w:rsidRPr="0043581E">
        <w:rPr>
          <w:lang w:val="fr-FR"/>
        </w:rPr>
        <w:t>asile ni dans sa communication initiale au Comité. Aucune information n</w:t>
      </w:r>
      <w:r>
        <w:rPr>
          <w:lang w:val="fr-FR"/>
        </w:rPr>
        <w:t>’</w:t>
      </w:r>
      <w:r w:rsidRPr="0043581E">
        <w:rPr>
          <w:lang w:val="fr-FR"/>
        </w:rPr>
        <w:t>a été fournie faisant état de ce que les cicatrices résultaient du conflit qui sévit en Somalie, comme l</w:t>
      </w:r>
      <w:r>
        <w:rPr>
          <w:lang w:val="fr-FR"/>
        </w:rPr>
        <w:t>’</w:t>
      </w:r>
      <w:r w:rsidRPr="0043581E">
        <w:rPr>
          <w:lang w:val="fr-FR"/>
        </w:rPr>
        <w:t>a suggéré l</w:t>
      </w:r>
      <w:r>
        <w:rPr>
          <w:lang w:val="fr-FR"/>
        </w:rPr>
        <w:t>’</w:t>
      </w:r>
      <w:r w:rsidRPr="0043581E">
        <w:rPr>
          <w:lang w:val="fr-FR"/>
        </w:rPr>
        <w:t>auteure, ou que cette dernière craint de subir de nouvelles attaques. En conséquence, l</w:t>
      </w:r>
      <w:r>
        <w:rPr>
          <w:lang w:val="fr-FR"/>
        </w:rPr>
        <w:t>’</w:t>
      </w:r>
      <w:r w:rsidRPr="0043581E">
        <w:rPr>
          <w:lang w:val="fr-FR"/>
        </w:rPr>
        <w:t>État partie rejette ce</w:t>
      </w:r>
      <w:r>
        <w:rPr>
          <w:lang w:val="fr-FR"/>
        </w:rPr>
        <w:t>tte partie de la communication.</w:t>
      </w:r>
    </w:p>
    <w:p w14:paraId="0B97FDFD" w14:textId="451632C0" w:rsidR="00D45859" w:rsidRPr="0043581E" w:rsidRDefault="00D45859" w:rsidP="000975ED">
      <w:pPr>
        <w:pStyle w:val="SingleTxt"/>
        <w:numPr>
          <w:ilvl w:val="0"/>
          <w:numId w:val="17"/>
        </w:numPr>
        <w:spacing w:line="240" w:lineRule="exact"/>
        <w:rPr>
          <w:lang w:val="fr-FR"/>
        </w:rPr>
      </w:pPr>
      <w:r w:rsidRPr="0043581E">
        <w:rPr>
          <w:lang w:val="fr-FR"/>
        </w:rPr>
        <w:lastRenderedPageBreak/>
        <w:t>En ce qui concerne la référence faite par le conseil à l</w:t>
      </w:r>
      <w:r>
        <w:rPr>
          <w:lang w:val="fr-FR"/>
        </w:rPr>
        <w:t>’</w:t>
      </w:r>
      <w:r w:rsidRPr="0043581E">
        <w:rPr>
          <w:lang w:val="fr-FR"/>
        </w:rPr>
        <w:t>article</w:t>
      </w:r>
      <w:r w:rsidR="00C03EAF">
        <w:rPr>
          <w:lang w:val="fr-FR"/>
        </w:rPr>
        <w:t xml:space="preserve"> </w:t>
      </w:r>
      <w:r w:rsidRPr="00C74BFE">
        <w:rPr>
          <w:lang w:val="fr-FR"/>
        </w:rPr>
        <w:t>15</w:t>
      </w:r>
      <w:r w:rsidRPr="0043581E">
        <w:rPr>
          <w:lang w:val="fr-FR"/>
        </w:rPr>
        <w:t xml:space="preserve"> dans sa précédente lettre, l</w:t>
      </w:r>
      <w:r>
        <w:rPr>
          <w:lang w:val="fr-FR"/>
        </w:rPr>
        <w:t>’</w:t>
      </w:r>
      <w:r w:rsidRPr="0043581E">
        <w:rPr>
          <w:lang w:val="fr-FR"/>
        </w:rPr>
        <w:t>État partie note qu</w:t>
      </w:r>
      <w:r>
        <w:rPr>
          <w:lang w:val="fr-FR"/>
        </w:rPr>
        <w:t>’</w:t>
      </w:r>
      <w:r w:rsidRPr="0043581E">
        <w:rPr>
          <w:lang w:val="fr-FR"/>
        </w:rPr>
        <w:t>aucun grief de ce type n</w:t>
      </w:r>
      <w:r>
        <w:rPr>
          <w:lang w:val="fr-FR"/>
        </w:rPr>
        <w:t>’</w:t>
      </w:r>
      <w:r w:rsidRPr="0043581E">
        <w:rPr>
          <w:lang w:val="fr-FR"/>
        </w:rPr>
        <w:t>a été formulé précédemment. L</w:t>
      </w:r>
      <w:r>
        <w:rPr>
          <w:lang w:val="fr-FR"/>
        </w:rPr>
        <w:t>’</w:t>
      </w:r>
      <w:r w:rsidRPr="0043581E">
        <w:rPr>
          <w:lang w:val="fr-FR"/>
        </w:rPr>
        <w:t>auteure n</w:t>
      </w:r>
      <w:r>
        <w:rPr>
          <w:lang w:val="fr-FR"/>
        </w:rPr>
        <w:t>’</w:t>
      </w:r>
      <w:r w:rsidRPr="0043581E">
        <w:rPr>
          <w:lang w:val="fr-FR"/>
        </w:rPr>
        <w:t>a pas apporté la preuve de ses allégations selon lesquelles elle n</w:t>
      </w:r>
      <w:r>
        <w:rPr>
          <w:lang w:val="fr-FR"/>
        </w:rPr>
        <w:t>’</w:t>
      </w:r>
      <w:r w:rsidRPr="0043581E">
        <w:rPr>
          <w:lang w:val="fr-FR"/>
        </w:rPr>
        <w:t>a pas bénéficié des mêmes garanties d</w:t>
      </w:r>
      <w:r>
        <w:rPr>
          <w:lang w:val="fr-FR"/>
        </w:rPr>
        <w:t>’</w:t>
      </w:r>
      <w:r w:rsidRPr="0043581E">
        <w:rPr>
          <w:lang w:val="fr-FR"/>
        </w:rPr>
        <w:t>une procédure régulière que les hommes demandeurs d</w:t>
      </w:r>
      <w:r>
        <w:rPr>
          <w:lang w:val="fr-FR"/>
        </w:rPr>
        <w:t>’</w:t>
      </w:r>
      <w:r w:rsidRPr="0043581E">
        <w:rPr>
          <w:lang w:val="fr-FR"/>
        </w:rPr>
        <w:t>asile tout au long de la procédure d</w:t>
      </w:r>
      <w:r>
        <w:rPr>
          <w:lang w:val="fr-FR"/>
        </w:rPr>
        <w:t>’</w:t>
      </w:r>
      <w:r w:rsidRPr="0043581E">
        <w:rPr>
          <w:lang w:val="fr-FR"/>
        </w:rPr>
        <w:t>asile. Par conséquent, l</w:t>
      </w:r>
      <w:r>
        <w:rPr>
          <w:lang w:val="fr-FR"/>
        </w:rPr>
        <w:t>’</w:t>
      </w:r>
      <w:r w:rsidRPr="0043581E">
        <w:rPr>
          <w:lang w:val="fr-FR"/>
        </w:rPr>
        <w:t>État partie estime qu</w:t>
      </w:r>
      <w:r>
        <w:rPr>
          <w:lang w:val="fr-FR"/>
        </w:rPr>
        <w:t>’</w:t>
      </w:r>
      <w:r w:rsidRPr="0043581E">
        <w:rPr>
          <w:lang w:val="fr-FR"/>
        </w:rPr>
        <w:t>il est inutile de faire d</w:t>
      </w:r>
      <w:r>
        <w:rPr>
          <w:lang w:val="fr-FR"/>
        </w:rPr>
        <w:t>’</w:t>
      </w:r>
      <w:r w:rsidRPr="0043581E">
        <w:rPr>
          <w:lang w:val="fr-FR"/>
        </w:rPr>
        <w:t>autres commentaires sur cette partie de la communication, qui devrait être jugée irrecevable car ell</w:t>
      </w:r>
      <w:r>
        <w:rPr>
          <w:lang w:val="fr-FR"/>
        </w:rPr>
        <w:t>e est manifestement mal fondée.</w:t>
      </w:r>
    </w:p>
    <w:p w14:paraId="60F7863C" w14:textId="6C33492C" w:rsidR="00D45859" w:rsidRDefault="00D45859" w:rsidP="000975ED">
      <w:pPr>
        <w:pStyle w:val="SingleTxt"/>
        <w:numPr>
          <w:ilvl w:val="0"/>
          <w:numId w:val="17"/>
        </w:numPr>
        <w:spacing w:line="240" w:lineRule="exact"/>
        <w:rPr>
          <w:lang w:val="fr-FR"/>
        </w:rPr>
      </w:pPr>
      <w:r w:rsidRPr="0043581E">
        <w:rPr>
          <w:lang w:val="fr-FR"/>
        </w:rPr>
        <w:t>L</w:t>
      </w:r>
      <w:r>
        <w:rPr>
          <w:lang w:val="fr-FR"/>
        </w:rPr>
        <w:t>’</w:t>
      </w:r>
      <w:r w:rsidRPr="0043581E">
        <w:rPr>
          <w:lang w:val="fr-FR"/>
        </w:rPr>
        <w:t>État partie réaffirme que la communication devrait être jugée irrecevable en vertu du paragraphe</w:t>
      </w:r>
      <w:r w:rsidR="00C03EAF">
        <w:rPr>
          <w:lang w:val="fr-FR"/>
        </w:rPr>
        <w:t xml:space="preserve"> </w:t>
      </w:r>
      <w:r w:rsidRPr="00C74BFE">
        <w:rPr>
          <w:lang w:val="fr-FR"/>
        </w:rPr>
        <w:t>2</w:t>
      </w:r>
      <w:r w:rsidRPr="0043581E">
        <w:rPr>
          <w:lang w:val="fr-FR"/>
        </w:rPr>
        <w:t xml:space="preserve"> de l</w:t>
      </w:r>
      <w:r>
        <w:rPr>
          <w:lang w:val="fr-FR"/>
        </w:rPr>
        <w:t>’</w:t>
      </w:r>
      <w:r w:rsidRPr="0043581E">
        <w:rPr>
          <w:lang w:val="fr-FR"/>
        </w:rPr>
        <w:t>article</w:t>
      </w:r>
      <w:r w:rsidR="00C03EAF">
        <w:rPr>
          <w:lang w:val="fr-FR"/>
        </w:rPr>
        <w:t xml:space="preserve"> </w:t>
      </w:r>
      <w:r w:rsidRPr="00C74BFE">
        <w:rPr>
          <w:lang w:val="fr-FR"/>
        </w:rPr>
        <w:t>4</w:t>
      </w:r>
      <w:r w:rsidRPr="0043581E">
        <w:rPr>
          <w:lang w:val="fr-FR"/>
        </w:rPr>
        <w:t xml:space="preserve"> du Protocole facultatif, car étant manifestement infondée. L</w:t>
      </w:r>
      <w:r>
        <w:rPr>
          <w:lang w:val="fr-FR"/>
        </w:rPr>
        <w:t>’</w:t>
      </w:r>
      <w:r w:rsidRPr="0043581E">
        <w:rPr>
          <w:lang w:val="fr-FR"/>
        </w:rPr>
        <w:t>État partie affirme que, même si le Comité devait déclarer la communication recevable, il n</w:t>
      </w:r>
      <w:r>
        <w:rPr>
          <w:lang w:val="fr-FR"/>
        </w:rPr>
        <w:t>’</w:t>
      </w:r>
      <w:r w:rsidRPr="0043581E">
        <w:rPr>
          <w:lang w:val="fr-FR"/>
        </w:rPr>
        <w:t>y aurait aucune violation de</w:t>
      </w:r>
      <w:r>
        <w:rPr>
          <w:lang w:val="fr-FR"/>
        </w:rPr>
        <w:t>s articles</w:t>
      </w:r>
      <w:r w:rsidR="00C03EAF">
        <w:rPr>
          <w:lang w:val="fr-FR"/>
        </w:rPr>
        <w:t xml:space="preserve"> </w:t>
      </w:r>
      <w:r w:rsidRPr="00C74BFE">
        <w:rPr>
          <w:lang w:val="fr-FR"/>
        </w:rPr>
        <w:t>2</w:t>
      </w:r>
      <w:r>
        <w:rPr>
          <w:lang w:val="fr-FR"/>
        </w:rPr>
        <w:t xml:space="preserve"> d), </w:t>
      </w:r>
      <w:r w:rsidRPr="00C74BFE">
        <w:rPr>
          <w:lang w:val="fr-FR"/>
        </w:rPr>
        <w:t>12</w:t>
      </w:r>
      <w:r>
        <w:rPr>
          <w:lang w:val="fr-FR"/>
        </w:rPr>
        <w:t xml:space="preserve">, </w:t>
      </w:r>
      <w:r w:rsidRPr="00C74BFE">
        <w:rPr>
          <w:lang w:val="fr-FR"/>
        </w:rPr>
        <w:t>15</w:t>
      </w:r>
      <w:r>
        <w:rPr>
          <w:lang w:val="fr-FR"/>
        </w:rPr>
        <w:t xml:space="preserve"> et </w:t>
      </w:r>
      <w:r w:rsidRPr="00C74BFE">
        <w:rPr>
          <w:lang w:val="fr-FR"/>
        </w:rPr>
        <w:t>16</w:t>
      </w:r>
      <w:r w:rsidRPr="0043581E">
        <w:rPr>
          <w:lang w:val="fr-FR"/>
        </w:rPr>
        <w:t xml:space="preserve"> de la Convention sur le fond en cas de retour forcé de l</w:t>
      </w:r>
      <w:r>
        <w:rPr>
          <w:lang w:val="fr-FR"/>
        </w:rPr>
        <w:t>’</w:t>
      </w:r>
      <w:r w:rsidRPr="0043581E">
        <w:rPr>
          <w:lang w:val="fr-FR"/>
        </w:rPr>
        <w:t>auteure en Somalie.</w:t>
      </w:r>
    </w:p>
    <w:p w14:paraId="1FB96F93" w14:textId="27FA1A18" w:rsidR="000975ED" w:rsidRPr="000975ED" w:rsidRDefault="000975ED" w:rsidP="000975ED">
      <w:pPr>
        <w:pStyle w:val="SingleTxt"/>
        <w:spacing w:after="0" w:line="120" w:lineRule="exact"/>
        <w:rPr>
          <w:sz w:val="10"/>
          <w:lang w:val="fr-FR"/>
        </w:rPr>
      </w:pPr>
    </w:p>
    <w:p w14:paraId="12E595E6" w14:textId="4C1CFBB6" w:rsidR="00D45859" w:rsidRDefault="00D45859" w:rsidP="000975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DA70BB">
        <w:rPr>
          <w:lang w:val="fr-FR"/>
        </w:rPr>
        <w:t>Délibérations</w:t>
      </w:r>
    </w:p>
    <w:p w14:paraId="0EF15A0D" w14:textId="5C184B89" w:rsidR="000975ED" w:rsidRPr="000975ED" w:rsidRDefault="000975ED" w:rsidP="000975ED">
      <w:pPr>
        <w:pStyle w:val="SingleTxt"/>
        <w:spacing w:after="0" w:line="120" w:lineRule="exact"/>
        <w:rPr>
          <w:sz w:val="10"/>
          <w:lang w:val="fr-FR"/>
        </w:rPr>
      </w:pPr>
    </w:p>
    <w:p w14:paraId="0CB453D4" w14:textId="1EA08C66" w:rsidR="00D45859" w:rsidRPr="00C74BFE" w:rsidRDefault="00D45859" w:rsidP="000975ED">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74BFE">
        <w:rPr>
          <w:lang w:val="fr-FR"/>
        </w:rPr>
        <w:tab/>
      </w:r>
      <w:r w:rsidRPr="00C74BFE">
        <w:rPr>
          <w:lang w:val="fr-FR"/>
        </w:rPr>
        <w:tab/>
        <w:t>Examen de la recevabilité</w:t>
      </w:r>
    </w:p>
    <w:p w14:paraId="1036DA55" w14:textId="27A93B20" w:rsidR="000975ED" w:rsidRPr="000975ED" w:rsidRDefault="000975ED" w:rsidP="000975ED">
      <w:pPr>
        <w:pStyle w:val="SingleTxt"/>
        <w:spacing w:after="0" w:line="120" w:lineRule="exact"/>
        <w:rPr>
          <w:sz w:val="10"/>
          <w:lang w:val="fr-FR"/>
        </w:rPr>
      </w:pPr>
    </w:p>
    <w:p w14:paraId="7D009320" w14:textId="06866315" w:rsidR="00D45859" w:rsidRPr="00B52CB2" w:rsidRDefault="00D45859" w:rsidP="000975ED">
      <w:pPr>
        <w:pStyle w:val="SingleTxt"/>
        <w:numPr>
          <w:ilvl w:val="0"/>
          <w:numId w:val="18"/>
        </w:numPr>
        <w:spacing w:line="240" w:lineRule="exact"/>
        <w:rPr>
          <w:lang w:val="fr-FR"/>
        </w:rPr>
      </w:pPr>
      <w:r w:rsidRPr="00B52CB2">
        <w:rPr>
          <w:lang w:val="fr-FR"/>
        </w:rPr>
        <w:t>Conformément à l</w:t>
      </w:r>
      <w:r>
        <w:rPr>
          <w:lang w:val="fr-FR"/>
        </w:rPr>
        <w:t>’</w:t>
      </w:r>
      <w:r w:rsidRPr="00B52CB2">
        <w:rPr>
          <w:lang w:val="fr-FR"/>
        </w:rPr>
        <w:t>article</w:t>
      </w:r>
      <w:r w:rsidR="00C03EAF">
        <w:rPr>
          <w:lang w:val="fr-FR"/>
        </w:rPr>
        <w:t xml:space="preserve"> </w:t>
      </w:r>
      <w:r w:rsidRPr="00C74BFE">
        <w:rPr>
          <w:lang w:val="fr-FR"/>
        </w:rPr>
        <w:t>64</w:t>
      </w:r>
      <w:r w:rsidRPr="00B52CB2">
        <w:rPr>
          <w:lang w:val="fr-FR"/>
        </w:rPr>
        <w:t xml:space="preserve"> de son règlement intérieur, le Comité doit déterminer si la communication est recevable en vertu du Protocole facultatif. Aux termes de l</w:t>
      </w:r>
      <w:r>
        <w:rPr>
          <w:lang w:val="fr-FR"/>
        </w:rPr>
        <w:t>’</w:t>
      </w:r>
      <w:r w:rsidRPr="00B52CB2">
        <w:rPr>
          <w:lang w:val="fr-FR"/>
        </w:rPr>
        <w:t>article</w:t>
      </w:r>
      <w:r w:rsidR="00C03EAF">
        <w:rPr>
          <w:lang w:val="fr-FR"/>
        </w:rPr>
        <w:t xml:space="preserve"> </w:t>
      </w:r>
      <w:r w:rsidRPr="00C74BFE">
        <w:rPr>
          <w:lang w:val="fr-FR"/>
        </w:rPr>
        <w:t>66</w:t>
      </w:r>
      <w:r>
        <w:rPr>
          <w:lang w:val="fr-FR"/>
        </w:rPr>
        <w:t xml:space="preserve"> de son règlement intérieur</w:t>
      </w:r>
      <w:r w:rsidRPr="00B52CB2">
        <w:rPr>
          <w:lang w:val="fr-FR"/>
        </w:rPr>
        <w:t>, le Comité peut décider d</w:t>
      </w:r>
      <w:r>
        <w:rPr>
          <w:lang w:val="fr-FR"/>
        </w:rPr>
        <w:t>’</w:t>
      </w:r>
      <w:r w:rsidRPr="00B52CB2">
        <w:rPr>
          <w:lang w:val="fr-FR"/>
        </w:rPr>
        <w:t>examiner séparément la question de la recevabilité d</w:t>
      </w:r>
      <w:r>
        <w:rPr>
          <w:lang w:val="fr-FR"/>
        </w:rPr>
        <w:t>’</w:t>
      </w:r>
      <w:r w:rsidRPr="00B52CB2">
        <w:rPr>
          <w:lang w:val="fr-FR"/>
        </w:rPr>
        <w:t>une communication et la communication elle-même quant au fond.</w:t>
      </w:r>
    </w:p>
    <w:p w14:paraId="1A192BC9" w14:textId="1AFA026F" w:rsidR="00D45859" w:rsidRPr="00B52CB2" w:rsidRDefault="00D45859" w:rsidP="000975ED">
      <w:pPr>
        <w:pStyle w:val="SingleTxt"/>
        <w:numPr>
          <w:ilvl w:val="0"/>
          <w:numId w:val="18"/>
        </w:numPr>
        <w:spacing w:line="240" w:lineRule="exact"/>
        <w:rPr>
          <w:lang w:val="fr-FR"/>
        </w:rPr>
      </w:pPr>
      <w:r w:rsidRPr="00B52CB2">
        <w:rPr>
          <w:lang w:val="fr-FR"/>
        </w:rPr>
        <w:t>Le Comité s</w:t>
      </w:r>
      <w:r>
        <w:rPr>
          <w:lang w:val="fr-FR"/>
        </w:rPr>
        <w:t>’</w:t>
      </w:r>
      <w:r w:rsidRPr="00B52CB2">
        <w:rPr>
          <w:lang w:val="fr-FR"/>
        </w:rPr>
        <w:t xml:space="preserve">est assuré, comme il est tenu de le faire conformément </w:t>
      </w:r>
      <w:r>
        <w:rPr>
          <w:lang w:val="fr-FR"/>
        </w:rPr>
        <w:t>a</w:t>
      </w:r>
      <w:r w:rsidRPr="00B52CB2">
        <w:rPr>
          <w:lang w:val="fr-FR"/>
        </w:rPr>
        <w:t>u paragraphe</w:t>
      </w:r>
      <w:r w:rsidR="00C03EAF">
        <w:rPr>
          <w:lang w:val="fr-FR"/>
        </w:rPr>
        <w:t xml:space="preserve"> </w:t>
      </w:r>
      <w:r w:rsidRPr="00C74BFE">
        <w:rPr>
          <w:lang w:val="fr-FR"/>
        </w:rPr>
        <w:t>2</w:t>
      </w:r>
      <w:r>
        <w:rPr>
          <w:lang w:val="fr-FR"/>
        </w:rPr>
        <w:t> a)</w:t>
      </w:r>
      <w:r w:rsidRPr="00B52CB2">
        <w:rPr>
          <w:lang w:val="fr-FR"/>
        </w:rPr>
        <w:t xml:space="preserve"> de l</w:t>
      </w:r>
      <w:r>
        <w:rPr>
          <w:lang w:val="fr-FR"/>
        </w:rPr>
        <w:t>’</w:t>
      </w:r>
      <w:r w:rsidRPr="00B52CB2">
        <w:rPr>
          <w:lang w:val="fr-FR"/>
        </w:rPr>
        <w:t>article</w:t>
      </w:r>
      <w:r w:rsidR="00C03EAF">
        <w:rPr>
          <w:lang w:val="fr-FR"/>
        </w:rPr>
        <w:t xml:space="preserve"> </w:t>
      </w:r>
      <w:r w:rsidRPr="00C74BFE">
        <w:rPr>
          <w:lang w:val="fr-FR"/>
        </w:rPr>
        <w:t>4</w:t>
      </w:r>
      <w:r w:rsidRPr="00B52CB2">
        <w:rPr>
          <w:lang w:val="fr-FR"/>
        </w:rPr>
        <w:t xml:space="preserve"> du Protocole facultatif, que la même question n</w:t>
      </w:r>
      <w:r>
        <w:rPr>
          <w:lang w:val="fr-FR"/>
        </w:rPr>
        <w:t>’</w:t>
      </w:r>
      <w:r w:rsidRPr="00B52CB2">
        <w:rPr>
          <w:lang w:val="fr-FR"/>
        </w:rPr>
        <w:t>avait pas déjà été examinée ou n</w:t>
      </w:r>
      <w:r>
        <w:rPr>
          <w:lang w:val="fr-FR"/>
        </w:rPr>
        <w:t>’</w:t>
      </w:r>
      <w:r w:rsidRPr="00B52CB2">
        <w:rPr>
          <w:lang w:val="fr-FR"/>
        </w:rPr>
        <w:t>était pas déjà en cours d</w:t>
      </w:r>
      <w:r>
        <w:rPr>
          <w:lang w:val="fr-FR"/>
        </w:rPr>
        <w:t>’</w:t>
      </w:r>
      <w:r w:rsidRPr="00B52CB2">
        <w:rPr>
          <w:lang w:val="fr-FR"/>
        </w:rPr>
        <w:t>examen devant une autre instance internationale d</w:t>
      </w:r>
      <w:r>
        <w:rPr>
          <w:lang w:val="fr-FR"/>
        </w:rPr>
        <w:t>’</w:t>
      </w:r>
      <w:r w:rsidRPr="00B52CB2">
        <w:rPr>
          <w:lang w:val="fr-FR"/>
        </w:rPr>
        <w:t>enquête ou de règlement.</w:t>
      </w:r>
    </w:p>
    <w:p w14:paraId="52B18CEB" w14:textId="0C7BEA97" w:rsidR="00D45859" w:rsidRPr="00B52CB2" w:rsidRDefault="00D45859" w:rsidP="000975ED">
      <w:pPr>
        <w:pStyle w:val="SingleTxt"/>
        <w:numPr>
          <w:ilvl w:val="0"/>
          <w:numId w:val="18"/>
        </w:numPr>
        <w:spacing w:line="240" w:lineRule="exact"/>
        <w:rPr>
          <w:lang w:val="fr-FR"/>
        </w:rPr>
      </w:pPr>
      <w:r w:rsidRPr="00C03EAF">
        <w:rPr>
          <w:w w:val="100"/>
          <w:lang w:val="fr-FR"/>
        </w:rPr>
        <w:t>Le Comité note que l’auteure affirme qu’au regard des articles </w:t>
      </w:r>
      <w:r w:rsidRPr="00C74BFE">
        <w:rPr>
          <w:w w:val="100"/>
          <w:lang w:val="fr-FR"/>
        </w:rPr>
        <w:t>2</w:t>
      </w:r>
      <w:r w:rsidRPr="00C03EAF">
        <w:rPr>
          <w:w w:val="100"/>
          <w:lang w:val="fr-FR"/>
        </w:rPr>
        <w:t xml:space="preserve"> d) et </w:t>
      </w:r>
      <w:r w:rsidRPr="00C74BFE">
        <w:rPr>
          <w:w w:val="100"/>
          <w:lang w:val="fr-FR"/>
        </w:rPr>
        <w:t>16</w:t>
      </w:r>
      <w:r w:rsidRPr="00C03EAF">
        <w:rPr>
          <w:w w:val="100"/>
          <w:lang w:val="fr-FR"/>
        </w:rPr>
        <w:t xml:space="preserve"> de la Convention ses droits avaient été violés et qu’elle a épuisé toutes les voies de recours internes dont elle disposait et que l’État partie n’a pas contesté la recevabilité de la communication pour ces motifs. Il fait observer que, selon la loi danoise, aucune décision de la Commission des recours des réfugiés ne peut être contestée devant les juridictions internes. En conséquence, il considère que les dispositions du paragraphe</w:t>
      </w:r>
      <w:r w:rsidR="00C03EAF" w:rsidRPr="00C03EAF">
        <w:rPr>
          <w:w w:val="100"/>
          <w:lang w:val="fr-FR"/>
        </w:rPr>
        <w:t xml:space="preserve"> </w:t>
      </w:r>
      <w:r w:rsidRPr="00C74BFE">
        <w:rPr>
          <w:w w:val="100"/>
          <w:lang w:val="fr-FR"/>
        </w:rPr>
        <w:t>1</w:t>
      </w:r>
      <w:r w:rsidRPr="00C03EAF">
        <w:rPr>
          <w:w w:val="100"/>
          <w:lang w:val="fr-FR"/>
        </w:rPr>
        <w:t xml:space="preserve"> </w:t>
      </w:r>
      <w:r w:rsidRPr="004E5047">
        <w:rPr>
          <w:lang w:val="fr-FR"/>
        </w:rPr>
        <w:t>de l’article</w:t>
      </w:r>
      <w:r w:rsidR="00C03EAF">
        <w:rPr>
          <w:lang w:val="fr-FR"/>
        </w:rPr>
        <w:t xml:space="preserve"> </w:t>
      </w:r>
      <w:r w:rsidRPr="00C74BFE">
        <w:rPr>
          <w:lang w:val="fr-FR"/>
        </w:rPr>
        <w:t>4</w:t>
      </w:r>
      <w:r w:rsidRPr="004E5047">
        <w:rPr>
          <w:lang w:val="fr-FR"/>
        </w:rPr>
        <w:t xml:space="preserve"> du Protocole facultatif ne l’empêchent pas d’examiner la présente communication.</w:t>
      </w:r>
    </w:p>
    <w:p w14:paraId="0077F77B" w14:textId="14B5E994" w:rsidR="00D45859" w:rsidRDefault="00D45859" w:rsidP="000975ED">
      <w:pPr>
        <w:pStyle w:val="SingleTxt"/>
        <w:numPr>
          <w:ilvl w:val="0"/>
          <w:numId w:val="18"/>
        </w:numPr>
        <w:spacing w:line="240" w:lineRule="exact"/>
        <w:rPr>
          <w:lang w:val="fr-FR"/>
        </w:rPr>
      </w:pPr>
      <w:r w:rsidRPr="00B52CB2">
        <w:rPr>
          <w:lang w:val="fr-FR"/>
        </w:rPr>
        <w:t>Le Comité prend note des autres griefs que l</w:t>
      </w:r>
      <w:r>
        <w:rPr>
          <w:lang w:val="fr-FR"/>
        </w:rPr>
        <w:t>’</w:t>
      </w:r>
      <w:r w:rsidRPr="00B52CB2">
        <w:rPr>
          <w:lang w:val="fr-FR"/>
        </w:rPr>
        <w:t>auteure tire des articles</w:t>
      </w:r>
      <w:r w:rsidR="00C03EAF">
        <w:rPr>
          <w:lang w:val="fr-FR"/>
        </w:rPr>
        <w:t xml:space="preserve"> </w:t>
      </w:r>
      <w:r w:rsidRPr="00C74BFE">
        <w:rPr>
          <w:lang w:val="fr-FR"/>
        </w:rPr>
        <w:t>12</w:t>
      </w:r>
      <w:r w:rsidRPr="00B52CB2">
        <w:rPr>
          <w:lang w:val="fr-FR"/>
        </w:rPr>
        <w:t xml:space="preserve"> et </w:t>
      </w:r>
      <w:r w:rsidRPr="00C74BFE">
        <w:rPr>
          <w:lang w:val="fr-FR"/>
        </w:rPr>
        <w:t>15</w:t>
      </w:r>
      <w:r w:rsidRPr="00B52CB2">
        <w:rPr>
          <w:lang w:val="fr-FR"/>
        </w:rPr>
        <w:t>, dans la mesure où l</w:t>
      </w:r>
      <w:r>
        <w:rPr>
          <w:lang w:val="fr-FR"/>
        </w:rPr>
        <w:t>’</w:t>
      </w:r>
      <w:r w:rsidRPr="00B52CB2">
        <w:rPr>
          <w:lang w:val="fr-FR"/>
        </w:rPr>
        <w:t>auteure a montré des cicatrices de brûlures dans le passé et craint de subir des attaques analogues en Somalie, et où elle n</w:t>
      </w:r>
      <w:r>
        <w:rPr>
          <w:lang w:val="fr-FR"/>
        </w:rPr>
        <w:t>’</w:t>
      </w:r>
      <w:r w:rsidRPr="00B52CB2">
        <w:rPr>
          <w:lang w:val="fr-FR"/>
        </w:rPr>
        <w:t>a pas bénéficié d</w:t>
      </w:r>
      <w:r>
        <w:rPr>
          <w:lang w:val="fr-FR"/>
        </w:rPr>
        <w:t>’</w:t>
      </w:r>
      <w:r w:rsidRPr="00B52CB2">
        <w:rPr>
          <w:lang w:val="fr-FR"/>
        </w:rPr>
        <w:t>un procès équitable et des mêmes garanties que les demandeurs d</w:t>
      </w:r>
      <w:r>
        <w:rPr>
          <w:lang w:val="fr-FR"/>
        </w:rPr>
        <w:t>’</w:t>
      </w:r>
      <w:r w:rsidRPr="00B52CB2">
        <w:rPr>
          <w:lang w:val="fr-FR"/>
        </w:rPr>
        <w:t>asile de sexe masculin (voir par.</w:t>
      </w:r>
      <w:r>
        <w:rPr>
          <w:lang w:val="fr-FR"/>
        </w:rPr>
        <w:t> </w:t>
      </w:r>
      <w:r w:rsidRPr="00C74BFE">
        <w:rPr>
          <w:lang w:val="fr-FR"/>
        </w:rPr>
        <w:t>4</w:t>
      </w:r>
      <w:r w:rsidRPr="00B52CB2">
        <w:rPr>
          <w:lang w:val="fr-FR"/>
        </w:rPr>
        <w:t>.</w:t>
      </w:r>
      <w:r w:rsidRPr="00C74BFE">
        <w:rPr>
          <w:lang w:val="fr-FR"/>
        </w:rPr>
        <w:t>4</w:t>
      </w:r>
      <w:r w:rsidRPr="00B52CB2">
        <w:rPr>
          <w:lang w:val="fr-FR"/>
        </w:rPr>
        <w:t xml:space="preserve"> ci-dessus). En l</w:t>
      </w:r>
      <w:r>
        <w:rPr>
          <w:lang w:val="fr-FR"/>
        </w:rPr>
        <w:t>’</w:t>
      </w:r>
      <w:r w:rsidRPr="00B52CB2">
        <w:rPr>
          <w:lang w:val="fr-FR"/>
        </w:rPr>
        <w:t>absence d</w:t>
      </w:r>
      <w:r>
        <w:rPr>
          <w:lang w:val="fr-FR"/>
        </w:rPr>
        <w:t>’</w:t>
      </w:r>
      <w:r w:rsidRPr="00B52CB2">
        <w:rPr>
          <w:lang w:val="fr-FR"/>
        </w:rPr>
        <w:t>autres explications ou informations à ce sujet, le Comité considère que cette partie de la communication n</w:t>
      </w:r>
      <w:r>
        <w:rPr>
          <w:lang w:val="fr-FR"/>
        </w:rPr>
        <w:t>’</w:t>
      </w:r>
      <w:r w:rsidRPr="00B52CB2">
        <w:rPr>
          <w:lang w:val="fr-FR"/>
        </w:rPr>
        <w:t>est pas suffisamment étayée aux fins de la recevabilité et qu</w:t>
      </w:r>
      <w:r>
        <w:rPr>
          <w:lang w:val="fr-FR"/>
        </w:rPr>
        <w:t>’</w:t>
      </w:r>
      <w:r w:rsidRPr="00B52CB2">
        <w:rPr>
          <w:lang w:val="fr-FR"/>
        </w:rPr>
        <w:t>elle est donc irrecevable en vertu du paragraphe</w:t>
      </w:r>
      <w:r>
        <w:rPr>
          <w:lang w:val="fr-FR"/>
        </w:rPr>
        <w:t> </w:t>
      </w:r>
      <w:r w:rsidRPr="00C74BFE">
        <w:rPr>
          <w:lang w:val="fr-FR"/>
        </w:rPr>
        <w:t>2</w:t>
      </w:r>
      <w:r>
        <w:rPr>
          <w:lang w:val="fr-FR"/>
        </w:rPr>
        <w:t> </w:t>
      </w:r>
      <w:r w:rsidRPr="00B52CB2">
        <w:rPr>
          <w:lang w:val="fr-FR"/>
        </w:rPr>
        <w:t>c) de l</w:t>
      </w:r>
      <w:r>
        <w:rPr>
          <w:lang w:val="fr-FR"/>
        </w:rPr>
        <w:t>’</w:t>
      </w:r>
      <w:r w:rsidRPr="00B52CB2">
        <w:rPr>
          <w:lang w:val="fr-FR"/>
        </w:rPr>
        <w:t>article</w:t>
      </w:r>
      <w:r>
        <w:rPr>
          <w:lang w:val="fr-FR"/>
        </w:rPr>
        <w:t> </w:t>
      </w:r>
      <w:r w:rsidRPr="00C74BFE">
        <w:rPr>
          <w:lang w:val="fr-FR"/>
        </w:rPr>
        <w:t>4</w:t>
      </w:r>
      <w:r w:rsidRPr="00B52CB2">
        <w:rPr>
          <w:lang w:val="fr-FR"/>
        </w:rPr>
        <w:t xml:space="preserve"> du Protocole facultatif.</w:t>
      </w:r>
    </w:p>
    <w:p w14:paraId="155DD093" w14:textId="0DFA87ED" w:rsidR="00D45859" w:rsidRPr="00B52CB2" w:rsidRDefault="00D45859" w:rsidP="000975ED">
      <w:pPr>
        <w:pStyle w:val="SingleTxt"/>
        <w:numPr>
          <w:ilvl w:val="0"/>
          <w:numId w:val="18"/>
        </w:numPr>
        <w:spacing w:line="240" w:lineRule="exact"/>
        <w:rPr>
          <w:lang w:val="fr-FR"/>
        </w:rPr>
      </w:pPr>
      <w:r w:rsidRPr="00B52CB2">
        <w:rPr>
          <w:lang w:val="fr-FR"/>
        </w:rPr>
        <w:t>Le Comité rappelle l</w:t>
      </w:r>
      <w:r>
        <w:rPr>
          <w:lang w:val="fr-FR"/>
        </w:rPr>
        <w:t>’</w:t>
      </w:r>
      <w:r w:rsidRPr="00B52CB2">
        <w:rPr>
          <w:lang w:val="fr-FR"/>
        </w:rPr>
        <w:t>allégation de l</w:t>
      </w:r>
      <w:r>
        <w:rPr>
          <w:lang w:val="fr-FR"/>
        </w:rPr>
        <w:t>’</w:t>
      </w:r>
      <w:r w:rsidRPr="00B52CB2">
        <w:rPr>
          <w:lang w:val="fr-FR"/>
        </w:rPr>
        <w:t>auteure selon laquelle les autorités danoises n</w:t>
      </w:r>
      <w:r>
        <w:rPr>
          <w:lang w:val="fr-FR"/>
        </w:rPr>
        <w:t>’</w:t>
      </w:r>
      <w:r w:rsidRPr="00B52CB2">
        <w:rPr>
          <w:lang w:val="fr-FR"/>
        </w:rPr>
        <w:t>ont pas apprécié son cas sous l</w:t>
      </w:r>
      <w:r>
        <w:rPr>
          <w:lang w:val="fr-FR"/>
        </w:rPr>
        <w:t>’</w:t>
      </w:r>
      <w:r w:rsidRPr="00B52CB2">
        <w:rPr>
          <w:lang w:val="fr-FR"/>
        </w:rPr>
        <w:t>angle de la Convention, quand bien même son conseil leur a expressément demandé de le faire, et que son retour forcé en Somalie constituerait une violation par le Danemark de</w:t>
      </w:r>
      <w:r>
        <w:rPr>
          <w:lang w:val="fr-FR"/>
        </w:rPr>
        <w:t xml:space="preserve">s </w:t>
      </w:r>
      <w:r w:rsidRPr="00B52CB2">
        <w:rPr>
          <w:lang w:val="fr-FR"/>
        </w:rPr>
        <w:t>article</w:t>
      </w:r>
      <w:r>
        <w:rPr>
          <w:lang w:val="fr-FR"/>
        </w:rPr>
        <w:t>s</w:t>
      </w:r>
      <w:r w:rsidR="00C03EAF">
        <w:rPr>
          <w:lang w:val="fr-FR"/>
        </w:rPr>
        <w:t xml:space="preserve"> </w:t>
      </w:r>
      <w:r w:rsidRPr="00C74BFE">
        <w:rPr>
          <w:lang w:val="fr-FR"/>
        </w:rPr>
        <w:t>2</w:t>
      </w:r>
      <w:r>
        <w:rPr>
          <w:lang w:val="fr-FR"/>
        </w:rPr>
        <w:t xml:space="preserve"> d), </w:t>
      </w:r>
      <w:r w:rsidRPr="00C74BFE">
        <w:rPr>
          <w:lang w:val="fr-FR"/>
        </w:rPr>
        <w:t>12</w:t>
      </w:r>
      <w:r>
        <w:rPr>
          <w:lang w:val="fr-FR"/>
        </w:rPr>
        <w:t xml:space="preserve">, </w:t>
      </w:r>
      <w:r w:rsidRPr="00C74BFE">
        <w:rPr>
          <w:lang w:val="fr-FR"/>
        </w:rPr>
        <w:t>15</w:t>
      </w:r>
      <w:r w:rsidRPr="00B52CB2">
        <w:rPr>
          <w:lang w:val="fr-FR"/>
        </w:rPr>
        <w:t xml:space="preserve"> et </w:t>
      </w:r>
      <w:r w:rsidRPr="00C74BFE">
        <w:rPr>
          <w:lang w:val="fr-FR"/>
        </w:rPr>
        <w:t>16</w:t>
      </w:r>
      <w:r w:rsidRPr="00B52CB2">
        <w:rPr>
          <w:lang w:val="fr-FR"/>
        </w:rPr>
        <w:t xml:space="preserve"> de la Convention. Elle craint d</w:t>
      </w:r>
      <w:r>
        <w:rPr>
          <w:lang w:val="fr-FR"/>
        </w:rPr>
        <w:t>’</w:t>
      </w:r>
      <w:r w:rsidRPr="00B52CB2">
        <w:rPr>
          <w:lang w:val="fr-FR"/>
        </w:rPr>
        <w:t>être persécutée par sa famille parce qu</w:t>
      </w:r>
      <w:r>
        <w:rPr>
          <w:lang w:val="fr-FR"/>
        </w:rPr>
        <w:t>’</w:t>
      </w:r>
      <w:r w:rsidRPr="00B52CB2">
        <w:rPr>
          <w:lang w:val="fr-FR"/>
        </w:rPr>
        <w:t>elle avait refusé de se marier de force à un homme plus âgé et entretenait des relations avec une connaissance, et également parce que, en tant que femme seule dans une société patriarcale, elle serait exposée à des persécutions et des actes de violence fondée sur le genre et ne serait pas en mesure de se déplacer en sécurité de Mogadiscio à sa ville d</w:t>
      </w:r>
      <w:r>
        <w:rPr>
          <w:lang w:val="fr-FR"/>
        </w:rPr>
        <w:t>’</w:t>
      </w:r>
      <w:r w:rsidRPr="00B52CB2">
        <w:rPr>
          <w:lang w:val="fr-FR"/>
        </w:rPr>
        <w:t xml:space="preserve">origine, les routes étant contrôlées par les Chabab ou des groupes criminels. </w:t>
      </w:r>
    </w:p>
    <w:p w14:paraId="4B17554B" w14:textId="774172D0" w:rsidR="00D45859" w:rsidRPr="00B52CB2" w:rsidRDefault="00D45859" w:rsidP="000975ED">
      <w:pPr>
        <w:pStyle w:val="SingleTxt"/>
        <w:numPr>
          <w:ilvl w:val="0"/>
          <w:numId w:val="18"/>
        </w:numPr>
        <w:spacing w:line="240" w:lineRule="exact"/>
        <w:rPr>
          <w:lang w:val="fr-FR"/>
        </w:rPr>
      </w:pPr>
      <w:r w:rsidRPr="00B52CB2">
        <w:rPr>
          <w:lang w:val="fr-FR"/>
        </w:rPr>
        <w:lastRenderedPageBreak/>
        <w:t>Le Comité renvoie à sa recommandation générale n</w:t>
      </w:r>
      <w:r w:rsidRPr="00B52CB2">
        <w:rPr>
          <w:vertAlign w:val="superscript"/>
          <w:lang w:val="fr-FR"/>
        </w:rPr>
        <w:t>o</w:t>
      </w:r>
      <w:r w:rsidRPr="00B52CB2">
        <w:rPr>
          <w:lang w:val="fr-FR"/>
        </w:rPr>
        <w:t> </w:t>
      </w:r>
      <w:r w:rsidRPr="00C74BFE">
        <w:rPr>
          <w:lang w:val="fr-FR"/>
        </w:rPr>
        <w:t>32</w:t>
      </w:r>
      <w:r w:rsidRPr="00B52CB2">
        <w:rPr>
          <w:lang w:val="fr-FR"/>
        </w:rPr>
        <w:t>, selon laquelle, « en vertu du droit international des droits de l</w:t>
      </w:r>
      <w:r>
        <w:rPr>
          <w:lang w:val="fr-FR"/>
        </w:rPr>
        <w:t>’</w:t>
      </w:r>
      <w:r w:rsidRPr="00B52CB2">
        <w:rPr>
          <w:lang w:val="fr-FR"/>
        </w:rPr>
        <w:t>homme, le principe de non refoulement fait obligation aux États de ne pas renvoyer une personne là où elle risque de subir de graves violations des droits de l</w:t>
      </w:r>
      <w:r>
        <w:rPr>
          <w:lang w:val="fr-FR"/>
        </w:rPr>
        <w:t>’</w:t>
      </w:r>
      <w:r w:rsidRPr="00B52CB2">
        <w:rPr>
          <w:lang w:val="fr-FR"/>
        </w:rPr>
        <w:t>homme, notamment la privation arbitraire de la vie ou la torture ou d</w:t>
      </w:r>
      <w:r>
        <w:rPr>
          <w:lang w:val="fr-FR"/>
        </w:rPr>
        <w:t>’</w:t>
      </w:r>
      <w:r w:rsidRPr="00B52CB2">
        <w:rPr>
          <w:lang w:val="fr-FR"/>
        </w:rPr>
        <w:t>autres peines ou traitements cruels, inhumains ou dégradants » (par.</w:t>
      </w:r>
      <w:r>
        <w:rPr>
          <w:lang w:val="fr-FR"/>
        </w:rPr>
        <w:t> </w:t>
      </w:r>
      <w:r w:rsidRPr="00C74BFE">
        <w:rPr>
          <w:lang w:val="fr-FR"/>
        </w:rPr>
        <w:t>21</w:t>
      </w:r>
      <w:r w:rsidRPr="00B52CB2">
        <w:rPr>
          <w:lang w:val="fr-FR"/>
        </w:rPr>
        <w:t>). Il rappelle, en particulier, que les demandes d</w:t>
      </w:r>
      <w:r>
        <w:rPr>
          <w:lang w:val="fr-FR"/>
        </w:rPr>
        <w:t>’</w:t>
      </w:r>
      <w:r w:rsidRPr="00B52CB2">
        <w:rPr>
          <w:lang w:val="fr-FR"/>
        </w:rPr>
        <w:t>asile fondées sur des considérations liées au sexe peuvent recouper d</w:t>
      </w:r>
      <w:r>
        <w:rPr>
          <w:lang w:val="fr-FR"/>
        </w:rPr>
        <w:t>’</w:t>
      </w:r>
      <w:r w:rsidRPr="00B52CB2">
        <w:rPr>
          <w:lang w:val="fr-FR"/>
        </w:rPr>
        <w:t>autres motifs de discrimination tels que l</w:t>
      </w:r>
      <w:r>
        <w:rPr>
          <w:lang w:val="fr-FR"/>
        </w:rPr>
        <w:t>’</w:t>
      </w:r>
      <w:r w:rsidRPr="00B52CB2">
        <w:rPr>
          <w:lang w:val="fr-FR"/>
        </w:rPr>
        <w:t>âge, la race, l</w:t>
      </w:r>
      <w:r>
        <w:rPr>
          <w:lang w:val="fr-FR"/>
        </w:rPr>
        <w:t>’</w:t>
      </w:r>
      <w:r w:rsidRPr="00B52CB2">
        <w:rPr>
          <w:lang w:val="fr-FR"/>
        </w:rPr>
        <w:t>appartenance ethnique, la nationalité, la religion, la santé, la classe, la caste, le fait d</w:t>
      </w:r>
      <w:r>
        <w:rPr>
          <w:lang w:val="fr-FR"/>
        </w:rPr>
        <w:t>’</w:t>
      </w:r>
      <w:r w:rsidRPr="00B52CB2">
        <w:rPr>
          <w:lang w:val="fr-FR"/>
        </w:rPr>
        <w:t>être lesbienne, bisexuelle ou d</w:t>
      </w:r>
      <w:r>
        <w:rPr>
          <w:lang w:val="fr-FR"/>
        </w:rPr>
        <w:t>’</w:t>
      </w:r>
      <w:r w:rsidRPr="00B52CB2">
        <w:rPr>
          <w:lang w:val="fr-FR"/>
        </w:rPr>
        <w:t>avoir un autre statut (par. </w:t>
      </w:r>
      <w:r w:rsidRPr="00C74BFE">
        <w:rPr>
          <w:lang w:val="fr-FR"/>
        </w:rPr>
        <w:t>16</w:t>
      </w:r>
      <w:r w:rsidRPr="00B52CB2">
        <w:rPr>
          <w:lang w:val="fr-FR"/>
        </w:rPr>
        <w:t>). Il renvoie en outre à sa recommandation générale n</w:t>
      </w:r>
      <w:r w:rsidRPr="00B52CB2">
        <w:rPr>
          <w:vertAlign w:val="superscript"/>
          <w:lang w:val="fr-FR"/>
        </w:rPr>
        <w:t>o</w:t>
      </w:r>
      <w:r w:rsidRPr="00B52CB2">
        <w:rPr>
          <w:lang w:val="fr-FR"/>
        </w:rPr>
        <w:t> </w:t>
      </w:r>
      <w:r w:rsidRPr="00C74BFE">
        <w:rPr>
          <w:lang w:val="fr-FR"/>
        </w:rPr>
        <w:t>19</w:t>
      </w:r>
      <w:r w:rsidRPr="00B52CB2">
        <w:rPr>
          <w:lang w:val="fr-FR"/>
        </w:rPr>
        <w:t> (</w:t>
      </w:r>
      <w:r w:rsidRPr="00C74BFE">
        <w:rPr>
          <w:lang w:val="fr-FR"/>
        </w:rPr>
        <w:t>1992</w:t>
      </w:r>
      <w:r w:rsidRPr="00B52CB2">
        <w:rPr>
          <w:lang w:val="fr-FR"/>
        </w:rPr>
        <w:t>) sur la violence à l</w:t>
      </w:r>
      <w:r>
        <w:rPr>
          <w:lang w:val="fr-FR"/>
        </w:rPr>
        <w:t>’</w:t>
      </w:r>
      <w:r w:rsidRPr="00B52CB2">
        <w:rPr>
          <w:lang w:val="fr-FR"/>
        </w:rPr>
        <w:t>égard des femmes, dans laquelle il rappelle que la violence fondée sur le genre, qui compromet ou rend nulle la jouissance des droits individuels et des libertés fondamentales par les femmes en vertu des principes généraux du droit international ou des conventions particulières relatives aux droits de l</w:t>
      </w:r>
      <w:r>
        <w:rPr>
          <w:lang w:val="fr-FR"/>
        </w:rPr>
        <w:t>’</w:t>
      </w:r>
      <w:r w:rsidRPr="00B52CB2">
        <w:rPr>
          <w:lang w:val="fr-FR"/>
        </w:rPr>
        <w:t>homme, constitue une discrimination, au sens de l</w:t>
      </w:r>
      <w:r>
        <w:rPr>
          <w:lang w:val="fr-FR"/>
        </w:rPr>
        <w:t>’</w:t>
      </w:r>
      <w:r w:rsidRPr="00B52CB2">
        <w:rPr>
          <w:lang w:val="fr-FR"/>
        </w:rPr>
        <w:t>article premier de la Convention, et que parmi ces droits et libertés, on peut citer notamment le droit à la vie et le droit de ne pas être soumis à la torture (par. </w:t>
      </w:r>
      <w:r w:rsidRPr="00C74BFE">
        <w:rPr>
          <w:lang w:val="fr-FR"/>
        </w:rPr>
        <w:t>7</w:t>
      </w:r>
      <w:r w:rsidRPr="00B52CB2">
        <w:rPr>
          <w:lang w:val="fr-FR"/>
        </w:rPr>
        <w:t>). Il a encore précisé son interprétation de la violence à l</w:t>
      </w:r>
      <w:r>
        <w:rPr>
          <w:lang w:val="fr-FR"/>
        </w:rPr>
        <w:t>’</w:t>
      </w:r>
      <w:r w:rsidRPr="00B52CB2">
        <w:rPr>
          <w:lang w:val="fr-FR"/>
        </w:rPr>
        <w:t>égard des femmes en tant que forme de discrimination sexiste dans sa recommandation générale n</w:t>
      </w:r>
      <w:r w:rsidRPr="00B52CB2">
        <w:rPr>
          <w:vertAlign w:val="superscript"/>
          <w:lang w:val="fr-FR"/>
        </w:rPr>
        <w:t>o</w:t>
      </w:r>
      <w:r w:rsidRPr="00B52CB2">
        <w:rPr>
          <w:lang w:val="fr-FR"/>
        </w:rPr>
        <w:t> </w:t>
      </w:r>
      <w:r w:rsidRPr="00C74BFE">
        <w:rPr>
          <w:lang w:val="fr-FR"/>
        </w:rPr>
        <w:t>35</w:t>
      </w:r>
      <w:r>
        <w:rPr>
          <w:lang w:val="fr-FR"/>
        </w:rPr>
        <w:t> </w:t>
      </w:r>
      <w:r w:rsidRPr="00B52CB2">
        <w:rPr>
          <w:lang w:val="fr-FR"/>
        </w:rPr>
        <w:t>(</w:t>
      </w:r>
      <w:r w:rsidRPr="00C74BFE">
        <w:rPr>
          <w:lang w:val="fr-FR"/>
        </w:rPr>
        <w:t>2017</w:t>
      </w:r>
      <w:r w:rsidRPr="00B52CB2">
        <w:rPr>
          <w:lang w:val="fr-FR"/>
        </w:rPr>
        <w:t>) sur la violence sexiste à l</w:t>
      </w:r>
      <w:r>
        <w:rPr>
          <w:lang w:val="fr-FR"/>
        </w:rPr>
        <w:t>’</w:t>
      </w:r>
      <w:r w:rsidRPr="00B52CB2">
        <w:rPr>
          <w:lang w:val="fr-FR"/>
        </w:rPr>
        <w:t>égard des femmes, portant actualisation de la recommandation générale n</w:t>
      </w:r>
      <w:r w:rsidRPr="00B52CB2">
        <w:rPr>
          <w:vertAlign w:val="superscript"/>
          <w:lang w:val="fr-FR"/>
        </w:rPr>
        <w:t>o</w:t>
      </w:r>
      <w:r w:rsidRPr="00B52CB2">
        <w:rPr>
          <w:lang w:val="fr-FR"/>
        </w:rPr>
        <w:t> </w:t>
      </w:r>
      <w:r w:rsidRPr="00C74BFE">
        <w:rPr>
          <w:lang w:val="fr-FR"/>
        </w:rPr>
        <w:t>19</w:t>
      </w:r>
      <w:r w:rsidRPr="00B52CB2">
        <w:rPr>
          <w:lang w:val="fr-FR"/>
        </w:rPr>
        <w:t>, où il réaffirme l</w:t>
      </w:r>
      <w:r>
        <w:rPr>
          <w:lang w:val="fr-FR"/>
        </w:rPr>
        <w:t>’</w:t>
      </w:r>
      <w:r w:rsidRPr="00B52CB2">
        <w:rPr>
          <w:lang w:val="fr-FR"/>
        </w:rPr>
        <w:t>obligation des États parties d</w:t>
      </w:r>
      <w:r>
        <w:rPr>
          <w:lang w:val="fr-FR"/>
        </w:rPr>
        <w:t>’</w:t>
      </w:r>
      <w:r w:rsidRPr="00B52CB2">
        <w:rPr>
          <w:lang w:val="fr-FR"/>
        </w:rPr>
        <w:t>éliminer la discrimination à l</w:t>
      </w:r>
      <w:r>
        <w:rPr>
          <w:lang w:val="fr-FR"/>
        </w:rPr>
        <w:t>’</w:t>
      </w:r>
      <w:r w:rsidRPr="00B52CB2">
        <w:rPr>
          <w:lang w:val="fr-FR"/>
        </w:rPr>
        <w:t xml:space="preserve">égard des femmes, </w:t>
      </w:r>
      <w:r>
        <w:rPr>
          <w:lang w:val="fr-FR"/>
        </w:rPr>
        <w:t>y</w:t>
      </w:r>
      <w:r w:rsidR="00F82708">
        <w:rPr>
          <w:lang w:val="fr-FR"/>
        </w:rPr>
        <w:t xml:space="preserve"> </w:t>
      </w:r>
      <w:r>
        <w:rPr>
          <w:lang w:val="fr-FR"/>
        </w:rPr>
        <w:t>compris</w:t>
      </w:r>
      <w:r w:rsidRPr="00B52CB2">
        <w:rPr>
          <w:lang w:val="fr-FR"/>
        </w:rPr>
        <w:t xml:space="preserve"> la violence fondée sur le genre, découlant des actes ou omissions de l</w:t>
      </w:r>
      <w:r>
        <w:rPr>
          <w:lang w:val="fr-FR"/>
        </w:rPr>
        <w:t>’</w:t>
      </w:r>
      <w:r w:rsidRPr="00B52CB2">
        <w:rPr>
          <w:lang w:val="fr-FR"/>
        </w:rPr>
        <w:t>État partie ou de ses acteurs, d</w:t>
      </w:r>
      <w:r>
        <w:rPr>
          <w:lang w:val="fr-FR"/>
        </w:rPr>
        <w:t>’</w:t>
      </w:r>
      <w:r w:rsidRPr="00B52CB2">
        <w:rPr>
          <w:lang w:val="fr-FR"/>
        </w:rPr>
        <w:t>une part ; et celle qui résulte des actes ou omissions des acteurs non étatiques, d</w:t>
      </w:r>
      <w:r>
        <w:rPr>
          <w:lang w:val="fr-FR"/>
        </w:rPr>
        <w:t>’</w:t>
      </w:r>
      <w:r w:rsidRPr="00B52CB2">
        <w:rPr>
          <w:lang w:val="fr-FR"/>
        </w:rPr>
        <w:t>autre part (par. </w:t>
      </w:r>
      <w:r w:rsidRPr="00C74BFE">
        <w:rPr>
          <w:lang w:val="fr-FR"/>
        </w:rPr>
        <w:t>21</w:t>
      </w:r>
      <w:r w:rsidRPr="00B52CB2">
        <w:rPr>
          <w:lang w:val="fr-FR"/>
        </w:rPr>
        <w:t>).</w:t>
      </w:r>
    </w:p>
    <w:p w14:paraId="593004EF" w14:textId="0DF6C00D" w:rsidR="00D45859" w:rsidRPr="00B52CB2" w:rsidRDefault="00D45859" w:rsidP="000975ED">
      <w:pPr>
        <w:pStyle w:val="SingleTxt"/>
        <w:numPr>
          <w:ilvl w:val="0"/>
          <w:numId w:val="18"/>
        </w:numPr>
        <w:spacing w:line="240" w:lineRule="exact"/>
        <w:rPr>
          <w:lang w:val="fr-FR"/>
        </w:rPr>
      </w:pPr>
      <w:r w:rsidRPr="00B52CB2">
        <w:rPr>
          <w:lang w:val="fr-FR"/>
        </w:rPr>
        <w:t>En l</w:t>
      </w:r>
      <w:r>
        <w:rPr>
          <w:lang w:val="fr-FR"/>
        </w:rPr>
        <w:t>’</w:t>
      </w:r>
      <w:r w:rsidRPr="00B52CB2">
        <w:rPr>
          <w:lang w:val="fr-FR"/>
        </w:rPr>
        <w:t>espèce, le Comité constate qu</w:t>
      </w:r>
      <w:r>
        <w:rPr>
          <w:lang w:val="fr-FR"/>
        </w:rPr>
        <w:t>’</w:t>
      </w:r>
      <w:r w:rsidRPr="00B52CB2">
        <w:rPr>
          <w:lang w:val="fr-FR"/>
        </w:rPr>
        <w:t>il n</w:t>
      </w:r>
      <w:r>
        <w:rPr>
          <w:lang w:val="fr-FR"/>
        </w:rPr>
        <w:t>’</w:t>
      </w:r>
      <w:r w:rsidRPr="00B52CB2">
        <w:rPr>
          <w:lang w:val="fr-FR"/>
        </w:rPr>
        <w:t>a pas été allégué que l</w:t>
      </w:r>
      <w:r>
        <w:rPr>
          <w:lang w:val="fr-FR"/>
        </w:rPr>
        <w:t>’</w:t>
      </w:r>
      <w:r w:rsidRPr="00B52CB2">
        <w:rPr>
          <w:lang w:val="fr-FR"/>
        </w:rPr>
        <w:t>État partie avait violé directement les dispositions de la Convention mais que la violation se matérialiserait si ses autorités renvoyaient l</w:t>
      </w:r>
      <w:r>
        <w:rPr>
          <w:lang w:val="fr-FR"/>
        </w:rPr>
        <w:t>’</w:t>
      </w:r>
      <w:r w:rsidRPr="00B52CB2">
        <w:rPr>
          <w:lang w:val="fr-FR"/>
        </w:rPr>
        <w:t>auteure en Somalie, l</w:t>
      </w:r>
      <w:r>
        <w:rPr>
          <w:lang w:val="fr-FR"/>
        </w:rPr>
        <w:t>’</w:t>
      </w:r>
      <w:r w:rsidRPr="00B52CB2">
        <w:rPr>
          <w:lang w:val="fr-FR"/>
        </w:rPr>
        <w:t>exposant ainsi à des formes graves de violence fondée sur le genre.</w:t>
      </w:r>
    </w:p>
    <w:p w14:paraId="223A2F86" w14:textId="4223069C" w:rsidR="00D45859" w:rsidRPr="004E5047" w:rsidRDefault="00D45859" w:rsidP="000975ED">
      <w:pPr>
        <w:pStyle w:val="SingleTxt"/>
        <w:numPr>
          <w:ilvl w:val="0"/>
          <w:numId w:val="18"/>
        </w:numPr>
        <w:spacing w:line="240" w:lineRule="exact"/>
        <w:rPr>
          <w:lang w:val="fr-FR"/>
        </w:rPr>
      </w:pPr>
      <w:r w:rsidRPr="00C03EAF">
        <w:rPr>
          <w:w w:val="100"/>
          <w:lang w:val="fr-FR"/>
        </w:rPr>
        <w:t>Le Comité prend note de l’assertion de l’auteure selon laquelle, bien que son conseil ait invité la Commission des recours des réfugiés à examiner sa demande d’asile sous l’angle de la Convention, la Commission n’a pas fait référence à la Convention dans sa décision. Le Comité rappelle qu’une grande importance devrait être accordée à l’appréciation faite par les autorités de l’État partie, à moins qu’il ne puisse être établi que cette appréciation relève manifestement de l’arbitraire ou représente un déni de justice</w:t>
      </w:r>
      <w:r w:rsidRPr="00C74BFE">
        <w:rPr>
          <w:rStyle w:val="FootnoteReference"/>
          <w:spacing w:val="4"/>
          <w:w w:val="100"/>
        </w:rPr>
        <w:footnoteReference w:id="10"/>
      </w:r>
      <w:r w:rsidRPr="00C03EAF">
        <w:rPr>
          <w:w w:val="100"/>
          <w:lang w:val="fr-FR"/>
        </w:rPr>
        <w:t>.</w:t>
      </w:r>
      <w:r w:rsidRPr="00B52CB2">
        <w:rPr>
          <w:lang w:val="fr-FR"/>
        </w:rPr>
        <w:t xml:space="preserve"> Il note également que le conseil de l</w:t>
      </w:r>
      <w:r>
        <w:rPr>
          <w:lang w:val="fr-FR"/>
        </w:rPr>
        <w:t>’</w:t>
      </w:r>
      <w:r w:rsidRPr="00B52CB2">
        <w:rPr>
          <w:lang w:val="fr-FR"/>
        </w:rPr>
        <w:t>auteure, s</w:t>
      </w:r>
      <w:r>
        <w:rPr>
          <w:lang w:val="fr-FR"/>
        </w:rPr>
        <w:t>’</w:t>
      </w:r>
      <w:r w:rsidRPr="00B52CB2">
        <w:rPr>
          <w:lang w:val="fr-FR"/>
        </w:rPr>
        <w:t>adressant à la Commission, n</w:t>
      </w:r>
      <w:r>
        <w:rPr>
          <w:lang w:val="fr-FR"/>
        </w:rPr>
        <w:t>’</w:t>
      </w:r>
      <w:r w:rsidRPr="00B52CB2">
        <w:rPr>
          <w:lang w:val="fr-FR"/>
        </w:rPr>
        <w:t>a pas formulé de grief clair en vertu de dispositions spécifiques de la Convention, mais a plutôt invité les autorités à tenir compte de la Convention, d</w:t>
      </w:r>
      <w:r>
        <w:rPr>
          <w:lang w:val="fr-FR"/>
        </w:rPr>
        <w:t>’</w:t>
      </w:r>
      <w:r w:rsidRPr="00B52CB2">
        <w:rPr>
          <w:lang w:val="fr-FR"/>
        </w:rPr>
        <w:t>une manière générale, au moment d</w:t>
      </w:r>
      <w:r>
        <w:rPr>
          <w:lang w:val="fr-FR"/>
        </w:rPr>
        <w:t>’</w:t>
      </w:r>
      <w:r w:rsidRPr="00B52CB2">
        <w:rPr>
          <w:lang w:val="fr-FR"/>
        </w:rPr>
        <w:t>examiner la demande de l</w:t>
      </w:r>
      <w:r>
        <w:rPr>
          <w:lang w:val="fr-FR"/>
        </w:rPr>
        <w:t>’</w:t>
      </w:r>
      <w:r w:rsidRPr="00B52CB2">
        <w:rPr>
          <w:lang w:val="fr-FR"/>
        </w:rPr>
        <w:t>auteure. Il note à cet égard que le fait que la Commission ne se réfère pas à une convention donnée dans sa décision signifie, en soi, qu</w:t>
      </w:r>
      <w:r>
        <w:rPr>
          <w:lang w:val="fr-FR"/>
        </w:rPr>
        <w:t>’</w:t>
      </w:r>
      <w:r w:rsidRPr="00B52CB2">
        <w:rPr>
          <w:lang w:val="fr-FR"/>
        </w:rPr>
        <w:t>il n</w:t>
      </w:r>
      <w:r>
        <w:rPr>
          <w:lang w:val="fr-FR"/>
        </w:rPr>
        <w:t>’</w:t>
      </w:r>
      <w:r w:rsidRPr="00B52CB2">
        <w:rPr>
          <w:lang w:val="fr-FR"/>
        </w:rPr>
        <w:t>a pas évalué un cas d</w:t>
      </w:r>
      <w:r>
        <w:rPr>
          <w:lang w:val="fr-FR"/>
        </w:rPr>
        <w:t>’</w:t>
      </w:r>
      <w:r w:rsidRPr="00B52CB2">
        <w:rPr>
          <w:lang w:val="fr-FR"/>
        </w:rPr>
        <w:t>espèce sans tenir compte de la Convention en question. Par conséquent, et en l</w:t>
      </w:r>
      <w:r>
        <w:rPr>
          <w:lang w:val="fr-FR"/>
        </w:rPr>
        <w:t>’</w:t>
      </w:r>
      <w:r w:rsidRPr="00B52CB2">
        <w:rPr>
          <w:lang w:val="fr-FR"/>
        </w:rPr>
        <w:t xml:space="preserve">absence de tout élément de preuve dans le dossier établissant que la décision de la Commission était manifestement déraisonnable ou </w:t>
      </w:r>
      <w:r w:rsidRPr="004E5047">
        <w:rPr>
          <w:lang w:val="fr-FR"/>
        </w:rPr>
        <w:t>arbitraire en ce qui concerne les allégations de l’auteure, le Comité déclare irrecevable cette partie de la communication au regard du paragraphe</w:t>
      </w:r>
      <w:r w:rsidR="00C03EAF">
        <w:rPr>
          <w:lang w:val="fr-FR"/>
        </w:rPr>
        <w:t xml:space="preserve"> </w:t>
      </w:r>
      <w:r w:rsidRPr="00C74BFE">
        <w:rPr>
          <w:lang w:val="fr-FR"/>
        </w:rPr>
        <w:t>2</w:t>
      </w:r>
      <w:r w:rsidRPr="004E5047">
        <w:rPr>
          <w:lang w:val="fr-FR"/>
        </w:rPr>
        <w:t> c) de l’article</w:t>
      </w:r>
      <w:r w:rsidR="00C03EAF">
        <w:rPr>
          <w:lang w:val="fr-FR"/>
        </w:rPr>
        <w:t xml:space="preserve"> </w:t>
      </w:r>
      <w:r w:rsidRPr="00C74BFE">
        <w:rPr>
          <w:lang w:val="fr-FR"/>
        </w:rPr>
        <w:t>4</w:t>
      </w:r>
      <w:r w:rsidRPr="004E5047">
        <w:rPr>
          <w:lang w:val="fr-FR"/>
        </w:rPr>
        <w:t xml:space="preserve"> du Protocole facultatif, parce qu’elle est manifestement mal fondée.</w:t>
      </w:r>
    </w:p>
    <w:p w14:paraId="2D3DF455" w14:textId="7E22E8B9" w:rsidR="00D45859" w:rsidRPr="00B52CB2" w:rsidRDefault="00D45859" w:rsidP="000975ED">
      <w:pPr>
        <w:pStyle w:val="SingleTxt"/>
        <w:numPr>
          <w:ilvl w:val="0"/>
          <w:numId w:val="18"/>
        </w:numPr>
        <w:spacing w:line="240" w:lineRule="exact"/>
        <w:rPr>
          <w:lang w:val="fr-FR"/>
        </w:rPr>
      </w:pPr>
      <w:r w:rsidRPr="004E5047">
        <w:rPr>
          <w:lang w:val="fr-FR"/>
        </w:rPr>
        <w:t>Le Comité prend également note de l’a</w:t>
      </w:r>
      <w:r w:rsidRPr="009D0201">
        <w:rPr>
          <w:lang w:val="fr-FR"/>
        </w:rPr>
        <w:t xml:space="preserve">rgument </w:t>
      </w:r>
      <w:r w:rsidRPr="004E5047">
        <w:rPr>
          <w:lang w:val="fr-FR"/>
        </w:rPr>
        <w:t>de l’État partie selon l</w:t>
      </w:r>
      <w:r w:rsidRPr="009D0201">
        <w:rPr>
          <w:lang w:val="fr-FR"/>
        </w:rPr>
        <w:t>e</w:t>
      </w:r>
      <w:r w:rsidRPr="004E5047">
        <w:rPr>
          <w:lang w:val="fr-FR"/>
        </w:rPr>
        <w:t>quel toutes les allégations de l’auteure ont fait l’objet d’un examen approfondi de la part du Service danois de l’immigration et de la Commission des recours des réfugiés, qui les ont rejetées dans leur ensemble en raison de l’évaluation défavorable de la crédibilité de l’auteure qui entachait sa demande. Le Comité rappelle</w:t>
      </w:r>
      <w:r w:rsidRPr="00B52CB2">
        <w:rPr>
          <w:lang w:val="fr-FR"/>
        </w:rPr>
        <w:t xml:space="preserve"> qu</w:t>
      </w:r>
      <w:r>
        <w:rPr>
          <w:lang w:val="fr-FR"/>
        </w:rPr>
        <w:t>’</w:t>
      </w:r>
      <w:r w:rsidRPr="00B52CB2">
        <w:rPr>
          <w:lang w:val="fr-FR"/>
        </w:rPr>
        <w:t>il appartient généralement aux autorités de l</w:t>
      </w:r>
      <w:r>
        <w:rPr>
          <w:lang w:val="fr-FR"/>
        </w:rPr>
        <w:t>’</w:t>
      </w:r>
      <w:r w:rsidRPr="00B52CB2">
        <w:rPr>
          <w:lang w:val="fr-FR"/>
        </w:rPr>
        <w:t>État partie à la Convention d</w:t>
      </w:r>
      <w:r>
        <w:rPr>
          <w:lang w:val="fr-FR"/>
        </w:rPr>
        <w:t>’</w:t>
      </w:r>
      <w:r w:rsidRPr="00B52CB2">
        <w:rPr>
          <w:lang w:val="fr-FR"/>
        </w:rPr>
        <w:t xml:space="preserve">apprécier les faits et </w:t>
      </w:r>
      <w:r w:rsidRPr="00B52CB2">
        <w:rPr>
          <w:lang w:val="fr-FR"/>
        </w:rPr>
        <w:lastRenderedPageBreak/>
        <w:t>éléments de preuve ou l</w:t>
      </w:r>
      <w:r>
        <w:rPr>
          <w:lang w:val="fr-FR"/>
        </w:rPr>
        <w:t>’</w:t>
      </w:r>
      <w:r w:rsidRPr="00B52CB2">
        <w:rPr>
          <w:lang w:val="fr-FR"/>
        </w:rPr>
        <w:t>application du droit interne dans un cas d</w:t>
      </w:r>
      <w:r>
        <w:rPr>
          <w:lang w:val="fr-FR"/>
        </w:rPr>
        <w:t>’</w:t>
      </w:r>
      <w:r w:rsidRPr="00B52CB2">
        <w:rPr>
          <w:lang w:val="fr-FR"/>
        </w:rPr>
        <w:t>espèce</w:t>
      </w:r>
      <w:r w:rsidRPr="00C74BFE">
        <w:rPr>
          <w:rStyle w:val="FootnoteReference"/>
        </w:rPr>
        <w:footnoteReference w:id="11"/>
      </w:r>
      <w:r w:rsidRPr="00B52CB2">
        <w:rPr>
          <w:lang w:val="fr-FR"/>
        </w:rPr>
        <w:t>, sauf s</w:t>
      </w:r>
      <w:r>
        <w:rPr>
          <w:lang w:val="fr-FR"/>
        </w:rPr>
        <w:t>’</w:t>
      </w:r>
      <w:r w:rsidRPr="00B52CB2">
        <w:rPr>
          <w:lang w:val="fr-FR"/>
        </w:rPr>
        <w:t>il peut être établi que cette appréciation a été partiale ou fondée sur des stéréotypes sexistes constitutifs de discrimination à l</w:t>
      </w:r>
      <w:r>
        <w:rPr>
          <w:lang w:val="fr-FR"/>
        </w:rPr>
        <w:t>’</w:t>
      </w:r>
      <w:r w:rsidRPr="00B52CB2">
        <w:rPr>
          <w:lang w:val="fr-FR"/>
        </w:rPr>
        <w:t>égard des femmes, ou manifestement arbitraire, ou a constitué un déni de justice</w:t>
      </w:r>
      <w:r w:rsidRPr="00C74BFE">
        <w:rPr>
          <w:rStyle w:val="FootnoteReference"/>
        </w:rPr>
        <w:footnoteReference w:id="12"/>
      </w:r>
      <w:r w:rsidRPr="00B52CB2">
        <w:rPr>
          <w:lang w:val="fr-FR"/>
        </w:rPr>
        <w:t>. À cet égard, il relève que l</w:t>
      </w:r>
      <w:r>
        <w:rPr>
          <w:lang w:val="fr-FR"/>
        </w:rPr>
        <w:t>’</w:t>
      </w:r>
      <w:r w:rsidRPr="00B52CB2">
        <w:rPr>
          <w:lang w:val="fr-FR"/>
        </w:rPr>
        <w:t>auteure conteste en substance la manière dont les autorités de l</w:t>
      </w:r>
      <w:r>
        <w:rPr>
          <w:lang w:val="fr-FR"/>
        </w:rPr>
        <w:t>’</w:t>
      </w:r>
      <w:r w:rsidRPr="00B52CB2">
        <w:rPr>
          <w:lang w:val="fr-FR"/>
        </w:rPr>
        <w:t>État partie chargées des question</w:t>
      </w:r>
      <w:r>
        <w:rPr>
          <w:lang w:val="fr-FR"/>
        </w:rPr>
        <w:t>s</w:t>
      </w:r>
      <w:r w:rsidRPr="00B52CB2">
        <w:rPr>
          <w:lang w:val="fr-FR"/>
        </w:rPr>
        <w:t xml:space="preserve"> de l</w:t>
      </w:r>
      <w:r>
        <w:rPr>
          <w:lang w:val="fr-FR"/>
        </w:rPr>
        <w:t>’</w:t>
      </w:r>
      <w:r w:rsidRPr="00B52CB2">
        <w:rPr>
          <w:lang w:val="fr-FR"/>
        </w:rPr>
        <w:t>asile ont apprécié les éléments factuels de sa demande, appliqué les dispositions de la législation et tiré leurs conclusions selon lesquelles elle ne pouvait pas obtenir l</w:t>
      </w:r>
      <w:r>
        <w:rPr>
          <w:lang w:val="fr-FR"/>
        </w:rPr>
        <w:t>’</w:t>
      </w:r>
      <w:r w:rsidRPr="00B52CB2">
        <w:rPr>
          <w:lang w:val="fr-FR"/>
        </w:rPr>
        <w:t>asile au Danemark. La question dont est saisi le Comité est donc de savoir si la décision concernant la demande d</w:t>
      </w:r>
      <w:r>
        <w:rPr>
          <w:lang w:val="fr-FR"/>
        </w:rPr>
        <w:t>’</w:t>
      </w:r>
      <w:r w:rsidRPr="00B52CB2">
        <w:rPr>
          <w:lang w:val="fr-FR"/>
        </w:rPr>
        <w:t>asile de l</w:t>
      </w:r>
      <w:r>
        <w:rPr>
          <w:lang w:val="fr-FR"/>
        </w:rPr>
        <w:t>’</w:t>
      </w:r>
      <w:r w:rsidRPr="00B52CB2">
        <w:rPr>
          <w:lang w:val="fr-FR"/>
        </w:rPr>
        <w:t>auteure a été entachée d</w:t>
      </w:r>
      <w:r>
        <w:rPr>
          <w:lang w:val="fr-FR"/>
        </w:rPr>
        <w:t>’</w:t>
      </w:r>
      <w:r w:rsidRPr="00B52CB2">
        <w:rPr>
          <w:lang w:val="fr-FR"/>
        </w:rPr>
        <w:t>une irrégularité, en ce que les autorités de l</w:t>
      </w:r>
      <w:r>
        <w:rPr>
          <w:lang w:val="fr-FR"/>
        </w:rPr>
        <w:t>’</w:t>
      </w:r>
      <w:r w:rsidRPr="00B52CB2">
        <w:rPr>
          <w:lang w:val="fr-FR"/>
        </w:rPr>
        <w:t>État partie n</w:t>
      </w:r>
      <w:r>
        <w:rPr>
          <w:lang w:val="fr-FR"/>
        </w:rPr>
        <w:t>’</w:t>
      </w:r>
      <w:r w:rsidRPr="00B52CB2">
        <w:rPr>
          <w:lang w:val="fr-FR"/>
        </w:rPr>
        <w:t>auraient pas apprécié correctement le risque de violence grave fondée sur le genre auquel elle serait exposée en cas de renvoi en Somalie.</w:t>
      </w:r>
    </w:p>
    <w:p w14:paraId="3CD333C0" w14:textId="1C46F7BF" w:rsidR="00D45859" w:rsidRPr="00B52CB2" w:rsidRDefault="00D45859" w:rsidP="000975ED">
      <w:pPr>
        <w:pStyle w:val="SingleTxt"/>
        <w:numPr>
          <w:ilvl w:val="0"/>
          <w:numId w:val="18"/>
        </w:numPr>
        <w:spacing w:line="240" w:lineRule="exact"/>
        <w:rPr>
          <w:lang w:val="fr-FR"/>
        </w:rPr>
      </w:pPr>
      <w:r w:rsidRPr="00B52CB2">
        <w:rPr>
          <w:lang w:val="fr-FR"/>
        </w:rPr>
        <w:t>Le Comité note que les autorités de l</w:t>
      </w:r>
      <w:r>
        <w:rPr>
          <w:lang w:val="fr-FR"/>
        </w:rPr>
        <w:t>’</w:t>
      </w:r>
      <w:r w:rsidRPr="00B52CB2">
        <w:rPr>
          <w:lang w:val="fr-FR"/>
        </w:rPr>
        <w:t>État partie ont estimé que la relation des faits par l</w:t>
      </w:r>
      <w:r>
        <w:rPr>
          <w:lang w:val="fr-FR"/>
        </w:rPr>
        <w:t>’</w:t>
      </w:r>
      <w:r w:rsidRPr="00B52CB2">
        <w:rPr>
          <w:lang w:val="fr-FR"/>
        </w:rPr>
        <w:t>auteure manquait de crédibilité parce qu</w:t>
      </w:r>
      <w:r>
        <w:rPr>
          <w:lang w:val="fr-FR"/>
        </w:rPr>
        <w:t>’</w:t>
      </w:r>
      <w:r w:rsidRPr="00B52CB2">
        <w:rPr>
          <w:lang w:val="fr-FR"/>
        </w:rPr>
        <w:t>elle présentait des incohérences factuelles et n</w:t>
      </w:r>
      <w:r>
        <w:rPr>
          <w:lang w:val="fr-FR"/>
        </w:rPr>
        <w:t>’</w:t>
      </w:r>
      <w:r w:rsidRPr="00B52CB2">
        <w:rPr>
          <w:lang w:val="fr-FR"/>
        </w:rPr>
        <w:t>était pas suffisamment étayée, notamment pour ce qui est de l</w:t>
      </w:r>
      <w:r>
        <w:rPr>
          <w:lang w:val="fr-FR"/>
        </w:rPr>
        <w:t>’</w:t>
      </w:r>
      <w:r w:rsidRPr="00B52CB2">
        <w:rPr>
          <w:lang w:val="fr-FR"/>
        </w:rPr>
        <w:t>affirmation selon laquelle la famille de son oncle l</w:t>
      </w:r>
      <w:r>
        <w:rPr>
          <w:lang w:val="fr-FR"/>
        </w:rPr>
        <w:t>’</w:t>
      </w:r>
      <w:r w:rsidRPr="00B52CB2">
        <w:rPr>
          <w:lang w:val="fr-FR"/>
        </w:rPr>
        <w:t>avait forcée à se marier et persécutée. Il note en outre que, nonobstant la conclusion susmentionnée concernant la crédibilité de l</w:t>
      </w:r>
      <w:r>
        <w:rPr>
          <w:lang w:val="fr-FR"/>
        </w:rPr>
        <w:t>’</w:t>
      </w:r>
      <w:r w:rsidRPr="00B52CB2">
        <w:rPr>
          <w:lang w:val="fr-FR"/>
        </w:rPr>
        <w:t>auteure, l</w:t>
      </w:r>
      <w:r>
        <w:rPr>
          <w:lang w:val="fr-FR"/>
        </w:rPr>
        <w:t>’</w:t>
      </w:r>
      <w:r w:rsidRPr="00B52CB2">
        <w:rPr>
          <w:lang w:val="fr-FR"/>
        </w:rPr>
        <w:t>État partie a aussi examiné la situation générale des droits de l</w:t>
      </w:r>
      <w:r>
        <w:rPr>
          <w:lang w:val="fr-FR"/>
        </w:rPr>
        <w:t>’</w:t>
      </w:r>
      <w:r w:rsidRPr="00B52CB2">
        <w:rPr>
          <w:lang w:val="fr-FR"/>
        </w:rPr>
        <w:t>homme en Somalie.</w:t>
      </w:r>
    </w:p>
    <w:p w14:paraId="0D75228C" w14:textId="699B1BA6" w:rsidR="00D45859" w:rsidRPr="00B52CB2" w:rsidRDefault="00D45859" w:rsidP="000975ED">
      <w:pPr>
        <w:pStyle w:val="SingleTxt"/>
        <w:numPr>
          <w:ilvl w:val="0"/>
          <w:numId w:val="18"/>
        </w:numPr>
        <w:spacing w:line="240" w:lineRule="exact"/>
        <w:rPr>
          <w:lang w:val="fr-FR"/>
        </w:rPr>
      </w:pPr>
      <w:r w:rsidRPr="00B52CB2">
        <w:rPr>
          <w:lang w:val="fr-FR"/>
        </w:rPr>
        <w:t>Compte tenu de ce qui précède, et sans sous-estimer les préoccupations pouvant légitimement être exprimées sur la discrimination fondée sur le genre en Somalie et la situation générale des droits de l</w:t>
      </w:r>
      <w:r>
        <w:rPr>
          <w:lang w:val="fr-FR"/>
        </w:rPr>
        <w:t>’</w:t>
      </w:r>
      <w:r w:rsidRPr="00B52CB2">
        <w:rPr>
          <w:lang w:val="fr-FR"/>
        </w:rPr>
        <w:t>homme dans ce pays, le Comité considère que l</w:t>
      </w:r>
      <w:r>
        <w:rPr>
          <w:lang w:val="fr-FR"/>
        </w:rPr>
        <w:t>’</w:t>
      </w:r>
      <w:r w:rsidRPr="00B52CB2">
        <w:rPr>
          <w:lang w:val="fr-FR"/>
        </w:rPr>
        <w:t>auteure n</w:t>
      </w:r>
      <w:r>
        <w:rPr>
          <w:lang w:val="fr-FR"/>
        </w:rPr>
        <w:t>’</w:t>
      </w:r>
      <w:r w:rsidRPr="00B52CB2">
        <w:rPr>
          <w:lang w:val="fr-FR"/>
        </w:rPr>
        <w:t>a pas démontré, aux fins de la recevabilité, que l</w:t>
      </w:r>
      <w:r>
        <w:rPr>
          <w:lang w:val="fr-FR"/>
        </w:rPr>
        <w:t>’</w:t>
      </w:r>
      <w:r w:rsidRPr="00B52CB2">
        <w:rPr>
          <w:lang w:val="fr-FR"/>
        </w:rPr>
        <w:t>évaluation de sa demande d</w:t>
      </w:r>
      <w:r>
        <w:rPr>
          <w:lang w:val="fr-FR"/>
        </w:rPr>
        <w:t>’</w:t>
      </w:r>
      <w:r w:rsidRPr="00B52CB2">
        <w:rPr>
          <w:lang w:val="fr-FR"/>
        </w:rPr>
        <w:t xml:space="preserve">asile par les autorités danoises compétentes, </w:t>
      </w:r>
      <w:r>
        <w:rPr>
          <w:lang w:val="fr-FR"/>
        </w:rPr>
        <w:t>y compris</w:t>
      </w:r>
      <w:r w:rsidRPr="00B52CB2">
        <w:rPr>
          <w:lang w:val="fr-FR"/>
        </w:rPr>
        <w:t xml:space="preserve"> par la Commission des recours des réfugiés, et le fait qu</w:t>
      </w:r>
      <w:r>
        <w:rPr>
          <w:lang w:val="fr-FR"/>
        </w:rPr>
        <w:t>’</w:t>
      </w:r>
      <w:r w:rsidRPr="00B52CB2">
        <w:rPr>
          <w:lang w:val="fr-FR"/>
        </w:rPr>
        <w:t>il n</w:t>
      </w:r>
      <w:r>
        <w:rPr>
          <w:lang w:val="fr-FR"/>
        </w:rPr>
        <w:t>’</w:t>
      </w:r>
      <w:r w:rsidRPr="00B52CB2">
        <w:rPr>
          <w:lang w:val="fr-FR"/>
        </w:rPr>
        <w:t>ait pas été fait référence à la Convention dans la décision relative à sa demande, avaient entraîné une telle discrimination sexiste en l</w:t>
      </w:r>
      <w:r>
        <w:rPr>
          <w:lang w:val="fr-FR"/>
        </w:rPr>
        <w:t>’</w:t>
      </w:r>
      <w:r w:rsidRPr="00B52CB2">
        <w:rPr>
          <w:lang w:val="fr-FR"/>
        </w:rPr>
        <w:t>espèce et qu</w:t>
      </w:r>
      <w:r>
        <w:rPr>
          <w:lang w:val="fr-FR"/>
        </w:rPr>
        <w:t>’</w:t>
      </w:r>
      <w:r w:rsidRPr="00B52CB2">
        <w:rPr>
          <w:lang w:val="fr-FR"/>
        </w:rPr>
        <w:t>elle serait victime de persécutions en cas de retour forcé en Somalie. En outre, aucun élément du dossier ne permet au Comité de conclure que les autorités de l</w:t>
      </w:r>
      <w:r>
        <w:rPr>
          <w:lang w:val="fr-FR"/>
        </w:rPr>
        <w:t>’</w:t>
      </w:r>
      <w:r w:rsidRPr="00B52CB2">
        <w:rPr>
          <w:lang w:val="fr-FR"/>
        </w:rPr>
        <w:t>État partie n</w:t>
      </w:r>
      <w:r>
        <w:rPr>
          <w:lang w:val="fr-FR"/>
        </w:rPr>
        <w:t>’</w:t>
      </w:r>
      <w:r w:rsidRPr="00B52CB2">
        <w:rPr>
          <w:lang w:val="fr-FR"/>
        </w:rPr>
        <w:t>ont pas procédé à un examen suffisamment approfondi de la demande d</w:t>
      </w:r>
      <w:r>
        <w:rPr>
          <w:lang w:val="fr-FR"/>
        </w:rPr>
        <w:t>’</w:t>
      </w:r>
      <w:r w:rsidRPr="00B52CB2">
        <w:rPr>
          <w:lang w:val="fr-FR"/>
        </w:rPr>
        <w:t>asile de l</w:t>
      </w:r>
      <w:r>
        <w:rPr>
          <w:lang w:val="fr-FR"/>
        </w:rPr>
        <w:t>’</w:t>
      </w:r>
      <w:r w:rsidRPr="00B52CB2">
        <w:rPr>
          <w:lang w:val="fr-FR"/>
        </w:rPr>
        <w:t>auteure, ou que l</w:t>
      </w:r>
      <w:r>
        <w:rPr>
          <w:lang w:val="fr-FR"/>
        </w:rPr>
        <w:t>’</w:t>
      </w:r>
      <w:r w:rsidRPr="00B52CB2">
        <w:rPr>
          <w:lang w:val="fr-FR"/>
        </w:rPr>
        <w:t>examen de sa demande, en tant que femme demandant l</w:t>
      </w:r>
      <w:r>
        <w:rPr>
          <w:lang w:val="fr-FR"/>
        </w:rPr>
        <w:t>’</w:t>
      </w:r>
      <w:r w:rsidRPr="00B52CB2">
        <w:rPr>
          <w:lang w:val="fr-FR"/>
        </w:rPr>
        <w:t>asile, pourrait être entaché de vices de procédure ou d</w:t>
      </w:r>
      <w:r>
        <w:rPr>
          <w:lang w:val="fr-FR"/>
        </w:rPr>
        <w:t>’arbitraire.</w:t>
      </w:r>
    </w:p>
    <w:p w14:paraId="61BB0782" w14:textId="15F0B27E" w:rsidR="00D45859" w:rsidRPr="00B52CB2" w:rsidRDefault="00D45859" w:rsidP="000975ED">
      <w:pPr>
        <w:pStyle w:val="SingleTxt"/>
        <w:numPr>
          <w:ilvl w:val="0"/>
          <w:numId w:val="19"/>
        </w:numPr>
        <w:spacing w:line="240" w:lineRule="exact"/>
        <w:rPr>
          <w:lang w:val="fr-FR"/>
        </w:rPr>
      </w:pPr>
      <w:r w:rsidRPr="00B52CB2">
        <w:rPr>
          <w:lang w:val="fr-FR"/>
        </w:rPr>
        <w:t>En conséquence, le Comité décide que :</w:t>
      </w:r>
    </w:p>
    <w:p w14:paraId="5F1BFE56" w14:textId="2F5B5AEF" w:rsidR="00D45859" w:rsidRPr="00B52CB2" w:rsidRDefault="00D45859" w:rsidP="00D45859">
      <w:pPr>
        <w:pStyle w:val="SingleTxt"/>
        <w:rPr>
          <w:lang w:val="fr-FR"/>
        </w:rPr>
      </w:pPr>
      <w:r>
        <w:rPr>
          <w:lang w:val="fr-FR"/>
        </w:rPr>
        <w:tab/>
      </w:r>
      <w:r w:rsidRPr="00B52CB2">
        <w:rPr>
          <w:lang w:val="fr-FR"/>
        </w:rPr>
        <w:t>a)</w:t>
      </w:r>
      <w:r w:rsidRPr="00B52CB2">
        <w:rPr>
          <w:lang w:val="fr-FR"/>
        </w:rPr>
        <w:tab/>
      </w:r>
      <w:r w:rsidRPr="00C03EAF">
        <w:rPr>
          <w:spacing w:val="2"/>
          <w:w w:val="100"/>
          <w:lang w:val="fr-FR"/>
        </w:rPr>
        <w:t>La communication est irrecevable au regard du paragraphe</w:t>
      </w:r>
      <w:r w:rsidR="00C03EAF">
        <w:rPr>
          <w:spacing w:val="2"/>
          <w:w w:val="100"/>
          <w:lang w:val="fr-FR"/>
        </w:rPr>
        <w:t xml:space="preserve"> </w:t>
      </w:r>
      <w:r w:rsidRPr="00C74BFE">
        <w:rPr>
          <w:spacing w:val="2"/>
          <w:w w:val="100"/>
          <w:lang w:val="fr-FR"/>
        </w:rPr>
        <w:t>2</w:t>
      </w:r>
      <w:r w:rsidRPr="00C03EAF">
        <w:rPr>
          <w:spacing w:val="2"/>
          <w:w w:val="100"/>
          <w:lang w:val="fr-FR"/>
        </w:rPr>
        <w:t> c) de l’article</w:t>
      </w:r>
      <w:r w:rsidR="00C03EAF" w:rsidRPr="00C03EAF">
        <w:rPr>
          <w:spacing w:val="2"/>
          <w:w w:val="100"/>
          <w:lang w:val="fr-FR"/>
        </w:rPr>
        <w:t xml:space="preserve"> </w:t>
      </w:r>
      <w:r w:rsidRPr="00C74BFE">
        <w:rPr>
          <w:spacing w:val="2"/>
          <w:w w:val="100"/>
          <w:lang w:val="fr-FR"/>
        </w:rPr>
        <w:t>4</w:t>
      </w:r>
      <w:r w:rsidRPr="00C03EAF">
        <w:rPr>
          <w:spacing w:val="2"/>
          <w:w w:val="100"/>
          <w:lang w:val="fr-FR"/>
        </w:rPr>
        <w:t xml:space="preserve"> </w:t>
      </w:r>
      <w:r w:rsidRPr="00B52CB2">
        <w:rPr>
          <w:lang w:val="fr-FR"/>
        </w:rPr>
        <w:t>du Protocole facultatif ;</w:t>
      </w:r>
    </w:p>
    <w:p w14:paraId="637503DA" w14:textId="3033E735" w:rsidR="00D45859" w:rsidRDefault="00D45859" w:rsidP="00D45859">
      <w:pPr>
        <w:pStyle w:val="SingleTxt"/>
        <w:rPr>
          <w:lang w:val="fr-FR"/>
        </w:rPr>
      </w:pPr>
      <w:r>
        <w:rPr>
          <w:lang w:val="fr-FR"/>
        </w:rPr>
        <w:tab/>
      </w:r>
      <w:r w:rsidRPr="00B52CB2">
        <w:rPr>
          <w:lang w:val="fr-FR"/>
        </w:rPr>
        <w:t>b)</w:t>
      </w:r>
      <w:r w:rsidRPr="00B52CB2">
        <w:rPr>
          <w:lang w:val="fr-FR"/>
        </w:rPr>
        <w:tab/>
        <w:t>La présente décision sera communiquée à l</w:t>
      </w:r>
      <w:r>
        <w:rPr>
          <w:lang w:val="fr-FR"/>
        </w:rPr>
        <w:t>’</w:t>
      </w:r>
      <w:r w:rsidRPr="00B52CB2">
        <w:rPr>
          <w:lang w:val="fr-FR"/>
        </w:rPr>
        <w:t>État partie et à l</w:t>
      </w:r>
      <w:r>
        <w:rPr>
          <w:lang w:val="fr-FR"/>
        </w:rPr>
        <w:t>’</w:t>
      </w:r>
      <w:r w:rsidRPr="00B52CB2">
        <w:rPr>
          <w:lang w:val="fr-FR"/>
        </w:rPr>
        <w:t>auteure.</w:t>
      </w:r>
    </w:p>
    <w:bookmarkStart w:id="2" w:name="_GoBack"/>
    <w:bookmarkEnd w:id="2"/>
    <w:p w14:paraId="5239B950" w14:textId="5A500704" w:rsidR="00D45859" w:rsidRPr="00D45859" w:rsidRDefault="00D45859" w:rsidP="00D45859">
      <w:pPr>
        <w:pStyle w:val="SingleTxt"/>
        <w:spacing w:after="0" w:line="240" w:lineRule="auto"/>
      </w:pPr>
      <w:r>
        <w:rPr>
          <w:noProof/>
          <w:w w:val="100"/>
        </w:rPr>
        <mc:AlternateContent>
          <mc:Choice Requires="wps">
            <w:drawing>
              <wp:anchor distT="0" distB="0" distL="114300" distR="114300" simplePos="0" relativeHeight="251660288" behindDoc="0" locked="0" layoutInCell="1" allowOverlap="1" wp14:anchorId="4B2A02CA" wp14:editId="582825AA">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6021A"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D45859" w:rsidRPr="00D45859" w:rsidSect="001E7B1C">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31T14:21:00Z" w:initials="Start">
    <w:p w14:paraId="0196E214" w14:textId="77777777" w:rsidR="00197BEE" w:rsidRPr="00D45859" w:rsidRDefault="00197BEE">
      <w:pPr>
        <w:pStyle w:val="CommentText"/>
        <w:rPr>
          <w:lang w:val="en-US"/>
        </w:rPr>
      </w:pPr>
      <w:r>
        <w:fldChar w:fldCharType="begin"/>
      </w:r>
      <w:r w:rsidRPr="00D45859">
        <w:rPr>
          <w:rStyle w:val="CommentReference"/>
          <w:lang w:val="en-US"/>
        </w:rPr>
        <w:instrText xml:space="preserve"> </w:instrText>
      </w:r>
      <w:r w:rsidRPr="00D45859">
        <w:rPr>
          <w:lang w:val="en-US"/>
        </w:rPr>
        <w:instrText>PAGE \# "'Page: '#'</w:instrText>
      </w:r>
      <w:r w:rsidRPr="00D45859">
        <w:rPr>
          <w:lang w:val="en-US"/>
        </w:rPr>
        <w:br/>
        <w:instrText>'"</w:instrText>
      </w:r>
      <w:r w:rsidRPr="00D45859">
        <w:rPr>
          <w:rStyle w:val="CommentReference"/>
          <w:lang w:val="en-US"/>
        </w:rPr>
        <w:instrText xml:space="preserve"> </w:instrText>
      </w:r>
      <w:r>
        <w:fldChar w:fldCharType="end"/>
      </w:r>
      <w:r>
        <w:rPr>
          <w:rStyle w:val="CommentReference"/>
        </w:rPr>
        <w:annotationRef/>
      </w:r>
      <w:r w:rsidRPr="00D45859">
        <w:rPr>
          <w:lang w:val="en-US"/>
        </w:rPr>
        <w:t>&lt;&lt;ODS JOB NO&gt;&gt;N1840089F&lt;&lt;ODS JOB NO&gt;&gt;</w:t>
      </w:r>
    </w:p>
    <w:p w14:paraId="146BBBBC" w14:textId="77777777" w:rsidR="00197BEE" w:rsidRDefault="00197BEE">
      <w:pPr>
        <w:pStyle w:val="CommentText"/>
      </w:pPr>
      <w:r>
        <w:t>&lt;&lt;ODS DOC SYMBOL1&gt;&gt;CEDAW/C/71/D/101/2016&lt;&lt;ODS DOC SYMBOL1&gt;&gt;</w:t>
      </w:r>
    </w:p>
    <w:p w14:paraId="040DE40F" w14:textId="77777777" w:rsidR="00197BEE" w:rsidRDefault="00197BE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0DE40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1638C" w14:textId="77777777" w:rsidR="00197BEE" w:rsidRDefault="00197BEE" w:rsidP="00101B18">
      <w:pPr>
        <w:spacing w:line="240" w:lineRule="auto"/>
      </w:pPr>
      <w:r>
        <w:separator/>
      </w:r>
    </w:p>
  </w:endnote>
  <w:endnote w:type="continuationSeparator" w:id="0">
    <w:p w14:paraId="0FD8C85C" w14:textId="77777777" w:rsidR="00197BEE" w:rsidRDefault="00197BE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97BEE" w14:paraId="3A3F5FDB" w14:textId="77777777" w:rsidTr="002126E2">
      <w:tc>
        <w:tcPr>
          <w:tcW w:w="4920" w:type="dxa"/>
          <w:shd w:val="clear" w:color="auto" w:fill="auto"/>
        </w:tcPr>
        <w:p w14:paraId="7333C9A6" w14:textId="0F122FA6" w:rsidR="00197BEE" w:rsidRPr="002126E2" w:rsidRDefault="00197BEE" w:rsidP="002126E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7505E">
            <w:rPr>
              <w:b w:val="0"/>
              <w:w w:val="103"/>
              <w:sz w:val="14"/>
            </w:rPr>
            <w:t>18-20335</w:t>
          </w:r>
          <w:r>
            <w:rPr>
              <w:b w:val="0"/>
              <w:w w:val="103"/>
              <w:sz w:val="14"/>
            </w:rPr>
            <w:fldChar w:fldCharType="end"/>
          </w:r>
        </w:p>
      </w:tc>
      <w:tc>
        <w:tcPr>
          <w:tcW w:w="4920" w:type="dxa"/>
          <w:shd w:val="clear" w:color="auto" w:fill="auto"/>
        </w:tcPr>
        <w:p w14:paraId="24CBD1E1" w14:textId="77777777" w:rsidR="00197BEE" w:rsidRPr="002126E2" w:rsidRDefault="00197BEE" w:rsidP="002126E2">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C4D3A76" w14:textId="77777777" w:rsidR="00197BEE" w:rsidRPr="002126E2" w:rsidRDefault="00197BEE" w:rsidP="00212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97BEE" w14:paraId="13E9AC62" w14:textId="77777777" w:rsidTr="002126E2">
      <w:tc>
        <w:tcPr>
          <w:tcW w:w="4920" w:type="dxa"/>
          <w:shd w:val="clear" w:color="auto" w:fill="auto"/>
        </w:tcPr>
        <w:p w14:paraId="1011E15C" w14:textId="77777777" w:rsidR="00197BEE" w:rsidRPr="002126E2" w:rsidRDefault="00197BEE" w:rsidP="002126E2">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18FF443E" w14:textId="5D6C6609" w:rsidR="00197BEE" w:rsidRPr="002126E2" w:rsidRDefault="00197BEE" w:rsidP="002126E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7505E">
            <w:rPr>
              <w:b w:val="0"/>
              <w:w w:val="103"/>
              <w:sz w:val="14"/>
            </w:rPr>
            <w:t>18-20335</w:t>
          </w:r>
          <w:r>
            <w:rPr>
              <w:b w:val="0"/>
              <w:w w:val="103"/>
              <w:sz w:val="14"/>
            </w:rPr>
            <w:fldChar w:fldCharType="end"/>
          </w:r>
        </w:p>
      </w:tc>
    </w:tr>
  </w:tbl>
  <w:p w14:paraId="0686E560" w14:textId="77777777" w:rsidR="00197BEE" w:rsidRPr="002126E2" w:rsidRDefault="00197BEE" w:rsidP="002126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478DA" w14:textId="77777777" w:rsidR="00197BEE" w:rsidRDefault="00197BEE">
    <w:pPr>
      <w:pStyle w:val="Footer"/>
    </w:pPr>
    <w:r>
      <w:rPr>
        <w:noProof/>
      </w:rPr>
      <w:drawing>
        <wp:anchor distT="0" distB="0" distL="114300" distR="114300" simplePos="0" relativeHeight="251658240" behindDoc="0" locked="0" layoutInCell="1" allowOverlap="1" wp14:anchorId="623A4C81" wp14:editId="7195E9CB">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71/D/101/201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1/D/101/201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197BEE" w14:paraId="33708DA0" w14:textId="77777777" w:rsidTr="002126E2">
      <w:tc>
        <w:tcPr>
          <w:tcW w:w="3758" w:type="dxa"/>
        </w:tcPr>
        <w:p w14:paraId="21BD3204" w14:textId="085D8804" w:rsidR="00197BEE" w:rsidRDefault="00197BEE" w:rsidP="002126E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7505E">
            <w:rPr>
              <w:b w:val="0"/>
              <w:sz w:val="20"/>
            </w:rPr>
            <w:t>18-20335 (F)</w:t>
          </w:r>
          <w:r>
            <w:rPr>
              <w:b w:val="0"/>
              <w:sz w:val="20"/>
            </w:rPr>
            <w:fldChar w:fldCharType="end"/>
          </w:r>
          <w:r>
            <w:rPr>
              <w:b w:val="0"/>
              <w:sz w:val="20"/>
            </w:rPr>
            <w:t xml:space="preserve">    </w:t>
          </w:r>
          <w:r w:rsidR="00C74BFE">
            <w:rPr>
              <w:b w:val="0"/>
              <w:sz w:val="20"/>
            </w:rPr>
            <w:t>12</w:t>
          </w:r>
          <w:r>
            <w:rPr>
              <w:b w:val="0"/>
              <w:sz w:val="20"/>
            </w:rPr>
            <w:t>1218    311218</w:t>
          </w:r>
        </w:p>
        <w:p w14:paraId="72348FBA" w14:textId="013B8815" w:rsidR="00197BEE" w:rsidRPr="002126E2" w:rsidRDefault="00197BEE" w:rsidP="002126E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97505E">
            <w:rPr>
              <w:rFonts w:ascii="Barcode 3 of 9 by request" w:hAnsi="Barcode 3 of 9 by request"/>
              <w:spacing w:val="0"/>
              <w:w w:val="100"/>
              <w:sz w:val="24"/>
            </w:rPr>
            <w:t>*1820335*</w:t>
          </w:r>
          <w:r>
            <w:rPr>
              <w:rFonts w:ascii="Barcode 3 of 9 by request" w:hAnsi="Barcode 3 of 9 by request"/>
              <w:spacing w:val="0"/>
              <w:w w:val="100"/>
              <w:sz w:val="24"/>
            </w:rPr>
            <w:fldChar w:fldCharType="end"/>
          </w:r>
        </w:p>
      </w:tc>
      <w:tc>
        <w:tcPr>
          <w:tcW w:w="4920" w:type="dxa"/>
        </w:tcPr>
        <w:p w14:paraId="657ACF53" w14:textId="77777777" w:rsidR="00197BEE" w:rsidRDefault="00197BEE" w:rsidP="002126E2">
          <w:pPr>
            <w:pStyle w:val="Footer"/>
            <w:spacing w:line="240" w:lineRule="atLeast"/>
            <w:jc w:val="right"/>
            <w:rPr>
              <w:b w:val="0"/>
              <w:sz w:val="20"/>
            </w:rPr>
          </w:pPr>
          <w:r>
            <w:rPr>
              <w:b w:val="0"/>
              <w:noProof/>
              <w:sz w:val="20"/>
            </w:rPr>
            <w:drawing>
              <wp:inline distT="0" distB="0" distL="0" distR="0" wp14:anchorId="1F371765" wp14:editId="1F8940E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7FF6113B" w14:textId="77777777" w:rsidR="00197BEE" w:rsidRPr="002126E2" w:rsidRDefault="00197BEE" w:rsidP="002126E2">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4C96F" w14:textId="59E82D9B" w:rsidR="00197BEE" w:rsidRPr="00D45859" w:rsidRDefault="00197BEE" w:rsidP="00D45859">
      <w:pPr>
        <w:pStyle w:val="Footer"/>
        <w:spacing w:after="80"/>
        <w:ind w:left="792"/>
        <w:rPr>
          <w:sz w:val="16"/>
        </w:rPr>
      </w:pPr>
      <w:r w:rsidRPr="00D45859">
        <w:rPr>
          <w:sz w:val="16"/>
        </w:rPr>
        <w:t>__________________</w:t>
      </w:r>
    </w:p>
  </w:footnote>
  <w:footnote w:type="continuationSeparator" w:id="0">
    <w:p w14:paraId="5E3CCC44" w14:textId="6A2DA87C" w:rsidR="00197BEE" w:rsidRPr="00D45859" w:rsidRDefault="00197BEE" w:rsidP="00D45859">
      <w:pPr>
        <w:pStyle w:val="Footer"/>
        <w:spacing w:after="80"/>
        <w:ind w:left="792"/>
        <w:rPr>
          <w:sz w:val="16"/>
        </w:rPr>
      </w:pPr>
      <w:r w:rsidRPr="00D45859">
        <w:rPr>
          <w:sz w:val="16"/>
        </w:rPr>
        <w:t>__________________</w:t>
      </w:r>
    </w:p>
  </w:footnote>
  <w:footnote w:id="1">
    <w:p w14:paraId="1FF2230D" w14:textId="77777777" w:rsidR="00197BEE" w:rsidRPr="00C74BFE" w:rsidRDefault="00197BEE" w:rsidP="00D45859">
      <w:pPr>
        <w:pStyle w:val="FootnoteText"/>
        <w:tabs>
          <w:tab w:val="right" w:pos="1195"/>
          <w:tab w:val="left" w:pos="1267"/>
          <w:tab w:val="left" w:pos="1742"/>
          <w:tab w:val="left" w:pos="2218"/>
          <w:tab w:val="left" w:pos="2693"/>
        </w:tabs>
        <w:ind w:left="1267" w:right="1260" w:hanging="432"/>
        <w:rPr>
          <w:lang w:val="fr-FR"/>
        </w:rPr>
      </w:pPr>
      <w:r w:rsidRPr="00C74BFE">
        <w:rPr>
          <w:lang w:val="fr-FR"/>
        </w:rPr>
        <w:tab/>
      </w:r>
      <w:r w:rsidRPr="00C74BFE">
        <w:rPr>
          <w:rStyle w:val="FootnoteReference"/>
          <w:spacing w:val="4"/>
        </w:rPr>
        <w:footnoteRef/>
      </w:r>
      <w:r w:rsidRPr="00C74BFE">
        <w:rPr>
          <w:lang w:val="fr-FR"/>
        </w:rPr>
        <w:t xml:space="preserve"> </w:t>
      </w:r>
      <w:r w:rsidRPr="00C74BFE">
        <w:rPr>
          <w:lang w:val="fr-FR"/>
        </w:rPr>
        <w:tab/>
        <w:t xml:space="preserve">Voir Cour européenne des droits de l’homme, </w:t>
      </w:r>
      <w:r w:rsidRPr="00C74BFE">
        <w:rPr>
          <w:i/>
          <w:lang w:val="fr-FR"/>
        </w:rPr>
        <w:t xml:space="preserve">R. C. </w:t>
      </w:r>
      <w:r w:rsidRPr="00C74BFE">
        <w:rPr>
          <w:iCs/>
          <w:lang w:val="fr-FR"/>
        </w:rPr>
        <w:t>c</w:t>
      </w:r>
      <w:r w:rsidRPr="00C74BFE">
        <w:rPr>
          <w:i/>
          <w:lang w:val="fr-FR"/>
        </w:rPr>
        <w:t>. Suède</w:t>
      </w:r>
      <w:r w:rsidRPr="00C74BFE">
        <w:rPr>
          <w:lang w:val="fr-FR"/>
        </w:rPr>
        <w:t>, requête n</w:t>
      </w:r>
      <w:r w:rsidRPr="00C74BFE">
        <w:rPr>
          <w:vertAlign w:val="superscript"/>
          <w:lang w:val="fr-FR"/>
        </w:rPr>
        <w:t>o</w:t>
      </w:r>
      <w:r w:rsidRPr="00C74BFE">
        <w:rPr>
          <w:lang w:val="fr-FR"/>
        </w:rPr>
        <w:t> 41827/07, arrêt du 9 mars 2010, par. 52.</w:t>
      </w:r>
    </w:p>
  </w:footnote>
  <w:footnote w:id="2">
    <w:p w14:paraId="273775DA" w14:textId="77777777" w:rsidR="00197BEE" w:rsidRPr="00C74BFE" w:rsidRDefault="00197BEE" w:rsidP="00D45859">
      <w:pPr>
        <w:pStyle w:val="FootnoteText"/>
        <w:tabs>
          <w:tab w:val="right" w:pos="1195"/>
          <w:tab w:val="left" w:pos="1267"/>
          <w:tab w:val="left" w:pos="1742"/>
          <w:tab w:val="left" w:pos="2218"/>
          <w:tab w:val="left" w:pos="2693"/>
        </w:tabs>
        <w:ind w:left="1267" w:right="1260" w:hanging="432"/>
        <w:rPr>
          <w:lang w:val="fr-FR"/>
        </w:rPr>
      </w:pPr>
      <w:r w:rsidRPr="00C74BFE">
        <w:rPr>
          <w:lang w:val="fr-FR"/>
        </w:rPr>
        <w:tab/>
      </w:r>
      <w:r w:rsidRPr="00C74BFE">
        <w:rPr>
          <w:rStyle w:val="FootnoteReference"/>
          <w:spacing w:val="4"/>
        </w:rPr>
        <w:footnoteRef/>
      </w:r>
      <w:r w:rsidRPr="00C74BFE">
        <w:rPr>
          <w:lang w:val="fr-FR"/>
        </w:rPr>
        <w:tab/>
        <w:t xml:space="preserve">Voir Cour européenne des droits de l’homme, </w:t>
      </w:r>
      <w:r w:rsidRPr="00C74BFE">
        <w:rPr>
          <w:i/>
          <w:lang w:val="fr-FR"/>
        </w:rPr>
        <w:t xml:space="preserve">R. H. </w:t>
      </w:r>
      <w:r w:rsidRPr="00C74BFE">
        <w:rPr>
          <w:iCs/>
          <w:lang w:val="fr-FR"/>
        </w:rPr>
        <w:t>c</w:t>
      </w:r>
      <w:r w:rsidRPr="00C74BFE">
        <w:rPr>
          <w:i/>
          <w:lang w:val="fr-FR"/>
        </w:rPr>
        <w:t>. Suède</w:t>
      </w:r>
      <w:r w:rsidRPr="00C74BFE">
        <w:rPr>
          <w:lang w:val="fr-FR"/>
        </w:rPr>
        <w:t>, requête n</w:t>
      </w:r>
      <w:r w:rsidRPr="00C74BFE">
        <w:rPr>
          <w:vertAlign w:val="superscript"/>
          <w:lang w:val="fr-FR"/>
        </w:rPr>
        <w:t>o</w:t>
      </w:r>
      <w:r w:rsidRPr="00C74BFE">
        <w:rPr>
          <w:lang w:val="fr-FR"/>
        </w:rPr>
        <w:t> 4601/14 du 10 septembre 2015, par. 70.</w:t>
      </w:r>
    </w:p>
  </w:footnote>
  <w:footnote w:id="3">
    <w:p w14:paraId="15B0F4A7" w14:textId="466B40B7" w:rsidR="00197BEE" w:rsidRPr="00C74BFE" w:rsidRDefault="00197BEE" w:rsidP="00D45859">
      <w:pPr>
        <w:pStyle w:val="FootnoteText"/>
        <w:tabs>
          <w:tab w:val="right" w:pos="1195"/>
          <w:tab w:val="left" w:pos="1267"/>
          <w:tab w:val="left" w:pos="1742"/>
          <w:tab w:val="left" w:pos="2218"/>
          <w:tab w:val="left" w:pos="2693"/>
        </w:tabs>
        <w:ind w:left="1267" w:right="1260" w:hanging="432"/>
        <w:rPr>
          <w:lang w:val="fr-FR"/>
        </w:rPr>
      </w:pPr>
      <w:r w:rsidRPr="00C74BFE">
        <w:rPr>
          <w:lang w:val="fr-FR"/>
        </w:rPr>
        <w:tab/>
      </w:r>
      <w:r w:rsidRPr="00C74BFE">
        <w:rPr>
          <w:rStyle w:val="FootnoteReference"/>
          <w:spacing w:val="4"/>
        </w:rPr>
        <w:footnoteRef/>
      </w:r>
      <w:r w:rsidRPr="00C74BFE">
        <w:rPr>
          <w:lang w:val="fr-FR"/>
        </w:rPr>
        <w:tab/>
      </w:r>
      <w:bookmarkStart w:id="1" w:name="_Hlk534031062"/>
      <w:r w:rsidRPr="00C74BFE">
        <w:rPr>
          <w:lang w:val="fr-FR"/>
        </w:rPr>
        <w:t>L’État partie ajoute que, selon la note explicative qui accompagne le projet de loi portant modification de la loi sur les étrangers, un permis de séjour ne devrait être délivré, au sens du projet de disposition, qu’aux étrangers qui, dans les cas autres que ceux relevant de la Convention de 1951, ont droit à une protection au titre des conventions internationales auxquelles le Danemark a adhéré. Ainsi, le projet de disposition est rédigé conformément aux conventions applicables, notamment à la Convention européenne des droits de l’homme et au protocole n</w:t>
      </w:r>
      <w:r w:rsidRPr="00C74BFE">
        <w:rPr>
          <w:vertAlign w:val="superscript"/>
          <w:lang w:val="fr-FR"/>
        </w:rPr>
        <w:t>o</w:t>
      </w:r>
      <w:r w:rsidRPr="00C74BFE">
        <w:rPr>
          <w:lang w:val="fr-FR"/>
        </w:rPr>
        <w:t> 6 s’y rapportant, ainsi qu’à l’article</w:t>
      </w:r>
      <w:r w:rsidR="00C74BFE">
        <w:rPr>
          <w:lang w:val="fr-FR"/>
        </w:rPr>
        <w:t xml:space="preserve"> </w:t>
      </w:r>
      <w:r w:rsidRPr="00C74BFE">
        <w:rPr>
          <w:lang w:val="fr-FR"/>
        </w:rPr>
        <w:t>3 de la Convention contre la torture et autres peines ou traitements cruels, inhumains ou dégradants. Par conséquent, toute évaluation entreprise au titre de l’article 7 de la loi sur les étrangers doit être menée conformément à l’article 3 de la Convention européenne des droits de l’homme et à l’article 3 de la Convention contre la torture et autres peines ou traitements cruels, inhumains ou dégradants, mais aussi aux dispositions des autres conventions applicables. Le cas échéant, la Commission des recours des réfugiés tient compte du risque que la personne en quête d’asile soit victime de violence fondée sur le genre, notamment de mutilations génitales féminines. Ainsi, en cas de retour en Somalie, l’auteure ne risquerait pas d’être victime de persécutions ou de violences, et le Danemark ne contreviendrait ni aux articles</w:t>
      </w:r>
      <w:r w:rsidR="00C74BFE">
        <w:rPr>
          <w:lang w:val="fr-FR"/>
        </w:rPr>
        <w:t xml:space="preserve"> </w:t>
      </w:r>
      <w:r w:rsidRPr="00C74BFE">
        <w:rPr>
          <w:lang w:val="fr-FR"/>
        </w:rPr>
        <w:t>2 d), 12 et 16 de la Convention ni à la recommandation générale n</w:t>
      </w:r>
      <w:r w:rsidRPr="00C74BFE">
        <w:rPr>
          <w:vertAlign w:val="superscript"/>
          <w:lang w:val="fr-FR"/>
        </w:rPr>
        <w:t>o</w:t>
      </w:r>
      <w:r w:rsidRPr="00C74BFE">
        <w:rPr>
          <w:lang w:val="fr-FR"/>
        </w:rPr>
        <w:t> 32 du Comité.</w:t>
      </w:r>
      <w:bookmarkEnd w:id="1"/>
    </w:p>
  </w:footnote>
  <w:footnote w:id="4">
    <w:p w14:paraId="40A676F2" w14:textId="63E04167" w:rsidR="00197BEE" w:rsidRPr="00C74BFE" w:rsidRDefault="00197BEE" w:rsidP="00D45859">
      <w:pPr>
        <w:pStyle w:val="FootnoteText"/>
        <w:tabs>
          <w:tab w:val="right" w:pos="1195"/>
          <w:tab w:val="left" w:pos="1267"/>
          <w:tab w:val="left" w:pos="1742"/>
          <w:tab w:val="left" w:pos="2218"/>
          <w:tab w:val="left" w:pos="2693"/>
        </w:tabs>
        <w:ind w:left="1267" w:right="1260" w:hanging="432"/>
        <w:rPr>
          <w:lang w:val="fr-FR"/>
        </w:rPr>
      </w:pPr>
      <w:r w:rsidRPr="00C74BFE">
        <w:rPr>
          <w:lang w:val="fr-FR"/>
        </w:rPr>
        <w:tab/>
      </w:r>
      <w:r w:rsidRPr="00C74BFE">
        <w:rPr>
          <w:rStyle w:val="FootnoteReference"/>
          <w:spacing w:val="4"/>
        </w:rPr>
        <w:footnoteRef/>
      </w:r>
      <w:r w:rsidRPr="00C74BFE">
        <w:rPr>
          <w:lang w:val="fr-FR"/>
        </w:rPr>
        <w:tab/>
      </w:r>
      <w:hyperlink r:id="rId1" w:history="1">
        <w:r w:rsidRPr="00C74BFE">
          <w:rPr>
            <w:rStyle w:val="Hyperlink"/>
            <w:lang w:val="fr-FR"/>
          </w:rPr>
          <w:t>CCPR/C/113/D/2272/2013</w:t>
        </w:r>
      </w:hyperlink>
      <w:r w:rsidRPr="00C74BFE">
        <w:rPr>
          <w:lang w:val="fr-FR"/>
        </w:rPr>
        <w:t>, par. 7.3.</w:t>
      </w:r>
    </w:p>
  </w:footnote>
  <w:footnote w:id="5">
    <w:p w14:paraId="4D2DF84E" w14:textId="2D39F9F7" w:rsidR="00197BEE" w:rsidRPr="00C74BFE" w:rsidRDefault="00197BEE" w:rsidP="00D45859">
      <w:pPr>
        <w:pStyle w:val="FootnoteText"/>
        <w:tabs>
          <w:tab w:val="right" w:pos="1195"/>
          <w:tab w:val="left" w:pos="1267"/>
          <w:tab w:val="left" w:pos="1742"/>
          <w:tab w:val="left" w:pos="2218"/>
          <w:tab w:val="left" w:pos="2693"/>
        </w:tabs>
        <w:ind w:left="1267" w:right="1260" w:hanging="432"/>
        <w:rPr>
          <w:lang w:val="fr-FR"/>
        </w:rPr>
      </w:pPr>
      <w:r w:rsidRPr="00C74BFE">
        <w:rPr>
          <w:lang w:val="fr-FR"/>
        </w:rPr>
        <w:tab/>
      </w:r>
      <w:r w:rsidRPr="00C74BFE">
        <w:rPr>
          <w:rStyle w:val="FootnoteReference"/>
          <w:spacing w:val="4"/>
        </w:rPr>
        <w:footnoteRef/>
      </w:r>
      <w:r w:rsidRPr="00C74BFE">
        <w:rPr>
          <w:lang w:val="fr-FR"/>
        </w:rPr>
        <w:tab/>
      </w:r>
      <w:hyperlink r:id="rId2" w:history="1">
        <w:r w:rsidRPr="00C74BFE">
          <w:rPr>
            <w:rStyle w:val="Hyperlink"/>
            <w:lang w:val="fr-FR"/>
          </w:rPr>
          <w:t>CCPR/C/112/D/2186/2012</w:t>
        </w:r>
      </w:hyperlink>
      <w:r w:rsidRPr="00C74BFE">
        <w:rPr>
          <w:lang w:val="fr-FR"/>
        </w:rPr>
        <w:t>, par. 7.5.</w:t>
      </w:r>
    </w:p>
  </w:footnote>
  <w:footnote w:id="6">
    <w:p w14:paraId="779BB2BB" w14:textId="24374D1A" w:rsidR="00197BEE" w:rsidRPr="00C74BFE" w:rsidRDefault="00197BEE" w:rsidP="00D45859">
      <w:pPr>
        <w:pStyle w:val="FootnoteText"/>
        <w:tabs>
          <w:tab w:val="right" w:pos="1195"/>
          <w:tab w:val="left" w:pos="1267"/>
          <w:tab w:val="left" w:pos="1742"/>
          <w:tab w:val="left" w:pos="2218"/>
          <w:tab w:val="left" w:pos="2693"/>
        </w:tabs>
        <w:ind w:left="1267" w:right="1260" w:hanging="432"/>
        <w:rPr>
          <w:lang w:val="fr-FR"/>
        </w:rPr>
      </w:pPr>
      <w:r w:rsidRPr="00C74BFE">
        <w:rPr>
          <w:lang w:val="fr-FR"/>
        </w:rPr>
        <w:tab/>
      </w:r>
      <w:r w:rsidRPr="00C74BFE">
        <w:rPr>
          <w:rStyle w:val="FootnoteReference"/>
          <w:spacing w:val="4"/>
        </w:rPr>
        <w:footnoteRef/>
      </w:r>
      <w:r w:rsidRPr="00C74BFE">
        <w:rPr>
          <w:lang w:val="fr-FR"/>
        </w:rPr>
        <w:tab/>
      </w:r>
      <w:hyperlink r:id="rId3" w:history="1">
        <w:r w:rsidRPr="00C74BFE">
          <w:rPr>
            <w:rStyle w:val="Hyperlink"/>
            <w:lang w:val="fr-FR"/>
          </w:rPr>
          <w:t>CCPR/C/114/D/2426/2014</w:t>
        </w:r>
      </w:hyperlink>
      <w:r w:rsidRPr="00C74BFE">
        <w:rPr>
          <w:lang w:val="fr-FR"/>
        </w:rPr>
        <w:t>, par. 6.6.</w:t>
      </w:r>
    </w:p>
  </w:footnote>
  <w:footnote w:id="7">
    <w:p w14:paraId="2B24AD71" w14:textId="7895A626" w:rsidR="00197BEE" w:rsidRPr="00C74BFE" w:rsidRDefault="00197BEE" w:rsidP="00D45859">
      <w:pPr>
        <w:pStyle w:val="FootnoteText"/>
        <w:tabs>
          <w:tab w:val="right" w:pos="1195"/>
          <w:tab w:val="left" w:pos="1267"/>
          <w:tab w:val="left" w:pos="1742"/>
          <w:tab w:val="left" w:pos="2218"/>
          <w:tab w:val="left" w:pos="2693"/>
        </w:tabs>
        <w:ind w:left="1267" w:right="1260" w:hanging="432"/>
        <w:rPr>
          <w:lang w:val="fr-FR"/>
        </w:rPr>
      </w:pPr>
      <w:r w:rsidRPr="00C74BFE">
        <w:rPr>
          <w:lang w:val="fr-FR"/>
        </w:rPr>
        <w:tab/>
      </w:r>
      <w:r w:rsidRPr="00C74BFE">
        <w:rPr>
          <w:rStyle w:val="FootnoteReference"/>
          <w:spacing w:val="4"/>
        </w:rPr>
        <w:footnoteRef/>
      </w:r>
      <w:r w:rsidRPr="00C74BFE">
        <w:rPr>
          <w:lang w:val="fr-FR"/>
        </w:rPr>
        <w:tab/>
      </w:r>
      <w:hyperlink r:id="rId4" w:history="1">
        <w:r w:rsidRPr="00C74BFE">
          <w:rPr>
            <w:rStyle w:val="Hyperlink"/>
            <w:lang w:val="fr-FR"/>
          </w:rPr>
          <w:t>CCPR/C/114/D/2329/2014</w:t>
        </w:r>
      </w:hyperlink>
      <w:r w:rsidRPr="00C74BFE">
        <w:rPr>
          <w:lang w:val="fr-FR"/>
        </w:rPr>
        <w:t>, par. 7.4.</w:t>
      </w:r>
    </w:p>
  </w:footnote>
  <w:footnote w:id="8">
    <w:p w14:paraId="391E851E" w14:textId="77777777" w:rsidR="00197BEE" w:rsidRPr="00C74BFE" w:rsidRDefault="00197BEE" w:rsidP="00D45859">
      <w:pPr>
        <w:pStyle w:val="FootnoteText"/>
        <w:tabs>
          <w:tab w:val="right" w:pos="1195"/>
          <w:tab w:val="left" w:pos="1267"/>
          <w:tab w:val="left" w:pos="1742"/>
          <w:tab w:val="left" w:pos="2218"/>
          <w:tab w:val="left" w:pos="2693"/>
        </w:tabs>
        <w:ind w:left="1267" w:right="1260" w:hanging="432"/>
        <w:rPr>
          <w:lang w:val="fr-FR"/>
        </w:rPr>
      </w:pPr>
      <w:r w:rsidRPr="00C74BFE">
        <w:rPr>
          <w:lang w:val="fr-FR"/>
        </w:rPr>
        <w:tab/>
      </w:r>
      <w:r w:rsidRPr="00C74BFE">
        <w:rPr>
          <w:rStyle w:val="FootnoteReference"/>
          <w:spacing w:val="4"/>
        </w:rPr>
        <w:footnoteRef/>
      </w:r>
      <w:r w:rsidRPr="00C74BFE">
        <w:rPr>
          <w:lang w:val="fr-FR"/>
        </w:rPr>
        <w:tab/>
        <w:t xml:space="preserve">Le conseil ne fait pas référence à l’article 16 dans ses observations. </w:t>
      </w:r>
    </w:p>
  </w:footnote>
  <w:footnote w:id="9">
    <w:p w14:paraId="62E5AB29" w14:textId="287CB1FF" w:rsidR="00197BEE" w:rsidRPr="00C74BFE" w:rsidRDefault="00197BEE" w:rsidP="00D45859">
      <w:pPr>
        <w:pStyle w:val="FootnoteText"/>
        <w:tabs>
          <w:tab w:val="right" w:pos="1195"/>
          <w:tab w:val="left" w:pos="1267"/>
          <w:tab w:val="left" w:pos="1742"/>
          <w:tab w:val="left" w:pos="2218"/>
          <w:tab w:val="left" w:pos="2693"/>
        </w:tabs>
        <w:ind w:left="1267" w:right="1260" w:hanging="432"/>
        <w:rPr>
          <w:lang w:val="fr-FR"/>
        </w:rPr>
      </w:pPr>
      <w:r w:rsidRPr="00C74BFE">
        <w:rPr>
          <w:lang w:val="fr-FR"/>
        </w:rPr>
        <w:tab/>
      </w:r>
      <w:r w:rsidRPr="00C74BFE">
        <w:rPr>
          <w:rStyle w:val="FootnoteReference"/>
          <w:spacing w:val="4"/>
        </w:rPr>
        <w:footnoteRef/>
      </w:r>
      <w:r w:rsidRPr="00C74BFE">
        <w:rPr>
          <w:lang w:val="fr-FR"/>
        </w:rPr>
        <w:tab/>
        <w:t xml:space="preserve">L’État partie renvoie aux affaires </w:t>
      </w:r>
      <w:r w:rsidRPr="00C74BFE">
        <w:rPr>
          <w:i/>
          <w:lang w:val="fr-FR"/>
        </w:rPr>
        <w:t xml:space="preserve">P. H. A. </w:t>
      </w:r>
      <w:r w:rsidRPr="00C74BFE">
        <w:rPr>
          <w:iCs/>
          <w:lang w:val="fr-FR"/>
        </w:rPr>
        <w:t>c</w:t>
      </w:r>
      <w:r w:rsidRPr="00C74BFE">
        <w:rPr>
          <w:i/>
          <w:lang w:val="fr-FR"/>
        </w:rPr>
        <w:t>. Danemark</w:t>
      </w:r>
      <w:r w:rsidRPr="00C74BFE">
        <w:rPr>
          <w:lang w:val="fr-FR"/>
        </w:rPr>
        <w:t xml:space="preserve"> (</w:t>
      </w:r>
      <w:hyperlink r:id="rId5" w:history="1">
        <w:r w:rsidRPr="00C74BFE">
          <w:rPr>
            <w:rStyle w:val="Hyperlink"/>
            <w:lang w:val="fr-FR"/>
          </w:rPr>
          <w:t>CEDAW/C/65/D/61/2013</w:t>
        </w:r>
      </w:hyperlink>
      <w:r w:rsidRPr="00C74BFE">
        <w:rPr>
          <w:lang w:val="fr-FR"/>
        </w:rPr>
        <w:t xml:space="preserve">), </w:t>
      </w:r>
      <w:r w:rsidRPr="00C74BFE">
        <w:rPr>
          <w:i/>
          <w:lang w:val="fr-FR"/>
        </w:rPr>
        <w:t>K. S. </w:t>
      </w:r>
      <w:r w:rsidRPr="00C74BFE">
        <w:rPr>
          <w:iCs/>
          <w:lang w:val="fr-FR"/>
        </w:rPr>
        <w:t>c.</w:t>
      </w:r>
      <w:r w:rsidRPr="00C74BFE">
        <w:rPr>
          <w:i/>
          <w:lang w:val="fr-FR"/>
        </w:rPr>
        <w:t> Danemark</w:t>
      </w:r>
      <w:r w:rsidRPr="00C74BFE">
        <w:rPr>
          <w:lang w:val="fr-FR"/>
        </w:rPr>
        <w:t xml:space="preserve"> (</w:t>
      </w:r>
      <w:hyperlink r:id="rId6" w:history="1">
        <w:r w:rsidRPr="00C74BFE">
          <w:rPr>
            <w:rStyle w:val="Hyperlink"/>
            <w:lang w:val="fr-FR"/>
          </w:rPr>
          <w:t>CEDAW/C/65/D/71/2014</w:t>
        </w:r>
      </w:hyperlink>
      <w:r w:rsidRPr="00C74BFE">
        <w:rPr>
          <w:lang w:val="fr-FR"/>
        </w:rPr>
        <w:t xml:space="preserve">), </w:t>
      </w:r>
      <w:r w:rsidRPr="00C74BFE">
        <w:rPr>
          <w:i/>
          <w:iCs/>
          <w:lang w:val="fr-FR"/>
        </w:rPr>
        <w:t>X.</w:t>
      </w:r>
      <w:r w:rsidRPr="00C74BFE">
        <w:rPr>
          <w:lang w:val="fr-FR"/>
        </w:rPr>
        <w:t xml:space="preserve"> c. </w:t>
      </w:r>
      <w:r w:rsidRPr="00C74BFE">
        <w:rPr>
          <w:i/>
          <w:iCs/>
          <w:lang w:val="fr-FR"/>
        </w:rPr>
        <w:t>Danemark</w:t>
      </w:r>
      <w:r w:rsidRPr="00C74BFE">
        <w:rPr>
          <w:lang w:val="fr-FR"/>
        </w:rPr>
        <w:t xml:space="preserve"> (</w:t>
      </w:r>
      <w:hyperlink r:id="rId7" w:history="1">
        <w:r w:rsidRPr="00C74BFE">
          <w:rPr>
            <w:rStyle w:val="Hyperlink"/>
            <w:lang w:val="fr-FR"/>
          </w:rPr>
          <w:t>CEDAW/C/71/D/73/2014</w:t>
        </w:r>
      </w:hyperlink>
      <w:r w:rsidRPr="00C74BFE">
        <w:rPr>
          <w:lang w:val="fr-FR"/>
        </w:rPr>
        <w:t xml:space="preserve">), </w:t>
      </w:r>
      <w:r w:rsidRPr="00C74BFE">
        <w:rPr>
          <w:i/>
          <w:lang w:val="fr-FR"/>
        </w:rPr>
        <w:t xml:space="preserve">A. O. D. </w:t>
      </w:r>
      <w:r w:rsidRPr="00C74BFE">
        <w:rPr>
          <w:iCs/>
          <w:lang w:val="fr-FR"/>
        </w:rPr>
        <w:t>c</w:t>
      </w:r>
      <w:r w:rsidRPr="00C74BFE">
        <w:rPr>
          <w:i/>
          <w:lang w:val="fr-FR"/>
        </w:rPr>
        <w:t>. Danemark</w:t>
      </w:r>
      <w:r w:rsidRPr="00C74BFE">
        <w:rPr>
          <w:lang w:val="fr-FR"/>
        </w:rPr>
        <w:t xml:space="preserve"> (</w:t>
      </w:r>
      <w:hyperlink r:id="rId8" w:history="1">
        <w:r w:rsidRPr="00C74BFE">
          <w:rPr>
            <w:rStyle w:val="Hyperlink"/>
            <w:lang w:val="fr-FR"/>
          </w:rPr>
          <w:t>CEDAW/C/70/D/84/2015</w:t>
        </w:r>
      </w:hyperlink>
      <w:r w:rsidRPr="00C74BFE">
        <w:rPr>
          <w:lang w:val="fr-FR"/>
        </w:rPr>
        <w:t xml:space="preserve">), </w:t>
      </w:r>
      <w:r w:rsidRPr="00C74BFE">
        <w:rPr>
          <w:i/>
          <w:lang w:val="fr-FR"/>
        </w:rPr>
        <w:t xml:space="preserve">S. F. A. </w:t>
      </w:r>
      <w:r w:rsidRPr="00C74BFE">
        <w:rPr>
          <w:iCs/>
          <w:lang w:val="fr-FR"/>
        </w:rPr>
        <w:t>c</w:t>
      </w:r>
      <w:r w:rsidRPr="00C74BFE">
        <w:rPr>
          <w:i/>
          <w:lang w:val="fr-FR"/>
        </w:rPr>
        <w:t>. Danemark</w:t>
      </w:r>
      <w:r w:rsidRPr="00C74BFE">
        <w:rPr>
          <w:lang w:val="fr-FR"/>
        </w:rPr>
        <w:t xml:space="preserve"> (</w:t>
      </w:r>
      <w:hyperlink r:id="rId9" w:history="1">
        <w:r w:rsidRPr="00C74BFE">
          <w:rPr>
            <w:rStyle w:val="Hyperlink"/>
            <w:lang w:val="fr-FR"/>
          </w:rPr>
          <w:t>CEDAW/C/69/D/85/2015</w:t>
        </w:r>
      </w:hyperlink>
      <w:r w:rsidRPr="00C74BFE">
        <w:rPr>
          <w:lang w:val="fr-FR"/>
        </w:rPr>
        <w:t xml:space="preserve">) et </w:t>
      </w:r>
      <w:r w:rsidRPr="00C74BFE">
        <w:rPr>
          <w:i/>
          <w:lang w:val="fr-FR"/>
        </w:rPr>
        <w:t xml:space="preserve">K. I. A. </w:t>
      </w:r>
      <w:r w:rsidRPr="00C74BFE">
        <w:rPr>
          <w:iCs/>
          <w:lang w:val="fr-FR"/>
        </w:rPr>
        <w:t>c.</w:t>
      </w:r>
      <w:r w:rsidRPr="00C74BFE">
        <w:rPr>
          <w:i/>
          <w:lang w:val="fr-FR"/>
        </w:rPr>
        <w:t xml:space="preserve"> Danemark</w:t>
      </w:r>
      <w:r w:rsidRPr="00C74BFE">
        <w:rPr>
          <w:lang w:val="fr-FR"/>
        </w:rPr>
        <w:t xml:space="preserve"> (</w:t>
      </w:r>
      <w:hyperlink r:id="rId10" w:history="1">
        <w:r w:rsidRPr="00C74BFE">
          <w:rPr>
            <w:rStyle w:val="Hyperlink"/>
            <w:lang w:val="fr-FR"/>
          </w:rPr>
          <w:t>CEDAW/C/68/D/93/2015</w:t>
        </w:r>
      </w:hyperlink>
      <w:r w:rsidRPr="00C74BFE">
        <w:rPr>
          <w:lang w:val="fr-FR"/>
        </w:rPr>
        <w:t>).</w:t>
      </w:r>
    </w:p>
  </w:footnote>
  <w:footnote w:id="10">
    <w:p w14:paraId="1FE426E1" w14:textId="77777777" w:rsidR="00197BEE" w:rsidRPr="00C74BFE" w:rsidRDefault="00197BEE" w:rsidP="00D45859">
      <w:pPr>
        <w:pStyle w:val="FootnoteText"/>
        <w:tabs>
          <w:tab w:val="right" w:pos="1195"/>
          <w:tab w:val="left" w:pos="1267"/>
          <w:tab w:val="left" w:pos="1742"/>
          <w:tab w:val="left" w:pos="2218"/>
          <w:tab w:val="left" w:pos="2693"/>
        </w:tabs>
        <w:ind w:left="1267" w:right="1260" w:hanging="432"/>
        <w:rPr>
          <w:highlight w:val="cyan"/>
          <w:lang w:val="fr-FR"/>
        </w:rPr>
      </w:pPr>
      <w:r w:rsidRPr="00C74BFE">
        <w:rPr>
          <w:lang w:val="fr-FR"/>
        </w:rPr>
        <w:tab/>
      </w:r>
      <w:r w:rsidRPr="00C74BFE">
        <w:rPr>
          <w:rStyle w:val="FootnoteReference"/>
          <w:spacing w:val="4"/>
        </w:rPr>
        <w:footnoteRef/>
      </w:r>
      <w:r w:rsidRPr="00C74BFE">
        <w:rPr>
          <w:lang w:val="fr-FR"/>
        </w:rPr>
        <w:tab/>
        <w:t xml:space="preserve">Voir, entre autres, </w:t>
      </w:r>
      <w:r w:rsidRPr="00C74BFE">
        <w:rPr>
          <w:i/>
          <w:lang w:val="fr-FR"/>
        </w:rPr>
        <w:t xml:space="preserve">S. F. A. </w:t>
      </w:r>
      <w:r w:rsidRPr="00C74BFE">
        <w:rPr>
          <w:iCs/>
          <w:lang w:val="fr-FR"/>
        </w:rPr>
        <w:t>c</w:t>
      </w:r>
      <w:r w:rsidRPr="00C74BFE">
        <w:rPr>
          <w:i/>
          <w:lang w:val="fr-FR"/>
        </w:rPr>
        <w:t>. Danemark</w:t>
      </w:r>
      <w:r w:rsidRPr="00C74BFE">
        <w:rPr>
          <w:lang w:val="fr-FR"/>
        </w:rPr>
        <w:t>, par. 9.7.</w:t>
      </w:r>
    </w:p>
  </w:footnote>
  <w:footnote w:id="11">
    <w:p w14:paraId="0EB43732" w14:textId="78410742" w:rsidR="00197BEE" w:rsidRPr="00C74BFE" w:rsidRDefault="00197BEE" w:rsidP="00D45859">
      <w:pPr>
        <w:pStyle w:val="FootnoteText"/>
        <w:tabs>
          <w:tab w:val="right" w:pos="1195"/>
          <w:tab w:val="left" w:pos="1267"/>
          <w:tab w:val="left" w:pos="1742"/>
          <w:tab w:val="left" w:pos="2218"/>
          <w:tab w:val="left" w:pos="2693"/>
        </w:tabs>
        <w:ind w:left="1267" w:right="1260" w:hanging="432"/>
        <w:rPr>
          <w:lang w:val="fr-FR"/>
        </w:rPr>
      </w:pPr>
      <w:r w:rsidRPr="00C74BFE">
        <w:rPr>
          <w:lang w:val="fr-FR"/>
        </w:rPr>
        <w:tab/>
      </w:r>
      <w:r w:rsidRPr="00C74BFE">
        <w:rPr>
          <w:rStyle w:val="FootnoteReference"/>
          <w:spacing w:val="4"/>
        </w:rPr>
        <w:footnoteRef/>
      </w:r>
      <w:r w:rsidRPr="00C74BFE">
        <w:rPr>
          <w:lang w:val="fr-FR"/>
        </w:rPr>
        <w:tab/>
        <w:t xml:space="preserve">Voir, par exemple, </w:t>
      </w:r>
      <w:r w:rsidRPr="00C74BFE">
        <w:rPr>
          <w:i/>
          <w:lang w:val="fr-FR"/>
        </w:rPr>
        <w:t xml:space="preserve">S. J. A </w:t>
      </w:r>
      <w:r w:rsidRPr="00C74BFE">
        <w:rPr>
          <w:iCs/>
          <w:lang w:val="fr-FR"/>
        </w:rPr>
        <w:t>c.</w:t>
      </w:r>
      <w:r w:rsidRPr="00C74BFE">
        <w:rPr>
          <w:i/>
          <w:lang w:val="fr-FR"/>
        </w:rPr>
        <w:t xml:space="preserve"> Danemark</w:t>
      </w:r>
      <w:r w:rsidRPr="00C74BFE">
        <w:rPr>
          <w:lang w:val="fr-FR"/>
        </w:rPr>
        <w:t xml:space="preserve"> (</w:t>
      </w:r>
      <w:hyperlink r:id="rId11" w:history="1">
        <w:r w:rsidRPr="00C74BFE">
          <w:rPr>
            <w:rStyle w:val="Hyperlink"/>
            <w:lang w:val="fr-FR"/>
          </w:rPr>
          <w:t>CEDAW/C/68/D/79/2014</w:t>
        </w:r>
      </w:hyperlink>
      <w:r w:rsidRPr="00C74BFE">
        <w:rPr>
          <w:lang w:val="fr-FR"/>
        </w:rPr>
        <w:t xml:space="preserve">), par. 7.9 et 7.10. Voir également </w:t>
      </w:r>
      <w:r w:rsidRPr="00C74BFE">
        <w:rPr>
          <w:i/>
          <w:lang w:val="fr-FR"/>
        </w:rPr>
        <w:t xml:space="preserve">A. S. </w:t>
      </w:r>
      <w:r w:rsidRPr="00C74BFE">
        <w:rPr>
          <w:iCs/>
          <w:lang w:val="fr-FR"/>
        </w:rPr>
        <w:t>c.</w:t>
      </w:r>
      <w:r w:rsidRPr="00C74BFE">
        <w:rPr>
          <w:i/>
          <w:lang w:val="fr-FR"/>
        </w:rPr>
        <w:t xml:space="preserve"> Danemark</w:t>
      </w:r>
      <w:r w:rsidRPr="00C74BFE">
        <w:rPr>
          <w:lang w:val="fr-FR"/>
        </w:rPr>
        <w:t xml:space="preserve"> (</w:t>
      </w:r>
      <w:hyperlink r:id="rId12" w:history="1">
        <w:r w:rsidRPr="00C74BFE">
          <w:rPr>
            <w:rStyle w:val="Hyperlink"/>
            <w:lang w:val="fr-FR"/>
          </w:rPr>
          <w:t>CEDAW/C/69/D/80/2015</w:t>
        </w:r>
      </w:hyperlink>
      <w:r w:rsidRPr="00C74BFE">
        <w:rPr>
          <w:lang w:val="fr-FR"/>
        </w:rPr>
        <w:t>), par. 8.7.</w:t>
      </w:r>
    </w:p>
  </w:footnote>
  <w:footnote w:id="12">
    <w:p w14:paraId="32B62825" w14:textId="71C05D45" w:rsidR="00197BEE" w:rsidRPr="00C74BFE" w:rsidRDefault="00197BEE" w:rsidP="00D45859">
      <w:pPr>
        <w:pStyle w:val="FootnoteText"/>
        <w:tabs>
          <w:tab w:val="right" w:pos="1195"/>
          <w:tab w:val="left" w:pos="1267"/>
          <w:tab w:val="left" w:pos="1742"/>
          <w:tab w:val="left" w:pos="2218"/>
          <w:tab w:val="left" w:pos="2693"/>
        </w:tabs>
        <w:ind w:left="1267" w:right="1260" w:hanging="432"/>
        <w:rPr>
          <w:lang w:val="fr-FR"/>
        </w:rPr>
      </w:pPr>
      <w:r w:rsidRPr="00C74BFE">
        <w:rPr>
          <w:lang w:val="fr-FR"/>
        </w:rPr>
        <w:tab/>
      </w:r>
      <w:r w:rsidRPr="00C74BFE">
        <w:rPr>
          <w:rStyle w:val="FootnoteReference"/>
          <w:spacing w:val="4"/>
        </w:rPr>
        <w:footnoteRef/>
      </w:r>
      <w:r w:rsidRPr="00C74BFE">
        <w:rPr>
          <w:lang w:val="fr-FR"/>
        </w:rPr>
        <w:tab/>
        <w:t xml:space="preserve">Voir, par exemple, </w:t>
      </w:r>
      <w:r w:rsidRPr="00C74BFE">
        <w:rPr>
          <w:i/>
          <w:lang w:val="fr-FR"/>
        </w:rPr>
        <w:t xml:space="preserve">N. Q. </w:t>
      </w:r>
      <w:r w:rsidRPr="00C74BFE">
        <w:rPr>
          <w:iCs/>
          <w:lang w:val="fr-FR"/>
        </w:rPr>
        <w:t>c.</w:t>
      </w:r>
      <w:r w:rsidRPr="00C74BFE">
        <w:rPr>
          <w:i/>
          <w:lang w:val="fr-FR"/>
        </w:rPr>
        <w:t xml:space="preserve"> Royaume-Uni de Grande-Bretagne et d’Irlande du Nord</w:t>
      </w:r>
      <w:r w:rsidRPr="00C74BFE">
        <w:rPr>
          <w:lang w:val="fr-FR"/>
        </w:rPr>
        <w:t xml:space="preserve"> (</w:t>
      </w:r>
      <w:hyperlink r:id="rId13" w:history="1">
        <w:r w:rsidRPr="00C74BFE">
          <w:rPr>
            <w:rStyle w:val="Hyperlink"/>
            <w:lang w:val="fr-FR"/>
          </w:rPr>
          <w:t>CEDAW/C/63/D/62/2013</w:t>
        </w:r>
      </w:hyperlink>
      <w:r w:rsidRPr="00C74BFE">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97BEE" w14:paraId="0ECE3D42" w14:textId="77777777" w:rsidTr="002126E2">
      <w:trPr>
        <w:trHeight w:hRule="exact" w:val="864"/>
      </w:trPr>
      <w:tc>
        <w:tcPr>
          <w:tcW w:w="4920" w:type="dxa"/>
          <w:shd w:val="clear" w:color="auto" w:fill="auto"/>
          <w:vAlign w:val="bottom"/>
        </w:tcPr>
        <w:p w14:paraId="195AE2FA" w14:textId="784B3404" w:rsidR="00197BEE" w:rsidRPr="002126E2" w:rsidRDefault="00197BEE" w:rsidP="002126E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7505E">
            <w:rPr>
              <w:b/>
              <w:color w:val="000000"/>
            </w:rPr>
            <w:t>CEDAW/C/71/D/101/2016</w:t>
          </w:r>
          <w:r>
            <w:rPr>
              <w:b/>
              <w:color w:val="000000"/>
            </w:rPr>
            <w:fldChar w:fldCharType="end"/>
          </w:r>
        </w:p>
      </w:tc>
      <w:tc>
        <w:tcPr>
          <w:tcW w:w="4920" w:type="dxa"/>
          <w:shd w:val="clear" w:color="auto" w:fill="auto"/>
          <w:vAlign w:val="bottom"/>
        </w:tcPr>
        <w:p w14:paraId="4EC24B44" w14:textId="77777777" w:rsidR="00197BEE" w:rsidRDefault="00197BEE" w:rsidP="002126E2">
          <w:pPr>
            <w:pStyle w:val="Header"/>
          </w:pPr>
        </w:p>
      </w:tc>
    </w:tr>
  </w:tbl>
  <w:p w14:paraId="1910C061" w14:textId="77777777" w:rsidR="00197BEE" w:rsidRPr="002126E2" w:rsidRDefault="00197BEE" w:rsidP="002126E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97BEE" w14:paraId="764F4207" w14:textId="77777777" w:rsidTr="002126E2">
      <w:trPr>
        <w:trHeight w:hRule="exact" w:val="864"/>
      </w:trPr>
      <w:tc>
        <w:tcPr>
          <w:tcW w:w="4920" w:type="dxa"/>
          <w:shd w:val="clear" w:color="auto" w:fill="auto"/>
          <w:vAlign w:val="bottom"/>
        </w:tcPr>
        <w:p w14:paraId="4E56E210" w14:textId="77777777" w:rsidR="00197BEE" w:rsidRDefault="00197BEE" w:rsidP="002126E2">
          <w:pPr>
            <w:pStyle w:val="Header"/>
          </w:pPr>
        </w:p>
      </w:tc>
      <w:tc>
        <w:tcPr>
          <w:tcW w:w="4920" w:type="dxa"/>
          <w:shd w:val="clear" w:color="auto" w:fill="auto"/>
          <w:vAlign w:val="bottom"/>
        </w:tcPr>
        <w:p w14:paraId="762B4DA9" w14:textId="363F9EBF" w:rsidR="00197BEE" w:rsidRPr="002126E2" w:rsidRDefault="00197BEE" w:rsidP="002126E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7505E">
            <w:rPr>
              <w:b/>
              <w:color w:val="000000"/>
            </w:rPr>
            <w:t>CEDAW/C/71/D/101/2016</w:t>
          </w:r>
          <w:r>
            <w:rPr>
              <w:b/>
              <w:color w:val="000000"/>
            </w:rPr>
            <w:fldChar w:fldCharType="end"/>
          </w:r>
        </w:p>
      </w:tc>
    </w:tr>
  </w:tbl>
  <w:p w14:paraId="59A50DA3" w14:textId="77777777" w:rsidR="00197BEE" w:rsidRPr="002126E2" w:rsidRDefault="00197BEE" w:rsidP="002126E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197BEE" w14:paraId="4377A7FE" w14:textId="77777777" w:rsidTr="002126E2">
      <w:trPr>
        <w:trHeight w:hRule="exact" w:val="864"/>
      </w:trPr>
      <w:tc>
        <w:tcPr>
          <w:tcW w:w="1267" w:type="dxa"/>
          <w:tcBorders>
            <w:bottom w:val="single" w:sz="4" w:space="0" w:color="auto"/>
          </w:tcBorders>
          <w:shd w:val="clear" w:color="auto" w:fill="auto"/>
          <w:vAlign w:val="bottom"/>
        </w:tcPr>
        <w:p w14:paraId="0B723665" w14:textId="77777777" w:rsidR="00197BEE" w:rsidRDefault="00197BEE" w:rsidP="002126E2">
          <w:pPr>
            <w:pStyle w:val="Header"/>
            <w:spacing w:after="120"/>
          </w:pPr>
        </w:p>
      </w:tc>
      <w:tc>
        <w:tcPr>
          <w:tcW w:w="2059" w:type="dxa"/>
          <w:tcBorders>
            <w:bottom w:val="single" w:sz="4" w:space="0" w:color="auto"/>
          </w:tcBorders>
          <w:shd w:val="clear" w:color="auto" w:fill="auto"/>
          <w:vAlign w:val="bottom"/>
        </w:tcPr>
        <w:p w14:paraId="379D8807" w14:textId="77777777" w:rsidR="00197BEE" w:rsidRPr="002126E2" w:rsidRDefault="00197BEE" w:rsidP="002126E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1783366" w14:textId="77777777" w:rsidR="00197BEE" w:rsidRDefault="00197BEE" w:rsidP="002126E2">
          <w:pPr>
            <w:pStyle w:val="Header"/>
            <w:spacing w:after="120"/>
          </w:pPr>
        </w:p>
      </w:tc>
      <w:tc>
        <w:tcPr>
          <w:tcW w:w="6466" w:type="dxa"/>
          <w:gridSpan w:val="3"/>
          <w:tcBorders>
            <w:bottom w:val="single" w:sz="4" w:space="0" w:color="auto"/>
          </w:tcBorders>
          <w:shd w:val="clear" w:color="auto" w:fill="auto"/>
          <w:vAlign w:val="bottom"/>
        </w:tcPr>
        <w:p w14:paraId="6B58A9D1" w14:textId="77777777" w:rsidR="00197BEE" w:rsidRPr="002126E2" w:rsidRDefault="00197BEE" w:rsidP="002126E2">
          <w:pPr>
            <w:spacing w:after="80" w:line="240" w:lineRule="auto"/>
            <w:jc w:val="right"/>
            <w:rPr>
              <w:position w:val="-4"/>
            </w:rPr>
          </w:pPr>
          <w:r>
            <w:rPr>
              <w:position w:val="-4"/>
              <w:sz w:val="40"/>
            </w:rPr>
            <w:t>CEDAW</w:t>
          </w:r>
          <w:r>
            <w:rPr>
              <w:position w:val="-4"/>
            </w:rPr>
            <w:t>/C/71/D/101/2016</w:t>
          </w:r>
        </w:p>
      </w:tc>
    </w:tr>
    <w:tr w:rsidR="00197BEE" w:rsidRPr="002126E2" w14:paraId="24070941" w14:textId="77777777" w:rsidTr="002126E2">
      <w:trPr>
        <w:trHeight w:hRule="exact" w:val="2880"/>
      </w:trPr>
      <w:tc>
        <w:tcPr>
          <w:tcW w:w="1267" w:type="dxa"/>
          <w:tcBorders>
            <w:top w:val="single" w:sz="4" w:space="0" w:color="auto"/>
            <w:bottom w:val="single" w:sz="12" w:space="0" w:color="auto"/>
          </w:tcBorders>
          <w:shd w:val="clear" w:color="auto" w:fill="auto"/>
        </w:tcPr>
        <w:p w14:paraId="607498DB" w14:textId="77777777" w:rsidR="00197BEE" w:rsidRPr="002126E2" w:rsidRDefault="00197BEE" w:rsidP="002126E2">
          <w:pPr>
            <w:pStyle w:val="Header"/>
            <w:spacing w:before="120" w:line="240" w:lineRule="auto"/>
            <w:ind w:left="-72"/>
            <w:jc w:val="center"/>
          </w:pPr>
          <w:r>
            <w:t xml:space="preserve">  </w:t>
          </w:r>
          <w:r>
            <w:rPr>
              <w:noProof/>
            </w:rPr>
            <w:drawing>
              <wp:inline distT="0" distB="0" distL="0" distR="0" wp14:anchorId="7099076C" wp14:editId="39BEA7D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41904BD" w14:textId="77777777" w:rsidR="00197BEE" w:rsidRPr="002126E2" w:rsidRDefault="00197BEE" w:rsidP="002126E2">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7ED7B82C" w14:textId="77777777" w:rsidR="00197BEE" w:rsidRPr="00D45859" w:rsidRDefault="00197BEE" w:rsidP="002126E2">
          <w:pPr>
            <w:pStyle w:val="Header"/>
            <w:spacing w:before="109"/>
            <w:rPr>
              <w:lang w:val="fr-FR"/>
            </w:rPr>
          </w:pPr>
        </w:p>
      </w:tc>
      <w:tc>
        <w:tcPr>
          <w:tcW w:w="3110" w:type="dxa"/>
          <w:tcBorders>
            <w:top w:val="single" w:sz="4" w:space="0" w:color="auto"/>
            <w:bottom w:val="single" w:sz="12" w:space="0" w:color="auto"/>
          </w:tcBorders>
          <w:shd w:val="clear" w:color="auto" w:fill="auto"/>
        </w:tcPr>
        <w:p w14:paraId="34C17761" w14:textId="77777777" w:rsidR="00197BEE" w:rsidRPr="00D45859" w:rsidRDefault="00197BEE" w:rsidP="002126E2">
          <w:pPr>
            <w:pStyle w:val="Distribution"/>
            <w:rPr>
              <w:color w:val="000000"/>
              <w:lang w:val="fr-FR"/>
            </w:rPr>
          </w:pPr>
          <w:r w:rsidRPr="00D45859">
            <w:rPr>
              <w:color w:val="000000"/>
              <w:lang w:val="fr-FR"/>
            </w:rPr>
            <w:t>Distr. générale</w:t>
          </w:r>
        </w:p>
        <w:p w14:paraId="7D0DA6C4" w14:textId="75A5436C" w:rsidR="00197BEE" w:rsidRPr="00D45859" w:rsidRDefault="00197BEE" w:rsidP="002126E2">
          <w:pPr>
            <w:pStyle w:val="Publication"/>
            <w:rPr>
              <w:color w:val="000000"/>
              <w:lang w:val="fr-FR"/>
            </w:rPr>
          </w:pPr>
          <w:r>
            <w:rPr>
              <w:color w:val="000000"/>
              <w:lang w:val="fr-FR"/>
            </w:rPr>
            <w:t xml:space="preserve">27 novembre </w:t>
          </w:r>
          <w:r w:rsidRPr="00D45859">
            <w:rPr>
              <w:color w:val="000000"/>
              <w:lang w:val="fr-FR"/>
            </w:rPr>
            <w:t>2018</w:t>
          </w:r>
        </w:p>
        <w:p w14:paraId="0FC3A7F0" w14:textId="77777777" w:rsidR="00197BEE" w:rsidRPr="00D45859" w:rsidRDefault="00197BEE" w:rsidP="002126E2">
          <w:pPr>
            <w:rPr>
              <w:lang w:val="fr-FR"/>
            </w:rPr>
          </w:pPr>
          <w:r w:rsidRPr="00D45859">
            <w:rPr>
              <w:lang w:val="fr-FR"/>
            </w:rPr>
            <w:t>Français</w:t>
          </w:r>
        </w:p>
        <w:p w14:paraId="600E6A0B" w14:textId="77777777" w:rsidR="00197BEE" w:rsidRPr="00D45859" w:rsidRDefault="00197BEE" w:rsidP="002126E2">
          <w:pPr>
            <w:pStyle w:val="Original"/>
            <w:rPr>
              <w:color w:val="000000"/>
              <w:lang w:val="fr-FR"/>
            </w:rPr>
          </w:pPr>
          <w:r w:rsidRPr="00D45859">
            <w:rPr>
              <w:color w:val="000000"/>
              <w:lang w:val="fr-FR"/>
            </w:rPr>
            <w:t>Original : anglais</w:t>
          </w:r>
        </w:p>
      </w:tc>
    </w:tr>
  </w:tbl>
  <w:p w14:paraId="3CFAD39C" w14:textId="77777777" w:rsidR="00197BEE" w:rsidRPr="00D45859" w:rsidRDefault="00197BEE" w:rsidP="002126E2">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083B"/>
    <w:multiLevelType w:val="singleLevel"/>
    <w:tmpl w:val="6172DE70"/>
    <w:lvl w:ilvl="0">
      <w:start w:val="1"/>
      <w:numFmt w:val="decimal"/>
      <w:lvlRestart w:val="0"/>
      <w:lvlText w:val="6.%1"/>
      <w:lvlJc w:val="left"/>
      <w:pPr>
        <w:tabs>
          <w:tab w:val="num" w:pos="1742"/>
        </w:tabs>
        <w:ind w:left="1267" w:firstLine="0"/>
      </w:pPr>
      <w:rPr>
        <w:w w:val="100"/>
      </w:rPr>
    </w:lvl>
  </w:abstractNum>
  <w:abstractNum w:abstractNumId="1" w15:restartNumberingAfterBreak="0">
    <w:nsid w:val="04015290"/>
    <w:multiLevelType w:val="hybridMultilevel"/>
    <w:tmpl w:val="48A8B1E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0CEA119F"/>
    <w:multiLevelType w:val="singleLevel"/>
    <w:tmpl w:val="E51C1C18"/>
    <w:lvl w:ilvl="0">
      <w:start w:val="1"/>
      <w:numFmt w:val="decimal"/>
      <w:lvlRestart w:val="0"/>
      <w:lvlText w:val="4.%1"/>
      <w:lvlJc w:val="left"/>
      <w:pPr>
        <w:tabs>
          <w:tab w:val="num" w:pos="1742"/>
        </w:tabs>
        <w:ind w:left="1267" w:firstLine="0"/>
      </w:pPr>
      <w:rPr>
        <w:w w:val="100"/>
      </w:rPr>
    </w:lvl>
  </w:abstractNum>
  <w:abstractNum w:abstractNumId="3" w15:restartNumberingAfterBreak="0">
    <w:nsid w:val="0D954887"/>
    <w:multiLevelType w:val="hybridMultilevel"/>
    <w:tmpl w:val="871A6BA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2D06B23"/>
    <w:multiLevelType w:val="multilevel"/>
    <w:tmpl w:val="5BECE36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172F270D"/>
    <w:multiLevelType w:val="hybridMultilevel"/>
    <w:tmpl w:val="C17C64C2"/>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3690"/>
    <w:multiLevelType w:val="singleLevel"/>
    <w:tmpl w:val="E1EE1F5E"/>
    <w:lvl w:ilvl="0">
      <w:start w:val="1"/>
      <w:numFmt w:val="decimal"/>
      <w:lvlRestart w:val="0"/>
      <w:lvlText w:val="2.%1"/>
      <w:lvlJc w:val="left"/>
      <w:pPr>
        <w:tabs>
          <w:tab w:val="num" w:pos="1742"/>
        </w:tabs>
        <w:ind w:left="1267" w:firstLine="0"/>
      </w:pPr>
      <w:rPr>
        <w:w w:val="100"/>
      </w:rPr>
    </w:lvl>
  </w:abstractNum>
  <w:abstractNum w:abstractNumId="7" w15:restartNumberingAfterBreak="0">
    <w:nsid w:val="3ACF4EB2"/>
    <w:multiLevelType w:val="hybridMultilevel"/>
    <w:tmpl w:val="8626F78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7B40547"/>
    <w:multiLevelType w:val="hybridMultilevel"/>
    <w:tmpl w:val="E5FC7DFA"/>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FB6470"/>
    <w:multiLevelType w:val="singleLevel"/>
    <w:tmpl w:val="02248282"/>
    <w:lvl w:ilvl="0">
      <w:start w:val="7"/>
      <w:numFmt w:val="decimal"/>
      <w:lvlRestart w:val="0"/>
      <w:lvlText w:val="%1."/>
      <w:lvlJc w:val="left"/>
      <w:pPr>
        <w:tabs>
          <w:tab w:val="num" w:pos="1742"/>
        </w:tabs>
        <w:ind w:left="1267" w:firstLine="0"/>
      </w:pPr>
      <w:rPr>
        <w:w w:val="100"/>
      </w:rPr>
    </w:lvl>
  </w:abstractNum>
  <w:abstractNum w:abstractNumId="10" w15:restartNumberingAfterBreak="0">
    <w:nsid w:val="58394C57"/>
    <w:multiLevelType w:val="singleLevel"/>
    <w:tmpl w:val="6532BA18"/>
    <w:lvl w:ilvl="0">
      <w:start w:val="1"/>
      <w:numFmt w:val="decimal"/>
      <w:lvlRestart w:val="0"/>
      <w:lvlText w:val="5.%1"/>
      <w:lvlJc w:val="left"/>
      <w:pPr>
        <w:tabs>
          <w:tab w:val="num" w:pos="1742"/>
        </w:tabs>
        <w:ind w:left="1267" w:firstLine="0"/>
      </w:pPr>
      <w:rPr>
        <w:w w:val="100"/>
      </w:rPr>
    </w:lvl>
  </w:abstractNum>
  <w:abstractNum w:abstractNumId="11" w15:restartNumberingAfterBreak="0">
    <w:nsid w:val="5D612A9B"/>
    <w:multiLevelType w:val="singleLevel"/>
    <w:tmpl w:val="3C4A51A6"/>
    <w:lvl w:ilvl="0">
      <w:start w:val="1"/>
      <w:numFmt w:val="decimal"/>
      <w:lvlRestart w:val="0"/>
      <w:lvlText w:val="1.%1"/>
      <w:lvlJc w:val="left"/>
      <w:pPr>
        <w:tabs>
          <w:tab w:val="num" w:pos="1742"/>
        </w:tabs>
        <w:ind w:left="1267" w:firstLine="0"/>
      </w:pPr>
      <w:rPr>
        <w:w w:val="100"/>
      </w:rPr>
    </w:lvl>
  </w:abstractNum>
  <w:abstractNum w:abstractNumId="12" w15:restartNumberingAfterBreak="0">
    <w:nsid w:val="68AD07B2"/>
    <w:multiLevelType w:val="hybridMultilevel"/>
    <w:tmpl w:val="4BDC85D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C144ECF"/>
    <w:multiLevelType w:val="singleLevel"/>
    <w:tmpl w:val="FDA0857A"/>
    <w:lvl w:ilvl="0">
      <w:start w:val="1"/>
      <w:numFmt w:val="decimal"/>
      <w:lvlRestart w:val="0"/>
      <w:lvlText w:val="3.%1"/>
      <w:lvlJc w:val="left"/>
      <w:pPr>
        <w:tabs>
          <w:tab w:val="num" w:pos="1742"/>
        </w:tabs>
        <w:ind w:left="1267" w:firstLine="0"/>
      </w:pPr>
      <w:rPr>
        <w:w w:val="100"/>
      </w:rPr>
    </w:lvl>
  </w:abstractNum>
  <w:num w:numId="1">
    <w:abstractNumId w:val="5"/>
  </w:num>
  <w:num w:numId="2">
    <w:abstractNumId w:val="8"/>
  </w:num>
  <w:num w:numId="3">
    <w:abstractNumId w:val="1"/>
  </w:num>
  <w:num w:numId="4">
    <w:abstractNumId w:val="4"/>
  </w:num>
  <w:num w:numId="5">
    <w:abstractNumId w:val="12"/>
  </w:num>
  <w:num w:numId="6">
    <w:abstractNumId w:val="7"/>
  </w:num>
  <w:num w:numId="7">
    <w:abstractNumId w:val="3"/>
  </w:num>
  <w:num w:numId="8">
    <w:abstractNumId w:val="11"/>
  </w:num>
  <w:num w:numId="9">
    <w:abstractNumId w:val="6"/>
  </w:num>
  <w:num w:numId="10">
    <w:abstractNumId w:val="6"/>
    <w:lvlOverride w:ilvl="0">
      <w:lvl w:ilvl="0">
        <w:start w:val="1"/>
        <w:numFmt w:val="decimal"/>
        <w:lvlRestart w:val="0"/>
        <w:lvlText w:val="2.%1"/>
        <w:lvlJc w:val="left"/>
        <w:pPr>
          <w:tabs>
            <w:tab w:val="num" w:pos="1742"/>
          </w:tabs>
          <w:ind w:left="1267" w:firstLine="0"/>
        </w:pPr>
        <w:rPr>
          <w:w w:val="100"/>
        </w:rPr>
      </w:lvl>
    </w:lvlOverride>
  </w:num>
  <w:num w:numId="11">
    <w:abstractNumId w:val="6"/>
    <w:lvlOverride w:ilvl="0">
      <w:lvl w:ilvl="0">
        <w:start w:val="1"/>
        <w:numFmt w:val="decimal"/>
        <w:lvlRestart w:val="0"/>
        <w:lvlText w:val="2.%1"/>
        <w:lvlJc w:val="left"/>
        <w:pPr>
          <w:tabs>
            <w:tab w:val="num" w:pos="1742"/>
          </w:tabs>
          <w:ind w:left="1267" w:firstLine="0"/>
        </w:pPr>
        <w:rPr>
          <w:w w:val="100"/>
        </w:rPr>
      </w:lvl>
    </w:lvlOverride>
  </w:num>
  <w:num w:numId="12">
    <w:abstractNumId w:val="6"/>
    <w:lvlOverride w:ilvl="0">
      <w:lvl w:ilvl="0">
        <w:start w:val="1"/>
        <w:numFmt w:val="decimal"/>
        <w:lvlRestart w:val="0"/>
        <w:lvlText w:val="2.%1"/>
        <w:lvlJc w:val="left"/>
        <w:pPr>
          <w:tabs>
            <w:tab w:val="num" w:pos="1742"/>
          </w:tabs>
          <w:ind w:left="1267" w:firstLine="0"/>
        </w:pPr>
        <w:rPr>
          <w:w w:val="100"/>
        </w:rPr>
      </w:lvl>
    </w:lvlOverride>
  </w:num>
  <w:num w:numId="13">
    <w:abstractNumId w:val="6"/>
    <w:lvlOverride w:ilvl="0">
      <w:lvl w:ilvl="0">
        <w:start w:val="1"/>
        <w:numFmt w:val="decimal"/>
        <w:lvlRestart w:val="0"/>
        <w:lvlText w:val="2.%1"/>
        <w:lvlJc w:val="left"/>
        <w:pPr>
          <w:tabs>
            <w:tab w:val="num" w:pos="1742"/>
          </w:tabs>
          <w:ind w:left="1267" w:firstLine="0"/>
        </w:pPr>
        <w:rPr>
          <w:w w:val="100"/>
        </w:rPr>
      </w:lvl>
    </w:lvlOverride>
  </w:num>
  <w:num w:numId="14">
    <w:abstractNumId w:val="6"/>
    <w:lvlOverride w:ilvl="0">
      <w:lvl w:ilvl="0">
        <w:start w:val="1"/>
        <w:numFmt w:val="decimal"/>
        <w:lvlRestart w:val="0"/>
        <w:lvlText w:val="2.%1"/>
        <w:lvlJc w:val="left"/>
        <w:pPr>
          <w:tabs>
            <w:tab w:val="num" w:pos="1742"/>
          </w:tabs>
          <w:ind w:left="1267" w:firstLine="0"/>
        </w:pPr>
        <w:rPr>
          <w:w w:val="100"/>
        </w:rPr>
      </w:lvl>
    </w:lvlOverride>
  </w:num>
  <w:num w:numId="15">
    <w:abstractNumId w:val="13"/>
  </w:num>
  <w:num w:numId="16">
    <w:abstractNumId w:val="2"/>
  </w:num>
  <w:num w:numId="17">
    <w:abstractNumId w:val="10"/>
  </w:num>
  <w:num w:numId="18">
    <w:abstractNumId w:val="0"/>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20335*"/>
    <w:docVar w:name="CreationDt" w:val="31/12/2018 2:21: PM"/>
    <w:docVar w:name="DocCategory" w:val="Doc"/>
    <w:docVar w:name="DocType" w:val="Final"/>
    <w:docVar w:name="DutyStation" w:val="New York"/>
    <w:docVar w:name="FooterJN" w:val="18-20335"/>
    <w:docVar w:name="jobn" w:val="18-20335 (F)"/>
    <w:docVar w:name="jobnDT" w:val="18-20335 (F)   311218"/>
    <w:docVar w:name="jobnDTDT" w:val="18-20335 (F)   311218   311218"/>
    <w:docVar w:name="JobNo" w:val="1820335F"/>
    <w:docVar w:name="JobNo2" w:val="1840089F"/>
    <w:docVar w:name="LocalDrive" w:val="0"/>
    <w:docVar w:name="OandT" w:val="BHE"/>
    <w:docVar w:name="sss1" w:val="CEDAW/C/71/D/101/2016"/>
    <w:docVar w:name="sss2" w:val="-"/>
    <w:docVar w:name="Symbol1" w:val="CEDAW/C/71/D/101/2016"/>
    <w:docVar w:name="Symbol2" w:val="-"/>
  </w:docVars>
  <w:rsids>
    <w:rsidRoot w:val="001C65A9"/>
    <w:rsid w:val="00002584"/>
    <w:rsid w:val="00034294"/>
    <w:rsid w:val="000374A2"/>
    <w:rsid w:val="00071D43"/>
    <w:rsid w:val="000722C4"/>
    <w:rsid w:val="00082144"/>
    <w:rsid w:val="00082F76"/>
    <w:rsid w:val="000975ED"/>
    <w:rsid w:val="000A067B"/>
    <w:rsid w:val="000A2A5B"/>
    <w:rsid w:val="000E2B86"/>
    <w:rsid w:val="000F5BF0"/>
    <w:rsid w:val="00101B18"/>
    <w:rsid w:val="00107EA2"/>
    <w:rsid w:val="001125EE"/>
    <w:rsid w:val="0011387B"/>
    <w:rsid w:val="00122A56"/>
    <w:rsid w:val="001248C6"/>
    <w:rsid w:val="00127B74"/>
    <w:rsid w:val="00134FEE"/>
    <w:rsid w:val="001360AE"/>
    <w:rsid w:val="00146C6A"/>
    <w:rsid w:val="0014728E"/>
    <w:rsid w:val="001569C2"/>
    <w:rsid w:val="00166A0D"/>
    <w:rsid w:val="00170F1D"/>
    <w:rsid w:val="001716B7"/>
    <w:rsid w:val="00183AFB"/>
    <w:rsid w:val="00197BEE"/>
    <w:rsid w:val="001B14EC"/>
    <w:rsid w:val="001B6D8B"/>
    <w:rsid w:val="001C5FBC"/>
    <w:rsid w:val="001C65A9"/>
    <w:rsid w:val="001C7C95"/>
    <w:rsid w:val="001D2C46"/>
    <w:rsid w:val="001D796D"/>
    <w:rsid w:val="001E05C8"/>
    <w:rsid w:val="001E4B50"/>
    <w:rsid w:val="001E7B1C"/>
    <w:rsid w:val="002078F8"/>
    <w:rsid w:val="002126E2"/>
    <w:rsid w:val="0021617B"/>
    <w:rsid w:val="002169E2"/>
    <w:rsid w:val="002227A0"/>
    <w:rsid w:val="002246A3"/>
    <w:rsid w:val="0023364C"/>
    <w:rsid w:val="0024517D"/>
    <w:rsid w:val="002478A0"/>
    <w:rsid w:val="00250700"/>
    <w:rsid w:val="002664E2"/>
    <w:rsid w:val="00271782"/>
    <w:rsid w:val="00273A93"/>
    <w:rsid w:val="002808BC"/>
    <w:rsid w:val="002820FB"/>
    <w:rsid w:val="0029074F"/>
    <w:rsid w:val="002A5E20"/>
    <w:rsid w:val="002C46AB"/>
    <w:rsid w:val="002E0B6E"/>
    <w:rsid w:val="002F1178"/>
    <w:rsid w:val="002F40EA"/>
    <w:rsid w:val="00303279"/>
    <w:rsid w:val="0031540F"/>
    <w:rsid w:val="0031712A"/>
    <w:rsid w:val="00327991"/>
    <w:rsid w:val="003315EE"/>
    <w:rsid w:val="00350957"/>
    <w:rsid w:val="003522F1"/>
    <w:rsid w:val="0036346C"/>
    <w:rsid w:val="003639F9"/>
    <w:rsid w:val="003646F3"/>
    <w:rsid w:val="00364B6E"/>
    <w:rsid w:val="00365839"/>
    <w:rsid w:val="00366D21"/>
    <w:rsid w:val="0038470B"/>
    <w:rsid w:val="003955B2"/>
    <w:rsid w:val="003A675A"/>
    <w:rsid w:val="003B111F"/>
    <w:rsid w:val="003F1E81"/>
    <w:rsid w:val="003F61E1"/>
    <w:rsid w:val="003F78C4"/>
    <w:rsid w:val="003F7C64"/>
    <w:rsid w:val="00403193"/>
    <w:rsid w:val="00424D0F"/>
    <w:rsid w:val="00440C93"/>
    <w:rsid w:val="00447061"/>
    <w:rsid w:val="00480B84"/>
    <w:rsid w:val="0048278B"/>
    <w:rsid w:val="00493E5A"/>
    <w:rsid w:val="004B64F9"/>
    <w:rsid w:val="004C1A25"/>
    <w:rsid w:val="004C7B76"/>
    <w:rsid w:val="004D4E3B"/>
    <w:rsid w:val="004F77D8"/>
    <w:rsid w:val="005052DE"/>
    <w:rsid w:val="00515991"/>
    <w:rsid w:val="005225EC"/>
    <w:rsid w:val="00525097"/>
    <w:rsid w:val="005509B6"/>
    <w:rsid w:val="00553C0E"/>
    <w:rsid w:val="00564F76"/>
    <w:rsid w:val="00586F3C"/>
    <w:rsid w:val="00592C73"/>
    <w:rsid w:val="005B4EB2"/>
    <w:rsid w:val="005B72A8"/>
    <w:rsid w:val="005D7CFF"/>
    <w:rsid w:val="005F1F5F"/>
    <w:rsid w:val="006165D9"/>
    <w:rsid w:val="00634666"/>
    <w:rsid w:val="00641270"/>
    <w:rsid w:val="006635F5"/>
    <w:rsid w:val="006650B0"/>
    <w:rsid w:val="006672B3"/>
    <w:rsid w:val="006903F4"/>
    <w:rsid w:val="00690698"/>
    <w:rsid w:val="006A1D48"/>
    <w:rsid w:val="006A49E5"/>
    <w:rsid w:val="006A781A"/>
    <w:rsid w:val="006A7933"/>
    <w:rsid w:val="006B04FF"/>
    <w:rsid w:val="006D1A13"/>
    <w:rsid w:val="006E4A4B"/>
    <w:rsid w:val="00701CD9"/>
    <w:rsid w:val="00742261"/>
    <w:rsid w:val="00742ABE"/>
    <w:rsid w:val="00743B40"/>
    <w:rsid w:val="007459AE"/>
    <w:rsid w:val="007531A5"/>
    <w:rsid w:val="00756BF1"/>
    <w:rsid w:val="00764ABC"/>
    <w:rsid w:val="00771C9E"/>
    <w:rsid w:val="007C7FF4"/>
    <w:rsid w:val="007D1FB6"/>
    <w:rsid w:val="007D521A"/>
    <w:rsid w:val="007E512B"/>
    <w:rsid w:val="00804262"/>
    <w:rsid w:val="00805B0B"/>
    <w:rsid w:val="00806820"/>
    <w:rsid w:val="00807A26"/>
    <w:rsid w:val="0082045E"/>
    <w:rsid w:val="00820E2D"/>
    <w:rsid w:val="008222A3"/>
    <w:rsid w:val="008229F4"/>
    <w:rsid w:val="00833956"/>
    <w:rsid w:val="008342DB"/>
    <w:rsid w:val="00886496"/>
    <w:rsid w:val="00890943"/>
    <w:rsid w:val="008A1DAA"/>
    <w:rsid w:val="008A21C3"/>
    <w:rsid w:val="008A6F48"/>
    <w:rsid w:val="008C0BE8"/>
    <w:rsid w:val="008E35B0"/>
    <w:rsid w:val="008E6581"/>
    <w:rsid w:val="008F3462"/>
    <w:rsid w:val="008F3603"/>
    <w:rsid w:val="008F7320"/>
    <w:rsid w:val="00932894"/>
    <w:rsid w:val="0093422D"/>
    <w:rsid w:val="00935932"/>
    <w:rsid w:val="0093619A"/>
    <w:rsid w:val="009466DF"/>
    <w:rsid w:val="00950C8B"/>
    <w:rsid w:val="009513A2"/>
    <w:rsid w:val="00952E6E"/>
    <w:rsid w:val="00954BB9"/>
    <w:rsid w:val="00962D4A"/>
    <w:rsid w:val="00967579"/>
    <w:rsid w:val="00972C2A"/>
    <w:rsid w:val="00973C0B"/>
    <w:rsid w:val="0097505E"/>
    <w:rsid w:val="00993CB7"/>
    <w:rsid w:val="009C1E9C"/>
    <w:rsid w:val="009C24A5"/>
    <w:rsid w:val="009D0EE3"/>
    <w:rsid w:val="009D1D8C"/>
    <w:rsid w:val="009F1D47"/>
    <w:rsid w:val="00A16817"/>
    <w:rsid w:val="00A20E8F"/>
    <w:rsid w:val="00A2494D"/>
    <w:rsid w:val="00A50E05"/>
    <w:rsid w:val="00A5301A"/>
    <w:rsid w:val="00A53578"/>
    <w:rsid w:val="00A536A1"/>
    <w:rsid w:val="00A93436"/>
    <w:rsid w:val="00AB0B7D"/>
    <w:rsid w:val="00AC0694"/>
    <w:rsid w:val="00AC0C0D"/>
    <w:rsid w:val="00AD5F2F"/>
    <w:rsid w:val="00AD7ACD"/>
    <w:rsid w:val="00AF378D"/>
    <w:rsid w:val="00B041EB"/>
    <w:rsid w:val="00B14A3A"/>
    <w:rsid w:val="00B221F5"/>
    <w:rsid w:val="00B23617"/>
    <w:rsid w:val="00B3533B"/>
    <w:rsid w:val="00B62829"/>
    <w:rsid w:val="00B858D5"/>
    <w:rsid w:val="00BA04C8"/>
    <w:rsid w:val="00BA40FA"/>
    <w:rsid w:val="00BA6D13"/>
    <w:rsid w:val="00BE67AC"/>
    <w:rsid w:val="00C02D94"/>
    <w:rsid w:val="00C03E0C"/>
    <w:rsid w:val="00C03EAF"/>
    <w:rsid w:val="00C14917"/>
    <w:rsid w:val="00C15649"/>
    <w:rsid w:val="00C27B44"/>
    <w:rsid w:val="00C313EB"/>
    <w:rsid w:val="00C34A84"/>
    <w:rsid w:val="00C50B2B"/>
    <w:rsid w:val="00C63439"/>
    <w:rsid w:val="00C70C47"/>
    <w:rsid w:val="00C74BFE"/>
    <w:rsid w:val="00C75FBD"/>
    <w:rsid w:val="00C7639E"/>
    <w:rsid w:val="00C80AC5"/>
    <w:rsid w:val="00C80F53"/>
    <w:rsid w:val="00C8155B"/>
    <w:rsid w:val="00CA5053"/>
    <w:rsid w:val="00CB06FB"/>
    <w:rsid w:val="00CB63C5"/>
    <w:rsid w:val="00CC614B"/>
    <w:rsid w:val="00CF74E2"/>
    <w:rsid w:val="00D00FCE"/>
    <w:rsid w:val="00D0490B"/>
    <w:rsid w:val="00D16C31"/>
    <w:rsid w:val="00D23F10"/>
    <w:rsid w:val="00D30EED"/>
    <w:rsid w:val="00D45859"/>
    <w:rsid w:val="00D826FF"/>
    <w:rsid w:val="00D82819"/>
    <w:rsid w:val="00D94AD1"/>
    <w:rsid w:val="00DA0DD8"/>
    <w:rsid w:val="00DD141F"/>
    <w:rsid w:val="00DD17BB"/>
    <w:rsid w:val="00DD4957"/>
    <w:rsid w:val="00DE1A46"/>
    <w:rsid w:val="00DE399A"/>
    <w:rsid w:val="00E343A6"/>
    <w:rsid w:val="00E7105F"/>
    <w:rsid w:val="00E71A2E"/>
    <w:rsid w:val="00E753D6"/>
    <w:rsid w:val="00E75BB8"/>
    <w:rsid w:val="00E761EC"/>
    <w:rsid w:val="00E86242"/>
    <w:rsid w:val="00EB2F27"/>
    <w:rsid w:val="00EB4204"/>
    <w:rsid w:val="00EB4D56"/>
    <w:rsid w:val="00EB60ED"/>
    <w:rsid w:val="00EE37EC"/>
    <w:rsid w:val="00EF2DFA"/>
    <w:rsid w:val="00EF76D5"/>
    <w:rsid w:val="00F069FF"/>
    <w:rsid w:val="00F077DC"/>
    <w:rsid w:val="00F13847"/>
    <w:rsid w:val="00F326B2"/>
    <w:rsid w:val="00F46A21"/>
    <w:rsid w:val="00F5012D"/>
    <w:rsid w:val="00F61D8C"/>
    <w:rsid w:val="00F640C4"/>
    <w:rsid w:val="00F66D4E"/>
    <w:rsid w:val="00F723A8"/>
    <w:rsid w:val="00F73093"/>
    <w:rsid w:val="00F82708"/>
    <w:rsid w:val="00F8793E"/>
    <w:rsid w:val="00F92EC8"/>
    <w:rsid w:val="00FA3D05"/>
    <w:rsid w:val="00FA5CC9"/>
    <w:rsid w:val="00FA7F75"/>
    <w:rsid w:val="00FB0A2C"/>
    <w:rsid w:val="00FB2D67"/>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BB522"/>
  <w15:chartTrackingRefBased/>
  <w15:docId w15:val="{5B4A3295-0DDB-4A47-BC14-9DDE4603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933"/>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
    <w:basedOn w:val="Normal"/>
    <w:next w:val="Normal"/>
    <w:link w:val="Heading1Char"/>
    <w:qFormat/>
    <w:rsid w:val="006A7933"/>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6A7933"/>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6A7933"/>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6A7933"/>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6A7933"/>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6A7933"/>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6A7933"/>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6A7933"/>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6A7933"/>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6A7933"/>
    <w:pPr>
      <w:keepNext/>
      <w:keepLines/>
      <w:suppressAutoHyphens/>
      <w:spacing w:line="270" w:lineRule="exact"/>
      <w:outlineLvl w:val="0"/>
    </w:pPr>
    <w:rPr>
      <w:b/>
      <w:sz w:val="24"/>
    </w:rPr>
  </w:style>
  <w:style w:type="paragraph" w:customStyle="1" w:styleId="HCH">
    <w:name w:val="_ H _CH"/>
    <w:basedOn w:val="H1"/>
    <w:next w:val="Normal"/>
    <w:qFormat/>
    <w:rsid w:val="006A7933"/>
    <w:pPr>
      <w:spacing w:line="300" w:lineRule="exact"/>
    </w:pPr>
    <w:rPr>
      <w:spacing w:val="-2"/>
      <w:sz w:val="28"/>
    </w:rPr>
  </w:style>
  <w:style w:type="paragraph" w:customStyle="1" w:styleId="HM">
    <w:name w:val="_ H __M"/>
    <w:basedOn w:val="HCH"/>
    <w:next w:val="Normal"/>
    <w:qFormat/>
    <w:rsid w:val="006A7933"/>
    <w:pPr>
      <w:spacing w:line="360" w:lineRule="exact"/>
    </w:pPr>
    <w:rPr>
      <w:spacing w:val="-3"/>
      <w:w w:val="99"/>
      <w:sz w:val="34"/>
    </w:rPr>
  </w:style>
  <w:style w:type="paragraph" w:customStyle="1" w:styleId="H23">
    <w:name w:val="_ H_2/3"/>
    <w:basedOn w:val="H1"/>
    <w:next w:val="SingleTxt"/>
    <w:qFormat/>
    <w:rsid w:val="006A7933"/>
    <w:pPr>
      <w:spacing w:line="240" w:lineRule="exact"/>
      <w:outlineLvl w:val="1"/>
    </w:pPr>
    <w:rPr>
      <w:spacing w:val="2"/>
      <w:sz w:val="20"/>
    </w:rPr>
  </w:style>
  <w:style w:type="paragraph" w:customStyle="1" w:styleId="H4">
    <w:name w:val="_ H_4"/>
    <w:basedOn w:val="Normal"/>
    <w:next w:val="Normal"/>
    <w:qFormat/>
    <w:rsid w:val="006A7933"/>
    <w:pPr>
      <w:keepNext/>
      <w:keepLines/>
      <w:tabs>
        <w:tab w:val="right" w:pos="360"/>
      </w:tabs>
      <w:suppressAutoHyphens/>
      <w:outlineLvl w:val="3"/>
    </w:pPr>
    <w:rPr>
      <w:i/>
      <w:spacing w:val="3"/>
    </w:rPr>
  </w:style>
  <w:style w:type="paragraph" w:customStyle="1" w:styleId="H56">
    <w:name w:val="_ H_5/6"/>
    <w:basedOn w:val="Normal"/>
    <w:next w:val="Normal"/>
    <w:qFormat/>
    <w:rsid w:val="006A7933"/>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6A79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6A7933"/>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6A7933"/>
    <w:pPr>
      <w:spacing w:line="540" w:lineRule="exact"/>
    </w:pPr>
    <w:rPr>
      <w:spacing w:val="-8"/>
      <w:w w:val="96"/>
      <w:sz w:val="57"/>
    </w:rPr>
  </w:style>
  <w:style w:type="paragraph" w:customStyle="1" w:styleId="SS">
    <w:name w:val="__S_S"/>
    <w:basedOn w:val="HCH"/>
    <w:next w:val="Normal"/>
    <w:qFormat/>
    <w:rsid w:val="006A7933"/>
    <w:pPr>
      <w:ind w:left="1267" w:right="1267"/>
    </w:pPr>
  </w:style>
  <w:style w:type="paragraph" w:customStyle="1" w:styleId="SingleTxt">
    <w:name w:val="__Single Txt"/>
    <w:basedOn w:val="Normal"/>
    <w:qFormat/>
    <w:rsid w:val="006A793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6A7933"/>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6A793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6A7933"/>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6A793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A7933"/>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6A7933"/>
    <w:pPr>
      <w:numPr>
        <w:numId w:val="1"/>
      </w:numPr>
      <w:spacing w:after="120"/>
      <w:ind w:right="1267"/>
      <w:jc w:val="both"/>
    </w:pPr>
  </w:style>
  <w:style w:type="paragraph" w:customStyle="1" w:styleId="Bullet2">
    <w:name w:val="Bullet 2"/>
    <w:basedOn w:val="Normal"/>
    <w:qFormat/>
    <w:rsid w:val="006A7933"/>
    <w:pPr>
      <w:numPr>
        <w:numId w:val="2"/>
      </w:numPr>
      <w:spacing w:after="120"/>
      <w:ind w:right="1264"/>
      <w:jc w:val="both"/>
    </w:pPr>
  </w:style>
  <w:style w:type="paragraph" w:customStyle="1" w:styleId="Bullet3">
    <w:name w:val="Bullet 3"/>
    <w:basedOn w:val="SingleTxt"/>
    <w:qFormat/>
    <w:rsid w:val="006A7933"/>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6A7933"/>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6A793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6A7933"/>
    <w:pPr>
      <w:spacing w:line="210" w:lineRule="exact"/>
    </w:pPr>
    <w:rPr>
      <w:sz w:val="17"/>
      <w:szCs w:val="20"/>
    </w:rPr>
  </w:style>
  <w:style w:type="character" w:customStyle="1" w:styleId="EndnoteTextChar">
    <w:name w:val="Endnote Text Char"/>
    <w:aliases w:val="2_G Char"/>
    <w:link w:val="EndnoteText"/>
    <w:rsid w:val="006A7933"/>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qFormat/>
    <w:rsid w:val="006A7933"/>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
    <w:link w:val="Footer"/>
    <w:rsid w:val="006A7933"/>
    <w:rPr>
      <w:rFonts w:ascii="Times New Roman" w:eastAsiaTheme="minorHAnsi" w:hAnsi="Times New Roman" w:cs="Times New Roman"/>
      <w:b/>
      <w:spacing w:val="3"/>
      <w:w w:val="105"/>
      <w:sz w:val="17"/>
      <w:lang w:val="en-US" w:eastAsia="en-US"/>
    </w:rPr>
  </w:style>
  <w:style w:type="character" w:styleId="FootnoteReference">
    <w:name w:val="footnote reference"/>
    <w:aliases w:val="4_G"/>
    <w:qFormat/>
    <w:rsid w:val="006A793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6A7933"/>
    <w:pPr>
      <w:spacing w:line="210" w:lineRule="exact"/>
    </w:pPr>
    <w:rPr>
      <w:sz w:val="17"/>
      <w:szCs w:val="20"/>
    </w:rPr>
  </w:style>
  <w:style w:type="character" w:customStyle="1" w:styleId="FootnoteTextChar">
    <w:name w:val="Footnote Text Char"/>
    <w:aliases w:val="5_G Char"/>
    <w:link w:val="FootnoteText"/>
    <w:rsid w:val="006A7933"/>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qFormat/>
    <w:rsid w:val="006A7933"/>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rsid w:val="006A7933"/>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rsid w:val="006A7933"/>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rsid w:val="006A7933"/>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rsid w:val="006A7933"/>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rsid w:val="006A7933"/>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rsid w:val="006A7933"/>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6A7933"/>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semiHidden/>
    <w:rsid w:val="006A7933"/>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semiHidden/>
    <w:rsid w:val="006A7933"/>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semiHidden/>
    <w:rsid w:val="006A7933"/>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6A7933"/>
    <w:rPr>
      <w:sz w:val="14"/>
    </w:rPr>
  </w:style>
  <w:style w:type="paragraph" w:styleId="ListParagraph">
    <w:name w:val="List Paragraph"/>
    <w:basedOn w:val="Normal"/>
    <w:uiPriority w:val="34"/>
    <w:rsid w:val="006A7933"/>
    <w:pPr>
      <w:ind w:left="720"/>
      <w:contextualSpacing/>
    </w:pPr>
  </w:style>
  <w:style w:type="paragraph" w:styleId="NoSpacing">
    <w:name w:val="No Spacing"/>
    <w:uiPriority w:val="1"/>
    <w:rsid w:val="006A7933"/>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6A793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6A793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6A7933"/>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6A7933"/>
    <w:pPr>
      <w:tabs>
        <w:tab w:val="right" w:pos="9965"/>
      </w:tabs>
      <w:spacing w:line="210" w:lineRule="exact"/>
    </w:pPr>
    <w:rPr>
      <w:spacing w:val="5"/>
      <w:w w:val="104"/>
      <w:sz w:val="17"/>
    </w:rPr>
  </w:style>
  <w:style w:type="paragraph" w:customStyle="1" w:styleId="SmallX">
    <w:name w:val="SmallX"/>
    <w:basedOn w:val="Small"/>
    <w:next w:val="Normal"/>
    <w:qFormat/>
    <w:rsid w:val="006A7933"/>
    <w:pPr>
      <w:spacing w:line="180" w:lineRule="exact"/>
      <w:jc w:val="right"/>
    </w:pPr>
    <w:rPr>
      <w:spacing w:val="6"/>
      <w:w w:val="106"/>
      <w:sz w:val="14"/>
    </w:rPr>
  </w:style>
  <w:style w:type="character" w:styleId="Strong">
    <w:name w:val="Strong"/>
    <w:uiPriority w:val="22"/>
    <w:rsid w:val="006A7933"/>
    <w:rPr>
      <w:b/>
      <w:bCs/>
    </w:rPr>
  </w:style>
  <w:style w:type="paragraph" w:customStyle="1" w:styleId="Style1">
    <w:name w:val="Style1"/>
    <w:basedOn w:val="Normal"/>
    <w:qFormat/>
    <w:rsid w:val="006A7933"/>
  </w:style>
  <w:style w:type="paragraph" w:customStyle="1" w:styleId="Style2">
    <w:name w:val="Style2"/>
    <w:basedOn w:val="Normal"/>
    <w:autoRedefine/>
    <w:qFormat/>
    <w:rsid w:val="006A7933"/>
  </w:style>
  <w:style w:type="paragraph" w:customStyle="1" w:styleId="TitleHCH">
    <w:name w:val="Title_H_CH"/>
    <w:basedOn w:val="H1"/>
    <w:next w:val="Normal"/>
    <w:qFormat/>
    <w:rsid w:val="006A793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6A793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6A7933"/>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2126E2"/>
    <w:rPr>
      <w:sz w:val="16"/>
      <w:szCs w:val="16"/>
    </w:rPr>
  </w:style>
  <w:style w:type="paragraph" w:styleId="CommentText">
    <w:name w:val="annotation text"/>
    <w:basedOn w:val="Normal"/>
    <w:link w:val="CommentTextChar"/>
    <w:uiPriority w:val="99"/>
    <w:semiHidden/>
    <w:unhideWhenUsed/>
    <w:rsid w:val="002126E2"/>
    <w:pPr>
      <w:spacing w:line="240" w:lineRule="auto"/>
    </w:pPr>
    <w:rPr>
      <w:szCs w:val="20"/>
    </w:rPr>
  </w:style>
  <w:style w:type="character" w:customStyle="1" w:styleId="CommentTextChar">
    <w:name w:val="Comment Text Char"/>
    <w:basedOn w:val="DefaultParagraphFont"/>
    <w:link w:val="CommentText"/>
    <w:uiPriority w:val="99"/>
    <w:semiHidden/>
    <w:rsid w:val="002126E2"/>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2126E2"/>
    <w:rPr>
      <w:b/>
      <w:bCs/>
    </w:rPr>
  </w:style>
  <w:style w:type="character" w:customStyle="1" w:styleId="CommentSubjectChar">
    <w:name w:val="Comment Subject Char"/>
    <w:basedOn w:val="CommentTextChar"/>
    <w:link w:val="CommentSubject"/>
    <w:uiPriority w:val="99"/>
    <w:semiHidden/>
    <w:rsid w:val="002126E2"/>
    <w:rPr>
      <w:rFonts w:ascii="Times New Roman" w:eastAsiaTheme="minorHAnsi" w:hAnsi="Times New Roman" w:cs="Times New Roman"/>
      <w:b/>
      <w:bCs/>
      <w:spacing w:val="4"/>
      <w:w w:val="103"/>
      <w:kern w:val="14"/>
      <w:sz w:val="20"/>
      <w:szCs w:val="20"/>
      <w:lang w:val="fr-CA" w:eastAsia="en-US"/>
    </w:rPr>
  </w:style>
  <w:style w:type="paragraph" w:customStyle="1" w:styleId="HChG">
    <w:name w:val="_ H _Ch_G"/>
    <w:basedOn w:val="Normal"/>
    <w:next w:val="Normal"/>
    <w:link w:val="HChGChar"/>
    <w:qFormat/>
    <w:rsid w:val="00D45859"/>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b/>
      <w:spacing w:val="0"/>
      <w:w w:val="100"/>
      <w:kern w:val="0"/>
      <w:sz w:val="28"/>
      <w:szCs w:val="20"/>
      <w:lang w:val="fr-CH"/>
    </w:rPr>
  </w:style>
  <w:style w:type="paragraph" w:customStyle="1" w:styleId="SingleTxtG">
    <w:name w:val="_ Single Txt_G"/>
    <w:basedOn w:val="Normal"/>
    <w:link w:val="SingleTxtGChar"/>
    <w:qFormat/>
    <w:rsid w:val="00D45859"/>
    <w:pPr>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fr-CH"/>
    </w:rPr>
  </w:style>
  <w:style w:type="character" w:customStyle="1" w:styleId="SingleTxtGChar">
    <w:name w:val="_ Single Txt_G Char"/>
    <w:link w:val="SingleTxtG"/>
    <w:locked/>
    <w:rsid w:val="00D45859"/>
    <w:rPr>
      <w:rFonts w:ascii="Times New Roman" w:eastAsiaTheme="minorHAnsi" w:hAnsi="Times New Roman" w:cs="Times New Roman"/>
      <w:sz w:val="20"/>
      <w:szCs w:val="20"/>
      <w:lang w:val="fr-CH" w:eastAsia="en-US"/>
    </w:rPr>
  </w:style>
  <w:style w:type="character" w:customStyle="1" w:styleId="HChGChar">
    <w:name w:val="_ H _Ch_G Char"/>
    <w:link w:val="HChG"/>
    <w:rsid w:val="00D45859"/>
    <w:rPr>
      <w:rFonts w:ascii="Times New Roman" w:eastAsiaTheme="minorHAnsi" w:hAnsi="Times New Roman" w:cs="Times New Roman"/>
      <w:b/>
      <w:sz w:val="28"/>
      <w:szCs w:val="20"/>
      <w:lang w:val="fr-CH" w:eastAsia="en-US"/>
    </w:rPr>
  </w:style>
  <w:style w:type="paragraph" w:customStyle="1" w:styleId="HMG">
    <w:name w:val="_ H __M_G"/>
    <w:basedOn w:val="Normal"/>
    <w:next w:val="Normal"/>
    <w:qFormat/>
    <w:rsid w:val="00D45859"/>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b/>
      <w:spacing w:val="0"/>
      <w:w w:val="100"/>
      <w:kern w:val="0"/>
      <w:sz w:val="34"/>
      <w:szCs w:val="20"/>
      <w:lang w:val="fr-CH"/>
    </w:rPr>
  </w:style>
  <w:style w:type="paragraph" w:customStyle="1" w:styleId="H1G">
    <w:name w:val="_ H_1_G"/>
    <w:basedOn w:val="Normal"/>
    <w:next w:val="Normal"/>
    <w:qFormat/>
    <w:rsid w:val="00D45859"/>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b/>
      <w:spacing w:val="0"/>
      <w:w w:val="100"/>
      <w:kern w:val="0"/>
      <w:sz w:val="24"/>
      <w:szCs w:val="20"/>
      <w:lang w:val="fr-CH"/>
    </w:rPr>
  </w:style>
  <w:style w:type="paragraph" w:customStyle="1" w:styleId="H23G">
    <w:name w:val="_ H_2/3_G"/>
    <w:basedOn w:val="Normal"/>
    <w:next w:val="Normal"/>
    <w:qFormat/>
    <w:rsid w:val="00D45859"/>
    <w:pPr>
      <w:keepNext/>
      <w:keepLines/>
      <w:tabs>
        <w:tab w:val="right" w:pos="851"/>
      </w:tabs>
      <w:suppressAutoHyphens/>
      <w:kinsoku w:val="0"/>
      <w:overflowPunct w:val="0"/>
      <w:autoSpaceDE w:val="0"/>
      <w:autoSpaceDN w:val="0"/>
      <w:adjustRightInd w:val="0"/>
      <w:snapToGrid w:val="0"/>
      <w:spacing w:before="240" w:after="120"/>
      <w:ind w:left="1134" w:right="1134" w:hanging="1134"/>
    </w:pPr>
    <w:rPr>
      <w:b/>
      <w:spacing w:val="0"/>
      <w:w w:val="100"/>
      <w:kern w:val="0"/>
      <w:szCs w:val="20"/>
      <w:lang w:val="fr-CH"/>
    </w:rPr>
  </w:style>
  <w:style w:type="paragraph" w:customStyle="1" w:styleId="H4G">
    <w:name w:val="_ H_4_G"/>
    <w:basedOn w:val="Normal"/>
    <w:next w:val="Normal"/>
    <w:qFormat/>
    <w:rsid w:val="00D45859"/>
    <w:pPr>
      <w:keepNext/>
      <w:keepLines/>
      <w:tabs>
        <w:tab w:val="right" w:pos="851"/>
      </w:tabs>
      <w:suppressAutoHyphens/>
      <w:kinsoku w:val="0"/>
      <w:overflowPunct w:val="0"/>
      <w:autoSpaceDE w:val="0"/>
      <w:autoSpaceDN w:val="0"/>
      <w:adjustRightInd w:val="0"/>
      <w:snapToGrid w:val="0"/>
      <w:spacing w:before="240" w:after="120"/>
      <w:ind w:left="1134" w:right="1134" w:hanging="1134"/>
    </w:pPr>
    <w:rPr>
      <w:i/>
      <w:spacing w:val="0"/>
      <w:w w:val="100"/>
      <w:kern w:val="0"/>
      <w:szCs w:val="20"/>
      <w:lang w:val="fr-CH"/>
    </w:rPr>
  </w:style>
  <w:style w:type="paragraph" w:customStyle="1" w:styleId="H56G">
    <w:name w:val="_ H_5/6_G"/>
    <w:basedOn w:val="Normal"/>
    <w:next w:val="Normal"/>
    <w:qFormat/>
    <w:rsid w:val="00D45859"/>
    <w:pPr>
      <w:keepNext/>
      <w:keepLines/>
      <w:tabs>
        <w:tab w:val="right" w:pos="851"/>
      </w:tabs>
      <w:suppressAutoHyphens/>
      <w:kinsoku w:val="0"/>
      <w:overflowPunct w:val="0"/>
      <w:autoSpaceDE w:val="0"/>
      <w:autoSpaceDN w:val="0"/>
      <w:adjustRightInd w:val="0"/>
      <w:snapToGrid w:val="0"/>
      <w:spacing w:before="240" w:after="120"/>
      <w:ind w:left="1134" w:right="1134" w:hanging="1134"/>
    </w:pPr>
    <w:rPr>
      <w:spacing w:val="0"/>
      <w:w w:val="100"/>
      <w:kern w:val="0"/>
      <w:szCs w:val="20"/>
      <w:lang w:val="fr-CH"/>
    </w:rPr>
  </w:style>
  <w:style w:type="paragraph" w:customStyle="1" w:styleId="SLG">
    <w:name w:val="__S_L_G"/>
    <w:basedOn w:val="Normal"/>
    <w:next w:val="Normal"/>
    <w:rsid w:val="00D45859"/>
    <w:pPr>
      <w:keepNext/>
      <w:keepLines/>
      <w:suppressAutoHyphens/>
      <w:kinsoku w:val="0"/>
      <w:overflowPunct w:val="0"/>
      <w:autoSpaceDE w:val="0"/>
      <w:autoSpaceDN w:val="0"/>
      <w:adjustRightInd w:val="0"/>
      <w:snapToGrid w:val="0"/>
      <w:spacing w:before="240" w:after="240" w:line="580" w:lineRule="exact"/>
      <w:ind w:left="1134" w:right="1134"/>
    </w:pPr>
    <w:rPr>
      <w:b/>
      <w:spacing w:val="0"/>
      <w:w w:val="100"/>
      <w:kern w:val="0"/>
      <w:sz w:val="56"/>
      <w:szCs w:val="20"/>
      <w:lang w:val="fr-CH"/>
    </w:rPr>
  </w:style>
  <w:style w:type="paragraph" w:customStyle="1" w:styleId="SMG">
    <w:name w:val="__S_M_G"/>
    <w:basedOn w:val="Normal"/>
    <w:next w:val="Normal"/>
    <w:rsid w:val="00D45859"/>
    <w:pPr>
      <w:keepNext/>
      <w:keepLines/>
      <w:suppressAutoHyphens/>
      <w:kinsoku w:val="0"/>
      <w:overflowPunct w:val="0"/>
      <w:autoSpaceDE w:val="0"/>
      <w:autoSpaceDN w:val="0"/>
      <w:adjustRightInd w:val="0"/>
      <w:snapToGrid w:val="0"/>
      <w:spacing w:before="240" w:after="240" w:line="420" w:lineRule="exact"/>
      <w:ind w:left="1134" w:right="1134"/>
    </w:pPr>
    <w:rPr>
      <w:b/>
      <w:spacing w:val="0"/>
      <w:w w:val="100"/>
      <w:kern w:val="0"/>
      <w:sz w:val="40"/>
      <w:szCs w:val="20"/>
      <w:lang w:val="fr-CH"/>
    </w:rPr>
  </w:style>
  <w:style w:type="paragraph" w:customStyle="1" w:styleId="SSG">
    <w:name w:val="__S_S_G"/>
    <w:basedOn w:val="Normal"/>
    <w:next w:val="Normal"/>
    <w:rsid w:val="00D45859"/>
    <w:pPr>
      <w:keepNext/>
      <w:keepLines/>
      <w:suppressAutoHyphens/>
      <w:kinsoku w:val="0"/>
      <w:overflowPunct w:val="0"/>
      <w:autoSpaceDE w:val="0"/>
      <w:autoSpaceDN w:val="0"/>
      <w:adjustRightInd w:val="0"/>
      <w:snapToGrid w:val="0"/>
      <w:spacing w:before="240" w:after="240" w:line="300" w:lineRule="exact"/>
      <w:ind w:left="1134" w:right="1134"/>
    </w:pPr>
    <w:rPr>
      <w:b/>
      <w:spacing w:val="0"/>
      <w:w w:val="100"/>
      <w:kern w:val="0"/>
      <w:sz w:val="28"/>
      <w:szCs w:val="20"/>
      <w:lang w:val="fr-CH"/>
    </w:rPr>
  </w:style>
  <w:style w:type="paragraph" w:customStyle="1" w:styleId="XLargeG">
    <w:name w:val="__XLarge_G"/>
    <w:basedOn w:val="Normal"/>
    <w:next w:val="Normal"/>
    <w:rsid w:val="00D45859"/>
    <w:pPr>
      <w:keepNext/>
      <w:keepLines/>
      <w:suppressAutoHyphens/>
      <w:kinsoku w:val="0"/>
      <w:overflowPunct w:val="0"/>
      <w:autoSpaceDE w:val="0"/>
      <w:autoSpaceDN w:val="0"/>
      <w:adjustRightInd w:val="0"/>
      <w:snapToGrid w:val="0"/>
      <w:spacing w:before="240" w:after="240" w:line="420" w:lineRule="exact"/>
      <w:ind w:left="1134" w:right="1134"/>
    </w:pPr>
    <w:rPr>
      <w:b/>
      <w:spacing w:val="0"/>
      <w:w w:val="100"/>
      <w:kern w:val="0"/>
      <w:sz w:val="40"/>
      <w:szCs w:val="20"/>
      <w:lang w:val="fr-CH"/>
    </w:rPr>
  </w:style>
  <w:style w:type="paragraph" w:customStyle="1" w:styleId="Bullet1G">
    <w:name w:val="_Bullet 1_G"/>
    <w:basedOn w:val="Normal"/>
    <w:qFormat/>
    <w:rsid w:val="00D45859"/>
    <w:pPr>
      <w:numPr>
        <w:numId w:val="5"/>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fr-CH"/>
    </w:rPr>
  </w:style>
  <w:style w:type="paragraph" w:customStyle="1" w:styleId="Bullet2G">
    <w:name w:val="_Bullet 2_G"/>
    <w:basedOn w:val="Normal"/>
    <w:qFormat/>
    <w:rsid w:val="00D45859"/>
    <w:pPr>
      <w:numPr>
        <w:numId w:val="6"/>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fr-CH"/>
    </w:rPr>
  </w:style>
  <w:style w:type="paragraph" w:customStyle="1" w:styleId="ParNoG">
    <w:name w:val="_ParNo_G"/>
    <w:basedOn w:val="Normal"/>
    <w:qFormat/>
    <w:rsid w:val="00D45859"/>
    <w:pPr>
      <w:numPr>
        <w:numId w:val="7"/>
      </w:numPr>
      <w:tabs>
        <w:tab w:val="clear" w:pos="1701"/>
      </w:tabs>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fr-CH"/>
    </w:rPr>
  </w:style>
  <w:style w:type="table" w:styleId="TableGrid">
    <w:name w:val="Table Grid"/>
    <w:basedOn w:val="TableNormal"/>
    <w:rsid w:val="00D45859"/>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D45859"/>
    <w:rPr>
      <w:color w:val="0000FF"/>
      <w:u w:val="none"/>
    </w:rPr>
  </w:style>
  <w:style w:type="character" w:styleId="FollowedHyperlink">
    <w:name w:val="FollowedHyperlink"/>
    <w:basedOn w:val="DefaultParagraphFont"/>
    <w:unhideWhenUsed/>
    <w:rsid w:val="00D45859"/>
    <w:rPr>
      <w:color w:val="0000FF"/>
      <w:u w:val="none"/>
    </w:rPr>
  </w:style>
  <w:style w:type="character" w:styleId="PageNumber">
    <w:name w:val="page number"/>
    <w:aliases w:val="7_G"/>
    <w:basedOn w:val="DefaultParagraphFont"/>
    <w:qFormat/>
    <w:rsid w:val="00D45859"/>
    <w:rPr>
      <w:rFonts w:ascii="Times New Roman" w:hAnsi="Times New Roman"/>
      <w:b/>
      <w:sz w:val="18"/>
      <w:lang w:val="fr-CH"/>
    </w:rPr>
  </w:style>
  <w:style w:type="character" w:styleId="UnresolvedMention">
    <w:name w:val="Unresolved Mention"/>
    <w:basedOn w:val="DefaultParagraphFont"/>
    <w:uiPriority w:val="99"/>
    <w:semiHidden/>
    <w:unhideWhenUsed/>
    <w:rsid w:val="00197BEE"/>
    <w:rPr>
      <w:color w:val="808080"/>
      <w:shd w:val="clear" w:color="auto" w:fill="E6E6E6"/>
    </w:rPr>
  </w:style>
  <w:style w:type="paragraph" w:styleId="Revision">
    <w:name w:val="Revision"/>
    <w:hidden/>
    <w:uiPriority w:val="99"/>
    <w:semiHidden/>
    <w:rsid w:val="00197BEE"/>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CEDAW/C/70/D/84/2015" TargetMode="External"/><Relationship Id="rId13" Type="http://schemas.openxmlformats.org/officeDocument/2006/relationships/hyperlink" Target="https://undocs.org/fr/CEDAW/C/63/D/62/2013" TargetMode="External"/><Relationship Id="rId3" Type="http://schemas.openxmlformats.org/officeDocument/2006/relationships/hyperlink" Target="https://undocs.org/fr/CCPR/C/114/D/2426/2014" TargetMode="External"/><Relationship Id="rId7" Type="http://schemas.openxmlformats.org/officeDocument/2006/relationships/hyperlink" Target="https://undocs.org/fr/CEDAW/C/71/D/73/2014" TargetMode="External"/><Relationship Id="rId12" Type="http://schemas.openxmlformats.org/officeDocument/2006/relationships/hyperlink" Target="https://undocs.org/fr/CEDAW/C/69/D/80/2015" TargetMode="External"/><Relationship Id="rId2" Type="http://schemas.openxmlformats.org/officeDocument/2006/relationships/hyperlink" Target="https://undocs.org/fr/CCPR/C/112/D/2186/2012" TargetMode="External"/><Relationship Id="rId1" Type="http://schemas.openxmlformats.org/officeDocument/2006/relationships/hyperlink" Target="https://undocs.org/fr/CCPR/C/113/D/2272/2013" TargetMode="External"/><Relationship Id="rId6" Type="http://schemas.openxmlformats.org/officeDocument/2006/relationships/hyperlink" Target="https://undocs.org/fr/CEDAW/C/65/D/71/2014" TargetMode="External"/><Relationship Id="rId11" Type="http://schemas.openxmlformats.org/officeDocument/2006/relationships/hyperlink" Target="https://undocs.org/fr/CEDAW/C/68/D/79/2014" TargetMode="External"/><Relationship Id="rId5" Type="http://schemas.openxmlformats.org/officeDocument/2006/relationships/hyperlink" Target="https://undocs.org/fr/CEDAW/C/65/D/61/2013" TargetMode="External"/><Relationship Id="rId10" Type="http://schemas.openxmlformats.org/officeDocument/2006/relationships/hyperlink" Target="https://undocs.org/fr/CEDAW/C/68/D/93/2015" TargetMode="External"/><Relationship Id="rId4" Type="http://schemas.openxmlformats.org/officeDocument/2006/relationships/hyperlink" Target="https://undocs.org/fr/CCPR/C/114/D/2329/2014" TargetMode="External"/><Relationship Id="rId9" Type="http://schemas.openxmlformats.org/officeDocument/2006/relationships/hyperlink" Target="https://undocs.org/fr/CEDAW/C/69/D/85/201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7027</Words>
  <Characters>38654</Characters>
  <Application>Microsoft Office Word</Application>
  <DocSecurity>0</DocSecurity>
  <Lines>322</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Herve</dc:creator>
  <cp:keywords/>
  <dc:description/>
  <cp:lastModifiedBy>French Text Processing</cp:lastModifiedBy>
  <cp:revision>3</cp:revision>
  <cp:lastPrinted>2018-12-31T20:44:00Z</cp:lastPrinted>
  <dcterms:created xsi:type="dcterms:W3CDTF">2018-12-31T20:44:00Z</dcterms:created>
  <dcterms:modified xsi:type="dcterms:W3CDTF">2018-12-31T20:44:00Z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1820335F</vt:lpwstr>
  </property>
  <property fmtid="{D5CDD505-2E9C-101B-9397-08002B2CF9AE}" pid="3" name="ODSRefJobNo">
    <vt:lpwstr>1840089F</vt:lpwstr>
  </property>
  <property fmtid="{D5CDD505-2E9C-101B-9397-08002B2CF9AE}" pid="4" name="Symbol1">
    <vt:lpwstr>CEDAW/C/71/D/101/2016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BHE</vt:lpwstr>
  </property>
  <property fmtid="{D5CDD505-2E9C-101B-9397-08002B2CF9AE}" pid="12" name="Distribution">
    <vt:lpwstr>générale</vt:lpwstr>
  </property>
  <property fmtid="{D5CDD505-2E9C-101B-9397-08002B2CF9AE}" pid="13" name="Publication Date">
    <vt:lpwstr>27 novembre 2018</vt:lpwstr>
  </property>
  <property fmtid="{D5CDD505-2E9C-101B-9397-08002B2CF9AE}" pid="14" name="Release Date">
    <vt:lpwstr/>
  </property>
  <property fmtid="{D5CDD505-2E9C-101B-9397-08002B2CF9AE}" pid="15" name="Title1">
    <vt:lpwstr>		Décision adoptée par le Comité au sujet de la communication no 101/2016 au titre du paragraphe 2 c) de l’article 4 du Protocole facultatif*, **_x000d_</vt:lpwstr>
  </property>
</Properties>
</file>