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087CC" w14:textId="77777777" w:rsidR="00874814" w:rsidRPr="00F55E60" w:rsidRDefault="00874814" w:rsidP="00874814">
      <w:pPr>
        <w:spacing w:line="240" w:lineRule="auto"/>
        <w:rPr>
          <w:sz w:val="2"/>
          <w:lang w:val="fr-FR"/>
        </w:rPr>
        <w:sectPr w:rsidR="00874814" w:rsidRPr="00F55E60" w:rsidSect="00157BF8">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r w:rsidRPr="00F55E60">
        <w:rPr>
          <w:rStyle w:val="CommentReference"/>
          <w:lang w:val="fr-FR"/>
        </w:rPr>
        <w:commentReference w:id="0"/>
      </w:r>
    </w:p>
    <w:p w14:paraId="76DC7C47" w14:textId="4D939123" w:rsidR="00A601EB" w:rsidRPr="00F55E60" w:rsidRDefault="00A601EB" w:rsidP="0095435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890"/>
        <w:rPr>
          <w:lang w:val="fr-FR"/>
        </w:rPr>
      </w:pPr>
      <w:bookmarkStart w:id="1" w:name="_Hlk20744355"/>
      <w:r w:rsidRPr="00F55E60">
        <w:rPr>
          <w:lang w:val="fr-FR"/>
        </w:rPr>
        <w:t>Comité pour l</w:t>
      </w:r>
      <w:r w:rsidR="00D32FC0" w:rsidRPr="00F55E60">
        <w:rPr>
          <w:lang w:val="fr-FR"/>
        </w:rPr>
        <w:t>’</w:t>
      </w:r>
      <w:r w:rsidRPr="00F55E60">
        <w:rPr>
          <w:lang w:val="fr-FR"/>
        </w:rPr>
        <w:t>élimination</w:t>
      </w:r>
      <w:r w:rsidR="00857C5A">
        <w:rPr>
          <w:lang w:val="fr-FR"/>
        </w:rPr>
        <w:t xml:space="preserve"> </w:t>
      </w:r>
      <w:r w:rsidR="00474D0A" w:rsidRPr="00F55E60">
        <w:rPr>
          <w:lang w:val="fr-FR"/>
        </w:rPr>
        <w:t>de</w:t>
      </w:r>
      <w:r w:rsidR="00474D0A">
        <w:rPr>
          <w:lang w:val="fr-FR"/>
        </w:rPr>
        <w:t> </w:t>
      </w:r>
      <w:r w:rsidR="00474D0A" w:rsidRPr="00F55E60">
        <w:rPr>
          <w:lang w:val="fr-FR"/>
        </w:rPr>
        <w:t>la</w:t>
      </w:r>
      <w:r w:rsidR="00474D0A">
        <w:rPr>
          <w:lang w:val="fr-FR"/>
        </w:rPr>
        <w:t> </w:t>
      </w:r>
      <w:r w:rsidRPr="00F55E60">
        <w:rPr>
          <w:lang w:val="fr-FR"/>
        </w:rPr>
        <w:t>discrimination</w:t>
      </w:r>
      <w:r w:rsidR="00474D0A">
        <w:rPr>
          <w:lang w:val="fr-FR"/>
        </w:rPr>
        <w:t xml:space="preserve"> </w:t>
      </w:r>
      <w:r w:rsidRPr="00F55E60">
        <w:rPr>
          <w:lang w:val="fr-FR"/>
        </w:rPr>
        <w:t>à l</w:t>
      </w:r>
      <w:r w:rsidR="00D32FC0" w:rsidRPr="00F55E60">
        <w:rPr>
          <w:lang w:val="fr-FR"/>
        </w:rPr>
        <w:t>’</w:t>
      </w:r>
      <w:r w:rsidRPr="00F55E60">
        <w:rPr>
          <w:lang w:val="fr-FR"/>
        </w:rPr>
        <w:t>égard des femmes</w:t>
      </w:r>
      <w:bookmarkEnd w:id="1"/>
    </w:p>
    <w:p w14:paraId="0398B17F" w14:textId="70AA0340" w:rsidR="00A601EB" w:rsidRPr="00F55E60" w:rsidRDefault="00A601EB" w:rsidP="00684ACF">
      <w:pPr>
        <w:pStyle w:val="SingleTxt"/>
        <w:spacing w:after="0" w:line="120" w:lineRule="exact"/>
        <w:rPr>
          <w:sz w:val="10"/>
          <w:lang w:val="fr-FR"/>
        </w:rPr>
      </w:pPr>
    </w:p>
    <w:p w14:paraId="454B9A26" w14:textId="00656CDD" w:rsidR="00684ACF" w:rsidRPr="00F55E60" w:rsidRDefault="00684ACF" w:rsidP="00684ACF">
      <w:pPr>
        <w:pStyle w:val="SingleTxt"/>
        <w:spacing w:after="0" w:line="120" w:lineRule="exact"/>
        <w:rPr>
          <w:sz w:val="10"/>
          <w:lang w:val="fr-FR"/>
        </w:rPr>
      </w:pPr>
    </w:p>
    <w:p w14:paraId="4E0E1195" w14:textId="0CC55CEC" w:rsidR="00684ACF" w:rsidRPr="00F55E60" w:rsidRDefault="00684ACF" w:rsidP="00684ACF">
      <w:pPr>
        <w:pStyle w:val="SingleTxt"/>
        <w:spacing w:after="0" w:line="120" w:lineRule="exact"/>
        <w:rPr>
          <w:sz w:val="10"/>
          <w:lang w:val="fr-FR"/>
        </w:rPr>
      </w:pPr>
    </w:p>
    <w:p w14:paraId="4A6A24C6" w14:textId="084CE3C4" w:rsidR="00A601EB" w:rsidRPr="00F55E60" w:rsidRDefault="00A601EB" w:rsidP="000A1DDF">
      <w:pPr>
        <w:pStyle w:val="TitleH1"/>
        <w:ind w:right="1260"/>
        <w:rPr>
          <w:vertAlign w:val="superscript"/>
          <w:lang w:val="fr-FR"/>
        </w:rPr>
      </w:pPr>
      <w:r w:rsidRPr="00F55E60">
        <w:rPr>
          <w:lang w:val="fr-FR"/>
        </w:rPr>
        <w:tab/>
      </w:r>
      <w:r w:rsidRPr="00F55E60">
        <w:rPr>
          <w:lang w:val="fr-FR"/>
        </w:rPr>
        <w:tab/>
        <w:t xml:space="preserve">Constatations adoptées par le Comité au titre du </w:t>
      </w:r>
      <w:r w:rsidR="00474D0A" w:rsidRPr="00F55E60">
        <w:rPr>
          <w:lang w:val="fr-FR"/>
        </w:rPr>
        <w:t>paragraphe</w:t>
      </w:r>
      <w:r w:rsidR="00474D0A">
        <w:rPr>
          <w:lang w:val="fr-FR"/>
        </w:rPr>
        <w:t> </w:t>
      </w:r>
      <w:r w:rsidRPr="00A135AC">
        <w:rPr>
          <w:lang w:val="fr-FR"/>
        </w:rPr>
        <w:t>3</w:t>
      </w:r>
      <w:r w:rsidR="00E16B81" w:rsidRPr="00F55E60">
        <w:rPr>
          <w:lang w:val="fr-FR"/>
        </w:rPr>
        <w:t xml:space="preserve"> </w:t>
      </w:r>
      <w:r w:rsidRPr="00F55E60">
        <w:rPr>
          <w:lang w:val="fr-FR"/>
        </w:rPr>
        <w:t>de</w:t>
      </w:r>
      <w:r w:rsidR="000A1DDF" w:rsidRPr="00F55E60">
        <w:rPr>
          <w:lang w:val="fr-FR"/>
        </w:rPr>
        <w:t> </w:t>
      </w:r>
      <w:r w:rsidRPr="00F55E60">
        <w:rPr>
          <w:lang w:val="fr-FR"/>
        </w:rPr>
        <w:t>l</w:t>
      </w:r>
      <w:r w:rsidR="00D32FC0" w:rsidRPr="00F55E60">
        <w:rPr>
          <w:lang w:val="fr-FR"/>
        </w:rPr>
        <w:t>’</w:t>
      </w:r>
      <w:r w:rsidRPr="00F55E60">
        <w:rPr>
          <w:lang w:val="fr-FR"/>
        </w:rPr>
        <w:t xml:space="preserve">article </w:t>
      </w:r>
      <w:r w:rsidRPr="00A135AC">
        <w:rPr>
          <w:lang w:val="fr-FR"/>
        </w:rPr>
        <w:t>7</w:t>
      </w:r>
      <w:r w:rsidRPr="00F55E60">
        <w:rPr>
          <w:lang w:val="fr-FR"/>
        </w:rPr>
        <w:t xml:space="preserve"> du Protocole facultatif, concernant la</w:t>
      </w:r>
      <w:r w:rsidR="000A1DDF" w:rsidRPr="00F55E60">
        <w:rPr>
          <w:lang w:val="fr-FR"/>
        </w:rPr>
        <w:t> </w:t>
      </w:r>
      <w:r w:rsidRPr="00F55E60">
        <w:rPr>
          <w:lang w:val="fr-FR"/>
        </w:rPr>
        <w:t>communication</w:t>
      </w:r>
      <w:r w:rsidR="000A1DDF" w:rsidRPr="00F55E60">
        <w:rPr>
          <w:lang w:val="fr-FR"/>
        </w:rPr>
        <w:t> </w:t>
      </w:r>
      <w:r w:rsidR="007310F5" w:rsidRPr="00F55E60">
        <w:rPr>
          <w:lang w:val="fr-FR"/>
        </w:rPr>
        <w:t>n</w:t>
      </w:r>
      <w:r w:rsidR="007310F5" w:rsidRPr="00F55E60">
        <w:rPr>
          <w:vertAlign w:val="superscript"/>
          <w:lang w:val="fr-FR"/>
        </w:rPr>
        <w:t>o</w:t>
      </w:r>
      <w:r w:rsidR="007310F5">
        <w:rPr>
          <w:lang w:val="fr-FR"/>
        </w:rPr>
        <w:t> </w:t>
      </w:r>
      <w:r w:rsidRPr="00A135AC">
        <w:rPr>
          <w:lang w:val="fr-FR"/>
        </w:rPr>
        <w:t>87</w:t>
      </w:r>
      <w:r w:rsidRPr="00F55E60">
        <w:rPr>
          <w:lang w:val="fr-FR"/>
        </w:rPr>
        <w:t>/</w:t>
      </w:r>
      <w:r w:rsidRPr="00A135AC">
        <w:rPr>
          <w:lang w:val="fr-FR"/>
        </w:rPr>
        <w:t>2015</w:t>
      </w:r>
      <w:r w:rsidRPr="00F55E60">
        <w:rPr>
          <w:b w:val="0"/>
          <w:sz w:val="20"/>
          <w:szCs w:val="20"/>
          <w:lang w:val="fr-FR"/>
        </w:rPr>
        <w:footnoteReference w:customMarkFollows="1" w:id="1"/>
        <w:t>*</w:t>
      </w:r>
      <w:r w:rsidRPr="00F55E60">
        <w:rPr>
          <w:sz w:val="20"/>
          <w:szCs w:val="20"/>
          <w:vertAlign w:val="superscript"/>
          <w:lang w:val="fr-FR"/>
        </w:rPr>
        <w:t xml:space="preserve">, </w:t>
      </w:r>
      <w:r w:rsidRPr="00F55E60">
        <w:rPr>
          <w:b w:val="0"/>
          <w:sz w:val="20"/>
          <w:szCs w:val="20"/>
          <w:lang w:val="fr-FR"/>
        </w:rPr>
        <w:footnoteReference w:customMarkFollows="1" w:id="2"/>
        <w:t>**</w:t>
      </w:r>
      <w:r w:rsidRPr="00F55E60">
        <w:rPr>
          <w:sz w:val="20"/>
          <w:szCs w:val="20"/>
          <w:vertAlign w:val="superscript"/>
          <w:lang w:val="fr-FR"/>
        </w:rPr>
        <w:t>,</w:t>
      </w:r>
      <w:r w:rsidR="001B7EA4" w:rsidRPr="00F55E60">
        <w:rPr>
          <w:sz w:val="20"/>
          <w:szCs w:val="20"/>
          <w:vertAlign w:val="superscript"/>
          <w:lang w:val="fr-FR"/>
        </w:rPr>
        <w:t xml:space="preserve"> </w:t>
      </w:r>
      <w:r w:rsidRPr="00F55E60">
        <w:rPr>
          <w:b w:val="0"/>
          <w:sz w:val="20"/>
          <w:szCs w:val="20"/>
          <w:lang w:val="fr-FR"/>
        </w:rPr>
        <w:footnoteReference w:customMarkFollows="1" w:id="3"/>
        <w:t>***</w:t>
      </w:r>
      <w:bookmarkStart w:id="2" w:name="_Hlk19092273"/>
      <w:bookmarkEnd w:id="2"/>
    </w:p>
    <w:p w14:paraId="02D21F31" w14:textId="270556B1" w:rsidR="00157BF8" w:rsidRPr="00F55E60" w:rsidRDefault="00157BF8" w:rsidP="00393DDA">
      <w:pPr>
        <w:pStyle w:val="SingleTxt"/>
        <w:spacing w:after="0" w:line="120" w:lineRule="exact"/>
        <w:rPr>
          <w:sz w:val="10"/>
          <w:lang w:val="fr-FR"/>
        </w:rPr>
      </w:pPr>
    </w:p>
    <w:p w14:paraId="12DB8471" w14:textId="0A74A91D" w:rsidR="00393DDA" w:rsidRPr="00F55E60" w:rsidRDefault="00393DDA" w:rsidP="00393DDA">
      <w:pPr>
        <w:pStyle w:val="SingleTxt"/>
        <w:spacing w:after="0" w:line="120" w:lineRule="exact"/>
        <w:rPr>
          <w:sz w:val="10"/>
          <w:lang w:val="fr-FR"/>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393DDA" w:rsidRPr="00F55E60" w14:paraId="6E7E4650" w14:textId="77777777" w:rsidTr="002821DF">
        <w:tc>
          <w:tcPr>
            <w:tcW w:w="3660" w:type="dxa"/>
            <w:shd w:val="clear" w:color="auto" w:fill="auto"/>
          </w:tcPr>
          <w:p w14:paraId="4443C020" w14:textId="2ECBB4F3" w:rsidR="00393DDA" w:rsidRPr="00A135AC" w:rsidRDefault="00393DDA" w:rsidP="00393DDA">
            <w:pPr>
              <w:spacing w:before="40" w:after="80"/>
              <w:rPr>
                <w:i/>
                <w:sz w:val="24"/>
                <w:szCs w:val="24"/>
                <w:lang w:val="fr-FR"/>
              </w:rPr>
            </w:pPr>
            <w:r w:rsidRPr="00A135AC">
              <w:rPr>
                <w:i/>
                <w:iCs/>
                <w:lang w:val="fr-FR"/>
              </w:rPr>
              <w:t>Communication présentée par</w:t>
            </w:r>
            <w:r w:rsidR="00D32FC0" w:rsidRPr="00A135AC">
              <w:rPr>
                <w:i/>
                <w:iCs/>
                <w:lang w:val="fr-FR"/>
              </w:rPr>
              <w:t> </w:t>
            </w:r>
            <w:r w:rsidR="00D32FC0" w:rsidRPr="000A5F15">
              <w:rPr>
                <w:lang w:val="fr-FR"/>
              </w:rPr>
              <w:t>:</w:t>
            </w:r>
          </w:p>
        </w:tc>
        <w:tc>
          <w:tcPr>
            <w:tcW w:w="3660" w:type="dxa"/>
            <w:shd w:val="clear" w:color="auto" w:fill="auto"/>
          </w:tcPr>
          <w:p w14:paraId="762E6FA7" w14:textId="00DA7C21" w:rsidR="00393DDA" w:rsidRPr="00F55E60" w:rsidRDefault="00393DDA" w:rsidP="00393DDA">
            <w:pPr>
              <w:tabs>
                <w:tab w:val="left" w:pos="288"/>
                <w:tab w:val="left" w:pos="576"/>
                <w:tab w:val="left" w:pos="864"/>
                <w:tab w:val="left" w:pos="1152"/>
              </w:tabs>
              <w:spacing w:before="40" w:after="80"/>
              <w:ind w:left="144" w:right="43"/>
              <w:rPr>
                <w:sz w:val="24"/>
                <w:szCs w:val="24"/>
                <w:lang w:val="fr-FR"/>
              </w:rPr>
            </w:pPr>
            <w:r w:rsidRPr="00F55E60">
              <w:rPr>
                <w:lang w:val="fr-FR"/>
              </w:rPr>
              <w:t>O.M. (représentée par ses conseils, Valentina Mudrik et Mariana Yevsyukova)</w:t>
            </w:r>
          </w:p>
        </w:tc>
      </w:tr>
      <w:tr w:rsidR="00393DDA" w:rsidRPr="00F55E60" w14:paraId="3B6A23C3" w14:textId="77777777" w:rsidTr="002821DF">
        <w:tc>
          <w:tcPr>
            <w:tcW w:w="3660" w:type="dxa"/>
            <w:shd w:val="clear" w:color="auto" w:fill="auto"/>
          </w:tcPr>
          <w:p w14:paraId="7D5C5396" w14:textId="366280EC" w:rsidR="00393DDA" w:rsidRPr="00A135AC" w:rsidRDefault="00393DDA" w:rsidP="00393DDA">
            <w:pPr>
              <w:tabs>
                <w:tab w:val="left" w:pos="288"/>
                <w:tab w:val="left" w:pos="576"/>
                <w:tab w:val="left" w:pos="864"/>
                <w:tab w:val="left" w:pos="1152"/>
              </w:tabs>
              <w:spacing w:before="40" w:after="80"/>
              <w:ind w:right="43"/>
              <w:rPr>
                <w:i/>
                <w:sz w:val="24"/>
                <w:szCs w:val="24"/>
                <w:lang w:val="fr-FR"/>
              </w:rPr>
            </w:pPr>
            <w:r w:rsidRPr="00A135AC">
              <w:rPr>
                <w:i/>
                <w:iCs/>
                <w:lang w:val="fr-FR"/>
              </w:rPr>
              <w:t>Au nom de</w:t>
            </w:r>
            <w:r w:rsidR="00D32FC0" w:rsidRPr="00A135AC">
              <w:rPr>
                <w:i/>
                <w:iCs/>
                <w:lang w:val="fr-FR"/>
              </w:rPr>
              <w:t> </w:t>
            </w:r>
            <w:r w:rsidR="00D32FC0" w:rsidRPr="000A5F15">
              <w:rPr>
                <w:lang w:val="fr-FR"/>
              </w:rPr>
              <w:t>:</w:t>
            </w:r>
          </w:p>
        </w:tc>
        <w:tc>
          <w:tcPr>
            <w:tcW w:w="3660" w:type="dxa"/>
            <w:shd w:val="clear" w:color="auto" w:fill="auto"/>
          </w:tcPr>
          <w:p w14:paraId="59FF8A51" w14:textId="0300A603" w:rsidR="00393DDA" w:rsidRPr="00F55E60" w:rsidRDefault="00393DDA" w:rsidP="00393DDA">
            <w:pPr>
              <w:tabs>
                <w:tab w:val="left" w:pos="288"/>
                <w:tab w:val="left" w:pos="576"/>
                <w:tab w:val="left" w:pos="864"/>
                <w:tab w:val="left" w:pos="1152"/>
              </w:tabs>
              <w:spacing w:before="40" w:after="80"/>
              <w:ind w:left="144" w:right="43"/>
              <w:rPr>
                <w:sz w:val="24"/>
                <w:szCs w:val="24"/>
                <w:lang w:val="fr-FR"/>
              </w:rPr>
            </w:pPr>
            <w:r w:rsidRPr="00F55E60">
              <w:rPr>
                <w:lang w:val="fr-FR"/>
              </w:rPr>
              <w:t>L</w:t>
            </w:r>
            <w:r w:rsidR="00D32FC0" w:rsidRPr="00F55E60">
              <w:rPr>
                <w:lang w:val="fr-FR"/>
              </w:rPr>
              <w:t>’</w:t>
            </w:r>
            <w:r w:rsidRPr="00F55E60">
              <w:rPr>
                <w:lang w:val="fr-FR"/>
              </w:rPr>
              <w:t>auteure</w:t>
            </w:r>
          </w:p>
        </w:tc>
      </w:tr>
      <w:tr w:rsidR="00393DDA" w:rsidRPr="00F55E60" w14:paraId="229BC42C" w14:textId="77777777" w:rsidTr="002821DF">
        <w:tc>
          <w:tcPr>
            <w:tcW w:w="3660" w:type="dxa"/>
            <w:shd w:val="clear" w:color="auto" w:fill="auto"/>
          </w:tcPr>
          <w:p w14:paraId="71EABD9D" w14:textId="0CCD34ED" w:rsidR="00393DDA" w:rsidRPr="00A135AC" w:rsidRDefault="00393DDA" w:rsidP="00393DDA">
            <w:pPr>
              <w:tabs>
                <w:tab w:val="left" w:pos="288"/>
                <w:tab w:val="left" w:pos="576"/>
                <w:tab w:val="left" w:pos="864"/>
                <w:tab w:val="left" w:pos="1152"/>
              </w:tabs>
              <w:spacing w:before="40" w:after="80"/>
              <w:ind w:right="40"/>
              <w:rPr>
                <w:i/>
                <w:sz w:val="24"/>
                <w:szCs w:val="24"/>
                <w:lang w:val="fr-FR"/>
              </w:rPr>
            </w:pPr>
            <w:r w:rsidRPr="00A135AC">
              <w:rPr>
                <w:i/>
                <w:iCs/>
                <w:lang w:val="fr-FR"/>
              </w:rPr>
              <w:t>État partie</w:t>
            </w:r>
            <w:r w:rsidR="00D32FC0" w:rsidRPr="00A135AC">
              <w:rPr>
                <w:i/>
                <w:iCs/>
                <w:lang w:val="fr-FR"/>
              </w:rPr>
              <w:t> </w:t>
            </w:r>
            <w:r w:rsidR="00D32FC0" w:rsidRPr="000A5F15">
              <w:rPr>
                <w:lang w:val="fr-FR"/>
              </w:rPr>
              <w:t>:</w:t>
            </w:r>
          </w:p>
        </w:tc>
        <w:tc>
          <w:tcPr>
            <w:tcW w:w="3660" w:type="dxa"/>
            <w:shd w:val="clear" w:color="auto" w:fill="auto"/>
          </w:tcPr>
          <w:p w14:paraId="55791EB4" w14:textId="33EFB68E" w:rsidR="00393DDA" w:rsidRPr="00F55E60" w:rsidRDefault="00393DDA" w:rsidP="00393DDA">
            <w:pPr>
              <w:tabs>
                <w:tab w:val="left" w:pos="288"/>
                <w:tab w:val="left" w:pos="576"/>
                <w:tab w:val="left" w:pos="864"/>
                <w:tab w:val="left" w:pos="1152"/>
              </w:tabs>
              <w:spacing w:before="40" w:after="80"/>
              <w:ind w:left="144" w:right="43"/>
              <w:rPr>
                <w:sz w:val="24"/>
                <w:szCs w:val="24"/>
                <w:lang w:val="fr-FR"/>
              </w:rPr>
            </w:pPr>
            <w:r w:rsidRPr="00F55E60">
              <w:rPr>
                <w:lang w:val="fr-FR"/>
              </w:rPr>
              <w:t>Ukraine</w:t>
            </w:r>
          </w:p>
        </w:tc>
      </w:tr>
      <w:tr w:rsidR="00393DDA" w:rsidRPr="00F55E60" w14:paraId="7D14AF5A" w14:textId="77777777" w:rsidTr="002821DF">
        <w:tc>
          <w:tcPr>
            <w:tcW w:w="3660" w:type="dxa"/>
            <w:shd w:val="clear" w:color="auto" w:fill="auto"/>
          </w:tcPr>
          <w:p w14:paraId="4CC18B39" w14:textId="7DE515F7" w:rsidR="00393DDA" w:rsidRPr="00A135AC" w:rsidRDefault="00393DDA" w:rsidP="00393DDA">
            <w:pPr>
              <w:tabs>
                <w:tab w:val="left" w:pos="288"/>
                <w:tab w:val="left" w:pos="576"/>
                <w:tab w:val="left" w:pos="864"/>
                <w:tab w:val="left" w:pos="1152"/>
              </w:tabs>
              <w:spacing w:before="40" w:after="80"/>
              <w:ind w:right="40"/>
              <w:rPr>
                <w:i/>
                <w:sz w:val="24"/>
                <w:szCs w:val="24"/>
                <w:lang w:val="fr-FR"/>
              </w:rPr>
            </w:pPr>
            <w:r w:rsidRPr="00A135AC">
              <w:rPr>
                <w:i/>
                <w:iCs/>
                <w:lang w:val="fr-FR"/>
              </w:rPr>
              <w:t>Date de la communication</w:t>
            </w:r>
            <w:r w:rsidR="00D32FC0" w:rsidRPr="00A135AC">
              <w:rPr>
                <w:i/>
                <w:iCs/>
                <w:lang w:val="fr-FR"/>
              </w:rPr>
              <w:t> </w:t>
            </w:r>
            <w:r w:rsidR="00D32FC0" w:rsidRPr="000A5F15">
              <w:rPr>
                <w:lang w:val="fr-FR"/>
              </w:rPr>
              <w:t>:</w:t>
            </w:r>
          </w:p>
        </w:tc>
        <w:tc>
          <w:tcPr>
            <w:tcW w:w="3660" w:type="dxa"/>
            <w:shd w:val="clear" w:color="auto" w:fill="auto"/>
          </w:tcPr>
          <w:p w14:paraId="3806EF3C" w14:textId="78C5C709" w:rsidR="00393DDA" w:rsidRPr="00F55E60" w:rsidRDefault="00393DDA" w:rsidP="00393DDA">
            <w:pPr>
              <w:tabs>
                <w:tab w:val="left" w:pos="288"/>
                <w:tab w:val="left" w:pos="576"/>
                <w:tab w:val="left" w:pos="864"/>
                <w:tab w:val="left" w:pos="1152"/>
              </w:tabs>
              <w:spacing w:before="40" w:after="80"/>
              <w:ind w:left="144" w:right="43"/>
              <w:rPr>
                <w:sz w:val="24"/>
                <w:szCs w:val="24"/>
                <w:lang w:val="fr-FR"/>
              </w:rPr>
            </w:pPr>
            <w:r w:rsidRPr="00A135AC">
              <w:rPr>
                <w:lang w:val="fr-FR"/>
              </w:rPr>
              <w:t>1</w:t>
            </w:r>
            <w:r w:rsidRPr="00F55E60">
              <w:rPr>
                <w:vertAlign w:val="superscript"/>
                <w:lang w:val="fr-FR"/>
              </w:rPr>
              <w:t>er</w:t>
            </w:r>
            <w:r w:rsidR="0005372D">
              <w:rPr>
                <w:lang w:val="fr-FR"/>
              </w:rPr>
              <w:t> </w:t>
            </w:r>
            <w:r w:rsidRPr="00F55E60">
              <w:rPr>
                <w:lang w:val="fr-FR"/>
              </w:rPr>
              <w:t xml:space="preserve">septembre </w:t>
            </w:r>
            <w:r w:rsidRPr="00A135AC">
              <w:rPr>
                <w:lang w:val="fr-FR"/>
              </w:rPr>
              <w:t>2014</w:t>
            </w:r>
          </w:p>
        </w:tc>
      </w:tr>
      <w:tr w:rsidR="00393DDA" w:rsidRPr="00F55E60" w14:paraId="0507856F" w14:textId="77777777" w:rsidTr="002821DF">
        <w:tc>
          <w:tcPr>
            <w:tcW w:w="3660" w:type="dxa"/>
            <w:shd w:val="clear" w:color="auto" w:fill="auto"/>
          </w:tcPr>
          <w:p w14:paraId="1D9818BE" w14:textId="0CE179F0" w:rsidR="00393DDA" w:rsidRPr="00A135AC" w:rsidRDefault="00393DDA" w:rsidP="00393DDA">
            <w:pPr>
              <w:tabs>
                <w:tab w:val="left" w:pos="288"/>
                <w:tab w:val="left" w:pos="576"/>
                <w:tab w:val="left" w:pos="864"/>
                <w:tab w:val="left" w:pos="1152"/>
              </w:tabs>
              <w:spacing w:before="40" w:after="80"/>
              <w:ind w:right="40"/>
              <w:rPr>
                <w:i/>
                <w:sz w:val="24"/>
                <w:szCs w:val="24"/>
                <w:lang w:val="fr-FR"/>
              </w:rPr>
            </w:pPr>
            <w:r w:rsidRPr="00A135AC">
              <w:rPr>
                <w:i/>
                <w:iCs/>
                <w:lang w:val="fr-FR"/>
              </w:rPr>
              <w:t>Références</w:t>
            </w:r>
            <w:r w:rsidR="00D32FC0" w:rsidRPr="00A135AC">
              <w:rPr>
                <w:i/>
                <w:iCs/>
                <w:lang w:val="fr-FR"/>
              </w:rPr>
              <w:t> </w:t>
            </w:r>
            <w:r w:rsidR="00D32FC0" w:rsidRPr="000A5F15">
              <w:rPr>
                <w:lang w:val="fr-FR"/>
              </w:rPr>
              <w:t>:</w:t>
            </w:r>
          </w:p>
        </w:tc>
        <w:tc>
          <w:tcPr>
            <w:tcW w:w="3660" w:type="dxa"/>
            <w:shd w:val="clear" w:color="auto" w:fill="auto"/>
          </w:tcPr>
          <w:p w14:paraId="6EF9ED0A" w14:textId="17C77A24" w:rsidR="00393DDA" w:rsidRPr="00F55E60" w:rsidRDefault="00393DDA" w:rsidP="00393DDA">
            <w:pPr>
              <w:tabs>
                <w:tab w:val="left" w:pos="288"/>
                <w:tab w:val="left" w:pos="576"/>
                <w:tab w:val="left" w:pos="864"/>
                <w:tab w:val="left" w:pos="1152"/>
              </w:tabs>
              <w:spacing w:before="40" w:after="80"/>
              <w:ind w:left="144" w:right="43"/>
              <w:rPr>
                <w:sz w:val="24"/>
                <w:szCs w:val="24"/>
                <w:lang w:val="fr-FR"/>
              </w:rPr>
            </w:pPr>
            <w:r w:rsidRPr="00F55E60">
              <w:rPr>
                <w:lang w:val="fr-FR"/>
              </w:rPr>
              <w:t>Transmises à l</w:t>
            </w:r>
            <w:r w:rsidR="00D32FC0" w:rsidRPr="00F55E60">
              <w:rPr>
                <w:lang w:val="fr-FR"/>
              </w:rPr>
              <w:t>’</w:t>
            </w:r>
            <w:r w:rsidRPr="00F55E60">
              <w:rPr>
                <w:lang w:val="fr-FR"/>
              </w:rPr>
              <w:t xml:space="preserve">État partie le </w:t>
            </w:r>
            <w:r w:rsidRPr="00A135AC">
              <w:rPr>
                <w:lang w:val="fr-FR"/>
              </w:rPr>
              <w:t>5</w:t>
            </w:r>
            <w:r w:rsidRPr="00F55E60">
              <w:rPr>
                <w:lang w:val="fr-FR"/>
              </w:rPr>
              <w:t xml:space="preserve"> mai </w:t>
            </w:r>
            <w:r w:rsidRPr="00A135AC">
              <w:rPr>
                <w:lang w:val="fr-FR"/>
              </w:rPr>
              <w:t>2015</w:t>
            </w:r>
            <w:r w:rsidRPr="00F55E60">
              <w:rPr>
                <w:lang w:val="fr-FR"/>
              </w:rPr>
              <w:t xml:space="preserve"> (non publiées sous forme de document)</w:t>
            </w:r>
          </w:p>
        </w:tc>
      </w:tr>
      <w:tr w:rsidR="00393DDA" w:rsidRPr="00F55E60" w14:paraId="08E74344" w14:textId="77777777" w:rsidTr="002821DF">
        <w:tc>
          <w:tcPr>
            <w:tcW w:w="3660" w:type="dxa"/>
            <w:shd w:val="clear" w:color="auto" w:fill="auto"/>
          </w:tcPr>
          <w:p w14:paraId="0C969CEA" w14:textId="0F3670E4" w:rsidR="00393DDA" w:rsidRPr="00A135AC" w:rsidRDefault="00393DDA" w:rsidP="00393DDA">
            <w:pPr>
              <w:tabs>
                <w:tab w:val="left" w:pos="288"/>
                <w:tab w:val="left" w:pos="576"/>
                <w:tab w:val="left" w:pos="864"/>
                <w:tab w:val="left" w:pos="1152"/>
              </w:tabs>
              <w:spacing w:before="40" w:after="80"/>
              <w:ind w:right="40"/>
              <w:rPr>
                <w:i/>
                <w:sz w:val="24"/>
                <w:szCs w:val="24"/>
                <w:lang w:val="fr-FR"/>
              </w:rPr>
            </w:pPr>
            <w:r w:rsidRPr="00A135AC">
              <w:rPr>
                <w:i/>
                <w:iCs/>
                <w:lang w:val="fr-FR"/>
              </w:rPr>
              <w:t>Date de l</w:t>
            </w:r>
            <w:r w:rsidR="00D32FC0" w:rsidRPr="00A135AC">
              <w:rPr>
                <w:i/>
                <w:iCs/>
                <w:lang w:val="fr-FR"/>
              </w:rPr>
              <w:t>’</w:t>
            </w:r>
            <w:r w:rsidRPr="00A135AC">
              <w:rPr>
                <w:i/>
                <w:iCs/>
                <w:lang w:val="fr-FR"/>
              </w:rPr>
              <w:t>adoption des constatations</w:t>
            </w:r>
            <w:r w:rsidR="00D32FC0" w:rsidRPr="00A135AC">
              <w:rPr>
                <w:i/>
                <w:iCs/>
                <w:lang w:val="fr-FR"/>
              </w:rPr>
              <w:t> </w:t>
            </w:r>
            <w:r w:rsidR="00D32FC0" w:rsidRPr="000A5F15">
              <w:rPr>
                <w:lang w:val="fr-FR"/>
              </w:rPr>
              <w:t>:</w:t>
            </w:r>
          </w:p>
        </w:tc>
        <w:tc>
          <w:tcPr>
            <w:tcW w:w="3660" w:type="dxa"/>
            <w:shd w:val="clear" w:color="auto" w:fill="auto"/>
          </w:tcPr>
          <w:p w14:paraId="090E6938" w14:textId="77A00E81" w:rsidR="00393DDA" w:rsidRPr="00F55E60" w:rsidRDefault="00393DDA" w:rsidP="00393DDA">
            <w:pPr>
              <w:tabs>
                <w:tab w:val="left" w:pos="288"/>
                <w:tab w:val="left" w:pos="576"/>
                <w:tab w:val="left" w:pos="864"/>
                <w:tab w:val="left" w:pos="1152"/>
              </w:tabs>
              <w:spacing w:before="40" w:after="80"/>
              <w:ind w:left="144" w:right="43"/>
              <w:rPr>
                <w:sz w:val="24"/>
                <w:szCs w:val="24"/>
                <w:lang w:val="fr-FR"/>
              </w:rPr>
            </w:pPr>
            <w:r w:rsidRPr="00A135AC">
              <w:rPr>
                <w:lang w:val="fr-FR"/>
              </w:rPr>
              <w:t>19</w:t>
            </w:r>
            <w:r w:rsidRPr="00F55E60">
              <w:rPr>
                <w:lang w:val="fr-FR"/>
              </w:rPr>
              <w:t xml:space="preserve"> juillet </w:t>
            </w:r>
            <w:r w:rsidRPr="00A135AC">
              <w:rPr>
                <w:lang w:val="fr-FR"/>
              </w:rPr>
              <w:t>2019</w:t>
            </w:r>
          </w:p>
        </w:tc>
      </w:tr>
    </w:tbl>
    <w:p w14:paraId="63A944C8" w14:textId="6FC091BB" w:rsidR="00393DDA" w:rsidRPr="00F55E60" w:rsidRDefault="00393DDA" w:rsidP="00874814">
      <w:pPr>
        <w:pStyle w:val="SingleTxt"/>
        <w:rPr>
          <w:lang w:val="fr-FR"/>
        </w:rPr>
      </w:pPr>
    </w:p>
    <w:p w14:paraId="0BDDA582" w14:textId="41F9F256" w:rsidR="00A601EB" w:rsidRPr="00F55E60" w:rsidRDefault="00A601EB">
      <w:pPr>
        <w:spacing w:after="200" w:line="276" w:lineRule="auto"/>
        <w:rPr>
          <w:lang w:val="fr-FR"/>
        </w:rPr>
      </w:pPr>
      <w:r w:rsidRPr="00F55E60">
        <w:rPr>
          <w:lang w:val="fr-FR"/>
        </w:rPr>
        <w:br w:type="page"/>
      </w:r>
    </w:p>
    <w:p w14:paraId="7FE03DCA" w14:textId="06E21B91" w:rsidR="00A601EB" w:rsidRPr="00F55E60" w:rsidRDefault="00D53F7E" w:rsidP="00D53F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3" w:name="_Hlk20823690"/>
      <w:r w:rsidRPr="00F55E60">
        <w:rPr>
          <w:lang w:val="fr-FR"/>
        </w:rPr>
        <w:lastRenderedPageBreak/>
        <w:tab/>
      </w:r>
      <w:r w:rsidRPr="00F55E60">
        <w:rPr>
          <w:lang w:val="fr-FR"/>
        </w:rPr>
        <w:tab/>
      </w:r>
      <w:r w:rsidR="00A601EB" w:rsidRPr="00F55E60">
        <w:rPr>
          <w:lang w:val="fr-FR"/>
        </w:rPr>
        <w:t>Contexte</w:t>
      </w:r>
    </w:p>
    <w:p w14:paraId="2B483789" w14:textId="0C873C8B" w:rsidR="00D53F7E" w:rsidRPr="00F55E60" w:rsidRDefault="00D53F7E" w:rsidP="00D53F7E">
      <w:pPr>
        <w:pStyle w:val="SingleTxt"/>
        <w:spacing w:after="0" w:line="120" w:lineRule="exact"/>
        <w:rPr>
          <w:sz w:val="10"/>
          <w:lang w:val="fr-FR"/>
        </w:rPr>
      </w:pPr>
    </w:p>
    <w:p w14:paraId="58AF6871" w14:textId="537FEDA5" w:rsidR="00A601EB" w:rsidRPr="00F55E60" w:rsidRDefault="00A601EB" w:rsidP="00D53F7E">
      <w:pPr>
        <w:pStyle w:val="SingleTxt"/>
        <w:numPr>
          <w:ilvl w:val="0"/>
          <w:numId w:val="35"/>
        </w:numPr>
        <w:spacing w:line="240" w:lineRule="exact"/>
        <w:ind w:left="1267"/>
        <w:rPr>
          <w:lang w:val="fr-FR"/>
        </w:rPr>
      </w:pPr>
      <w:r w:rsidRPr="00F55E60">
        <w:rPr>
          <w:lang w:val="fr-FR"/>
        </w:rPr>
        <w:t>L</w:t>
      </w:r>
      <w:r w:rsidR="00D32FC0" w:rsidRPr="00F55E60">
        <w:rPr>
          <w:lang w:val="fr-FR"/>
        </w:rPr>
        <w:t>’</w:t>
      </w:r>
      <w:r w:rsidRPr="00F55E60">
        <w:rPr>
          <w:lang w:val="fr-FR"/>
        </w:rPr>
        <w:t xml:space="preserve">auteure de la communication est O.M., ressortissante ukrainienne née en </w:t>
      </w:r>
      <w:r w:rsidRPr="00A135AC">
        <w:rPr>
          <w:lang w:val="fr-FR"/>
        </w:rPr>
        <w:t>1978</w:t>
      </w:r>
      <w:r w:rsidRPr="00F55E60">
        <w:rPr>
          <w:lang w:val="fr-FR"/>
        </w:rPr>
        <w:t>. Elle affirme que l</w:t>
      </w:r>
      <w:r w:rsidR="00D32FC0" w:rsidRPr="00F55E60">
        <w:rPr>
          <w:lang w:val="fr-FR"/>
        </w:rPr>
        <w:t>’</w:t>
      </w:r>
      <w:r w:rsidRPr="00F55E60">
        <w:rPr>
          <w:lang w:val="fr-FR"/>
        </w:rPr>
        <w:t xml:space="preserve">Ukraine a violé ses droits au titre des articles </w:t>
      </w:r>
      <w:r w:rsidRPr="00A135AC">
        <w:rPr>
          <w:lang w:val="fr-FR"/>
        </w:rPr>
        <w:t>2</w:t>
      </w:r>
      <w:r w:rsidRPr="00F55E60">
        <w:rPr>
          <w:lang w:val="fr-FR"/>
        </w:rPr>
        <w:t xml:space="preserve"> a) à d) et f), </w:t>
      </w:r>
      <w:r w:rsidRPr="00A135AC">
        <w:rPr>
          <w:lang w:val="fr-FR"/>
        </w:rPr>
        <w:t>5</w:t>
      </w:r>
      <w:r w:rsidRPr="00F55E60">
        <w:rPr>
          <w:lang w:val="fr-FR"/>
        </w:rPr>
        <w:t xml:space="preserve"> a) et b), et </w:t>
      </w:r>
      <w:r w:rsidRPr="00A135AC">
        <w:rPr>
          <w:lang w:val="fr-FR"/>
        </w:rPr>
        <w:t>16</w:t>
      </w:r>
      <w:r w:rsidRPr="00F55E60">
        <w:rPr>
          <w:lang w:val="fr-FR"/>
        </w:rPr>
        <w:t xml:space="preserve"> c) à e) et g) de la Convention, en tenant compte à cet égard des recommandations générales </w:t>
      </w:r>
      <w:r w:rsidR="007310F5" w:rsidRPr="00F55E60">
        <w:rPr>
          <w:lang w:val="fr-FR"/>
        </w:rPr>
        <w:t>n</w:t>
      </w:r>
      <w:r w:rsidR="007310F5" w:rsidRPr="00F55E60">
        <w:rPr>
          <w:vertAlign w:val="superscript"/>
          <w:lang w:val="fr-FR"/>
        </w:rPr>
        <w:t>o</w:t>
      </w:r>
      <w:r w:rsidR="007310F5">
        <w:rPr>
          <w:lang w:val="fr-FR"/>
        </w:rPr>
        <w:t> </w:t>
      </w:r>
      <w:r w:rsidRPr="00A135AC">
        <w:rPr>
          <w:lang w:val="fr-FR"/>
        </w:rPr>
        <w:t>19</w:t>
      </w:r>
      <w:r w:rsidRPr="00F55E60">
        <w:rPr>
          <w:lang w:val="fr-FR"/>
        </w:rPr>
        <w:t xml:space="preserve"> du Comité (de </w:t>
      </w:r>
      <w:r w:rsidRPr="00A135AC">
        <w:rPr>
          <w:lang w:val="fr-FR"/>
        </w:rPr>
        <w:t>1992</w:t>
      </w:r>
      <w:r w:rsidRPr="00F55E60">
        <w:rPr>
          <w:lang w:val="fr-FR"/>
        </w:rPr>
        <w:t>) sur la violence à l</w:t>
      </w:r>
      <w:r w:rsidR="00D32FC0" w:rsidRPr="00F55E60">
        <w:rPr>
          <w:lang w:val="fr-FR"/>
        </w:rPr>
        <w:t>’</w:t>
      </w:r>
      <w:r w:rsidRPr="00F55E60">
        <w:rPr>
          <w:lang w:val="fr-FR"/>
        </w:rPr>
        <w:t xml:space="preserve">égard des femmes, </w:t>
      </w:r>
      <w:r w:rsidR="007310F5" w:rsidRPr="00F55E60">
        <w:rPr>
          <w:lang w:val="fr-FR"/>
        </w:rPr>
        <w:t>n</w:t>
      </w:r>
      <w:r w:rsidR="007310F5" w:rsidRPr="00F55E60">
        <w:rPr>
          <w:vertAlign w:val="superscript"/>
          <w:lang w:val="fr-FR"/>
        </w:rPr>
        <w:t>o</w:t>
      </w:r>
      <w:r w:rsidR="007310F5">
        <w:rPr>
          <w:lang w:val="fr-FR"/>
        </w:rPr>
        <w:t> </w:t>
      </w:r>
      <w:r w:rsidRPr="00A135AC">
        <w:rPr>
          <w:lang w:val="fr-FR"/>
        </w:rPr>
        <w:t>21</w:t>
      </w:r>
      <w:r w:rsidRPr="005A199B">
        <w:rPr>
          <w:lang w:val="fr-FR"/>
        </w:rPr>
        <w:t xml:space="preserve"> (</w:t>
      </w:r>
      <w:r w:rsidRPr="00A135AC">
        <w:rPr>
          <w:lang w:val="fr-FR"/>
        </w:rPr>
        <w:t>1994</w:t>
      </w:r>
      <w:r w:rsidRPr="005A199B">
        <w:rPr>
          <w:lang w:val="fr-FR"/>
        </w:rPr>
        <w:t>)</w:t>
      </w:r>
      <w:r w:rsidRPr="00F55E60">
        <w:rPr>
          <w:lang w:val="fr-FR"/>
        </w:rPr>
        <w:t xml:space="preserve"> sur l</w:t>
      </w:r>
      <w:r w:rsidR="00D32FC0" w:rsidRPr="00F55E60">
        <w:rPr>
          <w:lang w:val="fr-FR"/>
        </w:rPr>
        <w:t>’</w:t>
      </w:r>
      <w:r w:rsidRPr="00F55E60">
        <w:rPr>
          <w:lang w:val="fr-FR"/>
        </w:rPr>
        <w:t>égalité dans le mariage et les rapports familiaux et n</w:t>
      </w:r>
      <w:r w:rsidRPr="00F55E60">
        <w:rPr>
          <w:vertAlign w:val="superscript"/>
          <w:lang w:val="fr-FR"/>
        </w:rPr>
        <w:t>o</w:t>
      </w:r>
      <w:r w:rsidR="00A61D9D" w:rsidRPr="00954351">
        <w:rPr>
          <w:lang w:val="fr-FR"/>
        </w:rPr>
        <w:t> </w:t>
      </w:r>
      <w:r w:rsidRPr="00A135AC">
        <w:rPr>
          <w:lang w:val="fr-FR"/>
        </w:rPr>
        <w:t>28</w:t>
      </w:r>
      <w:r w:rsidR="00A61D9D">
        <w:rPr>
          <w:lang w:val="fr-FR"/>
        </w:rPr>
        <w:t> </w:t>
      </w:r>
      <w:r w:rsidRPr="005A199B">
        <w:rPr>
          <w:lang w:val="fr-FR"/>
        </w:rPr>
        <w:t>(</w:t>
      </w:r>
      <w:r w:rsidRPr="00A135AC">
        <w:rPr>
          <w:lang w:val="fr-FR"/>
        </w:rPr>
        <w:t>2010</w:t>
      </w:r>
      <w:r w:rsidRPr="005A199B">
        <w:rPr>
          <w:lang w:val="fr-FR"/>
        </w:rPr>
        <w:t>)</w:t>
      </w:r>
      <w:r w:rsidRPr="00F55E60">
        <w:rPr>
          <w:lang w:val="fr-FR"/>
        </w:rPr>
        <w:t xml:space="preserve"> concernant les obligations fondamentales des États parties découlant de l</w:t>
      </w:r>
      <w:r w:rsidR="00D32FC0" w:rsidRPr="00F55E60">
        <w:rPr>
          <w:lang w:val="fr-FR"/>
        </w:rPr>
        <w:t>’</w:t>
      </w:r>
      <w:r w:rsidRPr="00F55E60">
        <w:rPr>
          <w:lang w:val="fr-FR"/>
        </w:rPr>
        <w:t xml:space="preserve">article </w:t>
      </w:r>
      <w:r w:rsidRPr="00A135AC">
        <w:rPr>
          <w:lang w:val="fr-FR"/>
        </w:rPr>
        <w:t>2</w:t>
      </w:r>
      <w:r w:rsidRPr="00F55E60">
        <w:rPr>
          <w:lang w:val="fr-FR"/>
        </w:rPr>
        <w:t xml:space="preserve"> de la Convention. Elle est représentée par ses conseils, Valentina Mudrik et Mariana Yevsyukova.</w:t>
      </w:r>
    </w:p>
    <w:p w14:paraId="5C468CD8" w14:textId="2C70479C" w:rsidR="00A601EB" w:rsidRPr="00F55E60" w:rsidRDefault="00A601EB" w:rsidP="00D53F7E">
      <w:pPr>
        <w:pStyle w:val="SingleTxt"/>
        <w:spacing w:after="0" w:line="120" w:lineRule="exact"/>
        <w:rPr>
          <w:sz w:val="10"/>
          <w:lang w:val="fr-FR"/>
        </w:rPr>
      </w:pPr>
    </w:p>
    <w:p w14:paraId="1996137C" w14:textId="77F3A5C3" w:rsidR="00A601EB" w:rsidRPr="00F55E60" w:rsidRDefault="00D53F7E" w:rsidP="00D53F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E60">
        <w:rPr>
          <w:lang w:val="fr-FR"/>
        </w:rPr>
        <w:tab/>
      </w:r>
      <w:r w:rsidRPr="00F55E60">
        <w:rPr>
          <w:lang w:val="fr-FR"/>
        </w:rPr>
        <w:tab/>
      </w:r>
      <w:r w:rsidR="00A601EB" w:rsidRPr="00F55E60">
        <w:rPr>
          <w:lang w:val="fr-FR"/>
        </w:rPr>
        <w:t>Rappel des faits présentés par l</w:t>
      </w:r>
      <w:r w:rsidR="00D32FC0" w:rsidRPr="00F55E60">
        <w:rPr>
          <w:lang w:val="fr-FR"/>
        </w:rPr>
        <w:t>’</w:t>
      </w:r>
      <w:r w:rsidR="00A601EB" w:rsidRPr="00F55E60">
        <w:rPr>
          <w:lang w:val="fr-FR"/>
        </w:rPr>
        <w:t>auteure</w:t>
      </w:r>
    </w:p>
    <w:p w14:paraId="2D764DCC" w14:textId="16B803F3" w:rsidR="00A601EB" w:rsidRPr="00F55E60" w:rsidRDefault="00A601EB" w:rsidP="00D53F7E">
      <w:pPr>
        <w:pStyle w:val="SingleTxt"/>
        <w:spacing w:after="0" w:line="120" w:lineRule="exact"/>
        <w:rPr>
          <w:sz w:val="10"/>
          <w:lang w:val="fr-FR"/>
        </w:rPr>
      </w:pPr>
    </w:p>
    <w:p w14:paraId="6330F8FA" w14:textId="020EC350" w:rsidR="00355540" w:rsidRPr="00F55E60" w:rsidRDefault="00A601EB" w:rsidP="00D53F7E">
      <w:pPr>
        <w:pStyle w:val="SingleTxt"/>
        <w:numPr>
          <w:ilvl w:val="0"/>
          <w:numId w:val="37"/>
        </w:numPr>
        <w:tabs>
          <w:tab w:val="left" w:pos="1742"/>
          <w:tab w:val="num" w:pos="2804"/>
        </w:tabs>
        <w:spacing w:line="240" w:lineRule="exact"/>
        <w:rPr>
          <w:lang w:val="fr-FR"/>
        </w:rPr>
      </w:pPr>
      <w:r w:rsidRPr="00F55E60">
        <w:rPr>
          <w:lang w:val="fr-FR"/>
        </w:rPr>
        <w:t>L</w:t>
      </w:r>
      <w:r w:rsidR="00D32FC0" w:rsidRPr="00F55E60">
        <w:rPr>
          <w:lang w:val="fr-FR"/>
        </w:rPr>
        <w:t>’</w:t>
      </w:r>
      <w:r w:rsidRPr="00F55E60">
        <w:rPr>
          <w:lang w:val="fr-FR"/>
        </w:rPr>
        <w:t>auteure a rencontré son futur époux, M. Abdelmajid, ressortissant jordanien, lorsqu</w:t>
      </w:r>
      <w:r w:rsidR="00D32FC0" w:rsidRPr="00F55E60">
        <w:rPr>
          <w:lang w:val="fr-FR"/>
        </w:rPr>
        <w:t>’</w:t>
      </w:r>
      <w:r w:rsidRPr="00F55E60">
        <w:rPr>
          <w:lang w:val="fr-FR"/>
        </w:rPr>
        <w:t xml:space="preserve">ils étudiaient la médecine en Ukraine. Ils se sont mariés en avril </w:t>
      </w:r>
      <w:r w:rsidRPr="00A135AC">
        <w:rPr>
          <w:lang w:val="fr-FR"/>
        </w:rPr>
        <w:t>2003</w:t>
      </w:r>
      <w:r w:rsidRPr="00F55E60">
        <w:rPr>
          <w:lang w:val="fr-FR"/>
        </w:rPr>
        <w:t xml:space="preserve"> en Ukraine et se sont installés en Jordanie en août de la même année. En mai </w:t>
      </w:r>
      <w:r w:rsidRPr="00A135AC">
        <w:rPr>
          <w:lang w:val="fr-FR"/>
        </w:rPr>
        <w:t>2004</w:t>
      </w:r>
      <w:r w:rsidRPr="00F55E60">
        <w:rPr>
          <w:lang w:val="fr-FR"/>
        </w:rPr>
        <w:t xml:space="preserve">, </w:t>
      </w:r>
      <w:r w:rsidR="00F55E60" w:rsidRPr="00F55E60">
        <w:rPr>
          <w:lang w:val="fr-FR"/>
        </w:rPr>
        <w:t>M</w:t>
      </w:r>
      <w:r w:rsidR="00F55E60" w:rsidRPr="00F55E60">
        <w:rPr>
          <w:vertAlign w:val="superscript"/>
          <w:lang w:val="fr-FR"/>
        </w:rPr>
        <w:t>me</w:t>
      </w:r>
      <w:r w:rsidRPr="00F55E60">
        <w:rPr>
          <w:lang w:val="fr-FR"/>
        </w:rPr>
        <w:t> Melnik a donné naissance à leur première fille. Avec l</w:t>
      </w:r>
      <w:r w:rsidR="00D32FC0" w:rsidRPr="00F55E60">
        <w:rPr>
          <w:lang w:val="fr-FR"/>
        </w:rPr>
        <w:t>’</w:t>
      </w:r>
      <w:r w:rsidRPr="00F55E60">
        <w:rPr>
          <w:lang w:val="fr-FR"/>
        </w:rPr>
        <w:t>autorisation du père, le nouveau-né a été enregistré comme citoyen ukrainien à l</w:t>
      </w:r>
      <w:r w:rsidR="00D32FC0" w:rsidRPr="00F55E60">
        <w:rPr>
          <w:lang w:val="fr-FR"/>
        </w:rPr>
        <w:t>’</w:t>
      </w:r>
      <w:r w:rsidRPr="00F55E60">
        <w:rPr>
          <w:lang w:val="fr-FR"/>
        </w:rPr>
        <w:t>ambassade d</w:t>
      </w:r>
      <w:r w:rsidR="00D32FC0" w:rsidRPr="00F55E60">
        <w:rPr>
          <w:lang w:val="fr-FR"/>
        </w:rPr>
        <w:t>’</w:t>
      </w:r>
      <w:r w:rsidRPr="00F55E60">
        <w:rPr>
          <w:lang w:val="fr-FR"/>
        </w:rPr>
        <w:t>Ukraine à Amman. En octobre de la même année et toujours avec l</w:t>
      </w:r>
      <w:r w:rsidR="00D32FC0" w:rsidRPr="00F55E60">
        <w:rPr>
          <w:lang w:val="fr-FR"/>
        </w:rPr>
        <w:t>’</w:t>
      </w:r>
      <w:r w:rsidRPr="00F55E60">
        <w:rPr>
          <w:lang w:val="fr-FR"/>
        </w:rPr>
        <w:t xml:space="preserve">autorisation du père, </w:t>
      </w:r>
      <w:r w:rsidR="00F55E60" w:rsidRPr="00F55E60">
        <w:rPr>
          <w:lang w:val="fr-FR"/>
        </w:rPr>
        <w:t>M</w:t>
      </w:r>
      <w:r w:rsidR="00F55E60" w:rsidRPr="00F55E60">
        <w:rPr>
          <w:vertAlign w:val="superscript"/>
          <w:lang w:val="fr-FR"/>
        </w:rPr>
        <w:t>me</w:t>
      </w:r>
      <w:r w:rsidRPr="00F55E60">
        <w:rPr>
          <w:lang w:val="fr-FR"/>
        </w:rPr>
        <w:t xml:space="preserve"> Melnik et sa fille se sont établies en Ukraine. En mars </w:t>
      </w:r>
      <w:r w:rsidRPr="00A135AC">
        <w:rPr>
          <w:lang w:val="fr-FR"/>
        </w:rPr>
        <w:t>2005</w:t>
      </w:r>
      <w:r w:rsidRPr="00F55E60">
        <w:rPr>
          <w:lang w:val="fr-FR"/>
        </w:rPr>
        <w:t>,</w:t>
      </w:r>
      <w:r w:rsidR="00046EBD" w:rsidRPr="00F55E60">
        <w:rPr>
          <w:lang w:val="fr-FR"/>
        </w:rPr>
        <w:t xml:space="preserve"> </w:t>
      </w:r>
      <w:r w:rsidRPr="00F55E60">
        <w:rPr>
          <w:lang w:val="fr-FR"/>
        </w:rPr>
        <w:t>avec l</w:t>
      </w:r>
      <w:r w:rsidR="00D32FC0" w:rsidRPr="00F55E60">
        <w:rPr>
          <w:lang w:val="fr-FR"/>
        </w:rPr>
        <w:t>’</w:t>
      </w:r>
      <w:r w:rsidRPr="00F55E60">
        <w:rPr>
          <w:lang w:val="fr-FR"/>
        </w:rPr>
        <w:t>accord du père, l</w:t>
      </w:r>
      <w:r w:rsidR="00D32FC0" w:rsidRPr="00F55E60">
        <w:rPr>
          <w:lang w:val="fr-FR"/>
        </w:rPr>
        <w:t>’</w:t>
      </w:r>
      <w:r w:rsidRPr="00F55E60">
        <w:rPr>
          <w:lang w:val="fr-FR"/>
        </w:rPr>
        <w:t>auteure est retournée vivre en Jordanie mais sans son enfant qu</w:t>
      </w:r>
      <w:r w:rsidR="00D32FC0" w:rsidRPr="00F55E60">
        <w:rPr>
          <w:lang w:val="fr-FR"/>
        </w:rPr>
        <w:t>’</w:t>
      </w:r>
      <w:r w:rsidRPr="00F55E60">
        <w:rPr>
          <w:lang w:val="fr-FR"/>
        </w:rPr>
        <w:t>elle a confiée à ses parents en Ukraine.</w:t>
      </w:r>
    </w:p>
    <w:p w14:paraId="05A6E3C2" w14:textId="3BB91BD8" w:rsidR="00355540" w:rsidRPr="00F55E60" w:rsidRDefault="00A601EB" w:rsidP="00D53F7E">
      <w:pPr>
        <w:pStyle w:val="SingleTxt"/>
        <w:numPr>
          <w:ilvl w:val="0"/>
          <w:numId w:val="37"/>
        </w:numPr>
        <w:tabs>
          <w:tab w:val="left" w:pos="1742"/>
        </w:tabs>
        <w:spacing w:line="240" w:lineRule="exact"/>
        <w:rPr>
          <w:lang w:val="fr-FR"/>
        </w:rPr>
      </w:pPr>
      <w:r w:rsidRPr="00F55E60">
        <w:rPr>
          <w:lang w:val="fr-FR"/>
        </w:rPr>
        <w:t xml:space="preserve">En janvier </w:t>
      </w:r>
      <w:r w:rsidRPr="00A135AC">
        <w:rPr>
          <w:lang w:val="fr-FR"/>
        </w:rPr>
        <w:t>2006</w:t>
      </w:r>
      <w:r w:rsidRPr="00F55E60">
        <w:rPr>
          <w:lang w:val="fr-FR"/>
        </w:rPr>
        <w:t>, l</w:t>
      </w:r>
      <w:r w:rsidR="00D32FC0" w:rsidRPr="00F55E60">
        <w:rPr>
          <w:lang w:val="fr-FR"/>
        </w:rPr>
        <w:t>’</w:t>
      </w:r>
      <w:r w:rsidRPr="00F55E60">
        <w:rPr>
          <w:lang w:val="fr-FR"/>
        </w:rPr>
        <w:t>auteure a donné naissance à une deuxième fille, également enregistrée à l</w:t>
      </w:r>
      <w:r w:rsidR="00D32FC0" w:rsidRPr="00F55E60">
        <w:rPr>
          <w:lang w:val="fr-FR"/>
        </w:rPr>
        <w:t>’</w:t>
      </w:r>
      <w:r w:rsidRPr="00F55E60">
        <w:rPr>
          <w:lang w:val="fr-FR"/>
        </w:rPr>
        <w:t>ambassade d</w:t>
      </w:r>
      <w:r w:rsidR="00D32FC0" w:rsidRPr="00F55E60">
        <w:rPr>
          <w:lang w:val="fr-FR"/>
        </w:rPr>
        <w:t>’</w:t>
      </w:r>
      <w:r w:rsidRPr="00F55E60">
        <w:rPr>
          <w:lang w:val="fr-FR"/>
        </w:rPr>
        <w:t>Ukraine à Amman, encore une fois avec l</w:t>
      </w:r>
      <w:r w:rsidR="00D32FC0" w:rsidRPr="00F55E60">
        <w:rPr>
          <w:lang w:val="fr-FR"/>
        </w:rPr>
        <w:t>’</w:t>
      </w:r>
      <w:r w:rsidRPr="00F55E60">
        <w:rPr>
          <w:lang w:val="fr-FR"/>
        </w:rPr>
        <w:t>autorisation du père.</w:t>
      </w:r>
    </w:p>
    <w:p w14:paraId="367D6B23" w14:textId="1FB08322" w:rsidR="00A601EB" w:rsidRPr="00F55E60" w:rsidRDefault="00A601EB" w:rsidP="00D53F7E">
      <w:pPr>
        <w:pStyle w:val="SingleTxt"/>
        <w:numPr>
          <w:ilvl w:val="0"/>
          <w:numId w:val="37"/>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affirme qu</w:t>
      </w:r>
      <w:r w:rsidR="00D32FC0" w:rsidRPr="00F55E60">
        <w:rPr>
          <w:lang w:val="fr-FR"/>
        </w:rPr>
        <w:t>’</w:t>
      </w:r>
      <w:r w:rsidRPr="00F55E60">
        <w:rPr>
          <w:lang w:val="fr-FR"/>
        </w:rPr>
        <w:t>au début, la relation entre les époux était affectueuse et sans violence. Ce n</w:t>
      </w:r>
      <w:r w:rsidR="00D32FC0" w:rsidRPr="00F55E60">
        <w:rPr>
          <w:lang w:val="fr-FR"/>
        </w:rPr>
        <w:t>’</w:t>
      </w:r>
      <w:r w:rsidRPr="00F55E60">
        <w:rPr>
          <w:lang w:val="fr-FR"/>
        </w:rPr>
        <w:t>est qu</w:t>
      </w:r>
      <w:r w:rsidR="00D32FC0" w:rsidRPr="00F55E60">
        <w:rPr>
          <w:lang w:val="fr-FR"/>
        </w:rPr>
        <w:t>’</w:t>
      </w:r>
      <w:r w:rsidRPr="00F55E60">
        <w:rPr>
          <w:lang w:val="fr-FR"/>
        </w:rPr>
        <w:t>après son emménagement en Jordanie qu</w:t>
      </w:r>
      <w:r w:rsidR="00D32FC0" w:rsidRPr="00F55E60">
        <w:rPr>
          <w:lang w:val="fr-FR"/>
        </w:rPr>
        <w:t>’</w:t>
      </w:r>
      <w:r w:rsidRPr="00F55E60">
        <w:rPr>
          <w:lang w:val="fr-FR"/>
        </w:rPr>
        <w:t xml:space="preserve">elle a subi des maltraitances psychologiques, physiques et financières de la part de son mari. Par exemple, en janvier </w:t>
      </w:r>
      <w:r w:rsidRPr="00A135AC">
        <w:rPr>
          <w:lang w:val="fr-FR"/>
        </w:rPr>
        <w:t>2006</w:t>
      </w:r>
      <w:r w:rsidRPr="00F55E60">
        <w:rPr>
          <w:lang w:val="fr-FR"/>
        </w:rPr>
        <w:t>, lorsque l</w:t>
      </w:r>
      <w:r w:rsidR="00D32FC0" w:rsidRPr="00F55E60">
        <w:rPr>
          <w:lang w:val="fr-FR"/>
        </w:rPr>
        <w:t>’</w:t>
      </w:r>
      <w:r w:rsidRPr="00F55E60">
        <w:rPr>
          <w:lang w:val="fr-FR"/>
        </w:rPr>
        <w:t>auteure était enceinte de leur deuxième enfant, son mari lui a refusé l</w:t>
      </w:r>
      <w:r w:rsidR="00D32FC0" w:rsidRPr="00F55E60">
        <w:rPr>
          <w:lang w:val="fr-FR"/>
        </w:rPr>
        <w:t>’</w:t>
      </w:r>
      <w:r w:rsidRPr="00F55E60">
        <w:rPr>
          <w:lang w:val="fr-FR"/>
        </w:rPr>
        <w:t>accès à une maternité, faisant valoir qu</w:t>
      </w:r>
      <w:r w:rsidR="00D32FC0" w:rsidRPr="00F55E60">
        <w:rPr>
          <w:lang w:val="fr-FR"/>
        </w:rPr>
        <w:t>’</w:t>
      </w:r>
      <w:r w:rsidRPr="00F55E60">
        <w:rPr>
          <w:lang w:val="fr-FR"/>
        </w:rPr>
        <w:t>il était diplômé en médecine et capable de pratiquer l</w:t>
      </w:r>
      <w:r w:rsidR="00D32FC0" w:rsidRPr="00F55E60">
        <w:rPr>
          <w:lang w:val="fr-FR"/>
        </w:rPr>
        <w:t>’</w:t>
      </w:r>
      <w:r w:rsidRPr="00F55E60">
        <w:rPr>
          <w:lang w:val="fr-FR"/>
        </w:rPr>
        <w:t>accouchement à domicile, vu le coût élevé des services médicaux jordaniens. Le mari n</w:t>
      </w:r>
      <w:r w:rsidR="00D32FC0" w:rsidRPr="00F55E60">
        <w:rPr>
          <w:lang w:val="fr-FR"/>
        </w:rPr>
        <w:t>’</w:t>
      </w:r>
      <w:r w:rsidRPr="00F55E60">
        <w:rPr>
          <w:lang w:val="fr-FR"/>
        </w:rPr>
        <w:t>étant pas gynécologue, ce refus risquait de mettre en danger la vie de l</w:t>
      </w:r>
      <w:r w:rsidR="00D32FC0" w:rsidRPr="00F55E60">
        <w:rPr>
          <w:lang w:val="fr-FR"/>
        </w:rPr>
        <w:t>’</w:t>
      </w:r>
      <w:r w:rsidRPr="00F55E60">
        <w:rPr>
          <w:lang w:val="fr-FR"/>
        </w:rPr>
        <w:t>auteure et de son enfant en cas de complications.</w:t>
      </w:r>
    </w:p>
    <w:p w14:paraId="0483E62D" w14:textId="5F74ED2E"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affirme qu</w:t>
      </w:r>
      <w:r w:rsidR="00D32FC0" w:rsidRPr="00F55E60">
        <w:rPr>
          <w:lang w:val="fr-FR"/>
        </w:rPr>
        <w:t>’</w:t>
      </w:r>
      <w:r w:rsidRPr="00F55E60">
        <w:rPr>
          <w:lang w:val="fr-FR"/>
        </w:rPr>
        <w:t>après la naissance de la deuxième enfant, son mari est devenu violent à son encontre. Après lui avoir confisqué son portable, il l</w:t>
      </w:r>
      <w:r w:rsidR="00D32FC0" w:rsidRPr="00F55E60">
        <w:rPr>
          <w:lang w:val="fr-FR"/>
        </w:rPr>
        <w:t>’</w:t>
      </w:r>
      <w:r w:rsidRPr="00F55E60">
        <w:rPr>
          <w:lang w:val="fr-FR"/>
        </w:rPr>
        <w:t>a séquestrée avec le bébé au sous-sol du domicile familial</w:t>
      </w:r>
      <w:r w:rsidR="00046EBD" w:rsidRPr="00F55E60">
        <w:rPr>
          <w:lang w:val="fr-FR"/>
        </w:rPr>
        <w:t xml:space="preserve"> </w:t>
      </w:r>
      <w:r w:rsidRPr="00F55E60">
        <w:rPr>
          <w:lang w:val="fr-FR"/>
        </w:rPr>
        <w:t>lui interdisant tout contact avec l</w:t>
      </w:r>
      <w:r w:rsidR="00D32FC0" w:rsidRPr="00F55E60">
        <w:rPr>
          <w:lang w:val="fr-FR"/>
        </w:rPr>
        <w:t>’</w:t>
      </w:r>
      <w:r w:rsidRPr="00F55E60">
        <w:rPr>
          <w:lang w:val="fr-FR"/>
        </w:rPr>
        <w:t>extérieur. Il ne lui a donné que le minimum à manger et a refusé de lui fournir des médicaments ou des vêtements chauds pour le nourrisson. Il hurlait contre l</w:t>
      </w:r>
      <w:r w:rsidR="00D32FC0" w:rsidRPr="00F55E60">
        <w:rPr>
          <w:lang w:val="fr-FR"/>
        </w:rPr>
        <w:t>’</w:t>
      </w:r>
      <w:r w:rsidRPr="00F55E60">
        <w:rPr>
          <w:lang w:val="fr-FR"/>
        </w:rPr>
        <w:t>auteure et l</w:t>
      </w:r>
      <w:r w:rsidR="00D32FC0" w:rsidRPr="00F55E60">
        <w:rPr>
          <w:lang w:val="fr-FR"/>
        </w:rPr>
        <w:t>’</w:t>
      </w:r>
      <w:r w:rsidRPr="00F55E60">
        <w:rPr>
          <w:lang w:val="fr-FR"/>
        </w:rPr>
        <w:t>humiliait quotidiennement, arguant qu</w:t>
      </w:r>
      <w:r w:rsidR="00D32FC0" w:rsidRPr="00F55E60">
        <w:rPr>
          <w:lang w:val="fr-FR"/>
        </w:rPr>
        <w:t>’</w:t>
      </w:r>
      <w:r w:rsidRPr="00F55E60">
        <w:rPr>
          <w:lang w:val="fr-FR"/>
        </w:rPr>
        <w:t>elle n</w:t>
      </w:r>
      <w:r w:rsidR="00D32FC0" w:rsidRPr="00F55E60">
        <w:rPr>
          <w:lang w:val="fr-FR"/>
        </w:rPr>
        <w:t>’</w:t>
      </w:r>
      <w:r w:rsidRPr="00F55E60">
        <w:rPr>
          <w:lang w:val="fr-FR"/>
        </w:rPr>
        <w:t>était pas capable d</w:t>
      </w:r>
      <w:r w:rsidR="00D32FC0" w:rsidRPr="00F55E60">
        <w:rPr>
          <w:lang w:val="fr-FR"/>
        </w:rPr>
        <w:t>’</w:t>
      </w:r>
      <w:r w:rsidRPr="00F55E60">
        <w:rPr>
          <w:lang w:val="fr-FR"/>
        </w:rPr>
        <w:t>élever un enfant jordanien correctement, puisqu</w:t>
      </w:r>
      <w:r w:rsidR="00D32FC0" w:rsidRPr="00F55E60">
        <w:rPr>
          <w:lang w:val="fr-FR"/>
        </w:rPr>
        <w:t>’</w:t>
      </w:r>
      <w:r w:rsidRPr="00F55E60">
        <w:rPr>
          <w:lang w:val="fr-FR"/>
        </w:rPr>
        <w:t>elle était chrétienne orthodoxe. Si elle protestait, il la menaçait de la tuer et de lui retirer son enfant. Lorsqu</w:t>
      </w:r>
      <w:r w:rsidR="00D32FC0" w:rsidRPr="00F55E60">
        <w:rPr>
          <w:lang w:val="fr-FR"/>
        </w:rPr>
        <w:t>’</w:t>
      </w:r>
      <w:r w:rsidRPr="00F55E60">
        <w:rPr>
          <w:lang w:val="fr-FR"/>
        </w:rPr>
        <w:t>il estimait qu</w:t>
      </w:r>
      <w:r w:rsidR="00D32FC0" w:rsidRPr="00F55E60">
        <w:rPr>
          <w:lang w:val="fr-FR"/>
        </w:rPr>
        <w:t>’</w:t>
      </w:r>
      <w:r w:rsidRPr="00F55E60">
        <w:rPr>
          <w:lang w:val="fr-FR"/>
        </w:rPr>
        <w:t>elle lui parlait</w:t>
      </w:r>
      <w:r w:rsidR="00046EBD" w:rsidRPr="00F55E60">
        <w:rPr>
          <w:lang w:val="fr-FR"/>
        </w:rPr>
        <w:t xml:space="preserve"> </w:t>
      </w:r>
      <w:r w:rsidRPr="00F55E60">
        <w:rPr>
          <w:lang w:val="fr-FR"/>
        </w:rPr>
        <w:t>d</w:t>
      </w:r>
      <w:r w:rsidR="00D32FC0" w:rsidRPr="00F55E60">
        <w:rPr>
          <w:lang w:val="fr-FR"/>
        </w:rPr>
        <w:t>’</w:t>
      </w:r>
      <w:r w:rsidRPr="00F55E60">
        <w:rPr>
          <w:lang w:val="fr-FR"/>
        </w:rPr>
        <w:t xml:space="preserve">une manière </w:t>
      </w:r>
      <w:r w:rsidRPr="00954351">
        <w:rPr>
          <w:lang w:val="fr-FR"/>
        </w:rPr>
        <w:t>désobligeante</w:t>
      </w:r>
      <w:r w:rsidR="007A2E8D" w:rsidRPr="00954351">
        <w:rPr>
          <w:lang w:val="fr-FR"/>
        </w:rPr>
        <w:t>,</w:t>
      </w:r>
      <w:r w:rsidRPr="00954351">
        <w:rPr>
          <w:lang w:val="fr-FR"/>
        </w:rPr>
        <w:t xml:space="preserve"> il la battait, la giflait</w:t>
      </w:r>
      <w:r w:rsidR="007A2E8D" w:rsidRPr="00954351">
        <w:rPr>
          <w:lang w:val="fr-FR"/>
        </w:rPr>
        <w:t>,</w:t>
      </w:r>
      <w:r w:rsidRPr="00954351">
        <w:rPr>
          <w:lang w:val="fr-FR"/>
        </w:rPr>
        <w:t xml:space="preserve"> lui tordait les bras, lui donnait des coups dans le ventre et à la tête, et la poussait contre</w:t>
      </w:r>
      <w:r w:rsidRPr="00F55E60">
        <w:rPr>
          <w:lang w:val="fr-FR"/>
        </w:rPr>
        <w:t xml:space="preserve"> le mur et à terre. La famille du mari privait régulièrement de son bébé l</w:t>
      </w:r>
      <w:r w:rsidR="00D32FC0" w:rsidRPr="00F55E60">
        <w:rPr>
          <w:lang w:val="fr-FR"/>
        </w:rPr>
        <w:t>’</w:t>
      </w:r>
      <w:r w:rsidRPr="00F55E60">
        <w:rPr>
          <w:lang w:val="fr-FR"/>
        </w:rPr>
        <w:t>auteure, qui se retrouvait enfermée au sous-sol. La famille du père ne faisait aucun cas des supplications qu</w:t>
      </w:r>
      <w:r w:rsidR="00D32FC0" w:rsidRPr="00F55E60">
        <w:rPr>
          <w:lang w:val="fr-FR"/>
        </w:rPr>
        <w:t>’</w:t>
      </w:r>
      <w:r w:rsidRPr="00F55E60">
        <w:rPr>
          <w:lang w:val="fr-FR"/>
        </w:rPr>
        <w:t>elle proférait lorsque le bébé se mettait à pleurer. Pareille situation a duré plusieurs mois.</w:t>
      </w:r>
    </w:p>
    <w:p w14:paraId="30B0DD80" w14:textId="3594E25B" w:rsidR="00355540" w:rsidRPr="00F55E60" w:rsidRDefault="00A601EB" w:rsidP="009265FF">
      <w:pPr>
        <w:pStyle w:val="SingleTxt"/>
        <w:numPr>
          <w:ilvl w:val="0"/>
          <w:numId w:val="37"/>
        </w:numPr>
        <w:tabs>
          <w:tab w:val="left" w:pos="1742"/>
        </w:tabs>
        <w:spacing w:line="240" w:lineRule="exact"/>
        <w:rPr>
          <w:lang w:val="fr-FR"/>
        </w:rPr>
      </w:pPr>
      <w:r w:rsidRPr="00F55E60">
        <w:rPr>
          <w:lang w:val="fr-FR"/>
        </w:rPr>
        <w:t xml:space="preserve">À la fin du mois de février </w:t>
      </w:r>
      <w:r w:rsidRPr="00A135AC">
        <w:rPr>
          <w:lang w:val="fr-FR"/>
        </w:rPr>
        <w:t>2006</w:t>
      </w:r>
      <w:r w:rsidRPr="00F55E60">
        <w:rPr>
          <w:lang w:val="fr-FR"/>
        </w:rPr>
        <w:t>, l</w:t>
      </w:r>
      <w:r w:rsidR="00D32FC0" w:rsidRPr="00F55E60">
        <w:rPr>
          <w:lang w:val="fr-FR"/>
        </w:rPr>
        <w:t>’</w:t>
      </w:r>
      <w:r w:rsidRPr="00F55E60">
        <w:rPr>
          <w:lang w:val="fr-FR"/>
        </w:rPr>
        <w:t>auteure a réussi à joindre par téléphone des responsables de l</w:t>
      </w:r>
      <w:r w:rsidR="00D32FC0" w:rsidRPr="00F55E60">
        <w:rPr>
          <w:lang w:val="fr-FR"/>
        </w:rPr>
        <w:t>’</w:t>
      </w:r>
      <w:r w:rsidRPr="00F55E60">
        <w:rPr>
          <w:lang w:val="fr-FR"/>
        </w:rPr>
        <w:t>ambassade d</w:t>
      </w:r>
      <w:r w:rsidR="00D32FC0" w:rsidRPr="00F55E60">
        <w:rPr>
          <w:lang w:val="fr-FR"/>
        </w:rPr>
        <w:t>’</w:t>
      </w:r>
      <w:r w:rsidRPr="00F55E60">
        <w:rPr>
          <w:lang w:val="fr-FR"/>
        </w:rPr>
        <w:t>Ukraine à Amman. Elle leur a expliqué sa situation et leur a demandé de l</w:t>
      </w:r>
      <w:r w:rsidR="00D32FC0" w:rsidRPr="00F55E60">
        <w:rPr>
          <w:lang w:val="fr-FR"/>
        </w:rPr>
        <w:t>’</w:t>
      </w:r>
      <w:r w:rsidRPr="00F55E60">
        <w:rPr>
          <w:lang w:val="fr-FR"/>
        </w:rPr>
        <w:t>aider à quitter le pays et à rentrer en Ukraine avec sa fille. Les fonctionnaires de l</w:t>
      </w:r>
      <w:r w:rsidR="00D32FC0" w:rsidRPr="00F55E60">
        <w:rPr>
          <w:lang w:val="fr-FR"/>
        </w:rPr>
        <w:t>’</w:t>
      </w:r>
      <w:r w:rsidRPr="00F55E60">
        <w:rPr>
          <w:lang w:val="fr-FR"/>
        </w:rPr>
        <w:t>ambassade l</w:t>
      </w:r>
      <w:r w:rsidR="00D32FC0" w:rsidRPr="00F55E60">
        <w:rPr>
          <w:lang w:val="fr-FR"/>
        </w:rPr>
        <w:t>’</w:t>
      </w:r>
      <w:r w:rsidRPr="00F55E60">
        <w:rPr>
          <w:lang w:val="fr-FR"/>
        </w:rPr>
        <w:t>ont informée qu</w:t>
      </w:r>
      <w:r w:rsidR="00D32FC0" w:rsidRPr="00F55E60">
        <w:rPr>
          <w:lang w:val="fr-FR"/>
        </w:rPr>
        <w:t>’</w:t>
      </w:r>
      <w:r w:rsidRPr="00F55E60">
        <w:rPr>
          <w:lang w:val="fr-FR"/>
        </w:rPr>
        <w:t>ils n</w:t>
      </w:r>
      <w:r w:rsidR="00D32FC0" w:rsidRPr="00F55E60">
        <w:rPr>
          <w:lang w:val="fr-FR"/>
        </w:rPr>
        <w:t>’</w:t>
      </w:r>
      <w:r w:rsidRPr="00F55E60">
        <w:rPr>
          <w:lang w:val="fr-FR"/>
        </w:rPr>
        <w:t>étaient pas en mesure de résoudre ces différends familiaux.</w:t>
      </w:r>
    </w:p>
    <w:p w14:paraId="5857CABB" w14:textId="23BBF1C7"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 xml:space="preserve">Fin février </w:t>
      </w:r>
      <w:r w:rsidRPr="00A135AC">
        <w:rPr>
          <w:lang w:val="fr-FR"/>
        </w:rPr>
        <w:t>2006</w:t>
      </w:r>
      <w:r w:rsidRPr="00F55E60">
        <w:rPr>
          <w:lang w:val="fr-FR"/>
        </w:rPr>
        <w:t xml:space="preserve"> également, à la demande des parents de l</w:t>
      </w:r>
      <w:r w:rsidR="00D32FC0" w:rsidRPr="00F55E60">
        <w:rPr>
          <w:lang w:val="fr-FR"/>
        </w:rPr>
        <w:t>’</w:t>
      </w:r>
      <w:r w:rsidRPr="00F55E60">
        <w:rPr>
          <w:lang w:val="fr-FR"/>
        </w:rPr>
        <w:t>auteure, les autorités ukrainiennes ont contacté les responsables de l</w:t>
      </w:r>
      <w:r w:rsidR="00D32FC0" w:rsidRPr="00F55E60">
        <w:rPr>
          <w:lang w:val="fr-FR"/>
        </w:rPr>
        <w:t>’</w:t>
      </w:r>
      <w:r w:rsidRPr="00F55E60">
        <w:rPr>
          <w:lang w:val="fr-FR"/>
        </w:rPr>
        <w:t>ambassade d</w:t>
      </w:r>
      <w:r w:rsidR="00D32FC0" w:rsidRPr="00F55E60">
        <w:rPr>
          <w:lang w:val="fr-FR"/>
        </w:rPr>
        <w:t>’</w:t>
      </w:r>
      <w:r w:rsidRPr="00F55E60">
        <w:rPr>
          <w:lang w:val="fr-FR"/>
        </w:rPr>
        <w:t xml:space="preserve">Ukraine à Amman, à la </w:t>
      </w:r>
      <w:r w:rsidRPr="00F55E60">
        <w:rPr>
          <w:lang w:val="fr-FR"/>
        </w:rPr>
        <w:lastRenderedPageBreak/>
        <w:t>suite de quoi une plainte a été déposée auprès des autorités jordaniennes par cette dernière pour violences familiales. En mars, l</w:t>
      </w:r>
      <w:r w:rsidR="00D32FC0" w:rsidRPr="00F55E60">
        <w:rPr>
          <w:lang w:val="fr-FR"/>
        </w:rPr>
        <w:t>’</w:t>
      </w:r>
      <w:r w:rsidRPr="00F55E60">
        <w:rPr>
          <w:lang w:val="fr-FR"/>
        </w:rPr>
        <w:t xml:space="preserve">affaire a été jugée selon la charia par un </w:t>
      </w:r>
      <w:r w:rsidRPr="00A135AC">
        <w:rPr>
          <w:i/>
          <w:lang w:val="fr-FR"/>
        </w:rPr>
        <w:t>muhafed</w:t>
      </w:r>
      <w:r w:rsidRPr="00F55E60">
        <w:rPr>
          <w:lang w:val="fr-FR"/>
        </w:rPr>
        <w:t xml:space="preserve"> (représentant régional de la monarchie), qui s</w:t>
      </w:r>
      <w:r w:rsidR="00D32FC0" w:rsidRPr="00F55E60">
        <w:rPr>
          <w:lang w:val="fr-FR"/>
        </w:rPr>
        <w:t>’</w:t>
      </w:r>
      <w:r w:rsidRPr="00F55E60">
        <w:rPr>
          <w:lang w:val="fr-FR"/>
        </w:rPr>
        <w:t>est prononcé en faveur d</w:t>
      </w:r>
      <w:r w:rsidR="00D32FC0" w:rsidRPr="00F55E60">
        <w:rPr>
          <w:lang w:val="fr-FR"/>
        </w:rPr>
        <w:t>’</w:t>
      </w:r>
      <w:r w:rsidRPr="00F55E60">
        <w:rPr>
          <w:lang w:val="fr-FR"/>
        </w:rPr>
        <w:t>une période de réconciliation de trois mois. À la demande du mari, le tribunal a en outre estimé que l</w:t>
      </w:r>
      <w:r w:rsidR="00D32FC0" w:rsidRPr="00F55E60">
        <w:rPr>
          <w:lang w:val="fr-FR"/>
        </w:rPr>
        <w:t>’</w:t>
      </w:r>
      <w:r w:rsidRPr="00F55E60">
        <w:rPr>
          <w:lang w:val="fr-FR"/>
        </w:rPr>
        <w:t>aînée des filles devait quitter l</w:t>
      </w:r>
      <w:r w:rsidR="00D32FC0" w:rsidRPr="00F55E60">
        <w:rPr>
          <w:lang w:val="fr-FR"/>
        </w:rPr>
        <w:t>’</w:t>
      </w:r>
      <w:r w:rsidRPr="00F55E60">
        <w:rPr>
          <w:lang w:val="fr-FR"/>
        </w:rPr>
        <w:t>Ukraine et retourner en Jordanie</w:t>
      </w:r>
      <w:r w:rsidR="007A2E8D" w:rsidRPr="007A2E8D">
        <w:rPr>
          <w:lang w:val="fr-FR"/>
        </w:rPr>
        <w:t>.</w:t>
      </w:r>
      <w:r w:rsidRPr="00F55E60">
        <w:rPr>
          <w:lang w:val="fr-FR"/>
        </w:rPr>
        <w:t xml:space="preserve"> L</w:t>
      </w:r>
      <w:r w:rsidR="00D32FC0" w:rsidRPr="00F55E60">
        <w:rPr>
          <w:lang w:val="fr-FR"/>
        </w:rPr>
        <w:t>’</w:t>
      </w:r>
      <w:r w:rsidRPr="00F55E60">
        <w:rPr>
          <w:lang w:val="fr-FR"/>
        </w:rPr>
        <w:t>auteure n</w:t>
      </w:r>
      <w:r w:rsidR="00D32FC0" w:rsidRPr="00F55E60">
        <w:rPr>
          <w:lang w:val="fr-FR"/>
        </w:rPr>
        <w:t>’</w:t>
      </w:r>
      <w:r w:rsidRPr="00F55E60">
        <w:rPr>
          <w:lang w:val="fr-FR"/>
        </w:rPr>
        <w:t>a pas reçu copie de la décision. Aucun fonctionnaire de l</w:t>
      </w:r>
      <w:r w:rsidR="00D32FC0" w:rsidRPr="00F55E60">
        <w:rPr>
          <w:lang w:val="fr-FR"/>
        </w:rPr>
        <w:t>’</w:t>
      </w:r>
      <w:r w:rsidRPr="00F55E60">
        <w:rPr>
          <w:lang w:val="fr-FR"/>
        </w:rPr>
        <w:t>ambassade n</w:t>
      </w:r>
      <w:r w:rsidR="00D32FC0" w:rsidRPr="00F55E60">
        <w:rPr>
          <w:lang w:val="fr-FR"/>
        </w:rPr>
        <w:t>’</w:t>
      </w:r>
      <w:r w:rsidRPr="00F55E60">
        <w:rPr>
          <w:lang w:val="fr-FR"/>
        </w:rPr>
        <w:t>a suivi la procédure et l</w:t>
      </w:r>
      <w:r w:rsidR="00D32FC0" w:rsidRPr="00F55E60">
        <w:rPr>
          <w:lang w:val="fr-FR"/>
        </w:rPr>
        <w:t>’</w:t>
      </w:r>
      <w:r w:rsidRPr="00F55E60">
        <w:rPr>
          <w:lang w:val="fr-FR"/>
        </w:rPr>
        <w:t>auteure n</w:t>
      </w:r>
      <w:r w:rsidR="00D32FC0" w:rsidRPr="00F55E60">
        <w:rPr>
          <w:lang w:val="fr-FR"/>
        </w:rPr>
        <w:t>’</w:t>
      </w:r>
      <w:r w:rsidRPr="00F55E60">
        <w:rPr>
          <w:lang w:val="fr-FR"/>
        </w:rPr>
        <w:t>a pas bénéficié de l</w:t>
      </w:r>
      <w:r w:rsidR="00D32FC0" w:rsidRPr="00F55E60">
        <w:rPr>
          <w:lang w:val="fr-FR"/>
        </w:rPr>
        <w:t>’</w:t>
      </w:r>
      <w:r w:rsidRPr="00F55E60">
        <w:rPr>
          <w:lang w:val="fr-FR"/>
        </w:rPr>
        <w:t>assistance d</w:t>
      </w:r>
      <w:r w:rsidR="00D32FC0" w:rsidRPr="00F55E60">
        <w:rPr>
          <w:lang w:val="fr-FR"/>
        </w:rPr>
        <w:t>’</w:t>
      </w:r>
      <w:r w:rsidRPr="00F55E60">
        <w:rPr>
          <w:lang w:val="fr-FR"/>
        </w:rPr>
        <w:t>un avocat ou d</w:t>
      </w:r>
      <w:r w:rsidR="00D32FC0" w:rsidRPr="00F55E60">
        <w:rPr>
          <w:lang w:val="fr-FR"/>
        </w:rPr>
        <w:t>’</w:t>
      </w:r>
      <w:r w:rsidRPr="00F55E60">
        <w:rPr>
          <w:lang w:val="fr-FR"/>
        </w:rPr>
        <w:t>un interprète</w:t>
      </w:r>
      <w:r w:rsidRPr="00A135AC">
        <w:rPr>
          <w:vertAlign w:val="superscript"/>
          <w:lang w:val="fr-FR"/>
        </w:rPr>
        <w:footnoteReference w:id="4"/>
      </w:r>
      <w:bookmarkStart w:id="4" w:name="_Hlk532916002"/>
      <w:bookmarkEnd w:id="4"/>
      <w:r w:rsidRPr="00F55E60">
        <w:rPr>
          <w:lang w:val="fr-FR"/>
        </w:rPr>
        <w:t>.</w:t>
      </w:r>
    </w:p>
    <w:p w14:paraId="3B095255" w14:textId="5F424628"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Par la suite, le mari a refusé de se rendre en Ukraine ou de permettre à l</w:t>
      </w:r>
      <w:r w:rsidR="00D32FC0" w:rsidRPr="00F55E60">
        <w:rPr>
          <w:lang w:val="fr-FR"/>
        </w:rPr>
        <w:t>’</w:t>
      </w:r>
      <w:r w:rsidRPr="00F55E60">
        <w:rPr>
          <w:lang w:val="fr-FR"/>
        </w:rPr>
        <w:t>auteure de voyager avec sa fille cadette. Il a insisté pour que les parents de l</w:t>
      </w:r>
      <w:r w:rsidR="00D32FC0" w:rsidRPr="00F55E60">
        <w:rPr>
          <w:lang w:val="fr-FR"/>
        </w:rPr>
        <w:t>’</w:t>
      </w:r>
      <w:r w:rsidRPr="00F55E60">
        <w:rPr>
          <w:lang w:val="fr-FR"/>
        </w:rPr>
        <w:t>auteure renvoient l</w:t>
      </w:r>
      <w:r w:rsidR="00D32FC0" w:rsidRPr="00F55E60">
        <w:rPr>
          <w:lang w:val="fr-FR"/>
        </w:rPr>
        <w:t>’</w:t>
      </w:r>
      <w:r w:rsidRPr="00F55E60">
        <w:rPr>
          <w:lang w:val="fr-FR"/>
        </w:rPr>
        <w:t>aînée des filles seule en Jordanie et en avion. Les violences à l</w:t>
      </w:r>
      <w:r w:rsidR="00D32FC0" w:rsidRPr="00F55E60">
        <w:rPr>
          <w:lang w:val="fr-FR"/>
        </w:rPr>
        <w:t>’</w:t>
      </w:r>
      <w:r w:rsidRPr="00F55E60">
        <w:rPr>
          <w:lang w:val="fr-FR"/>
        </w:rPr>
        <w:t>encontre de l</w:t>
      </w:r>
      <w:r w:rsidR="00D32FC0" w:rsidRPr="00F55E60">
        <w:rPr>
          <w:lang w:val="fr-FR"/>
        </w:rPr>
        <w:t>’</w:t>
      </w:r>
      <w:r w:rsidRPr="00F55E60">
        <w:rPr>
          <w:lang w:val="fr-FR"/>
        </w:rPr>
        <w:t>auteure ayant repris de plus belle, celle-ci s</w:t>
      </w:r>
      <w:r w:rsidR="00D32FC0" w:rsidRPr="00F55E60">
        <w:rPr>
          <w:lang w:val="fr-FR"/>
        </w:rPr>
        <w:t>’</w:t>
      </w:r>
      <w:r w:rsidRPr="00F55E60">
        <w:rPr>
          <w:lang w:val="fr-FR"/>
        </w:rPr>
        <w:t>est adressée à l</w:t>
      </w:r>
      <w:r w:rsidR="00D32FC0" w:rsidRPr="00F55E60">
        <w:rPr>
          <w:lang w:val="fr-FR"/>
        </w:rPr>
        <w:t>’</w:t>
      </w:r>
      <w:r w:rsidRPr="00F55E60">
        <w:rPr>
          <w:lang w:val="fr-FR"/>
        </w:rPr>
        <w:t>ambassade d</w:t>
      </w:r>
      <w:r w:rsidR="00D32FC0" w:rsidRPr="00F55E60">
        <w:rPr>
          <w:lang w:val="fr-FR"/>
        </w:rPr>
        <w:t>’</w:t>
      </w:r>
      <w:r w:rsidRPr="00F55E60">
        <w:rPr>
          <w:lang w:val="fr-FR"/>
        </w:rPr>
        <w:t>Ukraine, mais il lui a été conseillé de quitter le pays seule, abandonnant ainsi sa fille cadette en Jordanie. L</w:t>
      </w:r>
      <w:r w:rsidR="00D32FC0" w:rsidRPr="00F55E60">
        <w:rPr>
          <w:lang w:val="fr-FR"/>
        </w:rPr>
        <w:t>’</w:t>
      </w:r>
      <w:r w:rsidRPr="00F55E60">
        <w:rPr>
          <w:lang w:val="fr-FR"/>
        </w:rPr>
        <w:t>auteure a refusé et a continué de faire l</w:t>
      </w:r>
      <w:r w:rsidR="00D32FC0" w:rsidRPr="00F55E60">
        <w:rPr>
          <w:lang w:val="fr-FR"/>
        </w:rPr>
        <w:t>’</w:t>
      </w:r>
      <w:r w:rsidRPr="00F55E60">
        <w:rPr>
          <w:lang w:val="fr-FR"/>
        </w:rPr>
        <w:t>objet de violences.</w:t>
      </w:r>
    </w:p>
    <w:p w14:paraId="6FA85E05" w14:textId="6B736564"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 xml:space="preserve">En </w:t>
      </w:r>
      <w:r w:rsidRPr="00A135AC">
        <w:rPr>
          <w:lang w:val="fr-FR"/>
        </w:rPr>
        <w:t>2008</w:t>
      </w:r>
      <w:r w:rsidRPr="00F55E60">
        <w:rPr>
          <w:lang w:val="fr-FR"/>
        </w:rPr>
        <w:t>, après un acte de maltraitance physique particulièrement grave, l</w:t>
      </w:r>
      <w:r w:rsidR="00D32FC0" w:rsidRPr="00F55E60">
        <w:rPr>
          <w:lang w:val="fr-FR"/>
        </w:rPr>
        <w:t>’</w:t>
      </w:r>
      <w:r w:rsidRPr="00F55E60">
        <w:rPr>
          <w:lang w:val="fr-FR"/>
        </w:rPr>
        <w:t>auteure a contacté les responsables de l</w:t>
      </w:r>
      <w:r w:rsidR="00D32FC0" w:rsidRPr="00F55E60">
        <w:rPr>
          <w:lang w:val="fr-FR"/>
        </w:rPr>
        <w:t>’</w:t>
      </w:r>
      <w:r w:rsidRPr="00F55E60">
        <w:rPr>
          <w:lang w:val="fr-FR"/>
        </w:rPr>
        <w:t>ambassade, qui lui ont</w:t>
      </w:r>
      <w:r w:rsidR="00046EBD" w:rsidRPr="00F55E60">
        <w:rPr>
          <w:lang w:val="fr-FR"/>
        </w:rPr>
        <w:t xml:space="preserve"> </w:t>
      </w:r>
      <w:r w:rsidRPr="00F55E60">
        <w:rPr>
          <w:lang w:val="fr-FR"/>
        </w:rPr>
        <w:t>conseillé de porter plainte auprès de la police théologique et de la Maison de la concorde familiale, un organisme public. L</w:t>
      </w:r>
      <w:r w:rsidR="00D32FC0" w:rsidRPr="00F55E60">
        <w:rPr>
          <w:lang w:val="fr-FR"/>
        </w:rPr>
        <w:t>’</w:t>
      </w:r>
      <w:r w:rsidRPr="00F55E60">
        <w:rPr>
          <w:lang w:val="fr-FR"/>
        </w:rPr>
        <w:t>auteure et sa fille ont été placées durant un mois dans un foyer géré par cet organisme. Une deuxième procédure selon la charia a été entamée, toujours en l</w:t>
      </w:r>
      <w:r w:rsidR="00D32FC0" w:rsidRPr="00F55E60">
        <w:rPr>
          <w:lang w:val="fr-FR"/>
        </w:rPr>
        <w:t>’</w:t>
      </w:r>
      <w:r w:rsidRPr="00F55E60">
        <w:rPr>
          <w:lang w:val="fr-FR"/>
        </w:rPr>
        <w:t>absence de représentant de l</w:t>
      </w:r>
      <w:r w:rsidR="00D32FC0" w:rsidRPr="00F55E60">
        <w:rPr>
          <w:lang w:val="fr-FR"/>
        </w:rPr>
        <w:t>’</w:t>
      </w:r>
      <w:r w:rsidRPr="00F55E60">
        <w:rPr>
          <w:lang w:val="fr-FR"/>
        </w:rPr>
        <w:t>ambassade, d</w:t>
      </w:r>
      <w:r w:rsidR="00D32FC0" w:rsidRPr="00F55E60">
        <w:rPr>
          <w:lang w:val="fr-FR"/>
        </w:rPr>
        <w:t>’</w:t>
      </w:r>
      <w:r w:rsidRPr="00F55E60">
        <w:rPr>
          <w:lang w:val="fr-FR"/>
        </w:rPr>
        <w:t>avocat ou d</w:t>
      </w:r>
      <w:r w:rsidR="00D32FC0" w:rsidRPr="00F55E60">
        <w:rPr>
          <w:lang w:val="fr-FR"/>
        </w:rPr>
        <w:t>’</w:t>
      </w:r>
      <w:r w:rsidRPr="00F55E60">
        <w:rPr>
          <w:lang w:val="fr-FR"/>
        </w:rPr>
        <w:t>interprète. Au cours de cette procédure, le mari a présenté un faux certificat médical attestant que l</w:t>
      </w:r>
      <w:r w:rsidR="00D32FC0" w:rsidRPr="00F55E60">
        <w:rPr>
          <w:lang w:val="fr-FR"/>
        </w:rPr>
        <w:t>’</w:t>
      </w:r>
      <w:r w:rsidRPr="00F55E60">
        <w:rPr>
          <w:lang w:val="fr-FR"/>
        </w:rPr>
        <w:t>auteure lui avait fait subir des violences et lui avait infligé des blessures graves. Le tribunal a estimé que les deux parents étaient coresponsables de la situation, et que le mari devait s</w:t>
      </w:r>
      <w:r w:rsidR="00D32FC0" w:rsidRPr="00F55E60">
        <w:rPr>
          <w:lang w:val="fr-FR"/>
        </w:rPr>
        <w:t>’</w:t>
      </w:r>
      <w:r w:rsidRPr="00F55E60">
        <w:rPr>
          <w:lang w:val="fr-FR"/>
        </w:rPr>
        <w:t>occuper de l</w:t>
      </w:r>
      <w:r w:rsidR="00D32FC0" w:rsidRPr="00F55E60">
        <w:rPr>
          <w:lang w:val="fr-FR"/>
        </w:rPr>
        <w:t>’</w:t>
      </w:r>
      <w:r w:rsidRPr="00F55E60">
        <w:rPr>
          <w:lang w:val="fr-FR"/>
        </w:rPr>
        <w:t>auteure et de leur fille, louer un logement en dehors du domicile familial et autoriser l</w:t>
      </w:r>
      <w:r w:rsidR="00D32FC0" w:rsidRPr="00F55E60">
        <w:rPr>
          <w:lang w:val="fr-FR"/>
        </w:rPr>
        <w:t>’</w:t>
      </w:r>
      <w:r w:rsidRPr="00F55E60">
        <w:rPr>
          <w:lang w:val="fr-FR"/>
        </w:rPr>
        <w:t>auteure à obtenir un titre de séjour permanent et à travailler en Jordanie. Le conjoint ne s</w:t>
      </w:r>
      <w:r w:rsidR="00D32FC0" w:rsidRPr="00F55E60">
        <w:rPr>
          <w:lang w:val="fr-FR"/>
        </w:rPr>
        <w:t>’</w:t>
      </w:r>
      <w:r w:rsidRPr="00F55E60">
        <w:rPr>
          <w:lang w:val="fr-FR"/>
        </w:rPr>
        <w:t>est jamais conformé à ces exigences, et les violences domestiques se sont poursuivies.</w:t>
      </w:r>
    </w:p>
    <w:p w14:paraId="292BC92C" w14:textId="22AC3612"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 xml:space="preserve">De mai et à juillet </w:t>
      </w:r>
      <w:r w:rsidRPr="00A135AC">
        <w:rPr>
          <w:lang w:val="fr-FR"/>
        </w:rPr>
        <w:t>2009</w:t>
      </w:r>
      <w:r w:rsidRPr="00F55E60">
        <w:rPr>
          <w:lang w:val="fr-FR"/>
        </w:rPr>
        <w:t>, une procédure relative à la garde des enfants a eu été engagée par l</w:t>
      </w:r>
      <w:r w:rsidR="00D32FC0" w:rsidRPr="00F55E60">
        <w:rPr>
          <w:lang w:val="fr-FR"/>
        </w:rPr>
        <w:t>’</w:t>
      </w:r>
      <w:r w:rsidRPr="00F55E60">
        <w:rPr>
          <w:lang w:val="fr-FR"/>
        </w:rPr>
        <w:t>époux devant un tribunal de la charia à Mahis, en Jordanie. L</w:t>
      </w:r>
      <w:r w:rsidR="00D32FC0" w:rsidRPr="00F55E60">
        <w:rPr>
          <w:lang w:val="fr-FR"/>
        </w:rPr>
        <w:t>’</w:t>
      </w:r>
      <w:r w:rsidRPr="00F55E60">
        <w:rPr>
          <w:lang w:val="fr-FR"/>
        </w:rPr>
        <w:t>auteure a été informée de la procédure deux jours avant sa tenue et elle a sollicité en vain l</w:t>
      </w:r>
      <w:r w:rsidR="00D32FC0" w:rsidRPr="00F55E60">
        <w:rPr>
          <w:lang w:val="fr-FR"/>
        </w:rPr>
        <w:t>’</w:t>
      </w:r>
      <w:r w:rsidRPr="00F55E60">
        <w:rPr>
          <w:lang w:val="fr-FR"/>
        </w:rPr>
        <w:t>aide de l</w:t>
      </w:r>
      <w:r w:rsidR="00D32FC0" w:rsidRPr="00F55E60">
        <w:rPr>
          <w:lang w:val="fr-FR"/>
        </w:rPr>
        <w:t>’</w:t>
      </w:r>
      <w:r w:rsidRPr="00F55E60">
        <w:rPr>
          <w:lang w:val="fr-FR"/>
        </w:rPr>
        <w:t>ambassade d</w:t>
      </w:r>
      <w:r w:rsidR="00D32FC0" w:rsidRPr="00F55E60">
        <w:rPr>
          <w:lang w:val="fr-FR"/>
        </w:rPr>
        <w:t>’</w:t>
      </w:r>
      <w:r w:rsidRPr="00F55E60">
        <w:rPr>
          <w:lang w:val="fr-FR"/>
        </w:rPr>
        <w:t>Ukraine. Le conjoint était représenté par deux avocats. Aucun représentant de l</w:t>
      </w:r>
      <w:r w:rsidR="00D32FC0" w:rsidRPr="00F55E60">
        <w:rPr>
          <w:lang w:val="fr-FR"/>
        </w:rPr>
        <w:t>’</w:t>
      </w:r>
      <w:r w:rsidRPr="00F55E60">
        <w:rPr>
          <w:lang w:val="fr-FR"/>
        </w:rPr>
        <w:t>ambassade n</w:t>
      </w:r>
      <w:r w:rsidR="00D32FC0" w:rsidRPr="00F55E60">
        <w:rPr>
          <w:lang w:val="fr-FR"/>
        </w:rPr>
        <w:t>’</w:t>
      </w:r>
      <w:r w:rsidRPr="00F55E60">
        <w:rPr>
          <w:lang w:val="fr-FR"/>
        </w:rPr>
        <w:t>était présent. Sans assistance juridique ni interprète, l</w:t>
      </w:r>
      <w:r w:rsidR="00D32FC0" w:rsidRPr="00F55E60">
        <w:rPr>
          <w:lang w:val="fr-FR"/>
        </w:rPr>
        <w:t>’</w:t>
      </w:r>
      <w:r w:rsidRPr="00F55E60">
        <w:rPr>
          <w:lang w:val="fr-FR"/>
        </w:rPr>
        <w:t>auteure n</w:t>
      </w:r>
      <w:r w:rsidR="00D32FC0" w:rsidRPr="00F55E60">
        <w:rPr>
          <w:lang w:val="fr-FR"/>
        </w:rPr>
        <w:t>’</w:t>
      </w:r>
      <w:r w:rsidRPr="00F55E60">
        <w:rPr>
          <w:lang w:val="fr-FR"/>
        </w:rPr>
        <w:t xml:space="preserve">a pas été en mesure de se défendre correctement. Au bout de </w:t>
      </w:r>
      <w:r w:rsidRPr="00A135AC">
        <w:rPr>
          <w:lang w:val="fr-FR"/>
        </w:rPr>
        <w:t>30</w:t>
      </w:r>
      <w:r w:rsidRPr="00F55E60">
        <w:rPr>
          <w:lang w:val="fr-FR"/>
        </w:rPr>
        <w:t xml:space="preserve"> jours, le tribunal a rendu son jugement</w:t>
      </w:r>
      <w:r w:rsidR="00D32FC0" w:rsidRPr="00F55E60">
        <w:rPr>
          <w:lang w:val="fr-FR"/>
        </w:rPr>
        <w:t> :</w:t>
      </w:r>
      <w:r w:rsidRPr="00F55E60">
        <w:rPr>
          <w:lang w:val="fr-FR"/>
        </w:rPr>
        <w:t xml:space="preserve"> la fille cadette devait être confiée à la garde de la mère et l</w:t>
      </w:r>
      <w:r w:rsidR="00D32FC0" w:rsidRPr="00F55E60">
        <w:rPr>
          <w:lang w:val="fr-FR"/>
        </w:rPr>
        <w:t>’</w:t>
      </w:r>
      <w:r w:rsidRPr="00F55E60">
        <w:rPr>
          <w:lang w:val="fr-FR"/>
        </w:rPr>
        <w:t>aînée, du père. Toutefois, le mari de l</w:t>
      </w:r>
      <w:r w:rsidR="00D32FC0" w:rsidRPr="00F55E60">
        <w:rPr>
          <w:lang w:val="fr-FR"/>
        </w:rPr>
        <w:t>’</w:t>
      </w:r>
      <w:r w:rsidRPr="00F55E60">
        <w:rPr>
          <w:lang w:val="fr-FR"/>
        </w:rPr>
        <w:t>auteure n</w:t>
      </w:r>
      <w:r w:rsidR="00D32FC0" w:rsidRPr="00F55E60">
        <w:rPr>
          <w:lang w:val="fr-FR"/>
        </w:rPr>
        <w:t>’</w:t>
      </w:r>
      <w:r w:rsidRPr="00F55E60">
        <w:rPr>
          <w:lang w:val="fr-FR"/>
        </w:rPr>
        <w:t>a pas consenti à ce qu</w:t>
      </w:r>
      <w:r w:rsidR="00D32FC0" w:rsidRPr="00F55E60">
        <w:rPr>
          <w:lang w:val="fr-FR"/>
        </w:rPr>
        <w:t>’</w:t>
      </w:r>
      <w:r w:rsidRPr="00F55E60">
        <w:rPr>
          <w:lang w:val="fr-FR"/>
        </w:rPr>
        <w:t>elle se rende en Ukraine avec leur plus jeune fille. L</w:t>
      </w:r>
      <w:r w:rsidR="00D32FC0" w:rsidRPr="00F55E60">
        <w:rPr>
          <w:lang w:val="fr-FR"/>
        </w:rPr>
        <w:t>’</w:t>
      </w:r>
      <w:r w:rsidRPr="00F55E60">
        <w:rPr>
          <w:lang w:val="fr-FR"/>
        </w:rPr>
        <w:t>auteure a décidé de rester en Jordanie avec sa fille. Elle explique que le tribunal n</w:t>
      </w:r>
      <w:r w:rsidR="00D32FC0" w:rsidRPr="00F55E60">
        <w:rPr>
          <w:lang w:val="fr-FR"/>
        </w:rPr>
        <w:t>’</w:t>
      </w:r>
      <w:r w:rsidRPr="00F55E60">
        <w:rPr>
          <w:lang w:val="fr-FR"/>
        </w:rPr>
        <w:t>a proposé aucune mesure pour mettre un terme aux violences familiales qu</w:t>
      </w:r>
      <w:r w:rsidR="00D32FC0" w:rsidRPr="00F55E60">
        <w:rPr>
          <w:lang w:val="fr-FR"/>
        </w:rPr>
        <w:t>’</w:t>
      </w:r>
      <w:r w:rsidRPr="00F55E60">
        <w:rPr>
          <w:lang w:val="fr-FR"/>
        </w:rPr>
        <w:t>elle subissait.</w:t>
      </w:r>
    </w:p>
    <w:p w14:paraId="0FD1716F" w14:textId="7C3720A1"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argue que l</w:t>
      </w:r>
      <w:r w:rsidR="00D32FC0" w:rsidRPr="00F55E60">
        <w:rPr>
          <w:lang w:val="fr-FR"/>
        </w:rPr>
        <w:t>’</w:t>
      </w:r>
      <w:r w:rsidRPr="00F55E60">
        <w:rPr>
          <w:lang w:val="fr-FR"/>
        </w:rPr>
        <w:t>ambassade d</w:t>
      </w:r>
      <w:r w:rsidR="00D32FC0" w:rsidRPr="00F55E60">
        <w:rPr>
          <w:lang w:val="fr-FR"/>
        </w:rPr>
        <w:t>’</w:t>
      </w:r>
      <w:r w:rsidRPr="00F55E60">
        <w:rPr>
          <w:lang w:val="fr-FR"/>
        </w:rPr>
        <w:t>Ukraine ne lui a pas fourni d</w:t>
      </w:r>
      <w:r w:rsidR="00D32FC0" w:rsidRPr="00F55E60">
        <w:rPr>
          <w:lang w:val="fr-FR"/>
        </w:rPr>
        <w:t>’</w:t>
      </w:r>
      <w:r w:rsidRPr="00F55E60">
        <w:rPr>
          <w:lang w:val="fr-FR"/>
        </w:rPr>
        <w:t>informations sur le système judiciaire jordanien ni sur les droits dont jouissait une chrétienne selon la charia ou ses droits de mère d</w:t>
      </w:r>
      <w:r w:rsidR="00D32FC0" w:rsidRPr="00F55E60">
        <w:rPr>
          <w:lang w:val="fr-FR"/>
        </w:rPr>
        <w:t>’</w:t>
      </w:r>
      <w:r w:rsidRPr="00F55E60">
        <w:rPr>
          <w:lang w:val="fr-FR"/>
        </w:rPr>
        <w:t>une enfant ukrainienne. Lorsque, sur la recommandation de ses amis jordaniens vivant en Ukraine, elle a cherché à faire appel de la décision du tribunal de la charia, elle a appris qu</w:t>
      </w:r>
      <w:r w:rsidR="00D32FC0" w:rsidRPr="00F55E60">
        <w:rPr>
          <w:lang w:val="fr-FR"/>
        </w:rPr>
        <w:t>’</w:t>
      </w:r>
      <w:r w:rsidRPr="00F55E60">
        <w:rPr>
          <w:lang w:val="fr-FR"/>
        </w:rPr>
        <w:t>il y avait déjà prescription</w:t>
      </w:r>
      <w:r w:rsidR="007A2E8D" w:rsidRPr="007A2E8D">
        <w:rPr>
          <w:lang w:val="fr-FR"/>
        </w:rPr>
        <w:t>.</w:t>
      </w:r>
      <w:r w:rsidRPr="00F55E60">
        <w:rPr>
          <w:lang w:val="fr-FR"/>
        </w:rPr>
        <w:t xml:space="preserve"> Le tribunal a rejeté son recours et le jugement est devenu exécutoire. L</w:t>
      </w:r>
      <w:r w:rsidR="00D32FC0" w:rsidRPr="00F55E60">
        <w:rPr>
          <w:lang w:val="fr-FR"/>
        </w:rPr>
        <w:t>’</w:t>
      </w:r>
      <w:r w:rsidRPr="00F55E60">
        <w:rPr>
          <w:lang w:val="fr-FR"/>
        </w:rPr>
        <w:t>auteure a argué devant le tribunal qu</w:t>
      </w:r>
      <w:r w:rsidR="00D32FC0" w:rsidRPr="00F55E60">
        <w:rPr>
          <w:lang w:val="fr-FR"/>
        </w:rPr>
        <w:t>’</w:t>
      </w:r>
      <w:r w:rsidRPr="00F55E60">
        <w:rPr>
          <w:lang w:val="fr-FR"/>
        </w:rPr>
        <w:t>elle et ses filles étaient chrétiennes et n</w:t>
      </w:r>
      <w:r w:rsidR="00D32FC0" w:rsidRPr="00F55E60">
        <w:rPr>
          <w:lang w:val="fr-FR"/>
        </w:rPr>
        <w:t>’</w:t>
      </w:r>
      <w:r w:rsidRPr="00F55E60">
        <w:rPr>
          <w:lang w:val="fr-FR"/>
        </w:rPr>
        <w:t>avaient jamais consenti volontairement à être jugées selon la charia, mais cet argument n</w:t>
      </w:r>
      <w:r w:rsidR="00D32FC0" w:rsidRPr="00F55E60">
        <w:rPr>
          <w:lang w:val="fr-FR"/>
        </w:rPr>
        <w:t>’</w:t>
      </w:r>
      <w:r w:rsidRPr="00F55E60">
        <w:rPr>
          <w:lang w:val="fr-FR"/>
        </w:rPr>
        <w:t>a pas non plus été retenu.</w:t>
      </w:r>
    </w:p>
    <w:p w14:paraId="6815C6B9" w14:textId="6A8B9A3B" w:rsidR="00355540" w:rsidRPr="00F55E60" w:rsidRDefault="00A601EB" w:rsidP="009265FF">
      <w:pPr>
        <w:pStyle w:val="SingleTxt"/>
        <w:numPr>
          <w:ilvl w:val="0"/>
          <w:numId w:val="37"/>
        </w:numPr>
        <w:tabs>
          <w:tab w:val="left" w:pos="1742"/>
        </w:tabs>
        <w:spacing w:line="240" w:lineRule="exact"/>
        <w:rPr>
          <w:lang w:val="fr-FR"/>
        </w:rPr>
      </w:pPr>
      <w:r w:rsidRPr="00F55E60">
        <w:rPr>
          <w:lang w:val="fr-FR"/>
        </w:rPr>
        <w:t>Une semaine après le jugement, l</w:t>
      </w:r>
      <w:r w:rsidR="00D32FC0" w:rsidRPr="00F55E60">
        <w:rPr>
          <w:lang w:val="fr-FR"/>
        </w:rPr>
        <w:t>’</w:t>
      </w:r>
      <w:r w:rsidRPr="00F55E60">
        <w:rPr>
          <w:lang w:val="fr-FR"/>
        </w:rPr>
        <w:t>auteure a été informée qu</w:t>
      </w:r>
      <w:r w:rsidR="00D32FC0" w:rsidRPr="00F55E60">
        <w:rPr>
          <w:lang w:val="fr-FR"/>
        </w:rPr>
        <w:t>’</w:t>
      </w:r>
      <w:r w:rsidRPr="00F55E60">
        <w:rPr>
          <w:lang w:val="fr-FR"/>
        </w:rPr>
        <w:t xml:space="preserve">elle disposait de </w:t>
      </w:r>
      <w:r w:rsidRPr="00A135AC">
        <w:rPr>
          <w:lang w:val="fr-FR"/>
        </w:rPr>
        <w:t>10</w:t>
      </w:r>
      <w:r w:rsidRPr="00F55E60">
        <w:rPr>
          <w:lang w:val="fr-FR"/>
        </w:rPr>
        <w:t xml:space="preserve"> jours pour se rendre en Ukraine et regagner la Jordanie avec sa fille aînée. Au </w:t>
      </w:r>
      <w:r w:rsidRPr="00F55E60">
        <w:rPr>
          <w:lang w:val="fr-FR"/>
        </w:rPr>
        <w:lastRenderedPageBreak/>
        <w:t>cours de cette période, son mari l</w:t>
      </w:r>
      <w:r w:rsidR="00D32FC0" w:rsidRPr="00F55E60">
        <w:rPr>
          <w:lang w:val="fr-FR"/>
        </w:rPr>
        <w:t>’</w:t>
      </w:r>
      <w:r w:rsidRPr="00F55E60">
        <w:rPr>
          <w:lang w:val="fr-FR"/>
        </w:rPr>
        <w:t>a battue à maintes reprises. Elle a alors décidé de rester en Jordanie, afin de ne pas laisser sa seconde fille seule.</w:t>
      </w:r>
    </w:p>
    <w:p w14:paraId="08E98CBC" w14:textId="7A4A046C" w:rsidR="00355540" w:rsidRPr="00F55E60" w:rsidRDefault="00A601EB" w:rsidP="009265FF">
      <w:pPr>
        <w:pStyle w:val="SingleTxt"/>
        <w:numPr>
          <w:ilvl w:val="0"/>
          <w:numId w:val="37"/>
        </w:numPr>
        <w:tabs>
          <w:tab w:val="left" w:pos="1742"/>
        </w:tabs>
        <w:spacing w:line="240" w:lineRule="exact"/>
        <w:rPr>
          <w:lang w:val="fr-FR"/>
        </w:rPr>
      </w:pPr>
      <w:r w:rsidRPr="00F55E60">
        <w:rPr>
          <w:lang w:val="fr-FR"/>
        </w:rPr>
        <w:t>Une fois le délai de dix jours écoulé, le mari de l</w:t>
      </w:r>
      <w:r w:rsidR="00D32FC0" w:rsidRPr="00F55E60">
        <w:rPr>
          <w:lang w:val="fr-FR"/>
        </w:rPr>
        <w:t>’</w:t>
      </w:r>
      <w:r w:rsidRPr="00F55E60">
        <w:rPr>
          <w:lang w:val="fr-FR"/>
        </w:rPr>
        <w:t>auteure s</w:t>
      </w:r>
      <w:r w:rsidR="00D32FC0" w:rsidRPr="00F55E60">
        <w:rPr>
          <w:lang w:val="fr-FR"/>
        </w:rPr>
        <w:t>’</w:t>
      </w:r>
      <w:r w:rsidRPr="00F55E60">
        <w:rPr>
          <w:lang w:val="fr-FR"/>
        </w:rPr>
        <w:t>est présenté avec elle aux autorités de police, indiquant qu</w:t>
      </w:r>
      <w:r w:rsidR="00D32FC0" w:rsidRPr="00F55E60">
        <w:rPr>
          <w:lang w:val="fr-FR"/>
        </w:rPr>
        <w:t>’</w:t>
      </w:r>
      <w:r w:rsidRPr="00F55E60">
        <w:rPr>
          <w:lang w:val="fr-FR"/>
        </w:rPr>
        <w:t>elle n</w:t>
      </w:r>
      <w:r w:rsidR="00D32FC0" w:rsidRPr="00F55E60">
        <w:rPr>
          <w:lang w:val="fr-FR"/>
        </w:rPr>
        <w:t>’</w:t>
      </w:r>
      <w:r w:rsidRPr="00F55E60">
        <w:rPr>
          <w:lang w:val="fr-FR"/>
        </w:rPr>
        <w:t>avait pas respecté le jugement. La police l</w:t>
      </w:r>
      <w:r w:rsidR="00D32FC0" w:rsidRPr="00F55E60">
        <w:rPr>
          <w:lang w:val="fr-FR"/>
        </w:rPr>
        <w:t>’</w:t>
      </w:r>
      <w:r w:rsidRPr="00F55E60">
        <w:rPr>
          <w:lang w:val="fr-FR"/>
        </w:rPr>
        <w:t>a placée en détention, et l</w:t>
      </w:r>
      <w:r w:rsidR="00D32FC0" w:rsidRPr="00F55E60">
        <w:rPr>
          <w:lang w:val="fr-FR"/>
        </w:rPr>
        <w:t>’</w:t>
      </w:r>
      <w:r w:rsidRPr="00F55E60">
        <w:rPr>
          <w:lang w:val="fr-FR"/>
        </w:rPr>
        <w:t>auteure a sollicité l</w:t>
      </w:r>
      <w:r w:rsidR="00D32FC0" w:rsidRPr="00F55E60">
        <w:rPr>
          <w:lang w:val="fr-FR"/>
        </w:rPr>
        <w:t>’</w:t>
      </w:r>
      <w:r w:rsidRPr="00F55E60">
        <w:rPr>
          <w:lang w:val="fr-FR"/>
        </w:rPr>
        <w:t>assistance de l</w:t>
      </w:r>
      <w:r w:rsidR="00D32FC0" w:rsidRPr="00F55E60">
        <w:rPr>
          <w:lang w:val="fr-FR"/>
        </w:rPr>
        <w:t>’</w:t>
      </w:r>
      <w:r w:rsidRPr="00F55E60">
        <w:rPr>
          <w:lang w:val="fr-FR"/>
        </w:rPr>
        <w:t>ambassade d</w:t>
      </w:r>
      <w:r w:rsidR="00D32FC0" w:rsidRPr="00F55E60">
        <w:rPr>
          <w:lang w:val="fr-FR"/>
        </w:rPr>
        <w:t>’</w:t>
      </w:r>
      <w:r w:rsidRPr="00F55E60">
        <w:rPr>
          <w:lang w:val="fr-FR"/>
        </w:rPr>
        <w:t xml:space="preserve">Ukraine. Elle est demeurée en détention pendant </w:t>
      </w:r>
      <w:r w:rsidRPr="00A135AC">
        <w:rPr>
          <w:lang w:val="fr-FR"/>
        </w:rPr>
        <w:t>24</w:t>
      </w:r>
      <w:r w:rsidRPr="00F55E60">
        <w:rPr>
          <w:lang w:val="fr-FR"/>
        </w:rPr>
        <w:t xml:space="preserve"> heures avec </w:t>
      </w:r>
      <w:r w:rsidRPr="00A135AC">
        <w:rPr>
          <w:lang w:val="fr-FR"/>
        </w:rPr>
        <w:t>15</w:t>
      </w:r>
      <w:r w:rsidRPr="00F55E60">
        <w:rPr>
          <w:lang w:val="fr-FR"/>
        </w:rPr>
        <w:t xml:space="preserve"> autres femmes dans des « conditions inhumaines »</w:t>
      </w:r>
      <w:r w:rsidRPr="00A135AC">
        <w:rPr>
          <w:vertAlign w:val="superscript"/>
          <w:lang w:val="fr-FR"/>
        </w:rPr>
        <w:footnoteReference w:id="5"/>
      </w:r>
      <w:r w:rsidRPr="00F55E60">
        <w:rPr>
          <w:lang w:val="fr-FR"/>
        </w:rPr>
        <w:t>. Elle a ensuite comparu devant le tribunal, où un représentant de l</w:t>
      </w:r>
      <w:r w:rsidR="00D32FC0" w:rsidRPr="00F55E60">
        <w:rPr>
          <w:lang w:val="fr-FR"/>
        </w:rPr>
        <w:t>’</w:t>
      </w:r>
      <w:r w:rsidRPr="00F55E60">
        <w:rPr>
          <w:lang w:val="fr-FR"/>
        </w:rPr>
        <w:t>ambassade était présent. L</w:t>
      </w:r>
      <w:r w:rsidR="00D32FC0" w:rsidRPr="00F55E60">
        <w:rPr>
          <w:lang w:val="fr-FR"/>
        </w:rPr>
        <w:t>’</w:t>
      </w:r>
      <w:r w:rsidRPr="00F55E60">
        <w:rPr>
          <w:lang w:val="fr-FR"/>
        </w:rPr>
        <w:t>auteure a été priée de signer une déclaration en vertu de laquelle elle s</w:t>
      </w:r>
      <w:r w:rsidR="00D32FC0" w:rsidRPr="00F55E60">
        <w:rPr>
          <w:lang w:val="fr-FR"/>
        </w:rPr>
        <w:t>’</w:t>
      </w:r>
      <w:r w:rsidRPr="00F55E60">
        <w:rPr>
          <w:lang w:val="fr-FR"/>
        </w:rPr>
        <w:t>engageait légalement à ramener sa fille aînée en Jordanie. Cependant, le mari n</w:t>
      </w:r>
      <w:r w:rsidR="00D32FC0" w:rsidRPr="00F55E60">
        <w:rPr>
          <w:lang w:val="fr-FR"/>
        </w:rPr>
        <w:t>’</w:t>
      </w:r>
      <w:r w:rsidRPr="00F55E60">
        <w:rPr>
          <w:lang w:val="fr-FR"/>
        </w:rPr>
        <w:t>a pas autorisé l</w:t>
      </w:r>
      <w:r w:rsidR="00D32FC0" w:rsidRPr="00F55E60">
        <w:rPr>
          <w:lang w:val="fr-FR"/>
        </w:rPr>
        <w:t>’</w:t>
      </w:r>
      <w:r w:rsidRPr="00F55E60">
        <w:rPr>
          <w:lang w:val="fr-FR"/>
        </w:rPr>
        <w:t>auteure à se déplacer et a insisté pour que les parents de cette dernière envoient l</w:t>
      </w:r>
      <w:r w:rsidR="00D32FC0" w:rsidRPr="00F55E60">
        <w:rPr>
          <w:lang w:val="fr-FR"/>
        </w:rPr>
        <w:t>’</w:t>
      </w:r>
      <w:r w:rsidRPr="00F55E60">
        <w:rPr>
          <w:lang w:val="fr-FR"/>
        </w:rPr>
        <w:t>enfant seule en Jordanie, menaçant de tuer toute la famille s</w:t>
      </w:r>
      <w:r w:rsidR="00D32FC0" w:rsidRPr="00F55E60">
        <w:rPr>
          <w:lang w:val="fr-FR"/>
        </w:rPr>
        <w:t>’</w:t>
      </w:r>
      <w:r w:rsidRPr="00F55E60">
        <w:rPr>
          <w:lang w:val="fr-FR"/>
        </w:rPr>
        <w:t>ils n</w:t>
      </w:r>
      <w:r w:rsidR="00D32FC0" w:rsidRPr="00F55E60">
        <w:rPr>
          <w:lang w:val="fr-FR"/>
        </w:rPr>
        <w:t>’</w:t>
      </w:r>
      <w:r w:rsidRPr="00F55E60">
        <w:rPr>
          <w:lang w:val="fr-FR"/>
        </w:rPr>
        <w:t>obtempéraient pas.</w:t>
      </w:r>
    </w:p>
    <w:p w14:paraId="308BD733" w14:textId="5F113C0B"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Lorsque l</w:t>
      </w:r>
      <w:r w:rsidR="00D32FC0" w:rsidRPr="00F55E60">
        <w:rPr>
          <w:lang w:val="fr-FR"/>
        </w:rPr>
        <w:t>’</w:t>
      </w:r>
      <w:r w:rsidRPr="00F55E60">
        <w:rPr>
          <w:lang w:val="fr-FR"/>
        </w:rPr>
        <w:t>auteure est rentrée au domicile conjugal, son mari et la famille de celui-ci l</w:t>
      </w:r>
      <w:r w:rsidR="00D32FC0" w:rsidRPr="00F55E60">
        <w:rPr>
          <w:lang w:val="fr-FR"/>
        </w:rPr>
        <w:t>’</w:t>
      </w:r>
      <w:r w:rsidRPr="00F55E60">
        <w:rPr>
          <w:lang w:val="fr-FR"/>
        </w:rPr>
        <w:t>ont battue en présence de sa fille. Le mari a ensuite pris leur fille et quitté la maison. L</w:t>
      </w:r>
      <w:r w:rsidR="00D32FC0" w:rsidRPr="00F55E60">
        <w:rPr>
          <w:lang w:val="fr-FR"/>
        </w:rPr>
        <w:t>’</w:t>
      </w:r>
      <w:r w:rsidRPr="00F55E60">
        <w:rPr>
          <w:lang w:val="fr-FR"/>
        </w:rPr>
        <w:t>auteure a appelé la police et demandé à être amenée au Centre de réconciliation familiale, mais elle a essuyé un refus. Elle a contacté l</w:t>
      </w:r>
      <w:r w:rsidR="00D32FC0" w:rsidRPr="00F55E60">
        <w:rPr>
          <w:lang w:val="fr-FR"/>
        </w:rPr>
        <w:t>’</w:t>
      </w:r>
      <w:r w:rsidRPr="00F55E60">
        <w:rPr>
          <w:lang w:val="fr-FR"/>
        </w:rPr>
        <w:t>ambassade d</w:t>
      </w:r>
      <w:r w:rsidR="00D32FC0" w:rsidRPr="00F55E60">
        <w:rPr>
          <w:lang w:val="fr-FR"/>
        </w:rPr>
        <w:t>’</w:t>
      </w:r>
      <w:r w:rsidRPr="00F55E60">
        <w:rPr>
          <w:lang w:val="fr-FR"/>
        </w:rPr>
        <w:t>Ukraine, qui l</w:t>
      </w:r>
      <w:r w:rsidR="00D32FC0" w:rsidRPr="00F55E60">
        <w:rPr>
          <w:lang w:val="fr-FR"/>
        </w:rPr>
        <w:t>’</w:t>
      </w:r>
      <w:r w:rsidRPr="00F55E60">
        <w:rPr>
          <w:lang w:val="fr-FR"/>
        </w:rPr>
        <w:t>a invitée à quitter le domicile conjugal pour se réfugier au Centre de réconciliation familiale. L</w:t>
      </w:r>
      <w:r w:rsidR="00D32FC0" w:rsidRPr="00F55E60">
        <w:rPr>
          <w:lang w:val="fr-FR"/>
        </w:rPr>
        <w:t>’</w:t>
      </w:r>
      <w:r w:rsidRPr="00F55E60">
        <w:rPr>
          <w:lang w:val="fr-FR"/>
        </w:rPr>
        <w:t>auteure a ensuite pu bénéficier des services d</w:t>
      </w:r>
      <w:r w:rsidR="00D32FC0" w:rsidRPr="00F55E60">
        <w:rPr>
          <w:lang w:val="fr-FR"/>
        </w:rPr>
        <w:t>’</w:t>
      </w:r>
      <w:r w:rsidRPr="00F55E60">
        <w:rPr>
          <w:lang w:val="fr-FR"/>
        </w:rPr>
        <w:t>un interprète et d</w:t>
      </w:r>
      <w:r w:rsidR="00D32FC0" w:rsidRPr="00F55E60">
        <w:rPr>
          <w:lang w:val="fr-FR"/>
        </w:rPr>
        <w:t>’</w:t>
      </w:r>
      <w:r w:rsidRPr="00F55E60">
        <w:rPr>
          <w:lang w:val="fr-FR"/>
        </w:rPr>
        <w:t>un avocat jordanien. Au terme d</w:t>
      </w:r>
      <w:r w:rsidR="00D32FC0" w:rsidRPr="00F55E60">
        <w:rPr>
          <w:lang w:val="fr-FR"/>
        </w:rPr>
        <w:t>’</w:t>
      </w:r>
      <w:r w:rsidRPr="00F55E60">
        <w:rPr>
          <w:lang w:val="fr-FR"/>
        </w:rPr>
        <w:t>une longue attente, elle a été finalement admise au foyer. Elle a demandé au Centre de l</w:t>
      </w:r>
      <w:r w:rsidR="00D32FC0" w:rsidRPr="00F55E60">
        <w:rPr>
          <w:lang w:val="fr-FR"/>
        </w:rPr>
        <w:t>’</w:t>
      </w:r>
      <w:r w:rsidRPr="00F55E60">
        <w:rPr>
          <w:lang w:val="fr-FR"/>
        </w:rPr>
        <w:t>aider à retrouver sa fille cadette, mais en vain. Le mari n</w:t>
      </w:r>
      <w:r w:rsidR="00D32FC0" w:rsidRPr="00F55E60">
        <w:rPr>
          <w:lang w:val="fr-FR"/>
        </w:rPr>
        <w:t>’</w:t>
      </w:r>
      <w:r w:rsidRPr="00F55E60">
        <w:rPr>
          <w:lang w:val="fr-FR"/>
        </w:rPr>
        <w:t>a autorisé l</w:t>
      </w:r>
      <w:r w:rsidR="00D32FC0" w:rsidRPr="00F55E60">
        <w:rPr>
          <w:lang w:val="fr-FR"/>
        </w:rPr>
        <w:t>’</w:t>
      </w:r>
      <w:r w:rsidRPr="00F55E60">
        <w:rPr>
          <w:lang w:val="fr-FR"/>
        </w:rPr>
        <w:t>auteure à s</w:t>
      </w:r>
      <w:r w:rsidR="00D32FC0" w:rsidRPr="00F55E60">
        <w:rPr>
          <w:lang w:val="fr-FR"/>
        </w:rPr>
        <w:t>’</w:t>
      </w:r>
      <w:r w:rsidRPr="00F55E60">
        <w:rPr>
          <w:lang w:val="fr-FR"/>
        </w:rPr>
        <w:t>entretenir au téléphone avec sa fille qu</w:t>
      </w:r>
      <w:r w:rsidR="00D32FC0" w:rsidRPr="00F55E60">
        <w:rPr>
          <w:lang w:val="fr-FR"/>
        </w:rPr>
        <w:t>’</w:t>
      </w:r>
      <w:r w:rsidRPr="00F55E60">
        <w:rPr>
          <w:lang w:val="fr-FR"/>
        </w:rPr>
        <w:t>une seule fois et il n</w:t>
      </w:r>
      <w:r w:rsidR="00D32FC0" w:rsidRPr="00F55E60">
        <w:rPr>
          <w:lang w:val="fr-FR"/>
        </w:rPr>
        <w:t>’</w:t>
      </w:r>
      <w:r w:rsidRPr="00F55E60">
        <w:rPr>
          <w:lang w:val="fr-FR"/>
        </w:rPr>
        <w:t>a emmené cette dernière au Centre pour une heure qu</w:t>
      </w:r>
      <w:r w:rsidR="00D32FC0" w:rsidRPr="00F55E60">
        <w:rPr>
          <w:lang w:val="fr-FR"/>
        </w:rPr>
        <w:t>’</w:t>
      </w:r>
      <w:r w:rsidRPr="00F55E60">
        <w:rPr>
          <w:lang w:val="fr-FR"/>
        </w:rPr>
        <w:t>en une seule occasion. Au cours de cette visite, l</w:t>
      </w:r>
      <w:r w:rsidR="00D32FC0" w:rsidRPr="00F55E60">
        <w:rPr>
          <w:lang w:val="fr-FR"/>
        </w:rPr>
        <w:t>’</w:t>
      </w:r>
      <w:r w:rsidRPr="00F55E60">
        <w:rPr>
          <w:lang w:val="fr-FR"/>
        </w:rPr>
        <w:t>enfant a pleuré, mais le personnel du Centre a refusé de l</w:t>
      </w:r>
      <w:r w:rsidR="00D32FC0" w:rsidRPr="00F55E60">
        <w:rPr>
          <w:lang w:val="fr-FR"/>
        </w:rPr>
        <w:t>’</w:t>
      </w:r>
      <w:r w:rsidRPr="00F55E60">
        <w:rPr>
          <w:lang w:val="fr-FR"/>
        </w:rPr>
        <w:t>autoriser à rester. Après la visite, le mari de l</w:t>
      </w:r>
      <w:r w:rsidR="00D32FC0" w:rsidRPr="00F55E60">
        <w:rPr>
          <w:lang w:val="fr-FR"/>
        </w:rPr>
        <w:t>’</w:t>
      </w:r>
      <w:r w:rsidRPr="00F55E60">
        <w:rPr>
          <w:lang w:val="fr-FR"/>
        </w:rPr>
        <w:t>auteure lui a refusé tout contact avec sa fille. Le Centre a demandé au mari de payer à l</w:t>
      </w:r>
      <w:r w:rsidR="00D32FC0" w:rsidRPr="00F55E60">
        <w:rPr>
          <w:lang w:val="fr-FR"/>
        </w:rPr>
        <w:t>’</w:t>
      </w:r>
      <w:r w:rsidRPr="00F55E60">
        <w:rPr>
          <w:lang w:val="fr-FR"/>
        </w:rPr>
        <w:t>auteure son déplacement en avion pour l</w:t>
      </w:r>
      <w:r w:rsidR="00D32FC0" w:rsidRPr="00F55E60">
        <w:rPr>
          <w:lang w:val="fr-FR"/>
        </w:rPr>
        <w:t>’</w:t>
      </w:r>
      <w:r w:rsidRPr="00F55E60">
        <w:rPr>
          <w:lang w:val="fr-FR"/>
        </w:rPr>
        <w:t xml:space="preserve">Ukraine. Le </w:t>
      </w:r>
      <w:r w:rsidRPr="00A135AC">
        <w:rPr>
          <w:lang w:val="fr-FR"/>
        </w:rPr>
        <w:t>10</w:t>
      </w:r>
      <w:r w:rsidRPr="00F55E60">
        <w:rPr>
          <w:lang w:val="fr-FR"/>
        </w:rPr>
        <w:t xml:space="preserve"> février </w:t>
      </w:r>
      <w:r w:rsidRPr="00A135AC">
        <w:rPr>
          <w:lang w:val="fr-FR"/>
        </w:rPr>
        <w:t>2010</w:t>
      </w:r>
      <w:r w:rsidRPr="00F55E60">
        <w:rPr>
          <w:lang w:val="fr-FR"/>
        </w:rPr>
        <w:t>, sous la pression du Centre et de l</w:t>
      </w:r>
      <w:r w:rsidR="00D32FC0" w:rsidRPr="00F55E60">
        <w:rPr>
          <w:lang w:val="fr-FR"/>
        </w:rPr>
        <w:t>’</w:t>
      </w:r>
      <w:r w:rsidRPr="00F55E60">
        <w:rPr>
          <w:lang w:val="fr-FR"/>
        </w:rPr>
        <w:t>ambassade d</w:t>
      </w:r>
      <w:r w:rsidR="00D32FC0" w:rsidRPr="00F55E60">
        <w:rPr>
          <w:lang w:val="fr-FR"/>
        </w:rPr>
        <w:t>’</w:t>
      </w:r>
      <w:r w:rsidRPr="00F55E60">
        <w:rPr>
          <w:lang w:val="fr-FR"/>
        </w:rPr>
        <w:t>Ukraine, l</w:t>
      </w:r>
      <w:r w:rsidR="00D32FC0" w:rsidRPr="00F55E60">
        <w:rPr>
          <w:lang w:val="fr-FR"/>
        </w:rPr>
        <w:t>’</w:t>
      </w:r>
      <w:r w:rsidRPr="00F55E60">
        <w:rPr>
          <w:lang w:val="fr-FR"/>
        </w:rPr>
        <w:t>auteure est partie en Ukraine.</w:t>
      </w:r>
    </w:p>
    <w:p w14:paraId="6CE6496C" w14:textId="2F707A0F" w:rsidR="00355540" w:rsidRPr="00F55E60" w:rsidRDefault="00A601EB" w:rsidP="009265FF">
      <w:pPr>
        <w:pStyle w:val="SingleTxt"/>
        <w:numPr>
          <w:ilvl w:val="0"/>
          <w:numId w:val="37"/>
        </w:numPr>
        <w:tabs>
          <w:tab w:val="left" w:pos="1742"/>
        </w:tabs>
        <w:spacing w:line="240" w:lineRule="exact"/>
        <w:rPr>
          <w:lang w:val="fr-FR"/>
        </w:rPr>
      </w:pPr>
      <w:r w:rsidRPr="00F55E60">
        <w:rPr>
          <w:lang w:val="fr-FR"/>
        </w:rPr>
        <w:t xml:space="preserve">Le </w:t>
      </w:r>
      <w:r w:rsidRPr="00A135AC">
        <w:rPr>
          <w:lang w:val="fr-FR"/>
        </w:rPr>
        <w:t>5</w:t>
      </w:r>
      <w:r w:rsidRPr="00F55E60">
        <w:rPr>
          <w:lang w:val="fr-FR"/>
        </w:rPr>
        <w:t xml:space="preserve"> décembre </w:t>
      </w:r>
      <w:r w:rsidRPr="00A135AC">
        <w:rPr>
          <w:lang w:val="fr-FR"/>
        </w:rPr>
        <w:t>2010</w:t>
      </w:r>
      <w:r w:rsidRPr="00F55E60">
        <w:rPr>
          <w:lang w:val="fr-FR"/>
        </w:rPr>
        <w:t>, la procédure pénale engagée par l</w:t>
      </w:r>
      <w:r w:rsidR="00D32FC0" w:rsidRPr="00F55E60">
        <w:rPr>
          <w:lang w:val="fr-FR"/>
        </w:rPr>
        <w:t>’</w:t>
      </w:r>
      <w:r w:rsidRPr="00F55E60">
        <w:rPr>
          <w:lang w:val="fr-FR"/>
        </w:rPr>
        <w:t>auteure contre son mari pour violences familiales a été close étant donné que cette dernière était absente de Jordanie. L</w:t>
      </w:r>
      <w:r w:rsidR="00D32FC0" w:rsidRPr="00F55E60">
        <w:rPr>
          <w:lang w:val="fr-FR"/>
        </w:rPr>
        <w:t>’</w:t>
      </w:r>
      <w:r w:rsidRPr="00F55E60">
        <w:rPr>
          <w:lang w:val="fr-FR"/>
        </w:rPr>
        <w:t>ambassade d</w:t>
      </w:r>
      <w:r w:rsidR="00D32FC0" w:rsidRPr="00F55E60">
        <w:rPr>
          <w:lang w:val="fr-FR"/>
        </w:rPr>
        <w:t>’</w:t>
      </w:r>
      <w:r w:rsidRPr="00F55E60">
        <w:rPr>
          <w:lang w:val="fr-FR"/>
        </w:rPr>
        <w:t>Ukraine et le Ministère des affaires étrangères lui ont déconseillé de retourner en Jordanie, car elle risquait d</w:t>
      </w:r>
      <w:r w:rsidR="00D32FC0" w:rsidRPr="00F55E60">
        <w:rPr>
          <w:lang w:val="fr-FR"/>
        </w:rPr>
        <w:t>’</w:t>
      </w:r>
      <w:r w:rsidRPr="00F55E60">
        <w:rPr>
          <w:lang w:val="fr-FR"/>
        </w:rPr>
        <w:t>y être détenue pour n</w:t>
      </w:r>
      <w:r w:rsidR="00D32FC0" w:rsidRPr="00F55E60">
        <w:rPr>
          <w:lang w:val="fr-FR"/>
        </w:rPr>
        <w:t>’</w:t>
      </w:r>
      <w:r w:rsidRPr="00F55E60">
        <w:rPr>
          <w:lang w:val="fr-FR"/>
        </w:rPr>
        <w:t>avoir pas donné suite à la décision du tribunal de la charia.</w:t>
      </w:r>
    </w:p>
    <w:p w14:paraId="4412E49F" w14:textId="6C8FD637" w:rsidR="00355540" w:rsidRPr="00F55E60" w:rsidRDefault="00A601EB" w:rsidP="009265FF">
      <w:pPr>
        <w:pStyle w:val="SingleTxt"/>
        <w:numPr>
          <w:ilvl w:val="0"/>
          <w:numId w:val="37"/>
        </w:numPr>
        <w:tabs>
          <w:tab w:val="left" w:pos="1742"/>
        </w:tabs>
        <w:spacing w:line="240" w:lineRule="exact"/>
        <w:rPr>
          <w:lang w:val="fr-FR"/>
        </w:rPr>
      </w:pPr>
      <w:r w:rsidRPr="00F55E60">
        <w:rPr>
          <w:lang w:val="fr-FR"/>
        </w:rPr>
        <w:t xml:space="preserve">En mars et avril </w:t>
      </w:r>
      <w:r w:rsidRPr="00A135AC">
        <w:rPr>
          <w:lang w:val="fr-FR"/>
        </w:rPr>
        <w:t>2010</w:t>
      </w:r>
      <w:r w:rsidRPr="00F55E60">
        <w:rPr>
          <w:lang w:val="fr-FR"/>
        </w:rPr>
        <w:t>, l</w:t>
      </w:r>
      <w:r w:rsidR="00D32FC0" w:rsidRPr="00F55E60">
        <w:rPr>
          <w:lang w:val="fr-FR"/>
        </w:rPr>
        <w:t>’</w:t>
      </w:r>
      <w:r w:rsidRPr="00F55E60">
        <w:rPr>
          <w:lang w:val="fr-FR"/>
        </w:rPr>
        <w:t>auteure a été admise à l</w:t>
      </w:r>
      <w:r w:rsidR="00D32FC0" w:rsidRPr="00F55E60">
        <w:rPr>
          <w:lang w:val="fr-FR"/>
        </w:rPr>
        <w:t>’</w:t>
      </w:r>
      <w:r w:rsidRPr="00F55E60">
        <w:rPr>
          <w:lang w:val="fr-FR"/>
        </w:rPr>
        <w:t xml:space="preserve">hôpital de Marioupol en raison des lésions cérébrales causées par les coups reçus à maintes reprises en Jordanie. En mars </w:t>
      </w:r>
      <w:r w:rsidRPr="00A135AC">
        <w:rPr>
          <w:lang w:val="fr-FR"/>
        </w:rPr>
        <w:t>2010</w:t>
      </w:r>
      <w:r w:rsidRPr="00F55E60">
        <w:rPr>
          <w:lang w:val="fr-FR"/>
        </w:rPr>
        <w:t xml:space="preserve"> également, elle a déposé plainte auprès du tribunal du district d</w:t>
      </w:r>
      <w:r w:rsidR="00D32FC0" w:rsidRPr="00F55E60">
        <w:rPr>
          <w:lang w:val="fr-FR"/>
        </w:rPr>
        <w:t>’</w:t>
      </w:r>
      <w:r w:rsidRPr="00F55E60">
        <w:rPr>
          <w:lang w:val="fr-FR"/>
        </w:rPr>
        <w:t>Ordzhonikidzevsky à Marioupol, en vue d</w:t>
      </w:r>
      <w:r w:rsidR="00D32FC0" w:rsidRPr="00F55E60">
        <w:rPr>
          <w:lang w:val="fr-FR"/>
        </w:rPr>
        <w:t>’</w:t>
      </w:r>
      <w:r w:rsidRPr="00F55E60">
        <w:rPr>
          <w:lang w:val="fr-FR"/>
        </w:rPr>
        <w:t>obtenir le divorce d</w:t>
      </w:r>
      <w:r w:rsidR="00D32FC0" w:rsidRPr="00F55E60">
        <w:rPr>
          <w:lang w:val="fr-FR"/>
        </w:rPr>
        <w:t>’</w:t>
      </w:r>
      <w:r w:rsidRPr="00F55E60">
        <w:rPr>
          <w:lang w:val="fr-FR"/>
        </w:rPr>
        <w:t xml:space="preserve">avec son mari et la garde exclusive de ses filles. En décembre </w:t>
      </w:r>
      <w:r w:rsidRPr="00A135AC">
        <w:rPr>
          <w:lang w:val="fr-FR"/>
        </w:rPr>
        <w:t>2010</w:t>
      </w:r>
      <w:r w:rsidRPr="00F55E60">
        <w:rPr>
          <w:lang w:val="fr-FR"/>
        </w:rPr>
        <w:t>, le tribunal a prononcé le divorce, mais a refusé de priver le père des deux enfants de ses droits parentaux. La garde de la fille aînée a été accordée à l</w:t>
      </w:r>
      <w:r w:rsidR="00D32FC0" w:rsidRPr="00F55E60">
        <w:rPr>
          <w:lang w:val="fr-FR"/>
        </w:rPr>
        <w:t>’</w:t>
      </w:r>
      <w:r w:rsidRPr="00F55E60">
        <w:rPr>
          <w:lang w:val="fr-FR"/>
        </w:rPr>
        <w:t>auteure et celle de la cadette, au père. En appel, la Cour d</w:t>
      </w:r>
      <w:r w:rsidR="00D32FC0" w:rsidRPr="00F55E60">
        <w:rPr>
          <w:lang w:val="fr-FR"/>
        </w:rPr>
        <w:t>’</w:t>
      </w:r>
      <w:r w:rsidRPr="00F55E60">
        <w:rPr>
          <w:lang w:val="fr-FR"/>
        </w:rPr>
        <w:t>appel a confié la garde exclusive de la cadette à l</w:t>
      </w:r>
      <w:r w:rsidR="00D32FC0" w:rsidRPr="00F55E60">
        <w:rPr>
          <w:lang w:val="fr-FR"/>
        </w:rPr>
        <w:t>’</w:t>
      </w:r>
      <w:r w:rsidRPr="00F55E60">
        <w:rPr>
          <w:lang w:val="fr-FR"/>
        </w:rPr>
        <w:t>auteure.</w:t>
      </w:r>
    </w:p>
    <w:p w14:paraId="6CC3464B" w14:textId="73D24E68" w:rsidR="00355540" w:rsidRPr="00F55E60" w:rsidRDefault="00A601EB" w:rsidP="009265FF">
      <w:pPr>
        <w:pStyle w:val="SingleTxt"/>
        <w:numPr>
          <w:ilvl w:val="0"/>
          <w:numId w:val="37"/>
        </w:numPr>
        <w:tabs>
          <w:tab w:val="left" w:pos="1742"/>
        </w:tabs>
        <w:spacing w:line="240" w:lineRule="exact"/>
        <w:rPr>
          <w:lang w:val="fr-FR"/>
        </w:rPr>
      </w:pPr>
      <w:r w:rsidRPr="00F55E60">
        <w:rPr>
          <w:lang w:val="fr-FR"/>
        </w:rPr>
        <w:t xml:space="preserve">Cependant, depuis septembre </w:t>
      </w:r>
      <w:r w:rsidRPr="00A135AC">
        <w:rPr>
          <w:lang w:val="fr-FR"/>
        </w:rPr>
        <w:t>2011</w:t>
      </w:r>
      <w:r w:rsidRPr="00F55E60">
        <w:rPr>
          <w:lang w:val="fr-FR"/>
        </w:rPr>
        <w:t>, l</w:t>
      </w:r>
      <w:r w:rsidR="00D32FC0" w:rsidRPr="00F55E60">
        <w:rPr>
          <w:lang w:val="fr-FR"/>
        </w:rPr>
        <w:t>’</w:t>
      </w:r>
      <w:r w:rsidRPr="00F55E60">
        <w:rPr>
          <w:lang w:val="fr-FR"/>
        </w:rPr>
        <w:t>auteure ne parvient pas à faire exécuter les jugements des tribunaux ukrainiens en Jordanie. Elle s</w:t>
      </w:r>
      <w:r w:rsidR="00D32FC0" w:rsidRPr="00F55E60">
        <w:rPr>
          <w:lang w:val="fr-FR"/>
        </w:rPr>
        <w:t>’</w:t>
      </w:r>
      <w:r w:rsidRPr="00F55E60">
        <w:rPr>
          <w:lang w:val="fr-FR"/>
        </w:rPr>
        <w:t>est pourvue à deux reprises en appel devant le Ministère ukrainien de la justice, mais ses demandes d</w:t>
      </w:r>
      <w:r w:rsidR="00D32FC0" w:rsidRPr="00F55E60">
        <w:rPr>
          <w:lang w:val="fr-FR"/>
        </w:rPr>
        <w:t>’</w:t>
      </w:r>
      <w:r w:rsidRPr="00F55E60">
        <w:rPr>
          <w:lang w:val="fr-FR"/>
        </w:rPr>
        <w:t xml:space="preserve">exécution lui ont été renvoyées sans explication ni orientation quant à la poursuite de son action. En novembre </w:t>
      </w:r>
      <w:r w:rsidRPr="00A135AC">
        <w:rPr>
          <w:lang w:val="fr-FR"/>
        </w:rPr>
        <w:t>2011</w:t>
      </w:r>
      <w:r w:rsidRPr="00F55E60">
        <w:rPr>
          <w:lang w:val="fr-FR"/>
        </w:rPr>
        <w:t>, elle a écrit au Ministère des affaires étrangères en vue d</w:t>
      </w:r>
      <w:r w:rsidR="00D32FC0" w:rsidRPr="00F55E60">
        <w:rPr>
          <w:lang w:val="fr-FR"/>
        </w:rPr>
        <w:t>’</w:t>
      </w:r>
      <w:r w:rsidRPr="00F55E60">
        <w:rPr>
          <w:lang w:val="fr-FR"/>
        </w:rPr>
        <w:t>obtenir des informations sur l</w:t>
      </w:r>
      <w:r w:rsidR="00D32FC0" w:rsidRPr="00F55E60">
        <w:rPr>
          <w:lang w:val="fr-FR"/>
        </w:rPr>
        <w:t>’</w:t>
      </w:r>
      <w:r w:rsidRPr="00F55E60">
        <w:rPr>
          <w:lang w:val="fr-FR"/>
        </w:rPr>
        <w:t>exécution effective des décisions judiciaires, mais le Ministère lui a retourné son courrier à trois reprises, demandant des éclaircissements et des documents complémentaires. L</w:t>
      </w:r>
      <w:r w:rsidR="00D32FC0" w:rsidRPr="00F55E60">
        <w:rPr>
          <w:lang w:val="fr-FR"/>
        </w:rPr>
        <w:t>’</w:t>
      </w:r>
      <w:r w:rsidRPr="00F55E60">
        <w:rPr>
          <w:lang w:val="fr-FR"/>
        </w:rPr>
        <w:t>auteure a dû prendre à sa charge la totalité des coûts de traduction.</w:t>
      </w:r>
    </w:p>
    <w:p w14:paraId="68851E7D" w14:textId="373F485F"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lastRenderedPageBreak/>
        <w:t xml:space="preserve">De mars à novembre </w:t>
      </w:r>
      <w:r w:rsidRPr="00A135AC">
        <w:rPr>
          <w:lang w:val="fr-FR"/>
        </w:rPr>
        <w:t>2011</w:t>
      </w:r>
      <w:r w:rsidRPr="00F55E60">
        <w:rPr>
          <w:lang w:val="fr-FR"/>
        </w:rPr>
        <w:t>, toutes les tentatives de l</w:t>
      </w:r>
      <w:r w:rsidR="00D32FC0" w:rsidRPr="00F55E60">
        <w:rPr>
          <w:lang w:val="fr-FR"/>
        </w:rPr>
        <w:t>’</w:t>
      </w:r>
      <w:r w:rsidRPr="00F55E60">
        <w:rPr>
          <w:lang w:val="fr-FR"/>
        </w:rPr>
        <w:t>auteure pour prendre contact avec le Ministère des affaires étrangères et l</w:t>
      </w:r>
      <w:r w:rsidR="00D32FC0" w:rsidRPr="00F55E60">
        <w:rPr>
          <w:lang w:val="fr-FR"/>
        </w:rPr>
        <w:t>’</w:t>
      </w:r>
      <w:r w:rsidRPr="00F55E60">
        <w:rPr>
          <w:lang w:val="fr-FR"/>
        </w:rPr>
        <w:t>ambassade d</w:t>
      </w:r>
      <w:r w:rsidR="00D32FC0" w:rsidRPr="00F55E60">
        <w:rPr>
          <w:lang w:val="fr-FR"/>
        </w:rPr>
        <w:t>’</w:t>
      </w:r>
      <w:r w:rsidRPr="00F55E60">
        <w:rPr>
          <w:lang w:val="fr-FR"/>
        </w:rPr>
        <w:t xml:space="preserve">Ukraine à Amman sont restées vaines. En novembre </w:t>
      </w:r>
      <w:r w:rsidRPr="00A135AC">
        <w:rPr>
          <w:lang w:val="fr-FR"/>
        </w:rPr>
        <w:t>2012</w:t>
      </w:r>
      <w:r w:rsidRPr="00F55E60">
        <w:rPr>
          <w:lang w:val="fr-FR"/>
        </w:rPr>
        <w:t>, elle a demandé au Ministère des affaires étrangères d</w:t>
      </w:r>
      <w:r w:rsidR="00D32FC0" w:rsidRPr="00F55E60">
        <w:rPr>
          <w:lang w:val="fr-FR"/>
        </w:rPr>
        <w:t>’</w:t>
      </w:r>
      <w:r w:rsidRPr="00F55E60">
        <w:rPr>
          <w:lang w:val="fr-FR"/>
        </w:rPr>
        <w:t>empêcher son ex-mari d</w:t>
      </w:r>
      <w:r w:rsidR="00D32FC0" w:rsidRPr="00F55E60">
        <w:rPr>
          <w:lang w:val="fr-FR"/>
        </w:rPr>
        <w:t>’</w:t>
      </w:r>
      <w:r w:rsidRPr="00F55E60">
        <w:rPr>
          <w:lang w:val="fr-FR"/>
        </w:rPr>
        <w:t>emmener leur fille cadette vivre avec lui dans l</w:t>
      </w:r>
      <w:r w:rsidR="00D32FC0" w:rsidRPr="00F55E60">
        <w:rPr>
          <w:lang w:val="fr-FR"/>
        </w:rPr>
        <w:t>’</w:t>
      </w:r>
      <w:r w:rsidRPr="00F55E60">
        <w:rPr>
          <w:lang w:val="fr-FR"/>
        </w:rPr>
        <w:t>État de Palestine, où il s</w:t>
      </w:r>
      <w:r w:rsidR="00D32FC0" w:rsidRPr="00F55E60">
        <w:rPr>
          <w:lang w:val="fr-FR"/>
        </w:rPr>
        <w:t>’</w:t>
      </w:r>
      <w:r w:rsidRPr="00F55E60">
        <w:rPr>
          <w:lang w:val="fr-FR"/>
        </w:rPr>
        <w:t>était remarié. Toutefois, l</w:t>
      </w:r>
      <w:r w:rsidR="00D32FC0" w:rsidRPr="00F55E60">
        <w:rPr>
          <w:lang w:val="fr-FR"/>
        </w:rPr>
        <w:t>’</w:t>
      </w:r>
      <w:r w:rsidRPr="00F55E60">
        <w:rPr>
          <w:lang w:val="fr-FR"/>
        </w:rPr>
        <w:t>ambassade d</w:t>
      </w:r>
      <w:r w:rsidR="00D32FC0" w:rsidRPr="00F55E60">
        <w:rPr>
          <w:lang w:val="fr-FR"/>
        </w:rPr>
        <w:t>’</w:t>
      </w:r>
      <w:r w:rsidRPr="00F55E60">
        <w:rPr>
          <w:lang w:val="fr-FR"/>
        </w:rPr>
        <w:t>Ukraine en Jordanie n</w:t>
      </w:r>
      <w:r w:rsidR="00D32FC0" w:rsidRPr="00F55E60">
        <w:rPr>
          <w:lang w:val="fr-FR"/>
        </w:rPr>
        <w:t>’</w:t>
      </w:r>
      <w:r w:rsidRPr="00F55E60">
        <w:rPr>
          <w:lang w:val="fr-FR"/>
        </w:rPr>
        <w:t>a réussi ni à joindre l</w:t>
      </w:r>
      <w:r w:rsidR="00D32FC0" w:rsidRPr="00F55E60">
        <w:rPr>
          <w:lang w:val="fr-FR"/>
        </w:rPr>
        <w:t>’</w:t>
      </w:r>
      <w:r w:rsidRPr="00F55E60">
        <w:rPr>
          <w:lang w:val="fr-FR"/>
        </w:rPr>
        <w:t>ex-époux ni à prendre des mesures pour l</w:t>
      </w:r>
      <w:r w:rsidR="00D32FC0" w:rsidRPr="00F55E60">
        <w:rPr>
          <w:lang w:val="fr-FR"/>
        </w:rPr>
        <w:t>’</w:t>
      </w:r>
      <w:r w:rsidRPr="00F55E60">
        <w:rPr>
          <w:lang w:val="fr-FR"/>
        </w:rPr>
        <w:t>empêcher de déménager à l</w:t>
      </w:r>
      <w:r w:rsidR="00D32FC0" w:rsidRPr="00F55E60">
        <w:rPr>
          <w:lang w:val="fr-FR"/>
        </w:rPr>
        <w:t>’</w:t>
      </w:r>
      <w:r w:rsidRPr="00F55E60">
        <w:rPr>
          <w:lang w:val="fr-FR"/>
        </w:rPr>
        <w:t>étranger avec leur fille cadette. Le Ministère ukrainien des affaires étrangères s</w:t>
      </w:r>
      <w:r w:rsidR="00D32FC0" w:rsidRPr="00F55E60">
        <w:rPr>
          <w:lang w:val="fr-FR"/>
        </w:rPr>
        <w:t>’</w:t>
      </w:r>
      <w:r w:rsidRPr="00F55E60">
        <w:rPr>
          <w:lang w:val="fr-FR"/>
        </w:rPr>
        <w:t>est contenté de signifier à l</w:t>
      </w:r>
      <w:r w:rsidR="00D32FC0" w:rsidRPr="00F55E60">
        <w:rPr>
          <w:lang w:val="fr-FR"/>
        </w:rPr>
        <w:t>’</w:t>
      </w:r>
      <w:r w:rsidRPr="00F55E60">
        <w:rPr>
          <w:lang w:val="fr-FR"/>
        </w:rPr>
        <w:t>auteure que les décisions des tribunaux ukrainiens et des tribunaux de la charia avaient été renvoyées par le Ministère jordanien des affaires étrangères et que celles des tribunaux ukrainiens étaient restées sans effet.</w:t>
      </w:r>
    </w:p>
    <w:p w14:paraId="55EF927A" w14:textId="19867F7A"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Entre-temps, l</w:t>
      </w:r>
      <w:r w:rsidR="00D32FC0" w:rsidRPr="00F55E60">
        <w:rPr>
          <w:lang w:val="fr-FR"/>
        </w:rPr>
        <w:t>’</w:t>
      </w:r>
      <w:r w:rsidRPr="00F55E60">
        <w:rPr>
          <w:lang w:val="fr-FR"/>
        </w:rPr>
        <w:t>auteure a porté plainte auprès des autorités ukrainiennes pour violence domestique et enlèvement de sa fille cadette par son ex-mari. L</w:t>
      </w:r>
      <w:r w:rsidR="00D32FC0" w:rsidRPr="00F55E60">
        <w:rPr>
          <w:lang w:val="fr-FR"/>
        </w:rPr>
        <w:t>’</w:t>
      </w:r>
      <w:r w:rsidRPr="00F55E60">
        <w:rPr>
          <w:lang w:val="fr-FR"/>
        </w:rPr>
        <w:t>affaire a été confiée au Département du Bureau ukrainien de l</w:t>
      </w:r>
      <w:r w:rsidR="00D32FC0" w:rsidRPr="00F55E60">
        <w:rPr>
          <w:lang w:val="fr-FR"/>
        </w:rPr>
        <w:t>’</w:t>
      </w:r>
      <w:r w:rsidRPr="00F55E60">
        <w:rPr>
          <w:lang w:val="fr-FR"/>
        </w:rPr>
        <w:t>Organisation internationale de police criminelle (INTERPOL), à Marioupol, mais a été rejetée, et l</w:t>
      </w:r>
      <w:r w:rsidR="00D32FC0" w:rsidRPr="00F55E60">
        <w:rPr>
          <w:lang w:val="fr-FR"/>
        </w:rPr>
        <w:t>’</w:t>
      </w:r>
      <w:r w:rsidRPr="00F55E60">
        <w:rPr>
          <w:lang w:val="fr-FR"/>
        </w:rPr>
        <w:t>auteure a été invitée à poursuivre ses efforts par la voie diplomatique.</w:t>
      </w:r>
    </w:p>
    <w:p w14:paraId="62D32FD4" w14:textId="4A6EC103"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 xml:space="preserve">De mai à juillet </w:t>
      </w:r>
      <w:r w:rsidRPr="00A135AC">
        <w:rPr>
          <w:lang w:val="fr-FR"/>
        </w:rPr>
        <w:t>2012</w:t>
      </w:r>
      <w:r w:rsidRPr="00F55E60">
        <w:rPr>
          <w:lang w:val="fr-FR"/>
        </w:rPr>
        <w:t>, l</w:t>
      </w:r>
      <w:r w:rsidR="00D32FC0" w:rsidRPr="00F55E60">
        <w:rPr>
          <w:lang w:val="fr-FR"/>
        </w:rPr>
        <w:t>’</w:t>
      </w:r>
      <w:r w:rsidRPr="00F55E60">
        <w:rPr>
          <w:lang w:val="fr-FR"/>
        </w:rPr>
        <w:t>auteure a pris contact avec le médiateur pour les enfants et avec la Reine de Jordanie, mais elle n</w:t>
      </w:r>
      <w:r w:rsidR="00D32FC0" w:rsidRPr="00F55E60">
        <w:rPr>
          <w:lang w:val="fr-FR"/>
        </w:rPr>
        <w:t>’</w:t>
      </w:r>
      <w:r w:rsidRPr="00F55E60">
        <w:rPr>
          <w:lang w:val="fr-FR"/>
        </w:rPr>
        <w:t>a pas reçu de réponse.</w:t>
      </w:r>
    </w:p>
    <w:p w14:paraId="5ADECC3A" w14:textId="0C54443D"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 xml:space="preserve">En novembre </w:t>
      </w:r>
      <w:r w:rsidRPr="00A135AC">
        <w:rPr>
          <w:lang w:val="fr-FR"/>
        </w:rPr>
        <w:t>2012</w:t>
      </w:r>
      <w:r w:rsidRPr="00F55E60">
        <w:rPr>
          <w:lang w:val="fr-FR"/>
        </w:rPr>
        <w:t>, elle a sollicité l</w:t>
      </w:r>
      <w:r w:rsidR="00D32FC0" w:rsidRPr="00F55E60">
        <w:rPr>
          <w:lang w:val="fr-FR"/>
        </w:rPr>
        <w:t>’</w:t>
      </w:r>
      <w:r w:rsidRPr="00F55E60">
        <w:rPr>
          <w:lang w:val="fr-FR"/>
        </w:rPr>
        <w:t>aide du Ministère de la justice pour l</w:t>
      </w:r>
      <w:r w:rsidR="00D32FC0" w:rsidRPr="00F55E60">
        <w:rPr>
          <w:lang w:val="fr-FR"/>
        </w:rPr>
        <w:t>’</w:t>
      </w:r>
      <w:r w:rsidRPr="00F55E60">
        <w:rPr>
          <w:lang w:val="fr-FR"/>
        </w:rPr>
        <w:t>aider à se voir restituer sa fille cadette. Ce dernier l</w:t>
      </w:r>
      <w:r w:rsidR="00D32FC0" w:rsidRPr="00F55E60">
        <w:rPr>
          <w:lang w:val="fr-FR"/>
        </w:rPr>
        <w:t>’</w:t>
      </w:r>
      <w:r w:rsidRPr="00F55E60">
        <w:rPr>
          <w:lang w:val="fr-FR"/>
        </w:rPr>
        <w:t>a informée de l</w:t>
      </w:r>
      <w:r w:rsidR="00D32FC0" w:rsidRPr="00F55E60">
        <w:rPr>
          <w:lang w:val="fr-FR"/>
        </w:rPr>
        <w:t>’</w:t>
      </w:r>
      <w:r w:rsidRPr="00F55E60">
        <w:rPr>
          <w:lang w:val="fr-FR"/>
        </w:rPr>
        <w:t>absence de tout accord international entre l</w:t>
      </w:r>
      <w:r w:rsidR="00D32FC0" w:rsidRPr="00F55E60">
        <w:rPr>
          <w:lang w:val="fr-FR"/>
        </w:rPr>
        <w:t>’</w:t>
      </w:r>
      <w:r w:rsidRPr="00F55E60">
        <w:rPr>
          <w:lang w:val="fr-FR"/>
        </w:rPr>
        <w:t>Ukraine et la Jordanie réglementant le retour d</w:t>
      </w:r>
      <w:r w:rsidR="00D32FC0" w:rsidRPr="00F55E60">
        <w:rPr>
          <w:lang w:val="fr-FR"/>
        </w:rPr>
        <w:t>’</w:t>
      </w:r>
      <w:r w:rsidRPr="00F55E60">
        <w:rPr>
          <w:lang w:val="fr-FR"/>
        </w:rPr>
        <w:t>un enfant mineur en Ukraine ou encore la reconnaissance ou l</w:t>
      </w:r>
      <w:r w:rsidR="00D32FC0" w:rsidRPr="00F55E60">
        <w:rPr>
          <w:lang w:val="fr-FR"/>
        </w:rPr>
        <w:t>’</w:t>
      </w:r>
      <w:r w:rsidRPr="00F55E60">
        <w:rPr>
          <w:lang w:val="fr-FR"/>
        </w:rPr>
        <w:t>exécution des décisions de justice. Néanmoins, il a renvoyé la plainte de l</w:t>
      </w:r>
      <w:r w:rsidR="00D32FC0" w:rsidRPr="00F55E60">
        <w:rPr>
          <w:lang w:val="fr-FR"/>
        </w:rPr>
        <w:t>’</w:t>
      </w:r>
      <w:r w:rsidRPr="00F55E60">
        <w:rPr>
          <w:lang w:val="fr-FR"/>
        </w:rPr>
        <w:t>auteure au Ministère des affaires étrangères.</w:t>
      </w:r>
    </w:p>
    <w:p w14:paraId="304DC2B6" w14:textId="48E73387"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précise que tous les efforts faits par les autorités ukrainiennes pour veiller à l</w:t>
      </w:r>
      <w:r w:rsidR="00D32FC0" w:rsidRPr="00F55E60">
        <w:rPr>
          <w:lang w:val="fr-FR"/>
        </w:rPr>
        <w:t>’</w:t>
      </w:r>
      <w:r w:rsidRPr="00F55E60">
        <w:rPr>
          <w:lang w:val="fr-FR"/>
        </w:rPr>
        <w:t>exécution des décisions de justice et assurer sa protection contre toute violence domestique sont demeurés sans effet. Elle demeure en Ukraine avec sa fille aînée et ne peut pas se rendre en Jordanie, car elle est susceptible d</w:t>
      </w:r>
      <w:r w:rsidR="00D32FC0" w:rsidRPr="00F55E60">
        <w:rPr>
          <w:lang w:val="fr-FR"/>
        </w:rPr>
        <w:t>’</w:t>
      </w:r>
      <w:r w:rsidRPr="00F55E60">
        <w:rPr>
          <w:lang w:val="fr-FR"/>
        </w:rPr>
        <w:t>y être appréhendée. Sa fille cadette vit avec son père, et elle n</w:t>
      </w:r>
      <w:r w:rsidR="00D32FC0" w:rsidRPr="00F55E60">
        <w:rPr>
          <w:lang w:val="fr-FR"/>
        </w:rPr>
        <w:t>’</w:t>
      </w:r>
      <w:r w:rsidRPr="00F55E60">
        <w:rPr>
          <w:lang w:val="fr-FR"/>
        </w:rPr>
        <w:t xml:space="preserve">a absolument aucun contact avec elle. En </w:t>
      </w:r>
      <w:r w:rsidRPr="00A135AC">
        <w:rPr>
          <w:lang w:val="fr-FR"/>
        </w:rPr>
        <w:t>2014</w:t>
      </w:r>
      <w:r w:rsidRPr="00F55E60">
        <w:rPr>
          <w:lang w:val="fr-FR"/>
        </w:rPr>
        <w:t>, le père de son ex-époux a permis à l</w:t>
      </w:r>
      <w:r w:rsidR="00D32FC0" w:rsidRPr="00F55E60">
        <w:rPr>
          <w:lang w:val="fr-FR"/>
        </w:rPr>
        <w:t>’</w:t>
      </w:r>
      <w:r w:rsidRPr="00F55E60">
        <w:rPr>
          <w:lang w:val="fr-FR"/>
        </w:rPr>
        <w:t>auteur l</w:t>
      </w:r>
      <w:r w:rsidR="00D32FC0" w:rsidRPr="00F55E60">
        <w:rPr>
          <w:lang w:val="fr-FR"/>
        </w:rPr>
        <w:t>’</w:t>
      </w:r>
      <w:r w:rsidRPr="00F55E60">
        <w:rPr>
          <w:lang w:val="fr-FR"/>
        </w:rPr>
        <w:t>envoi de vêtements chauds et de cadeaux à sa cadette et l</w:t>
      </w:r>
      <w:r w:rsidR="00D32FC0" w:rsidRPr="00F55E60">
        <w:rPr>
          <w:lang w:val="fr-FR"/>
        </w:rPr>
        <w:t>’</w:t>
      </w:r>
      <w:r w:rsidRPr="00F55E60">
        <w:rPr>
          <w:lang w:val="fr-FR"/>
        </w:rPr>
        <w:t>a informée que son ex-mari avait menacé de ne plus jamais la laisser adresser la parole à sa plus jeune fille. Depuis lors, l</w:t>
      </w:r>
      <w:r w:rsidR="00D32FC0" w:rsidRPr="00F55E60">
        <w:rPr>
          <w:lang w:val="fr-FR"/>
        </w:rPr>
        <w:t>’</w:t>
      </w:r>
      <w:r w:rsidRPr="00F55E60">
        <w:rPr>
          <w:lang w:val="fr-FR"/>
        </w:rPr>
        <w:t>auteure n</w:t>
      </w:r>
      <w:r w:rsidR="00D32FC0" w:rsidRPr="00F55E60">
        <w:rPr>
          <w:lang w:val="fr-FR"/>
        </w:rPr>
        <w:t>’</w:t>
      </w:r>
      <w:r w:rsidRPr="00F55E60">
        <w:rPr>
          <w:lang w:val="fr-FR"/>
        </w:rPr>
        <w:t>a pas été en mesure de contacter le père de son ex-mari.</w:t>
      </w:r>
    </w:p>
    <w:p w14:paraId="32337A56" w14:textId="6BA69EBE"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En ce qui concerne les obligations juridiques nationales et internationales de l</w:t>
      </w:r>
      <w:r w:rsidR="00D32FC0" w:rsidRPr="00F55E60">
        <w:rPr>
          <w:lang w:val="fr-FR"/>
        </w:rPr>
        <w:t>’</w:t>
      </w:r>
      <w:r w:rsidRPr="00F55E60">
        <w:rPr>
          <w:lang w:val="fr-FR"/>
        </w:rPr>
        <w:t>Ukraine, l</w:t>
      </w:r>
      <w:r w:rsidR="00D32FC0" w:rsidRPr="00F55E60">
        <w:rPr>
          <w:lang w:val="fr-FR"/>
        </w:rPr>
        <w:t>’</w:t>
      </w:r>
      <w:r w:rsidRPr="00F55E60">
        <w:rPr>
          <w:lang w:val="fr-FR"/>
        </w:rPr>
        <w:t>auteure note que la Convention de Vienne sur les relations consulaires prévoit que les États parties protègent les intérêts de leurs ressortissants à l</w:t>
      </w:r>
      <w:r w:rsidR="00D32FC0" w:rsidRPr="00F55E60">
        <w:rPr>
          <w:lang w:val="fr-FR"/>
        </w:rPr>
        <w:t>’</w:t>
      </w:r>
      <w:r w:rsidRPr="00F55E60">
        <w:rPr>
          <w:lang w:val="fr-FR"/>
        </w:rPr>
        <w:t>étranger, les aident et les assistent et leur garantissent une représentation adaptée devant les tribunaux ou autres autorités lorsqu</w:t>
      </w:r>
      <w:r w:rsidR="00D32FC0" w:rsidRPr="00F55E60">
        <w:rPr>
          <w:lang w:val="fr-FR"/>
        </w:rPr>
        <w:t>’</w:t>
      </w:r>
      <w:r w:rsidRPr="00F55E60">
        <w:rPr>
          <w:lang w:val="fr-FR"/>
        </w:rPr>
        <w:t>ils ne sont pas à même d</w:t>
      </w:r>
      <w:r w:rsidR="00D32FC0" w:rsidRPr="00F55E60">
        <w:rPr>
          <w:lang w:val="fr-FR"/>
        </w:rPr>
        <w:t>’</w:t>
      </w:r>
      <w:r w:rsidRPr="00F55E60">
        <w:rPr>
          <w:lang w:val="fr-FR"/>
        </w:rPr>
        <w:t>obtenir cette représentation par leurs propres moyens. Elle invoque également des articles de la Commission du droit international ou la jurisprudence de la Cour internationale de Justice, qui définissent la protection diplomatique. Ainsi, selon la Cour, en raison de l</w:t>
      </w:r>
      <w:r w:rsidR="00D32FC0" w:rsidRPr="00F55E60">
        <w:rPr>
          <w:lang w:val="fr-FR"/>
        </w:rPr>
        <w:t>’</w:t>
      </w:r>
      <w:r w:rsidRPr="00F55E60">
        <w:rPr>
          <w:lang w:val="fr-FR"/>
        </w:rPr>
        <w:t>enrichissement substantiel du droit international sur les droits concédés aux personnes au cours des dernières décennies, la protection diplomatique, à l</w:t>
      </w:r>
      <w:r w:rsidR="00D32FC0" w:rsidRPr="00F55E60">
        <w:rPr>
          <w:lang w:val="fr-FR"/>
        </w:rPr>
        <w:t>’</w:t>
      </w:r>
      <w:r w:rsidRPr="00F55E60">
        <w:rPr>
          <w:lang w:val="fr-FR"/>
        </w:rPr>
        <w:t>origine limitée à des violations présumées des normes minimales de traitement des étrangers, a ensuite été élargie de manière à inclure, entre autres, les droits de la personne internationalement protégés. L</w:t>
      </w:r>
      <w:r w:rsidR="00D32FC0" w:rsidRPr="00F55E60">
        <w:rPr>
          <w:lang w:val="fr-FR"/>
        </w:rPr>
        <w:t>’</w:t>
      </w:r>
      <w:r w:rsidRPr="00F55E60">
        <w:rPr>
          <w:lang w:val="fr-FR"/>
        </w:rPr>
        <w:t>auteure fait observer que si, à l</w:t>
      </w:r>
      <w:r w:rsidR="00D32FC0" w:rsidRPr="00F55E60">
        <w:rPr>
          <w:lang w:val="fr-FR"/>
        </w:rPr>
        <w:t>’</w:t>
      </w:r>
      <w:r w:rsidRPr="00F55E60">
        <w:rPr>
          <w:lang w:val="fr-FR"/>
        </w:rPr>
        <w:t>heure actuelle, il n</w:t>
      </w:r>
      <w:r w:rsidR="00D32FC0" w:rsidRPr="00F55E60">
        <w:rPr>
          <w:lang w:val="fr-FR"/>
        </w:rPr>
        <w:t>’</w:t>
      </w:r>
      <w:r w:rsidRPr="00F55E60">
        <w:rPr>
          <w:lang w:val="fr-FR"/>
        </w:rPr>
        <w:t>existe pas de droit international à la protection diplomatique à l</w:t>
      </w:r>
      <w:r w:rsidR="00D32FC0" w:rsidRPr="00F55E60">
        <w:rPr>
          <w:lang w:val="fr-FR"/>
        </w:rPr>
        <w:t>’</w:t>
      </w:r>
      <w:r w:rsidRPr="00F55E60">
        <w:rPr>
          <w:lang w:val="fr-FR"/>
        </w:rPr>
        <w:t>étranger, la délibération sur son utilisation par l</w:t>
      </w:r>
      <w:r w:rsidR="00D32FC0" w:rsidRPr="00F55E60">
        <w:rPr>
          <w:lang w:val="fr-FR"/>
        </w:rPr>
        <w:t>’</w:t>
      </w:r>
      <w:r w:rsidRPr="00F55E60">
        <w:rPr>
          <w:lang w:val="fr-FR"/>
        </w:rPr>
        <w:t>État d</w:t>
      </w:r>
      <w:r w:rsidR="00D32FC0" w:rsidRPr="00F55E60">
        <w:rPr>
          <w:lang w:val="fr-FR"/>
        </w:rPr>
        <w:t>’</w:t>
      </w:r>
      <w:r w:rsidRPr="00F55E60">
        <w:rPr>
          <w:lang w:val="fr-FR"/>
        </w:rPr>
        <w:t>envoi est devenue obligatoire, de même que sur chaque demande d</w:t>
      </w:r>
      <w:r w:rsidR="00D32FC0" w:rsidRPr="00F55E60">
        <w:rPr>
          <w:lang w:val="fr-FR"/>
        </w:rPr>
        <w:t>’</w:t>
      </w:r>
      <w:r w:rsidRPr="00F55E60">
        <w:rPr>
          <w:lang w:val="fr-FR"/>
        </w:rPr>
        <w:t>assistance consulaire ou de protection diplomatique, conformément aux normes en vigueur concernant la garantie d</w:t>
      </w:r>
      <w:r w:rsidR="00D32FC0" w:rsidRPr="00F55E60">
        <w:rPr>
          <w:lang w:val="fr-FR"/>
        </w:rPr>
        <w:t>’</w:t>
      </w:r>
      <w:r w:rsidRPr="00F55E60">
        <w:rPr>
          <w:lang w:val="fr-FR"/>
        </w:rPr>
        <w:t>un procès équitable.</w:t>
      </w:r>
    </w:p>
    <w:p w14:paraId="7BE9143F" w14:textId="1BA6F6FC"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En outre, en vertu de l</w:t>
      </w:r>
      <w:r w:rsidR="00D32FC0" w:rsidRPr="00F55E60">
        <w:rPr>
          <w:lang w:val="fr-FR"/>
        </w:rPr>
        <w:t>’</w:t>
      </w:r>
      <w:r w:rsidRPr="00F55E60">
        <w:rPr>
          <w:lang w:val="fr-FR"/>
        </w:rPr>
        <w:t>article </w:t>
      </w:r>
      <w:r w:rsidRPr="00A135AC">
        <w:rPr>
          <w:lang w:val="fr-FR"/>
        </w:rPr>
        <w:t>25</w:t>
      </w:r>
      <w:r w:rsidRPr="00F55E60">
        <w:rPr>
          <w:lang w:val="fr-FR"/>
        </w:rPr>
        <w:t>, paragraphe </w:t>
      </w:r>
      <w:r w:rsidRPr="00A135AC">
        <w:rPr>
          <w:lang w:val="fr-FR"/>
        </w:rPr>
        <w:t>3</w:t>
      </w:r>
      <w:r w:rsidRPr="00F55E60">
        <w:rPr>
          <w:lang w:val="fr-FR"/>
        </w:rPr>
        <w:t>, de sa Constitution, l</w:t>
      </w:r>
      <w:r w:rsidR="00D32FC0" w:rsidRPr="00F55E60">
        <w:rPr>
          <w:lang w:val="fr-FR"/>
        </w:rPr>
        <w:t>’</w:t>
      </w:r>
      <w:r w:rsidRPr="00F55E60">
        <w:rPr>
          <w:lang w:val="fr-FR"/>
        </w:rPr>
        <w:t>Ukraine garantit les soins et la protection de ses citoyens à l</w:t>
      </w:r>
      <w:r w:rsidR="00D32FC0" w:rsidRPr="00F55E60">
        <w:rPr>
          <w:lang w:val="fr-FR"/>
        </w:rPr>
        <w:t>’</w:t>
      </w:r>
      <w:r w:rsidRPr="00F55E60">
        <w:rPr>
          <w:lang w:val="fr-FR"/>
        </w:rPr>
        <w:t xml:space="preserve">étranger. Selon le Ministère des affaires étrangères, la fonction principale de son Département des affaires consulaires </w:t>
      </w:r>
      <w:r w:rsidRPr="00F55E60">
        <w:rPr>
          <w:lang w:val="fr-FR"/>
        </w:rPr>
        <w:lastRenderedPageBreak/>
        <w:t>consiste à assurer les tâches et la coordination du Ministère pour protéger les droits et les intérêts des citoyens ukrainiens à l</w:t>
      </w:r>
      <w:r w:rsidR="00D32FC0" w:rsidRPr="00F55E60">
        <w:rPr>
          <w:lang w:val="fr-FR"/>
        </w:rPr>
        <w:t>’</w:t>
      </w:r>
      <w:r w:rsidRPr="00F55E60">
        <w:rPr>
          <w:lang w:val="fr-FR"/>
        </w:rPr>
        <w:t>étranger.</w:t>
      </w:r>
    </w:p>
    <w:p w14:paraId="52E3B003" w14:textId="1AB38F4C" w:rsidR="00355540" w:rsidRPr="00F55E60" w:rsidRDefault="00A601EB" w:rsidP="009265FF">
      <w:pPr>
        <w:pStyle w:val="SingleTxt"/>
        <w:numPr>
          <w:ilvl w:val="0"/>
          <w:numId w:val="37"/>
        </w:numPr>
        <w:tabs>
          <w:tab w:val="left" w:pos="1742"/>
        </w:tabs>
        <w:spacing w:line="240" w:lineRule="exact"/>
        <w:rPr>
          <w:lang w:val="fr-FR"/>
        </w:rPr>
      </w:pPr>
      <w:r w:rsidRPr="00F55E60">
        <w:rPr>
          <w:lang w:val="fr-FR"/>
        </w:rPr>
        <w:t>Ainsi, d</w:t>
      </w:r>
      <w:r w:rsidR="00D32FC0" w:rsidRPr="00F55E60">
        <w:rPr>
          <w:lang w:val="fr-FR"/>
        </w:rPr>
        <w:t>’</w:t>
      </w:r>
      <w:r w:rsidRPr="00F55E60">
        <w:rPr>
          <w:lang w:val="fr-FR"/>
        </w:rPr>
        <w:t>après l</w:t>
      </w:r>
      <w:r w:rsidR="00D32FC0" w:rsidRPr="00F55E60">
        <w:rPr>
          <w:lang w:val="fr-FR"/>
        </w:rPr>
        <w:t>’</w:t>
      </w:r>
      <w:r w:rsidRPr="00F55E60">
        <w:rPr>
          <w:lang w:val="fr-FR"/>
        </w:rPr>
        <w:t>auteure, elle pouvait être légitimement en droit de s</w:t>
      </w:r>
      <w:r w:rsidR="00D32FC0" w:rsidRPr="00F55E60">
        <w:rPr>
          <w:lang w:val="fr-FR"/>
        </w:rPr>
        <w:t>’</w:t>
      </w:r>
      <w:r w:rsidRPr="00F55E60">
        <w:rPr>
          <w:lang w:val="fr-FR"/>
        </w:rPr>
        <w:t>attendre à une assistance consulaire et une protection diplomatique maximales en Jordanie. Tel devait être également le cas si de graves violations des droits de la personne avaient été commises, comme en l</w:t>
      </w:r>
      <w:r w:rsidR="00D32FC0" w:rsidRPr="00F55E60">
        <w:rPr>
          <w:lang w:val="fr-FR"/>
        </w:rPr>
        <w:t>’</w:t>
      </w:r>
      <w:r w:rsidRPr="00F55E60">
        <w:rPr>
          <w:lang w:val="fr-FR"/>
        </w:rPr>
        <w:t>espèce, une femme ayant été victime de violences familiales et son enfant ayant été enlevée. Les femmes victimes de violences familiales qui se battent pour obtenir la garde de leurs enfants à l</w:t>
      </w:r>
      <w:r w:rsidR="00D32FC0" w:rsidRPr="00F55E60">
        <w:rPr>
          <w:lang w:val="fr-FR"/>
        </w:rPr>
        <w:t>’</w:t>
      </w:r>
      <w:r w:rsidRPr="00F55E60">
        <w:rPr>
          <w:lang w:val="fr-FR"/>
        </w:rPr>
        <w:t>étranger sont particulièrement exposées à des formes concrètes de discrimination interdites par la Convention. Si les femmes qui connaissent une telle situation ne font l</w:t>
      </w:r>
      <w:r w:rsidR="00D32FC0" w:rsidRPr="00F55E60">
        <w:rPr>
          <w:lang w:val="fr-FR"/>
        </w:rPr>
        <w:t>’</w:t>
      </w:r>
      <w:r w:rsidRPr="00F55E60">
        <w:rPr>
          <w:lang w:val="fr-FR"/>
        </w:rPr>
        <w:t>objet d</w:t>
      </w:r>
      <w:r w:rsidR="00D32FC0" w:rsidRPr="00F55E60">
        <w:rPr>
          <w:lang w:val="fr-FR"/>
        </w:rPr>
        <w:t>’</w:t>
      </w:r>
      <w:r w:rsidRPr="00F55E60">
        <w:rPr>
          <w:lang w:val="fr-FR"/>
        </w:rPr>
        <w:t>aucune attention particulière quant à l</w:t>
      </w:r>
      <w:r w:rsidR="00D32FC0" w:rsidRPr="00F55E60">
        <w:rPr>
          <w:lang w:val="fr-FR"/>
        </w:rPr>
        <w:t>’</w:t>
      </w:r>
      <w:r w:rsidRPr="00F55E60">
        <w:rPr>
          <w:lang w:val="fr-FR"/>
        </w:rPr>
        <w:t>octroi d</w:t>
      </w:r>
      <w:r w:rsidR="00D32FC0" w:rsidRPr="00F55E60">
        <w:rPr>
          <w:lang w:val="fr-FR"/>
        </w:rPr>
        <w:t>’</w:t>
      </w:r>
      <w:r w:rsidRPr="00F55E60">
        <w:rPr>
          <w:lang w:val="fr-FR"/>
        </w:rPr>
        <w:t>un soutien consulaire ou d</w:t>
      </w:r>
      <w:r w:rsidR="00D32FC0" w:rsidRPr="00F55E60">
        <w:rPr>
          <w:lang w:val="fr-FR"/>
        </w:rPr>
        <w:t>’</w:t>
      </w:r>
      <w:r w:rsidRPr="00F55E60">
        <w:rPr>
          <w:lang w:val="fr-FR"/>
        </w:rPr>
        <w:t>une protection diplomatique, leurs droits ne pourront pas être garantis. Le personnel consulaire doit pouvoir comprendre le type de violations auxquelles ces femmes sont exposées. Il s</w:t>
      </w:r>
      <w:r w:rsidR="00D32FC0" w:rsidRPr="00F55E60">
        <w:rPr>
          <w:lang w:val="fr-FR"/>
        </w:rPr>
        <w:t>’</w:t>
      </w:r>
      <w:r w:rsidRPr="00F55E60">
        <w:rPr>
          <w:lang w:val="fr-FR"/>
        </w:rPr>
        <w:t>agit notamment de la non-exécution de décisions rendues par des autorités locales, de la non-inclusion de faits pertinents dans l</w:t>
      </w:r>
      <w:r w:rsidR="00D32FC0" w:rsidRPr="00F55E60">
        <w:rPr>
          <w:lang w:val="fr-FR"/>
        </w:rPr>
        <w:t>’</w:t>
      </w:r>
      <w:r w:rsidRPr="00F55E60">
        <w:rPr>
          <w:lang w:val="fr-FR"/>
        </w:rPr>
        <w:t>évaluation des questions de garde d</w:t>
      </w:r>
      <w:r w:rsidR="00D32FC0" w:rsidRPr="00F55E60">
        <w:rPr>
          <w:lang w:val="fr-FR"/>
        </w:rPr>
        <w:t>’</w:t>
      </w:r>
      <w:r w:rsidRPr="00F55E60">
        <w:rPr>
          <w:lang w:val="fr-FR"/>
        </w:rPr>
        <w:t>enfants, en particulier les faits qui ont des incidences néfastes sur les partenaires des femmes, de la non-reconnaissance du statut de victime de violence de la femme, ou de l</w:t>
      </w:r>
      <w:r w:rsidR="00D32FC0" w:rsidRPr="00F55E60">
        <w:rPr>
          <w:lang w:val="fr-FR"/>
        </w:rPr>
        <w:t>’</w:t>
      </w:r>
      <w:r w:rsidRPr="00F55E60">
        <w:rPr>
          <w:lang w:val="fr-FR"/>
        </w:rPr>
        <w:t>incapacité des autorités locales à vérifier correctement des accusations fabriquées de toute pièce. Ces facteurs peuvent faire obstacle au droit des femmes à un procès équitable.</w:t>
      </w:r>
    </w:p>
    <w:p w14:paraId="12996FE5" w14:textId="0E2AB9B9"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fait également observer que l</w:t>
      </w:r>
      <w:r w:rsidR="00D32FC0" w:rsidRPr="00F55E60">
        <w:rPr>
          <w:lang w:val="fr-FR"/>
        </w:rPr>
        <w:t>’</w:t>
      </w:r>
      <w:r w:rsidRPr="00F55E60">
        <w:rPr>
          <w:lang w:val="fr-FR"/>
        </w:rPr>
        <w:t>Ukraine est liée par d</w:t>
      </w:r>
      <w:r w:rsidR="00D32FC0" w:rsidRPr="00F55E60">
        <w:rPr>
          <w:lang w:val="fr-FR"/>
        </w:rPr>
        <w:t>’</w:t>
      </w:r>
      <w:r w:rsidRPr="00F55E60">
        <w:rPr>
          <w:lang w:val="fr-FR"/>
        </w:rPr>
        <w:t>autres obligations, nationales et internationales. En vertu des articles </w:t>
      </w:r>
      <w:r w:rsidRPr="00A135AC">
        <w:rPr>
          <w:lang w:val="fr-FR"/>
        </w:rPr>
        <w:t>55</w:t>
      </w:r>
      <w:r w:rsidRPr="00F55E60">
        <w:rPr>
          <w:lang w:val="fr-FR"/>
        </w:rPr>
        <w:t>, paragraphe </w:t>
      </w:r>
      <w:r w:rsidRPr="00A135AC">
        <w:rPr>
          <w:lang w:val="fr-FR"/>
        </w:rPr>
        <w:t>2</w:t>
      </w:r>
      <w:r w:rsidRPr="00F55E60">
        <w:rPr>
          <w:lang w:val="fr-FR"/>
        </w:rPr>
        <w:t xml:space="preserve">, et </w:t>
      </w:r>
      <w:r w:rsidRPr="00A135AC">
        <w:rPr>
          <w:lang w:val="fr-FR"/>
        </w:rPr>
        <w:t>56</w:t>
      </w:r>
      <w:r w:rsidRPr="00F55E60">
        <w:rPr>
          <w:lang w:val="fr-FR"/>
        </w:rPr>
        <w:t xml:space="preserve"> de sa Constitution, chacun et chacune se voit garantir le droit de contester les omissions des organes de l</w:t>
      </w:r>
      <w:r w:rsidR="00D32FC0" w:rsidRPr="00F55E60">
        <w:rPr>
          <w:lang w:val="fr-FR"/>
        </w:rPr>
        <w:t>’</w:t>
      </w:r>
      <w:r w:rsidRPr="00F55E60">
        <w:rPr>
          <w:lang w:val="fr-FR"/>
        </w:rPr>
        <w:t>État, des collectivités locales, de leurs dirigeants et fonctionnaires pour les dommages matériels et moraux infligés par les décisions, actions ou omissions illégales de ces organes dans l</w:t>
      </w:r>
      <w:r w:rsidR="00D32FC0" w:rsidRPr="00F55E60">
        <w:rPr>
          <w:lang w:val="fr-FR"/>
        </w:rPr>
        <w:t>’</w:t>
      </w:r>
      <w:r w:rsidRPr="00F55E60">
        <w:rPr>
          <w:lang w:val="fr-FR"/>
        </w:rPr>
        <w:t xml:space="preserve">exercice de leurs attributions. Dans la loi de </w:t>
      </w:r>
      <w:r w:rsidRPr="00A135AC">
        <w:rPr>
          <w:lang w:val="fr-FR"/>
        </w:rPr>
        <w:t>2006</w:t>
      </w:r>
      <w:r w:rsidRPr="00F55E60">
        <w:rPr>
          <w:lang w:val="fr-FR"/>
        </w:rPr>
        <w:t xml:space="preserve"> sur l</w:t>
      </w:r>
      <w:r w:rsidR="00D32FC0" w:rsidRPr="00F55E60">
        <w:rPr>
          <w:lang w:val="fr-FR"/>
        </w:rPr>
        <w:t>’</w:t>
      </w:r>
      <w:r w:rsidRPr="00F55E60">
        <w:rPr>
          <w:lang w:val="fr-FR"/>
        </w:rPr>
        <w:t>égalité des droits et des chances entre les femmes et les hommes, l</w:t>
      </w:r>
      <w:r w:rsidR="00D32FC0" w:rsidRPr="00F55E60">
        <w:rPr>
          <w:lang w:val="fr-FR"/>
        </w:rPr>
        <w:t>’</w:t>
      </w:r>
      <w:r w:rsidRPr="00F55E60">
        <w:rPr>
          <w:lang w:val="fr-FR"/>
        </w:rPr>
        <w:t>Ukraine a manifesté son engagement de mettre fin à toute discrimination. Elle est partie aux principaux instruments des Nations Unies relatifs aux droits de l</w:t>
      </w:r>
      <w:r w:rsidR="00D32FC0" w:rsidRPr="00F55E60">
        <w:rPr>
          <w:lang w:val="fr-FR"/>
        </w:rPr>
        <w:t>’</w:t>
      </w:r>
      <w:r w:rsidRPr="00F55E60">
        <w:rPr>
          <w:lang w:val="fr-FR"/>
        </w:rPr>
        <w:t>homme et à la Convention de sauvegarde des droits de l</w:t>
      </w:r>
      <w:r w:rsidR="00D32FC0" w:rsidRPr="00F55E60">
        <w:rPr>
          <w:lang w:val="fr-FR"/>
        </w:rPr>
        <w:t>’</w:t>
      </w:r>
      <w:r w:rsidRPr="00F55E60">
        <w:rPr>
          <w:lang w:val="fr-FR"/>
        </w:rPr>
        <w:t>homme et des libertés fondamentales (également appelée Convention européenne des droits de l</w:t>
      </w:r>
      <w:r w:rsidR="00D32FC0" w:rsidRPr="00F55E60">
        <w:rPr>
          <w:lang w:val="fr-FR"/>
        </w:rPr>
        <w:t>’</w:t>
      </w:r>
      <w:r w:rsidRPr="00F55E60">
        <w:rPr>
          <w:lang w:val="fr-FR"/>
        </w:rPr>
        <w:t>homme). Elle est également signataire de la Convention du Conseil de l</w:t>
      </w:r>
      <w:r w:rsidR="00D32FC0" w:rsidRPr="00F55E60">
        <w:rPr>
          <w:lang w:val="fr-FR"/>
        </w:rPr>
        <w:t>’</w:t>
      </w:r>
      <w:r w:rsidRPr="00F55E60">
        <w:rPr>
          <w:lang w:val="fr-FR"/>
        </w:rPr>
        <w:t>Europe sur la prévention et la lutte contre la violence à l</w:t>
      </w:r>
      <w:r w:rsidR="00D32FC0" w:rsidRPr="00F55E60">
        <w:rPr>
          <w:lang w:val="fr-FR"/>
        </w:rPr>
        <w:t>’</w:t>
      </w:r>
      <w:r w:rsidRPr="00F55E60">
        <w:rPr>
          <w:lang w:val="fr-FR"/>
        </w:rPr>
        <w:t>égard des femmes et la violence domestique et doit veiller à ce que les droits qui y sont énoncés soient réalisés.</w:t>
      </w:r>
    </w:p>
    <w:p w14:paraId="23666CE0" w14:textId="69EBA950" w:rsidR="00A601EB" w:rsidRPr="00F55E60" w:rsidRDefault="00A601EB" w:rsidP="009265FF">
      <w:pPr>
        <w:pStyle w:val="SingleTxt"/>
        <w:numPr>
          <w:ilvl w:val="0"/>
          <w:numId w:val="37"/>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énumère également ses tentatives pour épuiser les recours internes. Ses parents ont porté plainte auprès de services de police à Marioupol, qui n</w:t>
      </w:r>
      <w:r w:rsidR="00D32FC0" w:rsidRPr="00F55E60">
        <w:rPr>
          <w:lang w:val="fr-FR"/>
        </w:rPr>
        <w:t>’</w:t>
      </w:r>
      <w:r w:rsidRPr="00F55E60">
        <w:rPr>
          <w:lang w:val="fr-FR"/>
        </w:rPr>
        <w:t>ont pas été en mesure d</w:t>
      </w:r>
      <w:r w:rsidR="00D32FC0" w:rsidRPr="00F55E60">
        <w:rPr>
          <w:lang w:val="fr-FR"/>
        </w:rPr>
        <w:t>’</w:t>
      </w:r>
      <w:r w:rsidRPr="00F55E60">
        <w:rPr>
          <w:lang w:val="fr-FR"/>
        </w:rPr>
        <w:t>agir, car ils ne disposaient d</w:t>
      </w:r>
      <w:r w:rsidR="00D32FC0" w:rsidRPr="00F55E60">
        <w:rPr>
          <w:lang w:val="fr-FR"/>
        </w:rPr>
        <w:t>’</w:t>
      </w:r>
      <w:r w:rsidRPr="00F55E60">
        <w:rPr>
          <w:lang w:val="fr-FR"/>
        </w:rPr>
        <w:t>aucune autorité en Jordanie. Certes, la loi sur l</w:t>
      </w:r>
      <w:r w:rsidR="00D32FC0" w:rsidRPr="00F55E60">
        <w:rPr>
          <w:lang w:val="fr-FR"/>
        </w:rPr>
        <w:t>’</w:t>
      </w:r>
      <w:r w:rsidRPr="00F55E60">
        <w:rPr>
          <w:lang w:val="fr-FR"/>
        </w:rPr>
        <w:t>égalité des droits et des chances entre les femmes et les hommes, autorisait l</w:t>
      </w:r>
      <w:r w:rsidR="00D32FC0" w:rsidRPr="00F55E60">
        <w:rPr>
          <w:lang w:val="fr-FR"/>
        </w:rPr>
        <w:t>’</w:t>
      </w:r>
      <w:r w:rsidRPr="00F55E60">
        <w:rPr>
          <w:lang w:val="fr-FR"/>
        </w:rPr>
        <w:t>auteure à former un recours auprès du Commissaire aux droits de l</w:t>
      </w:r>
      <w:r w:rsidR="00D32FC0" w:rsidRPr="00F55E60">
        <w:rPr>
          <w:lang w:val="fr-FR"/>
        </w:rPr>
        <w:t>’</w:t>
      </w:r>
      <w:r w:rsidRPr="00F55E60">
        <w:rPr>
          <w:lang w:val="fr-FR"/>
        </w:rPr>
        <w:t>homme pour discrimination fondée sur le genre. Toutefois, dans la présente affaire, une telle plainte n</w:t>
      </w:r>
      <w:r w:rsidR="00D32FC0" w:rsidRPr="00F55E60">
        <w:rPr>
          <w:lang w:val="fr-FR"/>
        </w:rPr>
        <w:t>’</w:t>
      </w:r>
      <w:r w:rsidRPr="00F55E60">
        <w:rPr>
          <w:lang w:val="fr-FR"/>
        </w:rPr>
        <w:t>aurait pu qu</w:t>
      </w:r>
      <w:r w:rsidR="00D32FC0" w:rsidRPr="00F55E60">
        <w:rPr>
          <w:lang w:val="fr-FR"/>
        </w:rPr>
        <w:t>’</w:t>
      </w:r>
      <w:r w:rsidRPr="00F55E60">
        <w:rPr>
          <w:lang w:val="fr-FR"/>
        </w:rPr>
        <w:t>aboutir à sa reconnaissance en tant que victime de discrimination indirecte en Jordanie. L</w:t>
      </w:r>
      <w:r w:rsidR="00D32FC0" w:rsidRPr="00F55E60">
        <w:rPr>
          <w:lang w:val="fr-FR"/>
        </w:rPr>
        <w:t>’</w:t>
      </w:r>
      <w:r w:rsidRPr="00F55E60">
        <w:rPr>
          <w:lang w:val="fr-FR"/>
        </w:rPr>
        <w:t>option d</w:t>
      </w:r>
      <w:r w:rsidR="00D32FC0" w:rsidRPr="00F55E60">
        <w:rPr>
          <w:lang w:val="fr-FR"/>
        </w:rPr>
        <w:t>’</w:t>
      </w:r>
      <w:r w:rsidRPr="00F55E60">
        <w:rPr>
          <w:lang w:val="fr-FR"/>
        </w:rPr>
        <w:t>un recours devant un tribunal ne présentait pas en l</w:t>
      </w:r>
      <w:r w:rsidR="00D32FC0" w:rsidRPr="00F55E60">
        <w:rPr>
          <w:lang w:val="fr-FR"/>
        </w:rPr>
        <w:t>’</w:t>
      </w:r>
      <w:r w:rsidRPr="00F55E60">
        <w:rPr>
          <w:lang w:val="fr-FR"/>
        </w:rPr>
        <w:t>espèce, de l</w:t>
      </w:r>
      <w:r w:rsidR="00D32FC0" w:rsidRPr="00F55E60">
        <w:rPr>
          <w:lang w:val="fr-FR"/>
        </w:rPr>
        <w:t>’</w:t>
      </w:r>
      <w:r w:rsidRPr="00F55E60">
        <w:rPr>
          <w:lang w:val="fr-FR"/>
        </w:rPr>
        <w:t>avis de l</w:t>
      </w:r>
      <w:r w:rsidR="00D32FC0" w:rsidRPr="00F55E60">
        <w:rPr>
          <w:lang w:val="fr-FR"/>
        </w:rPr>
        <w:t>’</w:t>
      </w:r>
      <w:r w:rsidRPr="00F55E60">
        <w:rPr>
          <w:lang w:val="fr-FR"/>
        </w:rPr>
        <w:t>auteure, en dépit du fait qu</w:t>
      </w:r>
      <w:r w:rsidR="00D32FC0" w:rsidRPr="00F55E60">
        <w:rPr>
          <w:lang w:val="fr-FR"/>
        </w:rPr>
        <w:t>’</w:t>
      </w:r>
      <w:r w:rsidRPr="00F55E60">
        <w:rPr>
          <w:lang w:val="fr-FR"/>
        </w:rPr>
        <w:t>en vertu de cette loi, tout citoyen a le droit d</w:t>
      </w:r>
      <w:r w:rsidR="00D32FC0" w:rsidRPr="00F55E60">
        <w:rPr>
          <w:lang w:val="fr-FR"/>
        </w:rPr>
        <w:t>’</w:t>
      </w:r>
      <w:r w:rsidRPr="00F55E60">
        <w:rPr>
          <w:lang w:val="fr-FR"/>
        </w:rPr>
        <w:t>introduire une plainte pour discrimination fondée sur le genre. L</w:t>
      </w:r>
      <w:r w:rsidR="00D32FC0" w:rsidRPr="00F55E60">
        <w:rPr>
          <w:lang w:val="fr-FR"/>
        </w:rPr>
        <w:t>’</w:t>
      </w:r>
      <w:r w:rsidRPr="00F55E60">
        <w:rPr>
          <w:lang w:val="fr-FR"/>
        </w:rPr>
        <w:t>auteure estime que, parce qu</w:t>
      </w:r>
      <w:r w:rsidR="00D32FC0" w:rsidRPr="00F55E60">
        <w:rPr>
          <w:lang w:val="fr-FR"/>
        </w:rPr>
        <w:t>’</w:t>
      </w:r>
      <w:r w:rsidRPr="00F55E60">
        <w:rPr>
          <w:lang w:val="fr-FR"/>
        </w:rPr>
        <w:t>elle était victime de discrimination indirecte et étant donné qu</w:t>
      </w:r>
      <w:r w:rsidR="00D32FC0" w:rsidRPr="00F55E60">
        <w:rPr>
          <w:lang w:val="fr-FR"/>
        </w:rPr>
        <w:t>’</w:t>
      </w:r>
      <w:r w:rsidRPr="00F55E60">
        <w:rPr>
          <w:lang w:val="fr-FR"/>
        </w:rPr>
        <w:t>aucune définition de la discrimination indirecte fondée sur le genre n</w:t>
      </w:r>
      <w:r w:rsidR="00D32FC0" w:rsidRPr="00F55E60">
        <w:rPr>
          <w:lang w:val="fr-FR"/>
        </w:rPr>
        <w:t>’</w:t>
      </w:r>
      <w:r w:rsidRPr="00F55E60">
        <w:rPr>
          <w:lang w:val="fr-FR"/>
        </w:rPr>
        <w:t>existait dans la législation ukrainienne, aucun tribunal n</w:t>
      </w:r>
      <w:r w:rsidR="00D32FC0" w:rsidRPr="00F55E60">
        <w:rPr>
          <w:lang w:val="fr-FR"/>
        </w:rPr>
        <w:t>’</w:t>
      </w:r>
      <w:r w:rsidRPr="00F55E60">
        <w:rPr>
          <w:lang w:val="fr-FR"/>
        </w:rPr>
        <w:t>aurait été en mesure de faire en sorte qu</w:t>
      </w:r>
      <w:r w:rsidR="00D32FC0" w:rsidRPr="00F55E60">
        <w:rPr>
          <w:lang w:val="fr-FR"/>
        </w:rPr>
        <w:t>’</w:t>
      </w:r>
      <w:r w:rsidRPr="00F55E60">
        <w:rPr>
          <w:lang w:val="fr-FR"/>
        </w:rPr>
        <w:t>une telle discrimination puisse être établi</w:t>
      </w:r>
      <w:r w:rsidR="001708A5">
        <w:rPr>
          <w:lang w:val="fr-FR"/>
        </w:rPr>
        <w:t>e</w:t>
      </w:r>
      <w:r w:rsidRPr="00F55E60">
        <w:rPr>
          <w:lang w:val="fr-FR"/>
        </w:rPr>
        <w:t xml:space="preserve"> par l</w:t>
      </w:r>
      <w:r w:rsidR="00D32FC0" w:rsidRPr="00F55E60">
        <w:rPr>
          <w:lang w:val="fr-FR"/>
        </w:rPr>
        <w:t>’</w:t>
      </w:r>
      <w:r w:rsidRPr="00F55E60">
        <w:rPr>
          <w:lang w:val="fr-FR"/>
        </w:rPr>
        <w:t>ambassade d</w:t>
      </w:r>
      <w:r w:rsidR="00D32FC0" w:rsidRPr="00F55E60">
        <w:rPr>
          <w:lang w:val="fr-FR"/>
        </w:rPr>
        <w:t>’</w:t>
      </w:r>
      <w:r w:rsidRPr="00F55E60">
        <w:rPr>
          <w:lang w:val="fr-FR"/>
        </w:rPr>
        <w:t>Ukraine en Jordanie. L</w:t>
      </w:r>
      <w:r w:rsidR="00D32FC0" w:rsidRPr="00F55E60">
        <w:rPr>
          <w:lang w:val="fr-FR"/>
        </w:rPr>
        <w:t>’</w:t>
      </w:r>
      <w:r w:rsidRPr="00F55E60">
        <w:rPr>
          <w:lang w:val="fr-FR"/>
        </w:rPr>
        <w:t>auteure fait également valoir l</w:t>
      </w:r>
      <w:r w:rsidR="00D32FC0" w:rsidRPr="00F55E60">
        <w:rPr>
          <w:lang w:val="fr-FR"/>
        </w:rPr>
        <w:t>’</w:t>
      </w:r>
      <w:r w:rsidRPr="00F55E60">
        <w:rPr>
          <w:lang w:val="fr-FR"/>
        </w:rPr>
        <w:t>échec des actions judiciaires intentées contre de hauts fonctionnaires pour discrimination fondée sur le genre, preuve, selon elle, de l</w:t>
      </w:r>
      <w:r w:rsidR="00D32FC0" w:rsidRPr="00F55E60">
        <w:rPr>
          <w:lang w:val="fr-FR"/>
        </w:rPr>
        <w:t>’</w:t>
      </w:r>
      <w:r w:rsidRPr="00F55E60">
        <w:rPr>
          <w:lang w:val="fr-FR"/>
        </w:rPr>
        <w:t>absence de tout mécanisme de protection efficace en Ukraine contre les discriminations fondées sur le genre, tant directes qu</w:t>
      </w:r>
      <w:r w:rsidR="00D32FC0" w:rsidRPr="00F55E60">
        <w:rPr>
          <w:lang w:val="fr-FR"/>
        </w:rPr>
        <w:t>’</w:t>
      </w:r>
      <w:r w:rsidRPr="00F55E60">
        <w:rPr>
          <w:lang w:val="fr-FR"/>
        </w:rPr>
        <w:t>indirectes.</w:t>
      </w:r>
    </w:p>
    <w:p w14:paraId="2CEFF3E3" w14:textId="0C6C096F" w:rsidR="00660DD5" w:rsidRPr="00F55E60" w:rsidRDefault="00660DD5" w:rsidP="00660DD5">
      <w:pPr>
        <w:pStyle w:val="SingleTxt"/>
        <w:spacing w:after="0" w:line="120" w:lineRule="exact"/>
        <w:rPr>
          <w:sz w:val="10"/>
          <w:lang w:val="fr-FR"/>
        </w:rPr>
      </w:pPr>
    </w:p>
    <w:p w14:paraId="2B6B8832" w14:textId="0FBD3A3C" w:rsidR="00A601EB" w:rsidRPr="00F55E60" w:rsidRDefault="009265FF" w:rsidP="009265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E60">
        <w:rPr>
          <w:lang w:val="fr-FR"/>
        </w:rPr>
        <w:lastRenderedPageBreak/>
        <w:tab/>
      </w:r>
      <w:r w:rsidRPr="00F55E60">
        <w:rPr>
          <w:lang w:val="fr-FR"/>
        </w:rPr>
        <w:tab/>
      </w:r>
      <w:r w:rsidR="00A601EB" w:rsidRPr="00F55E60">
        <w:rPr>
          <w:lang w:val="fr-FR"/>
        </w:rPr>
        <w:t>Teneur de la plainte</w:t>
      </w:r>
    </w:p>
    <w:p w14:paraId="696FD1E2" w14:textId="01D3ACE3" w:rsidR="009265FF" w:rsidRPr="00F55E60" w:rsidRDefault="009265FF" w:rsidP="009265FF">
      <w:pPr>
        <w:pStyle w:val="SingleTxt"/>
        <w:spacing w:after="0" w:line="120" w:lineRule="exact"/>
        <w:rPr>
          <w:sz w:val="10"/>
          <w:lang w:val="fr-FR"/>
        </w:rPr>
      </w:pPr>
    </w:p>
    <w:p w14:paraId="690D4515" w14:textId="217987B2" w:rsidR="00355540" w:rsidRPr="00F55E60" w:rsidRDefault="00A601EB" w:rsidP="009265FF">
      <w:pPr>
        <w:pStyle w:val="SingleTxt"/>
        <w:numPr>
          <w:ilvl w:val="0"/>
          <w:numId w:val="38"/>
        </w:numPr>
        <w:tabs>
          <w:tab w:val="left" w:pos="1742"/>
        </w:tabs>
        <w:rPr>
          <w:lang w:val="fr-FR"/>
        </w:rPr>
      </w:pPr>
      <w:r w:rsidRPr="00F55E60">
        <w:rPr>
          <w:lang w:val="fr-FR"/>
        </w:rPr>
        <w:t>L</w:t>
      </w:r>
      <w:r w:rsidR="00D32FC0" w:rsidRPr="00F55E60">
        <w:rPr>
          <w:lang w:val="fr-FR"/>
        </w:rPr>
        <w:t>’</w:t>
      </w:r>
      <w:r w:rsidRPr="00F55E60">
        <w:rPr>
          <w:lang w:val="fr-FR"/>
        </w:rPr>
        <w:t>auteure affirme qu</w:t>
      </w:r>
      <w:r w:rsidR="00D32FC0" w:rsidRPr="00F55E60">
        <w:rPr>
          <w:lang w:val="fr-FR"/>
        </w:rPr>
        <w:t>’</w:t>
      </w:r>
      <w:r w:rsidRPr="00F55E60">
        <w:rPr>
          <w:lang w:val="fr-FR"/>
        </w:rPr>
        <w:t>elle est victime d</w:t>
      </w:r>
      <w:r w:rsidR="00D32FC0" w:rsidRPr="00F55E60">
        <w:rPr>
          <w:lang w:val="fr-FR"/>
        </w:rPr>
        <w:t>’</w:t>
      </w:r>
      <w:r w:rsidRPr="00F55E60">
        <w:rPr>
          <w:lang w:val="fr-FR"/>
        </w:rPr>
        <w:t>une discrimination fondée sur le genre, en violation des articles </w:t>
      </w:r>
      <w:r w:rsidRPr="00A135AC">
        <w:rPr>
          <w:lang w:val="fr-FR"/>
        </w:rPr>
        <w:t>2</w:t>
      </w:r>
      <w:r w:rsidRPr="00F55E60">
        <w:rPr>
          <w:lang w:val="fr-FR"/>
        </w:rPr>
        <w:t xml:space="preserve"> a), c), d) et f), </w:t>
      </w:r>
      <w:r w:rsidRPr="00A135AC">
        <w:rPr>
          <w:lang w:val="fr-FR"/>
        </w:rPr>
        <w:t>5</w:t>
      </w:r>
      <w:r w:rsidRPr="00F55E60">
        <w:rPr>
          <w:lang w:val="fr-FR"/>
        </w:rPr>
        <w:t xml:space="preserve"> a) et b), et </w:t>
      </w:r>
      <w:r w:rsidRPr="00A135AC">
        <w:rPr>
          <w:lang w:val="fr-FR"/>
        </w:rPr>
        <w:t>16</w:t>
      </w:r>
      <w:r w:rsidRPr="00F55E60">
        <w:rPr>
          <w:lang w:val="fr-FR"/>
        </w:rPr>
        <w:t xml:space="preserve"> c), d) et g) de la Convention sur l</w:t>
      </w:r>
      <w:r w:rsidR="00D32FC0" w:rsidRPr="00F55E60">
        <w:rPr>
          <w:lang w:val="fr-FR"/>
        </w:rPr>
        <w:t>’</w:t>
      </w:r>
      <w:r w:rsidRPr="00F55E60">
        <w:rPr>
          <w:lang w:val="fr-FR"/>
        </w:rPr>
        <w:t>élimination de toutes les formes de discrimination à l</w:t>
      </w:r>
      <w:r w:rsidR="00D32FC0" w:rsidRPr="00F55E60">
        <w:rPr>
          <w:lang w:val="fr-FR"/>
        </w:rPr>
        <w:t>’</w:t>
      </w:r>
      <w:r w:rsidRPr="00F55E60">
        <w:rPr>
          <w:lang w:val="fr-FR"/>
        </w:rPr>
        <w:t>égard des femmes, en tenant compte à cet égard des recommandations générales n</w:t>
      </w:r>
      <w:r w:rsidRPr="00F55E60">
        <w:rPr>
          <w:vertAlign w:val="superscript"/>
          <w:lang w:val="fr-FR"/>
        </w:rPr>
        <w:t>o</w:t>
      </w:r>
      <w:r w:rsidRPr="00F55E60">
        <w:rPr>
          <w:lang w:val="fr-FR"/>
        </w:rPr>
        <w:t> </w:t>
      </w:r>
      <w:r w:rsidRPr="00A135AC">
        <w:rPr>
          <w:lang w:val="fr-FR"/>
        </w:rPr>
        <w:t>19</w:t>
      </w:r>
      <w:r w:rsidRPr="00F55E60">
        <w:rPr>
          <w:lang w:val="fr-FR"/>
        </w:rPr>
        <w:t xml:space="preserve">, paragraphe </w:t>
      </w:r>
      <w:r w:rsidRPr="00A135AC">
        <w:rPr>
          <w:lang w:val="fr-FR"/>
        </w:rPr>
        <w:t>24</w:t>
      </w:r>
      <w:r w:rsidRPr="00F55E60">
        <w:rPr>
          <w:lang w:val="fr-FR"/>
        </w:rPr>
        <w:t xml:space="preserve"> b), i) et t), i) et iii), n</w:t>
      </w:r>
      <w:r w:rsidRPr="00F55E60">
        <w:rPr>
          <w:vertAlign w:val="superscript"/>
          <w:lang w:val="fr-FR"/>
        </w:rPr>
        <w:t>o</w:t>
      </w:r>
      <w:r w:rsidRPr="00F55E60">
        <w:rPr>
          <w:lang w:val="fr-FR"/>
        </w:rPr>
        <w:t> </w:t>
      </w:r>
      <w:r w:rsidRPr="00A135AC">
        <w:rPr>
          <w:lang w:val="fr-FR"/>
        </w:rPr>
        <w:t>21</w:t>
      </w:r>
      <w:r w:rsidRPr="00F55E60">
        <w:rPr>
          <w:lang w:val="fr-FR"/>
        </w:rPr>
        <w:t xml:space="preserve">, paragraphe </w:t>
      </w:r>
      <w:r w:rsidRPr="00A135AC">
        <w:rPr>
          <w:lang w:val="fr-FR"/>
        </w:rPr>
        <w:t>40</w:t>
      </w:r>
      <w:r w:rsidRPr="00F55E60">
        <w:rPr>
          <w:lang w:val="fr-FR"/>
        </w:rPr>
        <w:t>, et n</w:t>
      </w:r>
      <w:r w:rsidRPr="00F55E60">
        <w:rPr>
          <w:vertAlign w:val="superscript"/>
          <w:lang w:val="fr-FR"/>
        </w:rPr>
        <w:t>o</w:t>
      </w:r>
      <w:r w:rsidRPr="00F55E60">
        <w:rPr>
          <w:lang w:val="fr-FR"/>
        </w:rPr>
        <w:t> </w:t>
      </w:r>
      <w:r w:rsidRPr="00A135AC">
        <w:rPr>
          <w:lang w:val="fr-FR"/>
        </w:rPr>
        <w:t>28</w:t>
      </w:r>
      <w:r w:rsidRPr="00F55E60">
        <w:rPr>
          <w:lang w:val="fr-FR"/>
        </w:rPr>
        <w:t>. En vertu de ces dispositions, l</w:t>
      </w:r>
      <w:r w:rsidR="00D32FC0" w:rsidRPr="00F55E60">
        <w:rPr>
          <w:lang w:val="fr-FR"/>
        </w:rPr>
        <w:t>’</w:t>
      </w:r>
      <w:r w:rsidRPr="00F55E60">
        <w:rPr>
          <w:lang w:val="fr-FR"/>
        </w:rPr>
        <w:t>Ukraine doit garantir la protection effective des femmes contre tout acte de discrimination par la mise en œuvre pratique de dispositions juridiques de non-discrimination, la protection des droits des victimes dans l</w:t>
      </w:r>
      <w:r w:rsidR="00D32FC0" w:rsidRPr="00F55E60">
        <w:rPr>
          <w:lang w:val="fr-FR"/>
        </w:rPr>
        <w:t>’</w:t>
      </w:r>
      <w:r w:rsidRPr="00F55E60">
        <w:rPr>
          <w:lang w:val="fr-FR"/>
        </w:rPr>
        <w:t>exécution des décisions de justice et l</w:t>
      </w:r>
      <w:r w:rsidR="00D32FC0" w:rsidRPr="00F55E60">
        <w:rPr>
          <w:lang w:val="fr-FR"/>
        </w:rPr>
        <w:t>’</w:t>
      </w:r>
      <w:r w:rsidRPr="00F55E60">
        <w:rPr>
          <w:lang w:val="fr-FR"/>
        </w:rPr>
        <w:t>accès à des tribunaux nationaux ou autres institutions compétents. L</w:t>
      </w:r>
      <w:r w:rsidR="00D32FC0" w:rsidRPr="00F55E60">
        <w:rPr>
          <w:lang w:val="fr-FR"/>
        </w:rPr>
        <w:t>’</w:t>
      </w:r>
      <w:r w:rsidRPr="00F55E60">
        <w:rPr>
          <w:lang w:val="fr-FR"/>
        </w:rPr>
        <w:t>auteure estime que l</w:t>
      </w:r>
      <w:r w:rsidR="00D32FC0" w:rsidRPr="00F55E60">
        <w:rPr>
          <w:lang w:val="fr-FR"/>
        </w:rPr>
        <w:t>’</w:t>
      </w:r>
      <w:r w:rsidRPr="00F55E60">
        <w:rPr>
          <w:lang w:val="fr-FR"/>
        </w:rPr>
        <w:t>Ukraine ne s</w:t>
      </w:r>
      <w:r w:rsidR="00D32FC0" w:rsidRPr="00F55E60">
        <w:rPr>
          <w:lang w:val="fr-FR"/>
        </w:rPr>
        <w:t>’</w:t>
      </w:r>
      <w:r w:rsidRPr="00F55E60">
        <w:rPr>
          <w:lang w:val="fr-FR"/>
        </w:rPr>
        <w:t>est pas conformée à ces dispositions étant donné la non-exécution des décisions judiciaires qui lui accordaient la garde de ses filles.</w:t>
      </w:r>
    </w:p>
    <w:p w14:paraId="172F4333" w14:textId="623DEBA7" w:rsidR="00355540" w:rsidRPr="00F55E60" w:rsidRDefault="00A601EB" w:rsidP="009265FF">
      <w:pPr>
        <w:pStyle w:val="SingleTxt"/>
        <w:numPr>
          <w:ilvl w:val="0"/>
          <w:numId w:val="38"/>
        </w:numPr>
        <w:tabs>
          <w:tab w:val="left" w:pos="1742"/>
        </w:tabs>
        <w:spacing w:line="240" w:lineRule="exact"/>
        <w:rPr>
          <w:lang w:val="fr-FR"/>
        </w:rPr>
      </w:pPr>
      <w:r w:rsidRPr="00F55E60">
        <w:rPr>
          <w:lang w:val="fr-FR"/>
        </w:rPr>
        <w:t>En vertu du paragraphe </w:t>
      </w:r>
      <w:r w:rsidRPr="00A135AC">
        <w:rPr>
          <w:lang w:val="fr-FR"/>
        </w:rPr>
        <w:t>1</w:t>
      </w:r>
      <w:r w:rsidRPr="00F55E60">
        <w:rPr>
          <w:lang w:val="fr-FR"/>
        </w:rPr>
        <w:t xml:space="preserve"> de l</w:t>
      </w:r>
      <w:r w:rsidR="00D32FC0" w:rsidRPr="00F55E60">
        <w:rPr>
          <w:lang w:val="fr-FR"/>
        </w:rPr>
        <w:t>’</w:t>
      </w:r>
      <w:r w:rsidRPr="00F55E60">
        <w:rPr>
          <w:lang w:val="fr-FR"/>
        </w:rPr>
        <w:t>article </w:t>
      </w:r>
      <w:r w:rsidRPr="00A135AC">
        <w:rPr>
          <w:lang w:val="fr-FR"/>
        </w:rPr>
        <w:t>16</w:t>
      </w:r>
      <w:r w:rsidRPr="00F55E60">
        <w:rPr>
          <w:lang w:val="fr-FR"/>
        </w:rPr>
        <w:t xml:space="preserve"> de la Convention, les États prennent toutes les mesures appropriées pour éliminer la discrimination à l</w:t>
      </w:r>
      <w:r w:rsidR="00D32FC0" w:rsidRPr="00F55E60">
        <w:rPr>
          <w:lang w:val="fr-FR"/>
        </w:rPr>
        <w:t>’</w:t>
      </w:r>
      <w:r w:rsidRPr="00F55E60">
        <w:rPr>
          <w:lang w:val="fr-FR"/>
        </w:rPr>
        <w:t>égard des femmes dans toutes les questions découlant du mariage et dans les rapports familiaux et, en particulier, assurer, sur la base de l</w:t>
      </w:r>
      <w:r w:rsidR="00D32FC0" w:rsidRPr="00F55E60">
        <w:rPr>
          <w:lang w:val="fr-FR"/>
        </w:rPr>
        <w:t>’</w:t>
      </w:r>
      <w:r w:rsidRPr="00F55E60">
        <w:rPr>
          <w:lang w:val="fr-FR"/>
        </w:rPr>
        <w:t>égalité des femmes et des hommes, les mêmes droits et les mêmes responsabilités en tant que parents, quel que soit leur statut matrimonial, pour les questions se rapportant à leurs enfants</w:t>
      </w:r>
      <w:r w:rsidR="00D32FC0" w:rsidRPr="00F55E60">
        <w:rPr>
          <w:lang w:val="fr-FR"/>
        </w:rPr>
        <w:t> ;</w:t>
      </w:r>
      <w:r w:rsidRPr="00F55E60">
        <w:rPr>
          <w:lang w:val="fr-FR"/>
        </w:rPr>
        <w:t xml:space="preserve"> dans tous les cas, l</w:t>
      </w:r>
      <w:r w:rsidR="00D32FC0" w:rsidRPr="00F55E60">
        <w:rPr>
          <w:lang w:val="fr-FR"/>
        </w:rPr>
        <w:t>’</w:t>
      </w:r>
      <w:r w:rsidRPr="00F55E60">
        <w:rPr>
          <w:lang w:val="fr-FR"/>
        </w:rPr>
        <w:t>intérêt des enfants est la considération primordiale. Compte tenu des violences subies par l</w:t>
      </w:r>
      <w:r w:rsidR="00D32FC0" w:rsidRPr="00F55E60">
        <w:rPr>
          <w:lang w:val="fr-FR"/>
        </w:rPr>
        <w:t>’</w:t>
      </w:r>
      <w:r w:rsidRPr="00F55E60">
        <w:rPr>
          <w:lang w:val="fr-FR"/>
        </w:rPr>
        <w:t>auteure, la Cour d</w:t>
      </w:r>
      <w:r w:rsidR="00D32FC0" w:rsidRPr="00F55E60">
        <w:rPr>
          <w:lang w:val="fr-FR"/>
        </w:rPr>
        <w:t>’</w:t>
      </w:r>
      <w:r w:rsidRPr="00F55E60">
        <w:rPr>
          <w:lang w:val="fr-FR"/>
        </w:rPr>
        <w:t>appel ukrainienne lui a accordé la garde de ses filles. L</w:t>
      </w:r>
      <w:r w:rsidR="00D32FC0" w:rsidRPr="00F55E60">
        <w:rPr>
          <w:lang w:val="fr-FR"/>
        </w:rPr>
        <w:t>’</w:t>
      </w:r>
      <w:r w:rsidRPr="00F55E60">
        <w:rPr>
          <w:lang w:val="fr-FR"/>
        </w:rPr>
        <w:t>Ukraine n</w:t>
      </w:r>
      <w:r w:rsidR="00D32FC0" w:rsidRPr="00F55E60">
        <w:rPr>
          <w:lang w:val="fr-FR"/>
        </w:rPr>
        <w:t>’</w:t>
      </w:r>
      <w:r w:rsidRPr="00F55E60">
        <w:rPr>
          <w:lang w:val="fr-FR"/>
        </w:rPr>
        <w:t>a toutefois pas donné suite à cette décision.</w:t>
      </w:r>
    </w:p>
    <w:p w14:paraId="106BF8FD" w14:textId="13FC977D" w:rsidR="00355540" w:rsidRPr="00F55E60" w:rsidRDefault="00A601EB" w:rsidP="009265FF">
      <w:pPr>
        <w:pStyle w:val="SingleTxt"/>
        <w:numPr>
          <w:ilvl w:val="0"/>
          <w:numId w:val="38"/>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affirme qu</w:t>
      </w:r>
      <w:r w:rsidR="00D32FC0" w:rsidRPr="00F55E60">
        <w:rPr>
          <w:lang w:val="fr-FR"/>
        </w:rPr>
        <w:t>’</w:t>
      </w:r>
      <w:r w:rsidRPr="00F55E60">
        <w:rPr>
          <w:lang w:val="fr-FR"/>
        </w:rPr>
        <w:t>elle a été exposée à une procédure judiciaire inutilement prolongée, excessivement coûteuse et inefficace. Étant donné son statut de rescapée de violences en quête de justice et de sécurité pour son enfant, le manque de mesures de réparation appropriées et d</w:t>
      </w:r>
      <w:r w:rsidR="00D32FC0" w:rsidRPr="00F55E60">
        <w:rPr>
          <w:lang w:val="fr-FR"/>
        </w:rPr>
        <w:t>’</w:t>
      </w:r>
      <w:r w:rsidRPr="00F55E60">
        <w:rPr>
          <w:lang w:val="fr-FR"/>
        </w:rPr>
        <w:t>informations adéquates ainsi que le mépris de ses droits n</w:t>
      </w:r>
      <w:r w:rsidR="00D32FC0" w:rsidRPr="00F55E60">
        <w:rPr>
          <w:lang w:val="fr-FR"/>
        </w:rPr>
        <w:t>’</w:t>
      </w:r>
      <w:r w:rsidRPr="00F55E60">
        <w:rPr>
          <w:lang w:val="fr-FR"/>
        </w:rPr>
        <w:t>ont fait qu</w:t>
      </w:r>
      <w:r w:rsidR="00D32FC0" w:rsidRPr="00F55E60">
        <w:rPr>
          <w:lang w:val="fr-FR"/>
        </w:rPr>
        <w:t>’</w:t>
      </w:r>
      <w:r w:rsidRPr="00F55E60">
        <w:rPr>
          <w:lang w:val="fr-FR"/>
        </w:rPr>
        <w:t>intensifier son état de victime. Le fait qu</w:t>
      </w:r>
      <w:r w:rsidR="00D32FC0" w:rsidRPr="00F55E60">
        <w:rPr>
          <w:lang w:val="fr-FR"/>
        </w:rPr>
        <w:t>’</w:t>
      </w:r>
      <w:r w:rsidRPr="00F55E60">
        <w:rPr>
          <w:lang w:val="fr-FR"/>
        </w:rPr>
        <w:t>aucun organisme ou représentant gouvernemental ne l</w:t>
      </w:r>
      <w:r w:rsidR="00D32FC0" w:rsidRPr="00F55E60">
        <w:rPr>
          <w:lang w:val="fr-FR"/>
        </w:rPr>
        <w:t>’</w:t>
      </w:r>
      <w:r w:rsidRPr="00F55E60">
        <w:rPr>
          <w:lang w:val="fr-FR"/>
        </w:rPr>
        <w:t>ait conseillée ni ne l</w:t>
      </w:r>
      <w:r w:rsidR="00D32FC0" w:rsidRPr="00F55E60">
        <w:rPr>
          <w:lang w:val="fr-FR"/>
        </w:rPr>
        <w:t>’</w:t>
      </w:r>
      <w:r w:rsidRPr="00F55E60">
        <w:rPr>
          <w:lang w:val="fr-FR"/>
        </w:rPr>
        <w:t>ait aidée à communiquer avec les divers organismes et organes auxquels elle devait s</w:t>
      </w:r>
      <w:r w:rsidR="00D32FC0" w:rsidRPr="00F55E60">
        <w:rPr>
          <w:lang w:val="fr-FR"/>
        </w:rPr>
        <w:t>’</w:t>
      </w:r>
      <w:r w:rsidRPr="00F55E60">
        <w:rPr>
          <w:lang w:val="fr-FR"/>
        </w:rPr>
        <w:t>adresser lui a fait ressentir son impuissance</w:t>
      </w:r>
      <w:r w:rsidR="00046EBD" w:rsidRPr="00F55E60">
        <w:rPr>
          <w:lang w:val="fr-FR"/>
        </w:rPr>
        <w:t xml:space="preserve"> </w:t>
      </w:r>
      <w:r w:rsidRPr="00F55E60">
        <w:rPr>
          <w:lang w:val="fr-FR"/>
        </w:rPr>
        <w:t>face à un système judiciaire marqué par son incompétence à s</w:t>
      </w:r>
      <w:r w:rsidR="00D32FC0" w:rsidRPr="00F55E60">
        <w:rPr>
          <w:lang w:val="fr-FR"/>
        </w:rPr>
        <w:t>’</w:t>
      </w:r>
      <w:r w:rsidRPr="00F55E60">
        <w:rPr>
          <w:lang w:val="fr-FR"/>
        </w:rPr>
        <w:t>occuper d</w:t>
      </w:r>
      <w:r w:rsidR="00D32FC0" w:rsidRPr="00F55E60">
        <w:rPr>
          <w:lang w:val="fr-FR"/>
        </w:rPr>
        <w:t>’</w:t>
      </w:r>
      <w:r w:rsidRPr="00F55E60">
        <w:rPr>
          <w:lang w:val="fr-FR"/>
        </w:rPr>
        <w:t>une rescapée de violences ou à gérer le non-respect du droit de garde par un parent. Les représentants du système judiciaire et le Ministère des affaires étrangères ont enfreint ses droits en n</w:t>
      </w:r>
      <w:r w:rsidR="00D32FC0" w:rsidRPr="00F55E60">
        <w:rPr>
          <w:lang w:val="fr-FR"/>
        </w:rPr>
        <w:t>’</w:t>
      </w:r>
      <w:r w:rsidRPr="00F55E60">
        <w:rPr>
          <w:lang w:val="fr-FR"/>
        </w:rPr>
        <w:t>apportant pas de réponses concluantes à ses nombreuses demandes d</w:t>
      </w:r>
      <w:r w:rsidR="00D32FC0" w:rsidRPr="00F55E60">
        <w:rPr>
          <w:lang w:val="fr-FR"/>
        </w:rPr>
        <w:t>’</w:t>
      </w:r>
      <w:r w:rsidRPr="00F55E60">
        <w:rPr>
          <w:lang w:val="fr-FR"/>
        </w:rPr>
        <w:t>information et en essayant au contraire de la dissuader d</w:t>
      </w:r>
      <w:r w:rsidR="00D32FC0" w:rsidRPr="00F55E60">
        <w:rPr>
          <w:lang w:val="fr-FR"/>
        </w:rPr>
        <w:t>’</w:t>
      </w:r>
      <w:r w:rsidRPr="00F55E60">
        <w:rPr>
          <w:lang w:val="fr-FR"/>
        </w:rPr>
        <w:t>agir, par le retard pris à lui répondre et leur demandes d</w:t>
      </w:r>
      <w:r w:rsidR="00D32FC0" w:rsidRPr="00F55E60">
        <w:rPr>
          <w:lang w:val="fr-FR"/>
        </w:rPr>
        <w:t>’</w:t>
      </w:r>
      <w:r w:rsidRPr="00F55E60">
        <w:rPr>
          <w:lang w:val="fr-FR"/>
        </w:rPr>
        <w:t>informations ou de documents supplémentaires. L</w:t>
      </w:r>
      <w:r w:rsidR="00D32FC0" w:rsidRPr="00F55E60">
        <w:rPr>
          <w:lang w:val="fr-FR"/>
        </w:rPr>
        <w:t>’</w:t>
      </w:r>
      <w:r w:rsidRPr="00F55E60">
        <w:rPr>
          <w:lang w:val="fr-FR"/>
        </w:rPr>
        <w:t>auteure estime qu</w:t>
      </w:r>
      <w:r w:rsidR="00D32FC0" w:rsidRPr="00F55E60">
        <w:rPr>
          <w:lang w:val="fr-FR"/>
        </w:rPr>
        <w:t>’</w:t>
      </w:r>
      <w:r w:rsidRPr="00F55E60">
        <w:rPr>
          <w:lang w:val="fr-FR"/>
        </w:rPr>
        <w:t>une telle attitude bureaucratique constitue une violation par l</w:t>
      </w:r>
      <w:r w:rsidR="00D32FC0" w:rsidRPr="00F55E60">
        <w:rPr>
          <w:lang w:val="fr-FR"/>
        </w:rPr>
        <w:t>’</w:t>
      </w:r>
      <w:r w:rsidRPr="00F55E60">
        <w:rPr>
          <w:lang w:val="fr-FR"/>
        </w:rPr>
        <w:t>Ukraine de ses obligations en matière de protection efficace et immédiate des femmes ayant subi des violences conjugales.</w:t>
      </w:r>
    </w:p>
    <w:p w14:paraId="250EAD18" w14:textId="407F6A76" w:rsidR="00355540" w:rsidRPr="00F55E60" w:rsidRDefault="00A601EB" w:rsidP="009265FF">
      <w:pPr>
        <w:pStyle w:val="SingleTxt"/>
        <w:numPr>
          <w:ilvl w:val="0"/>
          <w:numId w:val="38"/>
        </w:numPr>
        <w:tabs>
          <w:tab w:val="left" w:pos="1742"/>
        </w:tabs>
        <w:spacing w:line="240" w:lineRule="exact"/>
        <w:rPr>
          <w:lang w:val="fr-FR"/>
        </w:rPr>
      </w:pPr>
      <w:r w:rsidRPr="00F55E60">
        <w:rPr>
          <w:lang w:val="fr-FR"/>
        </w:rPr>
        <w:t>En outre, de l</w:t>
      </w:r>
      <w:r w:rsidR="00D32FC0" w:rsidRPr="00F55E60">
        <w:rPr>
          <w:lang w:val="fr-FR"/>
        </w:rPr>
        <w:t>’</w:t>
      </w:r>
      <w:r w:rsidRPr="00F55E60">
        <w:rPr>
          <w:lang w:val="fr-FR"/>
        </w:rPr>
        <w:t>avis de l</w:t>
      </w:r>
      <w:r w:rsidR="00D32FC0" w:rsidRPr="00F55E60">
        <w:rPr>
          <w:lang w:val="fr-FR"/>
        </w:rPr>
        <w:t>’</w:t>
      </w:r>
      <w:r w:rsidRPr="00F55E60">
        <w:rPr>
          <w:lang w:val="fr-FR"/>
        </w:rPr>
        <w:t>auteure, l</w:t>
      </w:r>
      <w:r w:rsidR="00D32FC0" w:rsidRPr="00F55E60">
        <w:rPr>
          <w:lang w:val="fr-FR"/>
        </w:rPr>
        <w:t>’</w:t>
      </w:r>
      <w:r w:rsidRPr="00F55E60">
        <w:rPr>
          <w:lang w:val="fr-FR"/>
        </w:rPr>
        <w:t>Ukraine, pourtant informée de la discrimination à l</w:t>
      </w:r>
      <w:r w:rsidR="00D32FC0" w:rsidRPr="00F55E60">
        <w:rPr>
          <w:lang w:val="fr-FR"/>
        </w:rPr>
        <w:t>’</w:t>
      </w:r>
      <w:r w:rsidRPr="00F55E60">
        <w:rPr>
          <w:lang w:val="fr-FR"/>
        </w:rPr>
        <w:t>encontre des femmes chrétiennes qui contestent des questions relatives à la famille devant les tribunaux de la charia, n</w:t>
      </w:r>
      <w:r w:rsidR="00D32FC0" w:rsidRPr="00F55E60">
        <w:rPr>
          <w:lang w:val="fr-FR"/>
        </w:rPr>
        <w:t>’</w:t>
      </w:r>
      <w:r w:rsidRPr="00F55E60">
        <w:rPr>
          <w:lang w:val="fr-FR"/>
        </w:rPr>
        <w:t>a pas pris les mesures nécessaires pour établir un dialogue avec ses homologues jordaniens dans cette affaire, ni signé aucun accord avec la Jordanie, tel qu</w:t>
      </w:r>
      <w:r w:rsidR="00D32FC0" w:rsidRPr="00F55E60">
        <w:rPr>
          <w:lang w:val="fr-FR"/>
        </w:rPr>
        <w:t>’</w:t>
      </w:r>
      <w:r w:rsidRPr="00F55E60">
        <w:rPr>
          <w:lang w:val="fr-FR"/>
        </w:rPr>
        <w:t>un mémorandum d</w:t>
      </w:r>
      <w:r w:rsidR="00D32FC0" w:rsidRPr="00F55E60">
        <w:rPr>
          <w:lang w:val="fr-FR"/>
        </w:rPr>
        <w:t>’</w:t>
      </w:r>
      <w:r w:rsidRPr="00F55E60">
        <w:rPr>
          <w:lang w:val="fr-FR"/>
        </w:rPr>
        <w:t>entente ou un traité bilatéral, afin de promouvoir la protection des victimes de violences domestiques ou de faciliter l</w:t>
      </w:r>
      <w:r w:rsidR="00D32FC0" w:rsidRPr="00F55E60">
        <w:rPr>
          <w:lang w:val="fr-FR"/>
        </w:rPr>
        <w:t>’</w:t>
      </w:r>
      <w:r w:rsidRPr="00F55E60">
        <w:rPr>
          <w:lang w:val="fr-FR"/>
        </w:rPr>
        <w:t>exécution des décisions de justice dans les deux pays.</w:t>
      </w:r>
    </w:p>
    <w:p w14:paraId="5D24D9B9" w14:textId="1D79F1B0" w:rsidR="00355540" w:rsidRPr="00F55E60" w:rsidRDefault="00A601EB" w:rsidP="009265FF">
      <w:pPr>
        <w:pStyle w:val="SingleTxt"/>
        <w:numPr>
          <w:ilvl w:val="0"/>
          <w:numId w:val="38"/>
        </w:numPr>
        <w:tabs>
          <w:tab w:val="left" w:pos="1742"/>
        </w:tabs>
        <w:spacing w:line="240" w:lineRule="exact"/>
        <w:rPr>
          <w:lang w:val="fr-FR"/>
        </w:rPr>
      </w:pPr>
      <w:r w:rsidRPr="00954351">
        <w:rPr>
          <w:w w:val="100"/>
          <w:lang w:val="fr-FR"/>
        </w:rPr>
        <w:t>L</w:t>
      </w:r>
      <w:r w:rsidR="00D32FC0" w:rsidRPr="00954351">
        <w:rPr>
          <w:w w:val="100"/>
          <w:lang w:val="fr-FR"/>
        </w:rPr>
        <w:t>’</w:t>
      </w:r>
      <w:r w:rsidRPr="00954351">
        <w:rPr>
          <w:w w:val="100"/>
          <w:lang w:val="fr-FR"/>
        </w:rPr>
        <w:t>auteure affirme qu</w:t>
      </w:r>
      <w:r w:rsidR="00D32FC0" w:rsidRPr="00954351">
        <w:rPr>
          <w:w w:val="100"/>
          <w:lang w:val="fr-FR"/>
        </w:rPr>
        <w:t>’</w:t>
      </w:r>
      <w:r w:rsidRPr="00954351">
        <w:rPr>
          <w:w w:val="100"/>
          <w:lang w:val="fr-FR"/>
        </w:rPr>
        <w:t>en vertu des articles 2 d) et e), et 5 a), en tenant compte à cet égard des recommandations générales n</w:t>
      </w:r>
      <w:r w:rsidRPr="00954351">
        <w:rPr>
          <w:w w:val="100"/>
          <w:vertAlign w:val="superscript"/>
          <w:lang w:val="fr-FR"/>
        </w:rPr>
        <w:t>o</w:t>
      </w:r>
      <w:r w:rsidRPr="00954351">
        <w:rPr>
          <w:w w:val="100"/>
          <w:lang w:val="fr-FR"/>
        </w:rPr>
        <w:t> 19, paragraphe 24 i), et n</w:t>
      </w:r>
      <w:r w:rsidRPr="00954351">
        <w:rPr>
          <w:w w:val="100"/>
          <w:vertAlign w:val="superscript"/>
          <w:lang w:val="fr-FR"/>
        </w:rPr>
        <w:t>o</w:t>
      </w:r>
      <w:r w:rsidRPr="00954351">
        <w:rPr>
          <w:w w:val="100"/>
          <w:lang w:val="fr-FR"/>
        </w:rPr>
        <w:t> 28,</w:t>
      </w:r>
      <w:r w:rsidR="00A61D9D" w:rsidRPr="00954351">
        <w:rPr>
          <w:w w:val="100"/>
          <w:lang w:val="fr-FR"/>
        </w:rPr>
        <w:t> </w:t>
      </w:r>
      <w:r w:rsidRPr="00954351">
        <w:rPr>
          <w:w w:val="100"/>
          <w:lang w:val="fr-FR"/>
        </w:rPr>
        <w:t xml:space="preserve">paragraphes 17, et </w:t>
      </w:r>
      <w:r w:rsidR="001F1B53" w:rsidRPr="00954351">
        <w:rPr>
          <w:w w:val="100"/>
          <w:lang w:val="fr-FR"/>
        </w:rPr>
        <w:t>n</w:t>
      </w:r>
      <w:r w:rsidR="001F1B53" w:rsidRPr="00954351">
        <w:rPr>
          <w:w w:val="100"/>
          <w:vertAlign w:val="superscript"/>
          <w:lang w:val="fr-FR"/>
        </w:rPr>
        <w:t>o</w:t>
      </w:r>
      <w:r w:rsidR="001F1B53" w:rsidRPr="00954351">
        <w:rPr>
          <w:w w:val="100"/>
          <w:lang w:val="fr-FR"/>
        </w:rPr>
        <w:t> </w:t>
      </w:r>
      <w:r w:rsidRPr="00954351">
        <w:rPr>
          <w:w w:val="100"/>
          <w:lang w:val="fr-FR"/>
        </w:rPr>
        <w:t>22, l</w:t>
      </w:r>
      <w:r w:rsidR="00D32FC0" w:rsidRPr="00954351">
        <w:rPr>
          <w:w w:val="100"/>
          <w:lang w:val="fr-FR"/>
        </w:rPr>
        <w:t>’</w:t>
      </w:r>
      <w:r w:rsidRPr="00954351">
        <w:rPr>
          <w:w w:val="100"/>
          <w:lang w:val="fr-FR"/>
        </w:rPr>
        <w:t>Ukraine est tenue de considérer la violence domestique comme une violation des droits de la personne et de faire en sorte que les autorités publiques s</w:t>
      </w:r>
      <w:r w:rsidR="00D32FC0" w:rsidRPr="00954351">
        <w:rPr>
          <w:w w:val="100"/>
          <w:lang w:val="fr-FR"/>
        </w:rPr>
        <w:t>’</w:t>
      </w:r>
      <w:r w:rsidRPr="00954351">
        <w:rPr>
          <w:w w:val="100"/>
          <w:lang w:val="fr-FR"/>
        </w:rPr>
        <w:t>abstiennent de toute discrimination et prennent toutes mesures propres à éliminer la discrimination à l</w:t>
      </w:r>
      <w:r w:rsidR="00D32FC0" w:rsidRPr="00954351">
        <w:rPr>
          <w:w w:val="100"/>
          <w:lang w:val="fr-FR"/>
        </w:rPr>
        <w:t>’</w:t>
      </w:r>
      <w:r w:rsidRPr="00954351">
        <w:rPr>
          <w:w w:val="100"/>
          <w:lang w:val="fr-FR"/>
        </w:rPr>
        <w:t>égard des femmes.</w:t>
      </w:r>
      <w:r w:rsidRPr="00F55E60">
        <w:rPr>
          <w:lang w:val="fr-FR"/>
        </w:rPr>
        <w:t xml:space="preserve"> En l</w:t>
      </w:r>
      <w:r w:rsidR="00D32FC0" w:rsidRPr="00F55E60">
        <w:rPr>
          <w:lang w:val="fr-FR"/>
        </w:rPr>
        <w:t>’</w:t>
      </w:r>
      <w:r w:rsidRPr="00F55E60">
        <w:rPr>
          <w:lang w:val="fr-FR"/>
        </w:rPr>
        <w:t>espèce, l</w:t>
      </w:r>
      <w:r w:rsidR="00D32FC0" w:rsidRPr="00F55E60">
        <w:rPr>
          <w:lang w:val="fr-FR"/>
        </w:rPr>
        <w:t>’</w:t>
      </w:r>
      <w:r w:rsidRPr="00F55E60">
        <w:rPr>
          <w:lang w:val="fr-FR"/>
        </w:rPr>
        <w:t>auteure a sollicité la protection de l</w:t>
      </w:r>
      <w:r w:rsidR="00D32FC0" w:rsidRPr="00F55E60">
        <w:rPr>
          <w:lang w:val="fr-FR"/>
        </w:rPr>
        <w:t>’</w:t>
      </w:r>
      <w:r w:rsidRPr="00F55E60">
        <w:rPr>
          <w:lang w:val="fr-FR"/>
        </w:rPr>
        <w:t>ambassade d</w:t>
      </w:r>
      <w:r w:rsidR="00D32FC0" w:rsidRPr="00F55E60">
        <w:rPr>
          <w:lang w:val="fr-FR"/>
        </w:rPr>
        <w:t>’</w:t>
      </w:r>
      <w:r w:rsidRPr="00F55E60">
        <w:rPr>
          <w:lang w:val="fr-FR"/>
        </w:rPr>
        <w:t xml:space="preserve">Ukraine à Amman au regard des violences domestiques subies, mais la réponse apportée et les mesures prises par les autorités se sont révélées inappropriées et </w:t>
      </w:r>
      <w:r w:rsidRPr="00F55E60">
        <w:rPr>
          <w:lang w:val="fr-FR"/>
        </w:rPr>
        <w:lastRenderedPageBreak/>
        <w:t>inefficaces. Le personnel de l</w:t>
      </w:r>
      <w:r w:rsidR="00D32FC0" w:rsidRPr="00F55E60">
        <w:rPr>
          <w:lang w:val="fr-FR"/>
        </w:rPr>
        <w:t>’</w:t>
      </w:r>
      <w:r w:rsidRPr="00F55E60">
        <w:rPr>
          <w:lang w:val="fr-FR"/>
        </w:rPr>
        <w:t>ambassade a refusé de l</w:t>
      </w:r>
      <w:r w:rsidR="00D32FC0" w:rsidRPr="00F55E60">
        <w:rPr>
          <w:lang w:val="fr-FR"/>
        </w:rPr>
        <w:t>’</w:t>
      </w:r>
      <w:r w:rsidRPr="00F55E60">
        <w:rPr>
          <w:lang w:val="fr-FR"/>
        </w:rPr>
        <w:t>aider, soutenant qu</w:t>
      </w:r>
      <w:r w:rsidR="00D32FC0" w:rsidRPr="00F55E60">
        <w:rPr>
          <w:lang w:val="fr-FR"/>
        </w:rPr>
        <w:t>’</w:t>
      </w:r>
      <w:r w:rsidRPr="00F55E60">
        <w:rPr>
          <w:lang w:val="fr-FR"/>
        </w:rPr>
        <w:t>il s</w:t>
      </w:r>
      <w:r w:rsidR="00D32FC0" w:rsidRPr="00F55E60">
        <w:rPr>
          <w:lang w:val="fr-FR"/>
        </w:rPr>
        <w:t>’</w:t>
      </w:r>
      <w:r w:rsidRPr="00F55E60">
        <w:rPr>
          <w:lang w:val="fr-FR"/>
        </w:rPr>
        <w:t>agissait là d</w:t>
      </w:r>
      <w:r w:rsidR="00D32FC0" w:rsidRPr="00F55E60">
        <w:rPr>
          <w:lang w:val="fr-FR"/>
        </w:rPr>
        <w:t>’</w:t>
      </w:r>
      <w:r w:rsidRPr="00F55E60">
        <w:rPr>
          <w:lang w:val="fr-FR"/>
        </w:rPr>
        <w:t>une question familiale à laquelle l</w:t>
      </w:r>
      <w:r w:rsidR="00D32FC0" w:rsidRPr="00F55E60">
        <w:rPr>
          <w:lang w:val="fr-FR"/>
        </w:rPr>
        <w:t>’</w:t>
      </w:r>
      <w:r w:rsidRPr="00F55E60">
        <w:rPr>
          <w:lang w:val="fr-FR"/>
        </w:rPr>
        <w:t>ambassade n</w:t>
      </w:r>
      <w:r w:rsidR="00D32FC0" w:rsidRPr="00F55E60">
        <w:rPr>
          <w:lang w:val="fr-FR"/>
        </w:rPr>
        <w:t>’</w:t>
      </w:r>
      <w:r w:rsidRPr="00F55E60">
        <w:rPr>
          <w:lang w:val="fr-FR"/>
        </w:rPr>
        <w:t>était pas tenue de réagir. L</w:t>
      </w:r>
      <w:r w:rsidR="00D32FC0" w:rsidRPr="00F55E60">
        <w:rPr>
          <w:lang w:val="fr-FR"/>
        </w:rPr>
        <w:t>’</w:t>
      </w:r>
      <w:r w:rsidRPr="00F55E60">
        <w:rPr>
          <w:lang w:val="fr-FR"/>
        </w:rPr>
        <w:t>ambassade n</w:t>
      </w:r>
      <w:r w:rsidR="00D32FC0" w:rsidRPr="00F55E60">
        <w:rPr>
          <w:lang w:val="fr-FR"/>
        </w:rPr>
        <w:t>’</w:t>
      </w:r>
      <w:r w:rsidRPr="00F55E60">
        <w:rPr>
          <w:lang w:val="fr-FR"/>
        </w:rPr>
        <w:t>a fourni aucune information à l</w:t>
      </w:r>
      <w:r w:rsidR="00D32FC0" w:rsidRPr="00F55E60">
        <w:rPr>
          <w:lang w:val="fr-FR"/>
        </w:rPr>
        <w:t>’</w:t>
      </w:r>
      <w:r w:rsidRPr="00F55E60">
        <w:rPr>
          <w:lang w:val="fr-FR"/>
        </w:rPr>
        <w:t>auteure sur la question des violences familiales en Jordanie, les procédures judiciaires connexes et leurs issues éventuelles, ou sur d</w:t>
      </w:r>
      <w:r w:rsidR="00D32FC0" w:rsidRPr="00F55E60">
        <w:rPr>
          <w:lang w:val="fr-FR"/>
        </w:rPr>
        <w:t>’</w:t>
      </w:r>
      <w:r w:rsidRPr="00F55E60">
        <w:rPr>
          <w:lang w:val="fr-FR"/>
        </w:rPr>
        <w:t>autres sources d</w:t>
      </w:r>
      <w:r w:rsidR="00D32FC0" w:rsidRPr="00F55E60">
        <w:rPr>
          <w:lang w:val="fr-FR"/>
        </w:rPr>
        <w:t>’</w:t>
      </w:r>
      <w:r w:rsidRPr="00F55E60">
        <w:rPr>
          <w:lang w:val="fr-FR"/>
        </w:rPr>
        <w:t>assistance. Ce faisant, l</w:t>
      </w:r>
      <w:r w:rsidR="00D32FC0" w:rsidRPr="00F55E60">
        <w:rPr>
          <w:lang w:val="fr-FR"/>
        </w:rPr>
        <w:t>’</w:t>
      </w:r>
      <w:r w:rsidRPr="00F55E60">
        <w:rPr>
          <w:lang w:val="fr-FR"/>
        </w:rPr>
        <w:t>ambassade a manqué à son obligation de détecter les actes de violence familiale et de protéger l</w:t>
      </w:r>
      <w:r w:rsidR="00D32FC0" w:rsidRPr="00F55E60">
        <w:rPr>
          <w:lang w:val="fr-FR"/>
        </w:rPr>
        <w:t>’</w:t>
      </w:r>
      <w:r w:rsidRPr="00F55E60">
        <w:rPr>
          <w:lang w:val="fr-FR"/>
        </w:rPr>
        <w:t>auteure et sa fille contre de nouvelles violences. Non seulement l</w:t>
      </w:r>
      <w:r w:rsidR="00D32FC0" w:rsidRPr="00F55E60">
        <w:rPr>
          <w:lang w:val="fr-FR"/>
        </w:rPr>
        <w:t>’</w:t>
      </w:r>
      <w:r w:rsidRPr="00F55E60">
        <w:rPr>
          <w:lang w:val="fr-FR"/>
        </w:rPr>
        <w:t>ambassade n</w:t>
      </w:r>
      <w:r w:rsidR="00D32FC0" w:rsidRPr="00F55E60">
        <w:rPr>
          <w:lang w:val="fr-FR"/>
        </w:rPr>
        <w:t>’</w:t>
      </w:r>
      <w:r w:rsidRPr="00F55E60">
        <w:rPr>
          <w:lang w:val="fr-FR"/>
        </w:rPr>
        <w:t>a pas empêché que l</w:t>
      </w:r>
      <w:r w:rsidR="00D32FC0" w:rsidRPr="00F55E60">
        <w:rPr>
          <w:lang w:val="fr-FR"/>
        </w:rPr>
        <w:t>’</w:t>
      </w:r>
      <w:r w:rsidRPr="00F55E60">
        <w:rPr>
          <w:lang w:val="fr-FR"/>
        </w:rPr>
        <w:t>auteure fasse l</w:t>
      </w:r>
      <w:r w:rsidR="00D32FC0" w:rsidRPr="00F55E60">
        <w:rPr>
          <w:lang w:val="fr-FR"/>
        </w:rPr>
        <w:t>’</w:t>
      </w:r>
      <w:r w:rsidRPr="00F55E60">
        <w:rPr>
          <w:lang w:val="fr-FR"/>
        </w:rPr>
        <w:t>objet de violences fondées sur le genre, mais elle a autorisé l</w:t>
      </w:r>
      <w:r w:rsidR="00D32FC0" w:rsidRPr="00F55E60">
        <w:rPr>
          <w:lang w:val="fr-FR"/>
        </w:rPr>
        <w:t>’</w:t>
      </w:r>
      <w:r w:rsidRPr="00F55E60">
        <w:rPr>
          <w:lang w:val="fr-FR"/>
        </w:rPr>
        <w:t>existence d</w:t>
      </w:r>
      <w:r w:rsidR="00D32FC0" w:rsidRPr="00F55E60">
        <w:rPr>
          <w:lang w:val="fr-FR"/>
        </w:rPr>
        <w:t>’</w:t>
      </w:r>
      <w:r w:rsidRPr="00F55E60">
        <w:rPr>
          <w:lang w:val="fr-FR"/>
        </w:rPr>
        <w:t>une telle discrimination. L</w:t>
      </w:r>
      <w:r w:rsidR="00D32FC0" w:rsidRPr="00F55E60">
        <w:rPr>
          <w:lang w:val="fr-FR"/>
        </w:rPr>
        <w:t>’</w:t>
      </w:r>
      <w:r w:rsidRPr="00F55E60">
        <w:rPr>
          <w:lang w:val="fr-FR"/>
        </w:rPr>
        <w:t>inaction initiale de l</w:t>
      </w:r>
      <w:r w:rsidR="00D32FC0" w:rsidRPr="00F55E60">
        <w:rPr>
          <w:lang w:val="fr-FR"/>
        </w:rPr>
        <w:t>’</w:t>
      </w:r>
      <w:r w:rsidRPr="00F55E60">
        <w:rPr>
          <w:lang w:val="fr-FR"/>
        </w:rPr>
        <w:t>ambassade témoigne d</w:t>
      </w:r>
      <w:r w:rsidR="00D32FC0" w:rsidRPr="00F55E60">
        <w:rPr>
          <w:lang w:val="fr-FR"/>
        </w:rPr>
        <w:t>’</w:t>
      </w:r>
      <w:r w:rsidRPr="00F55E60">
        <w:rPr>
          <w:lang w:val="fr-FR"/>
        </w:rPr>
        <w:t>une attitude discriminatoire typique qui consiste à considérer la violence domestique comme une question d</w:t>
      </w:r>
      <w:r w:rsidR="00D32FC0" w:rsidRPr="00F55E60">
        <w:rPr>
          <w:lang w:val="fr-FR"/>
        </w:rPr>
        <w:t>’</w:t>
      </w:r>
      <w:r w:rsidRPr="00F55E60">
        <w:rPr>
          <w:lang w:val="fr-FR"/>
        </w:rPr>
        <w:t>ordre privé.</w:t>
      </w:r>
    </w:p>
    <w:p w14:paraId="3C3740BB" w14:textId="577ED68E" w:rsidR="00355540" w:rsidRPr="00F55E60" w:rsidRDefault="00A601EB" w:rsidP="009265FF">
      <w:pPr>
        <w:pStyle w:val="SingleTxt"/>
        <w:numPr>
          <w:ilvl w:val="0"/>
          <w:numId w:val="38"/>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affirme en outre qu</w:t>
      </w:r>
      <w:r w:rsidR="00D32FC0" w:rsidRPr="00F55E60">
        <w:rPr>
          <w:lang w:val="fr-FR"/>
        </w:rPr>
        <w:t>’</w:t>
      </w:r>
      <w:r w:rsidRPr="00F55E60">
        <w:rPr>
          <w:lang w:val="fr-FR"/>
        </w:rPr>
        <w:t>en vertu des articles </w:t>
      </w:r>
      <w:r w:rsidRPr="00A135AC">
        <w:rPr>
          <w:lang w:val="fr-FR"/>
        </w:rPr>
        <w:t>2</w:t>
      </w:r>
      <w:r w:rsidRPr="00F55E60">
        <w:rPr>
          <w:lang w:val="fr-FR"/>
        </w:rPr>
        <w:t xml:space="preserve"> c), d), e) et f), et </w:t>
      </w:r>
      <w:r w:rsidRPr="00A135AC">
        <w:rPr>
          <w:lang w:val="fr-FR"/>
        </w:rPr>
        <w:t>5</w:t>
      </w:r>
      <w:r w:rsidRPr="00F55E60">
        <w:rPr>
          <w:lang w:val="fr-FR"/>
        </w:rPr>
        <w:t xml:space="preserve"> a) et b) de la Convention, en tenant compte à cet égard des recommandations générales n</w:t>
      </w:r>
      <w:r w:rsidRPr="00F55E60">
        <w:rPr>
          <w:vertAlign w:val="superscript"/>
          <w:lang w:val="fr-FR"/>
        </w:rPr>
        <w:t>o</w:t>
      </w:r>
      <w:r w:rsidRPr="00F55E60">
        <w:rPr>
          <w:lang w:val="fr-FR"/>
        </w:rPr>
        <w:t> </w:t>
      </w:r>
      <w:r w:rsidRPr="00A135AC">
        <w:rPr>
          <w:lang w:val="fr-FR"/>
        </w:rPr>
        <w:t>19</w:t>
      </w:r>
      <w:r w:rsidRPr="00F55E60">
        <w:rPr>
          <w:lang w:val="fr-FR"/>
        </w:rPr>
        <w:t>,</w:t>
      </w:r>
      <w:r w:rsidR="00A61D9D">
        <w:rPr>
          <w:lang w:val="fr-FR"/>
        </w:rPr>
        <w:t> </w:t>
      </w:r>
      <w:r w:rsidRPr="00F55E60">
        <w:rPr>
          <w:lang w:val="fr-FR"/>
        </w:rPr>
        <w:t>paragraphe </w:t>
      </w:r>
      <w:r w:rsidRPr="00A135AC">
        <w:rPr>
          <w:lang w:val="fr-FR"/>
        </w:rPr>
        <w:t>24</w:t>
      </w:r>
      <w:r w:rsidRPr="00F55E60">
        <w:rPr>
          <w:lang w:val="fr-FR"/>
        </w:rPr>
        <w:t> r) iii), n</w:t>
      </w:r>
      <w:r w:rsidRPr="00F55E60">
        <w:rPr>
          <w:vertAlign w:val="superscript"/>
          <w:lang w:val="fr-FR"/>
        </w:rPr>
        <w:t>o</w:t>
      </w:r>
      <w:r w:rsidRPr="00F55E60">
        <w:rPr>
          <w:lang w:val="fr-FR"/>
        </w:rPr>
        <w:t> </w:t>
      </w:r>
      <w:r w:rsidRPr="00A135AC">
        <w:rPr>
          <w:lang w:val="fr-FR"/>
        </w:rPr>
        <w:t>21</w:t>
      </w:r>
      <w:r w:rsidRPr="00F55E60">
        <w:rPr>
          <w:lang w:val="fr-FR"/>
        </w:rPr>
        <w:t xml:space="preserve"> et n</w:t>
      </w:r>
      <w:r w:rsidRPr="00F55E60">
        <w:rPr>
          <w:vertAlign w:val="superscript"/>
          <w:lang w:val="fr-FR"/>
        </w:rPr>
        <w:t>o</w:t>
      </w:r>
      <w:r w:rsidRPr="00F55E60">
        <w:rPr>
          <w:lang w:val="fr-FR"/>
        </w:rPr>
        <w:t> </w:t>
      </w:r>
      <w:r w:rsidRPr="00A135AC">
        <w:rPr>
          <w:lang w:val="fr-FR"/>
        </w:rPr>
        <w:t>28</w:t>
      </w:r>
      <w:r w:rsidRPr="00F55E60">
        <w:rPr>
          <w:lang w:val="fr-FR"/>
        </w:rPr>
        <w:t>, paragraphes </w:t>
      </w:r>
      <w:r w:rsidRPr="00A135AC">
        <w:rPr>
          <w:lang w:val="fr-FR"/>
        </w:rPr>
        <w:t>34</w:t>
      </w:r>
      <w:r w:rsidRPr="00F55E60">
        <w:rPr>
          <w:lang w:val="fr-FR"/>
        </w:rPr>
        <w:t xml:space="preserve"> et </w:t>
      </w:r>
      <w:r w:rsidRPr="00A135AC">
        <w:rPr>
          <w:lang w:val="fr-FR"/>
        </w:rPr>
        <w:t>36</w:t>
      </w:r>
      <w:r w:rsidRPr="00F55E60">
        <w:rPr>
          <w:lang w:val="fr-FR"/>
        </w:rPr>
        <w:t>, l</w:t>
      </w:r>
      <w:r w:rsidR="00D32FC0" w:rsidRPr="00F55E60">
        <w:rPr>
          <w:lang w:val="fr-FR"/>
        </w:rPr>
        <w:t>’</w:t>
      </w:r>
      <w:r w:rsidRPr="00F55E60">
        <w:rPr>
          <w:lang w:val="fr-FR"/>
        </w:rPr>
        <w:t>Ukraine est tenue de mettre en place des politiques propres à assurer la protection de ses ressortissants lorsqu</w:t>
      </w:r>
      <w:r w:rsidR="00D32FC0" w:rsidRPr="00F55E60">
        <w:rPr>
          <w:lang w:val="fr-FR"/>
        </w:rPr>
        <w:t>’</w:t>
      </w:r>
      <w:r w:rsidRPr="00F55E60">
        <w:rPr>
          <w:lang w:val="fr-FR"/>
        </w:rPr>
        <w:t>ils sont victimes de violences familiales, au moyen d</w:t>
      </w:r>
      <w:r w:rsidR="00D32FC0" w:rsidRPr="00F55E60">
        <w:rPr>
          <w:lang w:val="fr-FR"/>
        </w:rPr>
        <w:t>’</w:t>
      </w:r>
      <w:r w:rsidRPr="00F55E60">
        <w:rPr>
          <w:lang w:val="fr-FR"/>
        </w:rPr>
        <w:t>une représentation juridique, y compris devant les autorités étrangères. Lorsque l</w:t>
      </w:r>
      <w:r w:rsidR="00D32FC0" w:rsidRPr="00F55E60">
        <w:rPr>
          <w:lang w:val="fr-FR"/>
        </w:rPr>
        <w:t>’</w:t>
      </w:r>
      <w:r w:rsidRPr="00F55E60">
        <w:rPr>
          <w:lang w:val="fr-FR"/>
        </w:rPr>
        <w:t>auteure a comparu devant le tribunal de la charia dans le cadre de l</w:t>
      </w:r>
      <w:r w:rsidR="00D32FC0" w:rsidRPr="00F55E60">
        <w:rPr>
          <w:lang w:val="fr-FR"/>
        </w:rPr>
        <w:t>’</w:t>
      </w:r>
      <w:r w:rsidRPr="00F55E60">
        <w:rPr>
          <w:lang w:val="fr-FR"/>
        </w:rPr>
        <w:t>action intentée contre son ex-mari pour violence à l</w:t>
      </w:r>
      <w:r w:rsidR="00D32FC0" w:rsidRPr="00F55E60">
        <w:rPr>
          <w:lang w:val="fr-FR"/>
        </w:rPr>
        <w:t>’</w:t>
      </w:r>
      <w:r w:rsidRPr="00F55E60">
        <w:rPr>
          <w:lang w:val="fr-FR"/>
        </w:rPr>
        <w:t>égard de sa fille et d</w:t>
      </w:r>
      <w:r w:rsidR="00D32FC0" w:rsidRPr="00F55E60">
        <w:rPr>
          <w:lang w:val="fr-FR"/>
        </w:rPr>
        <w:t>’</w:t>
      </w:r>
      <w:r w:rsidRPr="00F55E60">
        <w:rPr>
          <w:lang w:val="fr-FR"/>
        </w:rPr>
        <w:t>elle-même, aucun représentant de l</w:t>
      </w:r>
      <w:r w:rsidR="00D32FC0" w:rsidRPr="00F55E60">
        <w:rPr>
          <w:lang w:val="fr-FR"/>
        </w:rPr>
        <w:t>’</w:t>
      </w:r>
      <w:r w:rsidRPr="00F55E60">
        <w:rPr>
          <w:lang w:val="fr-FR"/>
        </w:rPr>
        <w:t>ambassade à Amman n</w:t>
      </w:r>
      <w:r w:rsidR="00D32FC0" w:rsidRPr="00F55E60">
        <w:rPr>
          <w:lang w:val="fr-FR"/>
        </w:rPr>
        <w:t>’</w:t>
      </w:r>
      <w:r w:rsidRPr="00F55E60">
        <w:rPr>
          <w:lang w:val="fr-FR"/>
        </w:rPr>
        <w:t>était présent. En fait, l</w:t>
      </w:r>
      <w:r w:rsidR="00D32FC0" w:rsidRPr="00F55E60">
        <w:rPr>
          <w:lang w:val="fr-FR"/>
        </w:rPr>
        <w:t>’</w:t>
      </w:r>
      <w:r w:rsidRPr="00F55E60">
        <w:rPr>
          <w:lang w:val="fr-FR"/>
        </w:rPr>
        <w:t>ambassade a refusé de lui fournir un représentant légal, faisant valoir qu</w:t>
      </w:r>
      <w:r w:rsidR="00D32FC0" w:rsidRPr="00F55E60">
        <w:rPr>
          <w:lang w:val="fr-FR"/>
        </w:rPr>
        <w:t>’</w:t>
      </w:r>
      <w:r w:rsidRPr="00F55E60">
        <w:rPr>
          <w:lang w:val="fr-FR"/>
        </w:rPr>
        <w:t>il n</w:t>
      </w:r>
      <w:r w:rsidR="00D32FC0" w:rsidRPr="00F55E60">
        <w:rPr>
          <w:lang w:val="fr-FR"/>
        </w:rPr>
        <w:t>’</w:t>
      </w:r>
      <w:r w:rsidRPr="00F55E60">
        <w:rPr>
          <w:lang w:val="fr-FR"/>
        </w:rPr>
        <w:t>y avait pas d</w:t>
      </w:r>
      <w:r w:rsidR="00D32FC0" w:rsidRPr="00F55E60">
        <w:rPr>
          <w:lang w:val="fr-FR"/>
        </w:rPr>
        <w:t>’</w:t>
      </w:r>
      <w:r w:rsidRPr="00F55E60">
        <w:rPr>
          <w:lang w:val="fr-FR"/>
        </w:rPr>
        <w:t>avocat au sein de son personnel, et n</w:t>
      </w:r>
      <w:r w:rsidR="00D32FC0" w:rsidRPr="00F55E60">
        <w:rPr>
          <w:lang w:val="fr-FR"/>
        </w:rPr>
        <w:t>’</w:t>
      </w:r>
      <w:r w:rsidRPr="00F55E60">
        <w:rPr>
          <w:lang w:val="fr-FR"/>
        </w:rPr>
        <w:t>a pas mis à sa disposition de consultation juridique sur ses droits procéduraux ni ne lui a donné accès à un interprète. L</w:t>
      </w:r>
      <w:r w:rsidR="00D32FC0" w:rsidRPr="00F55E60">
        <w:rPr>
          <w:lang w:val="fr-FR"/>
        </w:rPr>
        <w:t>’</w:t>
      </w:r>
      <w:r w:rsidRPr="00F55E60">
        <w:rPr>
          <w:lang w:val="fr-FR"/>
        </w:rPr>
        <w:t>ambassade ne lui a pas non plus communiqué le nom d</w:t>
      </w:r>
      <w:r w:rsidR="00D32FC0" w:rsidRPr="00F55E60">
        <w:rPr>
          <w:lang w:val="fr-FR"/>
        </w:rPr>
        <w:t>’</w:t>
      </w:r>
      <w:r w:rsidRPr="00F55E60">
        <w:rPr>
          <w:lang w:val="fr-FR"/>
        </w:rPr>
        <w:t>un avocat à contacter. Les intérêts qui étaient les siens en tant que citoyenne ukrainienne et mère d</w:t>
      </w:r>
      <w:r w:rsidR="00D32FC0" w:rsidRPr="00F55E60">
        <w:rPr>
          <w:lang w:val="fr-FR"/>
        </w:rPr>
        <w:t>’</w:t>
      </w:r>
      <w:r w:rsidRPr="00F55E60">
        <w:rPr>
          <w:lang w:val="fr-FR"/>
        </w:rPr>
        <w:t>un enfant ukrainien n</w:t>
      </w:r>
      <w:r w:rsidR="00D32FC0" w:rsidRPr="00F55E60">
        <w:rPr>
          <w:lang w:val="fr-FR"/>
        </w:rPr>
        <w:t>’</w:t>
      </w:r>
      <w:r w:rsidRPr="00F55E60">
        <w:rPr>
          <w:lang w:val="fr-FR"/>
        </w:rPr>
        <w:t>ont donc pas été respectés. En conséquence, le tribunal de la charia a conclu qu</w:t>
      </w:r>
      <w:r w:rsidR="00D32FC0" w:rsidRPr="00F55E60">
        <w:rPr>
          <w:lang w:val="fr-FR"/>
        </w:rPr>
        <w:t>’</w:t>
      </w:r>
      <w:r w:rsidRPr="00F55E60">
        <w:rPr>
          <w:lang w:val="fr-FR"/>
        </w:rPr>
        <w:t>une période de réconciliation de trois mois était nécessaire, ce qui a fait peser une menace encore plus grand</w:t>
      </w:r>
      <w:r w:rsidR="001F1B53">
        <w:rPr>
          <w:lang w:val="fr-FR"/>
        </w:rPr>
        <w:t>e</w:t>
      </w:r>
      <w:r w:rsidRPr="00F55E60">
        <w:rPr>
          <w:lang w:val="fr-FR"/>
        </w:rPr>
        <w:t xml:space="preserve"> sur la sécurité, la santé et l</w:t>
      </w:r>
      <w:r w:rsidR="00D32FC0" w:rsidRPr="00F55E60">
        <w:rPr>
          <w:lang w:val="fr-FR"/>
        </w:rPr>
        <w:t>’</w:t>
      </w:r>
      <w:r w:rsidRPr="00F55E60">
        <w:rPr>
          <w:lang w:val="fr-FR"/>
        </w:rPr>
        <w:t>intégrité physique de l</w:t>
      </w:r>
      <w:r w:rsidR="00D32FC0" w:rsidRPr="00F55E60">
        <w:rPr>
          <w:lang w:val="fr-FR"/>
        </w:rPr>
        <w:t>’</w:t>
      </w:r>
      <w:r w:rsidRPr="00F55E60">
        <w:rPr>
          <w:lang w:val="fr-FR"/>
        </w:rPr>
        <w:t>auteure.</w:t>
      </w:r>
    </w:p>
    <w:p w14:paraId="595A7C26" w14:textId="0C2A7A2A" w:rsidR="00355540" w:rsidRPr="00F55E60" w:rsidRDefault="00A601EB" w:rsidP="009265FF">
      <w:pPr>
        <w:pStyle w:val="SingleTxt"/>
        <w:numPr>
          <w:ilvl w:val="0"/>
          <w:numId w:val="38"/>
        </w:numPr>
        <w:tabs>
          <w:tab w:val="left" w:pos="1742"/>
        </w:tabs>
        <w:spacing w:line="240" w:lineRule="exact"/>
        <w:rPr>
          <w:lang w:val="fr-FR"/>
        </w:rPr>
      </w:pPr>
      <w:r w:rsidRPr="00F55E60">
        <w:rPr>
          <w:lang w:val="fr-FR"/>
        </w:rPr>
        <w:t>Par la suite, le mari s</w:t>
      </w:r>
      <w:r w:rsidR="00D32FC0" w:rsidRPr="00F55E60">
        <w:rPr>
          <w:lang w:val="fr-FR"/>
        </w:rPr>
        <w:t>’</w:t>
      </w:r>
      <w:r w:rsidRPr="00F55E60">
        <w:rPr>
          <w:lang w:val="fr-FR"/>
        </w:rPr>
        <w:t>étant arrogé la garde de la fille cadette de l</w:t>
      </w:r>
      <w:r w:rsidR="00D32FC0" w:rsidRPr="00F55E60">
        <w:rPr>
          <w:lang w:val="fr-FR"/>
        </w:rPr>
        <w:t>’</w:t>
      </w:r>
      <w:r w:rsidRPr="00F55E60">
        <w:rPr>
          <w:lang w:val="fr-FR"/>
        </w:rPr>
        <w:t>auteure</w:t>
      </w:r>
      <w:r w:rsidR="001F1B53">
        <w:rPr>
          <w:lang w:val="fr-FR"/>
        </w:rPr>
        <w:t>,</w:t>
      </w:r>
      <w:r w:rsidRPr="00F55E60">
        <w:rPr>
          <w:lang w:val="fr-FR"/>
        </w:rPr>
        <w:t xml:space="preserve"> et ce</w:t>
      </w:r>
      <w:r w:rsidR="001F1B53">
        <w:rPr>
          <w:lang w:val="fr-FR"/>
        </w:rPr>
        <w:t>,</w:t>
      </w:r>
      <w:r w:rsidRPr="00F55E60">
        <w:rPr>
          <w:lang w:val="fr-FR"/>
        </w:rPr>
        <w:t xml:space="preserve"> en dépit du fait que seule celle de l</w:t>
      </w:r>
      <w:r w:rsidR="00D32FC0" w:rsidRPr="00F55E60">
        <w:rPr>
          <w:lang w:val="fr-FR"/>
        </w:rPr>
        <w:t>’</w:t>
      </w:r>
      <w:r w:rsidRPr="00F55E60">
        <w:rPr>
          <w:lang w:val="fr-FR"/>
        </w:rPr>
        <w:t>aînée lui avait été accordée, l</w:t>
      </w:r>
      <w:r w:rsidR="00D32FC0" w:rsidRPr="00F55E60">
        <w:rPr>
          <w:lang w:val="fr-FR"/>
        </w:rPr>
        <w:t>’</w:t>
      </w:r>
      <w:r w:rsidRPr="00F55E60">
        <w:rPr>
          <w:lang w:val="fr-FR"/>
        </w:rPr>
        <w:t>ambassade n</w:t>
      </w:r>
      <w:r w:rsidR="00D32FC0" w:rsidRPr="00F55E60">
        <w:rPr>
          <w:lang w:val="fr-FR"/>
        </w:rPr>
        <w:t>’</w:t>
      </w:r>
      <w:r w:rsidRPr="00F55E60">
        <w:rPr>
          <w:lang w:val="fr-FR"/>
        </w:rPr>
        <w:t>a déployé que des efforts minimes ou inefficaces pour réunir la plus jeune des filles et sa mère, comme en avait décidé le tribunal de la charia. Au lieu de cela, l</w:t>
      </w:r>
      <w:r w:rsidR="00D32FC0" w:rsidRPr="00F55E60">
        <w:rPr>
          <w:lang w:val="fr-FR"/>
        </w:rPr>
        <w:t>’</w:t>
      </w:r>
      <w:r w:rsidRPr="00F55E60">
        <w:rPr>
          <w:lang w:val="fr-FR"/>
        </w:rPr>
        <w:t>ambassade a proposé que l</w:t>
      </w:r>
      <w:r w:rsidR="00D32FC0" w:rsidRPr="00F55E60">
        <w:rPr>
          <w:lang w:val="fr-FR"/>
        </w:rPr>
        <w:t>’</w:t>
      </w:r>
      <w:r w:rsidRPr="00F55E60">
        <w:rPr>
          <w:lang w:val="fr-FR"/>
        </w:rPr>
        <w:t>auteure retourne en Ukraine sans sa fille et a déclaré qu</w:t>
      </w:r>
      <w:r w:rsidR="00D32FC0" w:rsidRPr="00F55E60">
        <w:rPr>
          <w:lang w:val="fr-FR"/>
        </w:rPr>
        <w:t>’</w:t>
      </w:r>
      <w:r w:rsidRPr="00F55E60">
        <w:rPr>
          <w:lang w:val="fr-FR"/>
        </w:rPr>
        <w:t>elle assurerait le retour de cette dernière en Ukraine ultérieurement, ce que l</w:t>
      </w:r>
      <w:r w:rsidR="00D32FC0" w:rsidRPr="00F55E60">
        <w:rPr>
          <w:lang w:val="fr-FR"/>
        </w:rPr>
        <w:t>’</w:t>
      </w:r>
      <w:r w:rsidRPr="00F55E60">
        <w:rPr>
          <w:lang w:val="fr-FR"/>
        </w:rPr>
        <w:t>ambassade n</w:t>
      </w:r>
      <w:r w:rsidR="00D32FC0" w:rsidRPr="00F55E60">
        <w:rPr>
          <w:lang w:val="fr-FR"/>
        </w:rPr>
        <w:t>’</w:t>
      </w:r>
      <w:r w:rsidRPr="00F55E60">
        <w:rPr>
          <w:lang w:val="fr-FR"/>
        </w:rPr>
        <w:t>a pas fait.</w:t>
      </w:r>
    </w:p>
    <w:p w14:paraId="2A5ACF48" w14:textId="6309B0E2" w:rsidR="00355540" w:rsidRPr="00F55E60" w:rsidRDefault="00A601EB" w:rsidP="009265FF">
      <w:pPr>
        <w:pStyle w:val="SingleTxt"/>
        <w:numPr>
          <w:ilvl w:val="0"/>
          <w:numId w:val="38"/>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affirme en outre qu</w:t>
      </w:r>
      <w:r w:rsidR="00D32FC0" w:rsidRPr="00F55E60">
        <w:rPr>
          <w:lang w:val="fr-FR"/>
        </w:rPr>
        <w:t>’</w:t>
      </w:r>
      <w:r w:rsidRPr="00F55E60">
        <w:rPr>
          <w:lang w:val="fr-FR"/>
        </w:rPr>
        <w:t>elle est victime de discrimination fondée sur le genre, en violation des articles </w:t>
      </w:r>
      <w:r w:rsidRPr="00A135AC">
        <w:rPr>
          <w:lang w:val="fr-FR"/>
        </w:rPr>
        <w:t>1</w:t>
      </w:r>
      <w:r w:rsidRPr="00F55E60">
        <w:rPr>
          <w:lang w:val="fr-FR"/>
        </w:rPr>
        <w:t xml:space="preserve">, </w:t>
      </w:r>
      <w:r w:rsidRPr="00A135AC">
        <w:rPr>
          <w:lang w:val="fr-FR"/>
        </w:rPr>
        <w:t>2</w:t>
      </w:r>
      <w:r w:rsidRPr="00F55E60">
        <w:rPr>
          <w:lang w:val="fr-FR"/>
        </w:rPr>
        <w:t xml:space="preserve"> a) et </w:t>
      </w:r>
      <w:r w:rsidRPr="00A135AC">
        <w:rPr>
          <w:lang w:val="fr-FR"/>
        </w:rPr>
        <w:t>5</w:t>
      </w:r>
      <w:r w:rsidRPr="00F55E60">
        <w:rPr>
          <w:lang w:val="fr-FR"/>
        </w:rPr>
        <w:t xml:space="preserve"> a), en tenant compte à cet égard des recommandations générales n</w:t>
      </w:r>
      <w:r w:rsidRPr="00F55E60">
        <w:rPr>
          <w:vertAlign w:val="superscript"/>
          <w:lang w:val="fr-FR"/>
        </w:rPr>
        <w:t>o</w:t>
      </w:r>
      <w:r w:rsidRPr="00F55E60">
        <w:rPr>
          <w:lang w:val="fr-FR"/>
        </w:rPr>
        <w:t> </w:t>
      </w:r>
      <w:r w:rsidRPr="00A135AC">
        <w:rPr>
          <w:lang w:val="fr-FR"/>
        </w:rPr>
        <w:t>19</w:t>
      </w:r>
      <w:r w:rsidRPr="00F55E60">
        <w:rPr>
          <w:lang w:val="fr-FR"/>
        </w:rPr>
        <w:t xml:space="preserve">, paragraphes </w:t>
      </w:r>
      <w:r w:rsidRPr="00A135AC">
        <w:rPr>
          <w:lang w:val="fr-FR"/>
        </w:rPr>
        <w:t>6</w:t>
      </w:r>
      <w:r w:rsidRPr="00F55E60">
        <w:rPr>
          <w:lang w:val="fr-FR"/>
        </w:rPr>
        <w:t xml:space="preserve">, </w:t>
      </w:r>
      <w:r w:rsidRPr="00A135AC">
        <w:rPr>
          <w:lang w:val="fr-FR"/>
        </w:rPr>
        <w:t>7</w:t>
      </w:r>
      <w:r w:rsidRPr="00F55E60">
        <w:rPr>
          <w:lang w:val="fr-FR"/>
        </w:rPr>
        <w:t xml:space="preserve">, </w:t>
      </w:r>
      <w:r w:rsidRPr="00A135AC">
        <w:rPr>
          <w:lang w:val="fr-FR"/>
        </w:rPr>
        <w:t>23</w:t>
      </w:r>
      <w:r w:rsidRPr="00F55E60">
        <w:rPr>
          <w:lang w:val="fr-FR"/>
        </w:rPr>
        <w:t xml:space="preserve"> et </w:t>
      </w:r>
      <w:r w:rsidRPr="00A135AC">
        <w:rPr>
          <w:lang w:val="fr-FR"/>
        </w:rPr>
        <w:t>24</w:t>
      </w:r>
      <w:r w:rsidRPr="00F55E60">
        <w:rPr>
          <w:lang w:val="fr-FR"/>
        </w:rPr>
        <w:t xml:space="preserve"> c), e), r) iii) et t) ii), n</w:t>
      </w:r>
      <w:r w:rsidRPr="00F55E60">
        <w:rPr>
          <w:vertAlign w:val="superscript"/>
          <w:lang w:val="fr-FR"/>
        </w:rPr>
        <w:t>o</w:t>
      </w:r>
      <w:r w:rsidRPr="00F55E60">
        <w:rPr>
          <w:lang w:val="fr-FR"/>
        </w:rPr>
        <w:t> </w:t>
      </w:r>
      <w:r w:rsidRPr="00A135AC">
        <w:rPr>
          <w:lang w:val="fr-FR"/>
        </w:rPr>
        <w:t>21</w:t>
      </w:r>
      <w:r w:rsidRPr="00F55E60">
        <w:rPr>
          <w:lang w:val="fr-FR"/>
        </w:rPr>
        <w:t xml:space="preserve">, paragraphe </w:t>
      </w:r>
      <w:r w:rsidRPr="00A135AC">
        <w:rPr>
          <w:lang w:val="fr-FR"/>
        </w:rPr>
        <w:t>49</w:t>
      </w:r>
      <w:r w:rsidRPr="00F55E60">
        <w:rPr>
          <w:lang w:val="fr-FR"/>
        </w:rPr>
        <w:t>, et n</w:t>
      </w:r>
      <w:r w:rsidRPr="00F55E60">
        <w:rPr>
          <w:vertAlign w:val="superscript"/>
          <w:lang w:val="fr-FR"/>
        </w:rPr>
        <w:t>o</w:t>
      </w:r>
      <w:r w:rsidRPr="00F55E60">
        <w:rPr>
          <w:lang w:val="fr-FR"/>
        </w:rPr>
        <w:t> </w:t>
      </w:r>
      <w:r w:rsidRPr="00A135AC">
        <w:rPr>
          <w:lang w:val="fr-FR"/>
        </w:rPr>
        <w:t>28</w:t>
      </w:r>
      <w:r w:rsidRPr="00F55E60">
        <w:rPr>
          <w:lang w:val="fr-FR"/>
        </w:rPr>
        <w:t>, paragraphes </w:t>
      </w:r>
      <w:r w:rsidRPr="00A135AC">
        <w:rPr>
          <w:lang w:val="fr-FR"/>
        </w:rPr>
        <w:t>17</w:t>
      </w:r>
      <w:r w:rsidRPr="00F55E60">
        <w:rPr>
          <w:lang w:val="fr-FR"/>
        </w:rPr>
        <w:t xml:space="preserve"> à </w:t>
      </w:r>
      <w:r w:rsidRPr="00A135AC">
        <w:rPr>
          <w:lang w:val="fr-FR"/>
        </w:rPr>
        <w:t>19</w:t>
      </w:r>
      <w:r w:rsidRPr="00F55E60">
        <w:rPr>
          <w:lang w:val="fr-FR"/>
        </w:rPr>
        <w:t xml:space="preserve">, </w:t>
      </w:r>
      <w:r w:rsidRPr="00A135AC">
        <w:rPr>
          <w:lang w:val="fr-FR"/>
        </w:rPr>
        <w:t>22</w:t>
      </w:r>
      <w:r w:rsidRPr="00F55E60">
        <w:rPr>
          <w:lang w:val="fr-FR"/>
        </w:rPr>
        <w:t xml:space="preserve">, </w:t>
      </w:r>
      <w:r w:rsidRPr="00A135AC">
        <w:rPr>
          <w:lang w:val="fr-FR"/>
        </w:rPr>
        <w:t>34</w:t>
      </w:r>
      <w:r w:rsidRPr="00F55E60">
        <w:rPr>
          <w:lang w:val="fr-FR"/>
        </w:rPr>
        <w:t xml:space="preserve"> et </w:t>
      </w:r>
      <w:r w:rsidRPr="00A135AC">
        <w:rPr>
          <w:lang w:val="fr-FR"/>
        </w:rPr>
        <w:t>36</w:t>
      </w:r>
      <w:r w:rsidRPr="00F55E60">
        <w:rPr>
          <w:lang w:val="fr-FR"/>
        </w:rPr>
        <w:t>. L</w:t>
      </w:r>
      <w:r w:rsidR="00D32FC0" w:rsidRPr="00F55E60">
        <w:rPr>
          <w:lang w:val="fr-FR"/>
        </w:rPr>
        <w:t>’</w:t>
      </w:r>
      <w:r w:rsidRPr="00F55E60">
        <w:rPr>
          <w:lang w:val="fr-FR"/>
        </w:rPr>
        <w:t>auteure n</w:t>
      </w:r>
      <w:r w:rsidR="00D32FC0" w:rsidRPr="00F55E60">
        <w:rPr>
          <w:lang w:val="fr-FR"/>
        </w:rPr>
        <w:t>’</w:t>
      </w:r>
      <w:r w:rsidRPr="00F55E60">
        <w:rPr>
          <w:lang w:val="fr-FR"/>
        </w:rPr>
        <w:t>a reçu aucune information du Ministère des affaires étrangères concernant d</w:t>
      </w:r>
      <w:r w:rsidR="00D32FC0" w:rsidRPr="00F55E60">
        <w:rPr>
          <w:lang w:val="fr-FR"/>
        </w:rPr>
        <w:t>’</w:t>
      </w:r>
      <w:r w:rsidRPr="00F55E60">
        <w:rPr>
          <w:lang w:val="fr-FR"/>
        </w:rPr>
        <w:t>éventuels risques de discrimination avant son emménagement en Jordanie. D</w:t>
      </w:r>
      <w:r w:rsidR="00D32FC0" w:rsidRPr="00F55E60">
        <w:rPr>
          <w:lang w:val="fr-FR"/>
        </w:rPr>
        <w:t>’</w:t>
      </w:r>
      <w:r w:rsidRPr="00F55E60">
        <w:rPr>
          <w:lang w:val="fr-FR"/>
        </w:rPr>
        <w:t>après l</w:t>
      </w:r>
      <w:r w:rsidR="00D32FC0" w:rsidRPr="00F55E60">
        <w:rPr>
          <w:lang w:val="fr-FR"/>
        </w:rPr>
        <w:t>’</w:t>
      </w:r>
      <w:r w:rsidRPr="00F55E60">
        <w:rPr>
          <w:lang w:val="fr-FR"/>
        </w:rPr>
        <w:t>auteure, l</w:t>
      </w:r>
      <w:r w:rsidR="00D32FC0" w:rsidRPr="00F55E60">
        <w:rPr>
          <w:lang w:val="fr-FR"/>
        </w:rPr>
        <w:t>’</w:t>
      </w:r>
      <w:r w:rsidRPr="00F55E60">
        <w:rPr>
          <w:lang w:val="fr-FR"/>
        </w:rPr>
        <w:t>Ukraine avait connaissance des pratiques de violences discriminatoires systématiques à l</w:t>
      </w:r>
      <w:r w:rsidR="00D32FC0" w:rsidRPr="00F55E60">
        <w:rPr>
          <w:lang w:val="fr-FR"/>
        </w:rPr>
        <w:t>’</w:t>
      </w:r>
      <w:r w:rsidRPr="00F55E60">
        <w:rPr>
          <w:lang w:val="fr-FR"/>
        </w:rPr>
        <w:t>égard des femmes et des enfants ukrainiens en Jordanie, et elle était tenue de signaler de telles pratiques et de prévenir et protéger ses ressortissants contre toute discrimination. Des consultations adéquates avec l</w:t>
      </w:r>
      <w:r w:rsidR="00D32FC0" w:rsidRPr="00F55E60">
        <w:rPr>
          <w:lang w:val="fr-FR"/>
        </w:rPr>
        <w:t>’</w:t>
      </w:r>
      <w:r w:rsidRPr="00F55E60">
        <w:rPr>
          <w:lang w:val="fr-FR"/>
        </w:rPr>
        <w:t>auteure auraient pu empêcher que ne soient violés son droit de ne pas subir de traitements cruels, inhumains ou dégradants, son droit à une protection égale devant la loi, et son droit à l</w:t>
      </w:r>
      <w:r w:rsidR="00D32FC0" w:rsidRPr="00F55E60">
        <w:rPr>
          <w:lang w:val="fr-FR"/>
        </w:rPr>
        <w:t>’</w:t>
      </w:r>
      <w:r w:rsidRPr="00F55E60">
        <w:rPr>
          <w:lang w:val="fr-FR"/>
        </w:rPr>
        <w:t>égalité dans la famille. L</w:t>
      </w:r>
      <w:r w:rsidR="00D32FC0" w:rsidRPr="00F55E60">
        <w:rPr>
          <w:lang w:val="fr-FR"/>
        </w:rPr>
        <w:t>’</w:t>
      </w:r>
      <w:r w:rsidRPr="00F55E60">
        <w:rPr>
          <w:lang w:val="fr-FR"/>
        </w:rPr>
        <w:t>auteure note que le Ministère avait connaissance − comme il est mentionné sur son site Internet – du fait que la majorité des ressortissants ukrainiens en Jordanie étaient des femmes qui avaient épousé des Jordaniens. Le site précisait même que, dans de nombreux cas, des mères ukrainiennes avaient dû quitter la Jordanie sans leurs enfants. Le fait que les tribunaux de la charia s</w:t>
      </w:r>
      <w:r w:rsidR="00D32FC0" w:rsidRPr="00F55E60">
        <w:rPr>
          <w:lang w:val="fr-FR"/>
        </w:rPr>
        <w:t>’</w:t>
      </w:r>
      <w:r w:rsidRPr="00F55E60">
        <w:rPr>
          <w:lang w:val="fr-FR"/>
        </w:rPr>
        <w:t>appuient sur des règles religieuses pour statuer sur les affaires de garde d</w:t>
      </w:r>
      <w:r w:rsidR="00D32FC0" w:rsidRPr="00F55E60">
        <w:rPr>
          <w:lang w:val="fr-FR"/>
        </w:rPr>
        <w:t>’</w:t>
      </w:r>
      <w:r w:rsidRPr="00F55E60">
        <w:rPr>
          <w:lang w:val="fr-FR"/>
        </w:rPr>
        <w:t xml:space="preserve">enfants est une source potentielle de discrimination des femmes chrétiennes. Le Ministère reconnaît que les </w:t>
      </w:r>
      <w:r w:rsidRPr="00F55E60">
        <w:rPr>
          <w:lang w:val="fr-FR"/>
        </w:rPr>
        <w:lastRenderedPageBreak/>
        <w:t>femmes ukrainiennes risquent manifestement d</w:t>
      </w:r>
      <w:r w:rsidR="00D32FC0" w:rsidRPr="00F55E60">
        <w:rPr>
          <w:lang w:val="fr-FR"/>
        </w:rPr>
        <w:t>’</w:t>
      </w:r>
      <w:r w:rsidRPr="00F55E60">
        <w:rPr>
          <w:lang w:val="fr-FR"/>
        </w:rPr>
        <w:t>être discriminées en Jordanie, et que ce risque doit être pris en compte avant de s</w:t>
      </w:r>
      <w:r w:rsidR="00D32FC0" w:rsidRPr="00F55E60">
        <w:rPr>
          <w:lang w:val="fr-FR"/>
        </w:rPr>
        <w:t>’</w:t>
      </w:r>
      <w:r w:rsidRPr="00F55E60">
        <w:rPr>
          <w:lang w:val="fr-FR"/>
        </w:rPr>
        <w:t>y installer, encore que l</w:t>
      </w:r>
      <w:r w:rsidR="00D32FC0" w:rsidRPr="00F55E60">
        <w:rPr>
          <w:lang w:val="fr-FR"/>
        </w:rPr>
        <w:t>’</w:t>
      </w:r>
      <w:r w:rsidRPr="00F55E60">
        <w:rPr>
          <w:lang w:val="fr-FR"/>
        </w:rPr>
        <w:t>auteure n</w:t>
      </w:r>
      <w:r w:rsidR="00D32FC0" w:rsidRPr="00F55E60">
        <w:rPr>
          <w:lang w:val="fr-FR"/>
        </w:rPr>
        <w:t>’</w:t>
      </w:r>
      <w:r w:rsidRPr="00F55E60">
        <w:rPr>
          <w:lang w:val="fr-FR"/>
        </w:rPr>
        <w:t>ait jamais été informée de cette question.</w:t>
      </w:r>
    </w:p>
    <w:p w14:paraId="6CE789DA" w14:textId="416FF9CC" w:rsidR="009265FF" w:rsidRPr="00F55E60" w:rsidRDefault="00A601EB" w:rsidP="009265FF">
      <w:pPr>
        <w:pStyle w:val="SingleTxt"/>
        <w:numPr>
          <w:ilvl w:val="0"/>
          <w:numId w:val="38"/>
        </w:numPr>
        <w:tabs>
          <w:tab w:val="left" w:pos="1742"/>
        </w:tabs>
        <w:spacing w:line="240" w:lineRule="exact"/>
        <w:rPr>
          <w:lang w:val="fr-FR"/>
        </w:rPr>
      </w:pPr>
      <w:r w:rsidRPr="00F55E60">
        <w:rPr>
          <w:lang w:val="fr-FR"/>
        </w:rPr>
        <w:t>En vertu de la Constitution jordanienne, les tribunaux de la charia sont compétents pour connaître de diverses sortes de différends familiaux, notamment en matière de mariage, de divorce, d</w:t>
      </w:r>
      <w:r w:rsidR="00D32FC0" w:rsidRPr="00F55E60">
        <w:rPr>
          <w:lang w:val="fr-FR"/>
        </w:rPr>
        <w:t>’</w:t>
      </w:r>
      <w:r w:rsidRPr="00F55E60">
        <w:rPr>
          <w:lang w:val="fr-FR"/>
        </w:rPr>
        <w:t>héritage et de garde d</w:t>
      </w:r>
      <w:r w:rsidR="00D32FC0" w:rsidRPr="00F55E60">
        <w:rPr>
          <w:lang w:val="fr-FR"/>
        </w:rPr>
        <w:t>’</w:t>
      </w:r>
      <w:r w:rsidRPr="00F55E60">
        <w:rPr>
          <w:lang w:val="fr-FR"/>
        </w:rPr>
        <w:t>enfants. Selon la Jordanian Women</w:t>
      </w:r>
      <w:r w:rsidR="00D32FC0" w:rsidRPr="00F55E60">
        <w:rPr>
          <w:lang w:val="fr-FR"/>
        </w:rPr>
        <w:t>’</w:t>
      </w:r>
      <w:r w:rsidRPr="00F55E60">
        <w:rPr>
          <w:lang w:val="fr-FR"/>
        </w:rPr>
        <w:t>s Union, les femmes ne comparaissent pas devant les tribunaux de la charia sur un pied d</w:t>
      </w:r>
      <w:r w:rsidR="00D32FC0" w:rsidRPr="00F55E60">
        <w:rPr>
          <w:lang w:val="fr-FR"/>
        </w:rPr>
        <w:t>’</w:t>
      </w:r>
      <w:r w:rsidRPr="00F55E60">
        <w:rPr>
          <w:lang w:val="fr-FR"/>
        </w:rPr>
        <w:t>égalité avec les hommes. En cas de conflit conjugal, une femme doit être représentée par son père ou son tuteur légal, alors qu</w:t>
      </w:r>
      <w:r w:rsidR="00D32FC0" w:rsidRPr="00F55E60">
        <w:rPr>
          <w:lang w:val="fr-FR"/>
        </w:rPr>
        <w:t>’</w:t>
      </w:r>
      <w:r w:rsidRPr="00F55E60">
        <w:rPr>
          <w:lang w:val="fr-FR"/>
        </w:rPr>
        <w:t>un homme se représente lui-même. En outre, l</w:t>
      </w:r>
      <w:r w:rsidR="00D32FC0" w:rsidRPr="00F55E60">
        <w:rPr>
          <w:lang w:val="fr-FR"/>
        </w:rPr>
        <w:t>’</w:t>
      </w:r>
      <w:r w:rsidRPr="00F55E60">
        <w:rPr>
          <w:lang w:val="fr-FR"/>
        </w:rPr>
        <w:t xml:space="preserve">article </w:t>
      </w:r>
      <w:r w:rsidRPr="00A135AC">
        <w:rPr>
          <w:lang w:val="fr-FR"/>
        </w:rPr>
        <w:t>3</w:t>
      </w:r>
      <w:r w:rsidRPr="00F55E60">
        <w:rPr>
          <w:lang w:val="fr-FR"/>
        </w:rPr>
        <w:t xml:space="preserve"> de la loi sur la nationalité dispose que toute personne dont le père est de nationalité jordanienne est considérée comme un citoyen jordanien. De plus, les ordonnances et les jugements rendus par des tribunaux étrangers en matière de garde d</w:t>
      </w:r>
      <w:r w:rsidR="00D32FC0" w:rsidRPr="00F55E60">
        <w:rPr>
          <w:lang w:val="fr-FR"/>
        </w:rPr>
        <w:t>’</w:t>
      </w:r>
      <w:r w:rsidRPr="00F55E60">
        <w:rPr>
          <w:lang w:val="fr-FR"/>
        </w:rPr>
        <w:t>enfants n</w:t>
      </w:r>
      <w:r w:rsidR="00D32FC0" w:rsidRPr="00F55E60">
        <w:rPr>
          <w:lang w:val="fr-FR"/>
        </w:rPr>
        <w:t>’</w:t>
      </w:r>
      <w:r w:rsidRPr="00F55E60">
        <w:rPr>
          <w:lang w:val="fr-FR"/>
        </w:rPr>
        <w:t>ont pas valeur exécutoire en Jordanie si, pour un motif ou pour un autre, ils entrent en contradiction ou en violation avec les lois et les pratiques du pays. Le Comité a fait référence au nombre élevé de cas de violence envers les femmes étrangères en Jordanie dans ses observations finales sur le cinquième rapport périodique de l</w:t>
      </w:r>
      <w:r w:rsidR="00D32FC0" w:rsidRPr="00F55E60">
        <w:rPr>
          <w:lang w:val="fr-FR"/>
        </w:rPr>
        <w:t>’</w:t>
      </w:r>
      <w:r w:rsidRPr="00F55E60">
        <w:rPr>
          <w:lang w:val="fr-FR"/>
        </w:rPr>
        <w:t>État partie (</w:t>
      </w:r>
      <w:hyperlink r:id="rId15" w:history="1">
        <w:r w:rsidRPr="00A135AC">
          <w:rPr>
            <w:rStyle w:val="Hyperlink"/>
            <w:lang w:val="fr-FR"/>
          </w:rPr>
          <w:t>CEDAW/C/JOR/CO/5</w:t>
        </w:r>
      </w:hyperlink>
      <w:r w:rsidRPr="00F55E60">
        <w:rPr>
          <w:lang w:val="fr-FR"/>
        </w:rPr>
        <w:t>).</w:t>
      </w:r>
    </w:p>
    <w:p w14:paraId="2386EA76" w14:textId="09DD889D" w:rsidR="009265FF" w:rsidRPr="00F55E60" w:rsidRDefault="009265FF" w:rsidP="009265FF">
      <w:pPr>
        <w:pStyle w:val="SingleTxt"/>
        <w:spacing w:after="0" w:line="120" w:lineRule="exact"/>
        <w:rPr>
          <w:sz w:val="10"/>
          <w:lang w:val="fr-FR"/>
        </w:rPr>
      </w:pPr>
    </w:p>
    <w:p w14:paraId="102224DB" w14:textId="55C6660A" w:rsidR="00A601EB" w:rsidRPr="00F55E60" w:rsidRDefault="00A601EB" w:rsidP="009265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E60">
        <w:rPr>
          <w:lang w:val="fr-FR"/>
        </w:rPr>
        <w:tab/>
      </w:r>
      <w:r w:rsidRPr="00F55E60">
        <w:rPr>
          <w:lang w:val="fr-FR"/>
        </w:rPr>
        <w:tab/>
        <w:t>Observations de l</w:t>
      </w:r>
      <w:r w:rsidR="00D32FC0" w:rsidRPr="00F55E60">
        <w:rPr>
          <w:lang w:val="fr-FR"/>
        </w:rPr>
        <w:t>’</w:t>
      </w:r>
      <w:r w:rsidRPr="00F55E60">
        <w:rPr>
          <w:lang w:val="fr-FR"/>
        </w:rPr>
        <w:t>État partie sur la recevabilité</w:t>
      </w:r>
    </w:p>
    <w:p w14:paraId="0228F932" w14:textId="78EC9F98" w:rsidR="009265FF" w:rsidRPr="00F55E60" w:rsidRDefault="009265FF" w:rsidP="009265FF">
      <w:pPr>
        <w:pStyle w:val="SingleTxt"/>
        <w:spacing w:after="0" w:line="120" w:lineRule="exact"/>
        <w:rPr>
          <w:sz w:val="10"/>
          <w:lang w:val="fr-FR"/>
        </w:rPr>
      </w:pPr>
    </w:p>
    <w:p w14:paraId="2D6EFC1C" w14:textId="7CD127C0" w:rsidR="00355540" w:rsidRPr="00F55E60" w:rsidRDefault="00A601EB" w:rsidP="00DC0137">
      <w:pPr>
        <w:pStyle w:val="SingleTxt"/>
        <w:numPr>
          <w:ilvl w:val="0"/>
          <w:numId w:val="39"/>
        </w:numPr>
        <w:tabs>
          <w:tab w:val="left" w:pos="1742"/>
        </w:tabs>
        <w:rPr>
          <w:lang w:val="fr-FR"/>
        </w:rPr>
      </w:pPr>
      <w:r w:rsidRPr="00F55E60">
        <w:rPr>
          <w:lang w:val="fr-FR"/>
        </w:rPr>
        <w:t>L</w:t>
      </w:r>
      <w:r w:rsidR="00D32FC0" w:rsidRPr="00F55E60">
        <w:rPr>
          <w:lang w:val="fr-FR"/>
        </w:rPr>
        <w:t>’</w:t>
      </w:r>
      <w:r w:rsidRPr="00F55E60">
        <w:rPr>
          <w:lang w:val="fr-FR"/>
        </w:rPr>
        <w:t xml:space="preserve">État partie a présenté ses observations dans une note verbale datée du </w:t>
      </w:r>
      <w:r w:rsidRPr="00A135AC">
        <w:rPr>
          <w:lang w:val="fr-FR"/>
        </w:rPr>
        <w:t>20</w:t>
      </w:r>
      <w:r w:rsidRPr="00F55E60">
        <w:rPr>
          <w:lang w:val="fr-FR"/>
        </w:rPr>
        <w:t xml:space="preserve"> juillet </w:t>
      </w:r>
      <w:r w:rsidRPr="00A135AC">
        <w:rPr>
          <w:lang w:val="fr-FR"/>
        </w:rPr>
        <w:t>2015</w:t>
      </w:r>
      <w:r w:rsidRPr="00F55E60">
        <w:rPr>
          <w:lang w:val="fr-FR"/>
        </w:rPr>
        <w:t>, contestant la recevabilité de la communication. Il note que l</w:t>
      </w:r>
      <w:r w:rsidR="00D32FC0" w:rsidRPr="00F55E60">
        <w:rPr>
          <w:lang w:val="fr-FR"/>
        </w:rPr>
        <w:t>’</w:t>
      </w:r>
      <w:r w:rsidRPr="00F55E60">
        <w:rPr>
          <w:lang w:val="fr-FR"/>
        </w:rPr>
        <w:t>auteure a soutenu que les efforts déployés par l</w:t>
      </w:r>
      <w:r w:rsidR="00D32FC0" w:rsidRPr="00F55E60">
        <w:rPr>
          <w:lang w:val="fr-FR"/>
        </w:rPr>
        <w:t>’</w:t>
      </w:r>
      <w:r w:rsidRPr="00F55E60">
        <w:rPr>
          <w:lang w:val="fr-FR"/>
        </w:rPr>
        <w:t>ambassade d</w:t>
      </w:r>
      <w:r w:rsidR="00D32FC0" w:rsidRPr="00F55E60">
        <w:rPr>
          <w:lang w:val="fr-FR"/>
        </w:rPr>
        <w:t>’</w:t>
      </w:r>
      <w:r w:rsidRPr="00F55E60">
        <w:rPr>
          <w:lang w:val="fr-FR"/>
        </w:rPr>
        <w:t>Ukraine à Amman pour ramener la plus jeune fille auprès de sa mère</w:t>
      </w:r>
      <w:r w:rsidR="008E3C5C">
        <w:rPr>
          <w:lang w:val="fr-FR"/>
        </w:rPr>
        <w:t>,</w:t>
      </w:r>
      <w:r w:rsidRPr="00F55E60">
        <w:rPr>
          <w:lang w:val="fr-FR"/>
        </w:rPr>
        <w:t xml:space="preserve"> et ce</w:t>
      </w:r>
      <w:r w:rsidR="008E3C5C">
        <w:rPr>
          <w:lang w:val="fr-FR"/>
        </w:rPr>
        <w:t>,</w:t>
      </w:r>
      <w:r w:rsidRPr="00F55E60">
        <w:rPr>
          <w:lang w:val="fr-FR"/>
        </w:rPr>
        <w:t xml:space="preserve"> conformément à la décision du tribunal de la charia avaient été minimes et inefficaces. L</w:t>
      </w:r>
      <w:r w:rsidR="00D32FC0" w:rsidRPr="00F55E60">
        <w:rPr>
          <w:lang w:val="fr-FR"/>
        </w:rPr>
        <w:t>’</w:t>
      </w:r>
      <w:r w:rsidRPr="00F55E60">
        <w:rPr>
          <w:lang w:val="fr-FR"/>
        </w:rPr>
        <w:t>État partie note qu</w:t>
      </w:r>
      <w:r w:rsidR="00D32FC0" w:rsidRPr="00F55E60">
        <w:rPr>
          <w:lang w:val="fr-FR"/>
        </w:rPr>
        <w:t>’</w:t>
      </w:r>
      <w:r w:rsidRPr="00F55E60">
        <w:rPr>
          <w:lang w:val="fr-FR"/>
        </w:rPr>
        <w:t>en vertu de la décision en question, la fille n</w:t>
      </w:r>
      <w:r w:rsidR="00D32FC0" w:rsidRPr="00F55E60">
        <w:rPr>
          <w:lang w:val="fr-FR"/>
        </w:rPr>
        <w:t>’</w:t>
      </w:r>
      <w:r w:rsidRPr="00F55E60">
        <w:rPr>
          <w:lang w:val="fr-FR"/>
        </w:rPr>
        <w:t>a pas été confiée à la garde de sa mère et que la décision du tribunal ne formule rien en ce sens. La fille a été de facto confiée à la garde de son père, sa mère ne se trouvant pas en Jordanie à ce moment-là et n</w:t>
      </w:r>
      <w:r w:rsidR="00D32FC0" w:rsidRPr="00F55E60">
        <w:rPr>
          <w:lang w:val="fr-FR"/>
        </w:rPr>
        <w:t>’</w:t>
      </w:r>
      <w:r w:rsidRPr="00F55E60">
        <w:rPr>
          <w:lang w:val="fr-FR"/>
        </w:rPr>
        <w:t>ayant pas entrepris d</w:t>
      </w:r>
      <w:r w:rsidR="00D32FC0" w:rsidRPr="00F55E60">
        <w:rPr>
          <w:lang w:val="fr-FR"/>
        </w:rPr>
        <w:t>’</w:t>
      </w:r>
      <w:r w:rsidRPr="00F55E60">
        <w:rPr>
          <w:lang w:val="fr-FR"/>
        </w:rPr>
        <w:t>action en justice pour obtenir la garde de sa fille.</w:t>
      </w:r>
    </w:p>
    <w:p w14:paraId="790DD08C" w14:textId="738B2DB2" w:rsidR="00A601EB" w:rsidRPr="00F55E60" w:rsidRDefault="00A601EB" w:rsidP="00DC0137">
      <w:pPr>
        <w:pStyle w:val="SingleTxt"/>
        <w:numPr>
          <w:ilvl w:val="0"/>
          <w:numId w:val="39"/>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a également argué que l</w:t>
      </w:r>
      <w:r w:rsidR="00D32FC0" w:rsidRPr="00F55E60">
        <w:rPr>
          <w:lang w:val="fr-FR"/>
        </w:rPr>
        <w:t>’</w:t>
      </w:r>
      <w:r w:rsidRPr="00F55E60">
        <w:rPr>
          <w:lang w:val="fr-FR"/>
        </w:rPr>
        <w:t>Ukraine n</w:t>
      </w:r>
      <w:r w:rsidR="00D32FC0" w:rsidRPr="00F55E60">
        <w:rPr>
          <w:lang w:val="fr-FR"/>
        </w:rPr>
        <w:t>’</w:t>
      </w:r>
      <w:r w:rsidRPr="00F55E60">
        <w:rPr>
          <w:lang w:val="fr-FR"/>
        </w:rPr>
        <w:t xml:space="preserve">avait pas donné suite à la décision du tribunal ukrainien de confier la garde des deux filles à leur mère. </w:t>
      </w:r>
      <w:r w:rsidR="00F55E60" w:rsidRPr="00F55E60">
        <w:rPr>
          <w:lang w:val="fr-FR"/>
        </w:rPr>
        <w:t>À</w:t>
      </w:r>
      <w:r w:rsidRPr="00F55E60">
        <w:rPr>
          <w:lang w:val="fr-FR"/>
        </w:rPr>
        <w:t xml:space="preserve"> défaut d</w:t>
      </w:r>
      <w:r w:rsidR="00D32FC0" w:rsidRPr="00F55E60">
        <w:rPr>
          <w:lang w:val="fr-FR"/>
        </w:rPr>
        <w:t>’</w:t>
      </w:r>
      <w:r w:rsidRPr="00F55E60">
        <w:rPr>
          <w:lang w:val="fr-FR"/>
        </w:rPr>
        <w:t>accord bilatéral, les décisions des tribunaux ukrainiens ne sont pas contraignantes en Jordanie. En vertu de la loi jordanienne sur l</w:t>
      </w:r>
      <w:r w:rsidR="00D32FC0" w:rsidRPr="00F55E60">
        <w:rPr>
          <w:lang w:val="fr-FR"/>
        </w:rPr>
        <w:t>’</w:t>
      </w:r>
      <w:r w:rsidRPr="00F55E60">
        <w:rPr>
          <w:lang w:val="fr-FR"/>
        </w:rPr>
        <w:t>exécution des décisions de tribunaux étrangers, les ordonnances et les jugements rendus par les tribunaux étrangers en matière de garde d</w:t>
      </w:r>
      <w:r w:rsidR="00D32FC0" w:rsidRPr="00F55E60">
        <w:rPr>
          <w:lang w:val="fr-FR"/>
        </w:rPr>
        <w:t>’</w:t>
      </w:r>
      <w:r w:rsidRPr="00F55E60">
        <w:rPr>
          <w:lang w:val="fr-FR"/>
        </w:rPr>
        <w:t>enfants n</w:t>
      </w:r>
      <w:r w:rsidR="00D32FC0" w:rsidRPr="00F55E60">
        <w:rPr>
          <w:lang w:val="fr-FR"/>
        </w:rPr>
        <w:t>’</w:t>
      </w:r>
      <w:r w:rsidRPr="00F55E60">
        <w:rPr>
          <w:lang w:val="fr-FR"/>
        </w:rPr>
        <w:t>ont pas valeur exécutoire en Jordanie si, pour un motif ou pour un autre, ils entrent en contradiction ou en violation avec la législation ou les pratiques du pays. Les autorités jordaniennes ont rejeté les décisions ukrainiennes en l</w:t>
      </w:r>
      <w:r w:rsidR="00D32FC0" w:rsidRPr="00F55E60">
        <w:rPr>
          <w:lang w:val="fr-FR"/>
        </w:rPr>
        <w:t>’</w:t>
      </w:r>
      <w:r w:rsidRPr="00F55E60">
        <w:rPr>
          <w:lang w:val="fr-FR"/>
        </w:rPr>
        <w:t>espèce.</w:t>
      </w:r>
    </w:p>
    <w:p w14:paraId="220692EE" w14:textId="5DE36036" w:rsidR="00A601EB" w:rsidRPr="00F55E60" w:rsidRDefault="00A601EB" w:rsidP="00DC0137">
      <w:pPr>
        <w:pStyle w:val="SingleTxt"/>
        <w:numPr>
          <w:ilvl w:val="0"/>
          <w:numId w:val="39"/>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affirme en outre que l</w:t>
      </w:r>
      <w:r w:rsidR="00D32FC0" w:rsidRPr="00F55E60">
        <w:rPr>
          <w:lang w:val="fr-FR"/>
        </w:rPr>
        <w:t>’</w:t>
      </w:r>
      <w:r w:rsidRPr="00F55E60">
        <w:rPr>
          <w:lang w:val="fr-FR"/>
        </w:rPr>
        <w:t>ambassade d</w:t>
      </w:r>
      <w:r w:rsidR="00D32FC0" w:rsidRPr="00F55E60">
        <w:rPr>
          <w:lang w:val="fr-FR"/>
        </w:rPr>
        <w:t>’</w:t>
      </w:r>
      <w:r w:rsidRPr="00F55E60">
        <w:rPr>
          <w:lang w:val="fr-FR"/>
        </w:rPr>
        <w:t>Ukraine n</w:t>
      </w:r>
      <w:r w:rsidR="00D32FC0" w:rsidRPr="00F55E60">
        <w:rPr>
          <w:lang w:val="fr-FR"/>
        </w:rPr>
        <w:t>’</w:t>
      </w:r>
      <w:r w:rsidRPr="00F55E60">
        <w:rPr>
          <w:lang w:val="fr-FR"/>
        </w:rPr>
        <w:t>a pas pris les mesures nécessaires en vue de parvenir à la signature d</w:t>
      </w:r>
      <w:r w:rsidR="00D32FC0" w:rsidRPr="00F55E60">
        <w:rPr>
          <w:lang w:val="fr-FR"/>
        </w:rPr>
        <w:t>’</w:t>
      </w:r>
      <w:r w:rsidRPr="00F55E60">
        <w:rPr>
          <w:lang w:val="fr-FR"/>
        </w:rPr>
        <w:t>un accord bilatéral avec la Jordanie. L</w:t>
      </w:r>
      <w:r w:rsidR="00D32FC0" w:rsidRPr="00F55E60">
        <w:rPr>
          <w:lang w:val="fr-FR"/>
        </w:rPr>
        <w:t>’</w:t>
      </w:r>
      <w:r w:rsidRPr="00F55E60">
        <w:rPr>
          <w:lang w:val="fr-FR"/>
        </w:rPr>
        <w:t>État partie explique que son ambassade a entamé à plusieurs reprises la procédure de conclusion d</w:t>
      </w:r>
      <w:r w:rsidR="00D32FC0" w:rsidRPr="00F55E60">
        <w:rPr>
          <w:lang w:val="fr-FR"/>
        </w:rPr>
        <w:t>’</w:t>
      </w:r>
      <w:r w:rsidRPr="00F55E60">
        <w:rPr>
          <w:lang w:val="fr-FR"/>
        </w:rPr>
        <w:t>un accord bilatéral sur l</w:t>
      </w:r>
      <w:r w:rsidR="00D32FC0" w:rsidRPr="00F55E60">
        <w:rPr>
          <w:lang w:val="fr-FR"/>
        </w:rPr>
        <w:t>’</w:t>
      </w:r>
      <w:r w:rsidRPr="00F55E60">
        <w:rPr>
          <w:lang w:val="fr-FR"/>
        </w:rPr>
        <w:t>entraide judiciaire dans le domaine des questions relatives à la famille, lors des consultations avec le Ministère des affaires étrangères de Jordanie. Toutefois, les homologues jordaniens concernés n</w:t>
      </w:r>
      <w:r w:rsidR="00D32FC0" w:rsidRPr="00F55E60">
        <w:rPr>
          <w:lang w:val="fr-FR"/>
        </w:rPr>
        <w:t>’</w:t>
      </w:r>
      <w:r w:rsidRPr="00F55E60">
        <w:rPr>
          <w:lang w:val="fr-FR"/>
        </w:rPr>
        <w:t>étaient pas favorables à cette idée, faisant valoir qu</w:t>
      </w:r>
      <w:r w:rsidR="00D32FC0" w:rsidRPr="00F55E60">
        <w:rPr>
          <w:lang w:val="fr-FR"/>
        </w:rPr>
        <w:t>’</w:t>
      </w:r>
      <w:r w:rsidRPr="00F55E60">
        <w:rPr>
          <w:lang w:val="fr-FR"/>
        </w:rPr>
        <w:t>un tel accord soulèverait de nombreux conflits juridiques par rapport au droit de la famille jordanien, qui s</w:t>
      </w:r>
      <w:r w:rsidR="00D32FC0" w:rsidRPr="00F55E60">
        <w:rPr>
          <w:lang w:val="fr-FR"/>
        </w:rPr>
        <w:t>’</w:t>
      </w:r>
      <w:r w:rsidRPr="00F55E60">
        <w:rPr>
          <w:lang w:val="fr-FR"/>
        </w:rPr>
        <w:t>appuie sur la charia et les traditions islamiques. L</w:t>
      </w:r>
      <w:r w:rsidR="00D32FC0" w:rsidRPr="00F55E60">
        <w:rPr>
          <w:lang w:val="fr-FR"/>
        </w:rPr>
        <w:t>’</w:t>
      </w:r>
      <w:r w:rsidRPr="00F55E60">
        <w:rPr>
          <w:lang w:val="fr-FR"/>
        </w:rPr>
        <w:t>Ukraine poursuit ses efforts pour parvenir à un tel accord.</w:t>
      </w:r>
    </w:p>
    <w:p w14:paraId="165F11F9" w14:textId="78B7F6D5" w:rsidR="00355540" w:rsidRPr="00F55E60" w:rsidRDefault="00A601EB" w:rsidP="00DC0137">
      <w:pPr>
        <w:pStyle w:val="SingleTxt"/>
        <w:numPr>
          <w:ilvl w:val="0"/>
          <w:numId w:val="39"/>
        </w:numPr>
        <w:tabs>
          <w:tab w:val="left" w:pos="1742"/>
        </w:tabs>
        <w:spacing w:line="240" w:lineRule="exact"/>
        <w:rPr>
          <w:lang w:val="fr-FR"/>
        </w:rPr>
      </w:pPr>
      <w:r w:rsidRPr="00F55E60">
        <w:rPr>
          <w:lang w:val="fr-FR"/>
        </w:rPr>
        <w:t>Selon l</w:t>
      </w:r>
      <w:r w:rsidR="00D32FC0" w:rsidRPr="00F55E60">
        <w:rPr>
          <w:lang w:val="fr-FR"/>
        </w:rPr>
        <w:t>’</w:t>
      </w:r>
      <w:r w:rsidRPr="00F55E60">
        <w:rPr>
          <w:lang w:val="fr-FR"/>
        </w:rPr>
        <w:t>État partie, au cours des audiences devant le tribunal de la charia, l</w:t>
      </w:r>
      <w:r w:rsidR="00D32FC0" w:rsidRPr="00F55E60">
        <w:rPr>
          <w:lang w:val="fr-FR"/>
        </w:rPr>
        <w:t>’</w:t>
      </w:r>
      <w:r w:rsidRPr="00F55E60">
        <w:rPr>
          <w:lang w:val="fr-FR"/>
        </w:rPr>
        <w:t>auteure a été assistée d</w:t>
      </w:r>
      <w:r w:rsidR="00D32FC0" w:rsidRPr="00F55E60">
        <w:rPr>
          <w:lang w:val="fr-FR"/>
        </w:rPr>
        <w:t>’</w:t>
      </w:r>
      <w:r w:rsidRPr="00F55E60">
        <w:rPr>
          <w:lang w:val="fr-FR"/>
        </w:rPr>
        <w:t>un avocat jordanien et a bénéficié des recommandations de l</w:t>
      </w:r>
      <w:r w:rsidR="00D32FC0" w:rsidRPr="00F55E60">
        <w:rPr>
          <w:lang w:val="fr-FR"/>
        </w:rPr>
        <w:t>’</w:t>
      </w:r>
      <w:r w:rsidRPr="00F55E60">
        <w:rPr>
          <w:lang w:val="fr-FR"/>
        </w:rPr>
        <w:t>ambassade sur ses droits en tant que chrétienne en Jordanie.</w:t>
      </w:r>
    </w:p>
    <w:p w14:paraId="5B7A2A67" w14:textId="2AFDD489" w:rsidR="00355540" w:rsidRPr="00F55E60" w:rsidRDefault="00A601EB" w:rsidP="00DC0137">
      <w:pPr>
        <w:pStyle w:val="SingleTxt"/>
        <w:numPr>
          <w:ilvl w:val="0"/>
          <w:numId w:val="39"/>
        </w:numPr>
        <w:tabs>
          <w:tab w:val="left" w:pos="1742"/>
        </w:tabs>
        <w:spacing w:line="240" w:lineRule="exact"/>
        <w:rPr>
          <w:lang w:val="fr-FR"/>
        </w:rPr>
      </w:pPr>
      <w:r w:rsidRPr="00F55E60">
        <w:rPr>
          <w:lang w:val="fr-FR"/>
        </w:rPr>
        <w:lastRenderedPageBreak/>
        <w:t>L</w:t>
      </w:r>
      <w:r w:rsidR="00D32FC0" w:rsidRPr="00F55E60">
        <w:rPr>
          <w:lang w:val="fr-FR"/>
        </w:rPr>
        <w:t>’</w:t>
      </w:r>
      <w:r w:rsidRPr="00F55E60">
        <w:rPr>
          <w:lang w:val="fr-FR"/>
        </w:rPr>
        <w:t>État partie souligne en outre que l</w:t>
      </w:r>
      <w:r w:rsidR="00D32FC0" w:rsidRPr="00F55E60">
        <w:rPr>
          <w:lang w:val="fr-FR"/>
        </w:rPr>
        <w:t>’</w:t>
      </w:r>
      <w:r w:rsidRPr="00F55E60">
        <w:rPr>
          <w:lang w:val="fr-FR"/>
        </w:rPr>
        <w:t>auteure n</w:t>
      </w:r>
      <w:r w:rsidR="00D32FC0" w:rsidRPr="00F55E60">
        <w:rPr>
          <w:lang w:val="fr-FR"/>
        </w:rPr>
        <w:t>’</w:t>
      </w:r>
      <w:r w:rsidRPr="00F55E60">
        <w:rPr>
          <w:lang w:val="fr-FR"/>
        </w:rPr>
        <w:t>a pas encore introduit de requête auprès du tribunal de la charia en Jordanie afin d</w:t>
      </w:r>
      <w:r w:rsidR="00D32FC0" w:rsidRPr="00F55E60">
        <w:rPr>
          <w:lang w:val="fr-FR"/>
        </w:rPr>
        <w:t>’</w:t>
      </w:r>
      <w:r w:rsidRPr="00F55E60">
        <w:rPr>
          <w:lang w:val="fr-FR"/>
        </w:rPr>
        <w:t>obtenir la garde de sa fille cadette. Étant donné que la présence de l</w:t>
      </w:r>
      <w:r w:rsidR="00D32FC0" w:rsidRPr="00F55E60">
        <w:rPr>
          <w:lang w:val="fr-FR"/>
        </w:rPr>
        <w:t>’</w:t>
      </w:r>
      <w:r w:rsidRPr="00F55E60">
        <w:rPr>
          <w:lang w:val="fr-FR"/>
        </w:rPr>
        <w:t>auteure en Jordanie risquait de la mettre en danger en raison de la non-exécution d</w:t>
      </w:r>
      <w:r w:rsidR="00D32FC0" w:rsidRPr="00F55E60">
        <w:rPr>
          <w:lang w:val="fr-FR"/>
        </w:rPr>
        <w:t>’</w:t>
      </w:r>
      <w:r w:rsidRPr="00F55E60">
        <w:rPr>
          <w:lang w:val="fr-FR"/>
        </w:rPr>
        <w:t>une décision antérieure du tribunal de la charia, l</w:t>
      </w:r>
      <w:r w:rsidR="00D32FC0" w:rsidRPr="00F55E60">
        <w:rPr>
          <w:lang w:val="fr-FR"/>
        </w:rPr>
        <w:t>’</w:t>
      </w:r>
      <w:r w:rsidRPr="00F55E60">
        <w:rPr>
          <w:lang w:val="fr-FR"/>
        </w:rPr>
        <w:t>auteure pouvait introduire sa requête en donnant procuration à un avocat jordanien. L</w:t>
      </w:r>
      <w:r w:rsidR="00D32FC0" w:rsidRPr="00F55E60">
        <w:rPr>
          <w:lang w:val="fr-FR"/>
        </w:rPr>
        <w:t>’</w:t>
      </w:r>
      <w:r w:rsidRPr="00F55E60">
        <w:rPr>
          <w:lang w:val="fr-FR"/>
        </w:rPr>
        <w:t>avocat pouvait aussi rendre visite à la fille de l</w:t>
      </w:r>
      <w:r w:rsidR="00D32FC0" w:rsidRPr="00F55E60">
        <w:rPr>
          <w:lang w:val="fr-FR"/>
        </w:rPr>
        <w:t>’</w:t>
      </w:r>
      <w:r w:rsidRPr="00F55E60">
        <w:rPr>
          <w:lang w:val="fr-FR"/>
        </w:rPr>
        <w:t>auteure et s</w:t>
      </w:r>
      <w:r w:rsidR="00D32FC0" w:rsidRPr="00F55E60">
        <w:rPr>
          <w:lang w:val="fr-FR"/>
        </w:rPr>
        <w:t>’</w:t>
      </w:r>
      <w:r w:rsidRPr="00F55E60">
        <w:rPr>
          <w:lang w:val="fr-FR"/>
        </w:rPr>
        <w:t>assurer de ses conditions de vie. Dans ses courriers, l</w:t>
      </w:r>
      <w:r w:rsidR="00D32FC0" w:rsidRPr="00F55E60">
        <w:rPr>
          <w:lang w:val="fr-FR"/>
        </w:rPr>
        <w:t>’</w:t>
      </w:r>
      <w:r w:rsidRPr="00F55E60">
        <w:rPr>
          <w:lang w:val="fr-FR"/>
        </w:rPr>
        <w:t>ambassade a invité, à maintes reprises, l</w:t>
      </w:r>
      <w:r w:rsidR="00D32FC0" w:rsidRPr="00F55E60">
        <w:rPr>
          <w:lang w:val="fr-FR"/>
        </w:rPr>
        <w:t>’</w:t>
      </w:r>
      <w:r w:rsidRPr="00F55E60">
        <w:rPr>
          <w:lang w:val="fr-FR"/>
        </w:rPr>
        <w:t>auteure à entamer une telle procédure, mais elle s</w:t>
      </w:r>
      <w:r w:rsidR="00D32FC0" w:rsidRPr="00F55E60">
        <w:rPr>
          <w:lang w:val="fr-FR"/>
        </w:rPr>
        <w:t>’</w:t>
      </w:r>
      <w:r w:rsidRPr="00F55E60">
        <w:rPr>
          <w:lang w:val="fr-FR"/>
        </w:rPr>
        <w:t>y est refusée, mettant en revanche l</w:t>
      </w:r>
      <w:r w:rsidR="00D32FC0" w:rsidRPr="00F55E60">
        <w:rPr>
          <w:lang w:val="fr-FR"/>
        </w:rPr>
        <w:t>’</w:t>
      </w:r>
      <w:r w:rsidRPr="00F55E60">
        <w:rPr>
          <w:lang w:val="fr-FR"/>
        </w:rPr>
        <w:t>accent sur l</w:t>
      </w:r>
      <w:r w:rsidR="00D32FC0" w:rsidRPr="00F55E60">
        <w:rPr>
          <w:lang w:val="fr-FR"/>
        </w:rPr>
        <w:t>’</w:t>
      </w:r>
      <w:r w:rsidRPr="00F55E60">
        <w:rPr>
          <w:lang w:val="fr-FR"/>
        </w:rPr>
        <w:t>application des décisions de justice ukrainiennes par la voie diplomatique, ou estimant, à tort, que la décision du tribunal de la charia lui avait accordé la garde de sa fille cadette et que, par conséquent, il n</w:t>
      </w:r>
      <w:r w:rsidR="00D32FC0" w:rsidRPr="00F55E60">
        <w:rPr>
          <w:lang w:val="fr-FR"/>
        </w:rPr>
        <w:t>’</w:t>
      </w:r>
      <w:r w:rsidRPr="00F55E60">
        <w:rPr>
          <w:lang w:val="fr-FR"/>
        </w:rPr>
        <w:t>était pas nécessaire d</w:t>
      </w:r>
      <w:r w:rsidR="00D32FC0" w:rsidRPr="00F55E60">
        <w:rPr>
          <w:lang w:val="fr-FR"/>
        </w:rPr>
        <w:t>’</w:t>
      </w:r>
      <w:r w:rsidRPr="00F55E60">
        <w:rPr>
          <w:lang w:val="fr-FR"/>
        </w:rPr>
        <w:t>engager une nouvelle procédure.</w:t>
      </w:r>
    </w:p>
    <w:p w14:paraId="556F585A" w14:textId="0B2209C2" w:rsidR="00A601EB" w:rsidRPr="00F55E60" w:rsidRDefault="00A601EB" w:rsidP="00DC0137">
      <w:pPr>
        <w:pStyle w:val="SingleTxt"/>
        <w:numPr>
          <w:ilvl w:val="0"/>
          <w:numId w:val="39"/>
        </w:numPr>
        <w:tabs>
          <w:tab w:val="left" w:pos="1742"/>
        </w:tabs>
        <w:spacing w:line="240" w:lineRule="exact"/>
        <w:rPr>
          <w:lang w:val="fr-FR"/>
        </w:rPr>
      </w:pPr>
      <w:r w:rsidRPr="00F55E60">
        <w:rPr>
          <w:lang w:val="fr-FR"/>
        </w:rPr>
        <w:t>L</w:t>
      </w:r>
      <w:r w:rsidR="00D32FC0" w:rsidRPr="00F55E60">
        <w:rPr>
          <w:lang w:val="fr-FR"/>
        </w:rPr>
        <w:t>’</w:t>
      </w:r>
      <w:r w:rsidRPr="00F55E60">
        <w:rPr>
          <w:lang w:val="fr-FR"/>
        </w:rPr>
        <w:t>État partie note en outre que l</w:t>
      </w:r>
      <w:r w:rsidR="00D32FC0" w:rsidRPr="00F55E60">
        <w:rPr>
          <w:lang w:val="fr-FR"/>
        </w:rPr>
        <w:t>’</w:t>
      </w:r>
      <w:r w:rsidRPr="00F55E60">
        <w:rPr>
          <w:lang w:val="fr-FR"/>
        </w:rPr>
        <w:t>auteure n</w:t>
      </w:r>
      <w:r w:rsidR="00D32FC0" w:rsidRPr="00F55E60">
        <w:rPr>
          <w:lang w:val="fr-FR"/>
        </w:rPr>
        <w:t>’</w:t>
      </w:r>
      <w:r w:rsidRPr="00F55E60">
        <w:rPr>
          <w:lang w:val="fr-FR"/>
        </w:rPr>
        <w:t>a pas fait appel devant la police de la famille jordanienne et le Département de défense des droits de l</w:t>
      </w:r>
      <w:r w:rsidR="00D32FC0" w:rsidRPr="00F55E60">
        <w:rPr>
          <w:lang w:val="fr-FR"/>
        </w:rPr>
        <w:t>’</w:t>
      </w:r>
      <w:r w:rsidRPr="00F55E60">
        <w:rPr>
          <w:lang w:val="fr-FR"/>
        </w:rPr>
        <w:t>homme jordanien par l</w:t>
      </w:r>
      <w:r w:rsidR="00D32FC0" w:rsidRPr="00F55E60">
        <w:rPr>
          <w:lang w:val="fr-FR"/>
        </w:rPr>
        <w:t>’</w:t>
      </w:r>
      <w:r w:rsidRPr="00F55E60">
        <w:rPr>
          <w:lang w:val="fr-FR"/>
        </w:rPr>
        <w:t>intermédiaire d</w:t>
      </w:r>
      <w:r w:rsidR="00D32FC0" w:rsidRPr="00F55E60">
        <w:rPr>
          <w:lang w:val="fr-FR"/>
        </w:rPr>
        <w:t>’</w:t>
      </w:r>
      <w:r w:rsidRPr="00F55E60">
        <w:rPr>
          <w:lang w:val="fr-FR"/>
        </w:rPr>
        <w:t>un avocat local. Or les services de police peuvent s</w:t>
      </w:r>
      <w:r w:rsidR="00D32FC0" w:rsidRPr="00F55E60">
        <w:rPr>
          <w:lang w:val="fr-FR"/>
        </w:rPr>
        <w:t>’</w:t>
      </w:r>
      <w:r w:rsidRPr="00F55E60">
        <w:rPr>
          <w:lang w:val="fr-FR"/>
        </w:rPr>
        <w:t>assurer des conditions de vie de la fille de l</w:t>
      </w:r>
      <w:r w:rsidR="00D32FC0" w:rsidRPr="00F55E60">
        <w:rPr>
          <w:lang w:val="fr-FR"/>
        </w:rPr>
        <w:t>’</w:t>
      </w:r>
      <w:r w:rsidRPr="00F55E60">
        <w:rPr>
          <w:lang w:val="fr-FR"/>
        </w:rPr>
        <w:t>auteure. Si la police de la famille juge insatisfaisantes ces conditions, la garde de l</w:t>
      </w:r>
      <w:r w:rsidR="00D32FC0" w:rsidRPr="00F55E60">
        <w:rPr>
          <w:lang w:val="fr-FR"/>
        </w:rPr>
        <w:t>’</w:t>
      </w:r>
      <w:r w:rsidRPr="00F55E60">
        <w:rPr>
          <w:lang w:val="fr-FR"/>
        </w:rPr>
        <w:t>enfant peut être transférée à sa mère.</w:t>
      </w:r>
    </w:p>
    <w:p w14:paraId="1FF92F77" w14:textId="359EB2EF" w:rsidR="00DC0137" w:rsidRPr="00F55E60" w:rsidRDefault="00DC0137" w:rsidP="00DC0137">
      <w:pPr>
        <w:pStyle w:val="SingleTxt"/>
        <w:spacing w:after="0" w:line="120" w:lineRule="exact"/>
        <w:rPr>
          <w:sz w:val="10"/>
          <w:lang w:val="fr-FR"/>
        </w:rPr>
      </w:pPr>
    </w:p>
    <w:p w14:paraId="2B9D5C3F" w14:textId="79C50163" w:rsidR="00A601EB" w:rsidRPr="00F55E60" w:rsidRDefault="00A601EB" w:rsidP="00DC01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E60">
        <w:rPr>
          <w:lang w:val="fr-FR"/>
        </w:rPr>
        <w:tab/>
      </w:r>
      <w:r w:rsidRPr="00F55E60">
        <w:rPr>
          <w:lang w:val="fr-FR"/>
        </w:rPr>
        <w:tab/>
        <w:t>Commentaires de l</w:t>
      </w:r>
      <w:r w:rsidR="00D32FC0" w:rsidRPr="00F55E60">
        <w:rPr>
          <w:lang w:val="fr-FR"/>
        </w:rPr>
        <w:t>’</w:t>
      </w:r>
      <w:r w:rsidRPr="00F55E60">
        <w:rPr>
          <w:lang w:val="fr-FR"/>
        </w:rPr>
        <w:t>auteure sur les observations de l</w:t>
      </w:r>
      <w:r w:rsidR="00D32FC0" w:rsidRPr="00F55E60">
        <w:rPr>
          <w:lang w:val="fr-FR"/>
        </w:rPr>
        <w:t>’</w:t>
      </w:r>
      <w:r w:rsidRPr="00F55E60">
        <w:rPr>
          <w:lang w:val="fr-FR"/>
        </w:rPr>
        <w:t>État partie quant</w:t>
      </w:r>
      <w:r w:rsidR="008827D3" w:rsidRPr="00F55E60">
        <w:rPr>
          <w:lang w:val="fr-FR"/>
        </w:rPr>
        <w:br/>
      </w:r>
      <w:r w:rsidRPr="00F55E60">
        <w:rPr>
          <w:lang w:val="fr-FR"/>
        </w:rPr>
        <w:t>à la recevabilité</w:t>
      </w:r>
    </w:p>
    <w:p w14:paraId="1C83CCFF" w14:textId="075C0CDC" w:rsidR="00DC0137" w:rsidRPr="00F55E60" w:rsidRDefault="00DC0137" w:rsidP="00DC0137">
      <w:pPr>
        <w:pStyle w:val="SingleTxt"/>
        <w:spacing w:after="0" w:line="120" w:lineRule="exact"/>
        <w:rPr>
          <w:sz w:val="10"/>
          <w:lang w:val="fr-FR"/>
        </w:rPr>
      </w:pPr>
    </w:p>
    <w:p w14:paraId="4EE8B7C6" w14:textId="4DCB8FA4" w:rsidR="00A601EB" w:rsidRPr="00F55E60" w:rsidRDefault="00A601EB" w:rsidP="00DC0137">
      <w:pPr>
        <w:pStyle w:val="SingleTxt"/>
        <w:numPr>
          <w:ilvl w:val="0"/>
          <w:numId w:val="40"/>
        </w:numPr>
        <w:tabs>
          <w:tab w:val="left" w:pos="1742"/>
        </w:tabs>
        <w:rPr>
          <w:lang w:val="fr-FR"/>
        </w:rPr>
      </w:pPr>
      <w:r w:rsidRPr="00F55E60">
        <w:rPr>
          <w:lang w:val="fr-FR"/>
        </w:rPr>
        <w:t xml:space="preserve">Le </w:t>
      </w:r>
      <w:r w:rsidRPr="00A135AC">
        <w:rPr>
          <w:lang w:val="fr-FR"/>
        </w:rPr>
        <w:t>21</w:t>
      </w:r>
      <w:r w:rsidRPr="00F55E60">
        <w:rPr>
          <w:lang w:val="fr-FR"/>
        </w:rPr>
        <w:t xml:space="preserve"> janvier </w:t>
      </w:r>
      <w:r w:rsidRPr="00A135AC">
        <w:rPr>
          <w:lang w:val="fr-FR"/>
        </w:rPr>
        <w:t>2016</w:t>
      </w:r>
      <w:r w:rsidRPr="00F55E60">
        <w:rPr>
          <w:lang w:val="fr-FR"/>
        </w:rPr>
        <w:t>, l</w:t>
      </w:r>
      <w:r w:rsidR="00D32FC0" w:rsidRPr="00F55E60">
        <w:rPr>
          <w:lang w:val="fr-FR"/>
        </w:rPr>
        <w:t>’</w:t>
      </w:r>
      <w:r w:rsidRPr="00F55E60">
        <w:rPr>
          <w:lang w:val="fr-FR"/>
        </w:rPr>
        <w:t>auteure a présenté des commentaires sur les observations de l</w:t>
      </w:r>
      <w:r w:rsidR="00D32FC0" w:rsidRPr="00F55E60">
        <w:rPr>
          <w:lang w:val="fr-FR"/>
        </w:rPr>
        <w:t>’</w:t>
      </w:r>
      <w:r w:rsidRPr="00F55E60">
        <w:rPr>
          <w:lang w:val="fr-FR"/>
        </w:rPr>
        <w:t>État partie. Elle prend note de l</w:t>
      </w:r>
      <w:r w:rsidR="00D32FC0" w:rsidRPr="00F55E60">
        <w:rPr>
          <w:lang w:val="fr-FR"/>
        </w:rPr>
        <w:t>’</w:t>
      </w:r>
      <w:r w:rsidRPr="00F55E60">
        <w:rPr>
          <w:lang w:val="fr-FR"/>
        </w:rPr>
        <w:t>objection de l</w:t>
      </w:r>
      <w:r w:rsidR="00D32FC0" w:rsidRPr="00F55E60">
        <w:rPr>
          <w:lang w:val="fr-FR"/>
        </w:rPr>
        <w:t>’</w:t>
      </w:r>
      <w:r w:rsidRPr="00F55E60">
        <w:rPr>
          <w:lang w:val="fr-FR"/>
        </w:rPr>
        <w:t>État partie selon laquelle la décision du tribunal de la charia n</w:t>
      </w:r>
      <w:r w:rsidR="00D32FC0" w:rsidRPr="00F55E60">
        <w:rPr>
          <w:lang w:val="fr-FR"/>
        </w:rPr>
        <w:t>’</w:t>
      </w:r>
      <w:r w:rsidRPr="00F55E60">
        <w:rPr>
          <w:lang w:val="fr-FR"/>
        </w:rPr>
        <w:t>a pas attribué la garde de sa fille cadette au père et que l</w:t>
      </w:r>
      <w:r w:rsidR="00D32FC0" w:rsidRPr="00F55E60">
        <w:rPr>
          <w:lang w:val="fr-FR"/>
        </w:rPr>
        <w:t>’</w:t>
      </w:r>
      <w:r w:rsidRPr="00F55E60">
        <w:rPr>
          <w:lang w:val="fr-FR"/>
        </w:rPr>
        <w:t>auteure n</w:t>
      </w:r>
      <w:r w:rsidR="00D32FC0" w:rsidRPr="00F55E60">
        <w:rPr>
          <w:lang w:val="fr-FR"/>
        </w:rPr>
        <w:t>’</w:t>
      </w:r>
      <w:r w:rsidRPr="00F55E60">
        <w:rPr>
          <w:lang w:val="fr-FR"/>
        </w:rPr>
        <w:t>a pas volontairement réclamé la garde de sa fille devant les tribunaux, mais a quitté le pays pour se rendre en Ukraine. Elle note qu</w:t>
      </w:r>
      <w:r w:rsidR="00D32FC0" w:rsidRPr="00F55E60">
        <w:rPr>
          <w:lang w:val="fr-FR"/>
        </w:rPr>
        <w:t>’</w:t>
      </w:r>
      <w:r w:rsidRPr="00F55E60">
        <w:rPr>
          <w:lang w:val="fr-FR"/>
        </w:rPr>
        <w:t>en droit le père et la mère sont égaux devant la loi quant à leurs droits sur leurs enfants et qu</w:t>
      </w:r>
      <w:r w:rsidR="00D32FC0" w:rsidRPr="00F55E60">
        <w:rPr>
          <w:lang w:val="fr-FR"/>
        </w:rPr>
        <w:t>’</w:t>
      </w:r>
      <w:r w:rsidRPr="00F55E60">
        <w:rPr>
          <w:lang w:val="fr-FR"/>
        </w:rPr>
        <w:t>il n</w:t>
      </w:r>
      <w:r w:rsidR="00D32FC0" w:rsidRPr="00F55E60">
        <w:rPr>
          <w:lang w:val="fr-FR"/>
        </w:rPr>
        <w:t>’</w:t>
      </w:r>
      <w:r w:rsidRPr="00F55E60">
        <w:rPr>
          <w:lang w:val="fr-FR"/>
        </w:rPr>
        <w:t>est pas nécessaire d</w:t>
      </w:r>
      <w:r w:rsidR="00D32FC0" w:rsidRPr="00F55E60">
        <w:rPr>
          <w:lang w:val="fr-FR"/>
        </w:rPr>
        <w:t>’</w:t>
      </w:r>
      <w:r w:rsidRPr="00F55E60">
        <w:rPr>
          <w:lang w:val="fr-FR"/>
        </w:rPr>
        <w:t>obtenir une décision du tribunal de la charia motivant spécifiquement que la mère a la garde de la plus jeune des filles. Le père s</w:t>
      </w:r>
      <w:r w:rsidR="00D32FC0" w:rsidRPr="00F55E60">
        <w:rPr>
          <w:lang w:val="fr-FR"/>
        </w:rPr>
        <w:t>’</w:t>
      </w:r>
      <w:r w:rsidRPr="00F55E60">
        <w:rPr>
          <w:lang w:val="fr-FR"/>
        </w:rPr>
        <w:t>est emparé de force de sa fille et l</w:t>
      </w:r>
      <w:r w:rsidR="00D32FC0" w:rsidRPr="00F55E60">
        <w:rPr>
          <w:lang w:val="fr-FR"/>
        </w:rPr>
        <w:t>’</w:t>
      </w:r>
      <w:r w:rsidRPr="00F55E60">
        <w:rPr>
          <w:lang w:val="fr-FR"/>
        </w:rPr>
        <w:t>a arrachée à sa mère. Lors de son séjour au Centre de réconciliation familiale, l</w:t>
      </w:r>
      <w:r w:rsidR="00D32FC0" w:rsidRPr="00F55E60">
        <w:rPr>
          <w:lang w:val="fr-FR"/>
        </w:rPr>
        <w:t>’</w:t>
      </w:r>
      <w:r w:rsidRPr="00F55E60">
        <w:rPr>
          <w:lang w:val="fr-FR"/>
        </w:rPr>
        <w:t>auteure a fait appel à l</w:t>
      </w:r>
      <w:r w:rsidR="00D32FC0" w:rsidRPr="00F55E60">
        <w:rPr>
          <w:lang w:val="fr-FR"/>
        </w:rPr>
        <w:t>’</w:t>
      </w:r>
      <w:r w:rsidRPr="00F55E60">
        <w:rPr>
          <w:lang w:val="fr-FR"/>
        </w:rPr>
        <w:t>ambassade et au Centre pour obtenir une représentation légale devant le tribunal de la charia afin de contraindre son mari à lui remettre leur fille et d</w:t>
      </w:r>
      <w:r w:rsidR="00D32FC0" w:rsidRPr="00F55E60">
        <w:rPr>
          <w:lang w:val="fr-FR"/>
        </w:rPr>
        <w:t>’</w:t>
      </w:r>
      <w:r w:rsidRPr="00F55E60">
        <w:rPr>
          <w:lang w:val="fr-FR"/>
        </w:rPr>
        <w:t>en obtenir la garde. L</w:t>
      </w:r>
      <w:r w:rsidR="00D32FC0" w:rsidRPr="00F55E60">
        <w:rPr>
          <w:lang w:val="fr-FR"/>
        </w:rPr>
        <w:t>’</w:t>
      </w:r>
      <w:r w:rsidRPr="00F55E60">
        <w:rPr>
          <w:lang w:val="fr-FR"/>
        </w:rPr>
        <w:t>avocat du Centre a plaidé devant le tribunal de la charia pour que la mère se voie accorder la garde de son enfant, mais l</w:t>
      </w:r>
      <w:r w:rsidR="00D32FC0" w:rsidRPr="00F55E60">
        <w:rPr>
          <w:lang w:val="fr-FR"/>
        </w:rPr>
        <w:t>’</w:t>
      </w:r>
      <w:r w:rsidRPr="00F55E60">
        <w:rPr>
          <w:lang w:val="fr-FR"/>
        </w:rPr>
        <w:t>affaire a été classée sans suite parce que l</w:t>
      </w:r>
      <w:r w:rsidR="00D32FC0" w:rsidRPr="00F55E60">
        <w:rPr>
          <w:lang w:val="fr-FR"/>
        </w:rPr>
        <w:t>’</w:t>
      </w:r>
      <w:r w:rsidRPr="00F55E60">
        <w:rPr>
          <w:lang w:val="fr-FR"/>
        </w:rPr>
        <w:t>auteure avait quitté la Jordanie.</w:t>
      </w:r>
    </w:p>
    <w:p w14:paraId="50DF0D6E" w14:textId="2151A21B" w:rsidR="00A601EB" w:rsidRPr="00F55E60" w:rsidRDefault="00A601EB" w:rsidP="00DC0137">
      <w:pPr>
        <w:pStyle w:val="SingleTxt"/>
        <w:numPr>
          <w:ilvl w:val="0"/>
          <w:numId w:val="40"/>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note que le Centre de réconciliation familiale est un établissement fermé qui laisse à ses occupants une liberté de circulation limitée. L</w:t>
      </w:r>
      <w:r w:rsidR="00D32FC0" w:rsidRPr="00F55E60">
        <w:rPr>
          <w:lang w:val="fr-FR"/>
        </w:rPr>
        <w:t>’</w:t>
      </w:r>
      <w:r w:rsidRPr="00F55E60">
        <w:rPr>
          <w:lang w:val="fr-FR"/>
        </w:rPr>
        <w:t>auteure affirme qu</w:t>
      </w:r>
      <w:r w:rsidR="00D32FC0" w:rsidRPr="00F55E60">
        <w:rPr>
          <w:lang w:val="fr-FR"/>
        </w:rPr>
        <w:t>’</w:t>
      </w:r>
      <w:r w:rsidRPr="00F55E60">
        <w:rPr>
          <w:lang w:val="fr-FR"/>
        </w:rPr>
        <w:t>elle a été contrainte par l</w:t>
      </w:r>
      <w:r w:rsidR="00D32FC0" w:rsidRPr="00F55E60">
        <w:rPr>
          <w:lang w:val="fr-FR"/>
        </w:rPr>
        <w:t>’</w:t>
      </w:r>
      <w:r w:rsidRPr="00F55E60">
        <w:rPr>
          <w:lang w:val="fr-FR"/>
        </w:rPr>
        <w:t>ambassade et le Centre à retourner en Ukraine, et qu</w:t>
      </w:r>
      <w:r w:rsidR="00D32FC0" w:rsidRPr="00F55E60">
        <w:rPr>
          <w:lang w:val="fr-FR"/>
        </w:rPr>
        <w:t>’</w:t>
      </w:r>
      <w:r w:rsidRPr="00F55E60">
        <w:rPr>
          <w:lang w:val="fr-FR"/>
        </w:rPr>
        <w:t>elle a été conduite à l</w:t>
      </w:r>
      <w:r w:rsidR="00D32FC0" w:rsidRPr="00F55E60">
        <w:rPr>
          <w:lang w:val="fr-FR"/>
        </w:rPr>
        <w:t>’</w:t>
      </w:r>
      <w:r w:rsidRPr="00F55E60">
        <w:rPr>
          <w:lang w:val="fr-FR"/>
        </w:rPr>
        <w:t>aéroport par la police. Par conséquent, elle conteste l</w:t>
      </w:r>
      <w:r w:rsidR="00D32FC0" w:rsidRPr="00F55E60">
        <w:rPr>
          <w:lang w:val="fr-FR"/>
        </w:rPr>
        <w:t>’</w:t>
      </w:r>
      <w:r w:rsidRPr="00F55E60">
        <w:rPr>
          <w:lang w:val="fr-FR"/>
        </w:rPr>
        <w:t>affirmation selon laquelle elle n</w:t>
      </w:r>
      <w:r w:rsidR="00D32FC0" w:rsidRPr="00F55E60">
        <w:rPr>
          <w:lang w:val="fr-FR"/>
        </w:rPr>
        <w:t>’</w:t>
      </w:r>
      <w:r w:rsidRPr="00F55E60">
        <w:rPr>
          <w:lang w:val="fr-FR"/>
        </w:rPr>
        <w:t>a pas demandé en justice la garde de sa fille la plus jeune et celle selon laquelle son départ était volontaire.</w:t>
      </w:r>
    </w:p>
    <w:p w14:paraId="18132163" w14:textId="6BBAB33E" w:rsidR="00A601EB" w:rsidRPr="00F55E60" w:rsidRDefault="00A601EB" w:rsidP="00DC0137">
      <w:pPr>
        <w:pStyle w:val="SingleTxt"/>
        <w:numPr>
          <w:ilvl w:val="0"/>
          <w:numId w:val="40"/>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affirme qu</w:t>
      </w:r>
      <w:r w:rsidR="00D32FC0" w:rsidRPr="00F55E60">
        <w:rPr>
          <w:lang w:val="fr-FR"/>
        </w:rPr>
        <w:t>’</w:t>
      </w:r>
      <w:r w:rsidRPr="00F55E60">
        <w:rPr>
          <w:lang w:val="fr-FR"/>
        </w:rPr>
        <w:t>à l</w:t>
      </w:r>
      <w:r w:rsidR="00D32FC0" w:rsidRPr="00F55E60">
        <w:rPr>
          <w:lang w:val="fr-FR"/>
        </w:rPr>
        <w:t>’</w:t>
      </w:r>
      <w:r w:rsidRPr="00F55E60">
        <w:rPr>
          <w:lang w:val="fr-FR"/>
        </w:rPr>
        <w:t>époque, l</w:t>
      </w:r>
      <w:r w:rsidR="00D32FC0" w:rsidRPr="00F55E60">
        <w:rPr>
          <w:lang w:val="fr-FR"/>
        </w:rPr>
        <w:t>’</w:t>
      </w:r>
      <w:r w:rsidRPr="00F55E60">
        <w:rPr>
          <w:lang w:val="fr-FR"/>
        </w:rPr>
        <w:t>ambassade ne lui a pas fourni de conseils adéquats sur le droit de la famille jordanien et sur ses droits en tant que mère, ni de services d</w:t>
      </w:r>
      <w:r w:rsidR="00D32FC0" w:rsidRPr="00F55E60">
        <w:rPr>
          <w:lang w:val="fr-FR"/>
        </w:rPr>
        <w:t>’</w:t>
      </w:r>
      <w:r w:rsidRPr="00F55E60">
        <w:rPr>
          <w:lang w:val="fr-FR"/>
        </w:rPr>
        <w:t>interprétation ou d</w:t>
      </w:r>
      <w:r w:rsidR="00D32FC0" w:rsidRPr="00F55E60">
        <w:rPr>
          <w:lang w:val="fr-FR"/>
        </w:rPr>
        <w:t>’</w:t>
      </w:r>
      <w:r w:rsidRPr="00F55E60">
        <w:rPr>
          <w:lang w:val="fr-FR"/>
        </w:rPr>
        <w:t>assistance juridique pour la protéger en sa qualité de mère et de femme. Au lieu de cela, l</w:t>
      </w:r>
      <w:r w:rsidR="00D32FC0" w:rsidRPr="00F55E60">
        <w:rPr>
          <w:lang w:val="fr-FR"/>
        </w:rPr>
        <w:t>’</w:t>
      </w:r>
      <w:r w:rsidRPr="00F55E60">
        <w:rPr>
          <w:lang w:val="fr-FR"/>
        </w:rPr>
        <w:t>ambassade a insisté pour que l</w:t>
      </w:r>
      <w:r w:rsidR="00D32FC0" w:rsidRPr="00F55E60">
        <w:rPr>
          <w:lang w:val="fr-FR"/>
        </w:rPr>
        <w:t>’</w:t>
      </w:r>
      <w:r w:rsidRPr="00F55E60">
        <w:rPr>
          <w:lang w:val="fr-FR"/>
        </w:rPr>
        <w:t>auteure retourne en Ukraine et accepte la décision prise par le tribunal de la charia concernant sa fille aînée, tout en sachant pertinemment que cette décision violait les droits de l</w:t>
      </w:r>
      <w:r w:rsidR="00D32FC0" w:rsidRPr="00F55E60">
        <w:rPr>
          <w:lang w:val="fr-FR"/>
        </w:rPr>
        <w:t>’</w:t>
      </w:r>
      <w:r w:rsidRPr="00F55E60">
        <w:rPr>
          <w:lang w:val="fr-FR"/>
        </w:rPr>
        <w:t>auteure, étant donné qu</w:t>
      </w:r>
      <w:r w:rsidR="00D32FC0" w:rsidRPr="00F55E60">
        <w:rPr>
          <w:lang w:val="fr-FR"/>
        </w:rPr>
        <w:t>’</w:t>
      </w:r>
      <w:r w:rsidRPr="00F55E60">
        <w:rPr>
          <w:lang w:val="fr-FR"/>
        </w:rPr>
        <w:t>elle n</w:t>
      </w:r>
      <w:r w:rsidR="00D32FC0" w:rsidRPr="00F55E60">
        <w:rPr>
          <w:lang w:val="fr-FR"/>
        </w:rPr>
        <w:t>’</w:t>
      </w:r>
      <w:r w:rsidRPr="00F55E60">
        <w:rPr>
          <w:lang w:val="fr-FR"/>
        </w:rPr>
        <w:t>était pas représentée et ne pouvait pas avoir accès à sa fille cadette. Ce faisant, l</w:t>
      </w:r>
      <w:r w:rsidR="00D32FC0" w:rsidRPr="00F55E60">
        <w:rPr>
          <w:lang w:val="fr-FR"/>
        </w:rPr>
        <w:t>’</w:t>
      </w:r>
      <w:r w:rsidRPr="00F55E60">
        <w:rPr>
          <w:lang w:val="fr-FR"/>
        </w:rPr>
        <w:t>ambassade a violé son obligation d</w:t>
      </w:r>
      <w:r w:rsidR="00D32FC0" w:rsidRPr="00F55E60">
        <w:rPr>
          <w:lang w:val="fr-FR"/>
        </w:rPr>
        <w:t>’</w:t>
      </w:r>
      <w:r w:rsidRPr="00F55E60">
        <w:rPr>
          <w:lang w:val="fr-FR"/>
        </w:rPr>
        <w:t>agir avec la diligence requise et de garantir les droits consacrés par l</w:t>
      </w:r>
      <w:r w:rsidR="00D32FC0" w:rsidRPr="00F55E60">
        <w:rPr>
          <w:lang w:val="fr-FR"/>
        </w:rPr>
        <w:t>’</w:t>
      </w:r>
      <w:r w:rsidRPr="00F55E60">
        <w:rPr>
          <w:lang w:val="fr-FR"/>
        </w:rPr>
        <w:t>article </w:t>
      </w:r>
      <w:r w:rsidRPr="00A135AC">
        <w:rPr>
          <w:lang w:val="fr-FR"/>
        </w:rPr>
        <w:t>16</w:t>
      </w:r>
      <w:r w:rsidRPr="00F55E60">
        <w:rPr>
          <w:lang w:val="fr-FR"/>
        </w:rPr>
        <w:t>, paragraphes d) et f) de la Convention, en assurant à l</w:t>
      </w:r>
      <w:r w:rsidR="00D32FC0" w:rsidRPr="00F55E60">
        <w:rPr>
          <w:lang w:val="fr-FR"/>
        </w:rPr>
        <w:t>’</w:t>
      </w:r>
      <w:r w:rsidRPr="00F55E60">
        <w:rPr>
          <w:lang w:val="fr-FR"/>
        </w:rPr>
        <w:t>auteure une consultation juridique et une représentation devant les autorités jordaniennes tout au long de la procédure.</w:t>
      </w:r>
    </w:p>
    <w:p w14:paraId="05140721" w14:textId="6BCD0441" w:rsidR="00355540" w:rsidRPr="00F55E60" w:rsidRDefault="00A601EB" w:rsidP="00DC0137">
      <w:pPr>
        <w:pStyle w:val="SingleTxt"/>
        <w:numPr>
          <w:ilvl w:val="0"/>
          <w:numId w:val="40"/>
        </w:numPr>
        <w:tabs>
          <w:tab w:val="left" w:pos="1742"/>
        </w:tabs>
        <w:spacing w:line="240" w:lineRule="exact"/>
        <w:rPr>
          <w:lang w:val="fr-FR"/>
        </w:rPr>
      </w:pPr>
      <w:r w:rsidRPr="00F55E60">
        <w:rPr>
          <w:lang w:val="fr-FR"/>
        </w:rPr>
        <w:lastRenderedPageBreak/>
        <w:t>En réponse à l</w:t>
      </w:r>
      <w:r w:rsidR="00D32FC0" w:rsidRPr="00F55E60">
        <w:rPr>
          <w:lang w:val="fr-FR"/>
        </w:rPr>
        <w:t>’</w:t>
      </w:r>
      <w:r w:rsidRPr="00F55E60">
        <w:rPr>
          <w:lang w:val="fr-FR"/>
        </w:rPr>
        <w:t>argumentation de l</w:t>
      </w:r>
      <w:r w:rsidR="00D32FC0" w:rsidRPr="00F55E60">
        <w:rPr>
          <w:lang w:val="fr-FR"/>
        </w:rPr>
        <w:t>’</w:t>
      </w:r>
      <w:r w:rsidRPr="00F55E60">
        <w:rPr>
          <w:lang w:val="fr-FR"/>
        </w:rPr>
        <w:t>État partie selon laquelle l</w:t>
      </w:r>
      <w:r w:rsidR="00D32FC0" w:rsidRPr="00F55E60">
        <w:rPr>
          <w:lang w:val="fr-FR"/>
        </w:rPr>
        <w:t>’</w:t>
      </w:r>
      <w:r w:rsidRPr="00F55E60">
        <w:rPr>
          <w:lang w:val="fr-FR"/>
        </w:rPr>
        <w:t>auteure n</w:t>
      </w:r>
      <w:r w:rsidR="00D32FC0" w:rsidRPr="00F55E60">
        <w:rPr>
          <w:lang w:val="fr-FR"/>
        </w:rPr>
        <w:t>’</w:t>
      </w:r>
      <w:r w:rsidRPr="00F55E60">
        <w:rPr>
          <w:lang w:val="fr-FR"/>
        </w:rPr>
        <w:t>a pas introduit de nouvelle action devant un tribunal de la charia concernant la garde de sa fille cadette après son retour en Ukraine, l</w:t>
      </w:r>
      <w:r w:rsidR="00D32FC0" w:rsidRPr="00F55E60">
        <w:rPr>
          <w:lang w:val="fr-FR"/>
        </w:rPr>
        <w:t>’</w:t>
      </w:r>
      <w:r w:rsidRPr="00F55E60">
        <w:rPr>
          <w:lang w:val="fr-FR"/>
        </w:rPr>
        <w:t>auteure note qu</w:t>
      </w:r>
      <w:r w:rsidR="00D32FC0" w:rsidRPr="00F55E60">
        <w:rPr>
          <w:lang w:val="fr-FR"/>
        </w:rPr>
        <w:t>’</w:t>
      </w:r>
      <w:r w:rsidRPr="00F55E60">
        <w:rPr>
          <w:lang w:val="fr-FR"/>
        </w:rPr>
        <w:t>en Ukraine, elle a été informée par un avocat du Centre de réconciliation familiale que le tribunal ne lui avait pas accordé la garde de sa fille, au motif qu</w:t>
      </w:r>
      <w:r w:rsidR="00D32FC0" w:rsidRPr="00F55E60">
        <w:rPr>
          <w:lang w:val="fr-FR"/>
        </w:rPr>
        <w:t>’</w:t>
      </w:r>
      <w:r w:rsidRPr="00F55E60">
        <w:rPr>
          <w:lang w:val="fr-FR"/>
        </w:rPr>
        <w:t>elle avait quitté la Jordanie. Elle a donc tenté d</w:t>
      </w:r>
      <w:r w:rsidR="00D32FC0" w:rsidRPr="00F55E60">
        <w:rPr>
          <w:lang w:val="fr-FR"/>
        </w:rPr>
        <w:t>’</w:t>
      </w:r>
      <w:r w:rsidRPr="00F55E60">
        <w:rPr>
          <w:lang w:val="fr-FR"/>
        </w:rPr>
        <w:t>obtenir en justice cette garde, mais sa demande a été rejetée.</w:t>
      </w:r>
    </w:p>
    <w:p w14:paraId="2EE219B7" w14:textId="3BC53F22" w:rsidR="00A601EB" w:rsidRPr="00F55E60" w:rsidRDefault="00A601EB" w:rsidP="00DC0137">
      <w:pPr>
        <w:pStyle w:val="SingleTxt"/>
        <w:numPr>
          <w:ilvl w:val="0"/>
          <w:numId w:val="40"/>
        </w:numPr>
        <w:tabs>
          <w:tab w:val="left" w:pos="1742"/>
        </w:tabs>
        <w:spacing w:line="240" w:lineRule="exact"/>
        <w:rPr>
          <w:lang w:val="fr-FR"/>
        </w:rPr>
      </w:pPr>
      <w:r w:rsidRPr="00F55E60">
        <w:rPr>
          <w:lang w:val="fr-FR"/>
        </w:rPr>
        <w:t>Quant à la suggestion de l</w:t>
      </w:r>
      <w:r w:rsidR="00D32FC0" w:rsidRPr="00F55E60">
        <w:rPr>
          <w:lang w:val="fr-FR"/>
        </w:rPr>
        <w:t>’</w:t>
      </w:r>
      <w:r w:rsidRPr="00F55E60">
        <w:rPr>
          <w:lang w:val="fr-FR"/>
        </w:rPr>
        <w:t>État partie d</w:t>
      </w:r>
      <w:r w:rsidR="00D32FC0" w:rsidRPr="00F55E60">
        <w:rPr>
          <w:lang w:val="fr-FR"/>
        </w:rPr>
        <w:t>’</w:t>
      </w:r>
      <w:r w:rsidRPr="00F55E60">
        <w:rPr>
          <w:lang w:val="fr-FR"/>
        </w:rPr>
        <w:t>engager un avocat en Jordanie pour engager une nouvelle procédure, l</w:t>
      </w:r>
      <w:r w:rsidR="00D32FC0" w:rsidRPr="00F55E60">
        <w:rPr>
          <w:lang w:val="fr-FR"/>
        </w:rPr>
        <w:t>’</w:t>
      </w:r>
      <w:r w:rsidRPr="00F55E60">
        <w:rPr>
          <w:lang w:val="fr-FR"/>
        </w:rPr>
        <w:t>auteure note que le coût d</w:t>
      </w:r>
      <w:r w:rsidR="00D32FC0" w:rsidRPr="00F55E60">
        <w:rPr>
          <w:lang w:val="fr-FR"/>
        </w:rPr>
        <w:t>’</w:t>
      </w:r>
      <w:r w:rsidRPr="00F55E60">
        <w:rPr>
          <w:lang w:val="fr-FR"/>
        </w:rPr>
        <w:t>une telle représentation s</w:t>
      </w:r>
      <w:r w:rsidR="00D32FC0" w:rsidRPr="00F55E60">
        <w:rPr>
          <w:lang w:val="fr-FR"/>
        </w:rPr>
        <w:t>’</w:t>
      </w:r>
      <w:r w:rsidRPr="00F55E60">
        <w:rPr>
          <w:lang w:val="fr-FR"/>
        </w:rPr>
        <w:t xml:space="preserve">élève au minimum à </w:t>
      </w:r>
      <w:r w:rsidRPr="00A135AC">
        <w:rPr>
          <w:lang w:val="fr-FR"/>
        </w:rPr>
        <w:t>1</w:t>
      </w:r>
      <w:r w:rsidRPr="00F55E60">
        <w:rPr>
          <w:lang w:val="fr-FR"/>
        </w:rPr>
        <w:t> </w:t>
      </w:r>
      <w:r w:rsidRPr="00A135AC">
        <w:rPr>
          <w:lang w:val="fr-FR"/>
        </w:rPr>
        <w:t>000</w:t>
      </w:r>
      <w:r w:rsidRPr="00F55E60">
        <w:rPr>
          <w:lang w:val="fr-FR"/>
        </w:rPr>
        <w:t> dollars des États-Unis. L</w:t>
      </w:r>
      <w:r w:rsidR="00D32FC0" w:rsidRPr="00F55E60">
        <w:rPr>
          <w:lang w:val="fr-FR"/>
        </w:rPr>
        <w:t>’</w:t>
      </w:r>
      <w:r w:rsidRPr="00F55E60">
        <w:rPr>
          <w:lang w:val="fr-FR"/>
        </w:rPr>
        <w:t>auteure fait observer qu</w:t>
      </w:r>
      <w:r w:rsidR="00D32FC0" w:rsidRPr="00F55E60">
        <w:rPr>
          <w:lang w:val="fr-FR"/>
        </w:rPr>
        <w:t>’</w:t>
      </w:r>
      <w:r w:rsidRPr="00F55E60">
        <w:rPr>
          <w:lang w:val="fr-FR"/>
        </w:rPr>
        <w:t>elle travaille comme médecin dans un hôpital local de Marioupol et élève sa fille aînée seule, et qu</w:t>
      </w:r>
      <w:r w:rsidR="00D32FC0" w:rsidRPr="00F55E60">
        <w:rPr>
          <w:lang w:val="fr-FR"/>
        </w:rPr>
        <w:t>’</w:t>
      </w:r>
      <w:r w:rsidRPr="00F55E60">
        <w:rPr>
          <w:lang w:val="fr-FR"/>
        </w:rPr>
        <w:t>elle ne peut donc pas se permettre une telle représentation juridique. Elle a demandé à plusieurs reprises à l</w:t>
      </w:r>
      <w:r w:rsidR="00D32FC0" w:rsidRPr="00F55E60">
        <w:rPr>
          <w:lang w:val="fr-FR"/>
        </w:rPr>
        <w:t>’</w:t>
      </w:r>
      <w:r w:rsidRPr="00F55E60">
        <w:rPr>
          <w:lang w:val="fr-FR"/>
        </w:rPr>
        <w:t>ambassade d</w:t>
      </w:r>
      <w:r w:rsidR="00D32FC0" w:rsidRPr="00F55E60">
        <w:rPr>
          <w:lang w:val="fr-FR"/>
        </w:rPr>
        <w:t>’</w:t>
      </w:r>
      <w:r w:rsidRPr="00F55E60">
        <w:rPr>
          <w:lang w:val="fr-FR"/>
        </w:rPr>
        <w:t>Ukraine à Amman de lui accorder l</w:t>
      </w:r>
      <w:r w:rsidR="00D32FC0" w:rsidRPr="00F55E60">
        <w:rPr>
          <w:lang w:val="fr-FR"/>
        </w:rPr>
        <w:t>’</w:t>
      </w:r>
      <w:r w:rsidRPr="00F55E60">
        <w:rPr>
          <w:lang w:val="fr-FR"/>
        </w:rPr>
        <w:t>assistance d</w:t>
      </w:r>
      <w:r w:rsidR="00D32FC0" w:rsidRPr="00F55E60">
        <w:rPr>
          <w:lang w:val="fr-FR"/>
        </w:rPr>
        <w:t>’</w:t>
      </w:r>
      <w:r w:rsidRPr="00F55E60">
        <w:rPr>
          <w:lang w:val="fr-FR"/>
        </w:rPr>
        <w:t>un avocat et de s</w:t>
      </w:r>
      <w:r w:rsidR="00D32FC0" w:rsidRPr="00F55E60">
        <w:rPr>
          <w:lang w:val="fr-FR"/>
        </w:rPr>
        <w:t>’</w:t>
      </w:r>
      <w:r w:rsidRPr="00F55E60">
        <w:rPr>
          <w:lang w:val="fr-FR"/>
        </w:rPr>
        <w:t>assurer des conditions de vie de sa fille la plus jeune. Ce n</w:t>
      </w:r>
      <w:r w:rsidR="00D32FC0" w:rsidRPr="00F55E60">
        <w:rPr>
          <w:lang w:val="fr-FR"/>
        </w:rPr>
        <w:t>’</w:t>
      </w:r>
      <w:r w:rsidRPr="00F55E60">
        <w:rPr>
          <w:lang w:val="fr-FR"/>
        </w:rPr>
        <w:t>est que récemment qu</w:t>
      </w:r>
      <w:r w:rsidR="00D32FC0" w:rsidRPr="00F55E60">
        <w:rPr>
          <w:lang w:val="fr-FR"/>
        </w:rPr>
        <w:t>’</w:t>
      </w:r>
      <w:r w:rsidRPr="00F55E60">
        <w:rPr>
          <w:lang w:val="fr-FR"/>
        </w:rPr>
        <w:t>elle a reçu des informations concernant sa fille. Toutefois, l</w:t>
      </w:r>
      <w:r w:rsidR="00D32FC0" w:rsidRPr="00F55E60">
        <w:rPr>
          <w:lang w:val="fr-FR"/>
        </w:rPr>
        <w:t>’</w:t>
      </w:r>
      <w:r w:rsidRPr="00F55E60">
        <w:rPr>
          <w:lang w:val="fr-FR"/>
        </w:rPr>
        <w:t>ambassade n</w:t>
      </w:r>
      <w:r w:rsidR="00D32FC0" w:rsidRPr="00F55E60">
        <w:rPr>
          <w:lang w:val="fr-FR"/>
        </w:rPr>
        <w:t>’</w:t>
      </w:r>
      <w:r w:rsidRPr="00F55E60">
        <w:rPr>
          <w:lang w:val="fr-FR"/>
        </w:rPr>
        <w:t>a accédé à ses demandes qu</w:t>
      </w:r>
      <w:r w:rsidR="00D32FC0" w:rsidRPr="00F55E60">
        <w:rPr>
          <w:lang w:val="fr-FR"/>
        </w:rPr>
        <w:t>’</w:t>
      </w:r>
      <w:r w:rsidRPr="00F55E60">
        <w:rPr>
          <w:lang w:val="fr-FR"/>
        </w:rPr>
        <w:t>à partir de la mi-</w:t>
      </w:r>
      <w:r w:rsidRPr="00A135AC">
        <w:rPr>
          <w:lang w:val="fr-FR"/>
        </w:rPr>
        <w:t>2015</w:t>
      </w:r>
      <w:r w:rsidRPr="00F55E60">
        <w:rPr>
          <w:lang w:val="fr-FR"/>
        </w:rPr>
        <w:t>, à la suite d</w:t>
      </w:r>
      <w:r w:rsidR="00D32FC0" w:rsidRPr="00F55E60">
        <w:rPr>
          <w:lang w:val="fr-FR"/>
        </w:rPr>
        <w:t>’</w:t>
      </w:r>
      <w:r w:rsidRPr="00F55E60">
        <w:rPr>
          <w:lang w:val="fr-FR"/>
        </w:rPr>
        <w:t>une rotation du personnel.</w:t>
      </w:r>
    </w:p>
    <w:p w14:paraId="4777258D" w14:textId="40E85E33" w:rsidR="00CB3B80" w:rsidRPr="00F55E60" w:rsidRDefault="00CB3B80" w:rsidP="00CB3B80">
      <w:pPr>
        <w:pStyle w:val="SingleTxt"/>
        <w:spacing w:after="0" w:line="120" w:lineRule="exact"/>
        <w:rPr>
          <w:sz w:val="10"/>
          <w:lang w:val="fr-FR"/>
        </w:rPr>
      </w:pPr>
    </w:p>
    <w:p w14:paraId="33015FE4" w14:textId="2AB83586" w:rsidR="00A601EB" w:rsidRPr="00F55E60" w:rsidRDefault="00A601EB" w:rsidP="00DC01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E60">
        <w:rPr>
          <w:lang w:val="fr-FR"/>
        </w:rPr>
        <w:tab/>
      </w:r>
      <w:r w:rsidRPr="00F55E60">
        <w:rPr>
          <w:lang w:val="fr-FR"/>
        </w:rPr>
        <w:tab/>
        <w:t>Observations complémentaires de l</w:t>
      </w:r>
      <w:r w:rsidR="00D32FC0" w:rsidRPr="00F55E60">
        <w:rPr>
          <w:lang w:val="fr-FR"/>
        </w:rPr>
        <w:t>’</w:t>
      </w:r>
      <w:r w:rsidRPr="00F55E60">
        <w:rPr>
          <w:lang w:val="fr-FR"/>
        </w:rPr>
        <w:t>État partie</w:t>
      </w:r>
    </w:p>
    <w:p w14:paraId="54DD6620" w14:textId="77777777" w:rsidR="00CB3B80" w:rsidRPr="00F55E60" w:rsidRDefault="00CB3B80" w:rsidP="00CB3B80">
      <w:pPr>
        <w:pStyle w:val="SingleTxt"/>
        <w:spacing w:after="0" w:line="120" w:lineRule="exact"/>
        <w:rPr>
          <w:sz w:val="10"/>
          <w:lang w:val="fr-FR"/>
        </w:rPr>
      </w:pPr>
    </w:p>
    <w:p w14:paraId="56C88292" w14:textId="6DA54143" w:rsidR="00A601EB" w:rsidRPr="00F55E60" w:rsidRDefault="00A601EB" w:rsidP="00CB3B80">
      <w:pPr>
        <w:pStyle w:val="SingleTxt"/>
        <w:numPr>
          <w:ilvl w:val="0"/>
          <w:numId w:val="41"/>
        </w:numPr>
        <w:tabs>
          <w:tab w:val="left" w:pos="1742"/>
        </w:tabs>
        <w:rPr>
          <w:lang w:val="fr-FR"/>
        </w:rPr>
      </w:pPr>
      <w:r w:rsidRPr="00F55E60">
        <w:rPr>
          <w:lang w:val="fr-FR"/>
        </w:rPr>
        <w:t xml:space="preserve">Le </w:t>
      </w:r>
      <w:r w:rsidRPr="00A135AC">
        <w:rPr>
          <w:lang w:val="fr-FR"/>
        </w:rPr>
        <w:t>8</w:t>
      </w:r>
      <w:r w:rsidRPr="00F55E60">
        <w:rPr>
          <w:lang w:val="fr-FR"/>
        </w:rPr>
        <w:t xml:space="preserve"> août </w:t>
      </w:r>
      <w:r w:rsidRPr="00A135AC">
        <w:rPr>
          <w:lang w:val="fr-FR"/>
        </w:rPr>
        <w:t>2017</w:t>
      </w:r>
      <w:r w:rsidRPr="00F55E60">
        <w:rPr>
          <w:lang w:val="fr-FR"/>
        </w:rPr>
        <w:t>, l</w:t>
      </w:r>
      <w:r w:rsidR="00D32FC0" w:rsidRPr="00F55E60">
        <w:rPr>
          <w:lang w:val="fr-FR"/>
        </w:rPr>
        <w:t>’</w:t>
      </w:r>
      <w:r w:rsidRPr="00F55E60">
        <w:rPr>
          <w:lang w:val="fr-FR"/>
        </w:rPr>
        <w:t>État partie a communiqué les copies et traductions d</w:t>
      </w:r>
      <w:r w:rsidR="00D32FC0" w:rsidRPr="00F55E60">
        <w:rPr>
          <w:lang w:val="fr-FR"/>
        </w:rPr>
        <w:t>’</w:t>
      </w:r>
      <w:r w:rsidRPr="00F55E60">
        <w:rPr>
          <w:lang w:val="fr-FR"/>
        </w:rPr>
        <w:t>un certain nombre de documents relatifs au dossier de l</w:t>
      </w:r>
      <w:r w:rsidR="00D32FC0" w:rsidRPr="00F55E60">
        <w:rPr>
          <w:lang w:val="fr-FR"/>
        </w:rPr>
        <w:t>’</w:t>
      </w:r>
      <w:r w:rsidRPr="00F55E60">
        <w:rPr>
          <w:lang w:val="fr-FR"/>
        </w:rPr>
        <w:t>auteure.</w:t>
      </w:r>
    </w:p>
    <w:p w14:paraId="65460596" w14:textId="725725C6" w:rsidR="00A601EB" w:rsidRPr="00F55E60" w:rsidRDefault="00A601EB" w:rsidP="00CB3B80">
      <w:pPr>
        <w:pStyle w:val="SingleTxt"/>
        <w:numPr>
          <w:ilvl w:val="0"/>
          <w:numId w:val="41"/>
        </w:numPr>
        <w:tabs>
          <w:tab w:val="left" w:pos="1742"/>
        </w:tabs>
        <w:spacing w:line="240" w:lineRule="exact"/>
        <w:rPr>
          <w:lang w:val="fr-FR"/>
        </w:rPr>
      </w:pPr>
      <w:r w:rsidRPr="00F55E60">
        <w:rPr>
          <w:lang w:val="fr-FR"/>
        </w:rPr>
        <w:t xml:space="preserve">Par une note verbale datée du </w:t>
      </w:r>
      <w:r w:rsidRPr="00A135AC">
        <w:rPr>
          <w:lang w:val="fr-FR"/>
        </w:rPr>
        <w:t>7</w:t>
      </w:r>
      <w:r w:rsidRPr="00F55E60">
        <w:rPr>
          <w:lang w:val="fr-FR"/>
        </w:rPr>
        <w:t xml:space="preserve"> novembre </w:t>
      </w:r>
      <w:r w:rsidRPr="00A135AC">
        <w:rPr>
          <w:lang w:val="fr-FR"/>
        </w:rPr>
        <w:t>2017</w:t>
      </w:r>
      <w:r w:rsidRPr="00F55E60">
        <w:rPr>
          <w:lang w:val="fr-FR"/>
        </w:rPr>
        <w:t>, l</w:t>
      </w:r>
      <w:r w:rsidR="00D32FC0" w:rsidRPr="00F55E60">
        <w:rPr>
          <w:lang w:val="fr-FR"/>
        </w:rPr>
        <w:t>’</w:t>
      </w:r>
      <w:r w:rsidRPr="00F55E60">
        <w:rPr>
          <w:lang w:val="fr-FR"/>
        </w:rPr>
        <w:t xml:space="preserve">État partie a ajouté que, depuis </w:t>
      </w:r>
      <w:r w:rsidRPr="00A135AC">
        <w:rPr>
          <w:lang w:val="fr-FR"/>
        </w:rPr>
        <w:t>2012</w:t>
      </w:r>
      <w:r w:rsidRPr="00F55E60">
        <w:rPr>
          <w:lang w:val="fr-FR"/>
        </w:rPr>
        <w:t>, l</w:t>
      </w:r>
      <w:r w:rsidR="00D32FC0" w:rsidRPr="00F55E60">
        <w:rPr>
          <w:lang w:val="fr-FR"/>
        </w:rPr>
        <w:t>’</w:t>
      </w:r>
      <w:r w:rsidRPr="00F55E60">
        <w:rPr>
          <w:lang w:val="fr-FR"/>
        </w:rPr>
        <w:t>auteure a contacté à maintes reprises le Ministère de la justice ukrainien en vue de faciliter le retour de sa fille cadette en Ukraine, et faire en sorte que la décision rendue par le tribunal ukrainien soit reconnue en Jordanie.</w:t>
      </w:r>
    </w:p>
    <w:p w14:paraId="4A513092" w14:textId="649CB65E" w:rsidR="00A601EB" w:rsidRPr="00F55E60" w:rsidRDefault="00A601EB" w:rsidP="00CB3B80">
      <w:pPr>
        <w:pStyle w:val="SingleTxt"/>
        <w:numPr>
          <w:ilvl w:val="0"/>
          <w:numId w:val="41"/>
        </w:numPr>
        <w:tabs>
          <w:tab w:val="left" w:pos="1742"/>
        </w:tabs>
        <w:spacing w:line="240" w:lineRule="exact"/>
        <w:rPr>
          <w:lang w:val="fr-FR"/>
        </w:rPr>
      </w:pPr>
      <w:r w:rsidRPr="00F55E60">
        <w:rPr>
          <w:lang w:val="fr-FR"/>
        </w:rPr>
        <w:t>L</w:t>
      </w:r>
      <w:r w:rsidR="00D32FC0" w:rsidRPr="00F55E60">
        <w:rPr>
          <w:lang w:val="fr-FR"/>
        </w:rPr>
        <w:t>’</w:t>
      </w:r>
      <w:r w:rsidRPr="00F55E60">
        <w:rPr>
          <w:lang w:val="fr-FR"/>
        </w:rPr>
        <w:t>État partie explique qu</w:t>
      </w:r>
      <w:r w:rsidR="00D32FC0" w:rsidRPr="00F55E60">
        <w:rPr>
          <w:lang w:val="fr-FR"/>
        </w:rPr>
        <w:t>’</w:t>
      </w:r>
      <w:r w:rsidRPr="00F55E60">
        <w:rPr>
          <w:lang w:val="fr-FR"/>
        </w:rPr>
        <w:t>à cet égard, le Ministère de la justice souligne qu</w:t>
      </w:r>
      <w:r w:rsidR="00D32FC0" w:rsidRPr="00F55E60">
        <w:rPr>
          <w:lang w:val="fr-FR"/>
        </w:rPr>
        <w:t>’</w:t>
      </w:r>
      <w:r w:rsidRPr="00F55E60">
        <w:rPr>
          <w:lang w:val="fr-FR"/>
        </w:rPr>
        <w:t>il n</w:t>
      </w:r>
      <w:r w:rsidR="00D32FC0" w:rsidRPr="00F55E60">
        <w:rPr>
          <w:lang w:val="fr-FR"/>
        </w:rPr>
        <w:t>’</w:t>
      </w:r>
      <w:r w:rsidRPr="00F55E60">
        <w:rPr>
          <w:lang w:val="fr-FR"/>
        </w:rPr>
        <w:t>existe pas de traité bilatéral entre la Jordanie et l</w:t>
      </w:r>
      <w:r w:rsidR="00D32FC0" w:rsidRPr="00F55E60">
        <w:rPr>
          <w:lang w:val="fr-FR"/>
        </w:rPr>
        <w:t>’</w:t>
      </w:r>
      <w:r w:rsidRPr="00F55E60">
        <w:rPr>
          <w:lang w:val="fr-FR"/>
        </w:rPr>
        <w:t>Ukraine qui aurait permis de résoudre la question par l</w:t>
      </w:r>
      <w:r w:rsidR="00D32FC0" w:rsidRPr="00F55E60">
        <w:rPr>
          <w:lang w:val="fr-FR"/>
        </w:rPr>
        <w:t>’</w:t>
      </w:r>
      <w:r w:rsidRPr="00F55E60">
        <w:rPr>
          <w:lang w:val="fr-FR"/>
        </w:rPr>
        <w:t>intermédiaire des autorités compétentes des deux États ou de créer un mécanisme juridique approprié. De plus, la Jordanie n</w:t>
      </w:r>
      <w:r w:rsidR="00D32FC0" w:rsidRPr="00F55E60">
        <w:rPr>
          <w:lang w:val="fr-FR"/>
        </w:rPr>
        <w:t>’</w:t>
      </w:r>
      <w:r w:rsidRPr="00F55E60">
        <w:rPr>
          <w:lang w:val="fr-FR"/>
        </w:rPr>
        <w:t>est pas partie aux conventions internationales pertinentes. En conséquence, l</w:t>
      </w:r>
      <w:r w:rsidR="00D32FC0" w:rsidRPr="00F55E60">
        <w:rPr>
          <w:lang w:val="fr-FR"/>
        </w:rPr>
        <w:t>’</w:t>
      </w:r>
      <w:r w:rsidRPr="00F55E60">
        <w:rPr>
          <w:lang w:val="fr-FR"/>
        </w:rPr>
        <w:t>enfant demeure en Jordanie et la question soulevée par l</w:t>
      </w:r>
      <w:r w:rsidR="00D32FC0" w:rsidRPr="00F55E60">
        <w:rPr>
          <w:lang w:val="fr-FR"/>
        </w:rPr>
        <w:t>’</w:t>
      </w:r>
      <w:r w:rsidRPr="00F55E60">
        <w:rPr>
          <w:lang w:val="fr-FR"/>
        </w:rPr>
        <w:t>auteure ne peut être résolue que conformément à la législation jordanienne.</w:t>
      </w:r>
    </w:p>
    <w:p w14:paraId="27C12C27" w14:textId="013EB185" w:rsidR="00A601EB" w:rsidRPr="00F55E60" w:rsidRDefault="00A601EB" w:rsidP="00CB3B80">
      <w:pPr>
        <w:pStyle w:val="SingleTxt"/>
        <w:numPr>
          <w:ilvl w:val="0"/>
          <w:numId w:val="41"/>
        </w:numPr>
        <w:tabs>
          <w:tab w:val="left" w:pos="1742"/>
        </w:tabs>
        <w:spacing w:line="240" w:lineRule="exact"/>
        <w:rPr>
          <w:lang w:val="fr-FR"/>
        </w:rPr>
      </w:pPr>
      <w:r w:rsidRPr="00F55E60">
        <w:rPr>
          <w:lang w:val="fr-FR"/>
        </w:rPr>
        <w:t>Au vu de ce qui précède et compte tenu du fait que le père, qui aurait enfreint les droits de l</w:t>
      </w:r>
      <w:r w:rsidR="00D32FC0" w:rsidRPr="00F55E60">
        <w:rPr>
          <w:lang w:val="fr-FR"/>
        </w:rPr>
        <w:t>’</w:t>
      </w:r>
      <w:r w:rsidRPr="00F55E60">
        <w:rPr>
          <w:lang w:val="fr-FR"/>
        </w:rPr>
        <w:t>auteure et de sa fille, est un ressortissant jordanien, le Ministère de la justice ukrainien considère que le mécanisme envisagé au paragraphe </w:t>
      </w:r>
      <w:r w:rsidRPr="00A135AC">
        <w:rPr>
          <w:lang w:val="fr-FR"/>
        </w:rPr>
        <w:t>5</w:t>
      </w:r>
      <w:r w:rsidRPr="00F55E60">
        <w:rPr>
          <w:lang w:val="fr-FR"/>
        </w:rPr>
        <w:t xml:space="preserve"> de l</w:t>
      </w:r>
      <w:r w:rsidR="00D32FC0" w:rsidRPr="00F55E60">
        <w:rPr>
          <w:lang w:val="fr-FR"/>
        </w:rPr>
        <w:t>’</w:t>
      </w:r>
      <w:r w:rsidRPr="00F55E60">
        <w:rPr>
          <w:lang w:val="fr-FR"/>
        </w:rPr>
        <w:t>article </w:t>
      </w:r>
      <w:r w:rsidRPr="00A135AC">
        <w:rPr>
          <w:lang w:val="fr-FR"/>
        </w:rPr>
        <w:t>69</w:t>
      </w:r>
      <w:r w:rsidRPr="00F55E60">
        <w:rPr>
          <w:lang w:val="fr-FR"/>
        </w:rPr>
        <w:t xml:space="preserve"> du règlement intérieur du Comité en ce qui concerne l</w:t>
      </w:r>
      <w:r w:rsidR="00D32FC0" w:rsidRPr="00F55E60">
        <w:rPr>
          <w:lang w:val="fr-FR"/>
        </w:rPr>
        <w:t>’</w:t>
      </w:r>
      <w:r w:rsidRPr="00F55E60">
        <w:rPr>
          <w:lang w:val="fr-FR"/>
        </w:rPr>
        <w:t>objection de l</w:t>
      </w:r>
      <w:r w:rsidR="00D32FC0" w:rsidRPr="00F55E60">
        <w:rPr>
          <w:lang w:val="fr-FR"/>
        </w:rPr>
        <w:t>’</w:t>
      </w:r>
      <w:r w:rsidRPr="00F55E60">
        <w:rPr>
          <w:lang w:val="fr-FR"/>
        </w:rPr>
        <w:t>État partie de déclarer la communication irrecevable, s</w:t>
      </w:r>
      <w:r w:rsidR="00D32FC0" w:rsidRPr="00F55E60">
        <w:rPr>
          <w:lang w:val="fr-FR"/>
        </w:rPr>
        <w:t>’</w:t>
      </w:r>
      <w:r w:rsidRPr="00F55E60">
        <w:rPr>
          <w:lang w:val="fr-FR"/>
        </w:rPr>
        <w:t>applique.</w:t>
      </w:r>
    </w:p>
    <w:p w14:paraId="183CCD01" w14:textId="6F916E90" w:rsidR="00CB3B80" w:rsidRPr="00F55E60" w:rsidRDefault="00CB3B80" w:rsidP="00CB3B80">
      <w:pPr>
        <w:pStyle w:val="SingleTxt"/>
        <w:spacing w:after="0" w:line="120" w:lineRule="exact"/>
        <w:rPr>
          <w:sz w:val="10"/>
          <w:lang w:val="fr-FR"/>
        </w:rPr>
      </w:pPr>
    </w:p>
    <w:p w14:paraId="38C7A936" w14:textId="2E0F62E7" w:rsidR="00A601EB" w:rsidRPr="00F55E60" w:rsidRDefault="00A601EB" w:rsidP="00CB3B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E60">
        <w:rPr>
          <w:lang w:val="fr-FR"/>
        </w:rPr>
        <w:tab/>
      </w:r>
      <w:r w:rsidRPr="00F55E60">
        <w:rPr>
          <w:lang w:val="fr-FR"/>
        </w:rPr>
        <w:tab/>
        <w:t>Commentaires de l</w:t>
      </w:r>
      <w:r w:rsidR="00D32FC0" w:rsidRPr="00F55E60">
        <w:rPr>
          <w:lang w:val="fr-FR"/>
        </w:rPr>
        <w:t>’</w:t>
      </w:r>
      <w:r w:rsidRPr="00F55E60">
        <w:rPr>
          <w:lang w:val="fr-FR"/>
        </w:rPr>
        <w:t>auteure sur les observations complémentaires de l</w:t>
      </w:r>
      <w:r w:rsidR="00D32FC0" w:rsidRPr="00F55E60">
        <w:rPr>
          <w:lang w:val="fr-FR"/>
        </w:rPr>
        <w:t>’</w:t>
      </w:r>
      <w:r w:rsidRPr="00F55E60">
        <w:rPr>
          <w:lang w:val="fr-FR"/>
        </w:rPr>
        <w:t>État partie</w:t>
      </w:r>
    </w:p>
    <w:p w14:paraId="23C188AD" w14:textId="77777777" w:rsidR="00CB3B80" w:rsidRPr="00F55E60" w:rsidRDefault="00CB3B80" w:rsidP="00CB3B80">
      <w:pPr>
        <w:pStyle w:val="SingleTxt"/>
        <w:spacing w:after="0" w:line="120" w:lineRule="exact"/>
        <w:rPr>
          <w:sz w:val="10"/>
          <w:lang w:val="fr-FR"/>
        </w:rPr>
      </w:pPr>
    </w:p>
    <w:p w14:paraId="5EB35CAC" w14:textId="5F32367C" w:rsidR="00A601EB" w:rsidRPr="00F55E60" w:rsidRDefault="00A601EB" w:rsidP="00CB3B80">
      <w:pPr>
        <w:pStyle w:val="SingleTxt"/>
        <w:numPr>
          <w:ilvl w:val="0"/>
          <w:numId w:val="42"/>
        </w:numPr>
        <w:tabs>
          <w:tab w:val="left" w:pos="1742"/>
        </w:tabs>
        <w:rPr>
          <w:lang w:val="fr-FR"/>
        </w:rPr>
      </w:pPr>
      <w:r w:rsidRPr="00F55E60">
        <w:rPr>
          <w:lang w:val="fr-FR"/>
        </w:rPr>
        <w:t xml:space="preserve">Le </w:t>
      </w:r>
      <w:r w:rsidRPr="00A135AC">
        <w:rPr>
          <w:lang w:val="fr-FR"/>
        </w:rPr>
        <w:t>21</w:t>
      </w:r>
      <w:r w:rsidRPr="00F55E60">
        <w:rPr>
          <w:lang w:val="fr-FR"/>
        </w:rPr>
        <w:t xml:space="preserve"> novembre </w:t>
      </w:r>
      <w:r w:rsidRPr="00A135AC">
        <w:rPr>
          <w:lang w:val="fr-FR"/>
        </w:rPr>
        <w:t>2017</w:t>
      </w:r>
      <w:r w:rsidRPr="00F55E60">
        <w:rPr>
          <w:lang w:val="fr-FR"/>
        </w:rPr>
        <w:t>, l</w:t>
      </w:r>
      <w:r w:rsidR="00D32FC0" w:rsidRPr="00F55E60">
        <w:rPr>
          <w:lang w:val="fr-FR"/>
        </w:rPr>
        <w:t>’</w:t>
      </w:r>
      <w:r w:rsidRPr="00F55E60">
        <w:rPr>
          <w:lang w:val="fr-FR"/>
        </w:rPr>
        <w:t>auteure a présenté des commentaires complémentaires. Pour ce qui est de l</w:t>
      </w:r>
      <w:r w:rsidR="00D32FC0" w:rsidRPr="00F55E60">
        <w:rPr>
          <w:lang w:val="fr-FR"/>
        </w:rPr>
        <w:t>’</w:t>
      </w:r>
      <w:r w:rsidRPr="00F55E60">
        <w:rPr>
          <w:lang w:val="fr-FR"/>
        </w:rPr>
        <w:t>argument relatif à l</w:t>
      </w:r>
      <w:r w:rsidR="00D32FC0" w:rsidRPr="00F55E60">
        <w:rPr>
          <w:lang w:val="fr-FR"/>
        </w:rPr>
        <w:t>’</w:t>
      </w:r>
      <w:r w:rsidRPr="00F55E60">
        <w:rPr>
          <w:lang w:val="fr-FR"/>
        </w:rPr>
        <w:t>irrecevabilité de la communication, elle note qu</w:t>
      </w:r>
      <w:r w:rsidR="00D32FC0" w:rsidRPr="00F55E60">
        <w:rPr>
          <w:lang w:val="fr-FR"/>
        </w:rPr>
        <w:t>’</w:t>
      </w:r>
      <w:r w:rsidRPr="00F55E60">
        <w:rPr>
          <w:lang w:val="fr-FR"/>
        </w:rPr>
        <w:t>il s</w:t>
      </w:r>
      <w:r w:rsidR="00D32FC0" w:rsidRPr="00F55E60">
        <w:rPr>
          <w:lang w:val="fr-FR"/>
        </w:rPr>
        <w:t>’</w:t>
      </w:r>
      <w:r w:rsidRPr="00F55E60">
        <w:rPr>
          <w:lang w:val="fr-FR"/>
        </w:rPr>
        <w:t>agit de la deuxième exception d</w:t>
      </w:r>
      <w:r w:rsidR="00D32FC0" w:rsidRPr="00F55E60">
        <w:rPr>
          <w:lang w:val="fr-FR"/>
        </w:rPr>
        <w:t>’</w:t>
      </w:r>
      <w:r w:rsidRPr="00F55E60">
        <w:rPr>
          <w:lang w:val="fr-FR"/>
        </w:rPr>
        <w:t>irrecevabilité de l</w:t>
      </w:r>
      <w:r w:rsidR="00D32FC0" w:rsidRPr="00F55E60">
        <w:rPr>
          <w:lang w:val="fr-FR"/>
        </w:rPr>
        <w:t>’</w:t>
      </w:r>
      <w:r w:rsidRPr="00F55E60">
        <w:rPr>
          <w:lang w:val="fr-FR"/>
        </w:rPr>
        <w:t>État partie et qu</w:t>
      </w:r>
      <w:r w:rsidR="00D32FC0" w:rsidRPr="00F55E60">
        <w:rPr>
          <w:lang w:val="fr-FR"/>
        </w:rPr>
        <w:t>’</w:t>
      </w:r>
      <w:r w:rsidRPr="00F55E60">
        <w:rPr>
          <w:lang w:val="fr-FR"/>
        </w:rPr>
        <w:t>elle avait déjà formulé certaines observations s</w:t>
      </w:r>
      <w:r w:rsidR="00D32FC0" w:rsidRPr="00F55E60">
        <w:rPr>
          <w:lang w:val="fr-FR"/>
        </w:rPr>
        <w:t>’</w:t>
      </w:r>
      <w:r w:rsidRPr="00F55E60">
        <w:rPr>
          <w:lang w:val="fr-FR"/>
        </w:rPr>
        <w:t>agissant de la première. L</w:t>
      </w:r>
      <w:r w:rsidR="00D32FC0" w:rsidRPr="00F55E60">
        <w:rPr>
          <w:lang w:val="fr-FR"/>
        </w:rPr>
        <w:t>’</w:t>
      </w:r>
      <w:r w:rsidRPr="00F55E60">
        <w:rPr>
          <w:lang w:val="fr-FR"/>
        </w:rPr>
        <w:t>État partie fait valoir qu</w:t>
      </w:r>
      <w:r w:rsidR="00D32FC0" w:rsidRPr="00F55E60">
        <w:rPr>
          <w:lang w:val="fr-FR"/>
        </w:rPr>
        <w:t>’</w:t>
      </w:r>
      <w:r w:rsidRPr="00F55E60">
        <w:rPr>
          <w:lang w:val="fr-FR"/>
        </w:rPr>
        <w:t>il n</w:t>
      </w:r>
      <w:r w:rsidR="00D32FC0" w:rsidRPr="00F55E60">
        <w:rPr>
          <w:lang w:val="fr-FR"/>
        </w:rPr>
        <w:t>’</w:t>
      </w:r>
      <w:r w:rsidRPr="00F55E60">
        <w:rPr>
          <w:lang w:val="fr-FR"/>
        </w:rPr>
        <w:t>existe pas de traité bilatéral entre la Jordanie et l</w:t>
      </w:r>
      <w:r w:rsidR="00D32FC0" w:rsidRPr="00F55E60">
        <w:rPr>
          <w:lang w:val="fr-FR"/>
        </w:rPr>
        <w:t>’</w:t>
      </w:r>
      <w:r w:rsidRPr="00F55E60">
        <w:rPr>
          <w:lang w:val="fr-FR"/>
        </w:rPr>
        <w:t>Ukraine, que la Jordanie n</w:t>
      </w:r>
      <w:r w:rsidR="00D32FC0" w:rsidRPr="00F55E60">
        <w:rPr>
          <w:lang w:val="fr-FR"/>
        </w:rPr>
        <w:t>’</w:t>
      </w:r>
      <w:r w:rsidRPr="00F55E60">
        <w:rPr>
          <w:lang w:val="fr-FR"/>
        </w:rPr>
        <w:t>est pas partie aux conventions internationales applicables et que le père est un citoyen jordanien. Ces arguments, de l</w:t>
      </w:r>
      <w:r w:rsidR="00D32FC0" w:rsidRPr="00F55E60">
        <w:rPr>
          <w:lang w:val="fr-FR"/>
        </w:rPr>
        <w:t>’</w:t>
      </w:r>
      <w:r w:rsidRPr="00F55E60">
        <w:rPr>
          <w:lang w:val="fr-FR"/>
        </w:rPr>
        <w:t>avis de l</w:t>
      </w:r>
      <w:r w:rsidR="00D32FC0" w:rsidRPr="00F55E60">
        <w:rPr>
          <w:lang w:val="fr-FR"/>
        </w:rPr>
        <w:t>’</w:t>
      </w:r>
      <w:r w:rsidRPr="00F55E60">
        <w:rPr>
          <w:lang w:val="fr-FR"/>
        </w:rPr>
        <w:t>auteure, n</w:t>
      </w:r>
      <w:r w:rsidR="00D32FC0" w:rsidRPr="00F55E60">
        <w:rPr>
          <w:lang w:val="fr-FR"/>
        </w:rPr>
        <w:t>’</w:t>
      </w:r>
      <w:r w:rsidRPr="00F55E60">
        <w:rPr>
          <w:lang w:val="fr-FR"/>
        </w:rPr>
        <w:t>empêchent pas l</w:t>
      </w:r>
      <w:r w:rsidR="00D32FC0" w:rsidRPr="00F55E60">
        <w:rPr>
          <w:lang w:val="fr-FR"/>
        </w:rPr>
        <w:t>’</w:t>
      </w:r>
      <w:r w:rsidRPr="00F55E60">
        <w:rPr>
          <w:lang w:val="fr-FR"/>
        </w:rPr>
        <w:t>État partie de s</w:t>
      </w:r>
      <w:r w:rsidR="00D32FC0" w:rsidRPr="00F55E60">
        <w:rPr>
          <w:lang w:val="fr-FR"/>
        </w:rPr>
        <w:t>’</w:t>
      </w:r>
      <w:r w:rsidRPr="00F55E60">
        <w:rPr>
          <w:lang w:val="fr-FR"/>
        </w:rPr>
        <w:t>acquitter de ses obligations nationales et internationales de fournir à ses ressortissants à l</w:t>
      </w:r>
      <w:r w:rsidR="00D32FC0" w:rsidRPr="00F55E60">
        <w:rPr>
          <w:lang w:val="fr-FR"/>
        </w:rPr>
        <w:t>’</w:t>
      </w:r>
      <w:r w:rsidRPr="00F55E60">
        <w:rPr>
          <w:lang w:val="fr-FR"/>
        </w:rPr>
        <w:t>étranger une assistance consulaire et une protection diplomatique au mieux de ses capacités, et que son incapacité à le faire a déjà été mise en avant par l</w:t>
      </w:r>
      <w:r w:rsidR="00D32FC0" w:rsidRPr="00F55E60">
        <w:rPr>
          <w:lang w:val="fr-FR"/>
        </w:rPr>
        <w:t>’</w:t>
      </w:r>
      <w:r w:rsidRPr="00F55E60">
        <w:rPr>
          <w:lang w:val="fr-FR"/>
        </w:rPr>
        <w:t>auteure dans sa première communication. Cette assistance et cette protection devraient s</w:t>
      </w:r>
      <w:r w:rsidR="00D32FC0" w:rsidRPr="00F55E60">
        <w:rPr>
          <w:lang w:val="fr-FR"/>
        </w:rPr>
        <w:t>’</w:t>
      </w:r>
      <w:r w:rsidRPr="00F55E60">
        <w:rPr>
          <w:lang w:val="fr-FR"/>
        </w:rPr>
        <w:t>appliquer en particulier en cas de graves violations des droits de la personne garantis au niveau international, comme en l</w:t>
      </w:r>
      <w:r w:rsidR="00D32FC0" w:rsidRPr="00F55E60">
        <w:rPr>
          <w:lang w:val="fr-FR"/>
        </w:rPr>
        <w:t>’</w:t>
      </w:r>
      <w:r w:rsidRPr="00F55E60">
        <w:rPr>
          <w:lang w:val="fr-FR"/>
        </w:rPr>
        <w:t xml:space="preserve">espèce concernant une victime </w:t>
      </w:r>
      <w:r w:rsidRPr="00F55E60">
        <w:rPr>
          <w:lang w:val="fr-FR"/>
        </w:rPr>
        <w:lastRenderedPageBreak/>
        <w:t>de violences domestiques à long terme et une parente qui a souffert d</w:t>
      </w:r>
      <w:r w:rsidR="00D32FC0" w:rsidRPr="00F55E60">
        <w:rPr>
          <w:lang w:val="fr-FR"/>
        </w:rPr>
        <w:t>’</w:t>
      </w:r>
      <w:r w:rsidRPr="00F55E60">
        <w:rPr>
          <w:lang w:val="fr-FR"/>
        </w:rPr>
        <w:t>être privée de son enfant.</w:t>
      </w:r>
    </w:p>
    <w:p w14:paraId="21F72D72" w14:textId="6208A62A" w:rsidR="00A601EB" w:rsidRPr="00F55E60" w:rsidRDefault="00A601EB" w:rsidP="00C913A1">
      <w:pPr>
        <w:pStyle w:val="SingleTxt"/>
        <w:numPr>
          <w:ilvl w:val="0"/>
          <w:numId w:val="42"/>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rappelle que, lorsqu</w:t>
      </w:r>
      <w:r w:rsidR="00D32FC0" w:rsidRPr="00F55E60">
        <w:rPr>
          <w:lang w:val="fr-FR"/>
        </w:rPr>
        <w:t>’</w:t>
      </w:r>
      <w:r w:rsidRPr="00F55E60">
        <w:rPr>
          <w:lang w:val="fr-FR"/>
        </w:rPr>
        <w:t>elle vivait en Jordanie, elle a été victime de violences familiales et de discriminations en tant que femme. Elle a sollicité l</w:t>
      </w:r>
      <w:r w:rsidR="00D32FC0" w:rsidRPr="00F55E60">
        <w:rPr>
          <w:lang w:val="fr-FR"/>
        </w:rPr>
        <w:t>’</w:t>
      </w:r>
      <w:r w:rsidRPr="00F55E60">
        <w:rPr>
          <w:lang w:val="fr-FR"/>
        </w:rPr>
        <w:t>assistance de l</w:t>
      </w:r>
      <w:r w:rsidR="00D32FC0" w:rsidRPr="00F55E60">
        <w:rPr>
          <w:lang w:val="fr-FR"/>
        </w:rPr>
        <w:t>’</w:t>
      </w:r>
      <w:r w:rsidRPr="00F55E60">
        <w:rPr>
          <w:lang w:val="fr-FR"/>
        </w:rPr>
        <w:t>ambassade d</w:t>
      </w:r>
      <w:r w:rsidR="00D32FC0" w:rsidRPr="00F55E60">
        <w:rPr>
          <w:lang w:val="fr-FR"/>
        </w:rPr>
        <w:t>’</w:t>
      </w:r>
      <w:r w:rsidRPr="00F55E60">
        <w:rPr>
          <w:lang w:val="fr-FR"/>
        </w:rPr>
        <w:t>Ukraine à Amman et la protection de cette dernière contre les violences domestiques perpétrées à son encontre. La réponse de l</w:t>
      </w:r>
      <w:r w:rsidR="00D32FC0" w:rsidRPr="00F55E60">
        <w:rPr>
          <w:lang w:val="fr-FR"/>
        </w:rPr>
        <w:t>’</w:t>
      </w:r>
      <w:r w:rsidRPr="00F55E60">
        <w:rPr>
          <w:lang w:val="fr-FR"/>
        </w:rPr>
        <w:t>ambassade a été inappropriée et inefficace</w:t>
      </w:r>
      <w:r w:rsidR="00D32FC0" w:rsidRPr="00F55E60">
        <w:rPr>
          <w:lang w:val="fr-FR"/>
        </w:rPr>
        <w:t> :</w:t>
      </w:r>
      <w:r w:rsidRPr="00F55E60">
        <w:rPr>
          <w:lang w:val="fr-FR"/>
        </w:rPr>
        <w:t xml:space="preserve"> non seulement elle n</w:t>
      </w:r>
      <w:r w:rsidR="00D32FC0" w:rsidRPr="00F55E60">
        <w:rPr>
          <w:lang w:val="fr-FR"/>
        </w:rPr>
        <w:t>’</w:t>
      </w:r>
      <w:r w:rsidRPr="00F55E60">
        <w:rPr>
          <w:lang w:val="fr-FR"/>
        </w:rPr>
        <w:t>a pas empêché que l</w:t>
      </w:r>
      <w:r w:rsidR="00D32FC0" w:rsidRPr="00F55E60">
        <w:rPr>
          <w:lang w:val="fr-FR"/>
        </w:rPr>
        <w:t>’</w:t>
      </w:r>
      <w:r w:rsidRPr="00F55E60">
        <w:rPr>
          <w:lang w:val="fr-FR"/>
        </w:rPr>
        <w:t>auteure fasse l</w:t>
      </w:r>
      <w:r w:rsidR="00D32FC0" w:rsidRPr="00F55E60">
        <w:rPr>
          <w:lang w:val="fr-FR"/>
        </w:rPr>
        <w:t>’</w:t>
      </w:r>
      <w:r w:rsidRPr="00F55E60">
        <w:rPr>
          <w:lang w:val="fr-FR"/>
        </w:rPr>
        <w:t>objet de discriminations fondées sur le genre, mais elle a également autorisé l</w:t>
      </w:r>
      <w:r w:rsidR="00D32FC0" w:rsidRPr="00F55E60">
        <w:rPr>
          <w:lang w:val="fr-FR"/>
        </w:rPr>
        <w:t>’</w:t>
      </w:r>
      <w:r w:rsidRPr="00F55E60">
        <w:rPr>
          <w:lang w:val="fr-FR"/>
        </w:rPr>
        <w:t>existence d</w:t>
      </w:r>
      <w:r w:rsidR="00D32FC0" w:rsidRPr="00F55E60">
        <w:rPr>
          <w:lang w:val="fr-FR"/>
        </w:rPr>
        <w:t>’</w:t>
      </w:r>
      <w:r w:rsidRPr="00F55E60">
        <w:rPr>
          <w:lang w:val="fr-FR"/>
        </w:rPr>
        <w:t>une telle discrimination. L</w:t>
      </w:r>
      <w:r w:rsidR="00D32FC0" w:rsidRPr="00F55E60">
        <w:rPr>
          <w:lang w:val="fr-FR"/>
        </w:rPr>
        <w:t>’</w:t>
      </w:r>
      <w:r w:rsidRPr="00F55E60">
        <w:rPr>
          <w:lang w:val="fr-FR"/>
        </w:rPr>
        <w:t>État partie n</w:t>
      </w:r>
      <w:r w:rsidR="00D32FC0" w:rsidRPr="00F55E60">
        <w:rPr>
          <w:lang w:val="fr-FR"/>
        </w:rPr>
        <w:t>’</w:t>
      </w:r>
      <w:r w:rsidRPr="00F55E60">
        <w:rPr>
          <w:lang w:val="fr-FR"/>
        </w:rPr>
        <w:t>a pris aucune mesure pour que les autorités publiques s</w:t>
      </w:r>
      <w:r w:rsidR="00D32FC0" w:rsidRPr="00F55E60">
        <w:rPr>
          <w:lang w:val="fr-FR"/>
        </w:rPr>
        <w:t>’</w:t>
      </w:r>
      <w:r w:rsidRPr="00F55E60">
        <w:rPr>
          <w:lang w:val="fr-FR"/>
        </w:rPr>
        <w:t>abstiennent d</w:t>
      </w:r>
      <w:r w:rsidR="00D32FC0" w:rsidRPr="00F55E60">
        <w:rPr>
          <w:lang w:val="fr-FR"/>
        </w:rPr>
        <w:t>’</w:t>
      </w:r>
      <w:r w:rsidRPr="00F55E60">
        <w:rPr>
          <w:lang w:val="fr-FR"/>
        </w:rPr>
        <w:t>actes discriminatoires et agissent avec la diligence nécessaire pour protéger l</w:t>
      </w:r>
      <w:r w:rsidR="00D32FC0" w:rsidRPr="00F55E60">
        <w:rPr>
          <w:lang w:val="fr-FR"/>
        </w:rPr>
        <w:t>’</w:t>
      </w:r>
      <w:r w:rsidRPr="00F55E60">
        <w:rPr>
          <w:lang w:val="fr-FR"/>
        </w:rPr>
        <w:t>auteure contre tout acte de discrimination à l</w:t>
      </w:r>
      <w:r w:rsidR="00D32FC0" w:rsidRPr="00F55E60">
        <w:rPr>
          <w:lang w:val="fr-FR"/>
        </w:rPr>
        <w:t>’</w:t>
      </w:r>
      <w:r w:rsidRPr="00F55E60">
        <w:rPr>
          <w:lang w:val="fr-FR"/>
        </w:rPr>
        <w:t>égard des femmes, qu</w:t>
      </w:r>
      <w:r w:rsidR="00D32FC0" w:rsidRPr="00F55E60">
        <w:rPr>
          <w:lang w:val="fr-FR"/>
        </w:rPr>
        <w:t>’</w:t>
      </w:r>
      <w:r w:rsidRPr="00F55E60">
        <w:rPr>
          <w:lang w:val="fr-FR"/>
        </w:rPr>
        <w:t>il soit commis par un particulier ou par les autorités publiques en Jordanie.</w:t>
      </w:r>
    </w:p>
    <w:p w14:paraId="229724AA" w14:textId="0FD6C097" w:rsidR="00A601EB" w:rsidRPr="00F55E60" w:rsidRDefault="00A601EB" w:rsidP="00C913A1">
      <w:pPr>
        <w:pStyle w:val="SingleTxt"/>
        <w:numPr>
          <w:ilvl w:val="0"/>
          <w:numId w:val="42"/>
        </w:numPr>
        <w:tabs>
          <w:tab w:val="left" w:pos="1742"/>
        </w:tabs>
        <w:spacing w:line="240" w:lineRule="exact"/>
        <w:rPr>
          <w:lang w:val="fr-FR"/>
        </w:rPr>
      </w:pPr>
      <w:r w:rsidRPr="00F55E60">
        <w:rPr>
          <w:lang w:val="fr-FR"/>
        </w:rPr>
        <w:t>L</w:t>
      </w:r>
      <w:r w:rsidR="00D32FC0" w:rsidRPr="00F55E60">
        <w:rPr>
          <w:lang w:val="fr-FR"/>
        </w:rPr>
        <w:t>’</w:t>
      </w:r>
      <w:r w:rsidRPr="00F55E60">
        <w:rPr>
          <w:lang w:val="fr-FR"/>
        </w:rPr>
        <w:t>auteure considère que l</w:t>
      </w:r>
      <w:r w:rsidR="00D32FC0" w:rsidRPr="00F55E60">
        <w:rPr>
          <w:lang w:val="fr-FR"/>
        </w:rPr>
        <w:t>’</w:t>
      </w:r>
      <w:r w:rsidRPr="00F55E60">
        <w:rPr>
          <w:lang w:val="fr-FR"/>
        </w:rPr>
        <w:t>objection de l</w:t>
      </w:r>
      <w:r w:rsidR="00D32FC0" w:rsidRPr="00F55E60">
        <w:rPr>
          <w:lang w:val="fr-FR"/>
        </w:rPr>
        <w:t>’</w:t>
      </w:r>
      <w:r w:rsidRPr="00F55E60">
        <w:rPr>
          <w:lang w:val="fr-FR"/>
        </w:rPr>
        <w:t>État partie sur la recevabilité de la communication est infondée et invite le Comité à prendre une décision sur le fond en s</w:t>
      </w:r>
      <w:r w:rsidR="00D32FC0" w:rsidRPr="00F55E60">
        <w:rPr>
          <w:lang w:val="fr-FR"/>
        </w:rPr>
        <w:t>’</w:t>
      </w:r>
      <w:r w:rsidRPr="00F55E60">
        <w:rPr>
          <w:lang w:val="fr-FR"/>
        </w:rPr>
        <w:t>appuyant sur les éléments du dossier.</w:t>
      </w:r>
    </w:p>
    <w:p w14:paraId="1B6654B8" w14:textId="29D71704" w:rsidR="00A601EB" w:rsidRPr="00F55E60" w:rsidRDefault="00A601EB" w:rsidP="00C913A1">
      <w:pPr>
        <w:pStyle w:val="SingleTxt"/>
        <w:spacing w:after="0" w:line="120" w:lineRule="exact"/>
        <w:rPr>
          <w:sz w:val="10"/>
          <w:lang w:val="fr-FR"/>
        </w:rPr>
      </w:pPr>
    </w:p>
    <w:p w14:paraId="3FCCCAD8" w14:textId="77777777" w:rsidR="00A601EB" w:rsidRPr="00F55E60" w:rsidRDefault="00A601EB" w:rsidP="00C913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55E60">
        <w:rPr>
          <w:lang w:val="fr-FR"/>
        </w:rPr>
        <w:tab/>
      </w:r>
      <w:r w:rsidRPr="00F55E60">
        <w:rPr>
          <w:lang w:val="fr-FR"/>
        </w:rPr>
        <w:tab/>
        <w:t>Délibérations du Comité</w:t>
      </w:r>
    </w:p>
    <w:p w14:paraId="2E8E9C8F" w14:textId="3D4200E9" w:rsidR="00A601EB" w:rsidRPr="00F55E60" w:rsidRDefault="00A601EB" w:rsidP="00C913A1">
      <w:pPr>
        <w:pStyle w:val="SingleTxt"/>
        <w:spacing w:after="0" w:line="120" w:lineRule="exact"/>
        <w:rPr>
          <w:sz w:val="10"/>
          <w:lang w:val="fr-FR"/>
        </w:rPr>
      </w:pPr>
    </w:p>
    <w:p w14:paraId="3018D67E" w14:textId="77777777" w:rsidR="00A601EB" w:rsidRPr="00A135AC" w:rsidRDefault="00A601EB" w:rsidP="00C913A1">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35AC">
        <w:rPr>
          <w:lang w:val="fr-FR"/>
        </w:rPr>
        <w:tab/>
      </w:r>
      <w:r w:rsidRPr="00A135AC">
        <w:rPr>
          <w:lang w:val="fr-FR"/>
        </w:rPr>
        <w:tab/>
        <w:t>Examen de la recevabilité</w:t>
      </w:r>
    </w:p>
    <w:p w14:paraId="43E9709F" w14:textId="636C9159" w:rsidR="00A601EB" w:rsidRPr="00F55E60" w:rsidRDefault="00A601EB" w:rsidP="00C913A1">
      <w:pPr>
        <w:pStyle w:val="SingleTxt"/>
        <w:spacing w:after="0" w:line="120" w:lineRule="exact"/>
        <w:rPr>
          <w:sz w:val="10"/>
          <w:lang w:val="fr-FR"/>
        </w:rPr>
      </w:pPr>
    </w:p>
    <w:p w14:paraId="6D925D39" w14:textId="5D950968" w:rsidR="00A601EB" w:rsidRPr="00F55E60" w:rsidRDefault="00A601EB" w:rsidP="00F96165">
      <w:pPr>
        <w:pStyle w:val="SingleTxt"/>
        <w:numPr>
          <w:ilvl w:val="0"/>
          <w:numId w:val="43"/>
        </w:numPr>
        <w:rPr>
          <w:lang w:val="fr-FR"/>
        </w:rPr>
      </w:pPr>
      <w:r w:rsidRPr="00F55E60">
        <w:rPr>
          <w:lang w:val="fr-FR"/>
        </w:rPr>
        <w:t>Conformément à l</w:t>
      </w:r>
      <w:r w:rsidR="00D32FC0" w:rsidRPr="00F55E60">
        <w:rPr>
          <w:lang w:val="fr-FR"/>
        </w:rPr>
        <w:t>’</w:t>
      </w:r>
      <w:r w:rsidRPr="00F55E60">
        <w:rPr>
          <w:lang w:val="fr-FR"/>
        </w:rPr>
        <w:t xml:space="preserve">article </w:t>
      </w:r>
      <w:r w:rsidRPr="00A135AC">
        <w:rPr>
          <w:lang w:val="fr-FR"/>
        </w:rPr>
        <w:t>64</w:t>
      </w:r>
      <w:r w:rsidRPr="00F55E60">
        <w:rPr>
          <w:lang w:val="fr-FR"/>
        </w:rPr>
        <w:t xml:space="preserve"> de son règlement intérieur, le Comité doit statuer sur la recevabilité de la communication en vertu du Protocole facultatif. En application de l</w:t>
      </w:r>
      <w:r w:rsidR="00D32FC0" w:rsidRPr="00F55E60">
        <w:rPr>
          <w:lang w:val="fr-FR"/>
        </w:rPr>
        <w:t>’</w:t>
      </w:r>
      <w:r w:rsidRPr="00F55E60">
        <w:rPr>
          <w:lang w:val="fr-FR"/>
        </w:rPr>
        <w:t xml:space="preserve">article </w:t>
      </w:r>
      <w:r w:rsidRPr="00A135AC">
        <w:rPr>
          <w:lang w:val="fr-FR"/>
        </w:rPr>
        <w:t>72</w:t>
      </w:r>
      <w:r w:rsidRPr="00F55E60">
        <w:rPr>
          <w:lang w:val="fr-FR"/>
        </w:rPr>
        <w:t xml:space="preserve">, paragraphe </w:t>
      </w:r>
      <w:r w:rsidRPr="00A135AC">
        <w:rPr>
          <w:lang w:val="fr-FR"/>
        </w:rPr>
        <w:t>4</w:t>
      </w:r>
      <w:r w:rsidRPr="00F55E60">
        <w:rPr>
          <w:lang w:val="fr-FR"/>
        </w:rPr>
        <w:t xml:space="preserve"> dudit Protocole, il doit prendre cette décision avant de se prononcer sur le fond de la communication.</w:t>
      </w:r>
    </w:p>
    <w:p w14:paraId="230F4F44" w14:textId="58623B5D" w:rsidR="00A601EB" w:rsidRPr="00F55E60" w:rsidRDefault="00A601EB" w:rsidP="00F96165">
      <w:pPr>
        <w:pStyle w:val="SingleTxt"/>
        <w:numPr>
          <w:ilvl w:val="0"/>
          <w:numId w:val="43"/>
        </w:numPr>
        <w:spacing w:line="240" w:lineRule="exact"/>
        <w:rPr>
          <w:lang w:val="fr-FR"/>
        </w:rPr>
      </w:pPr>
      <w:r w:rsidRPr="00F55E60">
        <w:rPr>
          <w:lang w:val="fr-FR"/>
        </w:rPr>
        <w:t>Le Comité s</w:t>
      </w:r>
      <w:r w:rsidR="00D32FC0" w:rsidRPr="00F55E60">
        <w:rPr>
          <w:lang w:val="fr-FR"/>
        </w:rPr>
        <w:t>’</w:t>
      </w:r>
      <w:r w:rsidRPr="00F55E60">
        <w:rPr>
          <w:lang w:val="fr-FR"/>
        </w:rPr>
        <w:t xml:space="preserve">est assuré, comme il est tenu de le faire conformément au paragraphe </w:t>
      </w:r>
      <w:r w:rsidRPr="00A135AC">
        <w:rPr>
          <w:lang w:val="fr-FR"/>
        </w:rPr>
        <w:t>2</w:t>
      </w:r>
      <w:r w:rsidRPr="00F55E60">
        <w:rPr>
          <w:lang w:val="fr-FR"/>
        </w:rPr>
        <w:t xml:space="preserve"> a) de l</w:t>
      </w:r>
      <w:r w:rsidR="00D32FC0" w:rsidRPr="00F55E60">
        <w:rPr>
          <w:lang w:val="fr-FR"/>
        </w:rPr>
        <w:t>’</w:t>
      </w:r>
      <w:r w:rsidRPr="00F55E60">
        <w:rPr>
          <w:lang w:val="fr-FR"/>
        </w:rPr>
        <w:t xml:space="preserve">article </w:t>
      </w:r>
      <w:r w:rsidRPr="00A135AC">
        <w:rPr>
          <w:lang w:val="fr-FR"/>
        </w:rPr>
        <w:t>4</w:t>
      </w:r>
      <w:r w:rsidRPr="00F55E60">
        <w:rPr>
          <w:lang w:val="fr-FR"/>
        </w:rPr>
        <w:t xml:space="preserve"> du Protocole facultatif, que la même question n</w:t>
      </w:r>
      <w:r w:rsidR="00D32FC0" w:rsidRPr="00F55E60">
        <w:rPr>
          <w:lang w:val="fr-FR"/>
        </w:rPr>
        <w:t>’</w:t>
      </w:r>
      <w:r w:rsidRPr="00F55E60">
        <w:rPr>
          <w:lang w:val="fr-FR"/>
        </w:rPr>
        <w:t>avait pas déjà été examinée ou n</w:t>
      </w:r>
      <w:r w:rsidR="00D32FC0" w:rsidRPr="00F55E60">
        <w:rPr>
          <w:lang w:val="fr-FR"/>
        </w:rPr>
        <w:t>’</w:t>
      </w:r>
      <w:r w:rsidRPr="00F55E60">
        <w:rPr>
          <w:lang w:val="fr-FR"/>
        </w:rPr>
        <w:t>était pas déjà en cours d</w:t>
      </w:r>
      <w:r w:rsidR="00D32FC0" w:rsidRPr="00F55E60">
        <w:rPr>
          <w:lang w:val="fr-FR"/>
        </w:rPr>
        <w:t>’</w:t>
      </w:r>
      <w:r w:rsidRPr="00F55E60">
        <w:rPr>
          <w:lang w:val="fr-FR"/>
        </w:rPr>
        <w:t>examen devant une autre instance internationale d</w:t>
      </w:r>
      <w:r w:rsidR="00D32FC0" w:rsidRPr="00F55E60">
        <w:rPr>
          <w:lang w:val="fr-FR"/>
        </w:rPr>
        <w:t>’</w:t>
      </w:r>
      <w:r w:rsidRPr="00F55E60">
        <w:rPr>
          <w:lang w:val="fr-FR"/>
        </w:rPr>
        <w:t>enquête ou de règlement.</w:t>
      </w:r>
    </w:p>
    <w:p w14:paraId="1D60AB69" w14:textId="7208A6A4" w:rsidR="00A601EB" w:rsidRPr="00F55E60" w:rsidRDefault="00A601EB" w:rsidP="00F96165">
      <w:pPr>
        <w:pStyle w:val="SingleTxt"/>
        <w:numPr>
          <w:ilvl w:val="0"/>
          <w:numId w:val="43"/>
        </w:numPr>
        <w:spacing w:line="240" w:lineRule="exact"/>
        <w:rPr>
          <w:lang w:val="fr-FR"/>
        </w:rPr>
      </w:pPr>
      <w:r w:rsidRPr="00F55E60">
        <w:rPr>
          <w:lang w:val="fr-FR"/>
        </w:rPr>
        <w:t>Le Comité prend note des observations de l</w:t>
      </w:r>
      <w:r w:rsidR="00D32FC0" w:rsidRPr="00F55E60">
        <w:rPr>
          <w:lang w:val="fr-FR"/>
        </w:rPr>
        <w:t>’</w:t>
      </w:r>
      <w:r w:rsidRPr="00F55E60">
        <w:rPr>
          <w:lang w:val="fr-FR"/>
        </w:rPr>
        <w:t>auteure selon lesquelles l</w:t>
      </w:r>
      <w:r w:rsidR="00D32FC0" w:rsidRPr="00F55E60">
        <w:rPr>
          <w:lang w:val="fr-FR"/>
        </w:rPr>
        <w:t>’</w:t>
      </w:r>
      <w:r w:rsidRPr="00F55E60">
        <w:rPr>
          <w:lang w:val="fr-FR"/>
        </w:rPr>
        <w:t>Ukraine n</w:t>
      </w:r>
      <w:r w:rsidR="00D32FC0" w:rsidRPr="00F55E60">
        <w:rPr>
          <w:lang w:val="fr-FR"/>
        </w:rPr>
        <w:t>’</w:t>
      </w:r>
      <w:r w:rsidRPr="00F55E60">
        <w:rPr>
          <w:lang w:val="fr-FR"/>
        </w:rPr>
        <w:t>aurait pas garanti l</w:t>
      </w:r>
      <w:r w:rsidR="00D32FC0" w:rsidRPr="00F55E60">
        <w:rPr>
          <w:lang w:val="fr-FR"/>
        </w:rPr>
        <w:t>’</w:t>
      </w:r>
      <w:r w:rsidRPr="00F55E60">
        <w:rPr>
          <w:lang w:val="fr-FR"/>
        </w:rPr>
        <w:t>exécution des décisions des tribunaux ukrainiens en Jordanie. Il prend également note de l</w:t>
      </w:r>
      <w:r w:rsidR="00D32FC0" w:rsidRPr="00F55E60">
        <w:rPr>
          <w:lang w:val="fr-FR"/>
        </w:rPr>
        <w:t>’</w:t>
      </w:r>
      <w:r w:rsidRPr="00F55E60">
        <w:rPr>
          <w:lang w:val="fr-FR"/>
        </w:rPr>
        <w:t>action menée par l</w:t>
      </w:r>
      <w:r w:rsidR="00D32FC0" w:rsidRPr="00F55E60">
        <w:rPr>
          <w:lang w:val="fr-FR"/>
        </w:rPr>
        <w:t>’</w:t>
      </w:r>
      <w:r w:rsidRPr="00F55E60">
        <w:rPr>
          <w:lang w:val="fr-FR"/>
        </w:rPr>
        <w:t>État partie pour conclure un accord sur l</w:t>
      </w:r>
      <w:r w:rsidR="00D32FC0" w:rsidRPr="00F55E60">
        <w:rPr>
          <w:lang w:val="fr-FR"/>
        </w:rPr>
        <w:t>’</w:t>
      </w:r>
      <w:r w:rsidRPr="00F55E60">
        <w:rPr>
          <w:lang w:val="fr-FR"/>
        </w:rPr>
        <w:t>aide juridique et les questions de garde d</w:t>
      </w:r>
      <w:r w:rsidR="00D32FC0" w:rsidRPr="00F55E60">
        <w:rPr>
          <w:lang w:val="fr-FR"/>
        </w:rPr>
        <w:t>’</w:t>
      </w:r>
      <w:r w:rsidRPr="00F55E60">
        <w:rPr>
          <w:lang w:val="fr-FR"/>
        </w:rPr>
        <w:t>enfants avec la Jordanie. Il considère qu</w:t>
      </w:r>
      <w:r w:rsidR="00D32FC0" w:rsidRPr="00F55E60">
        <w:rPr>
          <w:lang w:val="fr-FR"/>
        </w:rPr>
        <w:t>’</w:t>
      </w:r>
      <w:r w:rsidRPr="00F55E60">
        <w:rPr>
          <w:lang w:val="fr-FR"/>
        </w:rPr>
        <w:t>en l</w:t>
      </w:r>
      <w:r w:rsidR="00D32FC0" w:rsidRPr="00F55E60">
        <w:rPr>
          <w:lang w:val="fr-FR"/>
        </w:rPr>
        <w:t>’</w:t>
      </w:r>
      <w:r w:rsidRPr="00F55E60">
        <w:rPr>
          <w:lang w:val="fr-FR"/>
        </w:rPr>
        <w:t>absence d</w:t>
      </w:r>
      <w:r w:rsidR="00D32FC0" w:rsidRPr="00F55E60">
        <w:rPr>
          <w:lang w:val="fr-FR"/>
        </w:rPr>
        <w:t>’</w:t>
      </w:r>
      <w:r w:rsidRPr="00F55E60">
        <w:rPr>
          <w:lang w:val="fr-FR"/>
        </w:rPr>
        <w:t>un accord bilatéral sur l</w:t>
      </w:r>
      <w:r w:rsidR="00D32FC0" w:rsidRPr="00F55E60">
        <w:rPr>
          <w:lang w:val="fr-FR"/>
        </w:rPr>
        <w:t>’</w:t>
      </w:r>
      <w:r w:rsidRPr="00F55E60">
        <w:rPr>
          <w:lang w:val="fr-FR"/>
        </w:rPr>
        <w:t>aide juridique et les questions de garde d</w:t>
      </w:r>
      <w:r w:rsidR="00D32FC0" w:rsidRPr="00F55E60">
        <w:rPr>
          <w:lang w:val="fr-FR"/>
        </w:rPr>
        <w:t>’</w:t>
      </w:r>
      <w:r w:rsidRPr="00F55E60">
        <w:rPr>
          <w:lang w:val="fr-FR"/>
        </w:rPr>
        <w:t>enfants entre la Jordanie et l</w:t>
      </w:r>
      <w:r w:rsidR="00D32FC0" w:rsidRPr="00F55E60">
        <w:rPr>
          <w:lang w:val="fr-FR"/>
        </w:rPr>
        <w:t>’</w:t>
      </w:r>
      <w:r w:rsidRPr="00F55E60">
        <w:rPr>
          <w:lang w:val="fr-FR"/>
        </w:rPr>
        <w:t>Ukraine, l</w:t>
      </w:r>
      <w:r w:rsidR="00D32FC0" w:rsidRPr="00F55E60">
        <w:rPr>
          <w:lang w:val="fr-FR"/>
        </w:rPr>
        <w:t>’</w:t>
      </w:r>
      <w:r w:rsidRPr="00F55E60">
        <w:rPr>
          <w:lang w:val="fr-FR"/>
        </w:rPr>
        <w:t>argument de l</w:t>
      </w:r>
      <w:r w:rsidR="00D32FC0" w:rsidRPr="00F55E60">
        <w:rPr>
          <w:lang w:val="fr-FR"/>
        </w:rPr>
        <w:t>’</w:t>
      </w:r>
      <w:r w:rsidRPr="00F55E60">
        <w:rPr>
          <w:lang w:val="fr-FR"/>
        </w:rPr>
        <w:t>auteure selon lequel les autorités ukrainiennes n</w:t>
      </w:r>
      <w:r w:rsidR="00D32FC0" w:rsidRPr="00F55E60">
        <w:rPr>
          <w:lang w:val="fr-FR"/>
        </w:rPr>
        <w:t>’</w:t>
      </w:r>
      <w:r w:rsidRPr="00F55E60">
        <w:rPr>
          <w:lang w:val="fr-FR"/>
        </w:rPr>
        <w:t>ont pas garanti l</w:t>
      </w:r>
      <w:r w:rsidR="00D32FC0" w:rsidRPr="00F55E60">
        <w:rPr>
          <w:lang w:val="fr-FR"/>
        </w:rPr>
        <w:t>’</w:t>
      </w:r>
      <w:r w:rsidRPr="00F55E60">
        <w:rPr>
          <w:lang w:val="fr-FR"/>
        </w:rPr>
        <w:t>exécution des décisions des tribunaux ukrainiens en Jordanie ne peut pas être retenu contre l</w:t>
      </w:r>
      <w:r w:rsidR="00D32FC0" w:rsidRPr="00F55E60">
        <w:rPr>
          <w:lang w:val="fr-FR"/>
        </w:rPr>
        <w:t>’</w:t>
      </w:r>
      <w:r w:rsidRPr="00F55E60">
        <w:rPr>
          <w:lang w:val="fr-FR"/>
        </w:rPr>
        <w:t>Ukraine. Il remarque également que la Jordanie n</w:t>
      </w:r>
      <w:r w:rsidR="00D32FC0" w:rsidRPr="00F55E60">
        <w:rPr>
          <w:lang w:val="fr-FR"/>
        </w:rPr>
        <w:t>’</w:t>
      </w:r>
      <w:r w:rsidRPr="00F55E60">
        <w:rPr>
          <w:lang w:val="fr-FR"/>
        </w:rPr>
        <w:t>est pas partie à la Convention sur les aspects civils de l</w:t>
      </w:r>
      <w:r w:rsidR="00D32FC0" w:rsidRPr="00F55E60">
        <w:rPr>
          <w:lang w:val="fr-FR"/>
        </w:rPr>
        <w:t>’</w:t>
      </w:r>
      <w:r w:rsidRPr="00F55E60">
        <w:rPr>
          <w:lang w:val="fr-FR"/>
        </w:rPr>
        <w:t>enlèvement international d</w:t>
      </w:r>
      <w:r w:rsidR="00D32FC0" w:rsidRPr="00F55E60">
        <w:rPr>
          <w:lang w:val="fr-FR"/>
        </w:rPr>
        <w:t>’</w:t>
      </w:r>
      <w:r w:rsidRPr="00F55E60">
        <w:rPr>
          <w:lang w:val="fr-FR"/>
        </w:rPr>
        <w:t xml:space="preserve">enfants. En conséquence, cette partie de la communication est irrecevable pour défaut de fondement au regard du paragraphe </w:t>
      </w:r>
      <w:r w:rsidRPr="00A135AC">
        <w:rPr>
          <w:lang w:val="fr-FR"/>
        </w:rPr>
        <w:t>2</w:t>
      </w:r>
      <w:r w:rsidRPr="00F55E60">
        <w:rPr>
          <w:lang w:val="fr-FR"/>
        </w:rPr>
        <w:t xml:space="preserve"> de l</w:t>
      </w:r>
      <w:r w:rsidR="00D32FC0" w:rsidRPr="00F55E60">
        <w:rPr>
          <w:lang w:val="fr-FR"/>
        </w:rPr>
        <w:t>’</w:t>
      </w:r>
      <w:r w:rsidRPr="00F55E60">
        <w:rPr>
          <w:lang w:val="fr-FR"/>
        </w:rPr>
        <w:t xml:space="preserve">article </w:t>
      </w:r>
      <w:r w:rsidRPr="00A135AC">
        <w:rPr>
          <w:lang w:val="fr-FR"/>
        </w:rPr>
        <w:t>4</w:t>
      </w:r>
      <w:r w:rsidRPr="00F55E60">
        <w:rPr>
          <w:lang w:val="fr-FR"/>
        </w:rPr>
        <w:t xml:space="preserve"> du Protocole facultatif.</w:t>
      </w:r>
    </w:p>
    <w:p w14:paraId="209CAE78" w14:textId="3B50B11B" w:rsidR="00A601EB" w:rsidRPr="00F55E60" w:rsidRDefault="00A601EB" w:rsidP="00F96165">
      <w:pPr>
        <w:pStyle w:val="SingleTxt"/>
        <w:numPr>
          <w:ilvl w:val="0"/>
          <w:numId w:val="43"/>
        </w:numPr>
        <w:spacing w:line="240" w:lineRule="exact"/>
        <w:rPr>
          <w:lang w:val="fr-FR"/>
        </w:rPr>
      </w:pPr>
      <w:r w:rsidRPr="00F55E60">
        <w:rPr>
          <w:lang w:val="fr-FR"/>
        </w:rPr>
        <w:t>Le Comité prend note du fait que l</w:t>
      </w:r>
      <w:r w:rsidR="00D32FC0" w:rsidRPr="00F55E60">
        <w:rPr>
          <w:lang w:val="fr-FR"/>
        </w:rPr>
        <w:t>’</w:t>
      </w:r>
      <w:r w:rsidRPr="00F55E60">
        <w:rPr>
          <w:lang w:val="fr-FR"/>
        </w:rPr>
        <w:t>auteur invoque une violation de ses droits,</w:t>
      </w:r>
      <w:r w:rsidR="00046EBD" w:rsidRPr="00F55E60">
        <w:rPr>
          <w:lang w:val="fr-FR"/>
        </w:rPr>
        <w:t xml:space="preserve"> </w:t>
      </w:r>
      <w:r w:rsidRPr="00F55E60">
        <w:rPr>
          <w:lang w:val="fr-FR"/>
        </w:rPr>
        <w:t xml:space="preserve">reconnus aux articles </w:t>
      </w:r>
      <w:r w:rsidRPr="00A135AC">
        <w:rPr>
          <w:lang w:val="fr-FR"/>
        </w:rPr>
        <w:t>2</w:t>
      </w:r>
      <w:r w:rsidRPr="00F55E60">
        <w:rPr>
          <w:lang w:val="fr-FR"/>
        </w:rPr>
        <w:t xml:space="preserve"> a) à d) et f), </w:t>
      </w:r>
      <w:r w:rsidRPr="00A135AC">
        <w:rPr>
          <w:lang w:val="fr-FR"/>
        </w:rPr>
        <w:t>5</w:t>
      </w:r>
      <w:r w:rsidRPr="00F55E60">
        <w:rPr>
          <w:lang w:val="fr-FR"/>
        </w:rPr>
        <w:t xml:space="preserve"> a) et b), et </w:t>
      </w:r>
      <w:r w:rsidRPr="00A135AC">
        <w:rPr>
          <w:lang w:val="fr-FR"/>
        </w:rPr>
        <w:t>16</w:t>
      </w:r>
      <w:r w:rsidRPr="00F55E60">
        <w:rPr>
          <w:lang w:val="fr-FR"/>
        </w:rPr>
        <w:t xml:space="preserve"> c) à e) et g) de la Convention, en tenant compte à cet égard des recommandations générales du Comité </w:t>
      </w:r>
      <w:r w:rsidR="007D7E22" w:rsidRPr="00F55E60">
        <w:rPr>
          <w:lang w:val="fr-FR"/>
        </w:rPr>
        <w:t>n</w:t>
      </w:r>
      <w:r w:rsidR="007D7E22" w:rsidRPr="00F55E60">
        <w:rPr>
          <w:vertAlign w:val="superscript"/>
          <w:lang w:val="fr-FR"/>
        </w:rPr>
        <w:t>os</w:t>
      </w:r>
      <w:r w:rsidR="007D7E22">
        <w:rPr>
          <w:lang w:val="fr-FR"/>
        </w:rPr>
        <w:t> </w:t>
      </w:r>
      <w:r w:rsidRPr="00A135AC">
        <w:rPr>
          <w:lang w:val="fr-FR"/>
        </w:rPr>
        <w:t>19</w:t>
      </w:r>
      <w:r w:rsidRPr="00F55E60">
        <w:rPr>
          <w:lang w:val="fr-FR"/>
        </w:rPr>
        <w:t xml:space="preserve">, </w:t>
      </w:r>
      <w:r w:rsidRPr="00A135AC">
        <w:rPr>
          <w:lang w:val="fr-FR"/>
        </w:rPr>
        <w:t>21</w:t>
      </w:r>
      <w:r w:rsidRPr="00F55E60">
        <w:rPr>
          <w:lang w:val="fr-FR"/>
        </w:rPr>
        <w:t xml:space="preserve"> et </w:t>
      </w:r>
      <w:r w:rsidRPr="00A135AC">
        <w:rPr>
          <w:lang w:val="fr-FR"/>
        </w:rPr>
        <w:t>28</w:t>
      </w:r>
      <w:r w:rsidRPr="00F55E60">
        <w:rPr>
          <w:lang w:val="fr-FR"/>
        </w:rPr>
        <w:t xml:space="preserve">. Il considère cependant que les faits présentés soulèvent des questions au regard des articles </w:t>
      </w:r>
      <w:r w:rsidRPr="00A135AC">
        <w:rPr>
          <w:lang w:val="fr-FR"/>
        </w:rPr>
        <w:t>2</w:t>
      </w:r>
      <w:r w:rsidRPr="00F55E60">
        <w:rPr>
          <w:lang w:val="fr-FR"/>
        </w:rPr>
        <w:t xml:space="preserve"> a), d) et f), </w:t>
      </w:r>
      <w:r w:rsidRPr="00A135AC">
        <w:rPr>
          <w:lang w:val="fr-FR"/>
        </w:rPr>
        <w:t>3</w:t>
      </w:r>
      <w:r w:rsidRPr="00F55E60">
        <w:rPr>
          <w:lang w:val="fr-FR"/>
        </w:rPr>
        <w:t xml:space="preserve"> et </w:t>
      </w:r>
      <w:r w:rsidRPr="00A135AC">
        <w:rPr>
          <w:lang w:val="fr-FR"/>
        </w:rPr>
        <w:t>5</w:t>
      </w:r>
      <w:r w:rsidRPr="00F55E60">
        <w:rPr>
          <w:lang w:val="fr-FR"/>
        </w:rPr>
        <w:t xml:space="preserve"> de la Convention, en tenant compte à cet égard des recommandations générales </w:t>
      </w:r>
      <w:r w:rsidR="00A8620B" w:rsidRPr="00F55E60">
        <w:rPr>
          <w:lang w:val="fr-FR"/>
        </w:rPr>
        <w:t>n</w:t>
      </w:r>
      <w:r w:rsidR="00A8620B" w:rsidRPr="00F55E60">
        <w:rPr>
          <w:vertAlign w:val="superscript"/>
          <w:lang w:val="fr-FR"/>
        </w:rPr>
        <w:t>os</w:t>
      </w:r>
      <w:r w:rsidR="00A8620B">
        <w:rPr>
          <w:lang w:val="fr-FR"/>
        </w:rPr>
        <w:t> </w:t>
      </w:r>
      <w:r w:rsidRPr="00A135AC">
        <w:rPr>
          <w:lang w:val="fr-FR"/>
        </w:rPr>
        <w:t>19</w:t>
      </w:r>
      <w:r w:rsidRPr="00F55E60">
        <w:rPr>
          <w:lang w:val="fr-FR"/>
        </w:rPr>
        <w:t xml:space="preserve"> et </w:t>
      </w:r>
      <w:r w:rsidRPr="00A135AC">
        <w:rPr>
          <w:lang w:val="fr-FR"/>
        </w:rPr>
        <w:t>28</w:t>
      </w:r>
      <w:r w:rsidRPr="00F55E60">
        <w:rPr>
          <w:lang w:val="fr-FR"/>
        </w:rPr>
        <w:t xml:space="preserve"> et de la recommandation générale n</w:t>
      </w:r>
      <w:r w:rsidRPr="00F55E60">
        <w:rPr>
          <w:vertAlign w:val="superscript"/>
          <w:lang w:val="fr-FR"/>
        </w:rPr>
        <w:t>o</w:t>
      </w:r>
      <w:r w:rsidR="00A135AC" w:rsidRPr="00A135AC">
        <w:rPr>
          <w:lang w:val="fr-FR"/>
        </w:rPr>
        <w:t> </w:t>
      </w:r>
      <w:r w:rsidRPr="00A135AC">
        <w:rPr>
          <w:lang w:val="fr-FR"/>
        </w:rPr>
        <w:t>35</w:t>
      </w:r>
      <w:r w:rsidR="00A135AC" w:rsidRPr="00A135AC">
        <w:rPr>
          <w:lang w:val="fr-FR"/>
        </w:rPr>
        <w:t> </w:t>
      </w:r>
      <w:r w:rsidRPr="00A135AC">
        <w:rPr>
          <w:lang w:val="fr-FR"/>
        </w:rPr>
        <w:t>(2017)</w:t>
      </w:r>
      <w:r w:rsidRPr="00F55E60">
        <w:rPr>
          <w:lang w:val="fr-FR"/>
        </w:rPr>
        <w:t xml:space="preserve"> sur la violence à l</w:t>
      </w:r>
      <w:r w:rsidR="00D32FC0" w:rsidRPr="00F55E60">
        <w:rPr>
          <w:lang w:val="fr-FR"/>
        </w:rPr>
        <w:t>’</w:t>
      </w:r>
      <w:r w:rsidRPr="00F55E60">
        <w:rPr>
          <w:lang w:val="fr-FR"/>
        </w:rPr>
        <w:t xml:space="preserve">égard des femmes fondée sur le genre, portant actualisation de la recommandation générale </w:t>
      </w:r>
      <w:r w:rsidR="00A8620B" w:rsidRPr="00F55E60">
        <w:rPr>
          <w:lang w:val="fr-FR"/>
        </w:rPr>
        <w:t>n</w:t>
      </w:r>
      <w:r w:rsidR="00A8620B" w:rsidRPr="00F55E60">
        <w:rPr>
          <w:vertAlign w:val="superscript"/>
          <w:lang w:val="fr-FR"/>
        </w:rPr>
        <w:t>o</w:t>
      </w:r>
      <w:r w:rsidR="00A8620B">
        <w:rPr>
          <w:lang w:val="fr-FR"/>
        </w:rPr>
        <w:t> </w:t>
      </w:r>
      <w:r w:rsidRPr="00A135AC">
        <w:rPr>
          <w:lang w:val="fr-FR"/>
        </w:rPr>
        <w:t>19</w:t>
      </w:r>
      <w:r w:rsidRPr="00F55E60">
        <w:rPr>
          <w:lang w:val="fr-FR"/>
        </w:rPr>
        <w:t>. Il estime donc que cette partie de la communication a été suffisamment étayée aux fins de la recevabilité, bien qu</w:t>
      </w:r>
      <w:r w:rsidR="00D32FC0" w:rsidRPr="00F55E60">
        <w:rPr>
          <w:lang w:val="fr-FR"/>
        </w:rPr>
        <w:t>’</w:t>
      </w:r>
      <w:r w:rsidRPr="00F55E60">
        <w:rPr>
          <w:lang w:val="fr-FR"/>
        </w:rPr>
        <w:t>en vertu de différentes dispositions. En conséquence, il déclare cette partie de la communication recevable et procède à son examen quant au fond.</w:t>
      </w:r>
    </w:p>
    <w:p w14:paraId="665F1F1C" w14:textId="6A3962DD" w:rsidR="0085506B" w:rsidRPr="00F55E60" w:rsidRDefault="0085506B" w:rsidP="0085506B">
      <w:pPr>
        <w:pStyle w:val="SingleTxt"/>
        <w:spacing w:after="0" w:line="120" w:lineRule="exact"/>
        <w:rPr>
          <w:sz w:val="10"/>
          <w:lang w:val="fr-FR"/>
        </w:rPr>
      </w:pPr>
    </w:p>
    <w:p w14:paraId="1C92B63F" w14:textId="77AA1CC2" w:rsidR="00A601EB" w:rsidRPr="00A135AC" w:rsidRDefault="00F96165" w:rsidP="00F96165">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135AC">
        <w:rPr>
          <w:lang w:val="fr-FR"/>
        </w:rPr>
        <w:lastRenderedPageBreak/>
        <w:tab/>
      </w:r>
      <w:r w:rsidRPr="00A135AC">
        <w:rPr>
          <w:lang w:val="fr-FR"/>
        </w:rPr>
        <w:tab/>
      </w:r>
      <w:r w:rsidR="00A601EB" w:rsidRPr="00A135AC">
        <w:rPr>
          <w:lang w:val="fr-FR"/>
        </w:rPr>
        <w:t>Examen au fond</w:t>
      </w:r>
    </w:p>
    <w:p w14:paraId="436662E2" w14:textId="541E493E" w:rsidR="00A601EB" w:rsidRPr="00F55E60" w:rsidRDefault="00A601EB" w:rsidP="00F96165">
      <w:pPr>
        <w:pStyle w:val="SingleTxt"/>
        <w:spacing w:after="0" w:line="120" w:lineRule="exact"/>
        <w:rPr>
          <w:sz w:val="10"/>
          <w:lang w:val="fr-FR"/>
        </w:rPr>
      </w:pPr>
    </w:p>
    <w:p w14:paraId="0EF28B02" w14:textId="2CBBCCF5" w:rsidR="00355540" w:rsidRPr="00F55E60" w:rsidRDefault="00A601EB" w:rsidP="00F96165">
      <w:pPr>
        <w:pStyle w:val="SingleTxt"/>
        <w:numPr>
          <w:ilvl w:val="0"/>
          <w:numId w:val="44"/>
        </w:numPr>
        <w:rPr>
          <w:lang w:val="fr-FR"/>
        </w:rPr>
      </w:pPr>
      <w:r w:rsidRPr="00F55E60">
        <w:rPr>
          <w:lang w:val="fr-FR"/>
        </w:rPr>
        <w:t>Le Comité précise que son examen se limite aux violations imputées aux autorités de l</w:t>
      </w:r>
      <w:r w:rsidR="00D32FC0" w:rsidRPr="00F55E60">
        <w:rPr>
          <w:lang w:val="fr-FR"/>
        </w:rPr>
        <w:t>’</w:t>
      </w:r>
      <w:r w:rsidRPr="00F55E60">
        <w:rPr>
          <w:lang w:val="fr-FR"/>
        </w:rPr>
        <w:t>État partie et qu</w:t>
      </w:r>
      <w:r w:rsidR="00D32FC0" w:rsidRPr="00F55E60">
        <w:rPr>
          <w:lang w:val="fr-FR"/>
        </w:rPr>
        <w:t>’</w:t>
      </w:r>
      <w:r w:rsidRPr="00F55E60">
        <w:rPr>
          <w:lang w:val="fr-FR"/>
        </w:rPr>
        <w:t>il ne porte pas sur celles imputées aux autorités jordaniennes.</w:t>
      </w:r>
    </w:p>
    <w:p w14:paraId="5F7CB852" w14:textId="7B0F1706" w:rsidR="00355540" w:rsidRPr="00F55E60" w:rsidRDefault="00A601EB" w:rsidP="00F96165">
      <w:pPr>
        <w:pStyle w:val="SingleTxt"/>
        <w:numPr>
          <w:ilvl w:val="0"/>
          <w:numId w:val="44"/>
        </w:numPr>
        <w:spacing w:line="240" w:lineRule="exact"/>
        <w:rPr>
          <w:lang w:val="fr-FR"/>
        </w:rPr>
      </w:pPr>
      <w:r w:rsidRPr="00F55E60">
        <w:rPr>
          <w:lang w:val="fr-FR"/>
        </w:rPr>
        <w:t>Le Comité souligne que l</w:t>
      </w:r>
      <w:r w:rsidR="00D32FC0" w:rsidRPr="00F55E60">
        <w:rPr>
          <w:lang w:val="fr-FR"/>
        </w:rPr>
        <w:t>’</w:t>
      </w:r>
      <w:r w:rsidRPr="00F55E60">
        <w:rPr>
          <w:lang w:val="fr-FR"/>
        </w:rPr>
        <w:t>État partie a des obligations à l</w:t>
      </w:r>
      <w:r w:rsidR="00D32FC0" w:rsidRPr="00F55E60">
        <w:rPr>
          <w:lang w:val="fr-FR"/>
        </w:rPr>
        <w:t>’</w:t>
      </w:r>
      <w:r w:rsidRPr="00F55E60">
        <w:rPr>
          <w:lang w:val="fr-FR"/>
        </w:rPr>
        <w:t>égard des personnes qui relèvent de sa juridiction et que l</w:t>
      </w:r>
      <w:r w:rsidR="00D32FC0" w:rsidRPr="00F55E60">
        <w:rPr>
          <w:lang w:val="fr-FR"/>
        </w:rPr>
        <w:t>’</w:t>
      </w:r>
      <w:r w:rsidRPr="00F55E60">
        <w:rPr>
          <w:lang w:val="fr-FR"/>
        </w:rPr>
        <w:t>on ne saurait le tenir responsable d</w:t>
      </w:r>
      <w:r w:rsidR="00D32FC0" w:rsidRPr="00F55E60">
        <w:rPr>
          <w:lang w:val="fr-FR"/>
        </w:rPr>
        <w:t>’</w:t>
      </w:r>
      <w:r w:rsidRPr="00F55E60">
        <w:rPr>
          <w:lang w:val="fr-FR"/>
        </w:rPr>
        <w:t>une discrimination commise par une juridiction d</w:t>
      </w:r>
      <w:r w:rsidR="00D32FC0" w:rsidRPr="00F55E60">
        <w:rPr>
          <w:lang w:val="fr-FR"/>
        </w:rPr>
        <w:t>’</w:t>
      </w:r>
      <w:r w:rsidRPr="00F55E60">
        <w:rPr>
          <w:lang w:val="fr-FR"/>
        </w:rPr>
        <w:t xml:space="preserve">un autre pays. Le Comité rappelle sa recommandation générale </w:t>
      </w:r>
      <w:r w:rsidR="00A8620B" w:rsidRPr="00F55E60">
        <w:rPr>
          <w:lang w:val="fr-FR"/>
        </w:rPr>
        <w:t>n</w:t>
      </w:r>
      <w:r w:rsidR="00A8620B" w:rsidRPr="00F55E60">
        <w:rPr>
          <w:vertAlign w:val="superscript"/>
          <w:lang w:val="fr-FR"/>
        </w:rPr>
        <w:t>o</w:t>
      </w:r>
      <w:r w:rsidR="00A8620B">
        <w:rPr>
          <w:lang w:val="fr-FR"/>
        </w:rPr>
        <w:t> </w:t>
      </w:r>
      <w:r w:rsidRPr="00A135AC">
        <w:rPr>
          <w:lang w:val="fr-FR"/>
        </w:rPr>
        <w:t>28</w:t>
      </w:r>
      <w:r w:rsidRPr="00F55E60">
        <w:rPr>
          <w:lang w:val="fr-FR"/>
        </w:rPr>
        <w:t>. Il fait observer que la protection consulaire en tant que telle n</w:t>
      </w:r>
      <w:r w:rsidR="00D32FC0" w:rsidRPr="00F55E60">
        <w:rPr>
          <w:lang w:val="fr-FR"/>
        </w:rPr>
        <w:t>’</w:t>
      </w:r>
      <w:r w:rsidRPr="00F55E60">
        <w:rPr>
          <w:lang w:val="fr-FR"/>
        </w:rPr>
        <w:t>entre pas dans le champ d</w:t>
      </w:r>
      <w:r w:rsidR="00D32FC0" w:rsidRPr="00F55E60">
        <w:rPr>
          <w:lang w:val="fr-FR"/>
        </w:rPr>
        <w:t>’</w:t>
      </w:r>
      <w:r w:rsidRPr="00F55E60">
        <w:rPr>
          <w:lang w:val="fr-FR"/>
        </w:rPr>
        <w:t>application de la Convention. Cependant, l</w:t>
      </w:r>
      <w:r w:rsidR="00D32FC0" w:rsidRPr="00F55E60">
        <w:rPr>
          <w:lang w:val="fr-FR"/>
        </w:rPr>
        <w:t>’</w:t>
      </w:r>
      <w:r w:rsidRPr="00F55E60">
        <w:rPr>
          <w:lang w:val="fr-FR"/>
        </w:rPr>
        <w:t>État partie, dans le cadre de ses prérogatives, en particulier les prérogatives constitutionnelles concernant ses citoyens, doit agir avec la diligence voulue pour protéger ceux-ci lorsqu</w:t>
      </w:r>
      <w:r w:rsidR="00D32FC0" w:rsidRPr="00F55E60">
        <w:rPr>
          <w:lang w:val="fr-FR"/>
        </w:rPr>
        <w:t>’</w:t>
      </w:r>
      <w:r w:rsidRPr="00F55E60">
        <w:rPr>
          <w:lang w:val="fr-FR"/>
        </w:rPr>
        <w:t>ils sont victimes d</w:t>
      </w:r>
      <w:r w:rsidR="00D32FC0" w:rsidRPr="00F55E60">
        <w:rPr>
          <w:lang w:val="fr-FR"/>
        </w:rPr>
        <w:t>’</w:t>
      </w:r>
      <w:r w:rsidRPr="00F55E60">
        <w:rPr>
          <w:lang w:val="fr-FR"/>
        </w:rPr>
        <w:t>une violation de leurs droits fondamentaux, en particulier lorsque l</w:t>
      </w:r>
      <w:r w:rsidR="00D32FC0" w:rsidRPr="00F55E60">
        <w:rPr>
          <w:lang w:val="fr-FR"/>
        </w:rPr>
        <w:t>’</w:t>
      </w:r>
      <w:r w:rsidRPr="00F55E60">
        <w:rPr>
          <w:lang w:val="fr-FR"/>
        </w:rPr>
        <w:t>État partie est représenté à l</w:t>
      </w:r>
      <w:r w:rsidR="00D32FC0" w:rsidRPr="00F55E60">
        <w:rPr>
          <w:lang w:val="fr-FR"/>
        </w:rPr>
        <w:t>’</w:t>
      </w:r>
      <w:r w:rsidRPr="00F55E60">
        <w:rPr>
          <w:lang w:val="fr-FR"/>
        </w:rPr>
        <w:t>étranger. Le Comité considère que l</w:t>
      </w:r>
      <w:r w:rsidR="00D32FC0" w:rsidRPr="00F55E60">
        <w:rPr>
          <w:lang w:val="fr-FR"/>
        </w:rPr>
        <w:t>’</w:t>
      </w:r>
      <w:r w:rsidRPr="00F55E60">
        <w:rPr>
          <w:lang w:val="fr-FR"/>
        </w:rPr>
        <w:t>absence de traité bilatéral avec le pays dans lequel se trouve son ressortissant n</w:t>
      </w:r>
      <w:r w:rsidR="00D32FC0" w:rsidRPr="00F55E60">
        <w:rPr>
          <w:lang w:val="fr-FR"/>
        </w:rPr>
        <w:t>’</w:t>
      </w:r>
      <w:r w:rsidRPr="00F55E60">
        <w:rPr>
          <w:lang w:val="fr-FR"/>
        </w:rPr>
        <w:t>exonère pas l</w:t>
      </w:r>
      <w:r w:rsidR="00D32FC0" w:rsidRPr="00F55E60">
        <w:rPr>
          <w:lang w:val="fr-FR"/>
        </w:rPr>
        <w:t>’</w:t>
      </w:r>
      <w:r w:rsidRPr="00F55E60">
        <w:rPr>
          <w:lang w:val="fr-FR"/>
        </w:rPr>
        <w:t>État partie de cette obligation, en particulier en cas de violation de droits fondamentaux universellement reconnus.</w:t>
      </w:r>
    </w:p>
    <w:p w14:paraId="310C276B" w14:textId="0B053884" w:rsidR="00A601EB" w:rsidRPr="00F55E60" w:rsidRDefault="00A601EB" w:rsidP="00F96165">
      <w:pPr>
        <w:pStyle w:val="SingleTxt"/>
        <w:numPr>
          <w:ilvl w:val="0"/>
          <w:numId w:val="44"/>
        </w:numPr>
        <w:spacing w:line="240" w:lineRule="exact"/>
        <w:rPr>
          <w:lang w:val="fr-FR"/>
        </w:rPr>
      </w:pPr>
      <w:r w:rsidRPr="00F55E60">
        <w:rPr>
          <w:lang w:val="fr-FR"/>
        </w:rPr>
        <w:t>Le Comité prend note de ce que, dans la présente affaire, l</w:t>
      </w:r>
      <w:r w:rsidR="00D32FC0" w:rsidRPr="00F55E60">
        <w:rPr>
          <w:lang w:val="fr-FR"/>
        </w:rPr>
        <w:t>’</w:t>
      </w:r>
      <w:r w:rsidRPr="00F55E60">
        <w:rPr>
          <w:lang w:val="fr-FR"/>
        </w:rPr>
        <w:t>auteure estime que les autorités ukrainiennes, notamment l</w:t>
      </w:r>
      <w:r w:rsidR="00D32FC0" w:rsidRPr="00F55E60">
        <w:rPr>
          <w:lang w:val="fr-FR"/>
        </w:rPr>
        <w:t>’</w:t>
      </w:r>
      <w:r w:rsidRPr="00F55E60">
        <w:rPr>
          <w:lang w:val="fr-FR"/>
        </w:rPr>
        <w:t>ambassade d</w:t>
      </w:r>
      <w:r w:rsidR="00D32FC0" w:rsidRPr="00F55E60">
        <w:rPr>
          <w:lang w:val="fr-FR"/>
        </w:rPr>
        <w:t>’</w:t>
      </w:r>
      <w:r w:rsidRPr="00F55E60">
        <w:rPr>
          <w:lang w:val="fr-FR"/>
        </w:rPr>
        <w:t>Ukraine à Amman et ses services consulaires, ne l</w:t>
      </w:r>
      <w:r w:rsidR="00D32FC0" w:rsidRPr="00F55E60">
        <w:rPr>
          <w:lang w:val="fr-FR"/>
        </w:rPr>
        <w:t>’</w:t>
      </w:r>
      <w:r w:rsidRPr="00F55E60">
        <w:rPr>
          <w:lang w:val="fr-FR"/>
        </w:rPr>
        <w:t>ont pas aidée en temps voulu et de manière efficace depuis le début de la procédure portant sur le différend qui l</w:t>
      </w:r>
      <w:r w:rsidR="00D32FC0" w:rsidRPr="00F55E60">
        <w:rPr>
          <w:lang w:val="fr-FR"/>
        </w:rPr>
        <w:t>’</w:t>
      </w:r>
      <w:r w:rsidRPr="00F55E60">
        <w:rPr>
          <w:lang w:val="fr-FR"/>
        </w:rPr>
        <w:t>opposait, en tant que mère chrétienne étrangère, à son époux jordanien concernant la garde de leurs enfants, question régie par la charia en Jordanie. Elle affirme qu</w:t>
      </w:r>
      <w:r w:rsidR="00D32FC0" w:rsidRPr="00F55E60">
        <w:rPr>
          <w:lang w:val="fr-FR"/>
        </w:rPr>
        <w:t>’</w:t>
      </w:r>
      <w:r w:rsidRPr="00F55E60">
        <w:rPr>
          <w:lang w:val="fr-FR"/>
        </w:rPr>
        <w:t>en tant que victime de violence familiale, elle n</w:t>
      </w:r>
      <w:r w:rsidR="00D32FC0" w:rsidRPr="00F55E60">
        <w:rPr>
          <w:lang w:val="fr-FR"/>
        </w:rPr>
        <w:t>’</w:t>
      </w:r>
      <w:r w:rsidRPr="00F55E60">
        <w:rPr>
          <w:lang w:val="fr-FR"/>
        </w:rPr>
        <w:t>a bénéficié d</w:t>
      </w:r>
      <w:r w:rsidR="00D32FC0" w:rsidRPr="00F55E60">
        <w:rPr>
          <w:lang w:val="fr-FR"/>
        </w:rPr>
        <w:t>’</w:t>
      </w:r>
      <w:r w:rsidRPr="00F55E60">
        <w:rPr>
          <w:lang w:val="fr-FR"/>
        </w:rPr>
        <w:t>aucune véritable assistance de l</w:t>
      </w:r>
      <w:r w:rsidR="00D32FC0" w:rsidRPr="00F55E60">
        <w:rPr>
          <w:lang w:val="fr-FR"/>
        </w:rPr>
        <w:t>’</w:t>
      </w:r>
      <w:r w:rsidRPr="00F55E60">
        <w:rPr>
          <w:lang w:val="fr-FR"/>
        </w:rPr>
        <w:t>ambassade durant une longue période, malgré sa demande d</w:t>
      </w:r>
      <w:r w:rsidR="00D32FC0" w:rsidRPr="00F55E60">
        <w:rPr>
          <w:lang w:val="fr-FR"/>
        </w:rPr>
        <w:t>’</w:t>
      </w:r>
      <w:r w:rsidRPr="00F55E60">
        <w:rPr>
          <w:lang w:val="fr-FR"/>
        </w:rPr>
        <w:t>assistance, et lors des phases cruciales de la procédure devant le tribunal de la charia qui a suivi. L</w:t>
      </w:r>
      <w:r w:rsidR="00D32FC0" w:rsidRPr="00F55E60">
        <w:rPr>
          <w:lang w:val="fr-FR"/>
        </w:rPr>
        <w:t>’</w:t>
      </w:r>
      <w:r w:rsidRPr="00F55E60">
        <w:rPr>
          <w:lang w:val="fr-FR"/>
        </w:rPr>
        <w:t>auteure fait observer à cet égard qu</w:t>
      </w:r>
      <w:r w:rsidR="00D32FC0" w:rsidRPr="00F55E60">
        <w:rPr>
          <w:lang w:val="fr-FR"/>
        </w:rPr>
        <w:t>’</w:t>
      </w:r>
      <w:r w:rsidRPr="00F55E60">
        <w:rPr>
          <w:lang w:val="fr-FR"/>
        </w:rPr>
        <w:t xml:space="preserve">en vertu du paragraphe </w:t>
      </w:r>
      <w:r w:rsidRPr="00A135AC">
        <w:rPr>
          <w:lang w:val="fr-FR"/>
        </w:rPr>
        <w:t>3</w:t>
      </w:r>
      <w:r w:rsidRPr="00F55E60">
        <w:rPr>
          <w:lang w:val="fr-FR"/>
        </w:rPr>
        <w:t xml:space="preserve"> de l</w:t>
      </w:r>
      <w:r w:rsidR="00D32FC0" w:rsidRPr="00F55E60">
        <w:rPr>
          <w:lang w:val="fr-FR"/>
        </w:rPr>
        <w:t>’</w:t>
      </w:r>
      <w:r w:rsidRPr="00F55E60">
        <w:rPr>
          <w:lang w:val="fr-FR"/>
        </w:rPr>
        <w:t xml:space="preserve">article </w:t>
      </w:r>
      <w:r w:rsidRPr="00A135AC">
        <w:rPr>
          <w:lang w:val="fr-FR"/>
        </w:rPr>
        <w:t>25</w:t>
      </w:r>
      <w:r w:rsidRPr="00F55E60">
        <w:rPr>
          <w:lang w:val="fr-FR"/>
        </w:rPr>
        <w:t xml:space="preserve"> de la Constitution de l</w:t>
      </w:r>
      <w:r w:rsidR="00D32FC0" w:rsidRPr="00F55E60">
        <w:rPr>
          <w:lang w:val="fr-FR"/>
        </w:rPr>
        <w:t>’</w:t>
      </w:r>
      <w:r w:rsidRPr="00F55E60">
        <w:rPr>
          <w:lang w:val="fr-FR"/>
        </w:rPr>
        <w:t>Ukraine, les citoyens de ce pays ont droit à une protection consulaire adéquate à l</w:t>
      </w:r>
      <w:r w:rsidR="00D32FC0" w:rsidRPr="00F55E60">
        <w:rPr>
          <w:lang w:val="fr-FR"/>
        </w:rPr>
        <w:t>’</w:t>
      </w:r>
      <w:r w:rsidRPr="00F55E60">
        <w:rPr>
          <w:lang w:val="fr-FR"/>
        </w:rPr>
        <w:t>étranger. L</w:t>
      </w:r>
      <w:r w:rsidR="00D32FC0" w:rsidRPr="00F55E60">
        <w:rPr>
          <w:lang w:val="fr-FR"/>
        </w:rPr>
        <w:t>’</w:t>
      </w:r>
      <w:r w:rsidRPr="00F55E60">
        <w:rPr>
          <w:lang w:val="fr-FR"/>
        </w:rPr>
        <w:t>État partie fait valoir que, tout au long des audiences devant le tribunal de la charia, l</w:t>
      </w:r>
      <w:r w:rsidR="00D32FC0" w:rsidRPr="00F55E60">
        <w:rPr>
          <w:lang w:val="fr-FR"/>
        </w:rPr>
        <w:t>’</w:t>
      </w:r>
      <w:r w:rsidRPr="00F55E60">
        <w:rPr>
          <w:lang w:val="fr-FR"/>
        </w:rPr>
        <w:t>auteure a bénéficié de l</w:t>
      </w:r>
      <w:r w:rsidR="00D32FC0" w:rsidRPr="00F55E60">
        <w:rPr>
          <w:lang w:val="fr-FR"/>
        </w:rPr>
        <w:t>’</w:t>
      </w:r>
      <w:r w:rsidRPr="00F55E60">
        <w:rPr>
          <w:lang w:val="fr-FR"/>
        </w:rPr>
        <w:t>assistance d</w:t>
      </w:r>
      <w:r w:rsidR="00D32FC0" w:rsidRPr="00F55E60">
        <w:rPr>
          <w:lang w:val="fr-FR"/>
        </w:rPr>
        <w:t>’</w:t>
      </w:r>
      <w:r w:rsidRPr="00F55E60">
        <w:rPr>
          <w:lang w:val="fr-FR"/>
        </w:rPr>
        <w:t>un avocat jordanien et de recommandations de l</w:t>
      </w:r>
      <w:r w:rsidR="00D32FC0" w:rsidRPr="00F55E60">
        <w:rPr>
          <w:lang w:val="fr-FR"/>
        </w:rPr>
        <w:t>’</w:t>
      </w:r>
      <w:r w:rsidRPr="00F55E60">
        <w:rPr>
          <w:lang w:val="fr-FR"/>
        </w:rPr>
        <w:t>ambassade concernant ses droits en Jordanie en tant que chrétienne. En outre, l</w:t>
      </w:r>
      <w:r w:rsidR="00D32FC0" w:rsidRPr="00F55E60">
        <w:rPr>
          <w:lang w:val="fr-FR"/>
        </w:rPr>
        <w:t>’</w:t>
      </w:r>
      <w:r w:rsidRPr="00F55E60">
        <w:rPr>
          <w:lang w:val="fr-FR"/>
        </w:rPr>
        <w:t>État partie note que l</w:t>
      </w:r>
      <w:r w:rsidR="00D32FC0" w:rsidRPr="00F55E60">
        <w:rPr>
          <w:lang w:val="fr-FR"/>
        </w:rPr>
        <w:t>’</w:t>
      </w:r>
      <w:r w:rsidRPr="00F55E60">
        <w:rPr>
          <w:lang w:val="fr-FR"/>
        </w:rPr>
        <w:t>auteure a refusé d</w:t>
      </w:r>
      <w:r w:rsidR="00D32FC0" w:rsidRPr="00F55E60">
        <w:rPr>
          <w:lang w:val="fr-FR"/>
        </w:rPr>
        <w:t>’</w:t>
      </w:r>
      <w:r w:rsidRPr="00F55E60">
        <w:rPr>
          <w:lang w:val="fr-FR"/>
        </w:rPr>
        <w:t>introduire une action devant le tribunal de la charia en Jordanie pour tenter de recouvrer la garde de l</w:t>
      </w:r>
      <w:r w:rsidR="00D32FC0" w:rsidRPr="00F55E60">
        <w:rPr>
          <w:lang w:val="fr-FR"/>
        </w:rPr>
        <w:t>’</w:t>
      </w:r>
      <w:r w:rsidRPr="00F55E60">
        <w:rPr>
          <w:lang w:val="fr-FR"/>
        </w:rPr>
        <w:t>une de ses filles. L</w:t>
      </w:r>
      <w:r w:rsidR="00D32FC0" w:rsidRPr="00F55E60">
        <w:rPr>
          <w:lang w:val="fr-FR"/>
        </w:rPr>
        <w:t>’</w:t>
      </w:r>
      <w:r w:rsidRPr="00F55E60">
        <w:rPr>
          <w:lang w:val="fr-FR"/>
        </w:rPr>
        <w:t>État partie souligne également que l</w:t>
      </w:r>
      <w:r w:rsidR="00D32FC0" w:rsidRPr="00F55E60">
        <w:rPr>
          <w:lang w:val="fr-FR"/>
        </w:rPr>
        <w:t>’</w:t>
      </w:r>
      <w:r w:rsidRPr="00F55E60">
        <w:rPr>
          <w:lang w:val="fr-FR"/>
        </w:rPr>
        <w:t>auteure n</w:t>
      </w:r>
      <w:r w:rsidR="00D32FC0" w:rsidRPr="00F55E60">
        <w:rPr>
          <w:lang w:val="fr-FR"/>
        </w:rPr>
        <w:t>’</w:t>
      </w:r>
      <w:r w:rsidRPr="00F55E60">
        <w:rPr>
          <w:lang w:val="fr-FR"/>
        </w:rPr>
        <w:t>a pas fait appel à la police de la famille jordanienne ni au Département des droits de l</w:t>
      </w:r>
      <w:r w:rsidR="00D32FC0" w:rsidRPr="00F55E60">
        <w:rPr>
          <w:lang w:val="fr-FR"/>
        </w:rPr>
        <w:t>’</w:t>
      </w:r>
      <w:r w:rsidRPr="00F55E60">
        <w:rPr>
          <w:lang w:val="fr-FR"/>
        </w:rPr>
        <w:t>homme de la Jordanie par l</w:t>
      </w:r>
      <w:r w:rsidR="00D32FC0" w:rsidRPr="00F55E60">
        <w:rPr>
          <w:lang w:val="fr-FR"/>
        </w:rPr>
        <w:t>’</w:t>
      </w:r>
      <w:r w:rsidRPr="00F55E60">
        <w:rPr>
          <w:lang w:val="fr-FR"/>
        </w:rPr>
        <w:t>intermédiaire d</w:t>
      </w:r>
      <w:r w:rsidR="00D32FC0" w:rsidRPr="00F55E60">
        <w:rPr>
          <w:lang w:val="fr-FR"/>
        </w:rPr>
        <w:t>’</w:t>
      </w:r>
      <w:r w:rsidRPr="00F55E60">
        <w:rPr>
          <w:lang w:val="fr-FR"/>
        </w:rPr>
        <w:t>un avocat local et que la police de la famille peut s</w:t>
      </w:r>
      <w:r w:rsidR="00D32FC0" w:rsidRPr="00F55E60">
        <w:rPr>
          <w:lang w:val="fr-FR"/>
        </w:rPr>
        <w:t>’</w:t>
      </w:r>
      <w:r w:rsidRPr="00F55E60">
        <w:rPr>
          <w:lang w:val="fr-FR"/>
        </w:rPr>
        <w:t>assurer des conditions de vie de la fille de l</w:t>
      </w:r>
      <w:r w:rsidR="00D32FC0" w:rsidRPr="00F55E60">
        <w:rPr>
          <w:lang w:val="fr-FR"/>
        </w:rPr>
        <w:t>’</w:t>
      </w:r>
      <w:r w:rsidRPr="00F55E60">
        <w:rPr>
          <w:lang w:val="fr-FR"/>
        </w:rPr>
        <w:t>auteure. Si elle juge ces conditions insatisfaisantes, la garde de l</w:t>
      </w:r>
      <w:r w:rsidR="00D32FC0" w:rsidRPr="00F55E60">
        <w:rPr>
          <w:lang w:val="fr-FR"/>
        </w:rPr>
        <w:t>’</w:t>
      </w:r>
      <w:r w:rsidRPr="00F55E60">
        <w:rPr>
          <w:lang w:val="fr-FR"/>
        </w:rPr>
        <w:t>enfant peut être transférée à la mère.</w:t>
      </w:r>
    </w:p>
    <w:p w14:paraId="3A5105C5" w14:textId="3C4A6ED7" w:rsidR="00A601EB" w:rsidRPr="00F55E60" w:rsidRDefault="00A601EB" w:rsidP="00F96165">
      <w:pPr>
        <w:pStyle w:val="SingleTxt"/>
        <w:numPr>
          <w:ilvl w:val="0"/>
          <w:numId w:val="44"/>
        </w:numPr>
        <w:spacing w:line="240" w:lineRule="exact"/>
        <w:rPr>
          <w:lang w:val="fr-FR"/>
        </w:rPr>
      </w:pPr>
      <w:r w:rsidRPr="00F55E60">
        <w:rPr>
          <w:lang w:val="fr-FR"/>
        </w:rPr>
        <w:t>Le Comité considère que la protection consulaire peut revêtir une importance particulière dans les affaires de violence familiale ou sexiste ou en cas de différend concernant la garde des enfants. La protection diplomatique ou consulaire intervient pour l</w:t>
      </w:r>
      <w:r w:rsidR="00D32FC0" w:rsidRPr="00F55E60">
        <w:rPr>
          <w:lang w:val="fr-FR"/>
        </w:rPr>
        <w:t>’</w:t>
      </w:r>
      <w:r w:rsidRPr="00F55E60">
        <w:rPr>
          <w:lang w:val="fr-FR"/>
        </w:rPr>
        <w:t>essentiel lorsqu</w:t>
      </w:r>
      <w:r w:rsidR="00D32FC0" w:rsidRPr="00F55E60">
        <w:rPr>
          <w:lang w:val="fr-FR"/>
        </w:rPr>
        <w:t>’</w:t>
      </w:r>
      <w:r w:rsidRPr="00F55E60">
        <w:rPr>
          <w:lang w:val="fr-FR"/>
        </w:rPr>
        <w:t>un État défend un de ses ressortissants qui a subi ou risque de subir une violation de ses droits par un autre État, à l</w:t>
      </w:r>
      <w:r w:rsidR="00D32FC0" w:rsidRPr="00F55E60">
        <w:rPr>
          <w:lang w:val="fr-FR"/>
        </w:rPr>
        <w:t>’</w:t>
      </w:r>
      <w:r w:rsidRPr="00F55E60">
        <w:rPr>
          <w:lang w:val="fr-FR"/>
        </w:rPr>
        <w:t>étranger. En outre, dans les pays comme l</w:t>
      </w:r>
      <w:r w:rsidR="00D32FC0" w:rsidRPr="00F55E60">
        <w:rPr>
          <w:lang w:val="fr-FR"/>
        </w:rPr>
        <w:t>’</w:t>
      </w:r>
      <w:r w:rsidRPr="00F55E60">
        <w:rPr>
          <w:lang w:val="fr-FR"/>
        </w:rPr>
        <w:t xml:space="preserve">Ukraine, un droit personnel et subjectif à la protection diplomatique est consacré dans la législation nationale et la Constitution, le paragraphe </w:t>
      </w:r>
      <w:r w:rsidRPr="00A135AC">
        <w:rPr>
          <w:lang w:val="fr-FR"/>
        </w:rPr>
        <w:t>3</w:t>
      </w:r>
      <w:r w:rsidRPr="00F55E60">
        <w:rPr>
          <w:lang w:val="fr-FR"/>
        </w:rPr>
        <w:t xml:space="preserve"> de </w:t>
      </w:r>
      <w:r w:rsidR="00A8620B" w:rsidRPr="00F55E60">
        <w:rPr>
          <w:lang w:val="fr-FR"/>
        </w:rPr>
        <w:t>l’article</w:t>
      </w:r>
      <w:r w:rsidR="00A8620B">
        <w:rPr>
          <w:lang w:val="fr-FR"/>
        </w:rPr>
        <w:t> </w:t>
      </w:r>
      <w:r w:rsidRPr="00A135AC">
        <w:rPr>
          <w:lang w:val="fr-FR"/>
        </w:rPr>
        <w:t>25</w:t>
      </w:r>
      <w:r w:rsidRPr="00F55E60">
        <w:rPr>
          <w:lang w:val="fr-FR"/>
        </w:rPr>
        <w:t xml:space="preserve"> de la Constitution disposant que l</w:t>
      </w:r>
      <w:r w:rsidR="00D32FC0" w:rsidRPr="00F55E60">
        <w:rPr>
          <w:lang w:val="fr-FR"/>
        </w:rPr>
        <w:t>’</w:t>
      </w:r>
      <w:r w:rsidRPr="00F55E60">
        <w:rPr>
          <w:lang w:val="fr-FR"/>
        </w:rPr>
        <w:t>Ukraine garantit la prise en charge et la protection de ses citoyens qui se trouvent au-delà de ses frontières. Les citoyens ont donc droit à une protection effective de leurs missions diplomatiques à l</w:t>
      </w:r>
      <w:r w:rsidR="00D32FC0" w:rsidRPr="00F55E60">
        <w:rPr>
          <w:lang w:val="fr-FR"/>
        </w:rPr>
        <w:t>’</w:t>
      </w:r>
      <w:r w:rsidRPr="00F55E60">
        <w:rPr>
          <w:lang w:val="fr-FR"/>
        </w:rPr>
        <w:t>étranger, en particulier dans les affaires de violence familiale ou sexiste ou en cas de différend concernant la garde des enfants.</w:t>
      </w:r>
    </w:p>
    <w:p w14:paraId="0314E2FA" w14:textId="0E0B3291" w:rsidR="00355540" w:rsidRPr="00F55E60" w:rsidRDefault="00A601EB" w:rsidP="00F96165">
      <w:pPr>
        <w:pStyle w:val="SingleTxt"/>
        <w:numPr>
          <w:ilvl w:val="0"/>
          <w:numId w:val="44"/>
        </w:numPr>
        <w:spacing w:line="240" w:lineRule="exact"/>
        <w:rPr>
          <w:lang w:val="fr-FR"/>
        </w:rPr>
      </w:pPr>
      <w:r w:rsidRPr="00F55E60">
        <w:rPr>
          <w:lang w:val="fr-FR"/>
        </w:rPr>
        <w:t>Le Comité fait en outre observer que l</w:t>
      </w:r>
      <w:r w:rsidR="00D32FC0" w:rsidRPr="00F55E60">
        <w:rPr>
          <w:lang w:val="fr-FR"/>
        </w:rPr>
        <w:t>’</w:t>
      </w:r>
      <w:r w:rsidRPr="00F55E60">
        <w:rPr>
          <w:lang w:val="fr-FR"/>
        </w:rPr>
        <w:t xml:space="preserve">Ukraine est partie à la Convention de Vienne sur les relations consulaires, à laquelle elle a adhéré le </w:t>
      </w:r>
      <w:r w:rsidRPr="00A135AC">
        <w:rPr>
          <w:lang w:val="fr-FR"/>
        </w:rPr>
        <w:t>27</w:t>
      </w:r>
      <w:r w:rsidRPr="00F55E60">
        <w:rPr>
          <w:lang w:val="fr-FR"/>
        </w:rPr>
        <w:t xml:space="preserve"> avril </w:t>
      </w:r>
      <w:r w:rsidRPr="00A135AC">
        <w:rPr>
          <w:lang w:val="fr-FR"/>
        </w:rPr>
        <w:t>1989</w:t>
      </w:r>
      <w:r w:rsidRPr="00F55E60">
        <w:rPr>
          <w:lang w:val="fr-FR"/>
        </w:rPr>
        <w:t xml:space="preserve">. Cet instrument consacre un certain nombre de principes reconnus par le droit </w:t>
      </w:r>
      <w:r w:rsidRPr="00F55E60">
        <w:rPr>
          <w:lang w:val="fr-FR"/>
        </w:rPr>
        <w:lastRenderedPageBreak/>
        <w:t>international. En particulier, l</w:t>
      </w:r>
      <w:r w:rsidR="00D32FC0" w:rsidRPr="00F55E60">
        <w:rPr>
          <w:lang w:val="fr-FR"/>
        </w:rPr>
        <w:t>’</w:t>
      </w:r>
      <w:r w:rsidRPr="00F55E60">
        <w:rPr>
          <w:lang w:val="fr-FR"/>
        </w:rPr>
        <w:t xml:space="preserve">article </w:t>
      </w:r>
      <w:r w:rsidRPr="00A135AC">
        <w:rPr>
          <w:lang w:val="fr-FR"/>
        </w:rPr>
        <w:t>5</w:t>
      </w:r>
      <w:r w:rsidRPr="00F55E60">
        <w:rPr>
          <w:lang w:val="fr-FR"/>
        </w:rPr>
        <w:t xml:space="preserve"> de la Convention définit l</w:t>
      </w:r>
      <w:r w:rsidR="00D32FC0" w:rsidRPr="00F55E60">
        <w:rPr>
          <w:lang w:val="fr-FR"/>
        </w:rPr>
        <w:t>’</w:t>
      </w:r>
      <w:r w:rsidRPr="00F55E60">
        <w:rPr>
          <w:lang w:val="fr-FR"/>
        </w:rPr>
        <w:t>expression « fonctions consulaires », lesquelles sont exercées par les services consulaires à l</w:t>
      </w:r>
      <w:r w:rsidR="00D32FC0" w:rsidRPr="00F55E60">
        <w:rPr>
          <w:lang w:val="fr-FR"/>
        </w:rPr>
        <w:t>’</w:t>
      </w:r>
      <w:r w:rsidRPr="00F55E60">
        <w:rPr>
          <w:lang w:val="fr-FR"/>
        </w:rPr>
        <w:t>étranger.</w:t>
      </w:r>
    </w:p>
    <w:p w14:paraId="1639D65D" w14:textId="3B225F29" w:rsidR="00A601EB" w:rsidRPr="00F55E60" w:rsidRDefault="00A601EB" w:rsidP="00F96165">
      <w:pPr>
        <w:pStyle w:val="SingleTxt"/>
        <w:numPr>
          <w:ilvl w:val="0"/>
          <w:numId w:val="44"/>
        </w:numPr>
        <w:spacing w:line="240" w:lineRule="exact"/>
        <w:rPr>
          <w:lang w:val="fr-FR"/>
        </w:rPr>
      </w:pPr>
      <w:r w:rsidRPr="00F55E60">
        <w:rPr>
          <w:lang w:val="fr-FR"/>
        </w:rPr>
        <w:t>Le Comité estime qu</w:t>
      </w:r>
      <w:r w:rsidR="00D32FC0" w:rsidRPr="00F55E60">
        <w:rPr>
          <w:lang w:val="fr-FR"/>
        </w:rPr>
        <w:t>’</w:t>
      </w:r>
      <w:r w:rsidRPr="00F55E60">
        <w:rPr>
          <w:lang w:val="fr-FR"/>
        </w:rPr>
        <w:t>en l</w:t>
      </w:r>
      <w:r w:rsidR="00D32FC0" w:rsidRPr="00F55E60">
        <w:rPr>
          <w:lang w:val="fr-FR"/>
        </w:rPr>
        <w:t>’</w:t>
      </w:r>
      <w:r w:rsidRPr="00F55E60">
        <w:rPr>
          <w:lang w:val="fr-FR"/>
        </w:rPr>
        <w:t>espèce, l</w:t>
      </w:r>
      <w:r w:rsidR="00D32FC0" w:rsidRPr="00F55E60">
        <w:rPr>
          <w:lang w:val="fr-FR"/>
        </w:rPr>
        <w:t>’</w:t>
      </w:r>
      <w:r w:rsidRPr="00F55E60">
        <w:rPr>
          <w:lang w:val="fr-FR"/>
        </w:rPr>
        <w:t>auteure n</w:t>
      </w:r>
      <w:r w:rsidR="00D32FC0" w:rsidRPr="00F55E60">
        <w:rPr>
          <w:lang w:val="fr-FR"/>
        </w:rPr>
        <w:t>’</w:t>
      </w:r>
      <w:r w:rsidRPr="00F55E60">
        <w:rPr>
          <w:lang w:val="fr-FR"/>
        </w:rPr>
        <w:t>a pas reçu en temps voulu d</w:t>
      </w:r>
      <w:r w:rsidR="00D32FC0" w:rsidRPr="00F55E60">
        <w:rPr>
          <w:lang w:val="fr-FR"/>
        </w:rPr>
        <w:t>’</w:t>
      </w:r>
      <w:r w:rsidRPr="00F55E60">
        <w:rPr>
          <w:lang w:val="fr-FR"/>
        </w:rPr>
        <w:t>assistance adéquate de la part de l</w:t>
      </w:r>
      <w:r w:rsidR="00D32FC0" w:rsidRPr="00F55E60">
        <w:rPr>
          <w:lang w:val="fr-FR"/>
        </w:rPr>
        <w:t>’</w:t>
      </w:r>
      <w:r w:rsidRPr="00F55E60">
        <w:rPr>
          <w:lang w:val="fr-FR"/>
        </w:rPr>
        <w:t>ambassade ukrainienne à Amman pendant une longue période, au cours de laquelle elle a été victime de violences domestiques et alors que la procédure relative à la garde de son enfant était en cours devant le tribunal de la charia. Aucun représentant de l</w:t>
      </w:r>
      <w:r w:rsidR="00D32FC0" w:rsidRPr="00F55E60">
        <w:rPr>
          <w:lang w:val="fr-FR"/>
        </w:rPr>
        <w:t>’</w:t>
      </w:r>
      <w:r w:rsidRPr="00F55E60">
        <w:rPr>
          <w:lang w:val="fr-FR"/>
        </w:rPr>
        <w:t>ambassade ne l</w:t>
      </w:r>
      <w:r w:rsidR="00D32FC0" w:rsidRPr="00F55E60">
        <w:rPr>
          <w:lang w:val="fr-FR"/>
        </w:rPr>
        <w:t>’</w:t>
      </w:r>
      <w:r w:rsidRPr="00F55E60">
        <w:rPr>
          <w:lang w:val="fr-FR"/>
        </w:rPr>
        <w:t>a assistée durant la procédure, et l</w:t>
      </w:r>
      <w:r w:rsidR="00D32FC0" w:rsidRPr="00F55E60">
        <w:rPr>
          <w:lang w:val="fr-FR"/>
        </w:rPr>
        <w:t>’</w:t>
      </w:r>
      <w:r w:rsidRPr="00F55E60">
        <w:rPr>
          <w:lang w:val="fr-FR"/>
        </w:rPr>
        <w:t>ambassade ne lui a proposé aucune aide juridique, expliquant qu</w:t>
      </w:r>
      <w:r w:rsidR="00D32FC0" w:rsidRPr="00F55E60">
        <w:rPr>
          <w:lang w:val="fr-FR"/>
        </w:rPr>
        <w:t>’</w:t>
      </w:r>
      <w:r w:rsidRPr="00F55E60">
        <w:rPr>
          <w:lang w:val="fr-FR"/>
        </w:rPr>
        <w:t>aucun</w:t>
      </w:r>
      <w:bookmarkStart w:id="5" w:name="_GoBack"/>
      <w:bookmarkEnd w:id="5"/>
      <w:r w:rsidRPr="00F55E60">
        <w:rPr>
          <w:lang w:val="fr-FR"/>
        </w:rPr>
        <w:t xml:space="preserve"> agent consulaire ne connaissait comme il convenait la charia. À cet égard, le Comité remarque que l</w:t>
      </w:r>
      <w:r w:rsidR="00D32FC0" w:rsidRPr="00F55E60">
        <w:rPr>
          <w:lang w:val="fr-FR"/>
        </w:rPr>
        <w:t>’</w:t>
      </w:r>
      <w:r w:rsidRPr="00F55E60">
        <w:rPr>
          <w:lang w:val="fr-FR"/>
        </w:rPr>
        <w:t>on ne comprend pas très bien pourquoi, en l</w:t>
      </w:r>
      <w:r w:rsidR="00D32FC0" w:rsidRPr="00F55E60">
        <w:rPr>
          <w:lang w:val="fr-FR"/>
        </w:rPr>
        <w:t>’</w:t>
      </w:r>
      <w:r w:rsidRPr="00F55E60">
        <w:rPr>
          <w:lang w:val="fr-FR"/>
        </w:rPr>
        <w:t>absence d</w:t>
      </w:r>
      <w:r w:rsidR="00D32FC0" w:rsidRPr="00F55E60">
        <w:rPr>
          <w:lang w:val="fr-FR"/>
        </w:rPr>
        <w:t>’</w:t>
      </w:r>
      <w:r w:rsidRPr="00F55E60">
        <w:rPr>
          <w:lang w:val="fr-FR"/>
        </w:rPr>
        <w:t>avocats compétents au sein de l</w:t>
      </w:r>
      <w:r w:rsidR="00D32FC0" w:rsidRPr="00F55E60">
        <w:rPr>
          <w:lang w:val="fr-FR"/>
        </w:rPr>
        <w:t>’</w:t>
      </w:r>
      <w:r w:rsidRPr="00F55E60">
        <w:rPr>
          <w:lang w:val="fr-FR"/>
        </w:rPr>
        <w:t>ambassade, les autorités n</w:t>
      </w:r>
      <w:r w:rsidR="00D32FC0" w:rsidRPr="00F55E60">
        <w:rPr>
          <w:lang w:val="fr-FR"/>
        </w:rPr>
        <w:t>’</w:t>
      </w:r>
      <w:r w:rsidRPr="00F55E60">
        <w:rPr>
          <w:lang w:val="fr-FR"/>
        </w:rPr>
        <w:t>ont pas adressé l</w:t>
      </w:r>
      <w:r w:rsidR="00D32FC0" w:rsidRPr="00F55E60">
        <w:rPr>
          <w:lang w:val="fr-FR"/>
        </w:rPr>
        <w:t>’</w:t>
      </w:r>
      <w:r w:rsidRPr="00F55E60">
        <w:rPr>
          <w:lang w:val="fr-FR"/>
        </w:rPr>
        <w:t>auteure à un conseil juridique en Jordanie et n</w:t>
      </w:r>
      <w:r w:rsidR="00D32FC0" w:rsidRPr="00F55E60">
        <w:rPr>
          <w:lang w:val="fr-FR"/>
        </w:rPr>
        <w:t>’</w:t>
      </w:r>
      <w:r w:rsidRPr="00F55E60">
        <w:rPr>
          <w:lang w:val="fr-FR"/>
        </w:rPr>
        <w:t>ont pas non plus engagé un avocat pour la représenter. De même, l</w:t>
      </w:r>
      <w:r w:rsidR="00D32FC0" w:rsidRPr="00F55E60">
        <w:rPr>
          <w:lang w:val="fr-FR"/>
        </w:rPr>
        <w:t>’</w:t>
      </w:r>
      <w:r w:rsidRPr="00F55E60">
        <w:rPr>
          <w:lang w:val="fr-FR"/>
        </w:rPr>
        <w:t>auteure ne s</w:t>
      </w:r>
      <w:r w:rsidR="00D32FC0" w:rsidRPr="00F55E60">
        <w:rPr>
          <w:lang w:val="fr-FR"/>
        </w:rPr>
        <w:t>’</w:t>
      </w:r>
      <w:r w:rsidRPr="00F55E60">
        <w:rPr>
          <w:lang w:val="fr-FR"/>
        </w:rPr>
        <w:t>est pas vu proposer les services d</w:t>
      </w:r>
      <w:r w:rsidR="00D32FC0" w:rsidRPr="00F55E60">
        <w:rPr>
          <w:lang w:val="fr-FR"/>
        </w:rPr>
        <w:t>’</w:t>
      </w:r>
      <w:r w:rsidRPr="00F55E60">
        <w:rPr>
          <w:lang w:val="fr-FR"/>
        </w:rPr>
        <w:t>un interprète, en dépit du fait que la procédure était menée en arabe, langue qu</w:t>
      </w:r>
      <w:r w:rsidR="00D32FC0" w:rsidRPr="00F55E60">
        <w:rPr>
          <w:lang w:val="fr-FR"/>
        </w:rPr>
        <w:t>’</w:t>
      </w:r>
      <w:r w:rsidRPr="00F55E60">
        <w:rPr>
          <w:lang w:val="fr-FR"/>
        </w:rPr>
        <w:t>elle ne parle pas suffisamment bien.</w:t>
      </w:r>
    </w:p>
    <w:p w14:paraId="43E17AA9" w14:textId="41A04CDA" w:rsidR="00A601EB" w:rsidRPr="00F55E60" w:rsidRDefault="00A601EB" w:rsidP="00F96165">
      <w:pPr>
        <w:pStyle w:val="SingleTxt"/>
        <w:numPr>
          <w:ilvl w:val="0"/>
          <w:numId w:val="44"/>
        </w:numPr>
        <w:spacing w:line="240" w:lineRule="exact"/>
        <w:rPr>
          <w:lang w:val="fr-FR"/>
        </w:rPr>
      </w:pPr>
      <w:r w:rsidRPr="00F55E60">
        <w:rPr>
          <w:lang w:val="fr-FR"/>
        </w:rPr>
        <w:t>En l</w:t>
      </w:r>
      <w:r w:rsidR="00D32FC0" w:rsidRPr="00F55E60">
        <w:rPr>
          <w:lang w:val="fr-FR"/>
        </w:rPr>
        <w:t>’</w:t>
      </w:r>
      <w:r w:rsidRPr="00F55E60">
        <w:rPr>
          <w:lang w:val="fr-FR"/>
        </w:rPr>
        <w:t>espèce, l</w:t>
      </w:r>
      <w:r w:rsidR="00D32FC0" w:rsidRPr="00F55E60">
        <w:rPr>
          <w:lang w:val="fr-FR"/>
        </w:rPr>
        <w:t>’</w:t>
      </w:r>
      <w:r w:rsidRPr="00F55E60">
        <w:rPr>
          <w:lang w:val="fr-FR"/>
        </w:rPr>
        <w:t>auteure, en tant qu</w:t>
      </w:r>
      <w:r w:rsidR="00D32FC0" w:rsidRPr="00F55E60">
        <w:rPr>
          <w:lang w:val="fr-FR"/>
        </w:rPr>
        <w:t>’</w:t>
      </w:r>
      <w:r w:rsidRPr="00F55E60">
        <w:rPr>
          <w:lang w:val="fr-FR"/>
        </w:rPr>
        <w:t>étrangère en situation de vulnérabilité et mère de conviction chrétienne dans un État gouverné par la charia, a été livrée à elle-même sans une connaissance suffisante de la langue ou de la charia, face au tribunal et à la famille de son ex-mari. En conséquence, elle a perdu la garde de l</w:t>
      </w:r>
      <w:r w:rsidR="00D32FC0" w:rsidRPr="00F55E60">
        <w:rPr>
          <w:lang w:val="fr-FR"/>
        </w:rPr>
        <w:t>’</w:t>
      </w:r>
      <w:r w:rsidRPr="00F55E60">
        <w:rPr>
          <w:lang w:val="fr-FR"/>
        </w:rPr>
        <w:t>une de ses filles et a dû quitter la Jordanie, un acte qui a mis un terme à la procédure judiciaire. Le Comité estime qu</w:t>
      </w:r>
      <w:r w:rsidR="00D32FC0" w:rsidRPr="00F55E60">
        <w:rPr>
          <w:lang w:val="fr-FR"/>
        </w:rPr>
        <w:t>’</w:t>
      </w:r>
      <w:r w:rsidRPr="00F55E60">
        <w:rPr>
          <w:lang w:val="fr-FR"/>
        </w:rPr>
        <w:t>en l</w:t>
      </w:r>
      <w:r w:rsidR="00D32FC0" w:rsidRPr="00F55E60">
        <w:rPr>
          <w:lang w:val="fr-FR"/>
        </w:rPr>
        <w:t>’</w:t>
      </w:r>
      <w:r w:rsidRPr="00F55E60">
        <w:rPr>
          <w:lang w:val="fr-FR"/>
        </w:rPr>
        <w:t>espèce, les omissions des autorités ukrainiennes ont enfreint les droits que l</w:t>
      </w:r>
      <w:r w:rsidR="00D32FC0" w:rsidRPr="00F55E60">
        <w:rPr>
          <w:lang w:val="fr-FR"/>
        </w:rPr>
        <w:t>’</w:t>
      </w:r>
      <w:r w:rsidRPr="00F55E60">
        <w:rPr>
          <w:lang w:val="fr-FR"/>
        </w:rPr>
        <w:t xml:space="preserve">auteure tient des articles </w:t>
      </w:r>
      <w:r w:rsidRPr="00A135AC">
        <w:rPr>
          <w:lang w:val="fr-FR"/>
        </w:rPr>
        <w:t>3</w:t>
      </w:r>
      <w:r w:rsidRPr="00F55E60">
        <w:rPr>
          <w:lang w:val="fr-FR"/>
        </w:rPr>
        <w:t xml:space="preserve"> et </w:t>
      </w:r>
      <w:r w:rsidRPr="00A135AC">
        <w:rPr>
          <w:lang w:val="fr-FR"/>
        </w:rPr>
        <w:t>5</w:t>
      </w:r>
      <w:r w:rsidRPr="00F55E60">
        <w:rPr>
          <w:lang w:val="fr-FR"/>
        </w:rPr>
        <w:t xml:space="preserve"> de la Convention à une protection, une assistance et un appui en tant que victime de violence fondée sur le genre.</w:t>
      </w:r>
    </w:p>
    <w:p w14:paraId="3C2B8D2C" w14:textId="6E8DA01C" w:rsidR="00A601EB" w:rsidRPr="00F55E60" w:rsidRDefault="00A601EB" w:rsidP="00F96165">
      <w:pPr>
        <w:pStyle w:val="SingleTxt"/>
        <w:numPr>
          <w:ilvl w:val="0"/>
          <w:numId w:val="45"/>
        </w:numPr>
        <w:rPr>
          <w:lang w:val="fr-FR"/>
        </w:rPr>
      </w:pPr>
      <w:r w:rsidRPr="00F55E60">
        <w:rPr>
          <w:lang w:val="fr-FR"/>
        </w:rPr>
        <w:t xml:space="preserve">Agissant en vertu de </w:t>
      </w:r>
      <w:r w:rsidR="002F682A" w:rsidRPr="00F55E60">
        <w:rPr>
          <w:lang w:val="fr-FR"/>
        </w:rPr>
        <w:t>l’article</w:t>
      </w:r>
      <w:r w:rsidR="002F682A">
        <w:rPr>
          <w:lang w:val="fr-FR"/>
        </w:rPr>
        <w:t> </w:t>
      </w:r>
      <w:r w:rsidRPr="00A135AC">
        <w:rPr>
          <w:lang w:val="fr-FR"/>
        </w:rPr>
        <w:t>7</w:t>
      </w:r>
      <w:r w:rsidRPr="00F55E60">
        <w:rPr>
          <w:lang w:val="fr-FR"/>
        </w:rPr>
        <w:t xml:space="preserve">, paragraphe </w:t>
      </w:r>
      <w:r w:rsidRPr="00A135AC">
        <w:rPr>
          <w:lang w:val="fr-FR"/>
        </w:rPr>
        <w:t>3</w:t>
      </w:r>
      <w:r w:rsidRPr="00F55E60">
        <w:rPr>
          <w:lang w:val="fr-FR"/>
        </w:rPr>
        <w:t>, du Protocole facultatif se rapportant à la Convention, le Comité est d</w:t>
      </w:r>
      <w:r w:rsidR="00D32FC0" w:rsidRPr="00F55E60">
        <w:rPr>
          <w:lang w:val="fr-FR"/>
        </w:rPr>
        <w:t>’</w:t>
      </w:r>
      <w:r w:rsidRPr="00F55E60">
        <w:rPr>
          <w:lang w:val="fr-FR"/>
        </w:rPr>
        <w:t>avis que les faits dont il est saisi font apparaître une violation des droits que l</w:t>
      </w:r>
      <w:r w:rsidR="00D32FC0" w:rsidRPr="00F55E60">
        <w:rPr>
          <w:lang w:val="fr-FR"/>
        </w:rPr>
        <w:t>’</w:t>
      </w:r>
      <w:r w:rsidRPr="00F55E60">
        <w:rPr>
          <w:lang w:val="fr-FR"/>
        </w:rPr>
        <w:t xml:space="preserve">auteure tient des articles </w:t>
      </w:r>
      <w:r w:rsidRPr="00A135AC">
        <w:rPr>
          <w:lang w:val="fr-FR"/>
        </w:rPr>
        <w:t>2</w:t>
      </w:r>
      <w:r w:rsidRPr="00F55E60">
        <w:rPr>
          <w:lang w:val="fr-FR"/>
        </w:rPr>
        <w:t xml:space="preserve"> a), d) et f), </w:t>
      </w:r>
      <w:r w:rsidRPr="00A135AC">
        <w:rPr>
          <w:lang w:val="fr-FR"/>
        </w:rPr>
        <w:t>3</w:t>
      </w:r>
      <w:r w:rsidRPr="00F55E60">
        <w:rPr>
          <w:lang w:val="fr-FR"/>
        </w:rPr>
        <w:t xml:space="preserve"> et </w:t>
      </w:r>
      <w:r w:rsidRPr="00A135AC">
        <w:rPr>
          <w:lang w:val="fr-FR"/>
        </w:rPr>
        <w:t>5</w:t>
      </w:r>
      <w:r w:rsidR="00847AC9">
        <w:rPr>
          <w:lang w:val="fr-FR"/>
        </w:rPr>
        <w:t> </w:t>
      </w:r>
      <w:r w:rsidRPr="00F55E60">
        <w:rPr>
          <w:lang w:val="fr-FR"/>
        </w:rPr>
        <w:t xml:space="preserve">de la Convention, en tenant compte à cet égard des recommandations générales du Comité </w:t>
      </w:r>
      <w:r w:rsidR="002F682A" w:rsidRPr="00F55E60">
        <w:rPr>
          <w:lang w:val="fr-FR"/>
        </w:rPr>
        <w:t>n</w:t>
      </w:r>
      <w:r w:rsidR="002F682A" w:rsidRPr="00F55E60">
        <w:rPr>
          <w:vertAlign w:val="superscript"/>
          <w:lang w:val="fr-FR"/>
        </w:rPr>
        <w:t>os</w:t>
      </w:r>
      <w:r w:rsidR="002F682A">
        <w:rPr>
          <w:lang w:val="fr-FR"/>
        </w:rPr>
        <w:t> </w:t>
      </w:r>
      <w:r w:rsidRPr="00A135AC">
        <w:rPr>
          <w:lang w:val="fr-FR"/>
        </w:rPr>
        <w:t>19</w:t>
      </w:r>
      <w:r w:rsidRPr="00F55E60">
        <w:rPr>
          <w:lang w:val="fr-FR"/>
        </w:rPr>
        <w:t xml:space="preserve">, </w:t>
      </w:r>
      <w:r w:rsidRPr="00A135AC">
        <w:rPr>
          <w:lang w:val="fr-FR"/>
        </w:rPr>
        <w:t>28</w:t>
      </w:r>
      <w:r w:rsidRPr="00F55E60">
        <w:rPr>
          <w:lang w:val="fr-FR"/>
        </w:rPr>
        <w:t xml:space="preserve"> et </w:t>
      </w:r>
      <w:r w:rsidRPr="00A135AC">
        <w:rPr>
          <w:lang w:val="fr-FR"/>
        </w:rPr>
        <w:t>35</w:t>
      </w:r>
      <w:r w:rsidRPr="00F55E60">
        <w:rPr>
          <w:lang w:val="fr-FR"/>
        </w:rPr>
        <w:t>. Étant parvenu à cette conclusion, le Comité n</w:t>
      </w:r>
      <w:r w:rsidR="00D32FC0" w:rsidRPr="00F55E60">
        <w:rPr>
          <w:lang w:val="fr-FR"/>
        </w:rPr>
        <w:t>’</w:t>
      </w:r>
      <w:r w:rsidRPr="00F55E60">
        <w:rPr>
          <w:lang w:val="fr-FR"/>
        </w:rPr>
        <w:t>examinera pas les autres griefs de l</w:t>
      </w:r>
      <w:r w:rsidR="00D32FC0" w:rsidRPr="00F55E60">
        <w:rPr>
          <w:lang w:val="fr-FR"/>
        </w:rPr>
        <w:t>’</w:t>
      </w:r>
      <w:r w:rsidRPr="00F55E60">
        <w:rPr>
          <w:lang w:val="fr-FR"/>
        </w:rPr>
        <w:t>auteure.</w:t>
      </w:r>
    </w:p>
    <w:p w14:paraId="6DD39A69" w14:textId="6EFFF3F1" w:rsidR="00A601EB" w:rsidRPr="00F55E60" w:rsidRDefault="00A601EB" w:rsidP="00F96165">
      <w:pPr>
        <w:pStyle w:val="SingleTxt"/>
        <w:numPr>
          <w:ilvl w:val="0"/>
          <w:numId w:val="45"/>
        </w:numPr>
        <w:spacing w:line="240" w:lineRule="exact"/>
        <w:rPr>
          <w:lang w:val="fr-FR"/>
        </w:rPr>
      </w:pPr>
      <w:r w:rsidRPr="00F55E60">
        <w:rPr>
          <w:lang w:val="fr-FR"/>
        </w:rPr>
        <w:t>À la lumière de ce qui précède, le Comité recommande à l</w:t>
      </w:r>
      <w:r w:rsidR="00D32FC0" w:rsidRPr="00F55E60">
        <w:rPr>
          <w:lang w:val="fr-FR"/>
        </w:rPr>
        <w:t>’</w:t>
      </w:r>
      <w:r w:rsidRPr="00F55E60">
        <w:rPr>
          <w:lang w:val="fr-FR"/>
        </w:rPr>
        <w:t>État partie</w:t>
      </w:r>
      <w:r w:rsidR="00D32FC0" w:rsidRPr="00F55E60">
        <w:rPr>
          <w:lang w:val="fr-FR"/>
        </w:rPr>
        <w:t> :</w:t>
      </w:r>
    </w:p>
    <w:p w14:paraId="69D7AEA5" w14:textId="2E0B7020" w:rsidR="00A601EB" w:rsidRPr="00F55E60" w:rsidRDefault="00A601EB" w:rsidP="00A601EB">
      <w:pPr>
        <w:pStyle w:val="SingleTxt"/>
        <w:rPr>
          <w:lang w:val="fr-FR"/>
        </w:rPr>
      </w:pPr>
      <w:r w:rsidRPr="00F55E60">
        <w:rPr>
          <w:lang w:val="fr-FR"/>
        </w:rPr>
        <w:tab/>
        <w:t>a)</w:t>
      </w:r>
      <w:r w:rsidRPr="00F55E60">
        <w:rPr>
          <w:lang w:val="fr-FR"/>
        </w:rPr>
        <w:tab/>
        <w:t>En ce qui concerne l</w:t>
      </w:r>
      <w:r w:rsidR="00D32FC0" w:rsidRPr="00F55E60">
        <w:rPr>
          <w:lang w:val="fr-FR"/>
        </w:rPr>
        <w:t>’</w:t>
      </w:r>
      <w:r w:rsidRPr="00F55E60">
        <w:rPr>
          <w:lang w:val="fr-FR"/>
        </w:rPr>
        <w:t>auteure de la communication</w:t>
      </w:r>
      <w:r w:rsidR="00D32FC0" w:rsidRPr="00F55E60">
        <w:rPr>
          <w:lang w:val="fr-FR"/>
        </w:rPr>
        <w:t> :</w:t>
      </w:r>
      <w:r w:rsidRPr="00F55E60">
        <w:rPr>
          <w:lang w:val="fr-FR"/>
        </w:rPr>
        <w:t xml:space="preserve"> de lui accorder réparation, y compris la reconnaissance des dommages moraux qu</w:t>
      </w:r>
      <w:r w:rsidR="00D32FC0" w:rsidRPr="00F55E60">
        <w:rPr>
          <w:lang w:val="fr-FR"/>
        </w:rPr>
        <w:t>’</w:t>
      </w:r>
      <w:r w:rsidRPr="00F55E60">
        <w:rPr>
          <w:lang w:val="fr-FR"/>
        </w:rPr>
        <w:t>elle a subis du fait de ne pas avoir reçu en temps voulu une assistance adéquate des services consulaires ukrainiens en Jordanie</w:t>
      </w:r>
      <w:r w:rsidR="00D32FC0" w:rsidRPr="00F55E60">
        <w:rPr>
          <w:lang w:val="fr-FR"/>
        </w:rPr>
        <w:t> ;</w:t>
      </w:r>
    </w:p>
    <w:p w14:paraId="1253DD91" w14:textId="33B6F5AF" w:rsidR="00A601EB" w:rsidRPr="00F55E60" w:rsidRDefault="00A601EB" w:rsidP="00A601EB">
      <w:pPr>
        <w:pStyle w:val="SingleTxt"/>
        <w:rPr>
          <w:lang w:val="fr-FR"/>
        </w:rPr>
      </w:pPr>
      <w:r w:rsidRPr="00F55E60">
        <w:rPr>
          <w:lang w:val="fr-FR"/>
        </w:rPr>
        <w:tab/>
        <w:t>b)</w:t>
      </w:r>
      <w:r w:rsidRPr="00F55E60">
        <w:rPr>
          <w:lang w:val="fr-FR"/>
        </w:rPr>
        <w:tab/>
        <w:t>En général</w:t>
      </w:r>
      <w:r w:rsidR="00D32FC0" w:rsidRPr="00F55E60">
        <w:rPr>
          <w:lang w:val="fr-FR"/>
        </w:rPr>
        <w:t> :</w:t>
      </w:r>
    </w:p>
    <w:p w14:paraId="3667AD30" w14:textId="2BA019EA" w:rsidR="00A601EB" w:rsidRPr="00F55E60" w:rsidRDefault="00A601EB" w:rsidP="00513E2E">
      <w:pPr>
        <w:pStyle w:val="SingleTxt"/>
        <w:ind w:left="1742" w:hanging="475"/>
        <w:rPr>
          <w:lang w:val="fr-FR"/>
        </w:rPr>
      </w:pPr>
      <w:r w:rsidRPr="00F55E60">
        <w:rPr>
          <w:lang w:val="fr-FR"/>
        </w:rPr>
        <w:tab/>
        <w:t>i)</w:t>
      </w:r>
      <w:r w:rsidRPr="00F55E60">
        <w:rPr>
          <w:lang w:val="fr-FR"/>
        </w:rPr>
        <w:tab/>
        <w:t>De veiller à ce que la protection consulaire, telle que définie dans la Convention et consacrée dans la Constitution ukrainienne, soit effectivement fournie aux femmes ukrainiennes qui se trouvent en situation de vulnérabilité à l</w:t>
      </w:r>
      <w:r w:rsidR="00D32FC0" w:rsidRPr="00F55E60">
        <w:rPr>
          <w:lang w:val="fr-FR"/>
        </w:rPr>
        <w:t>’</w:t>
      </w:r>
      <w:r w:rsidRPr="00F55E60">
        <w:rPr>
          <w:lang w:val="fr-FR"/>
        </w:rPr>
        <w:t>étranger</w:t>
      </w:r>
      <w:r w:rsidR="00D32FC0" w:rsidRPr="00F55E60">
        <w:rPr>
          <w:lang w:val="fr-FR"/>
        </w:rPr>
        <w:t> ;</w:t>
      </w:r>
    </w:p>
    <w:p w14:paraId="426BD60A" w14:textId="30CACCE7" w:rsidR="00A601EB" w:rsidRPr="00F55E60" w:rsidRDefault="00A601EB" w:rsidP="00513E2E">
      <w:pPr>
        <w:pStyle w:val="SingleTxt"/>
        <w:ind w:left="1742" w:hanging="475"/>
        <w:rPr>
          <w:lang w:val="fr-FR"/>
        </w:rPr>
      </w:pPr>
      <w:r w:rsidRPr="00F55E60">
        <w:rPr>
          <w:lang w:val="fr-FR"/>
        </w:rPr>
        <w:tab/>
        <w:t>ii)</w:t>
      </w:r>
      <w:r w:rsidRPr="00F55E60">
        <w:rPr>
          <w:lang w:val="fr-FR"/>
        </w:rPr>
        <w:tab/>
        <w:t>De fournir à ses ressortissantes à l</w:t>
      </w:r>
      <w:r w:rsidR="00D32FC0" w:rsidRPr="00F55E60">
        <w:rPr>
          <w:lang w:val="fr-FR"/>
        </w:rPr>
        <w:t>’</w:t>
      </w:r>
      <w:r w:rsidRPr="00F55E60">
        <w:rPr>
          <w:lang w:val="fr-FR"/>
        </w:rPr>
        <w:t>étranger qui affirment être victimes et avoir besoin d</w:t>
      </w:r>
      <w:r w:rsidR="00D32FC0" w:rsidRPr="00F55E60">
        <w:rPr>
          <w:lang w:val="fr-FR"/>
        </w:rPr>
        <w:t>’</w:t>
      </w:r>
      <w:r w:rsidRPr="00F55E60">
        <w:rPr>
          <w:lang w:val="fr-FR"/>
        </w:rPr>
        <w:t>assistance une aide juridique afin de leur permettre d</w:t>
      </w:r>
      <w:r w:rsidR="00D32FC0" w:rsidRPr="00F55E60">
        <w:rPr>
          <w:lang w:val="fr-FR"/>
        </w:rPr>
        <w:t>’</w:t>
      </w:r>
      <w:r w:rsidRPr="00F55E60">
        <w:rPr>
          <w:lang w:val="fr-FR"/>
        </w:rPr>
        <w:t>accéder à la justice et de bénéficier de toutes les garanties légales de protection, y compris contre la discrimination fondée sur le genre et dans les différends portant sur la garde d</w:t>
      </w:r>
      <w:r w:rsidR="00D32FC0" w:rsidRPr="00F55E60">
        <w:rPr>
          <w:lang w:val="fr-FR"/>
        </w:rPr>
        <w:t>’</w:t>
      </w:r>
      <w:r w:rsidRPr="00F55E60">
        <w:rPr>
          <w:lang w:val="fr-FR"/>
        </w:rPr>
        <w:t>enfants</w:t>
      </w:r>
      <w:r w:rsidR="00D32FC0" w:rsidRPr="00F55E60">
        <w:rPr>
          <w:lang w:val="fr-FR"/>
        </w:rPr>
        <w:t> ;</w:t>
      </w:r>
    </w:p>
    <w:p w14:paraId="3DFF220A" w14:textId="437DC46C" w:rsidR="00A601EB" w:rsidRPr="00F55E60" w:rsidRDefault="00513E2E" w:rsidP="00513E2E">
      <w:pPr>
        <w:pStyle w:val="SingleTxt"/>
        <w:ind w:left="1742" w:hanging="475"/>
        <w:rPr>
          <w:lang w:val="fr-FR"/>
        </w:rPr>
      </w:pPr>
      <w:r w:rsidRPr="00F55E60">
        <w:rPr>
          <w:lang w:val="fr-FR"/>
        </w:rPr>
        <w:tab/>
      </w:r>
      <w:r w:rsidR="00A601EB" w:rsidRPr="00F55E60">
        <w:rPr>
          <w:lang w:val="fr-FR"/>
        </w:rPr>
        <w:t>iii)</w:t>
      </w:r>
      <w:r w:rsidR="00A601EB" w:rsidRPr="00F55E60">
        <w:rPr>
          <w:lang w:val="fr-FR"/>
        </w:rPr>
        <w:tab/>
        <w:t>De veiller à ce que les agents consulaires aient suivi des formations complètes aux questions relatives aux conventions que le pays a ratifiées ou auxquelles il a adhéré, y compris la Convention sur l</w:t>
      </w:r>
      <w:r w:rsidR="00D32FC0" w:rsidRPr="00F55E60">
        <w:rPr>
          <w:lang w:val="fr-FR"/>
        </w:rPr>
        <w:t>’</w:t>
      </w:r>
      <w:r w:rsidR="00A601EB" w:rsidRPr="00F55E60">
        <w:rPr>
          <w:lang w:val="fr-FR"/>
        </w:rPr>
        <w:t>élimination de toutes les formes de discrimination à l</w:t>
      </w:r>
      <w:r w:rsidR="00D32FC0" w:rsidRPr="00F55E60">
        <w:rPr>
          <w:lang w:val="fr-FR"/>
        </w:rPr>
        <w:t>’</w:t>
      </w:r>
      <w:r w:rsidR="00A601EB" w:rsidRPr="00F55E60">
        <w:rPr>
          <w:lang w:val="fr-FR"/>
        </w:rPr>
        <w:t>égard des femmes</w:t>
      </w:r>
      <w:r w:rsidR="00D32FC0" w:rsidRPr="00F55E60">
        <w:rPr>
          <w:lang w:val="fr-FR"/>
        </w:rPr>
        <w:t> ;</w:t>
      </w:r>
    </w:p>
    <w:p w14:paraId="7FC99C64" w14:textId="31212EFF" w:rsidR="00A601EB" w:rsidRPr="00F55E60" w:rsidRDefault="00DE708F" w:rsidP="00DE708F">
      <w:pPr>
        <w:pStyle w:val="SingleTxt"/>
        <w:ind w:left="1742" w:hanging="475"/>
        <w:rPr>
          <w:lang w:val="fr-FR"/>
        </w:rPr>
      </w:pPr>
      <w:r w:rsidRPr="00F55E60">
        <w:rPr>
          <w:lang w:val="fr-FR"/>
        </w:rPr>
        <w:lastRenderedPageBreak/>
        <w:tab/>
      </w:r>
      <w:r w:rsidR="00A601EB" w:rsidRPr="00F55E60">
        <w:rPr>
          <w:lang w:val="fr-FR"/>
        </w:rPr>
        <w:t>iv)</w:t>
      </w:r>
      <w:r w:rsidR="00A601EB" w:rsidRPr="00F55E60">
        <w:rPr>
          <w:lang w:val="fr-FR"/>
        </w:rPr>
        <w:tab/>
        <w:t>De prendre des mesures pour parvenir à un accord entre la Jordanie et l</w:t>
      </w:r>
      <w:r w:rsidR="00D32FC0" w:rsidRPr="00F55E60">
        <w:rPr>
          <w:lang w:val="fr-FR"/>
        </w:rPr>
        <w:t>’</w:t>
      </w:r>
      <w:r w:rsidR="00A601EB" w:rsidRPr="00F55E60">
        <w:rPr>
          <w:lang w:val="fr-FR"/>
        </w:rPr>
        <w:t>Ukraine sur l</w:t>
      </w:r>
      <w:r w:rsidR="00D32FC0" w:rsidRPr="00F55E60">
        <w:rPr>
          <w:lang w:val="fr-FR"/>
        </w:rPr>
        <w:t>’</w:t>
      </w:r>
      <w:r w:rsidR="00A601EB" w:rsidRPr="00F55E60">
        <w:rPr>
          <w:lang w:val="fr-FR"/>
        </w:rPr>
        <w:t>entraide judiciaire et la garde d</w:t>
      </w:r>
      <w:r w:rsidR="00D32FC0" w:rsidRPr="00F55E60">
        <w:rPr>
          <w:lang w:val="fr-FR"/>
        </w:rPr>
        <w:t>’</w:t>
      </w:r>
      <w:r w:rsidR="00A601EB" w:rsidRPr="00F55E60">
        <w:rPr>
          <w:lang w:val="fr-FR"/>
        </w:rPr>
        <w:t>enfant.</w:t>
      </w:r>
    </w:p>
    <w:p w14:paraId="7481A275" w14:textId="2EBD2DCA" w:rsidR="00A601EB" w:rsidRPr="00F55E60" w:rsidRDefault="00A601EB" w:rsidP="00DE708F">
      <w:pPr>
        <w:pStyle w:val="SingleTxt"/>
        <w:numPr>
          <w:ilvl w:val="0"/>
          <w:numId w:val="45"/>
        </w:numPr>
        <w:spacing w:line="240" w:lineRule="exact"/>
        <w:rPr>
          <w:lang w:val="fr-FR"/>
        </w:rPr>
      </w:pPr>
      <w:r w:rsidRPr="00F55E60">
        <w:rPr>
          <w:lang w:val="fr-FR"/>
        </w:rPr>
        <w:t xml:space="preserve">Conformément au paragraphe </w:t>
      </w:r>
      <w:r w:rsidRPr="00A135AC">
        <w:rPr>
          <w:lang w:val="fr-FR"/>
        </w:rPr>
        <w:t>4</w:t>
      </w:r>
      <w:r w:rsidRPr="00F55E60">
        <w:rPr>
          <w:lang w:val="fr-FR"/>
        </w:rPr>
        <w:t xml:space="preserve"> de l</w:t>
      </w:r>
      <w:r w:rsidR="00D32FC0" w:rsidRPr="00F55E60">
        <w:rPr>
          <w:lang w:val="fr-FR"/>
        </w:rPr>
        <w:t>’</w:t>
      </w:r>
      <w:r w:rsidRPr="00F55E60">
        <w:rPr>
          <w:lang w:val="fr-FR"/>
        </w:rPr>
        <w:t xml:space="preserve">article </w:t>
      </w:r>
      <w:r w:rsidRPr="00A135AC">
        <w:rPr>
          <w:lang w:val="fr-FR"/>
        </w:rPr>
        <w:t>7</w:t>
      </w:r>
      <w:r w:rsidRPr="00F55E60">
        <w:rPr>
          <w:lang w:val="fr-FR"/>
        </w:rPr>
        <w:t xml:space="preserve"> du Protocole facultatif, l</w:t>
      </w:r>
      <w:r w:rsidR="00D32FC0" w:rsidRPr="00F55E60">
        <w:rPr>
          <w:lang w:val="fr-FR"/>
        </w:rPr>
        <w:t>’</w:t>
      </w:r>
      <w:r w:rsidRPr="00F55E60">
        <w:rPr>
          <w:lang w:val="fr-FR"/>
        </w:rPr>
        <w:t>État partie examinera comme il se doit les constatations et recommandations du Comité, auxquelles il soumettra, dans un délai de six mois, une réponse écrite, l</w:t>
      </w:r>
      <w:r w:rsidR="00D32FC0" w:rsidRPr="00F55E60">
        <w:rPr>
          <w:lang w:val="fr-FR"/>
        </w:rPr>
        <w:t>’</w:t>
      </w:r>
      <w:r w:rsidRPr="00F55E60">
        <w:rPr>
          <w:lang w:val="fr-FR"/>
        </w:rPr>
        <w:t>informant de toute action menée à la lumière de ses constatations et recommandations. L</w:t>
      </w:r>
      <w:r w:rsidR="00D32FC0" w:rsidRPr="00F55E60">
        <w:rPr>
          <w:lang w:val="fr-FR"/>
        </w:rPr>
        <w:t>’</w:t>
      </w:r>
      <w:r w:rsidRPr="00F55E60">
        <w:rPr>
          <w:lang w:val="fr-FR"/>
        </w:rPr>
        <w:t>État partie devra également publier les constatations et recommandations du Comité et les diffuser largement afin d</w:t>
      </w:r>
      <w:r w:rsidR="00D32FC0" w:rsidRPr="00F55E60">
        <w:rPr>
          <w:lang w:val="fr-FR"/>
        </w:rPr>
        <w:t>’</w:t>
      </w:r>
      <w:r w:rsidRPr="00F55E60">
        <w:rPr>
          <w:lang w:val="fr-FR"/>
        </w:rPr>
        <w:t>atteindre tous les secteurs concernés de la société.</w:t>
      </w:r>
    </w:p>
    <w:bookmarkEnd w:id="3"/>
    <w:p w14:paraId="2CD2A6A2" w14:textId="18848265" w:rsidR="00A601EB" w:rsidRPr="00F55E60" w:rsidRDefault="00046EBD" w:rsidP="00046EBD">
      <w:pPr>
        <w:pStyle w:val="SingleTxt"/>
        <w:spacing w:after="0" w:line="240" w:lineRule="auto"/>
        <w:rPr>
          <w:lang w:val="fr-FR"/>
        </w:rPr>
      </w:pPr>
      <w:r w:rsidRPr="00F55E60">
        <w:rPr>
          <w:noProof/>
          <w:w w:val="100"/>
          <w:lang w:val="fr-FR"/>
        </w:rPr>
        <mc:AlternateContent>
          <mc:Choice Requires="wps">
            <w:drawing>
              <wp:anchor distT="0" distB="0" distL="114300" distR="114300" simplePos="0" relativeHeight="251659264" behindDoc="0" locked="0" layoutInCell="1" allowOverlap="1" wp14:anchorId="2E8B1616" wp14:editId="6862F8DD">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A8C96"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A601EB" w:rsidRPr="00F55E60" w:rsidSect="00157BF8">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10-01T11:59:00Z" w:initials="Start">
    <w:p w14:paraId="4CF17D3D" w14:textId="77777777" w:rsidR="007A2E8D" w:rsidRPr="00157BF8" w:rsidRDefault="007A2E8D">
      <w:pPr>
        <w:pStyle w:val="CommentText"/>
        <w:rPr>
          <w:lang w:val="en-US"/>
        </w:rPr>
      </w:pPr>
      <w:r>
        <w:fldChar w:fldCharType="begin"/>
      </w:r>
      <w:r w:rsidRPr="00157BF8">
        <w:rPr>
          <w:rStyle w:val="CommentReference"/>
          <w:lang w:val="en-US"/>
        </w:rPr>
        <w:instrText xml:space="preserve"> </w:instrText>
      </w:r>
      <w:r w:rsidRPr="00157BF8">
        <w:rPr>
          <w:lang w:val="en-US"/>
        </w:rPr>
        <w:instrText>PAGE \# "'Page: '#'</w:instrText>
      </w:r>
      <w:r w:rsidRPr="00157BF8">
        <w:rPr>
          <w:lang w:val="en-US"/>
        </w:rPr>
        <w:br/>
        <w:instrText>'"</w:instrText>
      </w:r>
      <w:r w:rsidRPr="00157BF8">
        <w:rPr>
          <w:rStyle w:val="CommentReference"/>
          <w:lang w:val="en-US"/>
        </w:rPr>
        <w:instrText xml:space="preserve"> </w:instrText>
      </w:r>
      <w:r>
        <w:fldChar w:fldCharType="end"/>
      </w:r>
      <w:r>
        <w:rPr>
          <w:rStyle w:val="CommentReference"/>
        </w:rPr>
        <w:annotationRef/>
      </w:r>
      <w:r w:rsidRPr="00157BF8">
        <w:rPr>
          <w:lang w:val="en-US"/>
        </w:rPr>
        <w:t>&lt;&lt;ODS JOB NO&gt;&gt;N1927426F&lt;&lt;ODS JOB NO&gt;&gt;</w:t>
      </w:r>
    </w:p>
    <w:p w14:paraId="675E7515" w14:textId="77777777" w:rsidR="007A2E8D" w:rsidRDefault="007A2E8D">
      <w:pPr>
        <w:pStyle w:val="CommentText"/>
      </w:pPr>
      <w:r>
        <w:t>&lt;&lt;ODS DOC SYMBOL1&gt;&gt;CEDAW/C/73/D/87/2015&lt;&lt;ODS DOC SYMBOL1&gt;&gt;</w:t>
      </w:r>
    </w:p>
    <w:p w14:paraId="2DBEA45C" w14:textId="77777777" w:rsidR="007A2E8D" w:rsidRDefault="007A2E8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BEA45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107D8" w14:textId="77777777" w:rsidR="007A2E8D" w:rsidRDefault="007A2E8D" w:rsidP="00101B18">
      <w:pPr>
        <w:spacing w:line="240" w:lineRule="auto"/>
      </w:pPr>
      <w:r>
        <w:separator/>
      </w:r>
    </w:p>
  </w:endnote>
  <w:endnote w:type="continuationSeparator" w:id="0">
    <w:p w14:paraId="3D69A06C" w14:textId="77777777" w:rsidR="007A2E8D" w:rsidRDefault="007A2E8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2E8D" w14:paraId="3749AF3B" w14:textId="77777777" w:rsidTr="00874814">
      <w:tc>
        <w:tcPr>
          <w:tcW w:w="4920" w:type="dxa"/>
          <w:shd w:val="clear" w:color="auto" w:fill="auto"/>
        </w:tcPr>
        <w:p w14:paraId="53633A96" w14:textId="338AEA7A" w:rsidR="007A2E8D" w:rsidRPr="00874814" w:rsidRDefault="007A2E8D" w:rsidP="0087481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0DC4">
            <w:rPr>
              <w:b w:val="0"/>
              <w:w w:val="103"/>
              <w:sz w:val="14"/>
            </w:rPr>
            <w:t>19-15431</w:t>
          </w:r>
          <w:r>
            <w:rPr>
              <w:b w:val="0"/>
              <w:w w:val="103"/>
              <w:sz w:val="14"/>
            </w:rPr>
            <w:fldChar w:fldCharType="end"/>
          </w:r>
        </w:p>
      </w:tc>
      <w:tc>
        <w:tcPr>
          <w:tcW w:w="4920" w:type="dxa"/>
          <w:shd w:val="clear" w:color="auto" w:fill="auto"/>
        </w:tcPr>
        <w:p w14:paraId="20CB6E0D" w14:textId="77777777" w:rsidR="007A2E8D" w:rsidRPr="00874814" w:rsidRDefault="007A2E8D" w:rsidP="0087481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20D4415A" w14:textId="77777777" w:rsidR="007A2E8D" w:rsidRPr="00874814" w:rsidRDefault="007A2E8D" w:rsidP="00874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A2E8D" w14:paraId="0E576675" w14:textId="77777777" w:rsidTr="00874814">
      <w:tc>
        <w:tcPr>
          <w:tcW w:w="4920" w:type="dxa"/>
          <w:shd w:val="clear" w:color="auto" w:fill="auto"/>
        </w:tcPr>
        <w:p w14:paraId="5465B419" w14:textId="77777777" w:rsidR="007A2E8D" w:rsidRPr="00874814" w:rsidRDefault="007A2E8D" w:rsidP="0087481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5CBB090F" w14:textId="2D037B74" w:rsidR="007A2E8D" w:rsidRPr="00874814" w:rsidRDefault="007A2E8D" w:rsidP="0087481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0DC4">
            <w:rPr>
              <w:b w:val="0"/>
              <w:w w:val="103"/>
              <w:sz w:val="14"/>
            </w:rPr>
            <w:t>19-15431</w:t>
          </w:r>
          <w:r>
            <w:rPr>
              <w:b w:val="0"/>
              <w:w w:val="103"/>
              <w:sz w:val="14"/>
            </w:rPr>
            <w:fldChar w:fldCharType="end"/>
          </w:r>
        </w:p>
      </w:tc>
    </w:tr>
  </w:tbl>
  <w:p w14:paraId="4A026075" w14:textId="77777777" w:rsidR="007A2E8D" w:rsidRPr="00874814" w:rsidRDefault="007A2E8D" w:rsidP="00874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2271" w14:textId="77777777" w:rsidR="007A2E8D" w:rsidRDefault="007A2E8D">
    <w:pPr>
      <w:pStyle w:val="Footer"/>
    </w:pPr>
    <w:r>
      <w:rPr>
        <w:noProof/>
      </w:rPr>
      <w:drawing>
        <wp:anchor distT="0" distB="0" distL="114300" distR="114300" simplePos="0" relativeHeight="251658240" behindDoc="0" locked="0" layoutInCell="1" allowOverlap="1" wp14:anchorId="5385E4D3" wp14:editId="52A861B2">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CEDAW/C/73/D/87/201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73/D/87/201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7A2E8D" w14:paraId="53D696FE" w14:textId="77777777" w:rsidTr="00874814">
      <w:tc>
        <w:tcPr>
          <w:tcW w:w="3758" w:type="dxa"/>
        </w:tcPr>
        <w:p w14:paraId="7357042B" w14:textId="1E248BC2" w:rsidR="007A2E8D" w:rsidRDefault="007A2E8D" w:rsidP="0087481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70DC4">
            <w:rPr>
              <w:b w:val="0"/>
              <w:sz w:val="20"/>
            </w:rPr>
            <w:t>19-15431 (F)</w:t>
          </w:r>
          <w:r>
            <w:rPr>
              <w:b w:val="0"/>
              <w:sz w:val="20"/>
            </w:rPr>
            <w:fldChar w:fldCharType="end"/>
          </w:r>
          <w:r>
            <w:rPr>
              <w:b w:val="0"/>
              <w:sz w:val="20"/>
            </w:rPr>
            <w:t xml:space="preserve">    300919    031019</w:t>
          </w:r>
        </w:p>
        <w:p w14:paraId="6C47CB85" w14:textId="08DA8012" w:rsidR="007A2E8D" w:rsidRPr="00874814" w:rsidRDefault="007A2E8D" w:rsidP="0087481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70DC4">
            <w:rPr>
              <w:rFonts w:ascii="Barcode 3 of 9 by request" w:hAnsi="Barcode 3 of 9 by request"/>
              <w:spacing w:val="0"/>
              <w:w w:val="100"/>
              <w:sz w:val="24"/>
            </w:rPr>
            <w:t>*1915431*</w:t>
          </w:r>
          <w:r>
            <w:rPr>
              <w:rFonts w:ascii="Barcode 3 of 9 by request" w:hAnsi="Barcode 3 of 9 by request"/>
              <w:spacing w:val="0"/>
              <w:w w:val="100"/>
              <w:sz w:val="24"/>
            </w:rPr>
            <w:fldChar w:fldCharType="end"/>
          </w:r>
        </w:p>
      </w:tc>
      <w:tc>
        <w:tcPr>
          <w:tcW w:w="4920" w:type="dxa"/>
        </w:tcPr>
        <w:p w14:paraId="1957AEB8" w14:textId="77777777" w:rsidR="007A2E8D" w:rsidRDefault="007A2E8D" w:rsidP="00874814">
          <w:pPr>
            <w:pStyle w:val="Footer"/>
            <w:spacing w:line="240" w:lineRule="atLeast"/>
            <w:jc w:val="right"/>
            <w:rPr>
              <w:b w:val="0"/>
              <w:sz w:val="20"/>
            </w:rPr>
          </w:pPr>
          <w:r>
            <w:rPr>
              <w:b w:val="0"/>
              <w:noProof/>
              <w:sz w:val="20"/>
            </w:rPr>
            <w:drawing>
              <wp:inline distT="0" distB="0" distL="0" distR="0" wp14:anchorId="20B8CAD9" wp14:editId="6C4AB0D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6A6B796B" w14:textId="77777777" w:rsidR="007A2E8D" w:rsidRPr="00874814" w:rsidRDefault="007A2E8D" w:rsidP="0087481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824B8" w14:textId="78DE34BD" w:rsidR="007A2E8D" w:rsidRPr="003E7E4D" w:rsidRDefault="007A2E8D" w:rsidP="003E7E4D">
      <w:pPr>
        <w:pStyle w:val="Footer"/>
        <w:spacing w:after="80"/>
        <w:ind w:left="792"/>
        <w:rPr>
          <w:sz w:val="16"/>
        </w:rPr>
      </w:pPr>
      <w:r w:rsidRPr="003E7E4D">
        <w:rPr>
          <w:sz w:val="16"/>
        </w:rPr>
        <w:t>__________________</w:t>
      </w:r>
    </w:p>
  </w:footnote>
  <w:footnote w:type="continuationSeparator" w:id="0">
    <w:p w14:paraId="107E727E" w14:textId="5B0F2468" w:rsidR="007A2E8D" w:rsidRPr="003E7E4D" w:rsidRDefault="007A2E8D" w:rsidP="003E7E4D">
      <w:pPr>
        <w:pStyle w:val="Footer"/>
        <w:spacing w:after="80"/>
        <w:ind w:left="792"/>
        <w:rPr>
          <w:sz w:val="16"/>
        </w:rPr>
      </w:pPr>
      <w:r w:rsidRPr="003E7E4D">
        <w:rPr>
          <w:sz w:val="16"/>
        </w:rPr>
        <w:t>__________________</w:t>
      </w:r>
    </w:p>
  </w:footnote>
  <w:footnote w:id="1">
    <w:p w14:paraId="6E08BA76" w14:textId="3D74DDEF" w:rsidR="007A2E8D" w:rsidRPr="003E7E4D" w:rsidRDefault="007A2E8D" w:rsidP="003E7E4D">
      <w:pPr>
        <w:pStyle w:val="FootnoteText"/>
        <w:tabs>
          <w:tab w:val="right" w:pos="1195"/>
          <w:tab w:val="left" w:pos="1267"/>
          <w:tab w:val="left" w:pos="1742"/>
          <w:tab w:val="left" w:pos="2218"/>
          <w:tab w:val="left" w:pos="2693"/>
        </w:tabs>
        <w:ind w:left="1267" w:right="1260" w:hanging="576"/>
        <w:rPr>
          <w:lang w:val="fr-FR"/>
        </w:rPr>
      </w:pPr>
      <w:r>
        <w:rPr>
          <w:vertAlign w:val="superscript"/>
          <w:lang w:val="fr-FR"/>
        </w:rPr>
        <w:tab/>
      </w:r>
      <w:r w:rsidRPr="003E7E4D">
        <w:rPr>
          <w:lang w:val="fr-FR"/>
        </w:rPr>
        <w:t>*</w:t>
      </w:r>
      <w:r w:rsidRPr="003E7E4D">
        <w:rPr>
          <w:lang w:val="fr-FR"/>
        </w:rPr>
        <w:tab/>
        <w:t>Adoptées par le Comité à sa soixante-treizième session (</w:t>
      </w:r>
      <w:r w:rsidRPr="00A135AC">
        <w:rPr>
          <w:lang w:val="fr-FR"/>
        </w:rPr>
        <w:t>1</w:t>
      </w:r>
      <w:r w:rsidRPr="003E7E4D">
        <w:rPr>
          <w:vertAlign w:val="superscript"/>
          <w:lang w:val="fr-FR"/>
        </w:rPr>
        <w:t>er</w:t>
      </w:r>
      <w:r w:rsidRPr="003E7E4D">
        <w:rPr>
          <w:lang w:val="fr-FR"/>
        </w:rPr>
        <w:t xml:space="preserve"> au </w:t>
      </w:r>
      <w:r w:rsidRPr="00A135AC">
        <w:rPr>
          <w:lang w:val="fr-FR"/>
        </w:rPr>
        <w:t>19</w:t>
      </w:r>
      <w:r w:rsidRPr="003E7E4D">
        <w:rPr>
          <w:lang w:val="fr-FR"/>
        </w:rPr>
        <w:t xml:space="preserve"> juillet </w:t>
      </w:r>
      <w:r w:rsidRPr="00A135AC">
        <w:rPr>
          <w:lang w:val="fr-FR"/>
        </w:rPr>
        <w:t>2019</w:t>
      </w:r>
      <w:r w:rsidRPr="003E7E4D">
        <w:rPr>
          <w:lang w:val="fr-FR"/>
        </w:rPr>
        <w:t>).</w:t>
      </w:r>
    </w:p>
  </w:footnote>
  <w:footnote w:id="2">
    <w:p w14:paraId="5FE63993" w14:textId="7F53E6CF" w:rsidR="007A2E8D" w:rsidRPr="00E348A7" w:rsidRDefault="007A2E8D" w:rsidP="003E7E4D">
      <w:pPr>
        <w:pStyle w:val="FootnoteText"/>
        <w:tabs>
          <w:tab w:val="right" w:pos="1195"/>
          <w:tab w:val="left" w:pos="1267"/>
          <w:tab w:val="left" w:pos="1742"/>
          <w:tab w:val="left" w:pos="2218"/>
          <w:tab w:val="left" w:pos="2693"/>
        </w:tabs>
        <w:ind w:left="1267" w:right="1260" w:hanging="576"/>
        <w:rPr>
          <w:lang w:val="fr-FR"/>
        </w:rPr>
      </w:pPr>
      <w:r>
        <w:rPr>
          <w:vertAlign w:val="superscript"/>
          <w:lang w:val="fr-FR"/>
        </w:rPr>
        <w:tab/>
      </w:r>
      <w:r w:rsidRPr="0073745A">
        <w:rPr>
          <w:lang w:val="fr-FR"/>
        </w:rPr>
        <w:t>*</w:t>
      </w:r>
      <w:r w:rsidRPr="003E7E4D">
        <w:rPr>
          <w:lang w:val="fr-FR"/>
        </w:rPr>
        <w:t>*</w:t>
      </w:r>
      <w:r w:rsidRPr="003E7E4D">
        <w:rPr>
          <w:lang w:val="fr-FR"/>
        </w:rPr>
        <w:tab/>
        <w:t>Les membres du Comité ci-après ont participé à l</w:t>
      </w:r>
      <w:r>
        <w:rPr>
          <w:lang w:val="fr-FR"/>
        </w:rPr>
        <w:t>’</w:t>
      </w:r>
      <w:r w:rsidRPr="003E7E4D">
        <w:rPr>
          <w:lang w:val="fr-FR"/>
        </w:rPr>
        <w:t>examen de la communication</w:t>
      </w:r>
      <w:r>
        <w:rPr>
          <w:lang w:val="fr-FR"/>
        </w:rPr>
        <w:t> :</w:t>
      </w:r>
      <w:r w:rsidRPr="003E7E4D">
        <w:rPr>
          <w:lang w:val="fr-FR"/>
        </w:rPr>
        <w:t xml:space="preserve"> Gladys Acosta Vargas, Hiroko Akizuki, Tamader Al-Rammah, Nicole Ameline, Gunnar Bergby, Marion Bethel, Louiza Chalal, Esther Eghobamien-Mshelia, Naéla Mohamed Gabr, Hilary Gbedemah, Nahla Haidar, Dalia Leinarte, Rosario G. Manalo, Lia Nadaraia, Aruna Devi Narain, Ana Peláez Narváez, Rhoda Reddock, Elgun Safarov, Franceline Toé-Bouda et Aicha Vall Verges.</w:t>
      </w:r>
    </w:p>
  </w:footnote>
  <w:footnote w:id="3">
    <w:p w14:paraId="729770CF" w14:textId="59E0DD5D" w:rsidR="007A2E8D" w:rsidRPr="00E348A7" w:rsidRDefault="007A2E8D" w:rsidP="003E7E4D">
      <w:pPr>
        <w:pStyle w:val="FootnoteText"/>
        <w:tabs>
          <w:tab w:val="right" w:pos="1195"/>
          <w:tab w:val="left" w:pos="1267"/>
          <w:tab w:val="left" w:pos="1742"/>
          <w:tab w:val="left" w:pos="2218"/>
          <w:tab w:val="left" w:pos="2693"/>
        </w:tabs>
        <w:ind w:left="1267" w:right="1260" w:hanging="576"/>
        <w:rPr>
          <w:lang w:val="fr-FR"/>
        </w:rPr>
      </w:pPr>
      <w:r>
        <w:rPr>
          <w:vertAlign w:val="superscript"/>
          <w:lang w:val="fr-FR"/>
        </w:rPr>
        <w:tab/>
      </w:r>
      <w:r w:rsidRPr="0073745A">
        <w:rPr>
          <w:lang w:val="fr-FR"/>
        </w:rPr>
        <w:t>**</w:t>
      </w:r>
      <w:r w:rsidRPr="003E7E4D">
        <w:rPr>
          <w:lang w:val="fr-FR"/>
        </w:rPr>
        <w:t>*</w:t>
      </w:r>
      <w:r w:rsidRPr="003E7E4D">
        <w:rPr>
          <w:lang w:val="fr-FR"/>
        </w:rPr>
        <w:tab/>
        <w:t>Conformément à l</w:t>
      </w:r>
      <w:r>
        <w:rPr>
          <w:lang w:val="fr-FR"/>
        </w:rPr>
        <w:t>’</w:t>
      </w:r>
      <w:r w:rsidRPr="003E7E4D">
        <w:rPr>
          <w:lang w:val="fr-FR"/>
        </w:rPr>
        <w:t xml:space="preserve">article </w:t>
      </w:r>
      <w:r w:rsidRPr="00A135AC">
        <w:rPr>
          <w:lang w:val="fr-FR"/>
        </w:rPr>
        <w:t>61</w:t>
      </w:r>
      <w:r w:rsidRPr="003E7E4D">
        <w:rPr>
          <w:lang w:val="fr-FR"/>
        </w:rPr>
        <w:t xml:space="preserve"> du Règlement intérieur du Comité, Genoveva Tisheva n</w:t>
      </w:r>
      <w:r>
        <w:rPr>
          <w:lang w:val="fr-FR"/>
        </w:rPr>
        <w:t>’</w:t>
      </w:r>
      <w:r w:rsidRPr="003E7E4D">
        <w:rPr>
          <w:lang w:val="fr-FR"/>
        </w:rPr>
        <w:t>a pas participé à l</w:t>
      </w:r>
      <w:r>
        <w:rPr>
          <w:lang w:val="fr-FR"/>
        </w:rPr>
        <w:t>’</w:t>
      </w:r>
      <w:r w:rsidRPr="003E7E4D">
        <w:rPr>
          <w:lang w:val="fr-FR"/>
        </w:rPr>
        <w:t>examen de cette communication.</w:t>
      </w:r>
    </w:p>
  </w:footnote>
  <w:footnote w:id="4">
    <w:p w14:paraId="2C4265B4" w14:textId="6C6D9D5D" w:rsidR="007A2E8D" w:rsidRPr="003E7E4D" w:rsidRDefault="007A2E8D" w:rsidP="0049593B">
      <w:pPr>
        <w:pStyle w:val="FootnoteText"/>
        <w:tabs>
          <w:tab w:val="right" w:pos="1195"/>
          <w:tab w:val="left" w:pos="1267"/>
          <w:tab w:val="left" w:pos="1742"/>
          <w:tab w:val="left" w:pos="2218"/>
          <w:tab w:val="left" w:pos="2693"/>
        </w:tabs>
        <w:ind w:left="1267" w:right="1260" w:hanging="576"/>
        <w:rPr>
          <w:lang w:val="fr-FR"/>
        </w:rPr>
      </w:pPr>
      <w:r>
        <w:rPr>
          <w:lang w:val="fr-FR"/>
        </w:rPr>
        <w:tab/>
      </w:r>
      <w:r w:rsidRPr="00A135AC">
        <w:rPr>
          <w:rStyle w:val="FootnoteReference"/>
          <w:spacing w:val="4"/>
        </w:rPr>
        <w:footnoteRef/>
      </w:r>
      <w:r w:rsidRPr="003E7E4D">
        <w:rPr>
          <w:lang w:val="fr-FR"/>
        </w:rPr>
        <w:tab/>
        <w:t>L</w:t>
      </w:r>
      <w:r>
        <w:rPr>
          <w:lang w:val="fr-FR"/>
        </w:rPr>
        <w:t>’</w:t>
      </w:r>
      <w:r w:rsidRPr="003E7E4D">
        <w:rPr>
          <w:lang w:val="fr-FR"/>
        </w:rPr>
        <w:t>auteure explique que l</w:t>
      </w:r>
      <w:r>
        <w:rPr>
          <w:lang w:val="fr-FR"/>
        </w:rPr>
        <w:t>’</w:t>
      </w:r>
      <w:r w:rsidRPr="003E7E4D">
        <w:rPr>
          <w:lang w:val="fr-FR"/>
        </w:rPr>
        <w:t>ambassade a précisé, sur ce point, que son personnel ne disposait pas d</w:t>
      </w:r>
      <w:r>
        <w:rPr>
          <w:lang w:val="fr-FR"/>
        </w:rPr>
        <w:t>’</w:t>
      </w:r>
      <w:r w:rsidRPr="003E7E4D">
        <w:rPr>
          <w:lang w:val="fr-FR"/>
        </w:rPr>
        <w:t>avocat.</w:t>
      </w:r>
    </w:p>
  </w:footnote>
  <w:footnote w:id="5">
    <w:p w14:paraId="0A448655" w14:textId="443AF072" w:rsidR="007A2E8D" w:rsidRPr="003E7E4D" w:rsidRDefault="007A2E8D" w:rsidP="0049593B">
      <w:pPr>
        <w:pStyle w:val="FootnoteText"/>
        <w:tabs>
          <w:tab w:val="right" w:pos="1195"/>
          <w:tab w:val="left" w:pos="1267"/>
          <w:tab w:val="left" w:pos="1742"/>
          <w:tab w:val="left" w:pos="2218"/>
          <w:tab w:val="left" w:pos="2693"/>
        </w:tabs>
        <w:ind w:left="1267" w:right="1260" w:hanging="576"/>
        <w:rPr>
          <w:lang w:val="fr-FR"/>
        </w:rPr>
      </w:pPr>
      <w:r>
        <w:rPr>
          <w:lang w:val="fr-FR"/>
        </w:rPr>
        <w:tab/>
      </w:r>
      <w:r w:rsidRPr="00A135AC">
        <w:rPr>
          <w:rStyle w:val="FootnoteReference"/>
          <w:spacing w:val="4"/>
        </w:rPr>
        <w:footnoteRef/>
      </w:r>
      <w:r w:rsidRPr="003E7E4D">
        <w:rPr>
          <w:lang w:val="fr-FR"/>
        </w:rPr>
        <w:tab/>
        <w:t>Aucune autre précision n</w:t>
      </w:r>
      <w:r>
        <w:rPr>
          <w:lang w:val="fr-FR"/>
        </w:rPr>
        <w:t>’</w:t>
      </w:r>
      <w:r w:rsidRPr="003E7E4D">
        <w:rPr>
          <w:lang w:val="fr-FR"/>
        </w:rPr>
        <w:t>est apportée.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A2E8D" w14:paraId="32615334" w14:textId="77777777" w:rsidTr="00874814">
      <w:trPr>
        <w:trHeight w:hRule="exact" w:val="864"/>
      </w:trPr>
      <w:tc>
        <w:tcPr>
          <w:tcW w:w="4920" w:type="dxa"/>
          <w:shd w:val="clear" w:color="auto" w:fill="auto"/>
          <w:vAlign w:val="bottom"/>
        </w:tcPr>
        <w:p w14:paraId="57202E27" w14:textId="423107FC" w:rsidR="007A2E8D" w:rsidRPr="00874814" w:rsidRDefault="007A2E8D" w:rsidP="0087481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0DC4">
            <w:rPr>
              <w:b/>
              <w:color w:val="000000"/>
            </w:rPr>
            <w:t>CEDAW/C/73/D/87/2015</w:t>
          </w:r>
          <w:r>
            <w:rPr>
              <w:b/>
              <w:color w:val="000000"/>
            </w:rPr>
            <w:fldChar w:fldCharType="end"/>
          </w:r>
        </w:p>
      </w:tc>
      <w:tc>
        <w:tcPr>
          <w:tcW w:w="4920" w:type="dxa"/>
          <w:shd w:val="clear" w:color="auto" w:fill="auto"/>
          <w:vAlign w:val="bottom"/>
        </w:tcPr>
        <w:p w14:paraId="08976098" w14:textId="77777777" w:rsidR="007A2E8D" w:rsidRDefault="007A2E8D" w:rsidP="00874814">
          <w:pPr>
            <w:pStyle w:val="Header"/>
          </w:pPr>
        </w:p>
      </w:tc>
    </w:tr>
  </w:tbl>
  <w:p w14:paraId="5AC1BD44" w14:textId="77777777" w:rsidR="007A2E8D" w:rsidRPr="00874814" w:rsidRDefault="007A2E8D" w:rsidP="0087481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7A2E8D" w14:paraId="0F218127" w14:textId="77777777" w:rsidTr="00874814">
      <w:trPr>
        <w:trHeight w:hRule="exact" w:val="864"/>
      </w:trPr>
      <w:tc>
        <w:tcPr>
          <w:tcW w:w="4920" w:type="dxa"/>
          <w:shd w:val="clear" w:color="auto" w:fill="auto"/>
          <w:vAlign w:val="bottom"/>
        </w:tcPr>
        <w:p w14:paraId="2FD5BCCD" w14:textId="77777777" w:rsidR="007A2E8D" w:rsidRDefault="007A2E8D" w:rsidP="00874814">
          <w:pPr>
            <w:pStyle w:val="Header"/>
          </w:pPr>
        </w:p>
      </w:tc>
      <w:tc>
        <w:tcPr>
          <w:tcW w:w="4920" w:type="dxa"/>
          <w:shd w:val="clear" w:color="auto" w:fill="auto"/>
          <w:vAlign w:val="bottom"/>
        </w:tcPr>
        <w:p w14:paraId="35B8D71F" w14:textId="6267FBCB" w:rsidR="007A2E8D" w:rsidRPr="00874814" w:rsidRDefault="007A2E8D" w:rsidP="0087481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0DC4">
            <w:rPr>
              <w:b/>
              <w:color w:val="000000"/>
            </w:rPr>
            <w:t>CEDAW/C/73/D/87/2015</w:t>
          </w:r>
          <w:r>
            <w:rPr>
              <w:b/>
              <w:color w:val="000000"/>
            </w:rPr>
            <w:fldChar w:fldCharType="end"/>
          </w:r>
        </w:p>
      </w:tc>
    </w:tr>
  </w:tbl>
  <w:p w14:paraId="13647430" w14:textId="77777777" w:rsidR="007A2E8D" w:rsidRPr="00874814" w:rsidRDefault="007A2E8D" w:rsidP="0087481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7A2E8D" w14:paraId="71E06018" w14:textId="77777777" w:rsidTr="00874814">
      <w:trPr>
        <w:trHeight w:hRule="exact" w:val="864"/>
      </w:trPr>
      <w:tc>
        <w:tcPr>
          <w:tcW w:w="1267" w:type="dxa"/>
          <w:tcBorders>
            <w:bottom w:val="single" w:sz="4" w:space="0" w:color="auto"/>
          </w:tcBorders>
          <w:shd w:val="clear" w:color="auto" w:fill="auto"/>
          <w:vAlign w:val="bottom"/>
        </w:tcPr>
        <w:p w14:paraId="76080925" w14:textId="77777777" w:rsidR="007A2E8D" w:rsidRDefault="007A2E8D" w:rsidP="00874814">
          <w:pPr>
            <w:pStyle w:val="Header"/>
            <w:spacing w:after="120"/>
          </w:pPr>
        </w:p>
      </w:tc>
      <w:tc>
        <w:tcPr>
          <w:tcW w:w="2059" w:type="dxa"/>
          <w:tcBorders>
            <w:bottom w:val="single" w:sz="4" w:space="0" w:color="auto"/>
          </w:tcBorders>
          <w:shd w:val="clear" w:color="auto" w:fill="auto"/>
          <w:vAlign w:val="bottom"/>
        </w:tcPr>
        <w:p w14:paraId="2D53C255" w14:textId="77777777" w:rsidR="007A2E8D" w:rsidRPr="00874814" w:rsidRDefault="007A2E8D" w:rsidP="0087481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01531452" w14:textId="77777777" w:rsidR="007A2E8D" w:rsidRDefault="007A2E8D" w:rsidP="00874814">
          <w:pPr>
            <w:pStyle w:val="Header"/>
            <w:spacing w:after="120"/>
          </w:pPr>
        </w:p>
      </w:tc>
      <w:tc>
        <w:tcPr>
          <w:tcW w:w="6466" w:type="dxa"/>
          <w:gridSpan w:val="3"/>
          <w:tcBorders>
            <w:bottom w:val="single" w:sz="4" w:space="0" w:color="auto"/>
          </w:tcBorders>
          <w:shd w:val="clear" w:color="auto" w:fill="auto"/>
          <w:vAlign w:val="bottom"/>
        </w:tcPr>
        <w:p w14:paraId="6B3F2E4E" w14:textId="77777777" w:rsidR="007A2E8D" w:rsidRPr="00874814" w:rsidRDefault="007A2E8D" w:rsidP="00874814">
          <w:pPr>
            <w:spacing w:after="80" w:line="240" w:lineRule="auto"/>
            <w:jc w:val="right"/>
            <w:rPr>
              <w:position w:val="-4"/>
            </w:rPr>
          </w:pPr>
          <w:r>
            <w:rPr>
              <w:position w:val="-4"/>
              <w:sz w:val="40"/>
            </w:rPr>
            <w:t>CEDAW</w:t>
          </w:r>
          <w:r>
            <w:rPr>
              <w:position w:val="-4"/>
            </w:rPr>
            <w:t>/C/73/D/87/2015</w:t>
          </w:r>
        </w:p>
      </w:tc>
    </w:tr>
    <w:tr w:rsidR="007A2E8D" w:rsidRPr="00874814" w14:paraId="7D06F1D5" w14:textId="77777777" w:rsidTr="00874814">
      <w:trPr>
        <w:trHeight w:hRule="exact" w:val="2880"/>
      </w:trPr>
      <w:tc>
        <w:tcPr>
          <w:tcW w:w="1267" w:type="dxa"/>
          <w:tcBorders>
            <w:top w:val="single" w:sz="4" w:space="0" w:color="auto"/>
            <w:bottom w:val="single" w:sz="12" w:space="0" w:color="auto"/>
          </w:tcBorders>
          <w:shd w:val="clear" w:color="auto" w:fill="auto"/>
        </w:tcPr>
        <w:p w14:paraId="47D3648A" w14:textId="77777777" w:rsidR="007A2E8D" w:rsidRPr="00874814" w:rsidRDefault="007A2E8D" w:rsidP="00874814">
          <w:pPr>
            <w:pStyle w:val="Header"/>
            <w:spacing w:before="120" w:line="240" w:lineRule="auto"/>
            <w:ind w:left="-72"/>
            <w:jc w:val="center"/>
          </w:pPr>
          <w:r>
            <w:t xml:space="preserve">  </w:t>
          </w:r>
          <w:r>
            <w:rPr>
              <w:noProof/>
            </w:rPr>
            <w:drawing>
              <wp:inline distT="0" distB="0" distL="0" distR="0" wp14:anchorId="73E89E26" wp14:editId="3E07FD1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3C4EAA9" w14:textId="796A878E" w:rsidR="007A2E8D" w:rsidRPr="00874814" w:rsidRDefault="007A2E8D" w:rsidP="00874814">
          <w:pPr>
            <w:pStyle w:val="XLarge"/>
            <w:spacing w:before="120" w:line="360" w:lineRule="exact"/>
            <w:rPr>
              <w:sz w:val="36"/>
            </w:rPr>
          </w:pPr>
          <w:r>
            <w:rPr>
              <w:sz w:val="36"/>
            </w:rPr>
            <w:t>Convention sur l’élimination</w:t>
          </w:r>
          <w:r>
            <w:rPr>
              <w:sz w:val="36"/>
            </w:rPr>
            <w:br/>
            <w:t>de toutes les formes</w:t>
          </w:r>
          <w:r>
            <w:rPr>
              <w:sz w:val="36"/>
            </w:rPr>
            <w:br/>
            <w:t>de discrimination à l’égard</w:t>
          </w:r>
          <w:r>
            <w:rPr>
              <w:sz w:val="36"/>
            </w:rPr>
            <w:br/>
            <w:t xml:space="preserve">des femmes </w:t>
          </w:r>
        </w:p>
      </w:tc>
      <w:tc>
        <w:tcPr>
          <w:tcW w:w="245" w:type="dxa"/>
          <w:tcBorders>
            <w:top w:val="single" w:sz="4" w:space="0" w:color="auto"/>
            <w:bottom w:val="single" w:sz="12" w:space="0" w:color="auto"/>
          </w:tcBorders>
          <w:shd w:val="clear" w:color="auto" w:fill="auto"/>
        </w:tcPr>
        <w:p w14:paraId="046B17C9" w14:textId="77777777" w:rsidR="007A2E8D" w:rsidRPr="00157BF8" w:rsidRDefault="007A2E8D" w:rsidP="00874814">
          <w:pPr>
            <w:pStyle w:val="Header"/>
            <w:spacing w:before="109"/>
            <w:rPr>
              <w:lang w:val="fr-FR"/>
            </w:rPr>
          </w:pPr>
        </w:p>
      </w:tc>
      <w:tc>
        <w:tcPr>
          <w:tcW w:w="3110" w:type="dxa"/>
          <w:tcBorders>
            <w:top w:val="single" w:sz="4" w:space="0" w:color="auto"/>
            <w:bottom w:val="single" w:sz="12" w:space="0" w:color="auto"/>
          </w:tcBorders>
          <w:shd w:val="clear" w:color="auto" w:fill="auto"/>
        </w:tcPr>
        <w:p w14:paraId="1B7C2AF3" w14:textId="77777777" w:rsidR="007A2E8D" w:rsidRPr="00157BF8" w:rsidRDefault="007A2E8D" w:rsidP="00874814">
          <w:pPr>
            <w:pStyle w:val="Distribution"/>
            <w:rPr>
              <w:color w:val="000000"/>
              <w:lang w:val="fr-FR"/>
            </w:rPr>
          </w:pPr>
          <w:r w:rsidRPr="00157BF8">
            <w:rPr>
              <w:color w:val="000000"/>
              <w:lang w:val="fr-FR"/>
            </w:rPr>
            <w:t>Distr. générale</w:t>
          </w:r>
        </w:p>
        <w:p w14:paraId="05887736" w14:textId="4A44408A" w:rsidR="007A2E8D" w:rsidRPr="00157BF8" w:rsidRDefault="0064493D" w:rsidP="00874814">
          <w:pPr>
            <w:pStyle w:val="Publication"/>
            <w:rPr>
              <w:color w:val="000000"/>
              <w:lang w:val="fr-FR"/>
            </w:rPr>
          </w:pPr>
          <w:r w:rsidRPr="00157BF8">
            <w:rPr>
              <w:color w:val="000000"/>
              <w:lang w:val="fr-FR"/>
            </w:rPr>
            <w:t>10</w:t>
          </w:r>
          <w:r>
            <w:rPr>
              <w:color w:val="000000"/>
              <w:lang w:val="fr-FR"/>
            </w:rPr>
            <w:t> </w:t>
          </w:r>
          <w:r w:rsidR="007A2E8D" w:rsidRPr="00157BF8">
            <w:rPr>
              <w:color w:val="000000"/>
              <w:lang w:val="fr-FR"/>
            </w:rPr>
            <w:t>septembre 2019</w:t>
          </w:r>
        </w:p>
        <w:p w14:paraId="5F51F84E" w14:textId="77777777" w:rsidR="007A2E8D" w:rsidRPr="00157BF8" w:rsidRDefault="007A2E8D" w:rsidP="00874814">
          <w:pPr>
            <w:rPr>
              <w:lang w:val="fr-FR"/>
            </w:rPr>
          </w:pPr>
          <w:r w:rsidRPr="00157BF8">
            <w:rPr>
              <w:lang w:val="fr-FR"/>
            </w:rPr>
            <w:t>Français</w:t>
          </w:r>
        </w:p>
        <w:p w14:paraId="66AFB02F" w14:textId="5CCBFFA2" w:rsidR="007A2E8D" w:rsidRPr="00157BF8" w:rsidRDefault="007A2E8D" w:rsidP="00874814">
          <w:pPr>
            <w:pStyle w:val="Original"/>
            <w:rPr>
              <w:color w:val="000000"/>
              <w:lang w:val="fr-FR"/>
            </w:rPr>
          </w:pPr>
          <w:r w:rsidRPr="00157BF8">
            <w:rPr>
              <w:color w:val="000000"/>
              <w:lang w:val="fr-FR"/>
            </w:rPr>
            <w:t>Original</w:t>
          </w:r>
          <w:r w:rsidR="0064493D">
            <w:rPr>
              <w:b/>
              <w:color w:val="000000"/>
              <w:lang w:val="fr-FR"/>
            </w:rPr>
            <w:t> </w:t>
          </w:r>
          <w:r>
            <w:rPr>
              <w:color w:val="000000"/>
              <w:lang w:val="fr-FR"/>
            </w:rPr>
            <w:t>:</w:t>
          </w:r>
          <w:r w:rsidRPr="00157BF8">
            <w:rPr>
              <w:color w:val="000000"/>
              <w:lang w:val="fr-FR"/>
            </w:rPr>
            <w:t xml:space="preserve"> anglais</w:t>
          </w:r>
        </w:p>
      </w:tc>
    </w:tr>
  </w:tbl>
  <w:p w14:paraId="0E7874C3" w14:textId="77777777" w:rsidR="007A2E8D" w:rsidRPr="00157BF8" w:rsidRDefault="007A2E8D" w:rsidP="0087481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FB0"/>
    <w:multiLevelType w:val="singleLevel"/>
    <w:tmpl w:val="6D3ABFDC"/>
    <w:lvl w:ilvl="0">
      <w:start w:val="1"/>
      <w:numFmt w:val="decimal"/>
      <w:lvlRestart w:val="0"/>
      <w:lvlText w:val="6.%1"/>
      <w:lvlJc w:val="left"/>
      <w:pPr>
        <w:tabs>
          <w:tab w:val="num" w:pos="1742"/>
        </w:tabs>
        <w:ind w:left="1267" w:firstLine="0"/>
      </w:pPr>
      <w:rPr>
        <w:w w:val="100"/>
      </w:rPr>
    </w:lvl>
  </w:abstractNum>
  <w:abstractNum w:abstractNumId="1" w15:restartNumberingAfterBreak="0">
    <w:nsid w:val="04015290"/>
    <w:multiLevelType w:val="hybridMultilevel"/>
    <w:tmpl w:val="39DC319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964B0"/>
    <w:multiLevelType w:val="singleLevel"/>
    <w:tmpl w:val="F91E7DA8"/>
    <w:lvl w:ilvl="0">
      <w:start w:val="1"/>
      <w:numFmt w:val="decimal"/>
      <w:lvlRestart w:val="0"/>
      <w:lvlText w:val="8.%1"/>
      <w:lvlJc w:val="left"/>
      <w:pPr>
        <w:tabs>
          <w:tab w:val="num" w:pos="1742"/>
        </w:tabs>
        <w:ind w:left="1267" w:firstLine="0"/>
      </w:pPr>
      <w:rPr>
        <w:w w:val="100"/>
      </w:rPr>
    </w:lvl>
  </w:abstractNum>
  <w:abstractNum w:abstractNumId="5" w15:restartNumberingAfterBreak="0">
    <w:nsid w:val="20330AD0"/>
    <w:multiLevelType w:val="hybridMultilevel"/>
    <w:tmpl w:val="B13E15D6"/>
    <w:lvl w:ilvl="0" w:tplc="7E46B9FA">
      <w:start w:val="1"/>
      <w:numFmt w:val="bullet"/>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2264219B"/>
    <w:multiLevelType w:val="singleLevel"/>
    <w:tmpl w:val="37F4F10E"/>
    <w:lvl w:ilvl="0">
      <w:start w:val="1"/>
      <w:numFmt w:val="decimal"/>
      <w:lvlRestart w:val="0"/>
      <w:lvlText w:val="9.%1"/>
      <w:lvlJc w:val="left"/>
      <w:pPr>
        <w:tabs>
          <w:tab w:val="num" w:pos="1742"/>
        </w:tabs>
        <w:ind w:left="1267" w:firstLine="0"/>
      </w:pPr>
      <w:rPr>
        <w:w w:val="100"/>
      </w:rPr>
    </w:lvl>
  </w:abstractNum>
  <w:abstractNum w:abstractNumId="7" w15:restartNumberingAfterBreak="0">
    <w:nsid w:val="3A3D065D"/>
    <w:multiLevelType w:val="singleLevel"/>
    <w:tmpl w:val="681432B4"/>
    <w:lvl w:ilvl="0">
      <w:start w:val="1"/>
      <w:numFmt w:val="decimal"/>
      <w:lvlRestart w:val="0"/>
      <w:lvlText w:val="2.%1"/>
      <w:lvlJc w:val="left"/>
      <w:pPr>
        <w:tabs>
          <w:tab w:val="num" w:pos="1742"/>
        </w:tabs>
        <w:ind w:left="1267" w:firstLine="0"/>
      </w:pPr>
      <w:rPr>
        <w:w w:val="100"/>
      </w:rPr>
    </w:lvl>
  </w:abstractNum>
  <w:abstractNum w:abstractNumId="8"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9" w15:restartNumberingAfterBreak="0">
    <w:nsid w:val="428537A0"/>
    <w:multiLevelType w:val="singleLevel"/>
    <w:tmpl w:val="CC6E44CA"/>
    <w:lvl w:ilvl="0">
      <w:start w:val="1"/>
      <w:numFmt w:val="decimal"/>
      <w:lvlRestart w:val="0"/>
      <w:lvlText w:val="7.%1"/>
      <w:lvlJc w:val="left"/>
      <w:pPr>
        <w:tabs>
          <w:tab w:val="num" w:pos="1742"/>
        </w:tabs>
        <w:ind w:left="1267" w:firstLine="0"/>
      </w:pPr>
      <w:rPr>
        <w:w w:val="100"/>
      </w:rPr>
    </w:lvl>
  </w:abstractNum>
  <w:abstractNum w:abstractNumId="10"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2"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3" w15:restartNumberingAfterBreak="0">
    <w:nsid w:val="55F44C78"/>
    <w:multiLevelType w:val="singleLevel"/>
    <w:tmpl w:val="411675D4"/>
    <w:lvl w:ilvl="0">
      <w:start w:val="1"/>
      <w:numFmt w:val="decimal"/>
      <w:lvlRestart w:val="0"/>
      <w:lvlText w:val="4.%1"/>
      <w:lvlJc w:val="left"/>
      <w:pPr>
        <w:tabs>
          <w:tab w:val="num" w:pos="1742"/>
        </w:tabs>
        <w:ind w:left="1267" w:firstLine="0"/>
      </w:pPr>
      <w:rPr>
        <w:w w:val="100"/>
      </w:rPr>
    </w:lvl>
  </w:abstractNum>
  <w:abstractNum w:abstractNumId="14" w15:restartNumberingAfterBreak="0">
    <w:nsid w:val="5894798F"/>
    <w:multiLevelType w:val="singleLevel"/>
    <w:tmpl w:val="5476864C"/>
    <w:lvl w:ilvl="0">
      <w:start w:val="10"/>
      <w:numFmt w:val="decimal"/>
      <w:lvlRestart w:val="0"/>
      <w:lvlText w:val="%1."/>
      <w:lvlJc w:val="left"/>
      <w:pPr>
        <w:tabs>
          <w:tab w:val="num" w:pos="1742"/>
        </w:tabs>
        <w:ind w:left="1267" w:firstLine="0"/>
      </w:pPr>
      <w:rPr>
        <w:w w:val="100"/>
      </w:rPr>
    </w:lvl>
  </w:abstractNum>
  <w:abstractNum w:abstractNumId="15" w15:restartNumberingAfterBreak="0">
    <w:nsid w:val="5A593EF0"/>
    <w:multiLevelType w:val="singleLevel"/>
    <w:tmpl w:val="3BA6DB04"/>
    <w:lvl w:ilvl="0">
      <w:start w:val="1"/>
      <w:numFmt w:val="decimal"/>
      <w:lvlRestart w:val="0"/>
      <w:lvlText w:val="3.%1"/>
      <w:lvlJc w:val="left"/>
      <w:pPr>
        <w:tabs>
          <w:tab w:val="num" w:pos="1742"/>
        </w:tabs>
        <w:ind w:left="1267" w:firstLine="0"/>
      </w:pPr>
      <w:rPr>
        <w:w w:val="100"/>
      </w:rPr>
    </w:lvl>
  </w:abstractNum>
  <w:abstractNum w:abstractNumId="16" w15:restartNumberingAfterBreak="0">
    <w:nsid w:val="61BE06A7"/>
    <w:multiLevelType w:val="hybridMultilevel"/>
    <w:tmpl w:val="547C8F5C"/>
    <w:lvl w:ilvl="0" w:tplc="D41A787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8" w15:restartNumberingAfterBreak="0">
    <w:nsid w:val="62257628"/>
    <w:multiLevelType w:val="singleLevel"/>
    <w:tmpl w:val="E3C81BC6"/>
    <w:lvl w:ilvl="0">
      <w:start w:val="1"/>
      <w:numFmt w:val="decimal"/>
      <w:lvlRestart w:val="0"/>
      <w:lvlText w:val="%1."/>
      <w:lvlJc w:val="left"/>
      <w:pPr>
        <w:tabs>
          <w:tab w:val="num" w:pos="475"/>
        </w:tabs>
        <w:ind w:left="0" w:firstLine="0"/>
      </w:pPr>
      <w:rPr>
        <w:w w:val="100"/>
      </w:rPr>
    </w:lvl>
  </w:abstractNum>
  <w:abstractNum w:abstractNumId="19"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15:restartNumberingAfterBreak="0">
    <w:nsid w:val="69953A23"/>
    <w:multiLevelType w:val="singleLevel"/>
    <w:tmpl w:val="51FA5172"/>
    <w:lvl w:ilvl="0">
      <w:start w:val="1"/>
      <w:numFmt w:val="decimal"/>
      <w:lvlRestart w:val="0"/>
      <w:lvlText w:val="5.%1"/>
      <w:lvlJc w:val="left"/>
      <w:pPr>
        <w:tabs>
          <w:tab w:val="num" w:pos="1742"/>
        </w:tabs>
        <w:ind w:left="1267" w:firstLine="0"/>
      </w:pPr>
      <w:rPr>
        <w:w w:val="100"/>
      </w:rPr>
    </w:lvl>
  </w:abstractNum>
  <w:num w:numId="1">
    <w:abstractNumId w:val="3"/>
  </w:num>
  <w:num w:numId="2">
    <w:abstractNumId w:val="10"/>
  </w:num>
  <w:num w:numId="3">
    <w:abstractNumId w:val="1"/>
  </w:num>
  <w:num w:numId="4">
    <w:abstractNumId w:val="2"/>
  </w:num>
  <w:num w:numId="5">
    <w:abstractNumId w:val="3"/>
  </w:num>
  <w:num w:numId="6">
    <w:abstractNumId w:val="10"/>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10"/>
  </w:num>
  <w:num w:numId="19">
    <w:abstractNumId w:val="1"/>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17"/>
  </w:num>
  <w:num w:numId="30">
    <w:abstractNumId w:val="5"/>
  </w:num>
  <w:num w:numId="31">
    <w:abstractNumId w:val="12"/>
  </w:num>
  <w:num w:numId="32">
    <w:abstractNumId w:val="11"/>
  </w:num>
  <w:num w:numId="33">
    <w:abstractNumId w:val="19"/>
  </w:num>
  <w:num w:numId="34">
    <w:abstractNumId w:val="8"/>
  </w:num>
  <w:num w:numId="35">
    <w:abstractNumId w:val="18"/>
  </w:num>
  <w:num w:numId="36">
    <w:abstractNumId w:val="16"/>
  </w:num>
  <w:num w:numId="37">
    <w:abstractNumId w:val="7"/>
  </w:num>
  <w:num w:numId="38">
    <w:abstractNumId w:val="15"/>
  </w:num>
  <w:num w:numId="39">
    <w:abstractNumId w:val="13"/>
  </w:num>
  <w:num w:numId="40">
    <w:abstractNumId w:val="20"/>
  </w:num>
  <w:num w:numId="41">
    <w:abstractNumId w:val="0"/>
  </w:num>
  <w:num w:numId="42">
    <w:abstractNumId w:val="9"/>
  </w:num>
  <w:num w:numId="43">
    <w:abstractNumId w:val="4"/>
  </w:num>
  <w:num w:numId="44">
    <w:abstractNumId w:val="6"/>
  </w:num>
  <w:num w:numId="4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31*"/>
    <w:docVar w:name="CreationDt" w:val="01/10/2019 11:59 AM"/>
    <w:docVar w:name="DocCategory" w:val="Doc"/>
    <w:docVar w:name="DocType" w:val="Final"/>
    <w:docVar w:name="DutyStation" w:val="New York"/>
    <w:docVar w:name="FooterJN" w:val="19-15431"/>
    <w:docVar w:name="jobn" w:val="19-15431 (F)"/>
    <w:docVar w:name="jobnDT" w:val="19-15431 (F)   011019"/>
    <w:docVar w:name="jobnDTDT" w:val="19-15431 (F)   011019   011019"/>
    <w:docVar w:name="JobNo" w:val="1915431F"/>
    <w:docVar w:name="JobNo2" w:val="1927426F"/>
    <w:docVar w:name="LocalDrive" w:val="0"/>
    <w:docVar w:name="OandT" w:val="LPE"/>
    <w:docVar w:name="sss1" w:val="CEDAW/C/73/D/87/2015"/>
    <w:docVar w:name="sss2" w:val="-"/>
    <w:docVar w:name="Symbol1" w:val="CEDAW/C/73/D/87/2015"/>
    <w:docVar w:name="Symbol2" w:val="-"/>
  </w:docVars>
  <w:rsids>
    <w:rsidRoot w:val="000871A8"/>
    <w:rsid w:val="00002584"/>
    <w:rsid w:val="00046EBD"/>
    <w:rsid w:val="0005372D"/>
    <w:rsid w:val="0006491F"/>
    <w:rsid w:val="00071D43"/>
    <w:rsid w:val="00082144"/>
    <w:rsid w:val="000871A8"/>
    <w:rsid w:val="000A1DDF"/>
    <w:rsid w:val="000A5F15"/>
    <w:rsid w:val="000C60DF"/>
    <w:rsid w:val="00101B18"/>
    <w:rsid w:val="00122A56"/>
    <w:rsid w:val="00134FEE"/>
    <w:rsid w:val="00146C6A"/>
    <w:rsid w:val="00154C3F"/>
    <w:rsid w:val="00157BF8"/>
    <w:rsid w:val="00166A0D"/>
    <w:rsid w:val="001708A5"/>
    <w:rsid w:val="0017144C"/>
    <w:rsid w:val="001725F9"/>
    <w:rsid w:val="00172CC2"/>
    <w:rsid w:val="0017639A"/>
    <w:rsid w:val="00176665"/>
    <w:rsid w:val="00183DA7"/>
    <w:rsid w:val="00184F54"/>
    <w:rsid w:val="001A6B09"/>
    <w:rsid w:val="001B7EA4"/>
    <w:rsid w:val="001C5955"/>
    <w:rsid w:val="001C5E6E"/>
    <w:rsid w:val="001D2D83"/>
    <w:rsid w:val="001D7FEA"/>
    <w:rsid w:val="001E4B50"/>
    <w:rsid w:val="001F1B53"/>
    <w:rsid w:val="00216817"/>
    <w:rsid w:val="00244BB0"/>
    <w:rsid w:val="00245107"/>
    <w:rsid w:val="00245FDC"/>
    <w:rsid w:val="002478A0"/>
    <w:rsid w:val="00250A4B"/>
    <w:rsid w:val="002821DF"/>
    <w:rsid w:val="00282BC1"/>
    <w:rsid w:val="002A5E20"/>
    <w:rsid w:val="002F682A"/>
    <w:rsid w:val="00302FF0"/>
    <w:rsid w:val="00304C98"/>
    <w:rsid w:val="0030765E"/>
    <w:rsid w:val="00312768"/>
    <w:rsid w:val="00315D51"/>
    <w:rsid w:val="00323869"/>
    <w:rsid w:val="00355540"/>
    <w:rsid w:val="00366D21"/>
    <w:rsid w:val="00392EB6"/>
    <w:rsid w:val="00393DDA"/>
    <w:rsid w:val="003A675A"/>
    <w:rsid w:val="003B1437"/>
    <w:rsid w:val="003E7E4D"/>
    <w:rsid w:val="003F61E1"/>
    <w:rsid w:val="00410BE8"/>
    <w:rsid w:val="0044061B"/>
    <w:rsid w:val="00440C93"/>
    <w:rsid w:val="00474D0A"/>
    <w:rsid w:val="0047558E"/>
    <w:rsid w:val="00480B84"/>
    <w:rsid w:val="0049593B"/>
    <w:rsid w:val="004B64F9"/>
    <w:rsid w:val="004C053F"/>
    <w:rsid w:val="004C1A25"/>
    <w:rsid w:val="004C3296"/>
    <w:rsid w:val="004D53E3"/>
    <w:rsid w:val="004F008A"/>
    <w:rsid w:val="005130D5"/>
    <w:rsid w:val="00513E2E"/>
    <w:rsid w:val="00515991"/>
    <w:rsid w:val="005225EC"/>
    <w:rsid w:val="00525097"/>
    <w:rsid w:val="00550154"/>
    <w:rsid w:val="005509B6"/>
    <w:rsid w:val="00575EA9"/>
    <w:rsid w:val="00577A36"/>
    <w:rsid w:val="00580CF2"/>
    <w:rsid w:val="005950F3"/>
    <w:rsid w:val="005A199B"/>
    <w:rsid w:val="005B398E"/>
    <w:rsid w:val="005C03A7"/>
    <w:rsid w:val="005C5330"/>
    <w:rsid w:val="005C67A4"/>
    <w:rsid w:val="005F1F5F"/>
    <w:rsid w:val="005F357F"/>
    <w:rsid w:val="005F4498"/>
    <w:rsid w:val="0060066E"/>
    <w:rsid w:val="00612FDE"/>
    <w:rsid w:val="00621FE7"/>
    <w:rsid w:val="00632C10"/>
    <w:rsid w:val="006401B9"/>
    <w:rsid w:val="00641E21"/>
    <w:rsid w:val="0064493D"/>
    <w:rsid w:val="00660DD5"/>
    <w:rsid w:val="00684ACF"/>
    <w:rsid w:val="00690698"/>
    <w:rsid w:val="006E4A4B"/>
    <w:rsid w:val="00703106"/>
    <w:rsid w:val="0071108F"/>
    <w:rsid w:val="007310F5"/>
    <w:rsid w:val="007341B9"/>
    <w:rsid w:val="00736DF0"/>
    <w:rsid w:val="0073745A"/>
    <w:rsid w:val="007459AE"/>
    <w:rsid w:val="007531A5"/>
    <w:rsid w:val="00760B8D"/>
    <w:rsid w:val="00771C9E"/>
    <w:rsid w:val="0078513B"/>
    <w:rsid w:val="00791980"/>
    <w:rsid w:val="007A2E8D"/>
    <w:rsid w:val="007D7E22"/>
    <w:rsid w:val="007F1194"/>
    <w:rsid w:val="007F40F0"/>
    <w:rsid w:val="00810E7F"/>
    <w:rsid w:val="00813D2A"/>
    <w:rsid w:val="0082045E"/>
    <w:rsid w:val="008222A3"/>
    <w:rsid w:val="00826ABC"/>
    <w:rsid w:val="00847AC9"/>
    <w:rsid w:val="0085506B"/>
    <w:rsid w:val="00857C5A"/>
    <w:rsid w:val="00873EC0"/>
    <w:rsid w:val="00874814"/>
    <w:rsid w:val="00874879"/>
    <w:rsid w:val="008827D3"/>
    <w:rsid w:val="00886CF2"/>
    <w:rsid w:val="008E3C5C"/>
    <w:rsid w:val="008F3462"/>
    <w:rsid w:val="009257F8"/>
    <w:rsid w:val="009265FF"/>
    <w:rsid w:val="0092698E"/>
    <w:rsid w:val="00935932"/>
    <w:rsid w:val="00954351"/>
    <w:rsid w:val="009547DC"/>
    <w:rsid w:val="00993337"/>
    <w:rsid w:val="00993CB7"/>
    <w:rsid w:val="00994877"/>
    <w:rsid w:val="009B06D8"/>
    <w:rsid w:val="009C2521"/>
    <w:rsid w:val="009D0EE3"/>
    <w:rsid w:val="009D1354"/>
    <w:rsid w:val="009E6293"/>
    <w:rsid w:val="009F249C"/>
    <w:rsid w:val="009F40B9"/>
    <w:rsid w:val="00A027F6"/>
    <w:rsid w:val="00A02D93"/>
    <w:rsid w:val="00A135AC"/>
    <w:rsid w:val="00A17EBE"/>
    <w:rsid w:val="00A2494D"/>
    <w:rsid w:val="00A273AC"/>
    <w:rsid w:val="00A3444C"/>
    <w:rsid w:val="00A536A1"/>
    <w:rsid w:val="00A601EB"/>
    <w:rsid w:val="00A61D9D"/>
    <w:rsid w:val="00A84C65"/>
    <w:rsid w:val="00A8620B"/>
    <w:rsid w:val="00AA617E"/>
    <w:rsid w:val="00AB0B7D"/>
    <w:rsid w:val="00AD5F2F"/>
    <w:rsid w:val="00AE15AF"/>
    <w:rsid w:val="00B00775"/>
    <w:rsid w:val="00B31656"/>
    <w:rsid w:val="00B37B08"/>
    <w:rsid w:val="00B66AC4"/>
    <w:rsid w:val="00B76B8E"/>
    <w:rsid w:val="00B858D5"/>
    <w:rsid w:val="00BB1647"/>
    <w:rsid w:val="00BF7B6B"/>
    <w:rsid w:val="00C23D30"/>
    <w:rsid w:val="00C36C28"/>
    <w:rsid w:val="00C61E64"/>
    <w:rsid w:val="00C913A1"/>
    <w:rsid w:val="00CB06FB"/>
    <w:rsid w:val="00CB3B80"/>
    <w:rsid w:val="00CB63C5"/>
    <w:rsid w:val="00CD1A4C"/>
    <w:rsid w:val="00CE331D"/>
    <w:rsid w:val="00CF326F"/>
    <w:rsid w:val="00D168B8"/>
    <w:rsid w:val="00D30EED"/>
    <w:rsid w:val="00D32FC0"/>
    <w:rsid w:val="00D53F7E"/>
    <w:rsid w:val="00D70DC4"/>
    <w:rsid w:val="00D925CA"/>
    <w:rsid w:val="00DC0137"/>
    <w:rsid w:val="00DC7881"/>
    <w:rsid w:val="00DE708F"/>
    <w:rsid w:val="00E012F9"/>
    <w:rsid w:val="00E126C3"/>
    <w:rsid w:val="00E15BB0"/>
    <w:rsid w:val="00E16B81"/>
    <w:rsid w:val="00E343A6"/>
    <w:rsid w:val="00E443AC"/>
    <w:rsid w:val="00E47A1E"/>
    <w:rsid w:val="00E7105F"/>
    <w:rsid w:val="00EE37EC"/>
    <w:rsid w:val="00EF2DFA"/>
    <w:rsid w:val="00F23A12"/>
    <w:rsid w:val="00F313F6"/>
    <w:rsid w:val="00F5012D"/>
    <w:rsid w:val="00F55E60"/>
    <w:rsid w:val="00F73093"/>
    <w:rsid w:val="00F96165"/>
    <w:rsid w:val="00FA3D05"/>
    <w:rsid w:val="00FA5CC9"/>
    <w:rsid w:val="00FB0A2C"/>
    <w:rsid w:val="00FB0D64"/>
    <w:rsid w:val="00FC59F1"/>
    <w:rsid w:val="00FD51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6FD373"/>
  <w15:chartTrackingRefBased/>
  <w15:docId w15:val="{536BA58F-D711-4DFF-AA2B-526563FA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E7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810E7F"/>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10E7F"/>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10E7F"/>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qFormat/>
    <w:rsid w:val="00810E7F"/>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810E7F"/>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810E7F"/>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10E7F"/>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10E7F"/>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10E7F"/>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810E7F"/>
    <w:pPr>
      <w:keepNext/>
      <w:keepLines/>
      <w:suppressAutoHyphens/>
      <w:spacing w:line="270" w:lineRule="exact"/>
      <w:outlineLvl w:val="0"/>
    </w:pPr>
    <w:rPr>
      <w:b/>
      <w:sz w:val="24"/>
    </w:rPr>
  </w:style>
  <w:style w:type="paragraph" w:customStyle="1" w:styleId="HCH">
    <w:name w:val="_ H _CH"/>
    <w:basedOn w:val="H1"/>
    <w:next w:val="Normal"/>
    <w:qFormat/>
    <w:rsid w:val="00810E7F"/>
    <w:pPr>
      <w:spacing w:line="300" w:lineRule="exact"/>
    </w:pPr>
    <w:rPr>
      <w:spacing w:val="-2"/>
      <w:sz w:val="28"/>
    </w:rPr>
  </w:style>
  <w:style w:type="paragraph" w:customStyle="1" w:styleId="HM">
    <w:name w:val="_ H __M"/>
    <w:basedOn w:val="HCH"/>
    <w:next w:val="Normal"/>
    <w:qFormat/>
    <w:rsid w:val="00810E7F"/>
    <w:pPr>
      <w:spacing w:line="360" w:lineRule="exact"/>
    </w:pPr>
    <w:rPr>
      <w:spacing w:val="-3"/>
      <w:w w:val="99"/>
      <w:sz w:val="34"/>
    </w:rPr>
  </w:style>
  <w:style w:type="paragraph" w:customStyle="1" w:styleId="H23">
    <w:name w:val="_ H_2/3"/>
    <w:basedOn w:val="H1"/>
    <w:next w:val="SingleTxt"/>
    <w:qFormat/>
    <w:rsid w:val="00810E7F"/>
    <w:pPr>
      <w:spacing w:line="240" w:lineRule="exact"/>
      <w:outlineLvl w:val="1"/>
    </w:pPr>
    <w:rPr>
      <w:spacing w:val="2"/>
      <w:sz w:val="20"/>
    </w:rPr>
  </w:style>
  <w:style w:type="paragraph" w:customStyle="1" w:styleId="H4">
    <w:name w:val="_ H_4"/>
    <w:basedOn w:val="Normal"/>
    <w:next w:val="SingleTxt"/>
    <w:qFormat/>
    <w:rsid w:val="00810E7F"/>
    <w:pPr>
      <w:keepNext/>
      <w:keepLines/>
      <w:tabs>
        <w:tab w:val="right" w:pos="360"/>
      </w:tabs>
      <w:suppressAutoHyphens/>
      <w:outlineLvl w:val="3"/>
    </w:pPr>
    <w:rPr>
      <w:i/>
      <w:spacing w:val="3"/>
    </w:rPr>
  </w:style>
  <w:style w:type="paragraph" w:customStyle="1" w:styleId="H56">
    <w:name w:val="_ H_5/6"/>
    <w:basedOn w:val="Normal"/>
    <w:next w:val="Normal"/>
    <w:qFormat/>
    <w:rsid w:val="00810E7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10E7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10E7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10E7F"/>
    <w:pPr>
      <w:spacing w:line="540" w:lineRule="exact"/>
    </w:pPr>
    <w:rPr>
      <w:spacing w:val="-8"/>
      <w:w w:val="96"/>
      <w:sz w:val="57"/>
    </w:rPr>
  </w:style>
  <w:style w:type="paragraph" w:customStyle="1" w:styleId="SS">
    <w:name w:val="__S_S"/>
    <w:basedOn w:val="HCH"/>
    <w:next w:val="Normal"/>
    <w:qFormat/>
    <w:rsid w:val="00810E7F"/>
    <w:pPr>
      <w:ind w:left="1267" w:right="1267"/>
    </w:pPr>
  </w:style>
  <w:style w:type="paragraph" w:customStyle="1" w:styleId="SingleTxt">
    <w:name w:val="__Single Txt"/>
    <w:basedOn w:val="Normal"/>
    <w:qFormat/>
    <w:rsid w:val="00810E7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810E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810E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810E7F"/>
    <w:pPr>
      <w:spacing w:line="240" w:lineRule="exact"/>
      <w:ind w:right="5040"/>
      <w:outlineLvl w:val="1"/>
    </w:pPr>
    <w:rPr>
      <w:spacing w:val="2"/>
      <w:sz w:val="20"/>
    </w:rPr>
  </w:style>
  <w:style w:type="paragraph" w:styleId="BalloonText">
    <w:name w:val="Balloon Text"/>
    <w:basedOn w:val="Normal"/>
    <w:link w:val="BalloonTextChar"/>
    <w:semiHidden/>
    <w:unhideWhenUsed/>
    <w:rsid w:val="00810E7F"/>
    <w:pPr>
      <w:spacing w:line="240" w:lineRule="auto"/>
    </w:pPr>
    <w:rPr>
      <w:rFonts w:ascii="Tahoma" w:hAnsi="Tahoma" w:cs="Tahoma"/>
      <w:sz w:val="16"/>
      <w:szCs w:val="16"/>
    </w:rPr>
  </w:style>
  <w:style w:type="character" w:customStyle="1" w:styleId="BalloonTextChar">
    <w:name w:val="Balloon Text Char"/>
    <w:link w:val="BalloonText"/>
    <w:semiHidden/>
    <w:rsid w:val="00810E7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810E7F"/>
    <w:pPr>
      <w:numPr>
        <w:numId w:val="17"/>
      </w:numPr>
      <w:spacing w:after="120"/>
      <w:ind w:right="1267"/>
      <w:jc w:val="both"/>
    </w:pPr>
  </w:style>
  <w:style w:type="paragraph" w:customStyle="1" w:styleId="Bullet2">
    <w:name w:val="Bullet 2"/>
    <w:basedOn w:val="Normal"/>
    <w:qFormat/>
    <w:rsid w:val="00810E7F"/>
    <w:pPr>
      <w:numPr>
        <w:numId w:val="18"/>
      </w:numPr>
      <w:spacing w:after="120"/>
      <w:ind w:right="1264"/>
      <w:jc w:val="both"/>
    </w:pPr>
  </w:style>
  <w:style w:type="paragraph" w:customStyle="1" w:styleId="Bullet3">
    <w:name w:val="Bullet 3"/>
    <w:basedOn w:val="SingleTxt"/>
    <w:qFormat/>
    <w:rsid w:val="00810E7F"/>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10E7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810E7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810E7F"/>
    <w:pPr>
      <w:spacing w:line="210" w:lineRule="exact"/>
    </w:pPr>
    <w:rPr>
      <w:sz w:val="17"/>
      <w:szCs w:val="20"/>
    </w:rPr>
  </w:style>
  <w:style w:type="character" w:customStyle="1" w:styleId="EndnoteTextChar">
    <w:name w:val="Endnote Text Char"/>
    <w:link w:val="EndnoteText"/>
    <w:semiHidden/>
    <w:rsid w:val="00810E7F"/>
    <w:rPr>
      <w:rFonts w:ascii="Times New Roman" w:eastAsiaTheme="minorHAnsi" w:hAnsi="Times New Roman" w:cs="Times New Roman"/>
      <w:spacing w:val="4"/>
      <w:w w:val="103"/>
      <w:kern w:val="14"/>
      <w:sz w:val="17"/>
      <w:szCs w:val="20"/>
      <w:lang w:val="fr-CA" w:eastAsia="en-US"/>
    </w:rPr>
  </w:style>
  <w:style w:type="paragraph" w:styleId="Footer">
    <w:name w:val="footer"/>
    <w:aliases w:val="3_G"/>
    <w:link w:val="FooterChar"/>
    <w:qFormat/>
    <w:rsid w:val="00810E7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aliases w:val="3_G Char"/>
    <w:link w:val="Footer"/>
    <w:rsid w:val="00810E7F"/>
    <w:rPr>
      <w:rFonts w:ascii="Times New Roman" w:eastAsiaTheme="minorHAnsi" w:hAnsi="Times New Roman" w:cs="Times New Roman"/>
      <w:b/>
      <w:spacing w:val="3"/>
      <w:w w:val="105"/>
      <w:sz w:val="17"/>
      <w:lang w:val="en-US" w:eastAsia="en-US"/>
    </w:rPr>
  </w:style>
  <w:style w:type="character" w:styleId="FootnoteReference">
    <w:name w:val="footnote reference"/>
    <w:aliases w:val="4_G"/>
    <w:qFormat/>
    <w:rsid w:val="00810E7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qFormat/>
    <w:rsid w:val="00810E7F"/>
    <w:pPr>
      <w:spacing w:line="210" w:lineRule="exact"/>
    </w:pPr>
    <w:rPr>
      <w:sz w:val="17"/>
      <w:szCs w:val="20"/>
    </w:rPr>
  </w:style>
  <w:style w:type="character" w:customStyle="1" w:styleId="FootnoteTextChar">
    <w:name w:val="Footnote Text Char"/>
    <w:aliases w:val="5_G Char"/>
    <w:link w:val="FootnoteText"/>
    <w:rsid w:val="00810E7F"/>
    <w:rPr>
      <w:rFonts w:ascii="Times New Roman" w:eastAsiaTheme="minorHAnsi" w:hAnsi="Times New Roman" w:cs="Times New Roman"/>
      <w:spacing w:val="4"/>
      <w:w w:val="103"/>
      <w:kern w:val="14"/>
      <w:sz w:val="17"/>
      <w:szCs w:val="20"/>
      <w:lang w:val="fr-CA" w:eastAsia="en-US"/>
    </w:rPr>
  </w:style>
  <w:style w:type="paragraph" w:styleId="Header">
    <w:name w:val="header"/>
    <w:aliases w:val="6_G"/>
    <w:link w:val="HeaderChar"/>
    <w:qFormat/>
    <w:rsid w:val="00810E7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aliases w:val="6_G Char"/>
    <w:link w:val="Header"/>
    <w:rsid w:val="00810E7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810E7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810E7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810E7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810E7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810E7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810E7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810E7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810E7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810E7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qFormat/>
    <w:rsid w:val="00810E7F"/>
    <w:rPr>
      <w:sz w:val="14"/>
    </w:rPr>
  </w:style>
  <w:style w:type="paragraph" w:styleId="ListParagraph">
    <w:name w:val="List Paragraph"/>
    <w:basedOn w:val="Normal"/>
    <w:uiPriority w:val="34"/>
    <w:rsid w:val="00810E7F"/>
    <w:pPr>
      <w:ind w:left="720"/>
      <w:contextualSpacing/>
    </w:pPr>
  </w:style>
  <w:style w:type="paragraph" w:styleId="NoSpacing">
    <w:name w:val="No Spacing"/>
    <w:uiPriority w:val="1"/>
    <w:rsid w:val="00810E7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810E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810E7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810E7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810E7F"/>
    <w:pPr>
      <w:tabs>
        <w:tab w:val="right" w:pos="9965"/>
      </w:tabs>
      <w:spacing w:line="210" w:lineRule="exact"/>
    </w:pPr>
    <w:rPr>
      <w:spacing w:val="5"/>
      <w:w w:val="104"/>
      <w:sz w:val="17"/>
    </w:rPr>
  </w:style>
  <w:style w:type="paragraph" w:customStyle="1" w:styleId="SmallX">
    <w:name w:val="SmallX"/>
    <w:basedOn w:val="Small"/>
    <w:next w:val="Normal"/>
    <w:qFormat/>
    <w:rsid w:val="00810E7F"/>
    <w:pPr>
      <w:spacing w:line="180" w:lineRule="exact"/>
      <w:jc w:val="right"/>
    </w:pPr>
    <w:rPr>
      <w:spacing w:val="6"/>
      <w:w w:val="106"/>
      <w:sz w:val="14"/>
    </w:rPr>
  </w:style>
  <w:style w:type="character" w:styleId="Strong">
    <w:name w:val="Strong"/>
    <w:uiPriority w:val="22"/>
    <w:rsid w:val="00810E7F"/>
    <w:rPr>
      <w:b/>
      <w:bCs/>
    </w:rPr>
  </w:style>
  <w:style w:type="paragraph" w:customStyle="1" w:styleId="Style1">
    <w:name w:val="Style1"/>
    <w:basedOn w:val="Normal"/>
    <w:qFormat/>
    <w:rsid w:val="00810E7F"/>
  </w:style>
  <w:style w:type="paragraph" w:customStyle="1" w:styleId="Style2">
    <w:name w:val="Style2"/>
    <w:basedOn w:val="Normal"/>
    <w:autoRedefine/>
    <w:qFormat/>
    <w:rsid w:val="00810E7F"/>
  </w:style>
  <w:style w:type="paragraph" w:customStyle="1" w:styleId="TitleHCH">
    <w:name w:val="Title_H_CH"/>
    <w:basedOn w:val="H1"/>
    <w:next w:val="Normal"/>
    <w:qFormat/>
    <w:rsid w:val="00810E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810E7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810E7F"/>
    <w:pPr>
      <w:tabs>
        <w:tab w:val="right" w:pos="360"/>
      </w:tabs>
      <w:spacing w:line="390" w:lineRule="exact"/>
    </w:pPr>
    <w:rPr>
      <w:spacing w:val="-4"/>
      <w:w w:val="98"/>
      <w:sz w:val="40"/>
    </w:rPr>
  </w:style>
  <w:style w:type="paragraph" w:customStyle="1" w:styleId="Session">
    <w:name w:val="Session"/>
    <w:basedOn w:val="H23"/>
    <w:qFormat/>
    <w:rsid w:val="009547DC"/>
    <w:rPr>
      <w:lang w:val="fr-FR"/>
    </w:rPr>
  </w:style>
  <w:style w:type="paragraph" w:customStyle="1" w:styleId="Sponsors">
    <w:name w:val="Sponsors"/>
    <w:basedOn w:val="H1"/>
    <w:next w:val="Normal"/>
    <w:qFormat/>
    <w:rsid w:val="009547DC"/>
    <w:pPr>
      <w:spacing w:line="240" w:lineRule="exact"/>
      <w:outlineLvl w:val="1"/>
    </w:pPr>
    <w:rPr>
      <w:spacing w:val="2"/>
      <w:sz w:val="20"/>
    </w:rPr>
  </w:style>
  <w:style w:type="paragraph" w:customStyle="1" w:styleId="STitleM">
    <w:name w:val="S_Title_M"/>
    <w:basedOn w:val="Normal"/>
    <w:next w:val="Normal"/>
    <w:qFormat/>
    <w:rsid w:val="009547D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9547DC"/>
    <w:pPr>
      <w:ind w:left="1264" w:right="1264"/>
    </w:pPr>
  </w:style>
  <w:style w:type="paragraph" w:customStyle="1" w:styleId="STitleL">
    <w:name w:val="S_Title_L"/>
    <w:basedOn w:val="SM"/>
    <w:next w:val="Normal"/>
    <w:qFormat/>
    <w:rsid w:val="009547DC"/>
    <w:pPr>
      <w:spacing w:line="540" w:lineRule="exact"/>
    </w:pPr>
    <w:rPr>
      <w:spacing w:val="-8"/>
      <w:w w:val="96"/>
      <w:sz w:val="57"/>
    </w:rPr>
  </w:style>
  <w:style w:type="paragraph" w:customStyle="1" w:styleId="SummaryRecord">
    <w:name w:val="SummaryRecord"/>
    <w:basedOn w:val="H23"/>
    <w:next w:val="Session"/>
    <w:qFormat/>
    <w:rsid w:val="009547DC"/>
  </w:style>
  <w:style w:type="paragraph" w:customStyle="1" w:styleId="SRMeetingInfo">
    <w:name w:val="SR_Meeting_Info"/>
    <w:next w:val="Normal"/>
    <w:qFormat/>
    <w:rsid w:val="009547D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10B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character" w:styleId="CommentReference">
    <w:name w:val="annotation reference"/>
    <w:basedOn w:val="DefaultParagraphFont"/>
    <w:semiHidden/>
    <w:unhideWhenUsed/>
    <w:rsid w:val="00874814"/>
    <w:rPr>
      <w:sz w:val="16"/>
      <w:szCs w:val="16"/>
    </w:rPr>
  </w:style>
  <w:style w:type="paragraph" w:styleId="CommentText">
    <w:name w:val="annotation text"/>
    <w:basedOn w:val="Normal"/>
    <w:link w:val="CommentTextChar"/>
    <w:uiPriority w:val="99"/>
    <w:unhideWhenUsed/>
    <w:rsid w:val="00874814"/>
    <w:pPr>
      <w:spacing w:line="240" w:lineRule="auto"/>
    </w:pPr>
    <w:rPr>
      <w:szCs w:val="20"/>
    </w:rPr>
  </w:style>
  <w:style w:type="character" w:customStyle="1" w:styleId="CommentTextChar">
    <w:name w:val="Comment Text Char"/>
    <w:basedOn w:val="DefaultParagraphFont"/>
    <w:link w:val="CommentText"/>
    <w:uiPriority w:val="99"/>
    <w:rsid w:val="0087481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74814"/>
    <w:rPr>
      <w:b/>
      <w:bCs/>
    </w:rPr>
  </w:style>
  <w:style w:type="character" w:customStyle="1" w:styleId="CommentSubjectChar">
    <w:name w:val="Comment Subject Char"/>
    <w:basedOn w:val="CommentTextChar"/>
    <w:link w:val="CommentSubject"/>
    <w:uiPriority w:val="99"/>
    <w:semiHidden/>
    <w:rsid w:val="00874814"/>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A60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P">
    <w:name w:val="_ 7_ P"/>
    <w:basedOn w:val="Normal"/>
    <w:next w:val="Normal"/>
    <w:qFormat/>
    <w:rsid w:val="00A601E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rFonts w:eastAsia="Times New Roman"/>
      <w:iCs/>
      <w:spacing w:val="3"/>
      <w:sz w:val="14"/>
      <w:szCs w:val="24"/>
      <w:lang w:val="en-GB"/>
    </w:rPr>
  </w:style>
  <w:style w:type="paragraph" w:customStyle="1" w:styleId="HCh0">
    <w:name w:val="_ H _Ch"/>
    <w:basedOn w:val="H1"/>
    <w:next w:val="Normal"/>
    <w:rsid w:val="00A601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spacing w:val="-2"/>
      <w:sz w:val="28"/>
      <w:szCs w:val="20"/>
      <w:lang w:val="en-GB"/>
    </w:rPr>
  </w:style>
  <w:style w:type="paragraph" w:styleId="Caption">
    <w:name w:val="caption"/>
    <w:basedOn w:val="Normal"/>
    <w:next w:val="Normal"/>
    <w:uiPriority w:val="35"/>
    <w:semiHidden/>
    <w:unhideWhenUsed/>
    <w:rsid w:val="00A601EB"/>
    <w:pPr>
      <w:suppressAutoHyphens/>
      <w:spacing w:line="240" w:lineRule="auto"/>
    </w:pPr>
    <w:rPr>
      <w:b/>
      <w:bCs/>
      <w:color w:val="4F81BD"/>
      <w:sz w:val="18"/>
      <w:szCs w:val="18"/>
      <w:lang w:val="en-GB"/>
    </w:rPr>
  </w:style>
  <w:style w:type="paragraph" w:customStyle="1" w:styleId="HdBanner">
    <w:name w:val="Hd Banner"/>
    <w:basedOn w:val="Normal"/>
    <w:next w:val="Normal"/>
    <w:qFormat/>
    <w:rsid w:val="00A601EB"/>
    <w:pPr>
      <w:keepLines/>
      <w:shd w:val="pct10" w:color="auto" w:fill="FFFFFF"/>
      <w:tabs>
        <w:tab w:val="left" w:pos="2218"/>
      </w:tabs>
      <w:suppressAutoHyphens/>
      <w:spacing w:line="360" w:lineRule="exact"/>
    </w:pPr>
    <w:rPr>
      <w:b/>
      <w:spacing w:val="1"/>
      <w:position w:val="6"/>
      <w:sz w:val="24"/>
      <w:szCs w:val="24"/>
      <w:lang w:val="en-GB"/>
    </w:rPr>
  </w:style>
  <w:style w:type="paragraph" w:customStyle="1" w:styleId="HdChapterLt">
    <w:name w:val="Hd Chapter Lt"/>
    <w:basedOn w:val="Normal"/>
    <w:next w:val="Normal"/>
    <w:qFormat/>
    <w:rsid w:val="00A601EB"/>
    <w:pPr>
      <w:keepNext/>
      <w:keepLines/>
      <w:tabs>
        <w:tab w:val="left" w:pos="2218"/>
      </w:tabs>
      <w:suppressAutoHyphens/>
      <w:spacing w:before="300" w:line="300" w:lineRule="exact"/>
    </w:pPr>
    <w:rPr>
      <w:spacing w:val="2"/>
      <w:w w:val="96"/>
      <w:kern w:val="34"/>
      <w:sz w:val="28"/>
      <w:szCs w:val="28"/>
      <w:lang w:val="en-GB"/>
    </w:rPr>
  </w:style>
  <w:style w:type="paragraph" w:customStyle="1" w:styleId="HdChapterBD">
    <w:name w:val="Hd Chapter BD"/>
    <w:basedOn w:val="HdChapterLt"/>
    <w:next w:val="Normal"/>
    <w:qFormat/>
    <w:rsid w:val="00A601EB"/>
    <w:pPr>
      <w:spacing w:before="240"/>
    </w:pPr>
    <w:rPr>
      <w:b/>
      <w:spacing w:val="-2"/>
      <w:w w:val="100"/>
    </w:rPr>
  </w:style>
  <w:style w:type="paragraph" w:customStyle="1" w:styleId="HdChapterBdLg">
    <w:name w:val="Hd Chapter Bd Lg"/>
    <w:basedOn w:val="HdChapterBD"/>
    <w:next w:val="Normal"/>
    <w:qFormat/>
    <w:rsid w:val="00A601EB"/>
    <w:rPr>
      <w:spacing w:val="-3"/>
      <w:w w:val="99"/>
      <w:kern w:val="14"/>
      <w:sz w:val="34"/>
      <w:szCs w:val="34"/>
    </w:rPr>
  </w:style>
  <w:style w:type="paragraph" w:customStyle="1" w:styleId="JournalHeading1">
    <w:name w:val="Journal_Heading1"/>
    <w:basedOn w:val="Normal"/>
    <w:next w:val="Normal"/>
    <w:qFormat/>
    <w:rsid w:val="00A601EB"/>
    <w:pPr>
      <w:keepNext/>
      <w:suppressAutoHyphens/>
      <w:spacing w:before="190" w:line="270" w:lineRule="exact"/>
    </w:pPr>
    <w:rPr>
      <w:b/>
      <w:sz w:val="24"/>
      <w:szCs w:val="20"/>
      <w:lang w:val="en-GB"/>
    </w:rPr>
  </w:style>
  <w:style w:type="paragraph" w:customStyle="1" w:styleId="JournalHeading2">
    <w:name w:val="Journal_Heading2"/>
    <w:basedOn w:val="Normal"/>
    <w:next w:val="Normal"/>
    <w:qFormat/>
    <w:rsid w:val="00A601EB"/>
    <w:pPr>
      <w:keepNext/>
      <w:keepLines/>
      <w:suppressAutoHyphens/>
      <w:spacing w:before="240"/>
      <w:outlineLvl w:val="1"/>
    </w:pPr>
    <w:rPr>
      <w:b/>
      <w:spacing w:val="2"/>
      <w:szCs w:val="20"/>
      <w:lang w:val="en-GB"/>
    </w:rPr>
  </w:style>
  <w:style w:type="paragraph" w:customStyle="1" w:styleId="JournalHeading4">
    <w:name w:val="Journal_Heading4"/>
    <w:basedOn w:val="Normal"/>
    <w:next w:val="Normal"/>
    <w:qFormat/>
    <w:rsid w:val="00A601EB"/>
    <w:pPr>
      <w:keepNext/>
      <w:keepLines/>
      <w:suppressAutoHyphens/>
      <w:spacing w:before="240"/>
      <w:outlineLvl w:val="3"/>
    </w:pPr>
    <w:rPr>
      <w:i/>
      <w:szCs w:val="20"/>
      <w:lang w:val="en-GB"/>
    </w:rPr>
  </w:style>
  <w:style w:type="paragraph" w:customStyle="1" w:styleId="NormalBullet">
    <w:name w:val="Normal Bullet"/>
    <w:basedOn w:val="Normal"/>
    <w:next w:val="Normal"/>
    <w:qFormat/>
    <w:rsid w:val="00A601EB"/>
    <w:pPr>
      <w:keepLines/>
      <w:numPr>
        <w:numId w:val="32"/>
      </w:numPr>
      <w:tabs>
        <w:tab w:val="left" w:pos="2218"/>
      </w:tabs>
      <w:suppressAutoHyphens/>
      <w:spacing w:before="40" w:after="80"/>
      <w:ind w:right="302"/>
    </w:pPr>
    <w:rPr>
      <w:szCs w:val="20"/>
      <w:lang w:val="en-GB"/>
    </w:rPr>
  </w:style>
  <w:style w:type="paragraph" w:customStyle="1" w:styleId="NormalSchedule">
    <w:name w:val="Normal Schedule"/>
    <w:basedOn w:val="Normal"/>
    <w:next w:val="Normal"/>
    <w:qFormat/>
    <w:rsid w:val="00A601EB"/>
    <w:pPr>
      <w:tabs>
        <w:tab w:val="left" w:leader="dot" w:pos="2218"/>
        <w:tab w:val="left" w:pos="2707"/>
        <w:tab w:val="right" w:leader="dot" w:pos="9835"/>
      </w:tabs>
      <w:suppressAutoHyphens/>
    </w:pPr>
    <w:rPr>
      <w:szCs w:val="20"/>
      <w:lang w:val="en-GB"/>
    </w:rPr>
  </w:style>
  <w:style w:type="paragraph" w:customStyle="1" w:styleId="ReleaseDate0">
    <w:name w:val="ReleaseDate"/>
    <w:next w:val="Footer"/>
    <w:autoRedefine/>
    <w:qFormat/>
    <w:rsid w:val="00A601EB"/>
    <w:pPr>
      <w:spacing w:after="0" w:line="240" w:lineRule="auto"/>
    </w:pPr>
    <w:rPr>
      <w:rFonts w:ascii="Times New Roman" w:eastAsiaTheme="minorHAnsi"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A601EB"/>
    <w:pPr>
      <w:keepNext/>
      <w:numPr>
        <w:numId w:val="0"/>
      </w:numPr>
      <w:suppressAutoHyphens/>
      <w:outlineLvl w:val="9"/>
    </w:pPr>
    <w:rPr>
      <w:rFonts w:eastAsiaTheme="majorEastAsia" w:cstheme="majorBidi"/>
      <w:color w:val="auto"/>
      <w:lang w:val="en-GB" w:bidi="en-US"/>
    </w:rPr>
  </w:style>
  <w:style w:type="character" w:styleId="Hyperlink">
    <w:name w:val="Hyperlink"/>
    <w:basedOn w:val="DefaultParagraphFont"/>
    <w:rsid w:val="00A601EB"/>
    <w:rPr>
      <w:color w:val="0000FF"/>
      <w:u w:val="none"/>
    </w:rPr>
  </w:style>
  <w:style w:type="paragraph" w:styleId="PlainText">
    <w:name w:val="Plain Text"/>
    <w:basedOn w:val="Normal"/>
    <w:link w:val="PlainTextChar"/>
    <w:rsid w:val="00A601EB"/>
    <w:pPr>
      <w:spacing w:line="240" w:lineRule="auto"/>
    </w:pPr>
    <w:rPr>
      <w:rFonts w:ascii="Courier New" w:eastAsia="Times New Roman" w:hAnsi="Courier New"/>
      <w:spacing w:val="0"/>
      <w:w w:val="100"/>
      <w:kern w:val="0"/>
      <w:szCs w:val="20"/>
      <w:lang w:val="en-US" w:eastAsia="en-GB"/>
    </w:rPr>
  </w:style>
  <w:style w:type="character" w:customStyle="1" w:styleId="PlainTextChar">
    <w:name w:val="Plain Text Char"/>
    <w:basedOn w:val="DefaultParagraphFont"/>
    <w:link w:val="PlainText"/>
    <w:rsid w:val="00A601EB"/>
    <w:rPr>
      <w:rFonts w:ascii="Courier New" w:eastAsia="Times New Roman" w:hAnsi="Courier New" w:cs="Times New Roman"/>
      <w:sz w:val="20"/>
      <w:szCs w:val="20"/>
      <w:lang w:val="en-US" w:eastAsia="en-GB"/>
    </w:rPr>
  </w:style>
  <w:style w:type="character" w:styleId="FollowedHyperlink">
    <w:name w:val="FollowedHyperlink"/>
    <w:basedOn w:val="DefaultParagraphFont"/>
    <w:uiPriority w:val="99"/>
    <w:semiHidden/>
    <w:unhideWhenUsed/>
    <w:rsid w:val="00A601EB"/>
    <w:rPr>
      <w:color w:val="0000FF"/>
      <w:u w:val="none"/>
    </w:rPr>
  </w:style>
  <w:style w:type="character" w:customStyle="1" w:styleId="Mentionnonrsolue1">
    <w:name w:val="Mention non résolue1"/>
    <w:basedOn w:val="DefaultParagraphFont"/>
    <w:uiPriority w:val="99"/>
    <w:semiHidden/>
    <w:unhideWhenUsed/>
    <w:rsid w:val="00A601EB"/>
    <w:rPr>
      <w:color w:val="808080"/>
      <w:shd w:val="clear" w:color="auto" w:fill="E6E6E6"/>
    </w:rPr>
  </w:style>
  <w:style w:type="paragraph" w:styleId="Revision">
    <w:name w:val="Revision"/>
    <w:hidden/>
    <w:uiPriority w:val="99"/>
    <w:semiHidden/>
    <w:rsid w:val="00A601EB"/>
    <w:pPr>
      <w:spacing w:after="0" w:line="240" w:lineRule="auto"/>
    </w:pPr>
    <w:rPr>
      <w:rFonts w:ascii="Times New Roman" w:eastAsiaTheme="minorHAnsi" w:hAnsi="Times New Roman" w:cs="Times New Roman"/>
      <w:spacing w:val="4"/>
      <w:w w:val="103"/>
      <w:kern w:val="14"/>
      <w:sz w:val="20"/>
      <w:szCs w:val="20"/>
      <w:lang w:eastAsia="en-US"/>
    </w:rPr>
  </w:style>
  <w:style w:type="character" w:customStyle="1" w:styleId="UnresolvedMention1">
    <w:name w:val="Unresolved Mention1"/>
    <w:basedOn w:val="DefaultParagraphFont"/>
    <w:uiPriority w:val="99"/>
    <w:semiHidden/>
    <w:unhideWhenUsed/>
    <w:rsid w:val="00A601EB"/>
    <w:rPr>
      <w:color w:val="605E5C"/>
      <w:shd w:val="clear" w:color="auto" w:fill="E1DFDD"/>
    </w:rPr>
  </w:style>
  <w:style w:type="paragraph" w:customStyle="1" w:styleId="SingleTxtG">
    <w:name w:val="_ Single Txt_G"/>
    <w:basedOn w:val="Normal"/>
    <w:link w:val="SingleTxtGChar"/>
    <w:qFormat/>
    <w:rsid w:val="00A601EB"/>
    <w:pPr>
      <w:suppressAutoHyphens/>
      <w:kinsoku w:val="0"/>
      <w:overflowPunct w:val="0"/>
      <w:autoSpaceDE w:val="0"/>
      <w:autoSpaceDN w:val="0"/>
      <w:adjustRightInd w:val="0"/>
      <w:snapToGrid w:val="0"/>
      <w:spacing w:after="120" w:line="240" w:lineRule="atLeast"/>
      <w:ind w:left="1134" w:right="1134"/>
      <w:jc w:val="both"/>
    </w:pPr>
    <w:rPr>
      <w:spacing w:val="0"/>
      <w:w w:val="100"/>
      <w:kern w:val="0"/>
      <w:szCs w:val="20"/>
      <w:lang w:val="fr-CH"/>
    </w:rPr>
  </w:style>
  <w:style w:type="character" w:customStyle="1" w:styleId="SingleTxtGChar">
    <w:name w:val="_ Single Txt_G Char"/>
    <w:link w:val="SingleTxtG"/>
    <w:locked/>
    <w:rsid w:val="00A601EB"/>
    <w:rPr>
      <w:rFonts w:ascii="Times New Roman" w:eastAsiaTheme="minorHAnsi" w:hAnsi="Times New Roman" w:cs="Times New Roman"/>
      <w:sz w:val="20"/>
      <w:szCs w:val="20"/>
      <w:lang w:val="fr-CH" w:eastAsia="en-US"/>
    </w:rPr>
  </w:style>
  <w:style w:type="paragraph" w:customStyle="1" w:styleId="H23G">
    <w:name w:val="_ H_2/3_G"/>
    <w:basedOn w:val="Normal"/>
    <w:next w:val="Normal"/>
    <w:qFormat/>
    <w:rsid w:val="00A601EB"/>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Cs w:val="20"/>
      <w:lang w:val="fr-CH"/>
    </w:rPr>
  </w:style>
  <w:style w:type="character" w:customStyle="1" w:styleId="preferred">
    <w:name w:val="preferred"/>
    <w:basedOn w:val="DefaultParagraphFont"/>
    <w:rsid w:val="00A601EB"/>
  </w:style>
  <w:style w:type="table" w:customStyle="1" w:styleId="TableGrid1">
    <w:name w:val="Table Grid1"/>
    <w:basedOn w:val="TableNormal"/>
    <w:uiPriority w:val="59"/>
    <w:rsid w:val="00A601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0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CEDAW/C/JOR/CO/5"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8137</Words>
  <Characters>44757</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French Text Processing</cp:lastModifiedBy>
  <cp:revision>3</cp:revision>
  <cp:lastPrinted>2019-10-03T17:51:00Z</cp:lastPrinted>
  <dcterms:created xsi:type="dcterms:W3CDTF">2019-10-03T17:51:00Z</dcterms:created>
  <dcterms:modified xsi:type="dcterms:W3CDTF">2019-10-03T17:51:00Z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1915431F</vt:lpwstr>
  </property>
  <property fmtid="{D5CDD505-2E9C-101B-9397-08002B2CF9AE}" pid="3" name="ODSRefJobNo">
    <vt:lpwstr>1927426F</vt:lpwstr>
  </property>
  <property fmtid="{D5CDD505-2E9C-101B-9397-08002B2CF9AE}" pid="4" name="Symbol1">
    <vt:lpwstr>CEDAW/C/73/D/87/2015</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15</vt:lpwstr>
  </property>
  <property fmtid="{D5CDD505-2E9C-101B-9397-08002B2CF9AE}" pid="11" name="Operator">
    <vt:lpwstr>LPE</vt:lpwstr>
  </property>
  <property fmtid="{D5CDD505-2E9C-101B-9397-08002B2CF9AE}" pid="12" name="Distribution">
    <vt:lpwstr>générale</vt:lpwstr>
  </property>
  <property fmtid="{D5CDD505-2E9C-101B-9397-08002B2CF9AE}" pid="13" name="Publication Date">
    <vt:lpwstr>10 septembre 2019</vt:lpwstr>
  </property>
  <property fmtid="{D5CDD505-2E9C-101B-9397-08002B2CF9AE}" pid="14" name="Release Date">
    <vt:lpwstr/>
  </property>
  <property fmtid="{D5CDD505-2E9C-101B-9397-08002B2CF9AE}" pid="15" name="Title1">
    <vt:lpwstr>		Constatations adoptées par le Comité au titre du paragraphe 3 de l’article 7 du Protocole facultatif, concernant la communication no 87/2015*, **, ***_x000d_</vt:lpwstr>
  </property>
</Properties>
</file>