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537D6" w14:textId="77777777" w:rsidR="00371F3E" w:rsidRDefault="00371F3E" w:rsidP="00371F3E">
      <w:pPr>
        <w:spacing w:line="60" w:lineRule="exact"/>
        <w:rPr>
          <w:sz w:val="2"/>
        </w:rPr>
        <w:sectPr w:rsidR="00371F3E" w:rsidSect="00A1053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r>
        <w:rPr>
          <w:rStyle w:val="a9"/>
        </w:rPr>
        <w:commentReference w:id="0"/>
      </w:r>
    </w:p>
    <w:p w14:paraId="4CA44002" w14:textId="77777777" w:rsidR="00A10536" w:rsidRPr="00266156" w:rsidRDefault="00A10536" w:rsidP="00EE6C9D">
      <w:pPr>
        <w:pStyle w:val="SingleTxt"/>
        <w:spacing w:after="360"/>
        <w:ind w:left="0"/>
        <w:rPr>
          <w:rFonts w:ascii="黑体" w:eastAsia="黑体" w:hAnsi="黑体"/>
          <w:sz w:val="24"/>
          <w:szCs w:val="24"/>
        </w:rPr>
      </w:pPr>
      <w:r w:rsidRPr="00266156">
        <w:rPr>
          <w:rFonts w:ascii="黑体" w:eastAsia="黑体" w:hAnsi="黑体" w:hint="eastAsia"/>
          <w:sz w:val="24"/>
          <w:szCs w:val="24"/>
        </w:rPr>
        <w:t>消除对妇女歧视委员会</w:t>
      </w:r>
    </w:p>
    <w:p w14:paraId="2BDA8DE7" w14:textId="2AD039BC" w:rsidR="00A10536" w:rsidRPr="00A10536" w:rsidRDefault="00A10536" w:rsidP="00266156">
      <w:pPr>
        <w:pStyle w:val="Title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rsidRPr="00A10536">
        <w:rPr>
          <w:rFonts w:hint="eastAsia"/>
        </w:rPr>
        <w:tab/>
      </w:r>
      <w:r w:rsidR="00266156">
        <w:tab/>
      </w:r>
      <w:r w:rsidR="00266156">
        <w:tab/>
      </w:r>
      <w:r w:rsidRPr="00A10536">
        <w:rPr>
          <w:rFonts w:hint="eastAsia"/>
        </w:rPr>
        <w:t>委员会根据《任择议定书》第</w:t>
      </w:r>
      <w:r w:rsidRPr="00A10536">
        <w:rPr>
          <w:rFonts w:hint="eastAsia"/>
        </w:rPr>
        <w:t>2</w:t>
      </w:r>
      <w:r w:rsidRPr="00A10536">
        <w:rPr>
          <w:rFonts w:hint="eastAsia"/>
        </w:rPr>
        <w:t>条和第</w:t>
      </w:r>
      <w:r w:rsidRPr="00A10536">
        <w:rPr>
          <w:rFonts w:hint="eastAsia"/>
        </w:rPr>
        <w:t>4</w:t>
      </w:r>
      <w:r w:rsidRPr="00A10536">
        <w:rPr>
          <w:rFonts w:hint="eastAsia"/>
        </w:rPr>
        <w:t>条第</w:t>
      </w:r>
      <w:r w:rsidRPr="00A10536">
        <w:rPr>
          <w:rFonts w:hint="eastAsia"/>
        </w:rPr>
        <w:t>1</w:t>
      </w:r>
      <w:r w:rsidRPr="00A10536">
        <w:rPr>
          <w:rFonts w:hint="eastAsia"/>
        </w:rPr>
        <w:t>款通过的关于第</w:t>
      </w:r>
      <w:r w:rsidRPr="00A10536">
        <w:rPr>
          <w:rFonts w:hint="eastAsia"/>
        </w:rPr>
        <w:t>136/2018</w:t>
      </w:r>
      <w:r w:rsidRPr="00A10536">
        <w:rPr>
          <w:rFonts w:hint="eastAsia"/>
        </w:rPr>
        <w:t>号来文的决定</w:t>
      </w:r>
      <w:r w:rsidRPr="00266156">
        <w:rPr>
          <w:rFonts w:hint="eastAsia"/>
        </w:rPr>
        <w:footnoteReference w:customMarkFollows="1" w:id="1"/>
        <w:t>*</w:t>
      </w:r>
      <w:r>
        <w:rPr>
          <w:rFonts w:hint="eastAsia"/>
        </w:rPr>
        <w:t>、</w:t>
      </w:r>
      <w:r w:rsidRPr="00266156">
        <w:rPr>
          <w:rFonts w:hint="eastAsia"/>
        </w:rPr>
        <w:footnoteReference w:customMarkFollows="1" w:id="2"/>
        <w:t>**</w:t>
      </w:r>
    </w:p>
    <w:tbl>
      <w:tblPr>
        <w:tblStyle w:val="af0"/>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01"/>
        <w:gridCol w:w="5319"/>
      </w:tblGrid>
      <w:tr w:rsidR="00FB4325" w:rsidRPr="00FB4325" w14:paraId="1F5FF6B3" w14:textId="77777777" w:rsidTr="00266156">
        <w:trPr>
          <w:tblHeader/>
        </w:trPr>
        <w:tc>
          <w:tcPr>
            <w:tcW w:w="2001" w:type="dxa"/>
            <w:hideMark/>
          </w:tcPr>
          <w:p w14:paraId="156C112D" w14:textId="77777777" w:rsidR="00FB4325" w:rsidRPr="00FB4325" w:rsidRDefault="00FB4325" w:rsidP="00266156">
            <w:pPr>
              <w:pStyle w:val="SingleTxt"/>
              <w:ind w:left="0" w:right="0"/>
            </w:pPr>
            <w:r w:rsidRPr="00FB4325">
              <w:rPr>
                <w:rFonts w:hint="eastAsia"/>
              </w:rPr>
              <w:t>来文提交方：</w:t>
            </w:r>
          </w:p>
        </w:tc>
        <w:tc>
          <w:tcPr>
            <w:tcW w:w="5319" w:type="dxa"/>
            <w:hideMark/>
          </w:tcPr>
          <w:p w14:paraId="6DDBABF0" w14:textId="77777777" w:rsidR="00FB4325" w:rsidRPr="00FB4325" w:rsidRDefault="00FB4325" w:rsidP="00266156">
            <w:pPr>
              <w:pStyle w:val="SingleTxt"/>
              <w:ind w:left="0" w:right="0"/>
            </w:pPr>
            <w:r w:rsidRPr="00FB4325">
              <w:rPr>
                <w:rFonts w:hint="eastAsia"/>
              </w:rPr>
              <w:t>波兰反歧视法学会</w:t>
            </w:r>
            <w:r w:rsidRPr="00FB4325">
              <w:rPr>
                <w:rFonts w:hint="eastAsia"/>
              </w:rPr>
              <w:t>(</w:t>
            </w:r>
            <w:r w:rsidRPr="00FB4325">
              <w:rPr>
                <w:rFonts w:hint="eastAsia"/>
              </w:rPr>
              <w:t>由律师、</w:t>
            </w:r>
            <w:r w:rsidRPr="00FB4325">
              <w:rPr>
                <w:rFonts w:hint="eastAsia"/>
              </w:rPr>
              <w:t xml:space="preserve">Krzysztof </w:t>
            </w:r>
            <w:proofErr w:type="spellStart"/>
            <w:r w:rsidRPr="00FB4325">
              <w:rPr>
                <w:rFonts w:hint="eastAsia"/>
              </w:rPr>
              <w:t>Smiszek</w:t>
            </w:r>
            <w:proofErr w:type="spellEnd"/>
            <w:r w:rsidRPr="00FB4325">
              <w:rPr>
                <w:rFonts w:hint="eastAsia"/>
              </w:rPr>
              <w:t>和</w:t>
            </w:r>
            <w:r w:rsidRPr="00FB4325">
              <w:rPr>
                <w:rFonts w:hint="eastAsia"/>
              </w:rPr>
              <w:t xml:space="preserve">Karolina </w:t>
            </w:r>
            <w:proofErr w:type="spellStart"/>
            <w:r w:rsidRPr="00FB4325">
              <w:rPr>
                <w:rFonts w:hint="eastAsia"/>
              </w:rPr>
              <w:t>K</w:t>
            </w:r>
            <w:r w:rsidRPr="00FB4325">
              <w:t>ę</w:t>
            </w:r>
            <w:r w:rsidRPr="00FB4325">
              <w:rPr>
                <w:rFonts w:hint="eastAsia"/>
              </w:rPr>
              <w:t>dziora</w:t>
            </w:r>
            <w:proofErr w:type="spellEnd"/>
            <w:r w:rsidRPr="00FB4325">
              <w:rPr>
                <w:rFonts w:hint="eastAsia"/>
              </w:rPr>
              <w:t>代理</w:t>
            </w:r>
            <w:r w:rsidRPr="00FB4325">
              <w:rPr>
                <w:rFonts w:hint="eastAsia"/>
              </w:rPr>
              <w:t>)</w:t>
            </w:r>
          </w:p>
        </w:tc>
      </w:tr>
      <w:tr w:rsidR="00FB4325" w:rsidRPr="00FB4325" w14:paraId="35DF45C9" w14:textId="77777777" w:rsidTr="00266156">
        <w:tc>
          <w:tcPr>
            <w:tcW w:w="2001" w:type="dxa"/>
            <w:hideMark/>
          </w:tcPr>
          <w:p w14:paraId="3F87E2B5" w14:textId="77777777" w:rsidR="00FB4325" w:rsidRPr="00FB4325" w:rsidRDefault="00FB4325" w:rsidP="00266156">
            <w:pPr>
              <w:pStyle w:val="SingleTxt"/>
              <w:ind w:left="0" w:right="0"/>
            </w:pPr>
            <w:r w:rsidRPr="00FB4325">
              <w:rPr>
                <w:rFonts w:hint="eastAsia"/>
              </w:rPr>
              <w:t>据称受害方：</w:t>
            </w:r>
          </w:p>
        </w:tc>
        <w:tc>
          <w:tcPr>
            <w:tcW w:w="5319" w:type="dxa"/>
            <w:hideMark/>
          </w:tcPr>
          <w:p w14:paraId="5B10FDA3" w14:textId="77777777" w:rsidR="00FB4325" w:rsidRPr="00FB4325" w:rsidRDefault="00FB4325" w:rsidP="00266156">
            <w:pPr>
              <w:pStyle w:val="SingleTxt"/>
              <w:ind w:left="0" w:right="0"/>
            </w:pPr>
            <w:r w:rsidRPr="00FB4325">
              <w:rPr>
                <w:rFonts w:hint="eastAsia"/>
              </w:rPr>
              <w:t>提交方</w:t>
            </w:r>
          </w:p>
        </w:tc>
      </w:tr>
      <w:tr w:rsidR="00FB4325" w:rsidRPr="00FB4325" w14:paraId="4110F6AD" w14:textId="77777777" w:rsidTr="00266156">
        <w:tc>
          <w:tcPr>
            <w:tcW w:w="2001" w:type="dxa"/>
            <w:hideMark/>
          </w:tcPr>
          <w:p w14:paraId="5184F541" w14:textId="25876246" w:rsidR="00FB4325" w:rsidRPr="00FB4325" w:rsidRDefault="00FB4325" w:rsidP="00266156">
            <w:pPr>
              <w:pStyle w:val="SingleTxt"/>
              <w:ind w:left="0" w:right="0"/>
            </w:pPr>
            <w:r w:rsidRPr="00FB4325">
              <w:rPr>
                <w:rFonts w:hint="eastAsia"/>
              </w:rPr>
              <w:t>缔约国</w:t>
            </w:r>
            <w:r w:rsidR="00266156" w:rsidRPr="00FB4325">
              <w:rPr>
                <w:rFonts w:hint="eastAsia"/>
              </w:rPr>
              <w:t>：</w:t>
            </w:r>
          </w:p>
        </w:tc>
        <w:tc>
          <w:tcPr>
            <w:tcW w:w="5319" w:type="dxa"/>
            <w:hideMark/>
          </w:tcPr>
          <w:p w14:paraId="74C19228" w14:textId="77777777" w:rsidR="00FB4325" w:rsidRPr="00FB4325" w:rsidRDefault="00FB4325" w:rsidP="00266156">
            <w:pPr>
              <w:pStyle w:val="SingleTxt"/>
              <w:ind w:left="0" w:right="0"/>
            </w:pPr>
            <w:r w:rsidRPr="00FB4325">
              <w:rPr>
                <w:rFonts w:hint="eastAsia"/>
              </w:rPr>
              <w:t>波兰</w:t>
            </w:r>
          </w:p>
        </w:tc>
      </w:tr>
      <w:tr w:rsidR="00FB4325" w:rsidRPr="00FB4325" w14:paraId="2EFE9A30" w14:textId="77777777" w:rsidTr="00266156">
        <w:tc>
          <w:tcPr>
            <w:tcW w:w="2001" w:type="dxa"/>
            <w:hideMark/>
          </w:tcPr>
          <w:p w14:paraId="42D42549" w14:textId="70054E0D" w:rsidR="00FB4325" w:rsidRPr="00FB4325" w:rsidRDefault="00FB4325" w:rsidP="00266156">
            <w:pPr>
              <w:pStyle w:val="SingleTxt"/>
              <w:ind w:left="0" w:right="0"/>
            </w:pPr>
            <w:r w:rsidRPr="00FB4325">
              <w:rPr>
                <w:rFonts w:hint="eastAsia"/>
              </w:rPr>
              <w:t>来文日期</w:t>
            </w:r>
            <w:r w:rsidR="00266156" w:rsidRPr="00FB4325">
              <w:rPr>
                <w:rFonts w:hint="eastAsia"/>
              </w:rPr>
              <w:t>：</w:t>
            </w:r>
          </w:p>
        </w:tc>
        <w:tc>
          <w:tcPr>
            <w:tcW w:w="5319" w:type="dxa"/>
            <w:hideMark/>
          </w:tcPr>
          <w:p w14:paraId="5FA74493" w14:textId="0DD1C188" w:rsidR="00FB4325" w:rsidRPr="00FB4325" w:rsidRDefault="00FB4325" w:rsidP="00266156">
            <w:pPr>
              <w:pStyle w:val="SingleTxt"/>
              <w:ind w:left="0" w:right="0"/>
            </w:pPr>
            <w:r w:rsidRPr="00FB4325">
              <w:rPr>
                <w:rFonts w:hint="eastAsia"/>
              </w:rPr>
              <w:t>2018</w:t>
            </w:r>
            <w:r w:rsidRPr="00FB4325">
              <w:rPr>
                <w:rFonts w:hint="eastAsia"/>
              </w:rPr>
              <w:t>年</w:t>
            </w:r>
            <w:r w:rsidRPr="00FB4325">
              <w:rPr>
                <w:rFonts w:hint="eastAsia"/>
              </w:rPr>
              <w:t>9</w:t>
            </w:r>
            <w:r w:rsidRPr="00FB4325">
              <w:rPr>
                <w:rFonts w:hint="eastAsia"/>
              </w:rPr>
              <w:t>月</w:t>
            </w:r>
            <w:r w:rsidRPr="00FB4325">
              <w:rPr>
                <w:rFonts w:hint="eastAsia"/>
              </w:rPr>
              <w:t>13</w:t>
            </w:r>
            <w:r w:rsidRPr="00FB4325">
              <w:rPr>
                <w:rFonts w:hint="eastAsia"/>
              </w:rPr>
              <w:t>日</w:t>
            </w:r>
            <w:r w:rsidRPr="00FB4325">
              <w:rPr>
                <w:rFonts w:hint="eastAsia"/>
              </w:rPr>
              <w:t>(</w:t>
            </w:r>
            <w:r w:rsidRPr="00FB4325">
              <w:rPr>
                <w:rFonts w:hint="eastAsia"/>
              </w:rPr>
              <w:t>初次提交</w:t>
            </w:r>
            <w:r w:rsidRPr="00FB4325">
              <w:rPr>
                <w:rFonts w:hint="eastAsia"/>
              </w:rPr>
              <w:t>)</w:t>
            </w:r>
          </w:p>
        </w:tc>
      </w:tr>
      <w:tr w:rsidR="00FB4325" w:rsidRPr="00FB4325" w14:paraId="69854344" w14:textId="77777777" w:rsidTr="00266156">
        <w:tc>
          <w:tcPr>
            <w:tcW w:w="2001" w:type="dxa"/>
            <w:hideMark/>
          </w:tcPr>
          <w:p w14:paraId="786DF4A8" w14:textId="77777777" w:rsidR="00FB4325" w:rsidRPr="00FB4325" w:rsidRDefault="00FB4325" w:rsidP="00266156">
            <w:pPr>
              <w:pStyle w:val="SingleTxt"/>
              <w:ind w:left="0" w:right="0"/>
            </w:pPr>
            <w:r w:rsidRPr="00FB4325">
              <w:rPr>
                <w:rFonts w:hint="eastAsia"/>
              </w:rPr>
              <w:t>参考文件：</w:t>
            </w:r>
          </w:p>
        </w:tc>
        <w:tc>
          <w:tcPr>
            <w:tcW w:w="5319" w:type="dxa"/>
            <w:hideMark/>
          </w:tcPr>
          <w:p w14:paraId="2D4FCD57" w14:textId="77777777" w:rsidR="00FB4325" w:rsidRPr="00FB4325" w:rsidRDefault="00FB4325" w:rsidP="00266156">
            <w:pPr>
              <w:pStyle w:val="SingleTxt"/>
              <w:ind w:left="0" w:right="0"/>
            </w:pPr>
            <w:r w:rsidRPr="00FB4325">
              <w:rPr>
                <w:rFonts w:hint="eastAsia"/>
              </w:rPr>
              <w:t>根据委员会议事规则第</w:t>
            </w:r>
            <w:r w:rsidRPr="00FB4325">
              <w:rPr>
                <w:rFonts w:hint="eastAsia"/>
              </w:rPr>
              <w:t>69</w:t>
            </w:r>
            <w:r w:rsidRPr="00FB4325">
              <w:rPr>
                <w:rFonts w:hint="eastAsia"/>
              </w:rPr>
              <w:t>条第</w:t>
            </w:r>
            <w:r w:rsidRPr="00FB4325">
              <w:rPr>
                <w:rFonts w:hint="eastAsia"/>
              </w:rPr>
              <w:t>3</w:t>
            </w:r>
            <w:r w:rsidRPr="00FB4325">
              <w:rPr>
                <w:rFonts w:hint="eastAsia"/>
              </w:rPr>
              <w:t>款</w:t>
            </w:r>
            <w:proofErr w:type="gramStart"/>
            <w:r w:rsidRPr="00FB4325">
              <w:rPr>
                <w:rFonts w:hint="eastAsia"/>
              </w:rPr>
              <w:t>作出</w:t>
            </w:r>
            <w:proofErr w:type="gramEnd"/>
            <w:r w:rsidRPr="00FB4325">
              <w:rPr>
                <w:rFonts w:hint="eastAsia"/>
              </w:rPr>
              <w:t>的决定，于</w:t>
            </w:r>
            <w:r w:rsidRPr="00FB4325">
              <w:rPr>
                <w:rFonts w:hint="eastAsia"/>
              </w:rPr>
              <w:t>2018</w:t>
            </w:r>
            <w:r w:rsidRPr="00FB4325">
              <w:rPr>
                <w:rFonts w:hint="eastAsia"/>
              </w:rPr>
              <w:t>年</w:t>
            </w:r>
            <w:r w:rsidRPr="00FB4325">
              <w:rPr>
                <w:rFonts w:hint="eastAsia"/>
              </w:rPr>
              <w:t>11</w:t>
            </w:r>
            <w:r w:rsidRPr="00FB4325">
              <w:rPr>
                <w:rFonts w:hint="eastAsia"/>
              </w:rPr>
              <w:t>月</w:t>
            </w:r>
            <w:r w:rsidRPr="00FB4325">
              <w:rPr>
                <w:rFonts w:hint="eastAsia"/>
              </w:rPr>
              <w:t>27</w:t>
            </w:r>
            <w:r w:rsidRPr="00FB4325">
              <w:rPr>
                <w:rFonts w:hint="eastAsia"/>
              </w:rPr>
              <w:t>日转交缔约国</w:t>
            </w:r>
            <w:r w:rsidRPr="00FB4325">
              <w:rPr>
                <w:rFonts w:hint="eastAsia"/>
              </w:rPr>
              <w:t>(</w:t>
            </w:r>
            <w:r w:rsidRPr="00FB4325">
              <w:rPr>
                <w:rFonts w:hint="eastAsia"/>
              </w:rPr>
              <w:t>未以文件形式发布</w:t>
            </w:r>
            <w:r w:rsidRPr="00FB4325">
              <w:rPr>
                <w:rFonts w:hint="eastAsia"/>
              </w:rPr>
              <w:t>)</w:t>
            </w:r>
          </w:p>
        </w:tc>
      </w:tr>
      <w:tr w:rsidR="00FB4325" w:rsidRPr="00FB4325" w14:paraId="4BCDD5B2" w14:textId="77777777" w:rsidTr="00266156">
        <w:tc>
          <w:tcPr>
            <w:tcW w:w="2001" w:type="dxa"/>
            <w:hideMark/>
          </w:tcPr>
          <w:p w14:paraId="38727E8A" w14:textId="3398F3E7" w:rsidR="00FB4325" w:rsidRPr="00FB4325" w:rsidRDefault="00FB4325" w:rsidP="00266156">
            <w:pPr>
              <w:pStyle w:val="SingleTxt"/>
              <w:ind w:left="0" w:right="0"/>
            </w:pPr>
            <w:r w:rsidRPr="00FB4325">
              <w:rPr>
                <w:rFonts w:hint="eastAsia"/>
              </w:rPr>
              <w:t>决定通过日期</w:t>
            </w:r>
            <w:r w:rsidR="00266156" w:rsidRPr="00FB4325">
              <w:rPr>
                <w:rFonts w:hint="eastAsia"/>
              </w:rPr>
              <w:t>：</w:t>
            </w:r>
          </w:p>
        </w:tc>
        <w:tc>
          <w:tcPr>
            <w:tcW w:w="5319" w:type="dxa"/>
            <w:hideMark/>
          </w:tcPr>
          <w:p w14:paraId="1B6D511F" w14:textId="77777777" w:rsidR="00FB4325" w:rsidRPr="00FB4325" w:rsidRDefault="00FB4325" w:rsidP="00266156">
            <w:pPr>
              <w:pStyle w:val="SingleTxt"/>
              <w:ind w:left="0" w:right="0"/>
            </w:pPr>
            <w:r w:rsidRPr="00FB4325">
              <w:rPr>
                <w:rFonts w:hint="eastAsia"/>
              </w:rPr>
              <w:t>2019</w:t>
            </w:r>
            <w:r w:rsidRPr="00FB4325">
              <w:rPr>
                <w:rFonts w:hint="eastAsia"/>
              </w:rPr>
              <w:t>年</w:t>
            </w:r>
            <w:r w:rsidRPr="00FB4325">
              <w:rPr>
                <w:rFonts w:hint="eastAsia"/>
              </w:rPr>
              <w:t>7</w:t>
            </w:r>
            <w:r w:rsidRPr="00FB4325">
              <w:rPr>
                <w:rFonts w:hint="eastAsia"/>
              </w:rPr>
              <w:t>月</w:t>
            </w:r>
            <w:r w:rsidRPr="00FB4325">
              <w:rPr>
                <w:rFonts w:hint="eastAsia"/>
              </w:rPr>
              <w:t>19</w:t>
            </w:r>
            <w:r w:rsidRPr="00FB4325">
              <w:rPr>
                <w:rFonts w:hint="eastAsia"/>
              </w:rPr>
              <w:t>日</w:t>
            </w:r>
          </w:p>
        </w:tc>
      </w:tr>
    </w:tbl>
    <w:p w14:paraId="3993FBA3" w14:textId="0DFDC377" w:rsidR="00266156" w:rsidRDefault="00266156" w:rsidP="00A10536">
      <w:pPr>
        <w:pStyle w:val="SingleTxt"/>
      </w:pPr>
    </w:p>
    <w:p w14:paraId="5B406480" w14:textId="77777777" w:rsidR="00266156" w:rsidRDefault="00266156">
      <w:pPr>
        <w:spacing w:line="240" w:lineRule="auto"/>
        <w:jc w:val="left"/>
      </w:pPr>
      <w:r>
        <w:br w:type="page"/>
      </w:r>
    </w:p>
    <w:p w14:paraId="02BEFF50" w14:textId="77777777" w:rsidR="00266156" w:rsidRPr="00266156" w:rsidRDefault="00266156" w:rsidP="00BC105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266156">
        <w:rPr>
          <w:rFonts w:hint="eastAsia"/>
        </w:rPr>
        <w:lastRenderedPageBreak/>
        <w:tab/>
      </w:r>
      <w:r w:rsidRPr="00266156">
        <w:rPr>
          <w:rFonts w:hint="eastAsia"/>
        </w:rPr>
        <w:tab/>
      </w:r>
      <w:r w:rsidRPr="00266156">
        <w:rPr>
          <w:rFonts w:hint="eastAsia"/>
        </w:rPr>
        <w:t>背景</w:t>
      </w:r>
    </w:p>
    <w:p w14:paraId="745553AF" w14:textId="77777777" w:rsidR="00266156" w:rsidRPr="00266156" w:rsidRDefault="00266156" w:rsidP="00266156">
      <w:pPr>
        <w:pStyle w:val="SingleTxt"/>
      </w:pPr>
      <w:r w:rsidRPr="00266156">
        <w:rPr>
          <w:rFonts w:hint="eastAsia"/>
        </w:rPr>
        <w:t>1.1</w:t>
      </w:r>
      <w:r w:rsidRPr="00266156">
        <w:rPr>
          <w:rFonts w:hint="eastAsia"/>
        </w:rPr>
        <w:tab/>
      </w:r>
      <w:r w:rsidRPr="00266156">
        <w:rPr>
          <w:rFonts w:hint="eastAsia"/>
        </w:rPr>
        <w:t>本来文提交方为波兰反歧视法协会，这是一个非政府组织，以本身名义提交来文。提交方称波兰侵犯了该组织根据《公约》第</w:t>
      </w:r>
      <w:r w:rsidRPr="00266156">
        <w:rPr>
          <w:rFonts w:hint="eastAsia"/>
        </w:rPr>
        <w:t>2</w:t>
      </w:r>
      <w:r w:rsidRPr="00266156">
        <w:rPr>
          <w:rFonts w:hint="eastAsia"/>
        </w:rPr>
        <w:t>条</w:t>
      </w:r>
      <w:r w:rsidRPr="00266156">
        <w:rPr>
          <w:rFonts w:hint="eastAsia"/>
        </w:rPr>
        <w:t>c</w:t>
      </w:r>
      <w:r w:rsidRPr="00266156">
        <w:rPr>
          <w:rFonts w:hint="eastAsia"/>
        </w:rPr>
        <w:t>、</w:t>
      </w:r>
      <w:r w:rsidRPr="00266156">
        <w:rPr>
          <w:rFonts w:hint="eastAsia"/>
        </w:rPr>
        <w:t>e</w:t>
      </w:r>
      <w:r w:rsidRPr="00266156">
        <w:rPr>
          <w:rFonts w:hint="eastAsia"/>
        </w:rPr>
        <w:t>和</w:t>
      </w:r>
      <w:r w:rsidRPr="00266156">
        <w:rPr>
          <w:rFonts w:hint="eastAsia"/>
        </w:rPr>
        <w:t>f</w:t>
      </w:r>
      <w:r w:rsidRPr="00266156">
        <w:rPr>
          <w:rFonts w:hint="eastAsia"/>
        </w:rPr>
        <w:t>项、第</w:t>
      </w:r>
      <w:r w:rsidRPr="00266156">
        <w:rPr>
          <w:rFonts w:hint="eastAsia"/>
        </w:rPr>
        <w:t>5</w:t>
      </w:r>
      <w:r w:rsidRPr="00266156">
        <w:rPr>
          <w:rFonts w:hint="eastAsia"/>
        </w:rPr>
        <w:t>条</w:t>
      </w:r>
      <w:r w:rsidRPr="00266156">
        <w:rPr>
          <w:rFonts w:hint="eastAsia"/>
        </w:rPr>
        <w:t>a</w:t>
      </w:r>
      <w:r w:rsidRPr="00266156">
        <w:rPr>
          <w:rFonts w:hint="eastAsia"/>
        </w:rPr>
        <w:t>项和第</w:t>
      </w:r>
      <w:r w:rsidRPr="00266156">
        <w:rPr>
          <w:rFonts w:hint="eastAsia"/>
        </w:rPr>
        <w:t>10</w:t>
      </w:r>
      <w:r w:rsidRPr="00266156">
        <w:rPr>
          <w:rFonts w:hint="eastAsia"/>
        </w:rPr>
        <w:t>条</w:t>
      </w:r>
      <w:r w:rsidRPr="00266156">
        <w:rPr>
          <w:rFonts w:hint="eastAsia"/>
        </w:rPr>
        <w:t>c</w:t>
      </w:r>
      <w:r w:rsidRPr="00266156">
        <w:rPr>
          <w:rFonts w:hint="eastAsia"/>
        </w:rPr>
        <w:t>项规定享有的权利，因为波兰法院裁定，提交方没有资格就一本含有对强奸表达赞同语言的书提交“犯罪通知”。《公约任择议定书》于</w:t>
      </w:r>
      <w:r w:rsidRPr="00266156">
        <w:rPr>
          <w:rFonts w:hint="eastAsia"/>
        </w:rPr>
        <w:t>2004</w:t>
      </w:r>
      <w:r w:rsidRPr="00266156">
        <w:rPr>
          <w:rFonts w:hint="eastAsia"/>
        </w:rPr>
        <w:t>年</w:t>
      </w:r>
      <w:r w:rsidRPr="00266156">
        <w:rPr>
          <w:rFonts w:hint="eastAsia"/>
        </w:rPr>
        <w:t>3</w:t>
      </w:r>
      <w:r w:rsidRPr="00266156">
        <w:rPr>
          <w:rFonts w:hint="eastAsia"/>
        </w:rPr>
        <w:t>月</w:t>
      </w:r>
      <w:r w:rsidRPr="00266156">
        <w:rPr>
          <w:rFonts w:hint="eastAsia"/>
        </w:rPr>
        <w:t>22</w:t>
      </w:r>
      <w:r w:rsidRPr="00266156">
        <w:rPr>
          <w:rFonts w:hint="eastAsia"/>
        </w:rPr>
        <w:t>日对波兰生效。提交方的代理人是律师、该协会会长</w:t>
      </w:r>
      <w:r w:rsidRPr="00266156">
        <w:rPr>
          <w:rFonts w:hint="eastAsia"/>
        </w:rPr>
        <w:t xml:space="preserve">Krzysztof </w:t>
      </w:r>
      <w:proofErr w:type="spellStart"/>
      <w:r w:rsidRPr="00266156">
        <w:rPr>
          <w:rFonts w:hint="eastAsia"/>
        </w:rPr>
        <w:t>Smiszek</w:t>
      </w:r>
      <w:proofErr w:type="spellEnd"/>
      <w:r w:rsidRPr="00266156">
        <w:rPr>
          <w:rFonts w:hint="eastAsia"/>
        </w:rPr>
        <w:t>和副会长</w:t>
      </w:r>
      <w:r w:rsidRPr="00266156">
        <w:rPr>
          <w:rFonts w:hint="eastAsia"/>
        </w:rPr>
        <w:t xml:space="preserve">Karolina </w:t>
      </w:r>
      <w:proofErr w:type="spellStart"/>
      <w:r w:rsidRPr="00266156">
        <w:rPr>
          <w:rFonts w:hint="eastAsia"/>
        </w:rPr>
        <w:t>K</w:t>
      </w:r>
      <w:r w:rsidRPr="00266156">
        <w:t>ę</w:t>
      </w:r>
      <w:r w:rsidRPr="00266156">
        <w:rPr>
          <w:rFonts w:hint="eastAsia"/>
        </w:rPr>
        <w:t>dziora</w:t>
      </w:r>
      <w:proofErr w:type="spellEnd"/>
      <w:r w:rsidRPr="00266156">
        <w:rPr>
          <w:rFonts w:hint="eastAsia"/>
        </w:rPr>
        <w:t>。</w:t>
      </w:r>
    </w:p>
    <w:p w14:paraId="0878668D" w14:textId="77777777" w:rsidR="00266156" w:rsidRPr="00266156" w:rsidRDefault="00266156" w:rsidP="00266156">
      <w:pPr>
        <w:pStyle w:val="SingleTxt"/>
      </w:pPr>
      <w:r w:rsidRPr="00266156">
        <w:rPr>
          <w:rFonts w:hint="eastAsia"/>
        </w:rPr>
        <w:t>1.2</w:t>
      </w:r>
      <w:r w:rsidRPr="00266156">
        <w:rPr>
          <w:rFonts w:hint="eastAsia"/>
        </w:rPr>
        <w:tab/>
      </w:r>
      <w:r w:rsidRPr="00266156">
        <w:rPr>
          <w:rFonts w:hint="eastAsia"/>
        </w:rPr>
        <w:t>来文于</w:t>
      </w:r>
      <w:r w:rsidRPr="00266156">
        <w:rPr>
          <w:rFonts w:hint="eastAsia"/>
        </w:rPr>
        <w:t>2018</w:t>
      </w:r>
      <w:r w:rsidRPr="00266156">
        <w:rPr>
          <w:rFonts w:hint="eastAsia"/>
        </w:rPr>
        <w:t>年</w:t>
      </w:r>
      <w:r w:rsidRPr="00266156">
        <w:rPr>
          <w:rFonts w:hint="eastAsia"/>
        </w:rPr>
        <w:t>11</w:t>
      </w:r>
      <w:r w:rsidRPr="00266156">
        <w:rPr>
          <w:rFonts w:hint="eastAsia"/>
        </w:rPr>
        <w:t>月</w:t>
      </w:r>
      <w:r w:rsidRPr="00266156">
        <w:rPr>
          <w:rFonts w:hint="eastAsia"/>
        </w:rPr>
        <w:t>27</w:t>
      </w:r>
      <w:r w:rsidRPr="00266156">
        <w:rPr>
          <w:rFonts w:hint="eastAsia"/>
        </w:rPr>
        <w:t>日登记在册。</w:t>
      </w:r>
      <w:r w:rsidRPr="00266156">
        <w:rPr>
          <w:rFonts w:hint="eastAsia"/>
        </w:rPr>
        <w:t>2019</w:t>
      </w:r>
      <w:r w:rsidRPr="00266156">
        <w:rPr>
          <w:rFonts w:hint="eastAsia"/>
        </w:rPr>
        <w:t>年</w:t>
      </w:r>
      <w:r w:rsidRPr="00266156">
        <w:rPr>
          <w:rFonts w:hint="eastAsia"/>
        </w:rPr>
        <w:t>4</w:t>
      </w:r>
      <w:r w:rsidRPr="00266156">
        <w:rPr>
          <w:rFonts w:hint="eastAsia"/>
        </w:rPr>
        <w:t>月</w:t>
      </w:r>
      <w:r w:rsidRPr="00266156">
        <w:rPr>
          <w:rFonts w:hint="eastAsia"/>
        </w:rPr>
        <w:t>5</w:t>
      </w:r>
      <w:r w:rsidRPr="00266156">
        <w:rPr>
          <w:rFonts w:hint="eastAsia"/>
        </w:rPr>
        <w:t>日，委员会依据《任择议定书》</w:t>
      </w:r>
      <w:proofErr w:type="gramStart"/>
      <w:r w:rsidRPr="00266156">
        <w:rPr>
          <w:rFonts w:hint="eastAsia"/>
        </w:rPr>
        <w:t>经由其</w:t>
      </w:r>
      <w:proofErr w:type="gramEnd"/>
      <w:r w:rsidRPr="00266156">
        <w:rPr>
          <w:rFonts w:hint="eastAsia"/>
        </w:rPr>
        <w:t>任择议定书来文工作组进行审议，认可了缔约国关于对来文按可否受理与来文的理据作分别审议的这一请求。</w:t>
      </w:r>
    </w:p>
    <w:p w14:paraId="0E02F117" w14:textId="77777777" w:rsidR="00266156" w:rsidRPr="00266156" w:rsidRDefault="00266156" w:rsidP="00BC105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266156">
        <w:rPr>
          <w:rFonts w:hint="eastAsia"/>
        </w:rPr>
        <w:tab/>
      </w:r>
      <w:r w:rsidRPr="00266156">
        <w:rPr>
          <w:rFonts w:hint="eastAsia"/>
        </w:rPr>
        <w:tab/>
      </w:r>
      <w:r w:rsidRPr="00266156">
        <w:rPr>
          <w:rFonts w:hint="eastAsia"/>
        </w:rPr>
        <w:t>提交方陈述的事实</w:t>
      </w:r>
    </w:p>
    <w:p w14:paraId="21E7A5DF" w14:textId="1190799E" w:rsidR="00266156" w:rsidRPr="00266156" w:rsidRDefault="00266156" w:rsidP="00266156">
      <w:pPr>
        <w:pStyle w:val="SingleTxt"/>
      </w:pPr>
      <w:r w:rsidRPr="00266156">
        <w:rPr>
          <w:rFonts w:hint="eastAsia"/>
        </w:rPr>
        <w:t>2.1</w:t>
      </w:r>
      <w:r w:rsidRPr="00266156">
        <w:rPr>
          <w:rFonts w:hint="eastAsia"/>
        </w:rPr>
        <w:tab/>
        <w:t>2012</w:t>
      </w:r>
      <w:r w:rsidRPr="00266156">
        <w:rPr>
          <w:rFonts w:hint="eastAsia"/>
        </w:rPr>
        <w:t>年</w:t>
      </w:r>
      <w:r w:rsidRPr="00266156">
        <w:rPr>
          <w:rFonts w:hint="eastAsia"/>
        </w:rPr>
        <w:t>7</w:t>
      </w:r>
      <w:r w:rsidRPr="00266156">
        <w:rPr>
          <w:rFonts w:hint="eastAsia"/>
        </w:rPr>
        <w:t>月</w:t>
      </w:r>
      <w:r w:rsidRPr="00266156">
        <w:rPr>
          <w:rFonts w:hint="eastAsia"/>
        </w:rPr>
        <w:t>17</w:t>
      </w:r>
      <w:r w:rsidRPr="00266156">
        <w:rPr>
          <w:rFonts w:hint="eastAsia"/>
        </w:rPr>
        <w:t>日，提交方向涵盖</w:t>
      </w:r>
      <w:proofErr w:type="spellStart"/>
      <w:r w:rsidRPr="00266156">
        <w:rPr>
          <w:rFonts w:hint="eastAsia"/>
        </w:rPr>
        <w:t>Ochota</w:t>
      </w:r>
      <w:proofErr w:type="spellEnd"/>
      <w:r w:rsidRPr="00266156">
        <w:rPr>
          <w:rFonts w:hint="eastAsia"/>
        </w:rPr>
        <w:t>地区的华沙地区检察院提交了犯罪通知。涉案罪行是一出版公司出版了</w:t>
      </w:r>
      <w:proofErr w:type="gramStart"/>
      <w:r w:rsidRPr="00266156">
        <w:rPr>
          <w:rFonts w:hint="eastAsia"/>
        </w:rPr>
        <w:t>一</w:t>
      </w:r>
      <w:proofErr w:type="gramEnd"/>
      <w:r w:rsidRPr="00266156">
        <w:rPr>
          <w:rFonts w:hint="eastAsia"/>
        </w:rPr>
        <w:t>本名为《</w:t>
      </w:r>
      <w:proofErr w:type="spellStart"/>
      <w:r w:rsidRPr="00266156">
        <w:rPr>
          <w:rFonts w:hint="eastAsia"/>
        </w:rPr>
        <w:t>Angielskie</w:t>
      </w:r>
      <w:proofErr w:type="spellEnd"/>
      <w:r w:rsidRPr="00266156">
        <w:rPr>
          <w:rFonts w:hint="eastAsia"/>
        </w:rPr>
        <w:t xml:space="preserve"> </w:t>
      </w:r>
      <w:proofErr w:type="spellStart"/>
      <w:r w:rsidRPr="00266156">
        <w:rPr>
          <w:rFonts w:hint="eastAsia"/>
        </w:rPr>
        <w:t>czasy</w:t>
      </w:r>
      <w:proofErr w:type="spellEnd"/>
      <w:r w:rsidRPr="00266156">
        <w:rPr>
          <w:rFonts w:hint="eastAsia"/>
        </w:rPr>
        <w:t xml:space="preserve">: </w:t>
      </w:r>
      <w:proofErr w:type="spellStart"/>
      <w:r w:rsidRPr="00266156">
        <w:rPr>
          <w:rFonts w:hint="eastAsia"/>
        </w:rPr>
        <w:t>ju</w:t>
      </w:r>
      <w:r w:rsidRPr="00266156">
        <w:t>ż</w:t>
      </w:r>
      <w:proofErr w:type="spellEnd"/>
      <w:r w:rsidRPr="00266156">
        <w:rPr>
          <w:rFonts w:hint="eastAsia"/>
        </w:rPr>
        <w:t xml:space="preserve"> </w:t>
      </w:r>
      <w:proofErr w:type="spellStart"/>
      <w:r w:rsidRPr="00266156">
        <w:rPr>
          <w:rFonts w:hint="eastAsia"/>
        </w:rPr>
        <w:t>pro</w:t>
      </w:r>
      <w:r w:rsidRPr="00266156">
        <w:t>ś</w:t>
      </w:r>
      <w:r w:rsidRPr="00266156">
        <w:rPr>
          <w:rFonts w:hint="eastAsia"/>
        </w:rPr>
        <w:t>ciej</w:t>
      </w:r>
      <w:proofErr w:type="spellEnd"/>
      <w:r w:rsidRPr="00266156">
        <w:rPr>
          <w:rFonts w:hint="eastAsia"/>
        </w:rPr>
        <w:t xml:space="preserve"> </w:t>
      </w:r>
      <w:proofErr w:type="spellStart"/>
      <w:r w:rsidRPr="00266156">
        <w:rPr>
          <w:rFonts w:hint="eastAsia"/>
        </w:rPr>
        <w:t>si</w:t>
      </w:r>
      <w:r w:rsidRPr="00266156">
        <w:t>ę</w:t>
      </w:r>
      <w:proofErr w:type="spellEnd"/>
      <w:r w:rsidRPr="00266156">
        <w:rPr>
          <w:rFonts w:hint="eastAsia"/>
        </w:rPr>
        <w:t xml:space="preserve"> </w:t>
      </w:r>
      <w:proofErr w:type="spellStart"/>
      <w:r w:rsidRPr="00266156">
        <w:rPr>
          <w:rFonts w:hint="eastAsia"/>
        </w:rPr>
        <w:t>nie</w:t>
      </w:r>
      <w:proofErr w:type="spellEnd"/>
      <w:r w:rsidRPr="00266156">
        <w:rPr>
          <w:rFonts w:hint="eastAsia"/>
        </w:rPr>
        <w:t xml:space="preserve"> da</w:t>
      </w:r>
      <w:r w:rsidRPr="00266156">
        <w:rPr>
          <w:rFonts w:hint="eastAsia"/>
        </w:rPr>
        <w:t>》</w:t>
      </w:r>
      <w:r w:rsidR="009B75EE">
        <w:rPr>
          <w:rFonts w:hint="eastAsia"/>
        </w:rPr>
        <w:t>(</w:t>
      </w:r>
      <w:r w:rsidRPr="00266156">
        <w:rPr>
          <w:rFonts w:hint="eastAsia"/>
        </w:rPr>
        <w:t>英语时态：再简单不过了</w:t>
      </w:r>
      <w:r w:rsidR="009B75EE">
        <w:rPr>
          <w:rFonts w:hint="eastAsia"/>
        </w:rPr>
        <w:t>)</w:t>
      </w:r>
      <w:r w:rsidRPr="00266156">
        <w:rPr>
          <w:rFonts w:hint="eastAsia"/>
        </w:rPr>
        <w:t>的英语教科书，书中包含了“赞扬强奸罪的文字内容”。提交方说，赞扬即涉及到一种语言的或非语言的行为，显示肇事者表示赞同某一特定类型的罪行，而罪行是否已经发生是无关紧要的。这本书包含了一些淡化和宣扬强奸行为的有害的段落。</w:t>
      </w:r>
    </w:p>
    <w:p w14:paraId="4ED31D6C" w14:textId="77777777" w:rsidR="00266156" w:rsidRPr="00266156" w:rsidRDefault="00266156" w:rsidP="00266156">
      <w:pPr>
        <w:pStyle w:val="SingleTxt"/>
      </w:pPr>
      <w:r w:rsidRPr="00266156">
        <w:rPr>
          <w:rFonts w:hint="eastAsia"/>
        </w:rPr>
        <w:t>2.2</w:t>
      </w:r>
      <w:r w:rsidRPr="00266156">
        <w:rPr>
          <w:rFonts w:hint="eastAsia"/>
        </w:rPr>
        <w:tab/>
      </w:r>
      <w:r w:rsidRPr="00266156">
        <w:rPr>
          <w:rFonts w:hint="eastAsia"/>
        </w:rPr>
        <w:t>根据提交方的犯罪通知，上述语句构成了符合波兰《刑法》中结合第</w:t>
      </w:r>
      <w:r w:rsidRPr="00266156">
        <w:rPr>
          <w:rFonts w:hint="eastAsia"/>
        </w:rPr>
        <w:t>197</w:t>
      </w:r>
      <w:r w:rsidRPr="00266156">
        <w:rPr>
          <w:rFonts w:hint="eastAsia"/>
        </w:rPr>
        <w:t>条理解的第</w:t>
      </w:r>
      <w:r w:rsidRPr="00266156">
        <w:rPr>
          <w:rFonts w:hint="eastAsia"/>
        </w:rPr>
        <w:t>255(3)</w:t>
      </w:r>
      <w:r w:rsidRPr="00266156">
        <w:rPr>
          <w:rFonts w:hint="eastAsia"/>
        </w:rPr>
        <w:t>条定义的罪行，而有关条款中还规定了对强奸行为的惩处。第</w:t>
      </w:r>
      <w:r w:rsidRPr="00266156">
        <w:rPr>
          <w:rFonts w:hint="eastAsia"/>
        </w:rPr>
        <w:t>255(3)</w:t>
      </w:r>
      <w:r w:rsidRPr="00266156">
        <w:rPr>
          <w:rFonts w:hint="eastAsia"/>
        </w:rPr>
        <w:t>条规定，对任何公开赞扬犯罪行为的人均将处以相当于每天罚款额</w:t>
      </w:r>
      <w:r w:rsidRPr="00266156">
        <w:rPr>
          <w:rFonts w:hint="eastAsia"/>
        </w:rPr>
        <w:t>180</w:t>
      </w:r>
      <w:r w:rsidRPr="00266156">
        <w:rPr>
          <w:rFonts w:hint="eastAsia"/>
        </w:rPr>
        <w:t>倍的罚款、限制自由的惩处或剥夺自由的刑罚。</w:t>
      </w:r>
    </w:p>
    <w:p w14:paraId="141CA808" w14:textId="77777777" w:rsidR="00266156" w:rsidRPr="00266156" w:rsidRDefault="00266156" w:rsidP="00266156">
      <w:pPr>
        <w:pStyle w:val="SingleTxt"/>
      </w:pPr>
      <w:r w:rsidRPr="00266156">
        <w:rPr>
          <w:rFonts w:hint="eastAsia"/>
        </w:rPr>
        <w:t>2.3</w:t>
      </w:r>
      <w:r w:rsidRPr="00266156">
        <w:rPr>
          <w:rFonts w:hint="eastAsia"/>
        </w:rPr>
        <w:tab/>
        <w:t>7</w:t>
      </w:r>
      <w:r w:rsidRPr="00266156">
        <w:rPr>
          <w:rFonts w:hint="eastAsia"/>
        </w:rPr>
        <w:t>月</w:t>
      </w:r>
      <w:r w:rsidRPr="00266156">
        <w:rPr>
          <w:rFonts w:hint="eastAsia"/>
        </w:rPr>
        <w:t>31</w:t>
      </w:r>
      <w:r w:rsidRPr="00266156">
        <w:rPr>
          <w:rFonts w:hint="eastAsia"/>
        </w:rPr>
        <w:t>日，华沙地区检察院</w:t>
      </w:r>
      <w:proofErr w:type="gramStart"/>
      <w:r w:rsidRPr="00266156">
        <w:rPr>
          <w:rFonts w:hint="eastAsia"/>
        </w:rPr>
        <w:t>作出</w:t>
      </w:r>
      <w:proofErr w:type="gramEnd"/>
      <w:r w:rsidRPr="00266156">
        <w:rPr>
          <w:rFonts w:hint="eastAsia"/>
        </w:rPr>
        <w:t>裁决拒绝根据波兰《刑事诉讼法》第</w:t>
      </w:r>
      <w:r w:rsidRPr="00266156">
        <w:rPr>
          <w:rFonts w:hint="eastAsia"/>
        </w:rPr>
        <w:t>17(1)(2)</w:t>
      </w:r>
      <w:r w:rsidRPr="00266156">
        <w:rPr>
          <w:rFonts w:hint="eastAsia"/>
        </w:rPr>
        <w:t>条进行调查。这一裁决的依据是肇事者并没有直接的意图，而为解释英语时态结构所选用的例句至多是令人遗憾的行为而已。</w:t>
      </w:r>
    </w:p>
    <w:p w14:paraId="2A66EEAF" w14:textId="77777777" w:rsidR="00266156" w:rsidRPr="00266156" w:rsidRDefault="00266156" w:rsidP="00266156">
      <w:pPr>
        <w:pStyle w:val="SingleTxt"/>
      </w:pPr>
      <w:r w:rsidRPr="00266156">
        <w:rPr>
          <w:rFonts w:hint="eastAsia"/>
        </w:rPr>
        <w:t>2.4</w:t>
      </w:r>
      <w:r w:rsidRPr="00266156">
        <w:rPr>
          <w:rFonts w:hint="eastAsia"/>
        </w:rPr>
        <w:tab/>
        <w:t>8</w:t>
      </w:r>
      <w:r w:rsidRPr="00266156">
        <w:rPr>
          <w:rFonts w:hint="eastAsia"/>
        </w:rPr>
        <w:t>月</w:t>
      </w:r>
      <w:r w:rsidRPr="00266156">
        <w:rPr>
          <w:rFonts w:hint="eastAsia"/>
        </w:rPr>
        <w:t>7</w:t>
      </w:r>
      <w:r w:rsidRPr="00266156">
        <w:rPr>
          <w:rFonts w:hint="eastAsia"/>
        </w:rPr>
        <w:t>日，提交方对这一裁决提出上诉，辩称赞扬犯罪的行为已经发生，因为该书在特定的上下文中使用了动词原形“</w:t>
      </w:r>
      <w:r w:rsidRPr="00266156">
        <w:rPr>
          <w:rFonts w:hint="eastAsia"/>
        </w:rPr>
        <w:t>to rape</w:t>
      </w:r>
      <w:r w:rsidRPr="00266156">
        <w:rPr>
          <w:rFonts w:hint="eastAsia"/>
        </w:rPr>
        <w:t>”，表示强奸是好的和可取的现象，以此强调被强奸者所喜爱的感受，淡化强奸的罪行。</w:t>
      </w:r>
    </w:p>
    <w:p w14:paraId="49DF76C1" w14:textId="77777777" w:rsidR="00266156" w:rsidRPr="00266156" w:rsidRDefault="00266156" w:rsidP="00266156">
      <w:pPr>
        <w:pStyle w:val="SingleTxt"/>
      </w:pPr>
      <w:r w:rsidRPr="00266156">
        <w:rPr>
          <w:rFonts w:hint="eastAsia"/>
        </w:rPr>
        <w:t>2.5</w:t>
      </w:r>
      <w:r w:rsidRPr="00266156">
        <w:rPr>
          <w:rFonts w:hint="eastAsia"/>
        </w:rPr>
        <w:tab/>
        <w:t>12</w:t>
      </w:r>
      <w:r w:rsidRPr="00266156">
        <w:rPr>
          <w:rFonts w:hint="eastAsia"/>
        </w:rPr>
        <w:t>月</w:t>
      </w:r>
      <w:r w:rsidRPr="00266156">
        <w:rPr>
          <w:rFonts w:hint="eastAsia"/>
        </w:rPr>
        <w:t>14</w:t>
      </w:r>
      <w:r w:rsidRPr="00266156">
        <w:rPr>
          <w:rFonts w:hint="eastAsia"/>
        </w:rPr>
        <w:t>日，华沙地区法院第三刑事庭</w:t>
      </w:r>
      <w:proofErr w:type="gramStart"/>
      <w:r w:rsidRPr="00266156">
        <w:rPr>
          <w:rFonts w:hint="eastAsia"/>
        </w:rPr>
        <w:t>作出</w:t>
      </w:r>
      <w:proofErr w:type="gramEnd"/>
      <w:r w:rsidRPr="00266156">
        <w:rPr>
          <w:rFonts w:hint="eastAsia"/>
        </w:rPr>
        <w:t>裁决撤销检察官的决定，并将案件提交复审。</w:t>
      </w:r>
      <w:r w:rsidRPr="00BC105E">
        <w:rPr>
          <w:vertAlign w:val="superscript"/>
        </w:rPr>
        <w:footnoteReference w:id="3"/>
      </w:r>
    </w:p>
    <w:p w14:paraId="1CDBB962" w14:textId="77777777" w:rsidR="00266156" w:rsidRPr="00266156" w:rsidRDefault="00266156" w:rsidP="00266156">
      <w:pPr>
        <w:pStyle w:val="SingleTxt"/>
      </w:pPr>
      <w:r w:rsidRPr="00266156">
        <w:rPr>
          <w:rFonts w:hint="eastAsia"/>
        </w:rPr>
        <w:t>2.6</w:t>
      </w:r>
      <w:r w:rsidRPr="00266156">
        <w:rPr>
          <w:rFonts w:hint="eastAsia"/>
        </w:rPr>
        <w:tab/>
        <w:t>2013</w:t>
      </w:r>
      <w:r w:rsidRPr="00266156">
        <w:rPr>
          <w:rFonts w:hint="eastAsia"/>
        </w:rPr>
        <w:t>年</w:t>
      </w:r>
      <w:r w:rsidRPr="00266156">
        <w:rPr>
          <w:rFonts w:hint="eastAsia"/>
        </w:rPr>
        <w:t>4</w:t>
      </w:r>
      <w:r w:rsidRPr="00266156">
        <w:rPr>
          <w:rFonts w:hint="eastAsia"/>
        </w:rPr>
        <w:t>月</w:t>
      </w:r>
      <w:r w:rsidRPr="00266156">
        <w:rPr>
          <w:rFonts w:hint="eastAsia"/>
        </w:rPr>
        <w:t>3</w:t>
      </w:r>
      <w:r w:rsidRPr="00266156">
        <w:rPr>
          <w:rFonts w:hint="eastAsia"/>
        </w:rPr>
        <w:t>日，检察官对该案复审后，华沙地区检察院通知提交方，调查已经停止，并未发现违反《刑事诉讼法》第</w:t>
      </w:r>
      <w:r w:rsidRPr="00266156">
        <w:rPr>
          <w:rFonts w:hint="eastAsia"/>
        </w:rPr>
        <w:t>17(1)(2)</w:t>
      </w:r>
      <w:r w:rsidRPr="00266156">
        <w:rPr>
          <w:rFonts w:hint="eastAsia"/>
        </w:rPr>
        <w:t>条的案情。然而，</w:t>
      </w:r>
      <w:r w:rsidRPr="00266156">
        <w:rPr>
          <w:rFonts w:hint="eastAsia"/>
        </w:rPr>
        <w:t>3</w:t>
      </w:r>
      <w:r w:rsidRPr="00266156">
        <w:rPr>
          <w:rFonts w:hint="eastAsia"/>
        </w:rPr>
        <w:t>月</w:t>
      </w:r>
      <w:r w:rsidRPr="00266156">
        <w:rPr>
          <w:rFonts w:hint="eastAsia"/>
        </w:rPr>
        <w:t>29</w:t>
      </w:r>
      <w:r w:rsidRPr="00266156">
        <w:rPr>
          <w:rFonts w:hint="eastAsia"/>
        </w:rPr>
        <w:t>日</w:t>
      </w:r>
      <w:r w:rsidRPr="00266156">
        <w:rPr>
          <w:rFonts w:hint="eastAsia"/>
        </w:rPr>
        <w:lastRenderedPageBreak/>
        <w:t>对这一事件</w:t>
      </w:r>
      <w:proofErr w:type="gramStart"/>
      <w:r w:rsidRPr="00266156">
        <w:rPr>
          <w:rFonts w:hint="eastAsia"/>
        </w:rPr>
        <w:t>作出</w:t>
      </w:r>
      <w:proofErr w:type="gramEnd"/>
      <w:r w:rsidRPr="00266156">
        <w:rPr>
          <w:rFonts w:hint="eastAsia"/>
        </w:rPr>
        <w:t>的裁决并没有送达提交方，因为据认为在此案中，一个组织不具有受害方地位。</w:t>
      </w:r>
    </w:p>
    <w:p w14:paraId="3463B454" w14:textId="77777777" w:rsidR="00266156" w:rsidRPr="00266156" w:rsidRDefault="00266156" w:rsidP="00266156">
      <w:pPr>
        <w:pStyle w:val="SingleTxt"/>
      </w:pPr>
      <w:r w:rsidRPr="00266156">
        <w:rPr>
          <w:rFonts w:hint="eastAsia"/>
        </w:rPr>
        <w:t>2.7</w:t>
      </w:r>
      <w:r w:rsidRPr="00266156">
        <w:rPr>
          <w:rFonts w:hint="eastAsia"/>
        </w:rPr>
        <w:tab/>
        <w:t>4</w:t>
      </w:r>
      <w:r w:rsidRPr="00266156">
        <w:rPr>
          <w:rFonts w:hint="eastAsia"/>
        </w:rPr>
        <w:t>月</w:t>
      </w:r>
      <w:r w:rsidRPr="00266156">
        <w:rPr>
          <w:rFonts w:hint="eastAsia"/>
        </w:rPr>
        <w:t>12</w:t>
      </w:r>
      <w:r w:rsidRPr="00266156">
        <w:rPr>
          <w:rFonts w:hint="eastAsia"/>
        </w:rPr>
        <w:t>日，提交方对该裁决提出上诉，指出在涉及赞扬犯罪行为的案件中，保护的问题是公共秩序问题，而不是任何特定人员的个人利益问题。根据《刑事诉讼法》第</w:t>
      </w:r>
      <w:r w:rsidRPr="00266156">
        <w:rPr>
          <w:rFonts w:hint="eastAsia"/>
        </w:rPr>
        <w:t>49(1)</w:t>
      </w:r>
      <w:r w:rsidRPr="00266156">
        <w:rPr>
          <w:rFonts w:hint="eastAsia"/>
        </w:rPr>
        <w:t>条，受害方地位成立的条件是，罪行必须与侵犯某人合法利益或威胁这种利益的行为之间存在直接联系。</w:t>
      </w:r>
    </w:p>
    <w:p w14:paraId="7009B82E" w14:textId="77777777" w:rsidR="00266156" w:rsidRPr="00266156" w:rsidRDefault="00266156" w:rsidP="00266156">
      <w:pPr>
        <w:pStyle w:val="SingleTxt"/>
      </w:pPr>
      <w:r w:rsidRPr="00266156">
        <w:rPr>
          <w:rFonts w:hint="eastAsia"/>
        </w:rPr>
        <w:t>2.8</w:t>
      </w:r>
      <w:r w:rsidRPr="00266156">
        <w:rPr>
          <w:rFonts w:hint="eastAsia"/>
        </w:rPr>
        <w:tab/>
        <w:t>4</w:t>
      </w:r>
      <w:r w:rsidRPr="00266156">
        <w:rPr>
          <w:rFonts w:hint="eastAsia"/>
        </w:rPr>
        <w:t>月</w:t>
      </w:r>
      <w:r w:rsidRPr="00266156">
        <w:rPr>
          <w:rFonts w:hint="eastAsia"/>
        </w:rPr>
        <w:t>18</w:t>
      </w:r>
      <w:r w:rsidRPr="00266156">
        <w:rPr>
          <w:rFonts w:hint="eastAsia"/>
        </w:rPr>
        <w:t>日，华沙地区检察院发布了一项命令拒绝接受上诉，理由是鉴于提交方不能具有受害方地位，上诉即视为系由未经授权的人提出。</w:t>
      </w:r>
    </w:p>
    <w:p w14:paraId="3FEBA95B" w14:textId="77777777" w:rsidR="00266156" w:rsidRPr="00266156" w:rsidRDefault="00266156" w:rsidP="00266156">
      <w:pPr>
        <w:pStyle w:val="SingleTxt"/>
      </w:pPr>
      <w:r w:rsidRPr="00266156">
        <w:rPr>
          <w:rFonts w:hint="eastAsia"/>
        </w:rPr>
        <w:t>2.9</w:t>
      </w:r>
      <w:r w:rsidRPr="00266156">
        <w:rPr>
          <w:rFonts w:hint="eastAsia"/>
        </w:rPr>
        <w:tab/>
        <w:t>4</w:t>
      </w:r>
      <w:r w:rsidRPr="00266156">
        <w:rPr>
          <w:rFonts w:hint="eastAsia"/>
        </w:rPr>
        <w:t>月</w:t>
      </w:r>
      <w:r w:rsidRPr="00266156">
        <w:rPr>
          <w:rFonts w:hint="eastAsia"/>
        </w:rPr>
        <w:t>30</w:t>
      </w:r>
      <w:r w:rsidRPr="00266156">
        <w:rPr>
          <w:rFonts w:hint="eastAsia"/>
        </w:rPr>
        <w:t>日，提交方对华沙地区检察院拒绝接受最初的上诉而提出上诉，对拒绝准予受害方地位提出质疑。</w:t>
      </w:r>
      <w:r w:rsidRPr="00266156">
        <w:rPr>
          <w:rFonts w:hint="eastAsia"/>
        </w:rPr>
        <w:t>5</w:t>
      </w:r>
      <w:r w:rsidRPr="00266156">
        <w:rPr>
          <w:rFonts w:hint="eastAsia"/>
        </w:rPr>
        <w:t>月</w:t>
      </w:r>
      <w:r w:rsidRPr="00266156">
        <w:rPr>
          <w:rFonts w:hint="eastAsia"/>
        </w:rPr>
        <w:t>15</w:t>
      </w:r>
      <w:r w:rsidRPr="00266156">
        <w:rPr>
          <w:rFonts w:hint="eastAsia"/>
        </w:rPr>
        <w:t>日，地区检察院决定不接受这一上诉，并将其转交华沙地区法院第三刑事庭。</w:t>
      </w:r>
    </w:p>
    <w:p w14:paraId="4ECCF095" w14:textId="47DA13FB" w:rsidR="00266156" w:rsidRPr="00266156" w:rsidRDefault="00266156" w:rsidP="00266156">
      <w:pPr>
        <w:pStyle w:val="SingleTxt"/>
      </w:pPr>
      <w:r w:rsidRPr="00266156">
        <w:rPr>
          <w:rFonts w:hint="eastAsia"/>
        </w:rPr>
        <w:t>2.10</w:t>
      </w:r>
      <w:r w:rsidR="00D41F06">
        <w:t xml:space="preserve">  </w:t>
      </w:r>
      <w:r w:rsidRPr="00266156">
        <w:rPr>
          <w:rFonts w:hint="eastAsia"/>
        </w:rPr>
        <w:t>7</w:t>
      </w:r>
      <w:r w:rsidRPr="00266156">
        <w:rPr>
          <w:rFonts w:hint="eastAsia"/>
        </w:rPr>
        <w:t>月</w:t>
      </w:r>
      <w:r w:rsidRPr="00266156">
        <w:rPr>
          <w:rFonts w:hint="eastAsia"/>
        </w:rPr>
        <w:t>9</w:t>
      </w:r>
      <w:r w:rsidRPr="00266156">
        <w:rPr>
          <w:rFonts w:hint="eastAsia"/>
        </w:rPr>
        <w:t>日，华沙地区法院第三刑事庭</w:t>
      </w:r>
      <w:proofErr w:type="gramStart"/>
      <w:r w:rsidRPr="00266156">
        <w:rPr>
          <w:rFonts w:hint="eastAsia"/>
        </w:rPr>
        <w:t>作出</w:t>
      </w:r>
      <w:proofErr w:type="gramEnd"/>
      <w:r w:rsidRPr="00266156">
        <w:rPr>
          <w:rFonts w:hint="eastAsia"/>
        </w:rPr>
        <w:t>裁决，不确认</w:t>
      </w:r>
      <w:r w:rsidRPr="00266156">
        <w:rPr>
          <w:rFonts w:hint="eastAsia"/>
        </w:rPr>
        <w:t>2013</w:t>
      </w:r>
      <w:r w:rsidRPr="00266156">
        <w:rPr>
          <w:rFonts w:hint="eastAsia"/>
        </w:rPr>
        <w:t>年</w:t>
      </w:r>
      <w:r w:rsidRPr="00266156">
        <w:rPr>
          <w:rFonts w:hint="eastAsia"/>
        </w:rPr>
        <w:t>4</w:t>
      </w:r>
      <w:r w:rsidRPr="00266156">
        <w:rPr>
          <w:rFonts w:hint="eastAsia"/>
        </w:rPr>
        <w:t>月</w:t>
      </w:r>
      <w:r w:rsidRPr="00266156">
        <w:rPr>
          <w:rFonts w:hint="eastAsia"/>
        </w:rPr>
        <w:t>30</w:t>
      </w:r>
      <w:r w:rsidRPr="00266156">
        <w:rPr>
          <w:rFonts w:hint="eastAsia"/>
        </w:rPr>
        <w:t>日的上诉，并维持华沙地区检察院拒绝受理的法令。法院认为，根据《刑事诉讼法》第</w:t>
      </w:r>
      <w:r w:rsidRPr="00266156">
        <w:rPr>
          <w:rFonts w:hint="eastAsia"/>
        </w:rPr>
        <w:t>49</w:t>
      </w:r>
      <w:r w:rsidRPr="00266156">
        <w:rPr>
          <w:rFonts w:hint="eastAsia"/>
        </w:rPr>
        <w:t>条，波兰反歧视法协会不能被视作具有受害方地位，因为该协会的权益并未因公开赞扬强奸罪的行为受到直接侵犯。至此，该协会便已用尽所有国内补救办法。</w:t>
      </w:r>
    </w:p>
    <w:p w14:paraId="27366CE1" w14:textId="2D9FC0D1" w:rsidR="00266156" w:rsidRPr="00266156" w:rsidRDefault="00266156" w:rsidP="00266156">
      <w:pPr>
        <w:pStyle w:val="SingleTxt"/>
      </w:pPr>
      <w:r w:rsidRPr="00266156">
        <w:rPr>
          <w:rFonts w:hint="eastAsia"/>
        </w:rPr>
        <w:t>2.11</w:t>
      </w:r>
      <w:r w:rsidR="00D41F06">
        <w:t xml:space="preserve">  </w:t>
      </w:r>
      <w:r w:rsidRPr="00266156">
        <w:rPr>
          <w:rFonts w:hint="eastAsia"/>
        </w:rPr>
        <w:t>提交方表示，该案未曾提交另一国际调查或解决程序以供审理。</w:t>
      </w:r>
    </w:p>
    <w:p w14:paraId="6DFBCB07" w14:textId="77777777" w:rsidR="00266156" w:rsidRPr="00266156" w:rsidRDefault="00266156" w:rsidP="00BC105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266156">
        <w:rPr>
          <w:rFonts w:hint="eastAsia"/>
        </w:rPr>
        <w:tab/>
      </w:r>
      <w:r w:rsidRPr="00266156">
        <w:rPr>
          <w:rFonts w:hint="eastAsia"/>
        </w:rPr>
        <w:tab/>
      </w:r>
      <w:r w:rsidRPr="00266156">
        <w:rPr>
          <w:rFonts w:hint="eastAsia"/>
        </w:rPr>
        <w:t>申诉</w:t>
      </w:r>
    </w:p>
    <w:p w14:paraId="6FA8BCD5" w14:textId="26B49659" w:rsidR="00266156" w:rsidRPr="00266156" w:rsidRDefault="00266156" w:rsidP="00266156">
      <w:pPr>
        <w:pStyle w:val="SingleTxt"/>
      </w:pPr>
      <w:r w:rsidRPr="00266156">
        <w:rPr>
          <w:rFonts w:hint="eastAsia"/>
        </w:rPr>
        <w:t>3.1</w:t>
      </w:r>
      <w:r w:rsidRPr="00266156">
        <w:rPr>
          <w:rFonts w:hint="eastAsia"/>
        </w:rPr>
        <w:tab/>
      </w:r>
      <w:r w:rsidRPr="00266156">
        <w:rPr>
          <w:rFonts w:hint="eastAsia"/>
        </w:rPr>
        <w:t>缔约国认为出于公共利益行事的提交方并不是《刑事诉讼法》第</w:t>
      </w:r>
      <w:r w:rsidRPr="00266156">
        <w:rPr>
          <w:rFonts w:hint="eastAsia"/>
        </w:rPr>
        <w:t>49(1)</w:t>
      </w:r>
      <w:r w:rsidRPr="00266156">
        <w:rPr>
          <w:rFonts w:hint="eastAsia"/>
        </w:rPr>
        <w:t>条所界定的受害方，因此不能对教育类书籍出版商涉及赞扬强奸罪而提出申诉，据此缔约国侵犯了作者根据《公约》第</w:t>
      </w:r>
      <w:r w:rsidRPr="00266156">
        <w:rPr>
          <w:rFonts w:hint="eastAsia"/>
        </w:rPr>
        <w:t>2</w:t>
      </w:r>
      <w:r w:rsidRPr="00266156">
        <w:rPr>
          <w:rFonts w:hint="eastAsia"/>
        </w:rPr>
        <w:t>条</w:t>
      </w:r>
      <w:r w:rsidRPr="00266156">
        <w:rPr>
          <w:rFonts w:hint="eastAsia"/>
        </w:rPr>
        <w:t>c</w:t>
      </w:r>
      <w:r w:rsidRPr="00266156">
        <w:rPr>
          <w:rFonts w:hint="eastAsia"/>
        </w:rPr>
        <w:t>、</w:t>
      </w:r>
      <w:r w:rsidRPr="00266156">
        <w:rPr>
          <w:rFonts w:hint="eastAsia"/>
        </w:rPr>
        <w:t>e</w:t>
      </w:r>
      <w:r w:rsidRPr="00266156">
        <w:rPr>
          <w:rFonts w:hint="eastAsia"/>
        </w:rPr>
        <w:t>和</w:t>
      </w:r>
      <w:r w:rsidRPr="00266156">
        <w:rPr>
          <w:rFonts w:hint="eastAsia"/>
        </w:rPr>
        <w:t>f</w:t>
      </w:r>
      <w:r w:rsidRPr="00266156">
        <w:rPr>
          <w:rFonts w:hint="eastAsia"/>
        </w:rPr>
        <w:t>项、第</w:t>
      </w:r>
      <w:r w:rsidRPr="00266156">
        <w:rPr>
          <w:rFonts w:hint="eastAsia"/>
        </w:rPr>
        <w:t>5</w:t>
      </w:r>
      <w:r w:rsidRPr="00266156">
        <w:rPr>
          <w:rFonts w:hint="eastAsia"/>
        </w:rPr>
        <w:t>条</w:t>
      </w:r>
      <w:r w:rsidRPr="00266156">
        <w:rPr>
          <w:rFonts w:hint="eastAsia"/>
        </w:rPr>
        <w:t>a</w:t>
      </w:r>
      <w:r w:rsidRPr="00266156">
        <w:rPr>
          <w:rFonts w:hint="eastAsia"/>
        </w:rPr>
        <w:t>项和第</w:t>
      </w:r>
      <w:r w:rsidRPr="00266156">
        <w:rPr>
          <w:rFonts w:hint="eastAsia"/>
        </w:rPr>
        <w:t>10</w:t>
      </w:r>
      <w:r w:rsidRPr="00266156">
        <w:rPr>
          <w:rFonts w:hint="eastAsia"/>
        </w:rPr>
        <w:t>条</w:t>
      </w:r>
      <w:r w:rsidRPr="00266156">
        <w:rPr>
          <w:rFonts w:hint="eastAsia"/>
        </w:rPr>
        <w:t>c</w:t>
      </w:r>
      <w:r w:rsidRPr="00266156">
        <w:rPr>
          <w:rFonts w:hint="eastAsia"/>
        </w:rPr>
        <w:t>项所享有的权利。</w:t>
      </w:r>
    </w:p>
    <w:p w14:paraId="376129CC" w14:textId="77777777" w:rsidR="00266156" w:rsidRPr="00266156" w:rsidRDefault="00266156" w:rsidP="00266156">
      <w:pPr>
        <w:pStyle w:val="SingleTxt"/>
      </w:pPr>
      <w:r w:rsidRPr="00266156">
        <w:rPr>
          <w:rFonts w:hint="eastAsia"/>
        </w:rPr>
        <w:t>3.2</w:t>
      </w:r>
      <w:r w:rsidRPr="00266156">
        <w:rPr>
          <w:rFonts w:hint="eastAsia"/>
        </w:rPr>
        <w:tab/>
      </w:r>
      <w:r w:rsidRPr="00266156">
        <w:rPr>
          <w:rFonts w:hint="eastAsia"/>
        </w:rPr>
        <w:t>具体而言，缔约国：未能通过本国的国家审案法院和其他公共机构开展诉讼程序以确保为妇女提供针对任何歧视行为的有效保护，据此就违反了《公约》第</w:t>
      </w:r>
      <w:r w:rsidRPr="00266156">
        <w:rPr>
          <w:rFonts w:hint="eastAsia"/>
        </w:rPr>
        <w:t>2</w:t>
      </w:r>
      <w:r w:rsidRPr="00266156">
        <w:rPr>
          <w:rFonts w:hint="eastAsia"/>
        </w:rPr>
        <w:t>条</w:t>
      </w:r>
      <w:r w:rsidRPr="00266156">
        <w:rPr>
          <w:rFonts w:hint="eastAsia"/>
        </w:rPr>
        <w:t>c</w:t>
      </w:r>
      <w:r w:rsidRPr="00266156">
        <w:rPr>
          <w:rFonts w:hint="eastAsia"/>
        </w:rPr>
        <w:t>项；未能采取一切适当步骤以消除任何个人、组织或企业对妇女的歧视，据此违反了第</w:t>
      </w:r>
      <w:r w:rsidRPr="00266156">
        <w:rPr>
          <w:rFonts w:hint="eastAsia"/>
        </w:rPr>
        <w:t>2</w:t>
      </w:r>
      <w:r w:rsidRPr="00266156">
        <w:rPr>
          <w:rFonts w:hint="eastAsia"/>
        </w:rPr>
        <w:t>条</w:t>
      </w:r>
      <w:r w:rsidRPr="00266156">
        <w:rPr>
          <w:rFonts w:hint="eastAsia"/>
        </w:rPr>
        <w:t>e</w:t>
      </w:r>
      <w:r w:rsidRPr="00266156">
        <w:rPr>
          <w:rFonts w:hint="eastAsia"/>
        </w:rPr>
        <w:t>项；未能采取适当的立法步骤和其他行动，包括必要时制裁和禁止对妇女的任何歧视，据此违反了第</w:t>
      </w:r>
      <w:r w:rsidRPr="00266156">
        <w:rPr>
          <w:rFonts w:hint="eastAsia"/>
        </w:rPr>
        <w:t>2</w:t>
      </w:r>
      <w:r w:rsidRPr="00266156">
        <w:rPr>
          <w:rFonts w:hint="eastAsia"/>
        </w:rPr>
        <w:t>条</w:t>
      </w:r>
      <w:r w:rsidRPr="00266156">
        <w:rPr>
          <w:rFonts w:hint="eastAsia"/>
        </w:rPr>
        <w:t>f</w:t>
      </w:r>
      <w:r w:rsidRPr="00266156">
        <w:rPr>
          <w:rFonts w:hint="eastAsia"/>
        </w:rPr>
        <w:t>项；未能采取适当步骤改变男女的社会和文化行为模式，以消除基于男女定型角色的偏见和习惯或其他惯例，据此违反了第</w:t>
      </w:r>
      <w:r w:rsidRPr="00266156">
        <w:rPr>
          <w:rFonts w:hint="eastAsia"/>
        </w:rPr>
        <w:t>5</w:t>
      </w:r>
      <w:r w:rsidRPr="00266156">
        <w:rPr>
          <w:rFonts w:hint="eastAsia"/>
        </w:rPr>
        <w:t>条</w:t>
      </w:r>
      <w:r w:rsidRPr="00266156">
        <w:rPr>
          <w:rFonts w:hint="eastAsia"/>
        </w:rPr>
        <w:t>a</w:t>
      </w:r>
      <w:r w:rsidRPr="00266156">
        <w:rPr>
          <w:rFonts w:hint="eastAsia"/>
        </w:rPr>
        <w:t>项；未能采取一切适当步骤，特别是通过修订教科书以消除对男女在教育领域角色的定型观念，据此违反了第</w:t>
      </w:r>
      <w:r w:rsidRPr="00266156">
        <w:rPr>
          <w:rFonts w:hint="eastAsia"/>
        </w:rPr>
        <w:t>10</w:t>
      </w:r>
      <w:r w:rsidRPr="00266156">
        <w:rPr>
          <w:rFonts w:hint="eastAsia"/>
        </w:rPr>
        <w:t>条</w:t>
      </w:r>
      <w:r w:rsidRPr="00266156">
        <w:rPr>
          <w:rFonts w:hint="eastAsia"/>
        </w:rPr>
        <w:t>c</w:t>
      </w:r>
      <w:r w:rsidRPr="00266156">
        <w:rPr>
          <w:rFonts w:hint="eastAsia"/>
        </w:rPr>
        <w:t>项。为了履行这些条款所规定的义务，缔约国应当对其刑事诉讼程序</w:t>
      </w:r>
      <w:proofErr w:type="gramStart"/>
      <w:r w:rsidRPr="00266156">
        <w:rPr>
          <w:rFonts w:hint="eastAsia"/>
        </w:rPr>
        <w:t>作出</w:t>
      </w:r>
      <w:proofErr w:type="gramEnd"/>
      <w:r w:rsidRPr="00266156">
        <w:rPr>
          <w:rFonts w:hint="eastAsia"/>
        </w:rPr>
        <w:t>修改，从而确认，为了合法的公共利益针对破坏公共秩序罪行而采取行动的组织具有受害方的地位。</w:t>
      </w:r>
    </w:p>
    <w:p w14:paraId="258D38AC" w14:textId="77777777" w:rsidR="00266156" w:rsidRPr="00266156" w:rsidRDefault="00266156" w:rsidP="00266156">
      <w:pPr>
        <w:pStyle w:val="SingleTxt"/>
      </w:pPr>
      <w:r w:rsidRPr="00266156">
        <w:rPr>
          <w:rFonts w:hint="eastAsia"/>
        </w:rPr>
        <w:t>3.3</w:t>
      </w:r>
      <w:r w:rsidRPr="00266156">
        <w:rPr>
          <w:rFonts w:hint="eastAsia"/>
        </w:rPr>
        <w:tab/>
      </w:r>
      <w:r w:rsidRPr="00266156">
        <w:rPr>
          <w:rFonts w:hint="eastAsia"/>
        </w:rPr>
        <w:t>根据现行法律，如果肇事者赞扬侵害广义的妇女群体、而非针对特定个人的罪行，则没有可能针对此肇事者而取得刑事司法公正。刑事诉讼程序仅认可对于例如有人赞扬强奸某特定个人的案情提出的起诉，而非对公开表示赞同广义的妇女群体的案情所提出的起诉。由此，意在维护公共秩序的《刑法》第</w:t>
      </w:r>
      <w:r w:rsidRPr="00266156">
        <w:rPr>
          <w:rFonts w:hint="eastAsia"/>
        </w:rPr>
        <w:t>255(3)</w:t>
      </w:r>
      <w:r w:rsidRPr="00266156">
        <w:rPr>
          <w:rFonts w:hint="eastAsia"/>
        </w:rPr>
        <w:t>条没有切实的效力，因为无法据此起诉广义上煽动对妇女施暴的行为，或起诉强化妇</w:t>
      </w:r>
      <w:r w:rsidRPr="00266156">
        <w:rPr>
          <w:rFonts w:hint="eastAsia"/>
        </w:rPr>
        <w:lastRenderedPageBreak/>
        <w:t>女受害者形象的这种制造广义负面定型观念的行为。刑法的功能是保护法治，并谴责违犯法治的行为。然而，刑事诉讼的功能是提供一种有效的保护手段。赞扬暴力侵害妇女的行为无疑需要由法律制度</w:t>
      </w:r>
      <w:proofErr w:type="gramStart"/>
      <w:r w:rsidRPr="00266156">
        <w:rPr>
          <w:rFonts w:hint="eastAsia"/>
        </w:rPr>
        <w:t>作出</w:t>
      </w:r>
      <w:proofErr w:type="gramEnd"/>
      <w:r w:rsidRPr="00266156">
        <w:rPr>
          <w:rFonts w:hint="eastAsia"/>
        </w:rPr>
        <w:t>适当的应对行动。</w:t>
      </w:r>
    </w:p>
    <w:p w14:paraId="35C3F5DA" w14:textId="77777777" w:rsidR="00266156" w:rsidRPr="00266156" w:rsidRDefault="00266156" w:rsidP="00266156">
      <w:pPr>
        <w:pStyle w:val="SingleTxt"/>
      </w:pPr>
      <w:r w:rsidRPr="00266156">
        <w:rPr>
          <w:rFonts w:hint="eastAsia"/>
        </w:rPr>
        <w:t>3.4</w:t>
      </w:r>
      <w:r w:rsidRPr="00266156">
        <w:rPr>
          <w:rFonts w:hint="eastAsia"/>
        </w:rPr>
        <w:tab/>
      </w:r>
      <w:r w:rsidRPr="00266156">
        <w:rPr>
          <w:rFonts w:hint="eastAsia"/>
        </w:rPr>
        <w:t>在该缔约国，公开容忍针对妇女的性暴力是一个非常严重的问题。根据警方的统计，每年估计查到的强奸罪案达</w:t>
      </w:r>
      <w:r w:rsidRPr="00266156">
        <w:rPr>
          <w:rFonts w:hint="eastAsia"/>
        </w:rPr>
        <w:t>2500</w:t>
      </w:r>
      <w:r w:rsidRPr="00266156">
        <w:rPr>
          <w:rFonts w:hint="eastAsia"/>
        </w:rPr>
        <w:t>起，而提交方称，估计只有十分之一的受害者报告了这一罪行。</w:t>
      </w:r>
      <w:r w:rsidRPr="00266156">
        <w:rPr>
          <w:rFonts w:hint="eastAsia"/>
        </w:rPr>
        <w:t>2010</w:t>
      </w:r>
      <w:r w:rsidRPr="00266156">
        <w:rPr>
          <w:rFonts w:hint="eastAsia"/>
        </w:rPr>
        <w:t>年劳动和社会政策部公布的统计数字表明，波兰人口中高达</w:t>
      </w:r>
      <w:r w:rsidRPr="00266156">
        <w:rPr>
          <w:rFonts w:hint="eastAsia"/>
        </w:rPr>
        <w:t>19%</w:t>
      </w:r>
      <w:r w:rsidRPr="00266156">
        <w:rPr>
          <w:rFonts w:hint="eastAsia"/>
        </w:rPr>
        <w:t>的民众认为不存在婚内强奸。出于这些原因，缔约国应积极制止有关性暴力的定型观念，包括明确指责任何赞扬强奸的行为并将其定为刑事罪行。</w:t>
      </w:r>
    </w:p>
    <w:p w14:paraId="39BB7E18" w14:textId="77777777" w:rsidR="00266156" w:rsidRPr="00266156" w:rsidRDefault="00266156" w:rsidP="00266156">
      <w:pPr>
        <w:pStyle w:val="SingleTxt"/>
      </w:pPr>
      <w:r w:rsidRPr="00266156">
        <w:rPr>
          <w:rFonts w:hint="eastAsia"/>
        </w:rPr>
        <w:t>3.5</w:t>
      </w:r>
      <w:r w:rsidRPr="00266156">
        <w:rPr>
          <w:rFonts w:hint="eastAsia"/>
        </w:rPr>
        <w:tab/>
      </w:r>
      <w:r w:rsidRPr="00266156">
        <w:rPr>
          <w:rFonts w:hint="eastAsia"/>
        </w:rPr>
        <w:t>涉案的书籍不是一本经政府批准在课程中使用的教材；它是所有英语学习者都可以使用的学习辅助工具。英语是在波兰语言学习者中比例最高的外语，这表明该出版物的潜在影响面极广，特别是考虑到第一版于</w:t>
      </w:r>
      <w:r w:rsidRPr="00266156">
        <w:rPr>
          <w:rFonts w:hint="eastAsia"/>
        </w:rPr>
        <w:t>1993</w:t>
      </w:r>
      <w:r w:rsidRPr="00266156">
        <w:rPr>
          <w:rFonts w:hint="eastAsia"/>
        </w:rPr>
        <w:t>年即已出版，而目前仍然可以买到此书。因此举例说，它有可能以影印本流传，被用作学校的补充性学习辅助工具。这本书仍在市面上流传，其出版商并未受到惩处。</w:t>
      </w:r>
      <w:r w:rsidRPr="00266156">
        <w:rPr>
          <w:rFonts w:hint="eastAsia"/>
        </w:rPr>
        <w:t xml:space="preserve"> </w:t>
      </w:r>
    </w:p>
    <w:p w14:paraId="68E126A6" w14:textId="77777777" w:rsidR="00266156" w:rsidRPr="00266156" w:rsidRDefault="00266156" w:rsidP="00266156">
      <w:pPr>
        <w:pStyle w:val="SingleTxt"/>
      </w:pPr>
      <w:r w:rsidRPr="00266156">
        <w:rPr>
          <w:rFonts w:hint="eastAsia"/>
        </w:rPr>
        <w:t>3.6</w:t>
      </w:r>
      <w:r w:rsidRPr="00266156">
        <w:rPr>
          <w:rFonts w:hint="eastAsia"/>
        </w:rPr>
        <w:tab/>
      </w:r>
      <w:r w:rsidRPr="00266156">
        <w:rPr>
          <w:rFonts w:hint="eastAsia"/>
        </w:rPr>
        <w:t>提交方以本身的名义提出申诉，并表示根据《任择议定书》，就可否受理问题而言自己具有受害方地位，因为它是由一群个人组成的。提交方是受到伤害的一方，因为其成员由于相关的国内裁决而受到损害。具体而言，提交方的成员被剥夺了要求对赞扬基于性别的暴力而获得有效保护的机会，并被剥夺了可以防止赞扬伤害妇女的犯罪行为的法律补救措施。法律现状的顽固持续对提交方的成员产生了亲身感受的影响，因为针对强化性暴力等方面行为的负面定型观念这种行为缺乏保护，对公众产生了重大影响，包括将强奸行为视作无足轻重的事情。对公众意识的这种</w:t>
      </w:r>
      <w:proofErr w:type="gramStart"/>
      <w:r w:rsidRPr="00266156">
        <w:rPr>
          <w:rFonts w:hint="eastAsia"/>
        </w:rPr>
        <w:t>引导因</w:t>
      </w:r>
      <w:proofErr w:type="gramEnd"/>
      <w:r w:rsidRPr="00266156">
        <w:rPr>
          <w:rFonts w:hint="eastAsia"/>
        </w:rPr>
        <w:t>包含了有罪不罚观念而增加了犯罪的风险。此外，“受害方”一语在《任择议定书》和其他联合国人权条约中可有广泛的诠释。</w:t>
      </w:r>
    </w:p>
    <w:p w14:paraId="20949688" w14:textId="77777777" w:rsidR="00266156" w:rsidRPr="00266156" w:rsidRDefault="00266156" w:rsidP="00BC105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266156">
        <w:rPr>
          <w:rFonts w:hint="eastAsia"/>
        </w:rPr>
        <w:tab/>
      </w:r>
      <w:r w:rsidRPr="00266156">
        <w:rPr>
          <w:rFonts w:hint="eastAsia"/>
        </w:rPr>
        <w:tab/>
      </w:r>
      <w:r w:rsidRPr="00266156">
        <w:rPr>
          <w:rFonts w:hint="eastAsia"/>
        </w:rPr>
        <w:t>缔约国关于可否受理问题的意见</w:t>
      </w:r>
    </w:p>
    <w:p w14:paraId="7F5FAC47" w14:textId="77777777" w:rsidR="00266156" w:rsidRPr="00266156" w:rsidRDefault="00266156" w:rsidP="00266156">
      <w:pPr>
        <w:pStyle w:val="SingleTxt"/>
      </w:pPr>
      <w:r w:rsidRPr="00266156">
        <w:rPr>
          <w:rFonts w:hint="eastAsia"/>
        </w:rPr>
        <w:t>4.1</w:t>
      </w:r>
      <w:r w:rsidRPr="00266156">
        <w:rPr>
          <w:rFonts w:hint="eastAsia"/>
        </w:rPr>
        <w:tab/>
      </w:r>
      <w:r w:rsidRPr="00266156">
        <w:rPr>
          <w:rFonts w:hint="eastAsia"/>
        </w:rPr>
        <w:t>缔约国在其</w:t>
      </w:r>
      <w:r w:rsidRPr="00266156">
        <w:rPr>
          <w:rFonts w:hint="eastAsia"/>
        </w:rPr>
        <w:t>2019</w:t>
      </w:r>
      <w:r w:rsidRPr="00266156">
        <w:rPr>
          <w:rFonts w:hint="eastAsia"/>
        </w:rPr>
        <w:t>年</w:t>
      </w:r>
      <w:r w:rsidRPr="00266156">
        <w:rPr>
          <w:rFonts w:hint="eastAsia"/>
        </w:rPr>
        <w:t>1</w:t>
      </w:r>
      <w:r w:rsidRPr="00266156">
        <w:rPr>
          <w:rFonts w:hint="eastAsia"/>
        </w:rPr>
        <w:t>月</w:t>
      </w:r>
      <w:r w:rsidRPr="00266156">
        <w:rPr>
          <w:rFonts w:hint="eastAsia"/>
        </w:rPr>
        <w:t>25</w:t>
      </w:r>
      <w:r w:rsidRPr="00266156">
        <w:rPr>
          <w:rFonts w:hint="eastAsia"/>
        </w:rPr>
        <w:t>日和</w:t>
      </w:r>
      <w:r w:rsidRPr="00266156">
        <w:rPr>
          <w:rFonts w:hint="eastAsia"/>
        </w:rPr>
        <w:t>2</w:t>
      </w:r>
      <w:r w:rsidRPr="00266156">
        <w:rPr>
          <w:rFonts w:hint="eastAsia"/>
        </w:rPr>
        <w:t>月</w:t>
      </w:r>
      <w:r w:rsidRPr="00266156">
        <w:rPr>
          <w:rFonts w:hint="eastAsia"/>
        </w:rPr>
        <w:t>28</w:t>
      </w:r>
      <w:r w:rsidRPr="00266156">
        <w:rPr>
          <w:rFonts w:hint="eastAsia"/>
        </w:rPr>
        <w:t>日的意见中表示，该国认为，根据《任择议定书》第</w:t>
      </w:r>
      <w:r w:rsidRPr="00266156">
        <w:rPr>
          <w:rFonts w:hint="eastAsia"/>
        </w:rPr>
        <w:t>2</w:t>
      </w:r>
      <w:r w:rsidRPr="00266156">
        <w:rPr>
          <w:rFonts w:hint="eastAsia"/>
        </w:rPr>
        <w:t>条、第</w:t>
      </w:r>
      <w:r w:rsidRPr="00266156">
        <w:rPr>
          <w:rFonts w:hint="eastAsia"/>
        </w:rPr>
        <w:t>4</w:t>
      </w:r>
      <w:r w:rsidRPr="00266156">
        <w:rPr>
          <w:rFonts w:hint="eastAsia"/>
        </w:rPr>
        <w:t>条第</w:t>
      </w:r>
      <w:r w:rsidRPr="00266156">
        <w:rPr>
          <w:rFonts w:hint="eastAsia"/>
        </w:rPr>
        <w:t>1</w:t>
      </w:r>
      <w:r w:rsidRPr="00266156">
        <w:rPr>
          <w:rFonts w:hint="eastAsia"/>
        </w:rPr>
        <w:t>款和第</w:t>
      </w:r>
      <w:r w:rsidRPr="00266156">
        <w:rPr>
          <w:rFonts w:hint="eastAsia"/>
        </w:rPr>
        <w:t>2</w:t>
      </w:r>
      <w:r w:rsidRPr="00266156">
        <w:rPr>
          <w:rFonts w:hint="eastAsia"/>
        </w:rPr>
        <w:t>款</w:t>
      </w:r>
      <w:r w:rsidRPr="00266156">
        <w:rPr>
          <w:rFonts w:hint="eastAsia"/>
        </w:rPr>
        <w:t>(d)</w:t>
      </w:r>
      <w:r w:rsidRPr="00266156">
        <w:rPr>
          <w:rFonts w:hint="eastAsia"/>
        </w:rPr>
        <w:t>和</w:t>
      </w:r>
      <w:r w:rsidRPr="00266156">
        <w:rPr>
          <w:rFonts w:hint="eastAsia"/>
        </w:rPr>
        <w:t>(e)</w:t>
      </w:r>
      <w:r w:rsidRPr="00266156">
        <w:rPr>
          <w:rFonts w:hint="eastAsia"/>
        </w:rPr>
        <w:t>项，来文不可受理。</w:t>
      </w:r>
    </w:p>
    <w:p w14:paraId="14612DEF" w14:textId="77777777" w:rsidR="00266156" w:rsidRPr="00266156" w:rsidRDefault="00266156" w:rsidP="00266156">
      <w:pPr>
        <w:pStyle w:val="SingleTxt"/>
      </w:pPr>
      <w:r w:rsidRPr="00266156">
        <w:rPr>
          <w:rFonts w:hint="eastAsia"/>
        </w:rPr>
        <w:t>4.2</w:t>
      </w:r>
      <w:r w:rsidRPr="00266156">
        <w:rPr>
          <w:rFonts w:hint="eastAsia"/>
        </w:rPr>
        <w:tab/>
      </w:r>
      <w:r w:rsidRPr="00266156">
        <w:rPr>
          <w:rFonts w:hint="eastAsia"/>
        </w:rPr>
        <w:t>根据《任择议定书》第</w:t>
      </w:r>
      <w:r w:rsidRPr="00266156">
        <w:rPr>
          <w:rFonts w:hint="eastAsia"/>
        </w:rPr>
        <w:t>4</w:t>
      </w:r>
      <w:r w:rsidRPr="00266156">
        <w:rPr>
          <w:rFonts w:hint="eastAsia"/>
        </w:rPr>
        <w:t>条第</w:t>
      </w:r>
      <w:r w:rsidRPr="00266156">
        <w:rPr>
          <w:rFonts w:hint="eastAsia"/>
        </w:rPr>
        <w:t>2</w:t>
      </w:r>
      <w:r w:rsidRPr="00266156">
        <w:rPr>
          <w:rFonts w:hint="eastAsia"/>
        </w:rPr>
        <w:t>款</w:t>
      </w:r>
      <w:r w:rsidRPr="00266156">
        <w:rPr>
          <w:rFonts w:hint="eastAsia"/>
        </w:rPr>
        <w:t>e</w:t>
      </w:r>
      <w:r w:rsidRPr="00266156">
        <w:rPr>
          <w:rFonts w:hint="eastAsia"/>
        </w:rPr>
        <w:t>项，来文根据</w:t>
      </w:r>
      <w:proofErr w:type="gramStart"/>
      <w:r w:rsidRPr="00266156">
        <w:rPr>
          <w:rFonts w:hint="eastAsia"/>
        </w:rPr>
        <w:t>属时理由</w:t>
      </w:r>
      <w:proofErr w:type="gramEnd"/>
      <w:r w:rsidRPr="00266156">
        <w:rPr>
          <w:rFonts w:hint="eastAsia"/>
        </w:rPr>
        <w:t>不可受理，因为涉案书籍的第一版及最新版本是分别于</w:t>
      </w:r>
      <w:r w:rsidRPr="00266156">
        <w:rPr>
          <w:rFonts w:hint="eastAsia"/>
        </w:rPr>
        <w:t>1991</w:t>
      </w:r>
      <w:r w:rsidRPr="00266156">
        <w:rPr>
          <w:rFonts w:hint="eastAsia"/>
        </w:rPr>
        <w:t>年和</w:t>
      </w:r>
      <w:r w:rsidRPr="00266156">
        <w:rPr>
          <w:rFonts w:hint="eastAsia"/>
        </w:rPr>
        <w:t>2003</w:t>
      </w:r>
      <w:r w:rsidRPr="00266156">
        <w:rPr>
          <w:rFonts w:hint="eastAsia"/>
        </w:rPr>
        <w:t>年发行的。缔约国于</w:t>
      </w:r>
      <w:r w:rsidRPr="00266156">
        <w:rPr>
          <w:rFonts w:hint="eastAsia"/>
        </w:rPr>
        <w:t>2003</w:t>
      </w:r>
      <w:r w:rsidRPr="00266156">
        <w:rPr>
          <w:rFonts w:hint="eastAsia"/>
        </w:rPr>
        <w:t>年</w:t>
      </w:r>
      <w:r w:rsidRPr="00266156">
        <w:rPr>
          <w:rFonts w:hint="eastAsia"/>
        </w:rPr>
        <w:t>12</w:t>
      </w:r>
      <w:r w:rsidRPr="00266156">
        <w:rPr>
          <w:rFonts w:hint="eastAsia"/>
        </w:rPr>
        <w:t>月</w:t>
      </w:r>
      <w:r w:rsidRPr="00266156">
        <w:rPr>
          <w:rFonts w:hint="eastAsia"/>
        </w:rPr>
        <w:t>22</w:t>
      </w:r>
      <w:r w:rsidRPr="00266156">
        <w:rPr>
          <w:rFonts w:hint="eastAsia"/>
        </w:rPr>
        <w:t>日上述的后一日期之后批准了《任择议定书》，该文书并于</w:t>
      </w:r>
      <w:r w:rsidRPr="00266156">
        <w:rPr>
          <w:rFonts w:hint="eastAsia"/>
        </w:rPr>
        <w:t>2004</w:t>
      </w:r>
      <w:r w:rsidRPr="00266156">
        <w:rPr>
          <w:rFonts w:hint="eastAsia"/>
        </w:rPr>
        <w:t>年</w:t>
      </w:r>
      <w:r w:rsidRPr="00266156">
        <w:rPr>
          <w:rFonts w:hint="eastAsia"/>
        </w:rPr>
        <w:t>3</w:t>
      </w:r>
      <w:r w:rsidRPr="00266156">
        <w:rPr>
          <w:rFonts w:hint="eastAsia"/>
        </w:rPr>
        <w:t>月</w:t>
      </w:r>
      <w:r w:rsidRPr="00266156">
        <w:rPr>
          <w:rFonts w:hint="eastAsia"/>
        </w:rPr>
        <w:t>22</w:t>
      </w:r>
      <w:r w:rsidRPr="00266156">
        <w:rPr>
          <w:rFonts w:hint="eastAsia"/>
        </w:rPr>
        <w:t>日对缔约国生效。华沙地区检察院于</w:t>
      </w:r>
      <w:r w:rsidRPr="00266156">
        <w:rPr>
          <w:rFonts w:hint="eastAsia"/>
        </w:rPr>
        <w:t>2019</w:t>
      </w:r>
      <w:r w:rsidRPr="00266156">
        <w:rPr>
          <w:rFonts w:hint="eastAsia"/>
        </w:rPr>
        <w:t>年</w:t>
      </w:r>
      <w:r w:rsidRPr="00266156">
        <w:rPr>
          <w:rFonts w:hint="eastAsia"/>
        </w:rPr>
        <w:t>2</w:t>
      </w:r>
      <w:r w:rsidRPr="00266156">
        <w:rPr>
          <w:rFonts w:hint="eastAsia"/>
        </w:rPr>
        <w:t>月</w:t>
      </w:r>
      <w:r w:rsidRPr="00266156">
        <w:rPr>
          <w:rFonts w:hint="eastAsia"/>
        </w:rPr>
        <w:t>6</w:t>
      </w:r>
      <w:r w:rsidRPr="00266156">
        <w:rPr>
          <w:rFonts w:hint="eastAsia"/>
        </w:rPr>
        <w:t>日提供了关于</w:t>
      </w:r>
      <w:r w:rsidRPr="00266156">
        <w:rPr>
          <w:rFonts w:hint="eastAsia"/>
        </w:rPr>
        <w:t>2003</w:t>
      </w:r>
      <w:r w:rsidRPr="00266156">
        <w:rPr>
          <w:rFonts w:hint="eastAsia"/>
        </w:rPr>
        <w:t>年即该书最近一次出版日期的信息，并对</w:t>
      </w:r>
      <w:proofErr w:type="spellStart"/>
      <w:r w:rsidRPr="00266156">
        <w:rPr>
          <w:rFonts w:hint="eastAsia"/>
        </w:rPr>
        <w:t>Naja</w:t>
      </w:r>
      <w:proofErr w:type="spellEnd"/>
      <w:r w:rsidRPr="00266156">
        <w:rPr>
          <w:rFonts w:hint="eastAsia"/>
        </w:rPr>
        <w:t>出版社的共同所有人进行了证人审查。作为证据，证人出示了这本书最近一次印制的发票副本。</w:t>
      </w:r>
    </w:p>
    <w:p w14:paraId="6F2BF354" w14:textId="77777777" w:rsidR="00266156" w:rsidRPr="00266156" w:rsidRDefault="00266156" w:rsidP="00266156">
      <w:pPr>
        <w:pStyle w:val="SingleTxt"/>
      </w:pPr>
      <w:r w:rsidRPr="00266156">
        <w:rPr>
          <w:rFonts w:hint="eastAsia"/>
        </w:rPr>
        <w:t>4.3</w:t>
      </w:r>
      <w:r w:rsidRPr="00266156">
        <w:rPr>
          <w:rFonts w:hint="eastAsia"/>
        </w:rPr>
        <w:tab/>
      </w:r>
      <w:r w:rsidRPr="00266156">
        <w:rPr>
          <w:rFonts w:hint="eastAsia"/>
        </w:rPr>
        <w:t>根据《任择议定书》第</w:t>
      </w:r>
      <w:r w:rsidRPr="00266156">
        <w:rPr>
          <w:rFonts w:hint="eastAsia"/>
        </w:rPr>
        <w:t>2</w:t>
      </w:r>
      <w:r w:rsidRPr="00266156">
        <w:rPr>
          <w:rFonts w:hint="eastAsia"/>
        </w:rPr>
        <w:t>条，来文也不可受理，因为提交方不具受害方地位。提交方究竟是以何种身份提交来文的并不清楚。提交方关于这个问题的说明也不明确。提交方在</w:t>
      </w:r>
      <w:r w:rsidRPr="00266156">
        <w:rPr>
          <w:rFonts w:hint="eastAsia"/>
        </w:rPr>
        <w:t>2014</w:t>
      </w:r>
      <w:r w:rsidRPr="00266156">
        <w:rPr>
          <w:rFonts w:hint="eastAsia"/>
        </w:rPr>
        <w:t>年</w:t>
      </w:r>
      <w:r w:rsidRPr="00266156">
        <w:rPr>
          <w:rFonts w:hint="eastAsia"/>
        </w:rPr>
        <w:t>10</w:t>
      </w:r>
      <w:r w:rsidRPr="00266156">
        <w:rPr>
          <w:rFonts w:hint="eastAsia"/>
        </w:rPr>
        <w:t>月</w:t>
      </w:r>
      <w:r w:rsidRPr="00266156">
        <w:rPr>
          <w:rFonts w:hint="eastAsia"/>
        </w:rPr>
        <w:t>17</w:t>
      </w:r>
      <w:r w:rsidRPr="00266156">
        <w:rPr>
          <w:rFonts w:hint="eastAsia"/>
        </w:rPr>
        <w:t>日的来文中表示，提交方是以本身的名义提出申诉的。然而，在国内诉讼程序中，提交方则代表公共利益行事，而在这些诉讼程序中收集的任何证据都未表明，提交方本身或其任何个人成员曾经由于该书的内容或因后来拒绝对案件的调查而受到基于性别的歧视。委员会在其判例中认为，公益之诉的申诉不可受理。虽然提交方有意制止歧视，并可以向歧视行为受害者</w:t>
      </w:r>
      <w:r w:rsidRPr="00266156">
        <w:rPr>
          <w:rFonts w:hint="eastAsia"/>
        </w:rPr>
        <w:lastRenderedPageBreak/>
        <w:t>提供法律援助或法律代理工作，但它不能声称具有受害方地位，不能以本身的名义提出申诉。</w:t>
      </w:r>
    </w:p>
    <w:p w14:paraId="0422BEA0" w14:textId="77777777" w:rsidR="00266156" w:rsidRPr="00266156" w:rsidRDefault="00266156" w:rsidP="00266156">
      <w:pPr>
        <w:pStyle w:val="SingleTxt"/>
      </w:pPr>
      <w:r w:rsidRPr="00266156">
        <w:rPr>
          <w:rFonts w:hint="eastAsia"/>
        </w:rPr>
        <w:t>4.4</w:t>
      </w:r>
      <w:r w:rsidRPr="00266156">
        <w:rPr>
          <w:rFonts w:hint="eastAsia"/>
        </w:rPr>
        <w:tab/>
      </w:r>
      <w:r w:rsidRPr="00266156">
        <w:rPr>
          <w:rFonts w:hint="eastAsia"/>
        </w:rPr>
        <w:t>此外，在其</w:t>
      </w:r>
      <w:r w:rsidRPr="00266156">
        <w:rPr>
          <w:rFonts w:hint="eastAsia"/>
        </w:rPr>
        <w:t>2015</w:t>
      </w:r>
      <w:r w:rsidRPr="00266156">
        <w:rPr>
          <w:rFonts w:hint="eastAsia"/>
        </w:rPr>
        <w:t>年</w:t>
      </w:r>
      <w:r w:rsidRPr="00266156">
        <w:rPr>
          <w:rFonts w:hint="eastAsia"/>
        </w:rPr>
        <w:t>1</w:t>
      </w:r>
      <w:r w:rsidRPr="00266156">
        <w:rPr>
          <w:rFonts w:hint="eastAsia"/>
        </w:rPr>
        <w:t>月</w:t>
      </w:r>
      <w:r w:rsidRPr="00266156">
        <w:rPr>
          <w:rFonts w:hint="eastAsia"/>
        </w:rPr>
        <w:t>12</w:t>
      </w:r>
      <w:r w:rsidRPr="00266156">
        <w:rPr>
          <w:rFonts w:hint="eastAsia"/>
        </w:rPr>
        <w:t>日的呈件中，提交方自称是所指侵权行为的受害方，声称它不仅是为了公共利益、而且也是为了其成员和雇员的利益行事，称这些人因不存在针对基于性别的暴力提供的保护而直接受到影响。这种论点不可接受，因为根据《任择议定书》第</w:t>
      </w:r>
      <w:r w:rsidRPr="00266156">
        <w:rPr>
          <w:rFonts w:hint="eastAsia"/>
        </w:rPr>
        <w:t>2</w:t>
      </w:r>
      <w:r w:rsidRPr="00266156">
        <w:rPr>
          <w:rFonts w:hint="eastAsia"/>
        </w:rPr>
        <w:t>条和委员会议事规则第</w:t>
      </w:r>
      <w:r w:rsidRPr="00266156">
        <w:rPr>
          <w:rFonts w:hint="eastAsia"/>
        </w:rPr>
        <w:t>68</w:t>
      </w:r>
      <w:r w:rsidRPr="00266156">
        <w:rPr>
          <w:rFonts w:hint="eastAsia"/>
        </w:rPr>
        <w:t>条，提交方必须征得所有受害者对来文的同意。在本案中，提交方没有附交所有所称受害方的名单，也没有提供显示提交方可以代表这些人行事的授权单。</w:t>
      </w:r>
      <w:r w:rsidRPr="00266156">
        <w:rPr>
          <w:rFonts w:hint="eastAsia"/>
        </w:rPr>
        <w:t xml:space="preserve"> </w:t>
      </w:r>
    </w:p>
    <w:p w14:paraId="43F7C330" w14:textId="77777777" w:rsidR="00266156" w:rsidRPr="00266156" w:rsidRDefault="00266156" w:rsidP="00266156">
      <w:pPr>
        <w:pStyle w:val="SingleTxt"/>
      </w:pPr>
      <w:r w:rsidRPr="00266156">
        <w:rPr>
          <w:rFonts w:hint="eastAsia"/>
        </w:rPr>
        <w:t>4.5</w:t>
      </w:r>
      <w:r w:rsidRPr="00266156">
        <w:rPr>
          <w:rFonts w:hint="eastAsia"/>
        </w:rPr>
        <w:tab/>
      </w:r>
      <w:r w:rsidRPr="00266156">
        <w:rPr>
          <w:rFonts w:hint="eastAsia"/>
        </w:rPr>
        <w:t>根据《任择议定书》第</w:t>
      </w:r>
      <w:r w:rsidRPr="00266156">
        <w:rPr>
          <w:rFonts w:hint="eastAsia"/>
        </w:rPr>
        <w:t>4</w:t>
      </w:r>
      <w:r w:rsidRPr="00266156">
        <w:rPr>
          <w:rFonts w:hint="eastAsia"/>
        </w:rPr>
        <w:t>条第</w:t>
      </w:r>
      <w:r w:rsidRPr="00266156">
        <w:rPr>
          <w:rFonts w:hint="eastAsia"/>
        </w:rPr>
        <w:t>1</w:t>
      </w:r>
      <w:r w:rsidRPr="00266156">
        <w:rPr>
          <w:rFonts w:hint="eastAsia"/>
        </w:rPr>
        <w:t>款，来文亦不可受理，因为所称受害方并未用尽所有国内补救办法。如果受该书内容直接影响的个人成员或雇员亲自提交了犯罪通知，诉讼的结果就可能有所不同。他们就可以声称自己的权利受到该书作者或出版商的侵犯，而且他们就具有受害方的地位。由于没有妇女实际呈交过这样的通知或就其遭受基于性别的歧视而采取任何法律行动，国内主管部门尚无机会分析案情并</w:t>
      </w:r>
      <w:proofErr w:type="gramStart"/>
      <w:r w:rsidRPr="00266156">
        <w:rPr>
          <w:rFonts w:hint="eastAsia"/>
        </w:rPr>
        <w:t>作出</w:t>
      </w:r>
      <w:proofErr w:type="gramEnd"/>
      <w:r w:rsidRPr="00266156">
        <w:rPr>
          <w:rFonts w:hint="eastAsia"/>
        </w:rPr>
        <w:t>裁决。此外，如果提交方的成员和雇员认为他们是基于性别的歧视行为受害者，可以根据对保护个人权利</w:t>
      </w:r>
      <w:proofErr w:type="gramStart"/>
      <w:r w:rsidRPr="00266156">
        <w:rPr>
          <w:rFonts w:hint="eastAsia"/>
        </w:rPr>
        <w:t>作出</w:t>
      </w:r>
      <w:proofErr w:type="gramEnd"/>
      <w:r w:rsidRPr="00266156">
        <w:rPr>
          <w:rFonts w:hint="eastAsia"/>
        </w:rPr>
        <w:t>规范的法律，例如《民法》第</w:t>
      </w:r>
      <w:r w:rsidRPr="00266156">
        <w:rPr>
          <w:rFonts w:hint="eastAsia"/>
        </w:rPr>
        <w:t>23</w:t>
      </w:r>
      <w:r w:rsidRPr="00266156">
        <w:rPr>
          <w:rFonts w:hint="eastAsia"/>
        </w:rPr>
        <w:t>条向法院提起民事诉讼，阐明每个人的个人权益，包括自由、健康、尊严和良心自由的权利。此外，他们还可以根据《民法》第</w:t>
      </w:r>
      <w:r w:rsidRPr="00266156">
        <w:rPr>
          <w:rFonts w:hint="eastAsia"/>
        </w:rPr>
        <w:t>24</w:t>
      </w:r>
      <w:r w:rsidRPr="00266156">
        <w:rPr>
          <w:rFonts w:hint="eastAsia"/>
        </w:rPr>
        <w:t>条要求发出禁制令，以预防其个人权益受到侵犯的风险，并索取经济赔偿，这些补救措施并未用尽。</w:t>
      </w:r>
    </w:p>
    <w:p w14:paraId="1307D1B8" w14:textId="77777777" w:rsidR="00266156" w:rsidRPr="00266156" w:rsidRDefault="00266156" w:rsidP="00266156">
      <w:pPr>
        <w:pStyle w:val="SingleTxt"/>
      </w:pPr>
      <w:r w:rsidRPr="00266156">
        <w:rPr>
          <w:rFonts w:hint="eastAsia"/>
        </w:rPr>
        <w:t>4.6</w:t>
      </w:r>
      <w:r w:rsidRPr="00266156">
        <w:rPr>
          <w:rFonts w:hint="eastAsia"/>
        </w:rPr>
        <w:tab/>
      </w:r>
      <w:r w:rsidRPr="00266156">
        <w:rPr>
          <w:rFonts w:hint="eastAsia"/>
        </w:rPr>
        <w:t>根据《任择议定书》第</w:t>
      </w:r>
      <w:r w:rsidRPr="00266156">
        <w:rPr>
          <w:rFonts w:hint="eastAsia"/>
        </w:rPr>
        <w:t>4</w:t>
      </w:r>
      <w:r w:rsidRPr="00266156">
        <w:rPr>
          <w:rFonts w:hint="eastAsia"/>
        </w:rPr>
        <w:t>条第</w:t>
      </w:r>
      <w:r w:rsidRPr="00266156">
        <w:rPr>
          <w:rFonts w:hint="eastAsia"/>
        </w:rPr>
        <w:t>2</w:t>
      </w:r>
      <w:r w:rsidRPr="00266156">
        <w:rPr>
          <w:rFonts w:hint="eastAsia"/>
        </w:rPr>
        <w:t>款</w:t>
      </w:r>
      <w:r w:rsidRPr="00266156">
        <w:rPr>
          <w:rFonts w:hint="eastAsia"/>
        </w:rPr>
        <w:t>d</w:t>
      </w:r>
      <w:r w:rsidRPr="00266156">
        <w:rPr>
          <w:rFonts w:hint="eastAsia"/>
        </w:rPr>
        <w:t>项，来文也不可受理，因为它构成对提交程序的滥用。来文是在涉案书籍于</w:t>
      </w:r>
      <w:r w:rsidRPr="00266156">
        <w:rPr>
          <w:rFonts w:hint="eastAsia"/>
        </w:rPr>
        <w:t>1991</w:t>
      </w:r>
      <w:r w:rsidRPr="00266156">
        <w:rPr>
          <w:rFonts w:hint="eastAsia"/>
        </w:rPr>
        <w:t>年编写完成并首次出版过后</w:t>
      </w:r>
      <w:r w:rsidRPr="00266156">
        <w:rPr>
          <w:rFonts w:hint="eastAsia"/>
        </w:rPr>
        <w:t>27</w:t>
      </w:r>
      <w:r w:rsidRPr="00266156">
        <w:rPr>
          <w:rFonts w:hint="eastAsia"/>
        </w:rPr>
        <w:t>年提交的。此书从来不是官方的学习辅助工具，也不是官方批准的正规学校或大学教育的教材。教育部或任何教育办公室也从未收到过涉及为学习目的使用此书引起的投诉。此外，该书的作者于</w:t>
      </w:r>
      <w:r w:rsidRPr="00266156">
        <w:rPr>
          <w:rFonts w:hint="eastAsia"/>
        </w:rPr>
        <w:t>1997</w:t>
      </w:r>
      <w:r w:rsidRPr="00266156">
        <w:rPr>
          <w:rFonts w:hint="eastAsia"/>
        </w:rPr>
        <w:t>年去世，他的合法继承人通知管理部门，</w:t>
      </w:r>
      <w:proofErr w:type="gramStart"/>
      <w:r w:rsidRPr="00266156">
        <w:rPr>
          <w:rFonts w:hint="eastAsia"/>
        </w:rPr>
        <w:t>该书停版已有</w:t>
      </w:r>
      <w:proofErr w:type="gramEnd"/>
      <w:r w:rsidRPr="00266156">
        <w:rPr>
          <w:rFonts w:hint="eastAsia"/>
        </w:rPr>
        <w:t>多年。继任者承诺，如果出版社考虑发行新版，就会</w:t>
      </w:r>
      <w:proofErr w:type="gramStart"/>
      <w:r w:rsidRPr="00266156">
        <w:rPr>
          <w:rFonts w:hint="eastAsia"/>
        </w:rPr>
        <w:t>删除书</w:t>
      </w:r>
      <w:proofErr w:type="gramEnd"/>
      <w:r w:rsidRPr="00266156">
        <w:rPr>
          <w:rFonts w:hint="eastAsia"/>
        </w:rPr>
        <w:t>中受到批评的部分。这本书过去即</w:t>
      </w:r>
      <w:proofErr w:type="gramStart"/>
      <w:r w:rsidRPr="00266156">
        <w:rPr>
          <w:rFonts w:hint="eastAsia"/>
        </w:rPr>
        <w:t>稀有人</w:t>
      </w:r>
      <w:proofErr w:type="gramEnd"/>
      <w:r w:rsidRPr="00266156">
        <w:rPr>
          <w:rFonts w:hint="eastAsia"/>
        </w:rPr>
        <w:t>用，而今查看此书的人就更少。</w:t>
      </w:r>
    </w:p>
    <w:p w14:paraId="2E054C0C" w14:textId="77777777" w:rsidR="00266156" w:rsidRPr="00266156" w:rsidRDefault="00266156" w:rsidP="00BC105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266156">
        <w:rPr>
          <w:rFonts w:hint="eastAsia"/>
        </w:rPr>
        <w:tab/>
      </w:r>
      <w:r w:rsidRPr="00266156">
        <w:rPr>
          <w:rFonts w:hint="eastAsia"/>
        </w:rPr>
        <w:tab/>
      </w:r>
      <w:r w:rsidRPr="00266156">
        <w:rPr>
          <w:rFonts w:hint="eastAsia"/>
        </w:rPr>
        <w:t>提交方对缔约国关于可否受理的意见的评论</w:t>
      </w:r>
    </w:p>
    <w:p w14:paraId="1C4337C9" w14:textId="137CDE0B" w:rsidR="00266156" w:rsidRPr="00266156" w:rsidRDefault="00266156" w:rsidP="00266156">
      <w:pPr>
        <w:pStyle w:val="SingleTxt"/>
      </w:pPr>
      <w:r w:rsidRPr="00266156">
        <w:rPr>
          <w:rFonts w:hint="eastAsia"/>
        </w:rPr>
        <w:t>5.1</w:t>
      </w:r>
      <w:r w:rsidRPr="00266156">
        <w:rPr>
          <w:rFonts w:hint="eastAsia"/>
        </w:rPr>
        <w:tab/>
      </w:r>
      <w:r w:rsidRPr="00266156">
        <w:rPr>
          <w:rFonts w:hint="eastAsia"/>
        </w:rPr>
        <w:t>提交方在</w:t>
      </w:r>
      <w:r w:rsidRPr="00266156">
        <w:rPr>
          <w:rFonts w:hint="eastAsia"/>
        </w:rPr>
        <w:t>2019</w:t>
      </w:r>
      <w:r w:rsidRPr="00266156">
        <w:rPr>
          <w:rFonts w:hint="eastAsia"/>
        </w:rPr>
        <w:t>年</w:t>
      </w:r>
      <w:r w:rsidRPr="00266156">
        <w:rPr>
          <w:rFonts w:hint="eastAsia"/>
        </w:rPr>
        <w:t>3</w:t>
      </w:r>
      <w:r w:rsidRPr="00266156">
        <w:rPr>
          <w:rFonts w:hint="eastAsia"/>
        </w:rPr>
        <w:t>月</w:t>
      </w:r>
      <w:r w:rsidRPr="00266156">
        <w:rPr>
          <w:rFonts w:hint="eastAsia"/>
        </w:rPr>
        <w:t>29</w:t>
      </w:r>
      <w:r w:rsidRPr="00266156">
        <w:rPr>
          <w:rFonts w:hint="eastAsia"/>
        </w:rPr>
        <w:t>日的评论中重申自己具有受害者地位。具体而言，提交方认为，《任择议定书》第</w:t>
      </w:r>
      <w:r w:rsidRPr="00266156">
        <w:rPr>
          <w:rFonts w:hint="eastAsia"/>
        </w:rPr>
        <w:t>2</w:t>
      </w:r>
      <w:r w:rsidRPr="00266156">
        <w:rPr>
          <w:rFonts w:hint="eastAsia"/>
        </w:rPr>
        <w:t>条允许希望代表受害者行事的各方提交来文，以保护受害者的尊严和权利。此外，出于由大至小的依据推理，如果一个实体可以在受害者同意的情况下提交来文，“该实体就更可以不必就有关受害方的生计状况提出声明便提交来文”。</w:t>
      </w:r>
    </w:p>
    <w:p w14:paraId="59BFE22D" w14:textId="77777777" w:rsidR="00266156" w:rsidRPr="00266156" w:rsidRDefault="00266156" w:rsidP="00266156">
      <w:pPr>
        <w:pStyle w:val="SingleTxt"/>
      </w:pPr>
      <w:r w:rsidRPr="00266156">
        <w:rPr>
          <w:rFonts w:hint="eastAsia"/>
        </w:rPr>
        <w:t>5.2</w:t>
      </w:r>
      <w:r w:rsidRPr="00266156">
        <w:rPr>
          <w:rFonts w:hint="eastAsia"/>
        </w:rPr>
        <w:tab/>
      </w:r>
      <w:r w:rsidRPr="00266156">
        <w:rPr>
          <w:rFonts w:hint="eastAsia"/>
        </w:rPr>
        <w:t>提交方的受害方身份是明确的，因为它是一个促进实现《公约》规定的平等和不歧视标准的非政府组织。缔约国未能对其刑法中针对赞扬犯罪行为的规定进行十分必要的修改，从而未能防止对妇女的歧视，未能确保对此提供有效补救。此外，由于缔约国当局狭义地解释涉及表扬犯罪行为的法律，而要求须有直接受害和</w:t>
      </w:r>
      <w:proofErr w:type="gramStart"/>
      <w:r w:rsidRPr="00266156">
        <w:rPr>
          <w:rFonts w:hint="eastAsia"/>
        </w:rPr>
        <w:t>可</w:t>
      </w:r>
      <w:proofErr w:type="gramEnd"/>
      <w:r w:rsidRPr="00266156">
        <w:rPr>
          <w:rFonts w:hint="eastAsia"/>
        </w:rPr>
        <w:t>识别的受害者，因此该条款并未有效保护面对歧视的受害者。</w:t>
      </w:r>
    </w:p>
    <w:p w14:paraId="5E247F1F" w14:textId="77777777" w:rsidR="009B75EE" w:rsidRDefault="009B75EE">
      <w:pPr>
        <w:spacing w:line="240" w:lineRule="auto"/>
        <w:jc w:val="left"/>
      </w:pPr>
      <w:r>
        <w:br w:type="page"/>
      </w:r>
    </w:p>
    <w:p w14:paraId="3154AF1E" w14:textId="77B3D454" w:rsidR="00266156" w:rsidRPr="00266156" w:rsidRDefault="00266156" w:rsidP="00266156">
      <w:pPr>
        <w:pStyle w:val="SingleTxt"/>
      </w:pPr>
      <w:r w:rsidRPr="00266156">
        <w:rPr>
          <w:rFonts w:hint="eastAsia"/>
        </w:rPr>
        <w:lastRenderedPageBreak/>
        <w:t>5.3</w:t>
      </w:r>
      <w:r w:rsidRPr="00266156">
        <w:rPr>
          <w:rFonts w:hint="eastAsia"/>
        </w:rPr>
        <w:tab/>
      </w:r>
      <w:r w:rsidRPr="00266156">
        <w:rPr>
          <w:rFonts w:hint="eastAsia"/>
        </w:rPr>
        <w:t>消除种族歧视委员会在其判例中认为，非政府组织可具有提交来文的地位。具体而言，提交方援引了委员会对</w:t>
      </w:r>
      <w:r w:rsidRPr="009B75EE">
        <w:rPr>
          <w:rFonts w:eastAsia="楷体" w:hint="eastAsia"/>
        </w:rPr>
        <w:t>奥斯陆犹太社区诉挪威案</w:t>
      </w:r>
      <w:r w:rsidRPr="00266156">
        <w:rPr>
          <w:rFonts w:hint="eastAsia"/>
        </w:rPr>
        <w:t>(</w:t>
      </w:r>
      <w:hyperlink r:id="rId16" w:history="1">
        <w:r w:rsidRPr="009B75EE">
          <w:rPr>
            <w:rStyle w:val="ad"/>
            <w:rFonts w:hint="eastAsia"/>
          </w:rPr>
          <w:t>CERD/C/67/D/30/</w:t>
        </w:r>
        <w:r w:rsidR="009B75EE">
          <w:rPr>
            <w:rStyle w:val="ad"/>
          </w:rPr>
          <w:br/>
        </w:r>
        <w:r w:rsidRPr="009B75EE">
          <w:rPr>
            <w:rStyle w:val="ad"/>
            <w:rFonts w:hint="eastAsia"/>
          </w:rPr>
          <w:t>2003</w:t>
        </w:r>
      </w:hyperlink>
      <w:r w:rsidRPr="00266156">
        <w:rPr>
          <w:rFonts w:hint="eastAsia"/>
        </w:rPr>
        <w:t>)</w:t>
      </w:r>
      <w:r w:rsidRPr="00266156">
        <w:rPr>
          <w:rFonts w:hint="eastAsia"/>
        </w:rPr>
        <w:t>案的意见中及其对德国辛提人和罗</w:t>
      </w:r>
      <w:proofErr w:type="gramStart"/>
      <w:r w:rsidRPr="00266156">
        <w:rPr>
          <w:rFonts w:hint="eastAsia"/>
        </w:rPr>
        <w:t>姆</w:t>
      </w:r>
      <w:proofErr w:type="gramEnd"/>
      <w:r w:rsidRPr="00266156">
        <w:rPr>
          <w:rFonts w:hint="eastAsia"/>
        </w:rPr>
        <w:t>人中央委员会</w:t>
      </w:r>
      <w:r w:rsidR="009B75EE">
        <w:rPr>
          <w:rFonts w:hint="eastAsia"/>
        </w:rPr>
        <w:t>(</w:t>
      </w:r>
      <w:proofErr w:type="spellStart"/>
      <w:r w:rsidRPr="00266156">
        <w:rPr>
          <w:rFonts w:hint="eastAsia"/>
        </w:rPr>
        <w:t>Zentralrat</w:t>
      </w:r>
      <w:proofErr w:type="spellEnd"/>
      <w:r w:rsidRPr="00266156">
        <w:rPr>
          <w:rFonts w:hint="eastAsia"/>
        </w:rPr>
        <w:t xml:space="preserve"> </w:t>
      </w:r>
      <w:proofErr w:type="spellStart"/>
      <w:r w:rsidRPr="00266156">
        <w:rPr>
          <w:rFonts w:hint="eastAsia"/>
        </w:rPr>
        <w:t>Deutscher</w:t>
      </w:r>
      <w:proofErr w:type="spellEnd"/>
      <w:r w:rsidRPr="00266156">
        <w:rPr>
          <w:rFonts w:hint="eastAsia"/>
        </w:rPr>
        <w:t xml:space="preserve"> Sinti und Roma</w:t>
      </w:r>
      <w:r w:rsidR="009B75EE">
        <w:rPr>
          <w:rFonts w:hint="eastAsia"/>
        </w:rPr>
        <w:t>)</w:t>
      </w:r>
      <w:r w:rsidRPr="00266156">
        <w:rPr>
          <w:rFonts w:hint="eastAsia"/>
        </w:rPr>
        <w:t>等诉德国</w:t>
      </w:r>
      <w:r w:rsidRPr="00266156">
        <w:rPr>
          <w:rFonts w:hint="eastAsia"/>
        </w:rPr>
        <w:t>(</w:t>
      </w:r>
      <w:hyperlink r:id="rId17" w:history="1">
        <w:r w:rsidRPr="009B75EE">
          <w:rPr>
            <w:rStyle w:val="ad"/>
            <w:rFonts w:hint="eastAsia"/>
          </w:rPr>
          <w:t>CERD/C/72/D/38/2006</w:t>
        </w:r>
      </w:hyperlink>
      <w:r w:rsidRPr="00266156">
        <w:rPr>
          <w:rFonts w:hint="eastAsia"/>
        </w:rPr>
        <w:t>)</w:t>
      </w:r>
      <w:r w:rsidRPr="00266156">
        <w:rPr>
          <w:rFonts w:hint="eastAsia"/>
        </w:rPr>
        <w:t>案的意见。</w:t>
      </w:r>
    </w:p>
    <w:p w14:paraId="18CED26A" w14:textId="77777777" w:rsidR="00266156" w:rsidRPr="00266156" w:rsidRDefault="00266156" w:rsidP="00266156">
      <w:pPr>
        <w:pStyle w:val="SingleTxt"/>
      </w:pPr>
      <w:r w:rsidRPr="00266156">
        <w:rPr>
          <w:rFonts w:hint="eastAsia"/>
        </w:rPr>
        <w:t>5.4</w:t>
      </w:r>
      <w:r w:rsidRPr="00266156">
        <w:rPr>
          <w:rFonts w:hint="eastAsia"/>
        </w:rPr>
        <w:tab/>
      </w:r>
      <w:r w:rsidRPr="00266156">
        <w:rPr>
          <w:rFonts w:hint="eastAsia"/>
        </w:rPr>
        <w:t>来文</w:t>
      </w:r>
      <w:proofErr w:type="gramStart"/>
      <w:r w:rsidRPr="00266156">
        <w:rPr>
          <w:rFonts w:hint="eastAsia"/>
        </w:rPr>
        <w:t>按属时理由</w:t>
      </w:r>
      <w:proofErr w:type="gramEnd"/>
      <w:r w:rsidRPr="00266156">
        <w:rPr>
          <w:rFonts w:hint="eastAsia"/>
        </w:rPr>
        <w:t>也是可以受理的，因为侵权行为仍在继续：公众仍然可以在网上查看此书，而且仍然可以购买。</w:t>
      </w:r>
    </w:p>
    <w:p w14:paraId="516AEF0B" w14:textId="77777777" w:rsidR="00266156" w:rsidRPr="00266156" w:rsidRDefault="00266156" w:rsidP="00266156">
      <w:pPr>
        <w:pStyle w:val="SingleTxt"/>
      </w:pPr>
      <w:r w:rsidRPr="00266156">
        <w:rPr>
          <w:rFonts w:hint="eastAsia"/>
        </w:rPr>
        <w:t>5.5</w:t>
      </w:r>
      <w:r w:rsidRPr="00266156">
        <w:rPr>
          <w:rFonts w:hint="eastAsia"/>
        </w:rPr>
        <w:tab/>
      </w:r>
      <w:r w:rsidRPr="00266156">
        <w:rPr>
          <w:rFonts w:hint="eastAsia"/>
        </w:rPr>
        <w:t>提交方表示自己已用尽了国内补救办法。如果个人受害者以自己的名义向国内机构提出申诉，其结局会会怎样不得而知。如果他们提出了申诉，将因必须证明自己的个人权利受到侵犯这种负担而受阻。提交方指出，在国内诉讼过程中并未提及民法意义上的个人权利。相反，提交方提出了公共秩序问题以及国家履行和执行反歧视的国际和国内准则的义务。</w:t>
      </w:r>
    </w:p>
    <w:p w14:paraId="0E615E3A" w14:textId="77777777" w:rsidR="00266156" w:rsidRPr="00266156" w:rsidRDefault="00266156" w:rsidP="00BC105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266156">
        <w:rPr>
          <w:rFonts w:hint="eastAsia"/>
        </w:rPr>
        <w:tab/>
      </w:r>
      <w:r w:rsidRPr="00266156">
        <w:rPr>
          <w:rFonts w:hint="eastAsia"/>
        </w:rPr>
        <w:tab/>
      </w:r>
      <w:r w:rsidRPr="00266156">
        <w:rPr>
          <w:rFonts w:hint="eastAsia"/>
        </w:rPr>
        <w:t>委员会需审理的问题和议事情况</w:t>
      </w:r>
    </w:p>
    <w:p w14:paraId="486899C2" w14:textId="77777777" w:rsidR="00266156" w:rsidRPr="00266156" w:rsidRDefault="00266156" w:rsidP="00266156">
      <w:pPr>
        <w:pStyle w:val="SingleTxt"/>
      </w:pPr>
      <w:r w:rsidRPr="00266156">
        <w:rPr>
          <w:rFonts w:hint="eastAsia"/>
        </w:rPr>
        <w:t>6.1</w:t>
      </w:r>
      <w:r w:rsidRPr="00266156">
        <w:rPr>
          <w:rFonts w:hint="eastAsia"/>
        </w:rPr>
        <w:tab/>
      </w:r>
      <w:r w:rsidRPr="00266156">
        <w:rPr>
          <w:rFonts w:hint="eastAsia"/>
        </w:rPr>
        <w:t>根据议事规则第</w:t>
      </w:r>
      <w:r w:rsidRPr="00266156">
        <w:rPr>
          <w:rFonts w:hint="eastAsia"/>
        </w:rPr>
        <w:t>64</w:t>
      </w:r>
      <w:r w:rsidRPr="00266156">
        <w:rPr>
          <w:rFonts w:hint="eastAsia"/>
        </w:rPr>
        <w:t>条，根据消除对妇女歧视委员会必须决定按照《任择议定书》来文可否受理的问题。根据议事规则第</w:t>
      </w:r>
      <w:r w:rsidRPr="00266156">
        <w:rPr>
          <w:rFonts w:hint="eastAsia"/>
        </w:rPr>
        <w:t>66</w:t>
      </w:r>
      <w:r w:rsidRPr="00266156">
        <w:rPr>
          <w:rFonts w:hint="eastAsia"/>
        </w:rPr>
        <w:t>条，委员会可决定将来文是否可受理问题与案情结合审查。根据议事规则第</w:t>
      </w:r>
      <w:r w:rsidRPr="00266156">
        <w:rPr>
          <w:rFonts w:hint="eastAsia"/>
        </w:rPr>
        <w:t>72</w:t>
      </w:r>
      <w:r w:rsidRPr="00266156">
        <w:rPr>
          <w:rFonts w:hint="eastAsia"/>
        </w:rPr>
        <w:t>条第</w:t>
      </w:r>
      <w:r w:rsidRPr="00266156">
        <w:rPr>
          <w:rFonts w:hint="eastAsia"/>
        </w:rPr>
        <w:t>4</w:t>
      </w:r>
      <w:r w:rsidRPr="00266156">
        <w:rPr>
          <w:rFonts w:hint="eastAsia"/>
        </w:rPr>
        <w:t>款，委员会须在考虑来文的案情理</w:t>
      </w:r>
      <w:proofErr w:type="gramStart"/>
      <w:r w:rsidRPr="00266156">
        <w:rPr>
          <w:rFonts w:hint="eastAsia"/>
        </w:rPr>
        <w:t>据之前</w:t>
      </w:r>
      <w:proofErr w:type="gramEnd"/>
      <w:r w:rsidRPr="00266156">
        <w:rPr>
          <w:rFonts w:hint="eastAsia"/>
        </w:rPr>
        <w:t>决定来文可否受理。</w:t>
      </w:r>
    </w:p>
    <w:p w14:paraId="6FDF7447" w14:textId="77777777" w:rsidR="00266156" w:rsidRPr="00266156" w:rsidRDefault="00266156" w:rsidP="00266156">
      <w:pPr>
        <w:pStyle w:val="SingleTxt"/>
      </w:pPr>
      <w:r w:rsidRPr="00266156">
        <w:rPr>
          <w:rFonts w:hint="eastAsia"/>
        </w:rPr>
        <w:t>6.2</w:t>
      </w:r>
      <w:r w:rsidRPr="00266156">
        <w:rPr>
          <w:rFonts w:hint="eastAsia"/>
        </w:rPr>
        <w:tab/>
      </w:r>
      <w:r w:rsidRPr="00266156">
        <w:rPr>
          <w:rFonts w:hint="eastAsia"/>
        </w:rPr>
        <w:t>根据《任择议定书》第</w:t>
      </w:r>
      <w:r w:rsidRPr="00266156">
        <w:rPr>
          <w:rFonts w:hint="eastAsia"/>
        </w:rPr>
        <w:t>4</w:t>
      </w:r>
      <w:r w:rsidRPr="00266156">
        <w:rPr>
          <w:rFonts w:hint="eastAsia"/>
        </w:rPr>
        <w:t>条第</w:t>
      </w:r>
      <w:r w:rsidRPr="00266156">
        <w:rPr>
          <w:rFonts w:hint="eastAsia"/>
        </w:rPr>
        <w:t>2</w:t>
      </w:r>
      <w:r w:rsidRPr="00266156">
        <w:rPr>
          <w:rFonts w:hint="eastAsia"/>
        </w:rPr>
        <w:t>款，委员会确认，同一案情过去和现在均未受另一国际调查或解决程序的审查。</w:t>
      </w:r>
    </w:p>
    <w:p w14:paraId="6A7CA899" w14:textId="2B6A76CC" w:rsidR="00266156" w:rsidRPr="00266156" w:rsidRDefault="00266156" w:rsidP="00266156">
      <w:pPr>
        <w:pStyle w:val="SingleTxt"/>
      </w:pPr>
      <w:r w:rsidRPr="00266156">
        <w:rPr>
          <w:rFonts w:hint="eastAsia"/>
        </w:rPr>
        <w:t>6.3</w:t>
      </w:r>
      <w:r w:rsidRPr="00266156">
        <w:rPr>
          <w:rFonts w:hint="eastAsia"/>
        </w:rPr>
        <w:tab/>
      </w:r>
      <w:r w:rsidRPr="00266156">
        <w:rPr>
          <w:rFonts w:hint="eastAsia"/>
        </w:rPr>
        <w:t>委员会注意到缔约国的论点，即根据《任择议定书》第</w:t>
      </w:r>
      <w:r w:rsidRPr="00266156">
        <w:rPr>
          <w:rFonts w:hint="eastAsia"/>
        </w:rPr>
        <w:t>2</w:t>
      </w:r>
      <w:r w:rsidRPr="00266156">
        <w:rPr>
          <w:rFonts w:hint="eastAsia"/>
        </w:rPr>
        <w:t>条，来文不可受理，因为除其他因素外，提交方</w:t>
      </w:r>
      <w:r w:rsidRPr="00266156">
        <w:rPr>
          <w:rFonts w:hint="eastAsia"/>
        </w:rPr>
        <w:t>(</w:t>
      </w:r>
      <w:r w:rsidRPr="00266156">
        <w:rPr>
          <w:rFonts w:hint="eastAsia"/>
        </w:rPr>
        <w:t>未具名</w:t>
      </w:r>
      <w:r w:rsidRPr="00266156">
        <w:rPr>
          <w:rFonts w:hint="eastAsia"/>
        </w:rPr>
        <w:t>)</w:t>
      </w:r>
      <w:r w:rsidRPr="00266156">
        <w:rPr>
          <w:rFonts w:hint="eastAsia"/>
        </w:rPr>
        <w:t>的成员没有提供授权单表明同意由提交方代理行事。委员会也注意到提交方的论点，即这种同意声明没有必要。委员会还注意到，根据《任择议定书》第</w:t>
      </w:r>
      <w:r w:rsidRPr="00266156">
        <w:rPr>
          <w:rFonts w:hint="eastAsia"/>
        </w:rPr>
        <w:t>2</w:t>
      </w:r>
      <w:r w:rsidRPr="00266156">
        <w:rPr>
          <w:rFonts w:hint="eastAsia"/>
        </w:rPr>
        <w:t>条，来文可以由受缔约国管辖下的个人或个人团体提交或代表个人或团体提交。委员会认为，提交方为一个组织这一事实本身对受理并不构成障碍。然而委员会回顾其判例，其中指出，《任择议定书》排除了未经个人事先同意而代表个人群体的来文，除非可以证明没有这种同意的理由。</w:t>
      </w:r>
      <w:r w:rsidRPr="009B75EE">
        <w:rPr>
          <w:vertAlign w:val="superscript"/>
        </w:rPr>
        <w:footnoteReference w:id="4"/>
      </w:r>
      <w:r w:rsidR="009B75EE">
        <w:rPr>
          <w:rFonts w:hint="eastAsia"/>
        </w:rPr>
        <w:t xml:space="preserve"> </w:t>
      </w:r>
      <w:r w:rsidRPr="00266156">
        <w:rPr>
          <w:rFonts w:hint="eastAsia"/>
        </w:rPr>
        <w:t>在本案中，委员会注意到，来文中没有提供据称是受害当事方的个人成员的姓名，也没有提供授权单以表明他们同意由提交方代理。据此，如果来文是代表提交方的成员而提交的，则来文不可受理，因为不符合《任择议定书》第</w:t>
      </w:r>
      <w:r w:rsidRPr="00266156">
        <w:rPr>
          <w:rFonts w:hint="eastAsia"/>
        </w:rPr>
        <w:t>2</w:t>
      </w:r>
      <w:r w:rsidRPr="00266156">
        <w:rPr>
          <w:rFonts w:hint="eastAsia"/>
        </w:rPr>
        <w:t>条的要求。</w:t>
      </w:r>
    </w:p>
    <w:p w14:paraId="4B5CE97F" w14:textId="48E59AA5" w:rsidR="00266156" w:rsidRPr="00266156" w:rsidRDefault="00266156" w:rsidP="00266156">
      <w:pPr>
        <w:pStyle w:val="SingleTxt"/>
      </w:pPr>
      <w:r w:rsidRPr="00266156">
        <w:rPr>
          <w:rFonts w:hint="eastAsia"/>
        </w:rPr>
        <w:t>6.4</w:t>
      </w:r>
      <w:r w:rsidRPr="00266156">
        <w:rPr>
          <w:rFonts w:hint="eastAsia"/>
        </w:rPr>
        <w:tab/>
      </w:r>
      <w:r w:rsidRPr="00266156">
        <w:rPr>
          <w:rFonts w:hint="eastAsia"/>
        </w:rPr>
        <w:t>委员会回顾，根据《任择议定书》第</w:t>
      </w:r>
      <w:r w:rsidRPr="00266156">
        <w:rPr>
          <w:rFonts w:hint="eastAsia"/>
        </w:rPr>
        <w:t>4</w:t>
      </w:r>
      <w:r w:rsidRPr="00266156">
        <w:rPr>
          <w:rFonts w:hint="eastAsia"/>
        </w:rPr>
        <w:t>条第</w:t>
      </w:r>
      <w:r w:rsidRPr="00266156">
        <w:rPr>
          <w:rFonts w:hint="eastAsia"/>
        </w:rPr>
        <w:t>1</w:t>
      </w:r>
      <w:r w:rsidRPr="00266156">
        <w:rPr>
          <w:rFonts w:hint="eastAsia"/>
        </w:rPr>
        <w:t>款，委员会受理来文之前必须确定所有可用的国内补救办法已经用尽，或是补救办法的适用被不合理地拖延或获得有效补救的可能性很小，否则不得审议。</w:t>
      </w:r>
      <w:r w:rsidRPr="009B75EE">
        <w:rPr>
          <w:vertAlign w:val="superscript"/>
        </w:rPr>
        <w:footnoteReference w:id="5"/>
      </w:r>
      <w:r w:rsidR="009B75EE">
        <w:rPr>
          <w:rFonts w:hint="eastAsia"/>
        </w:rPr>
        <w:t xml:space="preserve"> </w:t>
      </w:r>
      <w:r w:rsidRPr="00266156">
        <w:rPr>
          <w:rFonts w:hint="eastAsia"/>
        </w:rPr>
        <w:t>委员会回顾其判例认为，提交方</w:t>
      </w:r>
      <w:r w:rsidRPr="00266156">
        <w:rPr>
          <w:rFonts w:hint="eastAsia"/>
        </w:rPr>
        <w:lastRenderedPageBreak/>
        <w:t>必须用尽所有可用的国内补救办法，并且必须在国内层面实质性地提出过目前向委员会所提出的诉求，以便使国内主管部门和</w:t>
      </w:r>
      <w:r w:rsidRPr="00266156">
        <w:rPr>
          <w:rFonts w:hint="eastAsia"/>
        </w:rPr>
        <w:t>/</w:t>
      </w:r>
      <w:r w:rsidRPr="00266156">
        <w:rPr>
          <w:rFonts w:hint="eastAsia"/>
        </w:rPr>
        <w:t>或法院有机会审理诉求。</w:t>
      </w:r>
      <w:r w:rsidRPr="0046015C">
        <w:rPr>
          <w:vertAlign w:val="superscript"/>
        </w:rPr>
        <w:footnoteReference w:id="6"/>
      </w:r>
    </w:p>
    <w:p w14:paraId="467686E7" w14:textId="553EE1E5" w:rsidR="00266156" w:rsidRPr="00266156" w:rsidRDefault="00266156" w:rsidP="00266156">
      <w:pPr>
        <w:pStyle w:val="SingleTxt"/>
      </w:pPr>
      <w:r w:rsidRPr="00266156">
        <w:rPr>
          <w:rFonts w:hint="eastAsia"/>
        </w:rPr>
        <w:t>6.5</w:t>
      </w:r>
      <w:r w:rsidRPr="00266156">
        <w:rPr>
          <w:rFonts w:hint="eastAsia"/>
        </w:rPr>
        <w:tab/>
      </w:r>
      <w:r w:rsidRPr="00266156">
        <w:rPr>
          <w:rFonts w:hint="eastAsia"/>
        </w:rPr>
        <w:t>如果来文是以提交方本身作为一个制止歧视的组织名义提交的，则委员会注意到提交方报告说，在国内诉讼期间，它并未以本身的名义而是代表公共利益行事，并且并未指控自己是违反《公约》行为的受害方。相反，提交方在国内诉讼期间提出的问题是保护公共秩序和缔约国履行《公约》规定的义务的问题。委员会回顾其判例曾确认，《任择议定书》排除了公益之诉的诉求，而如果来文提交方亲身受到缔约国的行为或不作为产生的不利影响，则提交方即是《任择议定书》第</w:t>
      </w:r>
      <w:r w:rsidRPr="00266156">
        <w:rPr>
          <w:rFonts w:hint="eastAsia"/>
        </w:rPr>
        <w:t>2</w:t>
      </w:r>
      <w:r w:rsidRPr="00266156">
        <w:rPr>
          <w:rFonts w:hint="eastAsia"/>
        </w:rPr>
        <w:t>条定义所指的受害者方。</w:t>
      </w:r>
      <w:r w:rsidRPr="0046015C">
        <w:rPr>
          <w:vertAlign w:val="superscript"/>
        </w:rPr>
        <w:footnoteReference w:id="7"/>
      </w:r>
      <w:r w:rsidR="0046015C" w:rsidRPr="0046015C">
        <w:rPr>
          <w:rFonts w:hint="eastAsia"/>
          <w:vertAlign w:val="superscript"/>
        </w:rPr>
        <w:t xml:space="preserve"> </w:t>
      </w:r>
      <w:r w:rsidRPr="00266156">
        <w:rPr>
          <w:rFonts w:hint="eastAsia"/>
        </w:rPr>
        <w:t>由于提交方并未作为法人在国内主管部门面前以本身的名义采取行动，委员会认为，它没有用尽所有国内补救办法，故来文的这一方面也根据《任择议定书》第</w:t>
      </w:r>
      <w:r w:rsidRPr="00266156">
        <w:rPr>
          <w:rFonts w:hint="eastAsia"/>
        </w:rPr>
        <w:t>2</w:t>
      </w:r>
      <w:r w:rsidRPr="00266156">
        <w:rPr>
          <w:rFonts w:hint="eastAsia"/>
        </w:rPr>
        <w:t>条和第</w:t>
      </w:r>
      <w:r w:rsidRPr="00266156">
        <w:rPr>
          <w:rFonts w:hint="eastAsia"/>
        </w:rPr>
        <w:t>4</w:t>
      </w:r>
      <w:r w:rsidRPr="00266156">
        <w:rPr>
          <w:rFonts w:hint="eastAsia"/>
        </w:rPr>
        <w:t>条第</w:t>
      </w:r>
      <w:r w:rsidRPr="00266156">
        <w:rPr>
          <w:rFonts w:hint="eastAsia"/>
        </w:rPr>
        <w:t>1</w:t>
      </w:r>
      <w:r w:rsidRPr="00266156">
        <w:rPr>
          <w:rFonts w:hint="eastAsia"/>
        </w:rPr>
        <w:t>款被确定为不可受理。</w:t>
      </w:r>
    </w:p>
    <w:p w14:paraId="4C22169F" w14:textId="77777777" w:rsidR="00266156" w:rsidRPr="00266156" w:rsidRDefault="00266156" w:rsidP="00266156">
      <w:pPr>
        <w:pStyle w:val="SingleTxt"/>
      </w:pPr>
      <w:r w:rsidRPr="00266156">
        <w:rPr>
          <w:rFonts w:hint="eastAsia"/>
        </w:rPr>
        <w:t>7.</w:t>
      </w:r>
      <w:r w:rsidRPr="00266156">
        <w:rPr>
          <w:rFonts w:hint="eastAsia"/>
        </w:rPr>
        <w:tab/>
      </w:r>
      <w:r w:rsidRPr="00266156">
        <w:rPr>
          <w:rFonts w:hint="eastAsia"/>
        </w:rPr>
        <w:t>委员会因此决定：</w:t>
      </w:r>
    </w:p>
    <w:p w14:paraId="52CAAF45" w14:textId="77777777" w:rsidR="00266156" w:rsidRPr="00266156" w:rsidRDefault="00266156" w:rsidP="00266156">
      <w:pPr>
        <w:pStyle w:val="SingleTxt"/>
      </w:pPr>
      <w:r w:rsidRPr="00266156">
        <w:rPr>
          <w:rFonts w:hint="eastAsia"/>
        </w:rPr>
        <w:tab/>
        <w:t>(a)</w:t>
      </w:r>
      <w:r w:rsidRPr="00266156">
        <w:rPr>
          <w:rFonts w:hint="eastAsia"/>
        </w:rPr>
        <w:tab/>
      </w:r>
      <w:r w:rsidRPr="00266156">
        <w:rPr>
          <w:rFonts w:hint="eastAsia"/>
        </w:rPr>
        <w:t>根据《任择议定书》第</w:t>
      </w:r>
      <w:r w:rsidRPr="00266156">
        <w:rPr>
          <w:rFonts w:hint="eastAsia"/>
        </w:rPr>
        <w:t>2</w:t>
      </w:r>
      <w:r w:rsidRPr="00266156">
        <w:rPr>
          <w:rFonts w:hint="eastAsia"/>
        </w:rPr>
        <w:t>条和第</w:t>
      </w:r>
      <w:r w:rsidRPr="00266156">
        <w:rPr>
          <w:rFonts w:hint="eastAsia"/>
        </w:rPr>
        <w:t>4</w:t>
      </w:r>
      <w:r w:rsidRPr="00266156">
        <w:rPr>
          <w:rFonts w:hint="eastAsia"/>
        </w:rPr>
        <w:t>条第</w:t>
      </w:r>
      <w:r w:rsidRPr="00266156">
        <w:rPr>
          <w:rFonts w:hint="eastAsia"/>
        </w:rPr>
        <w:t>1</w:t>
      </w:r>
      <w:r w:rsidRPr="00266156">
        <w:rPr>
          <w:rFonts w:hint="eastAsia"/>
        </w:rPr>
        <w:t>款，来文不可受理；</w:t>
      </w:r>
    </w:p>
    <w:p w14:paraId="44B2DE48" w14:textId="77777777" w:rsidR="00266156" w:rsidRPr="00266156" w:rsidRDefault="00266156" w:rsidP="00266156">
      <w:pPr>
        <w:pStyle w:val="SingleTxt"/>
      </w:pPr>
      <w:r w:rsidRPr="00266156">
        <w:rPr>
          <w:rFonts w:hint="eastAsia"/>
        </w:rPr>
        <w:tab/>
        <w:t>(b)</w:t>
      </w:r>
      <w:r w:rsidRPr="00266156">
        <w:rPr>
          <w:rFonts w:hint="eastAsia"/>
        </w:rPr>
        <w:tab/>
      </w:r>
      <w:r w:rsidRPr="00266156">
        <w:rPr>
          <w:rFonts w:hint="eastAsia"/>
        </w:rPr>
        <w:t>将本决定通知缔约国和提交方。</w:t>
      </w:r>
    </w:p>
    <w:p w14:paraId="7C2AB8BA" w14:textId="7F443FB4" w:rsidR="00B31E9D" w:rsidRPr="00BC105E" w:rsidRDefault="00BC105E" w:rsidP="00BC105E">
      <w:pPr>
        <w:pStyle w:val="SingleTxt"/>
        <w:spacing w:after="0" w:line="240" w:lineRule="auto"/>
        <w:rPr>
          <w:sz w:val="20"/>
        </w:rPr>
      </w:pPr>
      <w:r>
        <w:rPr>
          <w:rFonts w:hint="eastAsia"/>
          <w:noProof/>
          <w:sz w:val="20"/>
        </w:rPr>
        <mc:AlternateContent>
          <mc:Choice Requires="wps">
            <w:drawing>
              <wp:anchor distT="0" distB="0" distL="114300" distR="114300" simplePos="0" relativeHeight="251659264" behindDoc="0" locked="0" layoutInCell="1" allowOverlap="1" wp14:anchorId="784CE2F5" wp14:editId="06389BF9">
                <wp:simplePos x="0" y="0"/>
                <wp:positionH relativeFrom="column">
                  <wp:align>center</wp:align>
                </wp:positionH>
                <wp:positionV relativeFrom="paragraph">
                  <wp:posOffset>381000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4BE1D3"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B31E9D" w:rsidRPr="00BC105E" w:rsidSect="008C5355">
      <w:type w:val="continuous"/>
      <w:pgSz w:w="12240" w:h="15840" w:code="1"/>
      <w:pgMar w:top="1440" w:right="1200" w:bottom="1152"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9-23T16:00:00Z" w:initials="Start">
    <w:p w14:paraId="6F1AD5FA" w14:textId="77777777" w:rsidR="00371F3E" w:rsidRDefault="00371F3E">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NO&gt;&gt;N1927456C&lt;&lt;ODS JOB NO&gt;&gt;</w:t>
      </w:r>
    </w:p>
    <w:p w14:paraId="738FD120" w14:textId="77777777" w:rsidR="00371F3E" w:rsidRDefault="00371F3E">
      <w:pPr>
        <w:pStyle w:val="a7"/>
      </w:pPr>
      <w:r>
        <w:t>&lt;&lt;ODS DOC SYMBOL1&gt;&gt;CEDAW/C/73/D/136/2018&lt;&lt;ODS DOC SYMBOL1&gt;&gt;</w:t>
      </w:r>
    </w:p>
    <w:p w14:paraId="6F56BBD2" w14:textId="77777777" w:rsidR="00371F3E" w:rsidRDefault="00371F3E">
      <w:pPr>
        <w:pStyle w:val="a7"/>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56BBD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43C43" w14:textId="77777777" w:rsidR="00DB7463" w:rsidRDefault="00DB7463">
      <w:r>
        <w:separator/>
      </w:r>
    </w:p>
  </w:endnote>
  <w:endnote w:type="continuationSeparator" w:id="0">
    <w:p w14:paraId="14AD3054" w14:textId="77777777" w:rsidR="00DB7463" w:rsidRDefault="00DB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800002BF" w:usb1="38CF7CFA" w:usb2="00000016" w:usb3="00000000" w:csb0="00040001"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71F3E" w14:paraId="60B525C4" w14:textId="77777777" w:rsidTr="00371F3E">
      <w:tc>
        <w:tcPr>
          <w:tcW w:w="4920" w:type="dxa"/>
          <w:shd w:val="clear" w:color="auto" w:fill="auto"/>
        </w:tcPr>
        <w:p w14:paraId="1D6B662F" w14:textId="77777777" w:rsidR="00371F3E" w:rsidRPr="00371F3E" w:rsidRDefault="00371F3E" w:rsidP="00371F3E">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19-15450</w:t>
          </w:r>
          <w:r>
            <w:rPr>
              <w:b w:val="0"/>
              <w:w w:val="103"/>
              <w:sz w:val="14"/>
            </w:rPr>
            <w:fldChar w:fldCharType="end"/>
          </w:r>
        </w:p>
      </w:tc>
      <w:tc>
        <w:tcPr>
          <w:tcW w:w="4920" w:type="dxa"/>
          <w:shd w:val="clear" w:color="auto" w:fill="auto"/>
        </w:tcPr>
        <w:p w14:paraId="3C3BE461" w14:textId="77777777" w:rsidR="00371F3E" w:rsidRPr="00371F3E" w:rsidRDefault="00371F3E" w:rsidP="00371F3E">
          <w:pPr>
            <w:pStyle w:val="ac"/>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2076C9D0" w14:textId="77777777" w:rsidR="00371F3E" w:rsidRPr="00371F3E" w:rsidRDefault="00371F3E" w:rsidP="00371F3E">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71F3E" w14:paraId="28E44322" w14:textId="77777777" w:rsidTr="00371F3E">
      <w:tc>
        <w:tcPr>
          <w:tcW w:w="4920" w:type="dxa"/>
          <w:shd w:val="clear" w:color="auto" w:fill="auto"/>
        </w:tcPr>
        <w:p w14:paraId="285E9027" w14:textId="77777777" w:rsidR="00371F3E" w:rsidRPr="00371F3E" w:rsidRDefault="00371F3E" w:rsidP="00371F3E">
          <w:pPr>
            <w:pStyle w:val="ac"/>
            <w:jc w:val="right"/>
          </w:pPr>
          <w:r>
            <w:fldChar w:fldCharType="begin"/>
          </w:r>
          <w:r>
            <w:instrText xml:space="preserve"> PAGE  \* Arabic  \* MERGEFORMAT </w:instrText>
          </w:r>
          <w:r>
            <w:fldChar w:fldCharType="separate"/>
          </w:r>
          <w:r>
            <w:t>2</w:t>
          </w:r>
          <w:r>
            <w:fldChar w:fldCharType="end"/>
          </w:r>
          <w:r>
            <w:t>/</w:t>
          </w:r>
          <w:r w:rsidR="00840E93">
            <w:fldChar w:fldCharType="begin"/>
          </w:r>
          <w:r w:rsidR="00840E93">
            <w:instrText xml:space="preserve"> NUMPAGES  \* Arabic  \* MERGEFORMAT </w:instrText>
          </w:r>
          <w:r w:rsidR="00840E93">
            <w:fldChar w:fldCharType="separate"/>
          </w:r>
          <w:r>
            <w:t>3</w:t>
          </w:r>
          <w:r w:rsidR="00840E93">
            <w:fldChar w:fldCharType="end"/>
          </w:r>
        </w:p>
      </w:tc>
      <w:tc>
        <w:tcPr>
          <w:tcW w:w="4920" w:type="dxa"/>
          <w:shd w:val="clear" w:color="auto" w:fill="auto"/>
        </w:tcPr>
        <w:p w14:paraId="4ECCFBCA" w14:textId="77777777" w:rsidR="00371F3E" w:rsidRPr="00371F3E" w:rsidRDefault="00371F3E" w:rsidP="00371F3E">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19-15450</w:t>
          </w:r>
          <w:r>
            <w:rPr>
              <w:b w:val="0"/>
              <w:w w:val="103"/>
              <w:sz w:val="14"/>
            </w:rPr>
            <w:fldChar w:fldCharType="end"/>
          </w:r>
        </w:p>
      </w:tc>
    </w:tr>
  </w:tbl>
  <w:p w14:paraId="57F04585" w14:textId="77777777" w:rsidR="00371F3E" w:rsidRPr="00371F3E" w:rsidRDefault="00371F3E" w:rsidP="00371F3E">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744"/>
      <w:gridCol w:w="4920"/>
    </w:tblGrid>
    <w:tr w:rsidR="00371F3E" w14:paraId="55BAB32D" w14:textId="77777777" w:rsidTr="00371F3E">
      <w:tc>
        <w:tcPr>
          <w:tcW w:w="3744" w:type="dxa"/>
        </w:tcPr>
        <w:p w14:paraId="176908DB" w14:textId="3D50C78A" w:rsidR="00371F3E" w:rsidRDefault="00371F3E" w:rsidP="00371F3E">
          <w:pPr>
            <w:pStyle w:val="Release"/>
          </w:pPr>
          <w:r>
            <w:rPr>
              <w:noProof/>
            </w:rPr>
            <w:drawing>
              <wp:anchor distT="0" distB="0" distL="114300" distR="114300" simplePos="0" relativeHeight="251658240" behindDoc="0" locked="0" layoutInCell="1" allowOverlap="1" wp14:anchorId="37303FE1" wp14:editId="510F7447">
                <wp:simplePos x="0" y="0"/>
                <wp:positionH relativeFrom="column">
                  <wp:posOffset>5431155</wp:posOffset>
                </wp:positionH>
                <wp:positionV relativeFrom="paragraph">
                  <wp:posOffset>-356235</wp:posOffset>
                </wp:positionV>
                <wp:extent cx="694690" cy="694690"/>
                <wp:effectExtent l="0" t="0" r="0" b="0"/>
                <wp:wrapNone/>
                <wp:docPr id="3" name="图片 3" descr="https://undocs.org/m2/QRCode2.ashx?DS=CEDAW/C/73/D/136/2018&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3/D/136/2018&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840E93">
            <w:fldChar w:fldCharType="begin"/>
          </w:r>
          <w:r w:rsidR="00840E93">
            <w:instrText xml:space="preserve"> DOCVARIABLE "jobn" \* MERGEFORMAT </w:instrText>
          </w:r>
          <w:r w:rsidR="00840E93">
            <w:fldChar w:fldCharType="separate"/>
          </w:r>
          <w:r>
            <w:t>19-15450 (C)</w:t>
          </w:r>
          <w:r w:rsidR="00840E93">
            <w:fldChar w:fldCharType="end"/>
          </w:r>
          <w:r>
            <w:t xml:space="preserve">    2</w:t>
          </w:r>
          <w:r w:rsidR="00A10536">
            <w:rPr>
              <w:rFonts w:hint="eastAsia"/>
            </w:rPr>
            <w:t>0</w:t>
          </w:r>
          <w:r>
            <w:t>0919    2</w:t>
          </w:r>
          <w:r w:rsidR="00A10536">
            <w:rPr>
              <w:rFonts w:hint="eastAsia"/>
            </w:rPr>
            <w:t>6</w:t>
          </w:r>
          <w:r>
            <w:t>0919</w:t>
          </w:r>
        </w:p>
        <w:p w14:paraId="33856D8F" w14:textId="77777777" w:rsidR="00371F3E" w:rsidRPr="00371F3E" w:rsidRDefault="00371F3E" w:rsidP="00371F3E">
          <w:pPr>
            <w:spacing w:before="80" w:line="210" w:lineRule="exact"/>
            <w:rPr>
              <w:rFonts w:ascii="Barcode 3 of 9 by request" w:hAnsi="Barcode 3 of 9 by request"/>
              <w:sz w:val="24"/>
            </w:rPr>
          </w:pPr>
          <w:r>
            <w:rPr>
              <w:rFonts w:ascii="Barcode 3 of 9 by request" w:hAnsi="Barcode 3 of 9 by request"/>
              <w:b/>
              <w:sz w:val="24"/>
            </w:rPr>
            <w:t>*1915450*</w:t>
          </w:r>
        </w:p>
      </w:tc>
      <w:tc>
        <w:tcPr>
          <w:tcW w:w="4920" w:type="dxa"/>
        </w:tcPr>
        <w:p w14:paraId="20C8E30A" w14:textId="77777777" w:rsidR="00371F3E" w:rsidRDefault="00371F3E" w:rsidP="00371F3E">
          <w:pPr>
            <w:pStyle w:val="ac"/>
            <w:jc w:val="right"/>
            <w:rPr>
              <w:b w:val="0"/>
              <w:sz w:val="21"/>
            </w:rPr>
          </w:pPr>
          <w:r>
            <w:rPr>
              <w:b w:val="0"/>
              <w:sz w:val="21"/>
            </w:rPr>
            <w:drawing>
              <wp:inline distT="0" distB="0" distL="0" distR="0" wp14:anchorId="58ECA3F4" wp14:editId="095AB185">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76789631" w14:textId="77777777" w:rsidR="00371F3E" w:rsidRPr="00371F3E" w:rsidRDefault="00371F3E" w:rsidP="00371F3E">
    <w:pPr>
      <w:pStyle w:val="ac"/>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FC6E2" w14:textId="77777777" w:rsidR="00DB7463" w:rsidRPr="00266156" w:rsidRDefault="00DB7463" w:rsidP="00266156">
      <w:pPr>
        <w:pStyle w:val="ac"/>
        <w:spacing w:after="80"/>
        <w:ind w:left="792"/>
        <w:rPr>
          <w:sz w:val="16"/>
        </w:rPr>
      </w:pPr>
      <w:r w:rsidRPr="00266156">
        <w:rPr>
          <w:sz w:val="16"/>
        </w:rPr>
        <w:t>__________________</w:t>
      </w:r>
    </w:p>
  </w:footnote>
  <w:footnote w:type="continuationSeparator" w:id="0">
    <w:p w14:paraId="58C61834" w14:textId="77777777" w:rsidR="00DB7463" w:rsidRPr="00266156" w:rsidRDefault="00DB7463" w:rsidP="00266156">
      <w:pPr>
        <w:pStyle w:val="ac"/>
        <w:spacing w:after="80"/>
        <w:ind w:left="792"/>
        <w:rPr>
          <w:sz w:val="16"/>
        </w:rPr>
      </w:pPr>
      <w:r w:rsidRPr="00266156">
        <w:rPr>
          <w:sz w:val="16"/>
        </w:rPr>
        <w:t>__________________</w:t>
      </w:r>
    </w:p>
  </w:footnote>
  <w:footnote w:id="1">
    <w:p w14:paraId="7A82957B" w14:textId="77777777" w:rsidR="00A10536" w:rsidRDefault="00A10536" w:rsidP="00266156">
      <w:pPr>
        <w:pStyle w:val="a5"/>
        <w:tabs>
          <w:tab w:val="clear" w:pos="418"/>
          <w:tab w:val="right" w:pos="1195"/>
          <w:tab w:val="left" w:pos="1264"/>
          <w:tab w:val="left" w:pos="1695"/>
          <w:tab w:val="left" w:pos="2126"/>
          <w:tab w:val="left" w:pos="2557"/>
        </w:tabs>
        <w:ind w:left="1264" w:right="1264" w:hanging="432"/>
        <w:rPr>
          <w:rFonts w:eastAsiaTheme="minorHAnsi"/>
        </w:rPr>
      </w:pPr>
      <w:r>
        <w:rPr>
          <w:lang w:val="zh-CN"/>
        </w:rPr>
        <w:tab/>
        <w:t>*</w:t>
      </w:r>
      <w:r>
        <w:rPr>
          <w:rFonts w:eastAsiaTheme="minorEastAsia"/>
          <w:lang w:val="zh-CN"/>
        </w:rPr>
        <w:tab/>
      </w:r>
      <w:r>
        <w:rPr>
          <w:lang w:val="zh-CN"/>
        </w:rPr>
        <w:t>委员会第七十三届会议</w:t>
      </w:r>
      <w:r>
        <w:rPr>
          <w:lang w:val="zh-CN"/>
        </w:rPr>
        <w:t>(2019</w:t>
      </w:r>
      <w:r>
        <w:rPr>
          <w:lang w:val="zh-CN"/>
        </w:rPr>
        <w:t>年</w:t>
      </w:r>
      <w:r>
        <w:rPr>
          <w:lang w:val="zh-CN"/>
        </w:rPr>
        <w:t>7</w:t>
      </w:r>
      <w:r>
        <w:rPr>
          <w:lang w:val="zh-CN"/>
        </w:rPr>
        <w:t>月</w:t>
      </w:r>
      <w:r>
        <w:rPr>
          <w:lang w:val="zh-CN"/>
        </w:rPr>
        <w:t>1</w:t>
      </w:r>
      <w:r>
        <w:rPr>
          <w:lang w:val="zh-CN"/>
        </w:rPr>
        <w:t>日至</w:t>
      </w:r>
      <w:r>
        <w:rPr>
          <w:lang w:val="zh-CN"/>
        </w:rPr>
        <w:t>19</w:t>
      </w:r>
      <w:r>
        <w:rPr>
          <w:lang w:val="zh-CN"/>
        </w:rPr>
        <w:t>日</w:t>
      </w:r>
      <w:r>
        <w:rPr>
          <w:lang w:val="zh-CN"/>
        </w:rPr>
        <w:t>)</w:t>
      </w:r>
      <w:r>
        <w:rPr>
          <w:lang w:val="zh-CN"/>
        </w:rPr>
        <w:t>上通过</w:t>
      </w:r>
      <w:r>
        <w:rPr>
          <w:rFonts w:ascii="微软雅黑" w:eastAsia="微软雅黑" w:hAnsi="微软雅黑" w:cs="微软雅黑" w:hint="eastAsia"/>
          <w:lang w:val="zh-CN"/>
        </w:rPr>
        <w:t>。</w:t>
      </w:r>
    </w:p>
  </w:footnote>
  <w:footnote w:id="2">
    <w:p w14:paraId="6C3BF565" w14:textId="64084931" w:rsidR="00A10536" w:rsidRPr="00A10536" w:rsidRDefault="00A10536" w:rsidP="00266156">
      <w:pPr>
        <w:widowControl w:val="0"/>
        <w:tabs>
          <w:tab w:val="right" w:pos="1195"/>
          <w:tab w:val="left" w:pos="1264"/>
          <w:tab w:val="left" w:pos="1695"/>
          <w:tab w:val="left" w:pos="2126"/>
          <w:tab w:val="left" w:pos="2557"/>
        </w:tabs>
        <w:spacing w:line="210" w:lineRule="exact"/>
        <w:ind w:left="1264" w:right="1264" w:hanging="432"/>
        <w:rPr>
          <w:spacing w:val="5"/>
          <w:sz w:val="17"/>
        </w:rPr>
      </w:pPr>
      <w:r>
        <w:rPr>
          <w:lang w:val="zh-CN"/>
        </w:rPr>
        <w:tab/>
        <w:t>*</w:t>
      </w:r>
      <w:r w:rsidRPr="00266156">
        <w:rPr>
          <w:noProof/>
          <w:sz w:val="18"/>
          <w:lang w:val="zh-CN"/>
        </w:rPr>
        <w:t>*</w:t>
      </w:r>
      <w:r w:rsidRPr="00266156">
        <w:rPr>
          <w:rFonts w:eastAsiaTheme="minorEastAsia"/>
          <w:noProof/>
          <w:sz w:val="18"/>
          <w:lang w:val="zh-CN"/>
        </w:rPr>
        <w:tab/>
      </w:r>
      <w:r w:rsidRPr="00266156">
        <w:rPr>
          <w:noProof/>
          <w:sz w:val="18"/>
          <w:lang w:val="zh-CN"/>
        </w:rPr>
        <w:t>委员会下列委员参加了对本来文的审议：克拉迪斯</w:t>
      </w:r>
      <w:r w:rsidRPr="00245513">
        <w:rPr>
          <w:rFonts w:asciiTheme="minorEastAsia" w:eastAsiaTheme="minorEastAsia" w:hAnsiTheme="minorEastAsia"/>
          <w:noProof/>
          <w:sz w:val="18"/>
          <w:lang w:val="zh-CN"/>
        </w:rPr>
        <w:t>·</w:t>
      </w:r>
      <w:r w:rsidRPr="00266156">
        <w:rPr>
          <w:noProof/>
          <w:sz w:val="18"/>
          <w:lang w:val="zh-CN"/>
        </w:rPr>
        <w:t>阿科斯塔</w:t>
      </w:r>
      <w:r w:rsidR="00245513" w:rsidRPr="00245513">
        <w:rPr>
          <w:rFonts w:asciiTheme="minorEastAsia" w:eastAsiaTheme="minorEastAsia" w:hAnsiTheme="minorEastAsia"/>
          <w:noProof/>
          <w:sz w:val="18"/>
          <w:lang w:val="zh-CN"/>
        </w:rPr>
        <w:t>·</w:t>
      </w:r>
      <w:r w:rsidRPr="00266156">
        <w:rPr>
          <w:noProof/>
          <w:sz w:val="18"/>
          <w:lang w:val="zh-CN"/>
        </w:rPr>
        <w:t>巴尔加斯、秋月裕子、塔马德尔</w:t>
      </w:r>
      <w:r w:rsidR="00245513" w:rsidRPr="00245513">
        <w:rPr>
          <w:rFonts w:asciiTheme="minorEastAsia" w:eastAsiaTheme="minorEastAsia" w:hAnsiTheme="minorEastAsia"/>
          <w:noProof/>
          <w:sz w:val="18"/>
          <w:lang w:val="zh-CN"/>
        </w:rPr>
        <w:t>·</w:t>
      </w:r>
      <w:r w:rsidRPr="00266156">
        <w:rPr>
          <w:noProof/>
          <w:sz w:val="18"/>
          <w:lang w:val="zh-CN"/>
        </w:rPr>
        <w:t>拉马、尼科尔</w:t>
      </w:r>
      <w:r w:rsidR="00245513" w:rsidRPr="00245513">
        <w:rPr>
          <w:rFonts w:asciiTheme="minorEastAsia" w:eastAsiaTheme="minorEastAsia" w:hAnsiTheme="minorEastAsia"/>
          <w:noProof/>
          <w:sz w:val="18"/>
          <w:lang w:val="zh-CN"/>
        </w:rPr>
        <w:t>·</w:t>
      </w:r>
      <w:r w:rsidRPr="00266156">
        <w:rPr>
          <w:noProof/>
          <w:sz w:val="18"/>
          <w:lang w:val="zh-CN"/>
        </w:rPr>
        <w:t>阿默林、冈纳尔</w:t>
      </w:r>
      <w:r w:rsidR="00245513" w:rsidRPr="00245513">
        <w:rPr>
          <w:rFonts w:asciiTheme="minorEastAsia" w:eastAsiaTheme="minorEastAsia" w:hAnsiTheme="minorEastAsia"/>
          <w:noProof/>
          <w:sz w:val="18"/>
          <w:lang w:val="zh-CN"/>
        </w:rPr>
        <w:t>·</w:t>
      </w:r>
      <w:r w:rsidRPr="00266156">
        <w:rPr>
          <w:noProof/>
          <w:sz w:val="18"/>
          <w:lang w:val="zh-CN"/>
        </w:rPr>
        <w:t>博格比、马里昂</w:t>
      </w:r>
      <w:r w:rsidR="00245513" w:rsidRPr="00245513">
        <w:rPr>
          <w:rFonts w:asciiTheme="minorEastAsia" w:eastAsiaTheme="minorEastAsia" w:hAnsiTheme="minorEastAsia"/>
          <w:noProof/>
          <w:sz w:val="18"/>
          <w:lang w:val="zh-CN"/>
        </w:rPr>
        <w:t>·</w:t>
      </w:r>
      <w:r w:rsidRPr="00266156">
        <w:rPr>
          <w:noProof/>
          <w:sz w:val="18"/>
          <w:lang w:val="zh-CN"/>
        </w:rPr>
        <w:t>贝塞尔、路易扎</w:t>
      </w:r>
      <w:r w:rsidR="00245513" w:rsidRPr="00245513">
        <w:rPr>
          <w:rFonts w:asciiTheme="minorEastAsia" w:eastAsiaTheme="minorEastAsia" w:hAnsiTheme="minorEastAsia"/>
          <w:noProof/>
          <w:sz w:val="18"/>
          <w:lang w:val="zh-CN"/>
        </w:rPr>
        <w:t>·</w:t>
      </w:r>
      <w:r w:rsidRPr="00266156">
        <w:rPr>
          <w:noProof/>
          <w:sz w:val="18"/>
          <w:lang w:val="zh-CN"/>
        </w:rPr>
        <w:t>查拉尔、</w:t>
      </w:r>
      <w:r w:rsidRPr="00D41F06">
        <w:rPr>
          <w:rFonts w:asciiTheme="minorEastAsia" w:eastAsiaTheme="minorEastAsia" w:hAnsiTheme="minorEastAsia" w:cs="微软雅黑" w:hint="eastAsia"/>
          <w:noProof/>
          <w:sz w:val="18"/>
        </w:rPr>
        <w:t>埃丝</w:t>
      </w:r>
      <w:r w:rsidRPr="00266156">
        <w:rPr>
          <w:rFonts w:ascii="宋体" w:hAnsi="宋体" w:cs="宋体" w:hint="eastAsia"/>
          <w:noProof/>
          <w:sz w:val="18"/>
        </w:rPr>
        <w:t>特</w:t>
      </w:r>
      <w:r w:rsidR="00245513" w:rsidRPr="00245513">
        <w:rPr>
          <w:rFonts w:asciiTheme="minorEastAsia" w:eastAsiaTheme="minorEastAsia" w:hAnsiTheme="minorEastAsia"/>
          <w:noProof/>
          <w:sz w:val="18"/>
          <w:lang w:val="zh-CN"/>
        </w:rPr>
        <w:t>·</w:t>
      </w:r>
      <w:r w:rsidRPr="00266156">
        <w:rPr>
          <w:rFonts w:ascii="宋体" w:hAnsi="宋体" w:cs="宋体" w:hint="eastAsia"/>
          <w:noProof/>
          <w:sz w:val="18"/>
          <w:lang w:val="zh-CN"/>
        </w:rPr>
        <w:t>艾戈巴缅</w:t>
      </w:r>
      <w:r w:rsidR="00245513">
        <w:rPr>
          <w:rFonts w:ascii="宋体" w:hAnsi="宋体" w:cs="宋体"/>
          <w:noProof/>
          <w:sz w:val="18"/>
          <w:lang w:val="zh-CN"/>
        </w:rPr>
        <w:t>-</w:t>
      </w:r>
      <w:r w:rsidRPr="00266156">
        <w:rPr>
          <w:rFonts w:ascii="宋体" w:hAnsi="宋体" w:cs="宋体" w:hint="eastAsia"/>
          <w:noProof/>
          <w:sz w:val="18"/>
          <w:lang w:val="zh-CN"/>
        </w:rPr>
        <w:t>姆谢利亚</w:t>
      </w:r>
      <w:r w:rsidRPr="00266156">
        <w:rPr>
          <w:noProof/>
          <w:sz w:val="18"/>
          <w:lang w:val="zh-CN"/>
        </w:rPr>
        <w:t>、纳伊拉</w:t>
      </w:r>
      <w:r w:rsidR="00245513" w:rsidRPr="00840E93">
        <w:rPr>
          <w:rFonts w:asciiTheme="minorEastAsia" w:eastAsiaTheme="minorEastAsia" w:hAnsiTheme="minorEastAsia"/>
          <w:noProof/>
          <w:sz w:val="18"/>
          <w:lang w:val="zh-CN"/>
        </w:rPr>
        <w:t>·</w:t>
      </w:r>
      <w:r w:rsidRPr="00266156">
        <w:rPr>
          <w:rFonts w:ascii="宋体" w:hAnsi="宋体" w:cs="宋体" w:hint="eastAsia"/>
          <w:noProof/>
          <w:sz w:val="18"/>
          <w:lang w:val="zh-CN"/>
        </w:rPr>
        <w:t>穆罕默德</w:t>
      </w:r>
      <w:r w:rsidR="00245513" w:rsidRPr="00245513">
        <w:rPr>
          <w:rFonts w:asciiTheme="minorEastAsia" w:eastAsiaTheme="minorEastAsia" w:hAnsiTheme="minorEastAsia"/>
          <w:noProof/>
          <w:sz w:val="18"/>
          <w:lang w:val="zh-CN"/>
        </w:rPr>
        <w:t>·</w:t>
      </w:r>
      <w:r w:rsidRPr="00266156">
        <w:rPr>
          <w:noProof/>
          <w:sz w:val="18"/>
          <w:lang w:val="zh-CN"/>
        </w:rPr>
        <w:t>贾布尔、希拉里</w:t>
      </w:r>
      <w:r w:rsidR="00245513" w:rsidRPr="00245513">
        <w:rPr>
          <w:rFonts w:asciiTheme="minorEastAsia" w:eastAsiaTheme="minorEastAsia" w:hAnsiTheme="minorEastAsia"/>
          <w:noProof/>
          <w:sz w:val="18"/>
          <w:lang w:val="zh-CN"/>
        </w:rPr>
        <w:t>·</w:t>
      </w:r>
      <w:r w:rsidRPr="00266156">
        <w:rPr>
          <w:noProof/>
          <w:sz w:val="18"/>
          <w:lang w:val="zh-CN"/>
        </w:rPr>
        <w:t>格贝德玛、纳赫拉</w:t>
      </w:r>
      <w:r w:rsidR="00245513" w:rsidRPr="00245513">
        <w:rPr>
          <w:rFonts w:asciiTheme="minorEastAsia" w:eastAsiaTheme="minorEastAsia" w:hAnsiTheme="minorEastAsia"/>
          <w:noProof/>
          <w:sz w:val="18"/>
          <w:lang w:val="zh-CN"/>
        </w:rPr>
        <w:t>·</w:t>
      </w:r>
      <w:r w:rsidRPr="00266156">
        <w:rPr>
          <w:noProof/>
          <w:sz w:val="18"/>
          <w:lang w:val="zh-CN"/>
        </w:rPr>
        <w:t>海达尔、达利娅</w:t>
      </w:r>
      <w:r w:rsidR="00245513" w:rsidRPr="00245513">
        <w:rPr>
          <w:rFonts w:asciiTheme="minorEastAsia" w:eastAsiaTheme="minorEastAsia" w:hAnsiTheme="minorEastAsia"/>
          <w:noProof/>
          <w:sz w:val="18"/>
          <w:lang w:val="zh-CN"/>
        </w:rPr>
        <w:t>·</w:t>
      </w:r>
      <w:r w:rsidRPr="00266156">
        <w:rPr>
          <w:noProof/>
          <w:sz w:val="18"/>
          <w:lang w:val="zh-CN"/>
        </w:rPr>
        <w:t>莱伊纳尔特、阿鲁娜</w:t>
      </w:r>
      <w:r w:rsidR="00245513" w:rsidRPr="00245513">
        <w:rPr>
          <w:rFonts w:asciiTheme="minorEastAsia" w:eastAsiaTheme="minorEastAsia" w:hAnsiTheme="minorEastAsia"/>
          <w:noProof/>
          <w:sz w:val="18"/>
          <w:lang w:val="zh-CN"/>
        </w:rPr>
        <w:t>·</w:t>
      </w:r>
      <w:r w:rsidRPr="00266156">
        <w:rPr>
          <w:noProof/>
          <w:sz w:val="18"/>
          <w:lang w:val="zh-CN"/>
        </w:rPr>
        <w:t>德维</w:t>
      </w:r>
      <w:r w:rsidR="00245513" w:rsidRPr="00245513">
        <w:rPr>
          <w:rFonts w:asciiTheme="minorEastAsia" w:eastAsiaTheme="minorEastAsia" w:hAnsiTheme="minorEastAsia"/>
          <w:noProof/>
          <w:sz w:val="18"/>
          <w:lang w:val="zh-CN"/>
        </w:rPr>
        <w:t>·</w:t>
      </w:r>
      <w:r w:rsidRPr="00266156">
        <w:rPr>
          <w:noProof/>
          <w:sz w:val="18"/>
          <w:lang w:val="zh-CN"/>
        </w:rPr>
        <w:t>纳拉因、安娜</w:t>
      </w:r>
      <w:r w:rsidR="00245513" w:rsidRPr="00245513">
        <w:rPr>
          <w:rFonts w:asciiTheme="minorEastAsia" w:eastAsiaTheme="minorEastAsia" w:hAnsiTheme="minorEastAsia"/>
          <w:noProof/>
          <w:sz w:val="18"/>
          <w:lang w:val="zh-CN"/>
        </w:rPr>
        <w:t>·</w:t>
      </w:r>
      <w:r w:rsidRPr="00266156">
        <w:rPr>
          <w:noProof/>
          <w:sz w:val="18"/>
          <w:lang w:val="zh-CN"/>
        </w:rPr>
        <w:t>佩莱斯</w:t>
      </w:r>
      <w:r w:rsidR="00245513" w:rsidRPr="00245513">
        <w:rPr>
          <w:rFonts w:asciiTheme="minorEastAsia" w:eastAsiaTheme="minorEastAsia" w:hAnsiTheme="minorEastAsia"/>
          <w:noProof/>
          <w:sz w:val="18"/>
          <w:lang w:val="zh-CN"/>
        </w:rPr>
        <w:t>·</w:t>
      </w:r>
      <w:r w:rsidRPr="00266156">
        <w:rPr>
          <w:noProof/>
          <w:sz w:val="18"/>
          <w:lang w:val="zh-CN"/>
        </w:rPr>
        <w:t>纳瓦埃斯、班达娜</w:t>
      </w:r>
      <w:r w:rsidR="00245513" w:rsidRPr="00245513">
        <w:rPr>
          <w:rFonts w:asciiTheme="minorEastAsia" w:eastAsiaTheme="minorEastAsia" w:hAnsiTheme="minorEastAsia"/>
          <w:noProof/>
          <w:sz w:val="18"/>
          <w:lang w:val="zh-CN"/>
        </w:rPr>
        <w:t>·</w:t>
      </w:r>
      <w:r w:rsidRPr="00266156">
        <w:rPr>
          <w:noProof/>
          <w:sz w:val="18"/>
          <w:lang w:val="zh-CN"/>
        </w:rPr>
        <w:t>拉纳、埃尔贡</w:t>
      </w:r>
      <w:r w:rsidR="00245513" w:rsidRPr="00245513">
        <w:rPr>
          <w:rFonts w:asciiTheme="minorEastAsia" w:eastAsiaTheme="minorEastAsia" w:hAnsiTheme="minorEastAsia"/>
          <w:noProof/>
          <w:sz w:val="18"/>
          <w:lang w:val="zh-CN"/>
        </w:rPr>
        <w:t>·</w:t>
      </w:r>
      <w:r w:rsidRPr="00266156">
        <w:rPr>
          <w:noProof/>
          <w:sz w:val="18"/>
          <w:lang w:val="zh-CN"/>
        </w:rPr>
        <w:t>萨法罗夫、宋文艳和艾伊查</w:t>
      </w:r>
      <w:r w:rsidR="00245513" w:rsidRPr="00245513">
        <w:rPr>
          <w:rFonts w:asciiTheme="minorEastAsia" w:eastAsiaTheme="minorEastAsia" w:hAnsiTheme="minorEastAsia"/>
          <w:noProof/>
          <w:sz w:val="18"/>
          <w:lang w:val="zh-CN"/>
        </w:rPr>
        <w:t>·</w:t>
      </w:r>
      <w:r w:rsidRPr="00266156">
        <w:rPr>
          <w:noProof/>
          <w:sz w:val="18"/>
          <w:lang w:val="zh-CN"/>
        </w:rPr>
        <w:t>瓦</w:t>
      </w:r>
      <w:bookmarkStart w:id="1" w:name="_GoBack"/>
      <w:bookmarkEnd w:id="1"/>
      <w:r w:rsidRPr="00266156">
        <w:rPr>
          <w:noProof/>
          <w:sz w:val="18"/>
          <w:lang w:val="zh-CN"/>
        </w:rPr>
        <w:t>勒</w:t>
      </w:r>
      <w:r w:rsidR="00245513" w:rsidRPr="00245513">
        <w:rPr>
          <w:rFonts w:asciiTheme="minorEastAsia" w:eastAsiaTheme="minorEastAsia" w:hAnsiTheme="minorEastAsia"/>
          <w:noProof/>
          <w:sz w:val="18"/>
          <w:lang w:val="zh-CN"/>
        </w:rPr>
        <w:t>·</w:t>
      </w:r>
      <w:r w:rsidRPr="00266156">
        <w:rPr>
          <w:noProof/>
          <w:sz w:val="18"/>
          <w:lang w:val="zh-CN"/>
        </w:rPr>
        <w:t>维尔吉斯</w:t>
      </w:r>
      <w:r w:rsidRPr="00266156">
        <w:rPr>
          <w:rFonts w:ascii="微软雅黑" w:eastAsia="微软雅黑" w:hAnsi="微软雅黑" w:cs="微软雅黑" w:hint="eastAsia"/>
          <w:noProof/>
          <w:sz w:val="18"/>
          <w:lang w:val="zh-CN"/>
        </w:rPr>
        <w:t>。</w:t>
      </w:r>
    </w:p>
  </w:footnote>
  <w:footnote w:id="3">
    <w:p w14:paraId="1D063F6F" w14:textId="77777777" w:rsidR="00266156" w:rsidRDefault="00266156" w:rsidP="00266156">
      <w:pPr>
        <w:pStyle w:val="a5"/>
        <w:tabs>
          <w:tab w:val="clear" w:pos="418"/>
          <w:tab w:val="right" w:pos="1195"/>
          <w:tab w:val="left" w:pos="1264"/>
          <w:tab w:val="left" w:pos="1695"/>
          <w:tab w:val="left" w:pos="2126"/>
          <w:tab w:val="left" w:pos="2557"/>
        </w:tabs>
        <w:ind w:left="1264" w:right="1264" w:hanging="432"/>
        <w:rPr>
          <w:rFonts w:eastAsiaTheme="minorHAnsi"/>
        </w:rPr>
      </w:pPr>
      <w:r>
        <w:rPr>
          <w:lang w:val="zh-CN"/>
        </w:rPr>
        <w:tab/>
      </w:r>
      <w:r>
        <w:rPr>
          <w:rStyle w:val="a3"/>
          <w:lang w:val="zh-CN"/>
        </w:rPr>
        <w:footnoteRef/>
      </w:r>
      <w:r>
        <w:rPr>
          <w:rFonts w:eastAsiaTheme="minorEastAsia"/>
          <w:lang w:val="zh-CN"/>
        </w:rPr>
        <w:tab/>
      </w:r>
      <w:r>
        <w:rPr>
          <w:lang w:val="zh-CN"/>
        </w:rPr>
        <w:t>法院指出，《刑法》第</w:t>
      </w:r>
      <w:r>
        <w:rPr>
          <w:lang w:val="zh-CN"/>
        </w:rPr>
        <w:t>255(3)</w:t>
      </w:r>
      <w:r>
        <w:rPr>
          <w:lang w:val="zh-CN"/>
        </w:rPr>
        <w:t>条规定保护公共秩序，因此，如果有任何文字内容鼓励人们</w:t>
      </w:r>
      <w:r>
        <w:rPr>
          <w:rFonts w:ascii="宋体" w:hAnsi="宋体" w:cs="宋体" w:hint="eastAsia"/>
          <w:lang w:val="zh-CN"/>
        </w:rPr>
        <w:t>无</w:t>
      </w:r>
      <w:r>
        <w:rPr>
          <w:lang w:val="zh-CN"/>
        </w:rPr>
        <w:t>视确保刑法保护特定利益的规范，这些内容都应当从公共领域清除。同时，教材中的内容并没有中立地解释语法规则，而是表示赞同强迫人们从事某些性行为并赞同不防止强奸。此外，该教科书及书中表达的观点</w:t>
      </w:r>
      <w:r>
        <w:rPr>
          <w:rFonts w:ascii="宋体" w:hAnsi="宋体" w:cs="宋体" w:hint="eastAsia"/>
          <w:lang w:val="zh-CN"/>
        </w:rPr>
        <w:t>经</w:t>
      </w:r>
      <w:r>
        <w:rPr>
          <w:lang w:val="zh-CN"/>
        </w:rPr>
        <w:t>广泛传播可能助长负面社会态度的形成，并强化关于性暴力的有害陈旧观念，例如认为受害者是诱发犯罪行为的人，强奸是满足受害者性需求的手段</w:t>
      </w:r>
      <w:r>
        <w:rPr>
          <w:rFonts w:ascii="微软雅黑" w:eastAsia="微软雅黑" w:hAnsi="微软雅黑" w:cs="微软雅黑" w:hint="eastAsia"/>
          <w:lang w:val="zh-CN"/>
        </w:rPr>
        <w:t>。</w:t>
      </w:r>
    </w:p>
  </w:footnote>
  <w:footnote w:id="4">
    <w:p w14:paraId="13BC3F8C" w14:textId="77FF6FF3" w:rsidR="00266156" w:rsidRDefault="00266156" w:rsidP="00266156">
      <w:pPr>
        <w:pStyle w:val="a5"/>
        <w:tabs>
          <w:tab w:val="clear" w:pos="418"/>
          <w:tab w:val="right" w:pos="1195"/>
          <w:tab w:val="left" w:pos="1264"/>
          <w:tab w:val="left" w:pos="1695"/>
          <w:tab w:val="left" w:pos="2126"/>
          <w:tab w:val="left" w:pos="2557"/>
        </w:tabs>
        <w:ind w:left="1264" w:right="1264" w:hanging="432"/>
      </w:pPr>
      <w:r>
        <w:rPr>
          <w:lang w:val="zh-CN"/>
        </w:rPr>
        <w:tab/>
      </w:r>
      <w:r>
        <w:rPr>
          <w:rStyle w:val="a3"/>
          <w:lang w:val="zh-CN"/>
        </w:rPr>
        <w:footnoteRef/>
      </w:r>
      <w:r>
        <w:rPr>
          <w:rFonts w:eastAsiaTheme="minorEastAsia"/>
          <w:lang w:val="zh-CN"/>
        </w:rPr>
        <w:tab/>
      </w:r>
      <w:r>
        <w:rPr>
          <w:lang w:val="zh-CN"/>
        </w:rPr>
        <w:t>M.K.D.A.-A</w:t>
      </w:r>
      <w:r w:rsidRPr="004B53B1">
        <w:rPr>
          <w:rFonts w:eastAsia="楷体"/>
          <w:lang w:val="zh-CN"/>
        </w:rPr>
        <w:t>诉丹麦案</w:t>
      </w:r>
      <w:r>
        <w:rPr>
          <w:lang w:val="zh-CN"/>
        </w:rPr>
        <w:t>(</w:t>
      </w:r>
      <w:hyperlink r:id="rId1" w:history="1">
        <w:r w:rsidRPr="009B75EE">
          <w:rPr>
            <w:rStyle w:val="ad"/>
            <w:lang w:val="zh-CN"/>
          </w:rPr>
          <w:t>CEDAW/C/56/D/44/2012</w:t>
        </w:r>
      </w:hyperlink>
      <w:r w:rsidR="009B75EE">
        <w:rPr>
          <w:rFonts w:hint="eastAsia"/>
          <w:lang w:val="zh-CN"/>
        </w:rPr>
        <w:t>，</w:t>
      </w:r>
      <w:r>
        <w:rPr>
          <w:rFonts w:ascii="宋体" w:hAnsi="宋体" w:cs="宋体" w:hint="eastAsia"/>
          <w:lang w:val="zh-CN"/>
        </w:rPr>
        <w:t>第</w:t>
      </w:r>
      <w:r>
        <w:rPr>
          <w:lang w:val="zh-CN"/>
        </w:rPr>
        <w:t>6.5</w:t>
      </w:r>
      <w:r>
        <w:rPr>
          <w:rFonts w:ascii="宋体" w:hAnsi="宋体" w:cs="宋体" w:hint="eastAsia"/>
          <w:lang w:val="zh-CN"/>
        </w:rPr>
        <w:t>段</w:t>
      </w:r>
      <w:r>
        <w:rPr>
          <w:lang w:val="zh-CN"/>
        </w:rPr>
        <w:t>)</w:t>
      </w:r>
      <w:r>
        <w:rPr>
          <w:rFonts w:ascii="微软雅黑" w:eastAsia="微软雅黑" w:hAnsi="微软雅黑" w:cs="微软雅黑" w:hint="eastAsia"/>
          <w:lang w:val="zh-CN"/>
        </w:rPr>
        <w:t>。</w:t>
      </w:r>
    </w:p>
  </w:footnote>
  <w:footnote w:id="5">
    <w:p w14:paraId="37DE9682" w14:textId="1D76BD2F" w:rsidR="00266156" w:rsidRDefault="00266156" w:rsidP="00266156">
      <w:pPr>
        <w:pStyle w:val="a5"/>
        <w:tabs>
          <w:tab w:val="clear" w:pos="418"/>
          <w:tab w:val="right" w:pos="1195"/>
          <w:tab w:val="left" w:pos="1264"/>
          <w:tab w:val="left" w:pos="1695"/>
          <w:tab w:val="left" w:pos="2126"/>
          <w:tab w:val="left" w:pos="2557"/>
        </w:tabs>
        <w:ind w:left="1264" w:right="1264" w:hanging="432"/>
      </w:pPr>
      <w:r>
        <w:rPr>
          <w:lang w:val="zh-CN"/>
        </w:rPr>
        <w:tab/>
      </w:r>
      <w:r>
        <w:rPr>
          <w:rStyle w:val="a3"/>
          <w:lang w:val="zh-CN"/>
        </w:rPr>
        <w:footnoteRef/>
      </w:r>
      <w:r>
        <w:rPr>
          <w:rFonts w:eastAsiaTheme="minorEastAsia"/>
          <w:lang w:val="zh-CN"/>
        </w:rPr>
        <w:tab/>
      </w:r>
      <w:r w:rsidRPr="0046015C">
        <w:rPr>
          <w:rFonts w:eastAsia="楷体"/>
          <w:lang w:val="zh-CN"/>
        </w:rPr>
        <w:t>E.S.</w:t>
      </w:r>
      <w:r w:rsidRPr="0046015C">
        <w:rPr>
          <w:rFonts w:eastAsia="楷体"/>
          <w:lang w:val="zh-CN"/>
        </w:rPr>
        <w:t>和</w:t>
      </w:r>
      <w:r w:rsidRPr="0046015C">
        <w:rPr>
          <w:rFonts w:eastAsia="楷体"/>
          <w:lang w:val="zh-CN"/>
        </w:rPr>
        <w:t>S.C.</w:t>
      </w:r>
      <w:r w:rsidRPr="0046015C">
        <w:rPr>
          <w:rFonts w:eastAsia="楷体"/>
          <w:lang w:val="zh-CN"/>
        </w:rPr>
        <w:t>诉坦桑尼亚联合共和</w:t>
      </w:r>
      <w:r w:rsidRPr="0046015C">
        <w:rPr>
          <w:rFonts w:eastAsia="楷体" w:hint="eastAsia"/>
          <w:lang w:val="zh-CN"/>
        </w:rPr>
        <w:t>国案</w:t>
      </w:r>
      <w:r>
        <w:rPr>
          <w:lang w:val="zh-CN"/>
        </w:rPr>
        <w:t>(</w:t>
      </w:r>
      <w:hyperlink r:id="rId2" w:history="1">
        <w:r w:rsidRPr="009B75EE">
          <w:rPr>
            <w:rStyle w:val="ad"/>
            <w:lang w:val="zh-CN"/>
          </w:rPr>
          <w:t>CEDAW/C/60/D/48/2013</w:t>
        </w:r>
      </w:hyperlink>
      <w:r>
        <w:rPr>
          <w:lang w:val="zh-CN"/>
        </w:rPr>
        <w:t>,</w:t>
      </w:r>
      <w:r>
        <w:rPr>
          <w:lang w:val="zh-CN"/>
        </w:rPr>
        <w:t>第</w:t>
      </w:r>
      <w:r>
        <w:rPr>
          <w:lang w:val="zh-CN"/>
        </w:rPr>
        <w:t>6.3</w:t>
      </w:r>
      <w:r>
        <w:rPr>
          <w:lang w:val="zh-CN"/>
        </w:rPr>
        <w:t>段</w:t>
      </w:r>
      <w:r>
        <w:rPr>
          <w:rFonts w:eastAsiaTheme="minorEastAsia"/>
          <w:lang w:val="zh-CN"/>
        </w:rPr>
        <w:t>)</w:t>
      </w:r>
      <w:r>
        <w:rPr>
          <w:lang w:val="zh-CN"/>
        </w:rPr>
        <w:t>和</w:t>
      </w:r>
      <w:r w:rsidRPr="0046015C">
        <w:rPr>
          <w:rFonts w:eastAsia="楷体"/>
          <w:lang w:val="zh-CN"/>
        </w:rPr>
        <w:t>L.R.</w:t>
      </w:r>
      <w:r w:rsidRPr="0046015C">
        <w:rPr>
          <w:rFonts w:eastAsia="楷体"/>
          <w:lang w:val="zh-CN"/>
        </w:rPr>
        <w:t>诉摩尔多瓦共和国</w:t>
      </w:r>
      <w:r w:rsidRPr="0046015C">
        <w:rPr>
          <w:rFonts w:eastAsia="楷体" w:hint="eastAsia"/>
          <w:lang w:val="zh-CN"/>
        </w:rPr>
        <w:t>案</w:t>
      </w:r>
      <w:r>
        <w:rPr>
          <w:lang w:val="zh-CN"/>
        </w:rPr>
        <w:t>(</w:t>
      </w:r>
      <w:hyperlink r:id="rId3" w:history="1">
        <w:r w:rsidRPr="009B75EE">
          <w:rPr>
            <w:rStyle w:val="ad"/>
            <w:lang w:val="zh-CN"/>
          </w:rPr>
          <w:t>CEDAW/C/66/D/58/2013</w:t>
        </w:r>
      </w:hyperlink>
      <w:r>
        <w:rPr>
          <w:lang w:val="zh-CN"/>
        </w:rPr>
        <w:t>，第</w:t>
      </w:r>
      <w:r>
        <w:rPr>
          <w:lang w:val="zh-CN"/>
        </w:rPr>
        <w:t>12.2</w:t>
      </w:r>
      <w:r>
        <w:rPr>
          <w:lang w:val="zh-CN"/>
        </w:rPr>
        <w:t>段</w:t>
      </w:r>
      <w:r>
        <w:rPr>
          <w:rFonts w:eastAsiaTheme="minorEastAsia"/>
          <w:lang w:val="zh-CN"/>
        </w:rPr>
        <w:t>)</w:t>
      </w:r>
      <w:r>
        <w:rPr>
          <w:rFonts w:ascii="微软雅黑" w:eastAsia="微软雅黑" w:hAnsi="微软雅黑" w:cs="微软雅黑" w:hint="eastAsia"/>
          <w:lang w:val="zh-CN"/>
        </w:rPr>
        <w:t>。</w:t>
      </w:r>
    </w:p>
  </w:footnote>
  <w:footnote w:id="6">
    <w:p w14:paraId="7140B8FD" w14:textId="6DAD6060" w:rsidR="00266156" w:rsidRDefault="00266156" w:rsidP="00266156">
      <w:pPr>
        <w:pStyle w:val="a5"/>
        <w:tabs>
          <w:tab w:val="clear" w:pos="418"/>
          <w:tab w:val="right" w:pos="1195"/>
          <w:tab w:val="left" w:pos="1264"/>
          <w:tab w:val="left" w:pos="1695"/>
          <w:tab w:val="left" w:pos="2126"/>
          <w:tab w:val="left" w:pos="2557"/>
        </w:tabs>
        <w:ind w:left="1264" w:right="1264" w:hanging="432"/>
      </w:pPr>
      <w:r>
        <w:rPr>
          <w:lang w:val="zh-CN"/>
        </w:rPr>
        <w:tab/>
      </w:r>
      <w:r>
        <w:rPr>
          <w:rStyle w:val="a3"/>
          <w:lang w:val="zh-CN"/>
        </w:rPr>
        <w:footnoteRef/>
      </w:r>
      <w:r>
        <w:rPr>
          <w:rFonts w:eastAsiaTheme="minorEastAsia"/>
          <w:lang w:val="zh-CN"/>
        </w:rPr>
        <w:tab/>
      </w:r>
      <w:r w:rsidRPr="0046015C">
        <w:rPr>
          <w:rFonts w:eastAsia="楷体"/>
          <w:lang w:val="zh-CN"/>
        </w:rPr>
        <w:t>N.</w:t>
      </w:r>
      <w:r w:rsidRPr="0046015C">
        <w:rPr>
          <w:rFonts w:eastAsia="楷体"/>
          <w:lang w:val="zh-CN"/>
        </w:rPr>
        <w:t>诉荷兰案</w:t>
      </w:r>
      <w:r>
        <w:t>(</w:t>
      </w:r>
      <w:hyperlink r:id="rId4" w:history="1">
        <w:r w:rsidRPr="009B75EE">
          <w:rPr>
            <w:rStyle w:val="ad"/>
          </w:rPr>
          <w:t>CEDAW/C/57/D/</w:t>
        </w:r>
        <w:bookmarkStart w:id="2" w:name="SCName"/>
        <w:r w:rsidRPr="009B75EE">
          <w:rPr>
            <w:rStyle w:val="ad"/>
          </w:rPr>
          <w:t>39/201</w:t>
        </w:r>
        <w:bookmarkEnd w:id="2"/>
        <w:r w:rsidRPr="009B75EE">
          <w:rPr>
            <w:rStyle w:val="ad"/>
          </w:rPr>
          <w:t>2</w:t>
        </w:r>
      </w:hyperlink>
      <w:r>
        <w:rPr>
          <w:lang w:val="zh-CN"/>
        </w:rPr>
        <w:t>，第</w:t>
      </w:r>
      <w:r>
        <w:rPr>
          <w:lang w:val="zh-CN"/>
        </w:rPr>
        <w:t>6.3</w:t>
      </w:r>
      <w:r>
        <w:rPr>
          <w:lang w:val="zh-CN"/>
        </w:rPr>
        <w:t>段</w:t>
      </w:r>
      <w:r>
        <w:rPr>
          <w:rFonts w:eastAsiaTheme="minorEastAsia"/>
          <w:lang w:val="zh-CN"/>
        </w:rPr>
        <w:t>)</w:t>
      </w:r>
      <w:r>
        <w:rPr>
          <w:rFonts w:ascii="微软雅黑" w:eastAsia="微软雅黑" w:hAnsi="微软雅黑" w:cs="微软雅黑" w:hint="eastAsia"/>
          <w:lang w:val="zh-CN"/>
        </w:rPr>
        <w:t>。</w:t>
      </w:r>
    </w:p>
  </w:footnote>
  <w:footnote w:id="7">
    <w:p w14:paraId="5B05B1DA" w14:textId="686CEC86" w:rsidR="00266156" w:rsidRDefault="00266156" w:rsidP="00266156">
      <w:pPr>
        <w:pStyle w:val="a5"/>
        <w:tabs>
          <w:tab w:val="clear" w:pos="418"/>
          <w:tab w:val="right" w:pos="1195"/>
          <w:tab w:val="left" w:pos="1264"/>
          <w:tab w:val="left" w:pos="1695"/>
          <w:tab w:val="left" w:pos="2126"/>
          <w:tab w:val="left" w:pos="2557"/>
        </w:tabs>
        <w:ind w:left="1264" w:right="1264" w:hanging="432"/>
      </w:pPr>
      <w:r>
        <w:rPr>
          <w:lang w:val="zh-CN"/>
        </w:rPr>
        <w:tab/>
      </w:r>
      <w:r>
        <w:rPr>
          <w:rStyle w:val="a3"/>
          <w:lang w:val="zh-CN"/>
        </w:rPr>
        <w:footnoteRef/>
      </w:r>
      <w:r>
        <w:rPr>
          <w:rFonts w:eastAsiaTheme="minorEastAsia"/>
          <w:lang w:val="zh-CN"/>
        </w:rPr>
        <w:tab/>
      </w:r>
      <w:r w:rsidRPr="0046015C">
        <w:rPr>
          <w:rFonts w:eastAsia="楷体"/>
          <w:lang w:val="zh-CN"/>
        </w:rPr>
        <w:t>M.K.D.A.-A</w:t>
      </w:r>
      <w:r w:rsidRPr="0046015C">
        <w:rPr>
          <w:rFonts w:eastAsia="楷体"/>
          <w:lang w:val="zh-CN"/>
        </w:rPr>
        <w:t>诉丹麦案</w:t>
      </w:r>
      <w:r>
        <w:rPr>
          <w:lang w:val="zh-CN"/>
        </w:rPr>
        <w:t>，第</w:t>
      </w:r>
      <w:r>
        <w:rPr>
          <w:lang w:val="zh-CN"/>
        </w:rPr>
        <w:t>6.5</w:t>
      </w:r>
      <w:r>
        <w:rPr>
          <w:lang w:val="zh-CN"/>
        </w:rPr>
        <w:t>段</w:t>
      </w:r>
      <w:r>
        <w:rPr>
          <w:rFonts w:ascii="微软雅黑" w:eastAsia="微软雅黑" w:hAnsi="微软雅黑" w:cs="微软雅黑" w:hint="eastAsia"/>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371F3E" w14:paraId="433D10AA" w14:textId="77777777" w:rsidTr="00371F3E">
      <w:trPr>
        <w:trHeight w:hRule="exact" w:val="864"/>
      </w:trPr>
      <w:tc>
        <w:tcPr>
          <w:tcW w:w="4925" w:type="dxa"/>
          <w:shd w:val="clear" w:color="auto" w:fill="auto"/>
          <w:vAlign w:val="bottom"/>
        </w:tcPr>
        <w:p w14:paraId="5AA1231E" w14:textId="77777777" w:rsidR="00371F3E" w:rsidRPr="00371F3E" w:rsidRDefault="00371F3E" w:rsidP="00371F3E">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CEDAW/C/73/D/136/2018</w:t>
          </w:r>
          <w:r>
            <w:rPr>
              <w:b/>
              <w:sz w:val="17"/>
            </w:rPr>
            <w:fldChar w:fldCharType="end"/>
          </w:r>
        </w:p>
      </w:tc>
      <w:tc>
        <w:tcPr>
          <w:tcW w:w="4920" w:type="dxa"/>
          <w:shd w:val="clear" w:color="auto" w:fill="auto"/>
          <w:vAlign w:val="bottom"/>
        </w:tcPr>
        <w:p w14:paraId="72CD2623" w14:textId="77777777" w:rsidR="00371F3E" w:rsidRDefault="00371F3E" w:rsidP="00371F3E">
          <w:pPr>
            <w:pStyle w:val="ab"/>
          </w:pPr>
        </w:p>
      </w:tc>
    </w:tr>
  </w:tbl>
  <w:p w14:paraId="18B51EA7" w14:textId="77777777" w:rsidR="00371F3E" w:rsidRPr="00371F3E" w:rsidRDefault="00371F3E" w:rsidP="00371F3E">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371F3E" w14:paraId="0FB44721" w14:textId="77777777" w:rsidTr="00371F3E">
      <w:trPr>
        <w:trHeight w:hRule="exact" w:val="864"/>
      </w:trPr>
      <w:tc>
        <w:tcPr>
          <w:tcW w:w="4925" w:type="dxa"/>
          <w:shd w:val="clear" w:color="auto" w:fill="auto"/>
          <w:vAlign w:val="bottom"/>
        </w:tcPr>
        <w:p w14:paraId="15552839" w14:textId="77777777" w:rsidR="00371F3E" w:rsidRDefault="00371F3E" w:rsidP="00371F3E">
          <w:pPr>
            <w:pStyle w:val="ab"/>
          </w:pPr>
        </w:p>
      </w:tc>
      <w:tc>
        <w:tcPr>
          <w:tcW w:w="4920" w:type="dxa"/>
          <w:shd w:val="clear" w:color="auto" w:fill="auto"/>
          <w:vAlign w:val="bottom"/>
        </w:tcPr>
        <w:p w14:paraId="7EF4C847" w14:textId="77777777" w:rsidR="00371F3E" w:rsidRPr="00371F3E" w:rsidRDefault="00371F3E" w:rsidP="00371F3E">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CEDAW/C/73/D/136/2018</w:t>
          </w:r>
          <w:r>
            <w:rPr>
              <w:b/>
              <w:sz w:val="17"/>
            </w:rPr>
            <w:fldChar w:fldCharType="end"/>
          </w:r>
        </w:p>
      </w:tc>
    </w:tr>
  </w:tbl>
  <w:p w14:paraId="12196FDE" w14:textId="77777777" w:rsidR="00371F3E" w:rsidRPr="00371F3E" w:rsidRDefault="00371F3E" w:rsidP="00371F3E">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371F3E" w14:paraId="013E3677" w14:textId="77777777" w:rsidTr="00371F3E">
      <w:trPr>
        <w:trHeight w:hRule="exact" w:val="864"/>
      </w:trPr>
      <w:tc>
        <w:tcPr>
          <w:tcW w:w="1267" w:type="dxa"/>
          <w:tcBorders>
            <w:bottom w:val="single" w:sz="4" w:space="0" w:color="auto"/>
          </w:tcBorders>
          <w:shd w:val="clear" w:color="auto" w:fill="auto"/>
          <w:vAlign w:val="bottom"/>
        </w:tcPr>
        <w:p w14:paraId="3C9BECB4" w14:textId="77777777" w:rsidR="00371F3E" w:rsidRDefault="00371F3E" w:rsidP="00371F3E">
          <w:pPr>
            <w:pStyle w:val="ab"/>
            <w:spacing w:after="120"/>
          </w:pPr>
        </w:p>
      </w:tc>
      <w:tc>
        <w:tcPr>
          <w:tcW w:w="1872" w:type="dxa"/>
          <w:tcBorders>
            <w:bottom w:val="single" w:sz="4" w:space="0" w:color="auto"/>
          </w:tcBorders>
          <w:shd w:val="clear" w:color="auto" w:fill="auto"/>
          <w:vAlign w:val="bottom"/>
        </w:tcPr>
        <w:p w14:paraId="44D4979F" w14:textId="77777777" w:rsidR="00371F3E" w:rsidRPr="00371F3E" w:rsidRDefault="00371F3E" w:rsidP="00371F3E">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2AC98D9F" w14:textId="77777777" w:rsidR="00371F3E" w:rsidRDefault="00371F3E" w:rsidP="00371F3E">
          <w:pPr>
            <w:pStyle w:val="ab"/>
            <w:spacing w:after="120"/>
          </w:pPr>
        </w:p>
      </w:tc>
      <w:tc>
        <w:tcPr>
          <w:tcW w:w="6437" w:type="dxa"/>
          <w:gridSpan w:val="3"/>
          <w:tcBorders>
            <w:bottom w:val="single" w:sz="4" w:space="0" w:color="auto"/>
          </w:tcBorders>
          <w:shd w:val="clear" w:color="auto" w:fill="auto"/>
          <w:vAlign w:val="bottom"/>
        </w:tcPr>
        <w:p w14:paraId="114AE4F5" w14:textId="77777777" w:rsidR="00371F3E" w:rsidRPr="00371F3E" w:rsidRDefault="00371F3E" w:rsidP="00371F3E">
          <w:pPr>
            <w:spacing w:after="80" w:line="240" w:lineRule="auto"/>
            <w:jc w:val="right"/>
            <w:rPr>
              <w:position w:val="-4"/>
            </w:rPr>
          </w:pPr>
          <w:r>
            <w:rPr>
              <w:position w:val="-4"/>
              <w:sz w:val="40"/>
            </w:rPr>
            <w:t>CEDAW</w:t>
          </w:r>
          <w:r>
            <w:rPr>
              <w:position w:val="-4"/>
            </w:rPr>
            <w:t>/C/73/D/136/2018</w:t>
          </w:r>
        </w:p>
      </w:tc>
    </w:tr>
    <w:tr w:rsidR="00371F3E" w:rsidRPr="00371F3E" w14:paraId="5EE44DC7" w14:textId="77777777" w:rsidTr="00371F3E">
      <w:trPr>
        <w:trHeight w:hRule="exact" w:val="2880"/>
      </w:trPr>
      <w:tc>
        <w:tcPr>
          <w:tcW w:w="1267" w:type="dxa"/>
          <w:tcBorders>
            <w:top w:val="single" w:sz="4" w:space="0" w:color="auto"/>
            <w:bottom w:val="single" w:sz="12" w:space="0" w:color="auto"/>
          </w:tcBorders>
          <w:shd w:val="clear" w:color="auto" w:fill="auto"/>
        </w:tcPr>
        <w:p w14:paraId="4ABC3431" w14:textId="77777777" w:rsidR="00371F3E" w:rsidRPr="00371F3E" w:rsidRDefault="00371F3E" w:rsidP="00371F3E">
          <w:pPr>
            <w:pStyle w:val="ab"/>
            <w:spacing w:before="109"/>
            <w:ind w:left="-72"/>
          </w:pPr>
          <w:r>
            <w:t xml:space="preserve"> </w:t>
          </w:r>
          <w:r>
            <w:drawing>
              <wp:inline distT="0" distB="0" distL="0" distR="0" wp14:anchorId="652EF836" wp14:editId="55F51B96">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12B2826" w14:textId="77777777" w:rsidR="00371F3E" w:rsidRPr="00371F3E" w:rsidRDefault="00371F3E" w:rsidP="00371F3E">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5FB011C5" w14:textId="77777777" w:rsidR="00371F3E" w:rsidRPr="00371F3E" w:rsidRDefault="00371F3E" w:rsidP="00371F3E">
          <w:pPr>
            <w:pStyle w:val="ab"/>
            <w:spacing w:before="109"/>
          </w:pPr>
        </w:p>
      </w:tc>
      <w:tc>
        <w:tcPr>
          <w:tcW w:w="3080" w:type="dxa"/>
          <w:tcBorders>
            <w:top w:val="single" w:sz="4" w:space="0" w:color="auto"/>
            <w:bottom w:val="single" w:sz="12" w:space="0" w:color="auto"/>
          </w:tcBorders>
          <w:shd w:val="clear" w:color="auto" w:fill="auto"/>
        </w:tcPr>
        <w:p w14:paraId="00A695DA" w14:textId="77777777" w:rsidR="00371F3E" w:rsidRDefault="00371F3E" w:rsidP="00371F3E">
          <w:pPr>
            <w:pStyle w:val="Distr"/>
          </w:pPr>
          <w:r>
            <w:t>Distr.: General</w:t>
          </w:r>
        </w:p>
        <w:p w14:paraId="11CF7329" w14:textId="77777777" w:rsidR="00371F3E" w:rsidRDefault="00371F3E" w:rsidP="00371F3E">
          <w:pPr>
            <w:pStyle w:val="Publication"/>
          </w:pPr>
          <w:r>
            <w:t>10 September 2019</w:t>
          </w:r>
        </w:p>
        <w:p w14:paraId="5E81B0C1" w14:textId="77777777" w:rsidR="00371F3E" w:rsidRDefault="00371F3E" w:rsidP="00371F3E">
          <w:pPr>
            <w:spacing w:line="240" w:lineRule="exact"/>
          </w:pPr>
          <w:r>
            <w:t>Chinese</w:t>
          </w:r>
        </w:p>
        <w:p w14:paraId="3066BEAF" w14:textId="77777777" w:rsidR="00371F3E" w:rsidRDefault="00371F3E" w:rsidP="00371F3E">
          <w:pPr>
            <w:pStyle w:val="Original"/>
          </w:pPr>
          <w:r>
            <w:t>Original: English</w:t>
          </w:r>
        </w:p>
        <w:p w14:paraId="70AE0435" w14:textId="77777777" w:rsidR="00371F3E" w:rsidRPr="00371F3E" w:rsidRDefault="00371F3E" w:rsidP="00371F3E"/>
      </w:tc>
    </w:tr>
  </w:tbl>
  <w:p w14:paraId="7788B41D" w14:textId="77777777" w:rsidR="00371F3E" w:rsidRPr="00371F3E" w:rsidRDefault="00371F3E" w:rsidP="00371F3E">
    <w:pPr>
      <w:pStyle w:val="ab"/>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6145"/>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5450*"/>
    <w:docVar w:name="CreationDt" w:val="23/09/2019 16:00:29"/>
    <w:docVar w:name="DocCategory" w:val="Doc"/>
    <w:docVar w:name="DocType" w:val="Final"/>
    <w:docVar w:name="DutyStation" w:val="New York"/>
    <w:docVar w:name="FooterJN" w:val="19-15450"/>
    <w:docVar w:name="jobn" w:val="19-15450 (C)"/>
    <w:docVar w:name="jobnDT" w:val="19-15450 (C)   230919"/>
    <w:docVar w:name="jobnDTDT" w:val="19-15450 (C)   230919   230919"/>
    <w:docVar w:name="JobNo" w:val="1915450C"/>
    <w:docVar w:name="LocalDrive" w:val="-1"/>
    <w:docVar w:name="OandT" w:val="liutx"/>
    <w:docVar w:name="sss1" w:val="CEDAW/C/73/D/136/2018"/>
    <w:docVar w:name="sss2" w:val="-"/>
    <w:docVar w:name="Symbol1" w:val="CEDAW/C/73/D/136/2018"/>
    <w:docVar w:name="Symbol2" w:val="-"/>
  </w:docVars>
  <w:rsids>
    <w:rsidRoot w:val="00DE5585"/>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2D"/>
    <w:rsid w:val="00034465"/>
    <w:rsid w:val="000344BB"/>
    <w:rsid w:val="000366AA"/>
    <w:rsid w:val="0003678F"/>
    <w:rsid w:val="00036AA2"/>
    <w:rsid w:val="00036F1B"/>
    <w:rsid w:val="00037444"/>
    <w:rsid w:val="00037B39"/>
    <w:rsid w:val="0004231D"/>
    <w:rsid w:val="00044CA4"/>
    <w:rsid w:val="00044EE9"/>
    <w:rsid w:val="00045EFE"/>
    <w:rsid w:val="00050CCF"/>
    <w:rsid w:val="0005220C"/>
    <w:rsid w:val="00054631"/>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31F9"/>
    <w:rsid w:val="000B04CB"/>
    <w:rsid w:val="000C1786"/>
    <w:rsid w:val="000C4C08"/>
    <w:rsid w:val="000C4DDE"/>
    <w:rsid w:val="000C5208"/>
    <w:rsid w:val="000D1910"/>
    <w:rsid w:val="000D32BA"/>
    <w:rsid w:val="000E240F"/>
    <w:rsid w:val="000E49A4"/>
    <w:rsid w:val="000E4FFB"/>
    <w:rsid w:val="000F1058"/>
    <w:rsid w:val="000F55DC"/>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1E69"/>
    <w:rsid w:val="00161F54"/>
    <w:rsid w:val="00164626"/>
    <w:rsid w:val="001704A3"/>
    <w:rsid w:val="00170FBE"/>
    <w:rsid w:val="00170FC4"/>
    <w:rsid w:val="001720CC"/>
    <w:rsid w:val="00173F4B"/>
    <w:rsid w:val="00174233"/>
    <w:rsid w:val="001746A8"/>
    <w:rsid w:val="0017506F"/>
    <w:rsid w:val="001845DB"/>
    <w:rsid w:val="001873A2"/>
    <w:rsid w:val="001944A4"/>
    <w:rsid w:val="001A4A37"/>
    <w:rsid w:val="001B0DFD"/>
    <w:rsid w:val="001B2814"/>
    <w:rsid w:val="001B4F95"/>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E0ADA"/>
    <w:rsid w:val="001E20EC"/>
    <w:rsid w:val="001E340C"/>
    <w:rsid w:val="001E4442"/>
    <w:rsid w:val="001E5A51"/>
    <w:rsid w:val="001F03A7"/>
    <w:rsid w:val="001F0442"/>
    <w:rsid w:val="001F24BA"/>
    <w:rsid w:val="001F2F76"/>
    <w:rsid w:val="001F4108"/>
    <w:rsid w:val="001F5793"/>
    <w:rsid w:val="001F595B"/>
    <w:rsid w:val="001F6F25"/>
    <w:rsid w:val="002000B5"/>
    <w:rsid w:val="00201543"/>
    <w:rsid w:val="00201C2E"/>
    <w:rsid w:val="0020284C"/>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36C28"/>
    <w:rsid w:val="00241DB7"/>
    <w:rsid w:val="002423D2"/>
    <w:rsid w:val="00245212"/>
    <w:rsid w:val="00245513"/>
    <w:rsid w:val="00247382"/>
    <w:rsid w:val="00251744"/>
    <w:rsid w:val="00251C9A"/>
    <w:rsid w:val="00252E35"/>
    <w:rsid w:val="00254858"/>
    <w:rsid w:val="00254B46"/>
    <w:rsid w:val="00255FC4"/>
    <w:rsid w:val="00257053"/>
    <w:rsid w:val="00260C62"/>
    <w:rsid w:val="00263B7B"/>
    <w:rsid w:val="00266156"/>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3CA7"/>
    <w:rsid w:val="00285DE9"/>
    <w:rsid w:val="00286AD1"/>
    <w:rsid w:val="00290382"/>
    <w:rsid w:val="0029111A"/>
    <w:rsid w:val="00293025"/>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66D5"/>
    <w:rsid w:val="002F41E2"/>
    <w:rsid w:val="002F746E"/>
    <w:rsid w:val="00300EC5"/>
    <w:rsid w:val="00301C97"/>
    <w:rsid w:val="003063F6"/>
    <w:rsid w:val="00313030"/>
    <w:rsid w:val="00320C99"/>
    <w:rsid w:val="0032238E"/>
    <w:rsid w:val="003274A9"/>
    <w:rsid w:val="00327D8B"/>
    <w:rsid w:val="003305F1"/>
    <w:rsid w:val="00331221"/>
    <w:rsid w:val="003349FB"/>
    <w:rsid w:val="003379D1"/>
    <w:rsid w:val="00346223"/>
    <w:rsid w:val="00346C74"/>
    <w:rsid w:val="00350AE6"/>
    <w:rsid w:val="00355510"/>
    <w:rsid w:val="00357AB4"/>
    <w:rsid w:val="0036117F"/>
    <w:rsid w:val="00363610"/>
    <w:rsid w:val="003649EE"/>
    <w:rsid w:val="003662FF"/>
    <w:rsid w:val="00371BC6"/>
    <w:rsid w:val="00371F3E"/>
    <w:rsid w:val="00373A15"/>
    <w:rsid w:val="00376C04"/>
    <w:rsid w:val="00381AB0"/>
    <w:rsid w:val="00382EF6"/>
    <w:rsid w:val="00383ACA"/>
    <w:rsid w:val="00384CB1"/>
    <w:rsid w:val="003869FA"/>
    <w:rsid w:val="00390B02"/>
    <w:rsid w:val="00394A02"/>
    <w:rsid w:val="003966E8"/>
    <w:rsid w:val="003A1C26"/>
    <w:rsid w:val="003A2BC6"/>
    <w:rsid w:val="003A4D87"/>
    <w:rsid w:val="003A7A96"/>
    <w:rsid w:val="003A7B88"/>
    <w:rsid w:val="003B7AB8"/>
    <w:rsid w:val="003C4125"/>
    <w:rsid w:val="003C448D"/>
    <w:rsid w:val="003C529E"/>
    <w:rsid w:val="003C7B20"/>
    <w:rsid w:val="003D075F"/>
    <w:rsid w:val="003D5B4D"/>
    <w:rsid w:val="003E4565"/>
    <w:rsid w:val="003E5999"/>
    <w:rsid w:val="003E748F"/>
    <w:rsid w:val="003E7612"/>
    <w:rsid w:val="003F3725"/>
    <w:rsid w:val="003F4BD2"/>
    <w:rsid w:val="003F7BF8"/>
    <w:rsid w:val="004044EF"/>
    <w:rsid w:val="00405CAD"/>
    <w:rsid w:val="00413FBC"/>
    <w:rsid w:val="00414423"/>
    <w:rsid w:val="0041733F"/>
    <w:rsid w:val="00420761"/>
    <w:rsid w:val="004320FA"/>
    <w:rsid w:val="0043377F"/>
    <w:rsid w:val="00433853"/>
    <w:rsid w:val="00433A49"/>
    <w:rsid w:val="00440B0D"/>
    <w:rsid w:val="004411AD"/>
    <w:rsid w:val="004424EF"/>
    <w:rsid w:val="00443516"/>
    <w:rsid w:val="0045053B"/>
    <w:rsid w:val="00453BB0"/>
    <w:rsid w:val="0046015C"/>
    <w:rsid w:val="00460162"/>
    <w:rsid w:val="004620A8"/>
    <w:rsid w:val="00463C4F"/>
    <w:rsid w:val="0046458E"/>
    <w:rsid w:val="00466BB5"/>
    <w:rsid w:val="004700CF"/>
    <w:rsid w:val="004715DF"/>
    <w:rsid w:val="004737C9"/>
    <w:rsid w:val="00474C34"/>
    <w:rsid w:val="004821D0"/>
    <w:rsid w:val="00483BDA"/>
    <w:rsid w:val="00487444"/>
    <w:rsid w:val="00493C9C"/>
    <w:rsid w:val="004955C1"/>
    <w:rsid w:val="00495C7E"/>
    <w:rsid w:val="0049799B"/>
    <w:rsid w:val="004A06D1"/>
    <w:rsid w:val="004A0E04"/>
    <w:rsid w:val="004A11FC"/>
    <w:rsid w:val="004A1D1E"/>
    <w:rsid w:val="004B2C67"/>
    <w:rsid w:val="004B2F18"/>
    <w:rsid w:val="004B4D99"/>
    <w:rsid w:val="004B4F06"/>
    <w:rsid w:val="004B53B1"/>
    <w:rsid w:val="004C0224"/>
    <w:rsid w:val="004C053E"/>
    <w:rsid w:val="004C089F"/>
    <w:rsid w:val="004C1456"/>
    <w:rsid w:val="004C3255"/>
    <w:rsid w:val="004C3BAA"/>
    <w:rsid w:val="004C48C2"/>
    <w:rsid w:val="004C5B65"/>
    <w:rsid w:val="004D07E1"/>
    <w:rsid w:val="004D1C19"/>
    <w:rsid w:val="004D4603"/>
    <w:rsid w:val="004D60D1"/>
    <w:rsid w:val="004E4081"/>
    <w:rsid w:val="004E641B"/>
    <w:rsid w:val="004E739A"/>
    <w:rsid w:val="004F29B8"/>
    <w:rsid w:val="004F3649"/>
    <w:rsid w:val="004F42D7"/>
    <w:rsid w:val="004F4BBB"/>
    <w:rsid w:val="004F4EFB"/>
    <w:rsid w:val="004F5333"/>
    <w:rsid w:val="004F5E26"/>
    <w:rsid w:val="0050413E"/>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66CD2"/>
    <w:rsid w:val="0057094A"/>
    <w:rsid w:val="00570BD4"/>
    <w:rsid w:val="00572790"/>
    <w:rsid w:val="00572961"/>
    <w:rsid w:val="0057450D"/>
    <w:rsid w:val="00574A2F"/>
    <w:rsid w:val="0058302A"/>
    <w:rsid w:val="00583305"/>
    <w:rsid w:val="00585915"/>
    <w:rsid w:val="00585A6B"/>
    <w:rsid w:val="0058792C"/>
    <w:rsid w:val="0059033C"/>
    <w:rsid w:val="0059457A"/>
    <w:rsid w:val="005A175A"/>
    <w:rsid w:val="005A4F27"/>
    <w:rsid w:val="005A7200"/>
    <w:rsid w:val="005A7AFF"/>
    <w:rsid w:val="005B04F3"/>
    <w:rsid w:val="005B1476"/>
    <w:rsid w:val="005B1D3C"/>
    <w:rsid w:val="005B3B9A"/>
    <w:rsid w:val="005B4497"/>
    <w:rsid w:val="005B6C71"/>
    <w:rsid w:val="005B7338"/>
    <w:rsid w:val="005C02AB"/>
    <w:rsid w:val="005C55E1"/>
    <w:rsid w:val="005C5B8C"/>
    <w:rsid w:val="005C5FC3"/>
    <w:rsid w:val="005D0D2E"/>
    <w:rsid w:val="005D0F04"/>
    <w:rsid w:val="005D2204"/>
    <w:rsid w:val="005D680F"/>
    <w:rsid w:val="005E6A84"/>
    <w:rsid w:val="005E7CAC"/>
    <w:rsid w:val="005F12F0"/>
    <w:rsid w:val="005F1AAD"/>
    <w:rsid w:val="005F3273"/>
    <w:rsid w:val="005F34A3"/>
    <w:rsid w:val="0060128A"/>
    <w:rsid w:val="00601DF9"/>
    <w:rsid w:val="00602C6C"/>
    <w:rsid w:val="006101D0"/>
    <w:rsid w:val="006107DE"/>
    <w:rsid w:val="00610CF2"/>
    <w:rsid w:val="00612F6E"/>
    <w:rsid w:val="00615A9C"/>
    <w:rsid w:val="00617802"/>
    <w:rsid w:val="006201CE"/>
    <w:rsid w:val="00632644"/>
    <w:rsid w:val="006328DE"/>
    <w:rsid w:val="006353DE"/>
    <w:rsid w:val="00640671"/>
    <w:rsid w:val="006432CB"/>
    <w:rsid w:val="00646B55"/>
    <w:rsid w:val="006479F1"/>
    <w:rsid w:val="00647A37"/>
    <w:rsid w:val="0065055D"/>
    <w:rsid w:val="00650BEE"/>
    <w:rsid w:val="00651B0B"/>
    <w:rsid w:val="006520FA"/>
    <w:rsid w:val="0065377D"/>
    <w:rsid w:val="00661120"/>
    <w:rsid w:val="00664319"/>
    <w:rsid w:val="006652C2"/>
    <w:rsid w:val="00666F57"/>
    <w:rsid w:val="006740A7"/>
    <w:rsid w:val="00675F64"/>
    <w:rsid w:val="006767D5"/>
    <w:rsid w:val="00691524"/>
    <w:rsid w:val="006926DF"/>
    <w:rsid w:val="00697E61"/>
    <w:rsid w:val="006A2730"/>
    <w:rsid w:val="006A5CFB"/>
    <w:rsid w:val="006A654B"/>
    <w:rsid w:val="006B02CF"/>
    <w:rsid w:val="006B769C"/>
    <w:rsid w:val="006C2998"/>
    <w:rsid w:val="006C3DC0"/>
    <w:rsid w:val="006C4BB3"/>
    <w:rsid w:val="006C7138"/>
    <w:rsid w:val="006D4068"/>
    <w:rsid w:val="006E0E32"/>
    <w:rsid w:val="006E2924"/>
    <w:rsid w:val="006E45BF"/>
    <w:rsid w:val="006E4E7C"/>
    <w:rsid w:val="006E7A26"/>
    <w:rsid w:val="006F04EF"/>
    <w:rsid w:val="006F1592"/>
    <w:rsid w:val="006F2B3D"/>
    <w:rsid w:val="006F4372"/>
    <w:rsid w:val="006F6A4F"/>
    <w:rsid w:val="006F761A"/>
    <w:rsid w:val="006F7749"/>
    <w:rsid w:val="007016DF"/>
    <w:rsid w:val="007038D4"/>
    <w:rsid w:val="00704287"/>
    <w:rsid w:val="007052CC"/>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A6A3A"/>
    <w:rsid w:val="007B2492"/>
    <w:rsid w:val="007B394B"/>
    <w:rsid w:val="007B6BAE"/>
    <w:rsid w:val="007C10AC"/>
    <w:rsid w:val="007C5623"/>
    <w:rsid w:val="007C6FC5"/>
    <w:rsid w:val="007C74B9"/>
    <w:rsid w:val="007D441A"/>
    <w:rsid w:val="007D518C"/>
    <w:rsid w:val="007E0D70"/>
    <w:rsid w:val="007E1B5E"/>
    <w:rsid w:val="007E6253"/>
    <w:rsid w:val="007F0DF8"/>
    <w:rsid w:val="007F2278"/>
    <w:rsid w:val="007F46DF"/>
    <w:rsid w:val="008006AB"/>
    <w:rsid w:val="00803014"/>
    <w:rsid w:val="00803083"/>
    <w:rsid w:val="00805783"/>
    <w:rsid w:val="00806CEF"/>
    <w:rsid w:val="00806F57"/>
    <w:rsid w:val="00806F90"/>
    <w:rsid w:val="00814156"/>
    <w:rsid w:val="00815AB6"/>
    <w:rsid w:val="008246FC"/>
    <w:rsid w:val="00824C19"/>
    <w:rsid w:val="00824E08"/>
    <w:rsid w:val="00826250"/>
    <w:rsid w:val="0083056F"/>
    <w:rsid w:val="008343E5"/>
    <w:rsid w:val="008378D1"/>
    <w:rsid w:val="00840E93"/>
    <w:rsid w:val="00843C13"/>
    <w:rsid w:val="00846462"/>
    <w:rsid w:val="00847383"/>
    <w:rsid w:val="00854560"/>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C4B54"/>
    <w:rsid w:val="008C5355"/>
    <w:rsid w:val="008C564D"/>
    <w:rsid w:val="008D102F"/>
    <w:rsid w:val="008D2BD9"/>
    <w:rsid w:val="008D6C74"/>
    <w:rsid w:val="008E2913"/>
    <w:rsid w:val="008E2C22"/>
    <w:rsid w:val="008E2D03"/>
    <w:rsid w:val="008E7BDF"/>
    <w:rsid w:val="008F2BB5"/>
    <w:rsid w:val="008F425D"/>
    <w:rsid w:val="008F43E4"/>
    <w:rsid w:val="008F5472"/>
    <w:rsid w:val="008F5D0F"/>
    <w:rsid w:val="0090446B"/>
    <w:rsid w:val="00907874"/>
    <w:rsid w:val="00911686"/>
    <w:rsid w:val="009122E0"/>
    <w:rsid w:val="00913351"/>
    <w:rsid w:val="00917344"/>
    <w:rsid w:val="00923D95"/>
    <w:rsid w:val="009248ED"/>
    <w:rsid w:val="009264B1"/>
    <w:rsid w:val="0092766E"/>
    <w:rsid w:val="009313EB"/>
    <w:rsid w:val="0093160E"/>
    <w:rsid w:val="00931C8A"/>
    <w:rsid w:val="009331FA"/>
    <w:rsid w:val="00934A85"/>
    <w:rsid w:val="00941874"/>
    <w:rsid w:val="0094294B"/>
    <w:rsid w:val="00945CD6"/>
    <w:rsid w:val="00946C87"/>
    <w:rsid w:val="0095023C"/>
    <w:rsid w:val="0095295A"/>
    <w:rsid w:val="00957134"/>
    <w:rsid w:val="0096193C"/>
    <w:rsid w:val="00972849"/>
    <w:rsid w:val="00974D7C"/>
    <w:rsid w:val="00975731"/>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B75EE"/>
    <w:rsid w:val="009C32BB"/>
    <w:rsid w:val="009C600E"/>
    <w:rsid w:val="009C7B18"/>
    <w:rsid w:val="009D00AA"/>
    <w:rsid w:val="009D0B10"/>
    <w:rsid w:val="009D2AC2"/>
    <w:rsid w:val="009E1774"/>
    <w:rsid w:val="009E2668"/>
    <w:rsid w:val="009E40A3"/>
    <w:rsid w:val="009E55B2"/>
    <w:rsid w:val="009E5C8C"/>
    <w:rsid w:val="009F10B1"/>
    <w:rsid w:val="009F2F21"/>
    <w:rsid w:val="009F3D89"/>
    <w:rsid w:val="009F47E3"/>
    <w:rsid w:val="009F6938"/>
    <w:rsid w:val="00A0537D"/>
    <w:rsid w:val="00A055AB"/>
    <w:rsid w:val="00A05AE9"/>
    <w:rsid w:val="00A069AD"/>
    <w:rsid w:val="00A07CEC"/>
    <w:rsid w:val="00A10536"/>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5206D"/>
    <w:rsid w:val="00A55E9E"/>
    <w:rsid w:val="00A622D4"/>
    <w:rsid w:val="00A635A7"/>
    <w:rsid w:val="00A652D9"/>
    <w:rsid w:val="00A67E9B"/>
    <w:rsid w:val="00A72E47"/>
    <w:rsid w:val="00A74DBA"/>
    <w:rsid w:val="00A750A5"/>
    <w:rsid w:val="00A778F1"/>
    <w:rsid w:val="00A800EC"/>
    <w:rsid w:val="00A90956"/>
    <w:rsid w:val="00A95404"/>
    <w:rsid w:val="00A954C6"/>
    <w:rsid w:val="00A968C5"/>
    <w:rsid w:val="00AA1A81"/>
    <w:rsid w:val="00AA3C28"/>
    <w:rsid w:val="00AA65E5"/>
    <w:rsid w:val="00AA759D"/>
    <w:rsid w:val="00AB1592"/>
    <w:rsid w:val="00AB2786"/>
    <w:rsid w:val="00AB5BEE"/>
    <w:rsid w:val="00AC2EAA"/>
    <w:rsid w:val="00AC373F"/>
    <w:rsid w:val="00AC550F"/>
    <w:rsid w:val="00AD4308"/>
    <w:rsid w:val="00AD6611"/>
    <w:rsid w:val="00AD751C"/>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6C8C"/>
    <w:rsid w:val="00B171E7"/>
    <w:rsid w:val="00B22C2F"/>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8025A"/>
    <w:rsid w:val="00B827B1"/>
    <w:rsid w:val="00B84DAC"/>
    <w:rsid w:val="00B9116F"/>
    <w:rsid w:val="00B9408D"/>
    <w:rsid w:val="00B94698"/>
    <w:rsid w:val="00B95BF6"/>
    <w:rsid w:val="00B973E5"/>
    <w:rsid w:val="00BA026B"/>
    <w:rsid w:val="00BA51C0"/>
    <w:rsid w:val="00BA64A9"/>
    <w:rsid w:val="00BB23A4"/>
    <w:rsid w:val="00BB6332"/>
    <w:rsid w:val="00BC0F5C"/>
    <w:rsid w:val="00BC105E"/>
    <w:rsid w:val="00BC2276"/>
    <w:rsid w:val="00BD1B08"/>
    <w:rsid w:val="00BD1BFF"/>
    <w:rsid w:val="00BD2150"/>
    <w:rsid w:val="00BE1CC3"/>
    <w:rsid w:val="00BE1CDE"/>
    <w:rsid w:val="00BE365A"/>
    <w:rsid w:val="00BE47C4"/>
    <w:rsid w:val="00BE4CDC"/>
    <w:rsid w:val="00BE50EF"/>
    <w:rsid w:val="00BF4761"/>
    <w:rsid w:val="00C052A2"/>
    <w:rsid w:val="00C06A4A"/>
    <w:rsid w:val="00C07F0F"/>
    <w:rsid w:val="00C131AA"/>
    <w:rsid w:val="00C1391A"/>
    <w:rsid w:val="00C14CE6"/>
    <w:rsid w:val="00C15218"/>
    <w:rsid w:val="00C21D51"/>
    <w:rsid w:val="00C22BB2"/>
    <w:rsid w:val="00C22F76"/>
    <w:rsid w:val="00C2725D"/>
    <w:rsid w:val="00C30684"/>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C053E"/>
    <w:rsid w:val="00CC05C5"/>
    <w:rsid w:val="00CC1E2C"/>
    <w:rsid w:val="00CC213B"/>
    <w:rsid w:val="00CC3E8B"/>
    <w:rsid w:val="00CC4E84"/>
    <w:rsid w:val="00CC6182"/>
    <w:rsid w:val="00CC6304"/>
    <w:rsid w:val="00CD5641"/>
    <w:rsid w:val="00CD76BE"/>
    <w:rsid w:val="00CE07C5"/>
    <w:rsid w:val="00CE11A2"/>
    <w:rsid w:val="00CE1E7B"/>
    <w:rsid w:val="00CE1F38"/>
    <w:rsid w:val="00CE474E"/>
    <w:rsid w:val="00CE495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77F1"/>
    <w:rsid w:val="00D21209"/>
    <w:rsid w:val="00D21377"/>
    <w:rsid w:val="00D21DF3"/>
    <w:rsid w:val="00D22A31"/>
    <w:rsid w:val="00D23674"/>
    <w:rsid w:val="00D24E82"/>
    <w:rsid w:val="00D25E6B"/>
    <w:rsid w:val="00D26510"/>
    <w:rsid w:val="00D32015"/>
    <w:rsid w:val="00D323B5"/>
    <w:rsid w:val="00D336C9"/>
    <w:rsid w:val="00D344F9"/>
    <w:rsid w:val="00D37EAB"/>
    <w:rsid w:val="00D41F06"/>
    <w:rsid w:val="00D42ACC"/>
    <w:rsid w:val="00D46BC5"/>
    <w:rsid w:val="00D474BF"/>
    <w:rsid w:val="00D47521"/>
    <w:rsid w:val="00D51DC5"/>
    <w:rsid w:val="00D52C45"/>
    <w:rsid w:val="00D53449"/>
    <w:rsid w:val="00D542B8"/>
    <w:rsid w:val="00D5525A"/>
    <w:rsid w:val="00D5717D"/>
    <w:rsid w:val="00D613E0"/>
    <w:rsid w:val="00D66509"/>
    <w:rsid w:val="00D6655F"/>
    <w:rsid w:val="00D676D7"/>
    <w:rsid w:val="00D6794E"/>
    <w:rsid w:val="00D7007A"/>
    <w:rsid w:val="00D71517"/>
    <w:rsid w:val="00D7168D"/>
    <w:rsid w:val="00D71A15"/>
    <w:rsid w:val="00D754A6"/>
    <w:rsid w:val="00D82311"/>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B0932"/>
    <w:rsid w:val="00DB12CA"/>
    <w:rsid w:val="00DB293E"/>
    <w:rsid w:val="00DB3DBB"/>
    <w:rsid w:val="00DB53E0"/>
    <w:rsid w:val="00DB7463"/>
    <w:rsid w:val="00DC2506"/>
    <w:rsid w:val="00DC4290"/>
    <w:rsid w:val="00DC49FA"/>
    <w:rsid w:val="00DD3D6B"/>
    <w:rsid w:val="00DD4467"/>
    <w:rsid w:val="00DD5418"/>
    <w:rsid w:val="00DD61C8"/>
    <w:rsid w:val="00DD772B"/>
    <w:rsid w:val="00DE2022"/>
    <w:rsid w:val="00DE2A3B"/>
    <w:rsid w:val="00DE435D"/>
    <w:rsid w:val="00DE4F57"/>
    <w:rsid w:val="00DE5585"/>
    <w:rsid w:val="00DF0456"/>
    <w:rsid w:val="00DF2A07"/>
    <w:rsid w:val="00DF5B53"/>
    <w:rsid w:val="00DF742A"/>
    <w:rsid w:val="00E030F5"/>
    <w:rsid w:val="00E041F4"/>
    <w:rsid w:val="00E050BA"/>
    <w:rsid w:val="00E06CBE"/>
    <w:rsid w:val="00E076AC"/>
    <w:rsid w:val="00E16655"/>
    <w:rsid w:val="00E16A6B"/>
    <w:rsid w:val="00E21275"/>
    <w:rsid w:val="00E22001"/>
    <w:rsid w:val="00E25442"/>
    <w:rsid w:val="00E25A1F"/>
    <w:rsid w:val="00E25D27"/>
    <w:rsid w:val="00E3288B"/>
    <w:rsid w:val="00E34E6A"/>
    <w:rsid w:val="00E35B72"/>
    <w:rsid w:val="00E37B54"/>
    <w:rsid w:val="00E37EEB"/>
    <w:rsid w:val="00E440B3"/>
    <w:rsid w:val="00E5153D"/>
    <w:rsid w:val="00E56134"/>
    <w:rsid w:val="00E56B5D"/>
    <w:rsid w:val="00E61C81"/>
    <w:rsid w:val="00E62331"/>
    <w:rsid w:val="00E63A20"/>
    <w:rsid w:val="00E66265"/>
    <w:rsid w:val="00E710FB"/>
    <w:rsid w:val="00E730F1"/>
    <w:rsid w:val="00E73CC9"/>
    <w:rsid w:val="00E75213"/>
    <w:rsid w:val="00E75847"/>
    <w:rsid w:val="00E76FCC"/>
    <w:rsid w:val="00E80528"/>
    <w:rsid w:val="00E806D9"/>
    <w:rsid w:val="00E816C7"/>
    <w:rsid w:val="00E82CA2"/>
    <w:rsid w:val="00E84367"/>
    <w:rsid w:val="00E9142F"/>
    <w:rsid w:val="00E94224"/>
    <w:rsid w:val="00E94E5A"/>
    <w:rsid w:val="00E95594"/>
    <w:rsid w:val="00E95A55"/>
    <w:rsid w:val="00EA0B27"/>
    <w:rsid w:val="00EA2525"/>
    <w:rsid w:val="00EA31C3"/>
    <w:rsid w:val="00EA4947"/>
    <w:rsid w:val="00EA4B1B"/>
    <w:rsid w:val="00EA7EDC"/>
    <w:rsid w:val="00EB16BB"/>
    <w:rsid w:val="00EB33AC"/>
    <w:rsid w:val="00EC25DE"/>
    <w:rsid w:val="00EC669D"/>
    <w:rsid w:val="00EC6F21"/>
    <w:rsid w:val="00EC7887"/>
    <w:rsid w:val="00ED2708"/>
    <w:rsid w:val="00ED2D39"/>
    <w:rsid w:val="00ED3A3A"/>
    <w:rsid w:val="00ED4C33"/>
    <w:rsid w:val="00EE0913"/>
    <w:rsid w:val="00EE6C9D"/>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26F00"/>
    <w:rsid w:val="00F27454"/>
    <w:rsid w:val="00F32339"/>
    <w:rsid w:val="00F3596A"/>
    <w:rsid w:val="00F36446"/>
    <w:rsid w:val="00F40463"/>
    <w:rsid w:val="00F44A01"/>
    <w:rsid w:val="00F50336"/>
    <w:rsid w:val="00F50D7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96F4A"/>
    <w:rsid w:val="00F971BD"/>
    <w:rsid w:val="00F97CD6"/>
    <w:rsid w:val="00FA7A95"/>
    <w:rsid w:val="00FB089D"/>
    <w:rsid w:val="00FB282B"/>
    <w:rsid w:val="00FB2C57"/>
    <w:rsid w:val="00FB4325"/>
    <w:rsid w:val="00FB4F96"/>
    <w:rsid w:val="00FC0721"/>
    <w:rsid w:val="00FC1CE4"/>
    <w:rsid w:val="00FC6533"/>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758E1AD"/>
  <w15:chartTrackingRefBased/>
  <w15:docId w15:val="{6D16814E-2C86-4A46-A97A-25624020B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5220C"/>
    <w:pPr>
      <w:spacing w:line="320" w:lineRule="exact"/>
      <w:jc w:val="both"/>
    </w:pPr>
    <w:rPr>
      <w:rFonts w:eastAsia="宋体"/>
      <w:kern w:val="14"/>
      <w:sz w:val="21"/>
      <w:lang w:val="en-US"/>
    </w:rPr>
  </w:style>
  <w:style w:type="paragraph" w:styleId="1">
    <w:name w:val="heading 1"/>
    <w:basedOn w:val="a"/>
    <w:next w:val="HCh"/>
    <w:link w:val="10"/>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093927"/>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093927"/>
    <w:pPr>
      <w:tabs>
        <w:tab w:val="left" w:pos="57"/>
      </w:tabs>
      <w:spacing w:line="400" w:lineRule="exact"/>
    </w:pPr>
    <w:rPr>
      <w:sz w:val="28"/>
    </w:rPr>
  </w:style>
  <w:style w:type="paragraph" w:customStyle="1" w:styleId="HM">
    <w:name w:val="_ H __M"/>
    <w:basedOn w:val="HCh"/>
    <w:next w:val="a"/>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283CA7"/>
    <w:pPr>
      <w:ind w:left="1264" w:right="1264" w:hanging="1264"/>
      <w:outlineLvl w:val="1"/>
    </w:pPr>
    <w:rPr>
      <w:rFonts w:eastAsia="黑体"/>
      <w:szCs w:val="21"/>
    </w:rPr>
  </w:style>
  <w:style w:type="paragraph" w:customStyle="1" w:styleId="H4">
    <w:name w:val="_ H_4"/>
    <w:basedOn w:val="a"/>
    <w:next w:val="a"/>
    <w:qFormat/>
    <w:rsid w:val="003662FF"/>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357AB4"/>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357AB4"/>
    <w:pPr>
      <w:spacing w:line="640" w:lineRule="exact"/>
    </w:pPr>
    <w:rPr>
      <w:spacing w:val="-8"/>
      <w:w w:val="96"/>
      <w:sz w:val="57"/>
    </w:rPr>
  </w:style>
  <w:style w:type="paragraph" w:customStyle="1" w:styleId="SS">
    <w:name w:val="__S_S"/>
    <w:basedOn w:val="HCh"/>
    <w:next w:val="a"/>
    <w:qFormat/>
    <w:rsid w:val="00357AB4"/>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05220C"/>
    <w:rPr>
      <w:color w:val="auto"/>
      <w:spacing w:val="0"/>
      <w:w w:val="10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1704A3"/>
    <w:pPr>
      <w:spacing w:line="240" w:lineRule="exact"/>
    </w:pPr>
    <w:rPr>
      <w:kern w:val="14"/>
      <w:szCs w:val="21"/>
      <w:lang w:val="en-US"/>
    </w:rPr>
  </w:style>
  <w:style w:type="paragraph" w:customStyle="1" w:styleId="Session">
    <w:name w:val="Session"/>
    <w:basedOn w:val="H23"/>
    <w:qFormat/>
    <w:rsid w:val="003349FB"/>
    <w:pPr>
      <w:spacing w:after="60"/>
    </w:pPr>
  </w:style>
  <w:style w:type="paragraph" w:customStyle="1" w:styleId="Committee">
    <w:name w:val="Committee 委员会"/>
    <w:basedOn w:val="H1"/>
    <w:qFormat/>
    <w:rsid w:val="001944A4"/>
    <w:pPr>
      <w:spacing w:line="240" w:lineRule="exact"/>
    </w:pPr>
  </w:style>
  <w:style w:type="paragraph" w:customStyle="1" w:styleId="AgendaItemNormal">
    <w:name w:val="Agenda_Item_Normal"/>
    <w:basedOn w:val="af"/>
    <w:qFormat/>
    <w:rsid w:val="00B6728D"/>
    <w:pPr>
      <w:spacing w:after="60"/>
    </w:pPr>
    <w:rPr>
      <w:sz w:val="21"/>
    </w:rPr>
  </w:style>
  <w:style w:type="paragraph" w:customStyle="1" w:styleId="Sponsors">
    <w:name w:val="Sponsors"/>
    <w:basedOn w:val="H23"/>
    <w:qFormat/>
    <w:rsid w:val="004B2F18"/>
    <w:pPr>
      <w:tabs>
        <w:tab w:val="right" w:pos="1021"/>
        <w:tab w:val="left" w:pos="1264"/>
        <w:tab w:val="left" w:pos="1695"/>
        <w:tab w:val="left" w:pos="2126"/>
        <w:tab w:val="left" w:pos="2557"/>
      </w:tabs>
      <w:ind w:left="1267" w:right="1267" w:hanging="1267"/>
    </w:pPr>
  </w:style>
  <w:style w:type="paragraph" w:styleId="af">
    <w:name w:val="Normal (Web)"/>
    <w:basedOn w:val="a"/>
    <w:rsid w:val="001944A4"/>
    <w:rPr>
      <w:sz w:val="24"/>
      <w:szCs w:val="24"/>
    </w:rPr>
  </w:style>
  <w:style w:type="character" w:customStyle="1" w:styleId="10">
    <w:name w:val="标题 1 字符"/>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5B04F3"/>
    <w:rPr>
      <w:rFonts w:ascii="黑体" w:eastAsiaTheme="majorEastAsia" w:hAnsi="黑体" w:cstheme="majorBidi"/>
      <w:b/>
      <w:bCs/>
      <w:kern w:val="14"/>
      <w:sz w:val="28"/>
      <w:szCs w:val="26"/>
      <w:lang w:val="en-US"/>
    </w:rPr>
  </w:style>
  <w:style w:type="character" w:customStyle="1" w:styleId="30">
    <w:name w:val="标题 3 字符"/>
    <w:basedOn w:val="a0"/>
    <w:link w:val="3"/>
    <w:rsid w:val="005B04F3"/>
    <w:rPr>
      <w:rFonts w:asciiTheme="minorEastAsia" w:eastAsiaTheme="majorEastAsia" w:hAnsiTheme="minorEastAsia" w:cstheme="majorBidi"/>
      <w:b/>
      <w:bCs/>
      <w:kern w:val="14"/>
      <w:sz w:val="32"/>
      <w:lang w:val="en-US"/>
    </w:rPr>
  </w:style>
  <w:style w:type="paragraph" w:customStyle="1" w:styleId="11">
    <w:name w:val="日刊标题1"/>
    <w:basedOn w:val="a"/>
    <w:qFormat/>
    <w:rsid w:val="009D00AA"/>
    <w:pPr>
      <w:spacing w:line="560" w:lineRule="exact"/>
    </w:pPr>
    <w:rPr>
      <w:rFonts w:ascii="黑体" w:eastAsia="黑体" w:hAnsi="黑体"/>
      <w:sz w:val="36"/>
    </w:rPr>
  </w:style>
  <w:style w:type="paragraph" w:customStyle="1" w:styleId="21">
    <w:name w:val="日刊标题2"/>
    <w:basedOn w:val="a"/>
    <w:next w:val="a"/>
    <w:qFormat/>
    <w:rsid w:val="009D00AA"/>
    <w:pPr>
      <w:spacing w:line="400" w:lineRule="exact"/>
    </w:pPr>
    <w:rPr>
      <w:rFonts w:ascii="黑体" w:hAnsi="黑体"/>
      <w:sz w:val="28"/>
    </w:rPr>
  </w:style>
  <w:style w:type="paragraph" w:customStyle="1" w:styleId="31">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AgendaTitleH2">
    <w:name w:val="Agenda_Title_H2"/>
    <w:basedOn w:val="a"/>
    <w:next w:val="a"/>
    <w:qFormat/>
    <w:rsid w:val="003349FB"/>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A622D4"/>
    <w:pPr>
      <w:spacing w:line="400" w:lineRule="exact"/>
    </w:pPr>
    <w:rPr>
      <w:sz w:val="28"/>
    </w:rPr>
  </w:style>
  <w:style w:type="character" w:customStyle="1" w:styleId="TitleHCHChar">
    <w:name w:val="Title_H_CH Char"/>
    <w:basedOn w:val="a0"/>
    <w:link w:val="TitleHCH"/>
    <w:rsid w:val="00A622D4"/>
    <w:rPr>
      <w:rFonts w:eastAsia="黑体"/>
      <w:kern w:val="14"/>
      <w:sz w:val="28"/>
      <w:lang w:val="en-US"/>
    </w:rPr>
  </w:style>
  <w:style w:type="paragraph" w:customStyle="1" w:styleId="TitleH1">
    <w:name w:val="Title_H1"/>
    <w:basedOn w:val="a"/>
    <w:next w:val="SingleTxt"/>
    <w:link w:val="TitleH1Char"/>
    <w:qFormat/>
    <w:rsid w:val="00A622D4"/>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2D26A9"/>
    <w:pPr>
      <w:ind w:left="1264" w:right="1264" w:hanging="1264"/>
      <w:outlineLvl w:val="1"/>
    </w:pPr>
    <w:rPr>
      <w:rFonts w:eastAsia="黑体"/>
      <w:spacing w:val="2"/>
    </w:rPr>
  </w:style>
  <w:style w:type="character" w:customStyle="1" w:styleId="TitleH1Char">
    <w:name w:val="Title_H1 Char"/>
    <w:basedOn w:val="a0"/>
    <w:link w:val="TitleH1"/>
    <w:rsid w:val="00A622D4"/>
    <w:rPr>
      <w:rFonts w:eastAsia="黑体"/>
      <w:kern w:val="14"/>
      <w:sz w:val="24"/>
      <w:lang w:val="en-US"/>
    </w:rPr>
  </w:style>
  <w:style w:type="character" w:customStyle="1" w:styleId="TitleH2Char">
    <w:name w:val="Title_H2 Char"/>
    <w:basedOn w:val="a0"/>
    <w:link w:val="TitleH2"/>
    <w:rsid w:val="002D26A9"/>
    <w:rPr>
      <w:rFonts w:eastAsia="黑体"/>
      <w:spacing w:val="2"/>
      <w:kern w:val="14"/>
      <w:sz w:val="21"/>
      <w:lang w:val="en-US"/>
    </w:rPr>
  </w:style>
  <w:style w:type="paragraph" w:customStyle="1" w:styleId="STitleM">
    <w:name w:val="S_Title_M"/>
    <w:basedOn w:val="a"/>
    <w:next w:val="a"/>
    <w:qFormat/>
    <w:rsid w:val="00803083"/>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B84DAC"/>
    <w:pPr>
      <w:ind w:firstLine="0"/>
    </w:pPr>
    <w:rPr>
      <w:lang w:eastAsia="en-US"/>
    </w:rPr>
  </w:style>
  <w:style w:type="paragraph" w:customStyle="1" w:styleId="STitleL">
    <w:name w:val="S_Title_L"/>
    <w:basedOn w:val="SM"/>
    <w:next w:val="a"/>
    <w:qFormat/>
    <w:rsid w:val="0093160E"/>
    <w:pPr>
      <w:spacing w:line="640" w:lineRule="exact"/>
    </w:pPr>
    <w:rPr>
      <w:spacing w:val="-8"/>
      <w:w w:val="96"/>
      <w:sz w:val="57"/>
    </w:rPr>
  </w:style>
  <w:style w:type="table" w:styleId="af0">
    <w:name w:val="Table Grid"/>
    <w:basedOn w:val="a1"/>
    <w:rsid w:val="00FB4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Unresolved Mention"/>
    <w:basedOn w:val="a0"/>
    <w:uiPriority w:val="99"/>
    <w:semiHidden/>
    <w:unhideWhenUsed/>
    <w:rsid w:val="009B7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89242">
      <w:bodyDiv w:val="1"/>
      <w:marLeft w:val="0"/>
      <w:marRight w:val="0"/>
      <w:marTop w:val="0"/>
      <w:marBottom w:val="0"/>
      <w:divBdr>
        <w:top w:val="none" w:sz="0" w:space="0" w:color="auto"/>
        <w:left w:val="none" w:sz="0" w:space="0" w:color="auto"/>
        <w:bottom w:val="none" w:sz="0" w:space="0" w:color="auto"/>
        <w:right w:val="none" w:sz="0" w:space="0" w:color="auto"/>
      </w:divBdr>
    </w:div>
    <w:div w:id="1328629499">
      <w:bodyDiv w:val="1"/>
      <w:marLeft w:val="0"/>
      <w:marRight w:val="0"/>
      <w:marTop w:val="0"/>
      <w:marBottom w:val="0"/>
      <w:divBdr>
        <w:top w:val="none" w:sz="0" w:space="0" w:color="auto"/>
        <w:left w:val="none" w:sz="0" w:space="0" w:color="auto"/>
        <w:bottom w:val="none" w:sz="0" w:space="0" w:color="auto"/>
        <w:right w:val="none" w:sz="0" w:space="0" w:color="auto"/>
      </w:divBdr>
    </w:div>
    <w:div w:id="140517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h/CERD/C/72/D/38/2006" TargetMode="External"/><Relationship Id="rId2" Type="http://schemas.openxmlformats.org/officeDocument/2006/relationships/numbering" Target="numbering.xml"/><Relationship Id="rId16" Type="http://schemas.openxmlformats.org/officeDocument/2006/relationships/hyperlink" Target="https://undocs.org/ch/CERD/C/67/D/30/20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ch/CEDAW/C/66/D/58/2013" TargetMode="External"/><Relationship Id="rId2" Type="http://schemas.openxmlformats.org/officeDocument/2006/relationships/hyperlink" Target="https://undocs.org/ch/CEDAW/C/60/D/48/2013" TargetMode="External"/><Relationship Id="rId1" Type="http://schemas.openxmlformats.org/officeDocument/2006/relationships/hyperlink" Target="https://undocs.org/ch/CEDAW/C/56/D/44/2012" TargetMode="External"/><Relationship Id="rId4" Type="http://schemas.openxmlformats.org/officeDocument/2006/relationships/hyperlink" Target="https://undocs.org/ch/CEDAW/C/57/D/39/201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0FB24-43AC-48B1-B448-9A1D581BA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981</Words>
  <Characters>5597</Characters>
  <Application>Microsoft Office Word</Application>
  <DocSecurity>0</DocSecurity>
  <Lines>46</Lines>
  <Paragraphs>13</Paragraphs>
  <ScaleCrop>false</ScaleCrop>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Tianxiang Liu</dc:creator>
  <cp:keywords/>
  <dc:description/>
  <cp:lastModifiedBy>Chinese Text Processing</cp:lastModifiedBy>
  <cp:revision>2</cp:revision>
  <dcterms:created xsi:type="dcterms:W3CDTF">2019-09-26T13:29:00Z</dcterms:created>
  <dcterms:modified xsi:type="dcterms:W3CDTF">2019-09-26T13:29:00Z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1915450</vt:lpwstr>
  </property>
  <property fmtid="{D5CDD505-2E9C-101B-9397-08002B2CF9AE}" pid="3" name="ODSRefJobNo">
    <vt:lpwstr>1927456C</vt:lpwstr>
  </property>
  <property fmtid="{D5CDD505-2E9C-101B-9397-08002B2CF9AE}" pid="4" name="Symbol1">
    <vt:lpwstr>CEDAW/C/73/D/136/2018</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Distribution">
    <vt:lpwstr>General</vt:lpwstr>
  </property>
  <property fmtid="{D5CDD505-2E9C-101B-9397-08002B2CF9AE}" pid="10" name="Publication Date">
    <vt:lpwstr>10 September 2019</vt:lpwstr>
  </property>
  <property fmtid="{D5CDD505-2E9C-101B-9397-08002B2CF9AE}" pid="11" name="Original">
    <vt:lpwstr>English</vt:lpwstr>
  </property>
  <property fmtid="{D5CDD505-2E9C-101B-9397-08002B2CF9AE}" pid="12" name="Release Date">
    <vt:lpwstr>230919</vt:lpwstr>
  </property>
  <property fmtid="{D5CDD505-2E9C-101B-9397-08002B2CF9AE}" pid="13" name="Title1">
    <vt:lpwstr>			委员会根据《任择议定书》第2条和第4条第1款通过的关于第136/2018号来文的决定*、**_x000d_</vt:lpwstr>
  </property>
  <property fmtid="{D5CDD505-2E9C-101B-9397-08002B2CF9AE}" pid="14" name="Comment">
    <vt:lpwstr/>
  </property>
  <property fmtid="{D5CDD505-2E9C-101B-9397-08002B2CF9AE}" pid="15" name="DraftPages">
    <vt:lpwstr> </vt:lpwstr>
  </property>
  <property fmtid="{D5CDD505-2E9C-101B-9397-08002B2CF9AE}" pid="16" name="Operator">
    <vt:lpwstr>liutx</vt:lpwstr>
  </property>
</Properties>
</file>