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1CE8" w:rsidRPr="00DE2337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511D28" w:rsidP="008B6AB7"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E12656" w:rsidP="008B6AB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E2337" w:rsidRDefault="008B6AB7" w:rsidP="008B6AB7">
            <w:pPr>
              <w:jc w:val="right"/>
              <w:rPr>
                <w:lang w:val="en-US"/>
              </w:rPr>
            </w:pPr>
            <w:r w:rsidRPr="00DE2337">
              <w:rPr>
                <w:sz w:val="40"/>
                <w:lang w:val="en-US"/>
              </w:rPr>
              <w:t>CCPR</w:t>
            </w:r>
            <w:r w:rsidR="00DE2337" w:rsidRPr="00DE2337">
              <w:rPr>
                <w:lang w:val="en-US"/>
              </w:rPr>
              <w:t>/C/BEL/CO/5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E2337" w:rsidRDefault="00E12656" w:rsidP="008B6AB7">
            <w:pPr>
              <w:spacing w:before="120"/>
              <w:jc w:val="center"/>
              <w:rPr>
                <w:lang w:val="en-US"/>
              </w:rPr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  <w:r w:rsidR="00511D28" w:rsidRPr="00DE2337">
              <w:rPr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51364F" w:rsidRDefault="00E12656" w:rsidP="008B6AB7">
            <w:pPr>
              <w:spacing w:before="120" w:line="380" w:lineRule="exact"/>
              <w:rPr>
                <w:b/>
                <w:sz w:val="34"/>
                <w:szCs w:val="34"/>
                <w:lang w:val="fr-FR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B6AB7" w:rsidRDefault="008B6AB7" w:rsidP="00E12656">
            <w:pPr>
              <w:spacing w:before="240"/>
            </w:pPr>
            <w:r>
              <w:t>Distr.</w:t>
            </w:r>
            <w:r w:rsidR="0051364F">
              <w:t>:</w:t>
            </w:r>
            <w:r>
              <w:t xml:space="preserve"> </w:t>
            </w:r>
            <w:r w:rsidR="00E12656">
              <w:t>générale</w:t>
            </w:r>
          </w:p>
          <w:p w:rsidR="008B6AB7" w:rsidRDefault="0051364F" w:rsidP="008B6AB7">
            <w:pPr>
              <w:spacing w:line="240" w:lineRule="exact"/>
            </w:pPr>
            <w:r>
              <w:t>1</w:t>
            </w:r>
            <w:r w:rsidR="002B45C5">
              <w:t>8</w:t>
            </w:r>
            <w:r w:rsidR="00E12656">
              <w:t xml:space="preserve"> novembre </w:t>
            </w:r>
            <w:r w:rsidR="000355CF">
              <w:t>2010</w:t>
            </w:r>
          </w:p>
          <w:p w:rsidR="003B0FA2" w:rsidRDefault="003B0FA2" w:rsidP="008B6AB7">
            <w:pPr>
              <w:spacing w:line="240" w:lineRule="exact"/>
            </w:pPr>
          </w:p>
          <w:p w:rsidR="00AF1CE8" w:rsidRPr="00DB58B5" w:rsidRDefault="008B6AB7" w:rsidP="008B6AB7">
            <w:pPr>
              <w:spacing w:line="240" w:lineRule="exact"/>
            </w:pPr>
            <w:r>
              <w:t>Original:</w:t>
            </w:r>
            <w:r w:rsidR="0051364F">
              <w:t>f</w:t>
            </w:r>
            <w:r w:rsidR="00511D28">
              <w:t>rançais</w:t>
            </w:r>
          </w:p>
        </w:tc>
      </w:tr>
    </w:tbl>
    <w:p w:rsidR="00DF3BF1" w:rsidRDefault="00DF3BF1" w:rsidP="003B6DD2">
      <w:pPr>
        <w:spacing w:before="20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8B6AB7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8B6AB7" w:rsidRPr="00407A04" w:rsidRDefault="00511D28" w:rsidP="008B6AB7">
      <w:pPr>
        <w:rPr>
          <w:b/>
        </w:rPr>
      </w:pPr>
      <w:r>
        <w:rPr>
          <w:b/>
        </w:rPr>
        <w:t xml:space="preserve">Centième </w:t>
      </w:r>
      <w:r w:rsidR="008B6AB7" w:rsidRPr="00407A04">
        <w:rPr>
          <w:b/>
        </w:rPr>
        <w:t>session</w:t>
      </w:r>
    </w:p>
    <w:p w:rsidR="008B6AB7" w:rsidRPr="00407A04" w:rsidRDefault="008B6AB7" w:rsidP="008B6AB7">
      <w:r w:rsidRPr="00407A04">
        <w:t>Genève, 1</w:t>
      </w:r>
      <w:r w:rsidR="00511D28">
        <w:t>1</w:t>
      </w:r>
      <w:r w:rsidRPr="00407A04">
        <w:t>-</w:t>
      </w:r>
      <w:r w:rsidR="00511D28">
        <w:t>29</w:t>
      </w:r>
      <w:r w:rsidRPr="00407A04">
        <w:t xml:space="preserve"> octobre 20</w:t>
      </w:r>
      <w:r w:rsidR="00511D28">
        <w:t>10</w:t>
      </w:r>
    </w:p>
    <w:p w:rsidR="008B6AB7" w:rsidRPr="00407A04" w:rsidRDefault="008B6AB7" w:rsidP="008B6AB7">
      <w:pPr>
        <w:pStyle w:val="HChG"/>
      </w:pPr>
      <w:r>
        <w:tab/>
      </w:r>
      <w:r>
        <w:tab/>
      </w:r>
      <w:r w:rsidRPr="00407A04">
        <w:t>Examen des rapports soumis par les États parties conformément à l</w:t>
      </w:r>
      <w:r>
        <w:t>’</w:t>
      </w:r>
      <w:r w:rsidRPr="00407A04">
        <w:t>article 40 du Pacte</w:t>
      </w:r>
    </w:p>
    <w:p w:rsidR="00511D28" w:rsidRPr="00511D28" w:rsidRDefault="008B6AB7" w:rsidP="000355CF">
      <w:pPr>
        <w:pStyle w:val="H1G"/>
      </w:pPr>
      <w:r>
        <w:tab/>
      </w:r>
      <w:r>
        <w:tab/>
      </w:r>
      <w:r w:rsidR="000355CF">
        <w:t>Projet d’o</w:t>
      </w:r>
      <w:r w:rsidRPr="00407A04">
        <w:t>bservations finales du Comité des droits de l</w:t>
      </w:r>
      <w:r>
        <w:t>’</w:t>
      </w:r>
      <w:r w:rsidRPr="00407A04">
        <w:t xml:space="preserve">homme </w:t>
      </w:r>
    </w:p>
    <w:p w:rsidR="008B6AB7" w:rsidRPr="00407A04" w:rsidRDefault="008B6AB7" w:rsidP="008B6AB7">
      <w:pPr>
        <w:pStyle w:val="HChG"/>
      </w:pPr>
      <w:r>
        <w:tab/>
      </w:r>
      <w:r>
        <w:tab/>
      </w:r>
      <w:r w:rsidR="00E87B8C">
        <w:t>Belgique</w:t>
      </w:r>
    </w:p>
    <w:p w:rsidR="00642FB3" w:rsidRDefault="000355CF" w:rsidP="00BA408F">
      <w:pPr>
        <w:pStyle w:val="SingleTxtG"/>
      </w:pPr>
      <w:r>
        <w:t xml:space="preserve">1. </w:t>
      </w:r>
      <w:r>
        <w:tab/>
      </w:r>
      <w:r w:rsidR="008B6AB7" w:rsidRPr="00407A04">
        <w:t>Le Comité des droits de l</w:t>
      </w:r>
      <w:r w:rsidR="008B6AB7">
        <w:t>’</w:t>
      </w:r>
      <w:r w:rsidR="008B6AB7" w:rsidRPr="00407A04">
        <w:t xml:space="preserve">homme a examiné le </w:t>
      </w:r>
      <w:r w:rsidR="0002157A">
        <w:t>cinquième</w:t>
      </w:r>
      <w:r w:rsidR="008B6AB7" w:rsidRPr="00407A04">
        <w:t xml:space="preserve"> rapport périodique de la </w:t>
      </w:r>
      <w:r w:rsidR="00A718A4">
        <w:t>Belgique</w:t>
      </w:r>
      <w:r w:rsidR="008B6AB7" w:rsidRPr="00407A04">
        <w:t xml:space="preserve"> (CCPR/C/</w:t>
      </w:r>
      <w:r w:rsidR="0002157A">
        <w:t>BEL/5</w:t>
      </w:r>
      <w:r w:rsidR="008B6AB7" w:rsidRPr="00407A04">
        <w:t>) à ses 2</w:t>
      </w:r>
      <w:r w:rsidR="00F3648D">
        <w:t>750</w:t>
      </w:r>
      <w:r w:rsidR="008B6AB7" w:rsidRPr="00407A04">
        <w:rPr>
          <w:vertAlign w:val="superscript"/>
        </w:rPr>
        <w:t>e</w:t>
      </w:r>
      <w:r w:rsidR="00EF6C80">
        <w:t xml:space="preserve"> et 2</w:t>
      </w:r>
      <w:r w:rsidR="00F3648D">
        <w:t>751</w:t>
      </w:r>
      <w:r w:rsidR="008B6AB7" w:rsidRPr="00407A04">
        <w:rPr>
          <w:vertAlign w:val="superscript"/>
        </w:rPr>
        <w:t>e</w:t>
      </w:r>
      <w:r w:rsidR="009D319C">
        <w:t xml:space="preserve"> séances</w:t>
      </w:r>
      <w:r w:rsidR="0051364F">
        <w:t xml:space="preserve"> tenues</w:t>
      </w:r>
      <w:r w:rsidR="009D319C">
        <w:t xml:space="preserve"> les 1</w:t>
      </w:r>
      <w:r w:rsidR="0002157A">
        <w:t>4</w:t>
      </w:r>
      <w:r w:rsidR="009D319C">
        <w:t xml:space="preserve"> et 1</w:t>
      </w:r>
      <w:r w:rsidR="0002157A">
        <w:t>5</w:t>
      </w:r>
      <w:r w:rsidR="009D319C">
        <w:t xml:space="preserve"> </w:t>
      </w:r>
      <w:r w:rsidR="008B6AB7" w:rsidRPr="00407A04">
        <w:t>octobre 20</w:t>
      </w:r>
      <w:r w:rsidR="0002157A">
        <w:t>10</w:t>
      </w:r>
      <w:r w:rsidR="008B6AB7" w:rsidRPr="00407A04">
        <w:t xml:space="preserve"> (CCPR/C/SR.2</w:t>
      </w:r>
      <w:r w:rsidR="00F3648D">
        <w:t>750</w:t>
      </w:r>
      <w:r w:rsidR="00EF6C80">
        <w:t xml:space="preserve"> et</w:t>
      </w:r>
      <w:r w:rsidR="003C64A5">
        <w:t xml:space="preserve"> </w:t>
      </w:r>
      <w:r w:rsidR="00EF6C80">
        <w:t>2</w:t>
      </w:r>
      <w:r w:rsidR="00F3648D">
        <w:t>751</w:t>
      </w:r>
      <w:r w:rsidR="008B6AB7" w:rsidRPr="00407A04">
        <w:t>)</w:t>
      </w:r>
      <w:r w:rsidR="007822BA">
        <w:t xml:space="preserve">. Il </w:t>
      </w:r>
      <w:r w:rsidR="008B6AB7" w:rsidRPr="00407A04">
        <w:t>a adopté les observations finales ci-après à sa</w:t>
      </w:r>
      <w:r w:rsidR="0051364F">
        <w:t xml:space="preserve"> </w:t>
      </w:r>
      <w:r w:rsidR="00AE2A14">
        <w:t>2766</w:t>
      </w:r>
      <w:r w:rsidR="00AE2A14" w:rsidRPr="00AE2A14">
        <w:rPr>
          <w:vertAlign w:val="superscript"/>
        </w:rPr>
        <w:t>e</w:t>
      </w:r>
      <w:r w:rsidR="00AE2A14">
        <w:t xml:space="preserve"> </w:t>
      </w:r>
      <w:r w:rsidR="008B6AB7" w:rsidRPr="00407A04">
        <w:t>séance (CCPR/C/SR</w:t>
      </w:r>
      <w:r w:rsidR="00AE2A14">
        <w:t>. 2766</w:t>
      </w:r>
      <w:r w:rsidR="008B6AB7" w:rsidRPr="00407A04">
        <w:t>),</w:t>
      </w:r>
      <w:r w:rsidR="007822BA">
        <w:t xml:space="preserve"> qui s’est tenue</w:t>
      </w:r>
      <w:r w:rsidR="008B6AB7" w:rsidRPr="00407A04">
        <w:t xml:space="preserve"> le </w:t>
      </w:r>
      <w:r w:rsidR="00AE2A14">
        <w:t xml:space="preserve">26 </w:t>
      </w:r>
      <w:r w:rsidR="008B6AB7" w:rsidRPr="00407A04">
        <w:t>octobre 20</w:t>
      </w:r>
      <w:r w:rsidR="004C2EAB">
        <w:t>10</w:t>
      </w:r>
      <w:r w:rsidR="00642FB3">
        <w:t>.</w:t>
      </w:r>
    </w:p>
    <w:p w:rsidR="00642FB3" w:rsidRDefault="00642FB3" w:rsidP="000355CF">
      <w:pPr>
        <w:pStyle w:val="H1G"/>
      </w:pPr>
      <w:r>
        <w:tab/>
      </w:r>
      <w:r w:rsidR="00EF53B9">
        <w:tab/>
      </w:r>
      <w:r w:rsidRPr="00407A04">
        <w:t>A.</w:t>
      </w:r>
      <w:r>
        <w:tab/>
      </w:r>
      <w:r w:rsidRPr="00407A04">
        <w:t>Introduction</w:t>
      </w:r>
    </w:p>
    <w:p w:rsidR="00642FB3" w:rsidRDefault="000355CF" w:rsidP="000355CF">
      <w:pPr>
        <w:pStyle w:val="SingleTxtG"/>
      </w:pPr>
      <w:r>
        <w:t xml:space="preserve">2. </w:t>
      </w:r>
      <w:r>
        <w:tab/>
      </w:r>
      <w:r w:rsidR="008B6AB7" w:rsidRPr="00407A04">
        <w:t xml:space="preserve">Le Comité accueille avec satisfaction le </w:t>
      </w:r>
      <w:r w:rsidR="004C2EAB">
        <w:t>cinquième</w:t>
      </w:r>
      <w:r w:rsidR="008B6AB7" w:rsidRPr="00407A04">
        <w:t xml:space="preserve"> rapport périodique de la </w:t>
      </w:r>
      <w:r w:rsidR="004C2EAB">
        <w:t>Belgique</w:t>
      </w:r>
      <w:r w:rsidR="008B6AB7" w:rsidRPr="00407A04">
        <w:t xml:space="preserve">, </w:t>
      </w:r>
      <w:r w:rsidR="00AF7F67">
        <w:t xml:space="preserve">et se </w:t>
      </w:r>
      <w:r w:rsidR="00AE2A14">
        <w:t xml:space="preserve">félicite </w:t>
      </w:r>
      <w:r w:rsidR="00AF7F67">
        <w:t>du dialogue qu’il a eu avec la délégation de l’</w:t>
      </w:r>
      <w:r w:rsidR="00151845">
        <w:t>É</w:t>
      </w:r>
      <w:r w:rsidR="00AF7F67">
        <w:t xml:space="preserve">tat partie. </w:t>
      </w:r>
      <w:r w:rsidR="008B6AB7" w:rsidRPr="00407A04">
        <w:t>Il sait gré à l</w:t>
      </w:r>
      <w:r w:rsidR="008B6AB7">
        <w:t>’</w:t>
      </w:r>
      <w:r w:rsidR="008B6AB7" w:rsidRPr="00407A04">
        <w:t>État partie d</w:t>
      </w:r>
      <w:r w:rsidR="008B6AB7">
        <w:t>’</w:t>
      </w:r>
      <w:r w:rsidR="008B6AB7" w:rsidRPr="00407A04">
        <w:t>avoir soumis à l</w:t>
      </w:r>
      <w:r w:rsidR="008B6AB7">
        <w:t>’</w:t>
      </w:r>
      <w:r w:rsidR="008B6AB7" w:rsidRPr="00407A04">
        <w:t>avance des réponses écrites à la liste de points qui lui avait été adressée (CCPR/C/</w:t>
      </w:r>
      <w:r w:rsidR="004C2EAB">
        <w:t>B</w:t>
      </w:r>
      <w:r w:rsidR="008B6AB7" w:rsidRPr="00407A04">
        <w:t>E</w:t>
      </w:r>
      <w:r w:rsidR="004C2EAB">
        <w:t>L</w:t>
      </w:r>
      <w:r w:rsidR="008B6AB7" w:rsidRPr="00407A04">
        <w:t>/Q/</w:t>
      </w:r>
      <w:r w:rsidR="004C2EAB">
        <w:t>5</w:t>
      </w:r>
      <w:r w:rsidR="008B6AB7" w:rsidRPr="00407A04">
        <w:t>/Add.1)</w:t>
      </w:r>
      <w:r w:rsidR="003C64A5">
        <w:t>. Le Comité</w:t>
      </w:r>
      <w:r w:rsidR="005916A2">
        <w:t xml:space="preserve"> remercie</w:t>
      </w:r>
      <w:r w:rsidR="008B6AB7" w:rsidRPr="00407A04">
        <w:t xml:space="preserve"> la délégation pour les renseignements complémentaires détaillés qu</w:t>
      </w:r>
      <w:r w:rsidR="008B6AB7">
        <w:t>’</w:t>
      </w:r>
      <w:r w:rsidR="008B6AB7" w:rsidRPr="00407A04">
        <w:t xml:space="preserve">elle a </w:t>
      </w:r>
      <w:r w:rsidR="003C64A5">
        <w:t>fournis</w:t>
      </w:r>
      <w:r w:rsidR="003C64A5" w:rsidRPr="00407A04">
        <w:t xml:space="preserve"> </w:t>
      </w:r>
      <w:r w:rsidR="008B6AB7" w:rsidRPr="00407A04">
        <w:t>oralement pendant l</w:t>
      </w:r>
      <w:r w:rsidR="008B6AB7">
        <w:t>’</w:t>
      </w:r>
      <w:r w:rsidR="008B6AB7" w:rsidRPr="00407A04">
        <w:t xml:space="preserve">examen du rapport et pour les renseignements </w:t>
      </w:r>
      <w:r w:rsidR="00187649" w:rsidRPr="00407A04">
        <w:t>supplémentaires</w:t>
      </w:r>
      <w:r w:rsidR="00187649">
        <w:t xml:space="preserve"> apportés par </w:t>
      </w:r>
      <w:r w:rsidR="008B6AB7" w:rsidRPr="00407A04">
        <w:t xml:space="preserve">écrit. </w:t>
      </w:r>
    </w:p>
    <w:p w:rsidR="00642FB3" w:rsidRPr="00642FB3" w:rsidRDefault="00642FB3" w:rsidP="00EF53B9">
      <w:pPr>
        <w:pStyle w:val="SingleTxtG"/>
        <w:spacing w:before="360" w:after="240"/>
        <w:ind w:left="567" w:firstLine="567"/>
        <w:rPr>
          <w:b/>
          <w:bCs/>
          <w:sz w:val="24"/>
          <w:szCs w:val="24"/>
        </w:rPr>
      </w:pPr>
      <w:r w:rsidRPr="00642FB3">
        <w:rPr>
          <w:b/>
          <w:bCs/>
          <w:sz w:val="24"/>
          <w:szCs w:val="24"/>
        </w:rPr>
        <w:t>B.</w:t>
      </w:r>
      <w:r w:rsidRPr="00642FB3">
        <w:rPr>
          <w:b/>
          <w:bCs/>
          <w:sz w:val="24"/>
          <w:szCs w:val="24"/>
        </w:rPr>
        <w:tab/>
        <w:t>Aspects positifs</w:t>
      </w:r>
    </w:p>
    <w:p w:rsidR="0019588D" w:rsidRDefault="000355CF" w:rsidP="000355CF">
      <w:pPr>
        <w:pStyle w:val="SingleTxtG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 xml:space="preserve">3. </w:t>
      </w:r>
      <w:r>
        <w:rPr>
          <w:rFonts w:eastAsia="SimSun"/>
          <w:lang w:val="fr-FR" w:eastAsia="zh-CN"/>
        </w:rPr>
        <w:tab/>
      </w:r>
      <w:r w:rsidR="0019588D" w:rsidRPr="00AF7F67">
        <w:rPr>
          <w:rFonts w:eastAsia="SimSun"/>
          <w:lang w:val="fr-FR" w:eastAsia="zh-CN"/>
        </w:rPr>
        <w:t>Le Comité accueille avec satisfaction la ratification des instruments ci-après</w:t>
      </w:r>
      <w:r w:rsidR="00876CF9">
        <w:rPr>
          <w:rFonts w:eastAsia="SimSun"/>
          <w:lang w:val="fr-FR" w:eastAsia="zh-CN"/>
        </w:rPr>
        <w:t>,</w:t>
      </w:r>
      <w:r w:rsidR="0019588D">
        <w:rPr>
          <w:rFonts w:eastAsia="SimSun"/>
          <w:lang w:val="fr-FR" w:eastAsia="zh-CN"/>
        </w:rPr>
        <w:t xml:space="preserve"> </w:t>
      </w:r>
      <w:r w:rsidR="0019588D" w:rsidRPr="00AF7F67">
        <w:rPr>
          <w:rFonts w:eastAsia="SimSun"/>
          <w:lang w:val="fr-FR" w:eastAsia="zh-CN"/>
        </w:rPr>
        <w:t>ou l’adhésion à ces instruments:</w:t>
      </w:r>
    </w:p>
    <w:p w:rsidR="0019588D" w:rsidRDefault="0019588D" w:rsidP="000355CF">
      <w:pPr>
        <w:pStyle w:val="SingleTxtG"/>
        <w:ind w:left="1701"/>
      </w:pPr>
      <w:r>
        <w:t xml:space="preserve">a) </w:t>
      </w:r>
      <w:r w:rsidR="000355CF">
        <w:tab/>
      </w:r>
      <w:r>
        <w:t>La Convention relative aux droits des personnes handicapées</w:t>
      </w:r>
      <w:r w:rsidR="005916A2">
        <w:t xml:space="preserve"> et </w:t>
      </w:r>
      <w:r>
        <w:t>Protocole</w:t>
      </w:r>
      <w:r w:rsidR="005916A2">
        <w:t xml:space="preserve"> facultatif</w:t>
      </w:r>
      <w:r>
        <w:t>, le 2 juillet 2009;</w:t>
      </w:r>
    </w:p>
    <w:p w:rsidR="0019588D" w:rsidRPr="000355CF" w:rsidRDefault="0019588D" w:rsidP="000355CF">
      <w:pPr>
        <w:pStyle w:val="SingleTxtG"/>
        <w:ind w:left="1701"/>
        <w:rPr>
          <w:lang w:val="fr-FR"/>
        </w:rPr>
      </w:pPr>
      <w:r w:rsidRPr="000355CF">
        <w:rPr>
          <w:lang w:val="fr-FR"/>
        </w:rPr>
        <w:t xml:space="preserve">b) </w:t>
      </w:r>
      <w:r w:rsidR="000355CF">
        <w:rPr>
          <w:lang w:val="fr-FR"/>
        </w:rPr>
        <w:tab/>
      </w:r>
      <w:r w:rsidRPr="000355CF">
        <w:rPr>
          <w:lang w:val="fr-FR"/>
        </w:rPr>
        <w:t>Le Protocole facultatif à la Convention sur l’élimination de toutes les formes de discrimination à l’égard des femmes, le 14 juin 2004;</w:t>
      </w:r>
    </w:p>
    <w:p w:rsidR="0019588D" w:rsidRPr="000355CF" w:rsidRDefault="0019588D" w:rsidP="000355CF">
      <w:pPr>
        <w:pStyle w:val="SingleTxtG"/>
        <w:ind w:left="1701"/>
        <w:rPr>
          <w:lang w:val="fr-FR"/>
        </w:rPr>
      </w:pPr>
      <w:r w:rsidRPr="000355CF">
        <w:rPr>
          <w:lang w:val="fr-FR"/>
        </w:rPr>
        <w:t xml:space="preserve">c) </w:t>
      </w:r>
      <w:r w:rsidR="000355CF">
        <w:rPr>
          <w:lang w:val="fr-FR"/>
        </w:rPr>
        <w:tab/>
      </w:r>
      <w:r w:rsidRPr="000355CF">
        <w:rPr>
          <w:lang w:val="fr-FR"/>
        </w:rPr>
        <w:t>Le Protocole facultatif à la Convention relative aux droits de l’enfant, concernant la vente</w:t>
      </w:r>
      <w:r w:rsidR="006446B9">
        <w:rPr>
          <w:lang w:val="fr-FR"/>
        </w:rPr>
        <w:t xml:space="preserve"> d’enfants</w:t>
      </w:r>
      <w:r w:rsidRPr="000355CF">
        <w:rPr>
          <w:lang w:val="fr-FR"/>
        </w:rPr>
        <w:t>, la prostitution des enfants et la pornographie mettant en scène des enfants, le 11 août 2004;</w:t>
      </w:r>
    </w:p>
    <w:p w:rsidR="0019588D" w:rsidRPr="000355CF" w:rsidRDefault="0019588D" w:rsidP="000355CF">
      <w:pPr>
        <w:pStyle w:val="SingleTxtG"/>
        <w:ind w:left="1701"/>
        <w:rPr>
          <w:lang w:val="fr-FR"/>
        </w:rPr>
      </w:pPr>
      <w:r w:rsidRPr="000355CF">
        <w:rPr>
          <w:lang w:val="fr-FR"/>
        </w:rPr>
        <w:t xml:space="preserve">d) </w:t>
      </w:r>
      <w:r w:rsidR="000355CF">
        <w:rPr>
          <w:lang w:val="fr-FR"/>
        </w:rPr>
        <w:tab/>
      </w:r>
      <w:r w:rsidRPr="000355CF">
        <w:rPr>
          <w:lang w:val="fr-FR"/>
        </w:rPr>
        <w:t xml:space="preserve">La Convention des Nations Unies contre la criminalité transnationale organisée ainsi que </w:t>
      </w:r>
      <w:r w:rsidR="001710C9">
        <w:rPr>
          <w:lang w:val="fr-FR"/>
        </w:rPr>
        <w:t>le</w:t>
      </w:r>
      <w:r w:rsidR="001710C9" w:rsidRPr="000355CF">
        <w:rPr>
          <w:lang w:val="fr-FR"/>
        </w:rPr>
        <w:t xml:space="preserve"> </w:t>
      </w:r>
      <w:r w:rsidRPr="000355CF">
        <w:rPr>
          <w:lang w:val="fr-FR"/>
        </w:rPr>
        <w:t xml:space="preserve">Protocole additionnel </w:t>
      </w:r>
      <w:r w:rsidR="001710C9">
        <w:rPr>
          <w:lang w:val="fr-FR"/>
        </w:rPr>
        <w:t xml:space="preserve">à la Convention des Nations Unies contre la criminalité transnationale organisée, </w:t>
      </w:r>
      <w:r w:rsidRPr="000355CF">
        <w:rPr>
          <w:lang w:val="fr-FR"/>
        </w:rPr>
        <w:t>visant à prévenir, réprimer et punir la traite des personnes, en particulier des femmes et des enfants, le 17 novembre 2005.</w:t>
      </w:r>
    </w:p>
    <w:p w:rsidR="008B6AB7" w:rsidRDefault="000355CF" w:rsidP="000355CF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</w:r>
      <w:r w:rsidR="008B6AB7" w:rsidRPr="00407A04">
        <w:t>Le Comité prend note de l</w:t>
      </w:r>
      <w:r w:rsidR="008B6AB7">
        <w:t>’</w:t>
      </w:r>
      <w:r w:rsidR="008B6AB7" w:rsidRPr="00407A04">
        <w:t>attention soutenue accordée par l</w:t>
      </w:r>
      <w:r w:rsidR="008B6AB7">
        <w:t>’</w:t>
      </w:r>
      <w:r w:rsidR="008B6AB7" w:rsidRPr="00407A04">
        <w:t>État partie à la protection des droits de l</w:t>
      </w:r>
      <w:r w:rsidR="008B6AB7">
        <w:t>’</w:t>
      </w:r>
      <w:r w:rsidR="008B6AB7" w:rsidRPr="00407A04">
        <w:t>homme</w:t>
      </w:r>
      <w:r w:rsidR="001710C9">
        <w:t xml:space="preserve"> et</w:t>
      </w:r>
      <w:r w:rsidR="008B6AB7" w:rsidRPr="00407A04">
        <w:t xml:space="preserve"> </w:t>
      </w:r>
      <w:r w:rsidR="001710C9">
        <w:t>se félicite d</w:t>
      </w:r>
      <w:r w:rsidR="008B6AB7" w:rsidRPr="00407A04">
        <w:t xml:space="preserve">es mesures </w:t>
      </w:r>
      <w:r w:rsidR="00E675FB">
        <w:t xml:space="preserve">d’ordre </w:t>
      </w:r>
      <w:r w:rsidR="00D6383F">
        <w:t xml:space="preserve">constitutionnel et </w:t>
      </w:r>
      <w:r w:rsidR="008B6AB7" w:rsidRPr="00407A04">
        <w:t>législati</w:t>
      </w:r>
      <w:r w:rsidR="00E675FB">
        <w:t xml:space="preserve">f </w:t>
      </w:r>
      <w:r w:rsidR="00670CD5">
        <w:t>adoptées</w:t>
      </w:r>
      <w:r w:rsidR="008B6AB7" w:rsidRPr="00407A04">
        <w:t xml:space="preserve"> ci-après:</w:t>
      </w:r>
    </w:p>
    <w:p w:rsidR="00625947" w:rsidRDefault="00625947" w:rsidP="000355CF">
      <w:pPr>
        <w:pStyle w:val="SingleTxtG"/>
        <w:ind w:left="1701"/>
      </w:pPr>
      <w:r>
        <w:t>a)</w:t>
      </w:r>
      <w:r w:rsidR="000355CF">
        <w:tab/>
      </w:r>
      <w:r>
        <w:t xml:space="preserve"> </w:t>
      </w:r>
      <w:r w:rsidR="00D6383F" w:rsidRPr="00407A04">
        <w:t>L</w:t>
      </w:r>
      <w:r w:rsidR="00D6383F">
        <w:t>’adoption d’une disposition constitutionnelle consacrant l’abolition de la peine de mort, le 2 février 2005;</w:t>
      </w:r>
    </w:p>
    <w:p w:rsidR="00D6383F" w:rsidRDefault="00625947" w:rsidP="000355CF">
      <w:pPr>
        <w:pStyle w:val="SingleTxtG"/>
        <w:ind w:left="1701"/>
      </w:pPr>
      <w:r>
        <w:t xml:space="preserve">b) </w:t>
      </w:r>
      <w:r w:rsidR="000355CF">
        <w:tab/>
      </w:r>
      <w:r w:rsidR="00642FB3">
        <w:t>La loi du 10 mai 2007 tendant à lutter contre certaines formes de discrimination</w:t>
      </w:r>
      <w:r w:rsidR="00D6383F">
        <w:t>;</w:t>
      </w:r>
    </w:p>
    <w:p w:rsidR="00D6383F" w:rsidRDefault="00625947" w:rsidP="000355CF">
      <w:pPr>
        <w:pStyle w:val="SingleTxtG"/>
        <w:ind w:left="1701"/>
      </w:pPr>
      <w:r>
        <w:t xml:space="preserve">c) </w:t>
      </w:r>
      <w:r w:rsidR="000355CF">
        <w:tab/>
      </w:r>
      <w:r w:rsidR="00642FB3">
        <w:t>La loi du 10 mai 2007 modifiant la loi du 30 juillet 1981</w:t>
      </w:r>
      <w:r w:rsidR="00670CD5">
        <w:t xml:space="preserve"> </w:t>
      </w:r>
      <w:r w:rsidR="00642FB3">
        <w:t>tendant à réprimer certains actes inspirés par le racisme et la xénophobie</w:t>
      </w:r>
      <w:r w:rsidR="00D6383F">
        <w:t>;</w:t>
      </w:r>
    </w:p>
    <w:p w:rsidR="00D6383F" w:rsidRDefault="00625947" w:rsidP="000355CF">
      <w:pPr>
        <w:pStyle w:val="SingleTxtG"/>
        <w:ind w:left="1701"/>
      </w:pPr>
      <w:r>
        <w:t xml:space="preserve">d) </w:t>
      </w:r>
      <w:r w:rsidR="000355CF">
        <w:tab/>
      </w:r>
      <w:r w:rsidR="00642FB3">
        <w:t>La loi du 10 mai 2007 tendant à lutter contre la discrimination entre les femmes et les hommes</w:t>
      </w:r>
      <w:r w:rsidR="00D6383F">
        <w:t>;</w:t>
      </w:r>
    </w:p>
    <w:p w:rsidR="00D6383F" w:rsidRDefault="00625947" w:rsidP="000355CF">
      <w:pPr>
        <w:pStyle w:val="SingleTxtG"/>
        <w:ind w:left="1701"/>
      </w:pPr>
      <w:r>
        <w:t xml:space="preserve">e) </w:t>
      </w:r>
      <w:r w:rsidR="000355CF">
        <w:tab/>
      </w:r>
      <w:r w:rsidR="00642FB3" w:rsidRPr="00407A04">
        <w:t>L</w:t>
      </w:r>
      <w:r w:rsidR="00642FB3">
        <w:t xml:space="preserve">a loi du 10 mai 2007 adaptant le Code judiciaire à la législation tendant à lutter contre les discriminations et réprimant certains actes inspirés par le racisme </w:t>
      </w:r>
      <w:r w:rsidR="00580CD0">
        <w:t xml:space="preserve">ou </w:t>
      </w:r>
      <w:r w:rsidR="00642FB3">
        <w:t>la xénophobie</w:t>
      </w:r>
      <w:r w:rsidR="00D6383F">
        <w:t>;</w:t>
      </w:r>
    </w:p>
    <w:p w:rsidR="00D6383F" w:rsidRDefault="00625947" w:rsidP="000355CF">
      <w:pPr>
        <w:pStyle w:val="SingleTxtG"/>
        <w:ind w:left="1701"/>
      </w:pPr>
      <w:r>
        <w:t xml:space="preserve">f) </w:t>
      </w:r>
      <w:r w:rsidR="000355CF">
        <w:tab/>
      </w:r>
      <w:r w:rsidR="00642FB3" w:rsidRPr="00407A04">
        <w:t xml:space="preserve">La loi </w:t>
      </w:r>
      <w:r w:rsidR="00642FB3">
        <w:t xml:space="preserve">du 25 avril 2007 qui insère un article 391 </w:t>
      </w:r>
      <w:r w:rsidR="00642FB3" w:rsidRPr="000F1170">
        <w:rPr>
          <w:i/>
          <w:iCs/>
        </w:rPr>
        <w:t>sexies</w:t>
      </w:r>
      <w:r w:rsidR="00642FB3">
        <w:t xml:space="preserve"> dans le Code pénal et qui modifie certaines dispositions du Code civil en vue d’incriminer et d’élargir les moyens d’annuler le mariage forcé</w:t>
      </w:r>
      <w:r w:rsidR="00D6383F">
        <w:t>;</w:t>
      </w:r>
    </w:p>
    <w:p w:rsidR="00642FB3" w:rsidRDefault="00625947" w:rsidP="000355CF">
      <w:pPr>
        <w:pStyle w:val="SingleTxtG"/>
        <w:ind w:left="1701"/>
        <w:rPr>
          <w:rFonts w:eastAsia="SimSun"/>
          <w:lang w:eastAsia="zh-CN"/>
        </w:rPr>
      </w:pPr>
      <w:r>
        <w:t xml:space="preserve">g) </w:t>
      </w:r>
      <w:r w:rsidR="000355CF">
        <w:tab/>
      </w:r>
      <w:r w:rsidR="00642FB3">
        <w:t xml:space="preserve">La loi du 18 mai 2006 visant à insérer un nouvel alinéa à l’article 417 </w:t>
      </w:r>
      <w:r w:rsidR="00642FB3" w:rsidRPr="00580CD0">
        <w:rPr>
          <w:i/>
        </w:rPr>
        <w:t>ter</w:t>
      </w:r>
      <w:r w:rsidR="00642FB3">
        <w:t xml:space="preserve"> du Code pénal interdisant explicitement d’invoquer l’état de nécessité pour justifier la torture</w:t>
      </w:r>
      <w:r w:rsidR="000F1170">
        <w:t>.</w:t>
      </w:r>
    </w:p>
    <w:p w:rsidR="00642FB3" w:rsidRPr="00642FB3" w:rsidRDefault="00642FB3" w:rsidP="00DE2337">
      <w:pPr>
        <w:pStyle w:val="SingleTxtG"/>
        <w:spacing w:before="360" w:after="240"/>
        <w:ind w:left="0"/>
        <w:rPr>
          <w:rFonts w:eastAsia="SimSun"/>
          <w:lang w:eastAsia="zh-CN"/>
        </w:rPr>
      </w:pPr>
      <w:r>
        <w:rPr>
          <w:b/>
          <w:bCs/>
          <w:sz w:val="24"/>
          <w:szCs w:val="24"/>
        </w:rPr>
        <w:t xml:space="preserve">      </w:t>
      </w:r>
      <w:r w:rsidR="00925DF8">
        <w:rPr>
          <w:b/>
          <w:bCs/>
          <w:sz w:val="24"/>
          <w:szCs w:val="24"/>
        </w:rPr>
        <w:tab/>
      </w:r>
      <w:r w:rsidR="00925DF8">
        <w:rPr>
          <w:b/>
          <w:bCs/>
          <w:sz w:val="24"/>
          <w:szCs w:val="24"/>
        </w:rPr>
        <w:tab/>
      </w:r>
      <w:r w:rsidRPr="00642FB3">
        <w:rPr>
          <w:b/>
          <w:bCs/>
          <w:sz w:val="24"/>
          <w:szCs w:val="24"/>
        </w:rPr>
        <w:t>C.</w:t>
      </w:r>
      <w:r w:rsidRPr="00642FB3">
        <w:rPr>
          <w:b/>
          <w:bCs/>
          <w:sz w:val="24"/>
          <w:szCs w:val="24"/>
        </w:rPr>
        <w:tab/>
        <w:t>Principaux sujets de préoccupation et recommandations</w:t>
      </w:r>
    </w:p>
    <w:p w:rsidR="0019588D" w:rsidRDefault="00DE2337" w:rsidP="00DE2337">
      <w:pPr>
        <w:pStyle w:val="SingleTxtG"/>
      </w:pPr>
      <w:r>
        <w:t xml:space="preserve">5. </w:t>
      </w:r>
      <w:r>
        <w:tab/>
      </w:r>
      <w:r w:rsidR="00B8742D">
        <w:t xml:space="preserve">Le Comité prend note </w:t>
      </w:r>
      <w:r w:rsidR="004500D8">
        <w:t xml:space="preserve">des initiatives prises par l’État partie </w:t>
      </w:r>
      <w:r w:rsidR="0019588D">
        <w:t xml:space="preserve">et </w:t>
      </w:r>
      <w:r w:rsidR="004500D8">
        <w:t xml:space="preserve">des informations fournies </w:t>
      </w:r>
      <w:r w:rsidR="00B8742D">
        <w:t xml:space="preserve">sur la mise en œuvre de ses </w:t>
      </w:r>
      <w:r w:rsidR="00B8742D" w:rsidRPr="00062D23">
        <w:t>cons</w:t>
      </w:r>
      <w:r w:rsidR="00FF5570" w:rsidRPr="00062D23">
        <w:t>ta</w:t>
      </w:r>
      <w:r w:rsidR="00B8742D" w:rsidRPr="00062D23">
        <w:t>tations</w:t>
      </w:r>
      <w:r w:rsidR="00B8742D">
        <w:t xml:space="preserve"> dans l’affaire Nabil Sayadi et Patricia Vinck (CCPR/C/D/1472/2006). Il regrette, toutefois, que l’</w:t>
      </w:r>
      <w:r w:rsidR="00151845">
        <w:t>É</w:t>
      </w:r>
      <w:r w:rsidR="00B8742D">
        <w:t xml:space="preserve">tat partie n’ait pas été en mesure de </w:t>
      </w:r>
      <w:r w:rsidR="004500D8">
        <w:t xml:space="preserve">lui fournir les renseignements demandés </w:t>
      </w:r>
      <w:r w:rsidR="00B8742D">
        <w:t xml:space="preserve">sur </w:t>
      </w:r>
      <w:r w:rsidR="004500D8">
        <w:t>l’</w:t>
      </w:r>
      <w:r w:rsidR="00B8742D">
        <w:t xml:space="preserve">octroi </w:t>
      </w:r>
      <w:r w:rsidR="004500D8">
        <w:t xml:space="preserve">éventuel </w:t>
      </w:r>
      <w:r w:rsidR="00B8742D">
        <w:t>d’une compensation</w:t>
      </w:r>
      <w:r w:rsidR="00FF5570">
        <w:t xml:space="preserve"> </w:t>
      </w:r>
      <w:r w:rsidR="00491DB8">
        <w:t xml:space="preserve">à Nabil Sayadi et </w:t>
      </w:r>
      <w:r w:rsidR="004500D8">
        <w:t xml:space="preserve">à </w:t>
      </w:r>
      <w:r w:rsidR="00491DB8">
        <w:t>Patricia Vinck</w:t>
      </w:r>
      <w:r w:rsidR="00212111">
        <w:t xml:space="preserve">. </w:t>
      </w:r>
    </w:p>
    <w:p w:rsidR="0019588D" w:rsidRDefault="0019588D" w:rsidP="00EF53B9">
      <w:pPr>
        <w:pStyle w:val="SingleTxtG"/>
        <w:ind w:firstLine="567"/>
      </w:pPr>
      <w:r w:rsidRPr="00982ED2">
        <w:rPr>
          <w:b/>
          <w:bCs/>
        </w:rPr>
        <w:t>L’</w:t>
      </w:r>
      <w:r w:rsidR="00151845">
        <w:rPr>
          <w:b/>
          <w:bCs/>
        </w:rPr>
        <w:t>É</w:t>
      </w:r>
      <w:r w:rsidRPr="00982ED2">
        <w:rPr>
          <w:b/>
          <w:bCs/>
        </w:rPr>
        <w:t>tat partie devrait envisager l’</w:t>
      </w:r>
      <w:r>
        <w:rPr>
          <w:b/>
          <w:bCs/>
        </w:rPr>
        <w:t xml:space="preserve">octroi </w:t>
      </w:r>
      <w:r w:rsidR="00092681">
        <w:rPr>
          <w:b/>
          <w:bCs/>
        </w:rPr>
        <w:t xml:space="preserve">éventuel </w:t>
      </w:r>
      <w:r>
        <w:rPr>
          <w:b/>
          <w:bCs/>
        </w:rPr>
        <w:t xml:space="preserve">d’une compensation </w:t>
      </w:r>
      <w:r w:rsidRPr="00982ED2">
        <w:rPr>
          <w:b/>
          <w:bCs/>
        </w:rPr>
        <w:t>aux requérants Nabil Sayadi et Patricia Vinck</w:t>
      </w:r>
      <w:r>
        <w:rPr>
          <w:b/>
          <w:bCs/>
        </w:rPr>
        <w:t xml:space="preserve">. </w:t>
      </w:r>
    </w:p>
    <w:p w:rsidR="00B8742D" w:rsidRDefault="00DE2337" w:rsidP="00DE2337">
      <w:pPr>
        <w:pStyle w:val="SingleTxtG"/>
      </w:pPr>
      <w:r>
        <w:t xml:space="preserve">6. </w:t>
      </w:r>
      <w:r>
        <w:tab/>
      </w:r>
      <w:r w:rsidR="0019588D">
        <w:t>Le Comité</w:t>
      </w:r>
      <w:r w:rsidR="00212111">
        <w:t xml:space="preserve"> regrette l’absence </w:t>
      </w:r>
      <w:r w:rsidR="0019588D">
        <w:t>au sein de l’</w:t>
      </w:r>
      <w:r w:rsidR="00151845">
        <w:t>É</w:t>
      </w:r>
      <w:r w:rsidR="0019588D">
        <w:t xml:space="preserve">tat partie </w:t>
      </w:r>
      <w:r w:rsidR="00212111">
        <w:t xml:space="preserve">d’un mécanisme </w:t>
      </w:r>
      <w:r w:rsidR="00670CD5">
        <w:t>dédié à</w:t>
      </w:r>
      <w:r w:rsidR="00212111">
        <w:t xml:space="preserve"> </w:t>
      </w:r>
      <w:r w:rsidR="004A0A02">
        <w:t xml:space="preserve">la mise </w:t>
      </w:r>
      <w:r w:rsidR="00212111">
        <w:t xml:space="preserve">en œuvre </w:t>
      </w:r>
      <w:r w:rsidR="004A0A02">
        <w:t>d</w:t>
      </w:r>
      <w:r w:rsidR="00212111">
        <w:t xml:space="preserve">es </w:t>
      </w:r>
      <w:r w:rsidR="00212111" w:rsidRPr="00062D23">
        <w:t>cons</w:t>
      </w:r>
      <w:r w:rsidR="007A4B55" w:rsidRPr="00062D23">
        <w:t>ta</w:t>
      </w:r>
      <w:r w:rsidR="00212111" w:rsidRPr="00062D23">
        <w:t>tations</w:t>
      </w:r>
      <w:r w:rsidR="00212111">
        <w:t xml:space="preserve"> du Comité</w:t>
      </w:r>
      <w:r w:rsidR="00491DB8">
        <w:t xml:space="preserve"> (art. 2)</w:t>
      </w:r>
      <w:r w:rsidR="005E346F">
        <w:t>.</w:t>
      </w:r>
      <w:r w:rsidR="00491DB8">
        <w:t xml:space="preserve"> </w:t>
      </w:r>
    </w:p>
    <w:p w:rsidR="00642FB3" w:rsidRDefault="0019588D" w:rsidP="00EF53B9">
      <w:pPr>
        <w:pStyle w:val="SingleTxtG"/>
        <w:ind w:firstLine="567"/>
      </w:pPr>
      <w:r>
        <w:rPr>
          <w:b/>
          <w:bCs/>
        </w:rPr>
        <w:t>L’</w:t>
      </w:r>
      <w:r w:rsidR="00151845">
        <w:rPr>
          <w:b/>
          <w:bCs/>
        </w:rPr>
        <w:t>É</w:t>
      </w:r>
      <w:r>
        <w:rPr>
          <w:b/>
          <w:bCs/>
        </w:rPr>
        <w:t xml:space="preserve">tat partie devrait envisager la mise en place d’un mécanisme </w:t>
      </w:r>
      <w:r w:rsidR="00973228">
        <w:rPr>
          <w:b/>
          <w:bCs/>
        </w:rPr>
        <w:t>dédié à</w:t>
      </w:r>
      <w:r>
        <w:rPr>
          <w:b/>
          <w:bCs/>
        </w:rPr>
        <w:t xml:space="preserve"> la mise en œuvre des </w:t>
      </w:r>
      <w:r w:rsidRPr="00062D23">
        <w:rPr>
          <w:b/>
          <w:bCs/>
        </w:rPr>
        <w:t>constatations</w:t>
      </w:r>
      <w:r>
        <w:rPr>
          <w:b/>
          <w:bCs/>
        </w:rPr>
        <w:t xml:space="preserve"> du Comité.</w:t>
      </w:r>
    </w:p>
    <w:p w:rsidR="008B6AB7" w:rsidRDefault="00DE2337" w:rsidP="00DE2337">
      <w:pPr>
        <w:pStyle w:val="SingleTxtG"/>
      </w:pPr>
      <w:r>
        <w:t>7.</w:t>
      </w:r>
      <w:r>
        <w:tab/>
      </w:r>
      <w:r w:rsidR="008B6AB7" w:rsidRPr="00407A04">
        <w:t>Le Comité note avec préoccupation que l</w:t>
      </w:r>
      <w:r w:rsidR="008B6AB7">
        <w:t>’</w:t>
      </w:r>
      <w:r w:rsidR="008B6AB7" w:rsidRPr="00407A04">
        <w:t xml:space="preserve">État partie maintient ses réserves </w:t>
      </w:r>
      <w:r w:rsidR="00702A52">
        <w:t xml:space="preserve">sur les </w:t>
      </w:r>
      <w:r w:rsidR="0070431F">
        <w:t>paragraphes 2</w:t>
      </w:r>
      <w:r w:rsidR="00FF5570">
        <w:t xml:space="preserve"> </w:t>
      </w:r>
      <w:r w:rsidR="0070431F" w:rsidRPr="00702A52">
        <w:rPr>
          <w:i/>
        </w:rPr>
        <w:t>a</w:t>
      </w:r>
      <w:r w:rsidR="0070431F">
        <w:t>, 3 et 5 de l’article 10</w:t>
      </w:r>
      <w:r w:rsidR="0088787C">
        <w:t xml:space="preserve"> du Pacte international relatif aux droits civils et politiques</w:t>
      </w:r>
      <w:r w:rsidR="00982ED2">
        <w:t>,</w:t>
      </w:r>
      <w:r w:rsidR="0088787C">
        <w:t xml:space="preserve"> </w:t>
      </w:r>
      <w:r w:rsidR="00973228">
        <w:t xml:space="preserve">ainsi que </w:t>
      </w:r>
      <w:r w:rsidR="0088787C">
        <w:t>sur</w:t>
      </w:r>
      <w:r w:rsidR="00982ED2">
        <w:t xml:space="preserve"> </w:t>
      </w:r>
      <w:r w:rsidR="00702A52">
        <w:t xml:space="preserve">le </w:t>
      </w:r>
      <w:r w:rsidR="00982ED2">
        <w:t xml:space="preserve">paragraphe 1 de l’article 14 et </w:t>
      </w:r>
      <w:r w:rsidR="0088787C">
        <w:t xml:space="preserve">sur </w:t>
      </w:r>
      <w:r w:rsidR="00702A52">
        <w:t xml:space="preserve">les </w:t>
      </w:r>
      <w:r w:rsidR="00982ED2">
        <w:t xml:space="preserve">articles 19, 21 et 22, </w:t>
      </w:r>
      <w:r w:rsidR="00973228">
        <w:t xml:space="preserve">de même </w:t>
      </w:r>
      <w:r w:rsidR="00982ED2">
        <w:t>qu</w:t>
      </w:r>
      <w:r w:rsidR="00FF5570">
        <w:t>e</w:t>
      </w:r>
      <w:r w:rsidR="00982ED2">
        <w:t xml:space="preserve"> ses </w:t>
      </w:r>
      <w:r w:rsidR="0070431F">
        <w:t xml:space="preserve">déclarations interprétatives </w:t>
      </w:r>
      <w:r w:rsidR="00702A52">
        <w:t>d</w:t>
      </w:r>
      <w:r w:rsidR="008B6AB7" w:rsidRPr="00407A04">
        <w:t>u paragraphe</w:t>
      </w:r>
      <w:r w:rsidR="005D66FE">
        <w:t xml:space="preserve"> </w:t>
      </w:r>
      <w:r w:rsidR="008B6AB7" w:rsidRPr="00407A04">
        <w:t>1 de l</w:t>
      </w:r>
      <w:r w:rsidR="008B6AB7">
        <w:t>’</w:t>
      </w:r>
      <w:r w:rsidR="008B6AB7" w:rsidRPr="00407A04">
        <w:t>article</w:t>
      </w:r>
      <w:r w:rsidR="005D66FE">
        <w:t xml:space="preserve"> </w:t>
      </w:r>
      <w:r w:rsidR="00982ED2">
        <w:t xml:space="preserve">20 et </w:t>
      </w:r>
      <w:r w:rsidR="00702A52">
        <w:t>d</w:t>
      </w:r>
      <w:r w:rsidR="00982ED2">
        <w:t xml:space="preserve">u paragraphe 2 de l’article 23 </w:t>
      </w:r>
      <w:r w:rsidR="0088787C">
        <w:t xml:space="preserve">du Pacte </w:t>
      </w:r>
      <w:r w:rsidR="008B25B5">
        <w:t>(art. 2).</w:t>
      </w:r>
    </w:p>
    <w:p w:rsidR="00EF5970" w:rsidRDefault="00EF5970" w:rsidP="00EF53B9">
      <w:pPr>
        <w:pStyle w:val="SingleTxtG"/>
        <w:ind w:firstLine="567"/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>État partie devrait envisager de retirer</w:t>
      </w:r>
      <w:r w:rsidR="00212111">
        <w:rPr>
          <w:b/>
        </w:rPr>
        <w:t xml:space="preserve"> </w:t>
      </w:r>
      <w:r w:rsidRPr="00407A04">
        <w:rPr>
          <w:b/>
        </w:rPr>
        <w:t xml:space="preserve">ses réserves </w:t>
      </w:r>
      <w:r w:rsidR="00FF5570">
        <w:rPr>
          <w:b/>
        </w:rPr>
        <w:t>et ses déclarations interprétatives</w:t>
      </w:r>
      <w:r w:rsidRPr="00407A04">
        <w:rPr>
          <w:b/>
        </w:rPr>
        <w:t xml:space="preserve"> </w:t>
      </w:r>
      <w:r w:rsidR="0091501F">
        <w:rPr>
          <w:b/>
        </w:rPr>
        <w:t>à l’égard</w:t>
      </w:r>
      <w:r w:rsidR="00083F85">
        <w:rPr>
          <w:b/>
        </w:rPr>
        <w:t xml:space="preserve"> des</w:t>
      </w:r>
      <w:r w:rsidR="00F95666">
        <w:rPr>
          <w:b/>
        </w:rPr>
        <w:t xml:space="preserve"> dispositions </w:t>
      </w:r>
      <w:r w:rsidRPr="00407A04">
        <w:rPr>
          <w:b/>
        </w:rPr>
        <w:t>du Pacte.</w:t>
      </w:r>
    </w:p>
    <w:p w:rsidR="008B6AB7" w:rsidRDefault="00DE2337" w:rsidP="00DE2337">
      <w:pPr>
        <w:pStyle w:val="SingleTxtG"/>
      </w:pPr>
      <w:r w:rsidRPr="00AE3BCC">
        <w:t xml:space="preserve">8. </w:t>
      </w:r>
      <w:r w:rsidRPr="00AE3BCC">
        <w:tab/>
      </w:r>
      <w:r w:rsidR="005F4273" w:rsidRPr="00AE3BCC">
        <w:t>Malgré les informations fournies par l’</w:t>
      </w:r>
      <w:r w:rsidR="00151845" w:rsidRPr="00AE3BCC">
        <w:t>É</w:t>
      </w:r>
      <w:r w:rsidR="005F4273" w:rsidRPr="00AE3BCC">
        <w:t xml:space="preserve">tat partie sur la coordination de ses différentes structures </w:t>
      </w:r>
      <w:r w:rsidR="00F27781">
        <w:t>dans le domaine</w:t>
      </w:r>
      <w:r w:rsidR="005F4273" w:rsidRPr="00AE3BCC">
        <w:t xml:space="preserve"> des droits de l’homme et sur </w:t>
      </w:r>
      <w:r w:rsidR="00E51F8D" w:rsidRPr="00AE3BCC">
        <w:t xml:space="preserve">les raisons </w:t>
      </w:r>
      <w:r w:rsidR="00F27781">
        <w:t>de</w:t>
      </w:r>
      <w:r w:rsidR="00E51F8D" w:rsidRPr="00AE3BCC">
        <w:t xml:space="preserve"> </w:t>
      </w:r>
      <w:r w:rsidR="005F4273" w:rsidRPr="00AE3BCC">
        <w:t xml:space="preserve">l’absence d’une institution nationale des droits de l’homme, </w:t>
      </w:r>
      <w:r w:rsidR="008B25B5" w:rsidRPr="00AE3BCC">
        <w:t xml:space="preserve">le Comité </w:t>
      </w:r>
      <w:r w:rsidR="00681B65" w:rsidRPr="00AE3BCC">
        <w:t xml:space="preserve">regrette </w:t>
      </w:r>
      <w:r w:rsidR="008B25B5" w:rsidRPr="00AE3BCC">
        <w:t xml:space="preserve">que </w:t>
      </w:r>
      <w:r w:rsidR="005F4273" w:rsidRPr="00AE3BCC">
        <w:t>l’</w:t>
      </w:r>
      <w:r w:rsidR="00151845" w:rsidRPr="00AE3BCC">
        <w:t>É</w:t>
      </w:r>
      <w:r w:rsidR="005F4273" w:rsidRPr="00AE3BCC">
        <w:t>tat partie n’a</w:t>
      </w:r>
      <w:r w:rsidR="00681B65" w:rsidRPr="00AE3BCC">
        <w:t>it</w:t>
      </w:r>
      <w:r w:rsidR="005F4273" w:rsidRPr="00AE3BCC">
        <w:t xml:space="preserve"> pas créé une institution nationale des droits de l’homme</w:t>
      </w:r>
      <w:r w:rsidR="00AE3BCC">
        <w:t>. Le Comité craint</w:t>
      </w:r>
      <w:r w:rsidR="00B30EAE">
        <w:t>,</w:t>
      </w:r>
      <w:r w:rsidR="00AE3BCC">
        <w:t xml:space="preserve"> en outre</w:t>
      </w:r>
      <w:r w:rsidR="00B30EAE">
        <w:t>,</w:t>
      </w:r>
      <w:r w:rsidR="00AE3BCC">
        <w:t xml:space="preserve"> </w:t>
      </w:r>
      <w:r w:rsidR="005F4273" w:rsidRPr="00AE3BCC">
        <w:t xml:space="preserve">que </w:t>
      </w:r>
      <w:r w:rsidR="008B25B5" w:rsidRPr="00AE3BCC">
        <w:t>la multiplication d</w:t>
      </w:r>
      <w:r w:rsidR="00813260">
        <w:t xml:space="preserve">es </w:t>
      </w:r>
      <w:r w:rsidR="008B25B5" w:rsidRPr="00AE3BCC">
        <w:t xml:space="preserve">organes de droits catégoriels </w:t>
      </w:r>
      <w:r w:rsidR="00AE3BCC">
        <w:t xml:space="preserve">ne </w:t>
      </w:r>
      <w:r w:rsidR="00681B65" w:rsidRPr="00AE3BCC">
        <w:t>soit</w:t>
      </w:r>
      <w:r w:rsidR="00FF5570" w:rsidRPr="00AE3BCC">
        <w:t xml:space="preserve"> susceptible </w:t>
      </w:r>
      <w:r w:rsidR="00ED499D">
        <w:t xml:space="preserve">de </w:t>
      </w:r>
      <w:r w:rsidR="00813260">
        <w:t>faire</w:t>
      </w:r>
      <w:r w:rsidR="00AE3BCC">
        <w:t xml:space="preserve"> </w:t>
      </w:r>
      <w:r w:rsidR="0019588D" w:rsidRPr="00AE3BCC">
        <w:t>obstacle</w:t>
      </w:r>
      <w:r w:rsidR="00FF5570" w:rsidRPr="00AE3BCC">
        <w:t xml:space="preserve"> à </w:t>
      </w:r>
      <w:r w:rsidR="008B25B5" w:rsidRPr="00AE3BCC">
        <w:t xml:space="preserve">une </w:t>
      </w:r>
      <w:r w:rsidR="00ED499D" w:rsidRPr="00AE3BCC">
        <w:t xml:space="preserve">mise en œuvre </w:t>
      </w:r>
      <w:r w:rsidR="008B25B5" w:rsidRPr="00AE3BCC">
        <w:t xml:space="preserve">plus </w:t>
      </w:r>
      <w:r w:rsidR="00FF5570" w:rsidRPr="00AE3BCC">
        <w:t>efficac</w:t>
      </w:r>
      <w:r w:rsidR="00ED499D">
        <w:t>e</w:t>
      </w:r>
      <w:r w:rsidR="008B25B5" w:rsidRPr="00AE3BCC">
        <w:t xml:space="preserve"> </w:t>
      </w:r>
      <w:r w:rsidR="00B30EAE">
        <w:t xml:space="preserve">de la </w:t>
      </w:r>
      <w:r w:rsidR="00ED499D" w:rsidRPr="00AE3BCC">
        <w:t>par</w:t>
      </w:r>
      <w:r w:rsidR="00B30EAE">
        <w:t>t de</w:t>
      </w:r>
      <w:r w:rsidR="00ED499D" w:rsidRPr="00AE3BCC">
        <w:t xml:space="preserve"> l’État partie </w:t>
      </w:r>
      <w:r w:rsidR="00A0020A" w:rsidRPr="00AE3BCC">
        <w:t>de</w:t>
      </w:r>
      <w:r w:rsidR="00ED499D">
        <w:t xml:space="preserve"> se</w:t>
      </w:r>
      <w:r w:rsidR="00A0020A" w:rsidRPr="00AE3BCC">
        <w:t xml:space="preserve">s obligations </w:t>
      </w:r>
      <w:r w:rsidR="00A2004E">
        <w:t>en vertu</w:t>
      </w:r>
      <w:r w:rsidR="00ED499D">
        <w:t xml:space="preserve"> d</w:t>
      </w:r>
      <w:r w:rsidR="00681B65" w:rsidRPr="00AE3BCC">
        <w:t>u</w:t>
      </w:r>
      <w:r w:rsidR="008B25B5" w:rsidRPr="00AE3BCC">
        <w:t xml:space="preserve"> Pacte </w:t>
      </w:r>
      <w:r w:rsidR="00ED499D">
        <w:t>et</w:t>
      </w:r>
      <w:r w:rsidR="00ED499D" w:rsidRPr="00AE3BCC">
        <w:t xml:space="preserve"> </w:t>
      </w:r>
      <w:r w:rsidR="002B7D22" w:rsidRPr="00AE3BCC">
        <w:t xml:space="preserve">à </w:t>
      </w:r>
      <w:r w:rsidR="008B25B5" w:rsidRPr="00AE3BCC">
        <w:t xml:space="preserve">une meilleure lisibilité de sa politique globale en matière de droits de l’homme </w:t>
      </w:r>
      <w:r w:rsidR="008B6AB7" w:rsidRPr="00AE3BCC">
        <w:t>(art. 2).</w:t>
      </w:r>
    </w:p>
    <w:p w:rsidR="008D6652" w:rsidRPr="00EF53B9" w:rsidRDefault="008D6652" w:rsidP="00EF53B9">
      <w:pPr>
        <w:pStyle w:val="SingleTxtG"/>
        <w:ind w:firstLine="567"/>
        <w:rPr>
          <w:b/>
        </w:rPr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 xml:space="preserve">État partie devrait envisager </w:t>
      </w:r>
      <w:r>
        <w:rPr>
          <w:b/>
        </w:rPr>
        <w:t xml:space="preserve">la création d’une institution nationale des droits de l’homme en conformité avec les </w:t>
      </w:r>
      <w:r w:rsidRPr="00EF53B9">
        <w:rPr>
          <w:b/>
        </w:rPr>
        <w:t xml:space="preserve">Principes de Paris (résolution 48/134 de l’Assemblée générale). </w:t>
      </w:r>
    </w:p>
    <w:p w:rsidR="008D6652" w:rsidRDefault="00DE2337" w:rsidP="00DE2337">
      <w:pPr>
        <w:pStyle w:val="SingleTxtG"/>
      </w:pPr>
      <w:r>
        <w:t xml:space="preserve">9. </w:t>
      </w:r>
      <w:r>
        <w:tab/>
      </w:r>
      <w:r w:rsidR="008D6652">
        <w:t xml:space="preserve">Le Comité </w:t>
      </w:r>
      <w:r w:rsidR="00B30EAE">
        <w:t>note avec</w:t>
      </w:r>
      <w:r w:rsidR="00E81517">
        <w:t xml:space="preserve"> </w:t>
      </w:r>
      <w:r w:rsidR="008D6652">
        <w:t>préoccup</w:t>
      </w:r>
      <w:r w:rsidR="00B30EAE">
        <w:t xml:space="preserve">ation </w:t>
      </w:r>
      <w:r w:rsidR="006B2191">
        <w:t>que</w:t>
      </w:r>
      <w:r w:rsidR="00E81517">
        <w:t xml:space="preserve"> </w:t>
      </w:r>
      <w:r w:rsidR="008D6652">
        <w:t xml:space="preserve">la violence domestique </w:t>
      </w:r>
      <w:r w:rsidR="00682179">
        <w:t>persiste dans l’État partie</w:t>
      </w:r>
      <w:r w:rsidR="00AB3B78">
        <w:t>, et</w:t>
      </w:r>
      <w:r w:rsidR="00682179">
        <w:t xml:space="preserve"> </w:t>
      </w:r>
      <w:r w:rsidR="00AB3B78">
        <w:t xml:space="preserve">que l’État partie </w:t>
      </w:r>
      <w:r w:rsidR="00682179">
        <w:t>ne s’est toujours pas doté</w:t>
      </w:r>
      <w:r w:rsidR="00E81517">
        <w:t xml:space="preserve"> d’une législation complète </w:t>
      </w:r>
      <w:r w:rsidR="00682179">
        <w:t>pertinente</w:t>
      </w:r>
      <w:r w:rsidR="008D6652">
        <w:t>.</w:t>
      </w:r>
    </w:p>
    <w:p w:rsidR="00502F93" w:rsidRDefault="008D6652" w:rsidP="00EF53B9">
      <w:pPr>
        <w:pStyle w:val="SingleTxtG"/>
        <w:ind w:firstLine="567"/>
        <w:rPr>
          <w:b/>
        </w:rPr>
      </w:pPr>
      <w:r>
        <w:rPr>
          <w:b/>
        </w:rPr>
        <w:t>L’</w:t>
      </w:r>
      <w:r w:rsidR="00151845">
        <w:rPr>
          <w:b/>
        </w:rPr>
        <w:t>É</w:t>
      </w:r>
      <w:r>
        <w:rPr>
          <w:b/>
        </w:rPr>
        <w:t xml:space="preserve">tat partie devrait intensifier ses efforts </w:t>
      </w:r>
      <w:r w:rsidR="00502F93">
        <w:rPr>
          <w:b/>
        </w:rPr>
        <w:t>pour lutte</w:t>
      </w:r>
      <w:r w:rsidR="001D003B">
        <w:rPr>
          <w:b/>
        </w:rPr>
        <w:t>r</w:t>
      </w:r>
      <w:r w:rsidR="00502F93">
        <w:rPr>
          <w:b/>
        </w:rPr>
        <w:t xml:space="preserve"> contre la violence domestique, notamment en adoptant une législation complète contre la violence domestique, </w:t>
      </w:r>
      <w:r w:rsidR="001D003B">
        <w:rPr>
          <w:b/>
        </w:rPr>
        <w:t>tout en</w:t>
      </w:r>
      <w:r w:rsidR="00502F93">
        <w:rPr>
          <w:b/>
        </w:rPr>
        <w:t xml:space="preserve"> garantissant aux victimes </w:t>
      </w:r>
      <w:r w:rsidR="001D003B">
        <w:rPr>
          <w:b/>
        </w:rPr>
        <w:t>l’</w:t>
      </w:r>
      <w:r w:rsidR="00502F93">
        <w:rPr>
          <w:b/>
        </w:rPr>
        <w:t xml:space="preserve">accès immédiat aux moyens de recours et </w:t>
      </w:r>
      <w:r w:rsidR="00F55CBD">
        <w:rPr>
          <w:b/>
        </w:rPr>
        <w:t>de</w:t>
      </w:r>
      <w:r w:rsidR="00502F93">
        <w:rPr>
          <w:b/>
        </w:rPr>
        <w:t xml:space="preserve"> protection.</w:t>
      </w:r>
    </w:p>
    <w:p w:rsidR="004B0C9F" w:rsidRDefault="00DE2337" w:rsidP="00DE2337">
      <w:pPr>
        <w:pStyle w:val="SingleTxtG"/>
      </w:pPr>
      <w:r>
        <w:t>10.</w:t>
      </w:r>
      <w:r>
        <w:tab/>
      </w:r>
      <w:r w:rsidR="004B0C9F">
        <w:t xml:space="preserve">Le Comité </w:t>
      </w:r>
      <w:r w:rsidR="006B2191">
        <w:t xml:space="preserve">juge </w:t>
      </w:r>
      <w:r w:rsidR="004B0C9F">
        <w:t>préoccup</w:t>
      </w:r>
      <w:r w:rsidR="006B2191">
        <w:t xml:space="preserve">ant </w:t>
      </w:r>
      <w:r w:rsidR="004B0C9F">
        <w:t xml:space="preserve">que l’accès à certains droits </w:t>
      </w:r>
      <w:r w:rsidR="006B2191">
        <w:t xml:space="preserve">énoncés dans </w:t>
      </w:r>
      <w:r w:rsidR="00351CE9">
        <w:t xml:space="preserve">le Pacte </w:t>
      </w:r>
      <w:r w:rsidR="004B0C9F">
        <w:t xml:space="preserve">puisse être entravé du fait </w:t>
      </w:r>
      <w:r w:rsidR="004B0C9F" w:rsidRPr="009352CF">
        <w:t>de</w:t>
      </w:r>
      <w:r w:rsidR="006B2191" w:rsidRPr="009352CF">
        <w:t>s</w:t>
      </w:r>
      <w:r w:rsidR="004B0C9F">
        <w:t xml:space="preserve"> décisions prises par </w:t>
      </w:r>
      <w:r w:rsidR="006B2191" w:rsidRPr="009352CF">
        <w:t>les</w:t>
      </w:r>
      <w:r w:rsidR="006B2191">
        <w:t xml:space="preserve"> </w:t>
      </w:r>
      <w:r w:rsidR="004B0C9F">
        <w:t>autorités communales de Flandre</w:t>
      </w:r>
      <w:r w:rsidR="006B2191">
        <w:t xml:space="preserve"> portant, </w:t>
      </w:r>
      <w:r w:rsidR="004B0C9F">
        <w:t>notamment</w:t>
      </w:r>
      <w:r w:rsidR="006B2191">
        <w:t>,</w:t>
      </w:r>
      <w:r w:rsidR="004B0C9F">
        <w:t xml:space="preserve"> </w:t>
      </w:r>
      <w:r w:rsidR="006B2191">
        <w:t>sur</w:t>
      </w:r>
      <w:r w:rsidR="004B0C9F">
        <w:t xml:space="preserve"> l’achat de terrains communaux, </w:t>
      </w:r>
      <w:r w:rsidR="00351CE9">
        <w:t xml:space="preserve">l’accès </w:t>
      </w:r>
      <w:r w:rsidR="006B2191">
        <w:t>aux</w:t>
      </w:r>
      <w:r w:rsidR="00351CE9">
        <w:t xml:space="preserve"> services et au logement</w:t>
      </w:r>
      <w:r w:rsidR="006B2191">
        <w:t>,</w:t>
      </w:r>
      <w:r w:rsidR="00351CE9">
        <w:t xml:space="preserve"> la jouissance de certaines prestations sociales </w:t>
      </w:r>
      <w:r w:rsidR="00E03E7A">
        <w:t xml:space="preserve">ainsi que l’exercice du droit </w:t>
      </w:r>
      <w:r w:rsidR="00351CE9">
        <w:t xml:space="preserve">d’être élu, </w:t>
      </w:r>
      <w:r w:rsidR="00F47155">
        <w:t>et</w:t>
      </w:r>
      <w:r w:rsidR="00380459">
        <w:t xml:space="preserve"> </w:t>
      </w:r>
      <w:r w:rsidR="004B0C9F">
        <w:t>exige</w:t>
      </w:r>
      <w:r w:rsidR="00F47155">
        <w:t>a</w:t>
      </w:r>
      <w:r w:rsidR="004B0C9F">
        <w:t>nt la connaissance ou l’apprentissage du néerlandais</w:t>
      </w:r>
      <w:r w:rsidR="00F47155">
        <w:t>, ce qui</w:t>
      </w:r>
      <w:r w:rsidR="004B0C9F">
        <w:t xml:space="preserve"> cré</w:t>
      </w:r>
      <w:r w:rsidR="00F47155">
        <w:t xml:space="preserve">e </w:t>
      </w:r>
      <w:r w:rsidR="004B0C9F">
        <w:t>une discrimination à l’égard d’</w:t>
      </w:r>
      <w:r w:rsidR="003D1754">
        <w:t>autres</w:t>
      </w:r>
      <w:r w:rsidR="004B0C9F">
        <w:t xml:space="preserve"> catégorie</w:t>
      </w:r>
      <w:r w:rsidR="003D1754">
        <w:t>s</w:t>
      </w:r>
      <w:r w:rsidR="004B0C9F">
        <w:t xml:space="preserve"> de la population (art. 2</w:t>
      </w:r>
      <w:r w:rsidR="00351CE9">
        <w:t>, 17, 25</w:t>
      </w:r>
      <w:r w:rsidR="000958AB">
        <w:t xml:space="preserve"> et</w:t>
      </w:r>
      <w:r w:rsidR="00351CE9">
        <w:t xml:space="preserve"> 26</w:t>
      </w:r>
      <w:r w:rsidR="004B0C9F">
        <w:t>).</w:t>
      </w:r>
    </w:p>
    <w:p w:rsidR="00EF5970" w:rsidRPr="00EF5970" w:rsidRDefault="004B0C9F" w:rsidP="00E03E7A">
      <w:pPr>
        <w:pStyle w:val="SingleTxtG"/>
        <w:ind w:firstLine="567"/>
        <w:rPr>
          <w:b/>
        </w:rPr>
      </w:pPr>
      <w:r w:rsidRPr="00980311">
        <w:rPr>
          <w:b/>
        </w:rPr>
        <w:t>L’</w:t>
      </w:r>
      <w:r w:rsidR="00151845" w:rsidRPr="00980311">
        <w:rPr>
          <w:b/>
        </w:rPr>
        <w:t>É</w:t>
      </w:r>
      <w:r w:rsidRPr="00980311">
        <w:rPr>
          <w:b/>
        </w:rPr>
        <w:t xml:space="preserve">tat partie devrait veiller, conformément </w:t>
      </w:r>
      <w:r w:rsidR="0019588D" w:rsidRPr="00980311">
        <w:rPr>
          <w:b/>
        </w:rPr>
        <w:t xml:space="preserve">à l’article 50 du Pacte, </w:t>
      </w:r>
      <w:r w:rsidR="00351CE9" w:rsidRPr="00980311">
        <w:rPr>
          <w:b/>
        </w:rPr>
        <w:t xml:space="preserve">à ce que les </w:t>
      </w:r>
      <w:r w:rsidRPr="00980311">
        <w:rPr>
          <w:b/>
        </w:rPr>
        <w:t xml:space="preserve">décisions prises par </w:t>
      </w:r>
      <w:r w:rsidR="00980311">
        <w:rPr>
          <w:b/>
        </w:rPr>
        <w:t>l</w:t>
      </w:r>
      <w:r w:rsidRPr="00980311">
        <w:rPr>
          <w:b/>
        </w:rPr>
        <w:t xml:space="preserve">es autorités communales </w:t>
      </w:r>
      <w:r w:rsidR="009352CF">
        <w:rPr>
          <w:b/>
        </w:rPr>
        <w:t>portant sur</w:t>
      </w:r>
      <w:r w:rsidR="009352CF" w:rsidRPr="00980311">
        <w:rPr>
          <w:b/>
        </w:rPr>
        <w:t xml:space="preserve"> </w:t>
      </w:r>
      <w:r w:rsidRPr="00980311">
        <w:rPr>
          <w:b/>
        </w:rPr>
        <w:t xml:space="preserve">l’exigence linguistique </w:t>
      </w:r>
      <w:r w:rsidR="0066464B" w:rsidRPr="00DC587C">
        <w:rPr>
          <w:b/>
        </w:rPr>
        <w:t xml:space="preserve">ne </w:t>
      </w:r>
      <w:r w:rsidR="00980311" w:rsidRPr="00DC587C">
        <w:rPr>
          <w:b/>
        </w:rPr>
        <w:t xml:space="preserve">conduisent </w:t>
      </w:r>
      <w:r w:rsidR="009352CF">
        <w:rPr>
          <w:b/>
        </w:rPr>
        <w:t>à aucune</w:t>
      </w:r>
      <w:r w:rsidR="00351CE9" w:rsidRPr="00980311">
        <w:rPr>
          <w:b/>
        </w:rPr>
        <w:t xml:space="preserve"> discrimination dans l’exercice des droits énoncés par le Pacte </w:t>
      </w:r>
      <w:r w:rsidRPr="00980311">
        <w:rPr>
          <w:b/>
        </w:rPr>
        <w:t xml:space="preserve">à l’égard </w:t>
      </w:r>
      <w:r w:rsidR="009352CF">
        <w:rPr>
          <w:b/>
        </w:rPr>
        <w:t>de certaines</w:t>
      </w:r>
      <w:r w:rsidR="009352CF" w:rsidRPr="00980311">
        <w:rPr>
          <w:b/>
        </w:rPr>
        <w:t xml:space="preserve"> </w:t>
      </w:r>
      <w:r w:rsidR="003D1754" w:rsidRPr="00980311">
        <w:rPr>
          <w:b/>
        </w:rPr>
        <w:t>catégories</w:t>
      </w:r>
      <w:r w:rsidRPr="00980311">
        <w:rPr>
          <w:b/>
        </w:rPr>
        <w:t xml:space="preserve"> de la population</w:t>
      </w:r>
      <w:r w:rsidR="00E03E7A" w:rsidRPr="00980311">
        <w:rPr>
          <w:b/>
        </w:rPr>
        <w:t xml:space="preserve">. </w:t>
      </w:r>
      <w:r w:rsidRPr="00980311">
        <w:rPr>
          <w:b/>
        </w:rPr>
        <w:t xml:space="preserve">Il devrait également favoriser la connaissance </w:t>
      </w:r>
      <w:r w:rsidR="00E91922" w:rsidRPr="00980311">
        <w:rPr>
          <w:b/>
        </w:rPr>
        <w:t xml:space="preserve">et l’exercice </w:t>
      </w:r>
      <w:r w:rsidRPr="00980311">
        <w:rPr>
          <w:b/>
        </w:rPr>
        <w:t xml:space="preserve">du droit de recours contre de telles </w:t>
      </w:r>
      <w:r w:rsidR="00E91922" w:rsidRPr="00980311">
        <w:rPr>
          <w:b/>
        </w:rPr>
        <w:t xml:space="preserve">décisions </w:t>
      </w:r>
      <w:r w:rsidRPr="00980311">
        <w:rPr>
          <w:b/>
        </w:rPr>
        <w:t>auprès de</w:t>
      </w:r>
      <w:r w:rsidR="009352CF">
        <w:rPr>
          <w:b/>
        </w:rPr>
        <w:t>s</w:t>
      </w:r>
      <w:r w:rsidRPr="00980311">
        <w:rPr>
          <w:b/>
        </w:rPr>
        <w:t xml:space="preserve"> </w:t>
      </w:r>
      <w:r w:rsidR="009352CF">
        <w:rPr>
          <w:b/>
        </w:rPr>
        <w:t>catégories</w:t>
      </w:r>
      <w:r w:rsidRPr="00980311">
        <w:rPr>
          <w:b/>
        </w:rPr>
        <w:t xml:space="preserve"> concernée</w:t>
      </w:r>
      <w:r w:rsidR="009352CF">
        <w:rPr>
          <w:b/>
        </w:rPr>
        <w:t>s</w:t>
      </w:r>
      <w:r w:rsidRPr="00980311">
        <w:rPr>
          <w:b/>
        </w:rPr>
        <w:t>.</w:t>
      </w:r>
    </w:p>
    <w:p w:rsidR="008F13D0" w:rsidRDefault="00DE2337" w:rsidP="00DE2337">
      <w:pPr>
        <w:pStyle w:val="SingleTxtG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="007B621E">
        <w:rPr>
          <w:bCs/>
        </w:rPr>
        <w:t>Le</w:t>
      </w:r>
      <w:r w:rsidR="00610159">
        <w:rPr>
          <w:bCs/>
        </w:rPr>
        <w:t xml:space="preserve"> Comité est préoccupé par le fait que la discrimination à l’égard des personnes handicapées persiste dans l’</w:t>
      </w:r>
      <w:r w:rsidR="00151845">
        <w:rPr>
          <w:bCs/>
        </w:rPr>
        <w:t>É</w:t>
      </w:r>
      <w:r w:rsidR="00610159">
        <w:rPr>
          <w:bCs/>
        </w:rPr>
        <w:t>tat partie</w:t>
      </w:r>
      <w:r w:rsidR="007B621E">
        <w:rPr>
          <w:bCs/>
        </w:rPr>
        <w:t xml:space="preserve"> </w:t>
      </w:r>
      <w:r w:rsidR="00F41BC7">
        <w:rPr>
          <w:bCs/>
        </w:rPr>
        <w:t xml:space="preserve">et </w:t>
      </w:r>
      <w:r w:rsidR="007B621E">
        <w:rPr>
          <w:bCs/>
        </w:rPr>
        <w:t>entrav</w:t>
      </w:r>
      <w:r w:rsidR="00F41BC7">
        <w:rPr>
          <w:bCs/>
        </w:rPr>
        <w:t>e</w:t>
      </w:r>
      <w:r w:rsidR="007B621E">
        <w:rPr>
          <w:bCs/>
        </w:rPr>
        <w:t xml:space="preserve"> </w:t>
      </w:r>
      <w:r w:rsidR="000578DC">
        <w:rPr>
          <w:bCs/>
        </w:rPr>
        <w:t>une</w:t>
      </w:r>
      <w:r w:rsidR="00F41BC7">
        <w:rPr>
          <w:bCs/>
        </w:rPr>
        <w:t xml:space="preserve"> </w:t>
      </w:r>
      <w:r w:rsidR="007B621E">
        <w:rPr>
          <w:bCs/>
        </w:rPr>
        <w:t>pleine insertion politique et socioéconomique</w:t>
      </w:r>
      <w:r w:rsidR="00F41BC7">
        <w:rPr>
          <w:bCs/>
        </w:rPr>
        <w:t xml:space="preserve"> de ces personnes</w:t>
      </w:r>
      <w:r w:rsidR="00F93BEB">
        <w:rPr>
          <w:bCs/>
        </w:rPr>
        <w:t xml:space="preserve"> </w:t>
      </w:r>
      <w:r w:rsidR="00217124">
        <w:rPr>
          <w:bCs/>
        </w:rPr>
        <w:t>(</w:t>
      </w:r>
      <w:r w:rsidR="00610159">
        <w:rPr>
          <w:bCs/>
        </w:rPr>
        <w:t>art. 2)</w:t>
      </w:r>
      <w:r w:rsidR="005E346F">
        <w:rPr>
          <w:bCs/>
        </w:rPr>
        <w:t>.</w:t>
      </w:r>
    </w:p>
    <w:p w:rsidR="00EF5970" w:rsidRDefault="00EF5970" w:rsidP="00EF53B9">
      <w:pPr>
        <w:pStyle w:val="SingleTxtG"/>
        <w:ind w:firstLine="567"/>
        <w:rPr>
          <w:bCs/>
        </w:rPr>
      </w:pPr>
      <w:r w:rsidRPr="00610159">
        <w:rPr>
          <w:b/>
        </w:rPr>
        <w:t>L’</w:t>
      </w:r>
      <w:r w:rsidR="00151845">
        <w:rPr>
          <w:b/>
        </w:rPr>
        <w:t>É</w:t>
      </w:r>
      <w:r w:rsidRPr="00610159">
        <w:rPr>
          <w:b/>
        </w:rPr>
        <w:t xml:space="preserve">tat partie devrait </w:t>
      </w:r>
      <w:r w:rsidR="00F93BEB">
        <w:rPr>
          <w:b/>
        </w:rPr>
        <w:t>intensifier</w:t>
      </w:r>
      <w:r w:rsidR="00F93BEB" w:rsidRPr="00610159">
        <w:rPr>
          <w:b/>
        </w:rPr>
        <w:t xml:space="preserve"> </w:t>
      </w:r>
      <w:r w:rsidRPr="00610159">
        <w:rPr>
          <w:b/>
        </w:rPr>
        <w:t xml:space="preserve">ses efforts </w:t>
      </w:r>
      <w:r w:rsidR="00A05EBD">
        <w:rPr>
          <w:b/>
        </w:rPr>
        <w:t>pour</w:t>
      </w:r>
      <w:r w:rsidRPr="00610159">
        <w:rPr>
          <w:b/>
        </w:rPr>
        <w:t xml:space="preserve"> lutter contre la discrimination</w:t>
      </w:r>
      <w:r w:rsidR="00900DB1">
        <w:rPr>
          <w:b/>
        </w:rPr>
        <w:t>,</w:t>
      </w:r>
      <w:r w:rsidRPr="00610159">
        <w:rPr>
          <w:b/>
        </w:rPr>
        <w:t xml:space="preserve"> </w:t>
      </w:r>
      <w:r w:rsidR="00A718A4">
        <w:rPr>
          <w:b/>
        </w:rPr>
        <w:t xml:space="preserve">améliorer </w:t>
      </w:r>
      <w:r w:rsidRPr="00610159">
        <w:rPr>
          <w:b/>
        </w:rPr>
        <w:t>l’intégration des personnes handicapées dans l</w:t>
      </w:r>
      <w:r w:rsidR="008D1DAF">
        <w:rPr>
          <w:b/>
        </w:rPr>
        <w:t>es</w:t>
      </w:r>
      <w:r w:rsidRPr="00610159">
        <w:rPr>
          <w:b/>
        </w:rPr>
        <w:t xml:space="preserve"> </w:t>
      </w:r>
      <w:r w:rsidR="008D1DAF">
        <w:rPr>
          <w:b/>
        </w:rPr>
        <w:t>sphères</w:t>
      </w:r>
      <w:r w:rsidR="00A2004E">
        <w:rPr>
          <w:b/>
        </w:rPr>
        <w:t xml:space="preserve"> </w:t>
      </w:r>
      <w:r w:rsidR="00217124">
        <w:rPr>
          <w:b/>
        </w:rPr>
        <w:t xml:space="preserve">politique et </w:t>
      </w:r>
      <w:r w:rsidRPr="00610159">
        <w:rPr>
          <w:b/>
        </w:rPr>
        <w:t>soci</w:t>
      </w:r>
      <w:r w:rsidR="00217124">
        <w:rPr>
          <w:b/>
        </w:rPr>
        <w:t>oéconomique</w:t>
      </w:r>
      <w:r w:rsidR="003D1754">
        <w:rPr>
          <w:b/>
        </w:rPr>
        <w:t xml:space="preserve"> </w:t>
      </w:r>
      <w:r w:rsidR="00900DB1">
        <w:rPr>
          <w:b/>
        </w:rPr>
        <w:t>et</w:t>
      </w:r>
      <w:r w:rsidRPr="00610159">
        <w:rPr>
          <w:b/>
        </w:rPr>
        <w:t xml:space="preserve"> </w:t>
      </w:r>
      <w:r w:rsidR="008D1DAF">
        <w:rPr>
          <w:b/>
        </w:rPr>
        <w:t>pren</w:t>
      </w:r>
      <w:r w:rsidR="00900DB1">
        <w:rPr>
          <w:b/>
        </w:rPr>
        <w:t xml:space="preserve">dre </w:t>
      </w:r>
      <w:r w:rsidRPr="00610159">
        <w:rPr>
          <w:b/>
        </w:rPr>
        <w:t xml:space="preserve">des mesures </w:t>
      </w:r>
      <w:r w:rsidR="005F4273">
        <w:rPr>
          <w:b/>
        </w:rPr>
        <w:t>facilit</w:t>
      </w:r>
      <w:r w:rsidR="00900DB1">
        <w:rPr>
          <w:b/>
        </w:rPr>
        <w:t>a</w:t>
      </w:r>
      <w:r w:rsidR="005F4273">
        <w:rPr>
          <w:b/>
        </w:rPr>
        <w:t>nt l’accès des personnes handicapées au marché de l’emploi</w:t>
      </w:r>
      <w:r w:rsidRPr="00610159">
        <w:rPr>
          <w:b/>
        </w:rPr>
        <w:t>.</w:t>
      </w:r>
    </w:p>
    <w:p w:rsidR="006C7D3A" w:rsidRDefault="00DE2337" w:rsidP="00DE2337">
      <w:pPr>
        <w:pStyle w:val="SingleTxtG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="00A718A4">
        <w:rPr>
          <w:bCs/>
        </w:rPr>
        <w:t xml:space="preserve">Malgré les différentes mesures </w:t>
      </w:r>
      <w:r w:rsidR="006C7D3A">
        <w:rPr>
          <w:bCs/>
        </w:rPr>
        <w:t>prises par l’</w:t>
      </w:r>
      <w:r w:rsidR="00151845">
        <w:rPr>
          <w:bCs/>
        </w:rPr>
        <w:t>É</w:t>
      </w:r>
      <w:r w:rsidR="006C7D3A">
        <w:rPr>
          <w:bCs/>
        </w:rPr>
        <w:t xml:space="preserve">tat partie </w:t>
      </w:r>
      <w:r w:rsidR="00A05EBD">
        <w:rPr>
          <w:bCs/>
        </w:rPr>
        <w:t xml:space="preserve">en vue de </w:t>
      </w:r>
      <w:r w:rsidR="006C7D3A">
        <w:rPr>
          <w:bCs/>
        </w:rPr>
        <w:t>promouvoir l’égalité entre les hommes et les femmes</w:t>
      </w:r>
      <w:r w:rsidR="007A4B55">
        <w:rPr>
          <w:bCs/>
        </w:rPr>
        <w:t>,</w:t>
      </w:r>
      <w:r w:rsidR="00A718A4">
        <w:rPr>
          <w:bCs/>
        </w:rPr>
        <w:t xml:space="preserve"> </w:t>
      </w:r>
      <w:r w:rsidR="006C7D3A">
        <w:rPr>
          <w:bCs/>
        </w:rPr>
        <w:t xml:space="preserve">le Comité </w:t>
      </w:r>
      <w:r w:rsidR="0005533C">
        <w:rPr>
          <w:bCs/>
        </w:rPr>
        <w:t xml:space="preserve">note avec </w:t>
      </w:r>
      <w:r w:rsidR="00550E12">
        <w:rPr>
          <w:bCs/>
        </w:rPr>
        <w:t>préoccup</w:t>
      </w:r>
      <w:r w:rsidR="0005533C">
        <w:rPr>
          <w:bCs/>
        </w:rPr>
        <w:t xml:space="preserve">ation </w:t>
      </w:r>
      <w:r w:rsidR="00550E12">
        <w:rPr>
          <w:bCs/>
        </w:rPr>
        <w:t xml:space="preserve">que </w:t>
      </w:r>
      <w:r w:rsidR="00583ED1">
        <w:rPr>
          <w:bCs/>
        </w:rPr>
        <w:t>la</w:t>
      </w:r>
      <w:r w:rsidR="00550E12">
        <w:rPr>
          <w:bCs/>
        </w:rPr>
        <w:t xml:space="preserve"> discrimination à l’</w:t>
      </w:r>
      <w:r w:rsidR="006C7D3A">
        <w:rPr>
          <w:bCs/>
        </w:rPr>
        <w:t xml:space="preserve">égard des femmes reste </w:t>
      </w:r>
      <w:r w:rsidR="00583ED1">
        <w:rPr>
          <w:bCs/>
        </w:rPr>
        <w:t xml:space="preserve">forte </w:t>
      </w:r>
      <w:r w:rsidR="007B621E">
        <w:rPr>
          <w:bCs/>
        </w:rPr>
        <w:t>et que l’inégalité de traitement persiste d</w:t>
      </w:r>
      <w:r w:rsidR="006C7D3A">
        <w:rPr>
          <w:bCs/>
        </w:rPr>
        <w:t>ans l</w:t>
      </w:r>
      <w:r w:rsidR="009D7AF4">
        <w:rPr>
          <w:bCs/>
        </w:rPr>
        <w:t>a sphèr</w:t>
      </w:r>
      <w:r w:rsidR="006C7D3A">
        <w:rPr>
          <w:bCs/>
        </w:rPr>
        <w:t xml:space="preserve">e socioéconomique, la vie sociale, les parcours d’emploi et l’accès </w:t>
      </w:r>
      <w:r w:rsidR="00A05EBD">
        <w:rPr>
          <w:bCs/>
        </w:rPr>
        <w:t>à la prise</w:t>
      </w:r>
      <w:r w:rsidR="006C7D3A">
        <w:rPr>
          <w:bCs/>
        </w:rPr>
        <w:t xml:space="preserve"> de décision</w:t>
      </w:r>
      <w:r w:rsidR="00A05EBD">
        <w:rPr>
          <w:bCs/>
        </w:rPr>
        <w:t>,</w:t>
      </w:r>
      <w:r w:rsidR="009D7AF4">
        <w:rPr>
          <w:bCs/>
        </w:rPr>
        <w:t xml:space="preserve"> </w:t>
      </w:r>
      <w:r w:rsidR="00583ED1">
        <w:rPr>
          <w:bCs/>
        </w:rPr>
        <w:t>tout comme</w:t>
      </w:r>
      <w:r w:rsidR="00A05EBD">
        <w:rPr>
          <w:bCs/>
        </w:rPr>
        <w:t xml:space="preserve"> </w:t>
      </w:r>
      <w:r w:rsidR="00CF5681">
        <w:rPr>
          <w:bCs/>
        </w:rPr>
        <w:t>pour</w:t>
      </w:r>
      <w:r w:rsidR="009D7AF4">
        <w:rPr>
          <w:bCs/>
        </w:rPr>
        <w:t xml:space="preserve"> </w:t>
      </w:r>
      <w:r w:rsidR="006C7D3A">
        <w:rPr>
          <w:bCs/>
        </w:rPr>
        <w:t>la promotion à certains postes (art. 3)</w:t>
      </w:r>
      <w:r w:rsidR="007B621E">
        <w:rPr>
          <w:bCs/>
        </w:rPr>
        <w:t>.</w:t>
      </w:r>
    </w:p>
    <w:p w:rsidR="00502F93" w:rsidRDefault="00502F93" w:rsidP="00EF53B9">
      <w:pPr>
        <w:pStyle w:val="SingleTxtG"/>
        <w:ind w:firstLine="567"/>
        <w:rPr>
          <w:bCs/>
        </w:rPr>
      </w:pPr>
      <w:r w:rsidRPr="003E2574">
        <w:rPr>
          <w:b/>
        </w:rPr>
        <w:t>L’</w:t>
      </w:r>
      <w:r w:rsidR="00151845" w:rsidRPr="003E2574">
        <w:rPr>
          <w:b/>
        </w:rPr>
        <w:t>É</w:t>
      </w:r>
      <w:r w:rsidRPr="003E2574">
        <w:rPr>
          <w:b/>
        </w:rPr>
        <w:t xml:space="preserve">tat partie devrait veiller à </w:t>
      </w:r>
      <w:r w:rsidR="00D80796">
        <w:rPr>
          <w:b/>
        </w:rPr>
        <w:t>appliquer toutes l</w:t>
      </w:r>
      <w:r w:rsidRPr="003E2574">
        <w:rPr>
          <w:b/>
        </w:rPr>
        <w:t xml:space="preserve">es mesures </w:t>
      </w:r>
      <w:r w:rsidR="00FF4DB4">
        <w:rPr>
          <w:b/>
        </w:rPr>
        <w:t xml:space="preserve">adoptées </w:t>
      </w:r>
      <w:r w:rsidR="00A53ED8">
        <w:rPr>
          <w:b/>
        </w:rPr>
        <w:t>dans ce domaine</w:t>
      </w:r>
      <w:r w:rsidRPr="003E2574">
        <w:rPr>
          <w:b/>
        </w:rPr>
        <w:t>, notamment d</w:t>
      </w:r>
      <w:r w:rsidR="00E62EFA" w:rsidRPr="003E2574">
        <w:rPr>
          <w:b/>
        </w:rPr>
        <w:t>’ordr</w:t>
      </w:r>
      <w:r w:rsidRPr="003E2574">
        <w:rPr>
          <w:b/>
        </w:rPr>
        <w:t>e législati</w:t>
      </w:r>
      <w:r w:rsidR="00E62EFA" w:rsidRPr="003E2574">
        <w:rPr>
          <w:b/>
        </w:rPr>
        <w:t>f</w:t>
      </w:r>
      <w:r w:rsidRPr="003E2574">
        <w:rPr>
          <w:b/>
        </w:rPr>
        <w:t xml:space="preserve">, </w:t>
      </w:r>
      <w:r w:rsidR="00FF4DB4">
        <w:rPr>
          <w:b/>
        </w:rPr>
        <w:t>et procéder à</w:t>
      </w:r>
      <w:r w:rsidRPr="003E2574">
        <w:rPr>
          <w:b/>
        </w:rPr>
        <w:t xml:space="preserve"> leur évaluation</w:t>
      </w:r>
      <w:r w:rsidR="00FC15FB">
        <w:rPr>
          <w:b/>
        </w:rPr>
        <w:t xml:space="preserve"> de manière à </w:t>
      </w:r>
      <w:r w:rsidR="00A53ED8">
        <w:rPr>
          <w:b/>
        </w:rPr>
        <w:t>obt</w:t>
      </w:r>
      <w:r w:rsidRPr="003E2574">
        <w:rPr>
          <w:b/>
        </w:rPr>
        <w:t>e</w:t>
      </w:r>
      <w:r w:rsidR="00A53ED8">
        <w:rPr>
          <w:b/>
        </w:rPr>
        <w:t xml:space="preserve">nir </w:t>
      </w:r>
      <w:r w:rsidRPr="003E2574">
        <w:rPr>
          <w:b/>
        </w:rPr>
        <w:t>des résultats concrets</w:t>
      </w:r>
      <w:r w:rsidR="00FC15FB">
        <w:rPr>
          <w:b/>
        </w:rPr>
        <w:t xml:space="preserve"> </w:t>
      </w:r>
      <w:r w:rsidR="003A698C">
        <w:rPr>
          <w:b/>
        </w:rPr>
        <w:t>en ce qui concerne</w:t>
      </w:r>
      <w:r w:rsidRPr="003E2574">
        <w:rPr>
          <w:b/>
        </w:rPr>
        <w:t xml:space="preserve"> la lutte contre les stéréotypes, la participation équilibrée des hommes et des femmes à la prise de décision, l’égalité de traitement et l’accès des femmes à l’emploi.</w:t>
      </w:r>
      <w:r w:rsidRPr="000D252F">
        <w:rPr>
          <w:b/>
        </w:rPr>
        <w:t xml:space="preserve"> </w:t>
      </w:r>
    </w:p>
    <w:p w:rsidR="00502F93" w:rsidRDefault="00DE2337" w:rsidP="00DE2337">
      <w:pPr>
        <w:pStyle w:val="SingleTxtG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="00502F93">
        <w:rPr>
          <w:bCs/>
        </w:rPr>
        <w:t>Malgré les informations fournies par l’</w:t>
      </w:r>
      <w:r w:rsidR="00151845">
        <w:rPr>
          <w:bCs/>
        </w:rPr>
        <w:t>É</w:t>
      </w:r>
      <w:r w:rsidR="00502F93">
        <w:rPr>
          <w:bCs/>
        </w:rPr>
        <w:t xml:space="preserve">tat partie sur les règles et les conditions </w:t>
      </w:r>
      <w:r w:rsidR="00BD4252">
        <w:rPr>
          <w:bCs/>
        </w:rPr>
        <w:t>entourant l</w:t>
      </w:r>
      <w:r w:rsidR="00502F93">
        <w:rPr>
          <w:bCs/>
        </w:rPr>
        <w:t>’u</w:t>
      </w:r>
      <w:r w:rsidR="00BD4252">
        <w:rPr>
          <w:bCs/>
        </w:rPr>
        <w:t xml:space="preserve">tilisation </w:t>
      </w:r>
      <w:r w:rsidR="00502F93">
        <w:rPr>
          <w:bCs/>
        </w:rPr>
        <w:t>du pistolet à impulsion</w:t>
      </w:r>
      <w:r w:rsidR="00BD4252">
        <w:rPr>
          <w:bCs/>
        </w:rPr>
        <w:t>s</w:t>
      </w:r>
      <w:r w:rsidR="00502F93">
        <w:rPr>
          <w:bCs/>
        </w:rPr>
        <w:t xml:space="preserve"> électrique</w:t>
      </w:r>
      <w:r w:rsidR="00BD4252">
        <w:rPr>
          <w:bCs/>
        </w:rPr>
        <w:t>s</w:t>
      </w:r>
      <w:r w:rsidR="00B94C7C">
        <w:rPr>
          <w:bCs/>
        </w:rPr>
        <w:t xml:space="preserve"> (Taser) par les forces de police</w:t>
      </w:r>
      <w:r w:rsidR="00502F93">
        <w:rPr>
          <w:bCs/>
        </w:rPr>
        <w:t xml:space="preserve">, le Comité </w:t>
      </w:r>
      <w:r w:rsidR="00F90E5D">
        <w:rPr>
          <w:bCs/>
        </w:rPr>
        <w:t>r</w:t>
      </w:r>
      <w:r w:rsidR="00502F93">
        <w:rPr>
          <w:bCs/>
        </w:rPr>
        <w:t>est</w:t>
      </w:r>
      <w:r w:rsidR="00F90E5D">
        <w:rPr>
          <w:bCs/>
        </w:rPr>
        <w:t xml:space="preserve">e </w:t>
      </w:r>
      <w:r w:rsidR="00502F93">
        <w:rPr>
          <w:bCs/>
        </w:rPr>
        <w:t xml:space="preserve">préoccupé </w:t>
      </w:r>
      <w:r w:rsidR="00044482">
        <w:rPr>
          <w:bCs/>
        </w:rPr>
        <w:t xml:space="preserve">par le </w:t>
      </w:r>
      <w:r w:rsidR="00502F93">
        <w:rPr>
          <w:bCs/>
        </w:rPr>
        <w:t xml:space="preserve">fait que </w:t>
      </w:r>
      <w:r w:rsidR="00B94C7C">
        <w:rPr>
          <w:bCs/>
        </w:rPr>
        <w:t>l’</w:t>
      </w:r>
      <w:r w:rsidR="00C178FE">
        <w:rPr>
          <w:bCs/>
        </w:rPr>
        <w:t xml:space="preserve">emploi </w:t>
      </w:r>
      <w:r w:rsidR="00B94C7C">
        <w:rPr>
          <w:bCs/>
        </w:rPr>
        <w:t>de ces armes puisse entra</w:t>
      </w:r>
      <w:r w:rsidR="00044482">
        <w:rPr>
          <w:bCs/>
        </w:rPr>
        <w:t>î</w:t>
      </w:r>
      <w:r w:rsidR="00B94C7C">
        <w:rPr>
          <w:bCs/>
        </w:rPr>
        <w:t>ner des douleurs aigu</w:t>
      </w:r>
      <w:r w:rsidR="00044482">
        <w:rPr>
          <w:bCs/>
        </w:rPr>
        <w:t>ë</w:t>
      </w:r>
      <w:r w:rsidR="00B94C7C">
        <w:rPr>
          <w:bCs/>
        </w:rPr>
        <w:t>s</w:t>
      </w:r>
      <w:r w:rsidR="00044482">
        <w:rPr>
          <w:bCs/>
        </w:rPr>
        <w:t>,</w:t>
      </w:r>
      <w:r w:rsidR="00B94C7C">
        <w:rPr>
          <w:bCs/>
        </w:rPr>
        <w:t xml:space="preserve"> </w:t>
      </w:r>
      <w:r w:rsidR="00F540A5">
        <w:rPr>
          <w:bCs/>
        </w:rPr>
        <w:t xml:space="preserve">mais aussi </w:t>
      </w:r>
      <w:r w:rsidR="00B94C7C">
        <w:rPr>
          <w:bCs/>
        </w:rPr>
        <w:t xml:space="preserve">des blessures </w:t>
      </w:r>
      <w:r w:rsidR="00104F3D">
        <w:rPr>
          <w:bCs/>
        </w:rPr>
        <w:t>pouvant</w:t>
      </w:r>
      <w:r w:rsidR="006244B6">
        <w:rPr>
          <w:bCs/>
        </w:rPr>
        <w:t xml:space="preserve"> </w:t>
      </w:r>
      <w:r w:rsidR="00006CED">
        <w:rPr>
          <w:bCs/>
        </w:rPr>
        <w:t>avoir une issue</w:t>
      </w:r>
      <w:r w:rsidR="00104F3D">
        <w:rPr>
          <w:bCs/>
        </w:rPr>
        <w:t xml:space="preserve"> mortelle</w:t>
      </w:r>
      <w:r w:rsidR="00B94C7C">
        <w:rPr>
          <w:bCs/>
        </w:rPr>
        <w:t xml:space="preserve"> (art.</w:t>
      </w:r>
      <w:r w:rsidR="000958AB">
        <w:rPr>
          <w:bCs/>
        </w:rPr>
        <w:t xml:space="preserve"> </w:t>
      </w:r>
      <w:r w:rsidR="00B94C7C">
        <w:rPr>
          <w:bCs/>
        </w:rPr>
        <w:t>6</w:t>
      </w:r>
      <w:r w:rsidR="000958AB">
        <w:rPr>
          <w:bCs/>
        </w:rPr>
        <w:t xml:space="preserve"> et</w:t>
      </w:r>
      <w:r w:rsidR="00B94C7C">
        <w:rPr>
          <w:bCs/>
        </w:rPr>
        <w:t xml:space="preserve"> 7).</w:t>
      </w:r>
    </w:p>
    <w:p w:rsidR="00EF5970" w:rsidRDefault="00B94C7C" w:rsidP="00EF53B9">
      <w:pPr>
        <w:pStyle w:val="SingleTxtG"/>
        <w:ind w:firstLine="567"/>
        <w:rPr>
          <w:bCs/>
        </w:rPr>
      </w:pPr>
      <w:r>
        <w:rPr>
          <w:b/>
        </w:rPr>
        <w:t>L’</w:t>
      </w:r>
      <w:r w:rsidR="00151845">
        <w:rPr>
          <w:b/>
        </w:rPr>
        <w:t>É</w:t>
      </w:r>
      <w:r>
        <w:rPr>
          <w:b/>
        </w:rPr>
        <w:t xml:space="preserve">tat partie devrait envisager de </w:t>
      </w:r>
      <w:r w:rsidR="0026326C" w:rsidRPr="00C178FE">
        <w:rPr>
          <w:b/>
        </w:rPr>
        <w:t>ne plus autoriser</w:t>
      </w:r>
      <w:r w:rsidR="0026326C">
        <w:rPr>
          <w:b/>
        </w:rPr>
        <w:t xml:space="preserve"> </w:t>
      </w:r>
      <w:r>
        <w:rPr>
          <w:b/>
        </w:rPr>
        <w:t>l’usage du pistolet à impulsion</w:t>
      </w:r>
      <w:r w:rsidR="00C178FE">
        <w:rPr>
          <w:b/>
        </w:rPr>
        <w:t>s</w:t>
      </w:r>
      <w:r>
        <w:rPr>
          <w:b/>
        </w:rPr>
        <w:t xml:space="preserve"> électrique</w:t>
      </w:r>
      <w:r w:rsidR="00C178FE">
        <w:rPr>
          <w:b/>
        </w:rPr>
        <w:t>s</w:t>
      </w:r>
      <w:r>
        <w:rPr>
          <w:b/>
        </w:rPr>
        <w:t xml:space="preserve"> (Taser)</w:t>
      </w:r>
      <w:r w:rsidR="00F55CBD">
        <w:rPr>
          <w:b/>
        </w:rPr>
        <w:t xml:space="preserve">. </w:t>
      </w:r>
      <w:r>
        <w:rPr>
          <w:b/>
        </w:rPr>
        <w:t>Tant que ces armes seront utilisées, l’</w:t>
      </w:r>
      <w:r w:rsidR="00151845">
        <w:rPr>
          <w:b/>
        </w:rPr>
        <w:t>É</w:t>
      </w:r>
      <w:r>
        <w:rPr>
          <w:b/>
        </w:rPr>
        <w:t xml:space="preserve">tat partie devrait intensifier ses efforts </w:t>
      </w:r>
      <w:r w:rsidR="00915B82">
        <w:rPr>
          <w:b/>
        </w:rPr>
        <w:t xml:space="preserve">pour </w:t>
      </w:r>
      <w:r>
        <w:rPr>
          <w:b/>
        </w:rPr>
        <w:t xml:space="preserve">que les forces de police respectent les règles et </w:t>
      </w:r>
      <w:r w:rsidR="00915B82">
        <w:rPr>
          <w:b/>
        </w:rPr>
        <w:t xml:space="preserve">les </w:t>
      </w:r>
      <w:r>
        <w:rPr>
          <w:b/>
        </w:rPr>
        <w:t xml:space="preserve">conditions </w:t>
      </w:r>
      <w:r w:rsidR="00C178FE">
        <w:rPr>
          <w:b/>
        </w:rPr>
        <w:t xml:space="preserve">qui entourent </w:t>
      </w:r>
      <w:r>
        <w:rPr>
          <w:b/>
        </w:rPr>
        <w:t>leur utilisation. L’</w:t>
      </w:r>
      <w:r w:rsidR="00151845">
        <w:rPr>
          <w:b/>
        </w:rPr>
        <w:t>É</w:t>
      </w:r>
      <w:r>
        <w:rPr>
          <w:b/>
        </w:rPr>
        <w:t>tat partie dev</w:t>
      </w:r>
      <w:r w:rsidR="00F55CBD">
        <w:rPr>
          <w:b/>
        </w:rPr>
        <w:t>rai</w:t>
      </w:r>
      <w:r>
        <w:rPr>
          <w:b/>
        </w:rPr>
        <w:t xml:space="preserve">t également </w:t>
      </w:r>
      <w:r w:rsidR="00510F77">
        <w:rPr>
          <w:b/>
        </w:rPr>
        <w:t xml:space="preserve">entreprendre </w:t>
      </w:r>
      <w:r w:rsidR="00C91FB8">
        <w:rPr>
          <w:b/>
        </w:rPr>
        <w:t>d</w:t>
      </w:r>
      <w:r w:rsidR="00510F77">
        <w:rPr>
          <w:b/>
        </w:rPr>
        <w:t>’</w:t>
      </w:r>
      <w:r>
        <w:rPr>
          <w:b/>
        </w:rPr>
        <w:t>évalu</w:t>
      </w:r>
      <w:r w:rsidR="00C91FB8">
        <w:rPr>
          <w:b/>
        </w:rPr>
        <w:t xml:space="preserve">er </w:t>
      </w:r>
      <w:r>
        <w:rPr>
          <w:b/>
        </w:rPr>
        <w:t>les effets de l’</w:t>
      </w:r>
      <w:r w:rsidR="00C178FE">
        <w:rPr>
          <w:b/>
        </w:rPr>
        <w:t xml:space="preserve">emploi </w:t>
      </w:r>
      <w:r>
        <w:rPr>
          <w:b/>
        </w:rPr>
        <w:t>de ces armes.</w:t>
      </w:r>
    </w:p>
    <w:p w:rsidR="00944624" w:rsidRDefault="00DE2337" w:rsidP="00DE2337">
      <w:pPr>
        <w:pStyle w:val="SingleTxtG"/>
      </w:pPr>
      <w:r>
        <w:t>14.</w:t>
      </w:r>
      <w:r>
        <w:tab/>
      </w:r>
      <w:r w:rsidR="008B6AB7" w:rsidRPr="00407A04">
        <w:t xml:space="preserve">Le Comité </w:t>
      </w:r>
      <w:r w:rsidR="00330A6D">
        <w:t xml:space="preserve">juge </w:t>
      </w:r>
      <w:r w:rsidR="00ED6951">
        <w:t>préoccup</w:t>
      </w:r>
      <w:r w:rsidR="00330A6D">
        <w:t xml:space="preserve">antes </w:t>
      </w:r>
      <w:r w:rsidR="00ED6951">
        <w:t>les informations faisant état d’</w:t>
      </w:r>
      <w:r w:rsidR="00330A6D">
        <w:t xml:space="preserve">un </w:t>
      </w:r>
      <w:r w:rsidR="00C178FE">
        <w:t xml:space="preserve">emploi </w:t>
      </w:r>
      <w:r w:rsidR="00ED6951" w:rsidRPr="00E03E7A">
        <w:t>excessif</w:t>
      </w:r>
      <w:r w:rsidR="00ED6951">
        <w:t xml:space="preserve"> de la force</w:t>
      </w:r>
      <w:r w:rsidR="00C178FE">
        <w:t>,</w:t>
      </w:r>
      <w:r w:rsidR="00E03E7A">
        <w:t xml:space="preserve"> non conforme aux</w:t>
      </w:r>
      <w:r w:rsidR="00F67D28">
        <w:t xml:space="preserve"> Principes de base des Nations Unies sur le recours à la force et l’utilisation des armes à feu par les responsables de l’application des lois</w:t>
      </w:r>
      <w:r w:rsidR="00330A6D">
        <w:t>,</w:t>
      </w:r>
      <w:r w:rsidR="00ED6951">
        <w:t xml:space="preserve"> en particulier lors des interpellations</w:t>
      </w:r>
      <w:r w:rsidR="00681B65">
        <w:t xml:space="preserve"> </w:t>
      </w:r>
      <w:r w:rsidR="00330A6D">
        <w:t xml:space="preserve">de </w:t>
      </w:r>
      <w:r w:rsidR="00ED6951">
        <w:t>police</w:t>
      </w:r>
      <w:r w:rsidR="00C178FE">
        <w:t>,</w:t>
      </w:r>
      <w:r w:rsidR="00830EB1">
        <w:t xml:space="preserve"> </w:t>
      </w:r>
      <w:r w:rsidR="00ED6951">
        <w:t xml:space="preserve">et </w:t>
      </w:r>
      <w:r w:rsidR="00830EB1" w:rsidRPr="00C178FE">
        <w:t>du</w:t>
      </w:r>
      <w:r w:rsidR="00ED6951" w:rsidRPr="00C178FE">
        <w:t xml:space="preserve"> fait</w:t>
      </w:r>
      <w:r w:rsidR="00ED6951">
        <w:t xml:space="preserve"> que les plaintes </w:t>
      </w:r>
      <w:r w:rsidR="00830EB1">
        <w:t xml:space="preserve">déposées </w:t>
      </w:r>
      <w:r w:rsidR="00ED6951">
        <w:t>à l’</w:t>
      </w:r>
      <w:r w:rsidR="00C178FE">
        <w:t xml:space="preserve">encontre </w:t>
      </w:r>
      <w:r w:rsidR="00ED6951">
        <w:t xml:space="preserve">de la police ne sont pas toujours suivies de sanctions à la hauteur des faits. </w:t>
      </w:r>
      <w:r w:rsidR="007B621E">
        <w:t xml:space="preserve">Le Comité est particulièrement préoccupé par les informations </w:t>
      </w:r>
      <w:r w:rsidR="00830EB1">
        <w:t xml:space="preserve">selon lesquelles il y aurait eu un </w:t>
      </w:r>
      <w:r w:rsidR="00C178FE">
        <w:t>emploi</w:t>
      </w:r>
      <w:r w:rsidR="007B621E">
        <w:t xml:space="preserve"> excessif de la force et d</w:t>
      </w:r>
      <w:r w:rsidR="00830EB1">
        <w:t xml:space="preserve">es </w:t>
      </w:r>
      <w:r w:rsidR="007B621E">
        <w:t xml:space="preserve">arrestations préventives lors des manifestations qui </w:t>
      </w:r>
      <w:r w:rsidR="00830EB1">
        <w:t>se s</w:t>
      </w:r>
      <w:r w:rsidR="007B621E">
        <w:t xml:space="preserve">ont </w:t>
      </w:r>
      <w:r w:rsidR="00830EB1">
        <w:t xml:space="preserve">déroulées </w:t>
      </w:r>
      <w:r w:rsidR="007B621E">
        <w:t>le 29 septembre et le 1</w:t>
      </w:r>
      <w:r w:rsidR="00151845" w:rsidRPr="00151845">
        <w:rPr>
          <w:vertAlign w:val="superscript"/>
        </w:rPr>
        <w:t>er</w:t>
      </w:r>
      <w:r w:rsidR="00151845">
        <w:t xml:space="preserve"> </w:t>
      </w:r>
      <w:r w:rsidR="007B621E">
        <w:t>octobre 2010 dans l’</w:t>
      </w:r>
      <w:r w:rsidR="00151845">
        <w:t>É</w:t>
      </w:r>
      <w:r w:rsidR="007B621E">
        <w:t>tat partie</w:t>
      </w:r>
      <w:r w:rsidR="00434ACB">
        <w:t xml:space="preserve"> (</w:t>
      </w:r>
      <w:r w:rsidR="00A0020A">
        <w:t xml:space="preserve">art. </w:t>
      </w:r>
      <w:r w:rsidR="00434ACB">
        <w:t>7</w:t>
      </w:r>
      <w:r w:rsidR="000958AB">
        <w:t>et</w:t>
      </w:r>
      <w:r w:rsidR="00434ACB">
        <w:t xml:space="preserve"> 9)</w:t>
      </w:r>
      <w:r w:rsidR="007B621E">
        <w:t xml:space="preserve">. </w:t>
      </w:r>
    </w:p>
    <w:p w:rsidR="008B6AB7" w:rsidRDefault="00944624" w:rsidP="00EF53B9">
      <w:pPr>
        <w:pStyle w:val="SingleTxtG"/>
        <w:ind w:firstLine="567"/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 xml:space="preserve">État partie devrait prendre </w:t>
      </w:r>
      <w:r w:rsidR="00E5486D">
        <w:rPr>
          <w:b/>
        </w:rPr>
        <w:t>toutes l</w:t>
      </w:r>
      <w:r w:rsidRPr="00407A04">
        <w:rPr>
          <w:b/>
        </w:rPr>
        <w:t xml:space="preserve">es mesures </w:t>
      </w:r>
      <w:r>
        <w:rPr>
          <w:b/>
        </w:rPr>
        <w:t xml:space="preserve">nécessaires pour </w:t>
      </w:r>
      <w:r w:rsidR="00F67D28">
        <w:rPr>
          <w:b/>
        </w:rPr>
        <w:t xml:space="preserve">garantir que les </w:t>
      </w:r>
      <w:r>
        <w:rPr>
          <w:b/>
        </w:rPr>
        <w:t xml:space="preserve">membres de </w:t>
      </w:r>
      <w:r w:rsidR="00681B65">
        <w:rPr>
          <w:b/>
        </w:rPr>
        <w:t xml:space="preserve">la </w:t>
      </w:r>
      <w:r>
        <w:rPr>
          <w:b/>
        </w:rPr>
        <w:t xml:space="preserve">police, </w:t>
      </w:r>
      <w:r w:rsidR="00E5486D">
        <w:rPr>
          <w:b/>
        </w:rPr>
        <w:t>en recourant à l’</w:t>
      </w:r>
      <w:r w:rsidR="00C178FE">
        <w:rPr>
          <w:b/>
        </w:rPr>
        <w:t xml:space="preserve">emploi </w:t>
      </w:r>
      <w:r w:rsidR="00E5486D">
        <w:rPr>
          <w:b/>
        </w:rPr>
        <w:t>de la force, agissent</w:t>
      </w:r>
      <w:r w:rsidR="00F67D28">
        <w:rPr>
          <w:b/>
        </w:rPr>
        <w:t xml:space="preserve"> en conformité avec les </w:t>
      </w:r>
      <w:r w:rsidR="00F67D28" w:rsidRPr="00F67D28">
        <w:rPr>
          <w:b/>
          <w:bCs/>
        </w:rPr>
        <w:t>Principes de base des Nations Unies sur le recours à la force et l’utilisation des armes à feu par les responsables de l’application des lois</w:t>
      </w:r>
      <w:r w:rsidR="00C178FE">
        <w:rPr>
          <w:b/>
          <w:bCs/>
        </w:rPr>
        <w:t>,</w:t>
      </w:r>
      <w:r w:rsidR="00F67D28" w:rsidRPr="00F67D28">
        <w:rPr>
          <w:b/>
          <w:bCs/>
        </w:rPr>
        <w:t xml:space="preserve"> </w:t>
      </w:r>
      <w:r>
        <w:rPr>
          <w:b/>
        </w:rPr>
        <w:t xml:space="preserve">et </w:t>
      </w:r>
      <w:r w:rsidR="00F9067F">
        <w:rPr>
          <w:b/>
        </w:rPr>
        <w:t xml:space="preserve">pour </w:t>
      </w:r>
      <w:r>
        <w:rPr>
          <w:b/>
        </w:rPr>
        <w:t xml:space="preserve">s’assurer que les arrestations </w:t>
      </w:r>
      <w:r w:rsidR="00C178FE">
        <w:rPr>
          <w:b/>
        </w:rPr>
        <w:t>se déroulent</w:t>
      </w:r>
      <w:r>
        <w:rPr>
          <w:b/>
        </w:rPr>
        <w:t xml:space="preserve"> </w:t>
      </w:r>
      <w:r w:rsidR="003D1754">
        <w:rPr>
          <w:b/>
        </w:rPr>
        <w:t>d</w:t>
      </w:r>
      <w:r w:rsidR="00E5486D">
        <w:rPr>
          <w:b/>
        </w:rPr>
        <w:t>ans le</w:t>
      </w:r>
      <w:r w:rsidR="003D1754">
        <w:rPr>
          <w:b/>
        </w:rPr>
        <w:t xml:space="preserve"> </w:t>
      </w:r>
      <w:r w:rsidR="00C178FE">
        <w:rPr>
          <w:b/>
        </w:rPr>
        <w:t xml:space="preserve">strict </w:t>
      </w:r>
      <w:r w:rsidR="003D1754">
        <w:rPr>
          <w:b/>
        </w:rPr>
        <w:t>respect</w:t>
      </w:r>
      <w:r w:rsidR="00E5486D">
        <w:rPr>
          <w:b/>
        </w:rPr>
        <w:t xml:space="preserve"> des dispositions</w:t>
      </w:r>
      <w:r w:rsidR="003D1754">
        <w:rPr>
          <w:b/>
        </w:rPr>
        <w:t xml:space="preserve"> du Pacte</w:t>
      </w:r>
      <w:r>
        <w:rPr>
          <w:b/>
        </w:rPr>
        <w:t>. L’</w:t>
      </w:r>
      <w:r w:rsidR="00151845">
        <w:rPr>
          <w:b/>
        </w:rPr>
        <w:t>É</w:t>
      </w:r>
      <w:r>
        <w:rPr>
          <w:b/>
        </w:rPr>
        <w:t xml:space="preserve">tat partie devrait, en cas de </w:t>
      </w:r>
      <w:r w:rsidR="00FB4AA5">
        <w:rPr>
          <w:b/>
        </w:rPr>
        <w:t xml:space="preserve">plaintes alléguant de </w:t>
      </w:r>
      <w:r>
        <w:rPr>
          <w:b/>
        </w:rPr>
        <w:t xml:space="preserve">mauvais traitements, </w:t>
      </w:r>
      <w:r w:rsidR="00F9067F">
        <w:rPr>
          <w:b/>
        </w:rPr>
        <w:t xml:space="preserve">conduire </w:t>
      </w:r>
      <w:r>
        <w:rPr>
          <w:b/>
        </w:rPr>
        <w:t xml:space="preserve">systématiquement </w:t>
      </w:r>
      <w:r w:rsidR="00F9067F">
        <w:rPr>
          <w:b/>
        </w:rPr>
        <w:t>des</w:t>
      </w:r>
      <w:r>
        <w:rPr>
          <w:b/>
        </w:rPr>
        <w:t xml:space="preserve"> enquête</w:t>
      </w:r>
      <w:r w:rsidR="00F9067F">
        <w:rPr>
          <w:b/>
        </w:rPr>
        <w:t>s et</w:t>
      </w:r>
      <w:r>
        <w:rPr>
          <w:b/>
        </w:rPr>
        <w:t xml:space="preserve"> poursuivre et sanctionner les auteurs à hauteur des faits commis. </w:t>
      </w:r>
      <w:r w:rsidR="00FC2F68">
        <w:rPr>
          <w:b/>
        </w:rPr>
        <w:t xml:space="preserve">L’État partie </w:t>
      </w:r>
      <w:r>
        <w:rPr>
          <w:b/>
        </w:rPr>
        <w:t xml:space="preserve">devra informer le Comité sur la suite </w:t>
      </w:r>
      <w:r w:rsidR="00FC2F68">
        <w:rPr>
          <w:b/>
        </w:rPr>
        <w:t xml:space="preserve">qui aura été </w:t>
      </w:r>
      <w:r>
        <w:rPr>
          <w:b/>
        </w:rPr>
        <w:t xml:space="preserve">donnée aux plaintes déposées </w:t>
      </w:r>
      <w:r w:rsidR="00FC2F68">
        <w:rPr>
          <w:b/>
        </w:rPr>
        <w:t xml:space="preserve">à la </w:t>
      </w:r>
      <w:r>
        <w:rPr>
          <w:b/>
        </w:rPr>
        <w:t xml:space="preserve">suite </w:t>
      </w:r>
      <w:r w:rsidR="00FC2F68">
        <w:rPr>
          <w:b/>
        </w:rPr>
        <w:t>des</w:t>
      </w:r>
      <w:r>
        <w:rPr>
          <w:b/>
        </w:rPr>
        <w:t xml:space="preserve"> manifestations </w:t>
      </w:r>
      <w:r w:rsidR="00FC2F68">
        <w:rPr>
          <w:b/>
        </w:rPr>
        <w:t xml:space="preserve">qui se sont </w:t>
      </w:r>
      <w:r w:rsidR="00F9067F">
        <w:rPr>
          <w:b/>
        </w:rPr>
        <w:t>tenues</w:t>
      </w:r>
      <w:r w:rsidR="00FC2F68">
        <w:rPr>
          <w:b/>
        </w:rPr>
        <w:t xml:space="preserve"> le</w:t>
      </w:r>
      <w:r w:rsidR="00681B65">
        <w:rPr>
          <w:b/>
        </w:rPr>
        <w:t xml:space="preserve"> </w:t>
      </w:r>
      <w:r>
        <w:rPr>
          <w:b/>
        </w:rPr>
        <w:t xml:space="preserve">29 septembre et </w:t>
      </w:r>
      <w:r w:rsidR="00FC2F68">
        <w:rPr>
          <w:b/>
        </w:rPr>
        <w:t xml:space="preserve">le </w:t>
      </w:r>
      <w:r>
        <w:rPr>
          <w:b/>
        </w:rPr>
        <w:t>1</w:t>
      </w:r>
      <w:r w:rsidR="00FC2F68" w:rsidRPr="00FC2F68">
        <w:rPr>
          <w:b/>
          <w:vertAlign w:val="superscript"/>
        </w:rPr>
        <w:t>er</w:t>
      </w:r>
      <w:r w:rsidR="00FC2F68">
        <w:rPr>
          <w:b/>
        </w:rPr>
        <w:t xml:space="preserve"> </w:t>
      </w:r>
      <w:r>
        <w:rPr>
          <w:b/>
        </w:rPr>
        <w:t>octobre 2010.</w:t>
      </w:r>
    </w:p>
    <w:p w:rsidR="00EF5970" w:rsidRDefault="00DE2337" w:rsidP="00DE2337">
      <w:pPr>
        <w:pStyle w:val="SingleTxtG"/>
      </w:pPr>
      <w:r>
        <w:t>15.</w:t>
      </w:r>
      <w:r>
        <w:tab/>
      </w:r>
      <w:r w:rsidR="00A718A4">
        <w:t>Malgré les informations fournies par l’</w:t>
      </w:r>
      <w:r w:rsidR="00151845">
        <w:t>É</w:t>
      </w:r>
      <w:r w:rsidR="00A718A4">
        <w:t>tat partie sur l</w:t>
      </w:r>
      <w:r w:rsidR="00A93DD7">
        <w:t xml:space="preserve">es </w:t>
      </w:r>
      <w:r w:rsidR="00A718A4">
        <w:t>amélioration</w:t>
      </w:r>
      <w:r w:rsidR="00A93DD7">
        <w:t>s apportées</w:t>
      </w:r>
      <w:r w:rsidR="00A718A4">
        <w:t xml:space="preserve"> </w:t>
      </w:r>
      <w:r w:rsidR="00A2004E">
        <w:t>d</w:t>
      </w:r>
      <w:r w:rsidR="0045189B">
        <w:t>ans le</w:t>
      </w:r>
      <w:r w:rsidR="00555321">
        <w:t xml:space="preserve"> </w:t>
      </w:r>
      <w:r w:rsidR="00A718A4">
        <w:t xml:space="preserve">recrutement des </w:t>
      </w:r>
      <w:r w:rsidR="003E5C72">
        <w:t>membres du Service d</w:t>
      </w:r>
      <w:r w:rsidR="00DB3460">
        <w:t>’E</w:t>
      </w:r>
      <w:r w:rsidR="003E5C72">
        <w:t>nquêtes du Comité P</w:t>
      </w:r>
      <w:r w:rsidR="00A718A4">
        <w:t xml:space="preserve">, </w:t>
      </w:r>
      <w:r w:rsidR="00744281">
        <w:t>dont la mission est d’</w:t>
      </w:r>
      <w:r w:rsidR="00A718A4">
        <w:t>enquête</w:t>
      </w:r>
      <w:r w:rsidR="00744281">
        <w:t>r</w:t>
      </w:r>
      <w:r w:rsidR="0045189B">
        <w:t xml:space="preserve"> </w:t>
      </w:r>
      <w:r w:rsidR="00744281">
        <w:t>sur les</w:t>
      </w:r>
      <w:r w:rsidR="00555321">
        <w:t xml:space="preserve"> </w:t>
      </w:r>
      <w:r w:rsidR="00A718A4">
        <w:t xml:space="preserve">plaintes visant </w:t>
      </w:r>
      <w:r w:rsidR="00003A27">
        <w:t>d</w:t>
      </w:r>
      <w:r w:rsidR="00932AC4">
        <w:t>es membres de la</w:t>
      </w:r>
      <w:r w:rsidR="00A718A4">
        <w:t xml:space="preserve"> police, </w:t>
      </w:r>
      <w:r w:rsidR="003E5C72">
        <w:t xml:space="preserve">le Comité </w:t>
      </w:r>
      <w:r w:rsidR="00555321">
        <w:t xml:space="preserve">juge </w:t>
      </w:r>
      <w:r w:rsidR="003E5C72">
        <w:t>préoccup</w:t>
      </w:r>
      <w:r w:rsidR="00555321">
        <w:t>ant</w:t>
      </w:r>
      <w:r w:rsidR="00744281">
        <w:t xml:space="preserve"> que d</w:t>
      </w:r>
      <w:r w:rsidR="003E5C72">
        <w:t xml:space="preserve">es </w:t>
      </w:r>
      <w:r w:rsidR="005E143A">
        <w:t>doutes subsist</w:t>
      </w:r>
      <w:r w:rsidR="00555321">
        <w:t>e</w:t>
      </w:r>
      <w:r w:rsidR="005E143A">
        <w:t xml:space="preserve">nt </w:t>
      </w:r>
      <w:r w:rsidR="00555321">
        <w:t xml:space="preserve">sur </w:t>
      </w:r>
      <w:r w:rsidR="005E143A">
        <w:t>l</w:t>
      </w:r>
      <w:r w:rsidR="003E5C72">
        <w:t>’indépendance</w:t>
      </w:r>
      <w:r w:rsidR="00483E3D">
        <w:t xml:space="preserve"> et</w:t>
      </w:r>
      <w:r w:rsidR="00944624">
        <w:t xml:space="preserve"> </w:t>
      </w:r>
      <w:r w:rsidR="00932AC4">
        <w:t>l</w:t>
      </w:r>
      <w:r w:rsidR="00944624">
        <w:t>’objectivité</w:t>
      </w:r>
      <w:r w:rsidR="003E5C72">
        <w:t xml:space="preserve"> du Comité P </w:t>
      </w:r>
      <w:r w:rsidR="00483E3D">
        <w:t xml:space="preserve">et </w:t>
      </w:r>
      <w:r w:rsidR="00744281">
        <w:t xml:space="preserve">sur </w:t>
      </w:r>
      <w:r w:rsidR="002E0CC3">
        <w:t>l</w:t>
      </w:r>
      <w:r w:rsidR="00744281">
        <w:t xml:space="preserve">a capacité </w:t>
      </w:r>
      <w:r w:rsidR="002E0CC3">
        <w:t xml:space="preserve">de ce dernier </w:t>
      </w:r>
      <w:r w:rsidR="00744281">
        <w:t xml:space="preserve">à </w:t>
      </w:r>
      <w:r w:rsidR="00A2004E">
        <w:t>traiter dans la</w:t>
      </w:r>
      <w:r w:rsidR="002E0CC3">
        <w:t xml:space="preserve"> </w:t>
      </w:r>
      <w:r w:rsidR="00A2004E">
        <w:t>transparenc</w:t>
      </w:r>
      <w:r w:rsidR="002E0CC3">
        <w:t xml:space="preserve">e les </w:t>
      </w:r>
      <w:r w:rsidR="003E5C72">
        <w:t xml:space="preserve">plaintes </w:t>
      </w:r>
      <w:r w:rsidR="00656CA4">
        <w:t xml:space="preserve">portées </w:t>
      </w:r>
      <w:r w:rsidR="004C7E2C">
        <w:t>à l’en</w:t>
      </w:r>
      <w:r w:rsidR="003E5C72">
        <w:t xml:space="preserve">contre </w:t>
      </w:r>
      <w:r w:rsidR="004C7E2C">
        <w:t>d</w:t>
      </w:r>
      <w:r w:rsidR="003E5C72">
        <w:t>es fonctionnaires de police</w:t>
      </w:r>
      <w:r w:rsidR="00944624">
        <w:t xml:space="preserve"> </w:t>
      </w:r>
      <w:r w:rsidR="003E5C72">
        <w:t>(art. 7</w:t>
      </w:r>
      <w:r w:rsidR="00FA5D12">
        <w:t xml:space="preserve"> </w:t>
      </w:r>
      <w:r w:rsidR="000958AB">
        <w:t>et</w:t>
      </w:r>
      <w:r w:rsidR="00944624">
        <w:t xml:space="preserve"> 14</w:t>
      </w:r>
      <w:r w:rsidR="003E5C72">
        <w:t xml:space="preserve">). </w:t>
      </w:r>
    </w:p>
    <w:p w:rsidR="00EF5970" w:rsidRDefault="00EF5970" w:rsidP="00EF53B9">
      <w:pPr>
        <w:pStyle w:val="SingleTxtG"/>
        <w:ind w:firstLine="567"/>
      </w:pPr>
      <w:r w:rsidRPr="00D53192">
        <w:rPr>
          <w:b/>
        </w:rPr>
        <w:t xml:space="preserve">L’État partie devrait poursuivre ses efforts en vue de garantir une </w:t>
      </w:r>
      <w:r w:rsidR="00FA5D12" w:rsidRPr="00D53192">
        <w:rPr>
          <w:b/>
        </w:rPr>
        <w:t xml:space="preserve">totale </w:t>
      </w:r>
      <w:r w:rsidRPr="00D53192">
        <w:rPr>
          <w:b/>
        </w:rPr>
        <w:t>indépendance des membres du Service d’</w:t>
      </w:r>
      <w:r w:rsidR="003B0FA2" w:rsidRPr="00D53192">
        <w:rPr>
          <w:b/>
        </w:rPr>
        <w:t>E</w:t>
      </w:r>
      <w:r w:rsidRPr="00D53192">
        <w:rPr>
          <w:b/>
        </w:rPr>
        <w:t>nquêtes du Comité P</w:t>
      </w:r>
      <w:r w:rsidR="00483E3D" w:rsidRPr="00D53192">
        <w:rPr>
          <w:b/>
        </w:rPr>
        <w:t xml:space="preserve"> </w:t>
      </w:r>
      <w:r w:rsidR="002E0CC3" w:rsidRPr="00D53192">
        <w:rPr>
          <w:b/>
        </w:rPr>
        <w:t>et d’</w:t>
      </w:r>
      <w:r w:rsidRPr="00D53192">
        <w:rPr>
          <w:b/>
        </w:rPr>
        <w:t xml:space="preserve">assurer </w:t>
      </w:r>
      <w:r w:rsidR="002E0CC3" w:rsidRPr="00D53192">
        <w:rPr>
          <w:b/>
        </w:rPr>
        <w:t>un</w:t>
      </w:r>
      <w:r w:rsidR="00A2004E">
        <w:rPr>
          <w:b/>
        </w:rPr>
        <w:t xml:space="preserve"> traitement dans la</w:t>
      </w:r>
      <w:r w:rsidR="002E0CC3" w:rsidRPr="00D53192">
        <w:rPr>
          <w:b/>
        </w:rPr>
        <w:t xml:space="preserve"> </w:t>
      </w:r>
      <w:r w:rsidR="00A2004E">
        <w:rPr>
          <w:b/>
        </w:rPr>
        <w:t>transparenc</w:t>
      </w:r>
      <w:r w:rsidR="002E0CC3" w:rsidRPr="00D53192">
        <w:rPr>
          <w:b/>
        </w:rPr>
        <w:t>e</w:t>
      </w:r>
      <w:r w:rsidR="00483E3D" w:rsidRPr="00D53192">
        <w:rPr>
          <w:b/>
        </w:rPr>
        <w:t xml:space="preserve"> </w:t>
      </w:r>
      <w:r w:rsidRPr="00D53192">
        <w:rPr>
          <w:b/>
        </w:rPr>
        <w:t xml:space="preserve">des plaintes </w:t>
      </w:r>
      <w:r w:rsidR="00483E3D" w:rsidRPr="00D53192">
        <w:rPr>
          <w:b/>
        </w:rPr>
        <w:t>portées à l’en</w:t>
      </w:r>
      <w:r w:rsidRPr="00D53192">
        <w:rPr>
          <w:b/>
        </w:rPr>
        <w:t xml:space="preserve">contre </w:t>
      </w:r>
      <w:r w:rsidR="00483E3D" w:rsidRPr="00D53192">
        <w:rPr>
          <w:b/>
        </w:rPr>
        <w:t>d</w:t>
      </w:r>
      <w:r w:rsidRPr="00D53192">
        <w:rPr>
          <w:b/>
        </w:rPr>
        <w:t>es fonctionnaires de police.</w:t>
      </w:r>
      <w:r>
        <w:rPr>
          <w:b/>
        </w:rPr>
        <w:t xml:space="preserve"> </w:t>
      </w:r>
    </w:p>
    <w:p w:rsidR="00434ACB" w:rsidRDefault="00DE2337" w:rsidP="00DE2337">
      <w:pPr>
        <w:pStyle w:val="SingleTxtG"/>
      </w:pPr>
      <w:r>
        <w:t>16.</w:t>
      </w:r>
      <w:r>
        <w:tab/>
      </w:r>
      <w:r w:rsidR="00434ACB" w:rsidRPr="00407A04">
        <w:t xml:space="preserve">Le Comité </w:t>
      </w:r>
      <w:r w:rsidR="00A52A43">
        <w:t xml:space="preserve">prend </w:t>
      </w:r>
      <w:r w:rsidR="00434ACB" w:rsidRPr="00407A04">
        <w:t>not</w:t>
      </w:r>
      <w:r w:rsidR="007A4B55">
        <w:t>e</w:t>
      </w:r>
      <w:r w:rsidR="00434ACB">
        <w:t xml:space="preserve"> </w:t>
      </w:r>
      <w:r w:rsidR="00A52A43">
        <w:t>d</w:t>
      </w:r>
      <w:r w:rsidR="00434ACB">
        <w:t>es informations fournies par l’</w:t>
      </w:r>
      <w:r w:rsidR="00151845">
        <w:t>É</w:t>
      </w:r>
      <w:r w:rsidR="00434ACB">
        <w:t xml:space="preserve">tat partie sur les mesures prises </w:t>
      </w:r>
      <w:r w:rsidR="00757957">
        <w:t>en vue de protéger</w:t>
      </w:r>
      <w:r w:rsidR="00434ACB">
        <w:t xml:space="preserve"> </w:t>
      </w:r>
      <w:r w:rsidR="00757957">
        <w:t>l</w:t>
      </w:r>
      <w:r w:rsidR="00434ACB">
        <w:t>es victimes de la traite d</w:t>
      </w:r>
      <w:r w:rsidR="00B81D64">
        <w:t>’</w:t>
      </w:r>
      <w:r w:rsidR="00434ACB">
        <w:t>êtres humains</w:t>
      </w:r>
      <w:r w:rsidR="00932AC4">
        <w:t xml:space="preserve">. Toutefois, </w:t>
      </w:r>
      <w:r w:rsidR="00434ACB">
        <w:t xml:space="preserve">le Comité </w:t>
      </w:r>
      <w:r w:rsidR="00757957">
        <w:t>r</w:t>
      </w:r>
      <w:r w:rsidR="00434ACB">
        <w:t>est</w:t>
      </w:r>
      <w:r w:rsidR="00757957">
        <w:t>e</w:t>
      </w:r>
      <w:r w:rsidR="00434ACB">
        <w:t xml:space="preserve"> préoccupé </w:t>
      </w:r>
      <w:r w:rsidR="00757957">
        <w:t xml:space="preserve">devant </w:t>
      </w:r>
      <w:r w:rsidR="00434ACB">
        <w:t>l</w:t>
      </w:r>
      <w:r w:rsidR="00757957">
        <w:t xml:space="preserve">es moyens </w:t>
      </w:r>
      <w:r w:rsidR="00434ACB">
        <w:t>insuffisan</w:t>
      </w:r>
      <w:r w:rsidR="00757957">
        <w:t>ts mis en pla</w:t>
      </w:r>
      <w:r w:rsidR="00434ACB">
        <w:t xml:space="preserve">ce </w:t>
      </w:r>
      <w:r w:rsidR="00757957">
        <w:t xml:space="preserve">pour </w:t>
      </w:r>
      <w:r w:rsidR="00434ACB">
        <w:t>assist</w:t>
      </w:r>
      <w:r w:rsidR="00757957">
        <w:t xml:space="preserve">er les </w:t>
      </w:r>
      <w:r w:rsidR="00434ACB">
        <w:t xml:space="preserve">victimes de la traite d’êtres humains, </w:t>
      </w:r>
      <w:r w:rsidR="00757957">
        <w:t xml:space="preserve">y compris </w:t>
      </w:r>
      <w:r w:rsidR="00434ACB">
        <w:t xml:space="preserve">le fait que les permis de séjour ne sont accordés aux victimes que si </w:t>
      </w:r>
      <w:r w:rsidR="00757957">
        <w:t>c</w:t>
      </w:r>
      <w:r w:rsidR="00434ACB">
        <w:t>elles</w:t>
      </w:r>
      <w:r w:rsidR="00757957">
        <w:t>-ci</w:t>
      </w:r>
      <w:r w:rsidR="00434ACB">
        <w:t xml:space="preserve"> collaborent avec les autorités judiciaires. Le Comité </w:t>
      </w:r>
      <w:r w:rsidR="00757957">
        <w:t xml:space="preserve">juge </w:t>
      </w:r>
      <w:r w:rsidR="00434ACB">
        <w:t>également préoccup</w:t>
      </w:r>
      <w:r w:rsidR="00757957">
        <w:t>ant le fait que les</w:t>
      </w:r>
      <w:r w:rsidR="00434ACB">
        <w:t xml:space="preserve"> ressources allouées dans ce domaine</w:t>
      </w:r>
      <w:r w:rsidR="00757957">
        <w:t xml:space="preserve"> demeurent insuffisantes</w:t>
      </w:r>
      <w:r w:rsidR="00434ACB">
        <w:t xml:space="preserve"> (art.</w:t>
      </w:r>
      <w:r w:rsidR="0067158A">
        <w:t xml:space="preserve"> </w:t>
      </w:r>
      <w:r w:rsidR="00434ACB">
        <w:t xml:space="preserve">8). </w:t>
      </w:r>
    </w:p>
    <w:p w:rsidR="00434ACB" w:rsidRDefault="00434ACB" w:rsidP="00EF53B9">
      <w:pPr>
        <w:pStyle w:val="SingleTxtG"/>
        <w:ind w:firstLine="567"/>
        <w:rPr>
          <w:b/>
        </w:rPr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>État partie devrait envisager de modifier sa législation d</w:t>
      </w:r>
      <w:r w:rsidR="004E0FE8">
        <w:rPr>
          <w:b/>
        </w:rPr>
        <w:t>e sorte d’</w:t>
      </w:r>
      <w:r>
        <w:rPr>
          <w:b/>
        </w:rPr>
        <w:t xml:space="preserve">octroyer </w:t>
      </w:r>
      <w:r w:rsidR="00A2004E">
        <w:rPr>
          <w:b/>
        </w:rPr>
        <w:t>le</w:t>
      </w:r>
      <w:r w:rsidR="00B81D64">
        <w:rPr>
          <w:b/>
        </w:rPr>
        <w:t xml:space="preserve"> </w:t>
      </w:r>
      <w:r>
        <w:rPr>
          <w:b/>
        </w:rPr>
        <w:t xml:space="preserve">permis de séjour </w:t>
      </w:r>
      <w:r w:rsidR="00B81D64">
        <w:rPr>
          <w:b/>
        </w:rPr>
        <w:t xml:space="preserve">aux victimes de la traite d’êtres humains </w:t>
      </w:r>
      <w:r>
        <w:rPr>
          <w:b/>
        </w:rPr>
        <w:t xml:space="preserve">sans </w:t>
      </w:r>
      <w:r w:rsidR="004E0FE8">
        <w:rPr>
          <w:b/>
        </w:rPr>
        <w:t xml:space="preserve">l’assortir de la </w:t>
      </w:r>
      <w:r>
        <w:rPr>
          <w:b/>
        </w:rPr>
        <w:t xml:space="preserve">condition </w:t>
      </w:r>
      <w:r w:rsidR="004E0FE8">
        <w:rPr>
          <w:b/>
        </w:rPr>
        <w:t>d</w:t>
      </w:r>
      <w:r w:rsidR="00D14AFB">
        <w:rPr>
          <w:b/>
        </w:rPr>
        <w:t>e leur</w:t>
      </w:r>
      <w:r w:rsidR="004E0FE8">
        <w:rPr>
          <w:b/>
        </w:rPr>
        <w:t xml:space="preserve"> coopération</w:t>
      </w:r>
      <w:r w:rsidR="005516A8">
        <w:rPr>
          <w:b/>
        </w:rPr>
        <w:t xml:space="preserve"> </w:t>
      </w:r>
      <w:r>
        <w:rPr>
          <w:b/>
        </w:rPr>
        <w:t>avec les autorités judiciaires</w:t>
      </w:r>
      <w:r w:rsidR="004E0FE8">
        <w:rPr>
          <w:b/>
        </w:rPr>
        <w:t xml:space="preserve">. Il devrait en outre </w:t>
      </w:r>
      <w:r>
        <w:rPr>
          <w:b/>
        </w:rPr>
        <w:t xml:space="preserve">renforcer </w:t>
      </w:r>
      <w:r w:rsidR="00B81D64">
        <w:rPr>
          <w:b/>
        </w:rPr>
        <w:t>l’</w:t>
      </w:r>
      <w:r>
        <w:rPr>
          <w:b/>
        </w:rPr>
        <w:t xml:space="preserve">assistance </w:t>
      </w:r>
      <w:r w:rsidR="00D14AFB">
        <w:rPr>
          <w:b/>
        </w:rPr>
        <w:t>aux</w:t>
      </w:r>
      <w:r>
        <w:rPr>
          <w:b/>
        </w:rPr>
        <w:t xml:space="preserve"> victimes. L’</w:t>
      </w:r>
      <w:r w:rsidR="00151845">
        <w:rPr>
          <w:b/>
        </w:rPr>
        <w:t>É</w:t>
      </w:r>
      <w:r>
        <w:rPr>
          <w:b/>
        </w:rPr>
        <w:t xml:space="preserve">tat </w:t>
      </w:r>
      <w:r w:rsidR="00B81D64">
        <w:rPr>
          <w:b/>
        </w:rPr>
        <w:t xml:space="preserve">partie </w:t>
      </w:r>
      <w:r>
        <w:rPr>
          <w:b/>
        </w:rPr>
        <w:t xml:space="preserve">devrait également augmenter les ressources qu’il alloue aux programmes et </w:t>
      </w:r>
      <w:r w:rsidR="0060314B">
        <w:rPr>
          <w:b/>
        </w:rPr>
        <w:t xml:space="preserve">aux </w:t>
      </w:r>
      <w:r>
        <w:rPr>
          <w:b/>
        </w:rPr>
        <w:t>plans de prévention et de lutte contre la traite d’êtres humains.</w:t>
      </w:r>
    </w:p>
    <w:p w:rsidR="008B6AB7" w:rsidRDefault="00DE2337" w:rsidP="00DE2337">
      <w:pPr>
        <w:pStyle w:val="SingleTxtG"/>
      </w:pPr>
      <w:r>
        <w:t>17.</w:t>
      </w:r>
      <w:r>
        <w:tab/>
      </w:r>
      <w:r w:rsidR="008B6AB7" w:rsidRPr="00407A04">
        <w:t xml:space="preserve">Le Comité </w:t>
      </w:r>
      <w:r w:rsidR="00265FD1">
        <w:t>juge</w:t>
      </w:r>
      <w:r w:rsidR="00265FD1" w:rsidRPr="00407A04">
        <w:t xml:space="preserve"> </w:t>
      </w:r>
      <w:r w:rsidR="008B6AB7" w:rsidRPr="00407A04">
        <w:t>préoccup</w:t>
      </w:r>
      <w:r w:rsidR="00265FD1">
        <w:t>ant</w:t>
      </w:r>
      <w:r w:rsidR="00794149">
        <w:t xml:space="preserve"> </w:t>
      </w:r>
      <w:r w:rsidR="00265FD1">
        <w:t xml:space="preserve">le fait </w:t>
      </w:r>
      <w:r w:rsidR="00794149">
        <w:t xml:space="preserve">que </w:t>
      </w:r>
      <w:r w:rsidR="0060314B">
        <w:t>les</w:t>
      </w:r>
      <w:r w:rsidR="00794149">
        <w:t xml:space="preserve"> personnes détenues</w:t>
      </w:r>
      <w:r w:rsidR="00265FD1">
        <w:t>,</w:t>
      </w:r>
      <w:r w:rsidR="00794149">
        <w:t xml:space="preserve"> tant dans le cadre d</w:t>
      </w:r>
      <w:r w:rsidR="00265FD1">
        <w:t>’</w:t>
      </w:r>
      <w:r w:rsidR="0060314B">
        <w:t xml:space="preserve">une </w:t>
      </w:r>
      <w:r w:rsidR="00794149">
        <w:t xml:space="preserve">arrestation judiciaire </w:t>
      </w:r>
      <w:r w:rsidR="00265FD1">
        <w:t>ou</w:t>
      </w:r>
      <w:r w:rsidR="00932AC4">
        <w:t xml:space="preserve"> </w:t>
      </w:r>
      <w:r w:rsidR="00794149">
        <w:t>administrative</w:t>
      </w:r>
      <w:r w:rsidR="00932AC4">
        <w:t xml:space="preserve"> que</w:t>
      </w:r>
      <w:r w:rsidR="005E143A">
        <w:t xml:space="preserve"> </w:t>
      </w:r>
      <w:r w:rsidR="00265FD1">
        <w:t xml:space="preserve">dans celui </w:t>
      </w:r>
      <w:r w:rsidR="005E143A">
        <w:t>d</w:t>
      </w:r>
      <w:r w:rsidR="0060314B">
        <w:t>’un</w:t>
      </w:r>
      <w:r w:rsidR="005E143A">
        <w:t>e garde à vue</w:t>
      </w:r>
      <w:r w:rsidR="00265FD1">
        <w:t>,</w:t>
      </w:r>
      <w:r w:rsidR="00265FD1" w:rsidRPr="00265FD1">
        <w:t xml:space="preserve"> </w:t>
      </w:r>
      <w:r w:rsidR="0060314B">
        <w:t xml:space="preserve">n’ont toujours pas la garantie d’accès à un avocat </w:t>
      </w:r>
      <w:r w:rsidR="00265FD1">
        <w:t xml:space="preserve">dès les premières heures de </w:t>
      </w:r>
      <w:r w:rsidR="006F716D">
        <w:t xml:space="preserve">la </w:t>
      </w:r>
      <w:r w:rsidR="00265FD1">
        <w:t>privation de liberté</w:t>
      </w:r>
      <w:r w:rsidR="00794149">
        <w:t xml:space="preserve">. Le Comité </w:t>
      </w:r>
      <w:r w:rsidR="0060314B">
        <w:t xml:space="preserve">note </w:t>
      </w:r>
      <w:r w:rsidR="00794149">
        <w:t xml:space="preserve">également </w:t>
      </w:r>
      <w:r w:rsidR="0060314B">
        <w:t xml:space="preserve">avec </w:t>
      </w:r>
      <w:r w:rsidR="00794149">
        <w:t>préoccup</w:t>
      </w:r>
      <w:r w:rsidR="0060314B">
        <w:t xml:space="preserve">ation </w:t>
      </w:r>
      <w:r w:rsidR="00794149">
        <w:t>que le droit d’accès à un médecin n</w:t>
      </w:r>
      <w:r w:rsidR="00944624">
        <w:t>’est</w:t>
      </w:r>
      <w:r w:rsidR="00794149">
        <w:t xml:space="preserve"> toujours pas prévu de façon exp</w:t>
      </w:r>
      <w:r w:rsidR="00932AC4">
        <w:t>licite</w:t>
      </w:r>
      <w:r w:rsidR="00794149">
        <w:t xml:space="preserve"> </w:t>
      </w:r>
      <w:r w:rsidR="00A97E82">
        <w:t>pour</w:t>
      </w:r>
      <w:r w:rsidR="00794149">
        <w:t xml:space="preserve"> </w:t>
      </w:r>
      <w:r w:rsidR="00A97E82">
        <w:t>l</w:t>
      </w:r>
      <w:r w:rsidR="00794149">
        <w:t xml:space="preserve">es arrestations judiciaires </w:t>
      </w:r>
      <w:r w:rsidR="0021791B">
        <w:t>(art. 7, 9 et 14)</w:t>
      </w:r>
      <w:r w:rsidR="00EF5970">
        <w:t>.</w:t>
      </w:r>
    </w:p>
    <w:p w:rsidR="00434ACB" w:rsidRDefault="00EF5970" w:rsidP="00EF53B9">
      <w:pPr>
        <w:pStyle w:val="SingleTxtG"/>
        <w:ind w:firstLine="567"/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 xml:space="preserve">État partie devrait </w:t>
      </w:r>
      <w:r>
        <w:rPr>
          <w:b/>
        </w:rPr>
        <w:t xml:space="preserve">prendre </w:t>
      </w:r>
      <w:r w:rsidR="00394CE1">
        <w:rPr>
          <w:b/>
        </w:rPr>
        <w:t xml:space="preserve">toutes </w:t>
      </w:r>
      <w:r>
        <w:rPr>
          <w:b/>
        </w:rPr>
        <w:t xml:space="preserve">les mesures nécessaires </w:t>
      </w:r>
      <w:r w:rsidR="00FA2222">
        <w:rPr>
          <w:b/>
        </w:rPr>
        <w:t xml:space="preserve">en vue de </w:t>
      </w:r>
      <w:r>
        <w:rPr>
          <w:b/>
        </w:rPr>
        <w:t xml:space="preserve">garantir l’accès à un avocat dès les premières heures </w:t>
      </w:r>
      <w:r w:rsidR="00FA2222">
        <w:rPr>
          <w:b/>
        </w:rPr>
        <w:t>de la privation</w:t>
      </w:r>
      <w:r>
        <w:rPr>
          <w:b/>
        </w:rPr>
        <w:t xml:space="preserve"> de liberté</w:t>
      </w:r>
      <w:r w:rsidR="00FA2222">
        <w:rPr>
          <w:b/>
        </w:rPr>
        <w:t>,</w:t>
      </w:r>
      <w:r>
        <w:rPr>
          <w:b/>
        </w:rPr>
        <w:t xml:space="preserve"> </w:t>
      </w:r>
      <w:r w:rsidR="007A4B55">
        <w:rPr>
          <w:b/>
        </w:rPr>
        <w:t xml:space="preserve">tant </w:t>
      </w:r>
      <w:r>
        <w:rPr>
          <w:b/>
        </w:rPr>
        <w:t>dans le cadre de</w:t>
      </w:r>
      <w:r w:rsidR="00FA2222">
        <w:rPr>
          <w:b/>
        </w:rPr>
        <w:t xml:space="preserve"> l’</w:t>
      </w:r>
      <w:r>
        <w:rPr>
          <w:b/>
        </w:rPr>
        <w:t>arrestation judiciaire</w:t>
      </w:r>
      <w:r w:rsidR="007A4B55">
        <w:rPr>
          <w:b/>
        </w:rPr>
        <w:t xml:space="preserve"> </w:t>
      </w:r>
      <w:r w:rsidR="00FA2222">
        <w:rPr>
          <w:b/>
        </w:rPr>
        <w:t xml:space="preserve">ou </w:t>
      </w:r>
      <w:r w:rsidR="007A4B55">
        <w:rPr>
          <w:b/>
        </w:rPr>
        <w:t xml:space="preserve">administrative que </w:t>
      </w:r>
      <w:r w:rsidR="00FA2222">
        <w:rPr>
          <w:b/>
        </w:rPr>
        <w:t xml:space="preserve">dans celui </w:t>
      </w:r>
      <w:r w:rsidR="007A4B55">
        <w:rPr>
          <w:b/>
        </w:rPr>
        <w:t>de la garde à vue</w:t>
      </w:r>
      <w:r>
        <w:rPr>
          <w:b/>
        </w:rPr>
        <w:t>, ainsi qu</w:t>
      </w:r>
      <w:r w:rsidR="005F07B5">
        <w:rPr>
          <w:b/>
        </w:rPr>
        <w:t xml:space="preserve">e le </w:t>
      </w:r>
      <w:r>
        <w:rPr>
          <w:b/>
        </w:rPr>
        <w:t>droit d’accès systématique à un médecin.</w:t>
      </w:r>
    </w:p>
    <w:p w:rsidR="00EF5970" w:rsidRDefault="00DE2337" w:rsidP="00DE2337">
      <w:pPr>
        <w:pStyle w:val="SingleTxtG"/>
      </w:pPr>
      <w:r>
        <w:t>18.</w:t>
      </w:r>
      <w:r>
        <w:tab/>
      </w:r>
      <w:r w:rsidR="00D75635">
        <w:t xml:space="preserve">Le Comité </w:t>
      </w:r>
      <w:r w:rsidR="00590DB5">
        <w:t>juge</w:t>
      </w:r>
      <w:r w:rsidR="00944624">
        <w:t xml:space="preserve"> </w:t>
      </w:r>
      <w:r w:rsidR="00D75635">
        <w:t>préoccup</w:t>
      </w:r>
      <w:r w:rsidR="0060314B">
        <w:t>a</w:t>
      </w:r>
      <w:r w:rsidR="00590DB5">
        <w:t xml:space="preserve">ntes </w:t>
      </w:r>
      <w:r w:rsidR="00D75635">
        <w:t>les conditions de détention dans les prisons belges, en particulier</w:t>
      </w:r>
      <w:r w:rsidR="0060314B">
        <w:t xml:space="preserve"> </w:t>
      </w:r>
      <w:r w:rsidR="00D75635">
        <w:t>la surpopulation carcérale</w:t>
      </w:r>
      <w:r w:rsidR="00A51E40">
        <w:t>,</w:t>
      </w:r>
      <w:r w:rsidR="00D75635">
        <w:t xml:space="preserve"> dont le taux s’élève à 150 pour cent dans certaines prisons, la vétusté des bâtiments et </w:t>
      </w:r>
      <w:r w:rsidR="00590DB5">
        <w:t xml:space="preserve">l’absence parfois de </w:t>
      </w:r>
      <w:r w:rsidR="00326239">
        <w:t xml:space="preserve">toute </w:t>
      </w:r>
      <w:r w:rsidR="00590DB5">
        <w:t>séparation d</w:t>
      </w:r>
      <w:r w:rsidR="00461743">
        <w:t>es</w:t>
      </w:r>
      <w:r w:rsidR="00D75635">
        <w:t xml:space="preserve"> détenus </w:t>
      </w:r>
      <w:r w:rsidR="00590DB5">
        <w:t>en fonction du</w:t>
      </w:r>
      <w:r w:rsidR="00D75635">
        <w:t xml:space="preserve"> régime de détention. Le Comité </w:t>
      </w:r>
      <w:r w:rsidR="00367D3A">
        <w:t xml:space="preserve">juge </w:t>
      </w:r>
      <w:r w:rsidR="00D75635">
        <w:t>également préoccup</w:t>
      </w:r>
      <w:r w:rsidR="00367D3A">
        <w:t xml:space="preserve">ant </w:t>
      </w:r>
      <w:r w:rsidR="00D75635">
        <w:t xml:space="preserve">le fait que les dispositions de la </w:t>
      </w:r>
      <w:r w:rsidR="00950AF1">
        <w:t>l</w:t>
      </w:r>
      <w:r w:rsidR="00D75635">
        <w:t>oi Dupont relatives au droit de plainte des détenus ne sont toujours pas entrées en vigueur (art. 7</w:t>
      </w:r>
      <w:r w:rsidR="00950AF1">
        <w:t xml:space="preserve"> et</w:t>
      </w:r>
      <w:r w:rsidR="00D75635">
        <w:t xml:space="preserve"> 10).</w:t>
      </w:r>
    </w:p>
    <w:p w:rsidR="008B6AB7" w:rsidRDefault="00D75635" w:rsidP="00DE2337">
      <w:pPr>
        <w:pStyle w:val="SingleTxtG"/>
      </w:pPr>
      <w:r>
        <w:t xml:space="preserve"> </w:t>
      </w:r>
      <w:r w:rsidR="00EF53B9">
        <w:tab/>
      </w:r>
      <w:r w:rsidR="00EF5970" w:rsidRPr="00407A04">
        <w:rPr>
          <w:b/>
        </w:rPr>
        <w:t>L</w:t>
      </w:r>
      <w:r w:rsidR="00EF5970">
        <w:rPr>
          <w:b/>
        </w:rPr>
        <w:t>’</w:t>
      </w:r>
      <w:r w:rsidR="00EF5970" w:rsidRPr="00407A04">
        <w:rPr>
          <w:b/>
        </w:rPr>
        <w:t xml:space="preserve">État partie devrait </w:t>
      </w:r>
      <w:r w:rsidR="00EF5970">
        <w:rPr>
          <w:b/>
        </w:rPr>
        <w:t xml:space="preserve">prendre toutes les mesures nécessaires </w:t>
      </w:r>
      <w:r w:rsidR="00B85E2E">
        <w:rPr>
          <w:b/>
        </w:rPr>
        <w:t xml:space="preserve">en vue </w:t>
      </w:r>
      <w:r w:rsidR="00EF5970">
        <w:rPr>
          <w:b/>
        </w:rPr>
        <w:t xml:space="preserve">d’améliorer les conditions de détention dans </w:t>
      </w:r>
      <w:r w:rsidR="00FE29A7">
        <w:rPr>
          <w:b/>
        </w:rPr>
        <w:t>s</w:t>
      </w:r>
      <w:r w:rsidR="00EF5970">
        <w:rPr>
          <w:b/>
        </w:rPr>
        <w:t xml:space="preserve">es prisons, en particulier </w:t>
      </w:r>
      <w:r w:rsidR="00B85E2E">
        <w:rPr>
          <w:b/>
        </w:rPr>
        <w:t xml:space="preserve">au regard de </w:t>
      </w:r>
      <w:r w:rsidR="00EF5970">
        <w:rPr>
          <w:b/>
        </w:rPr>
        <w:t>la surpopulation carcérale. A ce propos, outre la construction de nouveaux établissements, l’</w:t>
      </w:r>
      <w:r w:rsidR="00151845">
        <w:rPr>
          <w:b/>
        </w:rPr>
        <w:t>É</w:t>
      </w:r>
      <w:r w:rsidR="00EF5970">
        <w:rPr>
          <w:b/>
        </w:rPr>
        <w:t xml:space="preserve">tat partie devrait recourir plus souvent aux peines </w:t>
      </w:r>
      <w:r w:rsidR="00B85E2E">
        <w:rPr>
          <w:b/>
        </w:rPr>
        <w:t>de substitution</w:t>
      </w:r>
      <w:r w:rsidR="00EB3520">
        <w:rPr>
          <w:b/>
        </w:rPr>
        <w:t xml:space="preserve">, notamment la </w:t>
      </w:r>
      <w:r w:rsidR="00E04D1F">
        <w:rPr>
          <w:b/>
        </w:rPr>
        <w:t>surveillance électronique</w:t>
      </w:r>
      <w:r w:rsidR="00FE29A7">
        <w:rPr>
          <w:b/>
        </w:rPr>
        <w:t>,</w:t>
      </w:r>
      <w:r w:rsidR="00E04D1F">
        <w:rPr>
          <w:b/>
        </w:rPr>
        <w:t xml:space="preserve"> </w:t>
      </w:r>
      <w:r w:rsidR="00F55CBD">
        <w:rPr>
          <w:b/>
        </w:rPr>
        <w:t>et favoriser l</w:t>
      </w:r>
      <w:r w:rsidR="00B13751">
        <w:rPr>
          <w:b/>
        </w:rPr>
        <w:t xml:space="preserve">a </w:t>
      </w:r>
      <w:r w:rsidR="003808BE">
        <w:rPr>
          <w:b/>
        </w:rPr>
        <w:t>libération</w:t>
      </w:r>
      <w:r w:rsidR="00E04D1F">
        <w:rPr>
          <w:b/>
        </w:rPr>
        <w:t xml:space="preserve"> conditionnelle.</w:t>
      </w:r>
      <w:r w:rsidR="003D1754">
        <w:rPr>
          <w:b/>
        </w:rPr>
        <w:t xml:space="preserve"> </w:t>
      </w:r>
      <w:r w:rsidR="00944624">
        <w:rPr>
          <w:b/>
        </w:rPr>
        <w:t xml:space="preserve">Il devrait également veiller </w:t>
      </w:r>
      <w:r w:rsidR="00A51E40">
        <w:rPr>
          <w:b/>
        </w:rPr>
        <w:t xml:space="preserve">plus attentivement </w:t>
      </w:r>
      <w:r w:rsidR="00944624">
        <w:rPr>
          <w:b/>
        </w:rPr>
        <w:t>à sépar</w:t>
      </w:r>
      <w:r w:rsidR="00445B2D">
        <w:rPr>
          <w:b/>
        </w:rPr>
        <w:t>er l</w:t>
      </w:r>
      <w:r w:rsidR="00944624">
        <w:rPr>
          <w:b/>
        </w:rPr>
        <w:t xml:space="preserve">es détenus </w:t>
      </w:r>
      <w:r w:rsidR="00326239">
        <w:rPr>
          <w:b/>
        </w:rPr>
        <w:t xml:space="preserve">en fonction du </w:t>
      </w:r>
      <w:r w:rsidR="00944624">
        <w:rPr>
          <w:b/>
        </w:rPr>
        <w:t xml:space="preserve">régime de détention. </w:t>
      </w:r>
      <w:r w:rsidR="00EF5970">
        <w:rPr>
          <w:b/>
        </w:rPr>
        <w:t>L’</w:t>
      </w:r>
      <w:r w:rsidR="00151845">
        <w:rPr>
          <w:b/>
        </w:rPr>
        <w:t>É</w:t>
      </w:r>
      <w:r w:rsidR="00EF5970">
        <w:rPr>
          <w:b/>
        </w:rPr>
        <w:t xml:space="preserve">tat partie devrait </w:t>
      </w:r>
      <w:r w:rsidR="00944624">
        <w:rPr>
          <w:b/>
        </w:rPr>
        <w:t xml:space="preserve">enfin </w:t>
      </w:r>
      <w:r w:rsidR="00EF5970">
        <w:rPr>
          <w:b/>
        </w:rPr>
        <w:t xml:space="preserve">accélérer l’entrée en vigueur des dispositions de la </w:t>
      </w:r>
      <w:r w:rsidR="00950AF1">
        <w:rPr>
          <w:b/>
        </w:rPr>
        <w:t>l</w:t>
      </w:r>
      <w:r w:rsidR="00EF5970">
        <w:rPr>
          <w:b/>
        </w:rPr>
        <w:t xml:space="preserve">oi Dupont relatives au droit de plainte des détenus auprès des Commissions des plaintes prévues </w:t>
      </w:r>
      <w:r w:rsidR="007A4B55">
        <w:rPr>
          <w:b/>
        </w:rPr>
        <w:t xml:space="preserve">à cet effet. </w:t>
      </w:r>
    </w:p>
    <w:p w:rsidR="00434ACB" w:rsidRDefault="00DE2337" w:rsidP="00DE2337">
      <w:pPr>
        <w:pStyle w:val="SingleTxtG"/>
      </w:pPr>
      <w:r>
        <w:t>19.</w:t>
      </w:r>
      <w:r>
        <w:tab/>
      </w:r>
      <w:r w:rsidR="00434ACB" w:rsidRPr="00407A04">
        <w:t xml:space="preserve">Le Comité </w:t>
      </w:r>
      <w:r w:rsidR="00326239">
        <w:t>r</w:t>
      </w:r>
      <w:r w:rsidR="00434ACB" w:rsidRPr="00407A04">
        <w:t>est</w:t>
      </w:r>
      <w:r w:rsidR="00326239">
        <w:t>e</w:t>
      </w:r>
      <w:r w:rsidR="00434ACB" w:rsidRPr="00407A04">
        <w:t xml:space="preserve"> préoccupé </w:t>
      </w:r>
      <w:r w:rsidR="00326239">
        <w:t>devant</w:t>
      </w:r>
      <w:r w:rsidR="00326239" w:rsidRPr="00407A04">
        <w:t xml:space="preserve"> </w:t>
      </w:r>
      <w:r w:rsidR="005E143A">
        <w:t xml:space="preserve">la pratique </w:t>
      </w:r>
      <w:r w:rsidR="00434ACB">
        <w:t xml:space="preserve">de </w:t>
      </w:r>
      <w:r w:rsidR="00326239">
        <w:t xml:space="preserve">la </w:t>
      </w:r>
      <w:r w:rsidR="00434ACB">
        <w:t xml:space="preserve">détention des malades mentaux dans les prisons et </w:t>
      </w:r>
      <w:r w:rsidR="00326239">
        <w:t xml:space="preserve">les </w:t>
      </w:r>
      <w:r w:rsidR="00434ACB">
        <w:t xml:space="preserve">annexes psychiatriques des prisons belges, </w:t>
      </w:r>
      <w:r w:rsidR="00326239">
        <w:t>et</w:t>
      </w:r>
      <w:r w:rsidR="00434ACB">
        <w:t xml:space="preserve"> </w:t>
      </w:r>
      <w:r w:rsidR="00326239">
        <w:t xml:space="preserve">devant </w:t>
      </w:r>
      <w:r w:rsidR="00434ACB">
        <w:t>la longue période d’attente qu</w:t>
      </w:r>
      <w:r w:rsidR="00326239">
        <w:t xml:space="preserve">i leur est imposée </w:t>
      </w:r>
      <w:r w:rsidR="00434ACB">
        <w:t xml:space="preserve">avant </w:t>
      </w:r>
      <w:r w:rsidR="00326239">
        <w:t xml:space="preserve">leur </w:t>
      </w:r>
      <w:r w:rsidR="00434ACB">
        <w:t>transfert dans les établissements de défense sociale (EDS) (</w:t>
      </w:r>
      <w:r w:rsidR="005E346F">
        <w:t xml:space="preserve">art. </w:t>
      </w:r>
      <w:r w:rsidR="00434ACB">
        <w:t>7, 9</w:t>
      </w:r>
      <w:r w:rsidR="00950AF1">
        <w:t xml:space="preserve"> et</w:t>
      </w:r>
      <w:r w:rsidR="00434ACB">
        <w:t xml:space="preserve"> 10). </w:t>
      </w:r>
    </w:p>
    <w:p w:rsidR="00434ACB" w:rsidRDefault="00434ACB" w:rsidP="00EF53B9">
      <w:pPr>
        <w:pStyle w:val="SingleTxtG"/>
        <w:ind w:firstLine="567"/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>État partie devrait</w:t>
      </w:r>
      <w:r>
        <w:rPr>
          <w:b/>
        </w:rPr>
        <w:t xml:space="preserve">, </w:t>
      </w:r>
      <w:r w:rsidR="00326239">
        <w:rPr>
          <w:b/>
        </w:rPr>
        <w:t xml:space="preserve">comme </w:t>
      </w:r>
      <w:r w:rsidR="00557938">
        <w:rPr>
          <w:b/>
        </w:rPr>
        <w:t xml:space="preserve">l’a </w:t>
      </w:r>
      <w:r w:rsidR="00326239">
        <w:rPr>
          <w:b/>
        </w:rPr>
        <w:t xml:space="preserve">recommandé </w:t>
      </w:r>
      <w:r>
        <w:rPr>
          <w:b/>
        </w:rPr>
        <w:t xml:space="preserve">le Comité dans ses précédentes observations finales, </w:t>
      </w:r>
      <w:r w:rsidR="00557938" w:rsidRPr="00407A04">
        <w:rPr>
          <w:b/>
        </w:rPr>
        <w:t>veiller</w:t>
      </w:r>
      <w:r w:rsidR="00557938">
        <w:rPr>
          <w:b/>
        </w:rPr>
        <w:t xml:space="preserve"> </w:t>
      </w:r>
      <w:r>
        <w:rPr>
          <w:b/>
        </w:rPr>
        <w:t>à mettre fin à la pratique</w:t>
      </w:r>
      <w:r w:rsidR="005E143A">
        <w:rPr>
          <w:b/>
        </w:rPr>
        <w:t xml:space="preserve"> de </w:t>
      </w:r>
      <w:r w:rsidR="00557938">
        <w:rPr>
          <w:b/>
        </w:rPr>
        <w:t xml:space="preserve">la </w:t>
      </w:r>
      <w:r w:rsidR="005E143A">
        <w:rPr>
          <w:b/>
        </w:rPr>
        <w:t>détention des malades mentaux dans les prisons et les annexes psychiatriques</w:t>
      </w:r>
      <w:r>
        <w:rPr>
          <w:b/>
        </w:rPr>
        <w:t xml:space="preserve">. Il devrait </w:t>
      </w:r>
      <w:r w:rsidR="00793209">
        <w:rPr>
          <w:b/>
        </w:rPr>
        <w:t>également</w:t>
      </w:r>
      <w:r>
        <w:rPr>
          <w:b/>
        </w:rPr>
        <w:t xml:space="preserve"> </w:t>
      </w:r>
      <w:r w:rsidR="00557938">
        <w:rPr>
          <w:b/>
        </w:rPr>
        <w:t xml:space="preserve">augmenter le nombre des </w:t>
      </w:r>
      <w:r>
        <w:rPr>
          <w:b/>
        </w:rPr>
        <w:t>places d’internement dans les établissements de défense sociale et</w:t>
      </w:r>
      <w:r w:rsidR="00F55CBD">
        <w:rPr>
          <w:b/>
        </w:rPr>
        <w:t xml:space="preserve"> </w:t>
      </w:r>
      <w:r w:rsidR="00557938">
        <w:rPr>
          <w:b/>
        </w:rPr>
        <w:t xml:space="preserve">améliorer </w:t>
      </w:r>
      <w:r w:rsidR="000B1482">
        <w:rPr>
          <w:b/>
        </w:rPr>
        <w:t>les conditions de vie des malades</w:t>
      </w:r>
      <w:r>
        <w:rPr>
          <w:b/>
        </w:rPr>
        <w:t xml:space="preserve">. </w:t>
      </w:r>
    </w:p>
    <w:p w:rsidR="005E143A" w:rsidRDefault="00DE2337" w:rsidP="00DE2337">
      <w:pPr>
        <w:pStyle w:val="SingleTxtG"/>
      </w:pPr>
      <w:r>
        <w:t>20.</w:t>
      </w:r>
      <w:r>
        <w:tab/>
      </w:r>
      <w:r w:rsidR="009D1706">
        <w:t xml:space="preserve">Le Comité </w:t>
      </w:r>
      <w:r w:rsidR="00D24E02">
        <w:t xml:space="preserve">prend </w:t>
      </w:r>
      <w:r w:rsidR="00E90602">
        <w:t xml:space="preserve">note avec </w:t>
      </w:r>
      <w:r w:rsidR="00055E2A">
        <w:t>préoccup</w:t>
      </w:r>
      <w:r w:rsidR="00E90602">
        <w:t>ation</w:t>
      </w:r>
      <w:r w:rsidR="005E143A">
        <w:t>:</w:t>
      </w:r>
    </w:p>
    <w:p w:rsidR="005E143A" w:rsidRDefault="00DE2337" w:rsidP="00DE2337">
      <w:pPr>
        <w:pStyle w:val="SingleTxtG"/>
        <w:ind w:left="1701"/>
      </w:pPr>
      <w:r>
        <w:t>a)</w:t>
      </w:r>
      <w:r>
        <w:tab/>
      </w:r>
      <w:r w:rsidR="00D24E02">
        <w:t>D</w:t>
      </w:r>
      <w:r w:rsidR="007F7E08">
        <w:t xml:space="preserve">es informations </w:t>
      </w:r>
      <w:r w:rsidR="00A51E40">
        <w:t xml:space="preserve">faisant état </w:t>
      </w:r>
      <w:r w:rsidR="007F7E08">
        <w:t>d</w:t>
      </w:r>
      <w:r w:rsidR="005B75E2">
        <w:t>e l’</w:t>
      </w:r>
      <w:r w:rsidR="003D5D9E">
        <w:t xml:space="preserve">emploi </w:t>
      </w:r>
      <w:r w:rsidR="007F7E08">
        <w:t>d</w:t>
      </w:r>
      <w:r w:rsidR="005B75E2">
        <w:t>’un</w:t>
      </w:r>
      <w:r w:rsidR="007F7E08">
        <w:t xml:space="preserve">e violence excessive </w:t>
      </w:r>
      <w:r w:rsidR="005B75E2">
        <w:t xml:space="preserve">à </w:t>
      </w:r>
      <w:r w:rsidR="007F7E08">
        <w:t>l</w:t>
      </w:r>
      <w:r w:rsidR="005B75E2">
        <w:t>’en</w:t>
      </w:r>
      <w:r w:rsidR="001C2817">
        <w:t xml:space="preserve">droit </w:t>
      </w:r>
      <w:r w:rsidR="005B75E2">
        <w:t>d</w:t>
      </w:r>
      <w:r w:rsidR="007F7E08">
        <w:t>es</w:t>
      </w:r>
      <w:r>
        <w:t xml:space="preserve"> </w:t>
      </w:r>
      <w:r w:rsidR="007F7E08">
        <w:t xml:space="preserve">étrangers </w:t>
      </w:r>
      <w:r w:rsidR="007F46FC">
        <w:t xml:space="preserve">tombés </w:t>
      </w:r>
      <w:r w:rsidR="007F7E08">
        <w:t>sous le coup d’une mesure d’éloignement du territoire de l’</w:t>
      </w:r>
      <w:r w:rsidR="00151845">
        <w:t>É</w:t>
      </w:r>
      <w:r w:rsidR="007F7E08">
        <w:t xml:space="preserve">tat partie </w:t>
      </w:r>
      <w:r w:rsidR="005B75E2">
        <w:t xml:space="preserve">et placés </w:t>
      </w:r>
      <w:r w:rsidR="007C29AE">
        <w:t xml:space="preserve">dans </w:t>
      </w:r>
      <w:r w:rsidR="005B75E2">
        <w:t>d</w:t>
      </w:r>
      <w:r w:rsidR="007C29AE">
        <w:t>es centres fermés ou lors de l’éloignement</w:t>
      </w:r>
      <w:r w:rsidR="005E143A">
        <w:t>;</w:t>
      </w:r>
    </w:p>
    <w:p w:rsidR="00944624" w:rsidRDefault="00DE2337" w:rsidP="00DE2337">
      <w:pPr>
        <w:pStyle w:val="SingleTxtG"/>
        <w:ind w:left="1701"/>
      </w:pPr>
      <w:r>
        <w:t>b)</w:t>
      </w:r>
      <w:r>
        <w:tab/>
      </w:r>
      <w:r w:rsidR="00D24E02">
        <w:t>D</w:t>
      </w:r>
      <w:r w:rsidR="007F46FC">
        <w:t xml:space="preserve">e la </w:t>
      </w:r>
      <w:r w:rsidR="007F7E08">
        <w:t>diffic</w:t>
      </w:r>
      <w:r w:rsidR="007F46FC">
        <w:t xml:space="preserve">ulté pour </w:t>
      </w:r>
      <w:r w:rsidR="007F7E08">
        <w:t xml:space="preserve">ces personnes de porter plainte </w:t>
      </w:r>
      <w:r w:rsidR="003D5D9E">
        <w:t xml:space="preserve">en raison </w:t>
      </w:r>
      <w:r w:rsidR="006966D7">
        <w:t xml:space="preserve">de leur statut </w:t>
      </w:r>
      <w:r w:rsidR="007F7E08">
        <w:t xml:space="preserve">et </w:t>
      </w:r>
      <w:r w:rsidR="006221AD">
        <w:t xml:space="preserve">de voir </w:t>
      </w:r>
      <w:r w:rsidR="007F7E08">
        <w:t>leurs plaintes abouti</w:t>
      </w:r>
      <w:r w:rsidR="006221AD">
        <w:t xml:space="preserve">r devant </w:t>
      </w:r>
      <w:r w:rsidR="007C29AE">
        <w:t>la Commission des plaintes</w:t>
      </w:r>
      <w:r w:rsidR="007F7E08">
        <w:t>, soit parce qu</w:t>
      </w:r>
      <w:r w:rsidR="00A51E40">
        <w:t xml:space="preserve">e ces personnes </w:t>
      </w:r>
      <w:r w:rsidR="007F7E08">
        <w:t xml:space="preserve">sont accusées de rébellion soit parce que leur éloignement ne favorise </w:t>
      </w:r>
      <w:r w:rsidR="00A51E40">
        <w:t xml:space="preserve">pas </w:t>
      </w:r>
      <w:r w:rsidR="007F7E08">
        <w:t xml:space="preserve">l’établissement de </w:t>
      </w:r>
      <w:r w:rsidR="006221AD">
        <w:t xml:space="preserve">la </w:t>
      </w:r>
      <w:r w:rsidR="007F7E08">
        <w:t>preuve et la poursuite des responsables</w:t>
      </w:r>
      <w:r w:rsidR="005E143A">
        <w:t xml:space="preserve"> (art. 2, 7, 10</w:t>
      </w:r>
      <w:r w:rsidR="00950AF1">
        <w:t xml:space="preserve"> et</w:t>
      </w:r>
      <w:r w:rsidR="005E143A">
        <w:t xml:space="preserve"> 26)</w:t>
      </w:r>
      <w:r w:rsidR="007F7E08">
        <w:t xml:space="preserve">. </w:t>
      </w:r>
    </w:p>
    <w:p w:rsidR="00944624" w:rsidRDefault="00944624" w:rsidP="00EF53B9">
      <w:pPr>
        <w:pStyle w:val="SingleTxtG"/>
        <w:ind w:firstLine="567"/>
      </w:pPr>
      <w:r w:rsidRPr="002C7CBC">
        <w:rPr>
          <w:b/>
        </w:rPr>
        <w:t xml:space="preserve">L’État partie devrait </w:t>
      </w:r>
      <w:r w:rsidR="003D5D9E" w:rsidRPr="002C7CBC">
        <w:rPr>
          <w:b/>
        </w:rPr>
        <w:t xml:space="preserve">prendre toutes </w:t>
      </w:r>
      <w:r w:rsidRPr="002C7CBC">
        <w:rPr>
          <w:b/>
        </w:rPr>
        <w:t>les mes</w:t>
      </w:r>
      <w:r w:rsidR="00826029" w:rsidRPr="002C7CBC">
        <w:rPr>
          <w:b/>
        </w:rPr>
        <w:t>ures nécessaires afin d’éviter</w:t>
      </w:r>
      <w:r w:rsidRPr="002C7CBC">
        <w:rPr>
          <w:b/>
        </w:rPr>
        <w:t xml:space="preserve"> l’</w:t>
      </w:r>
      <w:r w:rsidR="003D5D9E" w:rsidRPr="002C7CBC">
        <w:rPr>
          <w:b/>
        </w:rPr>
        <w:t xml:space="preserve">emploi </w:t>
      </w:r>
      <w:r w:rsidRPr="002C7CBC">
        <w:rPr>
          <w:b/>
        </w:rPr>
        <w:t>de la violence à l’</w:t>
      </w:r>
      <w:r w:rsidR="006819E9" w:rsidRPr="002C7CBC">
        <w:rPr>
          <w:b/>
        </w:rPr>
        <w:t xml:space="preserve">endroit </w:t>
      </w:r>
      <w:r w:rsidRPr="002C7CBC">
        <w:rPr>
          <w:b/>
        </w:rPr>
        <w:t xml:space="preserve">des étrangers </w:t>
      </w:r>
      <w:r w:rsidR="001856CC" w:rsidRPr="002C7CBC">
        <w:rPr>
          <w:b/>
        </w:rPr>
        <w:t xml:space="preserve">tombés </w:t>
      </w:r>
      <w:r w:rsidRPr="002C7CBC">
        <w:rPr>
          <w:b/>
        </w:rPr>
        <w:t>sous le coup d’une mesur</w:t>
      </w:r>
      <w:r w:rsidR="00826029" w:rsidRPr="002C7CBC">
        <w:rPr>
          <w:b/>
        </w:rPr>
        <w:t>e d’éloignement</w:t>
      </w:r>
      <w:r w:rsidR="002C7CBC">
        <w:rPr>
          <w:b/>
        </w:rPr>
        <w:t>;</w:t>
      </w:r>
      <w:r w:rsidR="00D171B5" w:rsidRPr="002C7CBC">
        <w:rPr>
          <w:b/>
        </w:rPr>
        <w:t xml:space="preserve"> </w:t>
      </w:r>
      <w:r w:rsidR="002C7CBC">
        <w:rPr>
          <w:b/>
        </w:rPr>
        <w:t xml:space="preserve">il devrait </w:t>
      </w:r>
      <w:r w:rsidRPr="002C7CBC">
        <w:rPr>
          <w:b/>
        </w:rPr>
        <w:t xml:space="preserve">leur </w:t>
      </w:r>
      <w:r w:rsidR="006966D7" w:rsidRPr="002C7CBC">
        <w:rPr>
          <w:b/>
        </w:rPr>
        <w:t xml:space="preserve">garantir </w:t>
      </w:r>
      <w:r w:rsidR="003D5D9E" w:rsidRPr="002C7CBC">
        <w:rPr>
          <w:b/>
        </w:rPr>
        <w:t>de pouvoir</w:t>
      </w:r>
      <w:r w:rsidR="006966D7" w:rsidRPr="002C7CBC">
        <w:rPr>
          <w:b/>
        </w:rPr>
        <w:t xml:space="preserve"> </w:t>
      </w:r>
      <w:r w:rsidRPr="002C7CBC">
        <w:rPr>
          <w:b/>
        </w:rPr>
        <w:t>porter plainte</w:t>
      </w:r>
      <w:r w:rsidR="000B1482" w:rsidRPr="002C7CBC">
        <w:rPr>
          <w:b/>
        </w:rPr>
        <w:t xml:space="preserve"> </w:t>
      </w:r>
      <w:r w:rsidRPr="002C7CBC">
        <w:rPr>
          <w:b/>
        </w:rPr>
        <w:t>en cas de mauvais traitements auprès de la Commission des plaintes</w:t>
      </w:r>
      <w:r w:rsidR="00D767AE" w:rsidRPr="002C7CBC">
        <w:rPr>
          <w:b/>
        </w:rPr>
        <w:t xml:space="preserve">, </w:t>
      </w:r>
      <w:r w:rsidR="002C7CBC" w:rsidRPr="002C7CBC">
        <w:rPr>
          <w:b/>
        </w:rPr>
        <w:t>qui</w:t>
      </w:r>
      <w:r w:rsidR="009450BC" w:rsidRPr="002C7CBC">
        <w:rPr>
          <w:b/>
        </w:rPr>
        <w:t xml:space="preserve"> a pour </w:t>
      </w:r>
      <w:r w:rsidR="00D767AE" w:rsidRPr="002C7CBC">
        <w:rPr>
          <w:b/>
        </w:rPr>
        <w:t xml:space="preserve">mission </w:t>
      </w:r>
      <w:r w:rsidR="00D171B5" w:rsidRPr="002C7CBC">
        <w:rPr>
          <w:b/>
        </w:rPr>
        <w:t xml:space="preserve">de </w:t>
      </w:r>
      <w:r w:rsidRPr="002C7CBC">
        <w:rPr>
          <w:b/>
        </w:rPr>
        <w:t xml:space="preserve">poursuivre et </w:t>
      </w:r>
      <w:r w:rsidR="00D171B5" w:rsidRPr="002C7CBC">
        <w:rPr>
          <w:b/>
        </w:rPr>
        <w:t xml:space="preserve">de </w:t>
      </w:r>
      <w:r w:rsidRPr="002C7CBC">
        <w:rPr>
          <w:b/>
        </w:rPr>
        <w:t>punir les responsables</w:t>
      </w:r>
      <w:r w:rsidR="00826029" w:rsidRPr="002C7CBC">
        <w:rPr>
          <w:b/>
        </w:rPr>
        <w:t>.</w:t>
      </w:r>
      <w:r w:rsidR="00826029">
        <w:rPr>
          <w:b/>
        </w:rPr>
        <w:t xml:space="preserve"> </w:t>
      </w:r>
    </w:p>
    <w:p w:rsidR="008B6AB7" w:rsidRDefault="00DE2337" w:rsidP="00DE2337">
      <w:pPr>
        <w:pStyle w:val="SingleTxtG"/>
      </w:pPr>
      <w:r>
        <w:t>21.</w:t>
      </w:r>
      <w:r>
        <w:tab/>
      </w:r>
      <w:r w:rsidR="007F7E08">
        <w:t xml:space="preserve">Le Comité </w:t>
      </w:r>
      <w:r w:rsidR="00A9544F">
        <w:t xml:space="preserve">juge </w:t>
      </w:r>
      <w:r w:rsidR="007F7E08">
        <w:t>préoccup</w:t>
      </w:r>
      <w:r w:rsidR="00A9544F">
        <w:t>antes</w:t>
      </w:r>
      <w:r w:rsidR="007F7E08">
        <w:t xml:space="preserve"> les </w:t>
      </w:r>
      <w:r w:rsidR="00163BC4">
        <w:t xml:space="preserve">allégations </w:t>
      </w:r>
      <w:r w:rsidR="008E1EAB">
        <w:t xml:space="preserve">selon lesquelles </w:t>
      </w:r>
      <w:r w:rsidR="002C7CBC">
        <w:t xml:space="preserve">les </w:t>
      </w:r>
      <w:r w:rsidR="007F7E08">
        <w:t xml:space="preserve">visites de contrôle des </w:t>
      </w:r>
      <w:r w:rsidR="00F50DA5">
        <w:t xml:space="preserve">éloignements </w:t>
      </w:r>
      <w:r w:rsidR="008E1EAB">
        <w:t>seraient insuffisantes et que l</w:t>
      </w:r>
      <w:r w:rsidR="007F7E08">
        <w:t xml:space="preserve">es organes chargés de ce contrôle </w:t>
      </w:r>
      <w:r w:rsidR="00E01ACA">
        <w:t xml:space="preserve">ne seraient pas </w:t>
      </w:r>
      <w:r w:rsidR="007F7E08">
        <w:t>indépendan</w:t>
      </w:r>
      <w:r w:rsidR="00E01ACA">
        <w:t xml:space="preserve">ts </w:t>
      </w:r>
      <w:r w:rsidR="007F7E08">
        <w:t>(art. 2, 7</w:t>
      </w:r>
      <w:r w:rsidR="00950AF1">
        <w:t xml:space="preserve"> et</w:t>
      </w:r>
      <w:r w:rsidR="007F7E08">
        <w:t xml:space="preserve"> 13). </w:t>
      </w:r>
    </w:p>
    <w:p w:rsidR="00EF5970" w:rsidRDefault="00EF5970" w:rsidP="00925DF8">
      <w:pPr>
        <w:pStyle w:val="SingleTxtG"/>
        <w:ind w:firstLine="567"/>
      </w:pPr>
      <w:r>
        <w:rPr>
          <w:b/>
        </w:rPr>
        <w:t>L’</w:t>
      </w:r>
      <w:r w:rsidR="00950AF1">
        <w:rPr>
          <w:b/>
        </w:rPr>
        <w:t>É</w:t>
      </w:r>
      <w:r>
        <w:rPr>
          <w:b/>
        </w:rPr>
        <w:t xml:space="preserve">tat partie devrait </w:t>
      </w:r>
      <w:r w:rsidR="00826029">
        <w:rPr>
          <w:b/>
        </w:rPr>
        <w:t>accroître les contrôles</w:t>
      </w:r>
      <w:r w:rsidR="00F00EF2">
        <w:rPr>
          <w:b/>
        </w:rPr>
        <w:t xml:space="preserve"> </w:t>
      </w:r>
      <w:r w:rsidR="00A2004E">
        <w:rPr>
          <w:b/>
        </w:rPr>
        <w:t xml:space="preserve">exercés </w:t>
      </w:r>
      <w:r w:rsidR="00F00EF2">
        <w:rPr>
          <w:b/>
        </w:rPr>
        <w:t>sur</w:t>
      </w:r>
      <w:r>
        <w:rPr>
          <w:b/>
        </w:rPr>
        <w:t xml:space="preserve"> </w:t>
      </w:r>
      <w:r w:rsidR="00F00EF2">
        <w:rPr>
          <w:b/>
        </w:rPr>
        <w:t>l</w:t>
      </w:r>
      <w:r w:rsidR="00826029">
        <w:rPr>
          <w:b/>
        </w:rPr>
        <w:t xml:space="preserve">es </w:t>
      </w:r>
      <w:r w:rsidR="008868E6">
        <w:rPr>
          <w:b/>
        </w:rPr>
        <w:t>opérations d’</w:t>
      </w:r>
      <w:r>
        <w:rPr>
          <w:b/>
        </w:rPr>
        <w:t>expulsion</w:t>
      </w:r>
      <w:r w:rsidR="008868E6">
        <w:rPr>
          <w:b/>
        </w:rPr>
        <w:t xml:space="preserve"> </w:t>
      </w:r>
      <w:r>
        <w:rPr>
          <w:b/>
        </w:rPr>
        <w:t>d</w:t>
      </w:r>
      <w:r w:rsidR="00A2004E">
        <w:rPr>
          <w:b/>
        </w:rPr>
        <w:t xml:space="preserve">es </w:t>
      </w:r>
      <w:r>
        <w:rPr>
          <w:b/>
        </w:rPr>
        <w:t>étrangers et s’assurer de l</w:t>
      </w:r>
      <w:r w:rsidR="00AC4D6D">
        <w:rPr>
          <w:b/>
        </w:rPr>
        <w:t>’</w:t>
      </w:r>
      <w:r>
        <w:rPr>
          <w:b/>
        </w:rPr>
        <w:t>indépendance et de l</w:t>
      </w:r>
      <w:r w:rsidR="00AC4D6D">
        <w:rPr>
          <w:b/>
        </w:rPr>
        <w:t>’</w:t>
      </w:r>
      <w:r>
        <w:rPr>
          <w:b/>
        </w:rPr>
        <w:t>objectivité</w:t>
      </w:r>
      <w:r w:rsidR="00AC4D6D">
        <w:rPr>
          <w:b/>
        </w:rPr>
        <w:t xml:space="preserve"> des organes</w:t>
      </w:r>
      <w:r w:rsidR="00941AE3">
        <w:rPr>
          <w:b/>
        </w:rPr>
        <w:t xml:space="preserve"> chargés de ces contrôles</w:t>
      </w:r>
      <w:r>
        <w:rPr>
          <w:b/>
        </w:rPr>
        <w:t xml:space="preserve">. </w:t>
      </w:r>
    </w:p>
    <w:p w:rsidR="008B6AB7" w:rsidRDefault="00DE2337" w:rsidP="00DE2337">
      <w:pPr>
        <w:pStyle w:val="SingleTxtG"/>
      </w:pPr>
      <w:r>
        <w:t>22.</w:t>
      </w:r>
      <w:r>
        <w:tab/>
      </w:r>
      <w:r w:rsidR="00826029">
        <w:t xml:space="preserve"> Le </w:t>
      </w:r>
      <w:r w:rsidR="008F2AD7">
        <w:t xml:space="preserve">Comité </w:t>
      </w:r>
      <w:r w:rsidR="00A97881">
        <w:t xml:space="preserve">juge </w:t>
      </w:r>
      <w:r w:rsidR="008F2AD7">
        <w:t>préoccup</w:t>
      </w:r>
      <w:r w:rsidR="00A97881">
        <w:t>ant</w:t>
      </w:r>
      <w:r w:rsidR="00471272">
        <w:t>e</w:t>
      </w:r>
      <w:r w:rsidR="00A97881">
        <w:t>s</w:t>
      </w:r>
      <w:r w:rsidR="008F2AD7">
        <w:t xml:space="preserve"> la résurgence d</w:t>
      </w:r>
      <w:r w:rsidR="00471272">
        <w:t xml:space="preserve">es </w:t>
      </w:r>
      <w:r w:rsidR="008F2AD7">
        <w:t>actes antisémites</w:t>
      </w:r>
      <w:r w:rsidR="00A97881">
        <w:t xml:space="preserve"> </w:t>
      </w:r>
      <w:r w:rsidR="00471272">
        <w:t>et</w:t>
      </w:r>
      <w:r w:rsidR="008F2AD7">
        <w:t xml:space="preserve"> </w:t>
      </w:r>
      <w:r w:rsidR="008868E6">
        <w:t xml:space="preserve">des actes </w:t>
      </w:r>
      <w:r w:rsidR="008F2AD7">
        <w:t xml:space="preserve">racistes </w:t>
      </w:r>
      <w:r w:rsidR="00471272">
        <w:t>ainsi que</w:t>
      </w:r>
      <w:r w:rsidR="008F2AD7">
        <w:t xml:space="preserve"> </w:t>
      </w:r>
      <w:r w:rsidR="000B1482">
        <w:t>l</w:t>
      </w:r>
      <w:r w:rsidR="00FC143F">
        <w:t>a hauss</w:t>
      </w:r>
      <w:r w:rsidR="000B1482">
        <w:t xml:space="preserve">e </w:t>
      </w:r>
      <w:r w:rsidR="008F2AD7">
        <w:t>d</w:t>
      </w:r>
      <w:r w:rsidR="00FC143F">
        <w:t xml:space="preserve">es </w:t>
      </w:r>
      <w:r w:rsidR="00771F9D">
        <w:t xml:space="preserve">actes et </w:t>
      </w:r>
      <w:r w:rsidR="008F2AD7">
        <w:t>de</w:t>
      </w:r>
      <w:r w:rsidR="00FC143F">
        <w:t>s</w:t>
      </w:r>
      <w:r w:rsidR="008F2AD7">
        <w:t xml:space="preserve"> propos islamophobes dans l’</w:t>
      </w:r>
      <w:r w:rsidR="00950AF1">
        <w:t>É</w:t>
      </w:r>
      <w:r w:rsidR="008F2AD7">
        <w:t xml:space="preserve">tat partie. Le Comité est particulièrement préoccupé par la propagation de ce phénomène dans les médias, en particulier Internet, ainsi que par la banalisation </w:t>
      </w:r>
      <w:r w:rsidR="008868E6">
        <w:t xml:space="preserve">qui est faite </w:t>
      </w:r>
      <w:r w:rsidR="008F2AD7">
        <w:t>d</w:t>
      </w:r>
      <w:r w:rsidR="00826029">
        <w:t xml:space="preserve">u discours </w:t>
      </w:r>
      <w:r w:rsidR="008F2AD7">
        <w:t>islamophobe</w:t>
      </w:r>
      <w:r w:rsidR="00A97881">
        <w:t>,</w:t>
      </w:r>
      <w:r w:rsidR="008F2AD7">
        <w:t xml:space="preserve"> </w:t>
      </w:r>
      <w:r w:rsidR="003D1754">
        <w:t>notamment</w:t>
      </w:r>
      <w:r w:rsidR="00FF34C3">
        <w:t xml:space="preserve"> </w:t>
      </w:r>
      <w:r w:rsidR="008868E6">
        <w:t xml:space="preserve">par </w:t>
      </w:r>
      <w:r w:rsidR="008F2AD7">
        <w:t>de</w:t>
      </w:r>
      <w:r w:rsidR="008868E6">
        <w:t>s</w:t>
      </w:r>
      <w:r w:rsidR="008F2AD7">
        <w:t xml:space="preserve"> partis politiques </w:t>
      </w:r>
      <w:r w:rsidR="00FF34C3">
        <w:t xml:space="preserve">bénéficiant </w:t>
      </w:r>
      <w:r w:rsidR="008868E6">
        <w:t>de</w:t>
      </w:r>
      <w:r w:rsidR="00EB3696">
        <w:t xml:space="preserve"> financement</w:t>
      </w:r>
      <w:r w:rsidR="008868E6">
        <w:t>s</w:t>
      </w:r>
      <w:r w:rsidR="00EB3696">
        <w:t xml:space="preserve"> public</w:t>
      </w:r>
      <w:r w:rsidR="008868E6">
        <w:t>s</w:t>
      </w:r>
      <w:r w:rsidR="008F2AD7">
        <w:t xml:space="preserve">. </w:t>
      </w:r>
      <w:r w:rsidR="00D35F07">
        <w:t>Le Comité regrette que la proposition de loi visant à interdire les manifestations néonazi</w:t>
      </w:r>
      <w:r w:rsidR="00771F9D">
        <w:t>e</w:t>
      </w:r>
      <w:r w:rsidR="00D35F07">
        <w:t xml:space="preserve">s n’ait pas été </w:t>
      </w:r>
      <w:r w:rsidR="00F94A7A" w:rsidRPr="008868E6">
        <w:t>adoptée par</w:t>
      </w:r>
      <w:r w:rsidR="00D35F07" w:rsidRPr="008868E6">
        <w:t xml:space="preserve"> la</w:t>
      </w:r>
      <w:r w:rsidR="00D35F07">
        <w:t xml:space="preserve"> Chambre des représentants</w:t>
      </w:r>
      <w:r w:rsidR="00826029">
        <w:t xml:space="preserve"> </w:t>
      </w:r>
      <w:r w:rsidR="00D35F07">
        <w:t xml:space="preserve">et </w:t>
      </w:r>
      <w:r w:rsidR="00F94A7A">
        <w:t xml:space="preserve">qu’elle </w:t>
      </w:r>
      <w:r w:rsidR="00D35F07">
        <w:t>soit devenue caduque</w:t>
      </w:r>
      <w:r w:rsidR="00826029">
        <w:t xml:space="preserve"> </w:t>
      </w:r>
      <w:r w:rsidR="008F2AD7">
        <w:t>(art. 2</w:t>
      </w:r>
      <w:r w:rsidR="00950AF1">
        <w:t xml:space="preserve"> et</w:t>
      </w:r>
      <w:r w:rsidR="008F2AD7">
        <w:t xml:space="preserve"> 20). </w:t>
      </w:r>
    </w:p>
    <w:p w:rsidR="00EF5970" w:rsidRDefault="00EF5970" w:rsidP="00EF53B9">
      <w:pPr>
        <w:pStyle w:val="SingleTxtG"/>
        <w:ind w:firstLine="567"/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 xml:space="preserve">État partie devrait intensifier ses efforts </w:t>
      </w:r>
      <w:r w:rsidR="00175541">
        <w:rPr>
          <w:b/>
        </w:rPr>
        <w:t>contre</w:t>
      </w:r>
      <w:r w:rsidRPr="00407A04">
        <w:rPr>
          <w:b/>
        </w:rPr>
        <w:t xml:space="preserve"> l</w:t>
      </w:r>
      <w:r>
        <w:rPr>
          <w:b/>
        </w:rPr>
        <w:t>es actes antisémit</w:t>
      </w:r>
      <w:r w:rsidR="00B87884">
        <w:rPr>
          <w:b/>
        </w:rPr>
        <w:t>es</w:t>
      </w:r>
      <w:r>
        <w:rPr>
          <w:b/>
        </w:rPr>
        <w:t>, racis</w:t>
      </w:r>
      <w:r w:rsidR="00B87884">
        <w:rPr>
          <w:b/>
        </w:rPr>
        <w:t>t</w:t>
      </w:r>
      <w:r>
        <w:rPr>
          <w:b/>
        </w:rPr>
        <w:t>e</w:t>
      </w:r>
      <w:r w:rsidR="00B87884">
        <w:rPr>
          <w:b/>
        </w:rPr>
        <w:t>s</w:t>
      </w:r>
      <w:r>
        <w:rPr>
          <w:b/>
        </w:rPr>
        <w:t xml:space="preserve"> et islamophob</w:t>
      </w:r>
      <w:r w:rsidR="00B87884">
        <w:rPr>
          <w:b/>
        </w:rPr>
        <w:t>es</w:t>
      </w:r>
      <w:r>
        <w:rPr>
          <w:b/>
        </w:rPr>
        <w:t xml:space="preserve">, </w:t>
      </w:r>
      <w:r w:rsidR="00175541">
        <w:rPr>
          <w:b/>
        </w:rPr>
        <w:t xml:space="preserve">notamment </w:t>
      </w:r>
      <w:r w:rsidR="008B11D0">
        <w:rPr>
          <w:b/>
        </w:rPr>
        <w:t>e</w:t>
      </w:r>
      <w:r w:rsidR="00175541">
        <w:rPr>
          <w:b/>
        </w:rPr>
        <w:t>n conduisant</w:t>
      </w:r>
      <w:r w:rsidR="008B11D0">
        <w:rPr>
          <w:b/>
        </w:rPr>
        <w:t xml:space="preserve"> </w:t>
      </w:r>
      <w:r w:rsidR="00B87884">
        <w:rPr>
          <w:b/>
        </w:rPr>
        <w:t xml:space="preserve">des </w:t>
      </w:r>
      <w:r>
        <w:rPr>
          <w:b/>
        </w:rPr>
        <w:t>enquêt</w:t>
      </w:r>
      <w:r w:rsidR="00B87884">
        <w:rPr>
          <w:b/>
        </w:rPr>
        <w:t xml:space="preserve">es </w:t>
      </w:r>
      <w:r w:rsidR="00175541">
        <w:rPr>
          <w:b/>
        </w:rPr>
        <w:t>et en</w:t>
      </w:r>
      <w:r w:rsidR="00B87884">
        <w:rPr>
          <w:b/>
        </w:rPr>
        <w:t xml:space="preserve"> </w:t>
      </w:r>
      <w:r>
        <w:rPr>
          <w:b/>
        </w:rPr>
        <w:t>poursuiv</w:t>
      </w:r>
      <w:r w:rsidR="00175541">
        <w:rPr>
          <w:b/>
        </w:rPr>
        <w:t xml:space="preserve">ant </w:t>
      </w:r>
      <w:r>
        <w:rPr>
          <w:b/>
        </w:rPr>
        <w:t xml:space="preserve">et </w:t>
      </w:r>
      <w:r w:rsidR="00175541">
        <w:rPr>
          <w:b/>
        </w:rPr>
        <w:t xml:space="preserve">en </w:t>
      </w:r>
      <w:r>
        <w:rPr>
          <w:b/>
        </w:rPr>
        <w:t>puni</w:t>
      </w:r>
      <w:r w:rsidR="00175541">
        <w:rPr>
          <w:b/>
        </w:rPr>
        <w:t>ssant</w:t>
      </w:r>
      <w:r w:rsidR="00B87884">
        <w:rPr>
          <w:b/>
        </w:rPr>
        <w:t xml:space="preserve"> </w:t>
      </w:r>
      <w:r>
        <w:rPr>
          <w:b/>
        </w:rPr>
        <w:t>les responsables</w:t>
      </w:r>
      <w:r w:rsidR="00B87884">
        <w:rPr>
          <w:b/>
        </w:rPr>
        <w:t xml:space="preserve"> de </w:t>
      </w:r>
      <w:r w:rsidR="00EE3AA3">
        <w:rPr>
          <w:b/>
        </w:rPr>
        <w:t>tels</w:t>
      </w:r>
      <w:r w:rsidR="00B87884">
        <w:rPr>
          <w:b/>
        </w:rPr>
        <w:t xml:space="preserve"> actes</w:t>
      </w:r>
      <w:r>
        <w:rPr>
          <w:b/>
        </w:rPr>
        <w:t xml:space="preserve">. Il devrait </w:t>
      </w:r>
      <w:r w:rsidR="008B11D0">
        <w:rPr>
          <w:b/>
        </w:rPr>
        <w:t xml:space="preserve">persévérer </w:t>
      </w:r>
      <w:r w:rsidR="002E6263">
        <w:rPr>
          <w:b/>
        </w:rPr>
        <w:t xml:space="preserve">et combattre </w:t>
      </w:r>
      <w:r>
        <w:rPr>
          <w:b/>
        </w:rPr>
        <w:t xml:space="preserve">la propagation de ce phénomène dans les médias, en particulier Internet. </w:t>
      </w:r>
      <w:r w:rsidR="008671EE">
        <w:rPr>
          <w:b/>
        </w:rPr>
        <w:t>Enfin, l</w:t>
      </w:r>
      <w:r>
        <w:rPr>
          <w:b/>
        </w:rPr>
        <w:t>’</w:t>
      </w:r>
      <w:r w:rsidR="00950AF1">
        <w:rPr>
          <w:b/>
        </w:rPr>
        <w:t>É</w:t>
      </w:r>
      <w:r>
        <w:rPr>
          <w:b/>
        </w:rPr>
        <w:t>tat partie devrait</w:t>
      </w:r>
      <w:r w:rsidR="008671EE">
        <w:rPr>
          <w:b/>
        </w:rPr>
        <w:t xml:space="preserve"> </w:t>
      </w:r>
      <w:r w:rsidR="00426D34">
        <w:rPr>
          <w:b/>
        </w:rPr>
        <w:t>envisager</w:t>
      </w:r>
      <w:r w:rsidR="00EE3AA3">
        <w:rPr>
          <w:b/>
        </w:rPr>
        <w:t xml:space="preserve"> de soumettre</w:t>
      </w:r>
      <w:r w:rsidR="008671EE" w:rsidRPr="008671EE">
        <w:rPr>
          <w:b/>
        </w:rPr>
        <w:t xml:space="preserve"> </w:t>
      </w:r>
      <w:r w:rsidR="008671EE">
        <w:rPr>
          <w:b/>
        </w:rPr>
        <w:t>une nouvelle fois</w:t>
      </w:r>
      <w:r w:rsidR="008671EE" w:rsidRPr="00EE3AA3">
        <w:rPr>
          <w:b/>
        </w:rPr>
        <w:t xml:space="preserve"> pour examen</w:t>
      </w:r>
      <w:r>
        <w:rPr>
          <w:b/>
        </w:rPr>
        <w:t xml:space="preserve"> </w:t>
      </w:r>
      <w:r w:rsidRPr="00EE3AA3">
        <w:rPr>
          <w:b/>
        </w:rPr>
        <w:t>la proposition de loi visant à interdire les manifestations néonazies</w:t>
      </w:r>
      <w:r w:rsidR="00825F55">
        <w:rPr>
          <w:b/>
        </w:rPr>
        <w:t xml:space="preserve">, tout comme </w:t>
      </w:r>
      <w:r w:rsidR="00EE3AA3" w:rsidRPr="00EE3AA3">
        <w:rPr>
          <w:b/>
        </w:rPr>
        <w:t xml:space="preserve">de priver </w:t>
      </w:r>
      <w:r w:rsidR="00F02001" w:rsidRPr="00EE3AA3">
        <w:rPr>
          <w:b/>
        </w:rPr>
        <w:t>d</w:t>
      </w:r>
      <w:r w:rsidR="00EE3AA3" w:rsidRPr="00EE3AA3">
        <w:rPr>
          <w:b/>
        </w:rPr>
        <w:t>e</w:t>
      </w:r>
      <w:r w:rsidR="00F02001" w:rsidRPr="00EE3AA3">
        <w:rPr>
          <w:b/>
        </w:rPr>
        <w:t xml:space="preserve"> financement public </w:t>
      </w:r>
      <w:r w:rsidR="00EE3AA3" w:rsidRPr="00EE3AA3">
        <w:rPr>
          <w:b/>
        </w:rPr>
        <w:t xml:space="preserve">les </w:t>
      </w:r>
      <w:r w:rsidR="00EB3696" w:rsidRPr="00EE3AA3">
        <w:rPr>
          <w:b/>
        </w:rPr>
        <w:t xml:space="preserve">partis </w:t>
      </w:r>
      <w:r w:rsidR="00EE3AA3" w:rsidRPr="00EE3AA3">
        <w:rPr>
          <w:b/>
        </w:rPr>
        <w:t xml:space="preserve">politiques qui </w:t>
      </w:r>
      <w:r w:rsidR="003D1754" w:rsidRPr="00EE3AA3">
        <w:rPr>
          <w:b/>
        </w:rPr>
        <w:t>propagent la haine, la discrimination ou la violence.</w:t>
      </w:r>
    </w:p>
    <w:p w:rsidR="008B6AB7" w:rsidRDefault="00DE2337" w:rsidP="00DE2337">
      <w:pPr>
        <w:pStyle w:val="SingleTxtG"/>
      </w:pPr>
      <w:r w:rsidRPr="00DE2337">
        <w:t>23</w:t>
      </w:r>
      <w:r>
        <w:t>.</w:t>
      </w:r>
      <w:r>
        <w:tab/>
      </w:r>
      <w:r w:rsidR="008B6AB7" w:rsidRPr="00407A04">
        <w:t xml:space="preserve">Le Comité </w:t>
      </w:r>
      <w:r w:rsidR="00EE3AA3">
        <w:t xml:space="preserve">note avec </w:t>
      </w:r>
      <w:r w:rsidR="00856A1E">
        <w:t>préoccup</w:t>
      </w:r>
      <w:r w:rsidR="00EE3AA3">
        <w:t>ation</w:t>
      </w:r>
      <w:r w:rsidR="00510011">
        <w:t xml:space="preserve"> que malgré l</w:t>
      </w:r>
      <w:r w:rsidR="00086E4B">
        <w:t>a révision</w:t>
      </w:r>
      <w:r w:rsidR="007A4B55">
        <w:t xml:space="preserve">, </w:t>
      </w:r>
      <w:r w:rsidR="00510011">
        <w:t>en 2006</w:t>
      </w:r>
      <w:r w:rsidR="007A4B55">
        <w:t>,</w:t>
      </w:r>
      <w:r w:rsidR="00510011">
        <w:t xml:space="preserve"> de la </w:t>
      </w:r>
      <w:r w:rsidR="00950AF1">
        <w:t>l</w:t>
      </w:r>
      <w:r w:rsidR="00510011">
        <w:t xml:space="preserve">oi </w:t>
      </w:r>
      <w:r w:rsidR="00086E4B">
        <w:t xml:space="preserve">du 8 avril 1965 </w:t>
      </w:r>
      <w:r w:rsidR="00510011">
        <w:t xml:space="preserve">relative à la protection de la jeunesse, </w:t>
      </w:r>
      <w:r w:rsidR="00BF5250">
        <w:t>la loi</w:t>
      </w:r>
      <w:r w:rsidR="00510011">
        <w:t xml:space="preserve"> </w:t>
      </w:r>
      <w:r w:rsidR="00BF5250">
        <w:t xml:space="preserve">continue de </w:t>
      </w:r>
      <w:r w:rsidR="001B6E4F">
        <w:t>prévoi</w:t>
      </w:r>
      <w:r w:rsidR="00BF5250">
        <w:t xml:space="preserve">r </w:t>
      </w:r>
      <w:r w:rsidR="00510011">
        <w:t xml:space="preserve">le </w:t>
      </w:r>
      <w:r w:rsidR="00856A1E">
        <w:t>dessaisissemen</w:t>
      </w:r>
      <w:r w:rsidR="00510011">
        <w:t>t</w:t>
      </w:r>
      <w:r w:rsidR="00BF5250">
        <w:t xml:space="preserve"> </w:t>
      </w:r>
      <w:r w:rsidR="00510011">
        <w:t xml:space="preserve">qui permet de juger </w:t>
      </w:r>
      <w:r w:rsidR="00490F83">
        <w:t>d</w:t>
      </w:r>
      <w:r w:rsidR="00510011">
        <w:t>es mineurs</w:t>
      </w:r>
      <w:r w:rsidR="00856A1E">
        <w:t xml:space="preserve"> </w:t>
      </w:r>
      <w:r w:rsidR="00EE3AA3">
        <w:t xml:space="preserve">âgés </w:t>
      </w:r>
      <w:r w:rsidR="00A2004E">
        <w:t>entre</w:t>
      </w:r>
      <w:r w:rsidR="00EE3AA3">
        <w:t xml:space="preserve"> </w:t>
      </w:r>
      <w:r w:rsidR="00856A1E">
        <w:t xml:space="preserve">16 </w:t>
      </w:r>
      <w:r w:rsidR="00A2004E">
        <w:t>et</w:t>
      </w:r>
      <w:r w:rsidR="00EE3AA3">
        <w:t xml:space="preserve"> </w:t>
      </w:r>
      <w:r w:rsidR="00A20A3D">
        <w:t xml:space="preserve">18 ans </w:t>
      </w:r>
      <w:r w:rsidR="00856A1E">
        <w:t>comme des adultes (art. 14, 24</w:t>
      </w:r>
      <w:r w:rsidR="00EE3AA3">
        <w:t xml:space="preserve"> et</w:t>
      </w:r>
      <w:r w:rsidR="00856A1E">
        <w:t xml:space="preserve"> 26). </w:t>
      </w:r>
    </w:p>
    <w:p w:rsidR="008700B1" w:rsidRDefault="00CC739F" w:rsidP="00EF53B9">
      <w:pPr>
        <w:pStyle w:val="SingleTxtG"/>
        <w:ind w:firstLine="567"/>
      </w:pPr>
      <w:r w:rsidRPr="00407A04">
        <w:rPr>
          <w:b/>
        </w:rPr>
        <w:t>L</w:t>
      </w:r>
      <w:r>
        <w:rPr>
          <w:b/>
        </w:rPr>
        <w:t>’</w:t>
      </w:r>
      <w:r w:rsidRPr="00407A04">
        <w:rPr>
          <w:b/>
        </w:rPr>
        <w:t xml:space="preserve">État partie devrait revoir sa législation </w:t>
      </w:r>
      <w:r>
        <w:rPr>
          <w:b/>
        </w:rPr>
        <w:t xml:space="preserve">afin d’éviter que </w:t>
      </w:r>
      <w:r w:rsidR="00A2004E">
        <w:rPr>
          <w:b/>
        </w:rPr>
        <w:t>d</w:t>
      </w:r>
      <w:r>
        <w:rPr>
          <w:b/>
        </w:rPr>
        <w:t xml:space="preserve">es mineurs </w:t>
      </w:r>
      <w:r w:rsidR="00867ECE">
        <w:rPr>
          <w:b/>
        </w:rPr>
        <w:t xml:space="preserve">âgés </w:t>
      </w:r>
      <w:r w:rsidR="00A2004E">
        <w:rPr>
          <w:b/>
        </w:rPr>
        <w:t>entre</w:t>
      </w:r>
      <w:r w:rsidR="00867ECE">
        <w:rPr>
          <w:b/>
        </w:rPr>
        <w:t xml:space="preserve"> </w:t>
      </w:r>
      <w:r w:rsidR="008700B1">
        <w:rPr>
          <w:b/>
        </w:rPr>
        <w:t>16</w:t>
      </w:r>
      <w:r>
        <w:rPr>
          <w:b/>
        </w:rPr>
        <w:t xml:space="preserve"> </w:t>
      </w:r>
      <w:r w:rsidR="00A2004E">
        <w:rPr>
          <w:b/>
        </w:rPr>
        <w:t>et</w:t>
      </w:r>
      <w:r w:rsidR="00A20A3D">
        <w:rPr>
          <w:b/>
        </w:rPr>
        <w:t xml:space="preserve"> 18 ans </w:t>
      </w:r>
      <w:r>
        <w:rPr>
          <w:b/>
        </w:rPr>
        <w:t>puissent être jugés comme des adultes.</w:t>
      </w:r>
    </w:p>
    <w:p w:rsidR="008B6AB7" w:rsidRDefault="00DE2337" w:rsidP="00DE2337">
      <w:pPr>
        <w:pStyle w:val="SingleTxtG"/>
      </w:pPr>
      <w:r>
        <w:t>24.</w:t>
      </w:r>
      <w:r>
        <w:tab/>
      </w:r>
      <w:r w:rsidR="008B6AB7" w:rsidRPr="00407A04">
        <w:t>L</w:t>
      </w:r>
      <w:r w:rsidR="008B6AB7">
        <w:t>’</w:t>
      </w:r>
      <w:r w:rsidR="008B6AB7" w:rsidRPr="00407A04">
        <w:t xml:space="preserve">État partie devrait diffuser largement dans ses langues officielles son </w:t>
      </w:r>
      <w:r w:rsidR="00E5611C">
        <w:t>cinquième</w:t>
      </w:r>
      <w:r w:rsidR="008B6AB7" w:rsidRPr="00407A04">
        <w:t xml:space="preserve"> rapport périodique, ses réponses écrites à la liste de points</w:t>
      </w:r>
      <w:r w:rsidR="009D319C">
        <w:t xml:space="preserve"> à traiter élaborée</w:t>
      </w:r>
      <w:r w:rsidR="008B6AB7" w:rsidRPr="00407A04">
        <w:t xml:space="preserve"> par le Comité et les présentes observations finales.</w:t>
      </w:r>
    </w:p>
    <w:p w:rsidR="00CC739F" w:rsidRDefault="00DE2337" w:rsidP="00DE2337">
      <w:pPr>
        <w:pStyle w:val="SingleTxtG"/>
      </w:pPr>
      <w:r>
        <w:t>25.</w:t>
      </w:r>
      <w:r>
        <w:tab/>
      </w:r>
      <w:r w:rsidR="008B6AB7" w:rsidRPr="00407A04">
        <w:t>Conformément au paragraphe</w:t>
      </w:r>
      <w:r w:rsidR="005D66FE">
        <w:t xml:space="preserve"> </w:t>
      </w:r>
      <w:r w:rsidR="008B6AB7" w:rsidRPr="00407A04">
        <w:t>5 de l</w:t>
      </w:r>
      <w:r w:rsidR="008B6AB7">
        <w:t>’</w:t>
      </w:r>
      <w:r w:rsidR="008B6AB7" w:rsidRPr="00407A04">
        <w:t>article</w:t>
      </w:r>
      <w:r w:rsidR="005D66FE">
        <w:t xml:space="preserve"> </w:t>
      </w:r>
      <w:r w:rsidR="008B6AB7" w:rsidRPr="00407A04">
        <w:t>71 du Règlement intérieur du Comité, l</w:t>
      </w:r>
      <w:r w:rsidR="008B6AB7">
        <w:t>’</w:t>
      </w:r>
      <w:r w:rsidR="008B6AB7" w:rsidRPr="00407A04">
        <w:t>État partie devrait faire parvenir, dans un délai d</w:t>
      </w:r>
      <w:r w:rsidR="008B6AB7">
        <w:t>’</w:t>
      </w:r>
      <w:r w:rsidR="008B6AB7" w:rsidRPr="00407A04">
        <w:t xml:space="preserve">un an, des renseignements sur la situation actuelle et sur la suite </w:t>
      </w:r>
      <w:r w:rsidR="00867ECE">
        <w:t xml:space="preserve">qui aura été </w:t>
      </w:r>
      <w:r w:rsidR="008B6AB7" w:rsidRPr="00407A04">
        <w:t xml:space="preserve">donnée aux recommandations du Comité figurant </w:t>
      </w:r>
      <w:r w:rsidR="00867ECE">
        <w:t>aux</w:t>
      </w:r>
      <w:r w:rsidR="008B6AB7" w:rsidRPr="00407A04">
        <w:t xml:space="preserve"> paragraphes </w:t>
      </w:r>
      <w:r w:rsidR="000F1170">
        <w:t xml:space="preserve">14, 17 </w:t>
      </w:r>
      <w:r w:rsidR="008B6AB7" w:rsidRPr="00407A04">
        <w:t>et</w:t>
      </w:r>
      <w:r w:rsidR="000F1170">
        <w:t xml:space="preserve"> 21 </w:t>
      </w:r>
      <w:r w:rsidR="008B6AB7" w:rsidRPr="00407A04">
        <w:t>ci-dessus.</w:t>
      </w:r>
    </w:p>
    <w:p w:rsidR="008B6AB7" w:rsidRDefault="00DE2337" w:rsidP="00DE2337">
      <w:pPr>
        <w:pStyle w:val="SingleTxtG"/>
      </w:pPr>
      <w:r>
        <w:t>26.</w:t>
      </w:r>
      <w:r>
        <w:tab/>
      </w:r>
      <w:r w:rsidR="008B6AB7" w:rsidRPr="00407A04">
        <w:t>Le Comité prie l</w:t>
      </w:r>
      <w:r w:rsidR="008B6AB7">
        <w:t>’</w:t>
      </w:r>
      <w:r w:rsidR="008B6AB7" w:rsidRPr="00407A04">
        <w:t xml:space="preserve">État partie de faire figurer dans son </w:t>
      </w:r>
      <w:r w:rsidR="00CA6850">
        <w:t>sixième</w:t>
      </w:r>
      <w:r w:rsidR="008B6AB7" w:rsidRPr="00407A04">
        <w:t xml:space="preserve"> rapport périodique, attendu </w:t>
      </w:r>
      <w:r w:rsidR="00867ECE">
        <w:t>au plus tard</w:t>
      </w:r>
      <w:r w:rsidR="00CA6850">
        <w:t xml:space="preserve"> </w:t>
      </w:r>
      <w:r w:rsidR="00F963AD">
        <w:t xml:space="preserve">le </w:t>
      </w:r>
      <w:r w:rsidR="00E03E7A">
        <w:t>31 octobre</w:t>
      </w:r>
      <w:r w:rsidR="00F963AD">
        <w:t xml:space="preserve"> 2015</w:t>
      </w:r>
      <w:r w:rsidR="008B6AB7" w:rsidRPr="00407A04">
        <w:t>, des renseignements sur la suite qu</w:t>
      </w:r>
      <w:r w:rsidR="008B6AB7">
        <w:t>’</w:t>
      </w:r>
      <w:r w:rsidR="008B6AB7" w:rsidRPr="00407A04">
        <w:t>il aura donnée aux autres recommandations et sur l</w:t>
      </w:r>
      <w:r w:rsidR="008B6AB7">
        <w:t>’</w:t>
      </w:r>
      <w:r w:rsidR="008B6AB7" w:rsidRPr="00407A04">
        <w:t>application du Pacte dans son ensemble.</w:t>
      </w:r>
    </w:p>
    <w:p w:rsidR="00764D0A" w:rsidRDefault="00764D0A" w:rsidP="00DE2337">
      <w:pPr>
        <w:pStyle w:val="SingleTxtG"/>
      </w:pPr>
    </w:p>
    <w:p w:rsidR="00764D0A" w:rsidRDefault="00764D0A" w:rsidP="00DE2337">
      <w:pPr>
        <w:pStyle w:val="SingleTxtG"/>
      </w:pPr>
    </w:p>
    <w:p w:rsidR="008B6AB7" w:rsidRPr="00764D0A" w:rsidRDefault="008B6AB7" w:rsidP="008B6AB7">
      <w:pPr>
        <w:pStyle w:val="SingleTxtG"/>
        <w:spacing w:before="240" w:after="0"/>
        <w:jc w:val="center"/>
        <w:rPr>
          <w:sz w:val="24"/>
          <w:szCs w:val="24"/>
          <w:u w:val="single"/>
        </w:rPr>
      </w:pPr>
      <w:r w:rsidRPr="00764D0A">
        <w:rPr>
          <w:sz w:val="24"/>
          <w:szCs w:val="24"/>
          <w:u w:val="single"/>
        </w:rPr>
        <w:tab/>
      </w:r>
      <w:r w:rsidRPr="00764D0A">
        <w:rPr>
          <w:sz w:val="24"/>
          <w:szCs w:val="24"/>
          <w:u w:val="single"/>
        </w:rPr>
        <w:tab/>
      </w:r>
      <w:r w:rsidRPr="00764D0A">
        <w:rPr>
          <w:sz w:val="24"/>
          <w:szCs w:val="24"/>
          <w:u w:val="single"/>
        </w:rPr>
        <w:tab/>
      </w:r>
    </w:p>
    <w:sectPr w:rsidR="008B6AB7" w:rsidRPr="00764D0A" w:rsidSect="008B6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22" w:rsidRDefault="008D6B22"/>
  </w:endnote>
  <w:endnote w:type="continuationSeparator" w:id="0">
    <w:p w:rsidR="008D6B22" w:rsidRDefault="008D6B22"/>
  </w:endnote>
  <w:endnote w:type="continuationNotice" w:id="1">
    <w:p w:rsidR="008D6B22" w:rsidRDefault="008D6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72" w:rsidRPr="008B6AB7" w:rsidRDefault="00471272" w:rsidP="00291D90">
    <w:pPr>
      <w:pStyle w:val="Footer"/>
      <w:tabs>
        <w:tab w:val="right" w:pos="9638"/>
      </w:tabs>
    </w:pPr>
    <w:r w:rsidRPr="008B6AB7">
      <w:rPr>
        <w:b/>
        <w:sz w:val="18"/>
      </w:rPr>
      <w:fldChar w:fldCharType="begin"/>
    </w:r>
    <w:r w:rsidRPr="008B6AB7">
      <w:rPr>
        <w:b/>
        <w:sz w:val="18"/>
      </w:rPr>
      <w:instrText xml:space="preserve"> PAGE  \* MERGEFORMAT </w:instrText>
    </w:r>
    <w:r w:rsidRPr="008B6AB7">
      <w:rPr>
        <w:b/>
        <w:sz w:val="18"/>
      </w:rPr>
      <w:fldChar w:fldCharType="separate"/>
    </w:r>
    <w:r w:rsidR="00EE38AE">
      <w:rPr>
        <w:b/>
        <w:noProof/>
        <w:sz w:val="18"/>
      </w:rPr>
      <w:t>2</w:t>
    </w:r>
    <w:r w:rsidRPr="008B6AB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72" w:rsidRPr="008B6AB7" w:rsidRDefault="00471272" w:rsidP="008B6AB7">
    <w:pPr>
      <w:pStyle w:val="Footer"/>
      <w:tabs>
        <w:tab w:val="right" w:pos="9638"/>
      </w:tabs>
      <w:rPr>
        <w:b/>
        <w:sz w:val="18"/>
      </w:rPr>
    </w:pPr>
    <w:r>
      <w:tab/>
    </w:r>
    <w:r w:rsidRPr="008B6AB7">
      <w:rPr>
        <w:b/>
        <w:sz w:val="18"/>
      </w:rPr>
      <w:fldChar w:fldCharType="begin"/>
    </w:r>
    <w:r w:rsidRPr="008B6AB7">
      <w:rPr>
        <w:b/>
        <w:sz w:val="18"/>
      </w:rPr>
      <w:instrText xml:space="preserve"> PAGE  \* MERGEFORMAT </w:instrText>
    </w:r>
    <w:r w:rsidRPr="008B6AB7">
      <w:rPr>
        <w:b/>
        <w:sz w:val="18"/>
      </w:rPr>
      <w:fldChar w:fldCharType="separate"/>
    </w:r>
    <w:r w:rsidR="00EE38AE">
      <w:rPr>
        <w:b/>
        <w:noProof/>
        <w:sz w:val="18"/>
      </w:rPr>
      <w:t>5</w:t>
    </w:r>
    <w:r w:rsidRPr="008B6A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72" w:rsidRDefault="00471272" w:rsidP="00925DF8">
    <w:pPr>
      <w:pStyle w:val="Footer"/>
    </w:pPr>
    <w:r>
      <w:rPr>
        <w:sz w:val="20"/>
      </w:rPr>
      <w:t>GE.</w:t>
    </w:r>
    <w:r w:rsidR="00EE38AE">
      <w:rPr>
        <w:sz w:val="20"/>
      </w:rPr>
      <w:t>10-46713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22" w:rsidRPr="00D27D5E" w:rsidRDefault="008D6B2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6B22" w:rsidRPr="00091505" w:rsidRDefault="008D6B22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8D6B22" w:rsidRDefault="008D6B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72" w:rsidRPr="008B6AB7" w:rsidRDefault="00471272" w:rsidP="00DE2337">
    <w:pPr>
      <w:pStyle w:val="Header"/>
    </w:pPr>
    <w:r>
      <w:t>CCPR/</w:t>
    </w:r>
    <w:r w:rsidRPr="00DE2337">
      <w:rPr>
        <w:lang w:val="en-US"/>
      </w:rPr>
      <w:t>/C/BEL/CO/5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72" w:rsidRPr="00313028" w:rsidRDefault="00471272" w:rsidP="00313028">
    <w:pPr>
      <w:pStyle w:val="Header"/>
      <w:jc w:val="right"/>
      <w:rPr>
        <w:lang w:val="en-US"/>
      </w:rPr>
    </w:pPr>
    <w:r w:rsidRPr="00313028">
      <w:rPr>
        <w:lang w:val="en-US"/>
      </w:rPr>
      <w:t>CCPR/C/BEL/CO/5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90" w:rsidRDefault="00291D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E2AC0"/>
    <w:multiLevelType w:val="hybridMultilevel"/>
    <w:tmpl w:val="DD3A91B2"/>
    <w:lvl w:ilvl="0" w:tplc="EF9E1C2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 w:val="0"/>
        <w:bCs/>
      </w:rPr>
    </w:lvl>
    <w:lvl w:ilvl="1" w:tplc="0784B5E2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5850A43"/>
    <w:multiLevelType w:val="hybridMultilevel"/>
    <w:tmpl w:val="96604FCC"/>
    <w:lvl w:ilvl="0" w:tplc="76D2CCD4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>
    <w:nsid w:val="67255135"/>
    <w:multiLevelType w:val="hybridMultilevel"/>
    <w:tmpl w:val="4410987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6AEF0EF9"/>
    <w:multiLevelType w:val="hybridMultilevel"/>
    <w:tmpl w:val="14763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8E59FE"/>
    <w:multiLevelType w:val="hybridMultilevel"/>
    <w:tmpl w:val="5AE0A87A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8A0"/>
    <w:rsid w:val="00003A27"/>
    <w:rsid w:val="00006CED"/>
    <w:rsid w:val="00016AC5"/>
    <w:rsid w:val="00017E34"/>
    <w:rsid w:val="0002157A"/>
    <w:rsid w:val="00034F6B"/>
    <w:rsid w:val="000355CF"/>
    <w:rsid w:val="00044482"/>
    <w:rsid w:val="0005533C"/>
    <w:rsid w:val="00055E2A"/>
    <w:rsid w:val="000578DC"/>
    <w:rsid w:val="00062D23"/>
    <w:rsid w:val="00083F85"/>
    <w:rsid w:val="000846FC"/>
    <w:rsid w:val="00086E4B"/>
    <w:rsid w:val="00091505"/>
    <w:rsid w:val="00092681"/>
    <w:rsid w:val="000958AB"/>
    <w:rsid w:val="000A147A"/>
    <w:rsid w:val="000A3FFD"/>
    <w:rsid w:val="000B1482"/>
    <w:rsid w:val="000D252F"/>
    <w:rsid w:val="000D3F70"/>
    <w:rsid w:val="000E30D9"/>
    <w:rsid w:val="000F1170"/>
    <w:rsid w:val="000F41F2"/>
    <w:rsid w:val="00104F3D"/>
    <w:rsid w:val="00146B80"/>
    <w:rsid w:val="00151845"/>
    <w:rsid w:val="001552B7"/>
    <w:rsid w:val="00160540"/>
    <w:rsid w:val="00163BC4"/>
    <w:rsid w:val="001710C9"/>
    <w:rsid w:val="00175541"/>
    <w:rsid w:val="001856CC"/>
    <w:rsid w:val="0018682E"/>
    <w:rsid w:val="00187649"/>
    <w:rsid w:val="00192EEB"/>
    <w:rsid w:val="0019588D"/>
    <w:rsid w:val="001A20FB"/>
    <w:rsid w:val="001A5D3A"/>
    <w:rsid w:val="001B102E"/>
    <w:rsid w:val="001B6E4F"/>
    <w:rsid w:val="001C2817"/>
    <w:rsid w:val="001C3080"/>
    <w:rsid w:val="001C6083"/>
    <w:rsid w:val="001C76D1"/>
    <w:rsid w:val="001C77C9"/>
    <w:rsid w:val="001D003B"/>
    <w:rsid w:val="001D3D02"/>
    <w:rsid w:val="001D7F8A"/>
    <w:rsid w:val="001E3FEB"/>
    <w:rsid w:val="001E4A02"/>
    <w:rsid w:val="001F25C4"/>
    <w:rsid w:val="0020432F"/>
    <w:rsid w:val="00212111"/>
    <w:rsid w:val="0021711F"/>
    <w:rsid w:val="00217124"/>
    <w:rsid w:val="0021791B"/>
    <w:rsid w:val="00225A8C"/>
    <w:rsid w:val="0026326C"/>
    <w:rsid w:val="002659F1"/>
    <w:rsid w:val="00265FD1"/>
    <w:rsid w:val="002827AB"/>
    <w:rsid w:val="0028639C"/>
    <w:rsid w:val="00287E79"/>
    <w:rsid w:val="00290395"/>
    <w:rsid w:val="00291D90"/>
    <w:rsid w:val="002928F9"/>
    <w:rsid w:val="002A5D07"/>
    <w:rsid w:val="002B45C5"/>
    <w:rsid w:val="002B7D22"/>
    <w:rsid w:val="002C7CBC"/>
    <w:rsid w:val="002D520D"/>
    <w:rsid w:val="002E0222"/>
    <w:rsid w:val="002E0CC3"/>
    <w:rsid w:val="002E1A7F"/>
    <w:rsid w:val="002E6263"/>
    <w:rsid w:val="003016B7"/>
    <w:rsid w:val="00313028"/>
    <w:rsid w:val="00326239"/>
    <w:rsid w:val="003275BF"/>
    <w:rsid w:val="00330A6D"/>
    <w:rsid w:val="00335F09"/>
    <w:rsid w:val="003515AA"/>
    <w:rsid w:val="00351CE9"/>
    <w:rsid w:val="00366F5B"/>
    <w:rsid w:val="00367D3A"/>
    <w:rsid w:val="00374106"/>
    <w:rsid w:val="00380459"/>
    <w:rsid w:val="003808BE"/>
    <w:rsid w:val="0039478C"/>
    <w:rsid w:val="00394CE1"/>
    <w:rsid w:val="003976D5"/>
    <w:rsid w:val="00397889"/>
    <w:rsid w:val="003A698C"/>
    <w:rsid w:val="003B0FA2"/>
    <w:rsid w:val="003B6DD2"/>
    <w:rsid w:val="003C64A5"/>
    <w:rsid w:val="003D1754"/>
    <w:rsid w:val="003D5D6E"/>
    <w:rsid w:val="003D5D9E"/>
    <w:rsid w:val="003D6C68"/>
    <w:rsid w:val="003E2574"/>
    <w:rsid w:val="003E5C72"/>
    <w:rsid w:val="003F7176"/>
    <w:rsid w:val="00413931"/>
    <w:rsid w:val="004159D0"/>
    <w:rsid w:val="00425D63"/>
    <w:rsid w:val="00426D34"/>
    <w:rsid w:val="00434ACB"/>
    <w:rsid w:val="00440BF2"/>
    <w:rsid w:val="0044393E"/>
    <w:rsid w:val="00445B2D"/>
    <w:rsid w:val="004500D8"/>
    <w:rsid w:val="0045189B"/>
    <w:rsid w:val="00461743"/>
    <w:rsid w:val="00464EEE"/>
    <w:rsid w:val="00471272"/>
    <w:rsid w:val="00483E3D"/>
    <w:rsid w:val="00490F83"/>
    <w:rsid w:val="00491320"/>
    <w:rsid w:val="00491DB8"/>
    <w:rsid w:val="00496CE6"/>
    <w:rsid w:val="004A0A02"/>
    <w:rsid w:val="004B0C9F"/>
    <w:rsid w:val="004B7DBC"/>
    <w:rsid w:val="004C2EAB"/>
    <w:rsid w:val="004C509C"/>
    <w:rsid w:val="004C70EB"/>
    <w:rsid w:val="004C7E2C"/>
    <w:rsid w:val="004E0FE8"/>
    <w:rsid w:val="004F123E"/>
    <w:rsid w:val="00502F93"/>
    <w:rsid w:val="0050799E"/>
    <w:rsid w:val="00510011"/>
    <w:rsid w:val="00510F77"/>
    <w:rsid w:val="00511D28"/>
    <w:rsid w:val="0051364F"/>
    <w:rsid w:val="00543D5E"/>
    <w:rsid w:val="00550E12"/>
    <w:rsid w:val="005516A8"/>
    <w:rsid w:val="00555321"/>
    <w:rsid w:val="00557938"/>
    <w:rsid w:val="005663F5"/>
    <w:rsid w:val="00571F41"/>
    <w:rsid w:val="00580CD0"/>
    <w:rsid w:val="00583ED1"/>
    <w:rsid w:val="00590DB5"/>
    <w:rsid w:val="005916A2"/>
    <w:rsid w:val="005971C7"/>
    <w:rsid w:val="005B75E2"/>
    <w:rsid w:val="005C00A4"/>
    <w:rsid w:val="005D66FE"/>
    <w:rsid w:val="005E143A"/>
    <w:rsid w:val="005E346F"/>
    <w:rsid w:val="005E5D1F"/>
    <w:rsid w:val="005E7A7E"/>
    <w:rsid w:val="005F07B5"/>
    <w:rsid w:val="005F4273"/>
    <w:rsid w:val="005F6112"/>
    <w:rsid w:val="0060314B"/>
    <w:rsid w:val="00610159"/>
    <w:rsid w:val="00611D43"/>
    <w:rsid w:val="00612D48"/>
    <w:rsid w:val="006165E9"/>
    <w:rsid w:val="00616B45"/>
    <w:rsid w:val="006221AD"/>
    <w:rsid w:val="00622AEC"/>
    <w:rsid w:val="006244B6"/>
    <w:rsid w:val="00625947"/>
    <w:rsid w:val="00630D9B"/>
    <w:rsid w:val="00631953"/>
    <w:rsid w:val="00642FB3"/>
    <w:rsid w:val="006439EC"/>
    <w:rsid w:val="006446B9"/>
    <w:rsid w:val="00656CA4"/>
    <w:rsid w:val="00657C6B"/>
    <w:rsid w:val="0066464B"/>
    <w:rsid w:val="00670CD5"/>
    <w:rsid w:val="0067158A"/>
    <w:rsid w:val="006819E9"/>
    <w:rsid w:val="00681B65"/>
    <w:rsid w:val="00682179"/>
    <w:rsid w:val="00683899"/>
    <w:rsid w:val="00686393"/>
    <w:rsid w:val="00690A4F"/>
    <w:rsid w:val="006966D7"/>
    <w:rsid w:val="006B2191"/>
    <w:rsid w:val="006B4590"/>
    <w:rsid w:val="006C340C"/>
    <w:rsid w:val="006C7D3A"/>
    <w:rsid w:val="006D1272"/>
    <w:rsid w:val="006E3532"/>
    <w:rsid w:val="006F716D"/>
    <w:rsid w:val="00702A52"/>
    <w:rsid w:val="0070347C"/>
    <w:rsid w:val="0070431F"/>
    <w:rsid w:val="007065F0"/>
    <w:rsid w:val="0071451B"/>
    <w:rsid w:val="007176C1"/>
    <w:rsid w:val="00725DC9"/>
    <w:rsid w:val="00737DEE"/>
    <w:rsid w:val="0074138D"/>
    <w:rsid w:val="00744281"/>
    <w:rsid w:val="00757957"/>
    <w:rsid w:val="00762AC5"/>
    <w:rsid w:val="00764D0A"/>
    <w:rsid w:val="00771F9D"/>
    <w:rsid w:val="00775D99"/>
    <w:rsid w:val="007822BA"/>
    <w:rsid w:val="00793209"/>
    <w:rsid w:val="00794149"/>
    <w:rsid w:val="00796940"/>
    <w:rsid w:val="007A4B55"/>
    <w:rsid w:val="007A4D75"/>
    <w:rsid w:val="007B3C94"/>
    <w:rsid w:val="007B621E"/>
    <w:rsid w:val="007C29AE"/>
    <w:rsid w:val="007C7846"/>
    <w:rsid w:val="007F46FC"/>
    <w:rsid w:val="007F55CB"/>
    <w:rsid w:val="007F7E08"/>
    <w:rsid w:val="00813260"/>
    <w:rsid w:val="00825F55"/>
    <w:rsid w:val="00826029"/>
    <w:rsid w:val="00830EB1"/>
    <w:rsid w:val="00844750"/>
    <w:rsid w:val="00845A43"/>
    <w:rsid w:val="00847DEC"/>
    <w:rsid w:val="00856A1E"/>
    <w:rsid w:val="00865E31"/>
    <w:rsid w:val="008671EE"/>
    <w:rsid w:val="00867ECE"/>
    <w:rsid w:val="008700B1"/>
    <w:rsid w:val="0087380E"/>
    <w:rsid w:val="00873B3C"/>
    <w:rsid w:val="00876CF9"/>
    <w:rsid w:val="008839E6"/>
    <w:rsid w:val="008868E6"/>
    <w:rsid w:val="0088787C"/>
    <w:rsid w:val="0089081A"/>
    <w:rsid w:val="00892241"/>
    <w:rsid w:val="008A1098"/>
    <w:rsid w:val="008A39ED"/>
    <w:rsid w:val="008B11D0"/>
    <w:rsid w:val="008B25B5"/>
    <w:rsid w:val="008B44C4"/>
    <w:rsid w:val="008B6AB7"/>
    <w:rsid w:val="008D1DAF"/>
    <w:rsid w:val="008D6652"/>
    <w:rsid w:val="008D6B22"/>
    <w:rsid w:val="008E1EAB"/>
    <w:rsid w:val="008E7FAE"/>
    <w:rsid w:val="008F13D0"/>
    <w:rsid w:val="008F2AD7"/>
    <w:rsid w:val="008F53ED"/>
    <w:rsid w:val="00900DB1"/>
    <w:rsid w:val="00911BF7"/>
    <w:rsid w:val="0091501F"/>
    <w:rsid w:val="00915442"/>
    <w:rsid w:val="00915B82"/>
    <w:rsid w:val="00923D26"/>
    <w:rsid w:val="00925DF8"/>
    <w:rsid w:val="00932AC4"/>
    <w:rsid w:val="009352CF"/>
    <w:rsid w:val="00941018"/>
    <w:rsid w:val="00941AE3"/>
    <w:rsid w:val="00943FD4"/>
    <w:rsid w:val="00943FFD"/>
    <w:rsid w:val="00944624"/>
    <w:rsid w:val="009450BC"/>
    <w:rsid w:val="00946605"/>
    <w:rsid w:val="00950AF1"/>
    <w:rsid w:val="00963F6A"/>
    <w:rsid w:val="00973228"/>
    <w:rsid w:val="00977EC8"/>
    <w:rsid w:val="00980311"/>
    <w:rsid w:val="00982ED2"/>
    <w:rsid w:val="00993DE6"/>
    <w:rsid w:val="009B7F7E"/>
    <w:rsid w:val="009D1706"/>
    <w:rsid w:val="009D319C"/>
    <w:rsid w:val="009D3A8C"/>
    <w:rsid w:val="009D7AF4"/>
    <w:rsid w:val="009E4F8D"/>
    <w:rsid w:val="009E7956"/>
    <w:rsid w:val="00A0020A"/>
    <w:rsid w:val="00A05EBD"/>
    <w:rsid w:val="00A2004E"/>
    <w:rsid w:val="00A20A3D"/>
    <w:rsid w:val="00A228B4"/>
    <w:rsid w:val="00A2492E"/>
    <w:rsid w:val="00A418A0"/>
    <w:rsid w:val="00A51E40"/>
    <w:rsid w:val="00A52A43"/>
    <w:rsid w:val="00A53ED8"/>
    <w:rsid w:val="00A5637B"/>
    <w:rsid w:val="00A718A4"/>
    <w:rsid w:val="00A720C2"/>
    <w:rsid w:val="00A75BCB"/>
    <w:rsid w:val="00A8370F"/>
    <w:rsid w:val="00A93DD7"/>
    <w:rsid w:val="00A9544F"/>
    <w:rsid w:val="00A97881"/>
    <w:rsid w:val="00A97E82"/>
    <w:rsid w:val="00AA3390"/>
    <w:rsid w:val="00AB3B78"/>
    <w:rsid w:val="00AB51C8"/>
    <w:rsid w:val="00AC4D6D"/>
    <w:rsid w:val="00AC67A1"/>
    <w:rsid w:val="00AC73AA"/>
    <w:rsid w:val="00AC7977"/>
    <w:rsid w:val="00AD57D3"/>
    <w:rsid w:val="00AE2A14"/>
    <w:rsid w:val="00AE352C"/>
    <w:rsid w:val="00AE3BCC"/>
    <w:rsid w:val="00AF1B43"/>
    <w:rsid w:val="00AF1CE8"/>
    <w:rsid w:val="00AF7F67"/>
    <w:rsid w:val="00B13751"/>
    <w:rsid w:val="00B150AA"/>
    <w:rsid w:val="00B30EAE"/>
    <w:rsid w:val="00B32E2D"/>
    <w:rsid w:val="00B61990"/>
    <w:rsid w:val="00B81D64"/>
    <w:rsid w:val="00B85E2E"/>
    <w:rsid w:val="00B87285"/>
    <w:rsid w:val="00B8742D"/>
    <w:rsid w:val="00B87884"/>
    <w:rsid w:val="00B93051"/>
    <w:rsid w:val="00B94C7C"/>
    <w:rsid w:val="00BA408F"/>
    <w:rsid w:val="00BC12C3"/>
    <w:rsid w:val="00BD4252"/>
    <w:rsid w:val="00BF01A5"/>
    <w:rsid w:val="00BF0556"/>
    <w:rsid w:val="00BF5250"/>
    <w:rsid w:val="00C034AA"/>
    <w:rsid w:val="00C11B7E"/>
    <w:rsid w:val="00C178FE"/>
    <w:rsid w:val="00C261F8"/>
    <w:rsid w:val="00C33100"/>
    <w:rsid w:val="00C37344"/>
    <w:rsid w:val="00C4083C"/>
    <w:rsid w:val="00C51E71"/>
    <w:rsid w:val="00C52CB3"/>
    <w:rsid w:val="00C6380A"/>
    <w:rsid w:val="00C91FB8"/>
    <w:rsid w:val="00CA6850"/>
    <w:rsid w:val="00CA6A02"/>
    <w:rsid w:val="00CB5A09"/>
    <w:rsid w:val="00CB68F8"/>
    <w:rsid w:val="00CC739F"/>
    <w:rsid w:val="00CD1A71"/>
    <w:rsid w:val="00CD1FBB"/>
    <w:rsid w:val="00CE15BB"/>
    <w:rsid w:val="00CF5128"/>
    <w:rsid w:val="00CF5681"/>
    <w:rsid w:val="00D016B5"/>
    <w:rsid w:val="00D034F1"/>
    <w:rsid w:val="00D14AFB"/>
    <w:rsid w:val="00D171B5"/>
    <w:rsid w:val="00D23D6D"/>
    <w:rsid w:val="00D24E02"/>
    <w:rsid w:val="00D27D5E"/>
    <w:rsid w:val="00D35B2D"/>
    <w:rsid w:val="00D35F07"/>
    <w:rsid w:val="00D41632"/>
    <w:rsid w:val="00D455A3"/>
    <w:rsid w:val="00D47D95"/>
    <w:rsid w:val="00D53192"/>
    <w:rsid w:val="00D6383F"/>
    <w:rsid w:val="00D7366B"/>
    <w:rsid w:val="00D75635"/>
    <w:rsid w:val="00D767AE"/>
    <w:rsid w:val="00D80796"/>
    <w:rsid w:val="00D83D71"/>
    <w:rsid w:val="00DB3460"/>
    <w:rsid w:val="00DC26C6"/>
    <w:rsid w:val="00DC587C"/>
    <w:rsid w:val="00DC75E1"/>
    <w:rsid w:val="00DD7997"/>
    <w:rsid w:val="00DE2337"/>
    <w:rsid w:val="00DE6D90"/>
    <w:rsid w:val="00DF002F"/>
    <w:rsid w:val="00DF3BF1"/>
    <w:rsid w:val="00E01ACA"/>
    <w:rsid w:val="00E0244D"/>
    <w:rsid w:val="00E03445"/>
    <w:rsid w:val="00E03E7A"/>
    <w:rsid w:val="00E04D1F"/>
    <w:rsid w:val="00E12656"/>
    <w:rsid w:val="00E144C5"/>
    <w:rsid w:val="00E368FF"/>
    <w:rsid w:val="00E5073C"/>
    <w:rsid w:val="00E50B6D"/>
    <w:rsid w:val="00E51F8D"/>
    <w:rsid w:val="00E5486D"/>
    <w:rsid w:val="00E549B0"/>
    <w:rsid w:val="00E5611C"/>
    <w:rsid w:val="00E56A45"/>
    <w:rsid w:val="00E62EFA"/>
    <w:rsid w:val="00E671A1"/>
    <w:rsid w:val="00E675FB"/>
    <w:rsid w:val="00E81517"/>
    <w:rsid w:val="00E81E94"/>
    <w:rsid w:val="00E82607"/>
    <w:rsid w:val="00E87B8C"/>
    <w:rsid w:val="00E90602"/>
    <w:rsid w:val="00E91922"/>
    <w:rsid w:val="00EB3520"/>
    <w:rsid w:val="00EB3696"/>
    <w:rsid w:val="00ED499D"/>
    <w:rsid w:val="00ED6951"/>
    <w:rsid w:val="00EE38AE"/>
    <w:rsid w:val="00EE3AA3"/>
    <w:rsid w:val="00EF53B9"/>
    <w:rsid w:val="00EF5970"/>
    <w:rsid w:val="00EF5FB9"/>
    <w:rsid w:val="00EF6C80"/>
    <w:rsid w:val="00F00DBF"/>
    <w:rsid w:val="00F00EF2"/>
    <w:rsid w:val="00F02001"/>
    <w:rsid w:val="00F02D4D"/>
    <w:rsid w:val="00F20F53"/>
    <w:rsid w:val="00F219BD"/>
    <w:rsid w:val="00F27781"/>
    <w:rsid w:val="00F27DB1"/>
    <w:rsid w:val="00F33865"/>
    <w:rsid w:val="00F3648D"/>
    <w:rsid w:val="00F400CA"/>
    <w:rsid w:val="00F41BC7"/>
    <w:rsid w:val="00F47155"/>
    <w:rsid w:val="00F50DA5"/>
    <w:rsid w:val="00F540A5"/>
    <w:rsid w:val="00F55CBD"/>
    <w:rsid w:val="00F67D28"/>
    <w:rsid w:val="00F9067F"/>
    <w:rsid w:val="00F90E5D"/>
    <w:rsid w:val="00F93BEB"/>
    <w:rsid w:val="00F94A7A"/>
    <w:rsid w:val="00F95666"/>
    <w:rsid w:val="00F963AD"/>
    <w:rsid w:val="00FA2222"/>
    <w:rsid w:val="00FA5A79"/>
    <w:rsid w:val="00FA5D12"/>
    <w:rsid w:val="00FB0BFE"/>
    <w:rsid w:val="00FB4AA5"/>
    <w:rsid w:val="00FB4C51"/>
    <w:rsid w:val="00FC143F"/>
    <w:rsid w:val="00FC15FB"/>
    <w:rsid w:val="00FC2F68"/>
    <w:rsid w:val="00FC4C3C"/>
    <w:rsid w:val="00FD13D8"/>
    <w:rsid w:val="00FE29A7"/>
    <w:rsid w:val="00FE76E6"/>
    <w:rsid w:val="00FF1DBD"/>
    <w:rsid w:val="00FF34C3"/>
    <w:rsid w:val="00FF4DB4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3E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B9305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F53ED"/>
    <w:pPr>
      <w:outlineLvl w:val="1"/>
    </w:pPr>
  </w:style>
  <w:style w:type="paragraph" w:styleId="Heading3">
    <w:name w:val="heading 3"/>
    <w:basedOn w:val="Normal"/>
    <w:next w:val="Normal"/>
    <w:qFormat/>
    <w:rsid w:val="008F53ED"/>
    <w:pPr>
      <w:outlineLvl w:val="2"/>
    </w:pPr>
  </w:style>
  <w:style w:type="paragraph" w:styleId="Heading4">
    <w:name w:val="heading 4"/>
    <w:basedOn w:val="Normal"/>
    <w:next w:val="Normal"/>
    <w:qFormat/>
    <w:rsid w:val="008F53ED"/>
    <w:pPr>
      <w:outlineLvl w:val="3"/>
    </w:pPr>
  </w:style>
  <w:style w:type="paragraph" w:styleId="Heading5">
    <w:name w:val="heading 5"/>
    <w:basedOn w:val="Normal"/>
    <w:next w:val="Normal"/>
    <w:qFormat/>
    <w:rsid w:val="008F53ED"/>
    <w:pPr>
      <w:outlineLvl w:val="4"/>
    </w:pPr>
  </w:style>
  <w:style w:type="paragraph" w:styleId="Heading6">
    <w:name w:val="heading 6"/>
    <w:basedOn w:val="Normal"/>
    <w:next w:val="Normal"/>
    <w:qFormat/>
    <w:rsid w:val="008F53ED"/>
    <w:pPr>
      <w:outlineLvl w:val="5"/>
    </w:pPr>
  </w:style>
  <w:style w:type="paragraph" w:styleId="Heading7">
    <w:name w:val="heading 7"/>
    <w:basedOn w:val="Normal"/>
    <w:next w:val="Normal"/>
    <w:qFormat/>
    <w:rsid w:val="008F53ED"/>
    <w:pPr>
      <w:outlineLvl w:val="6"/>
    </w:pPr>
  </w:style>
  <w:style w:type="paragraph" w:styleId="Heading8">
    <w:name w:val="heading 8"/>
    <w:basedOn w:val="Normal"/>
    <w:next w:val="Normal"/>
    <w:qFormat/>
    <w:rsid w:val="008F53ED"/>
    <w:pPr>
      <w:outlineLvl w:val="7"/>
    </w:pPr>
  </w:style>
  <w:style w:type="paragraph" w:styleId="Heading9">
    <w:name w:val="heading 9"/>
    <w:basedOn w:val="Normal"/>
    <w:next w:val="Normal"/>
    <w:qFormat/>
    <w:rsid w:val="008F53ED"/>
    <w:pPr>
      <w:outlineLvl w:val="8"/>
    </w:pPr>
  </w:style>
  <w:style w:type="character" w:default="1" w:styleId="DefaultParagraphFont">
    <w:name w:val="Default Paragraph Font"/>
    <w:semiHidden/>
    <w:rsid w:val="008F53E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F53ED"/>
  </w:style>
  <w:style w:type="paragraph" w:customStyle="1" w:styleId="HMG">
    <w:name w:val="_ H __M_G"/>
    <w:basedOn w:val="Normal"/>
    <w:next w:val="Normal"/>
    <w:rsid w:val="008F53E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F53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F53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F53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8F53E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F53E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F53E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F53E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8F53ED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8F53ED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8F53ED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8F53ED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8F53E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8F53E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8F53ED"/>
  </w:style>
  <w:style w:type="character" w:styleId="PageNumber">
    <w:name w:val="page number"/>
    <w:aliases w:val="7_G"/>
    <w:rsid w:val="008F53ED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8F53ED"/>
    <w:pPr>
      <w:spacing w:line="240" w:lineRule="auto"/>
    </w:pPr>
    <w:rPr>
      <w:sz w:val="16"/>
    </w:rPr>
  </w:style>
  <w:style w:type="character" w:styleId="Hyperlink">
    <w:name w:val="Hyperlink"/>
    <w:rsid w:val="00366F5B"/>
    <w:rPr>
      <w:color w:val="auto"/>
      <w:u w:val="none"/>
    </w:rPr>
  </w:style>
  <w:style w:type="character" w:styleId="FollowedHyperlink">
    <w:name w:val="FollowedHyperlink"/>
    <w:rsid w:val="00366F5B"/>
    <w:rPr>
      <w:color w:val="auto"/>
      <w:u w:val="none"/>
    </w:rPr>
  </w:style>
  <w:style w:type="paragraph" w:styleId="BalloonText">
    <w:name w:val="Balloon Text"/>
    <w:basedOn w:val="Normal"/>
    <w:semiHidden/>
    <w:rsid w:val="0051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2922</Words>
  <Characters>15668</Characters>
  <Application>Microsoft Office Word</Application>
  <DocSecurity>4</DocSecurity>
  <Lines>265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CCPR/C/CHE/CO/3</vt:lpstr>
    </vt:vector>
  </TitlesOfParts>
  <Company>CSD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CCPR/C/CHE/CO/3</dc:title>
  <dc:subject/>
  <dc:creator>IF</dc:creator>
  <cp:keywords/>
  <dc:description/>
  <cp:lastModifiedBy>DCM</cp:lastModifiedBy>
  <cp:revision>2</cp:revision>
  <cp:lastPrinted>2010-11-18T13:30:00Z</cp:lastPrinted>
  <dcterms:created xsi:type="dcterms:W3CDTF">2010-11-19T17:13:00Z</dcterms:created>
  <dcterms:modified xsi:type="dcterms:W3CDTF">2010-11-19T17:13:00Z</dcterms:modified>
</cp:coreProperties>
</file>