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5F7786"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5F7786" w:rsidRDefault="00282083" w:rsidP="00282083">
            <w:pPr>
              <w:jc w:val="right"/>
              <w:rPr>
                <w:lang w:val="en-US"/>
              </w:rPr>
            </w:pPr>
            <w:r w:rsidRPr="005F7786">
              <w:rPr>
                <w:sz w:val="40"/>
                <w:lang w:val="en-US"/>
              </w:rPr>
              <w:t>CCPR</w:t>
            </w:r>
            <w:r w:rsidRPr="005F7786">
              <w:rPr>
                <w:lang w:val="en-US"/>
              </w:rPr>
              <w:t>/C/BEL/Q/5/Add.1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282083" w:rsidRDefault="00282083" w:rsidP="00464EEE">
            <w:pPr>
              <w:spacing w:before="240"/>
            </w:pPr>
            <w:r>
              <w:t>Distr. générale</w:t>
            </w:r>
          </w:p>
          <w:p w:rsidR="00282083" w:rsidRDefault="00714F6E" w:rsidP="00282083">
            <w:pPr>
              <w:spacing w:line="240" w:lineRule="exact"/>
            </w:pPr>
            <w:r>
              <w:t>2</w:t>
            </w:r>
            <w:r w:rsidR="00B60FE5">
              <w:t>1</w:t>
            </w:r>
            <w:r>
              <w:t xml:space="preserve"> </w:t>
            </w:r>
            <w:r w:rsidR="00282083">
              <w:t>septembre 2010</w:t>
            </w:r>
          </w:p>
          <w:p w:rsidR="00282083" w:rsidRDefault="00282083" w:rsidP="00282083">
            <w:pPr>
              <w:spacing w:line="240" w:lineRule="exact"/>
            </w:pPr>
          </w:p>
          <w:p w:rsidR="00AF1CE8" w:rsidRPr="00DB58B5" w:rsidRDefault="00282083" w:rsidP="00282083">
            <w:pPr>
              <w:spacing w:line="240" w:lineRule="exact"/>
            </w:pPr>
            <w:r>
              <w:t xml:space="preserve">Original: français </w:t>
            </w:r>
          </w:p>
        </w:tc>
      </w:tr>
    </w:tbl>
    <w:p w:rsidR="00FF1DBD" w:rsidRPr="00DF3BF1" w:rsidRDefault="00DF3BF1" w:rsidP="00DF3BF1">
      <w:pPr>
        <w:spacing w:before="120"/>
        <w:rPr>
          <w:b/>
          <w:sz w:val="24"/>
          <w:szCs w:val="24"/>
        </w:rPr>
      </w:pPr>
      <w:r w:rsidRPr="00DF3BF1">
        <w:rPr>
          <w:b/>
          <w:sz w:val="24"/>
          <w:szCs w:val="24"/>
        </w:rPr>
        <w:t>Comité des droits de l’homme</w:t>
      </w:r>
    </w:p>
    <w:p w:rsidR="00220168" w:rsidRDefault="00220168" w:rsidP="00220168">
      <w:pPr>
        <w:spacing w:line="240" w:lineRule="auto"/>
        <w:rPr>
          <w:b/>
        </w:rPr>
      </w:pPr>
      <w:r>
        <w:rPr>
          <w:b/>
        </w:rPr>
        <w:t>Centième session</w:t>
      </w:r>
    </w:p>
    <w:p w:rsidR="00220168" w:rsidRDefault="00220168" w:rsidP="00220168">
      <w:r>
        <w:t>Genève, 11-29 octobre 2010</w:t>
      </w:r>
    </w:p>
    <w:p w:rsidR="00841D45" w:rsidRPr="00864C2A" w:rsidRDefault="00841D45" w:rsidP="00813C55">
      <w:pPr>
        <w:pStyle w:val="HChG"/>
      </w:pPr>
      <w:r>
        <w:tab/>
      </w:r>
      <w:r>
        <w:tab/>
        <w:t>Réponse</w:t>
      </w:r>
      <w:r w:rsidR="00813C55">
        <w:t>s écrites du Gouvernement</w:t>
      </w:r>
      <w:r>
        <w:t xml:space="preserve"> </w:t>
      </w:r>
      <w:r w:rsidRPr="00864C2A">
        <w:t xml:space="preserve">de </w:t>
      </w:r>
      <w:r w:rsidR="00813C55">
        <w:t xml:space="preserve">la Belgique à la liste de points à traiter (CCPR/C/BEL/Q/5) se rapportant </w:t>
      </w:r>
      <w:r w:rsidR="008D1CF9">
        <w:t xml:space="preserve">à </w:t>
      </w:r>
      <w:r w:rsidR="00813C55">
        <w:t>l’examen d</w:t>
      </w:r>
      <w:r w:rsidRPr="00864C2A">
        <w:t xml:space="preserve">u </w:t>
      </w:r>
      <w:r w:rsidR="00813C55">
        <w:t>cinquième</w:t>
      </w:r>
      <w:r w:rsidR="00813C55" w:rsidRPr="00864C2A">
        <w:t xml:space="preserve"> </w:t>
      </w:r>
      <w:r w:rsidRPr="00864C2A">
        <w:t xml:space="preserve">rapport périodique </w:t>
      </w:r>
      <w:r w:rsidR="00813C55">
        <w:t>de la Belgique (</w:t>
      </w:r>
      <w:r w:rsidR="00DF094C">
        <w:t>CCPR/C/BEL/5)</w:t>
      </w:r>
    </w:p>
    <w:p w:rsidR="00220168" w:rsidRDefault="00220168" w:rsidP="00220168">
      <w:pPr>
        <w:spacing w:after="240"/>
        <w:jc w:val="center"/>
        <w:rPr>
          <w:b/>
          <w:bCs/>
        </w:rPr>
      </w:pPr>
    </w:p>
    <w:p w:rsidR="00220168" w:rsidRDefault="00220168" w:rsidP="00B16118">
      <w:pPr>
        <w:spacing w:after="240"/>
        <w:jc w:val="right"/>
      </w:pPr>
      <w:r>
        <w:t>[</w:t>
      </w:r>
      <w:r w:rsidR="00DF094C">
        <w:t xml:space="preserve">Reçues le </w:t>
      </w:r>
      <w:r w:rsidR="004A0532" w:rsidRPr="00B16118">
        <w:t>20 août</w:t>
      </w:r>
      <w:r w:rsidR="004A0532">
        <w:t xml:space="preserve"> 2010</w:t>
      </w:r>
      <w:r>
        <w:t>]</w:t>
      </w:r>
    </w:p>
    <w:p w:rsidR="007A6377" w:rsidRDefault="007A6377" w:rsidP="00503F6D">
      <w:pPr>
        <w:pStyle w:val="SingleTxtG"/>
        <w:ind w:firstLine="567"/>
        <w:rPr>
          <w:b/>
          <w:bCs/>
          <w:sz w:val="28"/>
          <w:szCs w:val="28"/>
        </w:rPr>
      </w:pPr>
      <w:r>
        <w:rPr>
          <w:b/>
          <w:bCs/>
          <w:sz w:val="28"/>
          <w:szCs w:val="28"/>
        </w:rPr>
        <w:br w:type="page"/>
      </w:r>
    </w:p>
    <w:p w:rsidR="00813C55" w:rsidRDefault="00813C55" w:rsidP="00503F6D">
      <w:pPr>
        <w:pStyle w:val="SingleTxtG"/>
        <w:ind w:firstLine="567"/>
      </w:pPr>
    </w:p>
    <w:p w:rsidR="00813C55" w:rsidRPr="00340AAB" w:rsidRDefault="00813C55" w:rsidP="007A6377">
      <w:pPr>
        <w:pStyle w:val="SingleTxtG"/>
        <w:rPr>
          <w:b/>
          <w:bCs/>
        </w:rPr>
      </w:pPr>
      <w:r w:rsidRPr="00340AAB">
        <w:rPr>
          <w:b/>
          <w:bCs/>
        </w:rPr>
        <w:t>Réponse au paragraphe 1 de la liste de points à traiter (CCPR/C/BEL/Q/5)</w:t>
      </w:r>
    </w:p>
    <w:p w:rsidR="00841D45" w:rsidRPr="00805174" w:rsidRDefault="00813C55" w:rsidP="00805174">
      <w:pPr>
        <w:pStyle w:val="SingleTxtG"/>
        <w:rPr>
          <w:rStyle w:val="Emphasis"/>
          <w:rFonts w:eastAsia="Calibri"/>
          <w:i w:val="0"/>
        </w:rPr>
      </w:pPr>
      <w:r>
        <w:t>1.</w:t>
      </w:r>
      <w:r w:rsidRPr="00805174">
        <w:rPr>
          <w:rStyle w:val="Emphasis"/>
          <w:rFonts w:eastAsia="Calibri"/>
          <w:i w:val="0"/>
        </w:rPr>
        <w:tab/>
      </w:r>
      <w:r w:rsidR="00805174">
        <w:rPr>
          <w:rStyle w:val="Emphasis"/>
          <w:rFonts w:eastAsia="Calibri"/>
          <w:i w:val="0"/>
        </w:rPr>
        <w:t xml:space="preserve">Le </w:t>
      </w:r>
      <w:r w:rsidR="00805174" w:rsidRPr="00805174">
        <w:rPr>
          <w:rStyle w:val="Emphasis"/>
          <w:rFonts w:eastAsia="Calibri"/>
          <w:i w:val="0"/>
        </w:rPr>
        <w:t xml:space="preserve">Comité du Conseil de sécurité mis en place conformément à la résolution </w:t>
      </w:r>
      <w:r w:rsidR="00805174" w:rsidRPr="00805174">
        <w:rPr>
          <w:rStyle w:val="Emphasis"/>
          <w:rFonts w:eastAsia="Calibri"/>
          <w:i w:val="0"/>
        </w:rPr>
        <w:br/>
        <w:t>1267 concernant Al-Qaida, les Taliban et les individus et entités associés</w:t>
      </w:r>
      <w:r w:rsidR="00805174">
        <w:rPr>
          <w:rStyle w:val="Emphasis"/>
          <w:rFonts w:eastAsia="Calibri"/>
          <w:i w:val="0"/>
        </w:rPr>
        <w:t xml:space="preserve"> </w:t>
      </w:r>
      <w:r w:rsidR="00841D45" w:rsidRPr="00805174">
        <w:rPr>
          <w:rStyle w:val="Emphasis"/>
          <w:rFonts w:eastAsia="Calibri"/>
          <w:i w:val="0"/>
        </w:rPr>
        <w:t>a décidé le 21 juillet 2009 de radier de la liste récapitulative les noms de Mme Patricia Vinck et de M. Nabil Sayadi.</w:t>
      </w:r>
    </w:p>
    <w:p w:rsidR="00841D45" w:rsidRPr="002569CA" w:rsidRDefault="007A6377" w:rsidP="007A6377">
      <w:pPr>
        <w:pStyle w:val="SingleTxtG"/>
        <w:rPr>
          <w:rStyle w:val="Emphasis"/>
          <w:rFonts w:eastAsia="Calibri"/>
          <w:i w:val="0"/>
        </w:rPr>
      </w:pPr>
      <w:r>
        <w:rPr>
          <w:rStyle w:val="Emphasis"/>
          <w:rFonts w:eastAsia="Calibri"/>
          <w:i w:val="0"/>
        </w:rPr>
        <w:t>2.</w:t>
      </w:r>
      <w:r>
        <w:rPr>
          <w:rStyle w:val="Emphasis"/>
          <w:rFonts w:eastAsia="Calibri"/>
          <w:i w:val="0"/>
        </w:rPr>
        <w:tab/>
      </w:r>
      <w:r w:rsidR="00841D45" w:rsidRPr="002569CA">
        <w:rPr>
          <w:rStyle w:val="Emphasis"/>
          <w:rFonts w:eastAsia="Calibri"/>
          <w:i w:val="0"/>
        </w:rPr>
        <w:t xml:space="preserve">Suite au non-lieu prononcé par la </w:t>
      </w:r>
      <w:r w:rsidR="00BE7C11">
        <w:rPr>
          <w:rStyle w:val="Emphasis"/>
          <w:rFonts w:eastAsia="Calibri"/>
          <w:i w:val="0"/>
        </w:rPr>
        <w:t>j</w:t>
      </w:r>
      <w:r w:rsidR="00841D45" w:rsidRPr="002569CA">
        <w:rPr>
          <w:rStyle w:val="Emphasis"/>
          <w:rFonts w:eastAsia="Calibri"/>
          <w:i w:val="0"/>
        </w:rPr>
        <w:t xml:space="preserve">ustice belge, les autorités belges demandaient depuis février 2005 la radiation de ces 2 noms. La demande de radiation avait à nouveau été réitérée en décembre 2008. La décision prise par le Comité est l’aboutissement des démarches intenses et répétées de la Belgique auprès des délégations concernées. </w:t>
      </w:r>
    </w:p>
    <w:p w:rsidR="00841D45" w:rsidRPr="002569CA" w:rsidRDefault="007A6377" w:rsidP="00BE7C11">
      <w:pPr>
        <w:pStyle w:val="SingleTxtG"/>
        <w:rPr>
          <w:rStyle w:val="Emphasis"/>
          <w:rFonts w:eastAsia="Calibri"/>
          <w:i w:val="0"/>
        </w:rPr>
      </w:pPr>
      <w:r>
        <w:rPr>
          <w:rStyle w:val="Emphasis"/>
          <w:rFonts w:eastAsia="Calibri"/>
          <w:i w:val="0"/>
        </w:rPr>
        <w:t>3.</w:t>
      </w:r>
      <w:r>
        <w:rPr>
          <w:rStyle w:val="Emphasis"/>
          <w:rFonts w:eastAsia="Calibri"/>
          <w:i w:val="0"/>
        </w:rPr>
        <w:tab/>
      </w:r>
      <w:r w:rsidR="00841D45" w:rsidRPr="002569CA">
        <w:rPr>
          <w:rStyle w:val="Emphasis"/>
          <w:rFonts w:eastAsia="Calibri"/>
          <w:i w:val="0"/>
        </w:rPr>
        <w:t xml:space="preserve">La radiation intervenait également dans le cadre du processus de réexamen des inscriptions entamé </w:t>
      </w:r>
      <w:r w:rsidR="00BE7C11">
        <w:rPr>
          <w:rStyle w:val="Emphasis"/>
          <w:rFonts w:eastAsia="Calibri"/>
          <w:i w:val="0"/>
        </w:rPr>
        <w:t xml:space="preserve">par </w:t>
      </w:r>
      <w:r w:rsidR="00BE7C11" w:rsidRPr="002569CA">
        <w:rPr>
          <w:rStyle w:val="Emphasis"/>
          <w:rFonts w:eastAsia="Calibri"/>
          <w:i w:val="0"/>
        </w:rPr>
        <w:t xml:space="preserve">le Comité </w:t>
      </w:r>
      <w:r w:rsidR="00841D45" w:rsidRPr="002569CA">
        <w:rPr>
          <w:rStyle w:val="Emphasis"/>
          <w:rFonts w:eastAsia="Calibri"/>
          <w:i w:val="0"/>
        </w:rPr>
        <w:t>fin 2008</w:t>
      </w:r>
      <w:r w:rsidR="00BE7C11">
        <w:rPr>
          <w:rStyle w:val="Emphasis"/>
          <w:rFonts w:eastAsia="Calibri"/>
          <w:i w:val="0"/>
        </w:rPr>
        <w:t>,</w:t>
      </w:r>
      <w:r w:rsidR="00841D45" w:rsidRPr="002569CA">
        <w:rPr>
          <w:rStyle w:val="Emphasis"/>
          <w:rFonts w:eastAsia="Calibri"/>
          <w:i w:val="0"/>
        </w:rPr>
        <w:t xml:space="preserve"> conformément à la résolution 1822 du 30 juin 2008. </w:t>
      </w:r>
    </w:p>
    <w:p w:rsidR="00841D45" w:rsidRPr="002569CA" w:rsidRDefault="007A6377" w:rsidP="007A6377">
      <w:pPr>
        <w:pStyle w:val="SingleTxtG"/>
        <w:rPr>
          <w:spacing w:val="-3"/>
        </w:rPr>
      </w:pPr>
      <w:r>
        <w:t>4.</w:t>
      </w:r>
      <w:r>
        <w:tab/>
      </w:r>
      <w:r w:rsidR="00841D45" w:rsidRPr="002569CA">
        <w:t xml:space="preserve">Par le règlement </w:t>
      </w:r>
      <w:r w:rsidR="00841D45" w:rsidRPr="002569CA">
        <w:rPr>
          <w:spacing w:val="-3"/>
        </w:rPr>
        <w:t xml:space="preserve">(CE) n° 678/2009 de la Commission du 27 juillet 2009 </w:t>
      </w:r>
      <w:r w:rsidR="00841D45" w:rsidRPr="00C73922">
        <w:rPr>
          <w:iCs/>
          <w:spacing w:val="-3"/>
        </w:rPr>
        <w:t>modifiant pour la cent-dixième fois le règlement (CE) n° 881/2002 du Conseil instituant certaines mesures restrictives spécifiques à l’encontre de certaines personnes et entités liées à Oussama ben Laden, au réseau Al-Qaida et aux Taliban, et abrogeant le règlement (CE) n° 467/2001 du Conseil</w:t>
      </w:r>
      <w:r w:rsidR="00841D45" w:rsidRPr="002569CA">
        <w:rPr>
          <w:spacing w:val="-3"/>
        </w:rPr>
        <w:t xml:space="preserve">, les noms de </w:t>
      </w:r>
      <w:r w:rsidR="00841D45" w:rsidRPr="002569CA">
        <w:t>Mme Patricia Vinck et de M. Nabil Sayadi</w:t>
      </w:r>
      <w:r w:rsidR="00841D45" w:rsidRPr="002569CA">
        <w:rPr>
          <w:spacing w:val="-3"/>
        </w:rPr>
        <w:t xml:space="preserve"> ont été rayés de la liste des personnes visées par le gel.</w:t>
      </w:r>
    </w:p>
    <w:p w:rsidR="007A6377" w:rsidRPr="00340AAB" w:rsidRDefault="007A6377" w:rsidP="00340AAB">
      <w:pPr>
        <w:pStyle w:val="SingleTxtG"/>
        <w:spacing w:after="0"/>
        <w:rPr>
          <w:b/>
          <w:bCs/>
          <w:lang w:val="fr-BE"/>
        </w:rPr>
      </w:pPr>
      <w:r w:rsidRPr="00340AAB">
        <w:rPr>
          <w:b/>
          <w:bCs/>
        </w:rPr>
        <w:t>Réponse au paragraphe 2 de la liste de points à traiter</w:t>
      </w:r>
    </w:p>
    <w:p w:rsidR="00340AAB" w:rsidRDefault="00841D45" w:rsidP="00340AAB">
      <w:pPr>
        <w:pStyle w:val="H1G"/>
        <w:spacing w:before="0" w:after="0"/>
        <w:rPr>
          <w:sz w:val="20"/>
          <w:lang w:val="fr-BE"/>
        </w:rPr>
      </w:pPr>
      <w:r>
        <w:rPr>
          <w:lang w:val="fr-BE"/>
        </w:rPr>
        <w:tab/>
      </w:r>
      <w:r>
        <w:rPr>
          <w:lang w:val="fr-BE"/>
        </w:rPr>
        <w:tab/>
      </w:r>
    </w:p>
    <w:p w:rsidR="00841D45" w:rsidRDefault="00340AAB" w:rsidP="00340AAB">
      <w:pPr>
        <w:pStyle w:val="H1G"/>
        <w:spacing w:before="0" w:after="0"/>
        <w:rPr>
          <w:sz w:val="20"/>
          <w:lang w:val="fr-BE"/>
        </w:rPr>
      </w:pPr>
      <w:r>
        <w:rPr>
          <w:sz w:val="20"/>
          <w:lang w:val="fr-BE"/>
        </w:rPr>
        <w:tab/>
      </w:r>
      <w:r>
        <w:rPr>
          <w:sz w:val="20"/>
          <w:lang w:val="fr-BE"/>
        </w:rPr>
        <w:tab/>
      </w:r>
      <w:r w:rsidR="00B81C47">
        <w:rPr>
          <w:sz w:val="20"/>
          <w:lang w:val="fr-BE"/>
        </w:rPr>
        <w:t>a)</w:t>
      </w:r>
      <w:r w:rsidR="00B81C47">
        <w:rPr>
          <w:sz w:val="20"/>
          <w:lang w:val="fr-BE"/>
        </w:rPr>
        <w:tab/>
      </w:r>
      <w:r w:rsidR="00841D45" w:rsidRPr="00340AAB">
        <w:rPr>
          <w:sz w:val="20"/>
          <w:lang w:val="fr-BE"/>
        </w:rPr>
        <w:t>Réserve</w:t>
      </w:r>
      <w:r w:rsidR="00985284" w:rsidRPr="00340AAB">
        <w:rPr>
          <w:sz w:val="20"/>
          <w:lang w:val="fr-BE"/>
        </w:rPr>
        <w:t xml:space="preserve"> à l’</w:t>
      </w:r>
      <w:r w:rsidR="00841D45" w:rsidRPr="00340AAB">
        <w:rPr>
          <w:sz w:val="20"/>
          <w:lang w:val="fr-BE"/>
        </w:rPr>
        <w:t xml:space="preserve">article 10, </w:t>
      </w:r>
      <w:r w:rsidR="00F60F42" w:rsidRPr="00340AAB">
        <w:rPr>
          <w:sz w:val="20"/>
          <w:lang w:val="fr-BE"/>
        </w:rPr>
        <w:t>par.</w:t>
      </w:r>
      <w:r w:rsidR="00841D45" w:rsidRPr="00340AAB">
        <w:rPr>
          <w:sz w:val="20"/>
          <w:lang w:val="fr-BE"/>
        </w:rPr>
        <w:t xml:space="preserve"> 2</w:t>
      </w:r>
      <w:r w:rsidR="00F60F42" w:rsidRPr="00340AAB">
        <w:rPr>
          <w:sz w:val="20"/>
          <w:lang w:val="fr-BE"/>
        </w:rPr>
        <w:t>, al.</w:t>
      </w:r>
      <w:r w:rsidR="00841D45" w:rsidRPr="00340AAB">
        <w:rPr>
          <w:sz w:val="20"/>
          <w:lang w:val="fr-BE"/>
        </w:rPr>
        <w:t xml:space="preserve"> a</w:t>
      </w:r>
      <w:r w:rsidR="00E17213">
        <w:rPr>
          <w:sz w:val="20"/>
          <w:lang w:val="fr-BE"/>
        </w:rPr>
        <w:t>, du Pacte international relatif aux droits civils et politiques</w:t>
      </w:r>
    </w:p>
    <w:p w:rsidR="00B81C47" w:rsidRPr="00B81C47" w:rsidRDefault="00B81C47" w:rsidP="00B81C47">
      <w:pPr>
        <w:rPr>
          <w:lang w:val="fr-BE"/>
        </w:rPr>
      </w:pPr>
    </w:p>
    <w:p w:rsidR="00841D45" w:rsidRPr="00340AAB" w:rsidRDefault="00EC4CE8" w:rsidP="00340AAB">
      <w:pPr>
        <w:pStyle w:val="SingleTxtG"/>
        <w:rPr>
          <w:rStyle w:val="Emphasis"/>
          <w:rFonts w:eastAsia="Calibri"/>
          <w:i w:val="0"/>
        </w:rPr>
      </w:pPr>
      <w:r w:rsidRPr="00340AAB">
        <w:rPr>
          <w:rStyle w:val="Emphasis"/>
          <w:rFonts w:eastAsia="Calibri"/>
          <w:i w:val="0"/>
        </w:rPr>
        <w:t>5.</w:t>
      </w:r>
      <w:r w:rsidRPr="00340AAB">
        <w:rPr>
          <w:rStyle w:val="Emphasis"/>
          <w:rFonts w:eastAsia="Calibri"/>
          <w:i w:val="0"/>
        </w:rPr>
        <w:tab/>
      </w:r>
      <w:r w:rsidR="00841D45" w:rsidRPr="00340AAB">
        <w:rPr>
          <w:rStyle w:val="Emphasis"/>
          <w:rFonts w:eastAsia="Calibri"/>
          <w:i w:val="0"/>
        </w:rPr>
        <w:t xml:space="preserve">En ce qui concerne la première réserve, il convient de préciser que dans la proposition de loi de principes concernant l’administration pénitentiaire </w:t>
      </w:r>
      <w:r w:rsidR="00E75B3E" w:rsidRPr="00340AAB">
        <w:rPr>
          <w:rStyle w:val="Emphasis"/>
          <w:rFonts w:eastAsia="Calibri"/>
          <w:i w:val="0"/>
        </w:rPr>
        <w:t xml:space="preserve">ainsi que </w:t>
      </w:r>
      <w:r w:rsidR="00841D45" w:rsidRPr="00340AAB">
        <w:rPr>
          <w:rStyle w:val="Emphasis"/>
          <w:rFonts w:eastAsia="Calibri"/>
          <w:i w:val="0"/>
        </w:rPr>
        <w:t xml:space="preserve">le statut juridique des détenus (déposée à la Chambre, </w:t>
      </w:r>
      <w:r w:rsidR="00E75B3E" w:rsidRPr="00340AAB">
        <w:rPr>
          <w:rStyle w:val="Emphasis"/>
          <w:rFonts w:eastAsia="Calibri"/>
          <w:i w:val="0"/>
        </w:rPr>
        <w:t>d</w:t>
      </w:r>
      <w:r w:rsidR="00841D45" w:rsidRPr="00340AAB">
        <w:rPr>
          <w:rStyle w:val="Emphasis"/>
          <w:rFonts w:eastAsia="Calibri"/>
          <w:i w:val="0"/>
        </w:rPr>
        <w:t>oc. 50-1365)</w:t>
      </w:r>
      <w:r w:rsidR="00E75B3E" w:rsidRPr="00340AAB">
        <w:rPr>
          <w:rStyle w:val="Emphasis"/>
          <w:rFonts w:eastAsia="Calibri"/>
          <w:i w:val="0"/>
        </w:rPr>
        <w:t>,</w:t>
      </w:r>
      <w:r w:rsidR="00841D45" w:rsidRPr="00340AAB">
        <w:rPr>
          <w:rStyle w:val="Emphasis"/>
          <w:rFonts w:eastAsia="Calibri"/>
          <w:i w:val="0"/>
        </w:rPr>
        <w:t xml:space="preserve"> le principe de la séparation des prévenus et des condamnés est établi. Des régimes distincts leur seront en outre accordés.</w:t>
      </w:r>
    </w:p>
    <w:p w:rsidR="00841D45" w:rsidRPr="00340AAB" w:rsidRDefault="00EC4CE8" w:rsidP="00EC4CE8">
      <w:pPr>
        <w:pStyle w:val="SingleTxtG"/>
        <w:rPr>
          <w:rStyle w:val="Emphasis"/>
          <w:rFonts w:eastAsia="Calibri"/>
          <w:i w:val="0"/>
        </w:rPr>
      </w:pPr>
      <w:r w:rsidRPr="00340AAB">
        <w:rPr>
          <w:rStyle w:val="Emphasis"/>
          <w:rFonts w:eastAsia="Calibri"/>
          <w:i w:val="0"/>
        </w:rPr>
        <w:t>6.</w:t>
      </w:r>
      <w:r w:rsidRPr="00340AAB">
        <w:rPr>
          <w:rStyle w:val="Emphasis"/>
          <w:rFonts w:eastAsia="Calibri"/>
          <w:i w:val="0"/>
        </w:rPr>
        <w:tab/>
      </w:r>
      <w:r w:rsidR="00841D45" w:rsidRPr="00340AAB">
        <w:rPr>
          <w:rStyle w:val="Emphasis"/>
          <w:rFonts w:eastAsia="Calibri"/>
          <w:i w:val="0"/>
        </w:rPr>
        <w:t>L’article 11 de la loi du 12 janvier 2005 concernant l'administration pénitentiaire ainsi que le statut juridique des détenus (M.B., 1</w:t>
      </w:r>
      <w:r w:rsidR="00841D45" w:rsidRPr="00D9560A">
        <w:rPr>
          <w:rStyle w:val="Emphasis"/>
          <w:rFonts w:eastAsia="Calibri"/>
          <w:i w:val="0"/>
          <w:vertAlign w:val="superscript"/>
        </w:rPr>
        <w:t>er</w:t>
      </w:r>
      <w:r w:rsidR="00841D45" w:rsidRPr="00340AAB">
        <w:rPr>
          <w:rStyle w:val="Emphasis"/>
          <w:rFonts w:eastAsia="Calibri"/>
          <w:i w:val="0"/>
        </w:rPr>
        <w:t xml:space="preserve"> février 2005) prévoit que les inculpés sont maintenus à l'écart des condamnés, sauf lorsqu'ils acceptent par écrit le contraire en vue de participer à des activités communes. Cette disposition est en vigueur. </w:t>
      </w:r>
    </w:p>
    <w:p w:rsidR="00841D45" w:rsidRPr="00A040C7" w:rsidRDefault="00EC4CE8" w:rsidP="00E75B3E">
      <w:pPr>
        <w:pStyle w:val="SingleTxtG"/>
      </w:pPr>
      <w:r w:rsidRPr="00340AAB">
        <w:rPr>
          <w:rStyle w:val="Emphasis"/>
          <w:rFonts w:eastAsia="Calibri"/>
          <w:i w:val="0"/>
        </w:rPr>
        <w:t>7.</w:t>
      </w:r>
      <w:r w:rsidRPr="00340AAB">
        <w:rPr>
          <w:rStyle w:val="Emphasis"/>
          <w:rFonts w:eastAsia="Calibri"/>
          <w:i w:val="0"/>
        </w:rPr>
        <w:tab/>
      </w:r>
      <w:r w:rsidR="00841D45" w:rsidRPr="00340AAB">
        <w:rPr>
          <w:rStyle w:val="Emphasis"/>
          <w:rFonts w:eastAsia="Calibri"/>
          <w:i w:val="0"/>
        </w:rPr>
        <w:t xml:space="preserve">Au vu des informations </w:t>
      </w:r>
      <w:r w:rsidR="008C740F" w:rsidRPr="00340AAB">
        <w:rPr>
          <w:rStyle w:val="Emphasis"/>
          <w:rFonts w:eastAsia="Calibri"/>
          <w:i w:val="0"/>
        </w:rPr>
        <w:t>figurant</w:t>
      </w:r>
      <w:r w:rsidRPr="00340AAB">
        <w:rPr>
          <w:rStyle w:val="Emphasis"/>
          <w:rFonts w:eastAsia="Calibri"/>
          <w:i w:val="0"/>
        </w:rPr>
        <w:t xml:space="preserve"> </w:t>
      </w:r>
      <w:r w:rsidR="00841D45" w:rsidRPr="00340AAB">
        <w:rPr>
          <w:rStyle w:val="Emphasis"/>
          <w:rFonts w:eastAsia="Calibri"/>
          <w:i w:val="0"/>
        </w:rPr>
        <w:t>ci-dessus, il ne para</w:t>
      </w:r>
      <w:r w:rsidR="00E75B3E" w:rsidRPr="00340AAB">
        <w:rPr>
          <w:rStyle w:val="Emphasis"/>
          <w:rFonts w:eastAsia="Calibri"/>
          <w:i w:val="0"/>
        </w:rPr>
        <w:t>î</w:t>
      </w:r>
      <w:r w:rsidR="00841D45" w:rsidRPr="00340AAB">
        <w:rPr>
          <w:rStyle w:val="Emphasis"/>
          <w:rFonts w:eastAsia="Calibri"/>
          <w:i w:val="0"/>
        </w:rPr>
        <w:t>t pas opportun de lever la réserve</w:t>
      </w:r>
      <w:r w:rsidR="00841D45" w:rsidRPr="00A040C7">
        <w:t>.</w:t>
      </w:r>
    </w:p>
    <w:p w:rsidR="00841D45" w:rsidRPr="00340AAB" w:rsidRDefault="00841D45" w:rsidP="00EE0086">
      <w:pPr>
        <w:pStyle w:val="H1G"/>
        <w:rPr>
          <w:sz w:val="20"/>
          <w:lang w:val="fr-BE"/>
        </w:rPr>
      </w:pPr>
      <w:r w:rsidRPr="00340AAB">
        <w:rPr>
          <w:sz w:val="20"/>
          <w:lang w:val="fr-BE"/>
        </w:rPr>
        <w:tab/>
      </w:r>
      <w:r w:rsidRPr="00340AAB">
        <w:rPr>
          <w:sz w:val="20"/>
          <w:lang w:val="fr-BE"/>
        </w:rPr>
        <w:tab/>
        <w:t>b)</w:t>
      </w:r>
      <w:r w:rsidRPr="00340AAB">
        <w:rPr>
          <w:sz w:val="20"/>
          <w:lang w:val="fr-BE"/>
        </w:rPr>
        <w:tab/>
        <w:t>Réserve</w:t>
      </w:r>
      <w:r w:rsidR="00985284" w:rsidRPr="00340AAB">
        <w:rPr>
          <w:sz w:val="20"/>
          <w:lang w:val="fr-BE"/>
        </w:rPr>
        <w:t xml:space="preserve"> à l’</w:t>
      </w:r>
      <w:r w:rsidRPr="00340AAB">
        <w:rPr>
          <w:sz w:val="20"/>
          <w:lang w:val="fr-BE"/>
        </w:rPr>
        <w:t xml:space="preserve">article 10, </w:t>
      </w:r>
      <w:r w:rsidR="00CD7892" w:rsidRPr="00340AAB">
        <w:rPr>
          <w:sz w:val="20"/>
          <w:lang w:val="fr-BE"/>
        </w:rPr>
        <w:t xml:space="preserve">par. </w:t>
      </w:r>
      <w:r w:rsidRPr="00340AAB">
        <w:rPr>
          <w:sz w:val="20"/>
          <w:lang w:val="fr-BE"/>
        </w:rPr>
        <w:t>3</w:t>
      </w:r>
      <w:r w:rsidR="00E17213">
        <w:rPr>
          <w:sz w:val="20"/>
          <w:lang w:val="fr-BE"/>
        </w:rPr>
        <w:t>, du Pacte</w:t>
      </w:r>
    </w:p>
    <w:p w:rsidR="00841D45" w:rsidRPr="0045585E" w:rsidRDefault="00B827E7" w:rsidP="00112785">
      <w:pPr>
        <w:pStyle w:val="SingleTxtG"/>
      </w:pPr>
      <w:r>
        <w:t>8.</w:t>
      </w:r>
      <w:r>
        <w:tab/>
      </w:r>
      <w:r w:rsidR="00841D45">
        <w:t xml:space="preserve">Depuis </w:t>
      </w:r>
      <w:r w:rsidR="00841D45" w:rsidRPr="00CF1AFB">
        <w:t>fin 2009, les jeunes délinquants ayant fait l’objet d’une mesure de dessaisissement en attente d’une mesure de condamnation</w:t>
      </w:r>
      <w:r w:rsidR="00EE0086">
        <w:t>,</w:t>
      </w:r>
      <w:r w:rsidR="00841D45" w:rsidRPr="00CF1AFB">
        <w:t xml:space="preserve"> ou ayant été condamnés à une peine d’emprisonnement ou de réclusion</w:t>
      </w:r>
      <w:r w:rsidR="00EE0086">
        <w:t>,</w:t>
      </w:r>
      <w:r w:rsidR="00841D45" w:rsidRPr="00CF1AFB">
        <w:t xml:space="preserve"> sont détenus dans un centre fédéral fermé </w:t>
      </w:r>
      <w:r w:rsidR="00EE0086">
        <w:t xml:space="preserve">qui </w:t>
      </w:r>
      <w:r w:rsidR="00841D45" w:rsidRPr="00CF1AFB">
        <w:t xml:space="preserve">leur </w:t>
      </w:r>
      <w:r w:rsidR="00EE0086">
        <w:t>est</w:t>
      </w:r>
      <w:r w:rsidR="00EE0086" w:rsidRPr="00CF1AFB">
        <w:t xml:space="preserve"> </w:t>
      </w:r>
      <w:r w:rsidR="00841D45" w:rsidRPr="00CF1AFB">
        <w:t xml:space="preserve">spécialement réservé (cf. réponse </w:t>
      </w:r>
      <w:r w:rsidR="004F58B3">
        <w:t>au paragraphe</w:t>
      </w:r>
      <w:r w:rsidR="00841D45" w:rsidRPr="00CF1AFB">
        <w:t xml:space="preserve"> 22</w:t>
      </w:r>
      <w:r w:rsidR="004F58B3">
        <w:t xml:space="preserve"> de la liste de points à traiter, par. 166</w:t>
      </w:r>
      <w:r w:rsidR="00841D45" w:rsidRPr="004F58B3">
        <w:t>)</w:t>
      </w:r>
      <w:r w:rsidR="00841D45" w:rsidRPr="00CF1AFB">
        <w:t xml:space="preserve">. </w:t>
      </w:r>
      <w:r w:rsidR="00841D45">
        <w:t>Pour rappel, les jeunes</w:t>
      </w:r>
      <w:r w:rsidR="00841D45" w:rsidRPr="00CF1AFB">
        <w:t xml:space="preserve"> ayant commis un fait qualifié </w:t>
      </w:r>
      <w:r w:rsidR="00667927">
        <w:t xml:space="preserve">en </w:t>
      </w:r>
      <w:r w:rsidR="00841D45" w:rsidRPr="00CF1AFB">
        <w:t xml:space="preserve">infraction alors qu’ils étaient mineurs </w:t>
      </w:r>
      <w:r w:rsidR="00841D45" w:rsidRPr="00B93B52">
        <w:t>et qui</w:t>
      </w:r>
      <w:r w:rsidR="00841D45" w:rsidRPr="00CF1AFB">
        <w:t xml:space="preserve"> ne font </w:t>
      </w:r>
      <w:r w:rsidR="00841D45">
        <w:t xml:space="preserve">pas </w:t>
      </w:r>
      <w:r w:rsidR="00841D45" w:rsidRPr="00CF1AFB">
        <w:t xml:space="preserve">l’objet d’une mesure de dessaisissement ne </w:t>
      </w:r>
      <w:r w:rsidR="00112785">
        <w:t>peuvent</w:t>
      </w:r>
      <w:r w:rsidR="00112785" w:rsidRPr="00CF1AFB">
        <w:t xml:space="preserve"> </w:t>
      </w:r>
      <w:r w:rsidR="00841D45" w:rsidRPr="00CF1AFB">
        <w:t xml:space="preserve">en aucun cas </w:t>
      </w:r>
      <w:r w:rsidR="00112785">
        <w:t xml:space="preserve">être </w:t>
      </w:r>
      <w:r w:rsidR="00841D45" w:rsidRPr="00CF1AFB">
        <w:t>détenus dans un centre pour adultes.</w:t>
      </w:r>
      <w:r w:rsidR="00841D45">
        <w:t xml:space="preserve"> </w:t>
      </w:r>
    </w:p>
    <w:p w:rsidR="00841D45" w:rsidRPr="00C9060A" w:rsidRDefault="00B827E7" w:rsidP="008324D7">
      <w:pPr>
        <w:pStyle w:val="SingleTxtG"/>
      </w:pPr>
      <w:r>
        <w:t>9.</w:t>
      </w:r>
      <w:r>
        <w:tab/>
      </w:r>
      <w:r w:rsidR="00841D45" w:rsidRPr="00C9060A">
        <w:t xml:space="preserve">Au vu des informations </w:t>
      </w:r>
      <w:r w:rsidR="008324D7">
        <w:t xml:space="preserve">figurant </w:t>
      </w:r>
      <w:r w:rsidR="00841D45" w:rsidRPr="00C9060A">
        <w:t>ci-dessus, il ne para</w:t>
      </w:r>
      <w:r w:rsidR="008324D7">
        <w:t>î</w:t>
      </w:r>
      <w:r w:rsidR="00841D45" w:rsidRPr="00C9060A">
        <w:t>t pas opportun de lever la réserve.</w:t>
      </w:r>
    </w:p>
    <w:p w:rsidR="00841D45" w:rsidRPr="00340AAB" w:rsidRDefault="00841D45" w:rsidP="004E416D">
      <w:pPr>
        <w:pStyle w:val="H1G"/>
        <w:rPr>
          <w:sz w:val="20"/>
          <w:lang w:val="fr-BE"/>
        </w:rPr>
      </w:pPr>
      <w:r w:rsidRPr="00340AAB">
        <w:rPr>
          <w:sz w:val="20"/>
          <w:lang w:val="fr-BE"/>
        </w:rPr>
        <w:tab/>
      </w:r>
      <w:r w:rsidRPr="00340AAB">
        <w:rPr>
          <w:sz w:val="20"/>
          <w:lang w:val="fr-BE"/>
        </w:rPr>
        <w:tab/>
        <w:t>c) Réserve</w:t>
      </w:r>
      <w:r w:rsidR="004E416D" w:rsidRPr="00340AAB">
        <w:rPr>
          <w:sz w:val="20"/>
          <w:lang w:val="fr-BE"/>
        </w:rPr>
        <w:t xml:space="preserve"> </w:t>
      </w:r>
      <w:r w:rsidR="00B827E7" w:rsidRPr="00340AAB">
        <w:rPr>
          <w:sz w:val="20"/>
          <w:lang w:val="fr-BE"/>
        </w:rPr>
        <w:t>à l’</w:t>
      </w:r>
      <w:r w:rsidRPr="00340AAB">
        <w:rPr>
          <w:sz w:val="20"/>
          <w:lang w:val="fr-BE"/>
        </w:rPr>
        <w:t xml:space="preserve">article 14, </w:t>
      </w:r>
      <w:r w:rsidR="00B827E7" w:rsidRPr="00340AAB">
        <w:rPr>
          <w:sz w:val="20"/>
          <w:lang w:val="fr-BE"/>
        </w:rPr>
        <w:t xml:space="preserve">par. </w:t>
      </w:r>
      <w:r w:rsidRPr="00340AAB">
        <w:rPr>
          <w:sz w:val="20"/>
          <w:lang w:val="fr-BE"/>
        </w:rPr>
        <w:t xml:space="preserve">1 </w:t>
      </w:r>
      <w:r w:rsidRPr="00340AAB">
        <w:rPr>
          <w:i/>
          <w:iCs/>
          <w:sz w:val="20"/>
          <w:lang w:val="fr-BE"/>
        </w:rPr>
        <w:t>in fine</w:t>
      </w:r>
      <w:r w:rsidR="00E17213">
        <w:rPr>
          <w:sz w:val="20"/>
          <w:lang w:val="fr-BE"/>
        </w:rPr>
        <w:t>, du Pacte</w:t>
      </w:r>
    </w:p>
    <w:p w:rsidR="00841D45" w:rsidRDefault="00B827E7" w:rsidP="00A5386C">
      <w:pPr>
        <w:pStyle w:val="SingleTxtG"/>
      </w:pPr>
      <w:r>
        <w:t>10.</w:t>
      </w:r>
      <w:r>
        <w:tab/>
      </w:r>
      <w:r w:rsidR="00841D45" w:rsidRPr="00844F3D">
        <w:t xml:space="preserve">L’article 14, </w:t>
      </w:r>
      <w:r w:rsidR="00B10927">
        <w:t>par.</w:t>
      </w:r>
      <w:r w:rsidR="00841D45" w:rsidRPr="00844F3D">
        <w:t xml:space="preserve">1 </w:t>
      </w:r>
      <w:r w:rsidR="00841D45" w:rsidRPr="008F7541">
        <w:rPr>
          <w:i/>
          <w:iCs/>
        </w:rPr>
        <w:t>in fine</w:t>
      </w:r>
      <w:r w:rsidR="004F4829">
        <w:t xml:space="preserve">, </w:t>
      </w:r>
      <w:r w:rsidR="00841D45" w:rsidRPr="00844F3D">
        <w:t>du Pacte prévoit que tout jugement rendu en matière pénale ou civile</w:t>
      </w:r>
      <w:r w:rsidR="00841D45">
        <w:t xml:space="preserve"> sera public, sauf si l'intérêt de mineurs exige qu'il en soit autrement ou si le procès porte sur des différends matrimoniaux ou sur la tutelle des enfants.</w:t>
      </w:r>
    </w:p>
    <w:p w:rsidR="00841D45" w:rsidRDefault="00B827E7" w:rsidP="00A5386C">
      <w:pPr>
        <w:pStyle w:val="SingleTxtG"/>
      </w:pPr>
      <w:r>
        <w:t>11.</w:t>
      </w:r>
      <w:r>
        <w:tab/>
      </w:r>
      <w:r w:rsidR="00841D45">
        <w:t>Concernant les dérogations au prononcé public du jugement (à distinguer en droit belge de la question de la publicité du procès)</w:t>
      </w:r>
      <w:r w:rsidR="004F4829">
        <w:t>,</w:t>
      </w:r>
      <w:r w:rsidR="00841D45">
        <w:t xml:space="preserve"> prévues par </w:t>
      </w:r>
      <w:r w:rsidR="00841D45" w:rsidRPr="00412F2B">
        <w:rPr>
          <w:b/>
        </w:rPr>
        <w:t>l’article 14</w:t>
      </w:r>
      <w:r w:rsidR="00B10927">
        <w:rPr>
          <w:b/>
        </w:rPr>
        <w:t xml:space="preserve">, par. </w:t>
      </w:r>
      <w:r w:rsidR="00841D45" w:rsidRPr="00412F2B">
        <w:rPr>
          <w:b/>
        </w:rPr>
        <w:t xml:space="preserve">1 </w:t>
      </w:r>
      <w:r w:rsidR="00841D45" w:rsidRPr="008F7541">
        <w:rPr>
          <w:b/>
          <w:i/>
          <w:iCs/>
        </w:rPr>
        <w:t>in fine</w:t>
      </w:r>
      <w:r w:rsidR="00841D45" w:rsidRPr="00412F2B">
        <w:rPr>
          <w:b/>
        </w:rPr>
        <w:t>,</w:t>
      </w:r>
      <w:r w:rsidR="00841D45">
        <w:t xml:space="preserve"> il </w:t>
      </w:r>
      <w:r w:rsidR="004F4829">
        <w:t>convient</w:t>
      </w:r>
      <w:r w:rsidR="00183DE1">
        <w:t xml:space="preserve"> nécessairement</w:t>
      </w:r>
      <w:r w:rsidR="00841D45">
        <w:t xml:space="preserve"> de maintenir la réserve compte tenu de l’article 149 de notre Constitution</w:t>
      </w:r>
      <w:r w:rsidR="00183DE1">
        <w:t>,</w:t>
      </w:r>
      <w:r w:rsidR="00841D45">
        <w:t xml:space="preserve"> en vertu duquel tout jugement est motivé et prononcé en séance publique sans exception. </w:t>
      </w:r>
    </w:p>
    <w:p w:rsidR="00841D45" w:rsidRPr="00340AAB" w:rsidRDefault="00841D45" w:rsidP="00304EEC">
      <w:pPr>
        <w:pStyle w:val="H1G"/>
        <w:rPr>
          <w:sz w:val="20"/>
          <w:lang w:val="fr-BE"/>
        </w:rPr>
      </w:pPr>
      <w:r w:rsidRPr="00340AAB">
        <w:rPr>
          <w:sz w:val="20"/>
          <w:lang w:val="fr-BE"/>
        </w:rPr>
        <w:tab/>
      </w:r>
      <w:r w:rsidRPr="00340AAB">
        <w:rPr>
          <w:sz w:val="20"/>
          <w:lang w:val="fr-BE"/>
        </w:rPr>
        <w:tab/>
        <w:t>d) Réserve aux articles 19, 21 et 22</w:t>
      </w:r>
      <w:r w:rsidR="00E17213">
        <w:rPr>
          <w:sz w:val="20"/>
          <w:lang w:val="fr-BE"/>
        </w:rPr>
        <w:t xml:space="preserve"> du Pacte</w:t>
      </w:r>
    </w:p>
    <w:p w:rsidR="00841D45" w:rsidRPr="00B276DC" w:rsidRDefault="00A264E9" w:rsidP="00812D46">
      <w:pPr>
        <w:pStyle w:val="SingleTxtG"/>
      </w:pPr>
      <w:r>
        <w:t>12.</w:t>
      </w:r>
      <w:r>
        <w:tab/>
      </w:r>
      <w:r w:rsidR="00841D45" w:rsidRPr="00844F3D">
        <w:t xml:space="preserve">La réserve relative aux </w:t>
      </w:r>
      <w:r w:rsidR="00841D45" w:rsidRPr="00844F3D">
        <w:rPr>
          <w:bCs/>
        </w:rPr>
        <w:t xml:space="preserve">articles 19, 20 et 21 </w:t>
      </w:r>
      <w:r w:rsidR="00841D45">
        <w:rPr>
          <w:bCs/>
        </w:rPr>
        <w:t xml:space="preserve">du Pacte </w:t>
      </w:r>
      <w:r w:rsidR="00841D45" w:rsidRPr="00844F3D">
        <w:t>évoquant les article</w:t>
      </w:r>
      <w:r w:rsidR="00841D45">
        <w:t>s</w:t>
      </w:r>
      <w:r w:rsidR="00841D45" w:rsidRPr="00844F3D">
        <w:t xml:space="preserve"> 10 et 11 de la Convention</w:t>
      </w:r>
      <w:r w:rsidR="00841D45">
        <w:t xml:space="preserve"> européenne de sauvegarde des droits de l’homme et des libertés fondamentales (ci-après</w:t>
      </w:r>
      <w:r w:rsidR="00304EEC">
        <w:t xml:space="preserve"> dénommée</w:t>
      </w:r>
      <w:r w:rsidR="00841D45">
        <w:t xml:space="preserve"> </w:t>
      </w:r>
      <w:r w:rsidR="00304EEC">
        <w:t>«</w:t>
      </w:r>
      <w:r w:rsidR="00841D45">
        <w:t xml:space="preserve">Convention </w:t>
      </w:r>
      <w:r w:rsidR="00841D45" w:rsidRPr="00304EEC">
        <w:t>européenne</w:t>
      </w:r>
      <w:r w:rsidR="00841D45">
        <w:t xml:space="preserve"> des droits de l’</w:t>
      </w:r>
      <w:r w:rsidR="00A01870">
        <w:t>h</w:t>
      </w:r>
      <w:r w:rsidR="00841D45">
        <w:t>omme</w:t>
      </w:r>
      <w:r w:rsidR="00304EEC">
        <w:t>»</w:t>
      </w:r>
      <w:r w:rsidR="00841D45">
        <w:t>)</w:t>
      </w:r>
      <w:r w:rsidR="00812D46">
        <w:t>, qui</w:t>
      </w:r>
      <w:r w:rsidR="00841D45">
        <w:t xml:space="preserve"> garantit les libertés d’expression, de réunion et d’association, a pour objet d’assurer la cohérence des engagements conventionnels de la Belgique en matière de droits de l’</w:t>
      </w:r>
      <w:r w:rsidR="00A01870">
        <w:t>h</w:t>
      </w:r>
      <w:r w:rsidR="00841D45">
        <w:t xml:space="preserve">omme. Il n’y a pas lieu de retirer cette réserve. </w:t>
      </w:r>
    </w:p>
    <w:p w:rsidR="00841D45" w:rsidRPr="00340AAB" w:rsidRDefault="00A040C7" w:rsidP="00A264E9">
      <w:pPr>
        <w:pStyle w:val="H1G"/>
        <w:rPr>
          <w:sz w:val="20"/>
          <w:lang w:val="fr-BE"/>
        </w:rPr>
      </w:pPr>
      <w:r w:rsidRPr="00340AAB">
        <w:rPr>
          <w:sz w:val="20"/>
          <w:lang w:val="fr-BE"/>
        </w:rPr>
        <w:tab/>
      </w:r>
      <w:r w:rsidRPr="00340AAB">
        <w:rPr>
          <w:sz w:val="20"/>
          <w:lang w:val="fr-BE"/>
        </w:rPr>
        <w:tab/>
      </w:r>
      <w:r w:rsidR="00841D45" w:rsidRPr="00340AAB">
        <w:rPr>
          <w:sz w:val="20"/>
          <w:lang w:val="fr-BE"/>
        </w:rPr>
        <w:t>e)</w:t>
      </w:r>
      <w:r w:rsidRPr="00340AAB">
        <w:rPr>
          <w:sz w:val="20"/>
          <w:lang w:val="fr-BE"/>
        </w:rPr>
        <w:t xml:space="preserve"> </w:t>
      </w:r>
      <w:r w:rsidR="00841D45" w:rsidRPr="00340AAB">
        <w:rPr>
          <w:sz w:val="20"/>
          <w:lang w:val="fr-BE"/>
        </w:rPr>
        <w:t xml:space="preserve">Déclaration </w:t>
      </w:r>
      <w:r w:rsidR="00A264E9" w:rsidRPr="00340AAB">
        <w:rPr>
          <w:sz w:val="20"/>
          <w:lang w:val="fr-BE"/>
        </w:rPr>
        <w:t>à l’</w:t>
      </w:r>
      <w:r w:rsidR="00841D45" w:rsidRPr="00340AAB">
        <w:rPr>
          <w:sz w:val="20"/>
          <w:lang w:val="fr-BE"/>
        </w:rPr>
        <w:t>article 20</w:t>
      </w:r>
      <w:r w:rsidR="00FF1DB6">
        <w:rPr>
          <w:sz w:val="20"/>
          <w:lang w:val="fr-BE"/>
        </w:rPr>
        <w:t xml:space="preserve"> du Pacte</w:t>
      </w:r>
    </w:p>
    <w:p w:rsidR="00841D45" w:rsidRPr="00F25B47" w:rsidRDefault="00A264E9" w:rsidP="00A264E9">
      <w:pPr>
        <w:pStyle w:val="SingleTxtG"/>
        <w:rPr>
          <w:rFonts w:ascii="Verdana" w:hAnsi="Verdana"/>
          <w:color w:val="555555"/>
          <w:sz w:val="17"/>
          <w:szCs w:val="17"/>
        </w:rPr>
      </w:pPr>
      <w:r>
        <w:rPr>
          <w:lang w:val="fr-BE"/>
        </w:rPr>
        <w:t>13.</w:t>
      </w:r>
      <w:r>
        <w:rPr>
          <w:lang w:val="fr-BE"/>
        </w:rPr>
        <w:tab/>
      </w:r>
      <w:r w:rsidR="00841D45" w:rsidRPr="00F25B47">
        <w:rPr>
          <w:lang w:val="fr-BE"/>
        </w:rPr>
        <w:t xml:space="preserve">En tout état de cause, la Belgique entend répondre à ses obligations internationales en matière de droits de l’homme. La déclaration de la Belgique a pour objectif d’assurer la cohérence de ses engagements </w:t>
      </w:r>
      <w:r w:rsidR="00A74032">
        <w:rPr>
          <w:lang w:val="fr-BE"/>
        </w:rPr>
        <w:t xml:space="preserve">en </w:t>
      </w:r>
      <w:r w:rsidR="00841D45" w:rsidRPr="00F25B47">
        <w:rPr>
          <w:lang w:val="fr-BE"/>
        </w:rPr>
        <w:t xml:space="preserve">tenant compte notamment de la Convention européenne </w:t>
      </w:r>
      <w:r w:rsidR="00A74032">
        <w:rPr>
          <w:lang w:val="fr-BE"/>
        </w:rPr>
        <w:t xml:space="preserve">des </w:t>
      </w:r>
      <w:r w:rsidR="00841D45" w:rsidRPr="00F25B47">
        <w:rPr>
          <w:lang w:val="fr-BE"/>
        </w:rPr>
        <w:t>dro</w:t>
      </w:r>
      <w:r w:rsidR="00841D45">
        <w:rPr>
          <w:lang w:val="fr-BE"/>
        </w:rPr>
        <w:t>its de l’</w:t>
      </w:r>
      <w:r w:rsidR="00A01870">
        <w:rPr>
          <w:lang w:val="fr-BE"/>
        </w:rPr>
        <w:t>h</w:t>
      </w:r>
      <w:r w:rsidR="00841D45">
        <w:rPr>
          <w:lang w:val="fr-BE"/>
        </w:rPr>
        <w:t>omme</w:t>
      </w:r>
      <w:r w:rsidR="00841D45" w:rsidRPr="00F25B47">
        <w:rPr>
          <w:lang w:val="fr-BE"/>
        </w:rPr>
        <w:t xml:space="preserve">. Les autorités belges n’ont </w:t>
      </w:r>
      <w:r w:rsidR="00841D45">
        <w:rPr>
          <w:lang w:val="fr-BE"/>
        </w:rPr>
        <w:t xml:space="preserve">dès lors </w:t>
      </w:r>
      <w:r w:rsidR="00841D45" w:rsidRPr="00F25B47">
        <w:rPr>
          <w:lang w:val="fr-BE"/>
        </w:rPr>
        <w:t xml:space="preserve">pas l’intention de retirer cette </w:t>
      </w:r>
      <w:r w:rsidR="00841D45">
        <w:rPr>
          <w:lang w:val="fr-BE"/>
        </w:rPr>
        <w:t>déclaration</w:t>
      </w:r>
      <w:r w:rsidR="00841D45" w:rsidRPr="00F25B47">
        <w:rPr>
          <w:lang w:val="fr-BE"/>
        </w:rPr>
        <w:t xml:space="preserve">.  </w:t>
      </w:r>
    </w:p>
    <w:p w:rsidR="00841D45" w:rsidRPr="00340AAB" w:rsidRDefault="00A040C7" w:rsidP="006017AC">
      <w:pPr>
        <w:pStyle w:val="H1G"/>
        <w:rPr>
          <w:sz w:val="20"/>
          <w:lang w:val="fr-BE"/>
        </w:rPr>
      </w:pPr>
      <w:r w:rsidRPr="00340AAB">
        <w:rPr>
          <w:sz w:val="20"/>
          <w:lang w:val="fr-BE"/>
        </w:rPr>
        <w:tab/>
      </w:r>
      <w:r w:rsidRPr="00340AAB">
        <w:rPr>
          <w:sz w:val="20"/>
          <w:lang w:val="fr-BE"/>
        </w:rPr>
        <w:tab/>
      </w:r>
      <w:r w:rsidR="00841D45" w:rsidRPr="00340AAB">
        <w:rPr>
          <w:sz w:val="20"/>
          <w:lang w:val="fr-BE"/>
        </w:rPr>
        <w:t>f)</w:t>
      </w:r>
      <w:r w:rsidRPr="00340AAB">
        <w:rPr>
          <w:sz w:val="20"/>
          <w:lang w:val="fr-BE"/>
        </w:rPr>
        <w:t xml:space="preserve"> </w:t>
      </w:r>
      <w:r w:rsidR="00841D45" w:rsidRPr="00340AAB">
        <w:rPr>
          <w:sz w:val="20"/>
          <w:lang w:val="fr-BE"/>
        </w:rPr>
        <w:t xml:space="preserve">Déclaration </w:t>
      </w:r>
      <w:r w:rsidR="006017AC" w:rsidRPr="00340AAB">
        <w:rPr>
          <w:sz w:val="20"/>
          <w:lang w:val="fr-BE"/>
        </w:rPr>
        <w:t>à l’</w:t>
      </w:r>
      <w:r w:rsidR="00841D45" w:rsidRPr="00340AAB">
        <w:rPr>
          <w:sz w:val="20"/>
          <w:lang w:val="fr-BE"/>
        </w:rPr>
        <w:t xml:space="preserve">article 23, </w:t>
      </w:r>
      <w:r w:rsidR="006017AC" w:rsidRPr="00340AAB">
        <w:rPr>
          <w:sz w:val="20"/>
          <w:lang w:val="fr-BE"/>
        </w:rPr>
        <w:t>par.</w:t>
      </w:r>
      <w:r w:rsidR="00841D45" w:rsidRPr="00340AAB">
        <w:rPr>
          <w:sz w:val="20"/>
          <w:lang w:val="fr-BE"/>
        </w:rPr>
        <w:t xml:space="preserve"> 2</w:t>
      </w:r>
      <w:r w:rsidR="006216D1">
        <w:rPr>
          <w:sz w:val="20"/>
          <w:lang w:val="fr-BE"/>
        </w:rPr>
        <w:t>, du Pacte</w:t>
      </w:r>
    </w:p>
    <w:p w:rsidR="00841D45" w:rsidRDefault="006017AC" w:rsidP="004B00AF">
      <w:pPr>
        <w:pStyle w:val="SingleTxtG"/>
      </w:pPr>
      <w:r>
        <w:t>14.</w:t>
      </w:r>
      <w:r>
        <w:tab/>
      </w:r>
      <w:r w:rsidR="00841D45">
        <w:t>La déclaration de la Belgique relative à l’article 23</w:t>
      </w:r>
      <w:r w:rsidR="00B10927">
        <w:t xml:space="preserve">, par. </w:t>
      </w:r>
      <w:r w:rsidR="00841D45">
        <w:t>2</w:t>
      </w:r>
      <w:r w:rsidR="00A74032">
        <w:t>,</w:t>
      </w:r>
      <w:r w:rsidR="00841D45">
        <w:t xml:space="preserve"> du Pacte apporte des précisions sur ce qu’il y a lieu d’entendre par «âge nubile» et ne fait qu’expliquer nos règles de conflit de loi. Il s’agit de précisions apportées avant le Code de droit international privé belge. Le Code de droit international privé, entré en vigueur le 1</w:t>
      </w:r>
      <w:r w:rsidR="00841D45" w:rsidRPr="00160699">
        <w:rPr>
          <w:vertAlign w:val="superscript"/>
        </w:rPr>
        <w:t>er</w:t>
      </w:r>
      <w:r w:rsidR="00841D45">
        <w:t xml:space="preserve"> octobre 2004, dispose</w:t>
      </w:r>
      <w:r w:rsidR="00412AEA">
        <w:t>,</w:t>
      </w:r>
      <w:r w:rsidR="00841D45">
        <w:t xml:space="preserve"> en ce qui concerne le droit applicable à la formation </w:t>
      </w:r>
      <w:r w:rsidR="00412AEA">
        <w:t>d</w:t>
      </w:r>
      <w:r w:rsidR="00841D45">
        <w:t>u mariage, en son article 46</w:t>
      </w:r>
      <w:r w:rsidR="004B00AF">
        <w:t>,</w:t>
      </w:r>
      <w:r w:rsidR="00841D45">
        <w:t xml:space="preserve"> alinéa 1, que</w:t>
      </w:r>
      <w:r w:rsidR="00110FE4">
        <w:t xml:space="preserve"> </w:t>
      </w:r>
      <w:r w:rsidR="00841D45">
        <w:t>«</w:t>
      </w:r>
      <w:r w:rsidR="00841D45" w:rsidRPr="0021036F">
        <w:rPr>
          <w:iCs/>
        </w:rPr>
        <w:t>Sous réserve de l’article 47</w:t>
      </w:r>
      <w:r w:rsidR="00841D45">
        <w:t xml:space="preserve"> </w:t>
      </w:r>
      <w:r w:rsidR="004B00AF">
        <w:t>[</w:t>
      </w:r>
      <w:r w:rsidR="00841D45">
        <w:t>qui règle les formalités relatives à la célébration du mariage</w:t>
      </w:r>
      <w:r w:rsidR="004B00AF">
        <w:t>]</w:t>
      </w:r>
      <w:r w:rsidR="00841D45">
        <w:t xml:space="preserve">, </w:t>
      </w:r>
      <w:r w:rsidR="00841D45" w:rsidRPr="0021036F">
        <w:rPr>
          <w:iCs/>
        </w:rPr>
        <w:t>les conditions de validité du mariage sont régies, pour chacun des époux, par le droit de l’</w:t>
      </w:r>
      <w:r w:rsidR="000D7AB1" w:rsidRPr="0021036F">
        <w:rPr>
          <w:iCs/>
        </w:rPr>
        <w:t>État</w:t>
      </w:r>
      <w:r w:rsidR="00841D45" w:rsidRPr="0021036F">
        <w:rPr>
          <w:iCs/>
        </w:rPr>
        <w:t xml:space="preserve"> dont il a la nationalité au moment de la célébration du mariage</w:t>
      </w:r>
      <w:r w:rsidR="00841D45">
        <w:t xml:space="preserve">». Il renvoie à la loi nationale de chacun des époux et n’a donc pas modifié les règles de conflit de loi en la matière. </w:t>
      </w:r>
    </w:p>
    <w:p w:rsidR="00841D45" w:rsidRDefault="006017AC" w:rsidP="007B719D">
      <w:pPr>
        <w:pStyle w:val="SingleTxtG"/>
      </w:pPr>
      <w:r>
        <w:t>15.</w:t>
      </w:r>
      <w:r>
        <w:tab/>
      </w:r>
      <w:r w:rsidR="00841D45">
        <w:t>Il n’y a dès lors pas lieu de supprimer la déclaration qui apporte des précisions sur «l’âge nubile» en cas de renvoi à la loi nationale.</w:t>
      </w:r>
      <w:r w:rsidR="00110FE4">
        <w:t xml:space="preserve"> </w:t>
      </w:r>
    </w:p>
    <w:p w:rsidR="00340AAB" w:rsidRDefault="00340AAB" w:rsidP="006017AC">
      <w:pPr>
        <w:pStyle w:val="SingleTxtG"/>
        <w:rPr>
          <w:b/>
          <w:bCs/>
        </w:rPr>
      </w:pPr>
    </w:p>
    <w:p w:rsidR="00985241" w:rsidRDefault="00985241" w:rsidP="006017AC">
      <w:pPr>
        <w:pStyle w:val="SingleTxtG"/>
        <w:rPr>
          <w:b/>
          <w:bCs/>
        </w:rPr>
      </w:pPr>
    </w:p>
    <w:p w:rsidR="00985241" w:rsidRDefault="00985241" w:rsidP="006017AC">
      <w:pPr>
        <w:pStyle w:val="SingleTxtG"/>
        <w:rPr>
          <w:b/>
          <w:bCs/>
        </w:rPr>
      </w:pPr>
    </w:p>
    <w:p w:rsidR="006017AC" w:rsidRPr="00340AAB" w:rsidRDefault="006017AC" w:rsidP="006017AC">
      <w:pPr>
        <w:pStyle w:val="SingleTxtG"/>
        <w:rPr>
          <w:b/>
          <w:bCs/>
        </w:rPr>
      </w:pPr>
      <w:r w:rsidRPr="00340AAB">
        <w:rPr>
          <w:b/>
          <w:bCs/>
        </w:rPr>
        <w:t>Réponse au paragraphe 3 de la liste de points à traiter</w:t>
      </w:r>
      <w:r w:rsidRPr="00340AAB" w:rsidDel="006017AC">
        <w:rPr>
          <w:b/>
          <w:bCs/>
          <w:lang w:val="fr-BE"/>
        </w:rPr>
        <w:t xml:space="preserve"> </w:t>
      </w:r>
    </w:p>
    <w:p w:rsidR="00841D45" w:rsidRDefault="006017AC" w:rsidP="00D6258C">
      <w:pPr>
        <w:pStyle w:val="SingleTxtG"/>
      </w:pPr>
      <w:r>
        <w:t>16.</w:t>
      </w:r>
      <w:r>
        <w:tab/>
      </w:r>
      <w:r w:rsidR="00841D45">
        <w:t>La Belgique est consciente du contenu de l’article 50 du Pacte. Aux termes de l’article 167 de la Constitution, les entités fédérées sont compétentes pour la conclusion de traités dans les matières qui relèvent de leurs compétences de par la Constitution ou en vertu de celle-ci.</w:t>
      </w:r>
    </w:p>
    <w:p w:rsidR="00841D45" w:rsidRDefault="006017AC" w:rsidP="006017AC">
      <w:pPr>
        <w:pStyle w:val="SingleTxtG"/>
      </w:pPr>
      <w:r>
        <w:t>17.</w:t>
      </w:r>
      <w:r>
        <w:tab/>
      </w:r>
      <w:r w:rsidR="00841D45">
        <w:t xml:space="preserve">Dans ce cadre, il convient également de mentionner le principe </w:t>
      </w:r>
      <w:r w:rsidR="00841D45" w:rsidRPr="006017AC">
        <w:rPr>
          <w:i/>
          <w:iCs/>
        </w:rPr>
        <w:t>in foro interno, in foro externo</w:t>
      </w:r>
      <w:r w:rsidR="00D6258C">
        <w:rPr>
          <w:i/>
          <w:iCs/>
        </w:rPr>
        <w:t>,</w:t>
      </w:r>
      <w:r w:rsidR="00CE28E6">
        <w:t xml:space="preserve"> </w:t>
      </w:r>
      <w:r w:rsidR="00841D45">
        <w:t>selon lequel une autorité qui dispose de certaines compétences au niveau belge exerce ces compétences également au niveau international. </w:t>
      </w:r>
    </w:p>
    <w:p w:rsidR="00841D45" w:rsidRPr="00340AAB" w:rsidRDefault="00110FE4" w:rsidP="007F4493">
      <w:pPr>
        <w:pStyle w:val="SingleTxtG"/>
        <w:rPr>
          <w:b/>
          <w:bCs/>
          <w:lang w:val="fr-FR"/>
        </w:rPr>
      </w:pPr>
      <w:r w:rsidRPr="00340AAB">
        <w:rPr>
          <w:b/>
          <w:bCs/>
        </w:rPr>
        <w:t xml:space="preserve">Réponse au paragraphe 4 </w:t>
      </w:r>
      <w:r w:rsidR="006017AC" w:rsidRPr="00340AAB">
        <w:rPr>
          <w:b/>
          <w:bCs/>
        </w:rPr>
        <w:t>de la liste de points à traiter</w:t>
      </w:r>
      <w:r w:rsidR="00DF31B6" w:rsidRPr="00340AAB">
        <w:rPr>
          <w:b/>
          <w:bCs/>
          <w:lang w:val="fr-FR"/>
        </w:rPr>
        <w:tab/>
      </w:r>
    </w:p>
    <w:p w:rsidR="00841D45" w:rsidRPr="007C33CF" w:rsidRDefault="006017AC" w:rsidP="006976BB">
      <w:pPr>
        <w:pStyle w:val="SingleTxtG"/>
        <w:rPr>
          <w:lang w:val="fr-BE"/>
        </w:rPr>
      </w:pPr>
      <w:r>
        <w:rPr>
          <w:lang w:val="fr-BE"/>
        </w:rPr>
        <w:t>18.</w:t>
      </w:r>
      <w:r>
        <w:rPr>
          <w:lang w:val="fr-BE"/>
        </w:rPr>
        <w:tab/>
      </w:r>
      <w:r w:rsidR="00841D45" w:rsidRPr="007C33CF">
        <w:rPr>
          <w:lang w:val="fr-BE"/>
        </w:rPr>
        <w:t>Dans le cadre de la</w:t>
      </w:r>
      <w:r w:rsidR="00841D45">
        <w:rPr>
          <w:lang w:val="fr-BE"/>
        </w:rPr>
        <w:t xml:space="preserve"> mise en œuvre des droits de l’</w:t>
      </w:r>
      <w:r w:rsidR="00A01870">
        <w:rPr>
          <w:lang w:val="fr-BE"/>
        </w:rPr>
        <w:t>h</w:t>
      </w:r>
      <w:r w:rsidR="00841D45" w:rsidRPr="007C33CF">
        <w:rPr>
          <w:lang w:val="fr-BE"/>
        </w:rPr>
        <w:t>omme, des points de contact sont établis au sein de chaque département fédéral et entité fédérée. Par leur intermédiaire, des échanges de vue et des réunions peuvent avoir lieu sur une thématique ou un dossier spécifique. En outre, dans le cadre de la mise en œuvre de</w:t>
      </w:r>
      <w:r w:rsidR="00CE28E6">
        <w:rPr>
          <w:lang w:val="fr-BE"/>
        </w:rPr>
        <w:t>s</w:t>
      </w:r>
      <w:r w:rsidR="00841D45" w:rsidRPr="007C33CF">
        <w:rPr>
          <w:lang w:val="fr-BE"/>
        </w:rPr>
        <w:t xml:space="preserve"> compétences internationales de la </w:t>
      </w:r>
      <w:r w:rsidR="00841D45">
        <w:rPr>
          <w:lang w:val="fr-BE"/>
        </w:rPr>
        <w:t>Belgique,</w:t>
      </w:r>
      <w:r w:rsidR="00841D45" w:rsidRPr="007C33CF">
        <w:rPr>
          <w:lang w:val="fr-BE"/>
        </w:rPr>
        <w:t xml:space="preserve"> entre autre</w:t>
      </w:r>
      <w:r w:rsidR="00841D45">
        <w:rPr>
          <w:lang w:val="fr-BE"/>
        </w:rPr>
        <w:t>s</w:t>
      </w:r>
      <w:r w:rsidR="00841D45" w:rsidRPr="007C33CF">
        <w:rPr>
          <w:lang w:val="fr-BE"/>
        </w:rPr>
        <w:t xml:space="preserve">, en matière de droits de l’homme, une procédure institutionnalisée a été mise en place, la Coormulti. Celle-ci permet </w:t>
      </w:r>
      <w:r w:rsidR="00620575">
        <w:rPr>
          <w:lang w:val="fr-BE"/>
        </w:rPr>
        <w:t>aux</w:t>
      </w:r>
      <w:r w:rsidR="00841D45" w:rsidRPr="007C33CF">
        <w:rPr>
          <w:lang w:val="fr-BE"/>
        </w:rPr>
        <w:t xml:space="preserve"> points de contact et </w:t>
      </w:r>
      <w:r w:rsidR="00620575">
        <w:rPr>
          <w:lang w:val="fr-BE"/>
        </w:rPr>
        <w:t xml:space="preserve">aux </w:t>
      </w:r>
      <w:r w:rsidR="00841D45" w:rsidRPr="007C33CF">
        <w:rPr>
          <w:lang w:val="fr-BE"/>
        </w:rPr>
        <w:t xml:space="preserve">experts des différents départements </w:t>
      </w:r>
      <w:r w:rsidR="00620575">
        <w:rPr>
          <w:lang w:val="fr-BE"/>
        </w:rPr>
        <w:t xml:space="preserve">de se rencontrer </w:t>
      </w:r>
      <w:r w:rsidR="006156A6">
        <w:rPr>
          <w:lang w:val="fr-BE"/>
        </w:rPr>
        <w:t xml:space="preserve">pour assurer </w:t>
      </w:r>
      <w:r w:rsidR="00841D45" w:rsidRPr="007C33CF">
        <w:rPr>
          <w:lang w:val="fr-BE"/>
        </w:rPr>
        <w:t xml:space="preserve">une coordination nationale </w:t>
      </w:r>
      <w:r w:rsidR="006976BB">
        <w:rPr>
          <w:lang w:val="fr-BE"/>
        </w:rPr>
        <w:t>d</w:t>
      </w:r>
      <w:r w:rsidR="00841D45" w:rsidRPr="007C33CF">
        <w:rPr>
          <w:lang w:val="fr-BE"/>
        </w:rPr>
        <w:t>es dossiers qui le nécessitent</w:t>
      </w:r>
      <w:r>
        <w:rPr>
          <w:lang w:val="fr-BE"/>
        </w:rPr>
        <w:t xml:space="preserve"> (</w:t>
      </w:r>
      <w:r w:rsidR="006976BB">
        <w:rPr>
          <w:lang w:val="fr-BE"/>
        </w:rPr>
        <w:t>CCPR/C/BEL/</w:t>
      </w:r>
      <w:r w:rsidR="006216D1">
        <w:rPr>
          <w:lang w:val="fr-BE"/>
        </w:rPr>
        <w:t>Q/</w:t>
      </w:r>
      <w:r w:rsidR="006976BB">
        <w:rPr>
          <w:lang w:val="fr-BE"/>
        </w:rPr>
        <w:t xml:space="preserve">5, </w:t>
      </w:r>
      <w:r w:rsidRPr="006976BB">
        <w:rPr>
          <w:lang w:val="fr-BE"/>
        </w:rPr>
        <w:t>par. 4,</w:t>
      </w:r>
      <w:r>
        <w:rPr>
          <w:lang w:val="fr-BE"/>
        </w:rPr>
        <w:t xml:space="preserve"> al. </w:t>
      </w:r>
      <w:r w:rsidRPr="006017AC">
        <w:rPr>
          <w:i/>
          <w:iCs/>
          <w:lang w:val="fr-BE"/>
        </w:rPr>
        <w:t>a</w:t>
      </w:r>
      <w:r>
        <w:rPr>
          <w:lang w:val="fr-BE"/>
        </w:rPr>
        <w:t>)</w:t>
      </w:r>
      <w:r w:rsidR="00841D45" w:rsidRPr="007C33CF">
        <w:rPr>
          <w:lang w:val="fr-BE"/>
        </w:rPr>
        <w:t xml:space="preserve">. </w:t>
      </w:r>
    </w:p>
    <w:p w:rsidR="00841D45" w:rsidRDefault="006017AC" w:rsidP="007051CE">
      <w:pPr>
        <w:pStyle w:val="SingleTxtG"/>
        <w:rPr>
          <w:bCs/>
        </w:rPr>
      </w:pPr>
      <w:r>
        <w:t>19.</w:t>
      </w:r>
      <w:r>
        <w:tab/>
      </w:r>
      <w:r w:rsidR="00841D45" w:rsidRPr="007C33CF">
        <w:t>La création d’une institution nationale des droits de l’</w:t>
      </w:r>
      <w:r w:rsidR="00A01870">
        <w:t>h</w:t>
      </w:r>
      <w:r w:rsidR="00841D45" w:rsidRPr="007C33CF">
        <w:t xml:space="preserve">omme </w:t>
      </w:r>
      <w:r w:rsidR="007051CE">
        <w:t>pose</w:t>
      </w:r>
      <w:r w:rsidR="007051CE" w:rsidRPr="007C33CF">
        <w:t xml:space="preserve"> </w:t>
      </w:r>
      <w:r w:rsidR="00841D45" w:rsidRPr="007C33CF">
        <w:t>de nombreuses</w:t>
      </w:r>
      <w:r w:rsidR="00841D45">
        <w:t xml:space="preserve"> questions institutionnelles </w:t>
      </w:r>
      <w:r>
        <w:t>(</w:t>
      </w:r>
      <w:r w:rsidR="006E4540">
        <w:rPr>
          <w:lang w:val="fr-BE"/>
        </w:rPr>
        <w:t>CCPR/C/BEL/</w:t>
      </w:r>
      <w:r w:rsidR="00082BE8">
        <w:rPr>
          <w:lang w:val="fr-BE"/>
        </w:rPr>
        <w:t>Q/</w:t>
      </w:r>
      <w:r w:rsidR="006E4540">
        <w:rPr>
          <w:lang w:val="fr-BE"/>
        </w:rPr>
        <w:t xml:space="preserve">5, </w:t>
      </w:r>
      <w:r w:rsidRPr="007051CE">
        <w:t>par. 4</w:t>
      </w:r>
      <w:r>
        <w:t xml:space="preserve">, al. </w:t>
      </w:r>
      <w:r w:rsidRPr="006017AC">
        <w:rPr>
          <w:i/>
          <w:iCs/>
        </w:rPr>
        <w:t>b</w:t>
      </w:r>
      <w:r>
        <w:t>)</w:t>
      </w:r>
      <w:r w:rsidR="007051CE">
        <w:t>,</w:t>
      </w:r>
      <w:r>
        <w:t xml:space="preserve"> </w:t>
      </w:r>
      <w:r w:rsidR="00841D45">
        <w:t>du fait que la Belgique possède déjà plusieurs institutions exerçant des compétences liées aux droits de l’</w:t>
      </w:r>
      <w:r w:rsidR="00A01870">
        <w:t>h</w:t>
      </w:r>
      <w:r w:rsidR="00841D45">
        <w:t xml:space="preserve">omme. Des discussions politiques ont eu lieu et différentes options sont à l’examen. Une coalition d’ONG a exprimé un avis dans un document comprenant des propositions concrètes pour la création d'une </w:t>
      </w:r>
      <w:r w:rsidR="00F973BF">
        <w:t>c</w:t>
      </w:r>
      <w:r w:rsidR="00841D45">
        <w:t>ommission fédérale des droits fondamentaux. En 2006, un avis circonstancié a également été demandé au Haut Commissariat des Nations Unies aux droits de l'</w:t>
      </w:r>
      <w:r w:rsidR="00A01870">
        <w:t>h</w:t>
      </w:r>
      <w:r w:rsidR="00841D45">
        <w:t>omme (</w:t>
      </w:r>
      <w:r w:rsidR="00841D45" w:rsidRPr="00F973BF">
        <w:t>HCR</w:t>
      </w:r>
      <w:r w:rsidR="00841D45">
        <w:t xml:space="preserve">) sur deux options concrètes (soit l’extension du mandat du Centre pour l’égalité des chances et la lutte contre le racisme, soit la proposition telle que formulée par la coalition d’ONG). </w:t>
      </w:r>
    </w:p>
    <w:p w:rsidR="004655FA" w:rsidRDefault="006017AC" w:rsidP="00ED5984">
      <w:pPr>
        <w:pStyle w:val="SingleTxtG"/>
      </w:pPr>
      <w:r>
        <w:t>20.</w:t>
      </w:r>
      <w:r>
        <w:tab/>
      </w:r>
      <w:r w:rsidR="00841D45">
        <w:t>Bien qu’il n’existe pas encore d’institution nationale des droits de l’</w:t>
      </w:r>
      <w:r w:rsidR="00A01870">
        <w:t>h</w:t>
      </w:r>
      <w:r w:rsidR="00841D45">
        <w:t>omme, il faut souligner qu’il existe d’autres institutions spécifiques qui traitent de matières liées aux droits de l’</w:t>
      </w:r>
      <w:r w:rsidR="00A01870">
        <w:t>h</w:t>
      </w:r>
      <w:r w:rsidR="00841D45">
        <w:t xml:space="preserve">omme, </w:t>
      </w:r>
      <w:r w:rsidR="00F973BF">
        <w:t xml:space="preserve">parmi lesquelles </w:t>
      </w:r>
      <w:r w:rsidR="00841D45">
        <w:t xml:space="preserve">on peut citer : l’Institut pour l’égalité des femmes et des hommes, créé en 2002, </w:t>
      </w:r>
      <w:r w:rsidR="00F973BF">
        <w:t xml:space="preserve">qui a </w:t>
      </w:r>
      <w:r w:rsidR="00841D45">
        <w:t>pour tâche de veiller au respect de l’égalité des femmes et des hommes et en ce sens de combattre toute forme de discrimination et d’inégalité basée sur le sexe ; le Centre pour l’</w:t>
      </w:r>
      <w:r w:rsidR="0028419C">
        <w:t>é</w:t>
      </w:r>
      <w:r w:rsidR="00841D45">
        <w:t xml:space="preserve">galité des </w:t>
      </w:r>
      <w:r w:rsidR="0028419C">
        <w:t>c</w:t>
      </w:r>
      <w:r w:rsidR="00841D45">
        <w:t>hances et la</w:t>
      </w:r>
      <w:r w:rsidR="0028419C">
        <w:t xml:space="preserve"> l</w:t>
      </w:r>
      <w:r w:rsidR="00841D45">
        <w:t xml:space="preserve">utte contre le </w:t>
      </w:r>
      <w:r w:rsidR="0028419C">
        <w:t>r</w:t>
      </w:r>
      <w:r w:rsidR="00841D45">
        <w:t>acisme cré</w:t>
      </w:r>
      <w:r w:rsidR="0028419C">
        <w:t>é</w:t>
      </w:r>
      <w:r w:rsidR="00841D45">
        <w:t xml:space="preserve"> en 1993 </w:t>
      </w:r>
      <w:r w:rsidR="00ED5984">
        <w:t>avec</w:t>
      </w:r>
      <w:r w:rsidR="00841D45">
        <w:t xml:space="preserve"> mission de promouvoir l’égalité des chances et de combattre toutes formes de distinction, </w:t>
      </w:r>
      <w:r w:rsidR="00ED5984">
        <w:t>d’</w:t>
      </w:r>
      <w:r w:rsidR="00841D45">
        <w:t xml:space="preserve">exclusion, </w:t>
      </w:r>
      <w:r w:rsidR="00ED5984">
        <w:t xml:space="preserve">de </w:t>
      </w:r>
      <w:r w:rsidR="00841D45">
        <w:t xml:space="preserve">restriction ou </w:t>
      </w:r>
      <w:r w:rsidR="00ED5984">
        <w:t xml:space="preserve">de </w:t>
      </w:r>
      <w:r w:rsidR="00841D45">
        <w:t xml:space="preserve">préférence basées sur des critères déterminés ; la Commission nationale pour les droits de l’enfant mise en place en 2007, qui est une plate-forme de concertation caractérisée par une large représentation </w:t>
      </w:r>
      <w:r w:rsidR="00ED5984">
        <w:t xml:space="preserve">à </w:t>
      </w:r>
      <w:r w:rsidR="00841D45">
        <w:t>tous les niveaux d</w:t>
      </w:r>
      <w:r w:rsidR="00ED5984">
        <w:t>u</w:t>
      </w:r>
      <w:r w:rsidR="00841D45">
        <w:t xml:space="preserve"> pouvoir et </w:t>
      </w:r>
      <w:r w:rsidR="00ED5984">
        <w:t xml:space="preserve">au sein </w:t>
      </w:r>
      <w:r w:rsidR="00841D45">
        <w:t xml:space="preserve">de la société civile.  </w:t>
      </w:r>
    </w:p>
    <w:p w:rsidR="00841D45" w:rsidRDefault="004655FA" w:rsidP="00ED5984">
      <w:pPr>
        <w:pStyle w:val="SingleTxtG"/>
      </w:pPr>
      <w:r>
        <w:t>21.</w:t>
      </w:r>
      <w:r>
        <w:tab/>
      </w:r>
      <w:r w:rsidR="00841D45">
        <w:t xml:space="preserve">En outre, la Belgique s’est également dotée d’une </w:t>
      </w:r>
      <w:r w:rsidR="00ED5984">
        <w:t>c</w:t>
      </w:r>
      <w:r w:rsidR="00841D45">
        <w:t>ommission interministérielle de droit humanitaire, qui a pour tâche de coordonner les mesures nationales d’application des Conventions de Genève et de leurs Protocoles</w:t>
      </w:r>
      <w:r w:rsidR="00ED5984">
        <w:t>,</w:t>
      </w:r>
      <w:r w:rsidR="00841D45">
        <w:t xml:space="preserve"> et d’examiner </w:t>
      </w:r>
      <w:r w:rsidR="00ED5984">
        <w:t>l</w:t>
      </w:r>
      <w:r w:rsidR="00841D45">
        <w:t>es questions relatives au droit international humanitaire.</w:t>
      </w:r>
    </w:p>
    <w:p w:rsidR="00841D45" w:rsidRPr="00340AAB" w:rsidRDefault="006017AC" w:rsidP="00841D45">
      <w:pPr>
        <w:pStyle w:val="SingleTxtG"/>
        <w:rPr>
          <w:b/>
          <w:bCs/>
          <w:lang w:val="fr-FR"/>
        </w:rPr>
      </w:pPr>
      <w:r w:rsidRPr="00340AAB">
        <w:rPr>
          <w:b/>
          <w:bCs/>
        </w:rPr>
        <w:t>Réponse au paragraphe 5 de la liste de points à traiter</w:t>
      </w:r>
    </w:p>
    <w:p w:rsidR="00841D45" w:rsidRDefault="004655FA" w:rsidP="00886252">
      <w:pPr>
        <w:pStyle w:val="SingleTxtG"/>
      </w:pPr>
      <w:r>
        <w:t>22</w:t>
      </w:r>
      <w:r w:rsidR="006017AC">
        <w:t>.</w:t>
      </w:r>
      <w:r w:rsidR="006017AC">
        <w:tab/>
      </w:r>
      <w:r w:rsidR="00841D45" w:rsidRPr="00F648AE">
        <w:t>Le Centre</w:t>
      </w:r>
      <w:r w:rsidR="00841D45">
        <w:t xml:space="preserve"> pour l’égalité des chances et la lutte contre le racisme</w:t>
      </w:r>
      <w:r w:rsidR="00841D45" w:rsidRPr="00F648AE">
        <w:t xml:space="preserve"> constate que les tribunaux bel</w:t>
      </w:r>
      <w:r w:rsidR="00841D45">
        <w:t xml:space="preserve">ges, dans de nombreux dossiers, </w:t>
      </w:r>
      <w:r w:rsidR="002264BB">
        <w:t xml:space="preserve">en application de la nouvelle législation antidiscrimination, </w:t>
      </w:r>
      <w:r w:rsidR="00841D45">
        <w:t xml:space="preserve">ont appliqué des dispositions pénales </w:t>
      </w:r>
      <w:r w:rsidR="000C2003">
        <w:t>en vertu d</w:t>
      </w:r>
      <w:r w:rsidR="00841D45">
        <w:t>esquelles une peine plus élevée peut être prononcée si l’infraction est inspirée par des motifs racistes</w:t>
      </w:r>
      <w:r w:rsidR="002264BB">
        <w:t>.</w:t>
      </w:r>
      <w:r w:rsidR="00841D45">
        <w:t xml:space="preserve"> Ils ont également appliqué les dispositions qui interdisent la négation du génocide perpétré par le régime national-socialiste allemand</w:t>
      </w:r>
      <w:r w:rsidR="00841D45">
        <w:rPr>
          <w:rStyle w:val="FootnoteReference"/>
        </w:rPr>
        <w:footnoteReference w:id="2"/>
      </w:r>
      <w:r w:rsidR="00841D45">
        <w:t xml:space="preserve"> ainsi que les dispositions de la loi antiracisme</w:t>
      </w:r>
      <w:r w:rsidR="00841D45">
        <w:rPr>
          <w:rStyle w:val="FootnoteReference"/>
        </w:rPr>
        <w:footnoteReference w:id="3"/>
      </w:r>
      <w:r w:rsidR="00841D45">
        <w:t xml:space="preserve">. </w:t>
      </w:r>
    </w:p>
    <w:p w:rsidR="00841D45" w:rsidRPr="00A040C7" w:rsidRDefault="00AB2C4B" w:rsidP="000D1482">
      <w:pPr>
        <w:pStyle w:val="SingleTxtG"/>
      </w:pPr>
      <w:r>
        <w:t>23.</w:t>
      </w:r>
      <w:r>
        <w:tab/>
      </w:r>
      <w:r w:rsidR="007B719D">
        <w:t>À</w:t>
      </w:r>
      <w:r w:rsidR="00841D45" w:rsidRPr="00A040C7">
        <w:t xml:space="preserve"> titre d’illustration, on se référer</w:t>
      </w:r>
      <w:r w:rsidR="00EF658B">
        <w:t>a</w:t>
      </w:r>
      <w:r w:rsidR="00841D45" w:rsidRPr="00A040C7">
        <w:t xml:space="preserve"> à la jurisprudence de l’année 2009</w:t>
      </w:r>
      <w:r w:rsidR="000A2B2E">
        <w:t xml:space="preserve"> </w:t>
      </w:r>
      <w:r w:rsidR="00E3133A">
        <w:t xml:space="preserve">qui a été </w:t>
      </w:r>
      <w:r w:rsidR="000A2B2E">
        <w:t xml:space="preserve">portée à la connaissance du </w:t>
      </w:r>
      <w:r w:rsidR="00841D45" w:rsidRPr="00A040C7">
        <w:t>Centre</w:t>
      </w:r>
      <w:r w:rsidR="00841D45" w:rsidRPr="009A6727">
        <w:rPr>
          <w:rStyle w:val="FootnoteReference"/>
          <w:sz w:val="20"/>
          <w:szCs w:val="24"/>
        </w:rPr>
        <w:footnoteReference w:id="4"/>
      </w:r>
      <w:r w:rsidR="009A6727">
        <w:t>.</w:t>
      </w:r>
      <w:r w:rsidR="00841D45" w:rsidRPr="00A040C7">
        <w:t xml:space="preserve"> </w:t>
      </w:r>
    </w:p>
    <w:p w:rsidR="00AB2C4B" w:rsidRDefault="00AB2C4B" w:rsidP="00AB2C4B">
      <w:pPr>
        <w:pStyle w:val="SingleTxtG"/>
      </w:pPr>
      <w:r>
        <w:t>24.</w:t>
      </w:r>
      <w:r>
        <w:tab/>
      </w:r>
      <w:r w:rsidR="00841D45" w:rsidRPr="00A040C7">
        <w:t xml:space="preserve">Au niveau fédéral, l’Institut pour l’égalité des femmes et des hommes est habilité à intervenir en cas de violation de la législation tendant à lutter contre la discrimination entre les femmes et les hommes. </w:t>
      </w:r>
    </w:p>
    <w:p w:rsidR="00AB2C4B" w:rsidRDefault="00AB2C4B" w:rsidP="00886252">
      <w:pPr>
        <w:pStyle w:val="SingleTxtG"/>
      </w:pPr>
      <w:r>
        <w:t>25.</w:t>
      </w:r>
      <w:r>
        <w:tab/>
      </w:r>
      <w:r w:rsidR="007B719D">
        <w:t>À</w:t>
      </w:r>
      <w:r w:rsidR="00841D45" w:rsidRPr="00A040C7">
        <w:t xml:space="preserve"> cette fin, l’Institut dispose d’un service juridique qui traite les plaintes des </w:t>
      </w:r>
      <w:r w:rsidR="000D1482">
        <w:t xml:space="preserve">personnes </w:t>
      </w:r>
      <w:r w:rsidR="00841D45" w:rsidRPr="00A040C7">
        <w:t xml:space="preserve">victimes de discrimination basée sur le sexe et assiste </w:t>
      </w:r>
      <w:r w:rsidR="000D1482">
        <w:t>ces personnes</w:t>
      </w:r>
      <w:r w:rsidR="00841D45" w:rsidRPr="00A040C7">
        <w:t xml:space="preserve"> en justice. En 2009, 150 dossiers ont débouché sur une plainte, soit 20 % de plus qu’en 2008. Il s’agit de discrimination directe dans 55% des cas</w:t>
      </w:r>
      <w:r w:rsidR="00D87989">
        <w:t>,</w:t>
      </w:r>
      <w:r w:rsidR="00841D45" w:rsidRPr="00A040C7">
        <w:t xml:space="preserve"> et principalement </w:t>
      </w:r>
      <w:r w:rsidR="00D87989">
        <w:t>à l’encontre de</w:t>
      </w:r>
      <w:r w:rsidR="00D87989" w:rsidRPr="00A040C7">
        <w:t xml:space="preserve"> </w:t>
      </w:r>
      <w:r w:rsidR="00841D45" w:rsidRPr="00A040C7">
        <w:t xml:space="preserve">femmes. </w:t>
      </w:r>
      <w:r w:rsidR="007B719D">
        <w:t>À</w:t>
      </w:r>
      <w:r w:rsidR="00841D45" w:rsidRPr="00A040C7">
        <w:t xml:space="preserve"> titre d’illustration, de plus de plus de femmes enceintes ou de jeunes mères se sentent discriminées dans leur emploi. En 2009, 20% du nombre total de</w:t>
      </w:r>
      <w:r w:rsidR="00D87989">
        <w:t>s</w:t>
      </w:r>
      <w:r w:rsidR="00841D45" w:rsidRPr="00A040C7">
        <w:t xml:space="preserve"> dossiers trouv</w:t>
      </w:r>
      <w:r w:rsidR="00D87989">
        <w:t>ai</w:t>
      </w:r>
      <w:r w:rsidR="00841D45" w:rsidRPr="00A040C7">
        <w:t>ent leur fondement dans des litiges liés à la grossesse. Par exemple, un employeur demande</w:t>
      </w:r>
      <w:r w:rsidR="00D87989">
        <w:t xml:space="preserve"> </w:t>
      </w:r>
      <w:r w:rsidR="00841D45" w:rsidRPr="00A040C7">
        <w:t xml:space="preserve">explicitement à une future employée si </w:t>
      </w:r>
      <w:r w:rsidR="001A2A5D">
        <w:t>c</w:t>
      </w:r>
      <w:r w:rsidR="00841D45" w:rsidRPr="00A040C7">
        <w:t>elle</w:t>
      </w:r>
      <w:r w:rsidR="001A2A5D">
        <w:t>-ci</w:t>
      </w:r>
      <w:r w:rsidR="00841D45" w:rsidRPr="00A040C7">
        <w:t xml:space="preserve"> est enceinte dans un questionnaire </w:t>
      </w:r>
      <w:r w:rsidR="001A2A5D">
        <w:t xml:space="preserve">à remplir préalablement à </w:t>
      </w:r>
      <w:r w:rsidR="00841D45" w:rsidRPr="00A040C7">
        <w:t xml:space="preserve">l’embauche </w:t>
      </w:r>
      <w:r w:rsidR="001A2A5D">
        <w:t>et dans lequel</w:t>
      </w:r>
      <w:r w:rsidR="001A2A5D" w:rsidRPr="00A040C7">
        <w:t xml:space="preserve"> </w:t>
      </w:r>
      <w:r w:rsidR="00841D45" w:rsidRPr="00A040C7">
        <w:t>il promet explicitement un contrat à durée indéterminée</w:t>
      </w:r>
      <w:r w:rsidR="001A2A5D">
        <w:t>;</w:t>
      </w:r>
      <w:r w:rsidR="00841D45" w:rsidRPr="00A040C7">
        <w:t xml:space="preserve"> </w:t>
      </w:r>
      <w:r w:rsidR="001A2A5D">
        <w:t xml:space="preserve">il </w:t>
      </w:r>
      <w:r w:rsidR="00841D45" w:rsidRPr="00A040C7">
        <w:t xml:space="preserve">forme son employée, lui attribue des évaluations positives, et lorsqu’il apprend qu’elle enceinte, son contrat n’est </w:t>
      </w:r>
      <w:r w:rsidR="001A2A5D" w:rsidRPr="00A040C7">
        <w:t>pas renouvelé</w:t>
      </w:r>
      <w:r w:rsidR="001A2A5D">
        <w:t>,</w:t>
      </w:r>
      <w:r w:rsidR="001A2A5D" w:rsidRPr="00A040C7">
        <w:t xml:space="preserve"> </w:t>
      </w:r>
      <w:r w:rsidR="00841D45" w:rsidRPr="00A040C7">
        <w:t>purement et simplement.</w:t>
      </w:r>
    </w:p>
    <w:p w:rsidR="00841D45" w:rsidRPr="00A040C7" w:rsidRDefault="00AB2C4B" w:rsidP="00AB2C4B">
      <w:pPr>
        <w:pStyle w:val="SingleTxtG"/>
      </w:pPr>
      <w:r>
        <w:t>26.</w:t>
      </w:r>
      <w:r>
        <w:tab/>
      </w:r>
      <w:r w:rsidR="00841D45" w:rsidRPr="00A040C7">
        <w:t xml:space="preserve"> Ces comportements sont formellement interdits par la loi et la jurisprudence et constituent une discrimination directe fondée sur le sexe. </w:t>
      </w:r>
    </w:p>
    <w:p w:rsidR="00841D45" w:rsidRPr="00A040C7" w:rsidRDefault="00AB2C4B" w:rsidP="00B13A0B">
      <w:pPr>
        <w:pStyle w:val="SingleTxtG"/>
      </w:pPr>
      <w:r>
        <w:t>27.</w:t>
      </w:r>
      <w:r>
        <w:tab/>
      </w:r>
      <w:r w:rsidR="00841D45" w:rsidRPr="00A040C7">
        <w:t>Quant aux dispositions qui étaient en cours d’élaboration au moment de la rédaction du rapport, il convient d’observer l</w:t>
      </w:r>
      <w:r w:rsidR="001A2A5D">
        <w:t xml:space="preserve">eur </w:t>
      </w:r>
      <w:r w:rsidR="00841D45" w:rsidRPr="00A040C7">
        <w:t xml:space="preserve">avancement tel qu’indiqué ci-dessous: </w:t>
      </w:r>
    </w:p>
    <w:p w:rsidR="00841D45" w:rsidRPr="00A040C7" w:rsidRDefault="00841D45" w:rsidP="00C25982">
      <w:pPr>
        <w:pStyle w:val="SingleTxtG"/>
      </w:pPr>
      <w:r w:rsidRPr="00A040C7">
        <w:t xml:space="preserve">- Le </w:t>
      </w:r>
      <w:r w:rsidR="001A2A5D">
        <w:t>d</w:t>
      </w:r>
      <w:r w:rsidRPr="00A040C7">
        <w:t>écret de la Région wallonne relatif à la lutte contre certaines formes de discrimination a été adopté le 6 novembre 2008 (M.B., 19 décembre 2008);</w:t>
      </w:r>
    </w:p>
    <w:p w:rsidR="00841D45" w:rsidRPr="005D605D" w:rsidRDefault="00841D45" w:rsidP="00F67263">
      <w:pPr>
        <w:pStyle w:val="SingleTxtG"/>
      </w:pPr>
      <w:r w:rsidRPr="00A040C7">
        <w:t>- Le projet d'arrêté d'exécution de l’ordonnance de la Commission communautaire française (en Région de Bruxelles-Capitale) du 4 septembre 2008 visant à promouvoir la diversité est en voie d'abouti</w:t>
      </w:r>
      <w:r w:rsidR="00F67263">
        <w:t>ssement</w:t>
      </w:r>
      <w:r w:rsidRPr="00A040C7">
        <w:t xml:space="preserve">. La négociation au sein du Comité est actuellement clôturée. Le projet </w:t>
      </w:r>
      <w:r w:rsidRPr="005D605D">
        <w:t>d’arrêté d’exécution devrait maintenant être soumis au Gouvernement</w:t>
      </w:r>
      <w:r w:rsidR="00F67263" w:rsidRPr="00F67263">
        <w:t xml:space="preserve"> </w:t>
      </w:r>
      <w:r w:rsidR="00F67263" w:rsidRPr="005D605D">
        <w:t>pour deuxième lecture</w:t>
      </w:r>
      <w:r w:rsidRPr="005D605D">
        <w:t xml:space="preserve">. Ensuite, il sera soumis </w:t>
      </w:r>
      <w:r w:rsidR="00F67263">
        <w:t>au Conseil d’État</w:t>
      </w:r>
      <w:r w:rsidR="00F67263" w:rsidRPr="005D605D">
        <w:t xml:space="preserve"> </w:t>
      </w:r>
      <w:r w:rsidRPr="005D605D">
        <w:t>pour avi</w:t>
      </w:r>
      <w:r>
        <w:t>s;</w:t>
      </w:r>
    </w:p>
    <w:p w:rsidR="00841D45" w:rsidRPr="005D605D" w:rsidRDefault="00841D45" w:rsidP="006B5F05">
      <w:pPr>
        <w:pStyle w:val="SingleTxtG"/>
        <w:rPr>
          <w:lang w:val="fr-BE"/>
        </w:rPr>
      </w:pPr>
      <w:r w:rsidRPr="005D605D">
        <w:rPr>
          <w:lang w:val="fr-BE"/>
        </w:rPr>
        <w:t xml:space="preserve">- Le </w:t>
      </w:r>
      <w:r w:rsidR="006B5F05">
        <w:rPr>
          <w:lang w:val="fr-BE"/>
        </w:rPr>
        <w:t>d</w:t>
      </w:r>
      <w:r w:rsidRPr="005D605D">
        <w:rPr>
          <w:lang w:val="fr-BE"/>
        </w:rPr>
        <w:t>écret de la Communauté française relatif à la lutte contre certaines formes de discrimination a été adopté le 12 décembre 2008 (M.B., 13 janvier 2009)</w:t>
      </w:r>
      <w:r>
        <w:rPr>
          <w:lang w:val="fr-BE"/>
        </w:rPr>
        <w:t>.</w:t>
      </w:r>
      <w:r w:rsidRPr="005D605D">
        <w:rPr>
          <w:lang w:val="fr-BE"/>
        </w:rPr>
        <w:t xml:space="preserve"> </w:t>
      </w:r>
    </w:p>
    <w:p w:rsidR="00AB2C4B" w:rsidRPr="00340AAB" w:rsidRDefault="00AB2C4B" w:rsidP="00841D45">
      <w:pPr>
        <w:pStyle w:val="SingleTxtG"/>
        <w:rPr>
          <w:b/>
          <w:bCs/>
          <w:lang w:val="fr-FR"/>
        </w:rPr>
      </w:pPr>
      <w:r w:rsidRPr="00340AAB">
        <w:rPr>
          <w:b/>
          <w:bCs/>
        </w:rPr>
        <w:t>Réponse au paragraphe 6 de la liste de points à traiter</w:t>
      </w:r>
      <w:r w:rsidRPr="00340AAB" w:rsidDel="00AB2C4B">
        <w:rPr>
          <w:b/>
          <w:bCs/>
          <w:lang w:val="fr-FR"/>
        </w:rPr>
        <w:t xml:space="preserve"> </w:t>
      </w:r>
    </w:p>
    <w:p w:rsidR="00841D45" w:rsidRPr="005E22EE" w:rsidRDefault="00AB2C4B" w:rsidP="00DE0E38">
      <w:pPr>
        <w:pStyle w:val="SingleTxtG"/>
        <w:rPr>
          <w:lang w:val="fr-BE"/>
        </w:rPr>
      </w:pPr>
      <w:r>
        <w:rPr>
          <w:lang w:val="fr-BE"/>
        </w:rPr>
        <w:t>28.</w:t>
      </w:r>
      <w:r>
        <w:rPr>
          <w:lang w:val="fr-BE"/>
        </w:rPr>
        <w:tab/>
      </w:r>
      <w:r w:rsidR="00841D45">
        <w:rPr>
          <w:lang w:val="fr-BE"/>
        </w:rPr>
        <w:t xml:space="preserve"> </w:t>
      </w:r>
      <w:r w:rsidR="00841D45" w:rsidRPr="00D301B1">
        <w:t>Au Ministère de la Région de Bruxelles-Capitale, avant d’adopter le premier plan diversité pour la période 2006-2007, une phase stratégique préparatoire a permis d’aboutir à l’adoption d’une charte</w:t>
      </w:r>
      <w:r w:rsidR="00DE0E38">
        <w:t>-</w:t>
      </w:r>
      <w:r w:rsidR="00841D45" w:rsidRPr="00D301B1">
        <w:t xml:space="preserve">diversité, à la réalisation d’une étude sur la diversité et </w:t>
      </w:r>
      <w:r w:rsidR="00841D45">
        <w:t xml:space="preserve">à la formation des </w:t>
      </w:r>
      <w:r w:rsidR="00841D45" w:rsidRPr="00D301B1">
        <w:t>collaborateurs en la matière. Le plan a été</w:t>
      </w:r>
      <w:r w:rsidR="00841D45">
        <w:t xml:space="preserve"> structuré sur la base de</w:t>
      </w:r>
      <w:r w:rsidR="00DE0E38">
        <w:t>s</w:t>
      </w:r>
      <w:r w:rsidR="00841D45">
        <w:t xml:space="preserve"> types</w:t>
      </w:r>
      <w:r w:rsidR="00841D45" w:rsidRPr="00D301B1">
        <w:t xml:space="preserve"> d’action identifiés </w:t>
      </w:r>
      <w:r w:rsidR="00DE0E38">
        <w:t xml:space="preserve">à la </w:t>
      </w:r>
      <w:r w:rsidR="00841D45" w:rsidRPr="00D301B1">
        <w:t xml:space="preserve">suite </w:t>
      </w:r>
      <w:r w:rsidR="00DE0E38">
        <w:t>de</w:t>
      </w:r>
      <w:r w:rsidR="00841D45" w:rsidRPr="00D301B1">
        <w:t xml:space="preserve"> ce premier diagnostic. </w:t>
      </w:r>
    </w:p>
    <w:p w:rsidR="00841D45" w:rsidRPr="00D301B1" w:rsidRDefault="00AB2C4B" w:rsidP="003D3AD8">
      <w:pPr>
        <w:pStyle w:val="SingleTxtG"/>
      </w:pPr>
      <w:r>
        <w:t>29.</w:t>
      </w:r>
      <w:r>
        <w:tab/>
      </w:r>
      <w:r w:rsidR="00841D45" w:rsidRPr="00D301B1">
        <w:t>Le premier plan d’action 2006/</w:t>
      </w:r>
      <w:r w:rsidR="00841D45">
        <w:t>20</w:t>
      </w:r>
      <w:r w:rsidR="00841D45" w:rsidRPr="00D301B1">
        <w:t xml:space="preserve">07 s’est concrétisé principalement </w:t>
      </w:r>
      <w:r w:rsidR="004D5AC5">
        <w:t xml:space="preserve">au moyen </w:t>
      </w:r>
      <w:r w:rsidR="000A30A7">
        <w:t>d’</w:t>
      </w:r>
      <w:r w:rsidR="00841D45" w:rsidRPr="00D301B1">
        <w:t>actions de sensibilisation (</w:t>
      </w:r>
      <w:r w:rsidR="000A30A7">
        <w:t>«</w:t>
      </w:r>
      <w:r w:rsidR="00841D45" w:rsidRPr="00D301B1">
        <w:t>midis de l’égalité</w:t>
      </w:r>
      <w:r w:rsidR="000A30A7">
        <w:t>»</w:t>
      </w:r>
      <w:r w:rsidR="00841D45" w:rsidRPr="00D301B1">
        <w:t>),</w:t>
      </w:r>
      <w:r w:rsidR="00841D45">
        <w:t xml:space="preserve"> d'information et de formation, </w:t>
      </w:r>
      <w:r w:rsidR="00841D45" w:rsidRPr="00D301B1">
        <w:t xml:space="preserve">sans </w:t>
      </w:r>
      <w:r w:rsidR="00795804">
        <w:t>pour autant négliger</w:t>
      </w:r>
      <w:r w:rsidR="00841D45" w:rsidRPr="00D301B1">
        <w:t xml:space="preserve"> </w:t>
      </w:r>
      <w:r w:rsidR="00795804">
        <w:t>l</w:t>
      </w:r>
      <w:r w:rsidR="00841D45" w:rsidRPr="00D301B1">
        <w:t xml:space="preserve">es actions de recherche et d’analyse ou d’adaptation de la réglementation (exemple : transposition des directives européennes). </w:t>
      </w:r>
      <w:r w:rsidR="0028419C">
        <w:t>É</w:t>
      </w:r>
      <w:r w:rsidR="00841D45" w:rsidRPr="00D301B1">
        <w:t xml:space="preserve">tant donné le champ d’action assez large résultant de la notion de diversité, il a été décidé de se </w:t>
      </w:r>
      <w:r w:rsidR="00AD5824">
        <w:t>concentrer</w:t>
      </w:r>
      <w:r w:rsidR="00841D45" w:rsidRPr="00D301B1">
        <w:t>, dans un premier temps, prioritairement sur trois groupes-cibles: les femmes et les ho</w:t>
      </w:r>
      <w:r w:rsidR="00841D45">
        <w:t>mmes, les personnes handicapées et</w:t>
      </w:r>
      <w:r w:rsidR="00841D45" w:rsidRPr="00D301B1">
        <w:t xml:space="preserve"> les personnes d’origine étrangère. Le </w:t>
      </w:r>
      <w:r w:rsidR="0085013B">
        <w:t>M</w:t>
      </w:r>
      <w:r w:rsidR="00841D45" w:rsidRPr="00D301B1">
        <w:t>inistère étant attaché au principe de</w:t>
      </w:r>
      <w:r w:rsidR="0085013B">
        <w:t xml:space="preserve">s </w:t>
      </w:r>
      <w:r w:rsidR="00841D45" w:rsidRPr="00D301B1">
        <w:t>compétences, le plan ne s’inscrivait pas dans une option de discrimination positive à l’égard de</w:t>
      </w:r>
      <w:r w:rsidR="0085013B">
        <w:t>s</w:t>
      </w:r>
      <w:r w:rsidR="00841D45" w:rsidRPr="00D301B1">
        <w:t xml:space="preserve"> publics</w:t>
      </w:r>
      <w:r w:rsidR="003D3AD8">
        <w:t>-</w:t>
      </w:r>
      <w:r w:rsidR="00841D45" w:rsidRPr="00D301B1">
        <w:t>cibles (risques de stigmatisation ou de revendication) mais s’articulait autour d’axes s’inscriv</w:t>
      </w:r>
      <w:r w:rsidR="0085013B">
        <w:t>a</w:t>
      </w:r>
      <w:r w:rsidR="00841D45" w:rsidRPr="00D301B1">
        <w:t xml:space="preserve">nt dans les orientations générales des politiques du </w:t>
      </w:r>
      <w:r w:rsidR="0085013B">
        <w:t>M</w:t>
      </w:r>
      <w:r w:rsidR="00841D45" w:rsidRPr="00D301B1">
        <w:t>inistère.</w:t>
      </w:r>
    </w:p>
    <w:p w:rsidR="00841D45" w:rsidRPr="00D301B1" w:rsidRDefault="00AB2C4B" w:rsidP="00DC4B48">
      <w:pPr>
        <w:pStyle w:val="SingleTxtG"/>
      </w:pPr>
      <w:r>
        <w:t>30.</w:t>
      </w:r>
      <w:r>
        <w:tab/>
      </w:r>
      <w:r w:rsidR="00841D45" w:rsidRPr="00D301B1">
        <w:t xml:space="preserve">La réalisation des actions prévues dans le plan 2006-2007 a permis de positionner le </w:t>
      </w:r>
      <w:r w:rsidR="003C2C30">
        <w:t>M</w:t>
      </w:r>
      <w:r w:rsidR="00841D45" w:rsidRPr="00D301B1">
        <w:t>inistère comme un employeur ouvert à la diversité</w:t>
      </w:r>
      <w:r w:rsidR="003C2C30">
        <w:t xml:space="preserve"> et</w:t>
      </w:r>
      <w:r w:rsidR="00841D45" w:rsidRPr="00D301B1">
        <w:t xml:space="preserve"> appliquant des procédures de recrutement et </w:t>
      </w:r>
      <w:r w:rsidR="00841D45">
        <w:t xml:space="preserve">de </w:t>
      </w:r>
      <w:r w:rsidR="00841D45" w:rsidRPr="00D301B1">
        <w:t xml:space="preserve">sélection basées sur les compétences. Des efforts importants ont été </w:t>
      </w:r>
      <w:r w:rsidR="003C2C30">
        <w:t>déployés</w:t>
      </w:r>
      <w:r w:rsidR="003C2C30" w:rsidRPr="00D301B1">
        <w:t xml:space="preserve"> </w:t>
      </w:r>
      <w:r w:rsidR="00841D45" w:rsidRPr="00D301B1">
        <w:t>en terme</w:t>
      </w:r>
      <w:r w:rsidR="00DC4B48">
        <w:t>s</w:t>
      </w:r>
      <w:r w:rsidR="00841D45" w:rsidRPr="00D301B1">
        <w:t xml:space="preserve"> d’accueil et d’in</w:t>
      </w:r>
      <w:r w:rsidR="00841D45">
        <w:t>tégration (parrainage, suivi,</w:t>
      </w:r>
      <w:r w:rsidR="00C25982">
        <w:t xml:space="preserve"> etc.</w:t>
      </w:r>
      <w:r w:rsidR="00841D45" w:rsidRPr="00D301B1">
        <w:t xml:space="preserve">) à l’égard du personnel en général </w:t>
      </w:r>
      <w:r w:rsidR="00DC4B48">
        <w:t>tout comme</w:t>
      </w:r>
      <w:r w:rsidR="00841D45" w:rsidRPr="00D301B1">
        <w:t xml:space="preserve"> des personnes avec </w:t>
      </w:r>
      <w:r w:rsidR="00841D45">
        <w:t xml:space="preserve">un handicap, </w:t>
      </w:r>
      <w:r w:rsidR="00DC4B48">
        <w:t>dans</w:t>
      </w:r>
      <w:r w:rsidR="00DC4B48" w:rsidRPr="00D301B1">
        <w:t xml:space="preserve"> </w:t>
      </w:r>
      <w:r w:rsidR="00841D45" w:rsidRPr="00D301B1">
        <w:t xml:space="preserve">une volonté de renforcer leur présence au sein du </w:t>
      </w:r>
      <w:r w:rsidR="00E12479">
        <w:t>M</w:t>
      </w:r>
      <w:r w:rsidR="00841D45" w:rsidRPr="00D301B1">
        <w:t xml:space="preserve">inistère. </w:t>
      </w:r>
    </w:p>
    <w:p w:rsidR="00841D45" w:rsidRPr="00E22B96" w:rsidRDefault="00AB2C4B" w:rsidP="000A6AAC">
      <w:pPr>
        <w:pStyle w:val="SingleTxtG"/>
        <w:rPr>
          <w:color w:val="000000"/>
          <w:lang w:val="fr-BE"/>
        </w:rPr>
      </w:pPr>
      <w:r>
        <w:rPr>
          <w:color w:val="000000"/>
        </w:rPr>
        <w:t>31.</w:t>
      </w:r>
      <w:r>
        <w:rPr>
          <w:color w:val="000000"/>
        </w:rPr>
        <w:tab/>
      </w:r>
      <w:r w:rsidR="00841D45" w:rsidRPr="00E22B96">
        <w:rPr>
          <w:color w:val="000000"/>
        </w:rPr>
        <w:t xml:space="preserve">De nombreuses actions ont été menées dans le cadre du </w:t>
      </w:r>
      <w:r w:rsidR="00841D45" w:rsidRPr="00E12479">
        <w:rPr>
          <w:iCs/>
          <w:color w:val="000000"/>
        </w:rPr>
        <w:t xml:space="preserve">plan d’action </w:t>
      </w:r>
      <w:r w:rsidR="00841D45" w:rsidRPr="00E12479">
        <w:rPr>
          <w:iCs/>
          <w:color w:val="000000"/>
          <w:lang w:val="fr-BE"/>
        </w:rPr>
        <w:t>visant à renforcer la diversité du personnel aux différents niveaux de l’administration fédérale</w:t>
      </w:r>
      <w:r w:rsidR="00E12479">
        <w:rPr>
          <w:color w:val="000000"/>
          <w:lang w:val="fr-BE"/>
        </w:rPr>
        <w:t>. On</w:t>
      </w:r>
      <w:r w:rsidR="00841D45" w:rsidRPr="00E22B96">
        <w:rPr>
          <w:color w:val="000000"/>
          <w:lang w:val="fr-BE"/>
        </w:rPr>
        <w:t xml:space="preserve"> citer</w:t>
      </w:r>
      <w:r w:rsidR="00E12479">
        <w:rPr>
          <w:color w:val="000000"/>
          <w:lang w:val="fr-BE"/>
        </w:rPr>
        <w:t>a</w:t>
      </w:r>
      <w:r w:rsidR="00841D45" w:rsidRPr="00E22B96">
        <w:rPr>
          <w:color w:val="000000"/>
          <w:lang w:val="fr-BE"/>
        </w:rPr>
        <w:t xml:space="preserve"> </w:t>
      </w:r>
      <w:r w:rsidR="00E12479" w:rsidRPr="00E22B96">
        <w:rPr>
          <w:color w:val="000000"/>
          <w:lang w:val="fr-BE"/>
        </w:rPr>
        <w:t xml:space="preserve">notamment </w:t>
      </w:r>
      <w:r w:rsidR="00E12479">
        <w:rPr>
          <w:color w:val="000000"/>
          <w:lang w:val="fr-BE"/>
        </w:rPr>
        <w:t xml:space="preserve">celles </w:t>
      </w:r>
      <w:r w:rsidR="000A6AAC">
        <w:rPr>
          <w:color w:val="000000"/>
          <w:lang w:val="fr-BE"/>
        </w:rPr>
        <w:t>figurant ci-après</w:t>
      </w:r>
      <w:r w:rsidR="00E12479">
        <w:rPr>
          <w:color w:val="000000"/>
          <w:lang w:val="fr-BE"/>
        </w:rPr>
        <w:t>.</w:t>
      </w:r>
      <w:r w:rsidR="00841D45" w:rsidRPr="00E22B96">
        <w:rPr>
          <w:color w:val="000000"/>
          <w:lang w:val="fr-BE"/>
        </w:rPr>
        <w:t xml:space="preserve"> </w:t>
      </w:r>
    </w:p>
    <w:p w:rsidR="00841D45" w:rsidRPr="00E22B96" w:rsidRDefault="00AB2C4B" w:rsidP="0074582B">
      <w:pPr>
        <w:pStyle w:val="SingleTxtG"/>
        <w:rPr>
          <w:color w:val="000000"/>
        </w:rPr>
      </w:pPr>
      <w:r>
        <w:rPr>
          <w:color w:val="000000"/>
          <w:lang w:val="fr-BE"/>
        </w:rPr>
        <w:t>32.</w:t>
      </w:r>
      <w:r>
        <w:rPr>
          <w:color w:val="000000"/>
          <w:lang w:val="fr-BE"/>
        </w:rPr>
        <w:tab/>
      </w:r>
      <w:r w:rsidR="00841D45" w:rsidRPr="00E22B96">
        <w:rPr>
          <w:color w:val="000000"/>
          <w:lang w:val="fr-BE"/>
        </w:rPr>
        <w:t>D’un point de vue organisationnel,</w:t>
      </w:r>
      <w:r w:rsidR="00841D45" w:rsidRPr="00E22B96">
        <w:rPr>
          <w:color w:val="000000"/>
        </w:rPr>
        <w:t xml:space="preserve"> une «Charte diversité de l’administration fédérale» a été signée et diffusée par tous les Présidents des S</w:t>
      </w:r>
      <w:r w:rsidR="00841D45">
        <w:rPr>
          <w:color w:val="000000"/>
        </w:rPr>
        <w:t>ervices publics fédéraux</w:t>
      </w:r>
      <w:r w:rsidR="00841D45" w:rsidRPr="00E22B96">
        <w:rPr>
          <w:color w:val="000000"/>
        </w:rPr>
        <w:t xml:space="preserve">. En outre, un responsable diversité a été désigné au sein de chaque administration </w:t>
      </w:r>
      <w:r w:rsidR="0074582B">
        <w:rPr>
          <w:color w:val="000000"/>
        </w:rPr>
        <w:t>qui est chargé de</w:t>
      </w:r>
      <w:r w:rsidR="0074582B" w:rsidRPr="00E22B96">
        <w:rPr>
          <w:color w:val="000000"/>
        </w:rPr>
        <w:t xml:space="preserve"> </w:t>
      </w:r>
      <w:r w:rsidR="00841D45" w:rsidRPr="00E22B96">
        <w:rPr>
          <w:color w:val="000000"/>
        </w:rPr>
        <w:t xml:space="preserve">développer une politique et des projets ayant trait à la diversité. Ces </w:t>
      </w:r>
      <w:r w:rsidR="00841D45" w:rsidRPr="00E22B96">
        <w:rPr>
          <w:bCs/>
          <w:color w:val="000000"/>
        </w:rPr>
        <w:t>responsables diversité</w:t>
      </w:r>
      <w:r w:rsidR="00841D45">
        <w:rPr>
          <w:color w:val="000000"/>
        </w:rPr>
        <w:t xml:space="preserve"> </w:t>
      </w:r>
      <w:r w:rsidR="00841D45" w:rsidRPr="00E22B96">
        <w:rPr>
          <w:color w:val="000000"/>
        </w:rPr>
        <w:t xml:space="preserve">se réunissent en réseau. </w:t>
      </w:r>
    </w:p>
    <w:p w:rsidR="00841D45" w:rsidRPr="00E22B96" w:rsidRDefault="00AB2C4B" w:rsidP="00E92649">
      <w:pPr>
        <w:pStyle w:val="SingleTxtG"/>
        <w:rPr>
          <w:color w:val="000000"/>
        </w:rPr>
      </w:pPr>
      <w:r>
        <w:rPr>
          <w:color w:val="000000"/>
        </w:rPr>
        <w:t>33.</w:t>
      </w:r>
      <w:r>
        <w:rPr>
          <w:color w:val="000000"/>
        </w:rPr>
        <w:tab/>
      </w:r>
      <w:r w:rsidR="00841D45" w:rsidRPr="00E22B96">
        <w:rPr>
          <w:color w:val="000000"/>
        </w:rPr>
        <w:t xml:space="preserve">Quant à l’image de l’administration, diverses actions </w:t>
      </w:r>
      <w:r w:rsidR="00841D45">
        <w:rPr>
          <w:color w:val="000000"/>
        </w:rPr>
        <w:t xml:space="preserve">ont </w:t>
      </w:r>
      <w:r w:rsidR="00841D45" w:rsidRPr="00E22B96">
        <w:rPr>
          <w:color w:val="000000"/>
        </w:rPr>
        <w:t>été entreprises, telle</w:t>
      </w:r>
      <w:r w:rsidR="00DA3CC2">
        <w:rPr>
          <w:color w:val="000000"/>
        </w:rPr>
        <w:t>s</w:t>
      </w:r>
      <w:r w:rsidR="00841D45" w:rsidRPr="00E22B96">
        <w:rPr>
          <w:color w:val="000000"/>
        </w:rPr>
        <w:t xml:space="preserve"> que la création d’un réseau de partenaires externes issus des milieux associatif et universitaire</w:t>
      </w:r>
      <w:r w:rsidR="00DA0B61">
        <w:rPr>
          <w:color w:val="000000"/>
        </w:rPr>
        <w:t xml:space="preserve">, </w:t>
      </w:r>
      <w:r w:rsidR="002614BB">
        <w:rPr>
          <w:color w:val="000000"/>
        </w:rPr>
        <w:t>en vue d’</w:t>
      </w:r>
      <w:r w:rsidR="00841D45" w:rsidRPr="00E22B96">
        <w:rPr>
          <w:color w:val="000000"/>
        </w:rPr>
        <w:t>améliorer la visibilité de l’administration auprès de certains groupes</w:t>
      </w:r>
      <w:r w:rsidR="002614BB">
        <w:rPr>
          <w:color w:val="000000"/>
        </w:rPr>
        <w:t>-</w:t>
      </w:r>
      <w:r w:rsidR="00841D45" w:rsidRPr="00E22B96">
        <w:rPr>
          <w:color w:val="000000"/>
        </w:rPr>
        <w:t>cibles. Une campagne d’information nationale a également été organisée</w:t>
      </w:r>
      <w:r w:rsidR="00E92649">
        <w:rPr>
          <w:color w:val="000000"/>
        </w:rPr>
        <w:t xml:space="preserve"> et</w:t>
      </w:r>
      <w:r w:rsidR="00841D45" w:rsidRPr="00E22B96">
        <w:rPr>
          <w:color w:val="000000"/>
        </w:rPr>
        <w:t xml:space="preserve"> diffusée via les médias de masse (spots télévisés, affiches dans les transports en commun, etc.) visant trois objectifs : informer sur la politique d’égalité des chances de l’administration fédérale, développer l’image d’une administration désireuse d’être le re</w:t>
      </w:r>
      <w:r w:rsidR="00841D45">
        <w:rPr>
          <w:color w:val="000000"/>
        </w:rPr>
        <w:t>flet de la société qu’elle sert</w:t>
      </w:r>
      <w:r w:rsidR="00E92649">
        <w:rPr>
          <w:color w:val="000000"/>
        </w:rPr>
        <w:t>, et</w:t>
      </w:r>
      <w:r w:rsidR="00841D45" w:rsidRPr="00E22B96">
        <w:rPr>
          <w:color w:val="000000"/>
        </w:rPr>
        <w:t xml:space="preserve"> inciter les groupes cibl</w:t>
      </w:r>
      <w:r w:rsidR="00E92649">
        <w:rPr>
          <w:color w:val="000000"/>
        </w:rPr>
        <w:t>é</w:t>
      </w:r>
      <w:r w:rsidR="00841D45" w:rsidRPr="00E22B96">
        <w:rPr>
          <w:color w:val="000000"/>
        </w:rPr>
        <w:t xml:space="preserve">s </w:t>
      </w:r>
      <w:r w:rsidR="00E92649">
        <w:rPr>
          <w:color w:val="000000"/>
        </w:rPr>
        <w:t>par</w:t>
      </w:r>
      <w:r w:rsidR="00E92649" w:rsidRPr="00E22B96">
        <w:rPr>
          <w:color w:val="000000"/>
        </w:rPr>
        <w:t xml:space="preserve"> </w:t>
      </w:r>
      <w:r w:rsidR="00841D45" w:rsidRPr="00E22B96">
        <w:rPr>
          <w:color w:val="000000"/>
        </w:rPr>
        <w:t xml:space="preserve">la politique de diversité à postuler </w:t>
      </w:r>
      <w:r w:rsidR="00E92649">
        <w:rPr>
          <w:color w:val="000000"/>
        </w:rPr>
        <w:t xml:space="preserve">à </w:t>
      </w:r>
      <w:r w:rsidR="00841D45" w:rsidRPr="00E22B96">
        <w:rPr>
          <w:color w:val="000000"/>
        </w:rPr>
        <w:t xml:space="preserve">un emploi au sein de l’administration.  </w:t>
      </w:r>
    </w:p>
    <w:p w:rsidR="00841D45" w:rsidRPr="00E22B96" w:rsidRDefault="00AB2C4B" w:rsidP="00806FAA">
      <w:pPr>
        <w:pStyle w:val="SingleTxtG"/>
        <w:rPr>
          <w:color w:val="000000"/>
        </w:rPr>
      </w:pPr>
      <w:r>
        <w:rPr>
          <w:color w:val="000000"/>
        </w:rPr>
        <w:t>34.</w:t>
      </w:r>
      <w:r>
        <w:rPr>
          <w:color w:val="000000"/>
        </w:rPr>
        <w:tab/>
      </w:r>
      <w:r w:rsidR="00841D45" w:rsidRPr="00E22B96">
        <w:rPr>
          <w:color w:val="000000"/>
        </w:rPr>
        <w:t xml:space="preserve">Afin de stimuler le recrutement et la sélection </w:t>
      </w:r>
      <w:r w:rsidR="00E92649">
        <w:rPr>
          <w:color w:val="000000"/>
        </w:rPr>
        <w:t xml:space="preserve">au sein </w:t>
      </w:r>
      <w:r w:rsidR="00841D45" w:rsidRPr="00E22B96">
        <w:rPr>
          <w:color w:val="000000"/>
        </w:rPr>
        <w:t>de</w:t>
      </w:r>
      <w:r w:rsidR="00E92649">
        <w:rPr>
          <w:color w:val="000000"/>
        </w:rPr>
        <w:t>s</w:t>
      </w:r>
      <w:r w:rsidR="00841D45" w:rsidRPr="00E22B96">
        <w:rPr>
          <w:color w:val="000000"/>
        </w:rPr>
        <w:t xml:space="preserve"> groupes </w:t>
      </w:r>
      <w:r w:rsidR="00841D45">
        <w:rPr>
          <w:color w:val="000000"/>
        </w:rPr>
        <w:t>sous-représentés</w:t>
      </w:r>
      <w:r w:rsidR="00841D45" w:rsidRPr="00E22B96">
        <w:rPr>
          <w:color w:val="000000"/>
        </w:rPr>
        <w:t xml:space="preserve">, des nouveaux canaux spécifiques </w:t>
      </w:r>
      <w:r w:rsidR="00E92649">
        <w:rPr>
          <w:color w:val="000000"/>
        </w:rPr>
        <w:t xml:space="preserve">pour la </w:t>
      </w:r>
      <w:r w:rsidR="00841D45" w:rsidRPr="00E22B96">
        <w:rPr>
          <w:color w:val="000000"/>
        </w:rPr>
        <w:t>diffusion d</w:t>
      </w:r>
      <w:r w:rsidR="00E92649">
        <w:rPr>
          <w:color w:val="000000"/>
        </w:rPr>
        <w:t xml:space="preserve">es </w:t>
      </w:r>
      <w:r w:rsidR="00841D45" w:rsidRPr="00E22B96">
        <w:rPr>
          <w:color w:val="000000"/>
        </w:rPr>
        <w:t>offres d’emploi ont été ut</w:t>
      </w:r>
      <w:r w:rsidR="00841D45">
        <w:rPr>
          <w:color w:val="000000"/>
        </w:rPr>
        <w:t xml:space="preserve">ilisés (organismes d’insertion </w:t>
      </w:r>
      <w:r w:rsidR="00841D45" w:rsidRPr="00E22B96">
        <w:rPr>
          <w:color w:val="000000"/>
        </w:rPr>
        <w:t>socioprof</w:t>
      </w:r>
      <w:r w:rsidR="00841D45">
        <w:rPr>
          <w:color w:val="000000"/>
        </w:rPr>
        <w:t>essionnelle</w:t>
      </w:r>
      <w:r w:rsidR="00841D45" w:rsidRPr="00E22B96">
        <w:rPr>
          <w:color w:val="000000"/>
        </w:rPr>
        <w:t xml:space="preserve">, associations spécialisées, sites </w:t>
      </w:r>
      <w:r w:rsidR="00E92649">
        <w:rPr>
          <w:color w:val="000000"/>
        </w:rPr>
        <w:t>I</w:t>
      </w:r>
      <w:r w:rsidR="00841D45" w:rsidRPr="00E22B96">
        <w:rPr>
          <w:color w:val="000000"/>
        </w:rPr>
        <w:t>nternet, etc.). Des campagnes de communication ont également été menées auprès de</w:t>
      </w:r>
      <w:r w:rsidR="00E92649">
        <w:rPr>
          <w:color w:val="000000"/>
        </w:rPr>
        <w:t>s</w:t>
      </w:r>
      <w:r w:rsidR="00841D45" w:rsidRPr="00E22B96">
        <w:rPr>
          <w:color w:val="000000"/>
        </w:rPr>
        <w:t xml:space="preserve"> groupes</w:t>
      </w:r>
      <w:r w:rsidR="00E92649">
        <w:rPr>
          <w:color w:val="000000"/>
        </w:rPr>
        <w:t>-</w:t>
      </w:r>
      <w:r w:rsidR="00841D45" w:rsidRPr="00E22B96">
        <w:rPr>
          <w:color w:val="000000"/>
        </w:rPr>
        <w:t>cibles. La première auprès des personnes avec un handicap et d’origine étrangère</w:t>
      </w:r>
      <w:r w:rsidR="00841D45" w:rsidRPr="00E22B96">
        <w:rPr>
          <w:rStyle w:val="FootnoteReference"/>
          <w:color w:val="000000"/>
        </w:rPr>
        <w:footnoteReference w:id="5"/>
      </w:r>
      <w:r w:rsidR="00841D45" w:rsidRPr="00E22B96">
        <w:rPr>
          <w:color w:val="000000"/>
        </w:rPr>
        <w:t xml:space="preserve">, et la seconde «Femmes au top» </w:t>
      </w:r>
      <w:r w:rsidR="00E92649">
        <w:rPr>
          <w:color w:val="000000"/>
        </w:rPr>
        <w:t>auprès d</w:t>
      </w:r>
      <w:r w:rsidR="00841D45" w:rsidRPr="00E22B96">
        <w:rPr>
          <w:color w:val="000000"/>
        </w:rPr>
        <w:t xml:space="preserve">es femmes </w:t>
      </w:r>
      <w:r w:rsidR="00E92649">
        <w:rPr>
          <w:color w:val="000000"/>
        </w:rPr>
        <w:t xml:space="preserve">pour les encourager </w:t>
      </w:r>
      <w:r w:rsidR="00841D45" w:rsidRPr="00E22B96">
        <w:rPr>
          <w:color w:val="000000"/>
        </w:rPr>
        <w:t xml:space="preserve">à </w:t>
      </w:r>
      <w:r w:rsidR="00E92649" w:rsidRPr="00104064">
        <w:t>se porter</w:t>
      </w:r>
      <w:r w:rsidR="00E92649">
        <w:rPr>
          <w:color w:val="000000"/>
        </w:rPr>
        <w:t xml:space="preserve"> </w:t>
      </w:r>
      <w:r w:rsidR="00841D45" w:rsidRPr="00E22B96">
        <w:rPr>
          <w:color w:val="000000"/>
        </w:rPr>
        <w:t>candidate</w:t>
      </w:r>
      <w:r w:rsidR="00E92649">
        <w:rPr>
          <w:color w:val="000000"/>
        </w:rPr>
        <w:t>s</w:t>
      </w:r>
      <w:r w:rsidR="00841D45" w:rsidRPr="00E22B96">
        <w:rPr>
          <w:color w:val="000000"/>
        </w:rPr>
        <w:t xml:space="preserve"> à des </w:t>
      </w:r>
      <w:r w:rsidR="00104064">
        <w:rPr>
          <w:color w:val="000000"/>
        </w:rPr>
        <w:t>postes</w:t>
      </w:r>
      <w:r w:rsidR="00104064" w:rsidRPr="00E22B96">
        <w:rPr>
          <w:color w:val="000000"/>
        </w:rPr>
        <w:t xml:space="preserve"> </w:t>
      </w:r>
      <w:r w:rsidR="00841D45" w:rsidRPr="00E22B96">
        <w:rPr>
          <w:color w:val="000000"/>
        </w:rPr>
        <w:t xml:space="preserve">de </w:t>
      </w:r>
      <w:r w:rsidR="00841D45" w:rsidRPr="00856CC1">
        <w:rPr>
          <w:color w:val="000000"/>
        </w:rPr>
        <w:t>man</w:t>
      </w:r>
      <w:r w:rsidR="00E92649">
        <w:rPr>
          <w:color w:val="000000"/>
        </w:rPr>
        <w:t>a</w:t>
      </w:r>
      <w:r w:rsidR="00841D45" w:rsidRPr="00856CC1">
        <w:rPr>
          <w:color w:val="000000"/>
        </w:rPr>
        <w:t xml:space="preserve">gement. En outre, des formations spécifiques ont été organisées </w:t>
      </w:r>
      <w:r w:rsidR="00104064">
        <w:rPr>
          <w:color w:val="000000"/>
        </w:rPr>
        <w:t>pour l</w:t>
      </w:r>
      <w:r w:rsidR="00841D45" w:rsidRPr="00856CC1">
        <w:rPr>
          <w:color w:val="000000"/>
        </w:rPr>
        <w:t xml:space="preserve">es chargés de </w:t>
      </w:r>
      <w:r w:rsidR="00806FAA">
        <w:rPr>
          <w:color w:val="000000"/>
        </w:rPr>
        <w:t xml:space="preserve">la </w:t>
      </w:r>
      <w:r w:rsidR="00841D45" w:rsidRPr="00856CC1">
        <w:t xml:space="preserve">sélection </w:t>
      </w:r>
      <w:r w:rsidR="00806FAA">
        <w:t xml:space="preserve">au sein </w:t>
      </w:r>
      <w:r w:rsidR="00841D45" w:rsidRPr="00856CC1">
        <w:t xml:space="preserve">de Selor </w:t>
      </w:r>
      <w:r w:rsidR="00104064">
        <w:t xml:space="preserve">portant </w:t>
      </w:r>
      <w:r w:rsidR="00841D45" w:rsidRPr="00856CC1">
        <w:t xml:space="preserve">sur les mécanismes de discrimination pouvant exister lors des processus de sélection </w:t>
      </w:r>
      <w:r w:rsidR="00806FAA">
        <w:t>ainsi que pour les</w:t>
      </w:r>
      <w:r w:rsidR="00841D45" w:rsidRPr="00856CC1">
        <w:t xml:space="preserve"> chargés de sélection fédéraux (qui suivent un trajet de certification). Des formations sur le</w:t>
      </w:r>
      <w:r w:rsidR="00806FAA">
        <w:t>s</w:t>
      </w:r>
      <w:r w:rsidR="00841D45" w:rsidRPr="00856CC1">
        <w:t xml:space="preserve"> thème</w:t>
      </w:r>
      <w:r w:rsidR="00806FAA">
        <w:t>s</w:t>
      </w:r>
      <w:r w:rsidR="00841D45" w:rsidRPr="00856CC1">
        <w:t xml:space="preserve"> de la diversité et de la communication interculturelle sur le lieu de travail ont également été proposées aux fonctionnaires par l’Institut de formation de l’administration (IFA). Pour garantir la neutralité culturelle des tests de sélection, un projet visant à «tes</w:t>
      </w:r>
      <w:r w:rsidR="00841D45">
        <w:rPr>
          <w:color w:val="000000"/>
        </w:rPr>
        <w:t xml:space="preserve">ter les tests» a été développé par Selor. </w:t>
      </w:r>
    </w:p>
    <w:p w:rsidR="00841D45" w:rsidRPr="00E22B96" w:rsidRDefault="00AB2C4B" w:rsidP="00886252">
      <w:pPr>
        <w:pStyle w:val="SingleTxtG"/>
        <w:rPr>
          <w:color w:val="000000"/>
        </w:rPr>
      </w:pPr>
      <w:r>
        <w:rPr>
          <w:color w:val="000000"/>
        </w:rPr>
        <w:t>35.</w:t>
      </w:r>
      <w:r>
        <w:rPr>
          <w:color w:val="000000"/>
        </w:rPr>
        <w:tab/>
      </w:r>
      <w:r w:rsidR="00841D45" w:rsidRPr="00E22B96">
        <w:rPr>
          <w:color w:val="000000"/>
        </w:rPr>
        <w:t xml:space="preserve">Quand aux personnes avec un handicap, un arrêté royal fixe à 3% leur </w:t>
      </w:r>
      <w:r w:rsidR="00806FAA">
        <w:rPr>
          <w:color w:val="000000"/>
        </w:rPr>
        <w:t xml:space="preserve">pourcentage </w:t>
      </w:r>
      <w:r w:rsidR="00841D45" w:rsidRPr="00E22B96">
        <w:rPr>
          <w:color w:val="000000"/>
        </w:rPr>
        <w:t>au sein de chaque institution fédérale.</w:t>
      </w:r>
    </w:p>
    <w:p w:rsidR="00841D45" w:rsidRPr="00E22B96" w:rsidRDefault="00AB2C4B" w:rsidP="00806FAA">
      <w:pPr>
        <w:pStyle w:val="SingleTxtG"/>
        <w:rPr>
          <w:bCs/>
          <w:color w:val="000000"/>
          <w:lang w:val="fr-BE" w:eastAsia="nl-NL"/>
        </w:rPr>
      </w:pPr>
      <w:r>
        <w:rPr>
          <w:color w:val="000000"/>
        </w:rPr>
        <w:t>36.</w:t>
      </w:r>
      <w:r>
        <w:rPr>
          <w:color w:val="000000"/>
        </w:rPr>
        <w:tab/>
      </w:r>
      <w:r w:rsidR="00841D45" w:rsidRPr="00E22B96">
        <w:rPr>
          <w:color w:val="000000"/>
        </w:rPr>
        <w:t xml:space="preserve">Enfin, dans le but de soutenir les organisations dans leur politique de diversité, le SPF P&amp;O lance, chaque année, un appel à projets </w:t>
      </w:r>
      <w:r w:rsidR="00841D45">
        <w:rPr>
          <w:color w:val="000000"/>
        </w:rPr>
        <w:t>«</w:t>
      </w:r>
      <w:r w:rsidR="00841D45" w:rsidRPr="00E22B96">
        <w:rPr>
          <w:color w:val="000000"/>
        </w:rPr>
        <w:t>diversité</w:t>
      </w:r>
      <w:r w:rsidR="00841D45">
        <w:rPr>
          <w:color w:val="000000"/>
        </w:rPr>
        <w:t>»</w:t>
      </w:r>
      <w:r w:rsidR="00841D45" w:rsidRPr="00E22B96">
        <w:rPr>
          <w:color w:val="000000"/>
        </w:rPr>
        <w:t xml:space="preserve"> auprès de celles-ci. </w:t>
      </w:r>
      <w:r w:rsidR="00841D45">
        <w:rPr>
          <w:color w:val="000000"/>
        </w:rPr>
        <w:t>Cet appel à projet</w:t>
      </w:r>
      <w:r w:rsidR="00806FAA">
        <w:rPr>
          <w:color w:val="000000"/>
        </w:rPr>
        <w:t>s</w:t>
      </w:r>
      <w:r w:rsidR="00841D45">
        <w:rPr>
          <w:color w:val="000000"/>
        </w:rPr>
        <w:t xml:space="preserve"> consiste à cofinancer un projet </w:t>
      </w:r>
      <w:r w:rsidR="00806FAA">
        <w:rPr>
          <w:color w:val="000000"/>
        </w:rPr>
        <w:t xml:space="preserve">encourageant la </w:t>
      </w:r>
      <w:r w:rsidR="00841D45">
        <w:rPr>
          <w:color w:val="000000"/>
        </w:rPr>
        <w:t xml:space="preserve">diversité à </w:t>
      </w:r>
      <w:r w:rsidR="00806FAA">
        <w:rPr>
          <w:color w:val="000000"/>
        </w:rPr>
        <w:t xml:space="preserve">hauteur </w:t>
      </w:r>
      <w:r w:rsidR="00841D45">
        <w:rPr>
          <w:color w:val="000000"/>
        </w:rPr>
        <w:t xml:space="preserve">de 50%. </w:t>
      </w:r>
    </w:p>
    <w:p w:rsidR="00841D45" w:rsidRPr="00E22B96" w:rsidRDefault="00AB2C4B" w:rsidP="00841D45">
      <w:pPr>
        <w:pStyle w:val="SingleTxtG"/>
        <w:rPr>
          <w:color w:val="000000"/>
        </w:rPr>
      </w:pPr>
      <w:r>
        <w:rPr>
          <w:color w:val="000000"/>
        </w:rPr>
        <w:t>37.</w:t>
      </w:r>
      <w:r>
        <w:rPr>
          <w:color w:val="000000"/>
        </w:rPr>
        <w:tab/>
      </w:r>
      <w:r w:rsidR="00841D45">
        <w:rPr>
          <w:color w:val="000000"/>
        </w:rPr>
        <w:t>Enfin, pour plus de précision</w:t>
      </w:r>
      <w:r w:rsidR="000E04EC">
        <w:rPr>
          <w:color w:val="000000"/>
        </w:rPr>
        <w:t>s</w:t>
      </w:r>
      <w:r w:rsidR="00841D45">
        <w:rPr>
          <w:color w:val="000000"/>
        </w:rPr>
        <w:t>, des statistiques sont fournies en annexe.</w:t>
      </w:r>
      <w:r w:rsidR="00841D45">
        <w:rPr>
          <w:rStyle w:val="FootnoteReference"/>
          <w:color w:val="000000"/>
        </w:rPr>
        <w:footnoteReference w:id="6"/>
      </w:r>
    </w:p>
    <w:p w:rsidR="00AB2C4B" w:rsidRPr="00340AAB" w:rsidRDefault="00AB2C4B" w:rsidP="00AB2C4B">
      <w:pPr>
        <w:pStyle w:val="SingleTxtG"/>
        <w:rPr>
          <w:b/>
          <w:bCs/>
          <w:lang w:val="fr-FR"/>
        </w:rPr>
      </w:pPr>
      <w:r w:rsidRPr="00340AAB">
        <w:rPr>
          <w:b/>
          <w:bCs/>
        </w:rPr>
        <w:t>Réponse au paragraphe 7 de la liste de points à traiter</w:t>
      </w:r>
      <w:r w:rsidRPr="00340AAB" w:rsidDel="00AB2C4B">
        <w:rPr>
          <w:b/>
          <w:bCs/>
          <w:lang w:val="fr-FR"/>
        </w:rPr>
        <w:t xml:space="preserve"> </w:t>
      </w:r>
    </w:p>
    <w:p w:rsidR="00841D45" w:rsidRPr="00F620D0" w:rsidRDefault="006950C3" w:rsidP="000E04EC">
      <w:pPr>
        <w:pStyle w:val="SingleTxtG"/>
      </w:pPr>
      <w:r>
        <w:rPr>
          <w:lang w:val="fr-FR"/>
        </w:rPr>
        <w:t>38.</w:t>
      </w:r>
      <w:r>
        <w:rPr>
          <w:lang w:val="fr-FR"/>
        </w:rPr>
        <w:tab/>
      </w:r>
      <w:r w:rsidR="00841D45" w:rsidRPr="00F620D0">
        <w:t>Depuis la Conférence mondiale sur les femmes</w:t>
      </w:r>
      <w:r w:rsidR="000E04EC">
        <w:t>,</w:t>
      </w:r>
      <w:r w:rsidR="00841D45" w:rsidRPr="00F620D0">
        <w:t xml:space="preserve"> qui s’est tenue à Pékin en septembre 1995, la Belgique s’est concrètement engagée sur la voie du </w:t>
      </w:r>
      <w:r w:rsidR="00841D45" w:rsidRPr="008F7541">
        <w:rPr>
          <w:i/>
          <w:iCs/>
        </w:rPr>
        <w:t>gender mainstreaming</w:t>
      </w:r>
      <w:r w:rsidR="00841D45" w:rsidRPr="00F620D0">
        <w:t>, c’est-à-dire de l’intégration de la dimension de genre dans l’ensemble de</w:t>
      </w:r>
      <w:r w:rsidR="000E04EC">
        <w:t xml:space="preserve"> se</w:t>
      </w:r>
      <w:r w:rsidR="00841D45" w:rsidRPr="00F620D0">
        <w:t xml:space="preserve">s politiques publiques. </w:t>
      </w:r>
    </w:p>
    <w:p w:rsidR="00736954" w:rsidRDefault="006950C3" w:rsidP="006950C3">
      <w:pPr>
        <w:pStyle w:val="SingleTxtG"/>
      </w:pPr>
      <w:r>
        <w:t>39.</w:t>
      </w:r>
      <w:r>
        <w:tab/>
      </w:r>
      <w:r w:rsidR="00841D45" w:rsidRPr="00F620D0">
        <w:t xml:space="preserve">Au </w:t>
      </w:r>
      <w:r w:rsidR="00841D45" w:rsidRPr="0058547A">
        <w:rPr>
          <w:b/>
          <w:bCs/>
        </w:rPr>
        <w:t>niveau fédéral</w:t>
      </w:r>
      <w:r w:rsidR="00841D45" w:rsidRPr="00F620D0">
        <w:t>, la loi du 12 janvier 2007</w:t>
      </w:r>
      <w:r w:rsidR="0058547A">
        <w:t xml:space="preserve"> </w:t>
      </w:r>
      <w:r w:rsidR="00841D45" w:rsidRPr="00F620D0">
        <w:rPr>
          <w:rStyle w:val="Appelnotedebasdep1"/>
        </w:rPr>
        <w:footnoteReference w:id="7"/>
      </w:r>
      <w:r w:rsidR="00841D45" w:rsidRPr="00F620D0">
        <w:t xml:space="preserve"> impose au </w:t>
      </w:r>
      <w:r w:rsidR="00F82378">
        <w:t>G</w:t>
      </w:r>
      <w:r w:rsidR="00841D45" w:rsidRPr="00F620D0">
        <w:t xml:space="preserve">ouvernement fédéral de fixer des objectifs stratégiques concourant à l'égalité </w:t>
      </w:r>
      <w:r w:rsidR="00841D45">
        <w:t xml:space="preserve">entre les femmes et les </w:t>
      </w:r>
      <w:r w:rsidR="00841D45" w:rsidRPr="00F620D0">
        <w:t xml:space="preserve">hommes non seulement dans la déclaration gouvernementale mais aussi dans les notes de politique générale de chaque </w:t>
      </w:r>
      <w:r w:rsidR="0058547A">
        <w:t>m</w:t>
      </w:r>
      <w:r w:rsidR="00841D45" w:rsidRPr="00F620D0">
        <w:t>inistre. Les objectifs devront ensuite être mis en œuvre, de manière plus opérationnelle, dans les plans de gestion des administrations publiques.</w:t>
      </w:r>
    </w:p>
    <w:p w:rsidR="00736954" w:rsidRDefault="00736954" w:rsidP="0058547A">
      <w:pPr>
        <w:pStyle w:val="SingleTxtG"/>
        <w:rPr>
          <w:lang w:val="fr-BE"/>
        </w:rPr>
      </w:pPr>
      <w:r>
        <w:t>40.</w:t>
      </w:r>
      <w:r>
        <w:tab/>
      </w:r>
      <w:r w:rsidR="00841D45" w:rsidRPr="00F620D0">
        <w:t xml:space="preserve"> La loi impose aux services publics de veiller à ce que les statistiques qu'ils produisent et collectent dans leur domaine d'action soient ventilées par sexe et que des indicateurs de genre soient établis. Dans le cadre de cette loi, un arrêté royal</w:t>
      </w:r>
      <w:r w:rsidR="00841D45" w:rsidRPr="00F620D0">
        <w:rPr>
          <w:rStyle w:val="FootnoteReference"/>
        </w:rPr>
        <w:footnoteReference w:id="8"/>
      </w:r>
      <w:r w:rsidR="00841D45" w:rsidRPr="00F620D0">
        <w:t xml:space="preserve"> a été adopté en Conseil des ministres</w:t>
      </w:r>
      <w:r w:rsidR="0058547A">
        <w:t>,</w:t>
      </w:r>
      <w:r w:rsidR="00841D45" w:rsidRPr="00F620D0">
        <w:t xml:space="preserve"> le 5 juin 2009</w:t>
      </w:r>
      <w:r w:rsidR="0058547A">
        <w:t>,</w:t>
      </w:r>
      <w:r w:rsidR="00841D45" w:rsidRPr="00F620D0">
        <w:t xml:space="preserve"> </w:t>
      </w:r>
      <w:r w:rsidR="0058547A">
        <w:t>qui met</w:t>
      </w:r>
      <w:r w:rsidR="00841D45" w:rsidRPr="00F620D0">
        <w:t xml:space="preserve"> en place un groupe interdépartemental de coordination</w:t>
      </w:r>
      <w:r w:rsidR="0058547A">
        <w:t>. De cette façon</w:t>
      </w:r>
      <w:r w:rsidR="00841D45" w:rsidRPr="00F620D0">
        <w:t>, dans chaque cabinet ministériel et dans chaque administration publique</w:t>
      </w:r>
      <w:r w:rsidR="0058547A">
        <w:t>,</w:t>
      </w:r>
      <w:r w:rsidR="00841D45" w:rsidRPr="00F620D0">
        <w:t xml:space="preserve"> un conseiller en </w:t>
      </w:r>
      <w:r w:rsidR="00841D45" w:rsidRPr="00736954">
        <w:rPr>
          <w:i/>
          <w:iCs/>
        </w:rPr>
        <w:t>gender</w:t>
      </w:r>
      <w:r w:rsidR="00841D45" w:rsidRPr="00F620D0">
        <w:t xml:space="preserve"> </w:t>
      </w:r>
      <w:r w:rsidR="00841D45" w:rsidRPr="00736954">
        <w:rPr>
          <w:i/>
          <w:iCs/>
        </w:rPr>
        <w:t>mainstreaming</w:t>
      </w:r>
      <w:r w:rsidR="00841D45" w:rsidRPr="00F620D0">
        <w:t xml:space="preserve"> sera officiellement désigné</w:t>
      </w:r>
      <w:r w:rsidR="0058547A">
        <w:t xml:space="preserve">. Il </w:t>
      </w:r>
      <w:r w:rsidR="00841D45" w:rsidRPr="00F620D0">
        <w:t xml:space="preserve">pourra ainsi </w:t>
      </w:r>
      <w:r w:rsidR="00841D45" w:rsidRPr="00F620D0">
        <w:rPr>
          <w:lang w:val="fr-BE"/>
        </w:rPr>
        <w:t>travailler en réseau en vue d’améliorer l’efficacité du mécanisme d</w:t>
      </w:r>
      <w:r w:rsidR="0058547A">
        <w:rPr>
          <w:lang w:val="fr-BE"/>
        </w:rPr>
        <w:t>u</w:t>
      </w:r>
      <w:r w:rsidR="00841D45" w:rsidRPr="00F620D0">
        <w:rPr>
          <w:lang w:val="fr-BE"/>
        </w:rPr>
        <w:t xml:space="preserve"> </w:t>
      </w:r>
      <w:r w:rsidR="00841D45" w:rsidRPr="00736954">
        <w:rPr>
          <w:i/>
          <w:iCs/>
          <w:lang w:val="fr-BE"/>
        </w:rPr>
        <w:t>gender mainstreaming</w:t>
      </w:r>
      <w:r w:rsidR="00841D45" w:rsidRPr="00F620D0">
        <w:rPr>
          <w:lang w:val="fr-BE"/>
        </w:rPr>
        <w:t>, l’échange de</w:t>
      </w:r>
      <w:r w:rsidR="0058547A">
        <w:rPr>
          <w:lang w:val="fr-BE"/>
        </w:rPr>
        <w:t>s</w:t>
      </w:r>
      <w:r w:rsidR="00841D45" w:rsidRPr="00F620D0">
        <w:rPr>
          <w:lang w:val="fr-BE"/>
        </w:rPr>
        <w:t xml:space="preserve"> bonnes pratiques et assurer, </w:t>
      </w:r>
      <w:r w:rsidR="00841D45" w:rsidRPr="00736954">
        <w:rPr>
          <w:i/>
          <w:iCs/>
          <w:lang w:val="fr-BE"/>
        </w:rPr>
        <w:t>in fine</w:t>
      </w:r>
      <w:r w:rsidR="00841D45" w:rsidRPr="00F620D0">
        <w:rPr>
          <w:lang w:val="fr-BE"/>
        </w:rPr>
        <w:t xml:space="preserve">, un </w:t>
      </w:r>
      <w:r w:rsidR="0058547A">
        <w:rPr>
          <w:lang w:val="fr-BE"/>
        </w:rPr>
        <w:t>compte rendu</w:t>
      </w:r>
      <w:r w:rsidR="0058547A" w:rsidRPr="00F620D0">
        <w:rPr>
          <w:lang w:val="fr-BE"/>
        </w:rPr>
        <w:t xml:space="preserve"> </w:t>
      </w:r>
      <w:r w:rsidR="00841D45" w:rsidRPr="00F620D0">
        <w:rPr>
          <w:lang w:val="fr-BE"/>
        </w:rPr>
        <w:t xml:space="preserve">de qualité des actions menées et des résultats atteints. </w:t>
      </w:r>
    </w:p>
    <w:p w:rsidR="00736954" w:rsidRDefault="00736954" w:rsidP="006950C3">
      <w:pPr>
        <w:pStyle w:val="SingleTxtG"/>
        <w:rPr>
          <w:lang w:val="fr-BE"/>
        </w:rPr>
      </w:pPr>
      <w:r>
        <w:rPr>
          <w:lang w:val="fr-BE"/>
        </w:rPr>
        <w:t>41.</w:t>
      </w:r>
      <w:r>
        <w:rPr>
          <w:lang w:val="fr-BE"/>
        </w:rPr>
        <w:tab/>
      </w:r>
      <w:r w:rsidR="00841D45" w:rsidRPr="00F620D0">
        <w:rPr>
          <w:lang w:val="fr-BE"/>
        </w:rPr>
        <w:t xml:space="preserve">En vertu de la loi, les projets d'acte législatif et réglementaire pris par le Gouvernement devront passer un «test genre» évaluant l’impact des mesures sur la situation respective des femmes et des hommes. </w:t>
      </w:r>
    </w:p>
    <w:p w:rsidR="00736954" w:rsidRDefault="00736954" w:rsidP="00886252">
      <w:pPr>
        <w:pStyle w:val="SingleTxtG"/>
        <w:rPr>
          <w:lang w:val="fr-BE"/>
        </w:rPr>
      </w:pPr>
      <w:r>
        <w:rPr>
          <w:lang w:val="fr-BE"/>
        </w:rPr>
        <w:t>42.</w:t>
      </w:r>
      <w:r>
        <w:rPr>
          <w:lang w:val="fr-BE"/>
        </w:rPr>
        <w:tab/>
      </w:r>
      <w:r w:rsidR="00841D45" w:rsidRPr="00F620D0">
        <w:rPr>
          <w:lang w:val="fr-BE"/>
        </w:rPr>
        <w:t xml:space="preserve">En outre, le budget général des dépenses doit identifier les crédits </w:t>
      </w:r>
      <w:r w:rsidR="00824EB7" w:rsidRPr="00F620D0">
        <w:rPr>
          <w:lang w:val="fr-BE"/>
        </w:rPr>
        <w:t xml:space="preserve">spécifiquement </w:t>
      </w:r>
      <w:r w:rsidR="00841D45" w:rsidRPr="00F620D0">
        <w:rPr>
          <w:lang w:val="fr-BE"/>
        </w:rPr>
        <w:t xml:space="preserve">affectés aux actions en faveur de l'égalité entre les hommes et les femmes </w:t>
      </w:r>
      <w:r w:rsidR="00D74DDC">
        <w:rPr>
          <w:lang w:val="fr-BE"/>
        </w:rPr>
        <w:t>d</w:t>
      </w:r>
      <w:r w:rsidR="00824EB7">
        <w:rPr>
          <w:lang w:val="fr-BE"/>
        </w:rPr>
        <w:t xml:space="preserve">ans </w:t>
      </w:r>
      <w:r w:rsidR="00841D45" w:rsidRPr="00F620D0">
        <w:rPr>
          <w:lang w:val="fr-BE"/>
        </w:rPr>
        <w:t xml:space="preserve">chaque administration publique. </w:t>
      </w:r>
    </w:p>
    <w:p w:rsidR="00841D45" w:rsidRPr="00F620D0" w:rsidRDefault="00736954" w:rsidP="0074594D">
      <w:pPr>
        <w:pStyle w:val="SingleTxtG"/>
      </w:pPr>
      <w:r>
        <w:rPr>
          <w:lang w:val="fr-BE"/>
        </w:rPr>
        <w:t>43.</w:t>
      </w:r>
      <w:r>
        <w:rPr>
          <w:lang w:val="fr-BE"/>
        </w:rPr>
        <w:tab/>
      </w:r>
      <w:r w:rsidR="00841D45" w:rsidRPr="00F620D0">
        <w:t xml:space="preserve">Enfin, afin de soutenir la mise en œuvre concrète du </w:t>
      </w:r>
      <w:r w:rsidR="00841D45" w:rsidRPr="008F7541">
        <w:rPr>
          <w:i/>
          <w:iCs/>
        </w:rPr>
        <w:t>gender mainstreaming</w:t>
      </w:r>
      <w:r w:rsidR="00841D45" w:rsidRPr="00F620D0">
        <w:t xml:space="preserve">, une base de données sur les formations </w:t>
      </w:r>
      <w:r w:rsidR="0074594D">
        <w:t>au</w:t>
      </w:r>
      <w:r w:rsidR="00841D45" w:rsidRPr="00F620D0">
        <w:t xml:space="preserve"> genre (base de données </w:t>
      </w:r>
      <w:r w:rsidR="00841D45" w:rsidRPr="0074594D">
        <w:rPr>
          <w:i/>
          <w:iCs/>
        </w:rPr>
        <w:t>Genderbase</w:t>
      </w:r>
      <w:r w:rsidR="00841D45" w:rsidRPr="00F620D0">
        <w:t xml:space="preserve">) a été actualisée et une autre </w:t>
      </w:r>
      <w:r w:rsidR="0074594D" w:rsidRPr="00F620D0">
        <w:t xml:space="preserve">a été mise en ligne </w:t>
      </w:r>
      <w:r w:rsidR="0074594D">
        <w:t>qui renseigne sur les</w:t>
      </w:r>
      <w:r w:rsidR="00841D45" w:rsidRPr="00F620D0">
        <w:t xml:space="preserve"> femmes expertes</w:t>
      </w:r>
      <w:r w:rsidR="0074594D">
        <w:t>,</w:t>
      </w:r>
      <w:r w:rsidR="00841D45" w:rsidRPr="00F620D0">
        <w:t xml:space="preserve"> dans différents domaines</w:t>
      </w:r>
      <w:r w:rsidR="0074594D">
        <w:t>,</w:t>
      </w:r>
      <w:r w:rsidR="00841D45" w:rsidRPr="00F620D0">
        <w:t xml:space="preserve"> et </w:t>
      </w:r>
      <w:r w:rsidR="0074594D">
        <w:t>valorise</w:t>
      </w:r>
      <w:r w:rsidR="00841D45" w:rsidRPr="00F620D0">
        <w:t xml:space="preserve"> l’approche de genre (base de données VEGA).</w:t>
      </w:r>
    </w:p>
    <w:p w:rsidR="00736954" w:rsidRDefault="00736954" w:rsidP="00E61947">
      <w:pPr>
        <w:pStyle w:val="SingleTxtG"/>
      </w:pPr>
      <w:r>
        <w:t>44.</w:t>
      </w:r>
      <w:r>
        <w:tab/>
      </w:r>
      <w:r w:rsidR="00841D45" w:rsidRPr="00F620D0">
        <w:t xml:space="preserve">En </w:t>
      </w:r>
      <w:r w:rsidR="00841D45" w:rsidRPr="002D49A7">
        <w:rPr>
          <w:b/>
          <w:bCs/>
        </w:rPr>
        <w:t>Communauté française</w:t>
      </w:r>
      <w:r w:rsidR="00841D45" w:rsidRPr="00F620D0">
        <w:t xml:space="preserve">, un programme d’action gouvernemental </w:t>
      </w:r>
      <w:r w:rsidR="00E61947">
        <w:t>en faveur de</w:t>
      </w:r>
      <w:r w:rsidR="00E61947" w:rsidRPr="00F620D0">
        <w:t xml:space="preserve"> </w:t>
      </w:r>
      <w:r w:rsidR="00841D45" w:rsidRPr="00F620D0">
        <w:t xml:space="preserve">la promotion de l’égalité </w:t>
      </w:r>
      <w:r w:rsidR="00841D45">
        <w:t xml:space="preserve">entre les hommes et les </w:t>
      </w:r>
      <w:r w:rsidR="00841D45" w:rsidRPr="00F620D0">
        <w:t>femmes, de l’interculturalité et de l’inclusion sociale existe depuis le 25 février 2005</w:t>
      </w:r>
      <w:r w:rsidR="00841D45">
        <w:t xml:space="preserve">. </w:t>
      </w:r>
    </w:p>
    <w:p w:rsidR="00736954" w:rsidRDefault="00736954" w:rsidP="006779DD">
      <w:pPr>
        <w:pStyle w:val="SingleTxtG"/>
      </w:pPr>
      <w:r>
        <w:t>45.</w:t>
      </w:r>
      <w:r>
        <w:tab/>
      </w:r>
      <w:r w:rsidR="00841D45">
        <w:t>Ce programme s’étale</w:t>
      </w:r>
      <w:r w:rsidR="00841D45" w:rsidRPr="00F620D0">
        <w:t xml:space="preserve"> sur 5 ans </w:t>
      </w:r>
      <w:r w:rsidR="00841D45">
        <w:t xml:space="preserve">et </w:t>
      </w:r>
      <w:r w:rsidR="00841D45" w:rsidRPr="00F620D0">
        <w:t xml:space="preserve">met en avant l’égalité </w:t>
      </w:r>
      <w:r w:rsidR="00841D45">
        <w:t xml:space="preserve">des hommes et des </w:t>
      </w:r>
      <w:r w:rsidR="00841D45" w:rsidRPr="00F620D0">
        <w:t xml:space="preserve">femmes, la lutte contre les stéréotypes, la lutte contre la violence faite aux femmes, l’égalité et la mixité des sexes dans l’enseignement obligatoire et supérieur, la promotion des études de genre, la participation équilibrée des hommes et des femmes à la prise de décision, la mise en place d’un système de statistiques par sexe, la mise en place d’un système d’évaluation des politiques au regard de l’objectif d’égalité </w:t>
      </w:r>
      <w:r w:rsidR="00841D45">
        <w:t xml:space="preserve">entre les </w:t>
      </w:r>
      <w:r w:rsidR="00841D45" w:rsidRPr="00F620D0">
        <w:t>hommes</w:t>
      </w:r>
      <w:r w:rsidR="00841D45">
        <w:t xml:space="preserve"> et les </w:t>
      </w:r>
      <w:r w:rsidR="00841D45" w:rsidRPr="00F620D0">
        <w:t xml:space="preserve">femmes, la mise en œuvre du principe de l’égalité de traitement et l’encouragement de l’accès des femmes à l’emploi. </w:t>
      </w:r>
    </w:p>
    <w:p w:rsidR="00841D45" w:rsidRPr="00C25982" w:rsidRDefault="00736954" w:rsidP="00CE1106">
      <w:pPr>
        <w:pStyle w:val="SingleTxtG"/>
      </w:pPr>
      <w:r>
        <w:t>46.</w:t>
      </w:r>
      <w:r>
        <w:tab/>
      </w:r>
      <w:r w:rsidR="00841D45" w:rsidRPr="00F620D0">
        <w:t>Pour promouvoir une dynamique d'</w:t>
      </w:r>
      <w:r w:rsidR="0028419C">
        <w:t>é</w:t>
      </w:r>
      <w:r w:rsidR="00841D45" w:rsidRPr="00F620D0">
        <w:t xml:space="preserve">galité des </w:t>
      </w:r>
      <w:r w:rsidR="0028419C">
        <w:t>c</w:t>
      </w:r>
      <w:r w:rsidR="00841D45" w:rsidRPr="00F620D0">
        <w:t xml:space="preserve">hances dans les </w:t>
      </w:r>
      <w:r w:rsidR="00CE1106">
        <w:t xml:space="preserve">domaines </w:t>
      </w:r>
      <w:r w:rsidR="00A80FBB">
        <w:t xml:space="preserve">relevant </w:t>
      </w:r>
      <w:r w:rsidR="00841D45" w:rsidRPr="00F620D0">
        <w:t>de sa compétence, la Communauté française Wallonie-Bruxelles dispose d'une Direction spécialisée</w:t>
      </w:r>
      <w:r w:rsidR="00841D45" w:rsidRPr="00C25982">
        <w:t xml:space="preserve">. </w:t>
      </w:r>
      <w:r w:rsidR="00841D45" w:rsidRPr="00A80FBB">
        <w:t>La Direction de l'</w:t>
      </w:r>
      <w:r w:rsidR="0028419C" w:rsidRPr="00A80FBB">
        <w:t>É</w:t>
      </w:r>
      <w:r w:rsidR="00841D45" w:rsidRPr="00A80FBB">
        <w:t>galité des Chances dépend directement du Secrétariat général du Ministère de la Communauté française et de la Ministre-Présidente du Gouvernement de la Communauté</w:t>
      </w:r>
      <w:r w:rsidR="00841D45" w:rsidRPr="00C25982">
        <w:t xml:space="preserve"> française en charge de l'</w:t>
      </w:r>
      <w:r w:rsidR="0028419C" w:rsidRPr="00C25982">
        <w:t>é</w:t>
      </w:r>
      <w:r w:rsidR="00841D45" w:rsidRPr="00C25982">
        <w:t xml:space="preserve">galité des </w:t>
      </w:r>
      <w:r w:rsidR="0028419C" w:rsidRPr="00C25982">
        <w:t>c</w:t>
      </w:r>
      <w:r w:rsidR="00841D45" w:rsidRPr="00C25982">
        <w:t>hances.  </w:t>
      </w:r>
    </w:p>
    <w:p w:rsidR="00841D45" w:rsidRPr="00F620D0" w:rsidRDefault="00FE4A0A" w:rsidP="00DC6405">
      <w:pPr>
        <w:pStyle w:val="SingleTxtG"/>
        <w:rPr>
          <w:lang w:val="fr-BE"/>
        </w:rPr>
      </w:pPr>
      <w:r>
        <w:rPr>
          <w:lang w:val="fr-BE"/>
        </w:rPr>
        <w:t>47.</w:t>
      </w:r>
      <w:r>
        <w:rPr>
          <w:lang w:val="fr-BE"/>
        </w:rPr>
        <w:tab/>
      </w:r>
      <w:r w:rsidR="00841D45" w:rsidRPr="000748D2">
        <w:rPr>
          <w:lang w:val="fr-BE"/>
        </w:rPr>
        <w:t xml:space="preserve">En </w:t>
      </w:r>
      <w:r w:rsidR="00841D45" w:rsidRPr="005926C3">
        <w:rPr>
          <w:b/>
          <w:bCs/>
          <w:lang w:val="fr-BE"/>
        </w:rPr>
        <w:t>Communauté flamande</w:t>
      </w:r>
      <w:r w:rsidR="00841D45" w:rsidRPr="004E0F52">
        <w:rPr>
          <w:lang w:val="fr-BE"/>
        </w:rPr>
        <w:t xml:space="preserve">, </w:t>
      </w:r>
      <w:r w:rsidR="00841D45" w:rsidRPr="000748D2">
        <w:rPr>
          <w:lang w:val="fr-BE"/>
        </w:rPr>
        <w:t xml:space="preserve">une politique de l’égalité des chances a été mise en place avec une composante verticale et une composante transversale. La mise en œuvre de celle-ci fait l’objet d’une description détaillée dans le </w:t>
      </w:r>
      <w:r w:rsidR="0084117F">
        <w:rPr>
          <w:lang w:val="fr-BE"/>
        </w:rPr>
        <w:t>r</w:t>
      </w:r>
      <w:r w:rsidR="00841D45" w:rsidRPr="000748D2">
        <w:rPr>
          <w:lang w:val="fr-BE"/>
        </w:rPr>
        <w:t>apport (p</w:t>
      </w:r>
      <w:r w:rsidR="00DC6405">
        <w:rPr>
          <w:lang w:val="fr-BE"/>
        </w:rPr>
        <w:t>.</w:t>
      </w:r>
      <w:r w:rsidR="003D3AD8">
        <w:rPr>
          <w:lang w:val="fr-BE"/>
        </w:rPr>
        <w:t xml:space="preserve"> </w:t>
      </w:r>
      <w:r w:rsidR="00841D45" w:rsidRPr="000748D2">
        <w:rPr>
          <w:lang w:val="fr-BE"/>
        </w:rPr>
        <w:t>33)</w:t>
      </w:r>
      <w:r w:rsidR="00841D45">
        <w:rPr>
          <w:lang w:val="fr-BE"/>
        </w:rPr>
        <w:t>.</w:t>
      </w:r>
      <w:r w:rsidR="00841D45" w:rsidRPr="000748D2">
        <w:rPr>
          <w:lang w:val="fr-BE"/>
        </w:rPr>
        <w:t xml:space="preserve"> </w:t>
      </w:r>
    </w:p>
    <w:p w:rsidR="00FE4A0A" w:rsidRDefault="00FE4A0A" w:rsidP="00DC6405">
      <w:pPr>
        <w:pStyle w:val="SingleTxtG"/>
      </w:pPr>
      <w:r w:rsidRPr="0049390D">
        <w:t>48.</w:t>
      </w:r>
      <w:r w:rsidRPr="0049390D">
        <w:tab/>
      </w:r>
      <w:r w:rsidR="00841D45" w:rsidRPr="0049390D">
        <w:t xml:space="preserve">En </w:t>
      </w:r>
      <w:r w:rsidR="00841D45" w:rsidRPr="0049390D">
        <w:rPr>
          <w:b/>
          <w:bCs/>
        </w:rPr>
        <w:t>Région wallonne</w:t>
      </w:r>
      <w:r w:rsidR="00841D45" w:rsidRPr="0049390D">
        <w:t>, l'égalité entre les hommes et les femmes est une matière</w:t>
      </w:r>
      <w:r w:rsidR="00841D45" w:rsidRPr="00F620D0">
        <w:t xml:space="preserve"> transversale qui concerne l'ensemble des départements. </w:t>
      </w:r>
    </w:p>
    <w:p w:rsidR="00FE4A0A" w:rsidRDefault="00FE4A0A" w:rsidP="00DC6405">
      <w:pPr>
        <w:pStyle w:val="SingleTxtG"/>
      </w:pPr>
      <w:r w:rsidRPr="0049390D">
        <w:t>49.</w:t>
      </w:r>
      <w:r w:rsidRPr="0049390D">
        <w:tab/>
      </w:r>
      <w:r w:rsidR="00841D45" w:rsidRPr="0049390D">
        <w:t>La mission dévolue à la Direction Intégration des personnes d’origine étrangère et</w:t>
      </w:r>
      <w:r w:rsidR="00841D45">
        <w:t xml:space="preserve"> de l’</w:t>
      </w:r>
      <w:r w:rsidR="006906C9">
        <w:t>É</w:t>
      </w:r>
      <w:r w:rsidR="00841D45">
        <w:t xml:space="preserve">galité des </w:t>
      </w:r>
      <w:r w:rsidR="006906C9">
        <w:t>C</w:t>
      </w:r>
      <w:r w:rsidR="00841D45">
        <w:t xml:space="preserve">hances </w:t>
      </w:r>
      <w:r w:rsidR="00841D45" w:rsidRPr="00F620D0">
        <w:t xml:space="preserve">consiste, outre la gestion des subventions spécifiques, à identifier les actions prises ou soutenues par la Région en matière de promotion de l'égalité entre les hommes et les femmes dans tous les départements. Elle consiste aussi à suivre l'évolution de la législation internationale en la matière, </w:t>
      </w:r>
      <w:r w:rsidR="00DC6405">
        <w:t>à</w:t>
      </w:r>
      <w:r w:rsidR="00DC6405" w:rsidRPr="00F620D0">
        <w:t xml:space="preserve"> </w:t>
      </w:r>
      <w:r w:rsidR="00841D45" w:rsidRPr="00F620D0">
        <w:t>étudi</w:t>
      </w:r>
      <w:r w:rsidR="00DC6405">
        <w:t xml:space="preserve">er </w:t>
      </w:r>
      <w:r w:rsidR="00841D45" w:rsidRPr="00F620D0">
        <w:t xml:space="preserve">les textes et </w:t>
      </w:r>
      <w:r w:rsidR="00DC6405">
        <w:t>à</w:t>
      </w:r>
      <w:r w:rsidR="00DC6405" w:rsidRPr="00F620D0">
        <w:t xml:space="preserve"> </w:t>
      </w:r>
      <w:r w:rsidR="00841D45" w:rsidRPr="00F620D0">
        <w:t>assur</w:t>
      </w:r>
      <w:r w:rsidR="00DC6405">
        <w:t xml:space="preserve">er </w:t>
      </w:r>
      <w:r w:rsidR="00841D45" w:rsidRPr="00F620D0">
        <w:t xml:space="preserve">le suivi de leur transposition dans la législation de la Région. </w:t>
      </w:r>
    </w:p>
    <w:p w:rsidR="00841D45" w:rsidRPr="00F620D0" w:rsidRDefault="00FE4A0A" w:rsidP="0056721D">
      <w:pPr>
        <w:pStyle w:val="SingleTxtG"/>
      </w:pPr>
      <w:r w:rsidRPr="004E0F52">
        <w:t>50.</w:t>
      </w:r>
      <w:r w:rsidRPr="004E0F52">
        <w:tab/>
      </w:r>
      <w:r w:rsidR="00841D45" w:rsidRPr="004E0F52">
        <w:t>Elle est également chargée de la réalisation du rapport sur la politique menée en</w:t>
      </w:r>
      <w:r w:rsidR="00841D45" w:rsidRPr="00F620D0">
        <w:t xml:space="preserve"> </w:t>
      </w:r>
      <w:r w:rsidR="00841D45" w:rsidRPr="004E0F52">
        <w:rPr>
          <w:b/>
          <w:bCs/>
        </w:rPr>
        <w:t>Région wallonne</w:t>
      </w:r>
      <w:r w:rsidR="00841D45" w:rsidRPr="00F620D0">
        <w:t xml:space="preserve"> en matière d'égalité entre les homme</w:t>
      </w:r>
      <w:r w:rsidR="00841D45">
        <w:t>s et les femmes (</w:t>
      </w:r>
      <w:r w:rsidR="0056721D">
        <w:t>r</w:t>
      </w:r>
      <w:r w:rsidR="00841D45" w:rsidRPr="0056721D">
        <w:t>apport</w:t>
      </w:r>
      <w:r w:rsidR="00841D45">
        <w:t xml:space="preserve"> Pékin)</w:t>
      </w:r>
      <w:r w:rsidR="00841D45" w:rsidRPr="00F620D0">
        <w:t xml:space="preserve"> que le Gouvernement wallon adresse annuellement au Parlement wallon</w:t>
      </w:r>
      <w:r w:rsidR="00841D45">
        <w:t>.</w:t>
      </w:r>
      <w:r w:rsidR="00841D45" w:rsidRPr="00F620D0">
        <w:t xml:space="preserve"> Ce rapport rend compte de l’ensemble des mesures prises ou soutenues par la Région wallonne, dans toutes les matières qui lui sont imparties, permettant de </w:t>
      </w:r>
      <w:r w:rsidR="0056721D">
        <w:t>progresser</w:t>
      </w:r>
      <w:r w:rsidR="0056721D" w:rsidRPr="00F620D0">
        <w:t xml:space="preserve"> </w:t>
      </w:r>
      <w:r w:rsidR="00841D45" w:rsidRPr="00F620D0">
        <w:t xml:space="preserve">vers l’égalité. </w:t>
      </w:r>
    </w:p>
    <w:p w:rsidR="005F0825" w:rsidRDefault="005F0825" w:rsidP="00C77A52">
      <w:pPr>
        <w:pStyle w:val="SingleTxtG"/>
      </w:pPr>
      <w:r>
        <w:t>51.</w:t>
      </w:r>
      <w:r>
        <w:tab/>
      </w:r>
      <w:r w:rsidR="00841D45" w:rsidRPr="00F620D0">
        <w:t xml:space="preserve">Afin de favoriser l’implantation du </w:t>
      </w:r>
      <w:r w:rsidR="00841D45" w:rsidRPr="00F827D8">
        <w:rPr>
          <w:i/>
          <w:iCs/>
        </w:rPr>
        <w:t>gender mainstreaming</w:t>
      </w:r>
      <w:r w:rsidR="00841D45" w:rsidRPr="00F620D0">
        <w:t xml:space="preserve">, la </w:t>
      </w:r>
      <w:r w:rsidR="00841D45" w:rsidRPr="004E0F52">
        <w:rPr>
          <w:b/>
          <w:bCs/>
        </w:rPr>
        <w:t>Région bruxelloise</w:t>
      </w:r>
      <w:r w:rsidR="00841D45" w:rsidRPr="00F620D0">
        <w:t xml:space="preserve"> s’est dotée de plusieurs mécanismes. La </w:t>
      </w:r>
      <w:r w:rsidR="00C77A52">
        <w:t>D</w:t>
      </w:r>
      <w:r w:rsidR="00841D45" w:rsidRPr="00F620D0">
        <w:t xml:space="preserve">irection des </w:t>
      </w:r>
      <w:r w:rsidR="00C77A52">
        <w:t>R</w:t>
      </w:r>
      <w:r w:rsidR="00C77A52" w:rsidRPr="00F620D0">
        <w:t xml:space="preserve">essources </w:t>
      </w:r>
      <w:r w:rsidR="00C77A52">
        <w:t>H</w:t>
      </w:r>
      <w:r w:rsidR="00841D45" w:rsidRPr="00F620D0">
        <w:t>umaines et de l’</w:t>
      </w:r>
      <w:r w:rsidR="00C77A52">
        <w:t>É</w:t>
      </w:r>
      <w:r w:rsidR="00841D45" w:rsidRPr="00F620D0">
        <w:t xml:space="preserve">galité des </w:t>
      </w:r>
      <w:r w:rsidR="00C77A52">
        <w:t>C</w:t>
      </w:r>
      <w:r w:rsidR="00841D45" w:rsidRPr="00F620D0">
        <w:t xml:space="preserve">hances dispose d’une cellule chargée de promouvoir l’égalité et la diversité au sein du </w:t>
      </w:r>
      <w:r w:rsidR="00C77A52">
        <w:t>M</w:t>
      </w:r>
      <w:r w:rsidR="00841D45" w:rsidRPr="00F620D0">
        <w:t xml:space="preserve">inistère. </w:t>
      </w:r>
    </w:p>
    <w:p w:rsidR="00ED479D" w:rsidRDefault="005F0825" w:rsidP="00C77A52">
      <w:pPr>
        <w:pStyle w:val="SingleTxtG"/>
      </w:pPr>
      <w:r>
        <w:t>52.</w:t>
      </w:r>
      <w:r>
        <w:tab/>
      </w:r>
      <w:r w:rsidR="00C77A52">
        <w:t xml:space="preserve">Ainsi, on </w:t>
      </w:r>
      <w:r w:rsidR="00841D45">
        <w:t>observe</w:t>
      </w:r>
      <w:r w:rsidR="00C77A52">
        <w:t>ra</w:t>
      </w:r>
      <w:r w:rsidR="00841D45">
        <w:t xml:space="preserve"> qu’u</w:t>
      </w:r>
      <w:r w:rsidR="00841D45" w:rsidRPr="00F620D0">
        <w:t>n fonctionnaire chargé de l’ég</w:t>
      </w:r>
      <w:r w:rsidR="00841D45">
        <w:t>alité des chances a été désigné</w:t>
      </w:r>
      <w:r w:rsidR="00841D45" w:rsidRPr="00F620D0">
        <w:t xml:space="preserve">, </w:t>
      </w:r>
      <w:r w:rsidR="00C77A52">
        <w:t>qu’</w:t>
      </w:r>
      <w:r w:rsidR="00841D45" w:rsidRPr="00F620D0">
        <w:t xml:space="preserve">un rapport analytique </w:t>
      </w:r>
      <w:r w:rsidR="00C77A52">
        <w:t xml:space="preserve">assorti </w:t>
      </w:r>
      <w:r w:rsidR="00841D45" w:rsidRPr="00F620D0">
        <w:t>d</w:t>
      </w:r>
      <w:r w:rsidR="00C77A52">
        <w:t>e</w:t>
      </w:r>
      <w:r w:rsidR="00841D45" w:rsidRPr="00F620D0">
        <w:t xml:space="preserve"> données sexuées relatives au personnel</w:t>
      </w:r>
      <w:r w:rsidR="00841D45">
        <w:t xml:space="preserve"> a été élaboré</w:t>
      </w:r>
      <w:r w:rsidR="00841D45" w:rsidRPr="00F620D0">
        <w:t xml:space="preserve">, </w:t>
      </w:r>
      <w:r w:rsidR="00C77A52">
        <w:t>qu’</w:t>
      </w:r>
      <w:r w:rsidR="00841D45" w:rsidRPr="00F620D0">
        <w:t xml:space="preserve">un plan d’action </w:t>
      </w:r>
      <w:r w:rsidR="00C77A52">
        <w:t>pour l</w:t>
      </w:r>
      <w:r w:rsidR="00841D45" w:rsidRPr="00F620D0">
        <w:t>’égalité des chances est régulièrement réalisé</w:t>
      </w:r>
      <w:r w:rsidR="00841D45">
        <w:t xml:space="preserve"> et qu’une</w:t>
      </w:r>
      <w:r w:rsidR="00841D45" w:rsidRPr="00F620D0">
        <w:t xml:space="preserve"> commission interne d’accompagnement a été mise en place. </w:t>
      </w:r>
    </w:p>
    <w:p w:rsidR="00ED479D" w:rsidRDefault="00ED479D" w:rsidP="00C77A52">
      <w:pPr>
        <w:pStyle w:val="SingleTxtG"/>
      </w:pPr>
      <w:r>
        <w:t>53.</w:t>
      </w:r>
      <w:r>
        <w:tab/>
      </w:r>
      <w:r w:rsidR="00841D45" w:rsidRPr="00F620D0">
        <w:t xml:space="preserve">En application des recommandations issues de la </w:t>
      </w:r>
      <w:r w:rsidR="00C77A52">
        <w:t>C</w:t>
      </w:r>
      <w:r w:rsidR="00841D45" w:rsidRPr="00F620D0">
        <w:t xml:space="preserve">onférence </w:t>
      </w:r>
      <w:r w:rsidR="00C77A52">
        <w:t xml:space="preserve">mondiale </w:t>
      </w:r>
      <w:r w:rsidR="00841D45" w:rsidRPr="00F620D0">
        <w:t xml:space="preserve">de </w:t>
      </w:r>
      <w:r w:rsidR="00C77A52">
        <w:t>P</w:t>
      </w:r>
      <w:r w:rsidR="00841D45" w:rsidRPr="00F620D0">
        <w:t xml:space="preserve">ékin, la cellule dresse un état des lieux des initiatives entreprises dans le cadre des objectifs de la </w:t>
      </w:r>
      <w:r w:rsidR="00C77A52">
        <w:t>C</w:t>
      </w:r>
      <w:r w:rsidR="00841D45" w:rsidRPr="00F620D0">
        <w:t xml:space="preserve">onférence. </w:t>
      </w:r>
    </w:p>
    <w:p w:rsidR="00841D45" w:rsidRPr="00F620D0" w:rsidRDefault="00ED479D" w:rsidP="00886252">
      <w:pPr>
        <w:pStyle w:val="SingleTxtG"/>
      </w:pPr>
      <w:r>
        <w:t>54.</w:t>
      </w:r>
      <w:r>
        <w:tab/>
      </w:r>
      <w:r w:rsidR="00841D45">
        <w:t>En outre, a</w:t>
      </w:r>
      <w:r w:rsidR="00841D45" w:rsidRPr="00F620D0">
        <w:t>u sein de l’</w:t>
      </w:r>
      <w:r w:rsidR="00C77A52">
        <w:t>a</w:t>
      </w:r>
      <w:r w:rsidR="00841D45" w:rsidRPr="00F620D0">
        <w:t>dministration des pouvoirs locaux, une cellule de coordination responsable de la promotion de l’égalité hommes/femmes au niveau muni</w:t>
      </w:r>
      <w:r w:rsidR="00841D45">
        <w:t>cipal est en place depuis 2001. C</w:t>
      </w:r>
      <w:r w:rsidR="00841D45" w:rsidRPr="00F620D0">
        <w:t xml:space="preserve">ette cellule est active au sein de l’administration régionale </w:t>
      </w:r>
      <w:r w:rsidR="00C77A52">
        <w:t>et</w:t>
      </w:r>
      <w:r w:rsidR="00C77A52" w:rsidRPr="00F620D0">
        <w:t xml:space="preserve"> </w:t>
      </w:r>
      <w:r w:rsidR="00841D45" w:rsidRPr="00F620D0">
        <w:t xml:space="preserve">assure la prise en compte du genre dans les politiques </w:t>
      </w:r>
      <w:r w:rsidR="00C77A52">
        <w:t xml:space="preserve">qui sont </w:t>
      </w:r>
      <w:r w:rsidR="00841D45" w:rsidRPr="00F620D0">
        <w:t xml:space="preserve">mises en œuvre dans le cadre de la tutelle sur les pouvoirs locaux. </w:t>
      </w:r>
    </w:p>
    <w:p w:rsidR="00841D45" w:rsidRPr="00F620D0" w:rsidRDefault="00ED479D" w:rsidP="00E53001">
      <w:pPr>
        <w:pStyle w:val="SingleTxtG"/>
      </w:pPr>
      <w:r>
        <w:t>55.</w:t>
      </w:r>
      <w:r>
        <w:tab/>
      </w:r>
      <w:r w:rsidR="00841D45" w:rsidRPr="00F620D0">
        <w:t xml:space="preserve">Enfin, la </w:t>
      </w:r>
      <w:r w:rsidR="00841D45" w:rsidRPr="007971B3">
        <w:rPr>
          <w:b/>
          <w:bCs/>
        </w:rPr>
        <w:t>politique locale</w:t>
      </w:r>
      <w:r w:rsidR="00841D45" w:rsidRPr="00F620D0">
        <w:rPr>
          <w:u w:val="single"/>
        </w:rPr>
        <w:t xml:space="preserve"> </w:t>
      </w:r>
      <w:r w:rsidR="00841D45" w:rsidRPr="00F620D0">
        <w:t>en matière d’égalité entre les hommes et les femmes se subdivise en deux volets importants : d’une part, la lutte contre la violence à l’égard des femmes et</w:t>
      </w:r>
      <w:r w:rsidR="00E53001">
        <w:t>,</w:t>
      </w:r>
      <w:r w:rsidR="00841D45" w:rsidRPr="00F620D0">
        <w:t xml:space="preserve"> d’autre part, la promotion de l’égalité des femmes et des hommes sur le plan socioéconomique, dans la vie sociale et dans l’accès aux lieux de décision. Pour la mise en œuvre de cette politique locale, la Belgique collabore avec les provinces et plus précisément avec les coordinatrices provinciales charg</w:t>
      </w:r>
      <w:r w:rsidR="00E53001">
        <w:t>é</w:t>
      </w:r>
      <w:r w:rsidR="00841D45" w:rsidRPr="00F620D0">
        <w:t>e</w:t>
      </w:r>
      <w:r w:rsidR="00E53001">
        <w:t>s</w:t>
      </w:r>
      <w:r w:rsidR="00841D45" w:rsidRPr="00F620D0">
        <w:t xml:space="preserve"> de l’égalité des chances et/ou de la violence à l’égard des femmes. Ce dispositif est financé par l’</w:t>
      </w:r>
      <w:r w:rsidR="000D7AB1">
        <w:t>État</w:t>
      </w:r>
      <w:r w:rsidR="00841D45" w:rsidRPr="00F620D0">
        <w:t xml:space="preserve"> fédéral, les Communautés et les Régions. </w:t>
      </w:r>
    </w:p>
    <w:p w:rsidR="00841D45" w:rsidRPr="00E22B96" w:rsidRDefault="00ED479D" w:rsidP="0072636D">
      <w:pPr>
        <w:pStyle w:val="SingleTxtG"/>
        <w:rPr>
          <w:color w:val="000000"/>
        </w:rPr>
      </w:pPr>
      <w:r w:rsidRPr="005F630B">
        <w:rPr>
          <w:color w:val="000000"/>
        </w:rPr>
        <w:t>56.</w:t>
      </w:r>
      <w:r w:rsidRPr="005F630B">
        <w:rPr>
          <w:color w:val="000000"/>
        </w:rPr>
        <w:tab/>
      </w:r>
      <w:r w:rsidR="00841D45" w:rsidRPr="005F630B">
        <w:rPr>
          <w:color w:val="000000"/>
        </w:rPr>
        <w:t xml:space="preserve">Les législations favorisant la participation des femmes à la vie publique dont il </w:t>
      </w:r>
      <w:r w:rsidR="00E53001" w:rsidRPr="005F630B">
        <w:rPr>
          <w:color w:val="000000"/>
        </w:rPr>
        <w:t>est</w:t>
      </w:r>
      <w:r w:rsidR="00E53001">
        <w:rPr>
          <w:color w:val="000000"/>
        </w:rPr>
        <w:t xml:space="preserve"> </w:t>
      </w:r>
      <w:r w:rsidR="00841D45" w:rsidRPr="00E22B96">
        <w:rPr>
          <w:color w:val="000000"/>
        </w:rPr>
        <w:t xml:space="preserve">fait état dans le rapport sont très strictes ; elles </w:t>
      </w:r>
      <w:r w:rsidR="00D87B2C">
        <w:rPr>
          <w:color w:val="000000"/>
        </w:rPr>
        <w:t>réglementent</w:t>
      </w:r>
      <w:r w:rsidR="00841D45" w:rsidRPr="00E22B96">
        <w:rPr>
          <w:color w:val="000000"/>
        </w:rPr>
        <w:t xml:space="preserve"> la présentation de listes ainsi que </w:t>
      </w:r>
      <w:r w:rsidR="005140A2">
        <w:rPr>
          <w:color w:val="000000"/>
        </w:rPr>
        <w:t>l</w:t>
      </w:r>
      <w:r w:rsidR="00841D45" w:rsidRPr="00E22B96">
        <w:rPr>
          <w:color w:val="000000"/>
        </w:rPr>
        <w:t>es quotas de représentation de chaque sexe au sein des institu</w:t>
      </w:r>
      <w:r w:rsidR="00D87B2C">
        <w:rPr>
          <w:color w:val="000000"/>
        </w:rPr>
        <w:t>t</w:t>
      </w:r>
      <w:r w:rsidR="00841D45" w:rsidRPr="00E22B96">
        <w:rPr>
          <w:color w:val="000000"/>
        </w:rPr>
        <w:t xml:space="preserve">ions législatives et exécutives et des organes </w:t>
      </w:r>
      <w:r w:rsidR="0072636D">
        <w:rPr>
          <w:color w:val="000000"/>
        </w:rPr>
        <w:t>consultatifs</w:t>
      </w:r>
      <w:r w:rsidR="00841D45" w:rsidRPr="00E22B96">
        <w:rPr>
          <w:color w:val="000000"/>
        </w:rPr>
        <w:t xml:space="preserve">. Certaines de ces législations prévoient également expressément des mécanismes de rapport ou d’évaluation interne visant à assurer une application effective de la législation. </w:t>
      </w:r>
    </w:p>
    <w:p w:rsidR="00ED479D" w:rsidRPr="00340AAB" w:rsidRDefault="00ED479D" w:rsidP="00ED479D">
      <w:pPr>
        <w:pStyle w:val="SingleTxtG"/>
        <w:rPr>
          <w:b/>
          <w:bCs/>
          <w:lang w:val="fr-FR"/>
        </w:rPr>
      </w:pPr>
      <w:r w:rsidRPr="00340AAB">
        <w:rPr>
          <w:b/>
          <w:bCs/>
        </w:rPr>
        <w:t>Réponse au paragraphe 8 de la liste de points à traiter</w:t>
      </w:r>
      <w:r w:rsidRPr="00340AAB" w:rsidDel="00ED479D">
        <w:rPr>
          <w:b/>
          <w:bCs/>
          <w:lang w:val="fr-FR"/>
        </w:rPr>
        <w:t xml:space="preserve"> </w:t>
      </w:r>
    </w:p>
    <w:p w:rsidR="00841D45" w:rsidRDefault="00ED479D" w:rsidP="00ED479D">
      <w:pPr>
        <w:pStyle w:val="SingleTxtG"/>
      </w:pPr>
      <w:r>
        <w:rPr>
          <w:lang w:val="fr-FR"/>
        </w:rPr>
        <w:t>57.</w:t>
      </w:r>
      <w:r>
        <w:rPr>
          <w:lang w:val="fr-FR"/>
        </w:rPr>
        <w:tab/>
      </w:r>
      <w:r w:rsidR="00841D45">
        <w:t>Il y a d’abord lieu de préciser que le Code de droit international privé belge contient certaines dispositions qui s’appliquent en cas de renvoi à la loi étrangère ou en cas de reconnaissance d’acte</w:t>
      </w:r>
      <w:r w:rsidR="006D674C">
        <w:t>s</w:t>
      </w:r>
      <w:r w:rsidR="00841D45">
        <w:t xml:space="preserve"> établi</w:t>
      </w:r>
      <w:r w:rsidR="006D674C">
        <w:t>s</w:t>
      </w:r>
      <w:r w:rsidR="00841D45">
        <w:t xml:space="preserve"> à l’étranger et qui permettent d’éviter les discriminations.</w:t>
      </w:r>
    </w:p>
    <w:p w:rsidR="00841D45" w:rsidRDefault="006F7DBE" w:rsidP="006D674C">
      <w:pPr>
        <w:pStyle w:val="SingleTxtG"/>
      </w:pPr>
      <w:r>
        <w:t>58.</w:t>
      </w:r>
      <w:r>
        <w:tab/>
      </w:r>
      <w:r w:rsidR="00841D45">
        <w:t>L’article 57 du Code précité</w:t>
      </w:r>
      <w:r w:rsidR="006D674C">
        <w:t xml:space="preserve"> qui</w:t>
      </w:r>
      <w:r w:rsidR="00841D45">
        <w:t xml:space="preserve"> </w:t>
      </w:r>
      <w:r w:rsidR="006D674C">
        <w:t>porte sur</w:t>
      </w:r>
      <w:r w:rsidR="00841D45">
        <w:t xml:space="preserve"> la dissolution du mariage à l’étranger fondée sur la volonté du mari dispose en son </w:t>
      </w:r>
      <w:r w:rsidR="00B10927">
        <w:t xml:space="preserve">premier paragraphe </w:t>
      </w:r>
      <w:r w:rsidR="00841D45">
        <w:t>qu’ «Un acte établi à l’étranger selon la volonté du mari de dissoudre le mariage sans que la femme ait disposé d’un droit égal ne peut être reconnu en Belgique». Un tel acte peut cependant être reconnu dans les conditions cumulatives de l’article 57</w:t>
      </w:r>
      <w:r w:rsidR="006D674C">
        <w:t xml:space="preserve"> (</w:t>
      </w:r>
      <w:r w:rsidR="00B10927">
        <w:t>par.</w:t>
      </w:r>
      <w:r w:rsidR="00841D45">
        <w:t xml:space="preserve"> 2</w:t>
      </w:r>
      <w:r w:rsidR="006D674C">
        <w:t>)</w:t>
      </w:r>
      <w:r w:rsidR="00841D45" w:rsidRPr="002B4EB9">
        <w:t>. L’article 57, qui est applicable à toutes les formes de répudiation, se veut d’application restrictive à l’égard de cette institution</w:t>
      </w:r>
      <w:r w:rsidR="006D674C">
        <w:t xml:space="preserve"> qui est</w:t>
      </w:r>
      <w:r w:rsidR="00841D45" w:rsidRPr="002B4EB9">
        <w:t xml:space="preserve"> considérée par le </w:t>
      </w:r>
      <w:r w:rsidR="006D674C">
        <w:t>l</w:t>
      </w:r>
      <w:r w:rsidR="00841D45" w:rsidRPr="002B4EB9">
        <w:t xml:space="preserve">égislateur comme étrangère à notre conception du droit et au principe d’égalité </w:t>
      </w:r>
      <w:r w:rsidR="00841D45">
        <w:t xml:space="preserve">entre les </w:t>
      </w:r>
      <w:r w:rsidR="00841D45" w:rsidRPr="002B4EB9">
        <w:t xml:space="preserve">hommes </w:t>
      </w:r>
      <w:r w:rsidR="00841D45">
        <w:t xml:space="preserve">et les </w:t>
      </w:r>
      <w:r w:rsidR="00841D45" w:rsidRPr="002B4EB9">
        <w:t>femmes</w:t>
      </w:r>
      <w:r w:rsidR="00841D45" w:rsidRPr="002B4EB9">
        <w:rPr>
          <w:rStyle w:val="FootnoteReference"/>
        </w:rPr>
        <w:footnoteReference w:id="9"/>
      </w:r>
      <w:r w:rsidR="00841D45" w:rsidRPr="002B4EB9">
        <w:t>.</w:t>
      </w:r>
    </w:p>
    <w:p w:rsidR="00841D45" w:rsidRDefault="006F7DBE" w:rsidP="00BC21C7">
      <w:pPr>
        <w:pStyle w:val="SingleTxtG"/>
      </w:pPr>
      <w:r>
        <w:t>59.</w:t>
      </w:r>
      <w:r>
        <w:tab/>
      </w:r>
      <w:r w:rsidR="00841D45">
        <w:t xml:space="preserve">De manière plus générale, lorsque conformément aux règles de droit international privé belge, il est renvoyé à la loi nationale étrangère et que cette loi établit ou semble établir des discriminations à l’égard des femmes, le Code de droit international privé belge contient, en </w:t>
      </w:r>
      <w:r w:rsidR="00841D45" w:rsidRPr="002B4EB9">
        <w:t>son article 21, une disposition</w:t>
      </w:r>
      <w:r w:rsidR="00841D45">
        <w:t xml:space="preserve"> relative à l’exception d’ordre public. Cet article dispose que l’application d’une disposition d</w:t>
      </w:r>
      <w:r w:rsidR="00BC21C7">
        <w:t>e</w:t>
      </w:r>
      <w:r w:rsidR="00841D45">
        <w:t xml:space="preserve"> droit étranger désigné</w:t>
      </w:r>
      <w:r w:rsidR="00BC21C7">
        <w:t>e</w:t>
      </w:r>
      <w:r w:rsidR="00841D45">
        <w:t xml:space="preserve"> par la présente loi est écartée dans la mesure où elle produirait un effet manifestement incompatible avec l’ordre public. </w:t>
      </w:r>
    </w:p>
    <w:p w:rsidR="00841D45" w:rsidRPr="002B4EB9" w:rsidRDefault="006F7DBE" w:rsidP="006F7DBE">
      <w:pPr>
        <w:pStyle w:val="SingleTxtG"/>
      </w:pPr>
      <w:r>
        <w:t>60.</w:t>
      </w:r>
      <w:r>
        <w:tab/>
      </w:r>
      <w:r w:rsidR="00841D45" w:rsidRPr="002B4EB9">
        <w:t>Cette incompatibilité s’apprécie en tenant compte, notamment, de l’intensité du rattachement de la situation avec l’ordre juridique belge et de la gravité de l’effet que produirait l’application de ce droit étranger. Lorsqu’une disposition d</w:t>
      </w:r>
      <w:r w:rsidR="00BC21C7">
        <w:t>e</w:t>
      </w:r>
      <w:r w:rsidR="00841D45" w:rsidRPr="002B4EB9">
        <w:t xml:space="preserve"> droit étranger n’est pas appliquée en raison de cette incompatibilité, une autre disposition pertinente de ce droit ou au besoin, du droit belge, est appliquée. On considère généralement que les principes qui découlent d’instruments internationaux tels que le Pacte </w:t>
      </w:r>
      <w:r w:rsidR="00BC21C7">
        <w:t xml:space="preserve">international </w:t>
      </w:r>
      <w:r w:rsidR="00841D45" w:rsidRPr="002B4EB9">
        <w:t xml:space="preserve">relatif aux droits civils et politiques font partie de cet ordre public. </w:t>
      </w:r>
    </w:p>
    <w:p w:rsidR="00841D45" w:rsidRDefault="006F7DBE" w:rsidP="00A47C8D">
      <w:pPr>
        <w:pStyle w:val="SingleTxtG"/>
      </w:pPr>
      <w:r>
        <w:t>61.</w:t>
      </w:r>
      <w:r>
        <w:tab/>
      </w:r>
      <w:r w:rsidR="00841D45" w:rsidRPr="002B4EB9">
        <w:t xml:space="preserve">Comme exemple tombant dans le champ d’application de cette disposition relative à l’exception d’ordre public, on </w:t>
      </w:r>
      <w:r w:rsidR="00A47C8D">
        <w:t>pourra</w:t>
      </w:r>
      <w:r w:rsidR="00A47C8D" w:rsidRPr="002B4EB9">
        <w:t xml:space="preserve"> </w:t>
      </w:r>
      <w:r w:rsidR="00841D45" w:rsidRPr="002B4EB9">
        <w:t xml:space="preserve">citer le cas des dispositions étrangères autorisant le mariage polygamique. L’effet consistant à créer une telle union peut être considéré comme manifestement incompatible avec l’ordre public international belge, ce qui interdit certainement qu’une autorité belge puisse procéder à la conclusion d’un tel mariage ou reconnaître la validité d’un tel mariage. </w:t>
      </w:r>
    </w:p>
    <w:p w:rsidR="00841D45" w:rsidRDefault="006F7DBE" w:rsidP="00E069BD">
      <w:pPr>
        <w:pStyle w:val="SingleTxtG"/>
      </w:pPr>
      <w:r>
        <w:t>62.</w:t>
      </w:r>
      <w:r>
        <w:tab/>
      </w:r>
      <w:r w:rsidR="00841D45">
        <w:t>Deux brefs exemples de jurisprudence sont repris en annexe</w:t>
      </w:r>
      <w:r w:rsidR="00841D45">
        <w:rPr>
          <w:rStyle w:val="FootnoteReference"/>
        </w:rPr>
        <w:footnoteReference w:id="10"/>
      </w:r>
      <w:r w:rsidR="00E069BD">
        <w:t>.</w:t>
      </w:r>
    </w:p>
    <w:p w:rsidR="00D54902" w:rsidRDefault="00D54902" w:rsidP="00B750E2">
      <w:pPr>
        <w:pStyle w:val="SingleTxtG"/>
      </w:pPr>
    </w:p>
    <w:p w:rsidR="005F630B" w:rsidRDefault="005F630B" w:rsidP="00B750E2">
      <w:pPr>
        <w:pStyle w:val="SingleTxtG"/>
        <w:rPr>
          <w:b/>
          <w:bCs/>
        </w:rPr>
      </w:pPr>
    </w:p>
    <w:p w:rsidR="005F630B" w:rsidRDefault="005F630B" w:rsidP="00B750E2">
      <w:pPr>
        <w:pStyle w:val="SingleTxtG"/>
        <w:rPr>
          <w:b/>
          <w:bCs/>
        </w:rPr>
      </w:pPr>
    </w:p>
    <w:p w:rsidR="00841D45" w:rsidRPr="00340AAB" w:rsidRDefault="00B750E2" w:rsidP="00B750E2">
      <w:pPr>
        <w:pStyle w:val="SingleTxtG"/>
        <w:rPr>
          <w:b/>
          <w:bCs/>
          <w:lang w:val="fr-FR"/>
        </w:rPr>
      </w:pPr>
      <w:r w:rsidRPr="00340AAB">
        <w:rPr>
          <w:b/>
          <w:bCs/>
        </w:rPr>
        <w:t>Réponse au paragraphe 9 de la liste de points à traiter</w:t>
      </w:r>
    </w:p>
    <w:p w:rsidR="00841D45" w:rsidRDefault="00D54902" w:rsidP="005B42F0">
      <w:pPr>
        <w:pStyle w:val="SingleTxtG"/>
        <w:rPr>
          <w:rFonts w:cs="Arial"/>
        </w:rPr>
      </w:pPr>
      <w:r>
        <w:rPr>
          <w:rFonts w:cs="Arial"/>
        </w:rPr>
        <w:t>63.</w:t>
      </w:r>
      <w:r>
        <w:rPr>
          <w:rFonts w:cs="Arial"/>
        </w:rPr>
        <w:tab/>
      </w:r>
      <w:r w:rsidR="00841D45" w:rsidRPr="001C728C">
        <w:rPr>
          <w:rFonts w:cs="Arial"/>
        </w:rPr>
        <w:t xml:space="preserve">Sur le plan local, un certain nombre de décisions ont été prises en Flandre </w:t>
      </w:r>
      <w:r w:rsidR="005B42F0">
        <w:rPr>
          <w:rFonts w:cs="Arial"/>
        </w:rPr>
        <w:t xml:space="preserve">soumettant à </w:t>
      </w:r>
      <w:r w:rsidR="00841D45">
        <w:rPr>
          <w:rFonts w:cs="Arial"/>
        </w:rPr>
        <w:t>des</w:t>
      </w:r>
      <w:r w:rsidR="00841D45" w:rsidRPr="001C728C">
        <w:rPr>
          <w:rFonts w:cs="Arial"/>
        </w:rPr>
        <w:t xml:space="preserve"> conditions linguistiques l’achat de terrains</w:t>
      </w:r>
      <w:r w:rsidR="00841D45">
        <w:rPr>
          <w:rFonts w:cs="Arial"/>
        </w:rPr>
        <w:t xml:space="preserve"> communaux ou </w:t>
      </w:r>
      <w:r w:rsidR="00841D45" w:rsidRPr="001C728C">
        <w:rPr>
          <w:rFonts w:cs="Arial"/>
        </w:rPr>
        <w:t>l</w:t>
      </w:r>
      <w:r w:rsidR="00841D45">
        <w:rPr>
          <w:rFonts w:cs="Arial"/>
        </w:rPr>
        <w:t xml:space="preserve">a mise </w:t>
      </w:r>
      <w:r w:rsidR="005B42F0">
        <w:rPr>
          <w:rFonts w:cs="Arial"/>
        </w:rPr>
        <w:t xml:space="preserve">en </w:t>
      </w:r>
      <w:r w:rsidR="00841D45">
        <w:rPr>
          <w:rFonts w:cs="Arial"/>
        </w:rPr>
        <w:t xml:space="preserve">œuvre d’autres règlementations locales. </w:t>
      </w:r>
      <w:r w:rsidR="00841D45" w:rsidRPr="001C728C">
        <w:rPr>
          <w:rFonts w:cs="Arial"/>
        </w:rPr>
        <w:t xml:space="preserve">Ces décisions ne prennent pas appui sur l’exécution du Code Flamand </w:t>
      </w:r>
      <w:r w:rsidR="00841D45">
        <w:rPr>
          <w:rFonts w:cs="Arial"/>
        </w:rPr>
        <w:t>du logement (</w:t>
      </w:r>
      <w:r w:rsidR="00841D45" w:rsidRPr="00D54902">
        <w:rPr>
          <w:rFonts w:cs="Arial"/>
          <w:i/>
          <w:iCs/>
        </w:rPr>
        <w:t>Wooncode</w:t>
      </w:r>
      <w:r w:rsidR="00841D45" w:rsidRPr="001C728C">
        <w:rPr>
          <w:rFonts w:cs="Arial"/>
        </w:rPr>
        <w:t xml:space="preserve">) </w:t>
      </w:r>
      <w:r w:rsidR="00841D45">
        <w:rPr>
          <w:rFonts w:cs="Arial"/>
        </w:rPr>
        <w:t xml:space="preserve">et une distinction doit donc être faite. </w:t>
      </w:r>
    </w:p>
    <w:p w:rsidR="00D54902" w:rsidRDefault="00D54902" w:rsidP="00AA1F83">
      <w:pPr>
        <w:pStyle w:val="SingleTxtG"/>
        <w:rPr>
          <w:rFonts w:cs="Arial"/>
        </w:rPr>
      </w:pPr>
      <w:r>
        <w:rPr>
          <w:rFonts w:cs="Arial"/>
        </w:rPr>
        <w:t>64.</w:t>
      </w:r>
      <w:r>
        <w:rPr>
          <w:rFonts w:cs="Arial"/>
        </w:rPr>
        <w:tab/>
      </w:r>
      <w:r w:rsidR="00841D45">
        <w:rPr>
          <w:rFonts w:cs="Arial"/>
        </w:rPr>
        <w:t xml:space="preserve">Le Code flamand </w:t>
      </w:r>
      <w:r w:rsidR="00F559E9">
        <w:rPr>
          <w:rFonts w:cs="Arial"/>
        </w:rPr>
        <w:t>d</w:t>
      </w:r>
      <w:r w:rsidR="00841D45">
        <w:rPr>
          <w:rFonts w:cs="Arial"/>
        </w:rPr>
        <w:t>u logement a été adopté par décret. Il pr</w:t>
      </w:r>
      <w:r w:rsidR="00841D45" w:rsidRPr="001C728C">
        <w:rPr>
          <w:rFonts w:cs="Arial"/>
        </w:rPr>
        <w:t xml:space="preserve">évoit </w:t>
      </w:r>
      <w:r w:rsidR="00841D45">
        <w:rPr>
          <w:rFonts w:cs="Arial"/>
        </w:rPr>
        <w:t xml:space="preserve">que </w:t>
      </w:r>
      <w:r w:rsidR="00841D45" w:rsidRPr="001C728C">
        <w:rPr>
          <w:rFonts w:cs="Arial"/>
        </w:rPr>
        <w:t xml:space="preserve">l’hébergement social, </w:t>
      </w:r>
      <w:r w:rsidR="00841D45">
        <w:rPr>
          <w:rFonts w:cs="Arial"/>
        </w:rPr>
        <w:t xml:space="preserve">visant </w:t>
      </w:r>
      <w:r w:rsidR="00841D45" w:rsidRPr="001C728C">
        <w:rPr>
          <w:rFonts w:cs="Arial"/>
        </w:rPr>
        <w:t xml:space="preserve">un public très varié de résidents, </w:t>
      </w:r>
      <w:r w:rsidR="00841D45">
        <w:rPr>
          <w:rFonts w:cs="Arial"/>
        </w:rPr>
        <w:t>est soumis à une exigence de</w:t>
      </w:r>
      <w:r w:rsidR="00841D45" w:rsidRPr="001C728C">
        <w:rPr>
          <w:rFonts w:cs="Arial"/>
        </w:rPr>
        <w:t xml:space="preserve"> bonne volonté </w:t>
      </w:r>
      <w:r w:rsidR="00841D45">
        <w:rPr>
          <w:rFonts w:cs="Arial"/>
        </w:rPr>
        <w:t>d’</w:t>
      </w:r>
      <w:r w:rsidR="00841D45" w:rsidRPr="001C728C">
        <w:rPr>
          <w:rFonts w:cs="Arial"/>
        </w:rPr>
        <w:t>appre</w:t>
      </w:r>
      <w:r w:rsidR="00841D45">
        <w:rPr>
          <w:rFonts w:cs="Arial"/>
        </w:rPr>
        <w:t>ndre des notes élémentaires en n</w:t>
      </w:r>
      <w:r w:rsidR="00841D45" w:rsidRPr="001C728C">
        <w:rPr>
          <w:rFonts w:cs="Arial"/>
        </w:rPr>
        <w:t xml:space="preserve">éerlandais (le niveau le plus bas, équivalent </w:t>
      </w:r>
      <w:r w:rsidR="00AA1F83">
        <w:rPr>
          <w:rFonts w:cs="Arial"/>
        </w:rPr>
        <w:t xml:space="preserve">au niveau </w:t>
      </w:r>
      <w:r w:rsidR="00841D45" w:rsidRPr="001C728C">
        <w:rPr>
          <w:rFonts w:cs="Arial"/>
        </w:rPr>
        <w:t xml:space="preserve">A1 du Cadre </w:t>
      </w:r>
      <w:r w:rsidR="00841D45">
        <w:rPr>
          <w:rFonts w:cs="Arial"/>
        </w:rPr>
        <w:t xml:space="preserve">européen de référence commune) </w:t>
      </w:r>
      <w:r w:rsidR="00F559E9">
        <w:rPr>
          <w:rFonts w:cs="Arial"/>
        </w:rPr>
        <w:t xml:space="preserve">et assorti d’une </w:t>
      </w:r>
      <w:r w:rsidR="00841D45" w:rsidRPr="001C728C">
        <w:rPr>
          <w:rFonts w:cs="Arial"/>
        </w:rPr>
        <w:t xml:space="preserve">offre gratuite de leçons. </w:t>
      </w:r>
    </w:p>
    <w:p w:rsidR="00D54902" w:rsidRDefault="00D54902" w:rsidP="000B3BDF">
      <w:pPr>
        <w:pStyle w:val="SingleTxtG"/>
        <w:rPr>
          <w:rFonts w:cs="Arial"/>
        </w:rPr>
      </w:pPr>
      <w:r>
        <w:rPr>
          <w:rFonts w:cs="Arial"/>
        </w:rPr>
        <w:t>65.</w:t>
      </w:r>
      <w:r>
        <w:rPr>
          <w:rFonts w:cs="Arial"/>
        </w:rPr>
        <w:tab/>
      </w:r>
      <w:r w:rsidR="00841D45" w:rsidRPr="001C728C">
        <w:rPr>
          <w:rFonts w:cs="Arial"/>
        </w:rPr>
        <w:t>Aussi bien le Consei</w:t>
      </w:r>
      <w:r w:rsidR="00841D45">
        <w:rPr>
          <w:rFonts w:cs="Arial"/>
        </w:rPr>
        <w:t>l d’</w:t>
      </w:r>
      <w:r w:rsidR="000D7AB1">
        <w:rPr>
          <w:rFonts w:cs="Arial"/>
        </w:rPr>
        <w:t>État</w:t>
      </w:r>
      <w:r w:rsidR="00841D45">
        <w:rPr>
          <w:rFonts w:cs="Arial"/>
        </w:rPr>
        <w:t xml:space="preserve"> que la Cour constitutionnelle </w:t>
      </w:r>
      <w:r w:rsidR="00841D45" w:rsidRPr="001C728C">
        <w:rPr>
          <w:rFonts w:cs="Arial"/>
        </w:rPr>
        <w:t xml:space="preserve">ont estimé que les dispositions </w:t>
      </w:r>
      <w:r w:rsidR="0018422F">
        <w:rPr>
          <w:rFonts w:cs="Arial"/>
        </w:rPr>
        <w:t>pertinentes</w:t>
      </w:r>
      <w:r w:rsidR="0018422F" w:rsidRPr="001C728C">
        <w:rPr>
          <w:rFonts w:cs="Arial"/>
        </w:rPr>
        <w:t xml:space="preserve"> </w:t>
      </w:r>
      <w:r w:rsidR="00841D45" w:rsidRPr="001C728C">
        <w:rPr>
          <w:rFonts w:cs="Arial"/>
        </w:rPr>
        <w:t xml:space="preserve">du Code </w:t>
      </w:r>
      <w:r w:rsidR="0018422F">
        <w:rPr>
          <w:rFonts w:cs="Arial"/>
        </w:rPr>
        <w:t>d</w:t>
      </w:r>
      <w:r w:rsidR="00841D45" w:rsidRPr="001C728C">
        <w:rPr>
          <w:rFonts w:cs="Arial"/>
        </w:rPr>
        <w:t>u logement étai</w:t>
      </w:r>
      <w:r w:rsidR="00841D45">
        <w:rPr>
          <w:rFonts w:cs="Arial"/>
        </w:rPr>
        <w:t>en</w:t>
      </w:r>
      <w:r w:rsidR="00841D45" w:rsidRPr="001C728C">
        <w:rPr>
          <w:rFonts w:cs="Arial"/>
        </w:rPr>
        <w:t>t nécessaires</w:t>
      </w:r>
      <w:r w:rsidR="000B3BDF">
        <w:rPr>
          <w:rFonts w:cs="Arial"/>
        </w:rPr>
        <w:t>,</w:t>
      </w:r>
      <w:r w:rsidR="00841D45" w:rsidRPr="001C728C">
        <w:rPr>
          <w:rFonts w:cs="Arial"/>
        </w:rPr>
        <w:t xml:space="preserve"> proportionnelles à la lumière de l’intér</w:t>
      </w:r>
      <w:r w:rsidR="00841D45">
        <w:rPr>
          <w:rFonts w:cs="Arial"/>
        </w:rPr>
        <w:t xml:space="preserve">êt général et en conformité aux droits et libertés des </w:t>
      </w:r>
      <w:r w:rsidR="000B3BDF">
        <w:rPr>
          <w:rFonts w:cs="Arial"/>
        </w:rPr>
        <w:t>B</w:t>
      </w:r>
      <w:r w:rsidR="00841D45">
        <w:rPr>
          <w:rFonts w:cs="Arial"/>
        </w:rPr>
        <w:t>elges tel</w:t>
      </w:r>
      <w:r w:rsidR="000B3BDF">
        <w:rPr>
          <w:rFonts w:cs="Arial"/>
        </w:rPr>
        <w:t>s</w:t>
      </w:r>
      <w:r w:rsidR="00841D45">
        <w:rPr>
          <w:rFonts w:cs="Arial"/>
        </w:rPr>
        <w:t xml:space="preserve"> que garantis par la Constitution belge et les conventions internationales </w:t>
      </w:r>
      <w:r w:rsidR="000B3BDF">
        <w:rPr>
          <w:rFonts w:cs="Arial"/>
        </w:rPr>
        <w:t xml:space="preserve">sur les </w:t>
      </w:r>
      <w:r w:rsidR="00841D45">
        <w:rPr>
          <w:rFonts w:cs="Arial"/>
        </w:rPr>
        <w:t>droits de l’</w:t>
      </w:r>
      <w:r w:rsidR="00A01870">
        <w:rPr>
          <w:rFonts w:cs="Arial"/>
        </w:rPr>
        <w:t>h</w:t>
      </w:r>
      <w:r w:rsidR="00841D45">
        <w:rPr>
          <w:rFonts w:cs="Arial"/>
        </w:rPr>
        <w:t xml:space="preserve">omme auxquelles la Belgique est partie. </w:t>
      </w:r>
    </w:p>
    <w:p w:rsidR="00841D45" w:rsidRDefault="00D54902" w:rsidP="00D54902">
      <w:pPr>
        <w:pStyle w:val="SingleTxtG"/>
        <w:rPr>
          <w:rFonts w:cs="Arial"/>
        </w:rPr>
      </w:pPr>
      <w:r>
        <w:rPr>
          <w:rFonts w:cs="Arial"/>
        </w:rPr>
        <w:t>66.</w:t>
      </w:r>
      <w:r>
        <w:rPr>
          <w:rFonts w:cs="Arial"/>
        </w:rPr>
        <w:tab/>
      </w:r>
      <w:r w:rsidR="00841D45">
        <w:rPr>
          <w:rFonts w:cs="Arial"/>
        </w:rPr>
        <w:t xml:space="preserve">Par </w:t>
      </w:r>
      <w:r w:rsidR="00841D45" w:rsidRPr="00A032B5">
        <w:rPr>
          <w:rFonts w:cs="Arial"/>
        </w:rPr>
        <w:t>ailleurs, cette exigence linguistique n’a en</w:t>
      </w:r>
      <w:r w:rsidR="00841D45">
        <w:rPr>
          <w:rFonts w:cs="Arial"/>
        </w:rPr>
        <w:t xml:space="preserve">core donné lieu à </w:t>
      </w:r>
      <w:r w:rsidR="00841D45" w:rsidRPr="00A032B5">
        <w:rPr>
          <w:rFonts w:cs="Arial"/>
        </w:rPr>
        <w:t xml:space="preserve">aucun </w:t>
      </w:r>
      <w:r w:rsidR="00841D45">
        <w:rPr>
          <w:rFonts w:cs="Arial"/>
        </w:rPr>
        <w:t xml:space="preserve">refus de candidats </w:t>
      </w:r>
      <w:r w:rsidR="00841D45" w:rsidRPr="00A032B5">
        <w:rPr>
          <w:rFonts w:cs="Arial"/>
        </w:rPr>
        <w:t>locataire</w:t>
      </w:r>
      <w:r w:rsidR="00841D45">
        <w:rPr>
          <w:rFonts w:cs="Arial"/>
        </w:rPr>
        <w:t>s</w:t>
      </w:r>
      <w:r w:rsidR="00841D45" w:rsidRPr="00A032B5">
        <w:rPr>
          <w:rFonts w:cs="Arial"/>
        </w:rPr>
        <w:t xml:space="preserve"> et aucun signal n’a été </w:t>
      </w:r>
      <w:r w:rsidR="00841D45">
        <w:rPr>
          <w:rFonts w:cs="Arial"/>
        </w:rPr>
        <w:t xml:space="preserve">reçu selon lequel </w:t>
      </w:r>
      <w:r w:rsidR="00841D45" w:rsidRPr="00A032B5">
        <w:rPr>
          <w:rFonts w:cs="Arial"/>
        </w:rPr>
        <w:t xml:space="preserve">les </w:t>
      </w:r>
      <w:r w:rsidR="00841D45">
        <w:rPr>
          <w:rFonts w:cs="Arial"/>
        </w:rPr>
        <w:t xml:space="preserve">dispositions en cause constituaient un obstacle pour les personnes concernées. </w:t>
      </w:r>
    </w:p>
    <w:p w:rsidR="00D54902" w:rsidRDefault="00D54902" w:rsidP="005739AC">
      <w:pPr>
        <w:pStyle w:val="SingleTxtG"/>
        <w:rPr>
          <w:rFonts w:cs="Arial"/>
        </w:rPr>
      </w:pPr>
      <w:r>
        <w:rPr>
          <w:rFonts w:cs="Arial"/>
        </w:rPr>
        <w:t>67.</w:t>
      </w:r>
      <w:r>
        <w:rPr>
          <w:rFonts w:cs="Arial"/>
        </w:rPr>
        <w:tab/>
      </w:r>
      <w:r w:rsidR="00841D45">
        <w:rPr>
          <w:rFonts w:cs="Arial"/>
        </w:rPr>
        <w:t xml:space="preserve">Pour ce qui est des dispositions locales, il s’agit de décisions qui ont été prises par les conseils communaux </w:t>
      </w:r>
      <w:r w:rsidR="005739AC">
        <w:rPr>
          <w:rFonts w:cs="Arial"/>
        </w:rPr>
        <w:t>en vertu</w:t>
      </w:r>
      <w:r w:rsidR="00841D45">
        <w:rPr>
          <w:rFonts w:cs="Arial"/>
        </w:rPr>
        <w:t xml:space="preserve"> de l</w:t>
      </w:r>
      <w:r w:rsidR="005739AC">
        <w:rPr>
          <w:rFonts w:cs="Arial"/>
        </w:rPr>
        <w:t>’</w:t>
      </w:r>
      <w:r w:rsidR="00841D45">
        <w:rPr>
          <w:rFonts w:cs="Arial"/>
        </w:rPr>
        <w:t xml:space="preserve">autonomie </w:t>
      </w:r>
      <w:r w:rsidR="005739AC">
        <w:rPr>
          <w:rFonts w:cs="Arial"/>
        </w:rPr>
        <w:t xml:space="preserve">que leur confère </w:t>
      </w:r>
      <w:r w:rsidR="00841D45">
        <w:rPr>
          <w:rFonts w:cs="Arial"/>
        </w:rPr>
        <w:t xml:space="preserve">l’article 41 de la Constitution. </w:t>
      </w:r>
    </w:p>
    <w:p w:rsidR="00D54902" w:rsidRDefault="00D54902" w:rsidP="00AC2EEA">
      <w:pPr>
        <w:pStyle w:val="SingleTxtG"/>
        <w:rPr>
          <w:rFonts w:cs="Arial"/>
        </w:rPr>
      </w:pPr>
      <w:r>
        <w:rPr>
          <w:rFonts w:cs="Arial"/>
        </w:rPr>
        <w:t>68.</w:t>
      </w:r>
      <w:r>
        <w:rPr>
          <w:rFonts w:cs="Arial"/>
        </w:rPr>
        <w:tab/>
      </w:r>
      <w:r w:rsidR="00841D45" w:rsidRPr="00120AB3">
        <w:rPr>
          <w:rFonts w:cs="Arial"/>
        </w:rPr>
        <w:t xml:space="preserve">En application de l’article 162 de la Constitution, ces décisions font l’objet d’une tutelle administrative </w:t>
      </w:r>
      <w:r w:rsidR="00563508">
        <w:rPr>
          <w:rFonts w:cs="Arial"/>
        </w:rPr>
        <w:t xml:space="preserve">de la </w:t>
      </w:r>
      <w:r w:rsidR="00841D45">
        <w:rPr>
          <w:rFonts w:cs="Arial"/>
        </w:rPr>
        <w:t>par</w:t>
      </w:r>
      <w:r w:rsidR="00563508">
        <w:rPr>
          <w:rFonts w:cs="Arial"/>
        </w:rPr>
        <w:t>t de</w:t>
      </w:r>
      <w:r w:rsidR="00841D45">
        <w:rPr>
          <w:rFonts w:cs="Arial"/>
        </w:rPr>
        <w:t xml:space="preserve"> la Communauté flamande, </w:t>
      </w:r>
      <w:r w:rsidR="00F24E8D">
        <w:rPr>
          <w:rFonts w:cs="Arial"/>
        </w:rPr>
        <w:t>telle qu’</w:t>
      </w:r>
      <w:r w:rsidR="00841D45" w:rsidRPr="00120AB3">
        <w:rPr>
          <w:rFonts w:cs="Arial"/>
        </w:rPr>
        <w:t xml:space="preserve">organisée par les </w:t>
      </w:r>
      <w:r w:rsidR="00841D45">
        <w:rPr>
          <w:rFonts w:cs="Arial"/>
        </w:rPr>
        <w:t xml:space="preserve">articles </w:t>
      </w:r>
      <w:r w:rsidR="00841D45" w:rsidRPr="00120AB3">
        <w:rPr>
          <w:rFonts w:cs="Arial"/>
        </w:rPr>
        <w:t xml:space="preserve">248 à 261 du décret communal du 15 juillet 2005. Cela signifie </w:t>
      </w:r>
      <w:r w:rsidR="00AC2EEA">
        <w:rPr>
          <w:rFonts w:cs="Arial"/>
        </w:rPr>
        <w:t>dans la</w:t>
      </w:r>
      <w:r w:rsidR="00AC2EEA" w:rsidRPr="00120AB3">
        <w:rPr>
          <w:rFonts w:cs="Arial"/>
        </w:rPr>
        <w:t xml:space="preserve"> </w:t>
      </w:r>
      <w:r w:rsidR="00841D45" w:rsidRPr="00120AB3">
        <w:rPr>
          <w:rFonts w:cs="Arial"/>
        </w:rPr>
        <w:t xml:space="preserve">pratique que les décisions des autorités communales sont </w:t>
      </w:r>
      <w:r w:rsidR="00841D45">
        <w:rPr>
          <w:rFonts w:cs="Arial"/>
        </w:rPr>
        <w:t xml:space="preserve">immédiatement </w:t>
      </w:r>
      <w:r w:rsidR="00841D45" w:rsidRPr="00120AB3">
        <w:rPr>
          <w:rFonts w:cs="Arial"/>
        </w:rPr>
        <w:t>exécutables</w:t>
      </w:r>
      <w:r w:rsidR="00841D45">
        <w:rPr>
          <w:rFonts w:cs="Arial"/>
        </w:rPr>
        <w:t xml:space="preserve"> dè</w:t>
      </w:r>
      <w:r w:rsidR="00841D45" w:rsidRPr="00120AB3">
        <w:rPr>
          <w:rFonts w:cs="Arial"/>
        </w:rPr>
        <w:t>s qu</w:t>
      </w:r>
      <w:r w:rsidR="00841D45">
        <w:rPr>
          <w:rFonts w:cs="Arial"/>
        </w:rPr>
        <w:t xml:space="preserve">e l’organe communal compétent les a adoptées. </w:t>
      </w:r>
      <w:r w:rsidR="00841D45" w:rsidRPr="00120AB3">
        <w:rPr>
          <w:rFonts w:cs="Arial"/>
        </w:rPr>
        <w:t>Elles</w:t>
      </w:r>
      <w:r w:rsidR="00841D45">
        <w:rPr>
          <w:rFonts w:cs="Arial"/>
        </w:rPr>
        <w:t xml:space="preserve"> </w:t>
      </w:r>
      <w:r w:rsidR="00841D45" w:rsidRPr="00120AB3">
        <w:rPr>
          <w:rFonts w:cs="Arial"/>
        </w:rPr>
        <w:t>sont s</w:t>
      </w:r>
      <w:r w:rsidR="00841D45">
        <w:rPr>
          <w:rFonts w:cs="Arial"/>
        </w:rPr>
        <w:t xml:space="preserve">oumises </w:t>
      </w:r>
      <w:r w:rsidR="00841D45" w:rsidRPr="00120AB3">
        <w:rPr>
          <w:rFonts w:cs="Arial"/>
        </w:rPr>
        <w:t xml:space="preserve">aux règles des tutelles dans les </w:t>
      </w:r>
      <w:r w:rsidR="00841D45">
        <w:rPr>
          <w:rFonts w:cs="Arial"/>
        </w:rPr>
        <w:t xml:space="preserve">délais prévus par le </w:t>
      </w:r>
      <w:r w:rsidR="00841D45" w:rsidRPr="00120AB3">
        <w:rPr>
          <w:rFonts w:cs="Arial"/>
        </w:rPr>
        <w:t xml:space="preserve">décret communal. </w:t>
      </w:r>
    </w:p>
    <w:p w:rsidR="00841D45" w:rsidRDefault="00D54902" w:rsidP="0062475C">
      <w:pPr>
        <w:pStyle w:val="SingleTxtG"/>
        <w:rPr>
          <w:rFonts w:cs="Arial"/>
        </w:rPr>
      </w:pPr>
      <w:r>
        <w:rPr>
          <w:rFonts w:cs="Arial"/>
        </w:rPr>
        <w:t>69.</w:t>
      </w:r>
      <w:r>
        <w:rPr>
          <w:rFonts w:cs="Arial"/>
        </w:rPr>
        <w:tab/>
      </w:r>
      <w:r w:rsidR="00841D45">
        <w:rPr>
          <w:rFonts w:cs="Arial"/>
        </w:rPr>
        <w:t xml:space="preserve">Les décisions des autorités locales ne sont en effet que rarement soumises à une enquête, </w:t>
      </w:r>
      <w:r w:rsidR="00AC2EEA">
        <w:rPr>
          <w:rFonts w:cs="Arial"/>
        </w:rPr>
        <w:t>laquelle nécessite</w:t>
      </w:r>
      <w:r w:rsidR="00841D45">
        <w:rPr>
          <w:rFonts w:cs="Arial"/>
        </w:rPr>
        <w:t xml:space="preserve"> que l’autorité de tutelle soit saisie </w:t>
      </w:r>
      <w:r w:rsidR="00AC2EEA">
        <w:rPr>
          <w:rFonts w:cs="Arial"/>
        </w:rPr>
        <w:t>au moyen d’</w:t>
      </w:r>
      <w:r w:rsidR="00841D45">
        <w:rPr>
          <w:rFonts w:cs="Arial"/>
        </w:rPr>
        <w:t xml:space="preserve">une plainte, </w:t>
      </w:r>
      <w:r w:rsidR="00AC2EEA">
        <w:rPr>
          <w:rFonts w:cs="Arial"/>
        </w:rPr>
        <w:t>d’</w:t>
      </w:r>
      <w:r w:rsidR="00841D45">
        <w:rPr>
          <w:rFonts w:cs="Arial"/>
        </w:rPr>
        <w:t xml:space="preserve">une lettre de réclamation ou </w:t>
      </w:r>
      <w:r w:rsidR="00AC2EEA">
        <w:rPr>
          <w:rFonts w:cs="Arial"/>
        </w:rPr>
        <w:t xml:space="preserve">de toute </w:t>
      </w:r>
      <w:r w:rsidR="00841D45">
        <w:rPr>
          <w:rFonts w:cs="Arial"/>
        </w:rPr>
        <w:t xml:space="preserve">autre communication dans les délais prévus par le décret communal. Après expiration des délais, chacun peut encore </w:t>
      </w:r>
      <w:r w:rsidR="0062475C">
        <w:rPr>
          <w:rFonts w:cs="Arial"/>
        </w:rPr>
        <w:t xml:space="preserve">contester devant </w:t>
      </w:r>
      <w:r w:rsidR="00841D45">
        <w:rPr>
          <w:rFonts w:cs="Arial"/>
        </w:rPr>
        <w:t>les tribunaux compétents la légalité des décisions communales</w:t>
      </w:r>
      <w:r w:rsidR="0062475C">
        <w:rPr>
          <w:rFonts w:cs="Arial"/>
        </w:rPr>
        <w:t xml:space="preserve"> dans </w:t>
      </w:r>
      <w:r w:rsidR="00841D45">
        <w:rPr>
          <w:rFonts w:cs="Arial"/>
        </w:rPr>
        <w:t xml:space="preserve">des cas concrets.  </w:t>
      </w:r>
    </w:p>
    <w:p w:rsidR="00841D45" w:rsidRDefault="00D7337B" w:rsidP="00D32106">
      <w:pPr>
        <w:pStyle w:val="SingleTxtG"/>
        <w:rPr>
          <w:rFonts w:cs="Arial"/>
        </w:rPr>
      </w:pPr>
      <w:r>
        <w:rPr>
          <w:rFonts w:cs="Arial"/>
        </w:rPr>
        <w:t>70.</w:t>
      </w:r>
      <w:r>
        <w:rPr>
          <w:rFonts w:cs="Arial"/>
        </w:rPr>
        <w:tab/>
      </w:r>
      <w:r w:rsidR="00E7724F">
        <w:rPr>
          <w:rFonts w:cs="Arial"/>
        </w:rPr>
        <w:t xml:space="preserve">Dès lors qu’il est saisi, </w:t>
      </w:r>
      <w:r w:rsidR="00841D45">
        <w:rPr>
          <w:rFonts w:cs="Arial"/>
        </w:rPr>
        <w:t xml:space="preserve">le </w:t>
      </w:r>
      <w:r w:rsidR="00F82378">
        <w:rPr>
          <w:rFonts w:cs="Arial"/>
        </w:rPr>
        <w:t>G</w:t>
      </w:r>
      <w:r w:rsidR="00841D45">
        <w:rPr>
          <w:rFonts w:cs="Arial"/>
        </w:rPr>
        <w:t xml:space="preserve">ouvernement flamand exerce ses compétences de tutelle administrative et soumet les dispositions </w:t>
      </w:r>
      <w:r w:rsidR="0051029C">
        <w:rPr>
          <w:rFonts w:cs="Arial"/>
        </w:rPr>
        <w:t xml:space="preserve">mises </w:t>
      </w:r>
      <w:r w:rsidR="00841D45">
        <w:rPr>
          <w:rFonts w:cs="Arial"/>
        </w:rPr>
        <w:t xml:space="preserve">en cause à une enquête. Cela s’est notamment passé </w:t>
      </w:r>
      <w:r w:rsidR="00D32106">
        <w:rPr>
          <w:rFonts w:cs="Arial"/>
        </w:rPr>
        <w:t>au moment où l</w:t>
      </w:r>
      <w:r w:rsidR="00841D45">
        <w:rPr>
          <w:rFonts w:cs="Arial"/>
        </w:rPr>
        <w:t xml:space="preserve">es communes </w:t>
      </w:r>
      <w:r w:rsidR="00D32106">
        <w:rPr>
          <w:rFonts w:cs="Arial"/>
        </w:rPr>
        <w:t>ont voulu</w:t>
      </w:r>
      <w:r w:rsidR="00841D45">
        <w:rPr>
          <w:rFonts w:cs="Arial"/>
        </w:rPr>
        <w:t xml:space="preserve"> r</w:t>
      </w:r>
      <w:r w:rsidR="00D32106">
        <w:rPr>
          <w:rFonts w:cs="Arial"/>
        </w:rPr>
        <w:t>é</w:t>
      </w:r>
      <w:r w:rsidR="00841D45">
        <w:rPr>
          <w:rFonts w:cs="Arial"/>
        </w:rPr>
        <w:t xml:space="preserve">glementer l’usage d’une autre langue </w:t>
      </w:r>
      <w:r w:rsidR="00D32106">
        <w:rPr>
          <w:rFonts w:cs="Arial"/>
        </w:rPr>
        <w:t xml:space="preserve">dans </w:t>
      </w:r>
      <w:r w:rsidR="00841D45">
        <w:rPr>
          <w:rFonts w:cs="Arial"/>
        </w:rPr>
        <w:t xml:space="preserve">les cas </w:t>
      </w:r>
      <w:r w:rsidR="00D32106">
        <w:rPr>
          <w:rFonts w:cs="Arial"/>
        </w:rPr>
        <w:t>où</w:t>
      </w:r>
      <w:r w:rsidR="00841D45">
        <w:rPr>
          <w:rFonts w:cs="Arial"/>
        </w:rPr>
        <w:t xml:space="preserve"> la législation l’autorise. </w:t>
      </w:r>
    </w:p>
    <w:p w:rsidR="00841D45" w:rsidRPr="00DC0A3D" w:rsidRDefault="00D7337B" w:rsidP="00AF7D2D">
      <w:pPr>
        <w:pStyle w:val="SingleTxtG"/>
        <w:rPr>
          <w:color w:val="000000"/>
        </w:rPr>
      </w:pPr>
      <w:r>
        <w:rPr>
          <w:rFonts w:cs="Arial"/>
        </w:rPr>
        <w:t>71.</w:t>
      </w:r>
      <w:r>
        <w:rPr>
          <w:rFonts w:cs="Arial"/>
        </w:rPr>
        <w:tab/>
      </w:r>
      <w:r w:rsidR="007B719D">
        <w:rPr>
          <w:rFonts w:cs="Arial"/>
        </w:rPr>
        <w:t>À</w:t>
      </w:r>
      <w:r w:rsidR="006840A4">
        <w:rPr>
          <w:rFonts w:cs="Arial"/>
        </w:rPr>
        <w:t xml:space="preserve"> </w:t>
      </w:r>
      <w:r w:rsidR="00841D45">
        <w:rPr>
          <w:rFonts w:cs="Arial"/>
        </w:rPr>
        <w:t>cet égard, on peut se référer au fait que</w:t>
      </w:r>
      <w:r w:rsidR="0051029C">
        <w:rPr>
          <w:rFonts w:cs="Arial"/>
        </w:rPr>
        <w:t>,</w:t>
      </w:r>
      <w:r w:rsidR="00841D45">
        <w:rPr>
          <w:rFonts w:cs="Arial"/>
        </w:rPr>
        <w:t xml:space="preserve"> par exemple, le </w:t>
      </w:r>
      <w:r w:rsidR="00F82378">
        <w:rPr>
          <w:rFonts w:cs="Arial"/>
        </w:rPr>
        <w:t>G</w:t>
      </w:r>
      <w:r w:rsidR="00841D45">
        <w:rPr>
          <w:rFonts w:cs="Arial"/>
        </w:rPr>
        <w:t>ouvernement flamand a annulé une décision du conseil communal de Liedekerke par laquelle l’accès aux pl</w:t>
      </w:r>
      <w:r w:rsidR="0051029C">
        <w:rPr>
          <w:rFonts w:cs="Arial"/>
        </w:rPr>
        <w:t>a</w:t>
      </w:r>
      <w:r w:rsidR="00841D45">
        <w:rPr>
          <w:rFonts w:cs="Arial"/>
        </w:rPr>
        <w:t xml:space="preserve">ines de jeu communales avait été refusé aux enfants qui ne parlaient pas le néerlandais. </w:t>
      </w:r>
      <w:r w:rsidR="00841D45" w:rsidRPr="00DC0A3D">
        <w:rPr>
          <w:color w:val="000000"/>
        </w:rPr>
        <w:t>Dans d’autre</w:t>
      </w:r>
      <w:r w:rsidR="0030197C">
        <w:rPr>
          <w:color w:val="000000"/>
        </w:rPr>
        <w:t>s</w:t>
      </w:r>
      <w:r w:rsidR="00841D45" w:rsidRPr="00DC0A3D">
        <w:rPr>
          <w:color w:val="000000"/>
        </w:rPr>
        <w:t xml:space="preserve"> cas qui ont fait l'objet d'une demande d'information </w:t>
      </w:r>
      <w:r w:rsidR="002364F0">
        <w:rPr>
          <w:color w:val="000000"/>
        </w:rPr>
        <w:t xml:space="preserve">de la </w:t>
      </w:r>
      <w:r w:rsidR="00841D45" w:rsidRPr="00DC0A3D">
        <w:rPr>
          <w:color w:val="000000"/>
        </w:rPr>
        <w:t>par</w:t>
      </w:r>
      <w:r w:rsidR="002364F0">
        <w:rPr>
          <w:color w:val="000000"/>
        </w:rPr>
        <w:t>t de</w:t>
      </w:r>
      <w:r w:rsidR="00841D45" w:rsidRPr="00DC0A3D">
        <w:rPr>
          <w:color w:val="000000"/>
        </w:rPr>
        <w:t xml:space="preserve"> la Commission européenne (notamment à Zaventem en ce qui concerne </w:t>
      </w:r>
      <w:r w:rsidR="002364F0">
        <w:rPr>
          <w:color w:val="000000"/>
        </w:rPr>
        <w:t>une</w:t>
      </w:r>
      <w:r w:rsidR="002364F0" w:rsidRPr="00DC0A3D">
        <w:rPr>
          <w:color w:val="000000"/>
        </w:rPr>
        <w:t xml:space="preserve"> </w:t>
      </w:r>
      <w:r w:rsidR="00841D45" w:rsidRPr="00DC0A3D">
        <w:rPr>
          <w:color w:val="000000"/>
        </w:rPr>
        <w:t>vente immobili</w:t>
      </w:r>
      <w:r w:rsidR="002364F0">
        <w:rPr>
          <w:color w:val="000000"/>
        </w:rPr>
        <w:t>ère</w:t>
      </w:r>
      <w:r w:rsidR="00841D45" w:rsidRPr="00DC0A3D">
        <w:rPr>
          <w:color w:val="000000"/>
        </w:rPr>
        <w:t xml:space="preserve"> et à Gramont où les demandeurs d'un revenu d'intégration devaient s'engager à apprendre le néerlandais), le Gouvernement flamand n’a été saisi </w:t>
      </w:r>
      <w:r w:rsidR="0030197C">
        <w:rPr>
          <w:color w:val="000000"/>
        </w:rPr>
        <w:t xml:space="preserve">par </w:t>
      </w:r>
      <w:r w:rsidR="008C6F2C">
        <w:rPr>
          <w:color w:val="000000"/>
        </w:rPr>
        <w:t>auc</w:t>
      </w:r>
      <w:r w:rsidR="00841D45" w:rsidRPr="00DC0A3D">
        <w:rPr>
          <w:color w:val="000000"/>
        </w:rPr>
        <w:t>une lettre de réclamation, ni par les résid</w:t>
      </w:r>
      <w:r>
        <w:rPr>
          <w:color w:val="000000"/>
        </w:rPr>
        <w:t>e</w:t>
      </w:r>
      <w:r w:rsidR="00841D45" w:rsidRPr="00DC0A3D">
        <w:rPr>
          <w:color w:val="000000"/>
        </w:rPr>
        <w:t xml:space="preserve">nts ni par les membres du conseil communal, </w:t>
      </w:r>
      <w:r w:rsidR="00BA1C60">
        <w:rPr>
          <w:color w:val="000000"/>
        </w:rPr>
        <w:t>pas plus</w:t>
      </w:r>
      <w:r w:rsidR="0030197C">
        <w:rPr>
          <w:color w:val="000000"/>
        </w:rPr>
        <w:t xml:space="preserve"> </w:t>
      </w:r>
      <w:r w:rsidR="00841D45" w:rsidRPr="00DC0A3D">
        <w:rPr>
          <w:color w:val="000000"/>
        </w:rPr>
        <w:t>de la</w:t>
      </w:r>
      <w:r w:rsidR="00BA1C60">
        <w:rPr>
          <w:color w:val="000000"/>
        </w:rPr>
        <w:t xml:space="preserve"> part de la</w:t>
      </w:r>
      <w:r w:rsidR="00841D45" w:rsidRPr="00DC0A3D">
        <w:rPr>
          <w:color w:val="000000"/>
        </w:rPr>
        <w:t xml:space="preserve"> majorité </w:t>
      </w:r>
      <w:r w:rsidR="0030197C">
        <w:rPr>
          <w:color w:val="000000"/>
        </w:rPr>
        <w:t>que</w:t>
      </w:r>
      <w:r w:rsidR="0030197C" w:rsidRPr="00DC0A3D">
        <w:rPr>
          <w:color w:val="000000"/>
        </w:rPr>
        <w:t xml:space="preserve"> </w:t>
      </w:r>
      <w:r w:rsidR="00841D45" w:rsidRPr="00DC0A3D">
        <w:rPr>
          <w:color w:val="000000"/>
        </w:rPr>
        <w:t>de</w:t>
      </w:r>
      <w:r w:rsidR="00BA1C60">
        <w:rPr>
          <w:color w:val="000000"/>
        </w:rPr>
        <w:t xml:space="preserve"> celle de</w:t>
      </w:r>
      <w:r w:rsidR="00841D45" w:rsidRPr="00DC0A3D">
        <w:rPr>
          <w:color w:val="000000"/>
        </w:rPr>
        <w:t xml:space="preserve"> l’opposition.</w:t>
      </w:r>
    </w:p>
    <w:p w:rsidR="00841D45" w:rsidRPr="00282946" w:rsidRDefault="00D7337B" w:rsidP="007A2F95">
      <w:pPr>
        <w:pStyle w:val="SingleTxtG"/>
        <w:rPr>
          <w:rFonts w:cs="Arial"/>
          <w:lang w:val="nl-BE"/>
        </w:rPr>
      </w:pPr>
      <w:r>
        <w:rPr>
          <w:rFonts w:cs="Arial"/>
        </w:rPr>
        <w:t>72.</w:t>
      </w:r>
      <w:r>
        <w:rPr>
          <w:rFonts w:cs="Arial"/>
        </w:rPr>
        <w:tab/>
      </w:r>
      <w:r w:rsidR="00841D45">
        <w:rPr>
          <w:rFonts w:cs="Arial"/>
        </w:rPr>
        <w:t>Ces décisions du conseil communal n’ont pas non plus été soumises à une enquête dans le cadre de l’exercice de la tutelle administrative et</w:t>
      </w:r>
      <w:r w:rsidR="0091415E">
        <w:rPr>
          <w:rFonts w:cs="Arial"/>
        </w:rPr>
        <w:t>,</w:t>
      </w:r>
      <w:r w:rsidR="00841D45">
        <w:rPr>
          <w:rFonts w:cs="Arial"/>
        </w:rPr>
        <w:t xml:space="preserve"> par conséquent, le Gouvernement flamand n</w:t>
      </w:r>
      <w:r w:rsidR="00AF7D2D">
        <w:rPr>
          <w:rFonts w:cs="Arial"/>
        </w:rPr>
        <w:t xml:space="preserve">e dispose </w:t>
      </w:r>
      <w:r w:rsidR="00841D45">
        <w:rPr>
          <w:rFonts w:cs="Arial"/>
        </w:rPr>
        <w:t xml:space="preserve">pas </w:t>
      </w:r>
      <w:r w:rsidR="00AF7D2D">
        <w:rPr>
          <w:rFonts w:cs="Arial"/>
        </w:rPr>
        <w:t xml:space="preserve">d’une connaissance </w:t>
      </w:r>
      <w:r w:rsidR="00841D45">
        <w:rPr>
          <w:rFonts w:cs="Arial"/>
        </w:rPr>
        <w:t>suffisa</w:t>
      </w:r>
      <w:r w:rsidR="00AF7D2D">
        <w:rPr>
          <w:rFonts w:cs="Arial"/>
        </w:rPr>
        <w:t xml:space="preserve">nte </w:t>
      </w:r>
      <w:r w:rsidR="00841D45">
        <w:rPr>
          <w:rFonts w:cs="Arial"/>
        </w:rPr>
        <w:t>des différents éléments et des considérations juridiques qui entoure</w:t>
      </w:r>
      <w:r w:rsidR="0091415E">
        <w:rPr>
          <w:rFonts w:cs="Arial"/>
        </w:rPr>
        <w:t>nt nécessairement</w:t>
      </w:r>
      <w:r w:rsidR="00841D45">
        <w:rPr>
          <w:rFonts w:cs="Arial"/>
        </w:rPr>
        <w:t xml:space="preserve"> ces décisions. C</w:t>
      </w:r>
      <w:r w:rsidR="009D091D">
        <w:rPr>
          <w:rFonts w:cs="Arial"/>
        </w:rPr>
        <w:t>el</w:t>
      </w:r>
      <w:r w:rsidR="00841D45">
        <w:rPr>
          <w:rFonts w:cs="Arial"/>
        </w:rPr>
        <w:t xml:space="preserve">a n’exclut pas que ces décisions </w:t>
      </w:r>
      <w:r w:rsidR="009D091D">
        <w:rPr>
          <w:rFonts w:cs="Arial"/>
        </w:rPr>
        <w:t xml:space="preserve">puissent </w:t>
      </w:r>
      <w:r w:rsidR="00841D45">
        <w:rPr>
          <w:rFonts w:cs="Arial"/>
        </w:rPr>
        <w:t xml:space="preserve">être soumises </w:t>
      </w:r>
      <w:r w:rsidR="009D091D">
        <w:rPr>
          <w:rFonts w:cs="Arial"/>
        </w:rPr>
        <w:t xml:space="preserve">à un </w:t>
      </w:r>
      <w:r w:rsidR="00841D45">
        <w:rPr>
          <w:rFonts w:cs="Arial"/>
        </w:rPr>
        <w:t xml:space="preserve">contrôle de </w:t>
      </w:r>
      <w:r w:rsidR="00006F5A">
        <w:rPr>
          <w:rFonts w:cs="Arial"/>
        </w:rPr>
        <w:t xml:space="preserve">leur </w:t>
      </w:r>
      <w:r w:rsidR="00841D45">
        <w:rPr>
          <w:rFonts w:cs="Arial"/>
        </w:rPr>
        <w:t>légalité de</w:t>
      </w:r>
      <w:r w:rsidR="009D091D">
        <w:rPr>
          <w:rFonts w:cs="Arial"/>
        </w:rPr>
        <w:t xml:space="preserve"> la part de</w:t>
      </w:r>
      <w:r w:rsidR="00841D45">
        <w:rPr>
          <w:rFonts w:cs="Arial"/>
        </w:rPr>
        <w:t xml:space="preserve">s cours et </w:t>
      </w:r>
      <w:r w:rsidR="009D091D">
        <w:rPr>
          <w:rFonts w:cs="Arial"/>
        </w:rPr>
        <w:t xml:space="preserve">des </w:t>
      </w:r>
      <w:r w:rsidR="00841D45">
        <w:rPr>
          <w:rFonts w:cs="Arial"/>
        </w:rPr>
        <w:t xml:space="preserve">tribunaux </w:t>
      </w:r>
      <w:r w:rsidR="007A2F95">
        <w:rPr>
          <w:rFonts w:cs="Arial"/>
        </w:rPr>
        <w:t>au titre</w:t>
      </w:r>
      <w:r w:rsidR="00841D45">
        <w:rPr>
          <w:rFonts w:cs="Arial"/>
        </w:rPr>
        <w:t xml:space="preserve"> de l’article 159 de la Constitution. </w:t>
      </w:r>
    </w:p>
    <w:p w:rsidR="003A0DA4" w:rsidRPr="00340AAB" w:rsidRDefault="00D7337B" w:rsidP="00482E08">
      <w:pPr>
        <w:pStyle w:val="SingleTxtG"/>
        <w:rPr>
          <w:b/>
          <w:bCs/>
          <w:lang w:val="fr-FR"/>
        </w:rPr>
      </w:pPr>
      <w:r w:rsidRPr="00340AAB">
        <w:rPr>
          <w:b/>
          <w:bCs/>
        </w:rPr>
        <w:t>Réponse au paragraphe 10 de la liste de points à traiter</w:t>
      </w:r>
      <w:r w:rsidRPr="00340AAB" w:rsidDel="00D7337B">
        <w:rPr>
          <w:b/>
          <w:bCs/>
          <w:lang w:val="fr-FR"/>
        </w:rPr>
        <w:t xml:space="preserve"> </w:t>
      </w:r>
    </w:p>
    <w:p w:rsidR="00841D45" w:rsidRDefault="003A0DA4" w:rsidP="00D7337B">
      <w:pPr>
        <w:pStyle w:val="SingleTxtG"/>
        <w:rPr>
          <w:lang w:val="fr-BE"/>
        </w:rPr>
      </w:pPr>
      <w:r>
        <w:rPr>
          <w:lang w:val="fr-FR"/>
        </w:rPr>
        <w:t>73.</w:t>
      </w:r>
      <w:r>
        <w:rPr>
          <w:lang w:val="fr-FR"/>
        </w:rPr>
        <w:tab/>
      </w:r>
      <w:r w:rsidR="00841D45" w:rsidRPr="00491AF3">
        <w:rPr>
          <w:lang w:val="fr-BE"/>
        </w:rPr>
        <w:t>Aucun</w:t>
      </w:r>
      <w:r w:rsidR="00841D45">
        <w:rPr>
          <w:lang w:val="fr-BE"/>
        </w:rPr>
        <w:t xml:space="preserve"> cas n’a été présenté à ce jour dans le cadre de l’article 2 de la loi du 23 décembre 2005 modifiant la loi du 9 décembre 2004 </w:t>
      </w:r>
      <w:r w:rsidR="00841D45" w:rsidRPr="00383463">
        <w:rPr>
          <w:iCs/>
          <w:lang w:val="fr-BE"/>
        </w:rPr>
        <w:t>relative à l’entraide judiciaire internationale en matière pénale</w:t>
      </w:r>
      <w:r w:rsidR="00841D45">
        <w:rPr>
          <w:lang w:val="fr-BE"/>
        </w:rPr>
        <w:t xml:space="preserve">.  </w:t>
      </w:r>
    </w:p>
    <w:p w:rsidR="003A0DA4" w:rsidRPr="00340AAB" w:rsidRDefault="003A0DA4" w:rsidP="00841D45">
      <w:pPr>
        <w:pStyle w:val="SingleTxtG"/>
        <w:rPr>
          <w:b/>
          <w:bCs/>
          <w:lang w:val="fr-FR"/>
        </w:rPr>
      </w:pPr>
      <w:r w:rsidRPr="00340AAB">
        <w:rPr>
          <w:b/>
          <w:bCs/>
        </w:rPr>
        <w:t>Réponse au paragraphe 11 de la liste de points à traiter</w:t>
      </w:r>
      <w:r w:rsidRPr="00340AAB" w:rsidDel="003A0DA4">
        <w:rPr>
          <w:b/>
          <w:bCs/>
          <w:lang w:val="fr-FR"/>
        </w:rPr>
        <w:t xml:space="preserve"> </w:t>
      </w:r>
    </w:p>
    <w:p w:rsidR="00841D45" w:rsidRDefault="003A0DA4" w:rsidP="00225F53">
      <w:pPr>
        <w:pStyle w:val="SingleTxtG"/>
        <w:rPr>
          <w:lang w:val="fr-BE"/>
        </w:rPr>
      </w:pPr>
      <w:r>
        <w:rPr>
          <w:lang w:val="fr-BE"/>
        </w:rPr>
        <w:t>74.</w:t>
      </w:r>
      <w:r>
        <w:rPr>
          <w:lang w:val="fr-BE"/>
        </w:rPr>
        <w:tab/>
      </w:r>
      <w:r w:rsidR="00841D45" w:rsidRPr="008049E5">
        <w:rPr>
          <w:lang w:val="fr-BE"/>
        </w:rPr>
        <w:t>Comme cela a déjà été mentionné dans le rapport, l’arrestation judiciaire et administrative d’une personne est encadrée par la loi du 20 juillet 1990 relative à la détention préventive ainsi que par l</w:t>
      </w:r>
      <w:r w:rsidR="00841D45">
        <w:rPr>
          <w:lang w:val="fr-BE"/>
        </w:rPr>
        <w:t>a loi sur la fonction de police</w:t>
      </w:r>
      <w:r w:rsidR="00841D45" w:rsidRPr="008049E5">
        <w:rPr>
          <w:lang w:val="fr-BE"/>
        </w:rPr>
        <w:t xml:space="preserve"> qui détermine de manière exhaustive les cas dans lesquels une personne peut être privée de sa liberté. En outre, le Code de déontologie des services de police (</w:t>
      </w:r>
      <w:r w:rsidR="00225F53">
        <w:rPr>
          <w:lang w:val="fr-BE"/>
        </w:rPr>
        <w:t>a</w:t>
      </w:r>
      <w:r w:rsidR="00841D45" w:rsidRPr="008049E5">
        <w:rPr>
          <w:lang w:val="fr-BE"/>
        </w:rPr>
        <w:t xml:space="preserve">rrêté royal du 10 mai 2006 fixant le Code de déontologie des services de police, </w:t>
      </w:r>
      <w:r w:rsidR="00841D45" w:rsidRPr="00D9560A">
        <w:rPr>
          <w:lang w:val="fr-BE"/>
        </w:rPr>
        <w:t>M.B</w:t>
      </w:r>
      <w:r w:rsidR="00841D45" w:rsidRPr="008049E5">
        <w:rPr>
          <w:lang w:val="fr-BE"/>
        </w:rPr>
        <w:t xml:space="preserve">., 30 mai 2006) prévoit diverses dispositions relatives à la protection des droits et </w:t>
      </w:r>
      <w:r w:rsidR="00032604">
        <w:rPr>
          <w:lang w:val="fr-BE"/>
        </w:rPr>
        <w:t xml:space="preserve">des </w:t>
      </w:r>
      <w:r w:rsidR="00841D45" w:rsidRPr="008049E5">
        <w:rPr>
          <w:lang w:val="fr-BE"/>
        </w:rPr>
        <w:t>libertés fondamentales.</w:t>
      </w:r>
      <w:r w:rsidR="00841D45">
        <w:rPr>
          <w:lang w:val="fr-BE"/>
        </w:rPr>
        <w:t xml:space="preserve"> </w:t>
      </w:r>
    </w:p>
    <w:p w:rsidR="00841D45" w:rsidRDefault="003A0DA4" w:rsidP="00E0688F">
      <w:pPr>
        <w:pStyle w:val="SingleTxtG"/>
      </w:pPr>
      <w:r>
        <w:t>75.</w:t>
      </w:r>
      <w:r>
        <w:tab/>
      </w:r>
      <w:r w:rsidR="00841D45">
        <w:t xml:space="preserve">L'ensemble des fonctionnaires de police est également soumis à la circulaire ministérielle GPI 48 relative à la formation et l’entrainement en maîtrise de la violence. Outre les techniques d'arrestation, d'immobilisation et d'usage des moyens de contrainte, l'accent est mis sur l'aspect légal de l'usage de la force et le rappel des directives à ce sujet. </w:t>
      </w:r>
    </w:p>
    <w:p w:rsidR="00841D45" w:rsidRDefault="003A0DA4" w:rsidP="00E0688F">
      <w:pPr>
        <w:pStyle w:val="SingleTxtG"/>
      </w:pPr>
      <w:r>
        <w:t>76.</w:t>
      </w:r>
      <w:r>
        <w:tab/>
      </w:r>
      <w:r w:rsidR="00841D45">
        <w:t xml:space="preserve">En ce qui concerne les zones de police de Bruxelles/Ixelles et Bruxelles-Midi, la Belgique s’étonne de la stigmatisation de ces 2 zones de police. </w:t>
      </w:r>
    </w:p>
    <w:p w:rsidR="00841D45" w:rsidRDefault="003A0DA4" w:rsidP="00E0688F">
      <w:pPr>
        <w:pStyle w:val="SingleTxtG"/>
      </w:pPr>
      <w:r>
        <w:t>77.</w:t>
      </w:r>
      <w:r>
        <w:tab/>
      </w:r>
      <w:r w:rsidR="00841D45">
        <w:t xml:space="preserve">Les informations suivantes peuvent néanmoins être fournies en ce qui concerne la zone de police de Bruxelles-Midi. </w:t>
      </w:r>
    </w:p>
    <w:p w:rsidR="00841D45" w:rsidRDefault="003A0DA4" w:rsidP="00E0688F">
      <w:pPr>
        <w:pStyle w:val="SingleTxtG"/>
      </w:pPr>
      <w:r>
        <w:t>78.</w:t>
      </w:r>
      <w:r>
        <w:tab/>
      </w:r>
      <w:r w:rsidR="00841D45">
        <w:t xml:space="preserve">Les notes internes suivantes ont été diffusées au sein de la zone de police à l’attention du personnel : NI 164/2006 : Fouilles - Arrestations ; NI 39/2008 : Rappel des droits des personnes arrêtées ; NI 44/2008 : Arrestations - responsabilités ; NI 112/2009 : Annonce de la visite possible du </w:t>
      </w:r>
      <w:r w:rsidR="00FE2FE9">
        <w:t>C</w:t>
      </w:r>
      <w:r w:rsidR="00841D45">
        <w:t>omité européen pour la prévention de la torture et des peines ou traitements inhumains ou dégradants ; NI 119/2009 : Lancement du registre informatisé des privations de liberté - écrous (dispositif permettant un meilleur contrôle par la ligne hiérarchique des écrous et des conditions de détention - repas, couvertures, délais</w:t>
      </w:r>
      <w:r w:rsidR="00FE2FE9">
        <w:t>,</w:t>
      </w:r>
      <w:r w:rsidR="00841D45">
        <w:t xml:space="preserve"> etc.) ; NI 9/2010 : </w:t>
      </w:r>
      <w:r w:rsidR="00FA2FA5">
        <w:t>S</w:t>
      </w:r>
      <w:r w:rsidR="00841D45">
        <w:t>uivi des personnes privées de leur liberté - responsabilités (rappel des différents niveaux de responsabilités et des obligations des fonctionnaires de police, patrouille, officier de police administrative, direction) ; NI 31/2010 : Intervention - coach d'intervention (création d'une nouvelle fonction, cadre moyen INPP chargé de l'encadrement des INP des brigades d'intervention et responsabilité de l'INPP lors des écrous judiciaire</w:t>
      </w:r>
      <w:r w:rsidR="00F10747">
        <w:t>s</w:t>
      </w:r>
      <w:r w:rsidR="00841D45">
        <w:t xml:space="preserve"> ou administratifs).</w:t>
      </w:r>
    </w:p>
    <w:p w:rsidR="003A0DA4" w:rsidRDefault="003A0DA4" w:rsidP="00E0688F">
      <w:pPr>
        <w:pStyle w:val="SingleTxtG"/>
      </w:pPr>
      <w:r>
        <w:t>79.</w:t>
      </w:r>
      <w:r>
        <w:tab/>
      </w:r>
      <w:r w:rsidR="00841D45">
        <w:t>En outre</w:t>
      </w:r>
      <w:r w:rsidR="00DA79E2">
        <w:t>,</w:t>
      </w:r>
      <w:r w:rsidR="00841D45">
        <w:t xml:space="preserve"> une réorganisation du corps de police de la zone de police Bruxelles-Midi </w:t>
      </w:r>
      <w:r w:rsidR="00DA79E2">
        <w:t>a été effectuée</w:t>
      </w:r>
      <w:r w:rsidR="00841D45">
        <w:t xml:space="preserve"> dans le courant de l'année 2009. Celle-ci était axée sur une plus grande responsabilisation de la ligne hiérarchique et sur une spécialisation reposant sur les fonctionnalités de base. </w:t>
      </w:r>
    </w:p>
    <w:p w:rsidR="00841D45" w:rsidRDefault="003A0DA4" w:rsidP="00E0688F">
      <w:pPr>
        <w:pStyle w:val="SingleTxtG"/>
      </w:pPr>
      <w:r>
        <w:t>80.</w:t>
      </w:r>
      <w:r>
        <w:tab/>
      </w:r>
      <w:r w:rsidR="00841D45">
        <w:t>Cette réorganisation permet un meilleur contrôle des services d'intervention et vise à amélior</w:t>
      </w:r>
      <w:r w:rsidR="00650632">
        <w:t xml:space="preserve">er </w:t>
      </w:r>
      <w:r w:rsidR="00841D45">
        <w:t xml:space="preserve">la qualité de l'ensemble des services. Parmi les innovations, on peut citer la </w:t>
      </w:r>
      <w:r w:rsidR="00186D28">
        <w:t>D</w:t>
      </w:r>
      <w:r w:rsidR="00841D45">
        <w:t xml:space="preserve">irection Qualité et Gestion Optimale (amélioration des processus, plan d'amélioration sur </w:t>
      </w:r>
      <w:r w:rsidR="00186D28">
        <w:t xml:space="preserve">la </w:t>
      </w:r>
      <w:r w:rsidR="00841D45">
        <w:t xml:space="preserve">base du modèle CAF, élaboration des notes internes); la </w:t>
      </w:r>
      <w:r w:rsidR="00186D28">
        <w:t>D</w:t>
      </w:r>
      <w:r w:rsidR="00841D45">
        <w:t>irection de la Proximité chargée de promouvoir le partenariat, la multiculturalité (en partenariat avec la cellule diversité de la Police fédérale) et enfin le renforcement et la réorganisation du service de contrôle interne (audit - enquêtes - contrôles - procédure).</w:t>
      </w:r>
    </w:p>
    <w:p w:rsidR="009A7C91" w:rsidRDefault="003A0DA4" w:rsidP="00E0688F">
      <w:pPr>
        <w:pStyle w:val="SingleTxtG"/>
      </w:pPr>
      <w:r>
        <w:t>81.</w:t>
      </w:r>
      <w:r>
        <w:tab/>
      </w:r>
      <w:r w:rsidR="00841D45" w:rsidRPr="006206C3">
        <w:t xml:space="preserve">En ce qui concerne </w:t>
      </w:r>
      <w:r w:rsidR="00A204DA">
        <w:t>le traitement</w:t>
      </w:r>
      <w:r w:rsidR="00841D45" w:rsidRPr="006206C3">
        <w:t xml:space="preserve"> des plaintes, dans le courant de l'année 2009, selon les sources de la police fédérale (CIC), la zone Midi a effectué plus de 100</w:t>
      </w:r>
      <w:r w:rsidR="00186D28">
        <w:t xml:space="preserve"> </w:t>
      </w:r>
      <w:r w:rsidR="00841D45" w:rsidRPr="006206C3">
        <w:t xml:space="preserve">000 interventions </w:t>
      </w:r>
      <w:r w:rsidR="00011093">
        <w:t>à l’initiative</w:t>
      </w:r>
      <w:r w:rsidR="00841D45" w:rsidRPr="006206C3">
        <w:t xml:space="preserve"> de la population. </w:t>
      </w:r>
    </w:p>
    <w:p w:rsidR="009A7C91" w:rsidRDefault="009A7C91" w:rsidP="00E0688F">
      <w:pPr>
        <w:pStyle w:val="SingleTxtG"/>
      </w:pPr>
      <w:r>
        <w:t>82.</w:t>
      </w:r>
      <w:r>
        <w:tab/>
      </w:r>
      <w:r w:rsidR="00841D45" w:rsidRPr="006206C3">
        <w:t>Lorsque des incidents sont signalés, ils font systématiquement l'objet d'un accusé de réception adressé au plaignant par le cabinet du chef de Corps et d'une enquête préalable du service de Contrôle interne. Au terme de l'enquête, la partie</w:t>
      </w:r>
      <w:r w:rsidR="00110FE4">
        <w:t xml:space="preserve"> </w:t>
      </w:r>
      <w:r w:rsidR="00841D45" w:rsidRPr="006206C3">
        <w:t xml:space="preserve">plaignante est systématiquement informée du résultat de l'enquête et des moyens de recours dont elle dispose. </w:t>
      </w:r>
    </w:p>
    <w:p w:rsidR="00841D45" w:rsidRPr="006206C3" w:rsidRDefault="009A7C91" w:rsidP="00B81510">
      <w:pPr>
        <w:pStyle w:val="SingleTxtG"/>
      </w:pPr>
      <w:r>
        <w:t>83.</w:t>
      </w:r>
      <w:r>
        <w:tab/>
      </w:r>
      <w:r w:rsidR="00841D45" w:rsidRPr="006206C3">
        <w:t xml:space="preserve">Dans l’hypothèse où les faits sont susceptibles de poursuites pénales, l’autorité judiciaire compétente est saisie. Celle-ci désigne le service </w:t>
      </w:r>
      <w:r w:rsidR="0050085B">
        <w:t xml:space="preserve">qui sera </w:t>
      </w:r>
      <w:r w:rsidR="00841D45" w:rsidRPr="006206C3">
        <w:t>chargé de l’enquête. La coopération avec les services chargés du contrôle des services de police (Le comité P et l’Inspection Générale de la police locale et de la police fédérale) est optimale</w:t>
      </w:r>
      <w:r w:rsidR="0050085B">
        <w:t>,</w:t>
      </w:r>
      <w:r w:rsidR="00841D45" w:rsidRPr="006206C3">
        <w:t xml:space="preserve"> qu</w:t>
      </w:r>
      <w:r w:rsidR="001E722E">
        <w:t>’il s’agiss</w:t>
      </w:r>
      <w:r w:rsidR="00841D45" w:rsidRPr="006206C3">
        <w:t>e d'enquête</w:t>
      </w:r>
      <w:r w:rsidR="001E722E">
        <w:t xml:space="preserve">r </w:t>
      </w:r>
      <w:r w:rsidR="00841D45" w:rsidRPr="006206C3">
        <w:t>s</w:t>
      </w:r>
      <w:r w:rsidR="001E722E">
        <w:t>ur</w:t>
      </w:r>
      <w:r w:rsidR="00841D45" w:rsidRPr="006206C3">
        <w:t xml:space="preserve"> le fonctionnement interne du corps de police ou </w:t>
      </w:r>
      <w:r w:rsidR="00A44CB8">
        <w:t>sur</w:t>
      </w:r>
      <w:r w:rsidR="00841D45" w:rsidRPr="006206C3">
        <w:t xml:space="preserve"> certains policiers en particulier</w:t>
      </w:r>
      <w:r w:rsidR="00A44CB8">
        <w:t xml:space="preserve"> (enquête judiciaire)</w:t>
      </w:r>
      <w:r w:rsidR="00841D45" w:rsidRPr="006206C3">
        <w:t xml:space="preserve">.  </w:t>
      </w:r>
    </w:p>
    <w:p w:rsidR="00841D45" w:rsidRDefault="009A7C91" w:rsidP="00B81510">
      <w:pPr>
        <w:pStyle w:val="SingleTxtG"/>
      </w:pPr>
      <w:r>
        <w:t>84.</w:t>
      </w:r>
      <w:r>
        <w:tab/>
      </w:r>
      <w:r w:rsidR="00841D45">
        <w:t xml:space="preserve">En ce qui concerne les bâtiments et l'infrastructure, la zone de police occupe 11 bâtiments dont 3 abritent </w:t>
      </w:r>
      <w:r w:rsidR="00D75CD2">
        <w:t>les</w:t>
      </w:r>
      <w:r w:rsidR="00A45869">
        <w:t xml:space="preserve"> permanence</w:t>
      </w:r>
      <w:r w:rsidR="00D75CD2">
        <w:t>s</w:t>
      </w:r>
      <w:r w:rsidR="00A45869">
        <w:t xml:space="preserve"> d</w:t>
      </w:r>
      <w:r w:rsidR="00841D45">
        <w:t xml:space="preserve">es services de garde. Des travaux ont été effectués en 2008 dans le bâtiment de la commune de St-Gilles (Commissariat B - rue Bréart) </w:t>
      </w:r>
      <w:r w:rsidR="00D75CD2">
        <w:t xml:space="preserve">pour la </w:t>
      </w:r>
      <w:r w:rsidR="00841D45">
        <w:t>mis</w:t>
      </w:r>
      <w:r w:rsidR="00196DCC">
        <w:t xml:space="preserve">e </w:t>
      </w:r>
      <w:r w:rsidR="00841D45">
        <w:t xml:space="preserve">en conformité </w:t>
      </w:r>
      <w:r w:rsidR="00D75CD2">
        <w:t>d</w:t>
      </w:r>
      <w:r w:rsidR="00841D45">
        <w:t xml:space="preserve">es infrastructures </w:t>
      </w:r>
      <w:r w:rsidR="00D75CD2">
        <w:t>d’accueil</w:t>
      </w:r>
      <w:r w:rsidR="00841D45">
        <w:t xml:space="preserve"> </w:t>
      </w:r>
      <w:r w:rsidR="00D75CD2">
        <w:t>d</w:t>
      </w:r>
      <w:r w:rsidR="00841D45">
        <w:t xml:space="preserve">es personnes privées de leur liberté. Des travaux identiques seront effectués en 2010 au commissariat de la commune d'Anderlecht (Commissariat D - rue Démosthène) afin de garantir un confort et une sécurité conformes aux normes européennes. Le troisième commissariat (commissariat P, rue du Patinage à Forest) étant moins exposé, des cellules de passage y sont régulièrement entretenues mais les écrous de longue durée sont transférés vers le commissariat de St-Gilles. Les bâtiments sont régulièrement visités et contrôlés (cellules comprises) dans le cadre des visites des lieux de travail organisés </w:t>
      </w:r>
      <w:r w:rsidR="00D75CD2">
        <w:t xml:space="preserve">conjointement </w:t>
      </w:r>
      <w:r w:rsidR="00841D45">
        <w:t xml:space="preserve">avec les services internes et externes de </w:t>
      </w:r>
      <w:r w:rsidR="006B5F0C">
        <w:t xml:space="preserve">la </w:t>
      </w:r>
      <w:r w:rsidR="00841D45">
        <w:t xml:space="preserve">protection du </w:t>
      </w:r>
      <w:r w:rsidR="006B5F0C">
        <w:t>t</w:t>
      </w:r>
      <w:r w:rsidR="00841D45">
        <w:t>ravail.</w:t>
      </w:r>
    </w:p>
    <w:p w:rsidR="00841D45" w:rsidRDefault="00627E53" w:rsidP="00B81510">
      <w:pPr>
        <w:pStyle w:val="SingleTxtG"/>
      </w:pPr>
      <w:r>
        <w:t>85.</w:t>
      </w:r>
      <w:r>
        <w:tab/>
      </w:r>
      <w:r w:rsidR="00841D45">
        <w:t xml:space="preserve">Enfin, </w:t>
      </w:r>
      <w:r w:rsidR="006B5F0C">
        <w:t xml:space="preserve">il est prévu </w:t>
      </w:r>
      <w:r w:rsidR="00841D45">
        <w:t>des formations de sensibilisation à la multiculturalité.</w:t>
      </w:r>
    </w:p>
    <w:p w:rsidR="00841D45" w:rsidRPr="00D61B7E" w:rsidRDefault="00627E53" w:rsidP="00B81510">
      <w:pPr>
        <w:pStyle w:val="SingleTxtG"/>
        <w:rPr>
          <w:bCs/>
        </w:rPr>
      </w:pPr>
      <w:r>
        <w:t>86.</w:t>
      </w:r>
      <w:r>
        <w:tab/>
      </w:r>
      <w:r w:rsidR="00841D45" w:rsidRPr="002A0A1B">
        <w:rPr>
          <w:lang w:val="fr-BE"/>
        </w:rPr>
        <w:t xml:space="preserve"> </w:t>
      </w:r>
      <w:bookmarkStart w:id="0" w:name="Art.257"/>
      <w:r w:rsidR="00841D45">
        <w:rPr>
          <w:color w:val="000000"/>
          <w:u w:val="single"/>
          <w:lang w:val="fr-BE"/>
        </w:rPr>
        <w:t>L</w:t>
      </w:r>
      <w:r w:rsidR="00841D45" w:rsidRPr="002A0A1B">
        <w:rPr>
          <w:color w:val="000000"/>
          <w:u w:val="single"/>
          <w:lang w:val="fr-BE"/>
        </w:rPr>
        <w:t>’</w:t>
      </w:r>
      <w:r w:rsidR="00841D45" w:rsidRPr="002A0A1B">
        <w:rPr>
          <w:bCs/>
          <w:color w:val="000000"/>
          <w:u w:val="single"/>
        </w:rPr>
        <w:t>article</w:t>
      </w:r>
      <w:bookmarkEnd w:id="0"/>
      <w:r w:rsidR="00841D45" w:rsidRPr="002A0A1B">
        <w:rPr>
          <w:bCs/>
          <w:color w:val="000000"/>
          <w:u w:val="single"/>
        </w:rPr>
        <w:t xml:space="preserve"> </w:t>
      </w:r>
      <w:hyperlink r:id="rId8" w:anchor="Art.258#Art.258" w:history="1">
        <w:r w:rsidR="00841D45" w:rsidRPr="002A0A1B">
          <w:rPr>
            <w:rStyle w:val="Hyperlink"/>
            <w:bCs/>
            <w:color w:val="000000"/>
          </w:rPr>
          <w:t>257</w:t>
        </w:r>
      </w:hyperlink>
      <w:r w:rsidR="00841D45" w:rsidRPr="002A0A1B">
        <w:rPr>
          <w:bCs/>
        </w:rPr>
        <w:t xml:space="preserve"> du </w:t>
      </w:r>
      <w:r w:rsidR="006B35A3">
        <w:rPr>
          <w:bCs/>
        </w:rPr>
        <w:t>C</w:t>
      </w:r>
      <w:r w:rsidR="00841D45" w:rsidRPr="002A0A1B">
        <w:rPr>
          <w:bCs/>
        </w:rPr>
        <w:t>ode pénal renvoie à l’article 266 d</w:t>
      </w:r>
      <w:r w:rsidR="00D74C73">
        <w:rPr>
          <w:bCs/>
        </w:rPr>
        <w:t>u mêm</w:t>
      </w:r>
      <w:r w:rsidR="00841D45" w:rsidRPr="002A0A1B">
        <w:rPr>
          <w:bCs/>
        </w:rPr>
        <w:t xml:space="preserve">e code </w:t>
      </w:r>
      <w:r w:rsidR="005F553A">
        <w:rPr>
          <w:bCs/>
        </w:rPr>
        <w:t xml:space="preserve">en </w:t>
      </w:r>
      <w:r w:rsidR="00841D45" w:rsidRPr="002A0A1B">
        <w:rPr>
          <w:bCs/>
        </w:rPr>
        <w:t xml:space="preserve">indiquant que lorsqu'un officier public aura, sans motif légitime, usé ou fait user de violences envers </w:t>
      </w:r>
      <w:r w:rsidR="00D74C73">
        <w:rPr>
          <w:bCs/>
        </w:rPr>
        <w:t>d</w:t>
      </w:r>
      <w:r w:rsidR="00841D45" w:rsidRPr="002A0A1B">
        <w:rPr>
          <w:bCs/>
        </w:rPr>
        <w:t xml:space="preserve">es personnes, dans l'exercice ou à l'occasion de l'exercice de ses fonctions, le minimum de la peine portée contre ces faits sera doublé et augmenté de 2 ans </w:t>
      </w:r>
      <w:r w:rsidR="00D74C73">
        <w:rPr>
          <w:bCs/>
        </w:rPr>
        <w:t>en cas</w:t>
      </w:r>
      <w:r w:rsidR="00841D45" w:rsidRPr="002A0A1B">
        <w:rPr>
          <w:bCs/>
        </w:rPr>
        <w:t xml:space="preserve"> de réclusion ou de détention </w:t>
      </w:r>
      <w:r w:rsidR="0073789E">
        <w:rPr>
          <w:bCs/>
        </w:rPr>
        <w:t xml:space="preserve">pour un terme compris </w:t>
      </w:r>
      <w:r w:rsidR="00D74C73">
        <w:rPr>
          <w:bCs/>
        </w:rPr>
        <w:t>entre</w:t>
      </w:r>
      <w:r w:rsidR="00D74C73" w:rsidRPr="002A0A1B">
        <w:rPr>
          <w:bCs/>
        </w:rPr>
        <w:t xml:space="preserve"> </w:t>
      </w:r>
      <w:r w:rsidR="00841D45" w:rsidRPr="002A0A1B">
        <w:rPr>
          <w:bCs/>
        </w:rPr>
        <w:t xml:space="preserve">quinze </w:t>
      </w:r>
      <w:r w:rsidR="0073789E">
        <w:rPr>
          <w:bCs/>
        </w:rPr>
        <w:t>et</w:t>
      </w:r>
      <w:r w:rsidR="00841D45" w:rsidRPr="002A0A1B">
        <w:rPr>
          <w:bCs/>
        </w:rPr>
        <w:t xml:space="preserve"> vingt ans ou inférieur.  </w:t>
      </w:r>
    </w:p>
    <w:p w:rsidR="00E7262D" w:rsidRDefault="00627E53" w:rsidP="008C74FD">
      <w:pPr>
        <w:pStyle w:val="SingleTxtG"/>
        <w:rPr>
          <w:color w:val="000000"/>
          <w:lang w:val="fr-BE"/>
        </w:rPr>
      </w:pPr>
      <w:r>
        <w:rPr>
          <w:lang w:val="fr-BE"/>
        </w:rPr>
        <w:t>87.</w:t>
      </w:r>
      <w:r>
        <w:rPr>
          <w:lang w:val="fr-BE"/>
        </w:rPr>
        <w:tab/>
      </w:r>
      <w:r w:rsidR="0062305A">
        <w:rPr>
          <w:lang w:val="fr-BE"/>
        </w:rPr>
        <w:t xml:space="preserve">Parmi les </w:t>
      </w:r>
      <w:r w:rsidR="00841D45">
        <w:rPr>
          <w:lang w:val="fr-BE"/>
        </w:rPr>
        <w:t xml:space="preserve">efforts </w:t>
      </w:r>
      <w:r w:rsidR="0062305A">
        <w:rPr>
          <w:lang w:val="fr-BE"/>
        </w:rPr>
        <w:t xml:space="preserve">déployés </w:t>
      </w:r>
      <w:r w:rsidR="00841D45">
        <w:rPr>
          <w:lang w:val="fr-BE"/>
        </w:rPr>
        <w:t>pour assurer l’indépendance effective et l’objectivité des membres du Service d’enquêtes P, nous citer</w:t>
      </w:r>
      <w:r w:rsidR="001A506B">
        <w:rPr>
          <w:lang w:val="fr-BE"/>
        </w:rPr>
        <w:t>ons</w:t>
      </w:r>
      <w:r w:rsidR="00841D45">
        <w:rPr>
          <w:lang w:val="fr-BE"/>
        </w:rPr>
        <w:t xml:space="preserve"> la modification apportée à l’article 20 de la loi organique du 18 juillet 1991 du contrôle des </w:t>
      </w:r>
      <w:r w:rsidR="00841D45" w:rsidRPr="008258E7">
        <w:rPr>
          <w:color w:val="000000"/>
          <w:lang w:val="fr-BE"/>
        </w:rPr>
        <w:t>services de police et de renseignements et de l’Organe de coordination pour l’analyse de la menace par l’article 6</w:t>
      </w:r>
      <w:r w:rsidR="008C74FD">
        <w:rPr>
          <w:color w:val="000000"/>
          <w:lang w:val="fr-BE"/>
        </w:rPr>
        <w:t>, par.</w:t>
      </w:r>
      <w:r w:rsidR="00841D45" w:rsidRPr="008258E7">
        <w:rPr>
          <w:color w:val="000000"/>
          <w:lang w:val="fr-BE"/>
        </w:rPr>
        <w:t xml:space="preserve"> 1°</w:t>
      </w:r>
      <w:r w:rsidR="008C74FD">
        <w:rPr>
          <w:color w:val="000000"/>
          <w:lang w:val="fr-BE"/>
        </w:rPr>
        <w:t>,</w:t>
      </w:r>
      <w:r w:rsidR="00841D45" w:rsidRPr="008258E7">
        <w:rPr>
          <w:color w:val="000000"/>
          <w:lang w:val="fr-BE"/>
        </w:rPr>
        <w:t xml:space="preserve"> de la loi du 18 avril 2010 modifiant la loi organique du 18 juillet 1991</w:t>
      </w:r>
      <w:r w:rsidR="008C74FD">
        <w:rPr>
          <w:color w:val="000000"/>
          <w:lang w:val="fr-BE"/>
        </w:rPr>
        <w:t xml:space="preserve"> </w:t>
      </w:r>
      <w:r w:rsidR="00841D45" w:rsidRPr="008258E7">
        <w:rPr>
          <w:color w:val="000000"/>
          <w:lang w:val="fr-BE"/>
        </w:rPr>
        <w:t xml:space="preserve">publiée au Moniteur belge du 17 juin 2010. </w:t>
      </w:r>
    </w:p>
    <w:p w:rsidR="00E7262D" w:rsidRDefault="00E7262D" w:rsidP="00306652">
      <w:pPr>
        <w:pStyle w:val="SingleTxtG"/>
        <w:rPr>
          <w:lang w:val="fr-BE"/>
        </w:rPr>
      </w:pPr>
      <w:r>
        <w:rPr>
          <w:color w:val="000000"/>
          <w:lang w:val="fr-BE"/>
        </w:rPr>
        <w:t>88.</w:t>
      </w:r>
      <w:r>
        <w:rPr>
          <w:color w:val="000000"/>
          <w:lang w:val="fr-BE"/>
        </w:rPr>
        <w:tab/>
      </w:r>
      <w:r w:rsidR="00841D45" w:rsidRPr="008258E7">
        <w:rPr>
          <w:color w:val="000000"/>
          <w:lang w:val="fr-BE"/>
        </w:rPr>
        <w:t>Cette</w:t>
      </w:r>
      <w:r w:rsidR="00841D45">
        <w:rPr>
          <w:lang w:val="fr-BE"/>
        </w:rPr>
        <w:t xml:space="preserve"> modification vise </w:t>
      </w:r>
      <w:r w:rsidR="00841D45" w:rsidRPr="00016B15">
        <w:rPr>
          <w:lang w:val="fr-BE"/>
        </w:rPr>
        <w:t xml:space="preserve">à abroger le quota minimal </w:t>
      </w:r>
      <w:r w:rsidR="001E44B0">
        <w:rPr>
          <w:lang w:val="fr-BE"/>
        </w:rPr>
        <w:t>qui imposait un</w:t>
      </w:r>
      <w:r w:rsidR="001E44B0" w:rsidRPr="00016B15">
        <w:rPr>
          <w:lang w:val="fr-BE"/>
        </w:rPr>
        <w:t xml:space="preserve"> </w:t>
      </w:r>
      <w:r w:rsidR="00841D45" w:rsidRPr="00016B15">
        <w:rPr>
          <w:lang w:val="fr-BE"/>
        </w:rPr>
        <w:t xml:space="preserve">recrutement </w:t>
      </w:r>
      <w:r w:rsidR="00841D45">
        <w:rPr>
          <w:lang w:val="fr-BE"/>
        </w:rPr>
        <w:t>de</w:t>
      </w:r>
      <w:r w:rsidR="001E44B0">
        <w:rPr>
          <w:lang w:val="fr-BE"/>
        </w:rPr>
        <w:t>s</w:t>
      </w:r>
      <w:r w:rsidR="00841D45">
        <w:rPr>
          <w:lang w:val="fr-BE"/>
        </w:rPr>
        <w:t xml:space="preserve"> membres du Service d’enquêtes P </w:t>
      </w:r>
      <w:r w:rsidR="00841D45" w:rsidRPr="008250E0">
        <w:rPr>
          <w:b/>
          <w:bCs/>
          <w:lang w:val="fr-BE"/>
        </w:rPr>
        <w:t>par détachement</w:t>
      </w:r>
      <w:r w:rsidR="00841D45" w:rsidRPr="00016B15">
        <w:rPr>
          <w:lang w:val="fr-BE"/>
        </w:rPr>
        <w:t xml:space="preserve"> </w:t>
      </w:r>
      <w:r w:rsidR="00306652">
        <w:rPr>
          <w:lang w:val="fr-BE"/>
        </w:rPr>
        <w:t xml:space="preserve">pour </w:t>
      </w:r>
      <w:r w:rsidR="00841D45" w:rsidRPr="00016B15">
        <w:rPr>
          <w:lang w:val="fr-BE"/>
        </w:rPr>
        <w:t>au moins la moitié des membres du Service d’enquêtes</w:t>
      </w:r>
      <w:r w:rsidR="00841D45">
        <w:rPr>
          <w:lang w:val="fr-BE"/>
        </w:rPr>
        <w:t xml:space="preserve"> </w:t>
      </w:r>
      <w:r w:rsidR="00841D45" w:rsidRPr="00016B15">
        <w:rPr>
          <w:lang w:val="fr-BE"/>
        </w:rPr>
        <w:t>P en vertu de l’article</w:t>
      </w:r>
      <w:r w:rsidR="00841D45">
        <w:rPr>
          <w:lang w:val="fr-BE"/>
        </w:rPr>
        <w:t xml:space="preserve"> 20, alinéa </w:t>
      </w:r>
      <w:r w:rsidR="00841D45" w:rsidRPr="00016B15">
        <w:rPr>
          <w:lang w:val="fr-BE"/>
        </w:rPr>
        <w:t>2, de la loi précitée du 18</w:t>
      </w:r>
      <w:r w:rsidR="00841D45">
        <w:rPr>
          <w:lang w:val="fr-BE"/>
        </w:rPr>
        <w:t xml:space="preserve"> juillet 1</w:t>
      </w:r>
      <w:r w:rsidR="00841D45" w:rsidRPr="00016B15">
        <w:rPr>
          <w:lang w:val="fr-BE"/>
        </w:rPr>
        <w:t>991</w:t>
      </w:r>
      <w:r w:rsidR="00306652">
        <w:rPr>
          <w:lang w:val="fr-BE"/>
        </w:rPr>
        <w:t>. Cette abrogation a pour objectif d’</w:t>
      </w:r>
      <w:r w:rsidR="00841D45">
        <w:rPr>
          <w:lang w:val="fr-BE"/>
        </w:rPr>
        <w:t xml:space="preserve">encourager le recrutement </w:t>
      </w:r>
      <w:r w:rsidR="00841D45" w:rsidRPr="008250E0">
        <w:rPr>
          <w:b/>
          <w:bCs/>
          <w:lang w:val="fr-BE"/>
        </w:rPr>
        <w:t>par voie statutaire</w:t>
      </w:r>
      <w:r w:rsidR="00841D45">
        <w:rPr>
          <w:lang w:val="fr-BE"/>
        </w:rPr>
        <w:t xml:space="preserve"> des membres du Service d’enquêtes P. </w:t>
      </w:r>
    </w:p>
    <w:p w:rsidR="00841D45" w:rsidRPr="00016B15" w:rsidRDefault="00E7262D" w:rsidP="00071BF1">
      <w:pPr>
        <w:pStyle w:val="SingleTxtG"/>
        <w:rPr>
          <w:i/>
          <w:lang w:val="fr-BE"/>
        </w:rPr>
      </w:pPr>
      <w:r>
        <w:rPr>
          <w:lang w:val="fr-BE"/>
        </w:rPr>
        <w:t>89.</w:t>
      </w:r>
      <w:r>
        <w:rPr>
          <w:lang w:val="fr-BE"/>
        </w:rPr>
        <w:tab/>
      </w:r>
      <w:r w:rsidR="00841D45">
        <w:rPr>
          <w:lang w:val="fr-BE"/>
        </w:rPr>
        <w:t xml:space="preserve">La justification reprise dans l’exposé des motifs vise à </w:t>
      </w:r>
      <w:r w:rsidR="005A0C09">
        <w:rPr>
          <w:lang w:val="fr-BE"/>
        </w:rPr>
        <w:t xml:space="preserve">satisfaire </w:t>
      </w:r>
      <w:r w:rsidR="00B7730B">
        <w:rPr>
          <w:lang w:val="fr-BE"/>
        </w:rPr>
        <w:t>les</w:t>
      </w:r>
      <w:r w:rsidR="00841D45">
        <w:rPr>
          <w:lang w:val="fr-BE"/>
        </w:rPr>
        <w:t xml:space="preserve"> attentes </w:t>
      </w:r>
      <w:r w:rsidR="00841D45" w:rsidRPr="00016B15">
        <w:t>des instances internationale</w:t>
      </w:r>
      <w:r w:rsidR="00841D45">
        <w:t>s</w:t>
      </w:r>
      <w:r w:rsidR="00841D45" w:rsidRPr="00016B15">
        <w:t xml:space="preserve"> </w:t>
      </w:r>
      <w:r w:rsidR="00817B2D">
        <w:t xml:space="preserve">pour ce qui est </w:t>
      </w:r>
      <w:r w:rsidR="00071BF1">
        <w:t>du contrôle de</w:t>
      </w:r>
      <w:r w:rsidR="00B7730B">
        <w:t xml:space="preserve"> l’</w:t>
      </w:r>
      <w:r w:rsidR="00817B2D">
        <w:t>indépendan</w:t>
      </w:r>
      <w:r w:rsidR="00B7730B">
        <w:t>ce</w:t>
      </w:r>
      <w:r w:rsidR="00817B2D">
        <w:t xml:space="preserve"> </w:t>
      </w:r>
      <w:r w:rsidR="00B7730B">
        <w:t xml:space="preserve">en matière </w:t>
      </w:r>
      <w:r w:rsidR="00841D45" w:rsidRPr="00016B15">
        <w:t>de droits de l'homme</w:t>
      </w:r>
      <w:r w:rsidR="00841D45">
        <w:t xml:space="preserve">: </w:t>
      </w:r>
      <w:r w:rsidR="00841D45" w:rsidRPr="00874CB2">
        <w:rPr>
          <w:iCs/>
        </w:rPr>
        <w:t>«</w:t>
      </w:r>
      <w:r w:rsidR="00841D45" w:rsidRPr="00874CB2">
        <w:rPr>
          <w:iCs/>
          <w:lang w:val="fr-BE"/>
        </w:rPr>
        <w:t>Le recrutement statutaire de membres du Service d’enquêtes P étant de nature à favoriser l’indépendance des membres de ce service et partant celle du Comité P, à l’égard des fonctionnaires de police mis en cause, la présente proposition vise à abroger le quota minimal de recrutement par détachement fixé à au moins la moitié des membres du Service d’enquêtes P en vertu de l’article 20, alinéa 2, de la loi précitée du 18 juillet 1991</w:t>
      </w:r>
      <w:r w:rsidR="00841D45" w:rsidRPr="008250E0">
        <w:rPr>
          <w:iCs/>
          <w:lang w:val="fr-BE"/>
        </w:rPr>
        <w:t>».</w:t>
      </w:r>
    </w:p>
    <w:p w:rsidR="00841D45" w:rsidRDefault="00E7262D" w:rsidP="00E7262D">
      <w:pPr>
        <w:pStyle w:val="SingleTxtG"/>
        <w:rPr>
          <w:lang w:val="fr-BE"/>
        </w:rPr>
      </w:pPr>
      <w:r>
        <w:rPr>
          <w:lang w:val="fr-BE"/>
        </w:rPr>
        <w:t>90.</w:t>
      </w:r>
      <w:r>
        <w:rPr>
          <w:lang w:val="fr-BE"/>
        </w:rPr>
        <w:tab/>
      </w:r>
      <w:r w:rsidR="00841D45">
        <w:rPr>
          <w:lang w:val="fr-BE"/>
        </w:rPr>
        <w:t>Signalons</w:t>
      </w:r>
      <w:r w:rsidR="009017E3">
        <w:rPr>
          <w:lang w:val="fr-BE"/>
        </w:rPr>
        <w:t>,</w:t>
      </w:r>
      <w:r w:rsidR="00841D45">
        <w:rPr>
          <w:lang w:val="fr-BE"/>
        </w:rPr>
        <w:t xml:space="preserve"> par ailleurs</w:t>
      </w:r>
      <w:r w:rsidR="009017E3">
        <w:rPr>
          <w:lang w:val="fr-BE"/>
        </w:rPr>
        <w:t>,</w:t>
      </w:r>
      <w:r w:rsidR="00841D45">
        <w:rPr>
          <w:lang w:val="fr-BE"/>
        </w:rPr>
        <w:t xml:space="preserve"> que le Comité P a fait l’objet d’un renouvellement </w:t>
      </w:r>
      <w:r w:rsidR="009017E3">
        <w:rPr>
          <w:lang w:val="fr-BE"/>
        </w:rPr>
        <w:t xml:space="preserve">au </w:t>
      </w:r>
      <w:r w:rsidR="00841D45">
        <w:rPr>
          <w:lang w:val="fr-BE"/>
        </w:rPr>
        <w:t xml:space="preserve">début </w:t>
      </w:r>
      <w:r w:rsidR="009017E3">
        <w:rPr>
          <w:lang w:val="fr-BE"/>
        </w:rPr>
        <w:t xml:space="preserve">de </w:t>
      </w:r>
      <w:r w:rsidR="00841D45">
        <w:rPr>
          <w:lang w:val="fr-BE"/>
        </w:rPr>
        <w:t>2010. Les membres du nouveau Comité P, qui ont prêté serment le 3 février 2010, sont tous des magistrats indépendants.</w:t>
      </w:r>
    </w:p>
    <w:p w:rsidR="00E7262D" w:rsidRPr="00340AAB" w:rsidRDefault="00E7262D" w:rsidP="00841D45">
      <w:pPr>
        <w:pStyle w:val="SingleTxtG"/>
        <w:rPr>
          <w:b/>
          <w:bCs/>
          <w:lang w:val="fr-FR"/>
        </w:rPr>
      </w:pPr>
      <w:r w:rsidRPr="00340AAB">
        <w:rPr>
          <w:b/>
          <w:bCs/>
        </w:rPr>
        <w:t>Réponse au paragraphe 12 de la liste de points à traiter</w:t>
      </w:r>
      <w:r w:rsidRPr="00340AAB" w:rsidDel="00E7262D">
        <w:rPr>
          <w:b/>
          <w:bCs/>
          <w:lang w:val="fr-FR"/>
        </w:rPr>
        <w:t xml:space="preserve"> </w:t>
      </w:r>
    </w:p>
    <w:p w:rsidR="00841D45" w:rsidRPr="0050113A" w:rsidRDefault="00164697" w:rsidP="00DD072E">
      <w:pPr>
        <w:pStyle w:val="SingleTxtG"/>
        <w:rPr>
          <w:lang w:val="fr-BE"/>
        </w:rPr>
      </w:pPr>
      <w:r>
        <w:rPr>
          <w:lang w:val="fr-BE"/>
        </w:rPr>
        <w:t>91.</w:t>
      </w:r>
      <w:r>
        <w:rPr>
          <w:lang w:val="fr-BE"/>
        </w:rPr>
        <w:tab/>
      </w:r>
      <w:r w:rsidR="00841D45" w:rsidRPr="004E77C7">
        <w:t>Le Plan d’Action National de lutte contre la violence entre partenaires (PAN) 2004-2007 a</w:t>
      </w:r>
      <w:r w:rsidR="00841D45">
        <w:t xml:space="preserve"> permis plusieurs avancées en la</w:t>
      </w:r>
      <w:r w:rsidR="00841D45" w:rsidRPr="004E77C7">
        <w:t xml:space="preserve"> matière</w:t>
      </w:r>
      <w:r w:rsidR="00C911B9">
        <w:t xml:space="preserve"> grâce </w:t>
      </w:r>
      <w:r w:rsidR="00841D45" w:rsidRPr="004E77C7">
        <w:t xml:space="preserve">à de nombreuses actions </w:t>
      </w:r>
      <w:r w:rsidR="00F82421">
        <w:t xml:space="preserve">visant </w:t>
      </w:r>
      <w:r w:rsidR="00841D45" w:rsidRPr="004E77C7">
        <w:t>plusieurs objectifs spécifiques (sensibilisation, formation, prévention, accueil et protection, accompagnement, suivi et mesures répressives, enregistrement et</w:t>
      </w:r>
      <w:r w:rsidR="00DD072E">
        <w:t>,</w:t>
      </w:r>
      <w:r w:rsidR="00841D45" w:rsidRPr="004E77C7">
        <w:t xml:space="preserve"> </w:t>
      </w:r>
      <w:r w:rsidR="00DD072E">
        <w:t>pour finir</w:t>
      </w:r>
      <w:r w:rsidR="00841D45" w:rsidRPr="004E77C7">
        <w:t xml:space="preserve">, coordination et évaluation). </w:t>
      </w:r>
    </w:p>
    <w:p w:rsidR="00841D45" w:rsidRPr="0050113A" w:rsidRDefault="00CB6D00" w:rsidP="00996484">
      <w:pPr>
        <w:pStyle w:val="SingleTxtG"/>
      </w:pPr>
      <w:r>
        <w:t>92.</w:t>
      </w:r>
      <w:r>
        <w:tab/>
      </w:r>
      <w:r w:rsidR="00841D45" w:rsidRPr="004E77C7">
        <w:t>La mise en œuvre du PAN 2004-2007 a notamment donné lieu à une définition commune de la violence entre partenaires en vertu de laquelle les violences dans les relations intimes se définissent comme un «ensemble de comportements, d'actes, d'attitudes de l’un des partenaires ou ex-partenaires qui visent à contrôler et dominer l'autre. Elles comprennent les agressions, les menaces ou les contraintes verbales, physiques, sexuelles, économiques, répétées ou amenées à se répéter portant atteinte à l’intégrité de l’autre et même à son intégration socioprofessionnelle. Ces violences affectent non seulement la victime, mais également les autres membres de la famille, parmi lesquels les enfants. Elles constituent une forme de violence intrafamiliale»</w:t>
      </w:r>
      <w:r w:rsidR="00E1215D">
        <w:t>.</w:t>
      </w:r>
      <w:r w:rsidR="00841D45" w:rsidRPr="004E77C7">
        <w:t xml:space="preserve"> </w:t>
      </w:r>
    </w:p>
    <w:p w:rsidR="00841D45" w:rsidRPr="004E77C7" w:rsidRDefault="00CB6D00" w:rsidP="006E397C">
      <w:pPr>
        <w:pStyle w:val="SingleTxtG"/>
      </w:pPr>
      <w:r>
        <w:t>93.</w:t>
      </w:r>
      <w:r>
        <w:tab/>
      </w:r>
      <w:r w:rsidR="00841D45" w:rsidRPr="004E77C7">
        <w:t>Le PAN 2004-2007 a permis de conscientiser la population à la problématique de la violence entre partenaires, de communiquer des informations concrètes aux victimes des actes de violence, mais également à tous ceux qui y sont confrontés directement ou indirectement</w:t>
      </w:r>
      <w:r w:rsidR="006E397C">
        <w:t>,</w:t>
      </w:r>
      <w:r w:rsidR="00841D45" w:rsidRPr="004E77C7">
        <w:t xml:space="preserve"> ou encore de sensibiliser les jeunes à la violence dans leurs relations amoureuses. La formation des professionnels </w:t>
      </w:r>
      <w:r w:rsidR="006E397C">
        <w:t>susceptibles d’</w:t>
      </w:r>
      <w:r w:rsidR="00841D45" w:rsidRPr="004E77C7">
        <w:t xml:space="preserve">être confrontés à des cas de violence entre partenaires a aussi été développée </w:t>
      </w:r>
      <w:r w:rsidR="006E397C">
        <w:t>dans</w:t>
      </w:r>
      <w:r w:rsidR="00841D45" w:rsidRPr="004E77C7">
        <w:t xml:space="preserve"> le</w:t>
      </w:r>
      <w:r w:rsidR="006E397C">
        <w:t xml:space="preserve"> cadre du</w:t>
      </w:r>
      <w:r w:rsidR="00841D45" w:rsidRPr="004E77C7">
        <w:t xml:space="preserve"> PAN 2004-2007. </w:t>
      </w:r>
    </w:p>
    <w:p w:rsidR="00841D45" w:rsidRPr="004E77C7" w:rsidRDefault="00C34A80" w:rsidP="00FC199C">
      <w:pPr>
        <w:pStyle w:val="SingleTxtG"/>
      </w:pPr>
      <w:r>
        <w:t>94.</w:t>
      </w:r>
      <w:r>
        <w:tab/>
      </w:r>
      <w:r w:rsidR="00841D45" w:rsidRPr="004E77C7">
        <w:t xml:space="preserve">Plusieurs formations relatives à cette problématique ont ainsi été </w:t>
      </w:r>
      <w:r w:rsidR="00BE35BB">
        <w:t>conçues à l’intention des</w:t>
      </w:r>
      <w:r w:rsidR="00841D45" w:rsidRPr="004E77C7">
        <w:t xml:space="preserve"> secteurs policier et judiciaire, </w:t>
      </w:r>
      <w:r w:rsidR="00FC199C">
        <w:t>d</w:t>
      </w:r>
      <w:r w:rsidR="00841D45" w:rsidRPr="004E77C7">
        <w:t xml:space="preserve">u monde médical, </w:t>
      </w:r>
      <w:r w:rsidR="00FC199C">
        <w:t>d</w:t>
      </w:r>
      <w:r w:rsidR="00841D45" w:rsidRPr="004E77C7">
        <w:t>u personnel enseign</w:t>
      </w:r>
      <w:r w:rsidR="00FC199C">
        <w:t>a</w:t>
      </w:r>
      <w:r w:rsidR="00841D45" w:rsidRPr="004E77C7">
        <w:t xml:space="preserve">nt ou encore </w:t>
      </w:r>
      <w:r w:rsidR="00FC199C">
        <w:t>des</w:t>
      </w:r>
      <w:r w:rsidR="00FC199C" w:rsidRPr="004E77C7">
        <w:t xml:space="preserve"> </w:t>
      </w:r>
      <w:r w:rsidR="00841D45" w:rsidRPr="004E77C7">
        <w:t xml:space="preserve">travailleurs sociaux. </w:t>
      </w:r>
    </w:p>
    <w:p w:rsidR="00841D45" w:rsidRPr="004E77C7" w:rsidRDefault="00C34A80" w:rsidP="00683F2D">
      <w:pPr>
        <w:pStyle w:val="SingleTxtG"/>
      </w:pPr>
      <w:r>
        <w:t>95.</w:t>
      </w:r>
      <w:r>
        <w:tab/>
      </w:r>
      <w:r w:rsidR="007D3D3D">
        <w:t>Au titre du</w:t>
      </w:r>
      <w:r w:rsidR="00841D45" w:rsidRPr="004E77C7">
        <w:t xml:space="preserve"> PAN 2004-2007 </w:t>
      </w:r>
      <w:r w:rsidR="007D3D3D">
        <w:t>ont</w:t>
      </w:r>
      <w:r w:rsidR="00841D45" w:rsidRPr="004E77C7">
        <w:t xml:space="preserve"> également </w:t>
      </w:r>
      <w:r w:rsidR="007D3D3D">
        <w:t>été créés</w:t>
      </w:r>
      <w:r w:rsidR="00841D45" w:rsidRPr="004E77C7">
        <w:t xml:space="preserve"> deux pôles de ressources spécialisés </w:t>
      </w:r>
      <w:r w:rsidR="00D96A50">
        <w:t>dans la</w:t>
      </w:r>
      <w:r w:rsidR="00D96A50" w:rsidRPr="004E77C7">
        <w:t xml:space="preserve"> </w:t>
      </w:r>
      <w:r w:rsidR="00841D45" w:rsidRPr="004E77C7">
        <w:t xml:space="preserve">violence entre partenaires et </w:t>
      </w:r>
      <w:r w:rsidR="00D96A50">
        <w:t xml:space="preserve">dans la violence </w:t>
      </w:r>
      <w:r w:rsidR="00841D45" w:rsidRPr="004E77C7">
        <w:t xml:space="preserve">familiale en région wallonne. Le but de ces pôles étant de rassembler au sein d’une même structure le suivi des auteurs de violences entre partenaires et l’accompagnement de leurs victimes. Enfin, on peut évoquer, en Communauté flamande, la poursuite de la politique scolaire intégrée en matière de prévention </w:t>
      </w:r>
      <w:r w:rsidR="002E3A50">
        <w:t>de la violence</w:t>
      </w:r>
      <w:r w:rsidR="00841D45" w:rsidRPr="004E77C7">
        <w:t xml:space="preserve">, </w:t>
      </w:r>
      <w:r w:rsidR="002E3A50">
        <w:t>du</w:t>
      </w:r>
      <w:r w:rsidR="002E3A50" w:rsidRPr="004E77C7">
        <w:t xml:space="preserve"> </w:t>
      </w:r>
      <w:r w:rsidR="00841D45" w:rsidRPr="004E77C7">
        <w:t xml:space="preserve">harcèlement moral et </w:t>
      </w:r>
      <w:r w:rsidR="002E3A50">
        <w:t>du</w:t>
      </w:r>
      <w:r w:rsidR="002E3A50" w:rsidRPr="004E77C7">
        <w:t xml:space="preserve"> </w:t>
      </w:r>
      <w:r w:rsidR="00841D45" w:rsidRPr="004E77C7">
        <w:t>harcèlement sexuel</w:t>
      </w:r>
      <w:r w:rsidR="002E3A50">
        <w:t xml:space="preserve">, </w:t>
      </w:r>
      <w:r w:rsidR="00880A86">
        <w:t>de même que</w:t>
      </w:r>
      <w:r w:rsidR="002E3A50">
        <w:t xml:space="preserve"> </w:t>
      </w:r>
      <w:r w:rsidR="002E3A50" w:rsidRPr="004E77C7">
        <w:t xml:space="preserve">de lutte contre </w:t>
      </w:r>
      <w:r w:rsidR="002E3A50">
        <w:t>ces phénomènes,</w:t>
      </w:r>
      <w:r w:rsidR="00841D45" w:rsidRPr="004E77C7">
        <w:t xml:space="preserve"> et l’engagement de 14 nouvelles personnes au sein des centres d'accompagnement </w:t>
      </w:r>
      <w:r w:rsidR="00683F2D">
        <w:t xml:space="preserve">pour </w:t>
      </w:r>
      <w:r w:rsidR="00841D45" w:rsidRPr="004E77C7">
        <w:t xml:space="preserve">aider les travailleurs sociaux dans leur travail de prévention et d'aide </w:t>
      </w:r>
      <w:r w:rsidR="00683F2D">
        <w:t>dans le domaine</w:t>
      </w:r>
      <w:r w:rsidR="00841D45" w:rsidRPr="004E77C7">
        <w:t xml:space="preserve"> de </w:t>
      </w:r>
      <w:r w:rsidR="00683F2D">
        <w:t xml:space="preserve">la </w:t>
      </w:r>
      <w:r w:rsidR="00841D45" w:rsidRPr="004E77C7">
        <w:t>violence entre partenaires.</w:t>
      </w:r>
    </w:p>
    <w:p w:rsidR="00841D45" w:rsidRPr="004E77C7" w:rsidRDefault="00C34A80" w:rsidP="00A165F4">
      <w:pPr>
        <w:pStyle w:val="SingleTxtG"/>
      </w:pPr>
      <w:r>
        <w:t>96.</w:t>
      </w:r>
      <w:r>
        <w:tab/>
      </w:r>
      <w:r w:rsidR="00841D45" w:rsidRPr="004E77C7">
        <w:t>En outre, le PAN 2004-2007 a contribué à la prise en charge des auteurs de violence</w:t>
      </w:r>
      <w:r w:rsidR="00145A59">
        <w:t>s</w:t>
      </w:r>
      <w:r w:rsidR="00841D45" w:rsidRPr="004E77C7">
        <w:t xml:space="preserve">. Le Service Public Fédéral Justice a ainsi poursuivi le financement de divers projets. Ces projets </w:t>
      </w:r>
      <w:r w:rsidR="00AE68DB">
        <w:t>v</w:t>
      </w:r>
      <w:r w:rsidR="007A4D45">
        <w:t>isen</w:t>
      </w:r>
      <w:r w:rsidR="00AE68DB">
        <w:t>t</w:t>
      </w:r>
      <w:r w:rsidR="00841D45" w:rsidRPr="004E77C7">
        <w:t xml:space="preserve"> directement ou indirectement les auteurs de violence</w:t>
      </w:r>
      <w:r w:rsidR="007A4D45">
        <w:t>s</w:t>
      </w:r>
      <w:r w:rsidR="00841D45" w:rsidRPr="004E77C7">
        <w:t xml:space="preserve"> entre partenaire</w:t>
      </w:r>
      <w:r w:rsidR="00841D45">
        <w:t>s</w:t>
      </w:r>
      <w:r w:rsidR="00841D45" w:rsidRPr="004E77C7">
        <w:t xml:space="preserve"> ou </w:t>
      </w:r>
      <w:r w:rsidR="007A4D45">
        <w:t xml:space="preserve">de violences </w:t>
      </w:r>
      <w:r w:rsidR="00841D45" w:rsidRPr="004E77C7">
        <w:t>intrafamiliale</w:t>
      </w:r>
      <w:r w:rsidR="007A4D45">
        <w:t>s</w:t>
      </w:r>
      <w:r w:rsidR="00841D45" w:rsidRPr="004E77C7">
        <w:t xml:space="preserve">. Il s’agit de projets de formation </w:t>
      </w:r>
      <w:r w:rsidR="00A165F4">
        <w:t xml:space="preserve">que la loi </w:t>
      </w:r>
      <w:r w:rsidR="00C5591C">
        <w:t>subordonn</w:t>
      </w:r>
      <w:r w:rsidR="00A165F4">
        <w:t xml:space="preserve">e </w:t>
      </w:r>
      <w:r w:rsidR="00C5591C">
        <w:t xml:space="preserve">à l’acceptation par les auteurs de violences </w:t>
      </w:r>
      <w:r w:rsidR="007A4D45">
        <w:t>d’</w:t>
      </w:r>
      <w:r w:rsidR="00841D45" w:rsidRPr="004E77C7">
        <w:t>un</w:t>
      </w:r>
      <w:r w:rsidR="00C5591C">
        <w:t xml:space="preserve"> </w:t>
      </w:r>
      <w:r w:rsidR="007A4D45">
        <w:t>suivi</w:t>
      </w:r>
      <w:r w:rsidR="00841D45" w:rsidRPr="004E77C7">
        <w:t>. D’autres modalités</w:t>
      </w:r>
      <w:r w:rsidR="00F82BDA">
        <w:t>,</w:t>
      </w:r>
      <w:r w:rsidR="00841D45" w:rsidRPr="004E77C7">
        <w:t xml:space="preserve"> telles que l’aide </w:t>
      </w:r>
      <w:r w:rsidR="00F82BDA" w:rsidRPr="004E77C7">
        <w:t xml:space="preserve">aux auteurs se présentant volontairement </w:t>
      </w:r>
      <w:r w:rsidR="00841D45" w:rsidRPr="004E77C7">
        <w:t>et l</w:t>
      </w:r>
      <w:r w:rsidR="00F82BDA">
        <w:t xml:space="preserve">eur </w:t>
      </w:r>
      <w:r w:rsidR="00841D45" w:rsidRPr="004E77C7">
        <w:t>accompagnement</w:t>
      </w:r>
      <w:r w:rsidR="00841D45">
        <w:t>,</w:t>
      </w:r>
      <w:r w:rsidR="00841D45" w:rsidRPr="004E77C7">
        <w:t xml:space="preserve"> </w:t>
      </w:r>
      <w:r w:rsidR="00F82BDA">
        <w:t>s</w:t>
      </w:r>
      <w:r w:rsidR="00841D45" w:rsidRPr="004E77C7">
        <w:t>ont par ailleurs financées au niveau régional.</w:t>
      </w:r>
    </w:p>
    <w:p w:rsidR="00841D45" w:rsidRPr="0050113A" w:rsidRDefault="00C34A80" w:rsidP="004F5D0C">
      <w:pPr>
        <w:pStyle w:val="SingleTxtG"/>
      </w:pPr>
      <w:r>
        <w:t>97.</w:t>
      </w:r>
      <w:r>
        <w:tab/>
      </w:r>
      <w:r w:rsidR="00841D45" w:rsidRPr="004E77C7">
        <w:t>Par ailleurs, deux circulaires (COL 3/2006 et 4/2006) sont entrée</w:t>
      </w:r>
      <w:r w:rsidR="00841D45">
        <w:t>s</w:t>
      </w:r>
      <w:r w:rsidR="00841D45" w:rsidRPr="004E77C7">
        <w:t xml:space="preserve"> en vigueur en avril 2006. </w:t>
      </w:r>
      <w:r w:rsidR="007B719D">
        <w:t>À</w:t>
      </w:r>
      <w:r w:rsidR="00A165F4">
        <w:t xml:space="preserve"> </w:t>
      </w:r>
      <w:r w:rsidR="00841D45" w:rsidRPr="004E77C7">
        <w:t xml:space="preserve">travers celles-ci, une politique pénale uniforme en matière de violence entre partenaires a ainsi été élaborée. Cependant, </w:t>
      </w:r>
      <w:r w:rsidR="004F5D0C">
        <w:t>cette politique</w:t>
      </w:r>
      <w:r w:rsidR="004F5D0C" w:rsidRPr="004E77C7">
        <w:t xml:space="preserve"> </w:t>
      </w:r>
      <w:r w:rsidR="00841D45" w:rsidRPr="004E77C7">
        <w:t xml:space="preserve">s’inscrit dans une approche pluridisciplinaire </w:t>
      </w:r>
      <w:r w:rsidR="004F5D0C">
        <w:t>qui</w:t>
      </w:r>
      <w:r w:rsidR="004F5D0C" w:rsidRPr="004E77C7">
        <w:t xml:space="preserve"> </w:t>
      </w:r>
      <w:r w:rsidR="00841D45" w:rsidRPr="004E77C7">
        <w:t>ne se limite donc pas à l’intervention pénale</w:t>
      </w:r>
      <w:r w:rsidR="004F5D0C">
        <w:t xml:space="preserve"> mais </w:t>
      </w:r>
      <w:r w:rsidR="00841D45" w:rsidRPr="004E77C7">
        <w:t xml:space="preserve">attache </w:t>
      </w:r>
      <w:r w:rsidR="004F5D0C">
        <w:t xml:space="preserve">aussi </w:t>
      </w:r>
      <w:r w:rsidR="00841D45" w:rsidRPr="004E77C7">
        <w:t>une attention particulière à la protection de la victime et à sa reconnaissance en tant que telle.</w:t>
      </w:r>
    </w:p>
    <w:p w:rsidR="00841D45" w:rsidRDefault="00C34A80" w:rsidP="00CF4919">
      <w:pPr>
        <w:pStyle w:val="SingleTxtG"/>
      </w:pPr>
      <w:r>
        <w:rPr>
          <w:lang w:val="fr-BE"/>
        </w:rPr>
        <w:t>98.</w:t>
      </w:r>
      <w:r>
        <w:rPr>
          <w:lang w:val="fr-BE"/>
        </w:rPr>
        <w:tab/>
      </w:r>
      <w:r w:rsidR="00841D45">
        <w:rPr>
          <w:lang w:val="fr-BE"/>
        </w:rPr>
        <w:t>E</w:t>
      </w:r>
      <w:r w:rsidR="00841D45">
        <w:t>n collaboration avec les départements ministériels et</w:t>
      </w:r>
      <w:r w:rsidR="006A5EBF">
        <w:t xml:space="preserve"> les</w:t>
      </w:r>
      <w:r w:rsidR="00841D45">
        <w:t xml:space="preserve"> experts impliqués dans la problématique, l’Institut pour l’égalité des femmes et des hommes a évalué ce PAN</w:t>
      </w:r>
      <w:r w:rsidR="00CF4919">
        <w:t xml:space="preserve"> 2004-2007 afin de mettre </w:t>
      </w:r>
      <w:r w:rsidR="00841D45">
        <w:t>à profit les constat</w:t>
      </w:r>
      <w:r w:rsidR="00CF4919">
        <w:t>ation</w:t>
      </w:r>
      <w:r w:rsidR="00841D45">
        <w:t>s relevé</w:t>
      </w:r>
      <w:r w:rsidR="00CF4919">
        <w:t>e</w:t>
      </w:r>
      <w:r w:rsidR="00841D45">
        <w:t xml:space="preserve">s </w:t>
      </w:r>
      <w:r w:rsidR="006A5EBF">
        <w:t>pour</w:t>
      </w:r>
      <w:r w:rsidR="00841D45">
        <w:t xml:space="preserve"> élabor</w:t>
      </w:r>
      <w:r w:rsidR="00852BA6">
        <w:t>er le</w:t>
      </w:r>
      <w:r w:rsidR="00841D45">
        <w:t xml:space="preserve"> troisième PAN</w:t>
      </w:r>
      <w:r w:rsidR="00CF4919">
        <w:t>,</w:t>
      </w:r>
      <w:r w:rsidR="00841D45">
        <w:t xml:space="preserve"> 2008-2009, </w:t>
      </w:r>
      <w:r w:rsidR="00CF4919">
        <w:t xml:space="preserve">qui a été </w:t>
      </w:r>
      <w:r w:rsidR="00841D45">
        <w:t xml:space="preserve">adopté en décembre 2008.  </w:t>
      </w:r>
    </w:p>
    <w:p w:rsidR="00841D45" w:rsidRPr="00AA0AD2" w:rsidRDefault="00C34A80" w:rsidP="00B11170">
      <w:pPr>
        <w:pStyle w:val="SingleTxtG"/>
      </w:pPr>
      <w:r>
        <w:t>99.</w:t>
      </w:r>
      <w:r>
        <w:tab/>
      </w:r>
      <w:r w:rsidR="00841D45" w:rsidRPr="00AA0AD2">
        <w:t>En région wallonne, l’</w:t>
      </w:r>
      <w:r w:rsidR="003331CA">
        <w:t>a</w:t>
      </w:r>
      <w:r w:rsidR="00841D45" w:rsidRPr="00AA0AD2">
        <w:t xml:space="preserve">rrêté du Gouvernement wallon du 5 février 2009 </w:t>
      </w:r>
      <w:r w:rsidR="00841D45" w:rsidRPr="003331CA">
        <w:t>modifiant l’</w:t>
      </w:r>
      <w:r w:rsidR="003331CA" w:rsidRPr="003331CA">
        <w:t>a</w:t>
      </w:r>
      <w:r w:rsidR="00841D45" w:rsidRPr="003331CA">
        <w:t xml:space="preserve">rrêté du 3 juin 2004 portant exécution du </w:t>
      </w:r>
      <w:r w:rsidR="003331CA" w:rsidRPr="003331CA">
        <w:t>d</w:t>
      </w:r>
      <w:r w:rsidR="00841D45" w:rsidRPr="003331CA">
        <w:t>écret du 12 février 2004 relatif à l’accueil, l’hébergement et l’accompagnement des personnes en difficultés sociales</w:t>
      </w:r>
      <w:r w:rsidR="00841D45" w:rsidRPr="00AA0AD2">
        <w:rPr>
          <w:iCs/>
        </w:rPr>
        <w:t xml:space="preserve"> (M.B., 23 février 2009)</w:t>
      </w:r>
      <w:r w:rsidR="00B11170">
        <w:rPr>
          <w:iCs/>
        </w:rPr>
        <w:t xml:space="preserve"> </w:t>
      </w:r>
      <w:r w:rsidR="00841D45" w:rsidRPr="00AA0AD2">
        <w:rPr>
          <w:iCs/>
        </w:rPr>
        <w:t xml:space="preserve">prévoit </w:t>
      </w:r>
      <w:r w:rsidR="00B11170">
        <w:rPr>
          <w:iCs/>
        </w:rPr>
        <w:t>l’allocation d’</w:t>
      </w:r>
      <w:r w:rsidR="00841D45" w:rsidRPr="00AA0AD2">
        <w:rPr>
          <w:iCs/>
        </w:rPr>
        <w:t xml:space="preserve">une subvention complémentaire aux </w:t>
      </w:r>
      <w:r w:rsidR="00B11170">
        <w:rPr>
          <w:iCs/>
        </w:rPr>
        <w:t>établissements</w:t>
      </w:r>
      <w:r w:rsidR="00B11170" w:rsidRPr="00AA0AD2">
        <w:rPr>
          <w:iCs/>
        </w:rPr>
        <w:t xml:space="preserve"> </w:t>
      </w:r>
      <w:r w:rsidR="007A116B">
        <w:rPr>
          <w:iCs/>
        </w:rPr>
        <w:t xml:space="preserve">(maisons d’accueil) </w:t>
      </w:r>
      <w:r w:rsidR="00B11170">
        <w:rPr>
          <w:iCs/>
        </w:rPr>
        <w:t xml:space="preserve">qui </w:t>
      </w:r>
      <w:r w:rsidR="00841D45" w:rsidRPr="00AA0AD2">
        <w:rPr>
          <w:iCs/>
        </w:rPr>
        <w:t>accueill</w:t>
      </w:r>
      <w:r w:rsidR="00B11170">
        <w:rPr>
          <w:iCs/>
        </w:rPr>
        <w:t>ent l</w:t>
      </w:r>
      <w:r w:rsidR="00841D45" w:rsidRPr="00AA0AD2">
        <w:rPr>
          <w:iCs/>
        </w:rPr>
        <w:t xml:space="preserve">es femmes victimes de violences conjugales et, le cas échéant, leurs enfants. Cette subvention permet essentiellement </w:t>
      </w:r>
      <w:r w:rsidR="00B11170">
        <w:rPr>
          <w:iCs/>
        </w:rPr>
        <w:t xml:space="preserve">de financer une </w:t>
      </w:r>
      <w:r w:rsidR="00841D45" w:rsidRPr="00AA0AD2">
        <w:rPr>
          <w:iCs/>
        </w:rPr>
        <w:t xml:space="preserve">augmentation du </w:t>
      </w:r>
      <w:r w:rsidR="00B11170">
        <w:rPr>
          <w:iCs/>
        </w:rPr>
        <w:t xml:space="preserve">nombre des agents chargés </w:t>
      </w:r>
      <w:r w:rsidR="00841D45" w:rsidRPr="00AA0AD2">
        <w:rPr>
          <w:iCs/>
        </w:rPr>
        <w:t>d</w:t>
      </w:r>
      <w:r w:rsidR="00B11170">
        <w:rPr>
          <w:iCs/>
        </w:rPr>
        <w:t>e l</w:t>
      </w:r>
      <w:r w:rsidR="00841D45" w:rsidRPr="00AA0AD2">
        <w:rPr>
          <w:iCs/>
        </w:rPr>
        <w:t>’accompagnement social et psychologique des victimes.</w:t>
      </w:r>
    </w:p>
    <w:p w:rsidR="00841D45" w:rsidRPr="00AA0AD2" w:rsidRDefault="00C34A80" w:rsidP="00C12C24">
      <w:pPr>
        <w:pStyle w:val="SingleTxtG"/>
        <w:rPr>
          <w:rFonts w:ascii="Comic Sans MS" w:hAnsi="Comic Sans MS"/>
          <w:color w:val="333399"/>
        </w:rPr>
      </w:pPr>
      <w:r>
        <w:rPr>
          <w:iCs/>
        </w:rPr>
        <w:t>100.</w:t>
      </w:r>
      <w:r>
        <w:rPr>
          <w:iCs/>
        </w:rPr>
        <w:tab/>
      </w:r>
      <w:r w:rsidR="00C12C24">
        <w:rPr>
          <w:iCs/>
        </w:rPr>
        <w:t>D</w:t>
      </w:r>
      <w:r w:rsidR="00841D45" w:rsidRPr="00AA0AD2">
        <w:rPr>
          <w:iCs/>
        </w:rPr>
        <w:t xml:space="preserve">eux maisons d’accueil </w:t>
      </w:r>
      <w:r w:rsidR="00C12C24">
        <w:rPr>
          <w:iCs/>
        </w:rPr>
        <w:t>a</w:t>
      </w:r>
      <w:r w:rsidR="00C12C24" w:rsidRPr="00AA0AD2">
        <w:rPr>
          <w:iCs/>
        </w:rPr>
        <w:t xml:space="preserve">u maximum </w:t>
      </w:r>
      <w:r w:rsidR="00841D45" w:rsidRPr="00AA0AD2">
        <w:rPr>
          <w:iCs/>
        </w:rPr>
        <w:t xml:space="preserve">peuvent bénéficier de cette subvention par arrondissement judiciaire, </w:t>
      </w:r>
      <w:r w:rsidR="00C12C24">
        <w:rPr>
          <w:iCs/>
        </w:rPr>
        <w:t xml:space="preserve">ce qui </w:t>
      </w:r>
      <w:r w:rsidR="00841D45" w:rsidRPr="00AA0AD2">
        <w:rPr>
          <w:iCs/>
        </w:rPr>
        <w:t>port</w:t>
      </w:r>
      <w:r w:rsidR="00C12C24">
        <w:rPr>
          <w:iCs/>
        </w:rPr>
        <w:t xml:space="preserve">e </w:t>
      </w:r>
      <w:r w:rsidR="00841D45" w:rsidRPr="00AA0AD2">
        <w:rPr>
          <w:iCs/>
        </w:rPr>
        <w:t>à 24 le nombre de</w:t>
      </w:r>
      <w:r w:rsidR="00C12C24">
        <w:rPr>
          <w:iCs/>
        </w:rPr>
        <w:t>s</w:t>
      </w:r>
      <w:r w:rsidR="00841D45" w:rsidRPr="00AA0AD2">
        <w:rPr>
          <w:iCs/>
        </w:rPr>
        <w:t xml:space="preserve"> maisons d’accueil en service (15 au 31 décembre 2009) ou en programmation</w:t>
      </w:r>
      <w:r w:rsidR="00841D45" w:rsidRPr="00AA0AD2">
        <w:t>.</w:t>
      </w:r>
    </w:p>
    <w:p w:rsidR="00841D45" w:rsidRPr="00D769E5" w:rsidRDefault="00C34A80" w:rsidP="00C34A80">
      <w:pPr>
        <w:pStyle w:val="SingleTxtG"/>
      </w:pPr>
      <w:r>
        <w:rPr>
          <w:iCs/>
        </w:rPr>
        <w:t>101.</w:t>
      </w:r>
      <w:r>
        <w:rPr>
          <w:iCs/>
        </w:rPr>
        <w:tab/>
      </w:r>
      <w:r w:rsidR="00841D45" w:rsidRPr="00D769E5">
        <w:rPr>
          <w:iCs/>
        </w:rPr>
        <w:t xml:space="preserve">La Région de Bruxelles-capitale compte actuellement 16 établissements d'accueil pour adultes et enfants. </w:t>
      </w:r>
    </w:p>
    <w:p w:rsidR="00841D45" w:rsidRPr="0086448E" w:rsidRDefault="00C34A80" w:rsidP="00886252">
      <w:pPr>
        <w:pStyle w:val="SingleTxtG"/>
      </w:pPr>
      <w:r>
        <w:t>102.</w:t>
      </w:r>
      <w:r>
        <w:tab/>
      </w:r>
      <w:r w:rsidR="00841D45">
        <w:t>La Commission communautaire française (COCOF) envisage</w:t>
      </w:r>
      <w:r w:rsidR="00841D45" w:rsidRPr="0086448E">
        <w:t xml:space="preserve"> </w:t>
      </w:r>
      <w:r w:rsidR="00864E70">
        <w:t>de</w:t>
      </w:r>
      <w:r w:rsidR="00864E70" w:rsidRPr="0086448E">
        <w:t xml:space="preserve"> </w:t>
      </w:r>
      <w:r w:rsidR="00841D45" w:rsidRPr="0086448E">
        <w:t>cré</w:t>
      </w:r>
      <w:r w:rsidR="00864E70">
        <w:t xml:space="preserve">er </w:t>
      </w:r>
      <w:r w:rsidR="00841D45" w:rsidRPr="0086448E">
        <w:t>de</w:t>
      </w:r>
      <w:r w:rsidR="00864E70">
        <w:t>s</w:t>
      </w:r>
      <w:r w:rsidR="00841D45" w:rsidRPr="0086448E">
        <w:t xml:space="preserve"> places d'accueil spécifiques pour les jeunes </w:t>
      </w:r>
      <w:r w:rsidR="000C08DC">
        <w:t xml:space="preserve">âgés </w:t>
      </w:r>
      <w:r w:rsidR="00165B13">
        <w:t xml:space="preserve">de </w:t>
      </w:r>
      <w:r w:rsidR="00841D45" w:rsidRPr="0086448E">
        <w:t>18</w:t>
      </w:r>
      <w:r w:rsidR="00165B13">
        <w:t xml:space="preserve"> à </w:t>
      </w:r>
      <w:r w:rsidR="00841D45" w:rsidRPr="0086448E">
        <w:t xml:space="preserve">25 </w:t>
      </w:r>
      <w:r w:rsidR="00165B13">
        <w:t xml:space="preserve">ans </w:t>
      </w:r>
      <w:r w:rsidR="00841D45" w:rsidRPr="0086448E">
        <w:t xml:space="preserve">et </w:t>
      </w:r>
      <w:r w:rsidR="00864E70">
        <w:t>d</w:t>
      </w:r>
      <w:r w:rsidR="00841D45" w:rsidRPr="0086448E">
        <w:t>’augment</w:t>
      </w:r>
      <w:r w:rsidR="00864E70">
        <w:t xml:space="preserve">er le </w:t>
      </w:r>
      <w:r w:rsidR="00841D45" w:rsidRPr="0086448E">
        <w:t>nombre de</w:t>
      </w:r>
      <w:r w:rsidR="000C08DC">
        <w:t>s</w:t>
      </w:r>
      <w:r w:rsidR="00841D45" w:rsidRPr="0086448E">
        <w:t xml:space="preserve"> places d’accueil </w:t>
      </w:r>
      <w:r w:rsidR="000C08DC">
        <w:t>réservées</w:t>
      </w:r>
      <w:r w:rsidR="00841D45" w:rsidRPr="0086448E">
        <w:t xml:space="preserve"> aux familles, avec ou sans enfant, et aux femmes ayant subi des violences physiques et psychologiques (mariages forcés</w:t>
      </w:r>
      <w:r w:rsidR="00841D45">
        <w:t>,</w:t>
      </w:r>
      <w:r w:rsidR="00E1215D">
        <w:t xml:space="preserve"> etc.</w:t>
      </w:r>
      <w:r w:rsidR="00841D45" w:rsidRPr="0086448E">
        <w:t>)</w:t>
      </w:r>
    </w:p>
    <w:p w:rsidR="00841D45" w:rsidRPr="005C3CBB" w:rsidRDefault="00C34A80" w:rsidP="0031655F">
      <w:pPr>
        <w:pStyle w:val="SingleTxtG"/>
        <w:rPr>
          <w:strike/>
          <w:lang w:val="nl-BE"/>
        </w:rPr>
      </w:pPr>
      <w:r>
        <w:t>103.</w:t>
      </w:r>
      <w:r>
        <w:tab/>
      </w:r>
      <w:r w:rsidR="00841D45" w:rsidRPr="0086448E">
        <w:t xml:space="preserve">Actuellement, la Communauté flamande dispose, quant à elle, de 24 centres d’accueil pour </w:t>
      </w:r>
      <w:r w:rsidR="0031655F">
        <w:t xml:space="preserve">les </w:t>
      </w:r>
      <w:r w:rsidR="00841D45" w:rsidRPr="0086448E">
        <w:t xml:space="preserve">femmes, </w:t>
      </w:r>
      <w:r w:rsidR="0031655F">
        <w:t>dotés d’</w:t>
      </w:r>
      <w:r w:rsidR="00841D45" w:rsidRPr="0086448E">
        <w:t xml:space="preserve">une capacité d’accueil de 300 lits. Il </w:t>
      </w:r>
      <w:r w:rsidR="0031655F">
        <w:t>existe</w:t>
      </w:r>
      <w:r w:rsidR="00841D45" w:rsidRPr="0086448E">
        <w:t xml:space="preserve"> sept maisons d’accueil d’une capacité d’accueil de 106 lits. Ces centres </w:t>
      </w:r>
      <w:r w:rsidR="0031655F">
        <w:t>ont</w:t>
      </w:r>
      <w:r w:rsidR="0031655F" w:rsidRPr="0086448E">
        <w:t xml:space="preserve"> </w:t>
      </w:r>
      <w:r w:rsidR="00841D45" w:rsidRPr="0086448E">
        <w:t xml:space="preserve">une distribution géographique </w:t>
      </w:r>
      <w:r w:rsidR="0031655F">
        <w:t xml:space="preserve">qui permet de </w:t>
      </w:r>
      <w:r w:rsidR="00841D45" w:rsidRPr="0086448E">
        <w:t>couvr</w:t>
      </w:r>
      <w:r w:rsidR="0031655F">
        <w:t xml:space="preserve">ir </w:t>
      </w:r>
      <w:r w:rsidR="00841D45" w:rsidRPr="0086448E">
        <w:t xml:space="preserve">l’ensemble de la Flandre. </w:t>
      </w:r>
    </w:p>
    <w:p w:rsidR="00C34A80" w:rsidRDefault="00C34A80" w:rsidP="005716A9">
      <w:pPr>
        <w:pStyle w:val="SingleTxtG"/>
        <w:rPr>
          <w:lang w:val="fr-BE"/>
        </w:rPr>
      </w:pPr>
      <w:r>
        <w:t>104.</w:t>
      </w:r>
      <w:r>
        <w:tab/>
      </w:r>
      <w:r w:rsidR="00841D45" w:rsidRPr="00A65915">
        <w:rPr>
          <w:color w:val="000000"/>
        </w:rPr>
        <w:t>En</w:t>
      </w:r>
      <w:r w:rsidR="00841D45" w:rsidRPr="0086448E">
        <w:rPr>
          <w:color w:val="000000"/>
        </w:rPr>
        <w:t xml:space="preserve"> </w:t>
      </w:r>
      <w:r w:rsidR="00841D45" w:rsidRPr="004A087E">
        <w:t xml:space="preserve">Belgique, </w:t>
      </w:r>
      <w:r w:rsidR="00841D45" w:rsidRPr="004A087E">
        <w:rPr>
          <w:lang w:val="fr-BE"/>
        </w:rPr>
        <w:t>l’</w:t>
      </w:r>
      <w:r w:rsidR="000D7AB1">
        <w:rPr>
          <w:lang w:val="fr-BE"/>
        </w:rPr>
        <w:t>État</w:t>
      </w:r>
      <w:r w:rsidR="00841D45" w:rsidRPr="004A087E">
        <w:rPr>
          <w:lang w:val="fr-BE"/>
        </w:rPr>
        <w:t xml:space="preserve"> fédéral, les Communautés et les Régions se trouvent tous au même niveau de pouvoir et exercent de manière autonome leurs compétences dans les </w:t>
      </w:r>
      <w:r w:rsidR="00F56D52">
        <w:rPr>
          <w:lang w:val="fr-BE"/>
        </w:rPr>
        <w:t>domaines</w:t>
      </w:r>
      <w:r w:rsidR="00F56D52" w:rsidRPr="004A087E">
        <w:rPr>
          <w:lang w:val="fr-BE"/>
        </w:rPr>
        <w:t xml:space="preserve"> </w:t>
      </w:r>
      <w:r w:rsidR="00841D45" w:rsidRPr="004A087E">
        <w:rPr>
          <w:lang w:val="fr-BE"/>
        </w:rPr>
        <w:t xml:space="preserve">qui leur sont propres. En matière de violence à l’égard des femmes, une action globale et coordonnée est </w:t>
      </w:r>
      <w:r w:rsidR="005716A9">
        <w:rPr>
          <w:lang w:val="fr-BE"/>
        </w:rPr>
        <w:t>toutefois</w:t>
      </w:r>
      <w:r w:rsidR="005716A9" w:rsidRPr="004A087E">
        <w:rPr>
          <w:lang w:val="fr-BE"/>
        </w:rPr>
        <w:t xml:space="preserve"> </w:t>
      </w:r>
      <w:r w:rsidR="00841D45" w:rsidRPr="004A087E">
        <w:rPr>
          <w:lang w:val="fr-BE"/>
        </w:rPr>
        <w:t>p</w:t>
      </w:r>
      <w:r w:rsidR="00841D45">
        <w:rPr>
          <w:lang w:val="fr-BE"/>
        </w:rPr>
        <w:t xml:space="preserve">révue </w:t>
      </w:r>
      <w:r w:rsidR="005716A9">
        <w:rPr>
          <w:lang w:val="fr-BE"/>
        </w:rPr>
        <w:t xml:space="preserve">avec </w:t>
      </w:r>
      <w:r w:rsidR="00841D45">
        <w:rPr>
          <w:lang w:val="fr-BE"/>
        </w:rPr>
        <w:t>la mise en place et</w:t>
      </w:r>
      <w:r w:rsidR="00841D45" w:rsidRPr="004A087E">
        <w:rPr>
          <w:lang w:val="fr-BE"/>
        </w:rPr>
        <w:t xml:space="preserve"> la réalisation de plans d’action nationaux. </w:t>
      </w:r>
    </w:p>
    <w:p w:rsidR="00841D45" w:rsidRPr="004A087E" w:rsidRDefault="00C34A80" w:rsidP="00E05000">
      <w:pPr>
        <w:pStyle w:val="SingleTxtG"/>
      </w:pPr>
      <w:r>
        <w:rPr>
          <w:lang w:val="fr-BE"/>
        </w:rPr>
        <w:t>105.</w:t>
      </w:r>
      <w:r>
        <w:rPr>
          <w:lang w:val="fr-BE"/>
        </w:rPr>
        <w:tab/>
      </w:r>
      <w:r w:rsidR="00841D45" w:rsidRPr="004A087E">
        <w:t xml:space="preserve">La Belgique s’est ainsi dotée d’un troisième plan d’action national de lutte contre la violence entre partenaires </w:t>
      </w:r>
      <w:r w:rsidR="00841D45">
        <w:t>(PAN)</w:t>
      </w:r>
      <w:r w:rsidR="00841D45" w:rsidRPr="004A087E">
        <w:t xml:space="preserve"> 2008-2009</w:t>
      </w:r>
      <w:r w:rsidR="00841D45">
        <w:t>.</w:t>
      </w:r>
      <w:r w:rsidR="00841D45" w:rsidRPr="004A087E">
        <w:t xml:space="preserve"> Ce plan a été adopté en décembre 2008, suite à une concertation entre les ministres fédéraux, communautaires et régionaux concernés. </w:t>
      </w:r>
      <w:r w:rsidR="00841D45" w:rsidRPr="004A087E">
        <w:rPr>
          <w:lang w:val="fr-BE"/>
        </w:rPr>
        <w:t>Quatre</w:t>
      </w:r>
      <w:r w:rsidR="00841D45" w:rsidRPr="004A087E">
        <w:t xml:space="preserve"> objectifs prioritaires ont été dégagés : la prise en charge immédiate des auteurs, la protection des victimes et des enfants</w:t>
      </w:r>
      <w:r w:rsidR="00DA52C8">
        <w:t>-</w:t>
      </w:r>
      <w:r w:rsidR="00841D45" w:rsidRPr="004A087E">
        <w:t>témoins, le renforcement de l'efficacité et de la cohérence des actions par une bonne coordination des intervenants et des dispositifs</w:t>
      </w:r>
      <w:r w:rsidR="00DA52C8">
        <w:t>,</w:t>
      </w:r>
      <w:r w:rsidR="00841D45" w:rsidRPr="004A087E">
        <w:t xml:space="preserve"> et enfin la prévention de la violence par la sensibilisation et l’information. </w:t>
      </w:r>
    </w:p>
    <w:p w:rsidR="00841D45" w:rsidRPr="004A087E" w:rsidRDefault="00C34A80" w:rsidP="003F72BA">
      <w:pPr>
        <w:pStyle w:val="SingleTxtG"/>
      </w:pPr>
      <w:r>
        <w:t>106.</w:t>
      </w:r>
      <w:r>
        <w:tab/>
      </w:r>
      <w:r w:rsidR="00841D45">
        <w:t>Ce plan comprend</w:t>
      </w:r>
      <w:r w:rsidR="00841D45" w:rsidRPr="004A087E">
        <w:t xml:space="preserve"> également la création d'un groupe de travail </w:t>
      </w:r>
      <w:r w:rsidR="003F72BA">
        <w:t>sur</w:t>
      </w:r>
      <w:r w:rsidR="00841D45" w:rsidRPr="004A087E">
        <w:t xml:space="preserve"> d'autres formes de violences : mariages forcés, violences liées à l’honneur et mutilations génitales féminines. </w:t>
      </w:r>
    </w:p>
    <w:p w:rsidR="00841D45" w:rsidRPr="004A087E" w:rsidRDefault="00C34A80" w:rsidP="003F72BA">
      <w:pPr>
        <w:pStyle w:val="SingleTxtG"/>
      </w:pPr>
      <w:r>
        <w:t>107.</w:t>
      </w:r>
      <w:r>
        <w:tab/>
      </w:r>
      <w:r w:rsidR="00841D45" w:rsidRPr="004A087E">
        <w:t xml:space="preserve">Sur </w:t>
      </w:r>
      <w:r w:rsidR="003F72BA">
        <w:t xml:space="preserve">la </w:t>
      </w:r>
      <w:r w:rsidR="00841D45" w:rsidRPr="004A087E">
        <w:t xml:space="preserve">base de ces travaux conduits en 2009, </w:t>
      </w:r>
      <w:r w:rsidR="00841D45" w:rsidRPr="004A087E">
        <w:rPr>
          <w:lang w:val="fr-BE"/>
        </w:rPr>
        <w:t xml:space="preserve">un projet de quatrième plan d’action national (PAN 2010-2014) a été élaboré à </w:t>
      </w:r>
      <w:r w:rsidR="003F72BA">
        <w:rPr>
          <w:lang w:val="fr-BE"/>
        </w:rPr>
        <w:t>l’issue d’</w:t>
      </w:r>
      <w:r w:rsidR="00841D45" w:rsidRPr="004A087E">
        <w:rPr>
          <w:lang w:val="fr-BE"/>
        </w:rPr>
        <w:t xml:space="preserve">une nouvelle concertation entre les différents ministres concernés par </w:t>
      </w:r>
      <w:r w:rsidR="003F72BA">
        <w:rPr>
          <w:lang w:val="fr-BE"/>
        </w:rPr>
        <w:t>c</w:t>
      </w:r>
      <w:r w:rsidR="00841D45" w:rsidRPr="004A087E">
        <w:rPr>
          <w:lang w:val="fr-BE"/>
        </w:rPr>
        <w:t>es problématiques.</w:t>
      </w:r>
      <w:r w:rsidR="00841D45" w:rsidRPr="004A087E">
        <w:t xml:space="preserve"> Par ailleurs, les migrant(e)s </w:t>
      </w:r>
      <w:r w:rsidR="003F72BA">
        <w:t>susceptibles d’</w:t>
      </w:r>
      <w:r w:rsidR="00841D45" w:rsidRPr="004A087E">
        <w:t xml:space="preserve">être particulièrement vulnérables aux situations de violence, notamment </w:t>
      </w:r>
      <w:r w:rsidR="003F72BA">
        <w:t>du fait de</w:t>
      </w:r>
      <w:r w:rsidR="00841D45" w:rsidRPr="004A087E">
        <w:t xml:space="preserve"> leur </w:t>
      </w:r>
      <w:r w:rsidR="003F72BA">
        <w:t>mé</w:t>
      </w:r>
      <w:r w:rsidR="00841D45" w:rsidRPr="004A087E">
        <w:t>connaissance des structures d’aide belges</w:t>
      </w:r>
      <w:r w:rsidR="003F72BA">
        <w:t>,</w:t>
      </w:r>
      <w:r w:rsidR="00841D45" w:rsidRPr="004A087E">
        <w:t xml:space="preserve"> se sont vu accorder une attention spécifique dans le cadre du projet de </w:t>
      </w:r>
      <w:r w:rsidR="003F72BA">
        <w:t xml:space="preserve">nouveau </w:t>
      </w:r>
      <w:r w:rsidR="00841D45" w:rsidRPr="004A087E">
        <w:t>PAN.</w:t>
      </w:r>
    </w:p>
    <w:p w:rsidR="00C34A80" w:rsidRDefault="00C34A80" w:rsidP="0055112C">
      <w:pPr>
        <w:pStyle w:val="SingleTxtG"/>
      </w:pPr>
      <w:r>
        <w:rPr>
          <w:lang w:val="fr-BE"/>
        </w:rPr>
        <w:t>108.</w:t>
      </w:r>
      <w:r>
        <w:rPr>
          <w:lang w:val="fr-BE"/>
        </w:rPr>
        <w:tab/>
      </w:r>
      <w:r w:rsidR="00841D45" w:rsidRPr="004A087E">
        <w:rPr>
          <w:lang w:val="fr-BE"/>
        </w:rPr>
        <w:t xml:space="preserve">Néanmoins, ce projet doit </w:t>
      </w:r>
      <w:r w:rsidR="00B40135" w:rsidRPr="004A087E">
        <w:rPr>
          <w:lang w:val="fr-BE"/>
        </w:rPr>
        <w:t xml:space="preserve">encore </w:t>
      </w:r>
      <w:r w:rsidR="00841D45" w:rsidRPr="004A087E">
        <w:rPr>
          <w:lang w:val="fr-BE"/>
        </w:rPr>
        <w:t xml:space="preserve">être approuvé </w:t>
      </w:r>
      <w:r w:rsidR="00B40135">
        <w:rPr>
          <w:lang w:val="fr-BE"/>
        </w:rPr>
        <w:t>au cours d’</w:t>
      </w:r>
      <w:r w:rsidR="00841D45" w:rsidRPr="004A087E">
        <w:rPr>
          <w:lang w:val="fr-BE"/>
        </w:rPr>
        <w:t xml:space="preserve">une </w:t>
      </w:r>
      <w:r w:rsidR="00B40135">
        <w:rPr>
          <w:lang w:val="fr-BE"/>
        </w:rPr>
        <w:t>c</w:t>
      </w:r>
      <w:r w:rsidR="00841D45" w:rsidRPr="004A087E">
        <w:rPr>
          <w:lang w:val="fr-BE"/>
        </w:rPr>
        <w:t xml:space="preserve">onférence interministérielle </w:t>
      </w:r>
      <w:r w:rsidR="009B0F03">
        <w:rPr>
          <w:lang w:val="fr-BE"/>
        </w:rPr>
        <w:t>avant de</w:t>
      </w:r>
      <w:r w:rsidR="00B40135">
        <w:rPr>
          <w:lang w:val="fr-BE"/>
        </w:rPr>
        <w:t xml:space="preserve"> pouvoir être appliqué</w:t>
      </w:r>
      <w:r w:rsidR="00841D45" w:rsidRPr="004A087E">
        <w:rPr>
          <w:lang w:val="fr-BE"/>
        </w:rPr>
        <w:t xml:space="preserve">. </w:t>
      </w:r>
      <w:r w:rsidR="007B719D">
        <w:rPr>
          <w:lang w:val="fr-BE"/>
        </w:rPr>
        <w:t>À</w:t>
      </w:r>
      <w:r w:rsidR="00E1215D">
        <w:rPr>
          <w:lang w:val="fr-BE"/>
        </w:rPr>
        <w:t xml:space="preserve"> </w:t>
      </w:r>
      <w:r w:rsidR="00841D45" w:rsidRPr="004A087E">
        <w:rPr>
          <w:lang w:val="fr-BE"/>
        </w:rPr>
        <w:t>terme, ce projet de PAN devrait comporter deux volets</w:t>
      </w:r>
      <w:r w:rsidR="0055112C">
        <w:rPr>
          <w:lang w:val="fr-BE"/>
        </w:rPr>
        <w:t> :</w:t>
      </w:r>
      <w:r w:rsidR="00841D45" w:rsidRPr="004A087E">
        <w:rPr>
          <w:lang w:val="fr-BE"/>
        </w:rPr>
        <w:t xml:space="preserve"> d’une part, la violence entre partenaires et</w:t>
      </w:r>
      <w:r w:rsidR="0055112C">
        <w:rPr>
          <w:lang w:val="fr-BE"/>
        </w:rPr>
        <w:t>,</w:t>
      </w:r>
      <w:r w:rsidR="00841D45" w:rsidRPr="004A087E">
        <w:rPr>
          <w:lang w:val="fr-BE"/>
        </w:rPr>
        <w:t xml:space="preserve"> d’autre part, </w:t>
      </w:r>
      <w:r w:rsidR="0055112C">
        <w:rPr>
          <w:lang w:val="fr-BE"/>
        </w:rPr>
        <w:t xml:space="preserve">les </w:t>
      </w:r>
      <w:r w:rsidR="00841D45" w:rsidRPr="004A087E">
        <w:rPr>
          <w:lang w:val="fr-BE"/>
        </w:rPr>
        <w:t>autres formes de violences intrafamiliales plus spécifiques, les mariages forcés, les violences dites liées à l’honneur et les mutilations génitales féminines.</w:t>
      </w:r>
      <w:r w:rsidR="00841D45" w:rsidRPr="004A087E">
        <w:t xml:space="preserve"> </w:t>
      </w:r>
    </w:p>
    <w:p w:rsidR="00841D45" w:rsidRPr="004A087E" w:rsidRDefault="00C34A80" w:rsidP="00C34A80">
      <w:pPr>
        <w:pStyle w:val="SingleTxtG"/>
        <w:rPr>
          <w:lang w:val="fr-BE"/>
        </w:rPr>
      </w:pPr>
      <w:r>
        <w:t>109.</w:t>
      </w:r>
      <w:r>
        <w:tab/>
      </w:r>
      <w:r w:rsidR="00841D45" w:rsidRPr="004A087E">
        <w:t>En outre, il convient de mentionner que le champ d’action prévoit de ne pas se limiter au territoire de l’</w:t>
      </w:r>
      <w:r w:rsidR="000D7AB1">
        <w:t>État</w:t>
      </w:r>
      <w:r w:rsidR="00841D45" w:rsidRPr="004A087E">
        <w:t xml:space="preserve"> belge mais de viser également une action internationale, principalement dans le cadre de la Coopération au Développement. </w:t>
      </w:r>
    </w:p>
    <w:p w:rsidR="00841D45" w:rsidRPr="00981FC5" w:rsidRDefault="00C34A80" w:rsidP="008971EE">
      <w:pPr>
        <w:pStyle w:val="SingleTxtG"/>
        <w:rPr>
          <w:lang w:val="fr-BE"/>
        </w:rPr>
      </w:pPr>
      <w:r>
        <w:rPr>
          <w:lang w:val="fr-BE"/>
        </w:rPr>
        <w:t>110.</w:t>
      </w:r>
      <w:r>
        <w:rPr>
          <w:lang w:val="fr-BE"/>
        </w:rPr>
        <w:tab/>
      </w:r>
      <w:r w:rsidR="00841D45" w:rsidRPr="00981FC5">
        <w:rPr>
          <w:lang w:val="fr-BE"/>
        </w:rPr>
        <w:t xml:space="preserve">Dans le cadre du PAN, l’Institut pour l’égalité des femmes et des hommes poursuivra sa mission de suivi, notamment </w:t>
      </w:r>
      <w:r w:rsidR="008971EE">
        <w:rPr>
          <w:lang w:val="fr-BE"/>
        </w:rPr>
        <w:t>par le biais de</w:t>
      </w:r>
      <w:r w:rsidR="00841D45" w:rsidRPr="00981FC5">
        <w:rPr>
          <w:lang w:val="fr-BE"/>
        </w:rPr>
        <w:t xml:space="preserve"> la coordination </w:t>
      </w:r>
      <w:r w:rsidR="00841D45" w:rsidRPr="00981FC5">
        <w:rPr>
          <w:rFonts w:eastAsia="Arial Unicode MS"/>
        </w:rPr>
        <w:t xml:space="preserve">du groupe interdépartemental mis en place </w:t>
      </w:r>
      <w:r w:rsidR="008971EE">
        <w:rPr>
          <w:lang w:val="fr-BE"/>
        </w:rPr>
        <w:t xml:space="preserve">pour </w:t>
      </w:r>
      <w:r w:rsidR="00841D45" w:rsidRPr="00981FC5">
        <w:rPr>
          <w:lang w:val="fr-BE"/>
        </w:rPr>
        <w:t xml:space="preserve">accompagner et veiller à l’échange d’information entre les différents acteurs concernés par la réalisation concrète du PAN. Cette instance se compose des représentants des administrations et des ministres fédéraux, communautaires et régionaux impliqués dans la lutte contre les violences. </w:t>
      </w:r>
    </w:p>
    <w:p w:rsidR="00841D45" w:rsidRPr="0086448E" w:rsidRDefault="00C34A80" w:rsidP="00886252">
      <w:pPr>
        <w:pStyle w:val="SingleTxtG"/>
        <w:rPr>
          <w:bCs/>
          <w:u w:val="single"/>
        </w:rPr>
      </w:pPr>
      <w:r>
        <w:rPr>
          <w:lang w:val="fr-BE"/>
        </w:rPr>
        <w:t>111.</w:t>
      </w:r>
      <w:r>
        <w:rPr>
          <w:lang w:val="fr-BE"/>
        </w:rPr>
        <w:tab/>
      </w:r>
      <w:r w:rsidR="00841D45" w:rsidRPr="00981FC5">
        <w:rPr>
          <w:lang w:val="fr-BE"/>
        </w:rPr>
        <w:t>En outre, l</w:t>
      </w:r>
      <w:r w:rsidR="00841D45" w:rsidRPr="00981FC5">
        <w:t xml:space="preserve">’Institut souhaite également </w:t>
      </w:r>
      <w:r w:rsidR="00841D45">
        <w:t>poursuivre son rôle d’observateur</w:t>
      </w:r>
      <w:r w:rsidR="00841D45" w:rsidRPr="00981FC5">
        <w:t xml:space="preserve"> de </w:t>
      </w:r>
      <w:r w:rsidR="00A97ED3">
        <w:t>cette</w:t>
      </w:r>
      <w:r w:rsidR="00A97ED3" w:rsidRPr="00981FC5">
        <w:t xml:space="preserve"> </w:t>
      </w:r>
      <w:r w:rsidR="00841D45" w:rsidRPr="00981FC5">
        <w:t xml:space="preserve">problématique en collectant, analysant et diffusant les avis, les évaluations et les </w:t>
      </w:r>
      <w:r w:rsidR="00841D45" w:rsidRPr="00981FC5">
        <w:rPr>
          <w:lang w:val="fr-BE"/>
        </w:rPr>
        <w:t xml:space="preserve">rapports </w:t>
      </w:r>
      <w:r w:rsidR="00F0788D">
        <w:rPr>
          <w:lang w:val="fr-BE"/>
        </w:rPr>
        <w:t>se rapportant</w:t>
      </w:r>
      <w:r w:rsidR="00F0788D" w:rsidRPr="00981FC5">
        <w:rPr>
          <w:lang w:val="fr-BE"/>
        </w:rPr>
        <w:t xml:space="preserve"> </w:t>
      </w:r>
      <w:r w:rsidR="00841D45" w:rsidRPr="00981FC5">
        <w:rPr>
          <w:lang w:val="fr-BE"/>
        </w:rPr>
        <w:t>aux mesures entreprises dans le cadre du PAN ou en dehors</w:t>
      </w:r>
      <w:r w:rsidR="00806457">
        <w:rPr>
          <w:lang w:val="fr-BE"/>
        </w:rPr>
        <w:t>,</w:t>
      </w:r>
      <w:r w:rsidR="00841D45" w:rsidRPr="00981FC5">
        <w:rPr>
          <w:lang w:val="fr-BE"/>
        </w:rPr>
        <w:t xml:space="preserve"> ainsi que les bonnes pratiques développées au niveau européen et international.</w:t>
      </w:r>
    </w:p>
    <w:p w:rsidR="00841D45" w:rsidRPr="00340AAB" w:rsidRDefault="00C34A80" w:rsidP="00841D45">
      <w:pPr>
        <w:pStyle w:val="SingleTxtG"/>
        <w:rPr>
          <w:b/>
          <w:bCs/>
          <w:lang w:val="fr-BE"/>
        </w:rPr>
      </w:pPr>
      <w:r w:rsidRPr="00340AAB">
        <w:rPr>
          <w:b/>
          <w:bCs/>
        </w:rPr>
        <w:t>Réponse au paragraphe 13 de la liste de points à traiter</w:t>
      </w:r>
    </w:p>
    <w:p w:rsidR="00841D45" w:rsidRPr="004E4FBF" w:rsidRDefault="00601C0A" w:rsidP="00D35046">
      <w:pPr>
        <w:pStyle w:val="SingleTxtG"/>
        <w:rPr>
          <w:lang w:val="fr-BE"/>
        </w:rPr>
      </w:pPr>
      <w:r>
        <w:rPr>
          <w:lang w:val="fr-BE"/>
        </w:rPr>
        <w:t>112.</w:t>
      </w:r>
      <w:r>
        <w:rPr>
          <w:lang w:val="fr-BE"/>
        </w:rPr>
        <w:tab/>
      </w:r>
      <w:r w:rsidR="00841D45" w:rsidRPr="004E4FBF">
        <w:rPr>
          <w:lang w:val="fr-BE"/>
        </w:rPr>
        <w:t>Nous renvoyons ici aux statistiques</w:t>
      </w:r>
      <w:r w:rsidR="00806457">
        <w:rPr>
          <w:lang w:val="fr-BE"/>
        </w:rPr>
        <w:t xml:space="preserve"> qui figurent</w:t>
      </w:r>
      <w:r w:rsidR="00841D45" w:rsidRPr="004E4FBF">
        <w:rPr>
          <w:lang w:val="fr-BE"/>
        </w:rPr>
        <w:t xml:space="preserve"> en annexe de ce document</w:t>
      </w:r>
      <w:r w:rsidR="00841D45">
        <w:rPr>
          <w:rStyle w:val="FootnoteReference"/>
          <w:lang w:val="fr-BE"/>
        </w:rPr>
        <w:footnoteReference w:id="11"/>
      </w:r>
      <w:r w:rsidR="00D87DA4">
        <w:rPr>
          <w:lang w:val="fr-BE"/>
        </w:rPr>
        <w:t>.</w:t>
      </w:r>
    </w:p>
    <w:p w:rsidR="00841D45" w:rsidRPr="004E4FBF" w:rsidRDefault="00601C0A" w:rsidP="00A94A65">
      <w:pPr>
        <w:pStyle w:val="SingleTxtG"/>
        <w:rPr>
          <w:lang w:val="fr-BE"/>
        </w:rPr>
      </w:pPr>
      <w:r>
        <w:rPr>
          <w:lang w:val="fr-BE"/>
        </w:rPr>
        <w:t>113.</w:t>
      </w:r>
      <w:r>
        <w:rPr>
          <w:lang w:val="fr-BE"/>
        </w:rPr>
        <w:tab/>
      </w:r>
      <w:r w:rsidR="00841D45" w:rsidRPr="004E4FBF">
        <w:rPr>
          <w:lang w:val="fr-BE"/>
        </w:rPr>
        <w:t xml:space="preserve">En sus des dommages et intérêts qui peuvent être accordés aux victimes à </w:t>
      </w:r>
      <w:r w:rsidR="00A94A65">
        <w:rPr>
          <w:lang w:val="fr-BE"/>
        </w:rPr>
        <w:t xml:space="preserve">la </w:t>
      </w:r>
      <w:r w:rsidR="00841D45" w:rsidRPr="004E4FBF">
        <w:rPr>
          <w:lang w:val="fr-BE"/>
        </w:rPr>
        <w:t xml:space="preserve">charge de l’auteur d’une infraction, une aide </w:t>
      </w:r>
      <w:r w:rsidR="00841D45" w:rsidRPr="004E4FBF">
        <w:t>financière peut être accordé</w:t>
      </w:r>
      <w:r w:rsidR="00A94A65">
        <w:t>e</w:t>
      </w:r>
      <w:r w:rsidR="00841D45" w:rsidRPr="004E4FBF">
        <w:t xml:space="preserve"> aux victimes d'actes intentionnels de violence perpétrés en Belgique</w:t>
      </w:r>
      <w:r w:rsidR="00014E64">
        <w:t xml:space="preserve"> </w:t>
      </w:r>
      <w:r w:rsidR="00A94A65">
        <w:t>ayant</w:t>
      </w:r>
      <w:r w:rsidR="00841D45" w:rsidRPr="004E4FBF">
        <w:t xml:space="preserve"> subi un dommage physique ou une atteinte grave à leur santé</w:t>
      </w:r>
      <w:r w:rsidR="00014E64">
        <w:t>,</w:t>
      </w:r>
      <w:r w:rsidR="00A94A65">
        <w:t xml:space="preserve"> lorsque</w:t>
      </w:r>
      <w:r w:rsidR="00841D45" w:rsidRPr="004E4FBF">
        <w:t xml:space="preserve"> l’auteur des faits est inconnu ou insolvable (loi du 1</w:t>
      </w:r>
      <w:r w:rsidR="00841D45" w:rsidRPr="00D9560A">
        <w:rPr>
          <w:vertAlign w:val="superscript"/>
        </w:rPr>
        <w:t>er</w:t>
      </w:r>
      <w:r w:rsidR="00841D45" w:rsidRPr="004E4FBF">
        <w:t xml:space="preserve"> août 1985).</w:t>
      </w:r>
      <w:r w:rsidR="00841D45" w:rsidRPr="004E4FBF">
        <w:rPr>
          <w:lang w:val="fr-BE"/>
        </w:rPr>
        <w:t xml:space="preserve"> </w:t>
      </w:r>
    </w:p>
    <w:p w:rsidR="00841D45" w:rsidRPr="004E4FBF" w:rsidRDefault="00601C0A" w:rsidP="00886252">
      <w:pPr>
        <w:pStyle w:val="SingleTxtG"/>
      </w:pPr>
      <w:r>
        <w:rPr>
          <w:lang w:val="fr-BE"/>
        </w:rPr>
        <w:t>114.</w:t>
      </w:r>
      <w:r>
        <w:rPr>
          <w:lang w:val="fr-BE"/>
        </w:rPr>
        <w:tab/>
      </w:r>
      <w:r w:rsidR="00841D45" w:rsidRPr="004E4FBF">
        <w:rPr>
          <w:lang w:val="fr-BE"/>
        </w:rPr>
        <w:t>Nous ne disposons</w:t>
      </w:r>
      <w:r w:rsidR="00014E64">
        <w:rPr>
          <w:lang w:val="fr-BE"/>
        </w:rPr>
        <w:t>,</w:t>
      </w:r>
      <w:r w:rsidR="00841D45" w:rsidRPr="004E4FBF">
        <w:rPr>
          <w:lang w:val="fr-BE"/>
        </w:rPr>
        <w:t xml:space="preserve"> cependant</w:t>
      </w:r>
      <w:r w:rsidR="00014E64">
        <w:rPr>
          <w:lang w:val="fr-BE"/>
        </w:rPr>
        <w:t>,</w:t>
      </w:r>
      <w:r w:rsidR="00841D45" w:rsidRPr="004E4FBF">
        <w:rPr>
          <w:lang w:val="fr-BE"/>
        </w:rPr>
        <w:t xml:space="preserve"> d’</w:t>
      </w:r>
      <w:r w:rsidR="00014E64">
        <w:rPr>
          <w:lang w:val="fr-BE"/>
        </w:rPr>
        <w:t>auc</w:t>
      </w:r>
      <w:r w:rsidR="00841D45" w:rsidRPr="004E4FBF">
        <w:rPr>
          <w:lang w:val="fr-BE"/>
        </w:rPr>
        <w:t xml:space="preserve">un système </w:t>
      </w:r>
      <w:r w:rsidR="00014E64">
        <w:rPr>
          <w:lang w:val="fr-BE"/>
        </w:rPr>
        <w:t xml:space="preserve">permettant de collecter </w:t>
      </w:r>
      <w:r w:rsidR="00841D45" w:rsidRPr="004E4FBF">
        <w:rPr>
          <w:lang w:val="fr-BE"/>
        </w:rPr>
        <w:t>de</w:t>
      </w:r>
      <w:r w:rsidR="00014E64">
        <w:rPr>
          <w:lang w:val="fr-BE"/>
        </w:rPr>
        <w:t xml:space="preserve">s </w:t>
      </w:r>
      <w:r w:rsidR="00841D45" w:rsidRPr="004E4FBF">
        <w:rPr>
          <w:lang w:val="fr-BE"/>
        </w:rPr>
        <w:t xml:space="preserve">statistiques </w:t>
      </w:r>
      <w:r w:rsidR="00014E64">
        <w:rPr>
          <w:lang w:val="fr-BE"/>
        </w:rPr>
        <w:t>sur les</w:t>
      </w:r>
      <w:r w:rsidR="00841D45" w:rsidRPr="004E4FBF">
        <w:rPr>
          <w:lang w:val="fr-BE"/>
        </w:rPr>
        <w:t xml:space="preserve"> réparations offertes aux victimes. </w:t>
      </w:r>
    </w:p>
    <w:p w:rsidR="00841D45" w:rsidRDefault="00481811" w:rsidP="00CB76D0">
      <w:pPr>
        <w:pStyle w:val="SingleTxtG"/>
        <w:rPr>
          <w:lang w:val="fr-BE"/>
        </w:rPr>
      </w:pPr>
      <w:r>
        <w:rPr>
          <w:lang w:val="fr-BE"/>
        </w:rPr>
        <w:t>115.</w:t>
      </w:r>
      <w:r>
        <w:rPr>
          <w:lang w:val="fr-BE"/>
        </w:rPr>
        <w:tab/>
      </w:r>
      <w:r w:rsidR="00841D45" w:rsidRPr="00333456">
        <w:rPr>
          <w:lang w:val="fr-BE"/>
        </w:rPr>
        <w:t xml:space="preserve">Les violences sexuelles sont </w:t>
      </w:r>
      <w:r w:rsidR="00CB76D0" w:rsidRPr="00333456">
        <w:rPr>
          <w:lang w:val="fr-BE"/>
        </w:rPr>
        <w:t xml:space="preserve">des incriminations spécifiques </w:t>
      </w:r>
      <w:r w:rsidR="00841D45" w:rsidRPr="00333456">
        <w:rPr>
          <w:lang w:val="fr-BE"/>
        </w:rPr>
        <w:t xml:space="preserve">qualifiées </w:t>
      </w:r>
      <w:r w:rsidR="00841D45">
        <w:rPr>
          <w:lang w:val="fr-BE"/>
        </w:rPr>
        <w:t>dans le Code pénal belge</w:t>
      </w:r>
      <w:r w:rsidR="00CB76D0">
        <w:rPr>
          <w:lang w:val="fr-BE"/>
        </w:rPr>
        <w:t xml:space="preserve"> (</w:t>
      </w:r>
      <w:r w:rsidR="00CB76D0" w:rsidRPr="001F4FFD">
        <w:rPr>
          <w:lang w:val="fr-BE"/>
        </w:rPr>
        <w:t>Code</w:t>
      </w:r>
      <w:r w:rsidR="00CB76D0" w:rsidRPr="00333456">
        <w:rPr>
          <w:lang w:val="fr-BE"/>
        </w:rPr>
        <w:t xml:space="preserve"> pénal</w:t>
      </w:r>
      <w:r w:rsidR="00CB76D0">
        <w:rPr>
          <w:lang w:val="fr-BE"/>
        </w:rPr>
        <w:t>, c</w:t>
      </w:r>
      <w:r w:rsidR="00841D45" w:rsidRPr="00333456">
        <w:rPr>
          <w:lang w:val="fr-BE"/>
        </w:rPr>
        <w:t>hap</w:t>
      </w:r>
      <w:r w:rsidR="00CB76D0">
        <w:rPr>
          <w:lang w:val="fr-BE"/>
        </w:rPr>
        <w:t>.</w:t>
      </w:r>
      <w:r w:rsidR="00841D45" w:rsidRPr="001F4FFD">
        <w:rPr>
          <w:lang w:val="fr-BE"/>
        </w:rPr>
        <w:t>V</w:t>
      </w:r>
      <w:r w:rsidR="00CB76D0">
        <w:rPr>
          <w:lang w:val="fr-BE"/>
        </w:rPr>
        <w:t>,</w:t>
      </w:r>
      <w:r w:rsidR="00841D45" w:rsidRPr="001F4FFD">
        <w:rPr>
          <w:lang w:val="fr-BE"/>
        </w:rPr>
        <w:t xml:space="preserve"> </w:t>
      </w:r>
      <w:r w:rsidR="00CB76D0">
        <w:rPr>
          <w:lang w:val="fr-BE"/>
        </w:rPr>
        <w:t>t</w:t>
      </w:r>
      <w:r w:rsidR="00841D45" w:rsidRPr="001F4FFD">
        <w:rPr>
          <w:lang w:val="fr-BE"/>
        </w:rPr>
        <w:t>itre III</w:t>
      </w:r>
      <w:r w:rsidR="00CB76D0">
        <w:rPr>
          <w:lang w:val="fr-BE"/>
        </w:rPr>
        <w:t xml:space="preserve"> </w:t>
      </w:r>
      <w:r w:rsidR="00D87DA4">
        <w:rPr>
          <w:lang w:val="fr-BE"/>
        </w:rPr>
        <w:t>«</w:t>
      </w:r>
      <w:r w:rsidR="00841D45" w:rsidRPr="00333456">
        <w:rPr>
          <w:lang w:val="fr-BE"/>
        </w:rPr>
        <w:t>De l’attentat à la pudeur et du viol</w:t>
      </w:r>
      <w:r w:rsidR="00841D45">
        <w:rPr>
          <w:rStyle w:val="FootnoteReference"/>
          <w:lang w:val="fr-BE"/>
        </w:rPr>
        <w:footnoteReference w:id="12"/>
      </w:r>
      <w:r w:rsidR="00D87DA4">
        <w:rPr>
          <w:lang w:val="fr-BE"/>
        </w:rPr>
        <w:t>»</w:t>
      </w:r>
      <w:r w:rsidR="00CB76D0">
        <w:rPr>
          <w:lang w:val="fr-BE"/>
        </w:rPr>
        <w:t xml:space="preserve">, </w:t>
      </w:r>
      <w:r w:rsidR="00841D45" w:rsidRPr="00333456">
        <w:rPr>
          <w:lang w:val="fr-BE"/>
        </w:rPr>
        <w:t>art</w:t>
      </w:r>
      <w:r w:rsidR="00CB76D0">
        <w:rPr>
          <w:lang w:val="fr-BE"/>
        </w:rPr>
        <w:t xml:space="preserve">. </w:t>
      </w:r>
      <w:r w:rsidR="00841D45" w:rsidRPr="00333456">
        <w:rPr>
          <w:lang w:val="fr-BE"/>
        </w:rPr>
        <w:t>372 à 378</w:t>
      </w:r>
      <w:r w:rsidR="00B403EE">
        <w:rPr>
          <w:lang w:val="fr-BE"/>
        </w:rPr>
        <w:t xml:space="preserve"> </w:t>
      </w:r>
      <w:r w:rsidR="00841D45" w:rsidRPr="00B403EE">
        <w:rPr>
          <w:i/>
          <w:iCs/>
          <w:lang w:val="fr-BE"/>
        </w:rPr>
        <w:t>bis</w:t>
      </w:r>
      <w:r w:rsidR="009C6652" w:rsidRPr="009C6652">
        <w:rPr>
          <w:lang w:val="fr-BE"/>
        </w:rPr>
        <w:t>)</w:t>
      </w:r>
      <w:r w:rsidR="00841D45" w:rsidRPr="009C6652">
        <w:rPr>
          <w:lang w:val="fr-BE"/>
        </w:rPr>
        <w:t>.</w:t>
      </w:r>
    </w:p>
    <w:p w:rsidR="00841D45" w:rsidRPr="00A65915" w:rsidRDefault="00481811" w:rsidP="00B3674F">
      <w:pPr>
        <w:pStyle w:val="SingleTxtG"/>
        <w:rPr>
          <w:lang w:val="fr-BE"/>
        </w:rPr>
      </w:pPr>
      <w:r>
        <w:rPr>
          <w:lang w:val="fr-BE"/>
        </w:rPr>
        <w:t>116.</w:t>
      </w:r>
      <w:r>
        <w:rPr>
          <w:lang w:val="fr-BE"/>
        </w:rPr>
        <w:tab/>
      </w:r>
      <w:r w:rsidR="00841D45" w:rsidRPr="00A65915">
        <w:rPr>
          <w:lang w:val="fr-BE"/>
        </w:rPr>
        <w:t xml:space="preserve">Les atteintes aux bonnes mœurs </w:t>
      </w:r>
      <w:r w:rsidR="00B3674F">
        <w:rPr>
          <w:lang w:val="fr-BE"/>
        </w:rPr>
        <w:t>relèvent</w:t>
      </w:r>
      <w:r w:rsidR="00B3674F" w:rsidRPr="00A65915">
        <w:rPr>
          <w:lang w:val="fr-BE"/>
        </w:rPr>
        <w:t xml:space="preserve"> </w:t>
      </w:r>
      <w:r w:rsidR="00841D45" w:rsidRPr="00A65915">
        <w:rPr>
          <w:lang w:val="fr-BE"/>
        </w:rPr>
        <w:t xml:space="preserve">quant à elles </w:t>
      </w:r>
      <w:r w:rsidR="00B3674F">
        <w:rPr>
          <w:lang w:val="fr-BE"/>
        </w:rPr>
        <w:t>du</w:t>
      </w:r>
      <w:r w:rsidR="00B3674F" w:rsidRPr="00A65915">
        <w:rPr>
          <w:lang w:val="fr-BE"/>
        </w:rPr>
        <w:t xml:space="preserve"> </w:t>
      </w:r>
      <w:r w:rsidR="00841D45" w:rsidRPr="00A65915">
        <w:rPr>
          <w:lang w:val="fr-BE"/>
        </w:rPr>
        <w:t xml:space="preserve">chapitre VII du </w:t>
      </w:r>
      <w:r w:rsidR="00B3674F">
        <w:rPr>
          <w:lang w:val="fr-BE"/>
        </w:rPr>
        <w:t>t</w:t>
      </w:r>
      <w:r w:rsidR="00841D45" w:rsidRPr="00A65915">
        <w:rPr>
          <w:lang w:val="fr-BE"/>
        </w:rPr>
        <w:t>itre III</w:t>
      </w:r>
      <w:r w:rsidR="00B403EE">
        <w:rPr>
          <w:lang w:val="fr-BE"/>
        </w:rPr>
        <w:t>.</w:t>
      </w:r>
    </w:p>
    <w:p w:rsidR="00010ABF" w:rsidRPr="00340AAB" w:rsidRDefault="00010ABF" w:rsidP="00841D45">
      <w:pPr>
        <w:pStyle w:val="SingleTxtG"/>
        <w:rPr>
          <w:b/>
          <w:bCs/>
          <w:lang w:val="fr-FR"/>
        </w:rPr>
      </w:pPr>
      <w:r w:rsidRPr="00340AAB">
        <w:rPr>
          <w:b/>
          <w:bCs/>
        </w:rPr>
        <w:t>Réponse au paragraphe 14 de la liste de points à traiter</w:t>
      </w:r>
      <w:r w:rsidRPr="00340AAB" w:rsidDel="00010ABF">
        <w:rPr>
          <w:b/>
          <w:bCs/>
          <w:lang w:val="fr-FR"/>
        </w:rPr>
        <w:t xml:space="preserve"> </w:t>
      </w:r>
    </w:p>
    <w:p w:rsidR="00841D45" w:rsidRPr="00B15B08" w:rsidRDefault="00B9114B" w:rsidP="00F33417">
      <w:pPr>
        <w:pStyle w:val="SingleTxtG"/>
        <w:rPr>
          <w:lang w:val="fr-BE"/>
        </w:rPr>
      </w:pPr>
      <w:r>
        <w:rPr>
          <w:lang w:val="fr-BE"/>
        </w:rPr>
        <w:t>117.</w:t>
      </w:r>
      <w:r>
        <w:rPr>
          <w:lang w:val="fr-BE"/>
        </w:rPr>
        <w:tab/>
      </w:r>
      <w:r w:rsidR="00841D45">
        <w:rPr>
          <w:lang w:val="fr-BE"/>
        </w:rPr>
        <w:t xml:space="preserve">La </w:t>
      </w:r>
      <w:r w:rsidR="00D36A16">
        <w:rPr>
          <w:lang w:val="fr-BE"/>
        </w:rPr>
        <w:t>l</w:t>
      </w:r>
      <w:r w:rsidR="00841D45" w:rsidRPr="00B15B08">
        <w:rPr>
          <w:lang w:val="fr-BE"/>
        </w:rPr>
        <w:t>oi de principes</w:t>
      </w:r>
      <w:r w:rsidR="00841D45">
        <w:rPr>
          <w:rStyle w:val="FootnoteReference"/>
          <w:lang w:val="fr-BE"/>
        </w:rPr>
        <w:footnoteReference w:id="13"/>
      </w:r>
      <w:r w:rsidR="00841D45" w:rsidRPr="00B15B08">
        <w:rPr>
          <w:lang w:val="fr-BE"/>
        </w:rPr>
        <w:t xml:space="preserve"> </w:t>
      </w:r>
      <w:r w:rsidR="00D36A16">
        <w:rPr>
          <w:lang w:val="fr-BE"/>
        </w:rPr>
        <w:t>accorde aux détenus</w:t>
      </w:r>
      <w:r w:rsidR="00D36A16" w:rsidRPr="00B15B08">
        <w:rPr>
          <w:lang w:val="fr-BE"/>
        </w:rPr>
        <w:t xml:space="preserve"> </w:t>
      </w:r>
      <w:r w:rsidR="00841D45" w:rsidRPr="00B15B08">
        <w:rPr>
          <w:lang w:val="fr-BE"/>
        </w:rPr>
        <w:t xml:space="preserve">le droit de </w:t>
      </w:r>
      <w:r w:rsidR="00D36A16">
        <w:rPr>
          <w:lang w:val="fr-BE"/>
        </w:rPr>
        <w:t xml:space="preserve">déposer </w:t>
      </w:r>
      <w:r w:rsidR="00841D45" w:rsidRPr="00B15B08">
        <w:rPr>
          <w:lang w:val="fr-BE"/>
        </w:rPr>
        <w:t>plainte contre les décisions de l’administration pénitentiaire. Les dispositions à ce sujet</w:t>
      </w:r>
      <w:r w:rsidR="00F33417">
        <w:rPr>
          <w:lang w:val="fr-BE"/>
        </w:rPr>
        <w:t>,</w:t>
      </w:r>
      <w:r w:rsidR="00841D45" w:rsidRPr="00B15B08">
        <w:rPr>
          <w:lang w:val="fr-BE"/>
        </w:rPr>
        <w:t xml:space="preserve"> toutefois</w:t>
      </w:r>
      <w:r w:rsidR="00F33417">
        <w:rPr>
          <w:lang w:val="fr-BE"/>
        </w:rPr>
        <w:t>,</w:t>
      </w:r>
      <w:r w:rsidR="00841D45" w:rsidRPr="00B15B08">
        <w:rPr>
          <w:lang w:val="fr-BE"/>
        </w:rPr>
        <w:t xml:space="preserve"> </w:t>
      </w:r>
      <w:r w:rsidR="00F33417" w:rsidRPr="00B15B08">
        <w:rPr>
          <w:lang w:val="fr-BE"/>
        </w:rPr>
        <w:t xml:space="preserve">ne sont </w:t>
      </w:r>
      <w:r w:rsidR="00F33417">
        <w:rPr>
          <w:lang w:val="fr-BE"/>
        </w:rPr>
        <w:t xml:space="preserve">toujours </w:t>
      </w:r>
      <w:r w:rsidR="00841D45" w:rsidRPr="00B15B08">
        <w:rPr>
          <w:lang w:val="fr-BE"/>
        </w:rPr>
        <w:t>pas entrées en vigueur.</w:t>
      </w:r>
    </w:p>
    <w:p w:rsidR="00841D45" w:rsidRPr="00B15B08" w:rsidRDefault="00B9114B" w:rsidP="004978CB">
      <w:pPr>
        <w:pStyle w:val="SingleTxtG"/>
        <w:rPr>
          <w:lang w:val="fr-BE"/>
        </w:rPr>
      </w:pPr>
      <w:r>
        <w:rPr>
          <w:lang w:val="fr-BE"/>
        </w:rPr>
        <w:t>118.</w:t>
      </w:r>
      <w:r>
        <w:rPr>
          <w:lang w:val="fr-BE"/>
        </w:rPr>
        <w:tab/>
      </w:r>
      <w:r w:rsidR="00841D45">
        <w:rPr>
          <w:lang w:val="fr-BE"/>
        </w:rPr>
        <w:t>Il est toutefois</w:t>
      </w:r>
      <w:r w:rsidR="00841D45" w:rsidRPr="00B15B08">
        <w:rPr>
          <w:lang w:val="fr-BE"/>
        </w:rPr>
        <w:t xml:space="preserve"> à noter que les sanctions disciplinaires prononcées à l’encontre des détenus peuvent faire l’objet d’un recours </w:t>
      </w:r>
      <w:r w:rsidR="004978CB">
        <w:rPr>
          <w:lang w:val="fr-BE"/>
        </w:rPr>
        <w:t>devant le</w:t>
      </w:r>
      <w:r w:rsidR="004978CB" w:rsidRPr="00B15B08">
        <w:rPr>
          <w:lang w:val="fr-BE"/>
        </w:rPr>
        <w:t xml:space="preserve"> </w:t>
      </w:r>
      <w:r w:rsidR="00841D45" w:rsidRPr="00B15B08">
        <w:rPr>
          <w:lang w:val="fr-BE"/>
        </w:rPr>
        <w:t>Conseil d’</w:t>
      </w:r>
      <w:r w:rsidR="000D7AB1">
        <w:rPr>
          <w:lang w:val="fr-BE"/>
        </w:rPr>
        <w:t>État</w:t>
      </w:r>
      <w:r w:rsidR="00841D45" w:rsidRPr="00B15B08">
        <w:rPr>
          <w:lang w:val="fr-BE"/>
        </w:rPr>
        <w:t>. Les détenus peuvent également contester leurs conditions de détention devant les juridictions de l’ordre judiciaire.</w:t>
      </w:r>
    </w:p>
    <w:p w:rsidR="00841D45" w:rsidRPr="00B15B08" w:rsidRDefault="00B9114B" w:rsidP="00221D9E">
      <w:pPr>
        <w:pStyle w:val="SingleTxtG"/>
        <w:rPr>
          <w:lang w:val="fr-BE"/>
        </w:rPr>
      </w:pPr>
      <w:r>
        <w:rPr>
          <w:lang w:val="fr-BE"/>
        </w:rPr>
        <w:t>119.</w:t>
      </w:r>
      <w:r>
        <w:rPr>
          <w:lang w:val="fr-BE"/>
        </w:rPr>
        <w:tab/>
      </w:r>
      <w:r w:rsidR="00841D45" w:rsidRPr="00B15B08">
        <w:rPr>
          <w:lang w:val="fr-BE"/>
        </w:rPr>
        <w:t xml:space="preserve">Lorsque le Conseil </w:t>
      </w:r>
      <w:r w:rsidR="00841D45">
        <w:rPr>
          <w:lang w:val="fr-BE"/>
        </w:rPr>
        <w:t>d’</w:t>
      </w:r>
      <w:r w:rsidR="000D7AB1">
        <w:rPr>
          <w:lang w:val="fr-BE"/>
        </w:rPr>
        <w:t>État</w:t>
      </w:r>
      <w:r w:rsidR="00841D45">
        <w:rPr>
          <w:lang w:val="fr-BE"/>
        </w:rPr>
        <w:t xml:space="preserve"> </w:t>
      </w:r>
      <w:r w:rsidR="00841D45" w:rsidRPr="00B15B08">
        <w:rPr>
          <w:lang w:val="fr-BE"/>
        </w:rPr>
        <w:t xml:space="preserve">suspend ou annule une sanction disciplinaire, ou lorsqu’un tribunal estime que le régime </w:t>
      </w:r>
      <w:r w:rsidR="00841D45">
        <w:rPr>
          <w:lang w:val="fr-BE"/>
        </w:rPr>
        <w:t>de détention d’un détenu viole s</w:t>
      </w:r>
      <w:r w:rsidR="00841D45" w:rsidRPr="00B15B08">
        <w:rPr>
          <w:lang w:val="fr-BE"/>
        </w:rPr>
        <w:t>es droits subjectifs, l’administration pénitentiaire obtempère et exécute ces décision</w:t>
      </w:r>
      <w:r w:rsidR="00841D45" w:rsidRPr="00032C05">
        <w:rPr>
          <w:color w:val="000000"/>
          <w:lang w:val="fr-BE"/>
        </w:rPr>
        <w:t>s administratives et</w:t>
      </w:r>
      <w:r w:rsidR="00841D45">
        <w:rPr>
          <w:lang w:val="fr-BE"/>
        </w:rPr>
        <w:t xml:space="preserve"> </w:t>
      </w:r>
      <w:r w:rsidR="00841D45" w:rsidRPr="00B15B08">
        <w:rPr>
          <w:lang w:val="fr-BE"/>
        </w:rPr>
        <w:t>judiciaires en se réservant le droit d’appel.</w:t>
      </w:r>
    </w:p>
    <w:p w:rsidR="00841D45" w:rsidRPr="0045585E" w:rsidRDefault="00B9114B" w:rsidP="00142A91">
      <w:pPr>
        <w:pStyle w:val="SingleTxtG"/>
        <w:rPr>
          <w:lang w:val="fr-BE"/>
        </w:rPr>
      </w:pPr>
      <w:r>
        <w:rPr>
          <w:lang w:val="fr-BE"/>
        </w:rPr>
        <w:t>120.</w:t>
      </w:r>
      <w:r>
        <w:rPr>
          <w:lang w:val="fr-BE"/>
        </w:rPr>
        <w:tab/>
        <w:t>L</w:t>
      </w:r>
      <w:r w:rsidR="00142A91">
        <w:rPr>
          <w:lang w:val="fr-BE"/>
        </w:rPr>
        <w:t xml:space="preserve">a deuxième phrase </w:t>
      </w:r>
      <w:r>
        <w:rPr>
          <w:lang w:val="fr-BE"/>
        </w:rPr>
        <w:t xml:space="preserve">du paragraphe 14 </w:t>
      </w:r>
      <w:r w:rsidR="00630DDB">
        <w:rPr>
          <w:lang w:val="fr-BE"/>
        </w:rPr>
        <w:t>de la liste de points à traiter (</w:t>
      </w:r>
      <w:r w:rsidR="009E6A90">
        <w:rPr>
          <w:lang w:val="fr-BE"/>
        </w:rPr>
        <w:t>CCPR/C/BEL/Q/5</w:t>
      </w:r>
      <w:r w:rsidR="00630DDB">
        <w:rPr>
          <w:lang w:val="fr-BE"/>
        </w:rPr>
        <w:t xml:space="preserve">) </w:t>
      </w:r>
      <w:r>
        <w:rPr>
          <w:lang w:val="fr-BE"/>
        </w:rPr>
        <w:t>est</w:t>
      </w:r>
      <w:r w:rsidR="00841D45" w:rsidRPr="0045585E">
        <w:rPr>
          <w:lang w:val="fr-BE"/>
        </w:rPr>
        <w:t xml:space="preserve"> sans objet.  </w:t>
      </w:r>
    </w:p>
    <w:p w:rsidR="00841D45" w:rsidRPr="00296187" w:rsidRDefault="00620F42" w:rsidP="004878DD">
      <w:pPr>
        <w:pStyle w:val="SingleTxtG"/>
        <w:rPr>
          <w:lang w:val="fr-BE"/>
        </w:rPr>
      </w:pPr>
      <w:r>
        <w:rPr>
          <w:lang w:val="fr-BE"/>
        </w:rPr>
        <w:t>121.</w:t>
      </w:r>
      <w:r>
        <w:rPr>
          <w:lang w:val="fr-BE"/>
        </w:rPr>
        <w:tab/>
      </w:r>
      <w:r w:rsidR="00841D45">
        <w:t xml:space="preserve">La </w:t>
      </w:r>
      <w:r w:rsidR="0030304E">
        <w:t>l</w:t>
      </w:r>
      <w:r w:rsidR="00841D45" w:rsidRPr="00F33076">
        <w:t xml:space="preserve">oi </w:t>
      </w:r>
      <w:r w:rsidR="00841D45">
        <w:t>de principes (ou «</w:t>
      </w:r>
      <w:r w:rsidR="00957FF2">
        <w:t>l</w:t>
      </w:r>
      <w:r w:rsidR="00841D45">
        <w:t>oi Dupont»)</w:t>
      </w:r>
      <w:r w:rsidR="00841D45" w:rsidRPr="00F33076">
        <w:t xml:space="preserve"> </w:t>
      </w:r>
      <w:r w:rsidR="00841D45" w:rsidRPr="00296187">
        <w:rPr>
          <w:lang w:val="fr-BE"/>
        </w:rPr>
        <w:t>entre progressivement en vigueur. Les Commissions</w:t>
      </w:r>
      <w:r w:rsidR="00841D45">
        <w:rPr>
          <w:lang w:val="fr-BE"/>
        </w:rPr>
        <w:t xml:space="preserve"> de plaintes créées auprès des C</w:t>
      </w:r>
      <w:r w:rsidR="00841D45" w:rsidRPr="00296187">
        <w:rPr>
          <w:lang w:val="fr-BE"/>
        </w:rPr>
        <w:t>ommissions de surveillance auront compétence pour toutes les décisions administratives pr</w:t>
      </w:r>
      <w:r w:rsidR="00841D45">
        <w:rPr>
          <w:lang w:val="fr-BE"/>
        </w:rPr>
        <w:t>ises</w:t>
      </w:r>
      <w:r w:rsidR="00841D45" w:rsidRPr="00296187">
        <w:rPr>
          <w:lang w:val="fr-BE"/>
        </w:rPr>
        <w:t xml:space="preserve"> dans le cadr</w:t>
      </w:r>
      <w:r w:rsidR="00841D45">
        <w:rPr>
          <w:lang w:val="fr-BE"/>
        </w:rPr>
        <w:t xml:space="preserve">e de la </w:t>
      </w:r>
      <w:r w:rsidR="0030304E">
        <w:rPr>
          <w:lang w:val="fr-BE"/>
        </w:rPr>
        <w:t>l</w:t>
      </w:r>
      <w:r w:rsidR="00841D45" w:rsidRPr="00296187">
        <w:rPr>
          <w:lang w:val="fr-BE"/>
        </w:rPr>
        <w:t xml:space="preserve">oi </w:t>
      </w:r>
      <w:r w:rsidR="00841D45">
        <w:rPr>
          <w:lang w:val="fr-BE"/>
        </w:rPr>
        <w:t>de principes</w:t>
      </w:r>
      <w:r w:rsidR="00841D45" w:rsidRPr="00296187">
        <w:rPr>
          <w:lang w:val="fr-BE"/>
        </w:rPr>
        <w:t>. P</w:t>
      </w:r>
      <w:r w:rsidR="004878DD">
        <w:rPr>
          <w:lang w:val="fr-BE"/>
        </w:rPr>
        <w:t>a</w:t>
      </w:r>
      <w:r w:rsidR="00841D45" w:rsidRPr="00296187">
        <w:rPr>
          <w:lang w:val="fr-BE"/>
        </w:rPr>
        <w:t xml:space="preserve">r </w:t>
      </w:r>
      <w:r w:rsidR="004878DD">
        <w:rPr>
          <w:lang w:val="fr-BE"/>
        </w:rPr>
        <w:t>souci</w:t>
      </w:r>
      <w:r w:rsidR="00841D45" w:rsidRPr="00296187">
        <w:rPr>
          <w:lang w:val="fr-BE"/>
        </w:rPr>
        <w:t xml:space="preserve"> de cohérence, les autorités compétentes envisagent donc de procéder d’abord à l’entrée en vigueur des dispositions de la </w:t>
      </w:r>
      <w:r w:rsidR="00957FF2">
        <w:rPr>
          <w:lang w:val="fr-BE"/>
        </w:rPr>
        <w:t>l</w:t>
      </w:r>
      <w:r w:rsidR="00841D45" w:rsidRPr="00296187">
        <w:rPr>
          <w:lang w:val="fr-BE"/>
        </w:rPr>
        <w:t xml:space="preserve">oi </w:t>
      </w:r>
      <w:r w:rsidR="00841D45">
        <w:rPr>
          <w:lang w:val="fr-BE"/>
        </w:rPr>
        <w:t>de principes</w:t>
      </w:r>
      <w:r w:rsidR="00841D45" w:rsidRPr="00296187">
        <w:rPr>
          <w:lang w:val="fr-BE"/>
        </w:rPr>
        <w:t xml:space="preserve"> autres que celles instaurant le droit de recours des détenus. </w:t>
      </w:r>
    </w:p>
    <w:p w:rsidR="00841D45" w:rsidRPr="00340AAB" w:rsidRDefault="00620F42" w:rsidP="00841D45">
      <w:pPr>
        <w:pStyle w:val="SingleTxtG"/>
        <w:rPr>
          <w:b/>
          <w:bCs/>
          <w:lang w:val="fr-BE"/>
        </w:rPr>
      </w:pPr>
      <w:r w:rsidRPr="00340AAB">
        <w:rPr>
          <w:b/>
          <w:bCs/>
        </w:rPr>
        <w:t>Réponse au paragraphe 15 de la liste de points à traiter</w:t>
      </w:r>
    </w:p>
    <w:p w:rsidR="00841D45" w:rsidRPr="006A74A9" w:rsidRDefault="00620F42" w:rsidP="005E7C19">
      <w:pPr>
        <w:pStyle w:val="SingleTxtG"/>
        <w:rPr>
          <w:lang w:val="fr-BE"/>
        </w:rPr>
      </w:pPr>
      <w:r>
        <w:rPr>
          <w:lang w:val="fr-BE"/>
        </w:rPr>
        <w:t>122.</w:t>
      </w:r>
      <w:r>
        <w:rPr>
          <w:lang w:val="fr-BE"/>
        </w:rPr>
        <w:tab/>
      </w:r>
      <w:r w:rsidR="00841D45" w:rsidRPr="006A74A9">
        <w:rPr>
          <w:lang w:val="fr-BE"/>
        </w:rPr>
        <w:t xml:space="preserve">En réponse à la question du Comité quant aux mesures prises par les autorités afin d’améliorer les conditions de détention dans les maisons d’arrêt et de peine en Belgique, </w:t>
      </w:r>
      <w:r w:rsidR="005E7C19">
        <w:rPr>
          <w:lang w:val="fr-BE"/>
        </w:rPr>
        <w:t>on énoncera les</w:t>
      </w:r>
      <w:r w:rsidR="005E7C19" w:rsidRPr="006A74A9">
        <w:rPr>
          <w:lang w:val="fr-BE"/>
        </w:rPr>
        <w:t xml:space="preserve"> </w:t>
      </w:r>
      <w:r w:rsidR="00841D45" w:rsidRPr="006A74A9">
        <w:rPr>
          <w:lang w:val="fr-BE"/>
        </w:rPr>
        <w:t xml:space="preserve">mesures </w:t>
      </w:r>
      <w:r w:rsidR="001F4406">
        <w:rPr>
          <w:lang w:val="fr-BE"/>
        </w:rPr>
        <w:t>figurant ci-dessous.</w:t>
      </w:r>
    </w:p>
    <w:p w:rsidR="00841D45" w:rsidRPr="001115FF" w:rsidRDefault="00CC76E6" w:rsidP="00F712FF">
      <w:pPr>
        <w:pStyle w:val="SingleTxtG"/>
        <w:rPr>
          <w:lang w:val="fr-BE"/>
        </w:rPr>
      </w:pPr>
      <w:r>
        <w:rPr>
          <w:lang w:val="fr-BE"/>
        </w:rPr>
        <w:t>123.</w:t>
      </w:r>
      <w:r>
        <w:rPr>
          <w:lang w:val="fr-BE"/>
        </w:rPr>
        <w:tab/>
      </w:r>
      <w:r w:rsidR="00841D45" w:rsidRPr="001115FF">
        <w:rPr>
          <w:lang w:val="fr-BE"/>
        </w:rPr>
        <w:t xml:space="preserve">Afin de lutter contre la surpopulation, le </w:t>
      </w:r>
      <w:r w:rsidR="00F82378">
        <w:rPr>
          <w:lang w:val="fr-BE"/>
        </w:rPr>
        <w:t>G</w:t>
      </w:r>
      <w:r w:rsidR="00841D45" w:rsidRPr="001115FF">
        <w:rPr>
          <w:lang w:val="fr-BE"/>
        </w:rPr>
        <w:t xml:space="preserve">ouvernement belge a adopté le </w:t>
      </w:r>
      <w:r w:rsidR="00036A6C">
        <w:rPr>
          <w:lang w:val="fr-BE"/>
        </w:rPr>
        <w:t>«</w:t>
      </w:r>
      <w:r w:rsidR="00841D45" w:rsidRPr="00036A6C">
        <w:rPr>
          <w:lang w:val="fr-BE"/>
        </w:rPr>
        <w:t>Masterplan</w:t>
      </w:r>
      <w:r w:rsidR="00036A6C">
        <w:rPr>
          <w:lang w:val="fr-BE"/>
        </w:rPr>
        <w:t>»</w:t>
      </w:r>
      <w:r w:rsidR="00841D45" w:rsidRPr="001115FF">
        <w:rPr>
          <w:lang w:val="fr-BE"/>
        </w:rPr>
        <w:t xml:space="preserve"> </w:t>
      </w:r>
      <w:r w:rsidR="00841D45" w:rsidRPr="000E31B4">
        <w:rPr>
          <w:i/>
          <w:iCs/>
          <w:lang w:val="fr-BE"/>
        </w:rPr>
        <w:t>bis</w:t>
      </w:r>
      <w:r w:rsidR="00841D45" w:rsidRPr="001115FF">
        <w:rPr>
          <w:lang w:val="fr-BE"/>
        </w:rPr>
        <w:t xml:space="preserve">, dont les premières réalisations sont visibles. Par ailleurs, la mise en service de la prison de Tilburg a permis de réduire la pression </w:t>
      </w:r>
      <w:r w:rsidR="00F712FF">
        <w:rPr>
          <w:lang w:val="fr-BE"/>
        </w:rPr>
        <w:t xml:space="preserve">exercée par </w:t>
      </w:r>
      <w:r w:rsidR="00841D45" w:rsidRPr="001115FF">
        <w:rPr>
          <w:lang w:val="fr-BE"/>
        </w:rPr>
        <w:t xml:space="preserve">la surpopulation dans certains établissements, notamment à Forest et à Anvers. </w:t>
      </w:r>
      <w:r w:rsidR="007B719D">
        <w:rPr>
          <w:lang w:val="fr-BE"/>
        </w:rPr>
        <w:t xml:space="preserve">À </w:t>
      </w:r>
      <w:r w:rsidR="00841D45" w:rsidRPr="001115FF">
        <w:rPr>
          <w:lang w:val="fr-BE"/>
        </w:rPr>
        <w:t xml:space="preserve">coté des mesures prévues pour augmenter la capacité carcérale, la Belgique </w:t>
      </w:r>
      <w:r w:rsidR="00F712FF">
        <w:rPr>
          <w:lang w:val="fr-BE"/>
        </w:rPr>
        <w:t>réfléchit</w:t>
      </w:r>
      <w:r w:rsidR="00F712FF" w:rsidRPr="001115FF">
        <w:rPr>
          <w:lang w:val="fr-BE"/>
        </w:rPr>
        <w:t xml:space="preserve"> </w:t>
      </w:r>
      <w:r w:rsidR="00841D45" w:rsidRPr="001115FF">
        <w:rPr>
          <w:lang w:val="fr-BE"/>
        </w:rPr>
        <w:t xml:space="preserve">également </w:t>
      </w:r>
      <w:r w:rsidR="00F712FF">
        <w:rPr>
          <w:lang w:val="fr-BE"/>
        </w:rPr>
        <w:t>à</w:t>
      </w:r>
      <w:r w:rsidR="00F712FF" w:rsidRPr="001115FF">
        <w:rPr>
          <w:lang w:val="fr-BE"/>
        </w:rPr>
        <w:t xml:space="preserve"> </w:t>
      </w:r>
      <w:r w:rsidR="00F712FF">
        <w:rPr>
          <w:lang w:val="fr-BE"/>
        </w:rPr>
        <w:t>d</w:t>
      </w:r>
      <w:r w:rsidR="00841D45" w:rsidRPr="001115FF">
        <w:rPr>
          <w:lang w:val="fr-BE"/>
        </w:rPr>
        <w:t>es alternatives à la détention. La peine de travail a pri</w:t>
      </w:r>
      <w:r w:rsidR="00841D45">
        <w:rPr>
          <w:lang w:val="fr-BE"/>
        </w:rPr>
        <w:t>s une grande ampleur depuis son</w:t>
      </w:r>
      <w:r w:rsidR="00841D45" w:rsidRPr="001115FF">
        <w:rPr>
          <w:lang w:val="fr-BE"/>
        </w:rPr>
        <w:t xml:space="preserve"> introduction, et de nouvelles technologies vont permettre une extension de la surveillance électronique.</w:t>
      </w:r>
    </w:p>
    <w:p w:rsidR="00841D45" w:rsidRPr="001115FF" w:rsidRDefault="00CC76E6" w:rsidP="000E11F0">
      <w:pPr>
        <w:pStyle w:val="SingleTxtG"/>
        <w:rPr>
          <w:lang w:val="fr-BE"/>
        </w:rPr>
      </w:pPr>
      <w:r>
        <w:rPr>
          <w:lang w:val="fr-BE"/>
        </w:rPr>
        <w:t>124.</w:t>
      </w:r>
      <w:r>
        <w:rPr>
          <w:lang w:val="fr-BE"/>
        </w:rPr>
        <w:tab/>
      </w:r>
      <w:r w:rsidR="00841D45" w:rsidRPr="001115FF">
        <w:rPr>
          <w:lang w:val="fr-BE"/>
        </w:rPr>
        <w:t xml:space="preserve">Afin d’améliorer les conditions d’hygiène en prison, l’administration pénitentiaire, en collaboration avec la Régie des Bâtiments, travaille à la rénovation de </w:t>
      </w:r>
      <w:r w:rsidR="00841D45">
        <w:rPr>
          <w:lang w:val="fr-BE"/>
        </w:rPr>
        <w:t>plusieurs</w:t>
      </w:r>
      <w:r w:rsidR="00841D45" w:rsidRPr="001115FF">
        <w:rPr>
          <w:lang w:val="fr-BE"/>
        </w:rPr>
        <w:t xml:space="preserve"> prisons. Par ailleurs, les plans opérationnels </w:t>
      </w:r>
      <w:r w:rsidR="000E11F0">
        <w:rPr>
          <w:lang w:val="fr-BE"/>
        </w:rPr>
        <w:t>prévoient</w:t>
      </w:r>
      <w:r w:rsidR="008B4EC5">
        <w:rPr>
          <w:lang w:val="fr-BE"/>
        </w:rPr>
        <w:t>,</w:t>
      </w:r>
      <w:r w:rsidR="000E11F0" w:rsidRPr="001115FF">
        <w:rPr>
          <w:lang w:val="fr-BE"/>
        </w:rPr>
        <w:t xml:space="preserve"> </w:t>
      </w:r>
      <w:r w:rsidR="00841D45" w:rsidRPr="001115FF">
        <w:rPr>
          <w:lang w:val="fr-BE"/>
        </w:rPr>
        <w:t>d</w:t>
      </w:r>
      <w:r w:rsidR="000E11F0">
        <w:rPr>
          <w:lang w:val="fr-BE"/>
        </w:rPr>
        <w:t>ans</w:t>
      </w:r>
      <w:r w:rsidR="00841D45" w:rsidRPr="001115FF">
        <w:rPr>
          <w:lang w:val="fr-BE"/>
        </w:rPr>
        <w:t xml:space="preserve"> chaque prison</w:t>
      </w:r>
      <w:r w:rsidR="008B4EC5">
        <w:rPr>
          <w:lang w:val="fr-BE"/>
        </w:rPr>
        <w:t>,</w:t>
      </w:r>
      <w:r w:rsidR="00DB339C">
        <w:rPr>
          <w:lang w:val="fr-BE"/>
        </w:rPr>
        <w:t xml:space="preserve"> </w:t>
      </w:r>
      <w:r w:rsidR="00841D45" w:rsidRPr="001115FF">
        <w:rPr>
          <w:lang w:val="fr-BE"/>
        </w:rPr>
        <w:t xml:space="preserve">un volet </w:t>
      </w:r>
      <w:r w:rsidR="00BF67DF">
        <w:rPr>
          <w:lang w:val="fr-BE"/>
        </w:rPr>
        <w:t>de</w:t>
      </w:r>
      <w:r w:rsidR="00841D45" w:rsidRPr="001115FF">
        <w:rPr>
          <w:lang w:val="fr-BE"/>
        </w:rPr>
        <w:t xml:space="preserve"> travaux de rafraichissement et d’hygiène.</w:t>
      </w:r>
    </w:p>
    <w:p w:rsidR="00841D45" w:rsidRDefault="00CC76E6" w:rsidP="00886252">
      <w:pPr>
        <w:pStyle w:val="SingleTxtG"/>
        <w:rPr>
          <w:color w:val="33CCCC"/>
          <w:lang w:val="fr-BE"/>
        </w:rPr>
      </w:pPr>
      <w:r>
        <w:rPr>
          <w:lang w:val="fr-BE"/>
        </w:rPr>
        <w:t>125.</w:t>
      </w:r>
      <w:r>
        <w:rPr>
          <w:lang w:val="fr-BE"/>
        </w:rPr>
        <w:tab/>
      </w:r>
      <w:r w:rsidR="00841D45" w:rsidRPr="001115FF">
        <w:rPr>
          <w:bCs/>
        </w:rPr>
        <w:t xml:space="preserve">Les </w:t>
      </w:r>
      <w:r w:rsidR="00841D45" w:rsidRPr="001115FF">
        <w:rPr>
          <w:lang w:val="fr-BE"/>
        </w:rPr>
        <w:t xml:space="preserve">prévenus et </w:t>
      </w:r>
      <w:r w:rsidR="00396CB1">
        <w:rPr>
          <w:lang w:val="fr-BE"/>
        </w:rPr>
        <w:t>l</w:t>
      </w:r>
      <w:r w:rsidR="00841D45" w:rsidRPr="001115FF">
        <w:rPr>
          <w:lang w:val="fr-BE"/>
        </w:rPr>
        <w:t>es condamnés bénéficient de régimes distincts de détention.</w:t>
      </w:r>
      <w:r w:rsidR="00841D45">
        <w:rPr>
          <w:lang w:val="fr-BE"/>
        </w:rPr>
        <w:t xml:space="preserve"> </w:t>
      </w:r>
      <w:r w:rsidR="007B719D">
        <w:rPr>
          <w:lang w:val="fr-BE"/>
        </w:rPr>
        <w:t>À</w:t>
      </w:r>
      <w:r w:rsidR="004878DD">
        <w:rPr>
          <w:lang w:val="fr-BE"/>
        </w:rPr>
        <w:t xml:space="preserve"> </w:t>
      </w:r>
      <w:r w:rsidR="00841D45">
        <w:rPr>
          <w:lang w:val="fr-BE"/>
        </w:rPr>
        <w:t xml:space="preserve">cet égard, nous observons que les dispositions de la </w:t>
      </w:r>
      <w:r w:rsidR="00957FF2">
        <w:rPr>
          <w:lang w:val="fr-BE"/>
        </w:rPr>
        <w:t>l</w:t>
      </w:r>
      <w:r w:rsidR="00841D45">
        <w:rPr>
          <w:lang w:val="fr-BE"/>
        </w:rPr>
        <w:t xml:space="preserve">oi de principes qui en précisent </w:t>
      </w:r>
      <w:r w:rsidR="00396CB1">
        <w:rPr>
          <w:lang w:val="fr-BE"/>
        </w:rPr>
        <w:t xml:space="preserve">les </w:t>
      </w:r>
      <w:r w:rsidR="00841D45" w:rsidRPr="006A74A9">
        <w:rPr>
          <w:lang w:val="fr-BE"/>
        </w:rPr>
        <w:t>modalités sont en vigueur. Ainsi, notamment</w:t>
      </w:r>
      <w:r w:rsidR="00D8345B">
        <w:rPr>
          <w:lang w:val="fr-BE"/>
        </w:rPr>
        <w:t>, on</w:t>
      </w:r>
      <w:r w:rsidR="00841D45" w:rsidRPr="006A74A9">
        <w:rPr>
          <w:lang w:val="fr-BE"/>
        </w:rPr>
        <w:t xml:space="preserve"> mentionner</w:t>
      </w:r>
      <w:r w:rsidR="00D8345B">
        <w:rPr>
          <w:lang w:val="fr-BE"/>
        </w:rPr>
        <w:t>a</w:t>
      </w:r>
      <w:r w:rsidR="00841D45" w:rsidRPr="006A74A9">
        <w:rPr>
          <w:lang w:val="fr-BE"/>
        </w:rPr>
        <w:t xml:space="preserve"> l’article 11 de </w:t>
      </w:r>
      <w:r w:rsidR="00D8345B">
        <w:rPr>
          <w:lang w:val="fr-BE"/>
        </w:rPr>
        <w:t>ladite</w:t>
      </w:r>
      <w:r w:rsidR="00D8345B" w:rsidRPr="006A74A9">
        <w:rPr>
          <w:lang w:val="fr-BE"/>
        </w:rPr>
        <w:t xml:space="preserve"> </w:t>
      </w:r>
      <w:r w:rsidR="00841D45" w:rsidRPr="006A74A9">
        <w:rPr>
          <w:lang w:val="fr-BE"/>
        </w:rPr>
        <w:t>loi qui</w:t>
      </w:r>
      <w:r w:rsidR="00841D45">
        <w:rPr>
          <w:lang w:val="fr-BE"/>
        </w:rPr>
        <w:t xml:space="preserve"> prévoit que </w:t>
      </w:r>
      <w:r w:rsidR="00841D45" w:rsidRPr="001115FF">
        <w:rPr>
          <w:bCs/>
        </w:rPr>
        <w:t>les inculpés sont maintenus à l'écart des condamnés, sauf lorsqu'ils acceptent par écrit</w:t>
      </w:r>
      <w:r w:rsidR="00841D45" w:rsidRPr="001115FF">
        <w:rPr>
          <w:bCs/>
          <w:i/>
        </w:rPr>
        <w:t xml:space="preserve"> </w:t>
      </w:r>
      <w:r w:rsidR="00D8345B" w:rsidRPr="00D8345B">
        <w:rPr>
          <w:bCs/>
          <w:iCs/>
        </w:rPr>
        <w:t>«</w:t>
      </w:r>
      <w:r w:rsidR="00841D45" w:rsidRPr="00D8345B">
        <w:rPr>
          <w:bCs/>
          <w:iCs/>
        </w:rPr>
        <w:t>le contraire en vue de participer à des activités communes</w:t>
      </w:r>
      <w:r w:rsidR="00D8345B" w:rsidRPr="00D8345B">
        <w:rPr>
          <w:bCs/>
          <w:iCs/>
        </w:rPr>
        <w:t>»</w:t>
      </w:r>
      <w:r w:rsidR="00841D45" w:rsidRPr="001115FF">
        <w:rPr>
          <w:bCs/>
        </w:rPr>
        <w:t xml:space="preserve">. </w:t>
      </w:r>
      <w:r w:rsidR="00841D45" w:rsidRPr="0005714C">
        <w:rPr>
          <w:bCs/>
        </w:rPr>
        <w:t xml:space="preserve">Pour le </w:t>
      </w:r>
      <w:r w:rsidR="00482D3A">
        <w:rPr>
          <w:bCs/>
        </w:rPr>
        <w:t>reste</w:t>
      </w:r>
      <w:r w:rsidR="00841D45" w:rsidRPr="0005714C">
        <w:rPr>
          <w:bCs/>
        </w:rPr>
        <w:t xml:space="preserve">, nous renvoyons également aux articles 9, 10, 12 et 13 de la </w:t>
      </w:r>
      <w:r w:rsidR="00957FF2">
        <w:rPr>
          <w:bCs/>
        </w:rPr>
        <w:t>l</w:t>
      </w:r>
      <w:r w:rsidR="00841D45" w:rsidRPr="0005714C">
        <w:rPr>
          <w:bCs/>
        </w:rPr>
        <w:t>oi</w:t>
      </w:r>
      <w:r w:rsidR="00482D3A">
        <w:rPr>
          <w:bCs/>
        </w:rPr>
        <w:t xml:space="preserve"> (celle-ci figure</w:t>
      </w:r>
      <w:r w:rsidR="00841D45" w:rsidRPr="0005714C">
        <w:rPr>
          <w:bCs/>
        </w:rPr>
        <w:t xml:space="preserve"> en annexe</w:t>
      </w:r>
      <w:r w:rsidR="00841D45">
        <w:rPr>
          <w:rStyle w:val="FootnoteReference"/>
          <w:bCs/>
        </w:rPr>
        <w:footnoteReference w:id="14"/>
      </w:r>
      <w:r w:rsidR="00482D3A">
        <w:rPr>
          <w:bCs/>
        </w:rPr>
        <w:t>)</w:t>
      </w:r>
      <w:r w:rsidR="0090358D">
        <w:rPr>
          <w:bCs/>
        </w:rPr>
        <w:t>.</w:t>
      </w:r>
    </w:p>
    <w:p w:rsidR="00841D45" w:rsidRPr="005B10BE" w:rsidRDefault="00CC76E6" w:rsidP="006C5F8C">
      <w:pPr>
        <w:pStyle w:val="SingleTxtG"/>
      </w:pPr>
      <w:r>
        <w:t>126.</w:t>
      </w:r>
      <w:r>
        <w:tab/>
      </w:r>
      <w:r w:rsidR="00841D45" w:rsidRPr="005B10BE">
        <w:t xml:space="preserve">En ce qui concerne la violence entre les détenus, celle-ci doit être signalée au parquet dans les </w:t>
      </w:r>
      <w:r w:rsidR="00846840">
        <w:t>cas relevant du</w:t>
      </w:r>
      <w:r w:rsidR="00841D45" w:rsidRPr="005B10BE">
        <w:t xml:space="preserve"> champ d’application de l’article 29 du CIC, c’est</w:t>
      </w:r>
      <w:r w:rsidR="00846840">
        <w:t>-</w:t>
      </w:r>
      <w:r w:rsidR="00841D45" w:rsidRPr="005B10BE">
        <w:t>à</w:t>
      </w:r>
      <w:r w:rsidR="00846840">
        <w:t>-</w:t>
      </w:r>
      <w:r w:rsidR="00841D45" w:rsidRPr="005B10BE">
        <w:t>dire lorsque le directeur a pris connaissance d’un crime ou d’un délit. Le détenu a</w:t>
      </w:r>
      <w:r w:rsidR="00846840">
        <w:t>,</w:t>
      </w:r>
      <w:r w:rsidR="00841D45" w:rsidRPr="005B10BE">
        <w:t xml:space="preserve"> par ailleurs</w:t>
      </w:r>
      <w:r w:rsidR="00846840">
        <w:t>,</w:t>
      </w:r>
      <w:r w:rsidR="00841D45" w:rsidRPr="005B10BE">
        <w:t xml:space="preserve"> la possibilité de déposer plainte </w:t>
      </w:r>
      <w:r w:rsidR="006C5F8C">
        <w:t>lorsqu’</w:t>
      </w:r>
      <w:r w:rsidR="00841D45" w:rsidRPr="005B10BE">
        <w:t>il l’estime nécessaire.</w:t>
      </w:r>
    </w:p>
    <w:p w:rsidR="00841D45" w:rsidRPr="005B10BE" w:rsidRDefault="00CC76E6" w:rsidP="00886252">
      <w:pPr>
        <w:pStyle w:val="SingleTxtG"/>
      </w:pPr>
      <w:r>
        <w:t>127.</w:t>
      </w:r>
      <w:r>
        <w:tab/>
      </w:r>
      <w:r w:rsidR="00841D45" w:rsidRPr="005B10BE">
        <w:t xml:space="preserve">Pour ce qui est des soins de santé, nous soulignons que tout détenu a accès aux soins de santé nécessaires, soit </w:t>
      </w:r>
      <w:r w:rsidR="00881319">
        <w:t>en recourant au</w:t>
      </w:r>
      <w:r w:rsidR="00841D45" w:rsidRPr="005B10BE">
        <w:t xml:space="preserve"> médecin de la prison soit </w:t>
      </w:r>
      <w:r w:rsidR="00881319">
        <w:t xml:space="preserve">à </w:t>
      </w:r>
      <w:r w:rsidR="00841D45" w:rsidRPr="005B10BE">
        <w:t xml:space="preserve">son propre médecin. </w:t>
      </w:r>
    </w:p>
    <w:p w:rsidR="00841D45" w:rsidRPr="005B10BE" w:rsidRDefault="00CC76E6" w:rsidP="001F32DD">
      <w:pPr>
        <w:pStyle w:val="SingleTxtG"/>
      </w:pPr>
      <w:r>
        <w:t>128.</w:t>
      </w:r>
      <w:r>
        <w:tab/>
      </w:r>
      <w:r w:rsidR="00841D45" w:rsidRPr="005B10BE">
        <w:t xml:space="preserve">Enfin, </w:t>
      </w:r>
      <w:r w:rsidR="001F32DD">
        <w:t xml:space="preserve">depuis </w:t>
      </w:r>
      <w:r w:rsidR="001F32DD" w:rsidRPr="005B10BE">
        <w:t>ces dernières années</w:t>
      </w:r>
      <w:r w:rsidR="001F32DD">
        <w:t>,</w:t>
      </w:r>
      <w:r w:rsidR="001F32DD" w:rsidRPr="005B10BE">
        <w:t xml:space="preserve"> </w:t>
      </w:r>
      <w:r w:rsidR="00841D45" w:rsidRPr="005B10BE">
        <w:t>les formations des membres du personnel de surveillance ont été allongées et professionnalisées. Par ailleurs, une équipe de soins multidisciplinaire</w:t>
      </w:r>
      <w:r w:rsidR="001F32DD">
        <w:t>s</w:t>
      </w:r>
      <w:r w:rsidR="00841D45" w:rsidRPr="005B10BE">
        <w:t xml:space="preserve"> </w:t>
      </w:r>
      <w:r w:rsidR="001F32DD">
        <w:t>est désormais</w:t>
      </w:r>
      <w:r w:rsidR="00841D45" w:rsidRPr="005B10BE">
        <w:t xml:space="preserve"> rattachée à chaque annexe psychiatrique. </w:t>
      </w:r>
    </w:p>
    <w:p w:rsidR="008E3C1A" w:rsidRDefault="008E3C1A" w:rsidP="008E3C1A">
      <w:pPr>
        <w:pStyle w:val="SingleTxtG"/>
      </w:pPr>
    </w:p>
    <w:p w:rsidR="008E3C1A" w:rsidRDefault="008E3C1A" w:rsidP="008E3C1A">
      <w:pPr>
        <w:pStyle w:val="SingleTxtG"/>
      </w:pPr>
    </w:p>
    <w:p w:rsidR="008E3C1A" w:rsidRPr="00340AAB" w:rsidRDefault="008E3C1A" w:rsidP="008E3C1A">
      <w:pPr>
        <w:pStyle w:val="SingleTxtG"/>
        <w:rPr>
          <w:b/>
          <w:bCs/>
        </w:rPr>
      </w:pPr>
      <w:r w:rsidRPr="00340AAB">
        <w:rPr>
          <w:b/>
          <w:bCs/>
        </w:rPr>
        <w:t>Réponse au paragraphe 16 de la liste de points à traiter</w:t>
      </w:r>
      <w:r w:rsidRPr="00340AAB" w:rsidDel="008E3C1A">
        <w:rPr>
          <w:b/>
          <w:bCs/>
        </w:rPr>
        <w:t xml:space="preserve"> </w:t>
      </w:r>
    </w:p>
    <w:p w:rsidR="00841D45" w:rsidRPr="00D50129" w:rsidRDefault="008E3C1A" w:rsidP="002C7D54">
      <w:pPr>
        <w:pStyle w:val="SingleTxtG"/>
        <w:rPr>
          <w:lang w:val="fr-BE"/>
        </w:rPr>
      </w:pPr>
      <w:r>
        <w:t>129.</w:t>
      </w:r>
      <w:r>
        <w:tab/>
      </w:r>
      <w:r w:rsidR="00841D45" w:rsidRPr="00D50129">
        <w:rPr>
          <w:lang w:val="fr-BE"/>
        </w:rPr>
        <w:t>Le transfert de</w:t>
      </w:r>
      <w:r w:rsidR="001D3C22">
        <w:rPr>
          <w:lang w:val="fr-BE"/>
        </w:rPr>
        <w:t>s</w:t>
      </w:r>
      <w:r w:rsidR="00841D45" w:rsidRPr="00D50129">
        <w:rPr>
          <w:lang w:val="fr-BE"/>
        </w:rPr>
        <w:t xml:space="preserve"> détenus vers la prison de Tilburg et les conditions d’utilisation de la prison par la Belgique ont fait </w:t>
      </w:r>
      <w:r w:rsidR="00841D45">
        <w:rPr>
          <w:lang w:val="fr-BE"/>
        </w:rPr>
        <w:t>l’objet d’une</w:t>
      </w:r>
      <w:r w:rsidR="00841D45" w:rsidRPr="00D50129">
        <w:rPr>
          <w:lang w:val="fr-BE"/>
        </w:rPr>
        <w:t xml:space="preserve"> </w:t>
      </w:r>
      <w:r w:rsidR="00841D45" w:rsidRPr="00D50129">
        <w:t>Convention entre le Royaume de Belgique et le Royaume des Pays-Bas sur la mise à disposition d'un établissement pénitentiaire aux Pays-Bas en vue de l'exécution de peines privatives de liberté infligées en vertu de condamnations belges.</w:t>
      </w:r>
      <w:r w:rsidR="00841D45" w:rsidRPr="00D50129">
        <w:rPr>
          <w:lang w:val="fr-BE"/>
        </w:rPr>
        <w:t xml:space="preserve"> </w:t>
      </w:r>
      <w:r w:rsidR="00B829A5">
        <w:rPr>
          <w:lang w:val="fr-BE"/>
        </w:rPr>
        <w:t>En vertu du</w:t>
      </w:r>
      <w:r w:rsidR="00841D45" w:rsidRPr="00D50129">
        <w:rPr>
          <w:lang w:val="fr-BE"/>
        </w:rPr>
        <w:t xml:space="preserve"> traité international, la Belgique loue aux Pays-Bas l’établissement de Tilburg </w:t>
      </w:r>
      <w:r w:rsidR="00B829A5">
        <w:rPr>
          <w:lang w:val="fr-BE"/>
        </w:rPr>
        <w:t>pour l</w:t>
      </w:r>
      <w:r w:rsidR="00841D45" w:rsidRPr="00D50129">
        <w:rPr>
          <w:lang w:val="fr-BE"/>
        </w:rPr>
        <w:t>’héberge</w:t>
      </w:r>
      <w:r w:rsidR="00B829A5">
        <w:rPr>
          <w:lang w:val="fr-BE"/>
        </w:rPr>
        <w:t>ment de</w:t>
      </w:r>
      <w:r w:rsidR="00841D45" w:rsidRPr="00D50129">
        <w:rPr>
          <w:lang w:val="fr-BE"/>
        </w:rPr>
        <w:t xml:space="preserve"> 500 détenus. Le personnel pénitentiaire est néerlandais et payé par les Pays-Bas, mais la direction opérationnelle ainsi que les services psychosociaux sont assurés par </w:t>
      </w:r>
      <w:r w:rsidR="002C7D54">
        <w:rPr>
          <w:lang w:val="fr-BE"/>
        </w:rPr>
        <w:t>un</w:t>
      </w:r>
      <w:r w:rsidR="002C7D54" w:rsidRPr="00D50129">
        <w:rPr>
          <w:lang w:val="fr-BE"/>
        </w:rPr>
        <w:t xml:space="preserve"> </w:t>
      </w:r>
      <w:r w:rsidR="00841D45" w:rsidRPr="00D50129">
        <w:rPr>
          <w:lang w:val="fr-BE"/>
        </w:rPr>
        <w:t>personnel belge.</w:t>
      </w:r>
    </w:p>
    <w:p w:rsidR="00841D45" w:rsidRPr="00D50129" w:rsidRDefault="008E3C1A" w:rsidP="00794049">
      <w:pPr>
        <w:pStyle w:val="SingleTxtG"/>
        <w:rPr>
          <w:lang w:val="fr-BE"/>
        </w:rPr>
      </w:pPr>
      <w:r>
        <w:rPr>
          <w:lang w:val="fr-BE"/>
        </w:rPr>
        <w:t>130.</w:t>
      </w:r>
      <w:r>
        <w:rPr>
          <w:lang w:val="fr-BE"/>
        </w:rPr>
        <w:tab/>
      </w:r>
      <w:r w:rsidR="00841D45" w:rsidRPr="00D50129">
        <w:rPr>
          <w:lang w:val="fr-BE"/>
        </w:rPr>
        <w:t xml:space="preserve">Les transfèrements ont démarré le 2 avril 2010 et la prison a atteint sa pleine capacité un mois plus tard. Depuis, la prison de Tilburg fonctionne comme n’importe quel autre établissement pénitentiaire belge </w:t>
      </w:r>
      <w:r w:rsidR="00794049">
        <w:rPr>
          <w:lang w:val="fr-BE"/>
        </w:rPr>
        <w:t>avec</w:t>
      </w:r>
      <w:r w:rsidR="00841D45" w:rsidRPr="00D50129">
        <w:rPr>
          <w:lang w:val="fr-BE"/>
        </w:rPr>
        <w:t xml:space="preserve"> évidemment les problèmes divers que rencontre toute prison qui vient d’ouvrir ses portes.</w:t>
      </w:r>
    </w:p>
    <w:p w:rsidR="00841D45" w:rsidRPr="00D50129" w:rsidRDefault="008E3C1A" w:rsidP="008E3C1A">
      <w:pPr>
        <w:pStyle w:val="SingleTxtG"/>
        <w:rPr>
          <w:lang w:val="fr-BE"/>
        </w:rPr>
      </w:pPr>
      <w:r>
        <w:rPr>
          <w:lang w:val="fr-BE"/>
        </w:rPr>
        <w:t>131.</w:t>
      </w:r>
      <w:r>
        <w:rPr>
          <w:lang w:val="fr-BE"/>
        </w:rPr>
        <w:tab/>
      </w:r>
      <w:r w:rsidR="00841D45" w:rsidRPr="00D50129">
        <w:rPr>
          <w:lang w:val="fr-BE"/>
        </w:rPr>
        <w:t>Le régime des détenus ainsi que les modalités de sortie sont régis par le droit belge. Le projet n’a donc aucun impact sur les droits reconnus dans le Pacte ; ce sont les mêmes que ceux dont disposent tous les détenus en Belgique.</w:t>
      </w:r>
    </w:p>
    <w:p w:rsidR="008E3C1A" w:rsidRPr="00340AAB" w:rsidRDefault="008E3C1A" w:rsidP="00841D45">
      <w:pPr>
        <w:pStyle w:val="SingleTxtG"/>
        <w:rPr>
          <w:b/>
          <w:bCs/>
          <w:lang w:val="fr-FR"/>
        </w:rPr>
      </w:pPr>
      <w:r w:rsidRPr="00340AAB">
        <w:rPr>
          <w:b/>
          <w:bCs/>
        </w:rPr>
        <w:t>Réponse au paragraphe 17 de la liste de points à traiter</w:t>
      </w:r>
      <w:r w:rsidRPr="00340AAB" w:rsidDel="008E3C1A">
        <w:rPr>
          <w:b/>
          <w:bCs/>
          <w:lang w:val="fr-FR"/>
        </w:rPr>
        <w:t xml:space="preserve"> </w:t>
      </w:r>
    </w:p>
    <w:p w:rsidR="00841D45" w:rsidRPr="00F31D32" w:rsidRDefault="008E3C1A" w:rsidP="00F31D32">
      <w:pPr>
        <w:pStyle w:val="SingleTxtG"/>
        <w:ind w:left="0" w:firstLine="567"/>
        <w:rPr>
          <w:rFonts w:cs="Arial"/>
          <w:b/>
          <w:bCs/>
          <w:u w:val="single"/>
        </w:rPr>
      </w:pPr>
      <w:r>
        <w:rPr>
          <w:lang w:val="fr-FR"/>
        </w:rPr>
        <w:t>.</w:t>
      </w:r>
      <w:r>
        <w:rPr>
          <w:lang w:val="fr-FR"/>
        </w:rPr>
        <w:tab/>
      </w:r>
      <w:r w:rsidRPr="00F31D32">
        <w:rPr>
          <w:rFonts w:cs="Arial"/>
          <w:b/>
          <w:bCs/>
          <w:u w:val="single"/>
        </w:rPr>
        <w:t>De manière</w:t>
      </w:r>
      <w:r w:rsidR="00841D45" w:rsidRPr="00F31D32">
        <w:rPr>
          <w:rFonts w:cs="Arial"/>
          <w:b/>
          <w:bCs/>
          <w:u w:val="single"/>
        </w:rPr>
        <w:t xml:space="preserve"> général</w:t>
      </w:r>
      <w:r w:rsidRPr="00F31D32">
        <w:rPr>
          <w:rFonts w:cs="Arial"/>
          <w:b/>
          <w:bCs/>
          <w:u w:val="single"/>
        </w:rPr>
        <w:t>e</w:t>
      </w:r>
    </w:p>
    <w:p w:rsidR="00841D45" w:rsidRPr="007C219A" w:rsidRDefault="008E3C1A" w:rsidP="00605609">
      <w:pPr>
        <w:pStyle w:val="SingleTxtG"/>
        <w:rPr>
          <w:rFonts w:cs="Arial"/>
          <w:color w:val="000000"/>
        </w:rPr>
      </w:pPr>
      <w:r w:rsidRPr="008425F5">
        <w:rPr>
          <w:rFonts w:cs="Arial"/>
        </w:rPr>
        <w:t>132.</w:t>
      </w:r>
      <w:r w:rsidRPr="008425F5">
        <w:rPr>
          <w:rFonts w:cs="Arial"/>
        </w:rPr>
        <w:tab/>
      </w:r>
      <w:r w:rsidR="00841D45" w:rsidRPr="008425F5">
        <w:rPr>
          <w:rFonts w:cs="Arial"/>
        </w:rPr>
        <w:t>La loi d</w:t>
      </w:r>
      <w:r w:rsidR="008425F5">
        <w:rPr>
          <w:rFonts w:cs="Arial"/>
        </w:rPr>
        <w:t>u</w:t>
      </w:r>
      <w:r w:rsidR="00841D45" w:rsidRPr="008425F5">
        <w:rPr>
          <w:rFonts w:cs="Arial"/>
        </w:rPr>
        <w:t xml:space="preserve"> 8 avril 1965 </w:t>
      </w:r>
      <w:r w:rsidR="00841D45" w:rsidRPr="004432AE">
        <w:rPr>
          <w:rFonts w:cs="Arial"/>
          <w:bCs/>
          <w:iCs/>
        </w:rPr>
        <w:t xml:space="preserve">relative à la protection de la jeunesse, à la prise en charge des mineurs ayant </w:t>
      </w:r>
      <w:r w:rsidR="00841D45" w:rsidRPr="004432AE">
        <w:rPr>
          <w:rFonts w:cs="Arial"/>
          <w:bCs/>
          <w:iCs/>
          <w:color w:val="000000"/>
        </w:rPr>
        <w:t>commis un fait qualifié infraction et à la réparation du dommage causé par ce fait</w:t>
      </w:r>
      <w:r w:rsidR="00841D45" w:rsidRPr="008425F5">
        <w:rPr>
          <w:rFonts w:cs="Arial"/>
          <w:bCs/>
          <w:color w:val="000000"/>
        </w:rPr>
        <w:t xml:space="preserve"> a été</w:t>
      </w:r>
      <w:r w:rsidR="00110FE4" w:rsidRPr="008425F5">
        <w:rPr>
          <w:rFonts w:cs="Arial"/>
          <w:bCs/>
          <w:color w:val="000000"/>
        </w:rPr>
        <w:t xml:space="preserve"> </w:t>
      </w:r>
      <w:r w:rsidR="00841D45" w:rsidRPr="008425F5">
        <w:rPr>
          <w:rFonts w:cs="Arial"/>
          <w:bCs/>
          <w:color w:val="000000"/>
        </w:rPr>
        <w:t>réformée en 2006. Cette réforme</w:t>
      </w:r>
      <w:r w:rsidR="00841D45" w:rsidRPr="008425F5">
        <w:rPr>
          <w:color w:val="000000"/>
          <w:sz w:val="28"/>
          <w:szCs w:val="28"/>
        </w:rPr>
        <w:t xml:space="preserve"> </w:t>
      </w:r>
      <w:r w:rsidR="00841D45" w:rsidRPr="008425F5">
        <w:rPr>
          <w:rFonts w:cs="Arial"/>
          <w:color w:val="000000"/>
        </w:rPr>
        <w:t xml:space="preserve">a fortement </w:t>
      </w:r>
      <w:r w:rsidR="00236FE3">
        <w:rPr>
          <w:rFonts w:cs="Arial"/>
          <w:color w:val="000000"/>
        </w:rPr>
        <w:t>augmenté</w:t>
      </w:r>
      <w:r w:rsidR="004432AE" w:rsidRPr="008425F5">
        <w:rPr>
          <w:rFonts w:cs="Arial"/>
          <w:color w:val="000000"/>
        </w:rPr>
        <w:t xml:space="preserve"> </w:t>
      </w:r>
      <w:r w:rsidR="00841D45" w:rsidRPr="008425F5">
        <w:rPr>
          <w:rFonts w:cs="Arial"/>
          <w:color w:val="000000"/>
        </w:rPr>
        <w:t>le nombre de</w:t>
      </w:r>
      <w:r w:rsidR="004432AE">
        <w:rPr>
          <w:rFonts w:cs="Arial"/>
          <w:color w:val="000000"/>
        </w:rPr>
        <w:t>s</w:t>
      </w:r>
      <w:r w:rsidR="00841D45" w:rsidRPr="008425F5">
        <w:rPr>
          <w:rFonts w:cs="Arial"/>
          <w:color w:val="000000"/>
        </w:rPr>
        <w:t xml:space="preserve"> mesures dont dispose le juge de la jeunesse. Celui-ci doit respecter le principe de subsidiarité et préférer les mesures qui limitent </w:t>
      </w:r>
      <w:r w:rsidR="00236FE3">
        <w:rPr>
          <w:rFonts w:cs="Arial"/>
          <w:color w:val="000000"/>
        </w:rPr>
        <w:t>au minimum</w:t>
      </w:r>
      <w:r w:rsidR="00841D45" w:rsidRPr="008425F5">
        <w:rPr>
          <w:rFonts w:cs="Arial"/>
          <w:color w:val="000000"/>
        </w:rPr>
        <w:t xml:space="preserve"> la liberté du mineur car la loi prescrit une gradation des mesures. Ainsi, la loi prévoit que la préférence soit donnée en premier lieu à une offre restauratrice ; que les mesures qui n’impliquent pas de placement soient privilégiées par rapport </w:t>
      </w:r>
      <w:r w:rsidR="00605609">
        <w:rPr>
          <w:rFonts w:cs="Arial"/>
          <w:color w:val="000000"/>
        </w:rPr>
        <w:t>au</w:t>
      </w:r>
      <w:r w:rsidR="00841D45" w:rsidRPr="008425F5">
        <w:rPr>
          <w:rFonts w:cs="Arial"/>
          <w:color w:val="000000"/>
        </w:rPr>
        <w:t xml:space="preserve"> placement ; que le placement en régime ouvert soit privilégié par rapport au placement en régime fermé (art. 37, </w:t>
      </w:r>
      <w:r w:rsidR="00B10927" w:rsidRPr="008425F5">
        <w:rPr>
          <w:rFonts w:cs="Arial"/>
          <w:color w:val="000000"/>
        </w:rPr>
        <w:t xml:space="preserve">par. </w:t>
      </w:r>
      <w:r w:rsidR="00841D45" w:rsidRPr="008425F5">
        <w:rPr>
          <w:rFonts w:cs="Arial"/>
          <w:color w:val="000000"/>
        </w:rPr>
        <w:t>2, al. 3).</w:t>
      </w:r>
      <w:r w:rsidR="00841D45" w:rsidRPr="007C219A">
        <w:rPr>
          <w:rFonts w:cs="Arial"/>
          <w:color w:val="000000"/>
        </w:rPr>
        <w:t xml:space="preserve"> </w:t>
      </w:r>
    </w:p>
    <w:p w:rsidR="00841D45" w:rsidRPr="008425F5" w:rsidRDefault="00841D45" w:rsidP="00841D45">
      <w:pPr>
        <w:pStyle w:val="SingleTxtG"/>
        <w:rPr>
          <w:rFonts w:cs="Arial"/>
          <w:b/>
          <w:bCs/>
          <w:szCs w:val="22"/>
          <w:u w:val="single"/>
        </w:rPr>
      </w:pPr>
      <w:r w:rsidRPr="008425F5">
        <w:rPr>
          <w:rFonts w:cs="Arial"/>
          <w:b/>
          <w:bCs/>
          <w:szCs w:val="22"/>
          <w:u w:val="single"/>
        </w:rPr>
        <w:t>Le tribunal/juge de la jeunesse</w:t>
      </w:r>
    </w:p>
    <w:p w:rsidR="00841D45" w:rsidRPr="009A50BB" w:rsidRDefault="008425F5" w:rsidP="008425F5">
      <w:pPr>
        <w:pStyle w:val="SingleTxtG"/>
        <w:rPr>
          <w:rFonts w:cs="Arial"/>
          <w:szCs w:val="22"/>
        </w:rPr>
      </w:pPr>
      <w:r>
        <w:rPr>
          <w:rFonts w:cs="Arial"/>
          <w:szCs w:val="22"/>
        </w:rPr>
        <w:t>133.</w:t>
      </w:r>
      <w:r>
        <w:rPr>
          <w:rFonts w:cs="Arial"/>
          <w:szCs w:val="22"/>
        </w:rPr>
        <w:tab/>
      </w:r>
      <w:r w:rsidR="00841D45" w:rsidRPr="009A50BB">
        <w:rPr>
          <w:rFonts w:cs="Arial"/>
          <w:szCs w:val="22"/>
        </w:rPr>
        <w:t xml:space="preserve">Outre </w:t>
      </w:r>
      <w:r w:rsidR="00FF7543">
        <w:rPr>
          <w:rFonts w:cs="Arial"/>
          <w:szCs w:val="22"/>
        </w:rPr>
        <w:t>l</w:t>
      </w:r>
      <w:r w:rsidR="00841D45" w:rsidRPr="009A50BB">
        <w:rPr>
          <w:rFonts w:cs="Arial"/>
          <w:szCs w:val="22"/>
        </w:rPr>
        <w:t xml:space="preserve">es mesures de placement, l’article 37 de la loi du 8 avril 1965 relative à la protection de la jeunesse prévoit </w:t>
      </w:r>
      <w:r w:rsidR="00841D45">
        <w:rPr>
          <w:rFonts w:cs="Arial"/>
          <w:szCs w:val="22"/>
        </w:rPr>
        <w:t xml:space="preserve">que le tribunal de la jeunesse peut prendre les mesures alternatives suivantes:  </w:t>
      </w:r>
    </w:p>
    <w:p w:rsidR="00841D45" w:rsidRPr="004E4FBF" w:rsidRDefault="00841D45" w:rsidP="00036A6C">
      <w:pPr>
        <w:pStyle w:val="SingleTxtG"/>
        <w:ind w:left="1689" w:hanging="555"/>
        <w:rPr>
          <w:rFonts w:cs="Arial"/>
          <w:szCs w:val="22"/>
        </w:rPr>
      </w:pPr>
      <w:r w:rsidRPr="004E4FBF">
        <w:rPr>
          <w:rFonts w:ascii="Arial" w:hAnsi="Arial" w:cs="Arial"/>
          <w:szCs w:val="22"/>
        </w:rPr>
        <w:t>-</w:t>
      </w:r>
      <w:r w:rsidRPr="004E4FBF">
        <w:rPr>
          <w:rFonts w:ascii="Arial" w:hAnsi="Arial" w:cs="Arial"/>
          <w:szCs w:val="22"/>
        </w:rPr>
        <w:tab/>
      </w:r>
      <w:r w:rsidR="008425F5">
        <w:rPr>
          <w:rFonts w:cs="Arial"/>
          <w:szCs w:val="22"/>
        </w:rPr>
        <w:t>R</w:t>
      </w:r>
      <w:r>
        <w:rPr>
          <w:rFonts w:cs="Arial"/>
          <w:szCs w:val="22"/>
        </w:rPr>
        <w:t>éprimander l’intéressé (l</w:t>
      </w:r>
      <w:r w:rsidRPr="009A50BB">
        <w:rPr>
          <w:rFonts w:cs="Arial"/>
          <w:szCs w:val="22"/>
        </w:rPr>
        <w:t xml:space="preserve">e mineur est mis en </w:t>
      </w:r>
      <w:r w:rsidR="00EF1106">
        <w:rPr>
          <w:rFonts w:cs="Arial"/>
          <w:szCs w:val="22"/>
        </w:rPr>
        <w:t>demeure</w:t>
      </w:r>
      <w:r w:rsidR="00EF1106" w:rsidRPr="009A50BB">
        <w:rPr>
          <w:rFonts w:cs="Arial"/>
          <w:szCs w:val="22"/>
        </w:rPr>
        <w:t xml:space="preserve"> </w:t>
      </w:r>
      <w:r w:rsidRPr="009A50BB">
        <w:rPr>
          <w:rFonts w:cs="Arial"/>
          <w:szCs w:val="22"/>
        </w:rPr>
        <w:t>de ne pas</w:t>
      </w:r>
      <w:r>
        <w:rPr>
          <w:rFonts w:cs="Arial"/>
          <w:szCs w:val="22"/>
        </w:rPr>
        <w:t xml:space="preserve"> commettre d’autres infractions);</w:t>
      </w:r>
    </w:p>
    <w:p w:rsidR="00841D45" w:rsidRPr="00B061FA" w:rsidRDefault="005B10BE" w:rsidP="00036A6C">
      <w:pPr>
        <w:pStyle w:val="SingleTxtG"/>
        <w:ind w:left="1689" w:hanging="555"/>
        <w:rPr>
          <w:rFonts w:cs="Arial"/>
          <w:strike/>
          <w:szCs w:val="22"/>
        </w:rPr>
      </w:pPr>
      <w:r w:rsidRPr="00036A6C">
        <w:rPr>
          <w:rFonts w:ascii="Arial" w:hAnsi="Arial" w:cs="Arial"/>
          <w:strike/>
          <w:szCs w:val="22"/>
        </w:rPr>
        <w:t>-</w:t>
      </w:r>
      <w:r w:rsidRPr="00036A6C">
        <w:rPr>
          <w:rFonts w:ascii="Arial" w:hAnsi="Arial" w:cs="Arial"/>
          <w:strike/>
          <w:szCs w:val="22"/>
        </w:rPr>
        <w:tab/>
      </w:r>
      <w:r w:rsidR="00F54C53" w:rsidRPr="00036A6C">
        <w:rPr>
          <w:rFonts w:cs="Arial"/>
          <w:szCs w:val="22"/>
        </w:rPr>
        <w:t>S</w:t>
      </w:r>
      <w:r w:rsidR="00841D45" w:rsidRPr="00036A6C">
        <w:rPr>
          <w:rFonts w:cs="Arial"/>
          <w:szCs w:val="22"/>
        </w:rPr>
        <w:t>oumettre l’intéressé à la surveillance du service social compétent. Dans ce cas, le</w:t>
      </w:r>
      <w:r w:rsidR="00841D45" w:rsidRPr="009A50BB">
        <w:rPr>
          <w:rFonts w:cs="Arial"/>
          <w:szCs w:val="22"/>
        </w:rPr>
        <w:t xml:space="preserve"> mineur continue </w:t>
      </w:r>
      <w:r w:rsidR="00F54C53">
        <w:rPr>
          <w:rFonts w:cs="Arial"/>
          <w:szCs w:val="22"/>
        </w:rPr>
        <w:t>de</w:t>
      </w:r>
      <w:r w:rsidR="00841D45" w:rsidRPr="009A50BB">
        <w:rPr>
          <w:rFonts w:cs="Arial"/>
          <w:szCs w:val="22"/>
        </w:rPr>
        <w:t xml:space="preserve"> résider chez ses parents</w:t>
      </w:r>
      <w:r w:rsidR="00841D45">
        <w:rPr>
          <w:rFonts w:cs="Arial"/>
          <w:szCs w:val="22"/>
        </w:rPr>
        <w:t xml:space="preserve">; </w:t>
      </w:r>
      <w:r w:rsidR="00841D45" w:rsidRPr="009A50BB">
        <w:rPr>
          <w:rFonts w:cs="Arial"/>
          <w:szCs w:val="22"/>
        </w:rPr>
        <w:t xml:space="preserve"> </w:t>
      </w:r>
    </w:p>
    <w:p w:rsidR="00841D45" w:rsidRPr="009A50BB" w:rsidRDefault="00841D45" w:rsidP="00036A6C">
      <w:pPr>
        <w:pStyle w:val="SingleTxtG"/>
        <w:ind w:left="1689" w:hanging="555"/>
        <w:rPr>
          <w:rFonts w:cs="Arial"/>
          <w:szCs w:val="22"/>
        </w:rPr>
      </w:pPr>
      <w:r w:rsidRPr="009A50BB">
        <w:rPr>
          <w:rFonts w:ascii="Arial" w:hAnsi="Arial" w:cs="Arial"/>
          <w:szCs w:val="22"/>
        </w:rPr>
        <w:t>-</w:t>
      </w:r>
      <w:r w:rsidRPr="009A50BB">
        <w:rPr>
          <w:rFonts w:ascii="Arial" w:hAnsi="Arial" w:cs="Arial"/>
          <w:szCs w:val="22"/>
        </w:rPr>
        <w:tab/>
      </w:r>
      <w:r w:rsidR="00F54C53">
        <w:rPr>
          <w:rFonts w:cs="Arial"/>
          <w:szCs w:val="22"/>
        </w:rPr>
        <w:t>S</w:t>
      </w:r>
      <w:r w:rsidRPr="009A50BB">
        <w:rPr>
          <w:rFonts w:cs="Arial"/>
          <w:szCs w:val="22"/>
        </w:rPr>
        <w:t xml:space="preserve">oumettre l’intéressé à un accompagnement éducatif intensif et à un encadrement individualisé </w:t>
      </w:r>
      <w:r w:rsidR="00EF1106">
        <w:rPr>
          <w:rFonts w:cs="Arial"/>
          <w:szCs w:val="22"/>
        </w:rPr>
        <w:t>(</w:t>
      </w:r>
      <w:r w:rsidRPr="009A50BB">
        <w:rPr>
          <w:rFonts w:cs="Arial"/>
          <w:szCs w:val="22"/>
        </w:rPr>
        <w:t>éducateur référent</w:t>
      </w:r>
      <w:r w:rsidR="00EF1106">
        <w:rPr>
          <w:rFonts w:cs="Arial"/>
          <w:szCs w:val="22"/>
        </w:rPr>
        <w:t>)</w:t>
      </w:r>
      <w:r w:rsidRPr="009A50BB">
        <w:rPr>
          <w:rFonts w:cs="Arial"/>
          <w:szCs w:val="22"/>
        </w:rPr>
        <w:t>;</w:t>
      </w:r>
    </w:p>
    <w:p w:rsidR="00841D45" w:rsidRDefault="00841D45" w:rsidP="006D58E0">
      <w:pPr>
        <w:pStyle w:val="SingleTxtG"/>
        <w:rPr>
          <w:rFonts w:cs="Arial"/>
          <w:szCs w:val="22"/>
        </w:rPr>
      </w:pPr>
      <w:r>
        <w:rPr>
          <w:rFonts w:ascii="Arial" w:hAnsi="Arial" w:cs="Arial"/>
          <w:szCs w:val="22"/>
        </w:rPr>
        <w:t>-</w:t>
      </w:r>
      <w:r>
        <w:rPr>
          <w:rFonts w:ascii="Arial" w:hAnsi="Arial" w:cs="Arial"/>
          <w:szCs w:val="22"/>
        </w:rPr>
        <w:tab/>
      </w:r>
      <w:r w:rsidR="00F54C53">
        <w:rPr>
          <w:rFonts w:cs="Arial"/>
          <w:szCs w:val="22"/>
        </w:rPr>
        <w:t>I</w:t>
      </w:r>
      <w:r w:rsidRPr="009A50BB">
        <w:rPr>
          <w:rFonts w:cs="Arial"/>
          <w:szCs w:val="22"/>
        </w:rPr>
        <w:t>mposer à l’intéressé d'effectuer une prestation éducative d'intérêt général;</w:t>
      </w:r>
    </w:p>
    <w:p w:rsidR="00841D45" w:rsidRPr="009A50BB" w:rsidRDefault="00841D45" w:rsidP="00036A6C">
      <w:pPr>
        <w:pStyle w:val="SingleTxtG"/>
        <w:ind w:left="1689" w:hanging="555"/>
        <w:rPr>
          <w:rFonts w:cs="Arial"/>
          <w:szCs w:val="22"/>
        </w:rPr>
      </w:pPr>
      <w:r w:rsidRPr="009A50BB">
        <w:rPr>
          <w:rFonts w:ascii="Arial" w:hAnsi="Arial" w:cs="Arial"/>
          <w:szCs w:val="22"/>
        </w:rPr>
        <w:t>-</w:t>
      </w:r>
      <w:r w:rsidRPr="009A50BB">
        <w:rPr>
          <w:rFonts w:ascii="Arial" w:hAnsi="Arial" w:cs="Arial"/>
          <w:szCs w:val="22"/>
        </w:rPr>
        <w:tab/>
      </w:r>
      <w:r w:rsidR="00F54C53">
        <w:rPr>
          <w:rFonts w:cs="Arial"/>
          <w:szCs w:val="22"/>
        </w:rPr>
        <w:t>I</w:t>
      </w:r>
      <w:r w:rsidRPr="009A50BB">
        <w:rPr>
          <w:rFonts w:cs="Arial"/>
          <w:szCs w:val="22"/>
        </w:rPr>
        <w:t>mposer au mineur de suivre un traitement ambulatoire d</w:t>
      </w:r>
      <w:r w:rsidR="003D7BA8">
        <w:rPr>
          <w:rFonts w:cs="Arial"/>
          <w:szCs w:val="22"/>
        </w:rPr>
        <w:t xml:space="preserve">ans </w:t>
      </w:r>
      <w:r w:rsidRPr="009A50BB">
        <w:rPr>
          <w:rFonts w:cs="Arial"/>
          <w:szCs w:val="22"/>
        </w:rPr>
        <w:t>un service psychol</w:t>
      </w:r>
      <w:r>
        <w:rPr>
          <w:rFonts w:cs="Arial"/>
          <w:szCs w:val="22"/>
        </w:rPr>
        <w:t xml:space="preserve">ogique, psychiatrique ou autre, tout en lui permettant de rester dans son milieu familial. </w:t>
      </w:r>
      <w:r w:rsidRPr="009A50BB">
        <w:rPr>
          <w:rFonts w:cs="Arial"/>
          <w:szCs w:val="22"/>
        </w:rPr>
        <w:t>Cette thérapie peut également être suivie d</w:t>
      </w:r>
      <w:r w:rsidR="003D7BA8">
        <w:rPr>
          <w:rFonts w:cs="Arial"/>
          <w:szCs w:val="22"/>
        </w:rPr>
        <w:t xml:space="preserve">ans </w:t>
      </w:r>
      <w:r w:rsidRPr="009A50BB">
        <w:rPr>
          <w:rFonts w:cs="Arial"/>
          <w:szCs w:val="22"/>
        </w:rPr>
        <w:t>un service d’éducation sexuelle ou d</w:t>
      </w:r>
      <w:r w:rsidR="00E72332">
        <w:rPr>
          <w:rFonts w:cs="Arial"/>
          <w:szCs w:val="22"/>
        </w:rPr>
        <w:t xml:space="preserve">ans </w:t>
      </w:r>
      <w:r w:rsidRPr="009A50BB">
        <w:rPr>
          <w:rFonts w:cs="Arial"/>
          <w:szCs w:val="22"/>
        </w:rPr>
        <w:t>un service spécialisé dans le domaine de l’</w:t>
      </w:r>
      <w:r>
        <w:rPr>
          <w:rFonts w:cs="Arial"/>
          <w:szCs w:val="22"/>
        </w:rPr>
        <w:t>alcoolisme ou de la toxicomanie;</w:t>
      </w:r>
    </w:p>
    <w:p w:rsidR="00841D45" w:rsidRPr="007C219A" w:rsidRDefault="00841D45" w:rsidP="00036A6C">
      <w:pPr>
        <w:pStyle w:val="SingleTxtG"/>
        <w:ind w:left="1689" w:hanging="555"/>
        <w:rPr>
          <w:rFonts w:cs="Arial"/>
          <w:color w:val="000000"/>
          <w:szCs w:val="22"/>
        </w:rPr>
      </w:pPr>
      <w:r w:rsidRPr="007C219A">
        <w:rPr>
          <w:rFonts w:ascii="Arial" w:hAnsi="Arial" w:cs="Arial"/>
          <w:color w:val="000000"/>
          <w:szCs w:val="22"/>
        </w:rPr>
        <w:t>-</w:t>
      </w:r>
      <w:r w:rsidRPr="007C219A">
        <w:rPr>
          <w:rFonts w:ascii="Arial" w:hAnsi="Arial" w:cs="Arial"/>
          <w:color w:val="000000"/>
          <w:szCs w:val="22"/>
        </w:rPr>
        <w:tab/>
      </w:r>
      <w:r w:rsidR="00932D14">
        <w:rPr>
          <w:rFonts w:cs="Arial"/>
          <w:szCs w:val="22"/>
        </w:rPr>
        <w:t>C</w:t>
      </w:r>
      <w:r w:rsidRPr="009A50BB">
        <w:rPr>
          <w:rFonts w:cs="Arial"/>
          <w:szCs w:val="22"/>
        </w:rPr>
        <w:t xml:space="preserve">onfier l’intéressé à une personne morale </w:t>
      </w:r>
      <w:r w:rsidR="00E72332">
        <w:rPr>
          <w:rFonts w:cs="Arial"/>
          <w:szCs w:val="22"/>
        </w:rPr>
        <w:t xml:space="preserve">se </w:t>
      </w:r>
      <w:r w:rsidRPr="009A50BB">
        <w:rPr>
          <w:rFonts w:cs="Arial"/>
          <w:szCs w:val="22"/>
        </w:rPr>
        <w:t xml:space="preserve">proposant </w:t>
      </w:r>
      <w:r w:rsidR="00E72332">
        <w:rPr>
          <w:rFonts w:cs="Arial"/>
          <w:szCs w:val="22"/>
        </w:rPr>
        <w:t>d</w:t>
      </w:r>
      <w:r w:rsidRPr="009A50BB">
        <w:rPr>
          <w:rFonts w:cs="Arial"/>
          <w:szCs w:val="22"/>
        </w:rPr>
        <w:t>'encadre</w:t>
      </w:r>
      <w:r w:rsidR="00E72332">
        <w:rPr>
          <w:rFonts w:cs="Arial"/>
          <w:szCs w:val="22"/>
        </w:rPr>
        <w:t xml:space="preserve">r </w:t>
      </w:r>
      <w:r w:rsidRPr="009A50BB">
        <w:rPr>
          <w:rFonts w:cs="Arial"/>
          <w:szCs w:val="22"/>
        </w:rPr>
        <w:t xml:space="preserve">la réalisation </w:t>
      </w:r>
      <w:r w:rsidRPr="007C219A">
        <w:rPr>
          <w:rFonts w:cs="Arial"/>
          <w:color w:val="000000"/>
          <w:szCs w:val="22"/>
        </w:rPr>
        <w:t>d'une prestation positive consistant en une formation ou en une activité organisée;</w:t>
      </w:r>
    </w:p>
    <w:p w:rsidR="00841D45" w:rsidRPr="007C219A" w:rsidRDefault="00841D45" w:rsidP="00A96473">
      <w:pPr>
        <w:pStyle w:val="SingleTxtG"/>
        <w:ind w:left="1689" w:hanging="555"/>
        <w:rPr>
          <w:rFonts w:cs="Arial"/>
          <w:color w:val="000000"/>
          <w:szCs w:val="22"/>
        </w:rPr>
      </w:pPr>
      <w:r w:rsidRPr="007C219A">
        <w:rPr>
          <w:rFonts w:ascii="Arial" w:hAnsi="Arial" w:cs="Arial"/>
          <w:color w:val="000000"/>
          <w:szCs w:val="22"/>
        </w:rPr>
        <w:t>-</w:t>
      </w:r>
      <w:r w:rsidRPr="007C219A">
        <w:rPr>
          <w:rFonts w:ascii="Arial" w:hAnsi="Arial" w:cs="Arial"/>
          <w:color w:val="000000"/>
          <w:szCs w:val="22"/>
        </w:rPr>
        <w:tab/>
      </w:r>
      <w:r w:rsidR="00932D14">
        <w:rPr>
          <w:rFonts w:cs="Arial"/>
          <w:color w:val="000000"/>
          <w:szCs w:val="22"/>
        </w:rPr>
        <w:t>C</w:t>
      </w:r>
      <w:r w:rsidRPr="007C219A">
        <w:rPr>
          <w:rFonts w:cs="Arial"/>
          <w:color w:val="000000"/>
          <w:szCs w:val="22"/>
        </w:rPr>
        <w:t>onfier l’intéressé à une personne digne de confiance (un membre de la famille ou une famille d’accueil sous le contrôle du service social)</w:t>
      </w:r>
      <w:r>
        <w:rPr>
          <w:rFonts w:cs="Arial"/>
          <w:color w:val="000000"/>
          <w:szCs w:val="22"/>
        </w:rPr>
        <w:t>.</w:t>
      </w:r>
    </w:p>
    <w:p w:rsidR="00841D45" w:rsidRPr="009A50BB" w:rsidRDefault="002C69AF" w:rsidP="0035327E">
      <w:pPr>
        <w:pStyle w:val="SingleTxtG"/>
        <w:rPr>
          <w:rFonts w:cs="Arial"/>
          <w:szCs w:val="22"/>
        </w:rPr>
      </w:pPr>
      <w:r>
        <w:rPr>
          <w:rFonts w:cs="Arial"/>
          <w:szCs w:val="22"/>
        </w:rPr>
        <w:t>134.</w:t>
      </w:r>
      <w:r>
        <w:rPr>
          <w:rFonts w:cs="Arial"/>
          <w:szCs w:val="22"/>
        </w:rPr>
        <w:tab/>
      </w:r>
      <w:r w:rsidR="00841D45" w:rsidRPr="009A50BB">
        <w:rPr>
          <w:rFonts w:cs="Arial"/>
          <w:szCs w:val="22"/>
        </w:rPr>
        <w:t xml:space="preserve">Ces dispositions ne sont toutefois pas encore toutes entrées en vigueur car des accords doivent encore être conclus </w:t>
      </w:r>
      <w:r w:rsidR="0035327E">
        <w:rPr>
          <w:rFonts w:cs="Arial"/>
          <w:szCs w:val="22"/>
        </w:rPr>
        <w:t>à ce sujet</w:t>
      </w:r>
      <w:r w:rsidR="00841D45" w:rsidRPr="009A50BB">
        <w:rPr>
          <w:rFonts w:cs="Arial"/>
          <w:szCs w:val="22"/>
        </w:rPr>
        <w:t xml:space="preserve"> avec les Communautés.</w:t>
      </w:r>
    </w:p>
    <w:p w:rsidR="00841D45" w:rsidRPr="006E5C8F" w:rsidRDefault="002C69AF" w:rsidP="00886252">
      <w:pPr>
        <w:pStyle w:val="SingleTxtG"/>
        <w:rPr>
          <w:sz w:val="28"/>
          <w:szCs w:val="28"/>
        </w:rPr>
      </w:pPr>
      <w:r>
        <w:rPr>
          <w:rFonts w:cs="Arial"/>
        </w:rPr>
        <w:t>135.</w:t>
      </w:r>
      <w:r>
        <w:rPr>
          <w:rFonts w:cs="Arial"/>
        </w:rPr>
        <w:tab/>
      </w:r>
      <w:r w:rsidR="00841D45" w:rsidRPr="000954FD">
        <w:rPr>
          <w:rFonts w:cs="Arial"/>
        </w:rPr>
        <w:t>Le juge de la jeunesse et le tri</w:t>
      </w:r>
      <w:r w:rsidR="00841D45">
        <w:rPr>
          <w:rFonts w:cs="Arial"/>
        </w:rPr>
        <w:t>bunal de la jeunesse disposent aussi</w:t>
      </w:r>
      <w:r w:rsidR="00841D45" w:rsidRPr="000954FD">
        <w:rPr>
          <w:rFonts w:cs="Arial"/>
        </w:rPr>
        <w:t xml:space="preserve"> de la possibilité de </w:t>
      </w:r>
      <w:r w:rsidR="0035327E">
        <w:rPr>
          <w:rFonts w:cs="Arial"/>
        </w:rPr>
        <w:t>maintenir</w:t>
      </w:r>
      <w:r w:rsidR="0035327E" w:rsidRPr="000954FD">
        <w:rPr>
          <w:rFonts w:cs="Arial"/>
        </w:rPr>
        <w:t xml:space="preserve"> </w:t>
      </w:r>
      <w:r w:rsidR="00841D45" w:rsidRPr="000954FD">
        <w:rPr>
          <w:rFonts w:cs="Arial"/>
        </w:rPr>
        <w:t xml:space="preserve">le jeune dans son environnement sous certaines conditions. Le juge de la jeunesse peut ainsi </w:t>
      </w:r>
      <w:r w:rsidR="000E130D">
        <w:rPr>
          <w:rFonts w:cs="Arial"/>
        </w:rPr>
        <w:t xml:space="preserve">subordonner le maintien du </w:t>
      </w:r>
      <w:r w:rsidR="000E130D" w:rsidRPr="000954FD">
        <w:rPr>
          <w:rFonts w:cs="Arial"/>
        </w:rPr>
        <w:t>jeune dans son environnement</w:t>
      </w:r>
      <w:r w:rsidR="000E130D">
        <w:rPr>
          <w:rFonts w:cs="Arial"/>
        </w:rPr>
        <w:t xml:space="preserve"> à </w:t>
      </w:r>
      <w:r w:rsidR="00841D45" w:rsidRPr="000954FD">
        <w:rPr>
          <w:rFonts w:cs="Arial"/>
        </w:rPr>
        <w:t>une interdiction de sortie.</w:t>
      </w:r>
      <w:r w:rsidR="00837D89">
        <w:rPr>
          <w:rFonts w:cs="Arial"/>
        </w:rPr>
        <w:t xml:space="preserve"> </w:t>
      </w:r>
      <w:r w:rsidR="00841D45" w:rsidRPr="000954FD">
        <w:rPr>
          <w:rFonts w:cs="Arial"/>
        </w:rPr>
        <w:t xml:space="preserve">D’autres exemples </w:t>
      </w:r>
      <w:r w:rsidR="0088595E">
        <w:rPr>
          <w:rFonts w:cs="Arial"/>
        </w:rPr>
        <w:t>de</w:t>
      </w:r>
      <w:r w:rsidR="00841D45" w:rsidRPr="000954FD">
        <w:rPr>
          <w:rFonts w:cs="Arial"/>
        </w:rPr>
        <w:t xml:space="preserve"> </w:t>
      </w:r>
      <w:r w:rsidR="00C6458D">
        <w:rPr>
          <w:rFonts w:cs="Arial"/>
        </w:rPr>
        <w:t xml:space="preserve">maintien sous </w:t>
      </w:r>
      <w:r w:rsidR="00841D45" w:rsidRPr="000954FD">
        <w:rPr>
          <w:rFonts w:cs="Arial"/>
        </w:rPr>
        <w:t xml:space="preserve">conditions </w:t>
      </w:r>
      <w:r w:rsidR="0088595E">
        <w:rPr>
          <w:rFonts w:cs="Arial"/>
        </w:rPr>
        <w:t>seront notamment</w:t>
      </w:r>
      <w:r w:rsidR="0088595E" w:rsidRPr="000954FD">
        <w:rPr>
          <w:rFonts w:cs="Arial"/>
        </w:rPr>
        <w:t> </w:t>
      </w:r>
      <w:r w:rsidR="00841D45" w:rsidRPr="000954FD">
        <w:rPr>
          <w:rFonts w:cs="Arial"/>
        </w:rPr>
        <w:t>: la fréquentation régulière d’un établissement scolaire, la soumission aux directives pédagogiques d'un centre d'orientation éducative ou de santé mentale</w:t>
      </w:r>
      <w:r w:rsidR="00C6458D">
        <w:rPr>
          <w:rFonts w:cs="Arial"/>
        </w:rPr>
        <w:t>,</w:t>
      </w:r>
      <w:r w:rsidR="00841D45" w:rsidRPr="000954FD">
        <w:rPr>
          <w:rFonts w:cs="Arial"/>
        </w:rPr>
        <w:t xml:space="preserve"> ou</w:t>
      </w:r>
      <w:r w:rsidR="00C6458D">
        <w:rPr>
          <w:rFonts w:cs="Arial"/>
        </w:rPr>
        <w:t xml:space="preserve"> encore</w:t>
      </w:r>
      <w:r w:rsidR="00841D45" w:rsidRPr="000954FD">
        <w:rPr>
          <w:rFonts w:cs="Arial"/>
        </w:rPr>
        <w:t xml:space="preserve"> la participation à </w:t>
      </w:r>
      <w:r w:rsidR="00C6458D">
        <w:rPr>
          <w:rFonts w:cs="Arial"/>
        </w:rPr>
        <w:t>des</w:t>
      </w:r>
      <w:r w:rsidR="00841D45" w:rsidRPr="000954FD">
        <w:rPr>
          <w:rFonts w:cs="Arial"/>
        </w:rPr>
        <w:t xml:space="preserve"> activités sportives, sociales ou culturelles accompagnées.  </w:t>
      </w:r>
    </w:p>
    <w:p w:rsidR="00841D45" w:rsidRPr="00B061FA" w:rsidRDefault="002C69AF" w:rsidP="001A3108">
      <w:pPr>
        <w:pStyle w:val="SingleTxtG"/>
        <w:rPr>
          <w:rFonts w:cs="Arial"/>
          <w:strike/>
          <w:szCs w:val="22"/>
        </w:rPr>
      </w:pPr>
      <w:r>
        <w:rPr>
          <w:rFonts w:cs="Arial"/>
          <w:szCs w:val="22"/>
        </w:rPr>
        <w:t>136.</w:t>
      </w:r>
      <w:r>
        <w:rPr>
          <w:rFonts w:cs="Arial"/>
          <w:szCs w:val="22"/>
        </w:rPr>
        <w:tab/>
      </w:r>
      <w:r w:rsidR="00841D45" w:rsidRPr="009A50BB">
        <w:rPr>
          <w:rFonts w:cs="Arial"/>
          <w:szCs w:val="22"/>
        </w:rPr>
        <w:t>Une offre restauratrice de médiation ou de concertation en groupe peut également être proposée. La médiation restauratrice implique que le mineur, encadré par un service agréé, conclut un contrat</w:t>
      </w:r>
      <w:r w:rsidR="00841D45">
        <w:rPr>
          <w:rFonts w:cs="Arial"/>
          <w:szCs w:val="22"/>
        </w:rPr>
        <w:t xml:space="preserve"> </w:t>
      </w:r>
      <w:r w:rsidR="001A3108">
        <w:rPr>
          <w:rFonts w:cs="Arial"/>
          <w:szCs w:val="22"/>
        </w:rPr>
        <w:t>de</w:t>
      </w:r>
      <w:r w:rsidR="00841D45">
        <w:rPr>
          <w:rFonts w:cs="Arial"/>
          <w:szCs w:val="22"/>
        </w:rPr>
        <w:t xml:space="preserve"> réparation en nature.</w:t>
      </w:r>
    </w:p>
    <w:p w:rsidR="00841D45" w:rsidRPr="009A50BB" w:rsidRDefault="002C69AF" w:rsidP="00446BE3">
      <w:pPr>
        <w:pStyle w:val="SingleTxtG"/>
        <w:rPr>
          <w:rFonts w:cs="Arial"/>
          <w:szCs w:val="22"/>
        </w:rPr>
      </w:pPr>
      <w:r>
        <w:rPr>
          <w:rFonts w:cs="Arial"/>
          <w:szCs w:val="22"/>
        </w:rPr>
        <w:t>137.</w:t>
      </w:r>
      <w:r>
        <w:rPr>
          <w:rFonts w:cs="Arial"/>
          <w:szCs w:val="22"/>
        </w:rPr>
        <w:tab/>
      </w:r>
      <w:r w:rsidR="00841D45">
        <w:rPr>
          <w:rFonts w:cs="Arial"/>
          <w:szCs w:val="22"/>
        </w:rPr>
        <w:t>Enfin, l</w:t>
      </w:r>
      <w:r w:rsidR="00841D45" w:rsidRPr="009A50BB">
        <w:rPr>
          <w:rFonts w:cs="Arial"/>
          <w:szCs w:val="22"/>
        </w:rPr>
        <w:t xml:space="preserve">e mineur peut </w:t>
      </w:r>
      <w:r w:rsidR="00841D45">
        <w:rPr>
          <w:rFonts w:cs="Arial"/>
          <w:szCs w:val="22"/>
        </w:rPr>
        <w:t>aussi</w:t>
      </w:r>
      <w:r w:rsidR="005C0BF9">
        <w:rPr>
          <w:rFonts w:cs="Arial"/>
          <w:szCs w:val="22"/>
        </w:rPr>
        <w:t>,</w:t>
      </w:r>
      <w:r w:rsidR="00841D45">
        <w:rPr>
          <w:rFonts w:cs="Arial"/>
          <w:szCs w:val="22"/>
        </w:rPr>
        <w:t xml:space="preserve"> </w:t>
      </w:r>
      <w:r w:rsidR="00841D45" w:rsidRPr="009A50BB">
        <w:rPr>
          <w:rFonts w:cs="Arial"/>
          <w:szCs w:val="22"/>
        </w:rPr>
        <w:t>lui-même</w:t>
      </w:r>
      <w:r w:rsidR="005C0BF9">
        <w:rPr>
          <w:rFonts w:cs="Arial"/>
          <w:szCs w:val="22"/>
        </w:rPr>
        <w:t>,</w:t>
      </w:r>
      <w:r w:rsidR="00841D45" w:rsidRPr="009A50BB">
        <w:rPr>
          <w:rFonts w:cs="Arial"/>
          <w:szCs w:val="22"/>
        </w:rPr>
        <w:t xml:space="preserve"> </w:t>
      </w:r>
      <w:r w:rsidR="005C0BF9" w:rsidRPr="009A50BB">
        <w:rPr>
          <w:rFonts w:cs="Arial"/>
          <w:szCs w:val="22"/>
        </w:rPr>
        <w:t xml:space="preserve">proposer </w:t>
      </w:r>
      <w:r w:rsidR="00841D45" w:rsidRPr="009A50BB">
        <w:rPr>
          <w:rFonts w:cs="Arial"/>
          <w:szCs w:val="22"/>
        </w:rPr>
        <w:t>au tribunal un projet écrit portant sur un certain nombre d’engagements</w:t>
      </w:r>
      <w:r w:rsidR="00446BE3">
        <w:rPr>
          <w:rFonts w:cs="Arial"/>
          <w:szCs w:val="22"/>
        </w:rPr>
        <w:t xml:space="preserve">, entre autres, </w:t>
      </w:r>
      <w:r w:rsidR="004243C6">
        <w:rPr>
          <w:rFonts w:cs="Arial"/>
          <w:szCs w:val="22"/>
        </w:rPr>
        <w:t xml:space="preserve">l’engagement de </w:t>
      </w:r>
      <w:r w:rsidR="00841D45" w:rsidRPr="009A50BB">
        <w:rPr>
          <w:rFonts w:cs="Arial"/>
          <w:szCs w:val="22"/>
        </w:rPr>
        <w:t xml:space="preserve">formuler des excuses, </w:t>
      </w:r>
      <w:r w:rsidR="004243C6">
        <w:rPr>
          <w:rFonts w:cs="Arial"/>
          <w:szCs w:val="22"/>
        </w:rPr>
        <w:t xml:space="preserve">de </w:t>
      </w:r>
      <w:r w:rsidR="00841D45" w:rsidRPr="009A50BB">
        <w:rPr>
          <w:rFonts w:cs="Arial"/>
          <w:szCs w:val="22"/>
        </w:rPr>
        <w:t>réparer les dommages causés</w:t>
      </w:r>
      <w:r w:rsidR="004243C6">
        <w:rPr>
          <w:rFonts w:cs="Arial"/>
          <w:szCs w:val="22"/>
        </w:rPr>
        <w:t xml:space="preserve"> ou</w:t>
      </w:r>
      <w:r w:rsidR="004243C6" w:rsidRPr="009A50BB">
        <w:rPr>
          <w:rFonts w:cs="Arial"/>
          <w:szCs w:val="22"/>
        </w:rPr>
        <w:t xml:space="preserve"> </w:t>
      </w:r>
      <w:r w:rsidR="004243C6">
        <w:rPr>
          <w:rFonts w:cs="Arial"/>
          <w:szCs w:val="22"/>
        </w:rPr>
        <w:t xml:space="preserve">de </w:t>
      </w:r>
      <w:r w:rsidR="00841D45" w:rsidRPr="009A50BB">
        <w:rPr>
          <w:rFonts w:cs="Arial"/>
          <w:szCs w:val="22"/>
        </w:rPr>
        <w:t>se réinsérer dans la vie scolaire</w:t>
      </w:r>
      <w:r w:rsidR="004243C6">
        <w:rPr>
          <w:rFonts w:cs="Arial"/>
          <w:szCs w:val="22"/>
        </w:rPr>
        <w:t>.</w:t>
      </w:r>
    </w:p>
    <w:p w:rsidR="00841D45" w:rsidRPr="008425F5" w:rsidRDefault="00841D45" w:rsidP="00841D45">
      <w:pPr>
        <w:pStyle w:val="SingleTxtG"/>
        <w:rPr>
          <w:b/>
          <w:bCs/>
          <w:u w:val="single"/>
        </w:rPr>
      </w:pPr>
      <w:r w:rsidRPr="008425F5">
        <w:rPr>
          <w:b/>
          <w:bCs/>
          <w:u w:val="single"/>
        </w:rPr>
        <w:t>Le parquet</w:t>
      </w:r>
    </w:p>
    <w:p w:rsidR="00841D45" w:rsidRDefault="002C69AF" w:rsidP="002C69AF">
      <w:pPr>
        <w:pStyle w:val="SingleTxtG"/>
        <w:rPr>
          <w:rFonts w:cs="Arial"/>
        </w:rPr>
      </w:pPr>
      <w:r>
        <w:rPr>
          <w:rFonts w:cs="Arial"/>
        </w:rPr>
        <w:t>138.</w:t>
      </w:r>
      <w:r>
        <w:rPr>
          <w:rFonts w:cs="Arial"/>
        </w:rPr>
        <w:tab/>
      </w:r>
      <w:r w:rsidR="00841D45" w:rsidRPr="00A65915">
        <w:rPr>
          <w:rFonts w:cs="Arial"/>
        </w:rPr>
        <w:t>Le parquet peut proposer un c</w:t>
      </w:r>
      <w:r w:rsidR="00841D45">
        <w:rPr>
          <w:rFonts w:cs="Arial"/>
        </w:rPr>
        <w:t>lassement sans suite accompagné</w:t>
      </w:r>
      <w:r w:rsidR="00841D45" w:rsidRPr="00A65915">
        <w:rPr>
          <w:rFonts w:cs="Arial"/>
        </w:rPr>
        <w:t xml:space="preserve"> d’un rappel à </w:t>
      </w:r>
      <w:r w:rsidR="00841D45">
        <w:rPr>
          <w:rFonts w:cs="Arial"/>
        </w:rPr>
        <w:t xml:space="preserve">la </w:t>
      </w:r>
      <w:r w:rsidR="00841D45" w:rsidRPr="00A65915">
        <w:rPr>
          <w:rFonts w:cs="Arial"/>
        </w:rPr>
        <w:t>loi ou d’une lettre d’avertissement</w:t>
      </w:r>
      <w:r w:rsidR="0046000A">
        <w:rPr>
          <w:rFonts w:cs="Arial"/>
        </w:rPr>
        <w:t>,</w:t>
      </w:r>
      <w:r w:rsidR="00841D45" w:rsidRPr="00A65915">
        <w:rPr>
          <w:rFonts w:cs="Arial"/>
        </w:rPr>
        <w:t xml:space="preserve"> ou une médiation. </w:t>
      </w:r>
    </w:p>
    <w:p w:rsidR="00841D45" w:rsidRDefault="002C69AF" w:rsidP="0046000A">
      <w:pPr>
        <w:pStyle w:val="SingleTxtG"/>
        <w:rPr>
          <w:rFonts w:cs="Arial"/>
        </w:rPr>
      </w:pPr>
      <w:r>
        <w:rPr>
          <w:rFonts w:cs="Arial"/>
        </w:rPr>
        <w:t>139.</w:t>
      </w:r>
      <w:r>
        <w:rPr>
          <w:rFonts w:cs="Arial"/>
        </w:rPr>
        <w:tab/>
      </w:r>
      <w:r w:rsidR="00841D45">
        <w:rPr>
          <w:rFonts w:cs="Arial"/>
        </w:rPr>
        <w:t>En cas de rappel à la loi, l</w:t>
      </w:r>
      <w:r w:rsidR="00841D45" w:rsidRPr="005C7096">
        <w:rPr>
          <w:rFonts w:cs="Arial"/>
        </w:rPr>
        <w:t>e procureur</w:t>
      </w:r>
      <w:r w:rsidR="00841D45">
        <w:rPr>
          <w:rFonts w:cs="Arial"/>
        </w:rPr>
        <w:t xml:space="preserve"> convoque</w:t>
      </w:r>
      <w:r w:rsidR="00841D45" w:rsidRPr="005C7096">
        <w:rPr>
          <w:rFonts w:cs="Arial"/>
        </w:rPr>
        <w:t xml:space="preserve"> le mineur et ses représentants légaux pour leur adresser un rappel à la loi. Cette convocation dans les bureaux du magistrat permettra au mineur de faire valoir ses moyens de défense devant le magistrat et d’</w:t>
      </w:r>
      <w:r w:rsidR="0046000A">
        <w:rPr>
          <w:rFonts w:cs="Arial"/>
        </w:rPr>
        <w:t xml:space="preserve">apporter </w:t>
      </w:r>
      <w:r w:rsidR="00841D45" w:rsidRPr="005C7096">
        <w:rPr>
          <w:rFonts w:cs="Arial"/>
        </w:rPr>
        <w:t xml:space="preserve">éventuellement plus de précisions </w:t>
      </w:r>
      <w:r w:rsidR="0046000A">
        <w:rPr>
          <w:rFonts w:cs="Arial"/>
        </w:rPr>
        <w:t>sur les</w:t>
      </w:r>
      <w:r w:rsidR="00841D45" w:rsidRPr="005C7096">
        <w:rPr>
          <w:rFonts w:cs="Arial"/>
        </w:rPr>
        <w:t xml:space="preserve"> faits qui lui sont reprochés. Ses représentants légaux, également convoqués, auront certainement l’occasion d’obtenir plus d’informations </w:t>
      </w:r>
      <w:r w:rsidR="0046000A">
        <w:rPr>
          <w:rFonts w:cs="Arial"/>
        </w:rPr>
        <w:t>sur les</w:t>
      </w:r>
      <w:r w:rsidR="00841D45">
        <w:rPr>
          <w:rFonts w:cs="Arial"/>
        </w:rPr>
        <w:t xml:space="preserve"> faits reprochés à leur enfant.</w:t>
      </w:r>
    </w:p>
    <w:p w:rsidR="00841D45" w:rsidRPr="005C7096" w:rsidRDefault="002C69AF" w:rsidP="006C033A">
      <w:pPr>
        <w:pStyle w:val="SingleTxtG"/>
        <w:rPr>
          <w:rFonts w:cs="Arial"/>
        </w:rPr>
      </w:pPr>
      <w:r>
        <w:rPr>
          <w:rFonts w:cs="Arial"/>
        </w:rPr>
        <w:t>140.</w:t>
      </w:r>
      <w:r>
        <w:rPr>
          <w:rFonts w:cs="Arial"/>
        </w:rPr>
        <w:tab/>
      </w:r>
      <w:r w:rsidR="00841D45" w:rsidRPr="005C7096">
        <w:rPr>
          <w:rFonts w:cs="Arial"/>
        </w:rPr>
        <w:t xml:space="preserve">Le procureur </w:t>
      </w:r>
      <w:r w:rsidR="00841D45">
        <w:rPr>
          <w:rFonts w:cs="Arial"/>
        </w:rPr>
        <w:t>peut également adresser</w:t>
      </w:r>
      <w:r w:rsidR="00841D45" w:rsidRPr="005C7096">
        <w:rPr>
          <w:rFonts w:cs="Arial"/>
        </w:rPr>
        <w:t xml:space="preserve"> </w:t>
      </w:r>
      <w:r w:rsidR="00841D45">
        <w:rPr>
          <w:rFonts w:cs="Arial"/>
        </w:rPr>
        <w:t xml:space="preserve">une lettre d’avertissement </w:t>
      </w:r>
      <w:r w:rsidR="00841D45" w:rsidRPr="005C7096">
        <w:rPr>
          <w:rFonts w:cs="Arial"/>
        </w:rPr>
        <w:t xml:space="preserve">à l’auteur présumé du fait qualifié </w:t>
      </w:r>
      <w:r w:rsidR="004A7659">
        <w:rPr>
          <w:rFonts w:cs="Arial"/>
        </w:rPr>
        <w:t xml:space="preserve">en </w:t>
      </w:r>
      <w:r w:rsidR="00841D45" w:rsidRPr="005C7096">
        <w:rPr>
          <w:rFonts w:cs="Arial"/>
        </w:rPr>
        <w:t>infraction</w:t>
      </w:r>
      <w:r w:rsidR="004A7659">
        <w:rPr>
          <w:rFonts w:cs="Arial"/>
        </w:rPr>
        <w:t>. Dans la</w:t>
      </w:r>
      <w:r w:rsidR="00841D45" w:rsidRPr="005C7096">
        <w:rPr>
          <w:rFonts w:cs="Arial"/>
        </w:rPr>
        <w:t xml:space="preserve"> lettre d’avertissement</w:t>
      </w:r>
      <w:r w:rsidR="004A7659">
        <w:rPr>
          <w:rFonts w:cs="Arial"/>
        </w:rPr>
        <w:t xml:space="preserve">, </w:t>
      </w:r>
      <w:r w:rsidR="00841D45" w:rsidRPr="005C7096">
        <w:rPr>
          <w:rFonts w:cs="Arial"/>
        </w:rPr>
        <w:t>il indique qu’il a pris connaissance des faits, qu’il estime ces faits établis à charge du mineur et qu’il a décidé de classer le dossier sans suite. Une copie de cette lettre est transmise aux père et mère, au tuteur du mineur ou aux personnes qui en ont la garde en droit ou en fait.</w:t>
      </w:r>
    </w:p>
    <w:p w:rsidR="00841D45" w:rsidRDefault="002C69AF" w:rsidP="00135C55">
      <w:pPr>
        <w:pStyle w:val="SingleTxtG"/>
      </w:pPr>
      <w:r>
        <w:t>141.</w:t>
      </w:r>
      <w:r>
        <w:tab/>
      </w:r>
      <w:r w:rsidR="00841D45">
        <w:t xml:space="preserve">La médiation, quant à elle, </w:t>
      </w:r>
      <w:r w:rsidR="00841D45" w:rsidRPr="005C7096">
        <w:t>permet au jeune, aux personnes qui exercent l'autorité parentale à son égard, aux personnes qui en ont la garde en droit ou en fait ainsi qu'à la victime (si celle-ci est mineure, ses parents et/ou les personnes civilement responsables sont également invités) d'envisager ensemble et avec l'aide d'un médiateur neutre les possibilités d</w:t>
      </w:r>
      <w:r w:rsidR="00135C55">
        <w:t>’assum</w:t>
      </w:r>
      <w:r w:rsidR="00841D45" w:rsidRPr="005C7096">
        <w:t>e</w:t>
      </w:r>
      <w:r w:rsidR="00135C55">
        <w:t>r</w:t>
      </w:r>
      <w:r w:rsidR="00841D45" w:rsidRPr="005C7096">
        <w:t xml:space="preserve"> les conséquences notamment matérielles et relationnelles d'un fait qualifié </w:t>
      </w:r>
      <w:r w:rsidR="00135C55">
        <w:t xml:space="preserve">en </w:t>
      </w:r>
      <w:r w:rsidR="00841D45" w:rsidRPr="005C7096">
        <w:t>infraction.</w:t>
      </w:r>
    </w:p>
    <w:p w:rsidR="00841D45" w:rsidRPr="0019414C" w:rsidRDefault="002C69AF" w:rsidP="00025515">
      <w:pPr>
        <w:pStyle w:val="SingleTxtG"/>
        <w:rPr>
          <w:lang w:val="fr-BE"/>
        </w:rPr>
      </w:pPr>
      <w:r>
        <w:rPr>
          <w:lang w:val="fr-BE"/>
        </w:rPr>
        <w:t>142.</w:t>
      </w:r>
      <w:r>
        <w:rPr>
          <w:lang w:val="fr-BE"/>
        </w:rPr>
        <w:tab/>
      </w:r>
      <w:r w:rsidR="00841D45" w:rsidRPr="0019414C">
        <w:rPr>
          <w:lang w:val="fr-BE"/>
        </w:rPr>
        <w:t xml:space="preserve">Les autorités étatiques estiment que la situation ne pose pas de problème et se réfèrent à cet égard à l’absence de recommandation </w:t>
      </w:r>
      <w:r w:rsidR="00C633F4">
        <w:rPr>
          <w:lang w:val="fr-BE"/>
        </w:rPr>
        <w:t>sur les</w:t>
      </w:r>
      <w:r w:rsidR="00841D45" w:rsidRPr="0019414C">
        <w:rPr>
          <w:lang w:val="fr-BE"/>
        </w:rPr>
        <w:t xml:space="preserve"> conditions de détention dans les centres fermés pour mineurs </w:t>
      </w:r>
      <w:r w:rsidR="00C633F4">
        <w:rPr>
          <w:lang w:val="fr-BE"/>
        </w:rPr>
        <w:t xml:space="preserve">de la </w:t>
      </w:r>
      <w:r w:rsidR="00841D45" w:rsidRPr="0019414C">
        <w:rPr>
          <w:lang w:val="fr-BE"/>
        </w:rPr>
        <w:t>par</w:t>
      </w:r>
      <w:r w:rsidR="00C633F4">
        <w:rPr>
          <w:lang w:val="fr-BE"/>
        </w:rPr>
        <w:t>t</w:t>
      </w:r>
      <w:r w:rsidR="00841D45" w:rsidRPr="0019414C">
        <w:rPr>
          <w:lang w:val="fr-BE"/>
        </w:rPr>
        <w:t xml:space="preserve"> d’autres instances et comités internationaux. Nous </w:t>
      </w:r>
      <w:r w:rsidR="00025515">
        <w:rPr>
          <w:lang w:val="fr-BE"/>
        </w:rPr>
        <w:t>notons,</w:t>
      </w:r>
      <w:r w:rsidR="00841D45" w:rsidRPr="0019414C">
        <w:rPr>
          <w:lang w:val="fr-BE"/>
        </w:rPr>
        <w:t xml:space="preserve"> cependant</w:t>
      </w:r>
      <w:r w:rsidR="00025515">
        <w:rPr>
          <w:lang w:val="fr-BE"/>
        </w:rPr>
        <w:t>,</w:t>
      </w:r>
      <w:r w:rsidR="00841D45" w:rsidRPr="0019414C">
        <w:rPr>
          <w:lang w:val="fr-BE"/>
        </w:rPr>
        <w:t xml:space="preserve"> que suite à l’ouverture du centr</w:t>
      </w:r>
      <w:r w:rsidR="00025515">
        <w:rPr>
          <w:lang w:val="fr-BE"/>
        </w:rPr>
        <w:t>e</w:t>
      </w:r>
      <w:r w:rsidR="00841D45" w:rsidRPr="0019414C">
        <w:rPr>
          <w:lang w:val="fr-BE"/>
        </w:rPr>
        <w:t xml:space="preserve"> fédéral fermé de Saint-Hubert, les jeunes francophones ont tous quitté Everberg. Avant de remettre en service la partie du centre qui leur était réservée, des travaux de rénovation et de rafraichissement auront lieu. </w:t>
      </w:r>
    </w:p>
    <w:p w:rsidR="005B1DEC" w:rsidRPr="00340AAB" w:rsidRDefault="005B1DEC" w:rsidP="00841D45">
      <w:pPr>
        <w:pStyle w:val="SingleTxtG"/>
        <w:rPr>
          <w:b/>
          <w:bCs/>
          <w:lang w:val="fr-FR"/>
        </w:rPr>
      </w:pPr>
      <w:r w:rsidRPr="00340AAB">
        <w:rPr>
          <w:b/>
          <w:bCs/>
        </w:rPr>
        <w:t>Réponse au paragraphe 18 de la liste de points à traiter</w:t>
      </w:r>
      <w:r w:rsidRPr="00340AAB" w:rsidDel="005B1DEC">
        <w:rPr>
          <w:b/>
          <w:bCs/>
          <w:lang w:val="fr-FR"/>
        </w:rPr>
        <w:t xml:space="preserve"> </w:t>
      </w:r>
    </w:p>
    <w:p w:rsidR="00841D45" w:rsidRPr="00263545" w:rsidRDefault="002C69AF" w:rsidP="00A96473">
      <w:pPr>
        <w:pStyle w:val="SingleTxtG"/>
        <w:rPr>
          <w:color w:val="000000"/>
          <w:lang w:val="fr-BE"/>
        </w:rPr>
      </w:pPr>
      <w:r>
        <w:rPr>
          <w:color w:val="000000"/>
          <w:lang w:val="fr-BE"/>
        </w:rPr>
        <w:t>143.</w:t>
      </w:r>
      <w:r>
        <w:rPr>
          <w:color w:val="000000"/>
          <w:lang w:val="fr-BE"/>
        </w:rPr>
        <w:tab/>
      </w:r>
      <w:r w:rsidR="00841D45">
        <w:rPr>
          <w:color w:val="000000"/>
          <w:lang w:val="fr-BE"/>
        </w:rPr>
        <w:t>Les plans d’action</w:t>
      </w:r>
      <w:r w:rsidR="00841D45" w:rsidRPr="00263545">
        <w:rPr>
          <w:color w:val="000000"/>
          <w:lang w:val="fr-BE"/>
        </w:rPr>
        <w:t xml:space="preserve"> policiers et les programmes en matière de traite des êtres humains </w:t>
      </w:r>
      <w:r w:rsidR="00327A34">
        <w:rPr>
          <w:color w:val="000000"/>
          <w:lang w:val="fr-BE"/>
        </w:rPr>
        <w:t>découlent du</w:t>
      </w:r>
      <w:r w:rsidR="00841D45" w:rsidRPr="00263545">
        <w:rPr>
          <w:color w:val="000000"/>
          <w:lang w:val="fr-BE"/>
        </w:rPr>
        <w:t xml:space="preserve"> développement de</w:t>
      </w:r>
      <w:r w:rsidR="008F1892">
        <w:rPr>
          <w:color w:val="000000"/>
          <w:lang w:val="fr-BE"/>
        </w:rPr>
        <w:t>s</w:t>
      </w:r>
      <w:r w:rsidR="00841D45" w:rsidRPr="00263545">
        <w:rPr>
          <w:color w:val="000000"/>
          <w:lang w:val="fr-BE"/>
        </w:rPr>
        <w:t xml:space="preserve"> notes</w:t>
      </w:r>
      <w:r w:rsidR="008F1892">
        <w:rPr>
          <w:color w:val="000000"/>
          <w:lang w:val="fr-BE"/>
        </w:rPr>
        <w:t>-</w:t>
      </w:r>
      <w:r w:rsidR="00841D45" w:rsidRPr="00263545">
        <w:rPr>
          <w:color w:val="000000"/>
          <w:lang w:val="fr-BE"/>
        </w:rPr>
        <w:t xml:space="preserve">cadres de sécurité intégrale du Gouvernement. Ils sont basés sur une analyse policière plus large </w:t>
      </w:r>
      <w:r w:rsidR="008F1892">
        <w:rPr>
          <w:color w:val="000000"/>
          <w:lang w:val="fr-BE"/>
        </w:rPr>
        <w:t>de</w:t>
      </w:r>
      <w:r w:rsidR="00841D45" w:rsidRPr="00263545">
        <w:rPr>
          <w:color w:val="000000"/>
          <w:lang w:val="fr-BE"/>
        </w:rPr>
        <w:t xml:space="preserve"> l’ampleur </w:t>
      </w:r>
      <w:r w:rsidR="00841D45">
        <w:rPr>
          <w:color w:val="000000"/>
          <w:lang w:val="fr-BE"/>
        </w:rPr>
        <w:t xml:space="preserve">de la problématique, </w:t>
      </w:r>
      <w:r w:rsidR="008F1892">
        <w:rPr>
          <w:color w:val="000000"/>
          <w:lang w:val="fr-BE"/>
        </w:rPr>
        <w:t>de sa gravité</w:t>
      </w:r>
      <w:r w:rsidR="00841D45" w:rsidRPr="00263545">
        <w:rPr>
          <w:color w:val="000000"/>
          <w:lang w:val="fr-BE"/>
        </w:rPr>
        <w:t xml:space="preserve"> et </w:t>
      </w:r>
      <w:r w:rsidR="008F1892">
        <w:rPr>
          <w:color w:val="000000"/>
          <w:lang w:val="fr-BE"/>
        </w:rPr>
        <w:t xml:space="preserve">de </w:t>
      </w:r>
      <w:r w:rsidR="00841D45" w:rsidRPr="00263545">
        <w:rPr>
          <w:color w:val="000000"/>
          <w:lang w:val="fr-BE"/>
        </w:rPr>
        <w:t>la menace qu</w:t>
      </w:r>
      <w:r w:rsidR="001C788E">
        <w:rPr>
          <w:color w:val="000000"/>
          <w:lang w:val="fr-BE"/>
        </w:rPr>
        <w:t>’elle représente</w:t>
      </w:r>
      <w:r w:rsidR="003E4DFA">
        <w:rPr>
          <w:color w:val="000000"/>
          <w:lang w:val="fr-BE"/>
        </w:rPr>
        <w:t>,</w:t>
      </w:r>
      <w:r w:rsidR="00841D45" w:rsidRPr="00263545">
        <w:rPr>
          <w:color w:val="000000"/>
          <w:lang w:val="fr-BE"/>
        </w:rPr>
        <w:t xml:space="preserve"> </w:t>
      </w:r>
      <w:r w:rsidR="003E4DFA">
        <w:rPr>
          <w:color w:val="000000"/>
          <w:lang w:val="fr-BE"/>
        </w:rPr>
        <w:t>d</w:t>
      </w:r>
      <w:r w:rsidR="00841D45" w:rsidRPr="00263545">
        <w:rPr>
          <w:color w:val="000000"/>
          <w:lang w:val="fr-BE"/>
        </w:rPr>
        <w:t>e</w:t>
      </w:r>
      <w:r w:rsidR="003E4DFA">
        <w:rPr>
          <w:color w:val="000000"/>
          <w:lang w:val="fr-BE"/>
        </w:rPr>
        <w:t xml:space="preserve"> se</w:t>
      </w:r>
      <w:r w:rsidR="00841D45" w:rsidRPr="00263545">
        <w:rPr>
          <w:color w:val="000000"/>
          <w:lang w:val="fr-BE"/>
        </w:rPr>
        <w:t xml:space="preserve">s conséquences pour les victimes, </w:t>
      </w:r>
      <w:r w:rsidR="003E4DFA">
        <w:rPr>
          <w:color w:val="000000"/>
          <w:lang w:val="fr-BE"/>
        </w:rPr>
        <w:t xml:space="preserve">de </w:t>
      </w:r>
      <w:r w:rsidR="00841D45" w:rsidRPr="00263545">
        <w:rPr>
          <w:color w:val="000000"/>
          <w:lang w:val="fr-BE"/>
        </w:rPr>
        <w:t>l’attention des médias</w:t>
      </w:r>
      <w:r w:rsidR="00841D45">
        <w:rPr>
          <w:color w:val="000000"/>
          <w:lang w:val="fr-BE"/>
        </w:rPr>
        <w:t xml:space="preserve">, </w:t>
      </w:r>
      <w:r w:rsidR="003E4DFA">
        <w:rPr>
          <w:color w:val="000000"/>
          <w:lang w:val="fr-BE"/>
        </w:rPr>
        <w:t>etc</w:t>
      </w:r>
      <w:r w:rsidR="00841D45">
        <w:rPr>
          <w:color w:val="000000"/>
          <w:lang w:val="fr-BE"/>
        </w:rPr>
        <w:t>.</w:t>
      </w:r>
      <w:r w:rsidR="00841D45" w:rsidRPr="00263545">
        <w:rPr>
          <w:color w:val="000000"/>
          <w:lang w:val="fr-BE"/>
        </w:rPr>
        <w:t xml:space="preserve"> Les plans d’action policiers </w:t>
      </w:r>
      <w:r w:rsidR="00984E75">
        <w:rPr>
          <w:color w:val="000000"/>
          <w:lang w:val="fr-BE"/>
        </w:rPr>
        <w:t>s’articulent</w:t>
      </w:r>
      <w:r w:rsidR="00841D45" w:rsidRPr="00263545">
        <w:rPr>
          <w:color w:val="000000"/>
          <w:lang w:val="fr-BE"/>
        </w:rPr>
        <w:t xml:space="preserve"> </w:t>
      </w:r>
      <w:r w:rsidR="00841D45">
        <w:rPr>
          <w:color w:val="000000"/>
          <w:lang w:val="fr-BE"/>
        </w:rPr>
        <w:t>autour d</w:t>
      </w:r>
      <w:r w:rsidR="00841D45" w:rsidRPr="00263545">
        <w:rPr>
          <w:color w:val="000000"/>
          <w:lang w:val="fr-BE"/>
        </w:rPr>
        <w:t xml:space="preserve">es quatre «p» (prévention, poursuite, protection et partenariat). </w:t>
      </w:r>
      <w:r w:rsidR="00841D45">
        <w:rPr>
          <w:color w:val="000000"/>
          <w:lang w:val="fr-BE"/>
        </w:rPr>
        <w:t>C’est pourquoi i</w:t>
      </w:r>
      <w:r w:rsidR="00841D45" w:rsidRPr="00263545">
        <w:rPr>
          <w:color w:val="000000"/>
          <w:lang w:val="fr-BE"/>
        </w:rPr>
        <w:t xml:space="preserve">ls </w:t>
      </w:r>
      <w:r w:rsidR="00702DC6">
        <w:rPr>
          <w:color w:val="000000"/>
          <w:lang w:val="fr-BE"/>
        </w:rPr>
        <w:t>viennent en</w:t>
      </w:r>
      <w:r w:rsidR="00702DC6" w:rsidRPr="00263545">
        <w:rPr>
          <w:color w:val="000000"/>
          <w:lang w:val="fr-BE"/>
        </w:rPr>
        <w:t xml:space="preserve"> </w:t>
      </w:r>
      <w:r w:rsidR="00841D45">
        <w:rPr>
          <w:color w:val="000000"/>
          <w:lang w:val="fr-BE"/>
        </w:rPr>
        <w:t>complé</w:t>
      </w:r>
      <w:r w:rsidR="00702DC6">
        <w:rPr>
          <w:color w:val="000000"/>
          <w:lang w:val="fr-BE"/>
        </w:rPr>
        <w:t xml:space="preserve">ment des </w:t>
      </w:r>
      <w:r w:rsidR="00841D45" w:rsidRPr="00263545">
        <w:rPr>
          <w:color w:val="000000"/>
          <w:lang w:val="fr-BE"/>
        </w:rPr>
        <w:t xml:space="preserve">initiatives </w:t>
      </w:r>
      <w:r w:rsidR="004B5224">
        <w:rPr>
          <w:color w:val="000000"/>
          <w:lang w:val="fr-BE"/>
        </w:rPr>
        <w:t>prises par</w:t>
      </w:r>
      <w:r w:rsidR="00841D45" w:rsidRPr="00263545">
        <w:rPr>
          <w:color w:val="000000"/>
          <w:lang w:val="fr-BE"/>
        </w:rPr>
        <w:t xml:space="preserve"> les différents acteurs </w:t>
      </w:r>
      <w:r w:rsidR="00841D45">
        <w:rPr>
          <w:color w:val="000000"/>
          <w:lang w:val="fr-BE"/>
        </w:rPr>
        <w:t>clés</w:t>
      </w:r>
      <w:r w:rsidR="00841D45" w:rsidRPr="00263545">
        <w:rPr>
          <w:color w:val="000000"/>
          <w:lang w:val="fr-BE"/>
        </w:rPr>
        <w:t xml:space="preserve"> </w:t>
      </w:r>
      <w:r w:rsidR="00841D45">
        <w:rPr>
          <w:color w:val="000000"/>
          <w:lang w:val="fr-BE"/>
        </w:rPr>
        <w:t>dans</w:t>
      </w:r>
      <w:r w:rsidR="00841D45" w:rsidRPr="00263545">
        <w:rPr>
          <w:color w:val="000000"/>
          <w:lang w:val="fr-BE"/>
        </w:rPr>
        <w:t xml:space="preserve"> la lutte contre la traite des êtres humains. L’évalu</w:t>
      </w:r>
      <w:r w:rsidR="00841D45">
        <w:rPr>
          <w:color w:val="000000"/>
          <w:lang w:val="fr-BE"/>
        </w:rPr>
        <w:t xml:space="preserve">ation des plans d’action </w:t>
      </w:r>
      <w:r w:rsidR="004B5224">
        <w:rPr>
          <w:color w:val="000000"/>
          <w:lang w:val="fr-BE"/>
        </w:rPr>
        <w:t>porte</w:t>
      </w:r>
      <w:r w:rsidR="00841D45">
        <w:rPr>
          <w:color w:val="000000"/>
          <w:lang w:val="fr-BE"/>
        </w:rPr>
        <w:t xml:space="preserve"> aussi bien </w:t>
      </w:r>
      <w:r w:rsidR="004B5224">
        <w:rPr>
          <w:color w:val="000000"/>
          <w:lang w:val="fr-BE"/>
        </w:rPr>
        <w:t xml:space="preserve">sur le </w:t>
      </w:r>
      <w:r w:rsidR="00841D45">
        <w:rPr>
          <w:color w:val="000000"/>
          <w:lang w:val="fr-BE"/>
        </w:rPr>
        <w:t>processus qu</w:t>
      </w:r>
      <w:r w:rsidR="004B5224">
        <w:rPr>
          <w:color w:val="000000"/>
          <w:lang w:val="fr-BE"/>
        </w:rPr>
        <w:t xml:space="preserve">e sur le </w:t>
      </w:r>
      <w:r w:rsidR="00841D45" w:rsidRPr="00263545">
        <w:rPr>
          <w:color w:val="000000"/>
          <w:lang w:val="fr-BE"/>
        </w:rPr>
        <w:t xml:space="preserve">résultat. </w:t>
      </w:r>
    </w:p>
    <w:p w:rsidR="00841D45" w:rsidRPr="00263545" w:rsidRDefault="002C69AF" w:rsidP="001D11F5">
      <w:pPr>
        <w:pStyle w:val="SingleTxtG"/>
        <w:rPr>
          <w:color w:val="000000"/>
          <w:lang w:val="fr-BE"/>
        </w:rPr>
      </w:pPr>
      <w:r>
        <w:rPr>
          <w:color w:val="000000"/>
          <w:lang w:val="fr-BE"/>
        </w:rPr>
        <w:t>144.</w:t>
      </w:r>
      <w:r>
        <w:rPr>
          <w:color w:val="000000"/>
          <w:lang w:val="fr-BE"/>
        </w:rPr>
        <w:tab/>
      </w:r>
      <w:r w:rsidR="00841D45" w:rsidRPr="00263545">
        <w:rPr>
          <w:color w:val="000000"/>
          <w:lang w:val="fr-BE"/>
        </w:rPr>
        <w:t xml:space="preserve">Les principaux résultats des plans d’action sont indiqués ci-dessous : </w:t>
      </w:r>
    </w:p>
    <w:p w:rsidR="00841D45" w:rsidRPr="00263545" w:rsidRDefault="00841D45" w:rsidP="00D909AC">
      <w:pPr>
        <w:pStyle w:val="SingleTxtG"/>
        <w:rPr>
          <w:color w:val="000000"/>
          <w:lang w:val="fr-BE"/>
        </w:rPr>
      </w:pPr>
      <w:r w:rsidRPr="00263545">
        <w:rPr>
          <w:color w:val="000000"/>
          <w:lang w:val="fr-BE"/>
        </w:rPr>
        <w:t xml:space="preserve">- </w:t>
      </w:r>
      <w:r w:rsidR="00D909AC">
        <w:rPr>
          <w:color w:val="000000"/>
          <w:lang w:val="fr-BE"/>
        </w:rPr>
        <w:t>Tableau</w:t>
      </w:r>
      <w:r w:rsidR="00713D58">
        <w:rPr>
          <w:color w:val="000000"/>
          <w:lang w:val="fr-BE"/>
        </w:rPr>
        <w:t xml:space="preserve"> plus précis</w:t>
      </w:r>
      <w:r w:rsidRPr="00263545">
        <w:rPr>
          <w:color w:val="000000"/>
          <w:lang w:val="fr-BE"/>
        </w:rPr>
        <w:t xml:space="preserve"> des différentes manifestations de la traite des êtres humains (exploitation sexuelle et économique, trafic d’organe</w:t>
      </w:r>
      <w:r w:rsidR="00713D58">
        <w:rPr>
          <w:color w:val="000000"/>
          <w:lang w:val="fr-BE"/>
        </w:rPr>
        <w:t>s</w:t>
      </w:r>
      <w:r w:rsidRPr="00263545">
        <w:rPr>
          <w:color w:val="000000"/>
          <w:lang w:val="fr-BE"/>
        </w:rPr>
        <w:t>, exploitation de la mendicité);</w:t>
      </w:r>
    </w:p>
    <w:p w:rsidR="00841D45" w:rsidRPr="00263545" w:rsidRDefault="00841D45" w:rsidP="009A790B">
      <w:pPr>
        <w:pStyle w:val="SingleTxtG"/>
        <w:rPr>
          <w:color w:val="000000"/>
          <w:lang w:val="fr-BE"/>
        </w:rPr>
      </w:pPr>
      <w:r w:rsidRPr="00263545">
        <w:rPr>
          <w:color w:val="000000"/>
          <w:lang w:val="fr-BE"/>
        </w:rPr>
        <w:t xml:space="preserve">- </w:t>
      </w:r>
      <w:r w:rsidR="009A790B">
        <w:rPr>
          <w:color w:val="000000"/>
          <w:lang w:val="fr-BE"/>
        </w:rPr>
        <w:t>M</w:t>
      </w:r>
      <w:r w:rsidRPr="00263545">
        <w:rPr>
          <w:color w:val="000000"/>
          <w:lang w:val="fr-BE"/>
        </w:rPr>
        <w:t>eilleure collaboration avec les centres spécialisés</w:t>
      </w:r>
      <w:r>
        <w:rPr>
          <w:color w:val="000000"/>
          <w:lang w:val="fr-BE"/>
        </w:rPr>
        <w:t xml:space="preserve"> dans</w:t>
      </w:r>
      <w:r w:rsidRPr="00263545">
        <w:rPr>
          <w:color w:val="000000"/>
          <w:lang w:val="fr-BE"/>
        </w:rPr>
        <w:t xml:space="preserve"> l’accueil des victimes de la traite et avec le </w:t>
      </w:r>
      <w:r w:rsidR="00713D58">
        <w:rPr>
          <w:color w:val="000000"/>
          <w:lang w:val="fr-BE"/>
        </w:rPr>
        <w:t>C</w:t>
      </w:r>
      <w:r w:rsidRPr="00263545">
        <w:rPr>
          <w:color w:val="000000"/>
          <w:lang w:val="fr-BE"/>
        </w:rPr>
        <w:t xml:space="preserve">entre pour l’égalité des chances et la lutte contre le racisme qui est </w:t>
      </w:r>
      <w:r w:rsidR="00713D58">
        <w:rPr>
          <w:color w:val="000000"/>
          <w:lang w:val="fr-BE"/>
        </w:rPr>
        <w:t xml:space="preserve">chargé </w:t>
      </w:r>
      <w:r w:rsidRPr="00263545">
        <w:rPr>
          <w:color w:val="000000"/>
          <w:lang w:val="fr-BE"/>
        </w:rPr>
        <w:t>de la coordinat</w:t>
      </w:r>
      <w:r>
        <w:rPr>
          <w:color w:val="000000"/>
          <w:lang w:val="fr-BE"/>
        </w:rPr>
        <w:t xml:space="preserve">ion </w:t>
      </w:r>
      <w:r w:rsidR="00FC54F5">
        <w:rPr>
          <w:color w:val="000000"/>
          <w:lang w:val="fr-BE"/>
        </w:rPr>
        <w:t>entre</w:t>
      </w:r>
      <w:r w:rsidR="003C07B2">
        <w:rPr>
          <w:color w:val="000000"/>
          <w:lang w:val="fr-BE"/>
        </w:rPr>
        <w:t xml:space="preserve"> </w:t>
      </w:r>
      <w:r>
        <w:rPr>
          <w:color w:val="000000"/>
          <w:lang w:val="fr-BE"/>
        </w:rPr>
        <w:t>ces centres spécialisés;</w:t>
      </w:r>
    </w:p>
    <w:p w:rsidR="00841D45" w:rsidRPr="00263545" w:rsidRDefault="00841D45" w:rsidP="00A74F64">
      <w:pPr>
        <w:pStyle w:val="SingleTxtG"/>
        <w:rPr>
          <w:color w:val="000000"/>
          <w:lang w:val="fr-BE"/>
        </w:rPr>
      </w:pPr>
      <w:r w:rsidRPr="00263545">
        <w:rPr>
          <w:color w:val="000000"/>
          <w:lang w:val="fr-BE"/>
        </w:rPr>
        <w:t xml:space="preserve">- </w:t>
      </w:r>
      <w:r w:rsidR="009A790B">
        <w:rPr>
          <w:color w:val="000000"/>
          <w:lang w:val="fr-BE"/>
        </w:rPr>
        <w:t>F</w:t>
      </w:r>
      <w:r w:rsidRPr="00263545">
        <w:rPr>
          <w:color w:val="000000"/>
          <w:lang w:val="fr-BE"/>
        </w:rPr>
        <w:t>ormation</w:t>
      </w:r>
      <w:r w:rsidR="00A74F64">
        <w:rPr>
          <w:color w:val="000000"/>
          <w:lang w:val="fr-BE"/>
        </w:rPr>
        <w:t>s</w:t>
      </w:r>
      <w:r w:rsidRPr="00263545">
        <w:rPr>
          <w:color w:val="000000"/>
          <w:lang w:val="fr-BE"/>
        </w:rPr>
        <w:t xml:space="preserve"> </w:t>
      </w:r>
      <w:r w:rsidR="00D8456E">
        <w:rPr>
          <w:color w:val="000000"/>
          <w:lang w:val="fr-BE"/>
        </w:rPr>
        <w:t>sur la</w:t>
      </w:r>
      <w:r w:rsidRPr="00263545">
        <w:rPr>
          <w:color w:val="000000"/>
          <w:lang w:val="fr-BE"/>
        </w:rPr>
        <w:t xml:space="preserve"> traite des êtres humains </w:t>
      </w:r>
      <w:r w:rsidR="008047CA">
        <w:rPr>
          <w:color w:val="000000"/>
          <w:lang w:val="fr-BE"/>
        </w:rPr>
        <w:t>dispensée</w:t>
      </w:r>
      <w:r w:rsidR="00A74F64">
        <w:rPr>
          <w:color w:val="000000"/>
          <w:lang w:val="fr-BE"/>
        </w:rPr>
        <w:t>s</w:t>
      </w:r>
      <w:r w:rsidR="008047CA">
        <w:rPr>
          <w:color w:val="000000"/>
          <w:lang w:val="fr-BE"/>
        </w:rPr>
        <w:t xml:space="preserve"> aux </w:t>
      </w:r>
      <w:r w:rsidRPr="00263545">
        <w:rPr>
          <w:color w:val="000000"/>
          <w:lang w:val="fr-BE"/>
        </w:rPr>
        <w:t xml:space="preserve">policiers spécialisés et </w:t>
      </w:r>
      <w:r w:rsidR="00E91D3D">
        <w:rPr>
          <w:color w:val="000000"/>
          <w:lang w:val="fr-BE"/>
        </w:rPr>
        <w:t xml:space="preserve">aux </w:t>
      </w:r>
      <w:r w:rsidR="00D8456E">
        <w:rPr>
          <w:color w:val="000000"/>
          <w:lang w:val="fr-BE"/>
        </w:rPr>
        <w:t xml:space="preserve">acteurs majeurs </w:t>
      </w:r>
      <w:r w:rsidR="005A623C">
        <w:rPr>
          <w:color w:val="000000"/>
          <w:lang w:val="fr-BE"/>
        </w:rPr>
        <w:t>dans les milieux</w:t>
      </w:r>
      <w:r w:rsidR="00D8456E">
        <w:rPr>
          <w:color w:val="000000"/>
          <w:lang w:val="fr-BE"/>
        </w:rPr>
        <w:t xml:space="preserve"> </w:t>
      </w:r>
      <w:r w:rsidRPr="00263545">
        <w:rPr>
          <w:color w:val="000000"/>
          <w:lang w:val="fr-BE"/>
        </w:rPr>
        <w:t>de la police</w:t>
      </w:r>
      <w:r w:rsidR="00D64417">
        <w:rPr>
          <w:color w:val="000000"/>
          <w:lang w:val="fr-BE"/>
        </w:rPr>
        <w:t>,</w:t>
      </w:r>
      <w:r w:rsidRPr="00263545">
        <w:rPr>
          <w:color w:val="000000"/>
          <w:lang w:val="fr-BE"/>
        </w:rPr>
        <w:t xml:space="preserve"> tels que les contrôleurs </w:t>
      </w:r>
      <w:r w:rsidR="005A623C">
        <w:rPr>
          <w:color w:val="000000"/>
          <w:lang w:val="fr-BE"/>
        </w:rPr>
        <w:t xml:space="preserve">chargés </w:t>
      </w:r>
      <w:r w:rsidRPr="00263545">
        <w:rPr>
          <w:color w:val="000000"/>
          <w:lang w:val="fr-BE"/>
        </w:rPr>
        <w:t xml:space="preserve">des frontières, les officiers de police </w:t>
      </w:r>
      <w:r w:rsidR="005A623C">
        <w:rPr>
          <w:color w:val="000000"/>
          <w:lang w:val="fr-BE"/>
        </w:rPr>
        <w:t>occupant des postes de direction</w:t>
      </w:r>
      <w:r w:rsidRPr="00263545">
        <w:rPr>
          <w:color w:val="000000"/>
          <w:lang w:val="fr-BE"/>
        </w:rPr>
        <w:t xml:space="preserve">, tous les enquêteurs de la police fédérale et de la police locale, </w:t>
      </w:r>
      <w:r>
        <w:rPr>
          <w:color w:val="000000"/>
          <w:lang w:val="fr-BE"/>
        </w:rPr>
        <w:t xml:space="preserve">ainsi que </w:t>
      </w:r>
      <w:r w:rsidRPr="00263545">
        <w:rPr>
          <w:color w:val="000000"/>
          <w:lang w:val="fr-BE"/>
        </w:rPr>
        <w:t xml:space="preserve">le volet policier dans la formation et les sessions d’information </w:t>
      </w:r>
      <w:r w:rsidR="005A623C">
        <w:rPr>
          <w:color w:val="000000"/>
          <w:lang w:val="fr-BE"/>
        </w:rPr>
        <w:t xml:space="preserve">s’adressant aux </w:t>
      </w:r>
      <w:r w:rsidRPr="00263545">
        <w:rPr>
          <w:color w:val="000000"/>
          <w:lang w:val="fr-BE"/>
        </w:rPr>
        <w:t>différents acteurs</w:t>
      </w:r>
      <w:r>
        <w:rPr>
          <w:color w:val="000000"/>
          <w:lang w:val="fr-BE"/>
        </w:rPr>
        <w:t xml:space="preserve"> clés </w:t>
      </w:r>
      <w:r w:rsidR="005A623C">
        <w:rPr>
          <w:color w:val="000000"/>
          <w:lang w:val="fr-BE"/>
        </w:rPr>
        <w:t xml:space="preserve">dans </w:t>
      </w:r>
      <w:r w:rsidRPr="00263545">
        <w:rPr>
          <w:color w:val="000000"/>
          <w:lang w:val="fr-BE"/>
        </w:rPr>
        <w:t xml:space="preserve">la lutte contre la traite des êtres humains (inspecteurs sociaux, services d’immigration, </w:t>
      </w:r>
      <w:r w:rsidR="009A6057">
        <w:rPr>
          <w:color w:val="000000"/>
          <w:lang w:val="fr-BE"/>
        </w:rPr>
        <w:t>etc.</w:t>
      </w:r>
      <w:r w:rsidRPr="00263545">
        <w:rPr>
          <w:color w:val="000000"/>
          <w:lang w:val="fr-BE"/>
        </w:rPr>
        <w:t>)</w:t>
      </w:r>
      <w:r>
        <w:rPr>
          <w:color w:val="000000"/>
          <w:lang w:val="fr-BE"/>
        </w:rPr>
        <w:t>;</w:t>
      </w:r>
      <w:r w:rsidRPr="00263545">
        <w:rPr>
          <w:color w:val="000000"/>
          <w:lang w:val="fr-BE"/>
        </w:rPr>
        <w:t xml:space="preserve"> </w:t>
      </w:r>
    </w:p>
    <w:p w:rsidR="00841D45" w:rsidRPr="00263545" w:rsidRDefault="00841D45" w:rsidP="005648C1">
      <w:pPr>
        <w:pStyle w:val="SingleTxtG"/>
        <w:rPr>
          <w:color w:val="000000"/>
          <w:lang w:val="fr-BE"/>
        </w:rPr>
      </w:pPr>
      <w:r w:rsidRPr="00263545">
        <w:rPr>
          <w:color w:val="000000"/>
          <w:lang w:val="fr-BE"/>
        </w:rPr>
        <w:t xml:space="preserve">- </w:t>
      </w:r>
      <w:r w:rsidR="005648C1">
        <w:rPr>
          <w:color w:val="000000"/>
          <w:lang w:val="fr-BE"/>
        </w:rPr>
        <w:t>P</w:t>
      </w:r>
      <w:r w:rsidRPr="00263545">
        <w:rPr>
          <w:color w:val="000000"/>
          <w:lang w:val="fr-BE"/>
        </w:rPr>
        <w:t>artage de</w:t>
      </w:r>
      <w:r w:rsidR="00C378E1">
        <w:rPr>
          <w:color w:val="000000"/>
          <w:lang w:val="fr-BE"/>
        </w:rPr>
        <w:t>s</w:t>
      </w:r>
      <w:r w:rsidRPr="00263545">
        <w:rPr>
          <w:color w:val="000000"/>
          <w:lang w:val="fr-BE"/>
        </w:rPr>
        <w:t xml:space="preserve"> bonnes pratiques nationales et internationales dans la recherche et les enquêtes </w:t>
      </w:r>
      <w:r w:rsidR="00C378E1">
        <w:rPr>
          <w:color w:val="000000"/>
          <w:lang w:val="fr-BE"/>
        </w:rPr>
        <w:t>sur la</w:t>
      </w:r>
      <w:r>
        <w:rPr>
          <w:color w:val="000000"/>
          <w:lang w:val="fr-BE"/>
        </w:rPr>
        <w:t xml:space="preserve"> traite des êtres humains</w:t>
      </w:r>
      <w:r w:rsidR="00C378E1">
        <w:rPr>
          <w:color w:val="000000"/>
          <w:lang w:val="fr-BE"/>
        </w:rPr>
        <w:t>:</w:t>
      </w:r>
      <w:r>
        <w:rPr>
          <w:color w:val="000000"/>
          <w:lang w:val="fr-BE"/>
        </w:rPr>
        <w:t xml:space="preserve"> </w:t>
      </w:r>
      <w:r w:rsidRPr="00263545">
        <w:rPr>
          <w:color w:val="000000"/>
          <w:lang w:val="fr-BE"/>
        </w:rPr>
        <w:t xml:space="preserve">manuels, </w:t>
      </w:r>
      <w:r w:rsidRPr="00C378E1">
        <w:rPr>
          <w:i/>
          <w:iCs/>
          <w:color w:val="000000"/>
          <w:lang w:val="fr-BE"/>
        </w:rPr>
        <w:t>check-lists</w:t>
      </w:r>
      <w:r>
        <w:rPr>
          <w:color w:val="000000"/>
          <w:lang w:val="fr-BE"/>
        </w:rPr>
        <w:t xml:space="preserve">, </w:t>
      </w:r>
      <w:r w:rsidR="00C378E1">
        <w:rPr>
          <w:color w:val="000000"/>
          <w:lang w:val="fr-BE"/>
        </w:rPr>
        <w:t>publication</w:t>
      </w:r>
      <w:r w:rsidRPr="00263545">
        <w:rPr>
          <w:color w:val="000000"/>
          <w:lang w:val="fr-BE"/>
        </w:rPr>
        <w:t xml:space="preserve"> </w:t>
      </w:r>
      <w:r>
        <w:rPr>
          <w:color w:val="000000"/>
          <w:lang w:val="fr-BE"/>
        </w:rPr>
        <w:t xml:space="preserve">périodique </w:t>
      </w:r>
      <w:r w:rsidR="00C378E1">
        <w:rPr>
          <w:color w:val="000000"/>
          <w:lang w:val="fr-BE"/>
        </w:rPr>
        <w:t xml:space="preserve">consacrée à la </w:t>
      </w:r>
      <w:r w:rsidRPr="00263545">
        <w:rPr>
          <w:color w:val="000000"/>
          <w:lang w:val="fr-BE"/>
        </w:rPr>
        <w:t xml:space="preserve">traite </w:t>
      </w:r>
      <w:r w:rsidR="00C378E1">
        <w:rPr>
          <w:color w:val="000000"/>
          <w:lang w:val="fr-BE"/>
        </w:rPr>
        <w:t xml:space="preserve">et </w:t>
      </w:r>
      <w:r w:rsidRPr="00263545">
        <w:rPr>
          <w:color w:val="000000"/>
          <w:lang w:val="fr-BE"/>
        </w:rPr>
        <w:t xml:space="preserve">paraissant toutes les 2 semaines, journées </w:t>
      </w:r>
      <w:r w:rsidR="00C378E1" w:rsidRPr="00263545">
        <w:rPr>
          <w:color w:val="000000"/>
          <w:lang w:val="fr-BE"/>
        </w:rPr>
        <w:t xml:space="preserve">thématiques </w:t>
      </w:r>
      <w:r w:rsidRPr="00263545">
        <w:rPr>
          <w:color w:val="000000"/>
          <w:lang w:val="fr-BE"/>
        </w:rPr>
        <w:t>d’information pour la police locale et la police fédérale, participation à des réunion</w:t>
      </w:r>
      <w:r>
        <w:rPr>
          <w:color w:val="000000"/>
          <w:lang w:val="fr-BE"/>
        </w:rPr>
        <w:t>s</w:t>
      </w:r>
      <w:r w:rsidRPr="00263545">
        <w:rPr>
          <w:color w:val="000000"/>
          <w:lang w:val="fr-BE"/>
        </w:rPr>
        <w:t xml:space="preserve"> de réflexion </w:t>
      </w:r>
      <w:r w:rsidR="00C378E1">
        <w:rPr>
          <w:color w:val="000000"/>
          <w:lang w:val="fr-BE"/>
        </w:rPr>
        <w:t xml:space="preserve">sur la </w:t>
      </w:r>
      <w:r w:rsidRPr="00263545">
        <w:rPr>
          <w:color w:val="000000"/>
          <w:lang w:val="fr-BE"/>
        </w:rPr>
        <w:t>traite d</w:t>
      </w:r>
      <w:r w:rsidR="00C378E1">
        <w:rPr>
          <w:color w:val="000000"/>
          <w:lang w:val="fr-BE"/>
        </w:rPr>
        <w:t>ans l</w:t>
      </w:r>
      <w:r w:rsidRPr="00263545">
        <w:rPr>
          <w:color w:val="000000"/>
          <w:lang w:val="fr-BE"/>
        </w:rPr>
        <w:t xml:space="preserve">es arrondissements; </w:t>
      </w:r>
    </w:p>
    <w:p w:rsidR="00841D45" w:rsidRPr="00263545" w:rsidRDefault="00841D45" w:rsidP="00010B94">
      <w:pPr>
        <w:pStyle w:val="SingleTxtG"/>
        <w:rPr>
          <w:color w:val="000000"/>
          <w:lang w:val="fr-BE"/>
        </w:rPr>
      </w:pPr>
      <w:r>
        <w:rPr>
          <w:color w:val="000000"/>
          <w:lang w:val="fr-BE"/>
        </w:rPr>
        <w:t xml:space="preserve">- </w:t>
      </w:r>
      <w:r w:rsidR="00D909AC">
        <w:rPr>
          <w:color w:val="000000"/>
          <w:lang w:val="fr-BE"/>
        </w:rPr>
        <w:t>É</w:t>
      </w:r>
      <w:r w:rsidRPr="00263545">
        <w:rPr>
          <w:color w:val="000000"/>
          <w:lang w:val="fr-BE"/>
        </w:rPr>
        <w:t>change systématique d’information</w:t>
      </w:r>
      <w:r w:rsidR="006E7820">
        <w:rPr>
          <w:color w:val="000000"/>
          <w:lang w:val="fr-BE"/>
        </w:rPr>
        <w:t>s</w:t>
      </w:r>
      <w:r w:rsidRPr="00263545">
        <w:rPr>
          <w:color w:val="000000"/>
          <w:lang w:val="fr-BE"/>
        </w:rPr>
        <w:t xml:space="preserve"> </w:t>
      </w:r>
      <w:r w:rsidR="006E7820">
        <w:rPr>
          <w:color w:val="000000"/>
          <w:lang w:val="fr-BE"/>
        </w:rPr>
        <w:t>sur la</w:t>
      </w:r>
      <w:r w:rsidRPr="00263545">
        <w:rPr>
          <w:color w:val="000000"/>
          <w:lang w:val="fr-BE"/>
        </w:rPr>
        <w:t xml:space="preserve"> traite des êtres humains </w:t>
      </w:r>
      <w:r w:rsidR="00010B94">
        <w:rPr>
          <w:color w:val="000000"/>
          <w:lang w:val="fr-BE"/>
        </w:rPr>
        <w:t>avec</w:t>
      </w:r>
      <w:r w:rsidR="006E7820">
        <w:rPr>
          <w:color w:val="000000"/>
          <w:lang w:val="fr-BE"/>
        </w:rPr>
        <w:t xml:space="preserve"> </w:t>
      </w:r>
      <w:r w:rsidRPr="00263545">
        <w:rPr>
          <w:color w:val="000000"/>
          <w:lang w:val="fr-BE"/>
        </w:rPr>
        <w:t xml:space="preserve">Europol et </w:t>
      </w:r>
      <w:r w:rsidR="00010B94">
        <w:rPr>
          <w:color w:val="000000"/>
          <w:lang w:val="fr-BE"/>
        </w:rPr>
        <w:t>avec d</w:t>
      </w:r>
      <w:r w:rsidR="00010B94" w:rsidRPr="00263545">
        <w:rPr>
          <w:color w:val="000000"/>
          <w:lang w:val="fr-BE"/>
        </w:rPr>
        <w:t>es officiers de liaison</w:t>
      </w:r>
      <w:r w:rsidR="00010B94" w:rsidRPr="00263545" w:rsidDel="00010B94">
        <w:rPr>
          <w:color w:val="000000"/>
          <w:lang w:val="fr-BE"/>
        </w:rPr>
        <w:t xml:space="preserve"> </w:t>
      </w:r>
      <w:r w:rsidRPr="00263545">
        <w:rPr>
          <w:color w:val="000000"/>
          <w:lang w:val="fr-BE"/>
        </w:rPr>
        <w:t xml:space="preserve">sur </w:t>
      </w:r>
      <w:r w:rsidR="00010B94">
        <w:rPr>
          <w:color w:val="000000"/>
          <w:lang w:val="fr-BE"/>
        </w:rPr>
        <w:t>l</w:t>
      </w:r>
      <w:r w:rsidRPr="00263545">
        <w:rPr>
          <w:color w:val="000000"/>
          <w:lang w:val="fr-BE"/>
        </w:rPr>
        <w:t xml:space="preserve">es enquêtes en cours </w:t>
      </w:r>
      <w:r w:rsidR="00010B94">
        <w:rPr>
          <w:color w:val="000000"/>
          <w:lang w:val="fr-BE"/>
        </w:rPr>
        <w:t>ou</w:t>
      </w:r>
      <w:r w:rsidR="00010B94" w:rsidRPr="00263545">
        <w:rPr>
          <w:color w:val="000000"/>
          <w:lang w:val="fr-BE"/>
        </w:rPr>
        <w:t xml:space="preserve"> </w:t>
      </w:r>
      <w:r w:rsidRPr="00263545">
        <w:rPr>
          <w:color w:val="000000"/>
          <w:lang w:val="fr-BE"/>
        </w:rPr>
        <w:t>terminées dans le but de mener des enquêtes conjointe</w:t>
      </w:r>
      <w:r w:rsidR="00010B94">
        <w:rPr>
          <w:color w:val="000000"/>
          <w:lang w:val="fr-BE"/>
        </w:rPr>
        <w:t>s</w:t>
      </w:r>
      <w:r w:rsidRPr="00263545">
        <w:rPr>
          <w:color w:val="000000"/>
          <w:lang w:val="fr-BE"/>
        </w:rPr>
        <w:t xml:space="preserve">; </w:t>
      </w:r>
    </w:p>
    <w:p w:rsidR="00841D45" w:rsidRPr="00263545" w:rsidRDefault="00841D45" w:rsidP="00A34D33">
      <w:pPr>
        <w:pStyle w:val="SingleTxtG"/>
        <w:rPr>
          <w:color w:val="000000"/>
          <w:lang w:val="fr-BE"/>
        </w:rPr>
      </w:pPr>
      <w:r w:rsidRPr="00263545">
        <w:rPr>
          <w:color w:val="000000"/>
          <w:lang w:val="fr-BE"/>
        </w:rPr>
        <w:t xml:space="preserve">- </w:t>
      </w:r>
      <w:r w:rsidR="00A34D33">
        <w:rPr>
          <w:color w:val="000000"/>
          <w:lang w:val="fr-BE"/>
        </w:rPr>
        <w:t>Amélioration de la</w:t>
      </w:r>
      <w:r w:rsidRPr="00263545">
        <w:rPr>
          <w:color w:val="000000"/>
          <w:lang w:val="fr-BE"/>
        </w:rPr>
        <w:t xml:space="preserve"> collecte de</w:t>
      </w:r>
      <w:r w:rsidR="00A34D33">
        <w:rPr>
          <w:color w:val="000000"/>
          <w:lang w:val="fr-BE"/>
        </w:rPr>
        <w:t>s</w:t>
      </w:r>
      <w:r w:rsidRPr="00263545">
        <w:rPr>
          <w:color w:val="000000"/>
          <w:lang w:val="fr-BE"/>
        </w:rPr>
        <w:t xml:space="preserve"> données </w:t>
      </w:r>
      <w:r w:rsidR="00A34D33">
        <w:rPr>
          <w:color w:val="000000"/>
          <w:lang w:val="fr-BE"/>
        </w:rPr>
        <w:t>pour</w:t>
      </w:r>
      <w:r w:rsidR="00A34D33" w:rsidRPr="00263545">
        <w:rPr>
          <w:color w:val="000000"/>
          <w:lang w:val="fr-BE"/>
        </w:rPr>
        <w:t xml:space="preserve"> </w:t>
      </w:r>
      <w:r w:rsidRPr="00263545">
        <w:rPr>
          <w:color w:val="000000"/>
          <w:lang w:val="fr-BE"/>
        </w:rPr>
        <w:t xml:space="preserve">la banque </w:t>
      </w:r>
      <w:r w:rsidR="00A34D33" w:rsidRPr="00263545">
        <w:rPr>
          <w:color w:val="000000"/>
          <w:lang w:val="fr-BE"/>
        </w:rPr>
        <w:t xml:space="preserve">générale </w:t>
      </w:r>
      <w:r w:rsidRPr="00263545">
        <w:rPr>
          <w:color w:val="000000"/>
          <w:lang w:val="fr-BE"/>
        </w:rPr>
        <w:t>de données de la police</w:t>
      </w:r>
      <w:r w:rsidR="00A34D33">
        <w:rPr>
          <w:color w:val="000000"/>
          <w:lang w:val="fr-BE"/>
        </w:rPr>
        <w:t xml:space="preserve"> et, en même temps, </w:t>
      </w:r>
      <w:r w:rsidRPr="00263545">
        <w:rPr>
          <w:color w:val="000000"/>
          <w:lang w:val="fr-BE"/>
        </w:rPr>
        <w:t>lignes directrices plus clair</w:t>
      </w:r>
      <w:r>
        <w:rPr>
          <w:color w:val="000000"/>
          <w:lang w:val="fr-BE"/>
        </w:rPr>
        <w:t>es</w:t>
      </w:r>
      <w:r w:rsidRPr="00263545">
        <w:rPr>
          <w:color w:val="000000"/>
          <w:lang w:val="fr-BE"/>
        </w:rPr>
        <w:t xml:space="preserve"> pour l’encodage correct des constats; </w:t>
      </w:r>
    </w:p>
    <w:p w:rsidR="00841D45" w:rsidRPr="00263545" w:rsidRDefault="00841D45" w:rsidP="003F235D">
      <w:pPr>
        <w:pStyle w:val="SingleTxtG"/>
        <w:rPr>
          <w:color w:val="000000"/>
          <w:lang w:val="fr-BE"/>
        </w:rPr>
      </w:pPr>
      <w:r w:rsidRPr="00263545">
        <w:rPr>
          <w:color w:val="000000"/>
          <w:lang w:val="fr-BE"/>
        </w:rPr>
        <w:t>-</w:t>
      </w:r>
      <w:r w:rsidR="0000350F">
        <w:rPr>
          <w:color w:val="000000"/>
          <w:lang w:val="fr-BE"/>
        </w:rPr>
        <w:t xml:space="preserve"> </w:t>
      </w:r>
      <w:r w:rsidR="003F235D">
        <w:rPr>
          <w:color w:val="000000"/>
          <w:lang w:val="fr-BE"/>
        </w:rPr>
        <w:t>C</w:t>
      </w:r>
      <w:r w:rsidRPr="00263545">
        <w:rPr>
          <w:color w:val="000000"/>
          <w:lang w:val="fr-BE"/>
        </w:rPr>
        <w:t>ontribution essentielle de la police aux différents groupes de travail multidisciplinaires (au niveau national et international) et plate</w:t>
      </w:r>
      <w:r w:rsidR="003F235D">
        <w:rPr>
          <w:color w:val="000000"/>
          <w:lang w:val="fr-BE"/>
        </w:rPr>
        <w:t>s-</w:t>
      </w:r>
      <w:r w:rsidRPr="00263545">
        <w:rPr>
          <w:color w:val="000000"/>
          <w:lang w:val="fr-BE"/>
        </w:rPr>
        <w:t>forme</w:t>
      </w:r>
      <w:r>
        <w:rPr>
          <w:color w:val="000000"/>
          <w:lang w:val="fr-BE"/>
        </w:rPr>
        <w:t>s</w:t>
      </w:r>
      <w:r w:rsidRPr="00263545">
        <w:rPr>
          <w:color w:val="000000"/>
          <w:lang w:val="fr-BE"/>
        </w:rPr>
        <w:t xml:space="preserve"> de réflexion </w:t>
      </w:r>
      <w:r w:rsidR="003F235D">
        <w:rPr>
          <w:color w:val="000000"/>
          <w:lang w:val="fr-BE"/>
        </w:rPr>
        <w:t>sur la</w:t>
      </w:r>
      <w:r>
        <w:rPr>
          <w:color w:val="000000"/>
          <w:lang w:val="fr-BE"/>
        </w:rPr>
        <w:t xml:space="preserve"> traite des êtres humains</w:t>
      </w:r>
      <w:r w:rsidRPr="00263545">
        <w:rPr>
          <w:color w:val="000000"/>
          <w:lang w:val="fr-BE"/>
        </w:rPr>
        <w:t xml:space="preserve">; </w:t>
      </w:r>
    </w:p>
    <w:p w:rsidR="00841D45" w:rsidRPr="00263545" w:rsidRDefault="00841D45" w:rsidP="00A024B5">
      <w:pPr>
        <w:pStyle w:val="SingleTxtG"/>
        <w:rPr>
          <w:color w:val="000000"/>
          <w:lang w:val="fr-BE"/>
        </w:rPr>
      </w:pPr>
      <w:r w:rsidRPr="00263545">
        <w:rPr>
          <w:color w:val="000000"/>
          <w:lang w:val="fr-BE"/>
        </w:rPr>
        <w:t xml:space="preserve">- </w:t>
      </w:r>
      <w:r w:rsidR="00716962">
        <w:rPr>
          <w:color w:val="000000"/>
          <w:lang w:val="fr-BE"/>
        </w:rPr>
        <w:t>A</w:t>
      </w:r>
      <w:r w:rsidRPr="00263545">
        <w:rPr>
          <w:color w:val="000000"/>
          <w:lang w:val="fr-BE"/>
        </w:rPr>
        <w:t>ccords de collaboration avec les installation</w:t>
      </w:r>
      <w:r>
        <w:rPr>
          <w:color w:val="000000"/>
          <w:lang w:val="fr-BE"/>
        </w:rPr>
        <w:t>s et les organisations</w:t>
      </w:r>
      <w:r w:rsidR="00716962">
        <w:rPr>
          <w:color w:val="000000"/>
          <w:lang w:val="fr-BE"/>
        </w:rPr>
        <w:t xml:space="preserve"> </w:t>
      </w:r>
      <w:r w:rsidR="00716962" w:rsidRPr="00263545">
        <w:rPr>
          <w:color w:val="000000"/>
          <w:lang w:val="fr-BE"/>
        </w:rPr>
        <w:t xml:space="preserve">– </w:t>
      </w:r>
      <w:r>
        <w:rPr>
          <w:color w:val="000000"/>
          <w:lang w:val="fr-BE"/>
        </w:rPr>
        <w:t>également</w:t>
      </w:r>
      <w:r w:rsidRPr="00263545">
        <w:rPr>
          <w:color w:val="000000"/>
          <w:lang w:val="fr-BE"/>
        </w:rPr>
        <w:t xml:space="preserve"> privées – pour une meilleur</w:t>
      </w:r>
      <w:r>
        <w:rPr>
          <w:color w:val="000000"/>
          <w:lang w:val="fr-BE"/>
        </w:rPr>
        <w:t>e</w:t>
      </w:r>
      <w:r w:rsidRPr="00263545">
        <w:rPr>
          <w:color w:val="000000"/>
          <w:lang w:val="fr-BE"/>
        </w:rPr>
        <w:t xml:space="preserve"> approche de la traite des êtres humains (tourisme sexuel impliquant des enfants, adoption financière via Plan international, le </w:t>
      </w:r>
      <w:r w:rsidR="00A024B5">
        <w:rPr>
          <w:color w:val="000000"/>
          <w:lang w:val="fr-BE"/>
        </w:rPr>
        <w:t>M</w:t>
      </w:r>
      <w:r w:rsidRPr="00263545">
        <w:rPr>
          <w:color w:val="000000"/>
          <w:lang w:val="fr-BE"/>
        </w:rPr>
        <w:t xml:space="preserve">inistère de la </w:t>
      </w:r>
      <w:r w:rsidR="00A024B5">
        <w:rPr>
          <w:color w:val="000000"/>
          <w:lang w:val="fr-BE"/>
        </w:rPr>
        <w:t>D</w:t>
      </w:r>
      <w:r w:rsidRPr="00263545">
        <w:rPr>
          <w:color w:val="000000"/>
          <w:lang w:val="fr-BE"/>
        </w:rPr>
        <w:t xml:space="preserve">éfense, </w:t>
      </w:r>
      <w:r w:rsidR="0000350F">
        <w:rPr>
          <w:color w:val="000000"/>
          <w:lang w:val="fr-BE"/>
        </w:rPr>
        <w:t>etc.</w:t>
      </w:r>
      <w:r w:rsidRPr="00263545">
        <w:rPr>
          <w:color w:val="000000"/>
          <w:lang w:val="fr-BE"/>
        </w:rPr>
        <w:t>)</w:t>
      </w:r>
      <w:r>
        <w:rPr>
          <w:color w:val="000000"/>
          <w:lang w:val="fr-BE"/>
        </w:rPr>
        <w:t>.</w:t>
      </w:r>
      <w:r w:rsidRPr="00263545">
        <w:rPr>
          <w:color w:val="000000"/>
          <w:lang w:val="fr-BE"/>
        </w:rPr>
        <w:t xml:space="preserve"> </w:t>
      </w:r>
    </w:p>
    <w:p w:rsidR="005B10BE" w:rsidRDefault="002C69AF" w:rsidP="002C69AF">
      <w:pPr>
        <w:pStyle w:val="SingleTxtG"/>
        <w:rPr>
          <w:rFonts w:cs="Arial"/>
          <w:color w:val="000000"/>
          <w:szCs w:val="18"/>
        </w:rPr>
      </w:pPr>
      <w:r>
        <w:rPr>
          <w:lang w:val="fr-BE"/>
        </w:rPr>
        <w:t>145.</w:t>
      </w:r>
      <w:r>
        <w:rPr>
          <w:lang w:val="fr-BE"/>
        </w:rPr>
        <w:tab/>
      </w:r>
      <w:r w:rsidR="00841D45" w:rsidRPr="00B77053">
        <w:rPr>
          <w:rFonts w:cs="Arial"/>
          <w:noProof/>
          <w:color w:val="000000"/>
          <w:szCs w:val="18"/>
        </w:rPr>
        <w:t>Les articles 61/2 à 61/5 de la loi du 15 décembre 1980 sur l'accès au territoire, le séjour, l'établissement et l'éloignement des étrangers</w:t>
      </w:r>
      <w:r w:rsidR="00841D45" w:rsidRPr="00034572">
        <w:rPr>
          <w:rStyle w:val="FootnoteReference"/>
          <w:rFonts w:cs="Arial"/>
          <w:noProof/>
          <w:color w:val="000000"/>
          <w:szCs w:val="18"/>
        </w:rPr>
        <w:footnoteReference w:id="15"/>
      </w:r>
      <w:r w:rsidR="00841D45" w:rsidRPr="00B77053">
        <w:rPr>
          <w:rFonts w:cs="Arial"/>
          <w:noProof/>
          <w:color w:val="000000"/>
          <w:szCs w:val="18"/>
        </w:rPr>
        <w:t xml:space="preserve"> </w:t>
      </w:r>
      <w:r w:rsidR="00841D45" w:rsidRPr="00B77053">
        <w:rPr>
          <w:rFonts w:cs="Arial"/>
          <w:color w:val="000000"/>
          <w:szCs w:val="18"/>
        </w:rPr>
        <w:t xml:space="preserve">prévoient une protection </w:t>
      </w:r>
      <w:r w:rsidR="000F7B3F">
        <w:rPr>
          <w:rFonts w:cs="Arial"/>
          <w:color w:val="000000"/>
          <w:szCs w:val="18"/>
        </w:rPr>
        <w:t>d</w:t>
      </w:r>
      <w:r w:rsidR="00841D45" w:rsidRPr="00B77053">
        <w:rPr>
          <w:rFonts w:cs="Arial"/>
          <w:color w:val="000000"/>
          <w:szCs w:val="18"/>
        </w:rPr>
        <w:t>es victimes de la traite des êtres humains ou de certaines formes de trafic des êtres humains</w:t>
      </w:r>
      <w:r w:rsidR="00841D45">
        <w:rPr>
          <w:rFonts w:cs="Arial"/>
          <w:color w:val="000000"/>
          <w:szCs w:val="18"/>
        </w:rPr>
        <w:t xml:space="preserve">. </w:t>
      </w:r>
    </w:p>
    <w:p w:rsidR="00841D45" w:rsidRPr="005B10BE" w:rsidRDefault="00A47BFA" w:rsidP="00751C4B">
      <w:pPr>
        <w:pStyle w:val="SingleTxtG"/>
        <w:rPr>
          <w:szCs w:val="18"/>
        </w:rPr>
      </w:pPr>
      <w:r>
        <w:t>146.</w:t>
      </w:r>
      <w:r>
        <w:tab/>
      </w:r>
      <w:r w:rsidR="00841D45" w:rsidRPr="005B10BE">
        <w:t>La circulaire du 26 septembre 2008</w:t>
      </w:r>
      <w:r w:rsidR="00841D45" w:rsidRPr="0090358D">
        <w:rPr>
          <w:rStyle w:val="FootnoteReference"/>
          <w:sz w:val="20"/>
        </w:rPr>
        <w:footnoteReference w:id="16"/>
      </w:r>
      <w:r w:rsidR="00841D45" w:rsidRPr="005B10BE">
        <w:rPr>
          <w:rStyle w:val="FootnoteReference"/>
          <w:sz w:val="20"/>
          <w:vertAlign w:val="baseline"/>
        </w:rPr>
        <w:t xml:space="preserve"> </w:t>
      </w:r>
      <w:r w:rsidR="00841D45" w:rsidRPr="005B10BE">
        <w:t xml:space="preserve">relative à la mise en œuvre d’une coopération multidisciplinaire concernant les victimes de la traite des êtres humains et/ou de certaines </w:t>
      </w:r>
      <w:r w:rsidR="00841D45" w:rsidRPr="005B10BE">
        <w:rPr>
          <w:szCs w:val="18"/>
        </w:rPr>
        <w:t>formes aggravées de trafic d</w:t>
      </w:r>
      <w:r w:rsidR="00E65B00">
        <w:rPr>
          <w:szCs w:val="18"/>
        </w:rPr>
        <w:t xml:space="preserve">es </w:t>
      </w:r>
      <w:r w:rsidR="00841D45" w:rsidRPr="005B10BE">
        <w:rPr>
          <w:szCs w:val="18"/>
        </w:rPr>
        <w:t>êtres humains sera évaluée le 31 octobre 2010 afin de déterminer s’il y a lieu ou pas d’adopter de nouvelles mesures. Il est par conséquent, pour l’instant, prématuré de répondre à cette question</w:t>
      </w:r>
      <w:r w:rsidR="00F8709B">
        <w:rPr>
          <w:szCs w:val="18"/>
        </w:rPr>
        <w:t>,</w:t>
      </w:r>
      <w:r w:rsidR="00841D45" w:rsidRPr="005B10BE">
        <w:rPr>
          <w:szCs w:val="18"/>
        </w:rPr>
        <w:t xml:space="preserve"> puisque l’évaluation doit encore être effectuée.</w:t>
      </w:r>
    </w:p>
    <w:p w:rsidR="00841D45" w:rsidRPr="00551670" w:rsidRDefault="00A47BFA" w:rsidP="00886252">
      <w:pPr>
        <w:pStyle w:val="SingleTxtG"/>
        <w:rPr>
          <w:lang w:val="fr-BE"/>
        </w:rPr>
      </w:pPr>
      <w:r>
        <w:rPr>
          <w:color w:val="000000"/>
          <w:lang w:val="fr-BE"/>
        </w:rPr>
        <w:t>147.</w:t>
      </w:r>
      <w:r>
        <w:rPr>
          <w:color w:val="000000"/>
          <w:lang w:val="fr-BE"/>
        </w:rPr>
        <w:tab/>
      </w:r>
      <w:r w:rsidR="00841D45" w:rsidRPr="003457CF">
        <w:rPr>
          <w:color w:val="000000"/>
          <w:lang w:val="fr-BE"/>
        </w:rPr>
        <w:t>Les</w:t>
      </w:r>
      <w:r w:rsidR="00841D45" w:rsidRPr="00551670">
        <w:rPr>
          <w:lang w:val="fr-BE"/>
        </w:rPr>
        <w:t xml:space="preserve"> moyens financiers sont alloués de sorte à garantir des opérations </w:t>
      </w:r>
      <w:r w:rsidR="00EA7649" w:rsidRPr="00551670">
        <w:rPr>
          <w:lang w:val="fr-BE"/>
        </w:rPr>
        <w:t xml:space="preserve">régulières </w:t>
      </w:r>
      <w:r w:rsidR="00841D45" w:rsidRPr="00551670">
        <w:rPr>
          <w:lang w:val="fr-BE"/>
        </w:rPr>
        <w:t xml:space="preserve">de contrôle </w:t>
      </w:r>
      <w:r w:rsidR="00EA7649">
        <w:rPr>
          <w:lang w:val="fr-BE"/>
        </w:rPr>
        <w:t>dans le domaine</w:t>
      </w:r>
      <w:r w:rsidR="00841D45" w:rsidRPr="00551670">
        <w:rPr>
          <w:lang w:val="fr-BE"/>
        </w:rPr>
        <w:t xml:space="preserve"> d</w:t>
      </w:r>
      <w:r w:rsidR="00EA7649">
        <w:rPr>
          <w:lang w:val="fr-BE"/>
        </w:rPr>
        <w:t>u</w:t>
      </w:r>
      <w:r w:rsidR="00841D45" w:rsidRPr="00551670">
        <w:rPr>
          <w:lang w:val="fr-BE"/>
        </w:rPr>
        <w:t xml:space="preserve"> trafic et de </w:t>
      </w:r>
      <w:r w:rsidR="00EA7649">
        <w:rPr>
          <w:lang w:val="fr-BE"/>
        </w:rPr>
        <w:t xml:space="preserve">la </w:t>
      </w:r>
      <w:r w:rsidR="00841D45" w:rsidRPr="00551670">
        <w:rPr>
          <w:lang w:val="fr-BE"/>
        </w:rPr>
        <w:t>traite des êtres humains. Sur le plan de la prévention, différentes initiatives sont en cours</w:t>
      </w:r>
      <w:r w:rsidR="00EA7649">
        <w:rPr>
          <w:lang w:val="fr-BE"/>
        </w:rPr>
        <w:t xml:space="preserve">, </w:t>
      </w:r>
      <w:r w:rsidR="00841D45" w:rsidRPr="00551670">
        <w:rPr>
          <w:lang w:val="fr-BE"/>
        </w:rPr>
        <w:t>bas</w:t>
      </w:r>
      <w:r w:rsidR="00EA7649">
        <w:rPr>
          <w:lang w:val="fr-BE"/>
        </w:rPr>
        <w:t xml:space="preserve">ées sur </w:t>
      </w:r>
      <w:r w:rsidR="00841D45" w:rsidRPr="00551670">
        <w:rPr>
          <w:lang w:val="fr-BE"/>
        </w:rPr>
        <w:t>de</w:t>
      </w:r>
      <w:r w:rsidR="00EA7649">
        <w:rPr>
          <w:lang w:val="fr-BE"/>
        </w:rPr>
        <w:t>s</w:t>
      </w:r>
      <w:r w:rsidR="00841D45" w:rsidRPr="00551670">
        <w:rPr>
          <w:lang w:val="fr-BE"/>
        </w:rPr>
        <w:t xml:space="preserve"> financements internes</w:t>
      </w:r>
      <w:r w:rsidR="00EA7649">
        <w:rPr>
          <w:lang w:val="fr-BE"/>
        </w:rPr>
        <w:t xml:space="preserve">, </w:t>
      </w:r>
      <w:r w:rsidR="00841D45" w:rsidRPr="00551670">
        <w:rPr>
          <w:lang w:val="fr-BE"/>
        </w:rPr>
        <w:t>notamment avec le Brésil. Par ailleurs, la coopération au développement veille à attribuer les ressources nécessaires à des projets qui permettent de lutter contre les risques d’exploitation dans les pays d’origine (</w:t>
      </w:r>
      <w:r w:rsidR="005B0C4E">
        <w:rPr>
          <w:lang w:val="fr-BE"/>
        </w:rPr>
        <w:t>c</w:t>
      </w:r>
      <w:r w:rsidR="00841D45" w:rsidRPr="00551670">
        <w:rPr>
          <w:lang w:val="fr-BE"/>
        </w:rPr>
        <w:t>onstitution de l’</w:t>
      </w:r>
      <w:r w:rsidR="000D7AB1">
        <w:rPr>
          <w:lang w:val="fr-BE"/>
        </w:rPr>
        <w:t>é</w:t>
      </w:r>
      <w:r w:rsidR="00841D45" w:rsidRPr="00551670">
        <w:rPr>
          <w:lang w:val="fr-BE"/>
        </w:rPr>
        <w:t xml:space="preserve">tat civil, </w:t>
      </w:r>
      <w:r w:rsidR="005B0C4E">
        <w:rPr>
          <w:lang w:val="fr-BE"/>
        </w:rPr>
        <w:t>etc.</w:t>
      </w:r>
      <w:r w:rsidR="00841D45" w:rsidRPr="00551670">
        <w:rPr>
          <w:lang w:val="fr-BE"/>
        </w:rPr>
        <w:t>)</w:t>
      </w:r>
      <w:r w:rsidR="00A96473">
        <w:rPr>
          <w:lang w:val="fr-BE"/>
        </w:rPr>
        <w:t>.</w:t>
      </w:r>
    </w:p>
    <w:p w:rsidR="00841D45" w:rsidRPr="00DC03F2" w:rsidRDefault="00A47BFA" w:rsidP="002357B0">
      <w:pPr>
        <w:pStyle w:val="SingleTxtG"/>
        <w:rPr>
          <w:color w:val="000000"/>
          <w:lang w:val="fr-BE"/>
        </w:rPr>
      </w:pPr>
      <w:r>
        <w:rPr>
          <w:color w:val="000000"/>
          <w:lang w:val="fr-BE"/>
        </w:rPr>
        <w:t>148.</w:t>
      </w:r>
      <w:r>
        <w:rPr>
          <w:color w:val="000000"/>
          <w:lang w:val="fr-BE"/>
        </w:rPr>
        <w:tab/>
      </w:r>
      <w:r w:rsidR="00841D45">
        <w:rPr>
          <w:color w:val="000000"/>
          <w:lang w:val="fr-BE"/>
        </w:rPr>
        <w:t>L</w:t>
      </w:r>
      <w:r w:rsidR="00841D45" w:rsidRPr="00DC03F2">
        <w:rPr>
          <w:color w:val="000000"/>
          <w:lang w:val="fr-BE"/>
        </w:rPr>
        <w:t xml:space="preserve">a police fédérale </w:t>
      </w:r>
      <w:r w:rsidR="00352AD3">
        <w:rPr>
          <w:color w:val="000000"/>
          <w:lang w:val="fr-BE"/>
        </w:rPr>
        <w:t xml:space="preserve">s’emploie </w:t>
      </w:r>
      <w:r w:rsidR="00841D45" w:rsidRPr="00DC03F2">
        <w:rPr>
          <w:color w:val="000000"/>
          <w:lang w:val="fr-BE"/>
        </w:rPr>
        <w:t xml:space="preserve">toujours </w:t>
      </w:r>
      <w:r w:rsidR="00352AD3">
        <w:rPr>
          <w:color w:val="000000"/>
          <w:lang w:val="fr-BE"/>
        </w:rPr>
        <w:t>à</w:t>
      </w:r>
      <w:r w:rsidR="00352AD3" w:rsidRPr="00DC03F2">
        <w:rPr>
          <w:color w:val="000000"/>
          <w:lang w:val="fr-BE"/>
        </w:rPr>
        <w:t xml:space="preserve"> </w:t>
      </w:r>
      <w:r w:rsidR="00352AD3">
        <w:rPr>
          <w:color w:val="000000"/>
          <w:lang w:val="fr-BE"/>
        </w:rPr>
        <w:t xml:space="preserve">apporter </w:t>
      </w:r>
      <w:r w:rsidR="00841D45" w:rsidRPr="00DC03F2">
        <w:rPr>
          <w:color w:val="000000"/>
          <w:lang w:val="fr-BE"/>
        </w:rPr>
        <w:t>une co</w:t>
      </w:r>
      <w:r w:rsidR="00841D45">
        <w:rPr>
          <w:color w:val="000000"/>
          <w:lang w:val="fr-BE"/>
        </w:rPr>
        <w:t>ntribution</w:t>
      </w:r>
      <w:r w:rsidR="00841D45" w:rsidRPr="00DC03F2">
        <w:rPr>
          <w:color w:val="000000"/>
          <w:lang w:val="fr-BE"/>
        </w:rPr>
        <w:t xml:space="preserve"> policière </w:t>
      </w:r>
      <w:r w:rsidR="00841D45">
        <w:rPr>
          <w:color w:val="000000"/>
          <w:lang w:val="fr-BE"/>
        </w:rPr>
        <w:t xml:space="preserve">aux projets </w:t>
      </w:r>
      <w:r w:rsidR="00352AD3">
        <w:rPr>
          <w:color w:val="000000"/>
          <w:lang w:val="fr-BE"/>
        </w:rPr>
        <w:t>menés par</w:t>
      </w:r>
      <w:r w:rsidR="00841D45">
        <w:rPr>
          <w:color w:val="000000"/>
          <w:lang w:val="fr-BE"/>
        </w:rPr>
        <w:t xml:space="preserve"> d’autres acteurs clés belges </w:t>
      </w:r>
      <w:r w:rsidR="00352AD3">
        <w:rPr>
          <w:color w:val="000000"/>
          <w:lang w:val="fr-BE"/>
        </w:rPr>
        <w:t xml:space="preserve">conjointement </w:t>
      </w:r>
      <w:r w:rsidR="00841D45">
        <w:rPr>
          <w:color w:val="000000"/>
          <w:lang w:val="fr-BE"/>
        </w:rPr>
        <w:t xml:space="preserve">avec </w:t>
      </w:r>
      <w:r w:rsidR="00841D45" w:rsidRPr="00DC03F2">
        <w:rPr>
          <w:color w:val="000000"/>
          <w:lang w:val="fr-BE"/>
        </w:rPr>
        <w:t xml:space="preserve">les pays d’origine des victimes de la traite. Un </w:t>
      </w:r>
      <w:r w:rsidR="00841D45">
        <w:rPr>
          <w:color w:val="000000"/>
          <w:lang w:val="fr-BE"/>
        </w:rPr>
        <w:t xml:space="preserve">bon exemple est </w:t>
      </w:r>
      <w:r w:rsidR="00841D45" w:rsidRPr="00DC03F2">
        <w:rPr>
          <w:color w:val="000000"/>
          <w:lang w:val="fr-BE"/>
        </w:rPr>
        <w:t xml:space="preserve">l’action commune </w:t>
      </w:r>
      <w:r w:rsidR="002357B0">
        <w:rPr>
          <w:color w:val="000000"/>
          <w:lang w:val="fr-BE"/>
        </w:rPr>
        <w:t>pour lutter contre</w:t>
      </w:r>
      <w:r w:rsidR="00841D45" w:rsidRPr="00DC03F2">
        <w:rPr>
          <w:color w:val="000000"/>
          <w:lang w:val="fr-BE"/>
        </w:rPr>
        <w:t xml:space="preserve"> l’e</w:t>
      </w:r>
      <w:r w:rsidR="00841D45">
        <w:rPr>
          <w:color w:val="000000"/>
          <w:lang w:val="fr-BE"/>
        </w:rPr>
        <w:t>xploitation éc</w:t>
      </w:r>
      <w:r w:rsidR="00841D45" w:rsidRPr="00DC03F2">
        <w:rPr>
          <w:color w:val="000000"/>
          <w:lang w:val="fr-BE"/>
        </w:rPr>
        <w:t xml:space="preserve">onomique </w:t>
      </w:r>
      <w:r w:rsidR="002357B0">
        <w:rPr>
          <w:color w:val="000000"/>
          <w:lang w:val="fr-BE"/>
        </w:rPr>
        <w:t>subie</w:t>
      </w:r>
      <w:r w:rsidR="00841D45">
        <w:rPr>
          <w:color w:val="000000"/>
          <w:lang w:val="fr-BE"/>
        </w:rPr>
        <w:t xml:space="preserve"> </w:t>
      </w:r>
      <w:r w:rsidR="00841D45" w:rsidRPr="00DC03F2">
        <w:rPr>
          <w:color w:val="000000"/>
          <w:lang w:val="fr-BE"/>
        </w:rPr>
        <w:t xml:space="preserve">et </w:t>
      </w:r>
      <w:r w:rsidR="002357B0">
        <w:rPr>
          <w:color w:val="000000"/>
          <w:lang w:val="fr-BE"/>
        </w:rPr>
        <w:t xml:space="preserve">pratiquée </w:t>
      </w:r>
      <w:r w:rsidR="00841D45" w:rsidRPr="00DC03F2">
        <w:rPr>
          <w:color w:val="000000"/>
          <w:lang w:val="fr-BE"/>
        </w:rPr>
        <w:t>par des personnes d’</w:t>
      </w:r>
      <w:r w:rsidR="00841D45">
        <w:rPr>
          <w:color w:val="000000"/>
          <w:lang w:val="fr-BE"/>
        </w:rPr>
        <w:t>origine brésilienne.</w:t>
      </w:r>
    </w:p>
    <w:p w:rsidR="00841D45" w:rsidRPr="00DC03F2" w:rsidRDefault="00A47BFA" w:rsidP="00A47BFA">
      <w:pPr>
        <w:pStyle w:val="SingleTxtG"/>
        <w:rPr>
          <w:color w:val="000000"/>
          <w:lang w:val="fr-BE"/>
        </w:rPr>
      </w:pPr>
      <w:r>
        <w:rPr>
          <w:color w:val="000000"/>
          <w:lang w:val="fr-BE"/>
        </w:rPr>
        <w:t>149.</w:t>
      </w:r>
      <w:r>
        <w:rPr>
          <w:color w:val="000000"/>
          <w:lang w:val="fr-BE"/>
        </w:rPr>
        <w:tab/>
      </w:r>
      <w:r w:rsidR="00841D45">
        <w:rPr>
          <w:color w:val="000000"/>
          <w:lang w:val="fr-BE"/>
        </w:rPr>
        <w:t>Par ailleurs, la Belgique a conclu des</w:t>
      </w:r>
      <w:r w:rsidR="00841D45" w:rsidRPr="00DC03F2">
        <w:rPr>
          <w:color w:val="000000"/>
          <w:lang w:val="fr-BE"/>
        </w:rPr>
        <w:t xml:space="preserve"> accords de coopération policière avec les </w:t>
      </w:r>
      <w:r w:rsidR="000D7AB1">
        <w:rPr>
          <w:color w:val="000000"/>
          <w:lang w:val="fr-BE"/>
        </w:rPr>
        <w:t>État</w:t>
      </w:r>
      <w:r w:rsidR="00841D45" w:rsidRPr="00DC03F2">
        <w:rPr>
          <w:color w:val="000000"/>
          <w:lang w:val="fr-BE"/>
        </w:rPr>
        <w:t>s d’</w:t>
      </w:r>
      <w:r w:rsidR="00841D45">
        <w:rPr>
          <w:color w:val="000000"/>
          <w:lang w:val="fr-BE"/>
        </w:rPr>
        <w:t>origine et/ ou ceux des auteur</w:t>
      </w:r>
      <w:r w:rsidR="00841D45" w:rsidRPr="00DC03F2">
        <w:rPr>
          <w:color w:val="000000"/>
          <w:lang w:val="fr-BE"/>
        </w:rPr>
        <w:t xml:space="preserve">s de </w:t>
      </w:r>
      <w:r w:rsidR="00CA637B">
        <w:rPr>
          <w:color w:val="000000"/>
          <w:lang w:val="fr-BE"/>
        </w:rPr>
        <w:t xml:space="preserve">la </w:t>
      </w:r>
      <w:r w:rsidR="00841D45" w:rsidRPr="00DC03F2">
        <w:rPr>
          <w:color w:val="000000"/>
          <w:lang w:val="fr-BE"/>
        </w:rPr>
        <w:t>traite. Il s’agit notamment d</w:t>
      </w:r>
      <w:r w:rsidR="00841D45">
        <w:rPr>
          <w:color w:val="000000"/>
          <w:lang w:val="fr-BE"/>
        </w:rPr>
        <w:t>e la Moldavie, la Bulgarie, la Roumanie</w:t>
      </w:r>
      <w:r w:rsidR="00841D45" w:rsidRPr="00DC03F2">
        <w:rPr>
          <w:color w:val="000000"/>
          <w:lang w:val="fr-BE"/>
        </w:rPr>
        <w:t xml:space="preserve"> et le Maroc. Le trafic et la traite des êtres humains font toujours partie </w:t>
      </w:r>
      <w:r w:rsidR="00CA637B">
        <w:rPr>
          <w:color w:val="000000"/>
          <w:lang w:val="fr-BE"/>
        </w:rPr>
        <w:t xml:space="preserve">intégrante </w:t>
      </w:r>
      <w:r w:rsidR="00841D45" w:rsidRPr="00DC03F2">
        <w:rPr>
          <w:color w:val="000000"/>
          <w:lang w:val="fr-BE"/>
        </w:rPr>
        <w:t xml:space="preserve">de ces accords de coopération. </w:t>
      </w:r>
    </w:p>
    <w:p w:rsidR="00841D45" w:rsidRPr="00DC03F2" w:rsidRDefault="00A47BFA" w:rsidP="006539F3">
      <w:pPr>
        <w:pStyle w:val="SingleTxtG"/>
        <w:rPr>
          <w:color w:val="000000"/>
          <w:lang w:val="fr-BE"/>
        </w:rPr>
      </w:pPr>
      <w:r>
        <w:rPr>
          <w:color w:val="000000"/>
          <w:lang w:val="fr-BE"/>
        </w:rPr>
        <w:t>150.</w:t>
      </w:r>
      <w:r>
        <w:rPr>
          <w:color w:val="000000"/>
          <w:lang w:val="fr-BE"/>
        </w:rPr>
        <w:tab/>
      </w:r>
      <w:r w:rsidR="00841D45">
        <w:rPr>
          <w:color w:val="000000"/>
          <w:lang w:val="fr-BE"/>
        </w:rPr>
        <w:t>L</w:t>
      </w:r>
      <w:r w:rsidR="00841D45" w:rsidRPr="00DC03F2">
        <w:rPr>
          <w:color w:val="000000"/>
          <w:lang w:val="fr-BE"/>
        </w:rPr>
        <w:t>es officiers de liaison</w:t>
      </w:r>
      <w:r w:rsidR="00841D45">
        <w:rPr>
          <w:color w:val="000000"/>
          <w:lang w:val="fr-BE"/>
        </w:rPr>
        <w:t xml:space="preserve"> belges se trouvant </w:t>
      </w:r>
      <w:r w:rsidR="00841D45" w:rsidRPr="00DC03F2">
        <w:rPr>
          <w:color w:val="000000"/>
          <w:lang w:val="fr-BE"/>
        </w:rPr>
        <w:t xml:space="preserve">à l’étranger – notamment </w:t>
      </w:r>
      <w:r w:rsidR="00841D45">
        <w:rPr>
          <w:color w:val="000000"/>
          <w:lang w:val="fr-BE"/>
        </w:rPr>
        <w:t>en Thaï</w:t>
      </w:r>
      <w:r w:rsidR="00841D45" w:rsidRPr="00DC03F2">
        <w:rPr>
          <w:color w:val="000000"/>
          <w:lang w:val="fr-BE"/>
        </w:rPr>
        <w:t>lande, en Albanie et en Italie –</w:t>
      </w:r>
      <w:r w:rsidR="006539F3">
        <w:rPr>
          <w:color w:val="000000"/>
          <w:lang w:val="fr-BE"/>
        </w:rPr>
        <w:t xml:space="preserve"> et </w:t>
      </w:r>
      <w:r w:rsidR="00841D45" w:rsidRPr="00DC03F2">
        <w:rPr>
          <w:color w:val="000000"/>
          <w:lang w:val="fr-BE"/>
        </w:rPr>
        <w:t>les officie</w:t>
      </w:r>
      <w:r w:rsidR="00841D45">
        <w:rPr>
          <w:color w:val="000000"/>
          <w:lang w:val="fr-BE"/>
        </w:rPr>
        <w:t xml:space="preserve">rs de liaison étrangers en Belgique, en concertation </w:t>
      </w:r>
      <w:r w:rsidR="00841D45" w:rsidRPr="00DC03F2">
        <w:rPr>
          <w:color w:val="000000"/>
          <w:lang w:val="fr-BE"/>
        </w:rPr>
        <w:t xml:space="preserve">avec les magistrats </w:t>
      </w:r>
      <w:r w:rsidR="006539F3">
        <w:rPr>
          <w:color w:val="000000"/>
          <w:lang w:val="fr-BE"/>
        </w:rPr>
        <w:t xml:space="preserve">qui </w:t>
      </w:r>
      <w:r w:rsidR="00841D45" w:rsidRPr="00DC03F2">
        <w:rPr>
          <w:color w:val="000000"/>
          <w:lang w:val="fr-BE"/>
        </w:rPr>
        <w:t xml:space="preserve">dirigent les enquêtes </w:t>
      </w:r>
      <w:r w:rsidR="006539F3">
        <w:rPr>
          <w:color w:val="000000"/>
          <w:lang w:val="fr-BE"/>
        </w:rPr>
        <w:t>sur la</w:t>
      </w:r>
      <w:r w:rsidR="00841D45" w:rsidRPr="00DC03F2">
        <w:rPr>
          <w:color w:val="000000"/>
          <w:lang w:val="fr-BE"/>
        </w:rPr>
        <w:t xml:space="preserve"> traite et </w:t>
      </w:r>
      <w:r w:rsidR="006539F3">
        <w:rPr>
          <w:color w:val="000000"/>
          <w:lang w:val="fr-BE"/>
        </w:rPr>
        <w:t>l</w:t>
      </w:r>
      <w:r w:rsidR="00841D45" w:rsidRPr="00DC03F2">
        <w:rPr>
          <w:color w:val="000000"/>
          <w:lang w:val="fr-BE"/>
        </w:rPr>
        <w:t>e trafic des êtres humains</w:t>
      </w:r>
      <w:r w:rsidR="00841D45">
        <w:rPr>
          <w:color w:val="000000"/>
          <w:lang w:val="fr-BE"/>
        </w:rPr>
        <w:t>, collaborent à l’arrestation simultanée de</w:t>
      </w:r>
      <w:r w:rsidR="006539F3">
        <w:rPr>
          <w:color w:val="000000"/>
          <w:lang w:val="fr-BE"/>
        </w:rPr>
        <w:t>s</w:t>
      </w:r>
      <w:r w:rsidR="00841D45">
        <w:rPr>
          <w:color w:val="000000"/>
          <w:lang w:val="fr-BE"/>
        </w:rPr>
        <w:t xml:space="preserve"> </w:t>
      </w:r>
      <w:r w:rsidR="00841D45" w:rsidRPr="00DC03F2">
        <w:rPr>
          <w:color w:val="000000"/>
          <w:lang w:val="fr-BE"/>
        </w:rPr>
        <w:t>groupes d</w:t>
      </w:r>
      <w:r w:rsidR="00841D45">
        <w:rPr>
          <w:color w:val="000000"/>
          <w:lang w:val="fr-BE"/>
        </w:rPr>
        <w:t xml:space="preserve">’auteurs. </w:t>
      </w:r>
    </w:p>
    <w:p w:rsidR="00841D45" w:rsidRPr="00340AAB" w:rsidRDefault="005318F9" w:rsidP="00841D45">
      <w:pPr>
        <w:pStyle w:val="SingleTxtG"/>
        <w:rPr>
          <w:b/>
          <w:bCs/>
          <w:lang w:val="fr-BE"/>
        </w:rPr>
      </w:pPr>
      <w:r w:rsidRPr="00340AAB">
        <w:rPr>
          <w:b/>
          <w:bCs/>
        </w:rPr>
        <w:t>Réponse au paragraphe 19 de la liste de points à traiter</w:t>
      </w:r>
    </w:p>
    <w:p w:rsidR="00841D45" w:rsidRDefault="00A87D8D" w:rsidP="00C23BC0">
      <w:pPr>
        <w:pStyle w:val="SingleTxtG"/>
        <w:rPr>
          <w:lang w:val="fr-BE"/>
        </w:rPr>
      </w:pPr>
      <w:r>
        <w:rPr>
          <w:lang w:val="fr-BE"/>
        </w:rPr>
        <w:t>151.</w:t>
      </w:r>
      <w:r>
        <w:rPr>
          <w:lang w:val="fr-BE"/>
        </w:rPr>
        <w:tab/>
      </w:r>
      <w:r w:rsidR="00841D45">
        <w:rPr>
          <w:lang w:val="fr-BE"/>
        </w:rPr>
        <w:t>L</w:t>
      </w:r>
      <w:r w:rsidR="00841D45" w:rsidRPr="00E35694">
        <w:rPr>
          <w:lang w:val="fr-BE"/>
        </w:rPr>
        <w:t xml:space="preserve">’accès à un médecin constitue un droit </w:t>
      </w:r>
      <w:r w:rsidR="00FC47A0">
        <w:rPr>
          <w:lang w:val="fr-BE"/>
        </w:rPr>
        <w:t>de</w:t>
      </w:r>
      <w:r w:rsidR="00FC47A0" w:rsidRPr="00E35694">
        <w:rPr>
          <w:lang w:val="fr-BE"/>
        </w:rPr>
        <w:t xml:space="preserve"> </w:t>
      </w:r>
      <w:r w:rsidR="00841D45" w:rsidRPr="00E35694">
        <w:rPr>
          <w:lang w:val="fr-BE"/>
        </w:rPr>
        <w:t>la personne privée de liberté</w:t>
      </w:r>
      <w:r w:rsidR="00FC47A0">
        <w:rPr>
          <w:lang w:val="fr-BE"/>
        </w:rPr>
        <w:t xml:space="preserve"> </w:t>
      </w:r>
      <w:r w:rsidR="00841D45" w:rsidRPr="00E35694">
        <w:rPr>
          <w:lang w:val="fr-BE"/>
        </w:rPr>
        <w:t>garanti par la loi</w:t>
      </w:r>
      <w:r w:rsidR="00FC47A0">
        <w:rPr>
          <w:lang w:val="fr-BE"/>
        </w:rPr>
        <w:t xml:space="preserve"> </w:t>
      </w:r>
      <w:r w:rsidR="00C23BC0">
        <w:rPr>
          <w:lang w:val="fr-BE"/>
        </w:rPr>
        <w:t xml:space="preserve">et </w:t>
      </w:r>
      <w:r w:rsidR="00FC47A0">
        <w:rPr>
          <w:lang w:val="fr-BE"/>
        </w:rPr>
        <w:t xml:space="preserve">sans </w:t>
      </w:r>
      <w:r w:rsidR="00841D45">
        <w:rPr>
          <w:lang w:val="fr-BE"/>
        </w:rPr>
        <w:t xml:space="preserve">aucune condition. </w:t>
      </w:r>
      <w:r w:rsidR="00C23BC0">
        <w:rPr>
          <w:lang w:val="fr-BE"/>
        </w:rPr>
        <w:t xml:space="preserve">Dans la </w:t>
      </w:r>
      <w:r w:rsidR="00841D45">
        <w:rPr>
          <w:lang w:val="fr-BE"/>
        </w:rPr>
        <w:t>pratique, l’accès à un médecin est garanti dès les premières heures de la détention.</w:t>
      </w:r>
    </w:p>
    <w:p w:rsidR="00841D45" w:rsidRPr="00E35694" w:rsidRDefault="00A87D8D" w:rsidP="00841D45">
      <w:pPr>
        <w:pStyle w:val="SingleTxtG"/>
        <w:rPr>
          <w:lang w:val="fr-BE"/>
        </w:rPr>
      </w:pPr>
      <w:r>
        <w:rPr>
          <w:lang w:val="fr-BE"/>
        </w:rPr>
        <w:t>152.</w:t>
      </w:r>
      <w:r>
        <w:rPr>
          <w:lang w:val="fr-BE"/>
        </w:rPr>
        <w:tab/>
      </w:r>
      <w:r w:rsidR="00841D45">
        <w:rPr>
          <w:lang w:val="fr-BE"/>
        </w:rPr>
        <w:t>L</w:t>
      </w:r>
      <w:r w:rsidR="00841D45" w:rsidRPr="00E35694">
        <w:rPr>
          <w:lang w:val="fr-BE"/>
        </w:rPr>
        <w:t xml:space="preserve">a loi sur la fonction de police prévoit que le coût de l’assistance médicale est à charge de la personne arrêtée lorsqu’elle souhaite faire appel à un médecin de son choix : </w:t>
      </w:r>
    </w:p>
    <w:p w:rsidR="00841D45" w:rsidRPr="006F2762" w:rsidRDefault="00841D45" w:rsidP="00841D45">
      <w:pPr>
        <w:pStyle w:val="SingleTxtG"/>
        <w:rPr>
          <w:color w:val="000000"/>
        </w:rPr>
      </w:pPr>
      <w:r w:rsidRPr="00E35694">
        <w:rPr>
          <w:lang w:val="fr-BE"/>
        </w:rPr>
        <w:t>Art. 33</w:t>
      </w:r>
      <w:r w:rsidR="00A87D8D">
        <w:rPr>
          <w:lang w:val="fr-BE"/>
        </w:rPr>
        <w:t xml:space="preserve"> </w:t>
      </w:r>
      <w:r w:rsidRPr="009B141D">
        <w:rPr>
          <w:i/>
          <w:iCs/>
          <w:lang w:val="fr-BE"/>
        </w:rPr>
        <w:t>quinquies</w:t>
      </w:r>
      <w:r w:rsidRPr="00E35694">
        <w:rPr>
          <w:lang w:val="fr-BE"/>
        </w:rPr>
        <w:t xml:space="preserve"> : </w:t>
      </w:r>
      <w:r w:rsidRPr="006F2762">
        <w:rPr>
          <w:lang w:val="fr-BE"/>
        </w:rPr>
        <w:t>«</w:t>
      </w:r>
      <w:r w:rsidRPr="006F2762">
        <w:rPr>
          <w:color w:val="000000"/>
        </w:rPr>
        <w:t xml:space="preserve">Toute personne qui fait l'objet d'une arrestation administrative a le droit à l'assistance médicale. </w:t>
      </w:r>
    </w:p>
    <w:p w:rsidR="00841D45" w:rsidRPr="005F7786" w:rsidRDefault="00841D45" w:rsidP="00841D45">
      <w:pPr>
        <w:pStyle w:val="SingleTxtG"/>
      </w:pPr>
      <w:r w:rsidRPr="006F2762">
        <w:rPr>
          <w:color w:val="000000"/>
        </w:rPr>
        <w:t> Sans préjudice du droit prévu à l'alinéa premier, toute personne qui fait l'objet d'une arrestation administrative a le droit subsidiaire à un examen médical par un médecin de son choix. Les frais liés à cet examen sont à charge de l'intéressé</w:t>
      </w:r>
      <w:r w:rsidR="00A85025">
        <w:rPr>
          <w:color w:val="000000"/>
        </w:rPr>
        <w:t>.</w:t>
      </w:r>
      <w:r w:rsidRPr="006F2762">
        <w:rPr>
          <w:color w:val="000000"/>
        </w:rPr>
        <w:t>»</w:t>
      </w:r>
    </w:p>
    <w:p w:rsidR="00841D45" w:rsidRPr="00A65915" w:rsidRDefault="00841D45" w:rsidP="006A40AC">
      <w:pPr>
        <w:pStyle w:val="SingleTxtG"/>
      </w:pPr>
      <w:r w:rsidRPr="00A65915">
        <w:t xml:space="preserve">La modification de cette disposition n’est </w:t>
      </w:r>
      <w:r w:rsidR="006A40AC" w:rsidRPr="00A65915">
        <w:t>pas</w:t>
      </w:r>
      <w:r w:rsidR="006A40AC">
        <w:t>,</w:t>
      </w:r>
      <w:r w:rsidR="006A40AC" w:rsidRPr="00A65915">
        <w:t xml:space="preserve"> </w:t>
      </w:r>
      <w:r w:rsidR="006A40AC">
        <w:t>pour l’instant,</w:t>
      </w:r>
      <w:r w:rsidR="006A40AC" w:rsidRPr="00A65915">
        <w:t xml:space="preserve"> </w:t>
      </w:r>
      <w:r w:rsidRPr="00A65915">
        <w:t>à l’ordre du jour.</w:t>
      </w:r>
    </w:p>
    <w:p w:rsidR="00841D45" w:rsidRDefault="00A87D8D" w:rsidP="0002432B">
      <w:pPr>
        <w:pStyle w:val="SingleTxtG"/>
        <w:rPr>
          <w:lang w:val="fr-BE"/>
        </w:rPr>
      </w:pPr>
      <w:r>
        <w:rPr>
          <w:lang w:val="fr-BE"/>
        </w:rPr>
        <w:t>153.</w:t>
      </w:r>
      <w:r>
        <w:rPr>
          <w:lang w:val="fr-BE"/>
        </w:rPr>
        <w:tab/>
      </w:r>
      <w:r w:rsidR="00841D45">
        <w:rPr>
          <w:lang w:val="fr-BE"/>
        </w:rPr>
        <w:t xml:space="preserve">Le Collège des procureurs généraux a élaboré </w:t>
      </w:r>
      <w:r w:rsidR="00AF5767">
        <w:rPr>
          <w:lang w:val="fr-BE"/>
        </w:rPr>
        <w:t xml:space="preserve">la </w:t>
      </w:r>
      <w:r w:rsidR="00841D45">
        <w:rPr>
          <w:lang w:val="fr-BE"/>
        </w:rPr>
        <w:t>circulaire du 4 mai 2010</w:t>
      </w:r>
      <w:r w:rsidR="008E6EAE">
        <w:rPr>
          <w:lang w:val="fr-BE"/>
        </w:rPr>
        <w:t>,</w:t>
      </w:r>
      <w:r w:rsidR="00841D45">
        <w:rPr>
          <w:lang w:val="fr-BE"/>
        </w:rPr>
        <w:t xml:space="preserve"> </w:t>
      </w:r>
      <w:r w:rsidR="00886252">
        <w:rPr>
          <w:lang w:val="fr-BE"/>
        </w:rPr>
        <w:t>laquelle</w:t>
      </w:r>
      <w:r w:rsidR="0002432B">
        <w:rPr>
          <w:lang w:val="fr-BE"/>
        </w:rPr>
        <w:t xml:space="preserve"> </w:t>
      </w:r>
      <w:r w:rsidR="00841D45">
        <w:rPr>
          <w:lang w:val="fr-BE"/>
        </w:rPr>
        <w:t xml:space="preserve">prévoit essentiellement quatre </w:t>
      </w:r>
      <w:r w:rsidR="008E6EAE">
        <w:rPr>
          <w:lang w:val="fr-BE"/>
        </w:rPr>
        <w:t>points </w:t>
      </w:r>
      <w:r w:rsidR="00841D45">
        <w:rPr>
          <w:lang w:val="fr-BE"/>
        </w:rPr>
        <w:t xml:space="preserve">: </w:t>
      </w:r>
    </w:p>
    <w:p w:rsidR="00841D45" w:rsidRDefault="00841D45" w:rsidP="00A87D8D">
      <w:pPr>
        <w:pStyle w:val="SingleTxtG"/>
        <w:rPr>
          <w:lang w:val="fr-BE"/>
        </w:rPr>
      </w:pPr>
      <w:r>
        <w:rPr>
          <w:lang w:val="fr-BE"/>
        </w:rPr>
        <w:t xml:space="preserve">- </w:t>
      </w:r>
      <w:r w:rsidR="00A87D8D">
        <w:rPr>
          <w:lang w:val="fr-BE"/>
        </w:rPr>
        <w:t>L</w:t>
      </w:r>
      <w:r>
        <w:rPr>
          <w:lang w:val="fr-BE"/>
        </w:rPr>
        <w:t>a communication explicite du droit au silence à toute personne interrogée avant le début de l’audition;</w:t>
      </w:r>
    </w:p>
    <w:p w:rsidR="00841D45" w:rsidRDefault="00841D45" w:rsidP="00841D45">
      <w:pPr>
        <w:pStyle w:val="SingleTxtG"/>
        <w:rPr>
          <w:lang w:val="fr-BE"/>
        </w:rPr>
      </w:pPr>
      <w:r>
        <w:rPr>
          <w:lang w:val="fr-BE"/>
        </w:rPr>
        <w:t xml:space="preserve">- </w:t>
      </w:r>
      <w:r w:rsidR="00A87D8D">
        <w:rPr>
          <w:lang w:val="fr-BE"/>
        </w:rPr>
        <w:t>L</w:t>
      </w:r>
      <w:r>
        <w:rPr>
          <w:lang w:val="fr-BE"/>
        </w:rPr>
        <w:t>’importance des constatations sur place et de la sécurisation des indices et des preuves matérielles;</w:t>
      </w:r>
    </w:p>
    <w:p w:rsidR="00841D45" w:rsidRDefault="00841D45" w:rsidP="00841D45">
      <w:pPr>
        <w:pStyle w:val="SingleTxtG"/>
        <w:rPr>
          <w:lang w:val="fr-BE"/>
        </w:rPr>
      </w:pPr>
      <w:r>
        <w:rPr>
          <w:lang w:val="fr-BE"/>
        </w:rPr>
        <w:t xml:space="preserve">- </w:t>
      </w:r>
      <w:r w:rsidR="00A87D8D">
        <w:rPr>
          <w:lang w:val="fr-BE"/>
        </w:rPr>
        <w:t>L</w:t>
      </w:r>
      <w:r>
        <w:rPr>
          <w:lang w:val="fr-BE"/>
        </w:rPr>
        <w:t>’enregistrement vidéo et sonore de la première audition du suspect arrêté s’il s’agit d’infractions graves (homicides et crimes non correctionnalisables);</w:t>
      </w:r>
    </w:p>
    <w:p w:rsidR="00841D45" w:rsidRDefault="00841D45" w:rsidP="00886252">
      <w:pPr>
        <w:pStyle w:val="SingleTxtG"/>
        <w:rPr>
          <w:lang w:val="fr-BE"/>
        </w:rPr>
      </w:pPr>
      <w:r>
        <w:rPr>
          <w:lang w:val="fr-BE"/>
        </w:rPr>
        <w:t xml:space="preserve">- </w:t>
      </w:r>
      <w:r w:rsidR="00F536A7">
        <w:rPr>
          <w:lang w:val="fr-BE"/>
        </w:rPr>
        <w:t>L</w:t>
      </w:r>
      <w:r w:rsidR="00426203">
        <w:rPr>
          <w:lang w:val="fr-BE"/>
        </w:rPr>
        <w:t>a demande adressée par l</w:t>
      </w:r>
      <w:r>
        <w:rPr>
          <w:lang w:val="fr-BE"/>
        </w:rPr>
        <w:t xml:space="preserve">es </w:t>
      </w:r>
      <w:r w:rsidR="007F796D">
        <w:rPr>
          <w:lang w:val="fr-BE"/>
        </w:rPr>
        <w:t>P</w:t>
      </w:r>
      <w:r>
        <w:rPr>
          <w:lang w:val="fr-BE"/>
        </w:rPr>
        <w:t>rocureurs du Roi au juge d’instruction de ne pas motiver le mandat d’arrêt sur la base de la (des) déclaration</w:t>
      </w:r>
      <w:r w:rsidR="00F536A7">
        <w:rPr>
          <w:lang w:val="fr-BE"/>
        </w:rPr>
        <w:t xml:space="preserve"> </w:t>
      </w:r>
      <w:r>
        <w:rPr>
          <w:lang w:val="fr-BE"/>
        </w:rPr>
        <w:t>(s) du suspect recueillie</w:t>
      </w:r>
      <w:r w:rsidR="00F536A7">
        <w:rPr>
          <w:lang w:val="fr-BE"/>
        </w:rPr>
        <w:t xml:space="preserve"> </w:t>
      </w:r>
      <w:r>
        <w:rPr>
          <w:lang w:val="fr-BE"/>
        </w:rPr>
        <w:t xml:space="preserve">(s) sans la consultation préalable d’un avocat, mais uniquement sur la base des autres éléments de preuve et une nouvelle audition du suspect après que </w:t>
      </w:r>
      <w:r w:rsidR="00235CBD">
        <w:rPr>
          <w:lang w:val="fr-BE"/>
        </w:rPr>
        <w:t>ce dernier</w:t>
      </w:r>
      <w:r>
        <w:rPr>
          <w:lang w:val="fr-BE"/>
        </w:rPr>
        <w:t xml:space="preserve"> a pu consulter son avocat.</w:t>
      </w:r>
    </w:p>
    <w:p w:rsidR="00841D45" w:rsidRDefault="0022620D" w:rsidP="00C50FEC">
      <w:pPr>
        <w:pStyle w:val="SingleTxtG"/>
        <w:rPr>
          <w:lang w:val="fr-BE"/>
        </w:rPr>
      </w:pPr>
      <w:r>
        <w:rPr>
          <w:lang w:val="fr-BE"/>
        </w:rPr>
        <w:t>154.</w:t>
      </w:r>
      <w:r>
        <w:rPr>
          <w:lang w:val="fr-BE"/>
        </w:rPr>
        <w:tab/>
      </w:r>
      <w:r w:rsidR="00841D45">
        <w:rPr>
          <w:lang w:val="fr-BE"/>
        </w:rPr>
        <w:t xml:space="preserve">Prochainement, un éclaircissement </w:t>
      </w:r>
      <w:r w:rsidR="00AC3B2C">
        <w:rPr>
          <w:lang w:val="fr-BE"/>
        </w:rPr>
        <w:t xml:space="preserve">sur </w:t>
      </w:r>
      <w:r w:rsidR="00841D45">
        <w:rPr>
          <w:lang w:val="fr-BE"/>
        </w:rPr>
        <w:t xml:space="preserve">cette directive circulera dans les parquets </w:t>
      </w:r>
      <w:r w:rsidR="00AC3B2C">
        <w:rPr>
          <w:lang w:val="fr-BE"/>
        </w:rPr>
        <w:t>pour expliquer que</w:t>
      </w:r>
      <w:r w:rsidR="00841D45">
        <w:rPr>
          <w:lang w:val="fr-BE"/>
        </w:rPr>
        <w:t xml:space="preserve"> l’information </w:t>
      </w:r>
      <w:r w:rsidR="00AC3B2C">
        <w:rPr>
          <w:lang w:val="fr-BE"/>
        </w:rPr>
        <w:t>sur les</w:t>
      </w:r>
      <w:r w:rsidR="00841D45">
        <w:rPr>
          <w:lang w:val="fr-BE"/>
        </w:rPr>
        <w:t xml:space="preserve"> droits </w:t>
      </w:r>
      <w:r w:rsidR="00AC3B2C">
        <w:rPr>
          <w:lang w:val="fr-BE"/>
        </w:rPr>
        <w:t xml:space="preserve">de la </w:t>
      </w:r>
      <w:r w:rsidR="00841D45">
        <w:rPr>
          <w:lang w:val="fr-BE"/>
        </w:rPr>
        <w:t>personne arrêtée sera encore élargie en ce sens qu’il sera communiqué à la personne auditionnée qu’après l’entretien avec son avocat</w:t>
      </w:r>
      <w:r w:rsidR="00AC3B2C">
        <w:rPr>
          <w:lang w:val="fr-BE"/>
        </w:rPr>
        <w:t xml:space="preserve"> elle </w:t>
      </w:r>
      <w:r w:rsidR="00841D45">
        <w:rPr>
          <w:lang w:val="fr-BE"/>
        </w:rPr>
        <w:t>aura la possibilité de demander une nouvelle audition et, s</w:t>
      </w:r>
      <w:r w:rsidR="00AC3B2C">
        <w:rPr>
          <w:lang w:val="fr-BE"/>
        </w:rPr>
        <w:t xml:space="preserve">i elle </w:t>
      </w:r>
      <w:r w:rsidR="00841D45">
        <w:rPr>
          <w:lang w:val="fr-BE"/>
        </w:rPr>
        <w:t>est placé</w:t>
      </w:r>
      <w:r w:rsidR="00AC3B2C">
        <w:rPr>
          <w:lang w:val="fr-BE"/>
        </w:rPr>
        <w:t>e</w:t>
      </w:r>
      <w:r w:rsidR="00841D45">
        <w:rPr>
          <w:lang w:val="fr-BE"/>
        </w:rPr>
        <w:t xml:space="preserve"> en état d’arrestation, </w:t>
      </w:r>
      <w:r w:rsidR="00853ADE">
        <w:rPr>
          <w:lang w:val="fr-BE"/>
        </w:rPr>
        <w:t>qu’</w:t>
      </w:r>
      <w:r w:rsidR="00AC3B2C">
        <w:rPr>
          <w:lang w:val="fr-BE"/>
        </w:rPr>
        <w:t xml:space="preserve">elle </w:t>
      </w:r>
      <w:r w:rsidR="00841D45">
        <w:rPr>
          <w:lang w:val="fr-BE"/>
        </w:rPr>
        <w:t>aura la possibilité de demander un interrogatoire récapitulatif conformément à l’article 22</w:t>
      </w:r>
      <w:r w:rsidR="00AC3B2C">
        <w:rPr>
          <w:lang w:val="fr-BE"/>
        </w:rPr>
        <w:t>,</w:t>
      </w:r>
      <w:r w:rsidR="00841D45">
        <w:rPr>
          <w:lang w:val="fr-BE"/>
        </w:rPr>
        <w:t xml:space="preserve"> alinéa 3</w:t>
      </w:r>
      <w:r w:rsidR="00AC3B2C">
        <w:rPr>
          <w:lang w:val="fr-BE"/>
        </w:rPr>
        <w:t>,</w:t>
      </w:r>
      <w:r w:rsidR="00841D45">
        <w:rPr>
          <w:lang w:val="fr-BE"/>
        </w:rPr>
        <w:t xml:space="preserve"> de la loi du 20 juillet 1990 relative à la détention préventive</w:t>
      </w:r>
      <w:r w:rsidR="00AC3B2C">
        <w:rPr>
          <w:lang w:val="fr-BE"/>
        </w:rPr>
        <w:t>,</w:t>
      </w:r>
      <w:r w:rsidR="00841D45">
        <w:rPr>
          <w:lang w:val="fr-BE"/>
        </w:rPr>
        <w:t xml:space="preserve"> ainsi qu’une audition devant le juge d’instruction à laquelle son avocat </w:t>
      </w:r>
      <w:r w:rsidR="00886252">
        <w:rPr>
          <w:lang w:val="fr-BE"/>
        </w:rPr>
        <w:t>pourra</w:t>
      </w:r>
      <w:r w:rsidR="00AC3B2C">
        <w:rPr>
          <w:lang w:val="fr-BE"/>
        </w:rPr>
        <w:t xml:space="preserve"> </w:t>
      </w:r>
      <w:r w:rsidR="00841D45">
        <w:rPr>
          <w:lang w:val="fr-BE"/>
        </w:rPr>
        <w:t xml:space="preserve">assister. </w:t>
      </w:r>
    </w:p>
    <w:p w:rsidR="00841D45" w:rsidRDefault="0022620D" w:rsidP="00C50FEC">
      <w:pPr>
        <w:pStyle w:val="SingleTxtG"/>
        <w:rPr>
          <w:lang w:val="fr-BE"/>
        </w:rPr>
      </w:pPr>
      <w:r>
        <w:rPr>
          <w:lang w:val="fr-BE"/>
        </w:rPr>
        <w:t>155.</w:t>
      </w:r>
      <w:r>
        <w:rPr>
          <w:lang w:val="fr-BE"/>
        </w:rPr>
        <w:tab/>
      </w:r>
      <w:r w:rsidR="00841D45">
        <w:rPr>
          <w:lang w:val="fr-BE"/>
        </w:rPr>
        <w:t>Par ailleurs, l</w:t>
      </w:r>
      <w:r w:rsidR="00841D45" w:rsidRPr="00D31B06">
        <w:rPr>
          <w:lang w:val="fr-BE"/>
        </w:rPr>
        <w:t>e Ministre de la Justice a organisé une ronde de consultation</w:t>
      </w:r>
      <w:r w:rsidR="00E01DB0">
        <w:rPr>
          <w:lang w:val="fr-BE"/>
        </w:rPr>
        <w:t>s</w:t>
      </w:r>
      <w:r w:rsidR="00841D45" w:rsidRPr="00D31B06">
        <w:rPr>
          <w:lang w:val="fr-BE"/>
        </w:rPr>
        <w:t xml:space="preserve"> </w:t>
      </w:r>
      <w:r w:rsidR="00E01DB0">
        <w:rPr>
          <w:lang w:val="fr-BE"/>
        </w:rPr>
        <w:t>avec</w:t>
      </w:r>
      <w:r w:rsidR="00E01DB0" w:rsidRPr="00D31B06">
        <w:rPr>
          <w:lang w:val="fr-BE"/>
        </w:rPr>
        <w:t xml:space="preserve"> </w:t>
      </w:r>
      <w:r w:rsidR="00841D45" w:rsidRPr="00D31B06">
        <w:rPr>
          <w:lang w:val="fr-BE"/>
        </w:rPr>
        <w:t>tous les acteurs concernés en vue d</w:t>
      </w:r>
      <w:r w:rsidR="00E01DB0">
        <w:rPr>
          <w:lang w:val="fr-BE"/>
        </w:rPr>
        <w:t xml:space="preserve">e recueillir </w:t>
      </w:r>
      <w:r w:rsidR="00841D45" w:rsidRPr="00D31B06">
        <w:rPr>
          <w:lang w:val="fr-BE"/>
        </w:rPr>
        <w:t xml:space="preserve">leur avis sur cette question, </w:t>
      </w:r>
      <w:r w:rsidR="00841D45">
        <w:rPr>
          <w:lang w:val="fr-BE"/>
        </w:rPr>
        <w:t xml:space="preserve">à savoir </w:t>
      </w:r>
      <w:r w:rsidR="00E01DB0">
        <w:rPr>
          <w:lang w:val="fr-BE"/>
        </w:rPr>
        <w:t xml:space="preserve">avec </w:t>
      </w:r>
      <w:r w:rsidR="00841D45" w:rsidRPr="00D31B06">
        <w:rPr>
          <w:lang w:val="fr-BE"/>
        </w:rPr>
        <w:t>le Ministre de l’Intérieur, le Conseil Supérieur de la Justice, l’Association des juges d’instructi</w:t>
      </w:r>
      <w:r w:rsidR="00841D45">
        <w:rPr>
          <w:lang w:val="fr-BE"/>
        </w:rPr>
        <w:t xml:space="preserve">on, le Collège des procureurs </w:t>
      </w:r>
      <w:r w:rsidR="00841D45" w:rsidRPr="00D31B06">
        <w:rPr>
          <w:lang w:val="fr-BE"/>
        </w:rPr>
        <w:t>généraux, le Conseil des Procureurs du Roi, l’Ordre des Barreaux Flamands et l’Ordre des Barreaux francophones et germanophone</w:t>
      </w:r>
      <w:r w:rsidR="00E01DB0">
        <w:rPr>
          <w:lang w:val="fr-BE"/>
        </w:rPr>
        <w:t>s</w:t>
      </w:r>
      <w:r w:rsidR="00841D45" w:rsidRPr="00D31B06">
        <w:rPr>
          <w:lang w:val="fr-BE"/>
        </w:rPr>
        <w:t xml:space="preserve">. Entretemps, </w:t>
      </w:r>
      <w:r w:rsidR="00841D45">
        <w:rPr>
          <w:lang w:val="fr-BE"/>
        </w:rPr>
        <w:t xml:space="preserve">plusieurs </w:t>
      </w:r>
      <w:r w:rsidR="00841D45" w:rsidRPr="00D31B06">
        <w:rPr>
          <w:lang w:val="fr-BE"/>
        </w:rPr>
        <w:t>proposition</w:t>
      </w:r>
      <w:r w:rsidR="00841D45">
        <w:rPr>
          <w:lang w:val="fr-BE"/>
        </w:rPr>
        <w:t>s</w:t>
      </w:r>
      <w:r w:rsidR="00841D45" w:rsidRPr="00D31B06">
        <w:rPr>
          <w:lang w:val="fr-BE"/>
        </w:rPr>
        <w:t xml:space="preserve"> de loi</w:t>
      </w:r>
      <w:r w:rsidR="00841D45">
        <w:rPr>
          <w:lang w:val="fr-BE"/>
        </w:rPr>
        <w:t xml:space="preserve"> ont </w:t>
      </w:r>
      <w:r w:rsidR="00841D45" w:rsidRPr="00D31B06">
        <w:rPr>
          <w:lang w:val="fr-BE"/>
        </w:rPr>
        <w:t>été introduite</w:t>
      </w:r>
      <w:r w:rsidR="00841D45">
        <w:rPr>
          <w:lang w:val="fr-BE"/>
        </w:rPr>
        <w:t>s (Doc Parl. Sé</w:t>
      </w:r>
      <w:r w:rsidR="00841D45" w:rsidRPr="00D31B06">
        <w:rPr>
          <w:lang w:val="fr-BE"/>
        </w:rPr>
        <w:t>nat 4-1079/01</w:t>
      </w:r>
      <w:r w:rsidR="00841D45">
        <w:rPr>
          <w:lang w:val="fr-BE"/>
        </w:rPr>
        <w:t>, Doc. Parl. Sénat 4-1720/1, Doc. Parl. Chambre 52/2444/01</w:t>
      </w:r>
      <w:r w:rsidR="00AC4F0D">
        <w:rPr>
          <w:lang w:val="fr-BE"/>
        </w:rPr>
        <w:t xml:space="preserve"> et</w:t>
      </w:r>
      <w:r w:rsidR="00841D45">
        <w:rPr>
          <w:lang w:val="fr-BE"/>
        </w:rPr>
        <w:t xml:space="preserve"> Doc.Parl. Chambre 2504/1</w:t>
      </w:r>
      <w:r w:rsidR="00841D45" w:rsidRPr="00D31B06">
        <w:rPr>
          <w:lang w:val="fr-BE"/>
        </w:rPr>
        <w:t xml:space="preserve">). Une première session d’auditions </w:t>
      </w:r>
      <w:r w:rsidR="00BE5B0D">
        <w:rPr>
          <w:lang w:val="fr-BE"/>
        </w:rPr>
        <w:t>devant</w:t>
      </w:r>
      <w:r w:rsidR="00BE5B0D" w:rsidRPr="00D31B06">
        <w:rPr>
          <w:lang w:val="fr-BE"/>
        </w:rPr>
        <w:t xml:space="preserve"> </w:t>
      </w:r>
      <w:r w:rsidR="00841D45" w:rsidRPr="00D31B06">
        <w:rPr>
          <w:lang w:val="fr-BE"/>
        </w:rPr>
        <w:t xml:space="preserve">la </w:t>
      </w:r>
      <w:r w:rsidR="00BE5B0D">
        <w:rPr>
          <w:lang w:val="fr-BE"/>
        </w:rPr>
        <w:t>C</w:t>
      </w:r>
      <w:r w:rsidR="00841D45" w:rsidRPr="00D31B06">
        <w:rPr>
          <w:lang w:val="fr-BE"/>
        </w:rPr>
        <w:t>ommission de justice du Sénat a été organisé</w:t>
      </w:r>
      <w:r w:rsidR="00841D45">
        <w:rPr>
          <w:lang w:val="fr-BE"/>
        </w:rPr>
        <w:t>e</w:t>
      </w:r>
      <w:r w:rsidR="00841D45" w:rsidRPr="00D31B06">
        <w:rPr>
          <w:lang w:val="fr-BE"/>
        </w:rPr>
        <w:t xml:space="preserve">. Suite à la dissolution des </w:t>
      </w:r>
      <w:r w:rsidR="00841D45" w:rsidRPr="0089103C">
        <w:rPr>
          <w:lang w:val="fr-BE"/>
        </w:rPr>
        <w:t>Chambres</w:t>
      </w:r>
      <w:r w:rsidR="00841D45" w:rsidRPr="00D31B06">
        <w:rPr>
          <w:lang w:val="fr-BE"/>
        </w:rPr>
        <w:t xml:space="preserve">, ces travaux sont actuellement suspendus. </w:t>
      </w:r>
      <w:r w:rsidR="00841D45">
        <w:rPr>
          <w:lang w:val="fr-BE"/>
        </w:rPr>
        <w:t xml:space="preserve">Le </w:t>
      </w:r>
      <w:r w:rsidR="00F82378">
        <w:rPr>
          <w:lang w:val="fr-BE"/>
        </w:rPr>
        <w:t>G</w:t>
      </w:r>
      <w:r w:rsidR="00841D45">
        <w:rPr>
          <w:lang w:val="fr-BE"/>
        </w:rPr>
        <w:t xml:space="preserve">ouvernement fédéral étant pour l’instant en affaires courantes, des initiatives législatives ne peuvent </w:t>
      </w:r>
      <w:r w:rsidR="00BE5B0D">
        <w:rPr>
          <w:lang w:val="fr-BE"/>
        </w:rPr>
        <w:t xml:space="preserve">pas </w:t>
      </w:r>
      <w:r w:rsidR="00841D45">
        <w:rPr>
          <w:lang w:val="fr-BE"/>
        </w:rPr>
        <w:t>être prises pour le moment.</w:t>
      </w:r>
    </w:p>
    <w:p w:rsidR="00841D45" w:rsidRPr="00D31B06" w:rsidRDefault="0022620D" w:rsidP="00C50FEC">
      <w:pPr>
        <w:pStyle w:val="SingleTxtG"/>
        <w:rPr>
          <w:lang w:val="fr-BE"/>
        </w:rPr>
      </w:pPr>
      <w:r>
        <w:rPr>
          <w:lang w:val="fr-BE"/>
        </w:rPr>
        <w:t>156.</w:t>
      </w:r>
      <w:r>
        <w:rPr>
          <w:lang w:val="fr-BE"/>
        </w:rPr>
        <w:tab/>
      </w:r>
      <w:r w:rsidR="00841D45">
        <w:rPr>
          <w:lang w:val="fr-BE"/>
        </w:rPr>
        <w:t>Néanmoins</w:t>
      </w:r>
      <w:r w:rsidR="00513040">
        <w:rPr>
          <w:lang w:val="fr-BE"/>
        </w:rPr>
        <w:t>,</w:t>
      </w:r>
      <w:r w:rsidR="00841D45">
        <w:rPr>
          <w:lang w:val="fr-BE"/>
        </w:rPr>
        <w:t xml:space="preserve"> la </w:t>
      </w:r>
      <w:r w:rsidR="002B2706">
        <w:rPr>
          <w:lang w:val="fr-BE"/>
        </w:rPr>
        <w:t>D</w:t>
      </w:r>
      <w:r w:rsidR="00841D45">
        <w:rPr>
          <w:lang w:val="fr-BE"/>
        </w:rPr>
        <w:t>éclaration de révision de la Constitution</w:t>
      </w:r>
      <w:r w:rsidR="00841D45">
        <w:rPr>
          <w:rStyle w:val="FootnoteReference"/>
          <w:lang w:val="fr-BE"/>
        </w:rPr>
        <w:footnoteReference w:id="17"/>
      </w:r>
      <w:r w:rsidR="00841D45">
        <w:rPr>
          <w:lang w:val="fr-BE"/>
        </w:rPr>
        <w:t xml:space="preserve"> prévoit la possibilité de modifier la durée de la garde à vue (24 h) «afin de respecter la jurisprudence européenne en ce qui concerne l’assistance d’un avocat dès la première audition» (en référence à l’article 12</w:t>
      </w:r>
      <w:r w:rsidR="002B2706">
        <w:rPr>
          <w:lang w:val="fr-BE"/>
        </w:rPr>
        <w:t>,</w:t>
      </w:r>
      <w:r w:rsidR="00841D45">
        <w:rPr>
          <w:lang w:val="fr-BE"/>
        </w:rPr>
        <w:t xml:space="preserve"> alinéa 3</w:t>
      </w:r>
      <w:r w:rsidR="002B2706">
        <w:rPr>
          <w:lang w:val="fr-BE"/>
        </w:rPr>
        <w:t>,</w:t>
      </w:r>
      <w:r w:rsidR="00841D45">
        <w:rPr>
          <w:lang w:val="fr-BE"/>
        </w:rPr>
        <w:t xml:space="preserve"> de la Constitution).</w:t>
      </w:r>
    </w:p>
    <w:p w:rsidR="00CA3ACA" w:rsidRPr="00340AAB" w:rsidRDefault="00CA3ACA" w:rsidP="00EF2C07">
      <w:pPr>
        <w:pStyle w:val="SingleTxtG"/>
        <w:rPr>
          <w:b/>
          <w:bCs/>
          <w:lang w:val="fr-BE"/>
        </w:rPr>
      </w:pPr>
      <w:r w:rsidRPr="00340AAB">
        <w:rPr>
          <w:b/>
          <w:bCs/>
        </w:rPr>
        <w:t>Réponse au paragraphe 20 de la liste de points à traiter</w:t>
      </w:r>
      <w:r w:rsidR="00841D45" w:rsidRPr="00340AAB">
        <w:rPr>
          <w:b/>
          <w:bCs/>
          <w:lang w:val="fr-BE"/>
        </w:rPr>
        <w:t xml:space="preserve"> </w:t>
      </w:r>
    </w:p>
    <w:p w:rsidR="00841D45" w:rsidRPr="00716F63" w:rsidRDefault="0022620D" w:rsidP="00C50FEC">
      <w:pPr>
        <w:pStyle w:val="SingleTxtG"/>
        <w:rPr>
          <w:rFonts w:cs="Arial"/>
          <w:color w:val="000000"/>
          <w:szCs w:val="18"/>
        </w:rPr>
      </w:pPr>
      <w:r>
        <w:rPr>
          <w:rFonts w:cs="Arial"/>
          <w:szCs w:val="18"/>
        </w:rPr>
        <w:t>157.</w:t>
      </w:r>
      <w:r>
        <w:rPr>
          <w:rFonts w:cs="Arial"/>
          <w:szCs w:val="18"/>
        </w:rPr>
        <w:tab/>
      </w:r>
      <w:r w:rsidR="00841D45" w:rsidRPr="00B77053">
        <w:rPr>
          <w:rFonts w:cs="Arial"/>
          <w:szCs w:val="18"/>
        </w:rPr>
        <w:t>La législation belge a été adaptée. L</w:t>
      </w:r>
      <w:r w:rsidR="00841D45">
        <w:rPr>
          <w:rFonts w:cs="Arial"/>
          <w:szCs w:val="18"/>
        </w:rPr>
        <w:t xml:space="preserve">es </w:t>
      </w:r>
      <w:r w:rsidR="00841D45" w:rsidRPr="00B77053">
        <w:rPr>
          <w:rFonts w:cs="Arial"/>
          <w:szCs w:val="18"/>
        </w:rPr>
        <w:t>article</w:t>
      </w:r>
      <w:r w:rsidR="00841D45">
        <w:rPr>
          <w:rFonts w:cs="Arial"/>
          <w:szCs w:val="18"/>
        </w:rPr>
        <w:t>s</w:t>
      </w:r>
      <w:r w:rsidR="00841D45" w:rsidRPr="00B77053">
        <w:rPr>
          <w:rFonts w:cs="Arial"/>
          <w:szCs w:val="18"/>
        </w:rPr>
        <w:t xml:space="preserve"> 39/82,</w:t>
      </w:r>
      <w:r w:rsidR="00841D45">
        <w:rPr>
          <w:rFonts w:cs="Arial"/>
          <w:szCs w:val="18"/>
        </w:rPr>
        <w:t xml:space="preserve"> </w:t>
      </w:r>
      <w:r w:rsidR="00B10927">
        <w:rPr>
          <w:rFonts w:cs="Arial"/>
          <w:szCs w:val="18"/>
        </w:rPr>
        <w:t>par.</w:t>
      </w:r>
      <w:r w:rsidR="00841D45" w:rsidRPr="00B77053">
        <w:rPr>
          <w:rFonts w:cs="Arial"/>
          <w:szCs w:val="18"/>
        </w:rPr>
        <w:t xml:space="preserve"> 4, alinéa 2 et 39/83 de la loi du 15 décembre 1980 </w:t>
      </w:r>
      <w:r w:rsidR="00841D45" w:rsidRPr="00B77B04">
        <w:rPr>
          <w:rFonts w:cs="Arial"/>
          <w:iCs/>
          <w:szCs w:val="18"/>
        </w:rPr>
        <w:t xml:space="preserve">sur l’accès au territoire, le séjour, l’établissement et l’éloignement des étrangers </w:t>
      </w:r>
      <w:r w:rsidR="00841D45" w:rsidRPr="00B77053">
        <w:rPr>
          <w:rFonts w:cs="Arial"/>
          <w:szCs w:val="18"/>
        </w:rPr>
        <w:t xml:space="preserve">ont été modifiés par la loi du 6 mai 2009 </w:t>
      </w:r>
      <w:r w:rsidR="00841D45" w:rsidRPr="00A510A2">
        <w:rPr>
          <w:rFonts w:cs="Arial"/>
          <w:iCs/>
          <w:szCs w:val="18"/>
        </w:rPr>
        <w:t>portant des dispositions diverses relatives à l’asile et à l’immigration</w:t>
      </w:r>
      <w:r w:rsidR="00841D45" w:rsidRPr="00716F63">
        <w:rPr>
          <w:rFonts w:cs="Arial"/>
          <w:szCs w:val="18"/>
        </w:rPr>
        <w:t xml:space="preserve">. L’article 39/82, </w:t>
      </w:r>
      <w:r w:rsidR="00B10927">
        <w:rPr>
          <w:rFonts w:cs="Arial"/>
          <w:szCs w:val="18"/>
        </w:rPr>
        <w:t xml:space="preserve">par. </w:t>
      </w:r>
      <w:r w:rsidR="00841D45" w:rsidRPr="00716F63">
        <w:rPr>
          <w:rFonts w:cs="Arial"/>
          <w:szCs w:val="18"/>
        </w:rPr>
        <w:t>4</w:t>
      </w:r>
      <w:r w:rsidR="00A510A2">
        <w:rPr>
          <w:rFonts w:cs="Arial"/>
          <w:szCs w:val="18"/>
        </w:rPr>
        <w:t>,</w:t>
      </w:r>
      <w:r w:rsidR="00841D45" w:rsidRPr="00716F63">
        <w:rPr>
          <w:rFonts w:cs="Arial"/>
          <w:szCs w:val="18"/>
        </w:rPr>
        <w:t xml:space="preserve"> de la loi du 15 décembre 1980 précitée prévoit désormais un délai de cinq jours en lieu et place d’un délai de 24 heures pour permettre à l’étranger d’introduire un recours en extrême urgence, sans que ce délai puisse être </w:t>
      </w:r>
      <w:r w:rsidR="00841D45" w:rsidRPr="00716F63">
        <w:rPr>
          <w:rFonts w:cs="Arial"/>
          <w:color w:val="000000"/>
          <w:szCs w:val="18"/>
        </w:rPr>
        <w:t>inférieur à trois jours ouvrables.</w:t>
      </w:r>
    </w:p>
    <w:p w:rsidR="00841D45" w:rsidRPr="00716F63" w:rsidRDefault="0022620D" w:rsidP="00886252">
      <w:pPr>
        <w:pStyle w:val="SingleTxtG"/>
        <w:rPr>
          <w:rFonts w:cs="Arial"/>
          <w:color w:val="000000"/>
          <w:szCs w:val="18"/>
        </w:rPr>
      </w:pPr>
      <w:r>
        <w:rPr>
          <w:color w:val="000000"/>
        </w:rPr>
        <w:t>158.</w:t>
      </w:r>
      <w:r>
        <w:rPr>
          <w:color w:val="000000"/>
        </w:rPr>
        <w:tab/>
      </w:r>
      <w:r w:rsidR="00841D45" w:rsidRPr="00716F63">
        <w:rPr>
          <w:color w:val="000000"/>
          <w:lang w:val="fr-BE"/>
        </w:rPr>
        <w:t xml:space="preserve">Ces articles avaient été annulés partiellement ou totalement par la Cour </w:t>
      </w:r>
      <w:r>
        <w:rPr>
          <w:color w:val="000000"/>
          <w:lang w:val="fr-BE"/>
        </w:rPr>
        <w:t>c</w:t>
      </w:r>
      <w:r w:rsidR="00841D45" w:rsidRPr="00716F63">
        <w:rPr>
          <w:color w:val="000000"/>
          <w:lang w:val="fr-BE"/>
        </w:rPr>
        <w:t xml:space="preserve">onstitutionnelle </w:t>
      </w:r>
      <w:r w:rsidR="004A4024">
        <w:rPr>
          <w:color w:val="000000"/>
          <w:lang w:val="fr-BE"/>
        </w:rPr>
        <w:t xml:space="preserve">dans son </w:t>
      </w:r>
      <w:r w:rsidR="00841D45" w:rsidRPr="00716F63">
        <w:rPr>
          <w:color w:val="000000"/>
          <w:lang w:val="fr-BE"/>
        </w:rPr>
        <w:t xml:space="preserve">arrêt n° 81/2008 du 27 mai 2008. La Cour avait toutefois permis le maintien des dispositions annulées jusqu’au 30 juin 2009 afin de laisser au législateur le temps </w:t>
      </w:r>
      <w:r w:rsidR="00AC27EF">
        <w:rPr>
          <w:color w:val="000000"/>
          <w:lang w:val="fr-BE"/>
        </w:rPr>
        <w:t>de</w:t>
      </w:r>
      <w:r w:rsidR="00841D45" w:rsidRPr="00716F63">
        <w:rPr>
          <w:color w:val="000000"/>
          <w:lang w:val="fr-BE"/>
        </w:rPr>
        <w:t xml:space="preserve"> légiférer à nouveau. Dans </w:t>
      </w:r>
      <w:r w:rsidR="00AC27EF">
        <w:rPr>
          <w:color w:val="000000"/>
          <w:lang w:val="fr-BE"/>
        </w:rPr>
        <w:t>son</w:t>
      </w:r>
      <w:r w:rsidR="00AC27EF" w:rsidRPr="00716F63">
        <w:rPr>
          <w:color w:val="000000"/>
          <w:lang w:val="fr-BE"/>
        </w:rPr>
        <w:t xml:space="preserve"> </w:t>
      </w:r>
      <w:r w:rsidR="00841D45" w:rsidRPr="00716F63">
        <w:rPr>
          <w:color w:val="000000"/>
          <w:lang w:val="fr-BE"/>
        </w:rPr>
        <w:t>rapport</w:t>
      </w:r>
      <w:r w:rsidR="00AC27EF">
        <w:rPr>
          <w:color w:val="000000"/>
          <w:lang w:val="fr-BE"/>
        </w:rPr>
        <w:t>, le Gouvernement belge</w:t>
      </w:r>
      <w:r w:rsidR="00AC27EF" w:rsidRPr="00716F63">
        <w:rPr>
          <w:color w:val="000000"/>
          <w:lang w:val="fr-BE"/>
        </w:rPr>
        <w:t xml:space="preserve"> </w:t>
      </w:r>
      <w:r w:rsidR="00841D45" w:rsidRPr="00716F63">
        <w:rPr>
          <w:color w:val="000000"/>
          <w:lang w:val="fr-BE"/>
        </w:rPr>
        <w:t>avait signalé que l’avant-projet de loi prévoyait un délai de cinq jou</w:t>
      </w:r>
      <w:r w:rsidR="00841D45">
        <w:rPr>
          <w:color w:val="000000"/>
          <w:lang w:val="fr-BE"/>
        </w:rPr>
        <w:t xml:space="preserve">rs. Ce délai satisfait </w:t>
      </w:r>
      <w:r w:rsidR="00841D45" w:rsidRPr="00716F63">
        <w:rPr>
          <w:color w:val="000000"/>
          <w:lang w:val="fr-BE"/>
        </w:rPr>
        <w:t xml:space="preserve">à l’arrêt de la Cour </w:t>
      </w:r>
      <w:r w:rsidR="00D94C28">
        <w:rPr>
          <w:color w:val="000000"/>
          <w:lang w:val="fr-BE"/>
        </w:rPr>
        <w:t>c</w:t>
      </w:r>
      <w:r w:rsidR="00841D45" w:rsidRPr="00716F63">
        <w:rPr>
          <w:color w:val="000000"/>
          <w:lang w:val="fr-BE"/>
        </w:rPr>
        <w:t>onstitutionnelle et aucune modification n’est actuellement à l’ordre du jour.</w:t>
      </w:r>
    </w:p>
    <w:p w:rsidR="00841D45" w:rsidRPr="00716F63" w:rsidRDefault="0022620D" w:rsidP="00C50FEC">
      <w:pPr>
        <w:pStyle w:val="SingleTxtG"/>
        <w:rPr>
          <w:rFonts w:cs="Arial"/>
          <w:szCs w:val="18"/>
        </w:rPr>
      </w:pPr>
      <w:r>
        <w:rPr>
          <w:rFonts w:cs="Arial"/>
          <w:szCs w:val="18"/>
        </w:rPr>
        <w:t>159.</w:t>
      </w:r>
      <w:r>
        <w:rPr>
          <w:rFonts w:cs="Arial"/>
          <w:szCs w:val="18"/>
        </w:rPr>
        <w:tab/>
      </w:r>
      <w:r w:rsidR="00841D45" w:rsidRPr="00716F63">
        <w:rPr>
          <w:rFonts w:cs="Arial"/>
          <w:szCs w:val="18"/>
        </w:rPr>
        <w:t>En vertu de l’article 39/83 de cette même loi , sauf accord de l’intéressé, il ne sera procédé à l’exécution forcée de la mesure d’éloignement ou de refoulement dont l’étranger fait l’objet qu’au plus tôt cinq jours après la notification de la mesure, sans que ce délai puisse être inférieur à trois jours ouvrables et ce en lieu et place de 24 heures</w:t>
      </w:r>
      <w:r w:rsidR="00085520">
        <w:rPr>
          <w:rFonts w:cs="Arial"/>
          <w:szCs w:val="18"/>
        </w:rPr>
        <w:t xml:space="preserve"> (qui était le délai auparavant)</w:t>
      </w:r>
      <w:r w:rsidR="00841D45" w:rsidRPr="00716F63">
        <w:rPr>
          <w:rFonts w:cs="Arial"/>
          <w:szCs w:val="18"/>
        </w:rPr>
        <w:t>.</w:t>
      </w:r>
    </w:p>
    <w:p w:rsidR="00CA3ACA" w:rsidRPr="00340AAB" w:rsidRDefault="00CA3ACA" w:rsidP="00F00BC7">
      <w:pPr>
        <w:pStyle w:val="SingleTxtG"/>
        <w:rPr>
          <w:rFonts w:cs="Arial"/>
          <w:b/>
          <w:bCs/>
          <w:szCs w:val="18"/>
          <w:lang w:val="fr-FR"/>
        </w:rPr>
      </w:pPr>
      <w:r w:rsidRPr="00340AAB">
        <w:rPr>
          <w:b/>
          <w:bCs/>
        </w:rPr>
        <w:t>Réponse au paragraphe 21 de la liste de points à traiter</w:t>
      </w:r>
      <w:r w:rsidRPr="00340AAB" w:rsidDel="00CA3ACA">
        <w:rPr>
          <w:rFonts w:cs="Arial"/>
          <w:b/>
          <w:bCs/>
          <w:szCs w:val="18"/>
          <w:lang w:val="fr-FR"/>
        </w:rPr>
        <w:t xml:space="preserve"> </w:t>
      </w:r>
    </w:p>
    <w:p w:rsidR="00841D45" w:rsidRPr="008D6FFE" w:rsidRDefault="0022620D" w:rsidP="00204886">
      <w:pPr>
        <w:pStyle w:val="SingleTxtG"/>
        <w:rPr>
          <w:rFonts w:cs="Arial"/>
          <w:i/>
          <w:szCs w:val="18"/>
        </w:rPr>
      </w:pPr>
      <w:r>
        <w:rPr>
          <w:rFonts w:cs="Arial"/>
          <w:szCs w:val="18"/>
          <w:lang w:val="fr-FR"/>
        </w:rPr>
        <w:t>160.</w:t>
      </w:r>
      <w:r>
        <w:rPr>
          <w:rFonts w:cs="Arial"/>
          <w:szCs w:val="18"/>
          <w:lang w:val="fr-FR"/>
        </w:rPr>
        <w:tab/>
      </w:r>
      <w:r w:rsidR="00841D45" w:rsidRPr="00B77053">
        <w:rPr>
          <w:rFonts w:cs="Arial"/>
          <w:szCs w:val="18"/>
        </w:rPr>
        <w:t xml:space="preserve">Dans le cadre de la transposition de la directive européenne 2008/115 du 16 décembre 2008 </w:t>
      </w:r>
      <w:r w:rsidR="00841D45" w:rsidRPr="00F00BC7">
        <w:rPr>
          <w:rFonts w:cs="Arial"/>
          <w:iCs/>
          <w:szCs w:val="18"/>
        </w:rPr>
        <w:t xml:space="preserve">relative aux normes et procédures communes applicables dans les </w:t>
      </w:r>
      <w:r w:rsidR="000D7AB1" w:rsidRPr="00F00BC7">
        <w:rPr>
          <w:rFonts w:cs="Arial"/>
          <w:iCs/>
          <w:szCs w:val="18"/>
        </w:rPr>
        <w:t>État</w:t>
      </w:r>
      <w:r w:rsidR="00841D45" w:rsidRPr="00F00BC7">
        <w:rPr>
          <w:rFonts w:cs="Arial"/>
          <w:iCs/>
          <w:szCs w:val="18"/>
        </w:rPr>
        <w:t>s membres au retour des ressortissants des pays tiers en séjour irréguliers</w:t>
      </w:r>
      <w:r w:rsidR="00841D45" w:rsidRPr="00B77053">
        <w:rPr>
          <w:rFonts w:cs="Arial"/>
          <w:szCs w:val="18"/>
        </w:rPr>
        <w:t>, il est envisagé de désigner l’Inspection générale de la police fédérale et de la police locale mentionnée</w:t>
      </w:r>
      <w:r w:rsidR="00841D45">
        <w:rPr>
          <w:rFonts w:cs="Arial"/>
          <w:szCs w:val="18"/>
        </w:rPr>
        <w:t>,</w:t>
      </w:r>
      <w:r w:rsidR="00841D45" w:rsidRPr="00B77053">
        <w:rPr>
          <w:rFonts w:cs="Arial"/>
          <w:szCs w:val="18"/>
        </w:rPr>
        <w:t xml:space="preserve"> ci-a</w:t>
      </w:r>
      <w:r w:rsidR="00841D45">
        <w:rPr>
          <w:rFonts w:cs="Arial"/>
          <w:szCs w:val="18"/>
        </w:rPr>
        <w:t xml:space="preserve">près sous l’appellation «AIG», </w:t>
      </w:r>
      <w:r w:rsidR="00841D45" w:rsidRPr="00B77053">
        <w:rPr>
          <w:rFonts w:cs="Arial"/>
          <w:szCs w:val="18"/>
        </w:rPr>
        <w:t xml:space="preserve">comme l’instance chargée d’assurer le contrôle des retours forcés et de déterminer les modalités de ce contrôle. Il convient de signaler que l’Inspection générale veille en tant qu’organe de contrôle indépendant des services de police relevant du pouvoir exécutif, à optimiser le fonctionnement de la police fédérale et de la police locale, dans le respect de la démocratie et de la protection des libertés et des droits fondamentaux, et ce conformément à l’article 5 de la loi du 15 mai 2007 </w:t>
      </w:r>
      <w:r w:rsidR="00841D45" w:rsidRPr="00204886">
        <w:rPr>
          <w:rFonts w:cs="Arial"/>
          <w:iCs/>
          <w:szCs w:val="18"/>
        </w:rPr>
        <w:t>sur l’Inspection générale et portant dispositions diverses relatives au statut de certains membres des services de police</w:t>
      </w:r>
      <w:r w:rsidR="00841D45" w:rsidRPr="008D6FFE">
        <w:rPr>
          <w:rFonts w:cs="Arial"/>
          <w:i/>
          <w:szCs w:val="18"/>
        </w:rPr>
        <w:t>.</w:t>
      </w:r>
    </w:p>
    <w:p w:rsidR="00841D45" w:rsidRPr="00B77053" w:rsidRDefault="0022620D" w:rsidP="00F00BC7">
      <w:pPr>
        <w:pStyle w:val="SingleTxtG"/>
        <w:rPr>
          <w:rFonts w:cs="Arial"/>
          <w:szCs w:val="18"/>
        </w:rPr>
      </w:pPr>
      <w:r>
        <w:rPr>
          <w:rFonts w:cs="Arial"/>
          <w:szCs w:val="18"/>
        </w:rPr>
        <w:t>161.</w:t>
      </w:r>
      <w:r>
        <w:rPr>
          <w:rFonts w:cs="Arial"/>
          <w:szCs w:val="18"/>
        </w:rPr>
        <w:tab/>
      </w:r>
      <w:r w:rsidR="00841D45" w:rsidRPr="00B77053">
        <w:rPr>
          <w:rFonts w:cs="Arial"/>
          <w:szCs w:val="18"/>
        </w:rPr>
        <w:t xml:space="preserve">L’inspection générale est un organe indépendant </w:t>
      </w:r>
      <w:r w:rsidR="00841D45">
        <w:rPr>
          <w:rFonts w:cs="Arial"/>
          <w:szCs w:val="18"/>
        </w:rPr>
        <w:t xml:space="preserve">par rapport aux </w:t>
      </w:r>
      <w:r w:rsidR="00841D45" w:rsidRPr="00B77053">
        <w:rPr>
          <w:rFonts w:cs="Arial"/>
          <w:szCs w:val="18"/>
        </w:rPr>
        <w:t xml:space="preserve">services de </w:t>
      </w:r>
      <w:r w:rsidR="00841D45" w:rsidRPr="00A65915">
        <w:rPr>
          <w:rFonts w:cs="Arial"/>
          <w:szCs w:val="18"/>
        </w:rPr>
        <w:t>police chargés</w:t>
      </w:r>
      <w:r w:rsidR="00841D45" w:rsidRPr="00B77053">
        <w:rPr>
          <w:rFonts w:cs="Arial"/>
          <w:szCs w:val="18"/>
        </w:rPr>
        <w:t xml:space="preserve"> de l’exécution des retours forcés et </w:t>
      </w:r>
      <w:r w:rsidR="00841D45">
        <w:rPr>
          <w:rFonts w:cs="Arial"/>
          <w:szCs w:val="18"/>
        </w:rPr>
        <w:t xml:space="preserve">par rapport à </w:t>
      </w:r>
      <w:r w:rsidR="00841D45" w:rsidRPr="00B77053">
        <w:rPr>
          <w:rFonts w:cs="Arial"/>
          <w:szCs w:val="18"/>
        </w:rPr>
        <w:t xml:space="preserve">l’autorité compétente pour prendre une décision d’éloignement. </w:t>
      </w:r>
    </w:p>
    <w:p w:rsidR="00841D45" w:rsidRPr="00B77053" w:rsidRDefault="0022620D" w:rsidP="000476D1">
      <w:pPr>
        <w:pStyle w:val="SingleTxtG"/>
        <w:rPr>
          <w:rFonts w:cs="Arial"/>
          <w:szCs w:val="18"/>
        </w:rPr>
      </w:pPr>
      <w:r>
        <w:rPr>
          <w:rFonts w:cs="Arial"/>
          <w:szCs w:val="18"/>
        </w:rPr>
        <w:t>162.</w:t>
      </w:r>
      <w:r>
        <w:rPr>
          <w:rFonts w:cs="Arial"/>
          <w:szCs w:val="18"/>
        </w:rPr>
        <w:tab/>
      </w:r>
      <w:r w:rsidR="00841D45" w:rsidRPr="00B77053">
        <w:rPr>
          <w:rFonts w:cs="Arial"/>
          <w:szCs w:val="18"/>
        </w:rPr>
        <w:t>En complément des données qui figurent déjà dans le rapport, vous trouverez</w:t>
      </w:r>
      <w:r w:rsidR="00841D45">
        <w:rPr>
          <w:rFonts w:cs="Arial"/>
          <w:szCs w:val="18"/>
        </w:rPr>
        <w:t>, en annexe des statistiques quant aux</w:t>
      </w:r>
      <w:r w:rsidR="000476D1">
        <w:rPr>
          <w:rFonts w:cs="Arial"/>
          <w:szCs w:val="18"/>
        </w:rPr>
        <w:t xml:space="preserve"> </w:t>
      </w:r>
      <w:r w:rsidR="00841D45" w:rsidRPr="00B77053">
        <w:rPr>
          <w:rFonts w:cs="Arial"/>
          <w:szCs w:val="18"/>
        </w:rPr>
        <w:t xml:space="preserve">missions de contrôle effectuées par </w:t>
      </w:r>
      <w:r w:rsidR="00841D45">
        <w:rPr>
          <w:rFonts w:cs="Arial"/>
          <w:szCs w:val="18"/>
        </w:rPr>
        <w:t>l’AIG ainsi que quant aux plaintes déposées devant les instances compétentes</w:t>
      </w:r>
      <w:r w:rsidR="00841D45">
        <w:rPr>
          <w:rStyle w:val="FootnoteReference"/>
          <w:rFonts w:cs="Arial"/>
          <w:szCs w:val="18"/>
        </w:rPr>
        <w:footnoteReference w:id="18"/>
      </w:r>
      <w:r w:rsidR="00D106FA">
        <w:rPr>
          <w:rFonts w:cs="Arial"/>
          <w:szCs w:val="18"/>
        </w:rPr>
        <w:t>.</w:t>
      </w:r>
    </w:p>
    <w:p w:rsidR="00841D45" w:rsidRPr="00340AAB" w:rsidRDefault="00EC25C4" w:rsidP="00841D45">
      <w:pPr>
        <w:pStyle w:val="SingleTxtG"/>
        <w:rPr>
          <w:rFonts w:cs="Arial"/>
          <w:b/>
          <w:bCs/>
          <w:szCs w:val="18"/>
          <w:lang w:val="fr-FR"/>
        </w:rPr>
      </w:pPr>
      <w:r w:rsidRPr="00340AAB">
        <w:rPr>
          <w:b/>
          <w:bCs/>
        </w:rPr>
        <w:t>Réponse au paragraphe 22 de la liste de points à traiter</w:t>
      </w:r>
    </w:p>
    <w:p w:rsidR="00841D45" w:rsidRPr="00A877B6" w:rsidRDefault="0022620D" w:rsidP="00F55A90">
      <w:pPr>
        <w:pStyle w:val="SingleTxtG"/>
        <w:rPr>
          <w:lang w:val="fr-BE"/>
        </w:rPr>
      </w:pPr>
      <w:r>
        <w:rPr>
          <w:lang w:val="fr-BE"/>
        </w:rPr>
        <w:t>163.</w:t>
      </w:r>
      <w:r>
        <w:rPr>
          <w:lang w:val="fr-BE"/>
        </w:rPr>
        <w:tab/>
      </w:r>
      <w:r w:rsidR="00841D45" w:rsidRPr="00A877B6">
        <w:rPr>
          <w:lang w:val="fr-BE"/>
        </w:rPr>
        <w:t>La loi relative à la protection de la jeunesse</w:t>
      </w:r>
      <w:r w:rsidR="00280D14">
        <w:rPr>
          <w:lang w:val="fr-BE"/>
        </w:rPr>
        <w:t>,</w:t>
      </w:r>
      <w:r w:rsidR="00841D45" w:rsidRPr="00A877B6">
        <w:rPr>
          <w:lang w:val="fr-BE"/>
        </w:rPr>
        <w:t xml:space="preserve"> </w:t>
      </w:r>
      <w:r w:rsidR="00280D14">
        <w:rPr>
          <w:lang w:val="fr-BE"/>
        </w:rPr>
        <w:t>qui a été amendée</w:t>
      </w:r>
      <w:r w:rsidR="00280D14" w:rsidRPr="00A877B6">
        <w:rPr>
          <w:lang w:val="fr-BE"/>
        </w:rPr>
        <w:t xml:space="preserve"> </w:t>
      </w:r>
      <w:r w:rsidR="00841D45" w:rsidRPr="00A877B6">
        <w:rPr>
          <w:lang w:val="fr-BE"/>
        </w:rPr>
        <w:t>en 2006</w:t>
      </w:r>
      <w:r w:rsidR="00280D14">
        <w:rPr>
          <w:lang w:val="fr-BE"/>
        </w:rPr>
        <w:t>,</w:t>
      </w:r>
      <w:r w:rsidR="00841D45" w:rsidRPr="00A877B6">
        <w:rPr>
          <w:lang w:val="fr-BE"/>
        </w:rPr>
        <w:t xml:space="preserve"> prévoit toujours le recours au dessaisissement sous certaines conditions. Cependant, l’objectif de cette réforme était, entre autre</w:t>
      </w:r>
      <w:r w:rsidR="00280D14">
        <w:rPr>
          <w:lang w:val="fr-BE"/>
        </w:rPr>
        <w:t>s</w:t>
      </w:r>
      <w:r w:rsidR="00841D45" w:rsidRPr="00A877B6">
        <w:rPr>
          <w:lang w:val="fr-BE"/>
        </w:rPr>
        <w:t>, de diminuer le nombre de</w:t>
      </w:r>
      <w:r w:rsidR="00D62548">
        <w:rPr>
          <w:lang w:val="fr-BE"/>
        </w:rPr>
        <w:t>s</w:t>
      </w:r>
      <w:r w:rsidR="00841D45" w:rsidRPr="00A877B6">
        <w:rPr>
          <w:lang w:val="fr-BE"/>
        </w:rPr>
        <w:t xml:space="preserve"> dessaisissement</w:t>
      </w:r>
      <w:r w:rsidR="00280D14">
        <w:rPr>
          <w:lang w:val="fr-BE"/>
        </w:rPr>
        <w:t>s</w:t>
      </w:r>
      <w:r w:rsidR="00841D45" w:rsidRPr="00A877B6">
        <w:rPr>
          <w:lang w:val="fr-BE"/>
        </w:rPr>
        <w:t xml:space="preserve"> notamment </w:t>
      </w:r>
      <w:r w:rsidR="00280D14">
        <w:rPr>
          <w:lang w:val="fr-BE"/>
        </w:rPr>
        <w:t xml:space="preserve">en </w:t>
      </w:r>
      <w:r w:rsidR="00841D45" w:rsidRPr="00A877B6">
        <w:rPr>
          <w:lang w:val="fr-BE"/>
        </w:rPr>
        <w:t>multipli</w:t>
      </w:r>
      <w:r w:rsidR="00280D14">
        <w:rPr>
          <w:lang w:val="fr-BE"/>
        </w:rPr>
        <w:t>ant l</w:t>
      </w:r>
      <w:r w:rsidR="00841D45" w:rsidRPr="00A877B6">
        <w:rPr>
          <w:lang w:val="fr-BE"/>
        </w:rPr>
        <w:t xml:space="preserve">es </w:t>
      </w:r>
      <w:r w:rsidR="00841D45" w:rsidRPr="00143A96">
        <w:rPr>
          <w:lang w:val="fr-BE"/>
        </w:rPr>
        <w:t xml:space="preserve">mesures (cf. réponse </w:t>
      </w:r>
      <w:r w:rsidR="00D62548">
        <w:rPr>
          <w:lang w:val="fr-BE"/>
        </w:rPr>
        <w:t>au paragraphe</w:t>
      </w:r>
      <w:r w:rsidR="00841D45" w:rsidRPr="00143A96">
        <w:rPr>
          <w:lang w:val="fr-BE"/>
        </w:rPr>
        <w:t xml:space="preserve"> 17</w:t>
      </w:r>
      <w:r w:rsidR="00450FC7">
        <w:rPr>
          <w:lang w:val="fr-BE"/>
        </w:rPr>
        <w:t xml:space="preserve"> de la liste de points à traiter, par. 132 à 141</w:t>
      </w:r>
      <w:r w:rsidR="00841D45" w:rsidRPr="00450FC7">
        <w:rPr>
          <w:lang w:val="fr-BE"/>
        </w:rPr>
        <w:t>)</w:t>
      </w:r>
      <w:r w:rsidR="00841D45" w:rsidRPr="00143A96">
        <w:rPr>
          <w:lang w:val="fr-BE"/>
        </w:rPr>
        <w:t xml:space="preserve"> et</w:t>
      </w:r>
      <w:r w:rsidR="00841D45" w:rsidRPr="00A877B6">
        <w:rPr>
          <w:lang w:val="fr-BE"/>
        </w:rPr>
        <w:t xml:space="preserve"> </w:t>
      </w:r>
      <w:r w:rsidR="00F55A90">
        <w:rPr>
          <w:lang w:val="fr-BE"/>
        </w:rPr>
        <w:t>en</w:t>
      </w:r>
      <w:r w:rsidR="00F55A90" w:rsidRPr="00A877B6">
        <w:rPr>
          <w:lang w:val="fr-BE"/>
        </w:rPr>
        <w:t xml:space="preserve"> </w:t>
      </w:r>
      <w:r w:rsidR="00841D45" w:rsidRPr="00A877B6">
        <w:rPr>
          <w:lang w:val="fr-BE"/>
        </w:rPr>
        <w:t>prolonge</w:t>
      </w:r>
      <w:r w:rsidR="00F55A90">
        <w:rPr>
          <w:lang w:val="fr-BE"/>
        </w:rPr>
        <w:t xml:space="preserve">ant </w:t>
      </w:r>
      <w:r w:rsidR="00841D45" w:rsidRPr="00A877B6">
        <w:rPr>
          <w:lang w:val="fr-BE"/>
        </w:rPr>
        <w:t>la durée prob</w:t>
      </w:r>
      <w:r w:rsidR="00841D45">
        <w:rPr>
          <w:lang w:val="fr-BE"/>
        </w:rPr>
        <w:t>able</w:t>
      </w:r>
      <w:r w:rsidR="00841D45" w:rsidRPr="00A877B6">
        <w:rPr>
          <w:lang w:val="fr-BE"/>
        </w:rPr>
        <w:t xml:space="preserve"> de ces dernières. Il est également important de rappeler les conditions du dessaisi</w:t>
      </w:r>
      <w:r w:rsidR="00841D45">
        <w:rPr>
          <w:lang w:val="fr-BE"/>
        </w:rPr>
        <w:t>ssement pour mettre en évidence</w:t>
      </w:r>
      <w:r w:rsidR="00841D45" w:rsidRPr="00A877B6">
        <w:rPr>
          <w:lang w:val="fr-BE"/>
        </w:rPr>
        <w:t xml:space="preserve"> le caractère exceptionnel de la mesure :</w:t>
      </w:r>
    </w:p>
    <w:p w:rsidR="00841D45" w:rsidRPr="00A877B6" w:rsidRDefault="00841D45" w:rsidP="0022620D">
      <w:pPr>
        <w:pStyle w:val="SingleTxtG"/>
        <w:rPr>
          <w:lang w:val="fr-BE"/>
        </w:rPr>
      </w:pPr>
      <w:r w:rsidRPr="00A877B6">
        <w:rPr>
          <w:rFonts w:ascii="Arial" w:hAnsi="Arial" w:cs="Arial"/>
          <w:lang w:val="fr-BE"/>
        </w:rPr>
        <w:t>-</w:t>
      </w:r>
      <w:r w:rsidRPr="00A877B6">
        <w:rPr>
          <w:rFonts w:ascii="Arial" w:hAnsi="Arial" w:cs="Arial"/>
          <w:lang w:val="fr-BE"/>
        </w:rPr>
        <w:tab/>
      </w:r>
      <w:r w:rsidR="0022620D">
        <w:rPr>
          <w:lang w:val="fr-BE"/>
        </w:rPr>
        <w:t>L</w:t>
      </w:r>
      <w:r w:rsidRPr="00A877B6">
        <w:rPr>
          <w:lang w:val="fr-BE"/>
        </w:rPr>
        <w:t xml:space="preserve">e dessaisissement ne peut être prononcé qu’à l’égard de mineurs poursuivis pour des faits qualifiés </w:t>
      </w:r>
      <w:r w:rsidR="00F55A90">
        <w:rPr>
          <w:lang w:val="fr-BE"/>
        </w:rPr>
        <w:t xml:space="preserve">en </w:t>
      </w:r>
      <w:r w:rsidRPr="00A877B6">
        <w:rPr>
          <w:lang w:val="fr-BE"/>
        </w:rPr>
        <w:t>infraction après l’âge de seize ans;</w:t>
      </w:r>
    </w:p>
    <w:p w:rsidR="00841D45" w:rsidRPr="00A877B6" w:rsidRDefault="00841D45" w:rsidP="0022620D">
      <w:pPr>
        <w:pStyle w:val="SingleTxtG"/>
        <w:rPr>
          <w:lang w:val="fr-BE"/>
        </w:rPr>
      </w:pPr>
      <w:r w:rsidRPr="00A877B6">
        <w:rPr>
          <w:rFonts w:ascii="Arial" w:hAnsi="Arial" w:cs="Arial"/>
          <w:lang w:val="fr-BE"/>
        </w:rPr>
        <w:t>-</w:t>
      </w:r>
      <w:r w:rsidRPr="00A877B6">
        <w:rPr>
          <w:rFonts w:ascii="Arial" w:hAnsi="Arial" w:cs="Arial"/>
          <w:lang w:val="fr-BE"/>
        </w:rPr>
        <w:tab/>
      </w:r>
      <w:r w:rsidR="0022620D">
        <w:rPr>
          <w:lang w:val="fr-BE"/>
        </w:rPr>
        <w:t>L</w:t>
      </w:r>
      <w:r w:rsidRPr="00A877B6">
        <w:rPr>
          <w:lang w:val="fr-BE"/>
        </w:rPr>
        <w:t>’inadaptation de</w:t>
      </w:r>
      <w:r>
        <w:rPr>
          <w:lang w:val="fr-BE"/>
        </w:rPr>
        <w:t>s</w:t>
      </w:r>
      <w:r w:rsidRPr="00A877B6">
        <w:rPr>
          <w:lang w:val="fr-BE"/>
        </w:rPr>
        <w:t xml:space="preserve"> mesures doit s’évaluer sur</w:t>
      </w:r>
      <w:r w:rsidR="00FB7DB2">
        <w:rPr>
          <w:lang w:val="fr-BE"/>
        </w:rPr>
        <w:t xml:space="preserve"> la</w:t>
      </w:r>
      <w:r w:rsidRPr="00A877B6">
        <w:rPr>
          <w:lang w:val="fr-BE"/>
        </w:rPr>
        <w:t xml:space="preserve"> base de la personnalité du mineur et de son entourage et sur le degré de maturité de la personne concernée. Une mesure de garde, de préservation ou d’éducation ne peut </w:t>
      </w:r>
      <w:r>
        <w:rPr>
          <w:lang w:val="fr-BE"/>
        </w:rPr>
        <w:t xml:space="preserve">en l’espèce </w:t>
      </w:r>
      <w:r w:rsidRPr="00A877B6">
        <w:rPr>
          <w:lang w:val="fr-BE"/>
        </w:rPr>
        <w:t xml:space="preserve">être envisagée </w:t>
      </w:r>
      <w:r>
        <w:rPr>
          <w:lang w:val="fr-BE"/>
        </w:rPr>
        <w:t xml:space="preserve">pour le </w:t>
      </w:r>
      <w:r w:rsidRPr="00A877B6">
        <w:rPr>
          <w:lang w:val="fr-BE"/>
        </w:rPr>
        <w:t>développement positif du mineur et de sa situation;</w:t>
      </w:r>
    </w:p>
    <w:p w:rsidR="00841D45" w:rsidRPr="00A877B6" w:rsidRDefault="00841D45" w:rsidP="00841D45">
      <w:pPr>
        <w:pStyle w:val="SingleTxtG"/>
        <w:rPr>
          <w:lang w:val="fr-BE"/>
        </w:rPr>
      </w:pPr>
      <w:r w:rsidRPr="00A877B6">
        <w:rPr>
          <w:rFonts w:ascii="Arial" w:hAnsi="Arial" w:cs="Arial"/>
          <w:lang w:val="fr-BE"/>
        </w:rPr>
        <w:t>-</w:t>
      </w:r>
      <w:r w:rsidRPr="00A877B6">
        <w:rPr>
          <w:rFonts w:ascii="Arial" w:hAnsi="Arial" w:cs="Arial"/>
          <w:lang w:val="fr-BE"/>
        </w:rPr>
        <w:tab/>
      </w:r>
      <w:r w:rsidR="0022620D">
        <w:t>L</w:t>
      </w:r>
      <w:r w:rsidRPr="00A877B6">
        <w:t>e dessaisissement peut être prononcé dans deux hypothèses différentes. Le jeune a déjà fait l’objet de mesures ou d’une offre restauratrice. Le fait pour lequel le jeune est poursuivi est un fait visé aux articles 373 ( attentat à la pudeur avec violences ou menaces), 393 à 397 (meurtre, assassinat, parricide, infanticide, empoisonnement), 400, 401 (coups et blessures avec incapacité permanente ou ayant entraîné la mort sans intention de la donner), 417</w:t>
      </w:r>
      <w:r w:rsidR="002901B0">
        <w:t xml:space="preserve"> </w:t>
      </w:r>
      <w:r w:rsidRPr="002901B0">
        <w:rPr>
          <w:i/>
          <w:iCs/>
        </w:rPr>
        <w:t>ter</w:t>
      </w:r>
      <w:r w:rsidRPr="00A877B6">
        <w:t xml:space="preserve">, 417 </w:t>
      </w:r>
      <w:r w:rsidRPr="002901B0">
        <w:rPr>
          <w:i/>
          <w:iCs/>
        </w:rPr>
        <w:t>quater</w:t>
      </w:r>
      <w:r w:rsidRPr="00A877B6">
        <w:t xml:space="preserve"> (torture, traitement inhumain), 471 à 475 (vol avec violences ou menaces avec les différentes circonstances aggravantes), ou </w:t>
      </w:r>
      <w:r w:rsidR="0024561B">
        <w:t xml:space="preserve">la </w:t>
      </w:r>
      <w:r w:rsidRPr="00A877B6">
        <w:t xml:space="preserve">tentative </w:t>
      </w:r>
      <w:r w:rsidR="009E513C">
        <w:t xml:space="preserve">d’accomplir </w:t>
      </w:r>
      <w:r w:rsidRPr="00A877B6">
        <w:t>des faits visés aux articles 393 à 397.</w:t>
      </w:r>
    </w:p>
    <w:p w:rsidR="00841D45" w:rsidRPr="00A877B6" w:rsidRDefault="002901B0" w:rsidP="00C3571A">
      <w:pPr>
        <w:pStyle w:val="SingleTxtG"/>
      </w:pPr>
      <w:r>
        <w:t>164.</w:t>
      </w:r>
      <w:r>
        <w:tab/>
      </w:r>
      <w:r w:rsidR="00841D45" w:rsidRPr="00A877B6">
        <w:t>Par ailleurs, le tribunal de la jeunesse ne peut se dessaisir qu'après avoir fait procéder à l'étude sociale et à l'examen médico-psychologique</w:t>
      </w:r>
      <w:r w:rsidR="001E1651">
        <w:t>,</w:t>
      </w:r>
      <w:r w:rsidR="00841D45" w:rsidRPr="00A877B6">
        <w:t xml:space="preserve"> sauf </w:t>
      </w:r>
      <w:r w:rsidR="00C3571A">
        <w:t xml:space="preserve">dans </w:t>
      </w:r>
      <w:r w:rsidR="00841D45" w:rsidRPr="00A877B6">
        <w:t xml:space="preserve">quelques exceptions. L'examen médico-psychologique a pour but d'évaluer la situation en fonction de la personnalité de la personne concernée et de son entourage, ainsi que du degré de maturité de la personne concernée. La nature, la fréquence et la gravité des faits qui lui sont reprochés sont prises en considération dans la mesure où elles sont pertinentes pour l'évaluation de sa personnalité. </w:t>
      </w:r>
    </w:p>
    <w:p w:rsidR="00841D45" w:rsidRPr="00A877B6" w:rsidRDefault="002901B0" w:rsidP="009D1075">
      <w:pPr>
        <w:pStyle w:val="SingleTxtG"/>
      </w:pPr>
      <w:r>
        <w:t>165.</w:t>
      </w:r>
      <w:r>
        <w:tab/>
      </w:r>
      <w:r w:rsidR="00841D45" w:rsidRPr="00A877B6">
        <w:t>Une autre nouveauté apportée par la loi est la mise en place de chambres spécifiques. En effet</w:t>
      </w:r>
      <w:r w:rsidR="009D1075">
        <w:t>,</w:t>
      </w:r>
      <w:r w:rsidR="00841D45" w:rsidRPr="00A877B6">
        <w:t xml:space="preserve"> si le ministère public décide de poursuivre le jeune après dessaisissement, celui-ci sera en principe</w:t>
      </w:r>
      <w:r w:rsidR="00841D45">
        <w:rPr>
          <w:rStyle w:val="FootnoteReference"/>
        </w:rPr>
        <w:footnoteReference w:id="19"/>
      </w:r>
      <w:r w:rsidR="00841D45" w:rsidRPr="00A877B6">
        <w:t xml:space="preserve"> jugé par une chambre spécifique au</w:t>
      </w:r>
      <w:r w:rsidR="009D1075">
        <w:t>près</w:t>
      </w:r>
      <w:r w:rsidR="00841D45" w:rsidRPr="00A877B6">
        <w:t xml:space="preserve"> du tribunal de la jeunesse composé</w:t>
      </w:r>
      <w:r w:rsidR="00FD6FB9">
        <w:t>e</w:t>
      </w:r>
      <w:r w:rsidR="00841D45" w:rsidRPr="00A877B6">
        <w:t xml:space="preserve"> de trois juges dont deux ont suivi la formation requise pour l’exercice de la fonction de juge de la jeunesse, le troisième étant juge au tribunal correctionnel. </w:t>
      </w:r>
    </w:p>
    <w:p w:rsidR="00841D45" w:rsidRPr="00A877B6" w:rsidRDefault="002901B0" w:rsidP="006F1089">
      <w:pPr>
        <w:pStyle w:val="SingleTxtG"/>
        <w:rPr>
          <w:lang w:val="fr-BE"/>
        </w:rPr>
      </w:pPr>
      <w:r>
        <w:rPr>
          <w:lang w:val="fr-BE"/>
        </w:rPr>
        <w:t>166.</w:t>
      </w:r>
      <w:r>
        <w:rPr>
          <w:lang w:val="fr-BE"/>
        </w:rPr>
        <w:tab/>
      </w:r>
      <w:r w:rsidR="00841D45" w:rsidRPr="00A877B6">
        <w:rPr>
          <w:lang w:val="fr-BE"/>
        </w:rPr>
        <w:t>L’article 606 du Code d’instruction criminelle est entré en vigueur sur l’ensemble du territoire</w:t>
      </w:r>
      <w:r w:rsidR="00FD6FB9">
        <w:rPr>
          <w:lang w:val="fr-BE"/>
        </w:rPr>
        <w:t>,</w:t>
      </w:r>
      <w:r w:rsidR="00841D45" w:rsidRPr="00A877B6">
        <w:rPr>
          <w:lang w:val="fr-BE"/>
        </w:rPr>
        <w:t xml:space="preserve"> le 20 novembre 2009 (</w:t>
      </w:r>
      <w:r w:rsidR="00FD6FB9">
        <w:rPr>
          <w:lang w:val="fr-BE"/>
        </w:rPr>
        <w:t>a</w:t>
      </w:r>
      <w:r w:rsidR="00841D45">
        <w:rPr>
          <w:lang w:val="fr-BE"/>
        </w:rPr>
        <w:t xml:space="preserve">rrêté royal du </w:t>
      </w:r>
      <w:r w:rsidR="00841D45" w:rsidRPr="00A877B6">
        <w:rPr>
          <w:lang w:val="fr-BE"/>
        </w:rPr>
        <w:t>12 novembre 2009, M.B., 18</w:t>
      </w:r>
      <w:r w:rsidR="00841D45">
        <w:rPr>
          <w:lang w:val="fr-BE"/>
        </w:rPr>
        <w:t xml:space="preserve"> novembre 2009). </w:t>
      </w:r>
      <w:r w:rsidR="00841D45" w:rsidRPr="00A877B6">
        <w:rPr>
          <w:lang w:val="fr-BE"/>
        </w:rPr>
        <w:t>Le centre fédéral fermé de Tongres est ouvert depuis le 20 novembre 2009</w:t>
      </w:r>
      <w:r w:rsidR="00FD6FB9">
        <w:rPr>
          <w:lang w:val="fr-BE"/>
        </w:rPr>
        <w:t>,</w:t>
      </w:r>
      <w:r w:rsidR="00841D45">
        <w:rPr>
          <w:lang w:val="fr-BE"/>
        </w:rPr>
        <w:t xml:space="preserve"> tandis que l</w:t>
      </w:r>
      <w:r w:rsidR="00841D45" w:rsidRPr="00A877B6">
        <w:rPr>
          <w:lang w:val="fr-BE"/>
        </w:rPr>
        <w:t>e centre fédéral fermé de Saint-Hubert est</w:t>
      </w:r>
      <w:r w:rsidR="00841D45">
        <w:rPr>
          <w:lang w:val="fr-BE"/>
        </w:rPr>
        <w:t xml:space="preserve"> ouvert depuis le 29 avril 2010. Le transfèrement des jeunes dessaisis se fait par phase. </w:t>
      </w:r>
    </w:p>
    <w:p w:rsidR="00841D45" w:rsidRPr="00340AAB" w:rsidRDefault="00045E65" w:rsidP="00841D45">
      <w:pPr>
        <w:pStyle w:val="SingleTxtG"/>
        <w:rPr>
          <w:b/>
          <w:bCs/>
          <w:lang w:val="fr-BE"/>
        </w:rPr>
      </w:pPr>
      <w:r w:rsidRPr="00340AAB">
        <w:rPr>
          <w:b/>
          <w:bCs/>
        </w:rPr>
        <w:t>Réponse au paragraphe 23 de la liste de points à traiter</w:t>
      </w:r>
    </w:p>
    <w:p w:rsidR="00841D45" w:rsidRPr="00D66609" w:rsidRDefault="002901B0" w:rsidP="005B39C7">
      <w:pPr>
        <w:pStyle w:val="SingleTxtG"/>
        <w:rPr>
          <w:lang w:val="fr-BE"/>
        </w:rPr>
      </w:pPr>
      <w:r>
        <w:rPr>
          <w:color w:val="000000"/>
          <w:lang w:val="fr-BE"/>
        </w:rPr>
        <w:t>167.</w:t>
      </w:r>
      <w:r>
        <w:rPr>
          <w:color w:val="000000"/>
          <w:lang w:val="fr-BE"/>
        </w:rPr>
        <w:tab/>
      </w:r>
      <w:r w:rsidR="00841D45" w:rsidRPr="00D66609">
        <w:rPr>
          <w:lang w:val="fr-BE"/>
        </w:rPr>
        <w:t xml:space="preserve">Il n’y a pas eu de mesure spécifique relative aux poursuites et aux sanctions se rapportant aux infractions </w:t>
      </w:r>
      <w:r w:rsidR="005B39C7">
        <w:rPr>
          <w:lang w:val="fr-BE"/>
        </w:rPr>
        <w:t>d</w:t>
      </w:r>
      <w:r w:rsidR="00841D45" w:rsidRPr="00D66609">
        <w:rPr>
          <w:lang w:val="fr-BE"/>
        </w:rPr>
        <w:t>’antisémitisme.</w:t>
      </w:r>
    </w:p>
    <w:p w:rsidR="00841D45" w:rsidRPr="00D66609" w:rsidRDefault="002901B0" w:rsidP="00C32FA9">
      <w:pPr>
        <w:pStyle w:val="SingleTxtG"/>
      </w:pPr>
      <w:r>
        <w:rPr>
          <w:lang w:val="fr-BE"/>
        </w:rPr>
        <w:t>168.</w:t>
      </w:r>
      <w:r>
        <w:rPr>
          <w:lang w:val="fr-BE"/>
        </w:rPr>
        <w:tab/>
      </w:r>
      <w:r w:rsidR="00841D45" w:rsidRPr="00D66609">
        <w:rPr>
          <w:lang w:val="fr-BE"/>
        </w:rPr>
        <w:t>L</w:t>
      </w:r>
      <w:r w:rsidR="00841D45" w:rsidRPr="00D66609">
        <w:t>e Plan d’action fédéral contre les violences racistes, antisémites et xénophobes</w:t>
      </w:r>
      <w:r w:rsidR="00C32FA9">
        <w:t>,</w:t>
      </w:r>
      <w:r w:rsidR="00841D45" w:rsidRPr="00D66609">
        <w:t xml:space="preserve"> adopté le 14 juillet 2004 par le Comité ministériel restreint</w:t>
      </w:r>
      <w:r w:rsidR="00C32FA9">
        <w:t>,</w:t>
      </w:r>
      <w:r w:rsidR="00841D45" w:rsidRPr="00D66609">
        <w:t xml:space="preserve"> prévoit</w:t>
      </w:r>
      <w:r w:rsidR="00C32FA9">
        <w:t>,</w:t>
      </w:r>
      <w:r w:rsidR="00841D45" w:rsidRPr="00D66609">
        <w:t xml:space="preserve"> cependant, comme principe d</w:t>
      </w:r>
      <w:r w:rsidR="00C32FA9">
        <w:t>e</w:t>
      </w:r>
      <w:r w:rsidR="00841D45" w:rsidRPr="00D66609">
        <w:t xml:space="preserve"> suivi des plaintes, d’affiner la nomenclature permettant d’identifier les motifs racistes ou antisémites de certaines infractions.</w:t>
      </w:r>
    </w:p>
    <w:p w:rsidR="00841D45" w:rsidRDefault="002901B0" w:rsidP="00054B89">
      <w:pPr>
        <w:pStyle w:val="SingleTxtG"/>
      </w:pPr>
      <w:r>
        <w:t>169.</w:t>
      </w:r>
      <w:r>
        <w:tab/>
      </w:r>
      <w:r w:rsidR="00841D45" w:rsidRPr="00D66609">
        <w:t xml:space="preserve">En exécution de ce principe, une circulaire du Collège des Procureurs généraux, adoptée le 10 mai 2007, vise </w:t>
      </w:r>
      <w:r w:rsidR="00054B89">
        <w:t xml:space="preserve">à permettre </w:t>
      </w:r>
      <w:r w:rsidR="00841D45" w:rsidRPr="00D66609">
        <w:t xml:space="preserve">une meilleure prise en compte de la motivation raciste, xénophobe ou antisémite </w:t>
      </w:r>
      <w:r w:rsidR="00054B89">
        <w:t>dans</w:t>
      </w:r>
      <w:r w:rsidR="00054B89" w:rsidRPr="00D66609">
        <w:t xml:space="preserve"> </w:t>
      </w:r>
      <w:r w:rsidR="00841D45" w:rsidRPr="00D66609">
        <w:t xml:space="preserve">certaines infractions pénales (par exemple, l’infraction de «coups et blessures»). </w:t>
      </w:r>
      <w:r w:rsidR="00054B89">
        <w:t>Dans la</w:t>
      </w:r>
      <w:r w:rsidR="00054B89" w:rsidRPr="00D66609">
        <w:t xml:space="preserve"> </w:t>
      </w:r>
      <w:r w:rsidR="00841D45" w:rsidRPr="00D66609">
        <w:t xml:space="preserve">pratique, lorsque la police constate une infraction, elle l’enregistre sous son code habituel; si, en plus, elle constate que le mobile de l’infraction a un caractère raciste, xénophobe ou antisémite, elle indique ce caractère dans le champ </w:t>
      </w:r>
      <w:r w:rsidR="005874DD">
        <w:t>«</w:t>
      </w:r>
      <w:r w:rsidR="00841D45" w:rsidRPr="00D66609">
        <w:t>mention parquet</w:t>
      </w:r>
      <w:r w:rsidR="005874DD">
        <w:t>»</w:t>
      </w:r>
      <w:r w:rsidR="00841D45" w:rsidRPr="00D66609">
        <w:t xml:space="preserve"> prévu </w:t>
      </w:r>
      <w:r w:rsidR="00054B89">
        <w:t>à</w:t>
      </w:r>
      <w:r w:rsidR="00054B89" w:rsidRPr="00D66609">
        <w:t xml:space="preserve"> </w:t>
      </w:r>
      <w:r w:rsidR="00841D45" w:rsidRPr="00D66609">
        <w:t xml:space="preserve">l’en-tête de la première page du procès-verbal. Et si des affaires, dont une affaire </w:t>
      </w:r>
      <w:r>
        <w:t>«</w:t>
      </w:r>
      <w:r w:rsidR="00841D45" w:rsidRPr="00D66609">
        <w:t>racisme, xénophobie ou antisémitisme</w:t>
      </w:r>
      <w:r>
        <w:t>»</w:t>
      </w:r>
      <w:r w:rsidR="00054B89">
        <w:t>,</w:t>
      </w:r>
      <w:r w:rsidR="00841D45" w:rsidRPr="00D66609">
        <w:t xml:space="preserve"> sont jointes, il faut veiller à ce que la mention </w:t>
      </w:r>
      <w:r>
        <w:t>«</w:t>
      </w:r>
      <w:r w:rsidR="00841D45" w:rsidRPr="00D66609">
        <w:t>racisme, xénophobie ou antisémitisme</w:t>
      </w:r>
      <w:r>
        <w:t>»</w:t>
      </w:r>
      <w:r w:rsidR="00841D45" w:rsidRPr="00D66609">
        <w:t xml:space="preserve"> soit maintenue ou ajoutée dans le champ </w:t>
      </w:r>
      <w:r w:rsidR="005874DD">
        <w:t>«</w:t>
      </w:r>
      <w:r w:rsidR="00841D45" w:rsidRPr="00D66609">
        <w:t>contexte</w:t>
      </w:r>
      <w:r w:rsidR="005874DD">
        <w:t>»</w:t>
      </w:r>
      <w:r w:rsidR="00841D45" w:rsidRPr="00D66609">
        <w:t xml:space="preserve"> de l’affaire mère.</w:t>
      </w:r>
    </w:p>
    <w:p w:rsidR="00841D45" w:rsidRDefault="0020478E" w:rsidP="00D865DA">
      <w:pPr>
        <w:pStyle w:val="SingleTxtG"/>
        <w:rPr>
          <w:color w:val="000000"/>
          <w:lang w:val="fr-BE"/>
        </w:rPr>
      </w:pPr>
      <w:r>
        <w:t>170.</w:t>
      </w:r>
      <w:r>
        <w:tab/>
      </w:r>
      <w:r w:rsidR="00841D45">
        <w:t>Enfin, il convient d’ajouter qu’une</w:t>
      </w:r>
      <w:r w:rsidR="00841D45" w:rsidRPr="00D41B08">
        <w:rPr>
          <w:color w:val="000000"/>
          <w:lang w:val="fr-BE"/>
        </w:rPr>
        <w:t xml:space="preserve"> </w:t>
      </w:r>
      <w:r w:rsidR="00841D45" w:rsidRPr="003457CF">
        <w:rPr>
          <w:color w:val="000000"/>
          <w:lang w:val="fr-BE"/>
        </w:rPr>
        <w:t xml:space="preserve">réflexion est actuellement en cours </w:t>
      </w:r>
      <w:r w:rsidR="00841D45">
        <w:rPr>
          <w:color w:val="000000"/>
          <w:lang w:val="fr-BE"/>
        </w:rPr>
        <w:t>au sein</w:t>
      </w:r>
      <w:r w:rsidR="00841D45" w:rsidRPr="003457CF">
        <w:rPr>
          <w:color w:val="000000"/>
          <w:lang w:val="fr-BE"/>
        </w:rPr>
        <w:t xml:space="preserve"> des instances compétentes en vue de </w:t>
      </w:r>
      <w:r w:rsidR="00D865DA">
        <w:rPr>
          <w:color w:val="000000"/>
          <w:lang w:val="fr-BE"/>
        </w:rPr>
        <w:t>préparer</w:t>
      </w:r>
      <w:r w:rsidR="00841D45" w:rsidRPr="003457CF">
        <w:rPr>
          <w:color w:val="000000"/>
          <w:lang w:val="fr-BE"/>
        </w:rPr>
        <w:t xml:space="preserve"> une circulaire de politique criminelle en matière de racisme, d’homophobie et de discrimination. </w:t>
      </w:r>
    </w:p>
    <w:p w:rsidR="00841D45" w:rsidRPr="00D41B08" w:rsidRDefault="0020478E" w:rsidP="00B965CC">
      <w:pPr>
        <w:pStyle w:val="SingleTxtG"/>
      </w:pPr>
      <w:r>
        <w:t>171.</w:t>
      </w:r>
      <w:r>
        <w:tab/>
      </w:r>
      <w:r w:rsidR="00841D45" w:rsidRPr="00D41B08">
        <w:t xml:space="preserve">Le 13 février 2004, </w:t>
      </w:r>
      <w:r w:rsidR="00B965CC" w:rsidRPr="00D41B08">
        <w:t xml:space="preserve">la </w:t>
      </w:r>
      <w:r w:rsidR="00B965CC" w:rsidRPr="00B965CC">
        <w:t>Ministre</w:t>
      </w:r>
      <w:r w:rsidR="00B965CC" w:rsidRPr="00D41B08">
        <w:t xml:space="preserve"> de l’Intégration sociale et de l’Interculturalité</w:t>
      </w:r>
      <w:r w:rsidR="00B965CC">
        <w:t xml:space="preserve"> a investi</w:t>
      </w:r>
      <w:r w:rsidR="00B965CC" w:rsidRPr="00D41B08">
        <w:t xml:space="preserve"> </w:t>
      </w:r>
      <w:r w:rsidR="00841D45" w:rsidRPr="00D41B08">
        <w:t>le Centre pour l’égalité des chances et la lutte contre le racisme d’une triple tâche:</w:t>
      </w:r>
    </w:p>
    <w:p w:rsidR="00841D45" w:rsidRPr="00D66609" w:rsidRDefault="00841D45" w:rsidP="00AB61C4">
      <w:pPr>
        <w:pStyle w:val="SingleTxtG"/>
      </w:pPr>
      <w:r w:rsidRPr="00D66609">
        <w:rPr>
          <w:rFonts w:ascii="Symbol" w:hAnsi="Symbol"/>
        </w:rPr>
        <w:t></w:t>
      </w:r>
      <w:r w:rsidRPr="00D66609">
        <w:rPr>
          <w:rFonts w:ascii="Symbol" w:hAnsi="Symbol"/>
        </w:rPr>
        <w:tab/>
      </w:r>
      <w:r w:rsidRPr="00D66609">
        <w:t xml:space="preserve">La mise sur pied d’une </w:t>
      </w:r>
      <w:r w:rsidR="000E31B4">
        <w:t>«</w:t>
      </w:r>
      <w:r w:rsidRPr="00D66609">
        <w:t>cellule de veille</w:t>
      </w:r>
      <w:r w:rsidR="000E31B4">
        <w:t>»</w:t>
      </w:r>
      <w:r w:rsidRPr="00D66609">
        <w:t xml:space="preserve"> au sein du Centre</w:t>
      </w:r>
      <w:r w:rsidR="00AB61C4">
        <w:t xml:space="preserve"> chargée de </w:t>
      </w:r>
      <w:r w:rsidRPr="00D66609">
        <w:t>récolter, analyser et suivr</w:t>
      </w:r>
      <w:r w:rsidR="00AB61C4">
        <w:t>e</w:t>
      </w:r>
      <w:r w:rsidRPr="00D66609">
        <w:t xml:space="preserve"> toutes les plaintes </w:t>
      </w:r>
      <w:r w:rsidR="00AB61C4">
        <w:t>ayant un lien</w:t>
      </w:r>
      <w:r w:rsidRPr="00D66609">
        <w:t xml:space="preserve"> avec des actes d’antisémitisme;</w:t>
      </w:r>
    </w:p>
    <w:p w:rsidR="00841D45" w:rsidRPr="00D66609" w:rsidRDefault="00841D45" w:rsidP="00841D45">
      <w:pPr>
        <w:pStyle w:val="SingleTxtG"/>
      </w:pPr>
      <w:r w:rsidRPr="00D66609">
        <w:rPr>
          <w:rFonts w:ascii="Symbol" w:hAnsi="Symbol"/>
        </w:rPr>
        <w:t></w:t>
      </w:r>
      <w:r w:rsidRPr="00D66609">
        <w:rPr>
          <w:rFonts w:ascii="Symbol" w:hAnsi="Symbol"/>
        </w:rPr>
        <w:tab/>
      </w:r>
      <w:r w:rsidRPr="00D66609">
        <w:t xml:space="preserve">L’organisation, en dialogue avec le </w:t>
      </w:r>
      <w:r w:rsidRPr="00AB61C4">
        <w:t>Ministre</w:t>
      </w:r>
      <w:r w:rsidRPr="00D66609">
        <w:t xml:space="preserve"> de la Justice et les </w:t>
      </w:r>
      <w:r w:rsidR="00AB61C4">
        <w:t>p</w:t>
      </w:r>
      <w:r w:rsidRPr="00D66609">
        <w:t xml:space="preserve">arquets, d’une concertation régulière avec les plus importantes organisations de la Communauté juive de Belgique (Consistoire Central israélite, Comité de Coordination des Organisations Juives de Belgique, </w:t>
      </w:r>
      <w:r w:rsidRPr="005F5B9E">
        <w:rPr>
          <w:i/>
          <w:iCs/>
        </w:rPr>
        <w:t>Forum der Joodse Organisaties</w:t>
      </w:r>
      <w:r w:rsidRPr="00D66609">
        <w:t>) sur le suivi des plaintes;</w:t>
      </w:r>
    </w:p>
    <w:p w:rsidR="00841D45" w:rsidRPr="00D66609" w:rsidRDefault="00841D45" w:rsidP="00841D45">
      <w:pPr>
        <w:pStyle w:val="SingleTxtG"/>
      </w:pPr>
      <w:r w:rsidRPr="00D66609">
        <w:rPr>
          <w:rFonts w:ascii="Symbol" w:hAnsi="Symbol"/>
        </w:rPr>
        <w:t></w:t>
      </w:r>
      <w:r w:rsidRPr="00D66609">
        <w:rPr>
          <w:rFonts w:ascii="Symbol" w:hAnsi="Symbol"/>
        </w:rPr>
        <w:tab/>
      </w:r>
      <w:r w:rsidRPr="00D66609">
        <w:t>La coordination d’un rapport, élaboré par deux universités, sur la nature et l’ampleur de la résurgence de l’antisémitisme dans notre pays.</w:t>
      </w:r>
    </w:p>
    <w:p w:rsidR="00841D45" w:rsidRPr="00D66609" w:rsidRDefault="005F5B9E" w:rsidP="005F5B9E">
      <w:pPr>
        <w:pStyle w:val="SingleTxtG"/>
      </w:pPr>
      <w:r>
        <w:t>172.</w:t>
      </w:r>
      <w:r>
        <w:tab/>
      </w:r>
      <w:r w:rsidR="00841D45" w:rsidRPr="00D66609">
        <w:t xml:space="preserve">Outre les organisations juives précitées, les représentants du Ministre de la Justice, du </w:t>
      </w:r>
      <w:r w:rsidR="00841D45" w:rsidRPr="00DE05B3">
        <w:t>Ministre de l’Intérieur et du Ministre de l’Egalité</w:t>
      </w:r>
      <w:r w:rsidR="00841D45" w:rsidRPr="00D66609">
        <w:t xml:space="preserve"> des chances font également partie de la cellule de veille. </w:t>
      </w:r>
    </w:p>
    <w:p w:rsidR="00841D45" w:rsidRPr="00D66609" w:rsidRDefault="005F5B9E" w:rsidP="00886252">
      <w:pPr>
        <w:pStyle w:val="SingleTxtG"/>
      </w:pPr>
      <w:r>
        <w:t>173.</w:t>
      </w:r>
      <w:r>
        <w:tab/>
      </w:r>
      <w:r w:rsidR="00BA49AA">
        <w:t>L</w:t>
      </w:r>
      <w:r w:rsidR="00841D45" w:rsidRPr="00D66609">
        <w:t xml:space="preserve">es participants à la </w:t>
      </w:r>
      <w:r w:rsidR="000E31B4">
        <w:t>«</w:t>
      </w:r>
      <w:r w:rsidR="00841D45" w:rsidRPr="00D66609">
        <w:t>cellule de veille</w:t>
      </w:r>
      <w:r w:rsidR="000E31B4">
        <w:t>»</w:t>
      </w:r>
      <w:r w:rsidR="00BA49AA">
        <w:t xml:space="preserve"> ont </w:t>
      </w:r>
      <w:r w:rsidR="00841D45" w:rsidRPr="00D66609">
        <w:t>convenu d’échange</w:t>
      </w:r>
      <w:r w:rsidR="00BA49AA">
        <w:t>r</w:t>
      </w:r>
      <w:r w:rsidR="00841D45" w:rsidRPr="00D66609">
        <w:t xml:space="preserve"> d</w:t>
      </w:r>
      <w:r w:rsidR="00BA49AA">
        <w:t xml:space="preserve">es </w:t>
      </w:r>
      <w:r w:rsidR="00841D45" w:rsidRPr="00D66609">
        <w:t xml:space="preserve">informations en matière d’antisémitisme et </w:t>
      </w:r>
      <w:r w:rsidR="00EE36AA">
        <w:t>d’envoyer</w:t>
      </w:r>
      <w:r w:rsidR="00EE36AA" w:rsidRPr="00D66609">
        <w:t xml:space="preserve"> </w:t>
      </w:r>
      <w:r w:rsidR="00841D45" w:rsidRPr="00D66609">
        <w:t xml:space="preserve">tous les signalements et informations pertinents au Centre qui ferait rapport </w:t>
      </w:r>
      <w:r w:rsidR="00EE36AA">
        <w:t xml:space="preserve">à ce sujet </w:t>
      </w:r>
      <w:r w:rsidR="00053763">
        <w:t>au cours</w:t>
      </w:r>
      <w:r w:rsidR="00053763" w:rsidRPr="00D66609">
        <w:t xml:space="preserve"> </w:t>
      </w:r>
      <w:r w:rsidR="00841D45" w:rsidRPr="00D66609">
        <w:t xml:space="preserve">d’une rencontre trimestrielle. Une concertation aurait également lieu entre le Centre et la Justice </w:t>
      </w:r>
      <w:r w:rsidR="00EC2160">
        <w:t>sur</w:t>
      </w:r>
      <w:r w:rsidR="00EC2160" w:rsidRPr="00D66609">
        <w:t xml:space="preserve"> </w:t>
      </w:r>
      <w:r w:rsidR="00841D45" w:rsidRPr="00D66609">
        <w:t>les dossiers judiciaires. Les organisations juives ont insisté sur la nécessité de sensibilis</w:t>
      </w:r>
      <w:r w:rsidR="00EC2160">
        <w:t xml:space="preserve">er </w:t>
      </w:r>
      <w:r w:rsidR="00841D45" w:rsidRPr="00D66609">
        <w:t>et d’inform</w:t>
      </w:r>
      <w:r w:rsidR="00EC2160">
        <w:t xml:space="preserve">er les </w:t>
      </w:r>
      <w:r w:rsidR="00841D45" w:rsidRPr="00D66609">
        <w:t xml:space="preserve">forces de police et il a été </w:t>
      </w:r>
      <w:r w:rsidR="00EC2160">
        <w:t xml:space="preserve">reconnu nécessaire de procéder à </w:t>
      </w:r>
      <w:r w:rsidR="00841D45" w:rsidRPr="00D66609">
        <w:t xml:space="preserve">un échange d’adresses et de </w:t>
      </w:r>
      <w:r w:rsidR="00EC2160">
        <w:t xml:space="preserve">noms de </w:t>
      </w:r>
      <w:r w:rsidR="00841D45" w:rsidRPr="00D66609">
        <w:t>personnes de contact dans les commissariats de police ainsi que d</w:t>
      </w:r>
      <w:r w:rsidR="00EC2160">
        <w:t>e</w:t>
      </w:r>
      <w:r w:rsidR="00841D45" w:rsidRPr="00D66609">
        <w:t xml:space="preserve"> développe</w:t>
      </w:r>
      <w:r w:rsidR="00EC2160">
        <w:t xml:space="preserve">r </w:t>
      </w:r>
      <w:r w:rsidR="00841D45" w:rsidRPr="00D66609">
        <w:t>de</w:t>
      </w:r>
      <w:r w:rsidR="00EC2160">
        <w:t xml:space="preserve">s </w:t>
      </w:r>
      <w:r w:rsidR="00841D45" w:rsidRPr="00D66609">
        <w:t xml:space="preserve">programmes de formation </w:t>
      </w:r>
      <w:r w:rsidR="00775138">
        <w:t xml:space="preserve">à l’intention </w:t>
      </w:r>
      <w:r w:rsidR="00841D45" w:rsidRPr="00D66609">
        <w:t xml:space="preserve">des agents </w:t>
      </w:r>
      <w:r w:rsidR="00957BAD">
        <w:t>sur les questions</w:t>
      </w:r>
      <w:r w:rsidR="00841D45" w:rsidRPr="00D66609">
        <w:t xml:space="preserve"> de racisme et d’antisémitisme.</w:t>
      </w:r>
    </w:p>
    <w:p w:rsidR="00841D45" w:rsidRPr="00D66609" w:rsidRDefault="005F5B9E" w:rsidP="00895008">
      <w:pPr>
        <w:pStyle w:val="SingleTxtG"/>
      </w:pPr>
      <w:r>
        <w:t>174.</w:t>
      </w:r>
      <w:r>
        <w:tab/>
      </w:r>
      <w:r w:rsidR="00841D45" w:rsidRPr="00D66609">
        <w:t>La cellule de veille se réunit en moyenne 4 fois par an. Le 28 juin 2010 s’est tenue la 25</w:t>
      </w:r>
      <w:r w:rsidR="00841D45" w:rsidRPr="00D66609">
        <w:rPr>
          <w:vertAlign w:val="superscript"/>
        </w:rPr>
        <w:t>e</w:t>
      </w:r>
      <w:r w:rsidR="00841D45" w:rsidRPr="00D66609">
        <w:t xml:space="preserve"> réunion de la cellule. Outre le suivi de la réunion précédente</w:t>
      </w:r>
      <w:r w:rsidR="006E4F2B">
        <w:t>,</w:t>
      </w:r>
      <w:r w:rsidR="00841D45" w:rsidRPr="00D66609">
        <w:t xml:space="preserve"> les nouveaux signalements et le suivi des dossiers pendants ont été discutées</w:t>
      </w:r>
      <w:r w:rsidR="00895008" w:rsidRPr="00895008">
        <w:t xml:space="preserve"> </w:t>
      </w:r>
      <w:r w:rsidR="00895008" w:rsidRPr="00D66609">
        <w:t>les thématiques suivantes</w:t>
      </w:r>
      <w:r w:rsidR="00841D45" w:rsidRPr="00D66609">
        <w:t>:</w:t>
      </w:r>
    </w:p>
    <w:p w:rsidR="00841D45" w:rsidRPr="00D66609" w:rsidRDefault="00841D45" w:rsidP="005F5B9E">
      <w:pPr>
        <w:pStyle w:val="SingleTxtG"/>
      </w:pPr>
      <w:r w:rsidRPr="00D66609">
        <w:rPr>
          <w:rFonts w:ascii="Symbol" w:hAnsi="Symbol"/>
        </w:rPr>
        <w:t></w:t>
      </w:r>
      <w:r w:rsidRPr="00D66609">
        <w:rPr>
          <w:rFonts w:ascii="Symbol" w:hAnsi="Symbol"/>
        </w:rPr>
        <w:tab/>
      </w:r>
      <w:r w:rsidRPr="00D66609">
        <w:t>La lutte contre l’antisémitisme et le négationnisme sur Internet</w:t>
      </w:r>
      <w:r w:rsidR="005F5B9E">
        <w:t>;</w:t>
      </w:r>
    </w:p>
    <w:p w:rsidR="00841D45" w:rsidRPr="00D66609" w:rsidRDefault="00841D45" w:rsidP="00D672DA">
      <w:pPr>
        <w:pStyle w:val="SingleTxtG"/>
        <w:ind w:left="1689" w:hanging="555"/>
      </w:pPr>
      <w:r w:rsidRPr="00D66609">
        <w:rPr>
          <w:rFonts w:ascii="Symbol" w:hAnsi="Symbol"/>
        </w:rPr>
        <w:t></w:t>
      </w:r>
      <w:r w:rsidRPr="00D66609">
        <w:rPr>
          <w:rFonts w:ascii="Symbol" w:hAnsi="Symbol"/>
        </w:rPr>
        <w:tab/>
      </w:r>
      <w:r w:rsidR="00563858">
        <w:t>La c</w:t>
      </w:r>
      <w:r w:rsidR="00563858" w:rsidRPr="00D66609">
        <w:t xml:space="preserve">ollaboration </w:t>
      </w:r>
      <w:r w:rsidRPr="00D66609">
        <w:t>entre le Centre</w:t>
      </w:r>
      <w:r w:rsidR="00D672DA">
        <w:t>,</w:t>
      </w:r>
      <w:r w:rsidRPr="00D66609">
        <w:t xml:space="preserve"> le BESC (</w:t>
      </w:r>
      <w:r w:rsidRPr="00563858">
        <w:t>Bureau Exécutif de Surveillance</w:t>
      </w:r>
      <w:r w:rsidRPr="00D66609">
        <w:t xml:space="preserve"> </w:t>
      </w:r>
      <w:r w:rsidRPr="00563858">
        <w:t>communautaire</w:t>
      </w:r>
      <w:r w:rsidRPr="00D66609">
        <w:t>) et le CKJGA (</w:t>
      </w:r>
      <w:r w:rsidRPr="001618D1">
        <w:rPr>
          <w:i/>
          <w:iCs/>
        </w:rPr>
        <w:t>Coördinatie Komité van de Joodse Gemeenten Antwerpen</w:t>
      </w:r>
      <w:r w:rsidRPr="00D66609">
        <w:t>)</w:t>
      </w:r>
      <w:r w:rsidR="005F5B9E">
        <w:t>;</w:t>
      </w:r>
    </w:p>
    <w:p w:rsidR="00841D45" w:rsidRPr="00D66609" w:rsidRDefault="00841D45" w:rsidP="00D672DA">
      <w:pPr>
        <w:pStyle w:val="SingleTxtG"/>
      </w:pPr>
      <w:r w:rsidRPr="00D66609">
        <w:rPr>
          <w:rFonts w:ascii="Symbol" w:hAnsi="Symbol"/>
        </w:rPr>
        <w:t></w:t>
      </w:r>
      <w:r w:rsidRPr="00D66609">
        <w:rPr>
          <w:rFonts w:ascii="Symbol" w:hAnsi="Symbol"/>
        </w:rPr>
        <w:tab/>
      </w:r>
      <w:r w:rsidR="00D672DA">
        <w:t xml:space="preserve">Les écoles </w:t>
      </w:r>
      <w:r w:rsidRPr="00D66609">
        <w:t>pour la démocratie et la visite à Auschwitz</w:t>
      </w:r>
      <w:r w:rsidR="005F5B9E">
        <w:t>;</w:t>
      </w:r>
    </w:p>
    <w:p w:rsidR="00841D45" w:rsidRPr="00D66609" w:rsidRDefault="00841D45" w:rsidP="00841D45">
      <w:pPr>
        <w:pStyle w:val="SingleTxtG"/>
      </w:pPr>
      <w:r w:rsidRPr="00D66609">
        <w:rPr>
          <w:rFonts w:ascii="Symbol" w:hAnsi="Symbol"/>
        </w:rPr>
        <w:t></w:t>
      </w:r>
      <w:r w:rsidRPr="00D66609">
        <w:rPr>
          <w:rFonts w:ascii="Symbol" w:hAnsi="Symbol"/>
        </w:rPr>
        <w:tab/>
      </w:r>
      <w:r w:rsidRPr="00D66609">
        <w:t>La réaffectation de la caserne Dossin à Malines</w:t>
      </w:r>
      <w:r w:rsidR="005F5B9E">
        <w:t>;</w:t>
      </w:r>
    </w:p>
    <w:p w:rsidR="00841D45" w:rsidRPr="00D41B08" w:rsidRDefault="00841D45" w:rsidP="00542E1D">
      <w:pPr>
        <w:pStyle w:val="SingleTxtG"/>
        <w:ind w:left="1689" w:hanging="555"/>
      </w:pPr>
      <w:r w:rsidRPr="00D41B08">
        <w:rPr>
          <w:rFonts w:ascii="Symbol" w:hAnsi="Symbol"/>
        </w:rPr>
        <w:t></w:t>
      </w:r>
      <w:r w:rsidRPr="00D41B08">
        <w:rPr>
          <w:rFonts w:ascii="Symbol" w:hAnsi="Symbol"/>
        </w:rPr>
        <w:tab/>
      </w:r>
      <w:r w:rsidRPr="00D41B08">
        <w:t>Les actions du Centre et de l’Union Belge de Football dans le domaine du sport, tel</w:t>
      </w:r>
      <w:r w:rsidR="008E367E">
        <w:t>les</w:t>
      </w:r>
      <w:r w:rsidRPr="00D41B08">
        <w:t xml:space="preserve"> que la campagne de sensibilisation</w:t>
      </w:r>
      <w:r w:rsidR="008E367E">
        <w:t xml:space="preserve"> </w:t>
      </w:r>
      <w:r w:rsidR="0013799E">
        <w:t>«</w:t>
      </w:r>
      <w:r w:rsidRPr="00D41B08">
        <w:t>carte rouge au racisme et aux discriminations</w:t>
      </w:r>
      <w:r w:rsidR="0013799E">
        <w:t>»</w:t>
      </w:r>
      <w:r w:rsidR="005F5B9E">
        <w:t>;</w:t>
      </w:r>
    </w:p>
    <w:p w:rsidR="00841D45" w:rsidRPr="00D66609" w:rsidRDefault="00841D45" w:rsidP="005F5B9E">
      <w:pPr>
        <w:pStyle w:val="SingleTxtG"/>
      </w:pPr>
      <w:r w:rsidRPr="00D66609">
        <w:rPr>
          <w:rFonts w:ascii="Symbol" w:hAnsi="Symbol"/>
        </w:rPr>
        <w:t></w:t>
      </w:r>
      <w:r w:rsidRPr="00D66609">
        <w:rPr>
          <w:rFonts w:ascii="Symbol" w:hAnsi="Symbol"/>
        </w:rPr>
        <w:tab/>
      </w:r>
      <w:r w:rsidRPr="00D66609">
        <w:t>La lutte contre le racisme organisé avec «</w:t>
      </w:r>
      <w:r w:rsidRPr="00AE6CCA">
        <w:rPr>
          <w:i/>
          <w:iCs/>
        </w:rPr>
        <w:t>met de focus op neonazi concerten</w:t>
      </w:r>
      <w:r w:rsidRPr="00D66609">
        <w:t>»</w:t>
      </w:r>
      <w:r w:rsidR="005F5B9E">
        <w:t>;</w:t>
      </w:r>
    </w:p>
    <w:p w:rsidR="00841D45" w:rsidRPr="00D66609" w:rsidRDefault="00841D45" w:rsidP="00542E1D">
      <w:pPr>
        <w:pStyle w:val="SingleTxtG"/>
        <w:ind w:left="1689" w:hanging="555"/>
      </w:pPr>
      <w:r w:rsidRPr="00D66609">
        <w:rPr>
          <w:rFonts w:ascii="Symbol" w:hAnsi="Symbol"/>
        </w:rPr>
        <w:t></w:t>
      </w:r>
      <w:r w:rsidRPr="00D66609">
        <w:rPr>
          <w:rFonts w:ascii="Symbol" w:hAnsi="Symbol"/>
        </w:rPr>
        <w:tab/>
      </w:r>
      <w:r w:rsidRPr="00D66609">
        <w:t>La circulaire du Collège des PG sur le racisme, l’antisémitisme et la xénophobie (col</w:t>
      </w:r>
      <w:r w:rsidR="005F5B9E">
        <w:t>.</w:t>
      </w:r>
      <w:r w:rsidRPr="00D66609">
        <w:t xml:space="preserve"> 6/2006)</w:t>
      </w:r>
      <w:r w:rsidR="005F5B9E">
        <w:t>;</w:t>
      </w:r>
    </w:p>
    <w:p w:rsidR="00841D45" w:rsidRPr="00D41B08" w:rsidRDefault="00841D45" w:rsidP="005F5B9E">
      <w:pPr>
        <w:pStyle w:val="SingleTxtG"/>
      </w:pPr>
      <w:r w:rsidRPr="00D41B08">
        <w:rPr>
          <w:rFonts w:ascii="Symbol" w:hAnsi="Symbol"/>
        </w:rPr>
        <w:t></w:t>
      </w:r>
      <w:r w:rsidRPr="00D41B08">
        <w:rPr>
          <w:rFonts w:ascii="Symbol" w:hAnsi="Symbol"/>
        </w:rPr>
        <w:tab/>
      </w:r>
      <w:r w:rsidRPr="00D41B08">
        <w:t xml:space="preserve">L’étude </w:t>
      </w:r>
      <w:r w:rsidRPr="00AE6CCA">
        <w:rPr>
          <w:i/>
          <w:iCs/>
        </w:rPr>
        <w:t>After Gaza</w:t>
      </w:r>
      <w:r w:rsidRPr="00D41B08">
        <w:t xml:space="preserve"> </w:t>
      </w:r>
      <w:r w:rsidR="005F5B9E">
        <w:t>effectuée</w:t>
      </w:r>
      <w:r w:rsidRPr="00D41B08">
        <w:t xml:space="preserve"> à la demande du Centre.</w:t>
      </w:r>
    </w:p>
    <w:p w:rsidR="00841D45" w:rsidRPr="00D66609" w:rsidRDefault="005F5B9E" w:rsidP="0097094B">
      <w:pPr>
        <w:pStyle w:val="SingleTxtG"/>
      </w:pPr>
      <w:r>
        <w:t>175.</w:t>
      </w:r>
      <w:r>
        <w:tab/>
      </w:r>
      <w:r w:rsidR="00841D45" w:rsidRPr="00D66609">
        <w:t>En termes d’évaluation du travail et de</w:t>
      </w:r>
      <w:r w:rsidR="0097094B">
        <w:t>s</w:t>
      </w:r>
      <w:r w:rsidR="00841D45" w:rsidRPr="00D66609">
        <w:t xml:space="preserve"> résultats obtenus par la </w:t>
      </w:r>
      <w:r w:rsidR="0097094B">
        <w:t>c</w:t>
      </w:r>
      <w:r w:rsidR="00841D45" w:rsidRPr="00D66609">
        <w:t xml:space="preserve">ellule de veille, les points forts </w:t>
      </w:r>
      <w:r w:rsidR="0097094B">
        <w:t>à</w:t>
      </w:r>
      <w:r w:rsidR="00841D45" w:rsidRPr="00D66609">
        <w:t xml:space="preserve"> relev</w:t>
      </w:r>
      <w:r w:rsidR="0097094B">
        <w:t>er</w:t>
      </w:r>
      <w:r w:rsidR="00841D45" w:rsidRPr="00D66609">
        <w:t xml:space="preserve"> sont les suivants:</w:t>
      </w:r>
    </w:p>
    <w:p w:rsidR="00841D45" w:rsidRPr="00D41B08" w:rsidRDefault="00841D45" w:rsidP="001834F0">
      <w:pPr>
        <w:pStyle w:val="SingleTxtG"/>
        <w:ind w:left="1689" w:hanging="555"/>
      </w:pPr>
      <w:r w:rsidRPr="00D41B08">
        <w:rPr>
          <w:rFonts w:ascii="Symbol" w:hAnsi="Symbol"/>
        </w:rPr>
        <w:t></w:t>
      </w:r>
      <w:r w:rsidRPr="00D41B08">
        <w:rPr>
          <w:rFonts w:ascii="Symbol" w:hAnsi="Symbol"/>
        </w:rPr>
        <w:tab/>
      </w:r>
      <w:r w:rsidRPr="00D41B08">
        <w:t xml:space="preserve">Une concertation structurée claire entre les représentants des organisations juives et l’Autorité </w:t>
      </w:r>
      <w:r w:rsidRPr="00AE6CCA">
        <w:t>F</w:t>
      </w:r>
      <w:r w:rsidRPr="00D41B08">
        <w:t>édérale</w:t>
      </w:r>
      <w:r w:rsidR="00B67704">
        <w:t>;</w:t>
      </w:r>
    </w:p>
    <w:p w:rsidR="00841D45" w:rsidRPr="00D66609" w:rsidRDefault="00841D45" w:rsidP="001834F0">
      <w:pPr>
        <w:pStyle w:val="SingleTxtG"/>
      </w:pPr>
      <w:r w:rsidRPr="00D66609">
        <w:rPr>
          <w:rFonts w:ascii="Symbol" w:hAnsi="Symbol"/>
        </w:rPr>
        <w:t></w:t>
      </w:r>
      <w:r w:rsidRPr="00D66609">
        <w:rPr>
          <w:rFonts w:ascii="Symbol" w:hAnsi="Symbol"/>
        </w:rPr>
        <w:tab/>
      </w:r>
      <w:r w:rsidRPr="00D66609">
        <w:t>Un soutien tant au niveau logistique qu’au niveau d</w:t>
      </w:r>
      <w:r w:rsidR="001834F0">
        <w:t>es</w:t>
      </w:r>
      <w:r w:rsidRPr="00D66609">
        <w:t xml:space="preserve"> contenu</w:t>
      </w:r>
      <w:r w:rsidR="001834F0">
        <w:t>s</w:t>
      </w:r>
      <w:r w:rsidRPr="00D66609">
        <w:t xml:space="preserve"> </w:t>
      </w:r>
      <w:r w:rsidR="0066538F">
        <w:t xml:space="preserve">de la </w:t>
      </w:r>
      <w:r w:rsidRPr="00D66609">
        <w:t>par</w:t>
      </w:r>
      <w:r w:rsidR="0066538F">
        <w:t>t du</w:t>
      </w:r>
      <w:r w:rsidRPr="00D66609">
        <w:t xml:space="preserve"> Centre</w:t>
      </w:r>
      <w:r w:rsidR="00B67704">
        <w:t>;</w:t>
      </w:r>
    </w:p>
    <w:p w:rsidR="00841D45" w:rsidRPr="00D66609" w:rsidRDefault="00841D45" w:rsidP="001834F0">
      <w:pPr>
        <w:pStyle w:val="SingleTxtG"/>
        <w:ind w:left="1689" w:hanging="555"/>
      </w:pPr>
      <w:r w:rsidRPr="00D66609">
        <w:rPr>
          <w:rFonts w:ascii="Symbol" w:hAnsi="Symbol"/>
        </w:rPr>
        <w:t></w:t>
      </w:r>
      <w:r w:rsidRPr="00D66609">
        <w:rPr>
          <w:rFonts w:ascii="Symbol" w:hAnsi="Symbol"/>
        </w:rPr>
        <w:tab/>
      </w:r>
      <w:r w:rsidRPr="00D66609">
        <w:t>Une bonne circulation des signalements et des dossiers entre les partenaires de la cellule, dans le respect de la vie privée des correspondants</w:t>
      </w:r>
      <w:r w:rsidR="00B67704">
        <w:t>;</w:t>
      </w:r>
    </w:p>
    <w:p w:rsidR="00841D45" w:rsidRPr="00D66609" w:rsidRDefault="00841D45" w:rsidP="000335BD">
      <w:pPr>
        <w:pStyle w:val="SingleTxtG"/>
        <w:ind w:left="1689" w:hanging="555"/>
      </w:pPr>
      <w:r w:rsidRPr="00D66609">
        <w:rPr>
          <w:rFonts w:ascii="Symbol" w:hAnsi="Symbol"/>
        </w:rPr>
        <w:t></w:t>
      </w:r>
      <w:r w:rsidRPr="00D66609">
        <w:rPr>
          <w:rFonts w:ascii="Symbol" w:hAnsi="Symbol"/>
        </w:rPr>
        <w:tab/>
      </w:r>
      <w:r w:rsidRPr="00D66609">
        <w:t xml:space="preserve">Une communication régulière sur le suivi et le traitement des dossiers </w:t>
      </w:r>
      <w:r w:rsidR="000335BD">
        <w:t>ainsi que</w:t>
      </w:r>
      <w:r w:rsidR="000335BD" w:rsidRPr="00D66609">
        <w:t xml:space="preserve"> </w:t>
      </w:r>
      <w:r w:rsidRPr="00D66609">
        <w:t>sur les procédures judiciaires pendantes</w:t>
      </w:r>
      <w:r w:rsidR="00B67704">
        <w:t>;</w:t>
      </w:r>
    </w:p>
    <w:p w:rsidR="00841D45" w:rsidRPr="00D66609" w:rsidRDefault="00841D45" w:rsidP="000335BD">
      <w:pPr>
        <w:pStyle w:val="SingleTxtG"/>
        <w:ind w:left="1689" w:hanging="555"/>
      </w:pPr>
      <w:r w:rsidRPr="00D66609">
        <w:rPr>
          <w:rFonts w:ascii="Symbol" w:hAnsi="Symbol"/>
        </w:rPr>
        <w:t></w:t>
      </w:r>
      <w:r w:rsidRPr="00D66609">
        <w:rPr>
          <w:rFonts w:ascii="Symbol" w:hAnsi="Symbol"/>
        </w:rPr>
        <w:tab/>
      </w:r>
      <w:r w:rsidRPr="00D66609">
        <w:t xml:space="preserve">Un canal fortement élaboré en vue d’un travail en réseau et d’un </w:t>
      </w:r>
      <w:r w:rsidRPr="000335BD">
        <w:rPr>
          <w:i/>
          <w:iCs/>
        </w:rPr>
        <w:t>lobbying</w:t>
      </w:r>
      <w:r w:rsidRPr="00D66609">
        <w:t xml:space="preserve"> vers l’Autorité.</w:t>
      </w:r>
    </w:p>
    <w:p w:rsidR="00841D45" w:rsidRDefault="00746B57" w:rsidP="00841D45">
      <w:pPr>
        <w:pStyle w:val="SingleTxtG"/>
      </w:pPr>
      <w:r>
        <w:t>176.</w:t>
      </w:r>
      <w:r>
        <w:tab/>
      </w:r>
      <w:r w:rsidR="00841D45" w:rsidRPr="00247905">
        <w:t xml:space="preserve">Le Centre pour l’égalité des chances et la lutte contre le racisme constate dans la pratique une nette augmentation des messages de haine et des situations dans lesquelles les musulmans </w:t>
      </w:r>
      <w:r w:rsidR="00841D45">
        <w:t xml:space="preserve">sont traités défavorablement. </w:t>
      </w:r>
    </w:p>
    <w:p w:rsidR="00841D45" w:rsidRPr="00245A22" w:rsidRDefault="0075326E" w:rsidP="000914A8">
      <w:pPr>
        <w:pStyle w:val="SingleTxtG"/>
      </w:pPr>
      <w:r>
        <w:t>177.</w:t>
      </w:r>
      <w:r>
        <w:tab/>
      </w:r>
      <w:r w:rsidR="00841D45" w:rsidRPr="00245A22">
        <w:t>Dans</w:t>
      </w:r>
      <w:r w:rsidR="00841D45">
        <w:t xml:space="preserve"> le rapport </w:t>
      </w:r>
      <w:r w:rsidR="00B44BAF">
        <w:t>«</w:t>
      </w:r>
      <w:r w:rsidR="00841D45">
        <w:t>Discrimination/</w:t>
      </w:r>
      <w:r w:rsidR="00841D45" w:rsidRPr="00245A22">
        <w:t>diversité 2008</w:t>
      </w:r>
      <w:r w:rsidR="00B44BAF">
        <w:t>»</w:t>
      </w:r>
      <w:r w:rsidR="00841D45" w:rsidRPr="00245A22">
        <w:t>, le Centre a étudié le phénomène de société qu’est l’islamophobie</w:t>
      </w:r>
      <w:r w:rsidR="00841D45" w:rsidRPr="00245A22">
        <w:rPr>
          <w:rStyle w:val="FootnoteReference"/>
        </w:rPr>
        <w:footnoteReference w:id="20"/>
      </w:r>
      <w:r w:rsidR="008418CC">
        <w:t>.</w:t>
      </w:r>
      <w:r w:rsidR="00841D45" w:rsidRPr="00245A22">
        <w:t xml:space="preserve"> </w:t>
      </w:r>
      <w:r w:rsidR="00B44BAF">
        <w:t>Succinctement</w:t>
      </w:r>
      <w:r w:rsidR="00841D45">
        <w:t xml:space="preserve">, selon le Centre, </w:t>
      </w:r>
      <w:r w:rsidR="00841D45" w:rsidRPr="00245A22">
        <w:t xml:space="preserve">des actions et </w:t>
      </w:r>
      <w:r w:rsidR="00B44BAF">
        <w:t xml:space="preserve">des </w:t>
      </w:r>
      <w:r w:rsidR="00841D45" w:rsidRPr="00245A22">
        <w:t xml:space="preserve">déclarations </w:t>
      </w:r>
      <w:r w:rsidR="000914A8">
        <w:t xml:space="preserve">revêtent </w:t>
      </w:r>
      <w:r w:rsidR="00841D45" w:rsidRPr="00245A22">
        <w:t xml:space="preserve">un caractère islamophobe quant elles sont inspirées par des idées préconçues, la haine ou </w:t>
      </w:r>
      <w:r w:rsidR="000914A8">
        <w:t>le</w:t>
      </w:r>
      <w:r w:rsidR="000914A8" w:rsidRPr="00245A22">
        <w:t xml:space="preserve"> </w:t>
      </w:r>
      <w:r w:rsidR="00841D45" w:rsidRPr="00245A22">
        <w:t>mépris à l’égard des musulmans même quand</w:t>
      </w:r>
      <w:r w:rsidR="00841D45">
        <w:t>,</w:t>
      </w:r>
      <w:r w:rsidR="00841D45" w:rsidRPr="00245A22">
        <w:t xml:space="preserve"> d’un point de vue juridique, il n’y a pas d’infraction à la législation antidiscrimination. Les exemples suivants doivent ici, en principe, </w:t>
      </w:r>
      <w:r w:rsidR="00841D45">
        <w:t xml:space="preserve">être écartés : </w:t>
      </w:r>
      <w:r w:rsidR="00841D45" w:rsidRPr="00245A22">
        <w:t xml:space="preserve">critique </w:t>
      </w:r>
      <w:r w:rsidR="000914A8">
        <w:t>de</w:t>
      </w:r>
      <w:r w:rsidR="000914A8" w:rsidRPr="00245A22">
        <w:t xml:space="preserve"> </w:t>
      </w:r>
      <w:r w:rsidR="00841D45" w:rsidRPr="00245A22">
        <w:t>la religion, une disposition générale du règlement d</w:t>
      </w:r>
      <w:r w:rsidR="000914A8">
        <w:t>u</w:t>
      </w:r>
      <w:r w:rsidR="00841D45" w:rsidRPr="00245A22">
        <w:t xml:space="preserve"> travail qui interdit le port de signes religieux ou philosophiques.  </w:t>
      </w:r>
    </w:p>
    <w:p w:rsidR="00841D45" w:rsidRPr="00D66609" w:rsidRDefault="0075326E" w:rsidP="00A86A5F">
      <w:pPr>
        <w:pStyle w:val="SingleTxtG"/>
        <w:rPr>
          <w:lang w:val="nl-BE"/>
        </w:rPr>
      </w:pPr>
      <w:r>
        <w:t>178.</w:t>
      </w:r>
      <w:r>
        <w:tab/>
      </w:r>
      <w:r w:rsidR="00841D45" w:rsidRPr="00C02076">
        <w:t xml:space="preserve">Dans 215 </w:t>
      </w:r>
      <w:r w:rsidR="00841D45">
        <w:t xml:space="preserve">dossiers sur les </w:t>
      </w:r>
      <w:r w:rsidR="00841D45" w:rsidRPr="00C02076">
        <w:t xml:space="preserve">227 </w:t>
      </w:r>
      <w:r w:rsidR="000914A8">
        <w:t>ouverts par</w:t>
      </w:r>
      <w:r w:rsidR="000914A8" w:rsidRPr="00C02076">
        <w:t xml:space="preserve"> </w:t>
      </w:r>
      <w:r w:rsidR="00841D45" w:rsidRPr="00C02076">
        <w:t xml:space="preserve">le Centre l’année passée </w:t>
      </w:r>
      <w:r w:rsidR="00841D45">
        <w:t xml:space="preserve">pour </w:t>
      </w:r>
      <w:r w:rsidR="00D63B5E">
        <w:t xml:space="preserve">une </w:t>
      </w:r>
      <w:r w:rsidR="00841D45">
        <w:t xml:space="preserve">discrimination supposée </w:t>
      </w:r>
      <w:r w:rsidR="000914A8">
        <w:t xml:space="preserve">fondée </w:t>
      </w:r>
      <w:r w:rsidR="00841D45">
        <w:t xml:space="preserve">sur des croyances religieuses ou philosophiques, la religion ou la conviction concernée </w:t>
      </w:r>
      <w:r w:rsidR="00D63B5E">
        <w:t xml:space="preserve">a été </w:t>
      </w:r>
      <w:r w:rsidR="00841D45">
        <w:t xml:space="preserve">enregistrée. Dans 87 % des cas, </w:t>
      </w:r>
      <w:r w:rsidR="00D63B5E">
        <w:t>les personnes concernées sont</w:t>
      </w:r>
      <w:r w:rsidR="00841D45">
        <w:t xml:space="preserve"> musulman</w:t>
      </w:r>
      <w:r w:rsidR="00D63B5E">
        <w:t>e</w:t>
      </w:r>
      <w:r w:rsidR="00841D45">
        <w:t xml:space="preserve">s. Comme cela est indiqué plus haut, il existe ici un clair chevauchement </w:t>
      </w:r>
      <w:r w:rsidR="00A86A5F">
        <w:t>racial</w:t>
      </w:r>
      <w:r w:rsidR="00841D45">
        <w:rPr>
          <w:rStyle w:val="FootnoteReference"/>
          <w:lang w:val="nl-BE"/>
        </w:rPr>
        <w:footnoteReference w:id="21"/>
      </w:r>
      <w:r w:rsidR="008418CC">
        <w:t>.</w:t>
      </w:r>
    </w:p>
    <w:p w:rsidR="00841D45" w:rsidRPr="00D66609" w:rsidRDefault="0075326E" w:rsidP="00214F2C">
      <w:pPr>
        <w:pStyle w:val="SingleTxtG"/>
      </w:pPr>
      <w:r>
        <w:t>179.</w:t>
      </w:r>
      <w:r>
        <w:tab/>
      </w:r>
      <w:r w:rsidR="00841D45" w:rsidRPr="00D66609">
        <w:t xml:space="preserve">D’autre part, le Centre a fait réaliser une étude sur les rapports interculturels en Belgique </w:t>
      </w:r>
      <w:r w:rsidR="00214F2C">
        <w:t xml:space="preserve">sur la </w:t>
      </w:r>
      <w:r w:rsidR="00841D45" w:rsidRPr="00D66609">
        <w:t xml:space="preserve">période </w:t>
      </w:r>
      <w:r w:rsidR="00A86A5F">
        <w:t xml:space="preserve">comprise entre </w:t>
      </w:r>
      <w:r w:rsidR="00841D45" w:rsidRPr="00D66609">
        <w:t xml:space="preserve">septembre 2007 </w:t>
      </w:r>
      <w:r w:rsidR="00A86A5F">
        <w:t xml:space="preserve">et </w:t>
      </w:r>
      <w:r w:rsidR="00841D45" w:rsidRPr="00D66609">
        <w:t>juin 2009</w:t>
      </w:r>
      <w:r w:rsidR="00841D45" w:rsidRPr="00D66609">
        <w:rPr>
          <w:rStyle w:val="FootnoteReference"/>
        </w:rPr>
        <w:footnoteReference w:id="22"/>
      </w:r>
      <w:r w:rsidR="002D3C18">
        <w:t>.</w:t>
      </w:r>
      <w:r w:rsidR="00841D45" w:rsidRPr="00D66609">
        <w:t xml:space="preserve"> L’étude se base sur une analyse des prises de position politique </w:t>
      </w:r>
      <w:r w:rsidR="00214F2C">
        <w:t xml:space="preserve">sur le </w:t>
      </w:r>
      <w:r w:rsidR="00841D45" w:rsidRPr="00D66609">
        <w:t>thème de l’</w:t>
      </w:r>
      <w:r w:rsidR="00841D45">
        <w:t>inter</w:t>
      </w:r>
      <w:r w:rsidR="00841D45" w:rsidRPr="00D66609">
        <w:t xml:space="preserve">culturalité reprises dans quatre grands journaux nationaux.  </w:t>
      </w:r>
    </w:p>
    <w:p w:rsidR="00841D45" w:rsidRDefault="0075326E" w:rsidP="00C8122D">
      <w:pPr>
        <w:pStyle w:val="SingleTxtG"/>
      </w:pPr>
      <w:r>
        <w:t>180.</w:t>
      </w:r>
      <w:r>
        <w:tab/>
      </w:r>
      <w:r w:rsidR="00841D45" w:rsidRPr="00D66609">
        <w:t>Sur la période couverte, l’étude a révélé que 46 prises de position politique furent identifiées comme racistes, antisémites ou xénophobes et qu’une grande partie de ces prises de position (26 prises de position politique) était de nature islamophobe. Ainsi, un grand nombre de prise</w:t>
      </w:r>
      <w:r w:rsidR="00214F2C">
        <w:t>s</w:t>
      </w:r>
      <w:r w:rsidR="00841D45" w:rsidRPr="00D66609">
        <w:t xml:space="preserve"> de position politique dénoncent une «incompatibilité» entre «la culture </w:t>
      </w:r>
      <w:r w:rsidR="00214F2C">
        <w:t>m</w:t>
      </w:r>
      <w:r w:rsidR="00841D45" w:rsidRPr="00D66609">
        <w:t xml:space="preserve">usulmane et la culture occidentale». </w:t>
      </w:r>
      <w:r w:rsidR="00214F2C">
        <w:t xml:space="preserve">On </w:t>
      </w:r>
      <w:r w:rsidR="00675F3E">
        <w:t>trouver</w:t>
      </w:r>
      <w:r w:rsidR="00C8122D">
        <w:t>a</w:t>
      </w:r>
      <w:r w:rsidR="00675F3E">
        <w:t xml:space="preserve"> </w:t>
      </w:r>
      <w:r w:rsidR="00214F2C">
        <w:t>p</w:t>
      </w:r>
      <w:r w:rsidR="00841D45" w:rsidRPr="00D66609">
        <w:t>lus d’information</w:t>
      </w:r>
      <w:r w:rsidR="00214F2C">
        <w:t>s</w:t>
      </w:r>
      <w:r w:rsidR="00841D45" w:rsidRPr="00D66609">
        <w:t xml:space="preserve"> sur les résultats de cette étude </w:t>
      </w:r>
      <w:r w:rsidR="00214F2C">
        <w:t>dans l’</w:t>
      </w:r>
      <w:r w:rsidR="00841D45" w:rsidRPr="00D66609">
        <w:t>annexe</w:t>
      </w:r>
      <w:r w:rsidR="00214F2C">
        <w:t xml:space="preserve"> </w:t>
      </w:r>
      <w:r w:rsidR="00873BA9">
        <w:t>correspondante</w:t>
      </w:r>
      <w:r w:rsidR="00841D45">
        <w:rPr>
          <w:rStyle w:val="FootnoteReference"/>
        </w:rPr>
        <w:footnoteReference w:id="23"/>
      </w:r>
      <w:r w:rsidR="002D3C18">
        <w:t>.</w:t>
      </w:r>
      <w:r w:rsidR="00841D45">
        <w:t xml:space="preserve"> </w:t>
      </w:r>
      <w:r w:rsidR="00841D45" w:rsidRPr="00CF1E4A">
        <w:t xml:space="preserve"> </w:t>
      </w:r>
    </w:p>
    <w:p w:rsidR="00841D45" w:rsidRPr="00340AAB" w:rsidRDefault="00611D73" w:rsidP="00841D45">
      <w:pPr>
        <w:pStyle w:val="SingleTxtG"/>
        <w:rPr>
          <w:b/>
          <w:bCs/>
          <w:lang w:val="fr-BE"/>
        </w:rPr>
      </w:pPr>
      <w:r w:rsidRPr="00340AAB">
        <w:rPr>
          <w:b/>
          <w:bCs/>
        </w:rPr>
        <w:t>Réponse au paragraphe 24 de la liste de points à traiter</w:t>
      </w:r>
    </w:p>
    <w:p w:rsidR="00841D45" w:rsidRDefault="0075326E" w:rsidP="00F10752">
      <w:pPr>
        <w:pStyle w:val="SingleTxtG"/>
      </w:pPr>
      <w:r w:rsidRPr="00D70B08">
        <w:rPr>
          <w:lang w:val="fr-BE"/>
        </w:rPr>
        <w:t>181.</w:t>
      </w:r>
      <w:r>
        <w:rPr>
          <w:color w:val="FF0000"/>
          <w:lang w:val="fr-BE"/>
        </w:rPr>
        <w:tab/>
      </w:r>
      <w:r w:rsidR="00841D45">
        <w:t xml:space="preserve">Les principaux résultats du Plan d’action fédéral susmentionné </w:t>
      </w:r>
      <w:r w:rsidR="00F10752">
        <w:t>sont</w:t>
      </w:r>
      <w:r w:rsidR="00841D45">
        <w:t xml:space="preserve"> comme suit : </w:t>
      </w:r>
    </w:p>
    <w:p w:rsidR="00841D45" w:rsidRDefault="00841D45" w:rsidP="00D13164">
      <w:pPr>
        <w:pStyle w:val="SingleTxtG"/>
        <w:rPr>
          <w:bCs/>
        </w:rPr>
      </w:pPr>
      <w:r>
        <w:rPr>
          <w:bCs/>
        </w:rPr>
        <w:t xml:space="preserve">- De nombreuses mesures ont été adoptées pour que les agents de police, les magistrats et les juges soient mis au courant de la législation </w:t>
      </w:r>
      <w:r w:rsidR="00F10752">
        <w:rPr>
          <w:bCs/>
        </w:rPr>
        <w:t>destinée à combattre</w:t>
      </w:r>
      <w:r>
        <w:rPr>
          <w:bCs/>
        </w:rPr>
        <w:t xml:space="preserve"> les discriminations et le racisme</w:t>
      </w:r>
      <w:r>
        <w:rPr>
          <w:rStyle w:val="FootnoteReference"/>
          <w:bCs/>
        </w:rPr>
        <w:footnoteReference w:id="24"/>
      </w:r>
      <w:r>
        <w:rPr>
          <w:bCs/>
        </w:rPr>
        <w:t xml:space="preserve">. Des campagnes </w:t>
      </w:r>
      <w:r w:rsidR="00140B46">
        <w:rPr>
          <w:bCs/>
        </w:rPr>
        <w:t xml:space="preserve">ont été </w:t>
      </w:r>
      <w:r>
        <w:rPr>
          <w:bCs/>
        </w:rPr>
        <w:t xml:space="preserve">menées pour </w:t>
      </w:r>
      <w:r w:rsidR="00D45E20">
        <w:rPr>
          <w:bCs/>
        </w:rPr>
        <w:t xml:space="preserve">rendre </w:t>
      </w:r>
      <w:r w:rsidR="00140B46">
        <w:rPr>
          <w:bCs/>
        </w:rPr>
        <w:t>l’</w:t>
      </w:r>
      <w:r>
        <w:rPr>
          <w:bCs/>
        </w:rPr>
        <w:t>application des lois anti-discrimination</w:t>
      </w:r>
      <w:r w:rsidR="009C75C1" w:rsidRPr="009C75C1">
        <w:rPr>
          <w:bCs/>
        </w:rPr>
        <w:t xml:space="preserve"> </w:t>
      </w:r>
      <w:r w:rsidR="009C75C1">
        <w:rPr>
          <w:bCs/>
        </w:rPr>
        <w:t>plus efficace</w:t>
      </w:r>
      <w:r>
        <w:rPr>
          <w:bCs/>
        </w:rPr>
        <w:t>. Le Centre s’est</w:t>
      </w:r>
      <w:r w:rsidR="00D13164">
        <w:rPr>
          <w:bCs/>
        </w:rPr>
        <w:t>,</w:t>
      </w:r>
      <w:r>
        <w:rPr>
          <w:bCs/>
        </w:rPr>
        <w:t xml:space="preserve"> en outre, </w:t>
      </w:r>
      <w:r w:rsidR="00D13164">
        <w:rPr>
          <w:bCs/>
        </w:rPr>
        <w:t xml:space="preserve">employé à dispenser </w:t>
      </w:r>
      <w:r>
        <w:rPr>
          <w:bCs/>
        </w:rPr>
        <w:t>des formations initiales et continue</w:t>
      </w:r>
      <w:r w:rsidR="00D13164">
        <w:rPr>
          <w:bCs/>
        </w:rPr>
        <w:t>s</w:t>
      </w:r>
      <w:r>
        <w:rPr>
          <w:bCs/>
        </w:rPr>
        <w:t xml:space="preserve"> à tous les membres du système judiciaire – agents de police, magistrats et juges</w:t>
      </w:r>
      <w:r w:rsidR="0075326E">
        <w:rPr>
          <w:bCs/>
        </w:rPr>
        <w:t>;</w:t>
      </w:r>
    </w:p>
    <w:p w:rsidR="00841D45" w:rsidRDefault="00841D45" w:rsidP="00892882">
      <w:pPr>
        <w:pStyle w:val="SingleTxtG"/>
        <w:rPr>
          <w:bCs/>
        </w:rPr>
      </w:pPr>
      <w:r>
        <w:rPr>
          <w:bCs/>
        </w:rPr>
        <w:t xml:space="preserve">- En ce qui concerne le suivi des plaintes, un magistrat de référence compétent </w:t>
      </w:r>
      <w:r w:rsidR="00D13164">
        <w:rPr>
          <w:bCs/>
        </w:rPr>
        <w:t>s</w:t>
      </w:r>
      <w:r>
        <w:rPr>
          <w:bCs/>
        </w:rPr>
        <w:t xml:space="preserve">ur les questions de racisme et de discrimination </w:t>
      </w:r>
      <w:r w:rsidR="00D13164">
        <w:rPr>
          <w:bCs/>
        </w:rPr>
        <w:t xml:space="preserve">a été nommé </w:t>
      </w:r>
      <w:r>
        <w:rPr>
          <w:bCs/>
        </w:rPr>
        <w:t>dans chaque arrondissement judiciaire. Le système peut</w:t>
      </w:r>
      <w:r w:rsidR="00D13164">
        <w:rPr>
          <w:bCs/>
        </w:rPr>
        <w:t>,</w:t>
      </w:r>
      <w:r>
        <w:rPr>
          <w:bCs/>
        </w:rPr>
        <w:t xml:space="preserve"> cependant</w:t>
      </w:r>
      <w:r w:rsidR="00D13164">
        <w:rPr>
          <w:bCs/>
        </w:rPr>
        <w:t>,</w:t>
      </w:r>
      <w:r>
        <w:rPr>
          <w:bCs/>
        </w:rPr>
        <w:t xml:space="preserve"> être </w:t>
      </w:r>
      <w:r w:rsidR="00D13164">
        <w:rPr>
          <w:bCs/>
        </w:rPr>
        <w:t xml:space="preserve">étendu </w:t>
      </w:r>
      <w:r>
        <w:rPr>
          <w:bCs/>
        </w:rPr>
        <w:t>e</w:t>
      </w:r>
      <w:r w:rsidR="00771974">
        <w:rPr>
          <w:bCs/>
        </w:rPr>
        <w:t>t</w:t>
      </w:r>
      <w:r>
        <w:rPr>
          <w:bCs/>
        </w:rPr>
        <w:t xml:space="preserve"> offr</w:t>
      </w:r>
      <w:r w:rsidR="00771974">
        <w:rPr>
          <w:bCs/>
        </w:rPr>
        <w:t xml:space="preserve">ir </w:t>
      </w:r>
      <w:r>
        <w:rPr>
          <w:bCs/>
        </w:rPr>
        <w:t xml:space="preserve">des formations supplémentaires aux magistrats de référence </w:t>
      </w:r>
      <w:r w:rsidR="00892882">
        <w:rPr>
          <w:bCs/>
        </w:rPr>
        <w:t>ou</w:t>
      </w:r>
      <w:r>
        <w:rPr>
          <w:bCs/>
        </w:rPr>
        <w:t xml:space="preserve"> stimul</w:t>
      </w:r>
      <w:r w:rsidR="00892882">
        <w:rPr>
          <w:bCs/>
        </w:rPr>
        <w:t xml:space="preserve">er </w:t>
      </w:r>
      <w:r>
        <w:rPr>
          <w:bCs/>
        </w:rPr>
        <w:t>les contacts entre ces magistrats, les autres magistrats et les acteurs impliqués dans la lutte contre le racisme</w:t>
      </w:r>
      <w:r w:rsidR="0075326E">
        <w:rPr>
          <w:bCs/>
        </w:rPr>
        <w:t>;</w:t>
      </w:r>
    </w:p>
    <w:p w:rsidR="00841D45" w:rsidRDefault="00841D45" w:rsidP="00C468D9">
      <w:pPr>
        <w:pStyle w:val="SingleTxtG"/>
      </w:pPr>
      <w:r>
        <w:rPr>
          <w:bCs/>
        </w:rPr>
        <w:t xml:space="preserve">- </w:t>
      </w:r>
      <w:r w:rsidR="00AC32BC">
        <w:rPr>
          <w:bCs/>
        </w:rPr>
        <w:t>Dans l</w:t>
      </w:r>
      <w:r>
        <w:rPr>
          <w:bCs/>
        </w:rPr>
        <w:t>e plan d’action fédéral de 2004 contre la violence motivée par le racisme, l’antisémitisme et la xénophobie</w:t>
      </w:r>
      <w:r w:rsidR="00AC32BC">
        <w:rPr>
          <w:bCs/>
        </w:rPr>
        <w:t xml:space="preserve">, il était </w:t>
      </w:r>
      <w:r>
        <w:rPr>
          <w:bCs/>
        </w:rPr>
        <w:t>demand</w:t>
      </w:r>
      <w:r w:rsidR="00AC32BC">
        <w:rPr>
          <w:bCs/>
        </w:rPr>
        <w:t>é</w:t>
      </w:r>
      <w:r>
        <w:rPr>
          <w:bCs/>
        </w:rPr>
        <w:t xml:space="preserve"> </w:t>
      </w:r>
      <w:r w:rsidR="00ED2FD2">
        <w:rPr>
          <w:bCs/>
        </w:rPr>
        <w:t xml:space="preserve">d’accorder </w:t>
      </w:r>
      <w:r>
        <w:rPr>
          <w:bCs/>
        </w:rPr>
        <w:t xml:space="preserve">une attention spéciale </w:t>
      </w:r>
      <w:r w:rsidR="00ED2FD2">
        <w:rPr>
          <w:bCs/>
        </w:rPr>
        <w:t xml:space="preserve">à </w:t>
      </w:r>
      <w:r>
        <w:rPr>
          <w:bCs/>
        </w:rPr>
        <w:t>la diffusion des idéologies racistes et antisémites via Internet. Un colloque sur la cyber</w:t>
      </w:r>
      <w:r w:rsidR="00292AEF">
        <w:rPr>
          <w:bCs/>
        </w:rPr>
        <w:t>-</w:t>
      </w:r>
      <w:r>
        <w:rPr>
          <w:bCs/>
        </w:rPr>
        <w:t xml:space="preserve">haine </w:t>
      </w:r>
      <w:r w:rsidR="00C72ECF">
        <w:rPr>
          <w:bCs/>
        </w:rPr>
        <w:t xml:space="preserve">a été </w:t>
      </w:r>
      <w:r>
        <w:rPr>
          <w:bCs/>
        </w:rPr>
        <w:t>entre autres organisé : «</w:t>
      </w:r>
      <w:r w:rsidR="00C72ECF">
        <w:rPr>
          <w:bCs/>
        </w:rPr>
        <w:t>R</w:t>
      </w:r>
      <w:r>
        <w:rPr>
          <w:bCs/>
        </w:rPr>
        <w:t xml:space="preserve">acisme et discrimination sur Internet». Suite à ce colloque, un site web </w:t>
      </w:r>
      <w:r w:rsidR="00C72ECF">
        <w:rPr>
          <w:bCs/>
        </w:rPr>
        <w:t>a été institué</w:t>
      </w:r>
      <w:r>
        <w:rPr>
          <w:bCs/>
        </w:rPr>
        <w:t xml:space="preserve"> sur lequel tout le monde peut signaler les sites web racistes : </w:t>
      </w:r>
      <w:hyperlink r:id="rId9" w:history="1">
        <w:r w:rsidRPr="00AD1215">
          <w:rPr>
            <w:rStyle w:val="Hyperlink"/>
          </w:rPr>
          <w:t>www.cyberhate.be</w:t>
        </w:r>
      </w:hyperlink>
      <w:r w:rsidRPr="008378E4">
        <w:t>.</w:t>
      </w:r>
      <w:r>
        <w:t xml:space="preserve"> Le Centre a également diffusé une brochure intitulée </w:t>
      </w:r>
      <w:r w:rsidR="00004412">
        <w:t>«</w:t>
      </w:r>
      <w:r w:rsidRPr="00AE6CCA">
        <w:t>Delete</w:t>
      </w:r>
      <w:r w:rsidRPr="00EE69DD">
        <w:t xml:space="preserve"> cyberhate</w:t>
      </w:r>
      <w:r w:rsidR="00EE69DD">
        <w:t xml:space="preserve">», qui </w:t>
      </w:r>
      <w:r w:rsidR="00C468D9">
        <w:t>se veut un</w:t>
      </w:r>
      <w:r>
        <w:t xml:space="preserve"> guide </w:t>
      </w:r>
      <w:r w:rsidR="00C468D9">
        <w:t>pour les</w:t>
      </w:r>
      <w:r>
        <w:t xml:space="preserve"> utilisateurs d’</w:t>
      </w:r>
      <w:r w:rsidR="00EE69DD">
        <w:t>I</w:t>
      </w:r>
      <w:r>
        <w:t xml:space="preserve">nternet. </w:t>
      </w:r>
    </w:p>
    <w:p w:rsidR="00841D45" w:rsidRDefault="00292AEF" w:rsidP="0072523A">
      <w:pPr>
        <w:pStyle w:val="SingleTxtG"/>
      </w:pPr>
      <w:r>
        <w:t>182.</w:t>
      </w:r>
      <w:r>
        <w:tab/>
      </w:r>
      <w:r w:rsidR="00841D45">
        <w:t xml:space="preserve">En outre, le Centre a formellement conseillé aux autorités belges de poursuivre et d’intensifier leurs efforts contre les expressions racistes sur Internet, entre autres en sensibilisant davantage les médias </w:t>
      </w:r>
      <w:r w:rsidR="002F396C">
        <w:t xml:space="preserve">à </w:t>
      </w:r>
      <w:r w:rsidR="00841D45">
        <w:t xml:space="preserve">la nécessité </w:t>
      </w:r>
      <w:r w:rsidR="002F396C">
        <w:t xml:space="preserve">de ne pas </w:t>
      </w:r>
      <w:r w:rsidR="00841D45">
        <w:t>collabore</w:t>
      </w:r>
      <w:r w:rsidR="002F396C">
        <w:t>r</w:t>
      </w:r>
      <w:r w:rsidR="00841D45">
        <w:t xml:space="preserve">, </w:t>
      </w:r>
      <w:r w:rsidR="0072523A">
        <w:t xml:space="preserve">avec </w:t>
      </w:r>
      <w:r w:rsidR="00841D45">
        <w:t xml:space="preserve">leurs propres reportages mais aussi </w:t>
      </w:r>
      <w:r w:rsidR="002F396C">
        <w:t xml:space="preserve">avec </w:t>
      </w:r>
      <w:r w:rsidR="00841D45">
        <w:t>les forums de discussion des lecteurs qu’ils hébergent sur leurs sites, à la création d’un climat hostile et intolérant à l’encontre des membres d’une minorité.</w:t>
      </w:r>
    </w:p>
    <w:p w:rsidR="00841D45" w:rsidRDefault="00292AEF" w:rsidP="00E027EA">
      <w:pPr>
        <w:pStyle w:val="SingleTxtG"/>
      </w:pPr>
      <w:r>
        <w:t>183.</w:t>
      </w:r>
      <w:r>
        <w:tab/>
      </w:r>
      <w:r w:rsidR="00841D45">
        <w:t>Les activités des organisations d’extrême</w:t>
      </w:r>
      <w:r w:rsidR="00CD210B">
        <w:t>-</w:t>
      </w:r>
      <w:r w:rsidR="00841D45">
        <w:t xml:space="preserve">droite </w:t>
      </w:r>
      <w:r w:rsidR="00CD210B">
        <w:t xml:space="preserve">sont </w:t>
      </w:r>
      <w:r w:rsidR="00841D45">
        <w:t xml:space="preserve">scrupuleusement surveillées. La police a entrepris des actions </w:t>
      </w:r>
      <w:r w:rsidR="00534D1D">
        <w:t xml:space="preserve">destinées à </w:t>
      </w:r>
      <w:r w:rsidR="00841D45">
        <w:t>prévenir et réprimer les incitations à la haine contre les personnes et les groupes d</w:t>
      </w:r>
      <w:r w:rsidR="00E027EA">
        <w:t>ans l</w:t>
      </w:r>
      <w:r w:rsidR="00841D45">
        <w:t>e</w:t>
      </w:r>
      <w:r w:rsidR="00534D1D">
        <w:t>s</w:t>
      </w:r>
      <w:r w:rsidR="00841D45">
        <w:t xml:space="preserve"> concerts et </w:t>
      </w:r>
      <w:r w:rsidR="00E027EA">
        <w:t>l</w:t>
      </w:r>
      <w:r w:rsidR="00841D45">
        <w:t>e</w:t>
      </w:r>
      <w:r w:rsidR="00534D1D">
        <w:t>s</w:t>
      </w:r>
      <w:r w:rsidR="00841D45">
        <w:t xml:space="preserve"> manifestations.</w:t>
      </w:r>
      <w:r w:rsidR="00841D45" w:rsidRPr="009956BC">
        <w:t xml:space="preserve"> </w:t>
      </w:r>
    </w:p>
    <w:p w:rsidR="00841D45" w:rsidRPr="009956BC" w:rsidRDefault="00292AEF" w:rsidP="00437261">
      <w:pPr>
        <w:pStyle w:val="SingleTxtG"/>
      </w:pPr>
      <w:r>
        <w:t>184.</w:t>
      </w:r>
      <w:r>
        <w:tab/>
      </w:r>
      <w:r w:rsidR="00841D45">
        <w:t>Pour plus de précision</w:t>
      </w:r>
      <w:r w:rsidR="00437261">
        <w:t>s</w:t>
      </w:r>
      <w:r w:rsidR="00841D45">
        <w:t xml:space="preserve">, </w:t>
      </w:r>
      <w:r w:rsidR="00437261">
        <w:t xml:space="preserve">on trouvera en </w:t>
      </w:r>
      <w:r w:rsidR="00841D45">
        <w:t>annexe</w:t>
      </w:r>
      <w:r w:rsidR="00841D45">
        <w:rPr>
          <w:rStyle w:val="FootnoteReference"/>
        </w:rPr>
        <w:footnoteReference w:id="25"/>
      </w:r>
      <w:r w:rsidR="00841D45">
        <w:t xml:space="preserve"> une mise </w:t>
      </w:r>
      <w:r w:rsidR="00841D45" w:rsidRPr="009956BC">
        <w:t xml:space="preserve">à jour de l’évaluation du plan en 10 points contre le racisme et </w:t>
      </w:r>
      <w:r w:rsidR="00A324A5">
        <w:t>d</w:t>
      </w:r>
      <w:r w:rsidR="00841D45" w:rsidRPr="009956BC">
        <w:t>es perspectives d’avenir.</w:t>
      </w:r>
    </w:p>
    <w:p w:rsidR="00841D45" w:rsidRPr="00A65915" w:rsidRDefault="00292AEF" w:rsidP="00234AB2">
      <w:pPr>
        <w:pStyle w:val="SingleTxtG"/>
        <w:rPr>
          <w:lang w:val="fr-BE"/>
        </w:rPr>
      </w:pPr>
      <w:r>
        <w:rPr>
          <w:lang w:val="fr-BE"/>
        </w:rPr>
        <w:t>185.</w:t>
      </w:r>
      <w:r>
        <w:rPr>
          <w:lang w:val="fr-BE"/>
        </w:rPr>
        <w:tab/>
      </w:r>
      <w:r w:rsidR="00841D45" w:rsidRPr="00A65915">
        <w:rPr>
          <w:lang w:val="fr-BE"/>
        </w:rPr>
        <w:t xml:space="preserve">Cette proposition n’a pas mis été mise à l’ordre du jour </w:t>
      </w:r>
      <w:r w:rsidR="00234AB2">
        <w:rPr>
          <w:lang w:val="fr-BE"/>
        </w:rPr>
        <w:t>de</w:t>
      </w:r>
      <w:r w:rsidR="00234AB2" w:rsidRPr="00A65915">
        <w:rPr>
          <w:lang w:val="fr-BE"/>
        </w:rPr>
        <w:t xml:space="preserve"> </w:t>
      </w:r>
      <w:r w:rsidR="00841D45" w:rsidRPr="00A65915">
        <w:rPr>
          <w:lang w:val="fr-BE"/>
        </w:rPr>
        <w:t xml:space="preserve">la Chambre. En raison de la chute du </w:t>
      </w:r>
      <w:r w:rsidR="00F82378">
        <w:rPr>
          <w:lang w:val="fr-BE"/>
        </w:rPr>
        <w:t>G</w:t>
      </w:r>
      <w:r w:rsidR="00841D45" w:rsidRPr="00A65915">
        <w:rPr>
          <w:lang w:val="fr-BE"/>
        </w:rPr>
        <w:t xml:space="preserve">ouvernement en mai 2010, elle est dorénavant caduque. </w:t>
      </w:r>
    </w:p>
    <w:p w:rsidR="007943C5" w:rsidRDefault="00292AEF" w:rsidP="0071114F">
      <w:pPr>
        <w:pStyle w:val="SingleTxtG"/>
        <w:rPr>
          <w:bCs/>
        </w:rPr>
      </w:pPr>
      <w:r>
        <w:rPr>
          <w:lang w:val="fr-BE"/>
        </w:rPr>
        <w:t>186.</w:t>
      </w:r>
      <w:r>
        <w:rPr>
          <w:lang w:val="fr-BE"/>
        </w:rPr>
        <w:tab/>
      </w:r>
      <w:r w:rsidR="00841D45" w:rsidRPr="00CA554C">
        <w:rPr>
          <w:bCs/>
        </w:rPr>
        <w:t xml:space="preserve">La procédure dont </w:t>
      </w:r>
      <w:r w:rsidR="00841D45">
        <w:rPr>
          <w:bCs/>
        </w:rPr>
        <w:t xml:space="preserve">il est </w:t>
      </w:r>
      <w:r w:rsidR="00841D45" w:rsidRPr="00CA554C">
        <w:rPr>
          <w:bCs/>
        </w:rPr>
        <w:t>question est toujours pendante devant le Conseil d'</w:t>
      </w:r>
      <w:r w:rsidR="000D7AB1">
        <w:rPr>
          <w:bCs/>
        </w:rPr>
        <w:t>État</w:t>
      </w:r>
      <w:r w:rsidR="00841D45" w:rsidRPr="00CA554C">
        <w:rPr>
          <w:bCs/>
        </w:rPr>
        <w:t>.</w:t>
      </w:r>
      <w:r w:rsidR="00841D45" w:rsidRPr="00CA554C">
        <w:rPr>
          <w:bCs/>
        </w:rPr>
        <w:br/>
        <w:t xml:space="preserve">Par </w:t>
      </w:r>
      <w:r w:rsidR="00234AB2">
        <w:rPr>
          <w:bCs/>
        </w:rPr>
        <w:t>l’</w:t>
      </w:r>
      <w:r w:rsidR="00841D45" w:rsidRPr="00CA554C">
        <w:rPr>
          <w:bCs/>
        </w:rPr>
        <w:t xml:space="preserve">ordonnance du 17 juin 2008, un premier rapport et </w:t>
      </w:r>
      <w:r w:rsidR="00234AB2">
        <w:rPr>
          <w:bCs/>
        </w:rPr>
        <w:t>un</w:t>
      </w:r>
      <w:r w:rsidR="00234AB2" w:rsidRPr="00CA554C">
        <w:rPr>
          <w:bCs/>
        </w:rPr>
        <w:t xml:space="preserve"> </w:t>
      </w:r>
      <w:r w:rsidR="00841D45" w:rsidRPr="00CA554C">
        <w:rPr>
          <w:bCs/>
        </w:rPr>
        <w:t>dossier ont été déposés au greffe.</w:t>
      </w:r>
      <w:r w:rsidR="00234AB2">
        <w:rPr>
          <w:bCs/>
        </w:rPr>
        <w:t xml:space="preserve"> </w:t>
      </w:r>
      <w:r w:rsidR="00841D45" w:rsidRPr="00CA554C">
        <w:rPr>
          <w:bCs/>
        </w:rPr>
        <w:t xml:space="preserve">Par arrêt n° 189.463 du 14 janvier 2009, le Conseil d'État s'est prononcé sur un certain nombre d'arguments avancés dans les mémoires des parties ainsi que sur une demande de biffure du rôle et sur une demande de réouverture des débats. Dans cet arrêt, six questions préjudicielles ont été posées à la Cour </w:t>
      </w:r>
      <w:r w:rsidR="00D94C28">
        <w:rPr>
          <w:bCs/>
        </w:rPr>
        <w:t>c</w:t>
      </w:r>
      <w:r w:rsidR="00841D45" w:rsidRPr="00CA554C">
        <w:rPr>
          <w:bCs/>
        </w:rPr>
        <w:t xml:space="preserve">onstitutionnelle et les débats ont été rouverts. </w:t>
      </w:r>
      <w:r w:rsidR="0071114F">
        <w:rPr>
          <w:bCs/>
        </w:rPr>
        <w:t>Dans son</w:t>
      </w:r>
      <w:r w:rsidR="0071114F" w:rsidRPr="00CA554C">
        <w:rPr>
          <w:bCs/>
        </w:rPr>
        <w:t xml:space="preserve"> </w:t>
      </w:r>
      <w:r w:rsidR="00841D45" w:rsidRPr="00CA554C">
        <w:rPr>
          <w:bCs/>
        </w:rPr>
        <w:t xml:space="preserve">arrêt n° 195/2009 du 3 décembre 2009, la Cour a </w:t>
      </w:r>
      <w:r w:rsidR="00886252">
        <w:rPr>
          <w:bCs/>
        </w:rPr>
        <w:t>donné une réponse</w:t>
      </w:r>
      <w:r w:rsidR="0071114F" w:rsidRPr="00CA554C">
        <w:rPr>
          <w:bCs/>
        </w:rPr>
        <w:t xml:space="preserve"> </w:t>
      </w:r>
      <w:r w:rsidR="00841D45">
        <w:rPr>
          <w:bCs/>
        </w:rPr>
        <w:t>négative.</w:t>
      </w:r>
    </w:p>
    <w:p w:rsidR="00E54C7C" w:rsidRDefault="007943C5" w:rsidP="0094644A">
      <w:pPr>
        <w:pStyle w:val="SingleTxtG"/>
        <w:rPr>
          <w:bCs/>
        </w:rPr>
      </w:pPr>
      <w:r>
        <w:rPr>
          <w:bCs/>
        </w:rPr>
        <w:t>187.</w:t>
      </w:r>
      <w:r>
        <w:rPr>
          <w:bCs/>
        </w:rPr>
        <w:tab/>
      </w:r>
      <w:r w:rsidR="0094644A">
        <w:rPr>
          <w:bCs/>
        </w:rPr>
        <w:t>Aux termes de l’</w:t>
      </w:r>
      <w:r w:rsidR="00841D45">
        <w:rPr>
          <w:bCs/>
        </w:rPr>
        <w:t>ordonnance n°</w:t>
      </w:r>
      <w:r w:rsidR="00E54C7C">
        <w:rPr>
          <w:bCs/>
        </w:rPr>
        <w:t xml:space="preserve"> </w:t>
      </w:r>
      <w:r w:rsidR="00841D45" w:rsidRPr="00CA554C">
        <w:rPr>
          <w:bCs/>
        </w:rPr>
        <w:t>989-f/n du 15 décembre 2009, l'Assemblée générale de la section du contentieux administratif du Conseil d'État a chargé le membre de l'Auditorat désigné par l'Auditeur général d'une instruction complémentaire.</w:t>
      </w:r>
      <w:r w:rsidR="0013799E">
        <w:rPr>
          <w:bCs/>
        </w:rPr>
        <w:t xml:space="preserve"> </w:t>
      </w:r>
      <w:r w:rsidR="00841D45" w:rsidRPr="00CA554C">
        <w:rPr>
          <w:bCs/>
        </w:rPr>
        <w:t>En vertu de l'article 5,</w:t>
      </w:r>
      <w:r w:rsidR="0094644A">
        <w:rPr>
          <w:bCs/>
        </w:rPr>
        <w:t xml:space="preserve"> par.</w:t>
      </w:r>
      <w:r w:rsidR="00841D45" w:rsidRPr="00CA554C">
        <w:rPr>
          <w:bCs/>
        </w:rPr>
        <w:t xml:space="preserve"> 2°, de l'arrêté royal du 31 août 2005 déterminant les règles particulières de délai et de procédure pour le traitement des demandes introduites en application de l'article 15</w:t>
      </w:r>
      <w:r>
        <w:rPr>
          <w:bCs/>
        </w:rPr>
        <w:t xml:space="preserve"> </w:t>
      </w:r>
      <w:r w:rsidR="00841D45" w:rsidRPr="007943C5">
        <w:rPr>
          <w:bCs/>
          <w:i/>
          <w:iCs/>
        </w:rPr>
        <w:t>ter</w:t>
      </w:r>
      <w:r w:rsidR="00841D45" w:rsidRPr="00CA554C">
        <w:rPr>
          <w:bCs/>
        </w:rPr>
        <w:t xml:space="preserve"> de la loi du 4 juillet 1989 relative à la limitation et au contrôle des dépenses électorales engagées pour les élections des chambres fédérales, ainsi qu'au financement et à la comptabilité ouverte des partis politiques (M.B.13 octobre 2005, </w:t>
      </w:r>
      <w:r w:rsidR="0013799E">
        <w:rPr>
          <w:bCs/>
        </w:rPr>
        <w:t>é</w:t>
      </w:r>
      <w:r w:rsidR="00841D45" w:rsidRPr="00CA554C">
        <w:rPr>
          <w:bCs/>
        </w:rPr>
        <w:t>d. 2), la procédure et l'instruction de l'affaire sont suspendues</w:t>
      </w:r>
      <w:r w:rsidR="0094644A">
        <w:rPr>
          <w:bCs/>
        </w:rPr>
        <w:t>,</w:t>
      </w:r>
      <w:r w:rsidR="00841D45" w:rsidRPr="00CA554C">
        <w:rPr>
          <w:bCs/>
        </w:rPr>
        <w:t xml:space="preserve"> entre autres</w:t>
      </w:r>
      <w:r w:rsidR="0094644A">
        <w:rPr>
          <w:bCs/>
        </w:rPr>
        <w:t>,</w:t>
      </w:r>
      <w:r w:rsidR="00841D45" w:rsidRPr="00CA554C">
        <w:rPr>
          <w:bCs/>
        </w:rPr>
        <w:t xml:space="preserve"> à compter de la date de l'acte de dissolution des Chambres. </w:t>
      </w:r>
    </w:p>
    <w:p w:rsidR="00841D45" w:rsidRPr="007B1EA6" w:rsidRDefault="00E54C7C" w:rsidP="007943C5">
      <w:pPr>
        <w:pStyle w:val="SingleTxtG"/>
        <w:rPr>
          <w:color w:val="33CCCC"/>
        </w:rPr>
      </w:pPr>
      <w:r>
        <w:rPr>
          <w:bCs/>
        </w:rPr>
        <w:t>188.</w:t>
      </w:r>
      <w:r>
        <w:rPr>
          <w:bCs/>
        </w:rPr>
        <w:tab/>
      </w:r>
      <w:r w:rsidR="00841D45" w:rsidRPr="00CA554C">
        <w:rPr>
          <w:bCs/>
        </w:rPr>
        <w:t xml:space="preserve">Par la </w:t>
      </w:r>
      <w:r w:rsidR="00F67B7C">
        <w:rPr>
          <w:bCs/>
        </w:rPr>
        <w:t>D</w:t>
      </w:r>
      <w:r w:rsidR="00841D45" w:rsidRPr="00CA554C">
        <w:rPr>
          <w:bCs/>
        </w:rPr>
        <w:t>éclaration de révision de la Constitution du 7 mai 2010, les deux Chambres ont été dissoutes de plein droit. </w:t>
      </w:r>
      <w:r w:rsidR="007B719D">
        <w:rPr>
          <w:bCs/>
        </w:rPr>
        <w:t xml:space="preserve">À </w:t>
      </w:r>
      <w:r w:rsidR="00841D45" w:rsidRPr="00CA554C">
        <w:rPr>
          <w:bCs/>
        </w:rPr>
        <w:t xml:space="preserve">défaut de reprise d'instance dans le délai d'un mois visé à l'article 20, </w:t>
      </w:r>
      <w:r w:rsidR="00BA55F8">
        <w:rPr>
          <w:bCs/>
        </w:rPr>
        <w:t xml:space="preserve">par. </w:t>
      </w:r>
      <w:r w:rsidR="00841D45" w:rsidRPr="00CA554C">
        <w:rPr>
          <w:bCs/>
        </w:rPr>
        <w:t>2, l'affaire est biffée du rôle par ordonnance du Premier Président.</w:t>
      </w:r>
      <w:r w:rsidR="00841D45" w:rsidRPr="00CA554C">
        <w:rPr>
          <w:bCs/>
        </w:rPr>
        <w:br/>
        <w:t>Par conséquent, la procédure est à présent suspendue. Cette suspension durera jusqu'à la déclaration de reprise d'instance (par un tiers au moins des membres de la nouvelle commission de contrôle)</w:t>
      </w:r>
      <w:r w:rsidR="00130868">
        <w:rPr>
          <w:bCs/>
        </w:rPr>
        <w:t>,</w:t>
      </w:r>
      <w:r w:rsidR="00841D45" w:rsidRPr="00CA554C">
        <w:rPr>
          <w:bCs/>
        </w:rPr>
        <w:t xml:space="preserve"> conformément à l'article 20, </w:t>
      </w:r>
      <w:r w:rsidR="00BA55F8">
        <w:rPr>
          <w:bCs/>
        </w:rPr>
        <w:t xml:space="preserve">par. </w:t>
      </w:r>
      <w:r w:rsidR="00841D45" w:rsidRPr="00CA554C">
        <w:rPr>
          <w:bCs/>
        </w:rPr>
        <w:t>2</w:t>
      </w:r>
      <w:r w:rsidR="00130868">
        <w:rPr>
          <w:bCs/>
        </w:rPr>
        <w:t>,</w:t>
      </w:r>
      <w:r w:rsidR="00841D45" w:rsidRPr="00CA554C">
        <w:rPr>
          <w:bCs/>
        </w:rPr>
        <w:t xml:space="preserve"> de l'arrêté précité. </w:t>
      </w:r>
      <w:r w:rsidR="007B719D">
        <w:rPr>
          <w:bCs/>
        </w:rPr>
        <w:t xml:space="preserve">À </w:t>
      </w:r>
      <w:r w:rsidR="00841D45" w:rsidRPr="007B1EA6">
        <w:rPr>
          <w:bCs/>
        </w:rPr>
        <w:t xml:space="preserve">défaut de reprise d'instance dans le délai d'un mois visé à l'article 20, </w:t>
      </w:r>
      <w:r w:rsidR="00BA55F8">
        <w:rPr>
          <w:bCs/>
        </w:rPr>
        <w:t xml:space="preserve">par. </w:t>
      </w:r>
      <w:r w:rsidR="00841D45" w:rsidRPr="007B1EA6">
        <w:rPr>
          <w:bCs/>
        </w:rPr>
        <w:t>2, l'affaire est biffée du rôle par ordonnance du Premier Président.</w:t>
      </w:r>
    </w:p>
    <w:p w:rsidR="003933BD" w:rsidRPr="00340AAB" w:rsidRDefault="003933BD" w:rsidP="00841D45">
      <w:pPr>
        <w:pStyle w:val="SingleTxtG"/>
        <w:rPr>
          <w:b/>
          <w:bCs/>
          <w:lang w:val="fr-FR"/>
        </w:rPr>
      </w:pPr>
      <w:r w:rsidRPr="00340AAB">
        <w:rPr>
          <w:b/>
          <w:bCs/>
        </w:rPr>
        <w:t xml:space="preserve">Réponse au paragraphe </w:t>
      </w:r>
      <w:r w:rsidR="00EC52BC" w:rsidRPr="00340AAB">
        <w:rPr>
          <w:b/>
          <w:bCs/>
        </w:rPr>
        <w:t>25</w:t>
      </w:r>
      <w:r w:rsidRPr="00340AAB">
        <w:rPr>
          <w:b/>
          <w:bCs/>
        </w:rPr>
        <w:t xml:space="preserve"> de la liste de points à traiter</w:t>
      </w:r>
      <w:r w:rsidRPr="00340AAB" w:rsidDel="003933BD">
        <w:rPr>
          <w:b/>
          <w:bCs/>
          <w:lang w:val="fr-FR"/>
        </w:rPr>
        <w:t xml:space="preserve"> </w:t>
      </w:r>
    </w:p>
    <w:p w:rsidR="00841D45" w:rsidRPr="00F439BB" w:rsidRDefault="00E54C7C" w:rsidP="001E460A">
      <w:pPr>
        <w:pStyle w:val="SingleTxtG"/>
        <w:rPr>
          <w:lang w:val="fr-BE"/>
        </w:rPr>
      </w:pPr>
      <w:r>
        <w:rPr>
          <w:lang w:val="fr-BE"/>
        </w:rPr>
        <w:t>189.</w:t>
      </w:r>
      <w:r>
        <w:rPr>
          <w:lang w:val="fr-BE"/>
        </w:rPr>
        <w:tab/>
      </w:r>
      <w:r w:rsidR="00841D45" w:rsidRPr="00F439BB">
        <w:rPr>
          <w:lang w:val="fr-BE"/>
        </w:rPr>
        <w:t xml:space="preserve">La diffusion, </w:t>
      </w:r>
      <w:r w:rsidR="00841D45" w:rsidRPr="00F439BB">
        <w:rPr>
          <w:color w:val="000000"/>
        </w:rPr>
        <w:t xml:space="preserve">depuis 2007, </w:t>
      </w:r>
      <w:r w:rsidR="00841D45" w:rsidRPr="00F439BB">
        <w:rPr>
          <w:lang w:val="fr-BE"/>
        </w:rPr>
        <w:t>de l’outil</w:t>
      </w:r>
      <w:r w:rsidR="00841D45" w:rsidRPr="00F439BB">
        <w:rPr>
          <w:color w:val="000000"/>
          <w:lang w:val="fr-BE"/>
        </w:rPr>
        <w:t xml:space="preserve"> </w:t>
      </w:r>
      <w:r w:rsidR="00841D45" w:rsidRPr="00F439BB">
        <w:rPr>
          <w:color w:val="000000"/>
        </w:rPr>
        <w:t>de prévention «</w:t>
      </w:r>
      <w:r w:rsidR="00841D45" w:rsidRPr="00F439BB">
        <w:rPr>
          <w:i/>
          <w:iCs/>
          <w:color w:val="000000"/>
        </w:rPr>
        <w:t>Mariage aller-retour</w:t>
      </w:r>
      <w:r w:rsidR="00841D45" w:rsidRPr="00F439BB">
        <w:rPr>
          <w:color w:val="000000"/>
        </w:rPr>
        <w:t>»</w:t>
      </w:r>
      <w:r w:rsidR="00841D45" w:rsidRPr="00F439BB">
        <w:t xml:space="preserve"> </w:t>
      </w:r>
      <w:r w:rsidR="00841D45" w:rsidRPr="00F439BB">
        <w:rPr>
          <w:color w:val="000000"/>
        </w:rPr>
        <w:t>auprès d’un public de professionnels de l’animation et des professionnels de l’enseignement</w:t>
      </w:r>
      <w:r w:rsidR="00841D45" w:rsidRPr="00F439BB">
        <w:t xml:space="preserve"> </w:t>
      </w:r>
      <w:r w:rsidR="00841D45" w:rsidRPr="00F439BB">
        <w:rPr>
          <w:lang w:val="fr-BE"/>
        </w:rPr>
        <w:t xml:space="preserve">fait suite à la publication des résultats de l’étude menée en 2004 visant à détecter la connaissance et la perception </w:t>
      </w:r>
      <w:r w:rsidR="00D96280">
        <w:rPr>
          <w:lang w:val="fr-BE"/>
        </w:rPr>
        <w:t>qu’ont l</w:t>
      </w:r>
      <w:r w:rsidR="00841D45" w:rsidRPr="00F439BB">
        <w:rPr>
          <w:lang w:val="fr-BE"/>
        </w:rPr>
        <w:t>es jeunes</w:t>
      </w:r>
      <w:r w:rsidR="00D96280">
        <w:rPr>
          <w:lang w:val="fr-BE"/>
        </w:rPr>
        <w:t xml:space="preserve"> </w:t>
      </w:r>
      <w:r w:rsidR="00841D45" w:rsidRPr="00F439BB">
        <w:rPr>
          <w:lang w:val="fr-BE"/>
        </w:rPr>
        <w:t>des situations de mariage forcé. Ces premières actions ont permis de développer la lutte contre les mariages forcés en C</w:t>
      </w:r>
      <w:r w:rsidR="00841D45" w:rsidRPr="001E460A">
        <w:rPr>
          <w:lang w:val="fr-BE"/>
        </w:rPr>
        <w:t>ommu</w:t>
      </w:r>
      <w:r w:rsidR="00841D45" w:rsidRPr="00F439BB">
        <w:rPr>
          <w:lang w:val="fr-BE"/>
        </w:rPr>
        <w:t xml:space="preserve">nauté française : </w:t>
      </w:r>
    </w:p>
    <w:p w:rsidR="00841D45" w:rsidRPr="0005714C" w:rsidRDefault="00841D45" w:rsidP="001E460A">
      <w:pPr>
        <w:pStyle w:val="SingleTxtG"/>
        <w:jc w:val="left"/>
        <w:rPr>
          <w:color w:val="000000"/>
          <w:lang w:val="fr-BE"/>
        </w:rPr>
      </w:pPr>
      <w:r w:rsidRPr="0005714C">
        <w:rPr>
          <w:rFonts w:ascii="Symbol" w:hAnsi="Symbol"/>
          <w:color w:val="000000"/>
          <w:lang w:val="fr-BE"/>
        </w:rPr>
        <w:t></w:t>
      </w:r>
      <w:r w:rsidRPr="0005714C">
        <w:rPr>
          <w:rFonts w:ascii="Symbol" w:hAnsi="Symbol"/>
          <w:color w:val="000000"/>
          <w:lang w:val="fr-BE"/>
        </w:rPr>
        <w:tab/>
      </w:r>
      <w:r w:rsidRPr="00F439BB">
        <w:rPr>
          <w:lang w:val="fr-BE"/>
        </w:rPr>
        <w:t xml:space="preserve">Réalisation et diffusion d’une </w:t>
      </w:r>
      <w:r w:rsidRPr="00F439BB">
        <w:rPr>
          <w:bCs/>
          <w:lang w:val="fr-BE"/>
        </w:rPr>
        <w:t>brochure</w:t>
      </w:r>
      <w:r w:rsidRPr="00F439BB">
        <w:rPr>
          <w:lang w:val="fr-BE"/>
        </w:rPr>
        <w:t xml:space="preserve"> à destination des jeunes potentiellement </w:t>
      </w:r>
      <w:r w:rsidRPr="0005714C">
        <w:rPr>
          <w:color w:val="000000"/>
          <w:lang w:val="fr-BE"/>
        </w:rPr>
        <w:t xml:space="preserve">victimes de mariages forcés ou arrangés et des professionnels </w:t>
      </w:r>
      <w:r w:rsidR="001E460A">
        <w:rPr>
          <w:color w:val="000000"/>
          <w:lang w:val="fr-BE"/>
        </w:rPr>
        <w:t>à</w:t>
      </w:r>
      <w:r w:rsidR="001E460A" w:rsidRPr="0005714C">
        <w:rPr>
          <w:color w:val="000000"/>
          <w:lang w:val="fr-BE"/>
        </w:rPr>
        <w:t xml:space="preserve"> </w:t>
      </w:r>
      <w:r w:rsidRPr="0005714C">
        <w:rPr>
          <w:color w:val="000000"/>
          <w:lang w:val="fr-BE"/>
        </w:rPr>
        <w:t>leur contact : «</w:t>
      </w:r>
      <w:r w:rsidRPr="0005714C">
        <w:rPr>
          <w:i/>
          <w:iCs/>
          <w:color w:val="000000"/>
          <w:lang w:val="fr-BE"/>
        </w:rPr>
        <w:t>Temps des vacances,</w:t>
      </w:r>
      <w:r w:rsidR="005B10BE">
        <w:rPr>
          <w:i/>
          <w:iCs/>
          <w:color w:val="000000"/>
          <w:lang w:val="fr-BE"/>
        </w:rPr>
        <w:t xml:space="preserve"> </w:t>
      </w:r>
      <w:r w:rsidRPr="0005714C">
        <w:rPr>
          <w:i/>
          <w:iCs/>
          <w:color w:val="000000"/>
          <w:lang w:val="fr-BE"/>
        </w:rPr>
        <w:t>temps de mariage?</w:t>
      </w:r>
      <w:r w:rsidRPr="0005714C">
        <w:rPr>
          <w:color w:val="000000"/>
          <w:lang w:val="fr-BE"/>
        </w:rPr>
        <w:t xml:space="preserve">» </w:t>
      </w:r>
      <w:hyperlink r:id="rId10" w:history="1">
        <w:r w:rsidR="005B10BE" w:rsidRPr="007231F9">
          <w:rPr>
            <w:rStyle w:val="Hyperlink"/>
            <w:lang w:val="fr-BE"/>
          </w:rPr>
          <w:t>http://www.kbsfrb.be/publication.aspx?id=229066&amp;LangType=2060</w:t>
        </w:r>
      </w:hyperlink>
      <w:r w:rsidRPr="0005714C">
        <w:rPr>
          <w:color w:val="000000"/>
          <w:lang w:val="fr-BE"/>
        </w:rPr>
        <w:t xml:space="preserve"> </w:t>
      </w:r>
    </w:p>
    <w:p w:rsidR="001E460A" w:rsidRDefault="00841D45" w:rsidP="001E460A">
      <w:pPr>
        <w:pStyle w:val="SingleTxtG"/>
        <w:rPr>
          <w:color w:val="000000"/>
          <w:lang w:val="fr-BE"/>
        </w:rPr>
      </w:pPr>
      <w:r w:rsidRPr="0005714C">
        <w:rPr>
          <w:rFonts w:ascii="Symbol" w:hAnsi="Symbol"/>
          <w:color w:val="000000"/>
          <w:lang w:val="fr-BE"/>
        </w:rPr>
        <w:t></w:t>
      </w:r>
      <w:r w:rsidRPr="0005714C">
        <w:rPr>
          <w:rFonts w:ascii="Symbol" w:hAnsi="Symbol"/>
          <w:color w:val="000000"/>
          <w:lang w:val="fr-BE"/>
        </w:rPr>
        <w:tab/>
      </w:r>
      <w:r w:rsidRPr="0005714C">
        <w:rPr>
          <w:color w:val="000000"/>
          <w:lang w:val="fr-BE"/>
        </w:rPr>
        <w:t xml:space="preserve">Création d’un </w:t>
      </w:r>
      <w:r w:rsidRPr="0005714C">
        <w:rPr>
          <w:bCs/>
          <w:color w:val="000000"/>
          <w:lang w:val="fr-BE"/>
        </w:rPr>
        <w:t>outil spécifique</w:t>
      </w:r>
      <w:r w:rsidRPr="0005714C">
        <w:rPr>
          <w:color w:val="000000"/>
          <w:lang w:val="fr-BE"/>
        </w:rPr>
        <w:t xml:space="preserve"> pour les jeunes sous forme de pièce de théâtre-action «</w:t>
      </w:r>
      <w:r w:rsidRPr="0005714C">
        <w:rPr>
          <w:i/>
          <w:iCs/>
          <w:color w:val="000000"/>
          <w:lang w:val="fr-BE"/>
        </w:rPr>
        <w:t>Amours mortes</w:t>
      </w:r>
      <w:r w:rsidRPr="0005714C">
        <w:rPr>
          <w:color w:val="000000"/>
          <w:lang w:val="fr-BE"/>
        </w:rPr>
        <w:t>» (</w:t>
      </w:r>
      <w:hyperlink r:id="rId11" w:tooltip="blocked::http://www.lacompagniemaritime.be/" w:history="1">
        <w:r w:rsidRPr="0005714C">
          <w:rPr>
            <w:rStyle w:val="Hyperlink"/>
            <w:color w:val="000000"/>
            <w:lang w:val="fr-BE"/>
          </w:rPr>
          <w:t>http://www.lacompagniemaritime.be/</w:t>
        </w:r>
      </w:hyperlink>
      <w:r w:rsidRPr="0005714C">
        <w:rPr>
          <w:color w:val="000000"/>
          <w:lang w:val="fr-BE"/>
        </w:rPr>
        <w:t>) permettant de créer le débat autour de cette problématique</w:t>
      </w:r>
      <w:r w:rsidR="001E460A">
        <w:rPr>
          <w:color w:val="000000"/>
          <w:lang w:val="fr-BE"/>
        </w:rPr>
        <w:t>,</w:t>
      </w:r>
      <w:r w:rsidRPr="0005714C">
        <w:rPr>
          <w:color w:val="000000"/>
          <w:lang w:val="fr-BE"/>
        </w:rPr>
        <w:t xml:space="preserve"> et diffusion auprès de</w:t>
      </w:r>
      <w:r w:rsidR="001E460A">
        <w:rPr>
          <w:color w:val="000000"/>
          <w:lang w:val="fr-BE"/>
        </w:rPr>
        <w:t>s</w:t>
      </w:r>
      <w:r w:rsidRPr="0005714C">
        <w:rPr>
          <w:color w:val="000000"/>
          <w:lang w:val="fr-BE"/>
        </w:rPr>
        <w:t xml:space="preserve"> jeunes dans le cadre scolaire (assorti d’animation</w:t>
      </w:r>
      <w:r w:rsidR="001E460A">
        <w:rPr>
          <w:color w:val="000000"/>
          <w:lang w:val="fr-BE"/>
        </w:rPr>
        <w:t>s</w:t>
      </w:r>
      <w:r w:rsidRPr="0005714C">
        <w:rPr>
          <w:color w:val="000000"/>
          <w:lang w:val="fr-BE"/>
        </w:rPr>
        <w:t xml:space="preserve"> en classe </w:t>
      </w:r>
      <w:r w:rsidR="001E460A">
        <w:rPr>
          <w:color w:val="000000"/>
          <w:lang w:val="fr-BE"/>
        </w:rPr>
        <w:t xml:space="preserve">conduites </w:t>
      </w:r>
      <w:r w:rsidRPr="0005714C">
        <w:rPr>
          <w:color w:val="000000"/>
          <w:lang w:val="fr-BE"/>
        </w:rPr>
        <w:t>par un Centre de Planning Familial) et d</w:t>
      </w:r>
      <w:r w:rsidR="001E460A">
        <w:rPr>
          <w:color w:val="000000"/>
          <w:lang w:val="fr-BE"/>
        </w:rPr>
        <w:t xml:space="preserve">es </w:t>
      </w:r>
      <w:r w:rsidRPr="0005714C">
        <w:rPr>
          <w:color w:val="000000"/>
          <w:lang w:val="fr-BE"/>
        </w:rPr>
        <w:t>adulte</w:t>
      </w:r>
      <w:r w:rsidR="001E460A">
        <w:rPr>
          <w:color w:val="000000"/>
          <w:lang w:val="fr-BE"/>
        </w:rPr>
        <w:t>s</w:t>
      </w:r>
      <w:r w:rsidRPr="0005714C">
        <w:rPr>
          <w:color w:val="000000"/>
          <w:lang w:val="fr-BE"/>
        </w:rPr>
        <w:t xml:space="preserve"> dans le cadre</w:t>
      </w:r>
      <w:r w:rsidR="001E460A">
        <w:rPr>
          <w:color w:val="000000"/>
          <w:lang w:val="fr-BE"/>
        </w:rPr>
        <w:t xml:space="preserve"> </w:t>
      </w:r>
      <w:r w:rsidRPr="0005714C">
        <w:rPr>
          <w:color w:val="000000"/>
          <w:lang w:val="fr-BE"/>
        </w:rPr>
        <w:t xml:space="preserve">associatif. </w:t>
      </w:r>
    </w:p>
    <w:p w:rsidR="00841D45" w:rsidRPr="0005714C" w:rsidRDefault="00841D45" w:rsidP="001E460A">
      <w:pPr>
        <w:pStyle w:val="SingleTxtG"/>
        <w:rPr>
          <w:color w:val="000000"/>
          <w:lang w:val="fr-BE"/>
        </w:rPr>
      </w:pPr>
      <w:hyperlink r:id="rId12" w:tooltip="blocked::http://www.planningfamilial.net/assets/files/Actualites/AmoursMortes25112009.pdf" w:history="1">
        <w:r w:rsidRPr="0005714C">
          <w:rPr>
            <w:rStyle w:val="Hyperlink"/>
            <w:color w:val="000000"/>
            <w:lang w:val="fr-BE"/>
          </w:rPr>
          <w:t>http://www.planningfamilial.net/assets/files/Actualites/AmoursMortes25112009.pdf</w:t>
        </w:r>
      </w:hyperlink>
      <w:r w:rsidRPr="0005714C">
        <w:rPr>
          <w:color w:val="000000"/>
          <w:lang w:val="fr-BE"/>
        </w:rPr>
        <w:t xml:space="preserve"> </w:t>
      </w:r>
    </w:p>
    <w:p w:rsidR="00841D45" w:rsidRPr="0005714C" w:rsidRDefault="00841D45" w:rsidP="00E1241D">
      <w:pPr>
        <w:pStyle w:val="SingleTxtG"/>
        <w:rPr>
          <w:color w:val="000000"/>
          <w:lang w:val="fr-BE"/>
        </w:rPr>
      </w:pPr>
      <w:r w:rsidRPr="0005714C">
        <w:rPr>
          <w:rFonts w:ascii="Symbol" w:hAnsi="Symbol"/>
          <w:color w:val="000000"/>
          <w:lang w:val="fr-BE"/>
        </w:rPr>
        <w:t></w:t>
      </w:r>
      <w:r w:rsidRPr="0005714C">
        <w:rPr>
          <w:rFonts w:ascii="Symbol" w:hAnsi="Symbol"/>
          <w:color w:val="000000"/>
          <w:lang w:val="fr-BE"/>
        </w:rPr>
        <w:tab/>
      </w:r>
      <w:r w:rsidRPr="0005714C">
        <w:rPr>
          <w:color w:val="000000"/>
          <w:lang w:val="fr-BE"/>
        </w:rPr>
        <w:t xml:space="preserve">Mise sur pied du </w:t>
      </w:r>
      <w:r w:rsidRPr="0005714C">
        <w:rPr>
          <w:bCs/>
          <w:i/>
          <w:iCs/>
          <w:color w:val="000000"/>
          <w:lang w:val="fr-BE"/>
        </w:rPr>
        <w:t>Réseau Mariage et Migration</w:t>
      </w:r>
      <w:r w:rsidR="009B2E01">
        <w:rPr>
          <w:bCs/>
          <w:i/>
          <w:iCs/>
          <w:color w:val="000000"/>
          <w:lang w:val="fr-BE"/>
        </w:rPr>
        <w:t xml:space="preserve"> (</w:t>
      </w:r>
      <w:hyperlink r:id="rId13" w:tooltip="blocked::http://www.mariagemigration.org/" w:history="1">
        <w:r w:rsidRPr="0005714C">
          <w:rPr>
            <w:rStyle w:val="Hyperlink"/>
            <w:color w:val="000000"/>
            <w:lang w:val="fr-BE"/>
          </w:rPr>
          <w:t>http://www.mariagemigration.org</w:t>
        </w:r>
      </w:hyperlink>
      <w:r w:rsidR="009B2E01">
        <w:rPr>
          <w:color w:val="000000"/>
          <w:lang w:val="fr-BE"/>
        </w:rPr>
        <w:t>)</w:t>
      </w:r>
      <w:r w:rsidRPr="0005714C">
        <w:rPr>
          <w:color w:val="000000"/>
          <w:lang w:val="fr-BE"/>
        </w:rPr>
        <w:t xml:space="preserve"> et conception de modules de formations spécifiquement destinés aux professionnels en contact avec des jeunes potentiellement victimes de mariages forcés ou arrangés</w:t>
      </w:r>
      <w:r w:rsidR="00255067">
        <w:rPr>
          <w:color w:val="000000"/>
          <w:lang w:val="fr-BE"/>
        </w:rPr>
        <w:t>;</w:t>
      </w:r>
    </w:p>
    <w:p w:rsidR="00C62EAA" w:rsidRDefault="00841D45" w:rsidP="00841D45">
      <w:pPr>
        <w:pStyle w:val="SingleTxtG"/>
        <w:rPr>
          <w:color w:val="000000"/>
          <w:lang w:val="fr-BE"/>
        </w:rPr>
      </w:pPr>
      <w:r w:rsidRPr="0005714C">
        <w:rPr>
          <w:rFonts w:ascii="Symbol" w:hAnsi="Symbol"/>
          <w:color w:val="000000"/>
          <w:lang w:val="fr-BE"/>
        </w:rPr>
        <w:t></w:t>
      </w:r>
      <w:r w:rsidRPr="0005714C">
        <w:rPr>
          <w:rFonts w:ascii="Symbol" w:hAnsi="Symbol"/>
          <w:color w:val="000000"/>
          <w:lang w:val="fr-BE"/>
        </w:rPr>
        <w:tab/>
      </w:r>
      <w:r w:rsidRPr="0005714C">
        <w:rPr>
          <w:color w:val="000000"/>
          <w:lang w:val="fr-BE"/>
        </w:rPr>
        <w:t xml:space="preserve">Réalisation du colloque de sensibilisation et </w:t>
      </w:r>
      <w:r w:rsidR="0091185A">
        <w:rPr>
          <w:color w:val="000000"/>
          <w:lang w:val="fr-BE"/>
        </w:rPr>
        <w:t xml:space="preserve">de la </w:t>
      </w:r>
      <w:r w:rsidRPr="0005714C">
        <w:rPr>
          <w:color w:val="000000"/>
          <w:lang w:val="fr-BE"/>
        </w:rPr>
        <w:t>journée de réflexion «</w:t>
      </w:r>
      <w:r w:rsidRPr="0005714C">
        <w:rPr>
          <w:i/>
          <w:iCs/>
          <w:color w:val="000000"/>
          <w:lang w:val="fr-BE"/>
        </w:rPr>
        <w:t>Embarras du choix</w:t>
      </w:r>
      <w:r w:rsidRPr="0005714C">
        <w:rPr>
          <w:color w:val="000000"/>
          <w:lang w:val="fr-BE"/>
        </w:rPr>
        <w:t xml:space="preserve">», le 20 juin 2008, sur les enjeux du mariage chez les jeunes issus de l’immigration. Programme de la journée : </w:t>
      </w:r>
    </w:p>
    <w:p w:rsidR="00841D45" w:rsidRPr="0005714C" w:rsidRDefault="00841D45" w:rsidP="00841D45">
      <w:pPr>
        <w:pStyle w:val="SingleTxtG"/>
        <w:rPr>
          <w:color w:val="000000"/>
          <w:lang w:val="fr-BE"/>
        </w:rPr>
      </w:pPr>
      <w:hyperlink r:id="rId14" w:tooltip="blocked::http://www.planningfamilial.net/assets/files/FLCPF-Embarrasduchoix-prog200608.pdf" w:history="1">
        <w:r w:rsidRPr="0005714C">
          <w:rPr>
            <w:rStyle w:val="Hyperlink"/>
            <w:color w:val="000000"/>
            <w:lang w:val="fr-BE"/>
          </w:rPr>
          <w:t>http://ww</w:t>
        </w:r>
        <w:r w:rsidRPr="00C62EAA">
          <w:rPr>
            <w:rStyle w:val="Hyperlink"/>
            <w:color w:val="000000"/>
            <w:lang w:val="fr-BE"/>
          </w:rPr>
          <w:t>w.planni</w:t>
        </w:r>
        <w:r w:rsidRPr="0005714C">
          <w:rPr>
            <w:rStyle w:val="Hyperlink"/>
            <w:color w:val="000000"/>
            <w:lang w:val="fr-BE"/>
          </w:rPr>
          <w:t>ngfamilial.net/assets/files/FLCPF-Embarrasduchoix-prog200608.pdf</w:t>
        </w:r>
      </w:hyperlink>
      <w:r w:rsidRPr="0005714C">
        <w:rPr>
          <w:color w:val="000000"/>
          <w:lang w:val="fr-BE"/>
        </w:rPr>
        <w:t xml:space="preserve"> </w:t>
      </w:r>
    </w:p>
    <w:p w:rsidR="00841D45" w:rsidRPr="0005714C" w:rsidRDefault="00841D45" w:rsidP="00841D45">
      <w:pPr>
        <w:pStyle w:val="SingleTxtG"/>
        <w:rPr>
          <w:color w:val="000000"/>
          <w:lang w:val="fr-BE"/>
        </w:rPr>
      </w:pPr>
      <w:r w:rsidRPr="0005714C">
        <w:rPr>
          <w:color w:val="000000"/>
          <w:lang w:val="fr-BE"/>
        </w:rPr>
        <w:t xml:space="preserve">Actes : </w:t>
      </w:r>
      <w:hyperlink r:id="rId15" w:tooltip="blocked::http://www.cocof.irisnet.be/site/fr/affsoc/Publications/Files/jreflmariage/" w:history="1">
        <w:r w:rsidRPr="0005714C">
          <w:rPr>
            <w:rStyle w:val="Hyperlink"/>
            <w:color w:val="000000"/>
            <w:lang w:val="fr-BE"/>
          </w:rPr>
          <w:t>http://</w:t>
        </w:r>
        <w:r w:rsidRPr="00C62EAA">
          <w:rPr>
            <w:rStyle w:val="Hyperlink"/>
            <w:color w:val="000000"/>
            <w:lang w:val="fr-BE"/>
          </w:rPr>
          <w:t>www</w:t>
        </w:r>
        <w:r w:rsidRPr="0005714C">
          <w:rPr>
            <w:rStyle w:val="Hyperlink"/>
            <w:color w:val="000000"/>
            <w:lang w:val="fr-BE"/>
          </w:rPr>
          <w:t>.cocof.irisnet.be/site/fr/affsoc/Publications/Files/jreflmariage/</w:t>
        </w:r>
      </w:hyperlink>
      <w:r w:rsidRPr="0005714C">
        <w:rPr>
          <w:color w:val="000000"/>
          <w:lang w:val="fr-BE"/>
        </w:rPr>
        <w:t xml:space="preserve"> </w:t>
      </w:r>
    </w:p>
    <w:p w:rsidR="00841D45" w:rsidRPr="00F439BB" w:rsidRDefault="00841D45" w:rsidP="00841D45">
      <w:pPr>
        <w:pStyle w:val="SingleTxtG"/>
        <w:rPr>
          <w:lang w:val="fr-BE"/>
        </w:rPr>
      </w:pPr>
      <w:r w:rsidRPr="00F439BB">
        <w:rPr>
          <w:rFonts w:ascii="Symbol" w:hAnsi="Symbol"/>
          <w:lang w:val="fr-BE"/>
        </w:rPr>
        <w:t></w:t>
      </w:r>
      <w:r w:rsidRPr="00F439BB">
        <w:rPr>
          <w:rFonts w:ascii="Symbol" w:hAnsi="Symbol"/>
          <w:lang w:val="fr-BE"/>
        </w:rPr>
        <w:tab/>
      </w:r>
      <w:r w:rsidRPr="0005714C">
        <w:rPr>
          <w:bCs/>
          <w:color w:val="000000"/>
          <w:lang w:val="fr-BE"/>
        </w:rPr>
        <w:t>Intégration de la problématique</w:t>
      </w:r>
      <w:r w:rsidRPr="0005714C">
        <w:rPr>
          <w:color w:val="000000"/>
          <w:lang w:val="fr-BE"/>
        </w:rPr>
        <w:t xml:space="preserve"> des mariages forcés dans le Plan d’action national en matière de lutte contre la violence entre partenaires et d’autres violences de genre (en cours</w:t>
      </w:r>
      <w:r w:rsidRPr="00F439BB">
        <w:rPr>
          <w:lang w:val="fr-BE"/>
        </w:rPr>
        <w:t xml:space="preserve"> d’</w:t>
      </w:r>
      <w:r>
        <w:rPr>
          <w:lang w:val="fr-BE"/>
        </w:rPr>
        <w:t>élaboration).</w:t>
      </w:r>
    </w:p>
    <w:p w:rsidR="00841D45" w:rsidRPr="00F439BB" w:rsidRDefault="00255067" w:rsidP="006B3DA2">
      <w:pPr>
        <w:pStyle w:val="SingleTxtG"/>
      </w:pPr>
      <w:r>
        <w:t>190.</w:t>
      </w:r>
      <w:r>
        <w:tab/>
      </w:r>
      <w:r w:rsidR="00841D45">
        <w:t xml:space="preserve">Les chiffres demandés ne sont pas encore disponibles. Vu que la disposition interdisant les mariages forcés n’est en vigueur que depuis 2007, il n’y a pas encore de statistiques </w:t>
      </w:r>
      <w:r w:rsidR="0091185A">
        <w:t xml:space="preserve">concernant les </w:t>
      </w:r>
      <w:r w:rsidR="00841D45">
        <w:t>condamnations. Ces données seront</w:t>
      </w:r>
      <w:r w:rsidR="00747DB9">
        <w:t>,</w:t>
      </w:r>
      <w:r w:rsidR="00841D45">
        <w:t xml:space="preserve"> cependant</w:t>
      </w:r>
      <w:r w:rsidR="00747DB9">
        <w:t>,</w:t>
      </w:r>
      <w:r w:rsidR="00841D45">
        <w:t xml:space="preserve"> disponibles </w:t>
      </w:r>
      <w:r w:rsidR="00886252">
        <w:t>dans</w:t>
      </w:r>
      <w:r w:rsidR="006B3DA2">
        <w:t xml:space="preserve"> </w:t>
      </w:r>
      <w:r w:rsidR="00841D45">
        <w:t>l’avenir</w:t>
      </w:r>
      <w:r w:rsidR="00841D45" w:rsidRPr="00F439BB">
        <w:t xml:space="preserve">. </w:t>
      </w:r>
    </w:p>
    <w:p w:rsidR="00841D45" w:rsidRPr="00F439BB" w:rsidRDefault="00702647" w:rsidP="00E822A4">
      <w:pPr>
        <w:pStyle w:val="SingleTxtG"/>
      </w:pPr>
      <w:r>
        <w:t>191.</w:t>
      </w:r>
      <w:r>
        <w:tab/>
      </w:r>
      <w:r w:rsidR="00841D45" w:rsidRPr="00F439BB">
        <w:t>En ce qui concerne la compilation de</w:t>
      </w:r>
      <w:r w:rsidR="00014751">
        <w:t>s</w:t>
      </w:r>
      <w:r w:rsidR="00841D45" w:rsidRPr="00F439BB">
        <w:t xml:space="preserve"> données chiffrées par la police et le parquet, il est également trop tôt pour présenter des statistiques Depuis janvier 2009, un code d’inculpation spécifique </w:t>
      </w:r>
      <w:r w:rsidR="00014751">
        <w:t>propre aux</w:t>
      </w:r>
      <w:r w:rsidR="00841D45" w:rsidRPr="00F439BB">
        <w:t xml:space="preserve"> mariages forcés a été ajouté à la liste utilisée par les parquets correctionnels auprès des tribunaux de première instance. Un code spécifique a également été cré</w:t>
      </w:r>
      <w:r w:rsidR="00014751">
        <w:t>é</w:t>
      </w:r>
      <w:r w:rsidR="00841D45" w:rsidRPr="00F439BB">
        <w:t xml:space="preserve"> en décembre 2009 pour </w:t>
      </w:r>
      <w:r w:rsidR="00014751">
        <w:t>l</w:t>
      </w:r>
      <w:r w:rsidR="00841D45" w:rsidRPr="00F439BB">
        <w:t>es statistiques de la police</w:t>
      </w:r>
      <w:r w:rsidR="00110FE4">
        <w:t xml:space="preserve"> </w:t>
      </w:r>
      <w:r w:rsidR="00841D45" w:rsidRPr="00F439BB">
        <w:t xml:space="preserve">Temporairement, nous ne pouvons donc livrer </w:t>
      </w:r>
      <w:r w:rsidR="00E822A4">
        <w:t>aucune</w:t>
      </w:r>
      <w:r w:rsidR="00E822A4" w:rsidRPr="00F439BB">
        <w:t xml:space="preserve"> </w:t>
      </w:r>
      <w:r w:rsidR="00841D45" w:rsidRPr="00F439BB">
        <w:t xml:space="preserve">donnée chiffrée </w:t>
      </w:r>
      <w:r w:rsidR="00E822A4">
        <w:t>s</w:t>
      </w:r>
      <w:r w:rsidR="00841D45">
        <w:t>ur les mariages forcés. C</w:t>
      </w:r>
      <w:r w:rsidR="00841D45" w:rsidRPr="00F439BB">
        <w:t xml:space="preserve">ela </w:t>
      </w:r>
      <w:r w:rsidR="00E822A4">
        <w:t xml:space="preserve">devrait </w:t>
      </w:r>
      <w:r w:rsidR="00841D45" w:rsidRPr="00F439BB">
        <w:t xml:space="preserve">cependant </w:t>
      </w:r>
      <w:r w:rsidR="00E822A4">
        <w:t xml:space="preserve">être </w:t>
      </w:r>
      <w:r w:rsidR="00841D45" w:rsidRPr="00F439BB">
        <w:t xml:space="preserve">possible </w:t>
      </w:r>
      <w:r w:rsidR="00E822A4">
        <w:t>dans</w:t>
      </w:r>
      <w:r w:rsidR="00E822A4" w:rsidRPr="00F439BB">
        <w:t xml:space="preserve"> </w:t>
      </w:r>
      <w:r w:rsidR="00841D45" w:rsidRPr="00F439BB">
        <w:t>l’avenir</w:t>
      </w:r>
      <w:r w:rsidR="00E822A4">
        <w:t>,</w:t>
      </w:r>
      <w:r w:rsidR="00841D45" w:rsidRPr="00F439BB">
        <w:t xml:space="preserve"> </w:t>
      </w:r>
      <w:r w:rsidR="00E822A4">
        <w:t>en</w:t>
      </w:r>
      <w:r w:rsidR="00E822A4" w:rsidRPr="00F439BB">
        <w:t xml:space="preserve"> </w:t>
      </w:r>
      <w:r w:rsidR="00841D45" w:rsidRPr="00F439BB">
        <w:t>suppos</w:t>
      </w:r>
      <w:r w:rsidR="00E822A4">
        <w:t>ant</w:t>
      </w:r>
      <w:r w:rsidR="00841D45" w:rsidRPr="00F439BB">
        <w:t xml:space="preserve"> que 2010 serve de première année de référence. </w:t>
      </w:r>
    </w:p>
    <w:p w:rsidR="00841D45" w:rsidRPr="00A65915" w:rsidRDefault="00702647" w:rsidP="007E7226">
      <w:pPr>
        <w:pStyle w:val="SingleTxtG"/>
        <w:rPr>
          <w:bCs/>
          <w:strike/>
        </w:rPr>
      </w:pPr>
      <w:r>
        <w:rPr>
          <w:bCs/>
        </w:rPr>
        <w:t>192.</w:t>
      </w:r>
      <w:r>
        <w:rPr>
          <w:bCs/>
        </w:rPr>
        <w:tab/>
      </w:r>
      <w:r w:rsidR="00841D45" w:rsidRPr="00A65915">
        <w:t xml:space="preserve">En plus des dispositions exposées dans le rapport (p. 39), les autorités ont entrepris un travail de réflexion et envisagé des mesures concrètes </w:t>
      </w:r>
      <w:r w:rsidR="00C8785E">
        <w:t>pour</w:t>
      </w:r>
      <w:r w:rsidR="00841D45" w:rsidRPr="00A65915">
        <w:t xml:space="preserve"> lutter contre ce</w:t>
      </w:r>
      <w:r w:rsidR="00C8785E">
        <w:t xml:space="preserve"> phénomène. </w:t>
      </w:r>
      <w:r w:rsidR="00841D45" w:rsidRPr="00A65915">
        <w:t xml:space="preserve">Dans le </w:t>
      </w:r>
      <w:r w:rsidR="00436C5D">
        <w:t>P</w:t>
      </w:r>
      <w:r w:rsidR="00841D45" w:rsidRPr="00A65915">
        <w:t>lan d’action national de lutte contre la violence entre les partenaires 2010-2014, le champ d’action a été élargi (par rapport aux précédents pla</w:t>
      </w:r>
      <w:r w:rsidR="00841D45">
        <w:t>ns) aux mariages forcés, aux crimes d’honneur et aux</w:t>
      </w:r>
      <w:r w:rsidR="00841D45" w:rsidRPr="00A65915">
        <w:t xml:space="preserve"> mutilations génitales féminines. Une égale attention est accordée à ces phénomènes et davantage de mesures sont prises pour informer et sensibiliser les acteurs concernés par les mariages forcés. L</w:t>
      </w:r>
      <w:r w:rsidR="00436C5D">
        <w:t xml:space="preserve">es </w:t>
      </w:r>
      <w:r w:rsidR="00841D45" w:rsidRPr="00436C5D">
        <w:t>aut</w:t>
      </w:r>
      <w:r w:rsidR="00841D45" w:rsidRPr="00A65915">
        <w:t>o</w:t>
      </w:r>
      <w:r w:rsidR="00841D45">
        <w:t>rité</w:t>
      </w:r>
      <w:r w:rsidR="00436C5D">
        <w:t>s</w:t>
      </w:r>
      <w:r w:rsidR="00841D45">
        <w:t xml:space="preserve"> pourr</w:t>
      </w:r>
      <w:r w:rsidR="00436C5D">
        <w:t>ont</w:t>
      </w:r>
      <w:r w:rsidR="00841D45">
        <w:t xml:space="preserve"> </w:t>
      </w:r>
      <w:r w:rsidR="00841D45" w:rsidRPr="00A65915">
        <w:t xml:space="preserve">avoir prise sur le phénomène </w:t>
      </w:r>
      <w:r w:rsidR="007E7226">
        <w:t>et</w:t>
      </w:r>
      <w:r w:rsidR="007E7226" w:rsidRPr="00A65915">
        <w:t xml:space="preserve"> </w:t>
      </w:r>
      <w:r w:rsidR="00841D45" w:rsidRPr="00A65915">
        <w:t xml:space="preserve">une perspective d’ensemble impliquant tous les acteurs concernés. </w:t>
      </w:r>
    </w:p>
    <w:p w:rsidR="00841D45" w:rsidRPr="00A65915" w:rsidRDefault="00702647" w:rsidP="00331ACC">
      <w:pPr>
        <w:pStyle w:val="SingleTxtG"/>
      </w:pPr>
      <w:r>
        <w:t>193.</w:t>
      </w:r>
      <w:r>
        <w:tab/>
      </w:r>
      <w:r w:rsidR="00841D45" w:rsidRPr="00A65915">
        <w:t xml:space="preserve">On réfléchit également </w:t>
      </w:r>
      <w:r w:rsidR="00D34889">
        <w:t>à l’élaboration</w:t>
      </w:r>
      <w:r w:rsidR="00841D45" w:rsidRPr="00A65915">
        <w:t xml:space="preserve"> d’un système d’alarme </w:t>
      </w:r>
      <w:r w:rsidR="00D34889">
        <w:t xml:space="preserve">permettant aux </w:t>
      </w:r>
      <w:r w:rsidR="00841D45" w:rsidRPr="00A65915">
        <w:t>personnes proches de</w:t>
      </w:r>
      <w:r w:rsidR="00D34889">
        <w:t>s</w:t>
      </w:r>
      <w:r w:rsidR="00841D45" w:rsidRPr="00A65915">
        <w:t xml:space="preserve"> victimes effectives et potentielles de</w:t>
      </w:r>
      <w:r w:rsidR="00D34889">
        <w:t>s</w:t>
      </w:r>
      <w:r w:rsidR="00841D45" w:rsidRPr="00A65915">
        <w:t xml:space="preserve"> mariages forcés </w:t>
      </w:r>
      <w:r w:rsidR="00D34889">
        <w:t>d’</w:t>
      </w:r>
      <w:r w:rsidR="00841D45" w:rsidRPr="00A65915">
        <w:t>avertir les autorités du pays de séjour de</w:t>
      </w:r>
      <w:r w:rsidR="00D34889">
        <w:t>s</w:t>
      </w:r>
      <w:r w:rsidR="00841D45" w:rsidRPr="00A65915">
        <w:t xml:space="preserve"> cas d’enlèvement et d’enfermement forcé ou irrégulier, </w:t>
      </w:r>
      <w:r w:rsidR="00F47808">
        <w:t>et de ce fait de déclencher l’ouverture d</w:t>
      </w:r>
      <w:r w:rsidR="00D34889">
        <w:t>’</w:t>
      </w:r>
      <w:r w:rsidR="00841D45" w:rsidRPr="00A65915">
        <w:t xml:space="preserve">une enquête et </w:t>
      </w:r>
      <w:r w:rsidR="00F47808">
        <w:t xml:space="preserve">la mise en place </w:t>
      </w:r>
      <w:r w:rsidR="00841D45" w:rsidRPr="00A65915">
        <w:t>de</w:t>
      </w:r>
      <w:r w:rsidR="00F47808">
        <w:t>s</w:t>
      </w:r>
      <w:r w:rsidR="00841D45" w:rsidRPr="00A65915">
        <w:t xml:space="preserve"> mesures </w:t>
      </w:r>
      <w:r w:rsidR="00886252">
        <w:t>pour la</w:t>
      </w:r>
      <w:r w:rsidR="00F47808">
        <w:t xml:space="preserve"> protection des </w:t>
      </w:r>
      <w:r w:rsidR="00841D45" w:rsidRPr="00A65915">
        <w:t xml:space="preserve">victimes. </w:t>
      </w:r>
    </w:p>
    <w:p w:rsidR="00841D45" w:rsidRPr="00A65915" w:rsidRDefault="00702647" w:rsidP="00702647">
      <w:pPr>
        <w:pStyle w:val="SingleTxtG"/>
      </w:pPr>
      <w:r>
        <w:t>194.</w:t>
      </w:r>
      <w:r>
        <w:tab/>
      </w:r>
      <w:r w:rsidR="00841D45" w:rsidRPr="00A65915">
        <w:t xml:space="preserve">Un inventaire des programmes de formation et de sensibilisation devrait être diffusé aux professionnels. </w:t>
      </w:r>
    </w:p>
    <w:p w:rsidR="00841D45" w:rsidRPr="00A65915" w:rsidRDefault="00702647" w:rsidP="00D170CD">
      <w:pPr>
        <w:pStyle w:val="SingleTxtG"/>
      </w:pPr>
      <w:r>
        <w:t>195.</w:t>
      </w:r>
      <w:r>
        <w:tab/>
      </w:r>
      <w:r w:rsidR="00841D45" w:rsidRPr="00A65915">
        <w:t xml:space="preserve">Une évaluation de la loi du 25 avril 2007 </w:t>
      </w:r>
      <w:r w:rsidR="00841D45" w:rsidRPr="006223B4">
        <w:rPr>
          <w:iCs/>
        </w:rPr>
        <w:t>insérant un article 391</w:t>
      </w:r>
      <w:r w:rsidR="00D170CD">
        <w:rPr>
          <w:iCs/>
        </w:rPr>
        <w:t xml:space="preserve"> </w:t>
      </w:r>
      <w:r w:rsidR="00841D45" w:rsidRPr="00D170CD">
        <w:rPr>
          <w:i/>
        </w:rPr>
        <w:t>sexies</w:t>
      </w:r>
      <w:r w:rsidR="00841D45" w:rsidRPr="006223B4">
        <w:rPr>
          <w:iCs/>
        </w:rPr>
        <w:t xml:space="preserve"> dans le Code pénal et modifiant certaines dispositions du Code civil en vue d'incriminer et d'élargir les moyens d'annuler le mariage forcé</w:t>
      </w:r>
      <w:r w:rsidR="00841D45">
        <w:rPr>
          <w:i/>
        </w:rPr>
        <w:t xml:space="preserve"> </w:t>
      </w:r>
      <w:r w:rsidR="00841D45" w:rsidRPr="00BE5AD2">
        <w:t>(M.B., 15 juin 2007)</w:t>
      </w:r>
      <w:r w:rsidR="00841D45">
        <w:t xml:space="preserve"> </w:t>
      </w:r>
      <w:r w:rsidR="00841D45" w:rsidRPr="00BE5AD2">
        <w:t>est</w:t>
      </w:r>
      <w:r w:rsidR="00841D45" w:rsidRPr="00A65915">
        <w:t xml:space="preserve"> également prévue </w:t>
      </w:r>
      <w:r w:rsidR="00D170CD">
        <w:t>aux fins</w:t>
      </w:r>
      <w:r w:rsidR="00841D45" w:rsidRPr="00A65915">
        <w:t xml:space="preserve"> de formuler davantage de recommandations stratégiques. Une évaluation de la situation actuelle des demandeurs d’asile qui courent </w:t>
      </w:r>
      <w:r w:rsidR="00D170CD">
        <w:t>le</w:t>
      </w:r>
      <w:r w:rsidR="00D170CD" w:rsidRPr="00A65915">
        <w:t xml:space="preserve"> </w:t>
      </w:r>
      <w:r w:rsidR="00841D45" w:rsidRPr="00A65915">
        <w:t>risque d’être victime</w:t>
      </w:r>
      <w:r w:rsidR="00D170CD">
        <w:t>s</w:t>
      </w:r>
      <w:r w:rsidR="00841D45" w:rsidRPr="00A65915">
        <w:t xml:space="preserve"> d’un mariage forcé dans leur pays d’origine devrait également avoir lieu. </w:t>
      </w:r>
    </w:p>
    <w:p w:rsidR="00841D45" w:rsidRPr="00A65915" w:rsidRDefault="00702647" w:rsidP="004D6F0F">
      <w:pPr>
        <w:pStyle w:val="SingleTxtG"/>
      </w:pPr>
      <w:r>
        <w:t>196.</w:t>
      </w:r>
      <w:r>
        <w:tab/>
      </w:r>
      <w:r w:rsidR="00841D45" w:rsidRPr="00A65915">
        <w:t xml:space="preserve">Enfin, on </w:t>
      </w:r>
      <w:r w:rsidR="00D170CD">
        <w:t>s’emploiera</w:t>
      </w:r>
      <w:r w:rsidR="004D6F0F">
        <w:t>,</w:t>
      </w:r>
      <w:r w:rsidR="00D170CD" w:rsidRPr="00A65915">
        <w:t xml:space="preserve"> </w:t>
      </w:r>
      <w:r w:rsidR="00D170CD">
        <w:t>au sein d’</w:t>
      </w:r>
      <w:r w:rsidR="00841D45" w:rsidRPr="00A65915">
        <w:t>un groupe de travail spécifique</w:t>
      </w:r>
      <w:r w:rsidR="004D6F0F">
        <w:t>,</w:t>
      </w:r>
      <w:r w:rsidR="00D170CD">
        <w:t xml:space="preserve"> à </w:t>
      </w:r>
      <w:r w:rsidR="00841D45" w:rsidRPr="00A65915">
        <w:t>développe</w:t>
      </w:r>
      <w:r w:rsidR="00D170CD">
        <w:t xml:space="preserve">r </w:t>
      </w:r>
      <w:r w:rsidR="004D6F0F" w:rsidRPr="00A65915">
        <w:t xml:space="preserve">davantage </w:t>
      </w:r>
      <w:r w:rsidR="00841D45" w:rsidRPr="00A65915">
        <w:t xml:space="preserve">de nouvelles pistes </w:t>
      </w:r>
      <w:r w:rsidR="00D170CD">
        <w:t>d’</w:t>
      </w:r>
      <w:r w:rsidR="00841D45" w:rsidRPr="00A65915">
        <w:t xml:space="preserve">actions communes et </w:t>
      </w:r>
      <w:r w:rsidR="00D170CD">
        <w:t xml:space="preserve">de </w:t>
      </w:r>
      <w:r w:rsidR="00841D45" w:rsidRPr="00A65915">
        <w:t xml:space="preserve">recommandations </w:t>
      </w:r>
      <w:r w:rsidR="00D170CD">
        <w:t>dans le domaine</w:t>
      </w:r>
      <w:r w:rsidR="00841D45" w:rsidRPr="00A65915">
        <w:t xml:space="preserve"> des mariages forcés </w:t>
      </w:r>
      <w:r w:rsidR="00D170CD">
        <w:t>de même</w:t>
      </w:r>
      <w:r w:rsidR="00D170CD" w:rsidRPr="00A65915">
        <w:t xml:space="preserve"> </w:t>
      </w:r>
      <w:r w:rsidR="00841D45" w:rsidRPr="00A65915">
        <w:t>qu</w:t>
      </w:r>
      <w:r w:rsidR="00D170CD">
        <w:t xml:space="preserve">e dans les domaines </w:t>
      </w:r>
      <w:r w:rsidR="004D6F0F">
        <w:t>dans lesquels</w:t>
      </w:r>
      <w:r w:rsidR="00D170CD">
        <w:t xml:space="preserve"> </w:t>
      </w:r>
      <w:r w:rsidR="00841D45" w:rsidRPr="00A65915">
        <w:t>l’</w:t>
      </w:r>
      <w:r w:rsidR="000D7AB1">
        <w:t>État</w:t>
      </w:r>
      <w:r w:rsidR="00841D45" w:rsidRPr="00A65915">
        <w:t xml:space="preserve"> belge </w:t>
      </w:r>
      <w:r w:rsidR="00D170CD">
        <w:t>se trouve</w:t>
      </w:r>
      <w:r w:rsidR="00D170CD" w:rsidRPr="00A65915">
        <w:t xml:space="preserve"> </w:t>
      </w:r>
      <w:r w:rsidR="00841D45" w:rsidRPr="00A65915">
        <w:t>confronté</w:t>
      </w:r>
      <w:r w:rsidR="004D6F0F">
        <w:t xml:space="preserve"> à de nouveaux défis</w:t>
      </w:r>
      <w:r w:rsidR="00D170CD">
        <w:t>,</w:t>
      </w:r>
      <w:r w:rsidR="00841D45" w:rsidRPr="00A65915">
        <w:t xml:space="preserve"> tels que le mariage de complaisance. </w:t>
      </w:r>
    </w:p>
    <w:p w:rsidR="00F16E05" w:rsidRPr="00340AAB" w:rsidRDefault="00F16E05" w:rsidP="00F16E05">
      <w:pPr>
        <w:pStyle w:val="SingleTxtG"/>
        <w:rPr>
          <w:b/>
          <w:bCs/>
          <w:lang w:val="fr-FR"/>
        </w:rPr>
      </w:pPr>
      <w:r w:rsidRPr="00340AAB">
        <w:rPr>
          <w:b/>
          <w:bCs/>
        </w:rPr>
        <w:t>Réponse au paragraphe 26 de la liste de points à traiter</w:t>
      </w:r>
      <w:r w:rsidRPr="00340AAB" w:rsidDel="00F16E05">
        <w:rPr>
          <w:b/>
          <w:bCs/>
          <w:lang w:val="fr-FR"/>
        </w:rPr>
        <w:t xml:space="preserve"> </w:t>
      </w:r>
    </w:p>
    <w:p w:rsidR="00841D45" w:rsidRPr="00886252" w:rsidRDefault="00841D45" w:rsidP="00702647">
      <w:pPr>
        <w:pStyle w:val="SingleTxtG"/>
        <w:rPr>
          <w:b/>
          <w:bCs/>
          <w:lang w:val="fr-BE"/>
        </w:rPr>
      </w:pPr>
      <w:r w:rsidRPr="00886252">
        <w:rPr>
          <w:b/>
          <w:bCs/>
          <w:lang w:val="fr-BE"/>
        </w:rPr>
        <w:t xml:space="preserve">Communauté française  </w:t>
      </w:r>
    </w:p>
    <w:p w:rsidR="00841D45" w:rsidRPr="00B67580" w:rsidRDefault="00702647" w:rsidP="00D020E2">
      <w:pPr>
        <w:pStyle w:val="SingleTxtG"/>
      </w:pPr>
      <w:r>
        <w:t>197.</w:t>
      </w:r>
      <w:r>
        <w:tab/>
      </w:r>
      <w:r w:rsidR="00841D45" w:rsidRPr="00B67580">
        <w:t xml:space="preserve">Le décret </w:t>
      </w:r>
      <w:r w:rsidR="00841D45">
        <w:t xml:space="preserve">de la Communauté française </w:t>
      </w:r>
      <w:r w:rsidR="00841D45" w:rsidRPr="00B67580">
        <w:t xml:space="preserve">du 12 mai 2004 </w:t>
      </w:r>
      <w:r w:rsidR="00841D45" w:rsidRPr="00D020E2">
        <w:rPr>
          <w:iCs/>
        </w:rPr>
        <w:t xml:space="preserve">relatif à l’Aide aux enfants victimes de maltraitance </w:t>
      </w:r>
      <w:r w:rsidR="00841D45" w:rsidRPr="00B67580">
        <w:t>s’a</w:t>
      </w:r>
      <w:r w:rsidR="00D020E2">
        <w:t xml:space="preserve">rticule autour de </w:t>
      </w:r>
      <w:r w:rsidR="00841D45" w:rsidRPr="00B67580">
        <w:t>quatre volets.</w:t>
      </w:r>
    </w:p>
    <w:p w:rsidR="00841D45" w:rsidRPr="00B67580" w:rsidRDefault="00E02010" w:rsidP="00E21033">
      <w:pPr>
        <w:pStyle w:val="SingleTxtG"/>
      </w:pPr>
      <w:r>
        <w:t>198.</w:t>
      </w:r>
      <w:r>
        <w:tab/>
      </w:r>
      <w:r w:rsidR="00841D45" w:rsidRPr="00B67580">
        <w:t xml:space="preserve">Le premier est la mise en place d’une prise en charge coordonnée des situations de maltraitance </w:t>
      </w:r>
      <w:r w:rsidR="005748F6">
        <w:t>pour</w:t>
      </w:r>
      <w:r w:rsidR="00841D45" w:rsidRPr="00B67580">
        <w:t xml:space="preserve"> tous les professionnels en lien avec l’enfant et sa famille</w:t>
      </w:r>
      <w:r w:rsidR="00E21033">
        <w:t>,</w:t>
      </w:r>
      <w:r w:rsidR="00841D45" w:rsidRPr="00B67580">
        <w:t xml:space="preserve"> compte tenu de leurs missions, capacités à agir et compétences respectives</w:t>
      </w:r>
      <w:r w:rsidR="00E21033">
        <w:t>,</w:t>
      </w:r>
      <w:r w:rsidR="00841D45" w:rsidRPr="00B67580">
        <w:t xml:space="preserve"> dans une logique de prise en charge en réseau organisée </w:t>
      </w:r>
      <w:r w:rsidR="00E21033">
        <w:t>autour</w:t>
      </w:r>
      <w:r w:rsidR="00841D45" w:rsidRPr="00B67580">
        <w:t xml:space="preserve"> de professionnels référents.</w:t>
      </w:r>
    </w:p>
    <w:p w:rsidR="00841D45" w:rsidRPr="00B67580" w:rsidRDefault="00E02010" w:rsidP="002C055C">
      <w:pPr>
        <w:pStyle w:val="SingleTxtG"/>
      </w:pPr>
      <w:r>
        <w:t>199.</w:t>
      </w:r>
      <w:r>
        <w:tab/>
      </w:r>
      <w:r w:rsidR="00841D45" w:rsidRPr="00B67580">
        <w:t>Le deuxième volet concerne le traitement des situations de maltraitance par des équipes pluridisciplinaires, les «</w:t>
      </w:r>
      <w:r w:rsidR="00B10927">
        <w:t>É</w:t>
      </w:r>
      <w:r w:rsidR="00841D45" w:rsidRPr="00B67580">
        <w:t xml:space="preserve">quipes SOS </w:t>
      </w:r>
      <w:r w:rsidR="00841D45" w:rsidRPr="00E21033">
        <w:t>Enfants</w:t>
      </w:r>
      <w:r w:rsidR="00841D45" w:rsidRPr="00B67580">
        <w:t xml:space="preserve">», dont la composition garantit une approche à la fois médicale, psychiatrique, psychologique, sociale et juridique. Ces équipes sont placées sous la tutelle de l’ONE </w:t>
      </w:r>
      <w:r w:rsidR="00E21033">
        <w:t>avec</w:t>
      </w:r>
      <w:r w:rsidR="00841D45" w:rsidRPr="00B67580">
        <w:t xml:space="preserve"> notamment pour mission :</w:t>
      </w:r>
    </w:p>
    <w:p w:rsidR="00841D45" w:rsidRPr="00B67580" w:rsidRDefault="00841D45" w:rsidP="00841D45">
      <w:pPr>
        <w:pStyle w:val="SingleTxtG"/>
      </w:pPr>
      <w:r w:rsidRPr="00B67580">
        <w:rPr>
          <w:rFonts w:ascii="Arial" w:hAnsi="Arial" w:cs="Arial"/>
        </w:rPr>
        <w:t>-</w:t>
      </w:r>
      <w:r w:rsidRPr="00B67580">
        <w:rPr>
          <w:rFonts w:ascii="Arial" w:hAnsi="Arial" w:cs="Arial"/>
        </w:rPr>
        <w:tab/>
      </w:r>
      <w:r w:rsidR="0047254B">
        <w:t>A</w:t>
      </w:r>
      <w:r w:rsidRPr="00B67580">
        <w:t>ssurer la prévention individuelle et le traitement des situations de maltraitance;</w:t>
      </w:r>
    </w:p>
    <w:p w:rsidR="00841D45" w:rsidRPr="00B67580" w:rsidRDefault="00841D45" w:rsidP="00E02010">
      <w:pPr>
        <w:pStyle w:val="SingleTxtG"/>
      </w:pPr>
      <w:r w:rsidRPr="00B67580">
        <w:rPr>
          <w:rFonts w:ascii="Arial" w:hAnsi="Arial" w:cs="Arial"/>
        </w:rPr>
        <w:t>-</w:t>
      </w:r>
      <w:r w:rsidRPr="00B67580">
        <w:rPr>
          <w:rFonts w:ascii="Arial" w:hAnsi="Arial" w:cs="Arial"/>
        </w:rPr>
        <w:tab/>
      </w:r>
      <w:r w:rsidR="0047254B">
        <w:t>É</w:t>
      </w:r>
      <w:r w:rsidRPr="00B67580">
        <w:t>tablir un bilan pluridisciplinaire de la situation de l'enfant et de sa situation dans son milieu familial de vie;</w:t>
      </w:r>
    </w:p>
    <w:p w:rsidR="00841D45" w:rsidRPr="00B67580" w:rsidRDefault="00841D45" w:rsidP="00841D45">
      <w:pPr>
        <w:pStyle w:val="SingleTxtG"/>
      </w:pPr>
      <w:r w:rsidRPr="00B67580">
        <w:rPr>
          <w:rFonts w:ascii="Arial" w:hAnsi="Arial" w:cs="Arial"/>
        </w:rPr>
        <w:t>-</w:t>
      </w:r>
      <w:r w:rsidRPr="00B67580">
        <w:rPr>
          <w:rFonts w:ascii="Arial" w:hAnsi="Arial" w:cs="Arial"/>
        </w:rPr>
        <w:tab/>
      </w:r>
      <w:r w:rsidR="0047254B">
        <w:t>V</w:t>
      </w:r>
      <w:r w:rsidRPr="00B67580">
        <w:t>eiller à apporter une aide appropriée à l'enfant victime ou en situation de risque de maltraitance;</w:t>
      </w:r>
    </w:p>
    <w:p w:rsidR="00841D45" w:rsidRPr="00B67580" w:rsidRDefault="00841D45" w:rsidP="00841D45">
      <w:pPr>
        <w:pStyle w:val="SingleTxtG"/>
      </w:pPr>
      <w:r w:rsidRPr="00B67580">
        <w:rPr>
          <w:rFonts w:ascii="Arial" w:hAnsi="Arial" w:cs="Arial"/>
        </w:rPr>
        <w:t>-</w:t>
      </w:r>
      <w:r w:rsidRPr="00B67580">
        <w:rPr>
          <w:rFonts w:ascii="Arial" w:hAnsi="Arial" w:cs="Arial"/>
        </w:rPr>
        <w:tab/>
      </w:r>
      <w:r w:rsidR="00176C9D">
        <w:t>É</w:t>
      </w:r>
      <w:r w:rsidRPr="00B67580">
        <w:t>tablir toute</w:t>
      </w:r>
      <w:r w:rsidR="00176C9D">
        <w:t>s</w:t>
      </w:r>
      <w:r w:rsidRPr="00B67580">
        <w:t xml:space="preserve"> collaboration</w:t>
      </w:r>
      <w:r w:rsidR="00176C9D">
        <w:t>s</w:t>
      </w:r>
      <w:r w:rsidRPr="00B67580">
        <w:t xml:space="preserve"> utile</w:t>
      </w:r>
      <w:r w:rsidR="00176C9D">
        <w:t>s</w:t>
      </w:r>
      <w:r w:rsidRPr="00B67580">
        <w:t xml:space="preserve"> avec les travailleurs médico-sociaux de l'Office, les conseillers et les directeurs;</w:t>
      </w:r>
    </w:p>
    <w:p w:rsidR="00841D45" w:rsidRPr="00B67580" w:rsidRDefault="00841D45" w:rsidP="004C6E5E">
      <w:pPr>
        <w:pStyle w:val="SingleTxtG"/>
      </w:pPr>
      <w:r w:rsidRPr="00B67580">
        <w:rPr>
          <w:rFonts w:ascii="Arial" w:hAnsi="Arial" w:cs="Arial"/>
        </w:rPr>
        <w:t>-</w:t>
      </w:r>
      <w:r w:rsidRPr="00B67580">
        <w:rPr>
          <w:rFonts w:ascii="Arial" w:hAnsi="Arial" w:cs="Arial"/>
        </w:rPr>
        <w:tab/>
      </w:r>
      <w:r w:rsidR="00EE7B83">
        <w:t>C</w:t>
      </w:r>
      <w:r w:rsidRPr="00B67580">
        <w:t>ollabor</w:t>
      </w:r>
      <w:r w:rsidR="00EE7B83">
        <w:t xml:space="preserve">er à </w:t>
      </w:r>
      <w:r w:rsidRPr="00B67580">
        <w:t>l'organisation de</w:t>
      </w:r>
      <w:r w:rsidR="004C6E5E">
        <w:t>s</w:t>
      </w:r>
      <w:r w:rsidRPr="00B67580">
        <w:t xml:space="preserve"> campagnes de prévention et d'information et </w:t>
      </w:r>
      <w:r w:rsidR="004C6E5E">
        <w:t>à</w:t>
      </w:r>
      <w:r w:rsidR="004C6E5E" w:rsidRPr="00B67580">
        <w:t xml:space="preserve"> </w:t>
      </w:r>
      <w:r w:rsidRPr="00B67580">
        <w:t>la formation des intervenants professionnels en matière de maltraitance d'enfant;</w:t>
      </w:r>
    </w:p>
    <w:p w:rsidR="00841D45" w:rsidRPr="00B67580" w:rsidRDefault="00841D45" w:rsidP="00955799">
      <w:pPr>
        <w:pStyle w:val="SingleTxtG"/>
      </w:pPr>
      <w:r w:rsidRPr="00B67580">
        <w:rPr>
          <w:rFonts w:ascii="Arial" w:hAnsi="Arial" w:cs="Arial"/>
        </w:rPr>
        <w:t>-</w:t>
      </w:r>
      <w:r w:rsidRPr="00B67580">
        <w:rPr>
          <w:rFonts w:ascii="Arial" w:hAnsi="Arial" w:cs="Arial"/>
        </w:rPr>
        <w:tab/>
      </w:r>
      <w:r w:rsidR="004C6E5E">
        <w:t>F</w:t>
      </w:r>
      <w:r w:rsidRPr="00B67580">
        <w:t xml:space="preserve">aire progresser les connaissances scientifiques </w:t>
      </w:r>
      <w:r w:rsidR="00955799">
        <w:t>grâce à</w:t>
      </w:r>
      <w:r w:rsidR="00955799" w:rsidRPr="00B67580">
        <w:t xml:space="preserve"> </w:t>
      </w:r>
      <w:r w:rsidRPr="00B67580">
        <w:t xml:space="preserve">des publications, </w:t>
      </w:r>
      <w:r w:rsidR="00955799">
        <w:t xml:space="preserve">des </w:t>
      </w:r>
      <w:r w:rsidRPr="00B67580">
        <w:t xml:space="preserve">conférences, </w:t>
      </w:r>
      <w:r w:rsidR="00955799">
        <w:t xml:space="preserve">des </w:t>
      </w:r>
      <w:r w:rsidRPr="00B67580">
        <w:t>formations</w:t>
      </w:r>
      <w:r w:rsidR="00955799">
        <w:t xml:space="preserve"> et</w:t>
      </w:r>
      <w:r w:rsidRPr="00B67580">
        <w:t xml:space="preserve"> </w:t>
      </w:r>
      <w:r w:rsidR="00955799">
        <w:t xml:space="preserve">des </w:t>
      </w:r>
      <w:r w:rsidRPr="00B67580">
        <w:t>journées d'études à destination des intervenants.</w:t>
      </w:r>
    </w:p>
    <w:p w:rsidR="00841D45" w:rsidRPr="00B67580" w:rsidRDefault="00E02010" w:rsidP="008523D8">
      <w:pPr>
        <w:pStyle w:val="SingleTxtG"/>
      </w:pPr>
      <w:r>
        <w:t>200.</w:t>
      </w:r>
      <w:r>
        <w:tab/>
      </w:r>
      <w:r w:rsidR="00841D45" w:rsidRPr="00B67580">
        <w:t xml:space="preserve">Le troisième volet consiste </w:t>
      </w:r>
      <w:r w:rsidR="00A670DC">
        <w:t>à</w:t>
      </w:r>
      <w:r w:rsidR="00886252">
        <w:t xml:space="preserve"> </w:t>
      </w:r>
      <w:r w:rsidR="00A670DC">
        <w:t>mettre</w:t>
      </w:r>
      <w:r w:rsidR="00841D45" w:rsidRPr="00B67580">
        <w:t xml:space="preserve"> en place un Comité d’Accompagnement de </w:t>
      </w:r>
      <w:r w:rsidR="00841D45" w:rsidRPr="00A670DC">
        <w:t>l’Enfance</w:t>
      </w:r>
      <w:r w:rsidR="00841D45" w:rsidRPr="00B67580">
        <w:t xml:space="preserve"> Maltraitée (CAEM) au sein de l’ONE servant de référent scientifique interne pour toute question relative à l’aide à l’enfant victime de maltraitance </w:t>
      </w:r>
      <w:r w:rsidR="009006C0">
        <w:t xml:space="preserve">ainsi que de référent </w:t>
      </w:r>
      <w:r w:rsidR="00841D45" w:rsidRPr="00B67580">
        <w:t xml:space="preserve">aux équipes SOS </w:t>
      </w:r>
      <w:r w:rsidR="00841D45" w:rsidRPr="002812A7">
        <w:t>E</w:t>
      </w:r>
      <w:r w:rsidR="00841D45" w:rsidRPr="00B67580">
        <w:t>nfants.</w:t>
      </w:r>
    </w:p>
    <w:p w:rsidR="00841D45" w:rsidRPr="00B67580" w:rsidRDefault="00A72199" w:rsidP="005F43E4">
      <w:pPr>
        <w:pStyle w:val="SingleTxtG"/>
      </w:pPr>
      <w:r>
        <w:t>201.</w:t>
      </w:r>
      <w:r>
        <w:tab/>
      </w:r>
      <w:r w:rsidR="00841D45" w:rsidRPr="00B67580">
        <w:t>Le quatrième volet est axé sur la formation continue des intervenants et sur l’information du grand public. Des campagnes d'information ou de sensibilisation sont ainsi menées à destination des parents ou des enfants dans le but de prévenir la maltraitance, de faire connaître les services de prévention et d'aide aux enfants victimes de maltraitance et de faciliter l'accès à ces services.</w:t>
      </w:r>
    </w:p>
    <w:p w:rsidR="00841D45" w:rsidRPr="0082161F" w:rsidRDefault="00841D45" w:rsidP="00841D45">
      <w:pPr>
        <w:pStyle w:val="SingleTxtG"/>
        <w:rPr>
          <w:b/>
          <w:bCs/>
          <w:lang w:val="fr-BE"/>
        </w:rPr>
      </w:pPr>
      <w:r w:rsidRPr="0082161F">
        <w:rPr>
          <w:b/>
          <w:bCs/>
          <w:lang w:val="fr-BE"/>
        </w:rPr>
        <w:t>Autorité flamande</w:t>
      </w:r>
    </w:p>
    <w:p w:rsidR="00841D45" w:rsidRPr="00174EBA" w:rsidRDefault="00095F33" w:rsidP="0082161F">
      <w:pPr>
        <w:pStyle w:val="SingleTxtG"/>
        <w:rPr>
          <w:color w:val="000000"/>
        </w:rPr>
      </w:pPr>
      <w:r>
        <w:rPr>
          <w:color w:val="000000"/>
        </w:rPr>
        <w:t>202.</w:t>
      </w:r>
      <w:r>
        <w:rPr>
          <w:color w:val="000000"/>
        </w:rPr>
        <w:tab/>
      </w:r>
      <w:r w:rsidR="00841D45" w:rsidRPr="00174EBA">
        <w:rPr>
          <w:color w:val="000000"/>
        </w:rPr>
        <w:t xml:space="preserve">Le </w:t>
      </w:r>
      <w:r w:rsidR="0082161F">
        <w:rPr>
          <w:color w:val="000000"/>
        </w:rPr>
        <w:t>P</w:t>
      </w:r>
      <w:r w:rsidR="00841D45" w:rsidRPr="00174EBA">
        <w:rPr>
          <w:color w:val="000000"/>
        </w:rPr>
        <w:t xml:space="preserve">lan stratégique flamand de prévention de la lutte contre les violences, le harcèlement moral et sexuel s’est intéressé aux relations entre ou avec les membres du personnel enseignant mais également </w:t>
      </w:r>
      <w:r w:rsidR="0082161F">
        <w:rPr>
          <w:color w:val="000000"/>
        </w:rPr>
        <w:t>aux</w:t>
      </w:r>
      <w:r w:rsidR="00841D45" w:rsidRPr="00174EBA">
        <w:rPr>
          <w:color w:val="000000"/>
        </w:rPr>
        <w:t xml:space="preserve"> élèves. </w:t>
      </w:r>
    </w:p>
    <w:p w:rsidR="00841D45" w:rsidRPr="00174EBA" w:rsidRDefault="00095F33" w:rsidP="00CB2C08">
      <w:pPr>
        <w:pStyle w:val="SingleTxtG"/>
        <w:rPr>
          <w:color w:val="000000"/>
        </w:rPr>
      </w:pPr>
      <w:r>
        <w:rPr>
          <w:color w:val="000000"/>
        </w:rPr>
        <w:t>203.</w:t>
      </w:r>
      <w:r>
        <w:rPr>
          <w:color w:val="000000"/>
        </w:rPr>
        <w:tab/>
      </w:r>
      <w:r w:rsidR="00841D45" w:rsidRPr="00174EBA">
        <w:rPr>
          <w:color w:val="000000"/>
        </w:rPr>
        <w:t>Pour les membres du personnel</w:t>
      </w:r>
      <w:r w:rsidR="00CD7382">
        <w:rPr>
          <w:color w:val="000000"/>
        </w:rPr>
        <w:t xml:space="preserve"> enseignant</w:t>
      </w:r>
      <w:r w:rsidR="00841D45" w:rsidRPr="00174EBA">
        <w:rPr>
          <w:color w:val="000000"/>
        </w:rPr>
        <w:t xml:space="preserve">, des étapes en matière de prévention ont été </w:t>
      </w:r>
      <w:r w:rsidR="00CD7382">
        <w:rPr>
          <w:color w:val="000000"/>
        </w:rPr>
        <w:t>conduites</w:t>
      </w:r>
      <w:r w:rsidR="00CD7382" w:rsidRPr="00174EBA">
        <w:rPr>
          <w:color w:val="000000"/>
        </w:rPr>
        <w:t xml:space="preserve"> </w:t>
      </w:r>
      <w:r w:rsidR="00841D45" w:rsidRPr="00174EBA">
        <w:rPr>
          <w:color w:val="000000"/>
        </w:rPr>
        <w:t xml:space="preserve">dans le cadre de la mise en œuvre de la loi du 11 juin 2002 </w:t>
      </w:r>
      <w:r w:rsidR="00841D45" w:rsidRPr="00CD7382">
        <w:rPr>
          <w:iCs/>
          <w:color w:val="000000"/>
        </w:rPr>
        <w:t>relative à la protection contre la violence et le harcèlement moral ou sexuel au travail</w:t>
      </w:r>
      <w:r w:rsidR="00CD7382">
        <w:rPr>
          <w:color w:val="000000"/>
        </w:rPr>
        <w:t>,</w:t>
      </w:r>
      <w:r w:rsidR="00841D45" w:rsidRPr="00174EBA">
        <w:rPr>
          <w:color w:val="000000"/>
        </w:rPr>
        <w:t xml:space="preserve"> mais également en réponse aux recommandations de </w:t>
      </w:r>
      <w:r w:rsidR="00841D45" w:rsidRPr="00CD7382">
        <w:rPr>
          <w:color w:val="000000"/>
        </w:rPr>
        <w:t>l’asbl Limits</w:t>
      </w:r>
      <w:r w:rsidR="00841D45" w:rsidRPr="00174EBA">
        <w:rPr>
          <w:color w:val="000000"/>
        </w:rPr>
        <w:t xml:space="preserve"> qui a </w:t>
      </w:r>
      <w:r w:rsidR="00841D45">
        <w:rPr>
          <w:color w:val="000000"/>
        </w:rPr>
        <w:t xml:space="preserve">plusieurs </w:t>
      </w:r>
      <w:r w:rsidR="00841D45" w:rsidRPr="00174EBA">
        <w:rPr>
          <w:color w:val="000000"/>
        </w:rPr>
        <w:t xml:space="preserve">années d’expérience dans le domaine. En matière d’intervention, des mesures ont été prises aussi bien </w:t>
      </w:r>
      <w:r w:rsidR="00CD7382">
        <w:rPr>
          <w:color w:val="000000"/>
        </w:rPr>
        <w:t>concernant les</w:t>
      </w:r>
      <w:r w:rsidR="00841D45" w:rsidRPr="00174EBA">
        <w:rPr>
          <w:color w:val="000000"/>
        </w:rPr>
        <w:t xml:space="preserve"> relations entre les membres du personnel que les relations </w:t>
      </w:r>
      <w:r w:rsidR="00CB2C08">
        <w:rPr>
          <w:color w:val="000000"/>
        </w:rPr>
        <w:t>entre</w:t>
      </w:r>
      <w:r w:rsidR="00841D45" w:rsidRPr="00174EBA">
        <w:rPr>
          <w:color w:val="000000"/>
        </w:rPr>
        <w:t xml:space="preserve"> les membres du personnel </w:t>
      </w:r>
      <w:r w:rsidR="00CB2C08">
        <w:rPr>
          <w:color w:val="000000"/>
        </w:rPr>
        <w:t>et</w:t>
      </w:r>
      <w:r w:rsidR="00CB2C08" w:rsidRPr="00174EBA">
        <w:rPr>
          <w:color w:val="000000"/>
        </w:rPr>
        <w:t xml:space="preserve"> </w:t>
      </w:r>
      <w:r w:rsidR="00841D45" w:rsidRPr="00174EBA">
        <w:rPr>
          <w:color w:val="000000"/>
        </w:rPr>
        <w:t xml:space="preserve">les élèves. </w:t>
      </w:r>
    </w:p>
    <w:p w:rsidR="00841D45" w:rsidRPr="00174EBA" w:rsidRDefault="00095F33" w:rsidP="00B56858">
      <w:pPr>
        <w:pStyle w:val="SingleTxtG"/>
        <w:rPr>
          <w:color w:val="000000"/>
        </w:rPr>
      </w:pPr>
      <w:r>
        <w:rPr>
          <w:color w:val="000000"/>
        </w:rPr>
        <w:t>204.</w:t>
      </w:r>
      <w:r>
        <w:rPr>
          <w:color w:val="000000"/>
        </w:rPr>
        <w:tab/>
      </w:r>
      <w:r w:rsidR="00F177F2">
        <w:rPr>
          <w:color w:val="000000"/>
        </w:rPr>
        <w:t>En</w:t>
      </w:r>
      <w:r w:rsidR="00F177F2" w:rsidRPr="00174EBA">
        <w:rPr>
          <w:color w:val="000000"/>
        </w:rPr>
        <w:t xml:space="preserve"> </w:t>
      </w:r>
      <w:r w:rsidR="00841D45" w:rsidRPr="00174EBA">
        <w:rPr>
          <w:color w:val="000000"/>
        </w:rPr>
        <w:t xml:space="preserve">ce qui concerne les élèves, le plan visait aussi </w:t>
      </w:r>
      <w:r w:rsidR="00F177F2">
        <w:rPr>
          <w:color w:val="000000"/>
        </w:rPr>
        <w:t>à prendre</w:t>
      </w:r>
      <w:r w:rsidR="00841D45" w:rsidRPr="00174EBA">
        <w:rPr>
          <w:color w:val="000000"/>
        </w:rPr>
        <w:t xml:space="preserve"> de</w:t>
      </w:r>
      <w:r w:rsidR="00F177F2">
        <w:rPr>
          <w:color w:val="000000"/>
        </w:rPr>
        <w:t>s</w:t>
      </w:r>
      <w:r w:rsidR="00841D45" w:rsidRPr="00174EBA">
        <w:rPr>
          <w:color w:val="000000"/>
        </w:rPr>
        <w:t xml:space="preserve"> mesure</w:t>
      </w:r>
      <w:r w:rsidR="00F177F2">
        <w:rPr>
          <w:color w:val="000000"/>
        </w:rPr>
        <w:t>s</w:t>
      </w:r>
      <w:r w:rsidR="00841D45" w:rsidRPr="00174EBA">
        <w:rPr>
          <w:color w:val="000000"/>
        </w:rPr>
        <w:t xml:space="preserve"> de </w:t>
      </w:r>
      <w:r w:rsidR="00841D45">
        <w:rPr>
          <w:color w:val="000000"/>
        </w:rPr>
        <w:t>prévention et</w:t>
      </w:r>
      <w:r w:rsidR="00841D45" w:rsidRPr="00174EBA">
        <w:rPr>
          <w:color w:val="000000"/>
        </w:rPr>
        <w:t xml:space="preserve"> d’intervention. En </w:t>
      </w:r>
      <w:r w:rsidR="00DA72B5">
        <w:rPr>
          <w:color w:val="000000"/>
        </w:rPr>
        <w:t>comp</w:t>
      </w:r>
      <w:r w:rsidR="00841D45" w:rsidRPr="00174EBA">
        <w:rPr>
          <w:color w:val="000000"/>
        </w:rPr>
        <w:t>lément du plan, une publication à destination des directions d’établissement est actuellement en cours d’élaboration : «harcèlement et violence à l’école: Soutien pour une politique scolaire dynamique». Cette publication vise à construire et à renforcer la politique scolaire pour faire face au harcèlement et aux autres formes de comportement antisocial à l’intérieur de l’école et dans son environnement proche. Avec ce travail, on construit une approche intégrale du harcèlement et de la violence à l’école appelée «</w:t>
      </w:r>
      <w:r w:rsidR="00841D45" w:rsidRPr="00EC0BCF">
        <w:rPr>
          <w:i/>
          <w:iCs/>
          <w:color w:val="000000"/>
        </w:rPr>
        <w:t>whole school approach</w:t>
      </w:r>
      <w:r w:rsidR="00841D45" w:rsidRPr="00174EBA">
        <w:rPr>
          <w:color w:val="000000"/>
        </w:rPr>
        <w:t>». </w:t>
      </w:r>
    </w:p>
    <w:p w:rsidR="00841D45" w:rsidRPr="00174EBA" w:rsidRDefault="00095F33" w:rsidP="00071328">
      <w:pPr>
        <w:pStyle w:val="SingleTxtG"/>
        <w:rPr>
          <w:color w:val="000000"/>
        </w:rPr>
      </w:pPr>
      <w:r>
        <w:rPr>
          <w:color w:val="000000"/>
        </w:rPr>
        <w:t>205.</w:t>
      </w:r>
      <w:r>
        <w:rPr>
          <w:color w:val="000000"/>
        </w:rPr>
        <w:tab/>
      </w:r>
      <w:r w:rsidR="00841D45" w:rsidRPr="00174EBA">
        <w:rPr>
          <w:color w:val="000000"/>
        </w:rPr>
        <w:t xml:space="preserve">Le </w:t>
      </w:r>
      <w:r w:rsidR="00071328">
        <w:rPr>
          <w:color w:val="000000"/>
        </w:rPr>
        <w:t>P</w:t>
      </w:r>
      <w:r w:rsidR="00841D45" w:rsidRPr="00174EBA">
        <w:rPr>
          <w:color w:val="000000"/>
        </w:rPr>
        <w:t xml:space="preserve">lan flamand de lutte contre la maltraitance de l’enfant a </w:t>
      </w:r>
      <w:r w:rsidR="00071328">
        <w:rPr>
          <w:color w:val="000000"/>
        </w:rPr>
        <w:t>donné naissance à</w:t>
      </w:r>
      <w:r w:rsidR="00841D45" w:rsidRPr="00174EBA">
        <w:rPr>
          <w:color w:val="000000"/>
        </w:rPr>
        <w:t xml:space="preserve"> six centres de confiance régionaux (dans les 5 provinces de la </w:t>
      </w:r>
      <w:r w:rsidR="00841D45" w:rsidRPr="00785794">
        <w:rPr>
          <w:color w:val="000000"/>
        </w:rPr>
        <w:t>Région flamande et dans la Région</w:t>
      </w:r>
      <w:r w:rsidR="00841D45" w:rsidRPr="00174EBA">
        <w:rPr>
          <w:color w:val="000000"/>
        </w:rPr>
        <w:t xml:space="preserve"> de Bruxelles-Capitale), subventionnés par Kind &amp; Gezin (</w:t>
      </w:r>
      <w:hyperlink r:id="rId16" w:history="1">
        <w:r w:rsidR="00841D45" w:rsidRPr="00174EBA">
          <w:rPr>
            <w:rStyle w:val="Hyperlink"/>
            <w:color w:val="000000"/>
          </w:rPr>
          <w:t>www.kindermishandeling.be</w:t>
        </w:r>
      </w:hyperlink>
      <w:r w:rsidR="00841D45" w:rsidRPr="00174EBA">
        <w:rPr>
          <w:color w:val="000000"/>
        </w:rPr>
        <w:t xml:space="preserve">). </w:t>
      </w:r>
    </w:p>
    <w:p w:rsidR="00841D45" w:rsidRDefault="00095F33" w:rsidP="007B719D">
      <w:pPr>
        <w:pStyle w:val="SingleTxtG"/>
      </w:pPr>
      <w:r>
        <w:t>206.</w:t>
      </w:r>
      <w:r>
        <w:tab/>
      </w:r>
      <w:r w:rsidR="00841D45" w:rsidRPr="00785794">
        <w:t>Child focus</w:t>
      </w:r>
      <w:r w:rsidR="00841D45" w:rsidRPr="00A65915">
        <w:t xml:space="preserve"> ne dispose pas d’étude sur ce point et ne peut donc </w:t>
      </w:r>
      <w:r w:rsidR="00841D45">
        <w:t xml:space="preserve">pas </w:t>
      </w:r>
      <w:r w:rsidR="00841D45" w:rsidRPr="00A65915">
        <w:t xml:space="preserve">répondre à cette question. </w:t>
      </w:r>
    </w:p>
    <w:p w:rsidR="00841D45" w:rsidRPr="00340AAB" w:rsidRDefault="00F16E05" w:rsidP="00841D45">
      <w:pPr>
        <w:pStyle w:val="SingleTxtG"/>
        <w:rPr>
          <w:b/>
          <w:bCs/>
          <w:lang w:val="fr-FR"/>
        </w:rPr>
      </w:pPr>
      <w:r w:rsidRPr="00340AAB">
        <w:rPr>
          <w:b/>
          <w:bCs/>
        </w:rPr>
        <w:t>Réponse au paragraphe 27 de la liste de points à traiter</w:t>
      </w:r>
    </w:p>
    <w:p w:rsidR="00841D45" w:rsidRPr="00716F63" w:rsidRDefault="00095F33" w:rsidP="00E871DE">
      <w:pPr>
        <w:pStyle w:val="SingleTxtG"/>
        <w:rPr>
          <w:color w:val="000000"/>
          <w:lang w:val="fr-BE"/>
        </w:rPr>
      </w:pPr>
      <w:r>
        <w:rPr>
          <w:color w:val="000000"/>
          <w:lang w:val="fr-BE"/>
        </w:rPr>
        <w:t>207.</w:t>
      </w:r>
      <w:r>
        <w:rPr>
          <w:color w:val="000000"/>
          <w:lang w:val="fr-BE"/>
        </w:rPr>
        <w:tab/>
      </w:r>
      <w:r w:rsidR="00841D45" w:rsidRPr="00716F63">
        <w:rPr>
          <w:color w:val="000000"/>
          <w:lang w:val="fr-BE"/>
        </w:rPr>
        <w:t>L’</w:t>
      </w:r>
      <w:r w:rsidR="000D7AB1">
        <w:rPr>
          <w:color w:val="000000"/>
          <w:lang w:val="fr-BE"/>
        </w:rPr>
        <w:t>État</w:t>
      </w:r>
      <w:r w:rsidR="00841D45" w:rsidRPr="00716F63">
        <w:rPr>
          <w:color w:val="000000"/>
          <w:lang w:val="fr-BE"/>
        </w:rPr>
        <w:t xml:space="preserve"> diffuse des informations </w:t>
      </w:r>
      <w:r w:rsidR="00E871DE">
        <w:rPr>
          <w:color w:val="000000"/>
          <w:lang w:val="fr-BE"/>
        </w:rPr>
        <w:t>au niveau interne</w:t>
      </w:r>
      <w:r w:rsidR="00841D45" w:rsidRPr="00716F63">
        <w:rPr>
          <w:color w:val="000000"/>
          <w:lang w:val="fr-BE"/>
        </w:rPr>
        <w:t xml:space="preserve"> </w:t>
      </w:r>
      <w:r w:rsidR="00E871DE">
        <w:rPr>
          <w:color w:val="000000"/>
          <w:lang w:val="fr-BE"/>
        </w:rPr>
        <w:t xml:space="preserve">mais aussi à destination des </w:t>
      </w:r>
      <w:r w:rsidR="00841D45" w:rsidRPr="00716F63">
        <w:rPr>
          <w:color w:val="000000"/>
          <w:lang w:val="fr-BE"/>
        </w:rPr>
        <w:t>ONG intéressées dans le cadre du mécanisme d</w:t>
      </w:r>
      <w:r w:rsidR="00E871DE">
        <w:rPr>
          <w:color w:val="000000"/>
          <w:lang w:val="fr-BE"/>
        </w:rPr>
        <w:t xml:space="preserve">’établissement des </w:t>
      </w:r>
      <w:r w:rsidR="00841D45" w:rsidRPr="00716F63">
        <w:rPr>
          <w:color w:val="000000"/>
          <w:lang w:val="fr-BE"/>
        </w:rPr>
        <w:t>rapport</w:t>
      </w:r>
      <w:r w:rsidR="00E871DE">
        <w:rPr>
          <w:color w:val="000000"/>
          <w:lang w:val="fr-BE"/>
        </w:rPr>
        <w:t>s</w:t>
      </w:r>
      <w:r w:rsidR="00841D45" w:rsidRPr="00716F63">
        <w:rPr>
          <w:color w:val="000000"/>
          <w:lang w:val="fr-BE"/>
        </w:rPr>
        <w:t xml:space="preserve"> afin d’associer un maximum de personnes</w:t>
      </w:r>
      <w:r w:rsidR="00E871DE">
        <w:rPr>
          <w:color w:val="000000"/>
          <w:lang w:val="fr-BE"/>
        </w:rPr>
        <w:t xml:space="preserve"> à ce processus</w:t>
      </w:r>
      <w:r w:rsidR="00841D45" w:rsidRPr="00716F63">
        <w:rPr>
          <w:color w:val="000000"/>
          <w:lang w:val="fr-BE"/>
        </w:rPr>
        <w:t xml:space="preserve">. </w:t>
      </w:r>
    </w:p>
    <w:p w:rsidR="00841D45" w:rsidRPr="00D70B08" w:rsidRDefault="00D05AF5" w:rsidP="00EC0BCF">
      <w:pPr>
        <w:pStyle w:val="SingleTxtG"/>
        <w:rPr>
          <w:color w:val="000000"/>
        </w:rPr>
      </w:pPr>
      <w:r w:rsidRPr="004C23A7">
        <w:rPr>
          <w:color w:val="000000"/>
          <w:lang w:val="fr-BE"/>
        </w:rPr>
        <w:t>208.</w:t>
      </w:r>
      <w:r w:rsidRPr="004C23A7">
        <w:rPr>
          <w:color w:val="000000"/>
          <w:lang w:val="fr-BE"/>
        </w:rPr>
        <w:tab/>
      </w:r>
      <w:r w:rsidR="004C23A7" w:rsidRPr="004C23A7">
        <w:rPr>
          <w:color w:val="000000"/>
          <w:lang w:val="fr-BE"/>
        </w:rPr>
        <w:t>Les autorités flamandes</w:t>
      </w:r>
      <w:r w:rsidR="004C23A7">
        <w:rPr>
          <w:color w:val="000000"/>
          <w:lang w:val="fr-BE"/>
        </w:rPr>
        <w:t xml:space="preserve"> ont institué</w:t>
      </w:r>
      <w:r w:rsidR="004C23A7" w:rsidRPr="004C23A7">
        <w:rPr>
          <w:color w:val="000000"/>
          <w:lang w:val="fr-BE"/>
        </w:rPr>
        <w:t xml:space="preserve"> un nouveau mécanisme administratif de consultation et de coordination </w:t>
      </w:r>
      <w:r w:rsidR="004C23A7">
        <w:rPr>
          <w:color w:val="000000"/>
          <w:lang w:val="fr-BE"/>
        </w:rPr>
        <w:t>sur les</w:t>
      </w:r>
      <w:r w:rsidR="004C23A7" w:rsidRPr="004C23A7">
        <w:rPr>
          <w:color w:val="000000"/>
          <w:lang w:val="fr-BE"/>
        </w:rPr>
        <w:t xml:space="preserve"> treize domaines de politique générale</w:t>
      </w:r>
      <w:r w:rsidR="004C23A7">
        <w:rPr>
          <w:color w:val="000000"/>
          <w:lang w:val="fr-BE"/>
        </w:rPr>
        <w:t>,</w:t>
      </w:r>
      <w:r w:rsidR="004C23A7" w:rsidRPr="004C23A7">
        <w:rPr>
          <w:color w:val="000000"/>
          <w:lang w:val="fr-BE"/>
        </w:rPr>
        <w:t xml:space="preserve"> au niveau européen et multilatéral</w:t>
      </w:r>
      <w:r w:rsidR="004C23A7">
        <w:rPr>
          <w:color w:val="000000"/>
          <w:lang w:val="fr-BE"/>
        </w:rPr>
        <w:t>,</w:t>
      </w:r>
      <w:r w:rsidR="004C23A7" w:rsidRPr="004C23A7">
        <w:rPr>
          <w:color w:val="000000"/>
          <w:lang w:val="fr-BE"/>
        </w:rPr>
        <w:t xml:space="preserve"> </w:t>
      </w:r>
      <w:r w:rsidR="00841D45" w:rsidRPr="004C23A7">
        <w:rPr>
          <w:color w:val="000000"/>
          <w:lang w:val="fr-BE"/>
        </w:rPr>
        <w:t xml:space="preserve">(SOIA, </w:t>
      </w:r>
      <w:r w:rsidR="004C23A7">
        <w:rPr>
          <w:color w:val="000000"/>
          <w:lang w:val="fr-BE"/>
        </w:rPr>
        <w:t>plate-forme stratégique de consultation dans le domaine des affaires internationales</w:t>
      </w:r>
      <w:r w:rsidR="00841D45" w:rsidRPr="004C23A7">
        <w:rPr>
          <w:color w:val="000000"/>
          <w:lang w:val="fr-BE"/>
        </w:rPr>
        <w:t xml:space="preserve">) </w:t>
      </w:r>
      <w:r w:rsidR="004C23A7">
        <w:rPr>
          <w:color w:val="000000"/>
          <w:lang w:val="fr-BE"/>
        </w:rPr>
        <w:t>en février</w:t>
      </w:r>
      <w:r w:rsidR="00841D45" w:rsidRPr="004C23A7">
        <w:rPr>
          <w:color w:val="000000"/>
          <w:lang w:val="fr-BE"/>
        </w:rPr>
        <w:t xml:space="preserve"> 2010, </w:t>
      </w:r>
      <w:r w:rsidR="004C23A7">
        <w:rPr>
          <w:color w:val="000000"/>
          <w:lang w:val="fr-BE"/>
        </w:rPr>
        <w:t xml:space="preserve">qui répercute les questions soulevées par le Comité aux différents organismes et administrations flamandes concernés. </w:t>
      </w:r>
      <w:r w:rsidR="004C23A7" w:rsidRPr="004C23A7">
        <w:rPr>
          <w:color w:val="000000"/>
          <w:lang w:val="fr-BE"/>
        </w:rPr>
        <w:t>Par ailleurs, conformément à la décision du Gouvernement flamand en date du 17 octobre 2008</w:t>
      </w:r>
      <w:r w:rsidR="004C23A7">
        <w:rPr>
          <w:color w:val="000000"/>
          <w:lang w:val="fr-BE"/>
        </w:rPr>
        <w:t xml:space="preserve"> sur l’établissement des rapports </w:t>
      </w:r>
      <w:r w:rsidR="00BC5BC0">
        <w:rPr>
          <w:color w:val="000000"/>
          <w:lang w:val="fr-BE"/>
        </w:rPr>
        <w:t>concernant</w:t>
      </w:r>
      <w:r w:rsidR="004C23A7">
        <w:rPr>
          <w:color w:val="000000"/>
          <w:lang w:val="fr-BE"/>
        </w:rPr>
        <w:t xml:space="preserve"> la situation des droits de l’homme, le rapport de la Belgique et la liste de points à traiter ont été transmis par le Ministre-Président à tous les membres du Gouvernement. </w:t>
      </w:r>
      <w:r w:rsidR="004C23A7" w:rsidRPr="004C23A7">
        <w:rPr>
          <w:color w:val="000000"/>
          <w:lang w:val="fr-BE"/>
        </w:rPr>
        <w:t xml:space="preserve"> </w:t>
      </w:r>
    </w:p>
    <w:p w:rsidR="00841D45" w:rsidRPr="005F7786" w:rsidRDefault="00D05AF5" w:rsidP="00EC0BCF">
      <w:pPr>
        <w:pStyle w:val="SingleTxtG"/>
        <w:rPr>
          <w:color w:val="000000"/>
        </w:rPr>
      </w:pPr>
      <w:r>
        <w:rPr>
          <w:color w:val="000000"/>
          <w:lang w:val="fr-BE"/>
        </w:rPr>
        <w:t>209.</w:t>
      </w:r>
      <w:r>
        <w:rPr>
          <w:color w:val="000000"/>
          <w:lang w:val="fr-BE"/>
        </w:rPr>
        <w:tab/>
      </w:r>
      <w:r w:rsidR="00841D45" w:rsidRPr="00716F63">
        <w:rPr>
          <w:color w:val="000000"/>
          <w:lang w:val="fr-BE"/>
        </w:rPr>
        <w:t xml:space="preserve">En ce qui concerne l’information du grand public </w:t>
      </w:r>
      <w:r w:rsidR="00414555">
        <w:rPr>
          <w:color w:val="000000"/>
          <w:lang w:val="fr-BE"/>
        </w:rPr>
        <w:t>sur la</w:t>
      </w:r>
      <w:r w:rsidR="00841D45" w:rsidRPr="00716F63">
        <w:rPr>
          <w:color w:val="000000"/>
          <w:lang w:val="fr-BE"/>
        </w:rPr>
        <w:t xml:space="preserve"> présentation d’un rapport périodique et </w:t>
      </w:r>
      <w:r w:rsidR="00414555">
        <w:rPr>
          <w:color w:val="000000"/>
          <w:lang w:val="fr-BE"/>
        </w:rPr>
        <w:t>les</w:t>
      </w:r>
      <w:r w:rsidR="00841D45" w:rsidRPr="00716F63">
        <w:rPr>
          <w:color w:val="000000"/>
          <w:lang w:val="fr-BE"/>
        </w:rPr>
        <w:t xml:space="preserve"> observations finales formulées par </w:t>
      </w:r>
      <w:r w:rsidR="00414555">
        <w:rPr>
          <w:color w:val="000000"/>
          <w:lang w:val="fr-BE"/>
        </w:rPr>
        <w:t>un</w:t>
      </w:r>
      <w:r w:rsidR="00414555" w:rsidRPr="00716F63">
        <w:rPr>
          <w:color w:val="000000"/>
          <w:lang w:val="fr-BE"/>
        </w:rPr>
        <w:t xml:space="preserve"> </w:t>
      </w:r>
      <w:r w:rsidR="00414555">
        <w:rPr>
          <w:color w:val="000000"/>
          <w:lang w:val="fr-BE"/>
        </w:rPr>
        <w:t>c</w:t>
      </w:r>
      <w:r w:rsidR="00841D45" w:rsidRPr="00716F63">
        <w:rPr>
          <w:color w:val="000000"/>
          <w:lang w:val="fr-BE"/>
        </w:rPr>
        <w:t>omité international</w:t>
      </w:r>
      <w:r w:rsidR="00414555">
        <w:rPr>
          <w:color w:val="000000"/>
          <w:lang w:val="fr-BE"/>
        </w:rPr>
        <w:t xml:space="preserve"> à l’issue de l’examen d’un tel rapport</w:t>
      </w:r>
      <w:r w:rsidR="00841D45" w:rsidRPr="00716F63">
        <w:rPr>
          <w:color w:val="000000"/>
          <w:lang w:val="fr-BE"/>
        </w:rPr>
        <w:t xml:space="preserve">, celle-ci est généralement assurée par la presse. </w:t>
      </w:r>
      <w:r w:rsidR="007B719D">
        <w:rPr>
          <w:color w:val="000000"/>
          <w:lang w:val="fr-BE"/>
        </w:rPr>
        <w:t>À</w:t>
      </w:r>
      <w:r w:rsidR="00841D45" w:rsidRPr="00716F63">
        <w:rPr>
          <w:color w:val="000000"/>
          <w:lang w:val="fr-BE"/>
        </w:rPr>
        <w:t xml:space="preserve"> cet égard, des communiqués de presse </w:t>
      </w:r>
      <w:r w:rsidR="00414555">
        <w:rPr>
          <w:color w:val="000000"/>
          <w:lang w:val="fr-BE"/>
        </w:rPr>
        <w:t>sont également publiés par l</w:t>
      </w:r>
      <w:r w:rsidR="00841D45" w:rsidRPr="00716F63">
        <w:rPr>
          <w:color w:val="000000"/>
          <w:lang w:val="fr-BE"/>
        </w:rPr>
        <w:t xml:space="preserve">es autorités. Les rapports sont en outre publiés sur le site </w:t>
      </w:r>
      <w:r w:rsidR="00414555">
        <w:rPr>
          <w:color w:val="000000"/>
          <w:lang w:val="fr-BE"/>
        </w:rPr>
        <w:t>I</w:t>
      </w:r>
      <w:r w:rsidR="00841D45" w:rsidRPr="00716F63">
        <w:rPr>
          <w:color w:val="000000"/>
          <w:lang w:val="fr-BE"/>
        </w:rPr>
        <w:t>nternet du Service public fédéral Justice.</w:t>
      </w:r>
    </w:p>
    <w:p w:rsidR="00841D45" w:rsidRPr="00716F63" w:rsidRDefault="00D05AF5" w:rsidP="00414555">
      <w:pPr>
        <w:pStyle w:val="SingleTxtG"/>
        <w:rPr>
          <w:iCs/>
          <w:color w:val="000000"/>
        </w:rPr>
      </w:pPr>
      <w:r>
        <w:rPr>
          <w:iCs/>
          <w:color w:val="000000"/>
        </w:rPr>
        <w:t>210.</w:t>
      </w:r>
      <w:r>
        <w:rPr>
          <w:iCs/>
          <w:color w:val="000000"/>
        </w:rPr>
        <w:tab/>
      </w:r>
      <w:r w:rsidR="00841D45" w:rsidRPr="00716F63">
        <w:rPr>
          <w:color w:val="000000"/>
          <w:lang w:val="fr-BE"/>
        </w:rPr>
        <w:t>De manière générale,</w:t>
      </w:r>
      <w:r w:rsidR="00841D45">
        <w:rPr>
          <w:color w:val="000000"/>
          <w:lang w:val="fr-BE"/>
        </w:rPr>
        <w:t xml:space="preserve"> les principes des droits de l’</w:t>
      </w:r>
      <w:r w:rsidR="00A01870">
        <w:rPr>
          <w:color w:val="000000"/>
          <w:lang w:val="fr-BE"/>
        </w:rPr>
        <w:t>h</w:t>
      </w:r>
      <w:r w:rsidR="00841D45" w:rsidRPr="00716F63">
        <w:rPr>
          <w:color w:val="000000"/>
          <w:lang w:val="fr-BE"/>
        </w:rPr>
        <w:t xml:space="preserve">omme font partie des formations spécifiques organisées </w:t>
      </w:r>
      <w:r w:rsidR="00414555">
        <w:rPr>
          <w:color w:val="000000"/>
          <w:lang w:val="fr-BE"/>
        </w:rPr>
        <w:t>à l’intention d</w:t>
      </w:r>
      <w:r w:rsidR="00841D45" w:rsidRPr="00716F63">
        <w:rPr>
          <w:color w:val="000000"/>
          <w:lang w:val="fr-BE"/>
        </w:rPr>
        <w:t>es magistrats et</w:t>
      </w:r>
      <w:r w:rsidR="00414555">
        <w:rPr>
          <w:color w:val="000000"/>
          <w:lang w:val="fr-BE"/>
        </w:rPr>
        <w:t xml:space="preserve"> des</w:t>
      </w:r>
      <w:r w:rsidR="00841D45" w:rsidRPr="00716F63">
        <w:rPr>
          <w:color w:val="000000"/>
          <w:lang w:val="fr-BE"/>
        </w:rPr>
        <w:t xml:space="preserve"> membres des forces de l’ordre</w:t>
      </w:r>
      <w:r w:rsidR="00414555">
        <w:rPr>
          <w:color w:val="000000"/>
          <w:lang w:val="fr-BE"/>
        </w:rPr>
        <w:t>,</w:t>
      </w:r>
      <w:r w:rsidR="00841D45" w:rsidRPr="00716F63">
        <w:rPr>
          <w:color w:val="000000"/>
          <w:lang w:val="fr-BE"/>
        </w:rPr>
        <w:t xml:space="preserve"> y compris les policiers et les membres de l’armée. En outre, il convient de rappeler que les avocats, les magistrats ainsi que les membres des forces de l’ordre </w:t>
      </w:r>
      <w:r w:rsidR="00414555">
        <w:rPr>
          <w:color w:val="000000"/>
          <w:lang w:val="fr-BE"/>
        </w:rPr>
        <w:t xml:space="preserve">qui sont </w:t>
      </w:r>
      <w:r w:rsidR="00841D45" w:rsidRPr="00716F63">
        <w:rPr>
          <w:color w:val="000000"/>
          <w:lang w:val="fr-BE"/>
        </w:rPr>
        <w:t>diplôm</w:t>
      </w:r>
      <w:r w:rsidR="00414555">
        <w:rPr>
          <w:color w:val="000000"/>
          <w:lang w:val="fr-BE"/>
        </w:rPr>
        <w:t xml:space="preserve">és d’une faculté de </w:t>
      </w:r>
      <w:r w:rsidR="00841D45" w:rsidRPr="00716F63">
        <w:rPr>
          <w:color w:val="000000"/>
          <w:lang w:val="fr-BE"/>
        </w:rPr>
        <w:t>droit ont suivi des cour</w:t>
      </w:r>
      <w:r w:rsidR="00841D45">
        <w:rPr>
          <w:color w:val="000000"/>
          <w:lang w:val="fr-BE"/>
        </w:rPr>
        <w:t xml:space="preserve">s </w:t>
      </w:r>
      <w:r w:rsidR="00414555">
        <w:rPr>
          <w:color w:val="000000"/>
          <w:lang w:val="fr-BE"/>
        </w:rPr>
        <w:t xml:space="preserve">de formation aux </w:t>
      </w:r>
      <w:r w:rsidR="00841D45">
        <w:rPr>
          <w:color w:val="000000"/>
          <w:lang w:val="fr-BE"/>
        </w:rPr>
        <w:t>droits de l’</w:t>
      </w:r>
      <w:r w:rsidR="00A01870">
        <w:rPr>
          <w:color w:val="000000"/>
          <w:lang w:val="fr-BE"/>
        </w:rPr>
        <w:t>h</w:t>
      </w:r>
      <w:r w:rsidR="00841D45" w:rsidRPr="00716F63">
        <w:rPr>
          <w:color w:val="000000"/>
          <w:lang w:val="fr-BE"/>
        </w:rPr>
        <w:t xml:space="preserve">omme. </w:t>
      </w:r>
    </w:p>
    <w:p w:rsidR="00841D45" w:rsidRDefault="003C0315" w:rsidP="00D3326D">
      <w:pPr>
        <w:pStyle w:val="SingleTxtG"/>
        <w:rPr>
          <w:iCs/>
          <w:color w:val="000000"/>
        </w:rPr>
      </w:pPr>
      <w:r>
        <w:rPr>
          <w:iCs/>
          <w:color w:val="000000"/>
        </w:rPr>
        <w:t>211.</w:t>
      </w:r>
      <w:r>
        <w:rPr>
          <w:iCs/>
          <w:color w:val="000000"/>
        </w:rPr>
        <w:tab/>
      </w:r>
      <w:r w:rsidR="00841D45" w:rsidRPr="00716F63">
        <w:rPr>
          <w:iCs/>
          <w:color w:val="000000"/>
        </w:rPr>
        <w:t>Au niveau de l’autorité flamande, le Gouvernement</w:t>
      </w:r>
      <w:r w:rsidR="00841D45" w:rsidRPr="00174EBA">
        <w:rPr>
          <w:iCs/>
          <w:color w:val="000000"/>
        </w:rPr>
        <w:t xml:space="preserve"> flamand soutient les activités de l’Association des Nations Unies Belgique Flandre (VVN)</w:t>
      </w:r>
      <w:r w:rsidR="00414555">
        <w:rPr>
          <w:iCs/>
          <w:color w:val="000000"/>
        </w:rPr>
        <w:t>,</w:t>
      </w:r>
      <w:r w:rsidR="00841D45" w:rsidRPr="00174EBA">
        <w:rPr>
          <w:iCs/>
          <w:color w:val="000000"/>
        </w:rPr>
        <w:t xml:space="preserve"> qui</w:t>
      </w:r>
      <w:r w:rsidR="00414555">
        <w:rPr>
          <w:iCs/>
          <w:color w:val="000000"/>
        </w:rPr>
        <w:t>,</w:t>
      </w:r>
      <w:r w:rsidR="00841D45" w:rsidRPr="00174EBA">
        <w:rPr>
          <w:iCs/>
          <w:color w:val="000000"/>
        </w:rPr>
        <w:t xml:space="preserve"> en contrepartie</w:t>
      </w:r>
      <w:r w:rsidR="00414555">
        <w:rPr>
          <w:iCs/>
          <w:color w:val="000000"/>
        </w:rPr>
        <w:t>,</w:t>
      </w:r>
      <w:r w:rsidR="00841D45" w:rsidRPr="00174EBA">
        <w:rPr>
          <w:iCs/>
          <w:color w:val="000000"/>
        </w:rPr>
        <w:t xml:space="preserve"> </w:t>
      </w:r>
      <w:r w:rsidR="00414555" w:rsidRPr="00174EBA">
        <w:rPr>
          <w:iCs/>
          <w:color w:val="000000"/>
        </w:rPr>
        <w:t xml:space="preserve">organise </w:t>
      </w:r>
      <w:r w:rsidR="00414555">
        <w:rPr>
          <w:iCs/>
          <w:color w:val="000000"/>
        </w:rPr>
        <w:t>à l’intention</w:t>
      </w:r>
      <w:r w:rsidR="00414555" w:rsidRPr="00174EBA">
        <w:rPr>
          <w:iCs/>
          <w:color w:val="000000"/>
        </w:rPr>
        <w:t xml:space="preserve"> </w:t>
      </w:r>
      <w:r w:rsidR="00841D45" w:rsidRPr="00174EBA">
        <w:rPr>
          <w:iCs/>
          <w:color w:val="000000"/>
        </w:rPr>
        <w:t>des fonctionnaires flamands</w:t>
      </w:r>
      <w:r w:rsidR="00414555">
        <w:rPr>
          <w:iCs/>
          <w:color w:val="000000"/>
        </w:rPr>
        <w:t xml:space="preserve">, et cela </w:t>
      </w:r>
      <w:r w:rsidR="00414555" w:rsidRPr="00174EBA">
        <w:rPr>
          <w:iCs/>
          <w:color w:val="000000"/>
        </w:rPr>
        <w:t>plusieurs</w:t>
      </w:r>
      <w:r w:rsidR="00414555">
        <w:rPr>
          <w:iCs/>
          <w:color w:val="000000"/>
        </w:rPr>
        <w:t xml:space="preserve"> fois par an, des</w:t>
      </w:r>
      <w:r w:rsidR="00414555" w:rsidRPr="00174EBA">
        <w:rPr>
          <w:iCs/>
          <w:color w:val="000000"/>
        </w:rPr>
        <w:t xml:space="preserve"> ateliers </w:t>
      </w:r>
      <w:r w:rsidR="00414555">
        <w:rPr>
          <w:iCs/>
          <w:color w:val="000000"/>
        </w:rPr>
        <w:t>sur</w:t>
      </w:r>
      <w:r w:rsidR="00841D45" w:rsidRPr="00174EBA">
        <w:rPr>
          <w:iCs/>
          <w:color w:val="000000"/>
        </w:rPr>
        <w:t xml:space="preserve"> l’action des Nations Unies </w:t>
      </w:r>
      <w:r w:rsidR="00D3326D">
        <w:rPr>
          <w:iCs/>
          <w:color w:val="000000"/>
        </w:rPr>
        <w:t>notamment dans le domaine d</w:t>
      </w:r>
      <w:r w:rsidR="00841D45">
        <w:rPr>
          <w:iCs/>
          <w:color w:val="000000"/>
        </w:rPr>
        <w:t>es droits de l’</w:t>
      </w:r>
      <w:r w:rsidR="00A01870">
        <w:rPr>
          <w:iCs/>
          <w:color w:val="000000"/>
        </w:rPr>
        <w:t>h</w:t>
      </w:r>
      <w:r w:rsidR="00841D45">
        <w:rPr>
          <w:iCs/>
          <w:color w:val="000000"/>
        </w:rPr>
        <w:t>omme</w:t>
      </w:r>
      <w:r w:rsidR="00841D45" w:rsidRPr="00174EBA">
        <w:rPr>
          <w:iCs/>
          <w:color w:val="000000"/>
        </w:rPr>
        <w:t xml:space="preserve">. </w:t>
      </w:r>
    </w:p>
    <w:p w:rsidR="00503F6D" w:rsidRPr="00503F6D" w:rsidRDefault="00503F6D" w:rsidP="00503F6D">
      <w:pPr>
        <w:pStyle w:val="SingleTxtG"/>
        <w:spacing w:before="240" w:after="0"/>
        <w:jc w:val="center"/>
        <w:rPr>
          <w:iCs/>
          <w:color w:val="000000"/>
          <w:u w:val="single"/>
        </w:rPr>
      </w:pPr>
      <w:r>
        <w:rPr>
          <w:iCs/>
          <w:color w:val="000000"/>
          <w:u w:val="single"/>
        </w:rPr>
        <w:tab/>
      </w:r>
      <w:r>
        <w:rPr>
          <w:iCs/>
          <w:color w:val="000000"/>
          <w:u w:val="single"/>
        </w:rPr>
        <w:tab/>
      </w:r>
      <w:r>
        <w:rPr>
          <w:iCs/>
          <w:color w:val="000000"/>
          <w:u w:val="single"/>
        </w:rPr>
        <w:tab/>
      </w:r>
    </w:p>
    <w:sectPr w:rsidR="00503F6D" w:rsidRPr="00503F6D" w:rsidSect="0028208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BE" w:rsidRDefault="008B44BE"/>
  </w:endnote>
  <w:endnote w:type="continuationSeparator" w:id="0">
    <w:p w:rsidR="008B44BE" w:rsidRDefault="008B44BE"/>
  </w:endnote>
  <w:endnote w:type="continuationNotice" w:id="1">
    <w:p w:rsidR="008B44BE" w:rsidRDefault="008B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4" w:rsidRPr="00282083" w:rsidRDefault="00B46264" w:rsidP="00282083">
    <w:pPr>
      <w:pStyle w:val="Footer"/>
      <w:tabs>
        <w:tab w:val="right" w:pos="9638"/>
      </w:tabs>
    </w:pPr>
    <w:r w:rsidRPr="00282083">
      <w:rPr>
        <w:b/>
        <w:sz w:val="18"/>
      </w:rPr>
      <w:fldChar w:fldCharType="begin"/>
    </w:r>
    <w:r w:rsidRPr="00282083">
      <w:rPr>
        <w:b/>
        <w:sz w:val="18"/>
      </w:rPr>
      <w:instrText xml:space="preserve"> PAGE  \* MERGEFORMAT </w:instrText>
    </w:r>
    <w:r w:rsidRPr="00282083">
      <w:rPr>
        <w:b/>
        <w:sz w:val="18"/>
      </w:rPr>
      <w:fldChar w:fldCharType="separate"/>
    </w:r>
    <w:r w:rsidR="00041ABA">
      <w:rPr>
        <w:b/>
        <w:noProof/>
        <w:sz w:val="18"/>
      </w:rPr>
      <w:t>2</w:t>
    </w:r>
    <w:r w:rsidRPr="002820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4" w:rsidRPr="00282083" w:rsidRDefault="00B46264" w:rsidP="00282083">
    <w:pPr>
      <w:pStyle w:val="Footer"/>
      <w:tabs>
        <w:tab w:val="right" w:pos="9638"/>
      </w:tabs>
      <w:rPr>
        <w:b/>
        <w:sz w:val="18"/>
      </w:rPr>
    </w:pPr>
    <w:r>
      <w:tab/>
    </w:r>
    <w:r w:rsidRPr="00282083">
      <w:rPr>
        <w:b/>
        <w:sz w:val="18"/>
      </w:rPr>
      <w:fldChar w:fldCharType="begin"/>
    </w:r>
    <w:r w:rsidRPr="00282083">
      <w:rPr>
        <w:b/>
        <w:sz w:val="18"/>
      </w:rPr>
      <w:instrText xml:space="preserve"> PAGE  \* MERGEFORMAT </w:instrText>
    </w:r>
    <w:r w:rsidRPr="00282083">
      <w:rPr>
        <w:b/>
        <w:sz w:val="18"/>
      </w:rPr>
      <w:fldChar w:fldCharType="separate"/>
    </w:r>
    <w:r w:rsidR="00041ABA">
      <w:rPr>
        <w:b/>
        <w:noProof/>
        <w:sz w:val="18"/>
      </w:rPr>
      <w:t>29</w:t>
    </w:r>
    <w:r w:rsidRPr="002820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4" w:rsidRPr="00282083" w:rsidRDefault="00B46264">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r w:rsidR="00041ABA">
      <w:rPr>
        <w:sz w:val="20"/>
      </w:rPr>
      <w:t>10-45198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BE" w:rsidRPr="00D27D5E" w:rsidRDefault="008B44BE" w:rsidP="00D27D5E">
      <w:pPr>
        <w:tabs>
          <w:tab w:val="right" w:pos="2155"/>
        </w:tabs>
        <w:spacing w:after="80"/>
        <w:ind w:left="680"/>
        <w:rPr>
          <w:u w:val="single"/>
        </w:rPr>
      </w:pPr>
      <w:r>
        <w:rPr>
          <w:u w:val="single"/>
        </w:rPr>
        <w:tab/>
      </w:r>
    </w:p>
  </w:footnote>
  <w:footnote w:type="continuationSeparator" w:id="0">
    <w:p w:rsidR="008B44BE" w:rsidRPr="00091505" w:rsidRDefault="008B44BE" w:rsidP="00091505">
      <w:pPr>
        <w:tabs>
          <w:tab w:val="right" w:pos="2155"/>
        </w:tabs>
        <w:spacing w:after="80"/>
        <w:ind w:left="680"/>
        <w:rPr>
          <w:u w:val="single"/>
        </w:rPr>
      </w:pPr>
      <w:r w:rsidRPr="00091505">
        <w:rPr>
          <w:u w:val="single"/>
        </w:rPr>
        <w:tab/>
      </w:r>
    </w:p>
  </w:footnote>
  <w:footnote w:type="continuationNotice" w:id="1">
    <w:p w:rsidR="008B44BE" w:rsidRDefault="008B44BE"/>
  </w:footnote>
  <w:footnote w:id="2">
    <w:p w:rsidR="00B46264" w:rsidRPr="000704BD" w:rsidRDefault="00B46264" w:rsidP="00682BFA">
      <w:pPr>
        <w:pStyle w:val="FootnoteText"/>
        <w:rPr>
          <w:lang w:val="fr-BE"/>
        </w:rPr>
      </w:pPr>
      <w:r>
        <w:tab/>
      </w:r>
      <w:r>
        <w:tab/>
      </w:r>
      <w:r w:rsidRPr="00142019">
        <w:rPr>
          <w:rStyle w:val="FootnoteReference"/>
        </w:rPr>
        <w:footnoteRef/>
      </w:r>
      <w:r w:rsidRPr="000704BD">
        <w:t xml:space="preserve"> </w:t>
      </w:r>
      <w:r>
        <w:t>L</w:t>
      </w:r>
      <w:r w:rsidRPr="000704BD">
        <w:t xml:space="preserve">oi du 23 mars 1995 </w:t>
      </w:r>
      <w:r w:rsidRPr="000704BD">
        <w:rPr>
          <w:iCs/>
        </w:rPr>
        <w:t>tendant à réprimer la négation, la minimisation, la justification ou l'approbation du génocide commis par le régime national-socialiste allemand pendant la seconde guerre mondiale</w:t>
      </w:r>
      <w:r>
        <w:rPr>
          <w:iCs/>
        </w:rPr>
        <w:t xml:space="preserve">, </w:t>
      </w:r>
      <w:r w:rsidRPr="000704BD">
        <w:t>M.B., 30 mars 1995</w:t>
      </w:r>
      <w:r>
        <w:t>.</w:t>
      </w:r>
    </w:p>
  </w:footnote>
  <w:footnote w:id="3">
    <w:p w:rsidR="00B46264" w:rsidRPr="00D94D74" w:rsidRDefault="00B46264" w:rsidP="007D2DA9">
      <w:pPr>
        <w:pStyle w:val="FootnoteText"/>
      </w:pPr>
      <w:r w:rsidRPr="000704BD">
        <w:tab/>
      </w:r>
      <w:r w:rsidRPr="000704BD">
        <w:tab/>
      </w:r>
      <w:r w:rsidRPr="000704BD">
        <w:rPr>
          <w:rStyle w:val="FootnoteReference"/>
        </w:rPr>
        <w:footnoteRef/>
      </w:r>
      <w:r w:rsidRPr="000704BD">
        <w:t xml:space="preserve"> Loi du 30 juillet 1981 </w:t>
      </w:r>
      <w:r w:rsidRPr="00682BFA">
        <w:rPr>
          <w:iCs/>
        </w:rPr>
        <w:t>tendant à réprimer certains actes inspirés par le racisme ou la xénophobie</w:t>
      </w:r>
      <w:r>
        <w:rPr>
          <w:iCs/>
        </w:rPr>
        <w:t>,</w:t>
      </w:r>
      <w:r>
        <w:t xml:space="preserve"> </w:t>
      </w:r>
      <w:r w:rsidRPr="000704BD">
        <w:t>M.B., 8 août 1981</w:t>
      </w:r>
      <w:r>
        <w:t>.</w:t>
      </w:r>
    </w:p>
  </w:footnote>
  <w:footnote w:id="4">
    <w:p w:rsidR="00B46264" w:rsidRPr="00236621" w:rsidRDefault="00B46264" w:rsidP="005154A0">
      <w:pPr>
        <w:pStyle w:val="FootnoteText"/>
        <w:rPr>
          <w:lang w:val="fr-BE"/>
        </w:rPr>
      </w:pPr>
      <w:r>
        <w:tab/>
      </w:r>
      <w:r>
        <w:tab/>
      </w:r>
      <w:r>
        <w:rPr>
          <w:rStyle w:val="FootnoteReference"/>
        </w:rPr>
        <w:footnoteRef/>
      </w:r>
      <w:r w:rsidRPr="00236621">
        <w:t xml:space="preserve"> </w:t>
      </w:r>
      <w:r>
        <w:rPr>
          <w:lang w:val="fr-BE"/>
        </w:rPr>
        <w:t>Voir annexe 1: Jurisprudence antiracisme/ antidiscrimination.</w:t>
      </w:r>
    </w:p>
  </w:footnote>
  <w:footnote w:id="5">
    <w:p w:rsidR="00B46264" w:rsidRPr="004F6CB2" w:rsidRDefault="00B46264" w:rsidP="00841D45">
      <w:pPr>
        <w:pStyle w:val="FootnoteText"/>
      </w:pPr>
      <w:r>
        <w:tab/>
      </w:r>
      <w:r>
        <w:tab/>
      </w:r>
      <w:r>
        <w:rPr>
          <w:rStyle w:val="FootnoteReference"/>
        </w:rPr>
        <w:footnoteRef/>
      </w:r>
      <w:r>
        <w:t xml:space="preserve"> 10 600 inscriptions supplémentaires ont été enregistrées après la campagne.</w:t>
      </w:r>
    </w:p>
  </w:footnote>
  <w:footnote w:id="6">
    <w:p w:rsidR="00B46264" w:rsidRPr="002F2869" w:rsidRDefault="00B46264" w:rsidP="006C1974">
      <w:pPr>
        <w:pStyle w:val="FootnoteText"/>
      </w:pPr>
      <w:r>
        <w:tab/>
      </w:r>
      <w:r>
        <w:tab/>
      </w:r>
      <w:r>
        <w:rPr>
          <w:rStyle w:val="FootnoteReference"/>
        </w:rPr>
        <w:footnoteRef/>
      </w:r>
      <w:r>
        <w:t xml:space="preserve"> Annexe 2 : Statistiques quant à la diversité au sein de l’administration fédérale en 2007.</w:t>
      </w:r>
    </w:p>
  </w:footnote>
  <w:footnote w:id="7">
    <w:p w:rsidR="00B46264" w:rsidRPr="002D3BF6" w:rsidRDefault="00B46264" w:rsidP="00495CDA">
      <w:pPr>
        <w:pStyle w:val="FootnoteText"/>
      </w:pPr>
      <w:r>
        <w:rPr>
          <w:rFonts w:ascii="Verdana" w:hAnsi="Verdana" w:cs="Tahoma"/>
          <w:sz w:val="16"/>
        </w:rPr>
        <w:tab/>
      </w:r>
      <w:r w:rsidRPr="002D3BF6">
        <w:tab/>
      </w:r>
      <w:r w:rsidRPr="00E069BD">
        <w:rPr>
          <w:vertAlign w:val="superscript"/>
        </w:rPr>
        <w:footnoteRef/>
      </w:r>
      <w:r w:rsidRPr="002D3BF6">
        <w:t xml:space="preserve"> Loi du 12 janvier 2007 visant au contrôle de l'application des résolutions de la </w:t>
      </w:r>
      <w:r>
        <w:t>C</w:t>
      </w:r>
      <w:r w:rsidRPr="002D3BF6">
        <w:t>onférence mondiale sur les femmes</w:t>
      </w:r>
      <w:r>
        <w:t xml:space="preserve"> </w:t>
      </w:r>
      <w:r w:rsidRPr="002D3BF6">
        <w:t>réunie à Pékin en septembre 1995</w:t>
      </w:r>
      <w:r>
        <w:t xml:space="preserve"> </w:t>
      </w:r>
      <w:r w:rsidRPr="002D3BF6">
        <w:t>et intégrant la dimension du genre dans l'ensemble des politiques fédérales, M.B.,13 février 2007.</w:t>
      </w:r>
    </w:p>
  </w:footnote>
  <w:footnote w:id="8">
    <w:p w:rsidR="00B46264" w:rsidRDefault="00B46264" w:rsidP="00841D45">
      <w:pPr>
        <w:pStyle w:val="FootnoteText"/>
      </w:pPr>
      <w:r w:rsidRPr="002D3BF6">
        <w:tab/>
      </w:r>
      <w:r w:rsidRPr="002D3BF6">
        <w:tab/>
      </w:r>
      <w:r w:rsidRPr="00E069BD">
        <w:rPr>
          <w:vertAlign w:val="superscript"/>
        </w:rPr>
        <w:footnoteRef/>
      </w:r>
      <w:r w:rsidRPr="002D3BF6">
        <w:t xml:space="preserve"> Arrêté royal du 26 janvier 2010 relatif à la composition, aux missions et au fonctionnement d’un groupe interdépartemental de coordination</w:t>
      </w:r>
      <w:r>
        <w:rPr>
          <w:rFonts w:ascii="Verdana" w:hAnsi="Verdana" w:cs="Tahoma"/>
          <w:sz w:val="16"/>
        </w:rPr>
        <w:t>.</w:t>
      </w:r>
      <w:r>
        <w:rPr>
          <w:sz w:val="16"/>
        </w:rPr>
        <w:t xml:space="preserve"> </w:t>
      </w:r>
    </w:p>
  </w:footnote>
  <w:footnote w:id="9">
    <w:p w:rsidR="00B46264" w:rsidRPr="0026716B" w:rsidRDefault="00B46264" w:rsidP="001F359B">
      <w:pPr>
        <w:pStyle w:val="FootnoteText"/>
        <w:rPr>
          <w:lang w:val="fr-BE"/>
        </w:rPr>
      </w:pPr>
      <w:r>
        <w:tab/>
      </w:r>
      <w:r>
        <w:tab/>
      </w:r>
      <w:r>
        <w:rPr>
          <w:rStyle w:val="FootnoteReference"/>
        </w:rPr>
        <w:footnoteRef/>
      </w:r>
      <w:r>
        <w:t xml:space="preserve"> </w:t>
      </w:r>
      <w:r>
        <w:rPr>
          <w:lang w:val="fr-BE"/>
        </w:rPr>
        <w:t>Le jugement prononcé par la 7</w:t>
      </w:r>
      <w:r w:rsidRPr="000878C0">
        <w:rPr>
          <w:vertAlign w:val="superscript"/>
          <w:lang w:val="fr-BE"/>
        </w:rPr>
        <w:t>ème</w:t>
      </w:r>
      <w:r>
        <w:rPr>
          <w:lang w:val="fr-BE"/>
        </w:rPr>
        <w:t xml:space="preserve"> c</w:t>
      </w:r>
      <w:r w:rsidRPr="000878C0">
        <w:rPr>
          <w:lang w:val="fr-BE"/>
        </w:rPr>
        <w:t>ha</w:t>
      </w:r>
      <w:r>
        <w:rPr>
          <w:lang w:val="fr-BE"/>
        </w:rPr>
        <w:t>mbre du tribunal de première instance de Nivelles (civ. Nivelles (</w:t>
      </w:r>
      <w:r w:rsidRPr="000878C0">
        <w:rPr>
          <w:lang w:val="fr-BE"/>
        </w:rPr>
        <w:t>7</w:t>
      </w:r>
      <w:r w:rsidRPr="000878C0">
        <w:rPr>
          <w:vertAlign w:val="superscript"/>
          <w:lang w:val="fr-BE"/>
        </w:rPr>
        <w:t>ème</w:t>
      </w:r>
      <w:r>
        <w:rPr>
          <w:lang w:val="fr-BE"/>
        </w:rPr>
        <w:t xml:space="preserve"> ch.), 13 mai 2008, R.T.D.F. 2009- 3, p. 728 et 729) constitue une bonne illustration de cette application restrictive. </w:t>
      </w:r>
    </w:p>
  </w:footnote>
  <w:footnote w:id="10">
    <w:p w:rsidR="00B46264" w:rsidRPr="00716F63" w:rsidRDefault="00B46264" w:rsidP="00E069BD">
      <w:pPr>
        <w:pStyle w:val="FootnoteText"/>
      </w:pPr>
      <w:r>
        <w:tab/>
      </w:r>
      <w:r>
        <w:tab/>
      </w:r>
      <w:r>
        <w:rPr>
          <w:rStyle w:val="FootnoteReference"/>
        </w:rPr>
        <w:footnoteRef/>
      </w:r>
      <w:r>
        <w:t xml:space="preserve"> Annexe 3: Exemples de jurisprudence.</w:t>
      </w:r>
    </w:p>
  </w:footnote>
  <w:footnote w:id="11">
    <w:p w:rsidR="00B46264" w:rsidRPr="00E048AE" w:rsidRDefault="00B46264" w:rsidP="00D87DA4">
      <w:pPr>
        <w:pStyle w:val="FootnoteText"/>
      </w:pPr>
      <w:r>
        <w:tab/>
      </w:r>
      <w:r>
        <w:tab/>
      </w:r>
      <w:r>
        <w:rPr>
          <w:rStyle w:val="FootnoteReference"/>
        </w:rPr>
        <w:footnoteRef/>
      </w:r>
      <w:r>
        <w:t xml:space="preserve"> Annexe 4: Statistiques quant aux faits de violence domestique.</w:t>
      </w:r>
    </w:p>
  </w:footnote>
  <w:footnote w:id="12">
    <w:p w:rsidR="00B46264" w:rsidRPr="00F36EAE" w:rsidRDefault="00B46264" w:rsidP="00D92C6F">
      <w:pPr>
        <w:pStyle w:val="FootnoteText"/>
        <w:rPr>
          <w:lang w:val="fr-BE"/>
        </w:rPr>
      </w:pPr>
      <w:r>
        <w:tab/>
      </w:r>
      <w:r>
        <w:tab/>
      </w:r>
      <w:r>
        <w:rPr>
          <w:rStyle w:val="FootnoteReference"/>
        </w:rPr>
        <w:footnoteRef/>
      </w:r>
      <w:r>
        <w:t xml:space="preserve"> Annexe 5: Code pénal belge du 8 juin 1867, Livre </w:t>
      </w:r>
      <w:r w:rsidRPr="001C77B0">
        <w:t>2</w:t>
      </w:r>
      <w:r>
        <w:t xml:space="preserve"> : Des infractions et leur répression en particulier, titre VII, chapitres </w:t>
      </w:r>
      <w:r w:rsidRPr="001C77B0">
        <w:t>V</w:t>
      </w:r>
      <w:r>
        <w:t xml:space="preserve"> «</w:t>
      </w:r>
      <w:r w:rsidRPr="00F36EAE">
        <w:t>De l’attentat à la pudeur et du viol</w:t>
      </w:r>
      <w:r>
        <w:t>» et VII «Des outrages publics aux bonnes mœurs», M.B., 9 juin 1987.</w:t>
      </w:r>
    </w:p>
  </w:footnote>
  <w:footnote w:id="13">
    <w:p w:rsidR="00B46264" w:rsidRPr="00F36EAE" w:rsidRDefault="00B46264" w:rsidP="00841D45">
      <w:pPr>
        <w:pStyle w:val="FootnoteText"/>
        <w:rPr>
          <w:lang w:val="fr-BE"/>
        </w:rPr>
      </w:pPr>
      <w:r>
        <w:tab/>
      </w:r>
      <w:r>
        <w:tab/>
      </w:r>
      <w:r w:rsidRPr="00F36EAE">
        <w:rPr>
          <w:rStyle w:val="FootnoteReference"/>
        </w:rPr>
        <w:footnoteRef/>
      </w:r>
      <w:r w:rsidRPr="00F36EAE">
        <w:t xml:space="preserve"> Loi de </w:t>
      </w:r>
      <w:r w:rsidRPr="001C77B0">
        <w:t>principes</w:t>
      </w:r>
      <w:r w:rsidRPr="00F36EAE">
        <w:t xml:space="preserve"> du 12 janvier 2005 </w:t>
      </w:r>
      <w:r w:rsidRPr="00D87DA4">
        <w:rPr>
          <w:iCs/>
        </w:rPr>
        <w:t>concernant l'administration pénitentiaire ainsi que le statut juridique des détenus</w:t>
      </w:r>
      <w:r>
        <w:rPr>
          <w:iCs/>
        </w:rPr>
        <w:t>,</w:t>
      </w:r>
      <w:r w:rsidRPr="00F36EAE">
        <w:rPr>
          <w:i/>
        </w:rPr>
        <w:t xml:space="preserve"> </w:t>
      </w:r>
      <w:r w:rsidRPr="00F36EAE">
        <w:t>M.B., 1</w:t>
      </w:r>
      <w:r w:rsidRPr="00F36EAE">
        <w:rPr>
          <w:vertAlign w:val="superscript"/>
        </w:rPr>
        <w:t>er</w:t>
      </w:r>
      <w:r w:rsidRPr="00F36EAE">
        <w:t xml:space="preserve"> février 2005</w:t>
      </w:r>
      <w:r>
        <w:t>.</w:t>
      </w:r>
    </w:p>
  </w:footnote>
  <w:footnote w:id="14">
    <w:p w:rsidR="00B46264" w:rsidRPr="0005714C" w:rsidRDefault="00B46264" w:rsidP="00957FF2">
      <w:pPr>
        <w:pStyle w:val="FootnoteText"/>
        <w:rPr>
          <w:lang w:val="fr-BE"/>
        </w:rPr>
      </w:pPr>
      <w:r>
        <w:tab/>
      </w:r>
      <w:r>
        <w:tab/>
      </w:r>
      <w:r>
        <w:rPr>
          <w:rStyle w:val="FootnoteReference"/>
        </w:rPr>
        <w:footnoteRef/>
      </w:r>
      <w:r>
        <w:t xml:space="preserve"> </w:t>
      </w:r>
      <w:r>
        <w:rPr>
          <w:lang w:val="fr-BE"/>
        </w:rPr>
        <w:t xml:space="preserve">Annexe 6: Dispositions issues de la loi de principes du 12 janvier 2005 concernant l’administration pénitentiaire ainsi que le statut juridique des détenus. </w:t>
      </w:r>
    </w:p>
  </w:footnote>
  <w:footnote w:id="15">
    <w:p w:rsidR="00B46264" w:rsidRPr="00034572" w:rsidRDefault="00B46264" w:rsidP="0090358D">
      <w:pPr>
        <w:pStyle w:val="FootnoteText"/>
        <w:tabs>
          <w:tab w:val="left" w:pos="180"/>
        </w:tabs>
        <w:ind w:hanging="180"/>
        <w:jc w:val="both"/>
        <w:rPr>
          <w:rFonts w:cs="Arial"/>
          <w:sz w:val="16"/>
          <w:szCs w:val="16"/>
        </w:rPr>
      </w:pPr>
      <w:r>
        <w:rPr>
          <w:rFonts w:cs="Arial"/>
          <w:color w:val="000000"/>
          <w:sz w:val="16"/>
          <w:szCs w:val="16"/>
        </w:rPr>
        <w:tab/>
      </w:r>
      <w:r>
        <w:rPr>
          <w:rFonts w:cs="Arial"/>
          <w:color w:val="000000"/>
          <w:sz w:val="16"/>
          <w:szCs w:val="16"/>
        </w:rPr>
        <w:tab/>
      </w:r>
      <w:r w:rsidRPr="00034572">
        <w:rPr>
          <w:rStyle w:val="FootnoteReference"/>
          <w:rFonts w:cs="Arial"/>
          <w:sz w:val="16"/>
          <w:szCs w:val="16"/>
        </w:rPr>
        <w:footnoteRef/>
      </w:r>
      <w:r w:rsidRPr="009C4889">
        <w:rPr>
          <w:rFonts w:cs="Arial"/>
          <w:color w:val="000000"/>
          <w:szCs w:val="18"/>
        </w:rPr>
        <w:t>Articles insérés par la loi du 15 septembre 2006 modifiant la loi du 15 décembre 1980 sur l'accès au territoire, le séjour, l'établissement et l'éloignement des étrangers.</w:t>
      </w:r>
    </w:p>
  </w:footnote>
  <w:footnote w:id="16">
    <w:p w:rsidR="00B46264" w:rsidRPr="00034572" w:rsidRDefault="00B46264" w:rsidP="0062206C">
      <w:pPr>
        <w:pStyle w:val="FootnoteText"/>
        <w:tabs>
          <w:tab w:val="left" w:pos="180"/>
        </w:tabs>
        <w:ind w:hanging="180"/>
        <w:jc w:val="both"/>
        <w:rPr>
          <w:rFonts w:cs="Arial"/>
          <w:sz w:val="16"/>
          <w:szCs w:val="16"/>
        </w:rPr>
      </w:pPr>
      <w:r>
        <w:rPr>
          <w:rFonts w:cs="Arial"/>
          <w:sz w:val="16"/>
          <w:szCs w:val="16"/>
        </w:rPr>
        <w:tab/>
      </w:r>
      <w:r>
        <w:rPr>
          <w:rFonts w:cs="Arial"/>
          <w:sz w:val="16"/>
          <w:szCs w:val="16"/>
        </w:rPr>
        <w:tab/>
      </w:r>
      <w:r w:rsidRPr="00034572">
        <w:rPr>
          <w:rStyle w:val="FootnoteReference"/>
          <w:rFonts w:cs="Arial"/>
          <w:sz w:val="16"/>
          <w:szCs w:val="16"/>
        </w:rPr>
        <w:footnoteRef/>
      </w:r>
      <w:r w:rsidR="009C4889">
        <w:rPr>
          <w:rFonts w:cs="Arial"/>
          <w:sz w:val="16"/>
          <w:szCs w:val="16"/>
        </w:rPr>
        <w:t xml:space="preserve"> </w:t>
      </w:r>
      <w:r w:rsidRPr="009C4889">
        <w:rPr>
          <w:rFonts w:cs="Arial"/>
          <w:color w:val="000000"/>
          <w:szCs w:val="18"/>
        </w:rPr>
        <w:t>Cette circulaire remplace la circulaire du 1</w:t>
      </w:r>
      <w:r w:rsidRPr="009C4889">
        <w:rPr>
          <w:rFonts w:cs="Arial"/>
          <w:color w:val="000000"/>
          <w:szCs w:val="18"/>
          <w:vertAlign w:val="superscript"/>
        </w:rPr>
        <w:t>er</w:t>
      </w:r>
      <w:r w:rsidRPr="009C4889">
        <w:rPr>
          <w:rFonts w:cs="Arial"/>
          <w:color w:val="000000"/>
          <w:szCs w:val="18"/>
        </w:rPr>
        <w:t xml:space="preserve"> juillet 1994 concernant la délivrance des titres de séjour et des autorisations d’occupation (permis de travail) à des étrangers (ères), victimes de la traite des êtres humains et les directives du 13 janvier 1997 à l’Office des étrangers, aux parquets, aux services de police, aux services de l’inspection des lois sociales et de l’inspection sociale relatives à l’assistance de la traite des êtres humains, modifiées par les directives du 17 avril 2003</w:t>
      </w:r>
      <w:r w:rsidRPr="00034572">
        <w:rPr>
          <w:rFonts w:cs="Arial"/>
          <w:color w:val="000000"/>
          <w:sz w:val="16"/>
          <w:szCs w:val="16"/>
        </w:rPr>
        <w:t>.</w:t>
      </w:r>
    </w:p>
  </w:footnote>
  <w:footnote w:id="17">
    <w:p w:rsidR="00B46264" w:rsidRPr="005F6139" w:rsidRDefault="00B46264" w:rsidP="00841D45">
      <w:pPr>
        <w:pStyle w:val="FootnoteText"/>
      </w:pPr>
      <w:r>
        <w:tab/>
      </w:r>
      <w:r>
        <w:tab/>
      </w:r>
      <w:r>
        <w:rPr>
          <w:rStyle w:val="FootnoteReference"/>
        </w:rPr>
        <w:footnoteRef/>
      </w:r>
      <w:r w:rsidRPr="005F6139">
        <w:t xml:space="preserve"> M</w:t>
      </w:r>
      <w:r>
        <w:t xml:space="preserve">oniteur </w:t>
      </w:r>
      <w:r w:rsidRPr="005F6139">
        <w:t>B</w:t>
      </w:r>
      <w:r>
        <w:t>elge</w:t>
      </w:r>
      <w:r w:rsidRPr="005F6139">
        <w:t xml:space="preserve"> du 7 mai 2010, p. </w:t>
      </w:r>
      <w:r w:rsidRPr="00E41808">
        <w:t>25764</w:t>
      </w:r>
      <w:r>
        <w:t>.</w:t>
      </w:r>
    </w:p>
  </w:footnote>
  <w:footnote w:id="18">
    <w:p w:rsidR="00B46264" w:rsidRPr="00E048AE" w:rsidRDefault="00B46264" w:rsidP="00D106FA">
      <w:pPr>
        <w:pStyle w:val="FootnoteText"/>
      </w:pPr>
      <w:r>
        <w:tab/>
      </w:r>
      <w:r>
        <w:tab/>
      </w:r>
      <w:r>
        <w:rPr>
          <w:rStyle w:val="FootnoteReference"/>
        </w:rPr>
        <w:footnoteRef/>
      </w:r>
      <w:r>
        <w:t xml:space="preserve"> Annexe 7: Statistiques quant aux missions de contrôle effectuées par l’AIG ainsi que quant aux plaintes déposées devant les instances compétentes.</w:t>
      </w:r>
    </w:p>
  </w:footnote>
  <w:footnote w:id="19">
    <w:p w:rsidR="00B46264" w:rsidRPr="007B1EA6" w:rsidRDefault="00B46264" w:rsidP="00947D46">
      <w:pPr>
        <w:ind w:left="1134"/>
        <w:rPr>
          <w:b/>
          <w:bCs/>
        </w:rPr>
      </w:pPr>
      <w:r w:rsidRPr="007B1EA6">
        <w:rPr>
          <w:rStyle w:val="FootnoteReference"/>
        </w:rPr>
        <w:footnoteRef/>
      </w:r>
      <w:r w:rsidRPr="007B1EA6">
        <w:t xml:space="preserve"> Le jeune peut encore être poursuivi devant une cour d’assises s’il a commis un crime non correctionnalisable (</w:t>
      </w:r>
      <w:r>
        <w:t>a</w:t>
      </w:r>
      <w:r w:rsidRPr="007B1EA6">
        <w:t>rt</w:t>
      </w:r>
      <w:r>
        <w:t>.</w:t>
      </w:r>
      <w:r w:rsidRPr="007B1EA6">
        <w:t xml:space="preserve"> 57</w:t>
      </w:r>
      <w:r>
        <w:t xml:space="preserve"> </w:t>
      </w:r>
      <w:r w:rsidRPr="000E31B4">
        <w:rPr>
          <w:i/>
          <w:iCs/>
        </w:rPr>
        <w:t>bis</w:t>
      </w:r>
      <w:r w:rsidRPr="007B1EA6">
        <w:t xml:space="preserve"> de</w:t>
      </w:r>
      <w:r>
        <w:t xml:space="preserve"> la</w:t>
      </w:r>
      <w:r w:rsidRPr="007B1EA6">
        <w:t xml:space="preserve"> loi sur la protection </w:t>
      </w:r>
      <w:r>
        <w:t xml:space="preserve">de la </w:t>
      </w:r>
      <w:r w:rsidRPr="007B1EA6">
        <w:t>jeunesse). En application de</w:t>
      </w:r>
      <w:r w:rsidRPr="007B1EA6">
        <w:rPr>
          <w:i/>
          <w:iCs/>
        </w:rPr>
        <w:t xml:space="preserve"> </w:t>
      </w:r>
      <w:r w:rsidRPr="007B1EA6">
        <w:t xml:space="preserve">l’article 119, alinéa </w:t>
      </w:r>
      <w:r w:rsidRPr="00947D46">
        <w:t>2</w:t>
      </w:r>
      <w:r>
        <w:t>,</w:t>
      </w:r>
      <w:r w:rsidRPr="007B1EA6">
        <w:t xml:space="preserve"> de loi sur la protection de la jeunesse, la cour devra être composée d’au moins deux magistrats ayant suivi une formation spécialisée organisée par l’Institut de formation judiciaire.</w:t>
      </w:r>
    </w:p>
    <w:p w:rsidR="00B46264" w:rsidRPr="007B1EA6" w:rsidRDefault="00B46264" w:rsidP="00841D45">
      <w:pPr>
        <w:pStyle w:val="FootnoteText"/>
      </w:pPr>
    </w:p>
  </w:footnote>
  <w:footnote w:id="20">
    <w:p w:rsidR="00B46264" w:rsidRPr="00521FEB" w:rsidRDefault="00B46264" w:rsidP="00841D45">
      <w:pPr>
        <w:pStyle w:val="FootnoteText"/>
      </w:pPr>
      <w:r>
        <w:tab/>
      </w:r>
      <w:r>
        <w:tab/>
      </w:r>
      <w:r w:rsidRPr="00CF1E4A">
        <w:rPr>
          <w:rStyle w:val="FootnoteReference"/>
        </w:rPr>
        <w:footnoteRef/>
      </w:r>
      <w:r w:rsidRPr="00521FEB">
        <w:t xml:space="preserve"> Centre pour l’égalité des chances et la lutte contre le racisme</w:t>
      </w:r>
      <w:r>
        <w:t>, rapport annuel «discrimination/d</w:t>
      </w:r>
      <w:r w:rsidRPr="00521FEB">
        <w:t>iversité 2008</w:t>
      </w:r>
      <w:r>
        <w:t>»,</w:t>
      </w:r>
      <w:r w:rsidRPr="00521FEB">
        <w:t xml:space="preserve"> </w:t>
      </w:r>
      <w:r>
        <w:t xml:space="preserve">p. </w:t>
      </w:r>
      <w:r w:rsidRPr="00521FEB">
        <w:t>56</w:t>
      </w:r>
      <w:r>
        <w:t xml:space="preserve"> à </w:t>
      </w:r>
      <w:r w:rsidRPr="00521FEB">
        <w:t xml:space="preserve">61. </w:t>
      </w:r>
    </w:p>
  </w:footnote>
  <w:footnote w:id="21">
    <w:p w:rsidR="00B46264" w:rsidRPr="009D22EA" w:rsidRDefault="00B46264" w:rsidP="00D43277">
      <w:pPr>
        <w:pStyle w:val="FootnoteText"/>
      </w:pPr>
      <w:r>
        <w:tab/>
      </w:r>
      <w:r>
        <w:tab/>
      </w:r>
      <w:r>
        <w:rPr>
          <w:rStyle w:val="FootnoteReference"/>
        </w:rPr>
        <w:footnoteRef/>
      </w:r>
      <w:r w:rsidRPr="009D22EA">
        <w:t xml:space="preserve"> </w:t>
      </w:r>
      <w:r>
        <w:t xml:space="preserve">En outre, des statistiques sont annexées au présent document. </w:t>
      </w:r>
    </w:p>
  </w:footnote>
  <w:footnote w:id="22">
    <w:p w:rsidR="00B46264" w:rsidRPr="00FA6E9A" w:rsidRDefault="00B46264" w:rsidP="005B10BE">
      <w:pPr>
        <w:pStyle w:val="Paragraphedeliste1"/>
        <w:spacing w:line="240" w:lineRule="auto"/>
        <w:ind w:left="1134" w:firstLine="0"/>
      </w:pPr>
      <w:r w:rsidRPr="00FA6E9A">
        <w:rPr>
          <w:rStyle w:val="FootnoteReference"/>
          <w:sz w:val="20"/>
          <w:szCs w:val="20"/>
        </w:rPr>
        <w:footnoteRef/>
      </w:r>
      <w:r w:rsidRPr="00FA6E9A">
        <w:rPr>
          <w:sz w:val="20"/>
          <w:szCs w:val="20"/>
        </w:rPr>
        <w:t xml:space="preserve"> </w:t>
      </w:r>
      <w:r w:rsidRPr="00FA6E9A">
        <w:rPr>
          <w:sz w:val="20"/>
          <w:szCs w:val="20"/>
          <w:lang w:val="fr-FR"/>
        </w:rPr>
        <w:t xml:space="preserve">Yoann VENY, </w:t>
      </w:r>
      <w:r w:rsidRPr="00FA6E9A">
        <w:rPr>
          <w:sz w:val="20"/>
          <w:szCs w:val="20"/>
        </w:rPr>
        <w:t>Louise CALLIER, «</w:t>
      </w:r>
      <w:r w:rsidRPr="009F2402">
        <w:rPr>
          <w:sz w:val="20"/>
          <w:szCs w:val="20"/>
        </w:rPr>
        <w:t>L</w:t>
      </w:r>
      <w:r w:rsidRPr="009F2402">
        <w:rPr>
          <w:bCs/>
          <w:sz w:val="20"/>
          <w:szCs w:val="20"/>
        </w:rPr>
        <w:t>’impact du conflit dans la bande de Gaza sur les rapports interculturels et sur le degré d’antisémitisme en Belgique. Une étude exploratoire»,</w:t>
      </w:r>
      <w:r w:rsidRPr="00FA6E9A">
        <w:rPr>
          <w:bCs/>
          <w:sz w:val="20"/>
          <w:szCs w:val="20"/>
        </w:rPr>
        <w:t xml:space="preserve"> dir. Dirk JACOBS, </w:t>
      </w:r>
      <w:r w:rsidRPr="00FA6E9A">
        <w:rPr>
          <w:sz w:val="20"/>
          <w:szCs w:val="20"/>
        </w:rPr>
        <w:t xml:space="preserve">GERME-METICES, Institut de Sociologie, Université Libre de Bruxelles, </w:t>
      </w:r>
      <w:r>
        <w:rPr>
          <w:sz w:val="20"/>
          <w:szCs w:val="20"/>
        </w:rPr>
        <w:t>a</w:t>
      </w:r>
      <w:r w:rsidRPr="00FA6E9A">
        <w:rPr>
          <w:sz w:val="20"/>
          <w:szCs w:val="20"/>
        </w:rPr>
        <w:t>vril 2010</w:t>
      </w:r>
      <w:r>
        <w:rPr>
          <w:sz w:val="20"/>
          <w:szCs w:val="20"/>
        </w:rPr>
        <w:t>.</w:t>
      </w:r>
    </w:p>
  </w:footnote>
  <w:footnote w:id="23">
    <w:p w:rsidR="00B46264" w:rsidRPr="00D66609" w:rsidRDefault="00B46264" w:rsidP="00841D45">
      <w:pPr>
        <w:pStyle w:val="FootnoteText"/>
        <w:rPr>
          <w:lang w:val="fr-BE"/>
        </w:rPr>
      </w:pPr>
      <w:r>
        <w:tab/>
      </w:r>
      <w:r>
        <w:tab/>
      </w:r>
      <w:r>
        <w:rPr>
          <w:rStyle w:val="FootnoteReference"/>
        </w:rPr>
        <w:footnoteRef/>
      </w:r>
      <w:r>
        <w:t xml:space="preserve"> </w:t>
      </w:r>
      <w:r>
        <w:rPr>
          <w:lang w:val="fr-BE"/>
        </w:rPr>
        <w:t xml:space="preserve">Annexe 9: Mise à jour du rapport d’évaluation du «Plan fédéral d’action contre </w:t>
      </w:r>
      <w:r w:rsidRPr="009B7671">
        <w:rPr>
          <w:lang w:val="fr-BE"/>
        </w:rPr>
        <w:t>le R</w:t>
      </w:r>
      <w:r>
        <w:rPr>
          <w:lang w:val="fr-BE"/>
        </w:rPr>
        <w:t>acisme».</w:t>
      </w:r>
    </w:p>
  </w:footnote>
  <w:footnote w:id="24">
    <w:p w:rsidR="00B46264" w:rsidRPr="00C54D98" w:rsidRDefault="00B46264" w:rsidP="00841D45">
      <w:pPr>
        <w:pStyle w:val="FootnoteText"/>
        <w:rPr>
          <w:lang w:val="fr-BE"/>
        </w:rPr>
      </w:pPr>
      <w:r>
        <w:tab/>
      </w:r>
      <w:r>
        <w:tab/>
      </w:r>
      <w:r>
        <w:rPr>
          <w:rStyle w:val="FootnoteReference"/>
        </w:rPr>
        <w:footnoteRef/>
      </w:r>
      <w:r>
        <w:t xml:space="preserve"> </w:t>
      </w:r>
      <w:r>
        <w:rPr>
          <w:lang w:val="fr-BE"/>
        </w:rPr>
        <w:t>Lo</w:t>
      </w:r>
      <w:r w:rsidRPr="009B7671">
        <w:rPr>
          <w:lang w:val="fr-BE"/>
        </w:rPr>
        <w:t>is</w:t>
      </w:r>
      <w:r>
        <w:rPr>
          <w:lang w:val="fr-BE"/>
        </w:rPr>
        <w:t xml:space="preserve"> du 10 mai 2007.</w:t>
      </w:r>
    </w:p>
  </w:footnote>
  <w:footnote w:id="25">
    <w:p w:rsidR="00B46264" w:rsidRPr="00BE5D04" w:rsidRDefault="00B46264" w:rsidP="00841D45">
      <w:pPr>
        <w:pStyle w:val="FootnoteText"/>
        <w:rPr>
          <w:lang w:val="fr-BE"/>
        </w:rPr>
      </w:pPr>
      <w:r>
        <w:tab/>
      </w:r>
      <w:r>
        <w:tab/>
      </w:r>
      <w:r>
        <w:rPr>
          <w:rStyle w:val="FootnoteReference"/>
        </w:rPr>
        <w:footnoteRef/>
      </w:r>
      <w:r>
        <w:t xml:space="preserve"> </w:t>
      </w:r>
      <w:r>
        <w:rPr>
          <w:lang w:val="fr-BE"/>
        </w:rPr>
        <w:t xml:space="preserve">Annexe.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4" w:rsidRPr="005F7786" w:rsidRDefault="00B46264">
    <w:pPr>
      <w:pStyle w:val="Header"/>
      <w:rPr>
        <w:lang w:val="en-US"/>
      </w:rPr>
    </w:pPr>
    <w:r w:rsidRPr="005F7786">
      <w:rPr>
        <w:lang w:val="en-US"/>
      </w:rPr>
      <w:t>CCPR/C/BEL/Q/5/Add.1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4" w:rsidRPr="005F7786" w:rsidRDefault="00B46264" w:rsidP="00282083">
    <w:pPr>
      <w:pStyle w:val="Header"/>
      <w:jc w:val="right"/>
      <w:rPr>
        <w:lang w:val="en-US"/>
      </w:rPr>
    </w:pPr>
    <w:r w:rsidRPr="005F7786">
      <w:rPr>
        <w:lang w:val="en-US"/>
      </w:rPr>
      <w:t>CCPR/C/BEL/Q/5/Add.1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A" w:rsidRDefault="00041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5BB06BD"/>
    <w:multiLevelType w:val="hybridMultilevel"/>
    <w:tmpl w:val="DC3A3D86"/>
    <w:lvl w:ilvl="0" w:tplc="18F6FCC0">
      <w:start w:val="1"/>
      <w:numFmt w:val="bullet"/>
      <w:lvlText w:val=""/>
      <w:lvlJc w:val="left"/>
      <w:pPr>
        <w:tabs>
          <w:tab w:val="num" w:pos="780"/>
        </w:tabs>
        <w:ind w:left="780" w:hanging="360"/>
      </w:pPr>
      <w:rPr>
        <w:rFonts w:ascii="Symbol" w:eastAsia="Times New Roman" w:hAnsi="Symbol"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13A83823"/>
    <w:multiLevelType w:val="hybridMultilevel"/>
    <w:tmpl w:val="10E0E2F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16D51059"/>
    <w:multiLevelType w:val="hybridMultilevel"/>
    <w:tmpl w:val="084CD026"/>
    <w:lvl w:ilvl="0" w:tplc="38DCA59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B812FE"/>
    <w:multiLevelType w:val="hybridMultilevel"/>
    <w:tmpl w:val="AF409B2E"/>
    <w:lvl w:ilvl="0" w:tplc="919803F0">
      <w:start w:val="300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F205DB"/>
    <w:multiLevelType w:val="hybridMultilevel"/>
    <w:tmpl w:val="F72C0620"/>
    <w:lvl w:ilvl="0" w:tplc="4D424D9E">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6A92F1B"/>
    <w:multiLevelType w:val="hybridMultilevel"/>
    <w:tmpl w:val="085C03CC"/>
    <w:lvl w:ilvl="0" w:tplc="8A043D02">
      <w:start w:val="1"/>
      <w:numFmt w:val="lowerLetter"/>
      <w:lvlText w:val="%1)"/>
      <w:lvlJc w:val="left"/>
      <w:pPr>
        <w:tabs>
          <w:tab w:val="num" w:pos="720"/>
        </w:tabs>
        <w:ind w:left="720" w:hanging="360"/>
      </w:pPr>
      <w:rPr>
        <w:rFonts w:ascii="Times New Roman" w:hAnsi="Times New Roman" w:cs="Times New Roman"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8044273"/>
    <w:multiLevelType w:val="hybridMultilevel"/>
    <w:tmpl w:val="2FB0C07A"/>
    <w:lvl w:ilvl="0" w:tplc="001816B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0954C24"/>
    <w:multiLevelType w:val="hybridMultilevel"/>
    <w:tmpl w:val="92C06A48"/>
    <w:lvl w:ilvl="0" w:tplc="AC14FF34">
      <w:start w:val="1"/>
      <w:numFmt w:val="bullet"/>
      <w:lvlText w:val="-"/>
      <w:lvlJc w:val="left"/>
      <w:pPr>
        <w:tabs>
          <w:tab w:val="num" w:pos="720"/>
        </w:tabs>
        <w:ind w:left="720" w:hanging="360"/>
      </w:pPr>
      <w:rPr>
        <w:rFonts w:ascii="Arial" w:eastAsia="Times New Roman" w:hAnsi="Arial" w:cs="Arial" w:hint="default"/>
      </w:rPr>
    </w:lvl>
    <w:lvl w:ilvl="1" w:tplc="919803F0">
      <w:start w:val="3000"/>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C4717B"/>
    <w:multiLevelType w:val="hybridMultilevel"/>
    <w:tmpl w:val="81BECCF6"/>
    <w:lvl w:ilvl="0" w:tplc="040C0001">
      <w:start w:val="1"/>
      <w:numFmt w:val="bullet"/>
      <w:lvlText w:val=""/>
      <w:lvlJc w:val="left"/>
      <w:pPr>
        <w:tabs>
          <w:tab w:val="num" w:pos="1428"/>
        </w:tabs>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0F257F5"/>
    <w:multiLevelType w:val="hybridMultilevel"/>
    <w:tmpl w:val="2DA8FC5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3">
    <w:nsid w:val="451D2597"/>
    <w:multiLevelType w:val="hybridMultilevel"/>
    <w:tmpl w:val="635AD1E8"/>
    <w:lvl w:ilvl="0" w:tplc="69F8E75C">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88F51E7"/>
    <w:multiLevelType w:val="hybridMultilevel"/>
    <w:tmpl w:val="2F8A08C0"/>
    <w:lvl w:ilvl="0" w:tplc="4C585FC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3DE33BB"/>
    <w:multiLevelType w:val="hybridMultilevel"/>
    <w:tmpl w:val="10A842C8"/>
    <w:lvl w:ilvl="0" w:tplc="FAEE124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D343E4"/>
    <w:multiLevelType w:val="hybridMultilevel"/>
    <w:tmpl w:val="85DE35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84E61B3"/>
    <w:multiLevelType w:val="hybridMultilevel"/>
    <w:tmpl w:val="989E8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B0B08"/>
    <w:multiLevelType w:val="hybridMultilevel"/>
    <w:tmpl w:val="B5ACFDF4"/>
    <w:lvl w:ilvl="0" w:tplc="919803F0">
      <w:start w:val="300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61653D"/>
    <w:multiLevelType w:val="hybridMultilevel"/>
    <w:tmpl w:val="6E10DCBC"/>
    <w:lvl w:ilvl="0" w:tplc="1A4A0D6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2255151"/>
    <w:multiLevelType w:val="hybridMultilevel"/>
    <w:tmpl w:val="CF4AF2D4"/>
    <w:lvl w:ilvl="0" w:tplc="F63AD4B6">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1C6DEE"/>
    <w:multiLevelType w:val="hybridMultilevel"/>
    <w:tmpl w:val="19A88F80"/>
    <w:lvl w:ilvl="0" w:tplc="4A724E8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92F609D"/>
    <w:multiLevelType w:val="hybridMultilevel"/>
    <w:tmpl w:val="4A922148"/>
    <w:lvl w:ilvl="0" w:tplc="2A78A51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97379A8"/>
    <w:multiLevelType w:val="hybridMultilevel"/>
    <w:tmpl w:val="00C044F6"/>
    <w:lvl w:ilvl="0" w:tplc="CF66378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A3C24FF"/>
    <w:multiLevelType w:val="hybridMultilevel"/>
    <w:tmpl w:val="0A967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790CA8"/>
    <w:multiLevelType w:val="hybridMultilevel"/>
    <w:tmpl w:val="361E75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
  </w:num>
  <w:num w:numId="4">
    <w:abstractNumId w:val="0"/>
  </w:num>
  <w:num w:numId="5">
    <w:abstractNumId w:val="22"/>
  </w:num>
  <w:num w:numId="6">
    <w:abstractNumId w:val="17"/>
  </w:num>
  <w:num w:numId="7">
    <w:abstractNumId w:val="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7"/>
  </w:num>
  <w:num w:numId="17">
    <w:abstractNumId w:val="25"/>
  </w:num>
  <w:num w:numId="18">
    <w:abstractNumId w:val="24"/>
  </w:num>
  <w:num w:numId="19">
    <w:abstractNumId w:val="14"/>
  </w:num>
  <w:num w:numId="20">
    <w:abstractNumId w:val="23"/>
  </w:num>
  <w:num w:numId="21">
    <w:abstractNumId w:val="6"/>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2"/>
  </w:num>
  <w:num w:numId="26">
    <w:abstractNumId w:val="26"/>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083"/>
    <w:rsid w:val="0000350F"/>
    <w:rsid w:val="00004412"/>
    <w:rsid w:val="00006F5A"/>
    <w:rsid w:val="00010ABF"/>
    <w:rsid w:val="00010B94"/>
    <w:rsid w:val="00011093"/>
    <w:rsid w:val="00014751"/>
    <w:rsid w:val="00014E64"/>
    <w:rsid w:val="00016AC5"/>
    <w:rsid w:val="0002432B"/>
    <w:rsid w:val="00024B3B"/>
    <w:rsid w:val="00025515"/>
    <w:rsid w:val="000268F0"/>
    <w:rsid w:val="00032604"/>
    <w:rsid w:val="000335BD"/>
    <w:rsid w:val="00036A6C"/>
    <w:rsid w:val="00041ABA"/>
    <w:rsid w:val="00045E65"/>
    <w:rsid w:val="000476D1"/>
    <w:rsid w:val="00053763"/>
    <w:rsid w:val="00054B89"/>
    <w:rsid w:val="000704BD"/>
    <w:rsid w:val="00071328"/>
    <w:rsid w:val="00071BF1"/>
    <w:rsid w:val="00082BE8"/>
    <w:rsid w:val="00085520"/>
    <w:rsid w:val="000878C0"/>
    <w:rsid w:val="000914A8"/>
    <w:rsid w:val="00091505"/>
    <w:rsid w:val="00095F33"/>
    <w:rsid w:val="000A147A"/>
    <w:rsid w:val="000A2B2E"/>
    <w:rsid w:val="000A30A7"/>
    <w:rsid w:val="000A6AAC"/>
    <w:rsid w:val="000B3BDF"/>
    <w:rsid w:val="000C08DC"/>
    <w:rsid w:val="000C2003"/>
    <w:rsid w:val="000D1482"/>
    <w:rsid w:val="000D7AB1"/>
    <w:rsid w:val="000E04EC"/>
    <w:rsid w:val="000E11F0"/>
    <w:rsid w:val="000E130D"/>
    <w:rsid w:val="000E31B4"/>
    <w:rsid w:val="000F3EB3"/>
    <w:rsid w:val="000F41F2"/>
    <w:rsid w:val="000F7B3F"/>
    <w:rsid w:val="001039A2"/>
    <w:rsid w:val="00104064"/>
    <w:rsid w:val="00110706"/>
    <w:rsid w:val="00110FE4"/>
    <w:rsid w:val="00112785"/>
    <w:rsid w:val="0012450D"/>
    <w:rsid w:val="00130868"/>
    <w:rsid w:val="00135C55"/>
    <w:rsid w:val="0013799E"/>
    <w:rsid w:val="00140B46"/>
    <w:rsid w:val="00142019"/>
    <w:rsid w:val="00142A91"/>
    <w:rsid w:val="00145A59"/>
    <w:rsid w:val="00160540"/>
    <w:rsid w:val="001618D1"/>
    <w:rsid w:val="00164697"/>
    <w:rsid w:val="00165B13"/>
    <w:rsid w:val="00174332"/>
    <w:rsid w:val="00176C9D"/>
    <w:rsid w:val="001834F0"/>
    <w:rsid w:val="00183DE1"/>
    <w:rsid w:val="0018422F"/>
    <w:rsid w:val="00186D28"/>
    <w:rsid w:val="00192EEB"/>
    <w:rsid w:val="00196DCC"/>
    <w:rsid w:val="001A20FB"/>
    <w:rsid w:val="001A2A5D"/>
    <w:rsid w:val="001A3108"/>
    <w:rsid w:val="001A4714"/>
    <w:rsid w:val="001A506B"/>
    <w:rsid w:val="001A7A7C"/>
    <w:rsid w:val="001B102E"/>
    <w:rsid w:val="001B5041"/>
    <w:rsid w:val="001C3080"/>
    <w:rsid w:val="001C77B0"/>
    <w:rsid w:val="001C788E"/>
    <w:rsid w:val="001D11F5"/>
    <w:rsid w:val="001D3C22"/>
    <w:rsid w:val="001D7F8A"/>
    <w:rsid w:val="001E1651"/>
    <w:rsid w:val="001E3FEB"/>
    <w:rsid w:val="001E44B0"/>
    <w:rsid w:val="001E460A"/>
    <w:rsid w:val="001E4A02"/>
    <w:rsid w:val="001E722E"/>
    <w:rsid w:val="001F25C4"/>
    <w:rsid w:val="001F32DD"/>
    <w:rsid w:val="001F359B"/>
    <w:rsid w:val="001F4406"/>
    <w:rsid w:val="001F4998"/>
    <w:rsid w:val="0020205B"/>
    <w:rsid w:val="0020478E"/>
    <w:rsid w:val="00204886"/>
    <w:rsid w:val="0021036F"/>
    <w:rsid w:val="00214F2C"/>
    <w:rsid w:val="00220168"/>
    <w:rsid w:val="00221D9E"/>
    <w:rsid w:val="00223C06"/>
    <w:rsid w:val="00225A8C"/>
    <w:rsid w:val="00225F53"/>
    <w:rsid w:val="0022620D"/>
    <w:rsid w:val="002264BB"/>
    <w:rsid w:val="00234AB2"/>
    <w:rsid w:val="002357B0"/>
    <w:rsid w:val="00235CBD"/>
    <w:rsid w:val="002364F0"/>
    <w:rsid w:val="00236FE3"/>
    <w:rsid w:val="002443B0"/>
    <w:rsid w:val="0024561B"/>
    <w:rsid w:val="00255067"/>
    <w:rsid w:val="00260169"/>
    <w:rsid w:val="002614BB"/>
    <w:rsid w:val="00264382"/>
    <w:rsid w:val="002659F1"/>
    <w:rsid w:val="00280D14"/>
    <w:rsid w:val="002812A7"/>
    <w:rsid w:val="00282083"/>
    <w:rsid w:val="0028419C"/>
    <w:rsid w:val="00287E79"/>
    <w:rsid w:val="002901B0"/>
    <w:rsid w:val="002928F9"/>
    <w:rsid w:val="00292AEF"/>
    <w:rsid w:val="002A5D07"/>
    <w:rsid w:val="002B2706"/>
    <w:rsid w:val="002C055C"/>
    <w:rsid w:val="002C4C4B"/>
    <w:rsid w:val="002C69AF"/>
    <w:rsid w:val="002C7D54"/>
    <w:rsid w:val="002D3BF6"/>
    <w:rsid w:val="002D3C18"/>
    <w:rsid w:val="002D49A7"/>
    <w:rsid w:val="002E0222"/>
    <w:rsid w:val="002E1A7F"/>
    <w:rsid w:val="002E2C41"/>
    <w:rsid w:val="002E3A50"/>
    <w:rsid w:val="002F396C"/>
    <w:rsid w:val="003016B7"/>
    <w:rsid w:val="0030197C"/>
    <w:rsid w:val="0030304E"/>
    <w:rsid w:val="00304EEC"/>
    <w:rsid w:val="00306652"/>
    <w:rsid w:val="0031655F"/>
    <w:rsid w:val="00327A34"/>
    <w:rsid w:val="00331ACC"/>
    <w:rsid w:val="003331CA"/>
    <w:rsid w:val="00340AAB"/>
    <w:rsid w:val="00341064"/>
    <w:rsid w:val="003515AA"/>
    <w:rsid w:val="00351913"/>
    <w:rsid w:val="00352AD3"/>
    <w:rsid w:val="0035327E"/>
    <w:rsid w:val="003557C7"/>
    <w:rsid w:val="00361EC4"/>
    <w:rsid w:val="00366F5B"/>
    <w:rsid w:val="00374106"/>
    <w:rsid w:val="00383463"/>
    <w:rsid w:val="003933BD"/>
    <w:rsid w:val="00396769"/>
    <w:rsid w:val="00396CB1"/>
    <w:rsid w:val="003976D5"/>
    <w:rsid w:val="003A0DA4"/>
    <w:rsid w:val="003A43EA"/>
    <w:rsid w:val="003C0315"/>
    <w:rsid w:val="003C07B2"/>
    <w:rsid w:val="003C2C30"/>
    <w:rsid w:val="003D3AD8"/>
    <w:rsid w:val="003D6C68"/>
    <w:rsid w:val="003D7BA8"/>
    <w:rsid w:val="003E4DFA"/>
    <w:rsid w:val="003E6955"/>
    <w:rsid w:val="003F235D"/>
    <w:rsid w:val="003F72BA"/>
    <w:rsid w:val="00410CE7"/>
    <w:rsid w:val="00412AEA"/>
    <w:rsid w:val="00413931"/>
    <w:rsid w:val="00414555"/>
    <w:rsid w:val="004159D0"/>
    <w:rsid w:val="00422DEE"/>
    <w:rsid w:val="00423DCF"/>
    <w:rsid w:val="004243C6"/>
    <w:rsid w:val="00426203"/>
    <w:rsid w:val="00436C5D"/>
    <w:rsid w:val="00437261"/>
    <w:rsid w:val="004432AE"/>
    <w:rsid w:val="00443833"/>
    <w:rsid w:val="00446BE3"/>
    <w:rsid w:val="00450FC7"/>
    <w:rsid w:val="00456F64"/>
    <w:rsid w:val="0046000A"/>
    <w:rsid w:val="00463315"/>
    <w:rsid w:val="00464EEE"/>
    <w:rsid w:val="004655FA"/>
    <w:rsid w:val="004708E2"/>
    <w:rsid w:val="0047254B"/>
    <w:rsid w:val="00481811"/>
    <w:rsid w:val="00482D3A"/>
    <w:rsid w:val="00482E08"/>
    <w:rsid w:val="004878DD"/>
    <w:rsid w:val="0049390D"/>
    <w:rsid w:val="004952FD"/>
    <w:rsid w:val="00495CDA"/>
    <w:rsid w:val="004978CB"/>
    <w:rsid w:val="004A0532"/>
    <w:rsid w:val="004A4024"/>
    <w:rsid w:val="004A7659"/>
    <w:rsid w:val="004B00AF"/>
    <w:rsid w:val="004B166A"/>
    <w:rsid w:val="004B5224"/>
    <w:rsid w:val="004C23A7"/>
    <w:rsid w:val="004C6E5E"/>
    <w:rsid w:val="004D3B73"/>
    <w:rsid w:val="004D5AC5"/>
    <w:rsid w:val="004D6F0F"/>
    <w:rsid w:val="004E0F52"/>
    <w:rsid w:val="004E416D"/>
    <w:rsid w:val="004F4829"/>
    <w:rsid w:val="004F58B3"/>
    <w:rsid w:val="004F5D0C"/>
    <w:rsid w:val="0050085B"/>
    <w:rsid w:val="00503F6D"/>
    <w:rsid w:val="0051029C"/>
    <w:rsid w:val="00513040"/>
    <w:rsid w:val="005140A2"/>
    <w:rsid w:val="005154A0"/>
    <w:rsid w:val="005231EC"/>
    <w:rsid w:val="005318F9"/>
    <w:rsid w:val="00534D1D"/>
    <w:rsid w:val="00536C5B"/>
    <w:rsid w:val="00542E1D"/>
    <w:rsid w:val="00543D5E"/>
    <w:rsid w:val="0055112C"/>
    <w:rsid w:val="00563508"/>
    <w:rsid w:val="00563858"/>
    <w:rsid w:val="005648C1"/>
    <w:rsid w:val="0056721D"/>
    <w:rsid w:val="005716A9"/>
    <w:rsid w:val="00571F41"/>
    <w:rsid w:val="005739AC"/>
    <w:rsid w:val="005748F6"/>
    <w:rsid w:val="0058547A"/>
    <w:rsid w:val="005874DD"/>
    <w:rsid w:val="00591757"/>
    <w:rsid w:val="005926C3"/>
    <w:rsid w:val="00593691"/>
    <w:rsid w:val="005A0C09"/>
    <w:rsid w:val="005A623C"/>
    <w:rsid w:val="005A7004"/>
    <w:rsid w:val="005B0C4E"/>
    <w:rsid w:val="005B10BE"/>
    <w:rsid w:val="005B1DEC"/>
    <w:rsid w:val="005B39C7"/>
    <w:rsid w:val="005B42F0"/>
    <w:rsid w:val="005C0BF9"/>
    <w:rsid w:val="005C511D"/>
    <w:rsid w:val="005D47D3"/>
    <w:rsid w:val="005E5D1F"/>
    <w:rsid w:val="005E7C19"/>
    <w:rsid w:val="005F0825"/>
    <w:rsid w:val="005F43E4"/>
    <w:rsid w:val="005F4798"/>
    <w:rsid w:val="005F553A"/>
    <w:rsid w:val="005F5B9E"/>
    <w:rsid w:val="005F630B"/>
    <w:rsid w:val="005F7786"/>
    <w:rsid w:val="006017AC"/>
    <w:rsid w:val="00601C0A"/>
    <w:rsid w:val="00605609"/>
    <w:rsid w:val="00611D43"/>
    <w:rsid w:val="00611D73"/>
    <w:rsid w:val="00612D48"/>
    <w:rsid w:val="006156A6"/>
    <w:rsid w:val="00616B45"/>
    <w:rsid w:val="00620575"/>
    <w:rsid w:val="00620F42"/>
    <w:rsid w:val="006216D1"/>
    <w:rsid w:val="0062206C"/>
    <w:rsid w:val="006223B4"/>
    <w:rsid w:val="0062305A"/>
    <w:rsid w:val="0062475C"/>
    <w:rsid w:val="00627E53"/>
    <w:rsid w:val="00630D9B"/>
    <w:rsid w:val="00630DDB"/>
    <w:rsid w:val="00631953"/>
    <w:rsid w:val="006439EC"/>
    <w:rsid w:val="00650632"/>
    <w:rsid w:val="006539F3"/>
    <w:rsid w:val="006540D4"/>
    <w:rsid w:val="0066538F"/>
    <w:rsid w:val="00667927"/>
    <w:rsid w:val="00675F3E"/>
    <w:rsid w:val="006779DD"/>
    <w:rsid w:val="00682BFA"/>
    <w:rsid w:val="00683F2D"/>
    <w:rsid w:val="006840A4"/>
    <w:rsid w:val="00686621"/>
    <w:rsid w:val="006906C9"/>
    <w:rsid w:val="006923A4"/>
    <w:rsid w:val="006950C3"/>
    <w:rsid w:val="006976BB"/>
    <w:rsid w:val="006A0176"/>
    <w:rsid w:val="006A40AC"/>
    <w:rsid w:val="006A5EBF"/>
    <w:rsid w:val="006B35A3"/>
    <w:rsid w:val="006B3DA2"/>
    <w:rsid w:val="006B4590"/>
    <w:rsid w:val="006B5F05"/>
    <w:rsid w:val="006B5F0C"/>
    <w:rsid w:val="006C033A"/>
    <w:rsid w:val="006C1974"/>
    <w:rsid w:val="006C340C"/>
    <w:rsid w:val="006C4563"/>
    <w:rsid w:val="006C5F8C"/>
    <w:rsid w:val="006D58E0"/>
    <w:rsid w:val="006D674C"/>
    <w:rsid w:val="006E397C"/>
    <w:rsid w:val="006E4540"/>
    <w:rsid w:val="006E4F2B"/>
    <w:rsid w:val="006E7820"/>
    <w:rsid w:val="006F1089"/>
    <w:rsid w:val="006F2762"/>
    <w:rsid w:val="006F7DBE"/>
    <w:rsid w:val="00702647"/>
    <w:rsid w:val="00702DC6"/>
    <w:rsid w:val="0070347C"/>
    <w:rsid w:val="007051CE"/>
    <w:rsid w:val="0071114F"/>
    <w:rsid w:val="00713D58"/>
    <w:rsid w:val="0071451B"/>
    <w:rsid w:val="00714F6E"/>
    <w:rsid w:val="00716031"/>
    <w:rsid w:val="00716962"/>
    <w:rsid w:val="00716EB2"/>
    <w:rsid w:val="007176C1"/>
    <w:rsid w:val="0072523A"/>
    <w:rsid w:val="00725DC9"/>
    <w:rsid w:val="0072636D"/>
    <w:rsid w:val="00730001"/>
    <w:rsid w:val="00736954"/>
    <w:rsid w:val="0073789E"/>
    <w:rsid w:val="00737DEE"/>
    <w:rsid w:val="00742721"/>
    <w:rsid w:val="0074582B"/>
    <w:rsid w:val="0074594D"/>
    <w:rsid w:val="00746B57"/>
    <w:rsid w:val="00747DB9"/>
    <w:rsid w:val="00751C4B"/>
    <w:rsid w:val="0075326E"/>
    <w:rsid w:val="00771974"/>
    <w:rsid w:val="00772920"/>
    <w:rsid w:val="00775138"/>
    <w:rsid w:val="00775D99"/>
    <w:rsid w:val="00785794"/>
    <w:rsid w:val="00790471"/>
    <w:rsid w:val="00794049"/>
    <w:rsid w:val="007943C5"/>
    <w:rsid w:val="00795804"/>
    <w:rsid w:val="00796940"/>
    <w:rsid w:val="007971B3"/>
    <w:rsid w:val="007A116B"/>
    <w:rsid w:val="007A2F95"/>
    <w:rsid w:val="007A4D45"/>
    <w:rsid w:val="007A6377"/>
    <w:rsid w:val="007B719D"/>
    <w:rsid w:val="007C0947"/>
    <w:rsid w:val="007C157B"/>
    <w:rsid w:val="007C7846"/>
    <w:rsid w:val="007D2DA9"/>
    <w:rsid w:val="007D3D3D"/>
    <w:rsid w:val="007D59D9"/>
    <w:rsid w:val="007E7226"/>
    <w:rsid w:val="007F254F"/>
    <w:rsid w:val="007F4493"/>
    <w:rsid w:val="007F55CB"/>
    <w:rsid w:val="007F796D"/>
    <w:rsid w:val="008047CA"/>
    <w:rsid w:val="00805174"/>
    <w:rsid w:val="00806457"/>
    <w:rsid w:val="00806FAA"/>
    <w:rsid w:val="008109E8"/>
    <w:rsid w:val="00812D46"/>
    <w:rsid w:val="00813C55"/>
    <w:rsid w:val="00814669"/>
    <w:rsid w:val="00817B2D"/>
    <w:rsid w:val="0082000D"/>
    <w:rsid w:val="0082161F"/>
    <w:rsid w:val="00824EB7"/>
    <w:rsid w:val="008250E0"/>
    <w:rsid w:val="008324D7"/>
    <w:rsid w:val="00837D89"/>
    <w:rsid w:val="0084117F"/>
    <w:rsid w:val="008418CC"/>
    <w:rsid w:val="00841D45"/>
    <w:rsid w:val="008425F5"/>
    <w:rsid w:val="00844750"/>
    <w:rsid w:val="00846840"/>
    <w:rsid w:val="0085013B"/>
    <w:rsid w:val="008523D8"/>
    <w:rsid w:val="00852BA6"/>
    <w:rsid w:val="00853ADE"/>
    <w:rsid w:val="00864E70"/>
    <w:rsid w:val="00873919"/>
    <w:rsid w:val="00873B3C"/>
    <w:rsid w:val="00873BA9"/>
    <w:rsid w:val="00874CB2"/>
    <w:rsid w:val="00880A86"/>
    <w:rsid w:val="00881319"/>
    <w:rsid w:val="0088595E"/>
    <w:rsid w:val="00886252"/>
    <w:rsid w:val="0089103C"/>
    <w:rsid w:val="00891C91"/>
    <w:rsid w:val="00892241"/>
    <w:rsid w:val="00892882"/>
    <w:rsid w:val="00895008"/>
    <w:rsid w:val="008971EE"/>
    <w:rsid w:val="008A39ED"/>
    <w:rsid w:val="008A4A77"/>
    <w:rsid w:val="008A5DEA"/>
    <w:rsid w:val="008B44BE"/>
    <w:rsid w:val="008B44C4"/>
    <w:rsid w:val="008B4EC5"/>
    <w:rsid w:val="008C3CA1"/>
    <w:rsid w:val="008C6F2C"/>
    <w:rsid w:val="008C740F"/>
    <w:rsid w:val="008C74FD"/>
    <w:rsid w:val="008D0F08"/>
    <w:rsid w:val="008D1CF9"/>
    <w:rsid w:val="008E367E"/>
    <w:rsid w:val="008E3C1A"/>
    <w:rsid w:val="008E6EAE"/>
    <w:rsid w:val="008E7A68"/>
    <w:rsid w:val="008E7FAE"/>
    <w:rsid w:val="008F1892"/>
    <w:rsid w:val="008F53ED"/>
    <w:rsid w:val="008F5F8F"/>
    <w:rsid w:val="008F7541"/>
    <w:rsid w:val="009006C0"/>
    <w:rsid w:val="009017E3"/>
    <w:rsid w:val="0090358D"/>
    <w:rsid w:val="009102C3"/>
    <w:rsid w:val="0091185A"/>
    <w:rsid w:val="00911BF7"/>
    <w:rsid w:val="00913BAF"/>
    <w:rsid w:val="0091415E"/>
    <w:rsid w:val="00921AD5"/>
    <w:rsid w:val="009220C8"/>
    <w:rsid w:val="00932D14"/>
    <w:rsid w:val="00943FFD"/>
    <w:rsid w:val="0094644A"/>
    <w:rsid w:val="00947D46"/>
    <w:rsid w:val="00950446"/>
    <w:rsid w:val="00955799"/>
    <w:rsid w:val="00957BAD"/>
    <w:rsid w:val="00957FF2"/>
    <w:rsid w:val="0097094B"/>
    <w:rsid w:val="00977EC8"/>
    <w:rsid w:val="00984E75"/>
    <w:rsid w:val="00985241"/>
    <w:rsid w:val="00985284"/>
    <w:rsid w:val="00993DE6"/>
    <w:rsid w:val="00996484"/>
    <w:rsid w:val="009A6057"/>
    <w:rsid w:val="009A6727"/>
    <w:rsid w:val="009A790B"/>
    <w:rsid w:val="009A7C91"/>
    <w:rsid w:val="009B0F03"/>
    <w:rsid w:val="009B141D"/>
    <w:rsid w:val="009B2E01"/>
    <w:rsid w:val="009B4D96"/>
    <w:rsid w:val="009B7671"/>
    <w:rsid w:val="009B77A2"/>
    <w:rsid w:val="009C4889"/>
    <w:rsid w:val="009C6652"/>
    <w:rsid w:val="009C75C1"/>
    <w:rsid w:val="009D091D"/>
    <w:rsid w:val="009D1075"/>
    <w:rsid w:val="009D3A8C"/>
    <w:rsid w:val="009D5EE2"/>
    <w:rsid w:val="009E513C"/>
    <w:rsid w:val="009E6A90"/>
    <w:rsid w:val="009E7956"/>
    <w:rsid w:val="009F2402"/>
    <w:rsid w:val="00A01870"/>
    <w:rsid w:val="00A024B5"/>
    <w:rsid w:val="00A040C7"/>
    <w:rsid w:val="00A165F4"/>
    <w:rsid w:val="00A204DA"/>
    <w:rsid w:val="00A228B4"/>
    <w:rsid w:val="00A2492E"/>
    <w:rsid w:val="00A264E9"/>
    <w:rsid w:val="00A324A5"/>
    <w:rsid w:val="00A34D33"/>
    <w:rsid w:val="00A414B4"/>
    <w:rsid w:val="00A44CB8"/>
    <w:rsid w:val="00A44DEC"/>
    <w:rsid w:val="00A45869"/>
    <w:rsid w:val="00A47BFA"/>
    <w:rsid w:val="00A47C8D"/>
    <w:rsid w:val="00A510A2"/>
    <w:rsid w:val="00A5386C"/>
    <w:rsid w:val="00A670DC"/>
    <w:rsid w:val="00A720C2"/>
    <w:rsid w:val="00A72199"/>
    <w:rsid w:val="00A74032"/>
    <w:rsid w:val="00A74F64"/>
    <w:rsid w:val="00A777FA"/>
    <w:rsid w:val="00A80FBB"/>
    <w:rsid w:val="00A85025"/>
    <w:rsid w:val="00A86A5F"/>
    <w:rsid w:val="00A87D8D"/>
    <w:rsid w:val="00A903C1"/>
    <w:rsid w:val="00A917F5"/>
    <w:rsid w:val="00A9273B"/>
    <w:rsid w:val="00A94A65"/>
    <w:rsid w:val="00A96473"/>
    <w:rsid w:val="00A97ED3"/>
    <w:rsid w:val="00AA1F83"/>
    <w:rsid w:val="00AA3390"/>
    <w:rsid w:val="00AB2C4B"/>
    <w:rsid w:val="00AB51C8"/>
    <w:rsid w:val="00AB61C4"/>
    <w:rsid w:val="00AC27EF"/>
    <w:rsid w:val="00AC2EEA"/>
    <w:rsid w:val="00AC32BC"/>
    <w:rsid w:val="00AC3B2C"/>
    <w:rsid w:val="00AC4F0D"/>
    <w:rsid w:val="00AC6336"/>
    <w:rsid w:val="00AC67A1"/>
    <w:rsid w:val="00AC7977"/>
    <w:rsid w:val="00AD5824"/>
    <w:rsid w:val="00AD71C4"/>
    <w:rsid w:val="00AE352C"/>
    <w:rsid w:val="00AE43E5"/>
    <w:rsid w:val="00AE68DB"/>
    <w:rsid w:val="00AE6CCA"/>
    <w:rsid w:val="00AF1CE8"/>
    <w:rsid w:val="00AF2C8F"/>
    <w:rsid w:val="00AF5767"/>
    <w:rsid w:val="00AF7D2D"/>
    <w:rsid w:val="00B10927"/>
    <w:rsid w:val="00B11170"/>
    <w:rsid w:val="00B112B5"/>
    <w:rsid w:val="00B13A0B"/>
    <w:rsid w:val="00B16118"/>
    <w:rsid w:val="00B32E2D"/>
    <w:rsid w:val="00B3674F"/>
    <w:rsid w:val="00B40135"/>
    <w:rsid w:val="00B403EE"/>
    <w:rsid w:val="00B44BAF"/>
    <w:rsid w:val="00B46264"/>
    <w:rsid w:val="00B56858"/>
    <w:rsid w:val="00B60FE5"/>
    <w:rsid w:val="00B61990"/>
    <w:rsid w:val="00B67704"/>
    <w:rsid w:val="00B679CB"/>
    <w:rsid w:val="00B750E2"/>
    <w:rsid w:val="00B7730B"/>
    <w:rsid w:val="00B77B04"/>
    <w:rsid w:val="00B8118D"/>
    <w:rsid w:val="00B81510"/>
    <w:rsid w:val="00B81C47"/>
    <w:rsid w:val="00B827E7"/>
    <w:rsid w:val="00B828EB"/>
    <w:rsid w:val="00B829A5"/>
    <w:rsid w:val="00B9114B"/>
    <w:rsid w:val="00B93051"/>
    <w:rsid w:val="00B93D29"/>
    <w:rsid w:val="00B965CC"/>
    <w:rsid w:val="00BA0221"/>
    <w:rsid w:val="00BA1C60"/>
    <w:rsid w:val="00BA2E2A"/>
    <w:rsid w:val="00BA49AA"/>
    <w:rsid w:val="00BA55F8"/>
    <w:rsid w:val="00BC21C7"/>
    <w:rsid w:val="00BC5BC0"/>
    <w:rsid w:val="00BE35BB"/>
    <w:rsid w:val="00BE5B0D"/>
    <w:rsid w:val="00BE6DA9"/>
    <w:rsid w:val="00BE7C11"/>
    <w:rsid w:val="00BF0556"/>
    <w:rsid w:val="00BF67DF"/>
    <w:rsid w:val="00C12C24"/>
    <w:rsid w:val="00C131DE"/>
    <w:rsid w:val="00C23BC0"/>
    <w:rsid w:val="00C25982"/>
    <w:rsid w:val="00C261F8"/>
    <w:rsid w:val="00C32FA9"/>
    <w:rsid w:val="00C33100"/>
    <w:rsid w:val="00C34A80"/>
    <w:rsid w:val="00C3571A"/>
    <w:rsid w:val="00C378E1"/>
    <w:rsid w:val="00C4083C"/>
    <w:rsid w:val="00C468D9"/>
    <w:rsid w:val="00C50FEC"/>
    <w:rsid w:val="00C5591C"/>
    <w:rsid w:val="00C613E1"/>
    <w:rsid w:val="00C62EAA"/>
    <w:rsid w:val="00C633F4"/>
    <w:rsid w:val="00C63FD9"/>
    <w:rsid w:val="00C6458D"/>
    <w:rsid w:val="00C72ECF"/>
    <w:rsid w:val="00C73922"/>
    <w:rsid w:val="00C75F84"/>
    <w:rsid w:val="00C76D6A"/>
    <w:rsid w:val="00C77A52"/>
    <w:rsid w:val="00C8122D"/>
    <w:rsid w:val="00C821CD"/>
    <w:rsid w:val="00C8785E"/>
    <w:rsid w:val="00C911B9"/>
    <w:rsid w:val="00C96723"/>
    <w:rsid w:val="00CA138A"/>
    <w:rsid w:val="00CA167F"/>
    <w:rsid w:val="00CA3ACA"/>
    <w:rsid w:val="00CA637B"/>
    <w:rsid w:val="00CA6A02"/>
    <w:rsid w:val="00CB2C08"/>
    <w:rsid w:val="00CB3277"/>
    <w:rsid w:val="00CB5A09"/>
    <w:rsid w:val="00CB6D00"/>
    <w:rsid w:val="00CB76D0"/>
    <w:rsid w:val="00CC76E6"/>
    <w:rsid w:val="00CC7E7C"/>
    <w:rsid w:val="00CD1A71"/>
    <w:rsid w:val="00CD1FBB"/>
    <w:rsid w:val="00CD210B"/>
    <w:rsid w:val="00CD7382"/>
    <w:rsid w:val="00CD7892"/>
    <w:rsid w:val="00CE1106"/>
    <w:rsid w:val="00CE28E6"/>
    <w:rsid w:val="00CE53D9"/>
    <w:rsid w:val="00CF4919"/>
    <w:rsid w:val="00CF5128"/>
    <w:rsid w:val="00CF5A5C"/>
    <w:rsid w:val="00D016B5"/>
    <w:rsid w:val="00D020E2"/>
    <w:rsid w:val="00D034F1"/>
    <w:rsid w:val="00D05AF5"/>
    <w:rsid w:val="00D106FA"/>
    <w:rsid w:val="00D13164"/>
    <w:rsid w:val="00D1691B"/>
    <w:rsid w:val="00D170CD"/>
    <w:rsid w:val="00D27D5E"/>
    <w:rsid w:val="00D32106"/>
    <w:rsid w:val="00D3326D"/>
    <w:rsid w:val="00D34889"/>
    <w:rsid w:val="00D35046"/>
    <w:rsid w:val="00D35B2D"/>
    <w:rsid w:val="00D36A16"/>
    <w:rsid w:val="00D43277"/>
    <w:rsid w:val="00D45E20"/>
    <w:rsid w:val="00D53EC9"/>
    <w:rsid w:val="00D54902"/>
    <w:rsid w:val="00D57915"/>
    <w:rsid w:val="00D62548"/>
    <w:rsid w:val="00D6258C"/>
    <w:rsid w:val="00D63B5E"/>
    <w:rsid w:val="00D64417"/>
    <w:rsid w:val="00D672DA"/>
    <w:rsid w:val="00D70B08"/>
    <w:rsid w:val="00D7337B"/>
    <w:rsid w:val="00D74C73"/>
    <w:rsid w:val="00D74DDC"/>
    <w:rsid w:val="00D75CD2"/>
    <w:rsid w:val="00D8345B"/>
    <w:rsid w:val="00D8456E"/>
    <w:rsid w:val="00D865DA"/>
    <w:rsid w:val="00D87989"/>
    <w:rsid w:val="00D87B2C"/>
    <w:rsid w:val="00D87DA4"/>
    <w:rsid w:val="00D909AC"/>
    <w:rsid w:val="00D92C6F"/>
    <w:rsid w:val="00D94C28"/>
    <w:rsid w:val="00D9560A"/>
    <w:rsid w:val="00D96280"/>
    <w:rsid w:val="00D96A50"/>
    <w:rsid w:val="00DA0B61"/>
    <w:rsid w:val="00DA3CC2"/>
    <w:rsid w:val="00DA52C8"/>
    <w:rsid w:val="00DA72B5"/>
    <w:rsid w:val="00DA74BB"/>
    <w:rsid w:val="00DA79E2"/>
    <w:rsid w:val="00DB339C"/>
    <w:rsid w:val="00DC0D8E"/>
    <w:rsid w:val="00DC4B48"/>
    <w:rsid w:val="00DC6405"/>
    <w:rsid w:val="00DD072E"/>
    <w:rsid w:val="00DE05B3"/>
    <w:rsid w:val="00DE0E38"/>
    <w:rsid w:val="00DE676D"/>
    <w:rsid w:val="00DE6D90"/>
    <w:rsid w:val="00DF002F"/>
    <w:rsid w:val="00DF094C"/>
    <w:rsid w:val="00DF31B6"/>
    <w:rsid w:val="00DF3BF1"/>
    <w:rsid w:val="00E01DB0"/>
    <w:rsid w:val="00E02010"/>
    <w:rsid w:val="00E0244D"/>
    <w:rsid w:val="00E027EA"/>
    <w:rsid w:val="00E05000"/>
    <w:rsid w:val="00E0688F"/>
    <w:rsid w:val="00E069BD"/>
    <w:rsid w:val="00E1215D"/>
    <w:rsid w:val="00E1241D"/>
    <w:rsid w:val="00E12479"/>
    <w:rsid w:val="00E144C5"/>
    <w:rsid w:val="00E17213"/>
    <w:rsid w:val="00E21033"/>
    <w:rsid w:val="00E3133A"/>
    <w:rsid w:val="00E368FF"/>
    <w:rsid w:val="00E41808"/>
    <w:rsid w:val="00E53001"/>
    <w:rsid w:val="00E54C7C"/>
    <w:rsid w:val="00E61947"/>
    <w:rsid w:val="00E65B00"/>
    <w:rsid w:val="00E71FB1"/>
    <w:rsid w:val="00E72332"/>
    <w:rsid w:val="00E7262D"/>
    <w:rsid w:val="00E72AC3"/>
    <w:rsid w:val="00E75B3E"/>
    <w:rsid w:val="00E7724F"/>
    <w:rsid w:val="00E81E94"/>
    <w:rsid w:val="00E822A4"/>
    <w:rsid w:val="00E82607"/>
    <w:rsid w:val="00E871DE"/>
    <w:rsid w:val="00E91D3D"/>
    <w:rsid w:val="00E92649"/>
    <w:rsid w:val="00E928CF"/>
    <w:rsid w:val="00EA601D"/>
    <w:rsid w:val="00EA7649"/>
    <w:rsid w:val="00EB5897"/>
    <w:rsid w:val="00EC0BCF"/>
    <w:rsid w:val="00EC2160"/>
    <w:rsid w:val="00EC25C4"/>
    <w:rsid w:val="00EC4CE8"/>
    <w:rsid w:val="00EC52BC"/>
    <w:rsid w:val="00EC6982"/>
    <w:rsid w:val="00ED2FD2"/>
    <w:rsid w:val="00ED3C49"/>
    <w:rsid w:val="00ED479D"/>
    <w:rsid w:val="00ED5984"/>
    <w:rsid w:val="00EE0086"/>
    <w:rsid w:val="00EE36AA"/>
    <w:rsid w:val="00EE69DD"/>
    <w:rsid w:val="00EE7B83"/>
    <w:rsid w:val="00EF1106"/>
    <w:rsid w:val="00EF2C07"/>
    <w:rsid w:val="00EF5768"/>
    <w:rsid w:val="00EF658B"/>
    <w:rsid w:val="00F005A6"/>
    <w:rsid w:val="00F00BC7"/>
    <w:rsid w:val="00F02625"/>
    <w:rsid w:val="00F05D47"/>
    <w:rsid w:val="00F0788D"/>
    <w:rsid w:val="00F10747"/>
    <w:rsid w:val="00F10752"/>
    <w:rsid w:val="00F16E05"/>
    <w:rsid w:val="00F177F2"/>
    <w:rsid w:val="00F2205A"/>
    <w:rsid w:val="00F24E8D"/>
    <w:rsid w:val="00F26150"/>
    <w:rsid w:val="00F27380"/>
    <w:rsid w:val="00F31D32"/>
    <w:rsid w:val="00F33417"/>
    <w:rsid w:val="00F33865"/>
    <w:rsid w:val="00F36368"/>
    <w:rsid w:val="00F425DE"/>
    <w:rsid w:val="00F47808"/>
    <w:rsid w:val="00F50588"/>
    <w:rsid w:val="00F536A7"/>
    <w:rsid w:val="00F54C53"/>
    <w:rsid w:val="00F559E9"/>
    <w:rsid w:val="00F55A90"/>
    <w:rsid w:val="00F56D52"/>
    <w:rsid w:val="00F60F42"/>
    <w:rsid w:val="00F633FA"/>
    <w:rsid w:val="00F67263"/>
    <w:rsid w:val="00F67B7C"/>
    <w:rsid w:val="00F712FF"/>
    <w:rsid w:val="00F74BCD"/>
    <w:rsid w:val="00F75BE2"/>
    <w:rsid w:val="00F82378"/>
    <w:rsid w:val="00F82421"/>
    <w:rsid w:val="00F827D8"/>
    <w:rsid w:val="00F82BDA"/>
    <w:rsid w:val="00F8709B"/>
    <w:rsid w:val="00F973BF"/>
    <w:rsid w:val="00FA2FA5"/>
    <w:rsid w:val="00FA5A79"/>
    <w:rsid w:val="00FB0BFE"/>
    <w:rsid w:val="00FB4C51"/>
    <w:rsid w:val="00FB7DB2"/>
    <w:rsid w:val="00FC199C"/>
    <w:rsid w:val="00FC47A0"/>
    <w:rsid w:val="00FC4B23"/>
    <w:rsid w:val="00FC54F5"/>
    <w:rsid w:val="00FD077B"/>
    <w:rsid w:val="00FD6FB9"/>
    <w:rsid w:val="00FE2FE9"/>
    <w:rsid w:val="00FE4A0A"/>
    <w:rsid w:val="00FF1DB6"/>
    <w:rsid w:val="00FF1DBD"/>
    <w:rsid w:val="00FF75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paragraph" w:styleId="BodyText3">
    <w:name w:val="Body Text 3"/>
    <w:basedOn w:val="Normal"/>
    <w:link w:val="BodyText3Char"/>
    <w:rsid w:val="00841D45"/>
    <w:pPr>
      <w:suppressAutoHyphens w:val="0"/>
      <w:spacing w:line="240" w:lineRule="auto"/>
    </w:pPr>
    <w:rPr>
      <w:rFonts w:ascii="Verdana" w:eastAsia="Calibri" w:hAnsi="Verdana"/>
      <w:szCs w:val="24"/>
      <w:lang w:val="fr-FR" w:eastAsia="nl-NL"/>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odyText3Char">
    <w:name w:val="Body Text 3 Char"/>
    <w:link w:val="BodyText3"/>
    <w:locked/>
    <w:rsid w:val="00841D45"/>
    <w:rPr>
      <w:rFonts w:ascii="Verdana" w:eastAsia="Calibri" w:hAnsi="Verdana"/>
      <w:szCs w:val="24"/>
      <w:lang w:val="fr-FR" w:eastAsia="nl-NL" w:bidi="ar-SA"/>
    </w:rPr>
  </w:style>
  <w:style w:type="paragraph" w:styleId="NormalWeb">
    <w:name w:val="Normal (Web)"/>
    <w:basedOn w:val="Normal"/>
    <w:rsid w:val="00841D45"/>
    <w:pPr>
      <w:suppressAutoHyphens w:val="0"/>
      <w:spacing w:before="100" w:beforeAutospacing="1" w:after="100" w:afterAutospacing="1" w:line="240" w:lineRule="auto"/>
    </w:pPr>
    <w:rPr>
      <w:rFonts w:eastAsia="Calibri"/>
      <w:sz w:val="24"/>
      <w:szCs w:val="24"/>
      <w:lang w:val="fr-FR" w:eastAsia="fr-FR"/>
    </w:rPr>
  </w:style>
  <w:style w:type="paragraph" w:styleId="BodyTextIndent3">
    <w:name w:val="Body Text Indent 3"/>
    <w:basedOn w:val="Normal"/>
    <w:link w:val="BodyTextIndent3Char"/>
    <w:semiHidden/>
    <w:rsid w:val="00841D45"/>
    <w:pPr>
      <w:suppressAutoHyphens w:val="0"/>
      <w:spacing w:after="120" w:line="240" w:lineRule="auto"/>
      <w:ind w:left="283"/>
    </w:pPr>
    <w:rPr>
      <w:rFonts w:eastAsia="Calibri"/>
      <w:sz w:val="16"/>
      <w:szCs w:val="16"/>
      <w:lang w:eastAsia="fr-FR"/>
    </w:rPr>
  </w:style>
  <w:style w:type="character" w:customStyle="1" w:styleId="BodyTextIndent3Char">
    <w:name w:val="Body Text Indent 3 Char"/>
    <w:link w:val="BodyTextIndent3"/>
    <w:semiHidden/>
    <w:locked/>
    <w:rsid w:val="00841D45"/>
    <w:rPr>
      <w:rFonts w:eastAsia="Calibri"/>
      <w:sz w:val="16"/>
      <w:szCs w:val="16"/>
      <w:lang w:val="fr-CH" w:eastAsia="fr-FR" w:bidi="ar-SA"/>
    </w:rPr>
  </w:style>
  <w:style w:type="character" w:customStyle="1" w:styleId="apple-style-span">
    <w:name w:val="apple-style-span"/>
    <w:rsid w:val="00841D45"/>
    <w:rPr>
      <w:rFonts w:cs="Times New Roman"/>
    </w:rPr>
  </w:style>
  <w:style w:type="character" w:styleId="CommentReference">
    <w:name w:val="annotation reference"/>
    <w:semiHidden/>
    <w:rsid w:val="00841D45"/>
    <w:rPr>
      <w:sz w:val="16"/>
      <w:szCs w:val="16"/>
    </w:rPr>
  </w:style>
  <w:style w:type="paragraph" w:styleId="CommentText">
    <w:name w:val="annotation text"/>
    <w:basedOn w:val="Normal"/>
    <w:semiHidden/>
    <w:rsid w:val="00841D45"/>
    <w:pPr>
      <w:suppressAutoHyphens w:val="0"/>
      <w:spacing w:line="240" w:lineRule="auto"/>
    </w:pPr>
    <w:rPr>
      <w:lang w:val="fr-FR" w:eastAsia="fr-FR"/>
    </w:rPr>
  </w:style>
  <w:style w:type="paragraph" w:styleId="BalloonText">
    <w:name w:val="Balloon Text"/>
    <w:basedOn w:val="Normal"/>
    <w:semiHidden/>
    <w:rsid w:val="00841D45"/>
    <w:pPr>
      <w:suppressAutoHyphens w:val="0"/>
      <w:spacing w:line="240" w:lineRule="auto"/>
    </w:pPr>
    <w:rPr>
      <w:rFonts w:ascii="Tahoma" w:hAnsi="Tahoma" w:cs="Tahoma"/>
      <w:sz w:val="16"/>
      <w:szCs w:val="16"/>
      <w:lang w:val="fr-FR" w:eastAsia="fr-FR"/>
    </w:rPr>
  </w:style>
  <w:style w:type="paragraph" w:customStyle="1" w:styleId="Default">
    <w:name w:val="Default"/>
    <w:rsid w:val="00841D45"/>
    <w:pPr>
      <w:autoSpaceDE w:val="0"/>
      <w:autoSpaceDN w:val="0"/>
      <w:adjustRightInd w:val="0"/>
    </w:pPr>
    <w:rPr>
      <w:color w:val="000000"/>
      <w:sz w:val="24"/>
      <w:szCs w:val="24"/>
      <w:lang w:val="fr-FR" w:eastAsia="fr-FR"/>
    </w:rPr>
  </w:style>
  <w:style w:type="paragraph" w:styleId="DocumentMap">
    <w:name w:val="Document Map"/>
    <w:basedOn w:val="Normal"/>
    <w:semiHidden/>
    <w:rsid w:val="00841D45"/>
    <w:pPr>
      <w:shd w:val="clear" w:color="auto" w:fill="000080"/>
      <w:suppressAutoHyphens w:val="0"/>
      <w:spacing w:line="240" w:lineRule="auto"/>
    </w:pPr>
    <w:rPr>
      <w:rFonts w:ascii="Tahoma" w:hAnsi="Tahoma" w:cs="Tahoma"/>
      <w:lang w:val="fr-FR" w:eastAsia="fr-FR"/>
    </w:rPr>
  </w:style>
  <w:style w:type="paragraph" w:styleId="CommentSubject">
    <w:name w:val="annotation subject"/>
    <w:basedOn w:val="CommentText"/>
    <w:next w:val="CommentText"/>
    <w:semiHidden/>
    <w:rsid w:val="00841D45"/>
    <w:rPr>
      <w:b/>
      <w:bCs/>
    </w:rPr>
  </w:style>
  <w:style w:type="character" w:customStyle="1" w:styleId="Caractresdenotedebasdepage">
    <w:name w:val="Caractères de note de bas de page"/>
    <w:rsid w:val="00841D45"/>
  </w:style>
  <w:style w:type="character" w:customStyle="1" w:styleId="Appelnotedebasdep1">
    <w:name w:val="Appel note de bas de p.1"/>
    <w:rsid w:val="00841D45"/>
    <w:rPr>
      <w:vertAlign w:val="superscript"/>
    </w:rPr>
  </w:style>
  <w:style w:type="character" w:customStyle="1" w:styleId="ft-parag-text1">
    <w:name w:val="ft-parag-text1"/>
    <w:rsid w:val="00841D45"/>
    <w:rPr>
      <w:color w:val="000000"/>
      <w:sz w:val="16"/>
      <w:szCs w:val="16"/>
    </w:rPr>
  </w:style>
  <w:style w:type="paragraph" w:styleId="BodyText">
    <w:name w:val="Body Text"/>
    <w:basedOn w:val="Normal"/>
    <w:rsid w:val="00841D45"/>
    <w:pPr>
      <w:suppressAutoHyphens w:val="0"/>
      <w:spacing w:after="120" w:line="240" w:lineRule="auto"/>
    </w:pPr>
    <w:rPr>
      <w:sz w:val="24"/>
      <w:szCs w:val="24"/>
      <w:lang w:val="fr-FR" w:eastAsia="fr-FR"/>
    </w:rPr>
  </w:style>
  <w:style w:type="paragraph" w:styleId="PlainText">
    <w:name w:val="Plain Text"/>
    <w:basedOn w:val="Normal"/>
    <w:rsid w:val="00841D45"/>
    <w:pPr>
      <w:suppressAutoHyphens w:val="0"/>
      <w:spacing w:line="240" w:lineRule="auto"/>
    </w:pPr>
    <w:rPr>
      <w:rFonts w:ascii="Courier New" w:eastAsia="Arial Unicode MS" w:hAnsi="Courier New" w:cs="Courier New"/>
      <w:lang w:val="fr-FR" w:eastAsia="fr-FR"/>
    </w:rPr>
  </w:style>
  <w:style w:type="paragraph" w:customStyle="1" w:styleId="Standaard">
    <w:name w:val="Standaard"/>
    <w:basedOn w:val="Normal"/>
    <w:next w:val="Normal"/>
    <w:rsid w:val="00841D45"/>
    <w:pPr>
      <w:suppressAutoHyphens w:val="0"/>
      <w:autoSpaceDE w:val="0"/>
      <w:autoSpaceDN w:val="0"/>
      <w:adjustRightInd w:val="0"/>
      <w:spacing w:line="240" w:lineRule="auto"/>
    </w:pPr>
    <w:rPr>
      <w:rFonts w:ascii="Verdana" w:hAnsi="Verdana"/>
      <w:sz w:val="24"/>
      <w:szCs w:val="24"/>
      <w:lang w:val="fr-FR" w:eastAsia="fr-FR"/>
    </w:rPr>
  </w:style>
  <w:style w:type="paragraph" w:customStyle="1" w:styleId="Retraitcorpsdetexte21">
    <w:name w:val="Retrait corps de texte 21"/>
    <w:basedOn w:val="Normal"/>
    <w:rsid w:val="00841D45"/>
    <w:pPr>
      <w:autoSpaceDE w:val="0"/>
      <w:spacing w:line="240" w:lineRule="auto"/>
      <w:ind w:left="360"/>
      <w:jc w:val="both"/>
    </w:pPr>
    <w:rPr>
      <w:rFonts w:ascii="Arial" w:hAnsi="Arial" w:cs="Arial"/>
      <w:sz w:val="18"/>
      <w:szCs w:val="22"/>
      <w:lang w:val="fr-FR" w:eastAsia="ar-SA"/>
    </w:rPr>
  </w:style>
  <w:style w:type="character" w:customStyle="1" w:styleId="tw4winMark">
    <w:name w:val="tw4winMark"/>
    <w:rsid w:val="00841D45"/>
    <w:rPr>
      <w:rFonts w:ascii="Courier New" w:hAnsi="Courier New"/>
      <w:vanish/>
      <w:webHidden w:val="0"/>
      <w:color w:val="800080"/>
      <w:vertAlign w:val="subscript"/>
    </w:rPr>
  </w:style>
  <w:style w:type="paragraph" w:styleId="BodyText2">
    <w:name w:val="Body Text 2"/>
    <w:basedOn w:val="Normal"/>
    <w:rsid w:val="00841D45"/>
    <w:pPr>
      <w:suppressAutoHyphens w:val="0"/>
      <w:spacing w:after="120" w:line="480" w:lineRule="auto"/>
    </w:pPr>
    <w:rPr>
      <w:sz w:val="24"/>
      <w:szCs w:val="24"/>
      <w:lang w:val="fr-FR" w:eastAsia="fr-FR"/>
    </w:rPr>
  </w:style>
  <w:style w:type="character" w:styleId="Emphasis">
    <w:name w:val="Emphasis"/>
    <w:qFormat/>
    <w:rsid w:val="00841D45"/>
    <w:rPr>
      <w:i/>
      <w:iCs/>
    </w:rPr>
  </w:style>
  <w:style w:type="paragraph" w:customStyle="1" w:styleId="Paragraphedeliste1">
    <w:name w:val="Paragraphe de liste1"/>
    <w:basedOn w:val="Normal"/>
    <w:rsid w:val="00841D45"/>
    <w:pPr>
      <w:suppressAutoHyphens w:val="0"/>
      <w:spacing w:line="360" w:lineRule="auto"/>
      <w:ind w:firstLine="567"/>
      <w:contextualSpacing/>
      <w:jc w:val="both"/>
    </w:pPr>
    <w:rPr>
      <w:sz w:val="24"/>
      <w:szCs w:val="22"/>
      <w:lang w:val="fr-BE"/>
    </w:rPr>
  </w:style>
  <w:style w:type="character" w:customStyle="1" w:styleId="HChGChar">
    <w:name w:val="_ H _Ch_G Char"/>
    <w:link w:val="HChG"/>
    <w:rsid w:val="00841D45"/>
    <w:rPr>
      <w:b/>
      <w:sz w:val="2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867060801%2FF&amp;caller=list&amp;row_id=1&amp;numero=3&amp;rech=6&amp;cn=1867060801&amp;table_name=LOI&amp;nm=1867060850&amp;la=F&amp;dt=CODE+PENAL&amp;language=fr&amp;fr=f&amp;choix1=ET&amp;choix2=ET&amp;fromtab=loi_all&amp;trier=promulgation&amp;chercher=t&amp;sql=dt+contains++%27CODE%27%26+%27PENAL%27and+actif+%3D+%27Y%27&amp;tri=dd+AS+RANK+&amp;imgcn.x=39&amp;imgcn.y=13" TargetMode="External"/><Relationship Id="rId13" Type="http://schemas.openxmlformats.org/officeDocument/2006/relationships/hyperlink" Target="http://www.mariagemigratio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planningfamilial.net/assets/files/Actualites/AmoursMortes2511200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indermishandeling.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ompagniemaritime.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cof.irisnet.be/site/fr/affsoc/Publications/Files/jreflmariage/" TargetMode="External"/><Relationship Id="rId23" Type="http://schemas.openxmlformats.org/officeDocument/2006/relationships/fontTable" Target="fontTable.xml"/><Relationship Id="rId10" Type="http://schemas.openxmlformats.org/officeDocument/2006/relationships/hyperlink" Target="http://www.kbsfrb.be/publication.aspx?id=229066&amp;LangType=20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yberhate.be" TargetMode="External"/><Relationship Id="rId14" Type="http://schemas.openxmlformats.org/officeDocument/2006/relationships/hyperlink" Target="http://www.planningfamilial.net/assets/files/FLCPF-Embarrasduchoix-prog200608.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15490</Words>
  <Characters>83650</Characters>
  <Application>Microsoft Office Word</Application>
  <DocSecurity>4</DocSecurity>
  <Lines>1286</Lines>
  <Paragraphs>385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98755</CharactersWithSpaces>
  <SharedDoc>false</SharedDoc>
  <HLinks>
    <vt:vector size="54" baseType="variant">
      <vt:variant>
        <vt:i4>1638473</vt:i4>
      </vt:variant>
      <vt:variant>
        <vt:i4>24</vt:i4>
      </vt:variant>
      <vt:variant>
        <vt:i4>0</vt:i4>
      </vt:variant>
      <vt:variant>
        <vt:i4>5</vt:i4>
      </vt:variant>
      <vt:variant>
        <vt:lpwstr>http://www.kindermishandeling.be/</vt:lpwstr>
      </vt:variant>
      <vt:variant>
        <vt:lpwstr/>
      </vt:variant>
      <vt:variant>
        <vt:i4>3604523</vt:i4>
      </vt:variant>
      <vt:variant>
        <vt:i4>21</vt:i4>
      </vt:variant>
      <vt:variant>
        <vt:i4>0</vt:i4>
      </vt:variant>
      <vt:variant>
        <vt:i4>5</vt:i4>
      </vt:variant>
      <vt:variant>
        <vt:lpwstr>http://www.cocof.irisnet.be/site/fr/affsoc/Publications/Files/jreflmariage/</vt:lpwstr>
      </vt:variant>
      <vt:variant>
        <vt:lpwstr/>
      </vt:variant>
      <vt:variant>
        <vt:i4>4456479</vt:i4>
      </vt:variant>
      <vt:variant>
        <vt:i4>18</vt:i4>
      </vt:variant>
      <vt:variant>
        <vt:i4>0</vt:i4>
      </vt:variant>
      <vt:variant>
        <vt:i4>5</vt:i4>
      </vt:variant>
      <vt:variant>
        <vt:lpwstr>http://www.planningfamilial.net/assets/files/FLCPF-Embarrasduchoix-prog200608.pdf</vt:lpwstr>
      </vt:variant>
      <vt:variant>
        <vt:lpwstr/>
      </vt:variant>
      <vt:variant>
        <vt:i4>4391003</vt:i4>
      </vt:variant>
      <vt:variant>
        <vt:i4>15</vt:i4>
      </vt:variant>
      <vt:variant>
        <vt:i4>0</vt:i4>
      </vt:variant>
      <vt:variant>
        <vt:i4>5</vt:i4>
      </vt:variant>
      <vt:variant>
        <vt:lpwstr>http://www.mariagemigration.org/</vt:lpwstr>
      </vt:variant>
      <vt:variant>
        <vt:lpwstr/>
      </vt:variant>
      <vt:variant>
        <vt:i4>720913</vt:i4>
      </vt:variant>
      <vt:variant>
        <vt:i4>12</vt:i4>
      </vt:variant>
      <vt:variant>
        <vt:i4>0</vt:i4>
      </vt:variant>
      <vt:variant>
        <vt:i4>5</vt:i4>
      </vt:variant>
      <vt:variant>
        <vt:lpwstr>http://www.planningfamilial.net/assets/files/Actualites/AmoursMortes25112009.pdf</vt:lpwstr>
      </vt:variant>
      <vt:variant>
        <vt:lpwstr/>
      </vt:variant>
      <vt:variant>
        <vt:i4>6946925</vt:i4>
      </vt:variant>
      <vt:variant>
        <vt:i4>9</vt:i4>
      </vt:variant>
      <vt:variant>
        <vt:i4>0</vt:i4>
      </vt:variant>
      <vt:variant>
        <vt:i4>5</vt:i4>
      </vt:variant>
      <vt:variant>
        <vt:lpwstr>http://www.lacompagniemaritime.be/</vt:lpwstr>
      </vt:variant>
      <vt:variant>
        <vt:lpwstr/>
      </vt:variant>
      <vt:variant>
        <vt:i4>5767252</vt:i4>
      </vt:variant>
      <vt:variant>
        <vt:i4>6</vt:i4>
      </vt:variant>
      <vt:variant>
        <vt:i4>0</vt:i4>
      </vt:variant>
      <vt:variant>
        <vt:i4>5</vt:i4>
      </vt:variant>
      <vt:variant>
        <vt:lpwstr>http://www.kbsfrb.be/publication.aspx?id=229066&amp;LangType=2060</vt:lpwstr>
      </vt:variant>
      <vt:variant>
        <vt:lpwstr/>
      </vt:variant>
      <vt:variant>
        <vt:i4>1114139</vt:i4>
      </vt:variant>
      <vt:variant>
        <vt:i4>3</vt:i4>
      </vt:variant>
      <vt:variant>
        <vt:i4>0</vt:i4>
      </vt:variant>
      <vt:variant>
        <vt:i4>5</vt:i4>
      </vt:variant>
      <vt:variant>
        <vt:lpwstr>http://www.cyberhate.be/</vt:lpwstr>
      </vt:variant>
      <vt:variant>
        <vt:lpwstr/>
      </vt:variant>
      <vt:variant>
        <vt:i4>3735623</vt:i4>
      </vt:variant>
      <vt:variant>
        <vt:i4>0</vt:i4>
      </vt:variant>
      <vt:variant>
        <vt:i4>0</vt:i4>
      </vt:variant>
      <vt:variant>
        <vt:i4>5</vt:i4>
      </vt:variant>
      <vt:variant>
        <vt:lpwstr>http://www.ejustice.just.fgov.be/cgi_loi/loi_a1.pl?DETAIL=1867060801%2FF&amp;caller=list&amp;row_id=1&amp;numero=3&amp;rech=6&amp;cn=1867060801&amp;table_name=LOI&amp;nm=1867060850&amp;la=F&amp;dt=CODE+PENAL&amp;language=fr&amp;fr=f&amp;choix1=ET&amp;choix2=ET&amp;fromtab=loi_all&amp;trier=promulgation&amp;chercher=t&amp;sql=dt+contains++%27CODE%27%26+%27PENAL%27and+actif+%3D+%27Y%27&amp;tri=dd+AS+RANK+&amp;imgcn.x=39&amp;imgcn.y=13</vt:lpwstr>
      </vt:variant>
      <vt:variant>
        <vt:lpwstr>Art.258#Art.258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2010-09-22T10:59:00Z</cp:lastPrinted>
  <dcterms:created xsi:type="dcterms:W3CDTF">2010-09-22T13:52:00Z</dcterms:created>
  <dcterms:modified xsi:type="dcterms:W3CDTF">2010-09-22T13:52:00Z</dcterms:modified>
</cp:coreProperties>
</file>