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BA23E" w14:textId="77777777" w:rsidR="0050272D" w:rsidRPr="003063F4" w:rsidRDefault="0050272D" w:rsidP="0050272D">
      <w:pPr>
        <w:spacing w:line="240" w:lineRule="auto"/>
        <w:rPr>
          <w:sz w:val="2"/>
          <w:lang w:val="fr-FR"/>
        </w:rPr>
        <w:sectPr w:rsidR="0050272D" w:rsidRPr="003063F4" w:rsidSect="007435A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3063F4">
        <w:rPr>
          <w:rStyle w:val="CommentReference"/>
          <w:lang w:val="fr-FR"/>
        </w:rPr>
        <w:commentReference w:id="0"/>
      </w:r>
    </w:p>
    <w:p w14:paraId="6D243AC7" w14:textId="07B48218" w:rsidR="007435AC" w:rsidRPr="003063F4" w:rsidRDefault="007435AC" w:rsidP="002113C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720"/>
        <w:rPr>
          <w:lang w:val="fr-FR"/>
        </w:rPr>
      </w:pPr>
      <w:r w:rsidRPr="003063F4">
        <w:rPr>
          <w:lang w:val="fr-FR"/>
        </w:rPr>
        <w:t>Comité pour l</w:t>
      </w:r>
      <w:r w:rsidR="00010994" w:rsidRPr="003063F4">
        <w:rPr>
          <w:lang w:val="fr-FR"/>
        </w:rPr>
        <w:t>’</w:t>
      </w:r>
      <w:r w:rsidRPr="003063F4">
        <w:rPr>
          <w:lang w:val="fr-FR"/>
        </w:rPr>
        <w:t>élimination de la discrimination à l</w:t>
      </w:r>
      <w:r w:rsidR="00010994" w:rsidRPr="003063F4">
        <w:rPr>
          <w:lang w:val="fr-FR"/>
        </w:rPr>
        <w:t>’</w:t>
      </w:r>
      <w:r w:rsidRPr="003063F4">
        <w:rPr>
          <w:lang w:val="fr-FR"/>
        </w:rPr>
        <w:t xml:space="preserve">égard </w:t>
      </w:r>
      <w:r w:rsidRPr="003063F4">
        <w:rPr>
          <w:spacing w:val="2"/>
          <w:sz w:val="28"/>
          <w:lang w:val="fr-FR"/>
        </w:rPr>
        <w:t>des</w:t>
      </w:r>
      <w:r w:rsidRPr="003063F4">
        <w:rPr>
          <w:lang w:val="fr-FR"/>
        </w:rPr>
        <w:t xml:space="preserve"> femmes</w:t>
      </w:r>
    </w:p>
    <w:p w14:paraId="73CB4B06" w14:textId="590A2C46" w:rsidR="007435AC" w:rsidRPr="003063F4" w:rsidRDefault="007435AC" w:rsidP="007435AC">
      <w:pPr>
        <w:spacing w:line="120" w:lineRule="exact"/>
        <w:rPr>
          <w:sz w:val="10"/>
          <w:lang w:val="fr-FR"/>
        </w:rPr>
      </w:pPr>
    </w:p>
    <w:p w14:paraId="76516673" w14:textId="2BD42EA2" w:rsidR="007435AC" w:rsidRPr="003063F4" w:rsidRDefault="007435AC" w:rsidP="007435AC">
      <w:pPr>
        <w:spacing w:line="120" w:lineRule="exact"/>
        <w:rPr>
          <w:sz w:val="10"/>
          <w:lang w:val="fr-FR"/>
        </w:rPr>
      </w:pPr>
    </w:p>
    <w:p w14:paraId="060DC337" w14:textId="5906B799" w:rsidR="007435AC" w:rsidRPr="003063F4" w:rsidRDefault="007435AC" w:rsidP="007435AC">
      <w:pPr>
        <w:spacing w:line="120" w:lineRule="exact"/>
        <w:rPr>
          <w:sz w:val="10"/>
          <w:lang w:val="fr-FR"/>
        </w:rPr>
      </w:pPr>
    </w:p>
    <w:p w14:paraId="21EFDD4E" w14:textId="79B4185F" w:rsidR="007435AC" w:rsidRPr="003063F4" w:rsidRDefault="007435AC" w:rsidP="007435AC">
      <w:pPr>
        <w:pStyle w:val="TitleHCH"/>
        <w:rPr>
          <w:lang w:val="fr-FR"/>
        </w:rPr>
      </w:pPr>
      <w:r w:rsidRPr="003063F4">
        <w:rPr>
          <w:lang w:val="fr-FR"/>
        </w:rPr>
        <w:tab/>
      </w:r>
      <w:r w:rsidRPr="003063F4">
        <w:rPr>
          <w:lang w:val="fr-FR"/>
        </w:rPr>
        <w:tab/>
        <w:t>Observations finales concernant le rapport valant septième et huitième rapports périodiques de la Roumanie</w:t>
      </w:r>
    </w:p>
    <w:p w14:paraId="0D17FFBC" w14:textId="6CBA8638" w:rsidR="007435AC" w:rsidRPr="003063F4" w:rsidRDefault="007435AC" w:rsidP="007435AC">
      <w:pPr>
        <w:spacing w:line="120" w:lineRule="exact"/>
        <w:rPr>
          <w:sz w:val="10"/>
          <w:lang w:val="fr-FR"/>
        </w:rPr>
      </w:pPr>
    </w:p>
    <w:p w14:paraId="4ABBF1A7" w14:textId="27326F4F" w:rsidR="007435AC" w:rsidRPr="003063F4" w:rsidRDefault="007435AC" w:rsidP="007435AC">
      <w:pPr>
        <w:spacing w:line="120" w:lineRule="exact"/>
        <w:rPr>
          <w:sz w:val="10"/>
          <w:lang w:val="fr-FR"/>
        </w:rPr>
      </w:pPr>
    </w:p>
    <w:p w14:paraId="0A09BA4D" w14:textId="6BDD6F51" w:rsidR="007435AC" w:rsidRPr="003063F4" w:rsidRDefault="007435AC" w:rsidP="007435AC">
      <w:pPr>
        <w:pStyle w:val="TitleH2"/>
        <w:rPr>
          <w:lang w:val="fr-FR"/>
        </w:rPr>
      </w:pPr>
      <w:r w:rsidRPr="003063F4">
        <w:rPr>
          <w:lang w:val="fr-FR"/>
        </w:rPr>
        <w:tab/>
      </w:r>
      <w:r w:rsidRPr="003063F4">
        <w:rPr>
          <w:lang w:val="fr-FR"/>
        </w:rPr>
        <w:tab/>
        <w:t>Additif</w:t>
      </w:r>
    </w:p>
    <w:p w14:paraId="64B54081" w14:textId="7FE23395" w:rsidR="007435AC" w:rsidRPr="002113C3" w:rsidRDefault="007435AC" w:rsidP="002113C3">
      <w:pPr>
        <w:pStyle w:val="SingleTxt"/>
        <w:spacing w:after="0" w:line="120" w:lineRule="exact"/>
        <w:rPr>
          <w:sz w:val="10"/>
          <w:lang w:val="fr-FR"/>
        </w:rPr>
      </w:pPr>
    </w:p>
    <w:p w14:paraId="23E1E9DF" w14:textId="77777777" w:rsidR="002113C3" w:rsidRDefault="002113C3" w:rsidP="007435AC">
      <w:pPr>
        <w:pStyle w:val="SingleTxt"/>
        <w:spacing w:after="0" w:line="120" w:lineRule="exact"/>
        <w:rPr>
          <w:sz w:val="10"/>
          <w:lang w:val="fr-FR"/>
        </w:rPr>
      </w:pPr>
    </w:p>
    <w:p w14:paraId="536F0E89" w14:textId="3881C059" w:rsidR="002113C3" w:rsidRDefault="002113C3" w:rsidP="002113C3">
      <w:pPr>
        <w:pStyle w:val="TitleH1"/>
        <w:tabs>
          <w:tab w:val="clear" w:pos="1742"/>
        </w:tabs>
        <w:ind w:right="0"/>
        <w:rPr>
          <w:lang w:val="fr-FR"/>
        </w:rPr>
      </w:pPr>
      <w:r>
        <w:rPr>
          <w:lang w:val="fr-FR"/>
        </w:rPr>
        <w:tab/>
      </w:r>
      <w:r>
        <w:rPr>
          <w:lang w:val="fr-FR"/>
        </w:rPr>
        <w:tab/>
      </w:r>
      <w:r w:rsidRPr="002113C3">
        <w:rPr>
          <w:lang w:val="fr-FR"/>
        </w:rPr>
        <w:t>Renseignements reçus de la Roumanie au sujet de la suite donnée aux</w:t>
      </w:r>
      <w:r>
        <w:rPr>
          <w:lang w:val="fr-FR"/>
        </w:rPr>
        <w:t> </w:t>
      </w:r>
      <w:r w:rsidRPr="002113C3">
        <w:rPr>
          <w:lang w:val="fr-FR"/>
        </w:rPr>
        <w:t>observations finales</w:t>
      </w:r>
      <w:r w:rsidR="00845301" w:rsidRPr="009C2207">
        <w:rPr>
          <w:b w:val="0"/>
          <w:bCs/>
          <w:sz w:val="20"/>
          <w:szCs w:val="20"/>
          <w:lang w:val="fr-FR"/>
        </w:rPr>
        <w:t>*</w:t>
      </w:r>
    </w:p>
    <w:p w14:paraId="70DE295C" w14:textId="15E598D3" w:rsidR="005C7071" w:rsidRPr="005C7071" w:rsidRDefault="005C7071" w:rsidP="005C7071">
      <w:pPr>
        <w:pStyle w:val="SingleTxt"/>
        <w:spacing w:after="0" w:line="120" w:lineRule="exact"/>
        <w:rPr>
          <w:sz w:val="10"/>
          <w:lang w:val="fr-FR"/>
        </w:rPr>
      </w:pPr>
    </w:p>
    <w:p w14:paraId="2424876F" w14:textId="286C6A51" w:rsidR="005C7071" w:rsidRPr="005C7071" w:rsidRDefault="005C7071" w:rsidP="005C7071">
      <w:pPr>
        <w:pStyle w:val="SingleTxt"/>
        <w:spacing w:after="0" w:line="120" w:lineRule="exact"/>
        <w:rPr>
          <w:sz w:val="10"/>
          <w:lang w:val="fr-FR"/>
        </w:rPr>
      </w:pPr>
    </w:p>
    <w:p w14:paraId="1878802A" w14:textId="609B9774" w:rsidR="007435AC" w:rsidRPr="003063F4" w:rsidRDefault="007435AC" w:rsidP="007B3084">
      <w:pPr>
        <w:pStyle w:val="SingleTxt"/>
        <w:jc w:val="right"/>
        <w:rPr>
          <w:lang w:val="fr-FR"/>
        </w:rPr>
      </w:pPr>
      <w:r w:rsidRPr="003063F4">
        <w:rPr>
          <w:lang w:val="fr-FR"/>
        </w:rPr>
        <w:t>[Date de réception</w:t>
      </w:r>
      <w:r w:rsidR="00010994" w:rsidRPr="003063F4">
        <w:rPr>
          <w:lang w:val="fr-FR"/>
        </w:rPr>
        <w:t> :</w:t>
      </w:r>
      <w:r w:rsidRPr="003063F4">
        <w:rPr>
          <w:lang w:val="fr-FR"/>
        </w:rPr>
        <w:t xml:space="preserve"> 17 octobre 2019]</w:t>
      </w:r>
    </w:p>
    <w:p w14:paraId="0BDCA476" w14:textId="25FCCA6D" w:rsidR="007B3084" w:rsidRPr="003063F4" w:rsidRDefault="007B3084" w:rsidP="009C2207">
      <w:pPr>
        <w:framePr w:w="9792" w:h="432" w:hSpace="180" w:wrap="around" w:vAnchor="page" w:hAnchor="page" w:x="1215" w:y="1356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7" w:hanging="576"/>
        <w:rPr>
          <w:spacing w:val="5"/>
          <w:w w:val="104"/>
          <w:sz w:val="17"/>
          <w:szCs w:val="20"/>
          <w:lang w:val="fr-FR"/>
        </w:rPr>
      </w:pPr>
      <w:r w:rsidRPr="003063F4">
        <w:rPr>
          <w:noProof/>
          <w:w w:val="100"/>
          <w:lang w:val="fr-FR"/>
        </w:rPr>
        <mc:AlternateContent>
          <mc:Choice Requires="wps">
            <w:drawing>
              <wp:anchor distT="0" distB="0" distL="114300" distR="114300" simplePos="0" relativeHeight="251661312" behindDoc="0" locked="0" layoutInCell="1" allowOverlap="1" wp14:anchorId="45F27667" wp14:editId="1ED23397">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56F721"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3063F4">
        <w:rPr>
          <w:spacing w:val="5"/>
          <w:w w:val="104"/>
          <w:sz w:val="17"/>
          <w:szCs w:val="20"/>
          <w:lang w:val="fr-FR"/>
        </w:rPr>
        <w:tab/>
        <w:t>*</w:t>
      </w:r>
      <w:r w:rsidRPr="003063F4">
        <w:rPr>
          <w:spacing w:val="5"/>
          <w:w w:val="104"/>
          <w:sz w:val="17"/>
          <w:szCs w:val="20"/>
          <w:lang w:val="fr-FR"/>
        </w:rPr>
        <w:tab/>
        <w:t>La version originale du présent document n</w:t>
      </w:r>
      <w:r w:rsidR="00010994" w:rsidRPr="003063F4">
        <w:rPr>
          <w:spacing w:val="5"/>
          <w:w w:val="104"/>
          <w:sz w:val="17"/>
          <w:szCs w:val="20"/>
          <w:lang w:val="fr-FR"/>
        </w:rPr>
        <w:t>’</w:t>
      </w:r>
      <w:r w:rsidRPr="003063F4">
        <w:rPr>
          <w:spacing w:val="5"/>
          <w:w w:val="104"/>
          <w:sz w:val="17"/>
          <w:szCs w:val="20"/>
          <w:lang w:val="fr-FR"/>
        </w:rPr>
        <w:t>a pas été revue par les services d</w:t>
      </w:r>
      <w:r w:rsidR="00010994" w:rsidRPr="003063F4">
        <w:rPr>
          <w:spacing w:val="5"/>
          <w:w w:val="104"/>
          <w:sz w:val="17"/>
          <w:szCs w:val="20"/>
          <w:lang w:val="fr-FR"/>
        </w:rPr>
        <w:t>’</w:t>
      </w:r>
      <w:r w:rsidRPr="003063F4">
        <w:rPr>
          <w:spacing w:val="5"/>
          <w:w w:val="104"/>
          <w:sz w:val="17"/>
          <w:szCs w:val="20"/>
          <w:lang w:val="fr-FR"/>
        </w:rPr>
        <w:t>édition.</w:t>
      </w:r>
    </w:p>
    <w:p w14:paraId="4F9518B9" w14:textId="4B508130" w:rsidR="007B3084" w:rsidRPr="003063F4" w:rsidRDefault="007B3084">
      <w:pPr>
        <w:spacing w:after="200" w:line="276" w:lineRule="auto"/>
        <w:rPr>
          <w:lang w:val="fr-FR"/>
        </w:rPr>
      </w:pPr>
      <w:r w:rsidRPr="003063F4">
        <w:rPr>
          <w:lang w:val="fr-FR"/>
        </w:rPr>
        <w:br w:type="page"/>
      </w:r>
    </w:p>
    <w:p w14:paraId="7CB21E96" w14:textId="10C121ED" w:rsidR="007435AC" w:rsidRPr="003063F4" w:rsidRDefault="002561C4" w:rsidP="002561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sidRPr="003063F4">
        <w:rPr>
          <w:w w:val="100"/>
          <w:lang w:val="fr-FR"/>
        </w:rPr>
        <w:lastRenderedPageBreak/>
        <w:tab/>
      </w:r>
      <w:r w:rsidRPr="003063F4">
        <w:rPr>
          <w:w w:val="100"/>
          <w:lang w:val="fr-FR"/>
        </w:rPr>
        <w:tab/>
      </w:r>
      <w:r w:rsidR="007435AC" w:rsidRPr="003063F4">
        <w:rPr>
          <w:w w:val="100"/>
          <w:lang w:val="fr-FR"/>
        </w:rPr>
        <w:t xml:space="preserve">Suite donnée au paragraphe 48 des observations finales </w:t>
      </w:r>
      <w:r w:rsidRPr="003063F4">
        <w:rPr>
          <w:w w:val="100"/>
          <w:lang w:val="fr-FR"/>
        </w:rPr>
        <w:br/>
      </w:r>
      <w:r w:rsidR="007435AC" w:rsidRPr="003063F4">
        <w:rPr>
          <w:w w:val="100"/>
          <w:lang w:val="fr-FR"/>
        </w:rPr>
        <w:t>(</w:t>
      </w:r>
      <w:hyperlink r:id="rId15" w:history="1">
        <w:r w:rsidR="007435AC" w:rsidRPr="003063F4">
          <w:rPr>
            <w:rStyle w:val="Hyperlink"/>
            <w:w w:val="100"/>
            <w:lang w:val="fr-FR"/>
          </w:rPr>
          <w:t>CEDAW/C/ROU/CO/7-8</w:t>
        </w:r>
      </w:hyperlink>
      <w:r w:rsidR="007435AC" w:rsidRPr="003063F4">
        <w:rPr>
          <w:w w:val="100"/>
          <w:lang w:val="fr-FR"/>
        </w:rPr>
        <w:t>)</w:t>
      </w:r>
    </w:p>
    <w:p w14:paraId="688C48BF" w14:textId="68CFA38C" w:rsidR="007435AC" w:rsidRPr="003063F4" w:rsidRDefault="007435AC" w:rsidP="007435AC">
      <w:pPr>
        <w:pStyle w:val="SingleTxt"/>
        <w:spacing w:after="0" w:line="120" w:lineRule="exact"/>
        <w:rPr>
          <w:sz w:val="10"/>
          <w:lang w:val="fr-FR"/>
        </w:rPr>
      </w:pPr>
    </w:p>
    <w:p w14:paraId="584C6CFB" w14:textId="4EE44265" w:rsidR="007435AC" w:rsidRPr="003063F4" w:rsidRDefault="007435AC" w:rsidP="007435AC">
      <w:pPr>
        <w:pStyle w:val="SingleTxt"/>
        <w:numPr>
          <w:ilvl w:val="0"/>
          <w:numId w:val="41"/>
        </w:numPr>
        <w:spacing w:line="240" w:lineRule="exact"/>
        <w:ind w:left="1267"/>
        <w:rPr>
          <w:lang w:val="fr-FR"/>
        </w:rPr>
      </w:pPr>
      <w:r w:rsidRPr="003063F4">
        <w:rPr>
          <w:lang w:val="fr-FR"/>
        </w:rPr>
        <w:t>La présente note d</w:t>
      </w:r>
      <w:r w:rsidR="00010994" w:rsidRPr="003063F4">
        <w:rPr>
          <w:lang w:val="fr-FR"/>
        </w:rPr>
        <w:t>’</w:t>
      </w:r>
      <w:r w:rsidRPr="003063F4">
        <w:rPr>
          <w:lang w:val="fr-FR"/>
        </w:rPr>
        <w:t>information rend compte des mesures prises pour mettre en œuvre les recommandations figurant au paragraphe 48 des observations finales formulées par le Comité pour l</w:t>
      </w:r>
      <w:r w:rsidR="00010994" w:rsidRPr="003063F4">
        <w:rPr>
          <w:lang w:val="fr-FR"/>
        </w:rPr>
        <w:t>’</w:t>
      </w:r>
      <w:r w:rsidRPr="003063F4">
        <w:rPr>
          <w:lang w:val="fr-FR"/>
        </w:rPr>
        <w:t>élimination de la discrimination à l</w:t>
      </w:r>
      <w:r w:rsidR="00010994" w:rsidRPr="003063F4">
        <w:rPr>
          <w:lang w:val="fr-FR"/>
        </w:rPr>
        <w:t>’</w:t>
      </w:r>
      <w:r w:rsidRPr="003063F4">
        <w:rPr>
          <w:lang w:val="fr-FR"/>
        </w:rPr>
        <w:t xml:space="preserve">égard des femmes au sujet du rapport valant septième et huitième rapports périodiques de la Roumanie, ainsi que des progrès accomplis durant la période considérée. </w:t>
      </w:r>
    </w:p>
    <w:p w14:paraId="193C6806" w14:textId="3D6F64FD" w:rsidR="007435AC" w:rsidRPr="003063F4" w:rsidRDefault="007435AC" w:rsidP="007435AC">
      <w:pPr>
        <w:pStyle w:val="SingleTxt"/>
        <w:spacing w:after="0" w:line="120" w:lineRule="exact"/>
        <w:rPr>
          <w:sz w:val="10"/>
          <w:lang w:val="fr-FR"/>
        </w:rPr>
      </w:pPr>
    </w:p>
    <w:p w14:paraId="06FDC935" w14:textId="18CA187E" w:rsidR="007435AC" w:rsidRPr="003063F4" w:rsidRDefault="007435AC" w:rsidP="00743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63F4">
        <w:rPr>
          <w:lang w:val="fr-FR"/>
        </w:rPr>
        <w:tab/>
      </w:r>
      <w:r w:rsidRPr="003063F4">
        <w:rPr>
          <w:lang w:val="fr-FR"/>
        </w:rPr>
        <w:tab/>
        <w:t xml:space="preserve">Suite donnée à la recommandation formulée au </w:t>
      </w:r>
      <w:r w:rsidRPr="003063F4">
        <w:rPr>
          <w:bCs/>
          <w:lang w:val="fr-FR"/>
        </w:rPr>
        <w:t>paragraphe 15 d) des</w:t>
      </w:r>
      <w:r w:rsidR="002561C4" w:rsidRPr="003063F4">
        <w:rPr>
          <w:bCs/>
          <w:lang w:val="fr-FR"/>
        </w:rPr>
        <w:t> </w:t>
      </w:r>
      <w:r w:rsidRPr="003063F4">
        <w:rPr>
          <w:bCs/>
          <w:lang w:val="fr-FR"/>
        </w:rPr>
        <w:t>observations finales</w:t>
      </w:r>
      <w:r w:rsidRPr="003063F4">
        <w:rPr>
          <w:lang w:val="fr-FR"/>
        </w:rPr>
        <w:t xml:space="preserve"> </w:t>
      </w:r>
    </w:p>
    <w:p w14:paraId="3DE2C4FD" w14:textId="3FAC0576" w:rsidR="007435AC" w:rsidRPr="003063F4" w:rsidRDefault="007435AC" w:rsidP="007435AC">
      <w:pPr>
        <w:pStyle w:val="SingleTxt"/>
        <w:spacing w:after="0" w:line="120" w:lineRule="exact"/>
        <w:rPr>
          <w:sz w:val="10"/>
          <w:lang w:val="fr-FR"/>
        </w:rPr>
      </w:pPr>
    </w:p>
    <w:p w14:paraId="511C9892" w14:textId="5C3F3492" w:rsidR="007435AC" w:rsidRPr="003063F4" w:rsidRDefault="007435AC" w:rsidP="007435AC">
      <w:pPr>
        <w:pStyle w:val="SingleTxt"/>
        <w:numPr>
          <w:ilvl w:val="0"/>
          <w:numId w:val="41"/>
        </w:numPr>
        <w:spacing w:line="240" w:lineRule="exact"/>
        <w:ind w:left="1267"/>
        <w:rPr>
          <w:lang w:val="fr-FR"/>
        </w:rPr>
      </w:pPr>
      <w:r w:rsidRPr="003063F4">
        <w:rPr>
          <w:lang w:val="fr-FR"/>
        </w:rPr>
        <w:t>Le Ministère roumain de la défense nationale s</w:t>
      </w:r>
      <w:r w:rsidR="00010994" w:rsidRPr="003063F4">
        <w:rPr>
          <w:lang w:val="fr-FR"/>
        </w:rPr>
        <w:t>’</w:t>
      </w:r>
      <w:r w:rsidRPr="003063F4">
        <w:rPr>
          <w:lang w:val="fr-FR"/>
        </w:rPr>
        <w:t>est chargé de coordonner l</w:t>
      </w:r>
      <w:r w:rsidR="00010994" w:rsidRPr="003063F4">
        <w:rPr>
          <w:lang w:val="fr-FR"/>
        </w:rPr>
        <w:t>’</w:t>
      </w:r>
      <w:r w:rsidRPr="003063F4">
        <w:rPr>
          <w:lang w:val="fr-FR"/>
        </w:rPr>
        <w:t>élaboration du plan d</w:t>
      </w:r>
      <w:r w:rsidR="00010994" w:rsidRPr="003063F4">
        <w:rPr>
          <w:lang w:val="fr-FR"/>
        </w:rPr>
        <w:t>’</w:t>
      </w:r>
      <w:r w:rsidRPr="003063F4">
        <w:rPr>
          <w:lang w:val="fr-FR"/>
        </w:rPr>
        <w:t xml:space="preserve">action national visant à mettre en œuvre la résolution </w:t>
      </w:r>
      <w:hyperlink r:id="rId16" w:history="1">
        <w:r w:rsidRPr="003063F4">
          <w:rPr>
            <w:rStyle w:val="Hyperlink"/>
            <w:lang w:val="fr-FR"/>
          </w:rPr>
          <w:t>1325</w:t>
        </w:r>
        <w:r w:rsidR="00F853D5" w:rsidRPr="003063F4">
          <w:rPr>
            <w:rStyle w:val="Hyperlink"/>
            <w:lang w:val="fr-FR"/>
          </w:rPr>
          <w:t> </w:t>
        </w:r>
        <w:r w:rsidRPr="003063F4">
          <w:rPr>
            <w:rStyle w:val="Hyperlink"/>
            <w:lang w:val="fr-FR"/>
          </w:rPr>
          <w:t>(2000)</w:t>
        </w:r>
      </w:hyperlink>
      <w:r w:rsidRPr="003063F4">
        <w:rPr>
          <w:lang w:val="fr-FR"/>
        </w:rPr>
        <w:t xml:space="preserve"> du Conseil de sécurité sur les femmes, la paix et la sécurité. À cette fin, un </w:t>
      </w:r>
      <w:r w:rsidR="00ED2351">
        <w:rPr>
          <w:lang w:val="fr-FR"/>
        </w:rPr>
        <w:t>B</w:t>
      </w:r>
      <w:r w:rsidRPr="003063F4">
        <w:rPr>
          <w:lang w:val="fr-FR"/>
        </w:rPr>
        <w:t>ureau de gestion des questions de genre, qui fait également office de centre de liaison national en la matière, y a été créé en 2017. Au moment de l</w:t>
      </w:r>
      <w:r w:rsidR="00010994" w:rsidRPr="003063F4">
        <w:rPr>
          <w:lang w:val="fr-FR"/>
        </w:rPr>
        <w:t>’</w:t>
      </w:r>
      <w:r w:rsidRPr="003063F4">
        <w:rPr>
          <w:lang w:val="fr-FR"/>
        </w:rPr>
        <w:t>établissement du présent additif, le Bureau avait organisé cinq réunions d</w:t>
      </w:r>
      <w:r w:rsidR="00010994" w:rsidRPr="003063F4">
        <w:rPr>
          <w:lang w:val="fr-FR"/>
        </w:rPr>
        <w:t>’</w:t>
      </w:r>
      <w:r w:rsidRPr="003063F4">
        <w:rPr>
          <w:lang w:val="fr-FR"/>
        </w:rPr>
        <w:t>experts interinstitutionnelles aux fins de l</w:t>
      </w:r>
      <w:r w:rsidR="00010994" w:rsidRPr="003063F4">
        <w:rPr>
          <w:lang w:val="fr-FR"/>
        </w:rPr>
        <w:t>’</w:t>
      </w:r>
      <w:r w:rsidRPr="003063F4">
        <w:rPr>
          <w:lang w:val="fr-FR"/>
        </w:rPr>
        <w:t xml:space="preserve">élaboration dudit plan, une sixième réunion devant se tenir en septembre 2019. Outre le Ministère de la défense nationale, les </w:t>
      </w:r>
      <w:r w:rsidR="00ED2351">
        <w:rPr>
          <w:lang w:val="fr-FR"/>
        </w:rPr>
        <w:t>M</w:t>
      </w:r>
      <w:r w:rsidRPr="003063F4">
        <w:rPr>
          <w:lang w:val="fr-FR"/>
        </w:rPr>
        <w:t>inistères des affaires étrangères, de l</w:t>
      </w:r>
      <w:r w:rsidR="00010994" w:rsidRPr="003063F4">
        <w:rPr>
          <w:lang w:val="fr-FR"/>
        </w:rPr>
        <w:t>’</w:t>
      </w:r>
      <w:r w:rsidRPr="003063F4">
        <w:rPr>
          <w:lang w:val="fr-FR"/>
        </w:rPr>
        <w:t>intérieur et de la justice, ainsi que l</w:t>
      </w:r>
      <w:r w:rsidR="00010994" w:rsidRPr="003063F4">
        <w:rPr>
          <w:lang w:val="fr-FR"/>
        </w:rPr>
        <w:t>’</w:t>
      </w:r>
      <w:r w:rsidRPr="003063F4">
        <w:rPr>
          <w:lang w:val="fr-FR"/>
        </w:rPr>
        <w:t>Agence nationale pour l</w:t>
      </w:r>
      <w:r w:rsidR="00010994" w:rsidRPr="003063F4">
        <w:rPr>
          <w:lang w:val="fr-FR"/>
        </w:rPr>
        <w:t>’</w:t>
      </w:r>
      <w:r w:rsidRPr="003063F4">
        <w:rPr>
          <w:lang w:val="fr-FR"/>
        </w:rPr>
        <w:t>égalité des chances entre les femmes et les hommes, la Commission sénatoriale roumaine pour l</w:t>
      </w:r>
      <w:r w:rsidR="00010994" w:rsidRPr="003063F4">
        <w:rPr>
          <w:lang w:val="fr-FR"/>
        </w:rPr>
        <w:t>’</w:t>
      </w:r>
      <w:r w:rsidRPr="003063F4">
        <w:rPr>
          <w:lang w:val="fr-FR"/>
        </w:rPr>
        <w:t>égalité et le Conseil de médiation prennent part à ces réunions de travail, de même que des représentants du milieu universitaire (École nationale des sciences politiques et administratives) et de la société civile (organisation Asociaţia FRONT)</w:t>
      </w:r>
      <w:r w:rsidRPr="003063F4">
        <w:rPr>
          <w:vertAlign w:val="superscript"/>
          <w:lang w:val="fr-FR"/>
        </w:rPr>
        <w:footnoteReference w:id="1"/>
      </w:r>
      <w:r w:rsidRPr="003063F4">
        <w:rPr>
          <w:lang w:val="fr-FR"/>
        </w:rPr>
        <w:t xml:space="preserve">. </w:t>
      </w:r>
    </w:p>
    <w:p w14:paraId="5115FA38" w14:textId="4E6CAF3F" w:rsidR="007435AC" w:rsidRPr="003063F4" w:rsidRDefault="007435AC" w:rsidP="007435AC">
      <w:pPr>
        <w:pStyle w:val="SingleTxt"/>
        <w:numPr>
          <w:ilvl w:val="0"/>
          <w:numId w:val="41"/>
        </w:numPr>
        <w:spacing w:line="240" w:lineRule="exact"/>
        <w:ind w:left="1267"/>
        <w:rPr>
          <w:lang w:val="fr-FR"/>
        </w:rPr>
      </w:pPr>
      <w:r w:rsidRPr="003063F4">
        <w:rPr>
          <w:lang w:val="fr-FR"/>
        </w:rPr>
        <w:t>Ces efforts s</w:t>
      </w:r>
      <w:r w:rsidR="00010994" w:rsidRPr="003063F4">
        <w:rPr>
          <w:lang w:val="fr-FR"/>
        </w:rPr>
        <w:t>’</w:t>
      </w:r>
      <w:r w:rsidRPr="003063F4">
        <w:rPr>
          <w:lang w:val="fr-FR"/>
        </w:rPr>
        <w:t>inscrivent dans la droite ligne des mesures déjà prises par le Ministère de la défense nationale, qui se sont concrétisées en 2014 par l</w:t>
      </w:r>
      <w:r w:rsidR="00010994" w:rsidRPr="003063F4">
        <w:rPr>
          <w:lang w:val="fr-FR"/>
        </w:rPr>
        <w:t>’</w:t>
      </w:r>
      <w:r w:rsidRPr="003063F4">
        <w:rPr>
          <w:lang w:val="fr-FR"/>
        </w:rPr>
        <w:t>adoption du plan de mise en œuvre de la résolution 1325 du Conseil de sécurité au niveau sectoriel de la défense</w:t>
      </w:r>
      <w:r w:rsidRPr="003063F4">
        <w:rPr>
          <w:vertAlign w:val="superscript"/>
          <w:lang w:val="fr-FR"/>
        </w:rPr>
        <w:footnoteReference w:id="2"/>
      </w:r>
      <w:r w:rsidRPr="003063F4">
        <w:rPr>
          <w:lang w:val="fr-FR"/>
        </w:rPr>
        <w:t xml:space="preserve">. </w:t>
      </w:r>
    </w:p>
    <w:p w14:paraId="532D26BC" w14:textId="73CD83E1" w:rsidR="007435AC" w:rsidRPr="003063F4" w:rsidRDefault="007435AC" w:rsidP="007435AC">
      <w:pPr>
        <w:pStyle w:val="SingleTxt"/>
        <w:numPr>
          <w:ilvl w:val="0"/>
          <w:numId w:val="41"/>
        </w:numPr>
        <w:spacing w:line="240" w:lineRule="exact"/>
        <w:ind w:left="1267"/>
        <w:rPr>
          <w:spacing w:val="1"/>
          <w:w w:val="100"/>
          <w:lang w:val="fr-FR"/>
        </w:rPr>
      </w:pPr>
      <w:r w:rsidRPr="003063F4">
        <w:rPr>
          <w:spacing w:val="1"/>
          <w:w w:val="100"/>
          <w:lang w:val="fr-FR"/>
        </w:rPr>
        <w:t>Il est prévu que le plan d</w:t>
      </w:r>
      <w:r w:rsidR="00010994" w:rsidRPr="003063F4">
        <w:rPr>
          <w:spacing w:val="1"/>
          <w:w w:val="100"/>
          <w:lang w:val="fr-FR"/>
        </w:rPr>
        <w:t>’</w:t>
      </w:r>
      <w:r w:rsidRPr="003063F4">
        <w:rPr>
          <w:spacing w:val="1"/>
          <w:w w:val="100"/>
          <w:lang w:val="fr-FR"/>
        </w:rPr>
        <w:t>action national soit achevé et approuvé d</w:t>
      </w:r>
      <w:r w:rsidR="00010994" w:rsidRPr="003063F4">
        <w:rPr>
          <w:spacing w:val="1"/>
          <w:w w:val="100"/>
          <w:lang w:val="fr-FR"/>
        </w:rPr>
        <w:t>’</w:t>
      </w:r>
      <w:r w:rsidRPr="003063F4">
        <w:rPr>
          <w:spacing w:val="1"/>
          <w:w w:val="100"/>
          <w:lang w:val="fr-FR"/>
        </w:rPr>
        <w:t xml:space="preserve">ici la fin de 2019. </w:t>
      </w:r>
    </w:p>
    <w:p w14:paraId="0633E5D3" w14:textId="15B19FB3" w:rsidR="007435AC" w:rsidRPr="003063F4" w:rsidRDefault="007435AC" w:rsidP="007435AC">
      <w:pPr>
        <w:pStyle w:val="SingleTxt"/>
        <w:numPr>
          <w:ilvl w:val="0"/>
          <w:numId w:val="41"/>
        </w:numPr>
        <w:spacing w:line="240" w:lineRule="exact"/>
        <w:ind w:left="1267"/>
        <w:rPr>
          <w:lang w:val="fr-FR"/>
        </w:rPr>
      </w:pPr>
      <w:r w:rsidRPr="003063F4">
        <w:rPr>
          <w:lang w:val="fr-FR"/>
        </w:rPr>
        <w:t>Le projet de plan d</w:t>
      </w:r>
      <w:r w:rsidR="00010994" w:rsidRPr="003063F4">
        <w:rPr>
          <w:lang w:val="fr-FR"/>
        </w:rPr>
        <w:t>’</w:t>
      </w:r>
      <w:r w:rsidRPr="003063F4">
        <w:rPr>
          <w:lang w:val="fr-FR"/>
        </w:rPr>
        <w:t>action s</w:t>
      </w:r>
      <w:r w:rsidR="00010994" w:rsidRPr="003063F4">
        <w:rPr>
          <w:lang w:val="fr-FR"/>
        </w:rPr>
        <w:t>’</w:t>
      </w:r>
      <w:r w:rsidRPr="003063F4">
        <w:rPr>
          <w:lang w:val="fr-FR"/>
        </w:rPr>
        <w:t>articule autour de trois piliers, à savoir</w:t>
      </w:r>
      <w:r w:rsidR="00010994" w:rsidRPr="003063F4">
        <w:rPr>
          <w:lang w:val="fr-FR"/>
        </w:rPr>
        <w:t> :</w:t>
      </w:r>
      <w:r w:rsidRPr="003063F4">
        <w:rPr>
          <w:lang w:val="fr-FR"/>
        </w:rPr>
        <w:t xml:space="preserve"> la participation (prise en compte de la problématique femmes-hommes dans les politiques de sécurité et de défense, augmentation du nombre de femmes déployées sur les théâtres d</w:t>
      </w:r>
      <w:r w:rsidR="00010994" w:rsidRPr="003063F4">
        <w:rPr>
          <w:lang w:val="fr-FR"/>
        </w:rPr>
        <w:t>’</w:t>
      </w:r>
      <w:r w:rsidRPr="003063F4">
        <w:rPr>
          <w:lang w:val="fr-FR"/>
        </w:rPr>
        <w:t>opérations et organisation de campagnes de sensibilisation), la prévention (prévention de tous les types d</w:t>
      </w:r>
      <w:r w:rsidR="00010994" w:rsidRPr="003063F4">
        <w:rPr>
          <w:lang w:val="fr-FR"/>
        </w:rPr>
        <w:t>’</w:t>
      </w:r>
      <w:r w:rsidRPr="003063F4">
        <w:rPr>
          <w:lang w:val="fr-FR"/>
        </w:rPr>
        <w:t>atteintes et d</w:t>
      </w:r>
      <w:r w:rsidR="00010994" w:rsidRPr="003063F4">
        <w:rPr>
          <w:lang w:val="fr-FR"/>
        </w:rPr>
        <w:t>’</w:t>
      </w:r>
      <w:r w:rsidRPr="003063F4">
        <w:rPr>
          <w:lang w:val="fr-FR"/>
        </w:rPr>
        <w:t>exploitation sexuelles que pourraient commettre les Roumains déployés dans une mission internationale et suivi des plaintes déposées pour harcèlement) et la protection (détection des violences sexuelles et sexistes commises sur le terrain). Sa mise en œuvre sera surveillée par un groupe spécial composé de défenseurs et défenseuses de l</w:t>
      </w:r>
      <w:r w:rsidR="00010994" w:rsidRPr="003063F4">
        <w:rPr>
          <w:lang w:val="fr-FR"/>
        </w:rPr>
        <w:t>’</w:t>
      </w:r>
      <w:r w:rsidRPr="003063F4">
        <w:rPr>
          <w:lang w:val="fr-FR"/>
        </w:rPr>
        <w:t>égalité entre les sexes issus de toutes les institutions signataires, au moyen du rapport annuel qu</w:t>
      </w:r>
      <w:r w:rsidR="00010994" w:rsidRPr="003063F4">
        <w:rPr>
          <w:lang w:val="fr-FR"/>
        </w:rPr>
        <w:t>’</w:t>
      </w:r>
      <w:r w:rsidRPr="003063F4">
        <w:rPr>
          <w:lang w:val="fr-FR"/>
        </w:rPr>
        <w:t>il présentera sur la question et de l</w:t>
      </w:r>
      <w:r w:rsidR="00010994" w:rsidRPr="003063F4">
        <w:rPr>
          <w:lang w:val="fr-FR"/>
        </w:rPr>
        <w:t>’</w:t>
      </w:r>
      <w:r w:rsidRPr="003063F4">
        <w:rPr>
          <w:lang w:val="fr-FR"/>
        </w:rPr>
        <w:t>analyse semestrielle des résultats obtenus, le but étant de formuler des propositions concrètes pour le plan d</w:t>
      </w:r>
      <w:r w:rsidR="00010994" w:rsidRPr="003063F4">
        <w:rPr>
          <w:lang w:val="fr-FR"/>
        </w:rPr>
        <w:t>’</w:t>
      </w:r>
      <w:r w:rsidRPr="003063F4">
        <w:rPr>
          <w:lang w:val="fr-FR"/>
        </w:rPr>
        <w:t xml:space="preserve">action suivant. </w:t>
      </w:r>
    </w:p>
    <w:p w14:paraId="7CE46774" w14:textId="6161C6F9" w:rsidR="007435AC" w:rsidRPr="003063F4" w:rsidRDefault="007435AC" w:rsidP="007435AC">
      <w:pPr>
        <w:pStyle w:val="SingleTxt"/>
        <w:spacing w:after="0" w:line="120" w:lineRule="exact"/>
        <w:rPr>
          <w:sz w:val="10"/>
          <w:lang w:val="fr-FR"/>
        </w:rPr>
      </w:pPr>
    </w:p>
    <w:p w14:paraId="100475DE" w14:textId="3A87E59A" w:rsidR="007435AC" w:rsidRPr="003063F4" w:rsidRDefault="007435AC" w:rsidP="00743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63F4">
        <w:rPr>
          <w:lang w:val="fr-FR"/>
        </w:rPr>
        <w:tab/>
      </w:r>
      <w:r w:rsidRPr="003063F4">
        <w:rPr>
          <w:lang w:val="fr-FR"/>
        </w:rPr>
        <w:tab/>
        <w:t xml:space="preserve">Suite donnée aux recommandations formulées au </w:t>
      </w:r>
      <w:r w:rsidRPr="003063F4">
        <w:rPr>
          <w:bCs/>
          <w:lang w:val="fr-FR"/>
        </w:rPr>
        <w:t>paragraphe 19 a) des</w:t>
      </w:r>
      <w:r w:rsidR="002561C4" w:rsidRPr="003063F4">
        <w:rPr>
          <w:bCs/>
          <w:lang w:val="fr-FR"/>
        </w:rPr>
        <w:t> </w:t>
      </w:r>
      <w:r w:rsidRPr="003063F4">
        <w:rPr>
          <w:bCs/>
          <w:lang w:val="fr-FR"/>
        </w:rPr>
        <w:t>observations finales</w:t>
      </w:r>
      <w:r w:rsidRPr="003063F4">
        <w:rPr>
          <w:lang w:val="fr-FR"/>
        </w:rPr>
        <w:t xml:space="preserve"> </w:t>
      </w:r>
    </w:p>
    <w:p w14:paraId="49413104" w14:textId="65023952" w:rsidR="007435AC" w:rsidRPr="003063F4" w:rsidRDefault="007435AC" w:rsidP="007435AC">
      <w:pPr>
        <w:pStyle w:val="SingleTxt"/>
        <w:spacing w:after="0" w:line="120" w:lineRule="exact"/>
        <w:rPr>
          <w:sz w:val="10"/>
          <w:lang w:val="fr-FR"/>
        </w:rPr>
      </w:pPr>
    </w:p>
    <w:p w14:paraId="162A918E" w14:textId="23AE5ABA" w:rsidR="007435AC" w:rsidRPr="003063F4" w:rsidRDefault="007435AC" w:rsidP="007435AC">
      <w:pPr>
        <w:pStyle w:val="SingleTxt"/>
        <w:numPr>
          <w:ilvl w:val="0"/>
          <w:numId w:val="41"/>
        </w:numPr>
        <w:spacing w:line="240" w:lineRule="exact"/>
        <w:ind w:left="1267"/>
        <w:rPr>
          <w:lang w:val="fr-FR"/>
        </w:rPr>
      </w:pPr>
      <w:r w:rsidRPr="003063F4">
        <w:rPr>
          <w:lang w:val="fr-FR"/>
        </w:rPr>
        <w:t>Le recueil systématique de données ventilées concernant les affaires de violence sexiste et de discrimination à l</w:t>
      </w:r>
      <w:r w:rsidR="00010994" w:rsidRPr="003063F4">
        <w:rPr>
          <w:lang w:val="fr-FR"/>
        </w:rPr>
        <w:t>’</w:t>
      </w:r>
      <w:r w:rsidRPr="003063F4">
        <w:rPr>
          <w:lang w:val="fr-FR"/>
        </w:rPr>
        <w:t>égard des femmes et le nombre d</w:t>
      </w:r>
      <w:r w:rsidR="00010994" w:rsidRPr="003063F4">
        <w:rPr>
          <w:lang w:val="fr-FR"/>
        </w:rPr>
        <w:t>’</w:t>
      </w:r>
      <w:r w:rsidRPr="003063F4">
        <w:rPr>
          <w:lang w:val="fr-FR"/>
        </w:rPr>
        <w:t>ordonnances de protection ou d</w:t>
      </w:r>
      <w:r w:rsidR="00010994" w:rsidRPr="003063F4">
        <w:rPr>
          <w:lang w:val="fr-FR"/>
        </w:rPr>
        <w:t>’</w:t>
      </w:r>
      <w:r w:rsidRPr="003063F4">
        <w:rPr>
          <w:lang w:val="fr-FR"/>
        </w:rPr>
        <w:t>ordonnances de protection provisoire relèvent de la compétence de différentes institutions spécialisées, à savoir</w:t>
      </w:r>
      <w:r w:rsidR="00010994" w:rsidRPr="003063F4">
        <w:rPr>
          <w:lang w:val="fr-FR"/>
        </w:rPr>
        <w:t> :</w:t>
      </w:r>
      <w:r w:rsidRPr="003063F4">
        <w:rPr>
          <w:lang w:val="fr-FR"/>
        </w:rPr>
        <w:t xml:space="preserve"> la police roumaine (plus particulièrement son Inspection générale), le Bureau du Procureur près la Haute Cour </w:t>
      </w:r>
      <w:r w:rsidRPr="003063F4">
        <w:rPr>
          <w:lang w:val="fr-FR"/>
        </w:rPr>
        <w:lastRenderedPageBreak/>
        <w:t>de justice et de cassation et l</w:t>
      </w:r>
      <w:r w:rsidR="00010994" w:rsidRPr="003063F4">
        <w:rPr>
          <w:lang w:val="fr-FR"/>
        </w:rPr>
        <w:t>’</w:t>
      </w:r>
      <w:r w:rsidRPr="003063F4">
        <w:rPr>
          <w:lang w:val="fr-FR"/>
        </w:rPr>
        <w:t>Agence nationale pour l</w:t>
      </w:r>
      <w:r w:rsidR="00010994" w:rsidRPr="003063F4">
        <w:rPr>
          <w:lang w:val="fr-FR"/>
        </w:rPr>
        <w:t>’</w:t>
      </w:r>
      <w:r w:rsidRPr="003063F4">
        <w:rPr>
          <w:lang w:val="fr-FR"/>
        </w:rPr>
        <w:t xml:space="preserve">égalité des chances entre les femmes et les hommes. </w:t>
      </w:r>
    </w:p>
    <w:p w14:paraId="7A1EA822" w14:textId="61172D7A" w:rsidR="007435AC" w:rsidRPr="003063F4" w:rsidRDefault="007435AC" w:rsidP="007435AC">
      <w:pPr>
        <w:pStyle w:val="SingleTxt"/>
        <w:numPr>
          <w:ilvl w:val="0"/>
          <w:numId w:val="41"/>
        </w:numPr>
        <w:spacing w:line="240" w:lineRule="exact"/>
        <w:ind w:left="1267"/>
        <w:rPr>
          <w:lang w:val="fr-FR"/>
        </w:rPr>
      </w:pPr>
      <w:r w:rsidRPr="003063F4">
        <w:rPr>
          <w:lang w:val="fr-FR"/>
        </w:rPr>
        <w:t>Il convient dès lors de noter que</w:t>
      </w:r>
      <w:r w:rsidR="00010994" w:rsidRPr="003063F4">
        <w:rPr>
          <w:lang w:val="fr-FR"/>
        </w:rPr>
        <w:t> :</w:t>
      </w:r>
    </w:p>
    <w:p w14:paraId="05251F5C" w14:textId="7B111261" w:rsidR="007435AC" w:rsidRPr="003063F4" w:rsidRDefault="00D66CB3" w:rsidP="00D66CB3">
      <w:pPr>
        <w:pStyle w:val="SingleTxt"/>
        <w:tabs>
          <w:tab w:val="right" w:pos="1685"/>
        </w:tabs>
        <w:ind w:left="1742" w:hanging="475"/>
        <w:rPr>
          <w:lang w:val="fr-FR"/>
        </w:rPr>
      </w:pPr>
      <w:r w:rsidRPr="003063F4">
        <w:rPr>
          <w:lang w:val="fr-FR"/>
        </w:rPr>
        <w:tab/>
        <w:t>•</w:t>
      </w:r>
      <w:r w:rsidRPr="003063F4">
        <w:rPr>
          <w:lang w:val="fr-FR"/>
        </w:rPr>
        <w:tab/>
      </w:r>
      <w:r w:rsidR="007435AC" w:rsidRPr="003063F4">
        <w:rPr>
          <w:lang w:val="fr-FR"/>
        </w:rPr>
        <w:t>Les données recueillies par l</w:t>
      </w:r>
      <w:r w:rsidR="00010994" w:rsidRPr="003063F4">
        <w:rPr>
          <w:lang w:val="fr-FR"/>
        </w:rPr>
        <w:t>’</w:t>
      </w:r>
      <w:r w:rsidR="007435AC" w:rsidRPr="003063F4">
        <w:rPr>
          <w:lang w:val="fr-FR"/>
        </w:rPr>
        <w:t>Inspection générale de la police sont les données relatives</w:t>
      </w:r>
      <w:r w:rsidR="00F853D5" w:rsidRPr="003063F4">
        <w:rPr>
          <w:lang w:val="fr-FR"/>
        </w:rPr>
        <w:t xml:space="preserve"> </w:t>
      </w:r>
      <w:r w:rsidR="007435AC" w:rsidRPr="003063F4">
        <w:rPr>
          <w:lang w:val="fr-FR"/>
        </w:rPr>
        <w:t>aux infractions pénales présumées enregistrées, ainsi que le nombre d</w:t>
      </w:r>
      <w:r w:rsidR="00010994" w:rsidRPr="003063F4">
        <w:rPr>
          <w:lang w:val="fr-FR"/>
        </w:rPr>
        <w:t>’</w:t>
      </w:r>
      <w:r w:rsidR="007435AC" w:rsidRPr="003063F4">
        <w:rPr>
          <w:lang w:val="fr-FR"/>
        </w:rPr>
        <w:t>ordonnances de protection, provisoire</w:t>
      </w:r>
      <w:r w:rsidR="00845301">
        <w:rPr>
          <w:lang w:val="fr-FR"/>
        </w:rPr>
        <w:t>s</w:t>
      </w:r>
      <w:r w:rsidR="007435AC" w:rsidRPr="003063F4">
        <w:rPr>
          <w:lang w:val="fr-FR"/>
        </w:rPr>
        <w:t xml:space="preserve"> ou non, qui ont été délivrées et le nombre de cas de violation de ces ordonnances</w:t>
      </w:r>
      <w:r w:rsidR="00010994" w:rsidRPr="003063F4">
        <w:rPr>
          <w:lang w:val="fr-FR"/>
        </w:rPr>
        <w:t> ;</w:t>
      </w:r>
    </w:p>
    <w:p w14:paraId="7C30BB66" w14:textId="73114BF3" w:rsidR="007435AC" w:rsidRPr="003063F4" w:rsidRDefault="00D66CB3" w:rsidP="00D66CB3">
      <w:pPr>
        <w:pStyle w:val="SingleTxt"/>
        <w:tabs>
          <w:tab w:val="right" w:pos="1685"/>
        </w:tabs>
        <w:ind w:left="1742" w:hanging="475"/>
        <w:rPr>
          <w:lang w:val="fr-FR"/>
        </w:rPr>
      </w:pPr>
      <w:r w:rsidRPr="003063F4">
        <w:rPr>
          <w:lang w:val="fr-FR"/>
        </w:rPr>
        <w:tab/>
      </w:r>
      <w:r w:rsidR="007435AC" w:rsidRPr="003063F4">
        <w:rPr>
          <w:lang w:val="fr-FR"/>
        </w:rPr>
        <w:t>•</w:t>
      </w:r>
      <w:r w:rsidR="007435AC" w:rsidRPr="003063F4">
        <w:rPr>
          <w:lang w:val="fr-FR"/>
        </w:rPr>
        <w:tab/>
        <w:t>Les données recueillies par le Bureau du Procureur près la Haute Cour de justice et de cassation sont le nombre d</w:t>
      </w:r>
      <w:r w:rsidR="00010994" w:rsidRPr="003063F4">
        <w:rPr>
          <w:lang w:val="fr-FR"/>
        </w:rPr>
        <w:t>’</w:t>
      </w:r>
      <w:r w:rsidR="007435AC" w:rsidRPr="003063F4">
        <w:rPr>
          <w:lang w:val="fr-FR"/>
        </w:rPr>
        <w:t>affaires pénales renvoyées en jugement</w:t>
      </w:r>
      <w:r w:rsidR="00010994" w:rsidRPr="003063F4">
        <w:rPr>
          <w:lang w:val="fr-FR"/>
        </w:rPr>
        <w:t> ;</w:t>
      </w:r>
    </w:p>
    <w:p w14:paraId="749233FC" w14:textId="563C043F" w:rsidR="007435AC" w:rsidRPr="003063F4" w:rsidRDefault="00D66CB3" w:rsidP="00D66CB3">
      <w:pPr>
        <w:pStyle w:val="SingleTxt"/>
        <w:tabs>
          <w:tab w:val="right" w:pos="1685"/>
        </w:tabs>
        <w:ind w:left="1742" w:hanging="475"/>
        <w:rPr>
          <w:lang w:val="fr-FR"/>
        </w:rPr>
      </w:pPr>
      <w:r w:rsidRPr="003063F4">
        <w:rPr>
          <w:lang w:val="fr-FR"/>
        </w:rPr>
        <w:tab/>
      </w:r>
      <w:r w:rsidR="007435AC" w:rsidRPr="003063F4">
        <w:rPr>
          <w:lang w:val="fr-FR"/>
        </w:rPr>
        <w:t>•</w:t>
      </w:r>
      <w:r w:rsidR="007435AC" w:rsidRPr="003063F4">
        <w:rPr>
          <w:lang w:val="fr-FR"/>
        </w:rPr>
        <w:tab/>
        <w:t>Les données recueillies par l</w:t>
      </w:r>
      <w:r w:rsidR="00010994" w:rsidRPr="003063F4">
        <w:rPr>
          <w:lang w:val="fr-FR"/>
        </w:rPr>
        <w:t>’</w:t>
      </w:r>
      <w:r w:rsidR="007435AC" w:rsidRPr="003063F4">
        <w:rPr>
          <w:lang w:val="fr-FR"/>
        </w:rPr>
        <w:t>Agence nationale pour l</w:t>
      </w:r>
      <w:r w:rsidR="00010994" w:rsidRPr="003063F4">
        <w:rPr>
          <w:lang w:val="fr-FR"/>
        </w:rPr>
        <w:t>’</w:t>
      </w:r>
      <w:r w:rsidR="007435AC" w:rsidRPr="003063F4">
        <w:rPr>
          <w:lang w:val="fr-FR"/>
        </w:rPr>
        <w:t xml:space="preserve">égalité des chances entre les femmes et les hommes sont les cas de violence familiale dans lesquels des services sociaux spéciaux ont été fournis sur demande. Les données statistiques disponibles à ce jour sont présentées au point 2.2 ci-après. </w:t>
      </w:r>
    </w:p>
    <w:p w14:paraId="27E1352C" w14:textId="6112537C" w:rsidR="007435AC" w:rsidRPr="003063F4" w:rsidRDefault="007435AC" w:rsidP="007435AC">
      <w:pPr>
        <w:pStyle w:val="SingleTxt"/>
        <w:numPr>
          <w:ilvl w:val="0"/>
          <w:numId w:val="41"/>
        </w:numPr>
        <w:spacing w:line="240" w:lineRule="exact"/>
        <w:ind w:left="1267"/>
        <w:rPr>
          <w:bCs/>
          <w:iCs/>
          <w:lang w:val="fr-FR"/>
        </w:rPr>
      </w:pPr>
      <w:r w:rsidRPr="003063F4">
        <w:rPr>
          <w:lang w:val="fr-FR"/>
        </w:rPr>
        <w:t>Afin de favoriser le recueil de données ventilées concernant les affaires de violence sexiste et de discrimination à l</w:t>
      </w:r>
      <w:r w:rsidR="00010994" w:rsidRPr="003063F4">
        <w:rPr>
          <w:lang w:val="fr-FR"/>
        </w:rPr>
        <w:t>’</w:t>
      </w:r>
      <w:r w:rsidRPr="003063F4">
        <w:rPr>
          <w:lang w:val="fr-FR"/>
        </w:rPr>
        <w:t>égard des femmes portées devant les tribunaux, les autorités ont pris des mesures pour harmoniser les différents systèmes de collecte, notamment en détaillant en sous-catégories les éléments relevant de la qualification générique de « crime de haine » dans le Code pénal</w:t>
      </w:r>
      <w:r w:rsidRPr="003063F4">
        <w:rPr>
          <w:bCs/>
          <w:iCs/>
          <w:vertAlign w:val="superscript"/>
          <w:lang w:val="fr-FR"/>
        </w:rPr>
        <w:footnoteReference w:id="3"/>
      </w:r>
      <w:r w:rsidRPr="003063F4">
        <w:rPr>
          <w:lang w:val="fr-FR"/>
        </w:rPr>
        <w:t xml:space="preserve"> et en finissant de modifier l</w:t>
      </w:r>
      <w:r w:rsidR="00010994" w:rsidRPr="003063F4">
        <w:rPr>
          <w:lang w:val="fr-FR"/>
        </w:rPr>
        <w:t>’</w:t>
      </w:r>
      <w:r w:rsidRPr="003063F4">
        <w:rPr>
          <w:lang w:val="fr-FR"/>
        </w:rPr>
        <w:t>application qui permet d</w:t>
      </w:r>
      <w:r w:rsidR="00010994" w:rsidRPr="003063F4">
        <w:rPr>
          <w:lang w:val="fr-FR"/>
        </w:rPr>
        <w:t>’</w:t>
      </w:r>
      <w:r w:rsidRPr="003063F4">
        <w:rPr>
          <w:lang w:val="fr-FR"/>
        </w:rPr>
        <w:t>enregistrer les affaires inscrites au rôle des tribunaux nationaux à tous les niveaux et d</w:t>
      </w:r>
      <w:r w:rsidR="00010994" w:rsidRPr="003063F4">
        <w:rPr>
          <w:lang w:val="fr-FR"/>
        </w:rPr>
        <w:t>’</w:t>
      </w:r>
      <w:r w:rsidRPr="003063F4">
        <w:rPr>
          <w:lang w:val="fr-FR"/>
        </w:rPr>
        <w:t>en garder une trace.</w:t>
      </w:r>
    </w:p>
    <w:p w14:paraId="05C19EBF" w14:textId="3ECDC519" w:rsidR="007435AC" w:rsidRPr="003063F4" w:rsidRDefault="007435AC" w:rsidP="007435AC">
      <w:pPr>
        <w:pStyle w:val="SingleTxt"/>
        <w:numPr>
          <w:ilvl w:val="0"/>
          <w:numId w:val="44"/>
        </w:numPr>
        <w:spacing w:line="240" w:lineRule="exact"/>
        <w:ind w:left="1267"/>
        <w:rPr>
          <w:lang w:val="fr-FR"/>
        </w:rPr>
      </w:pPr>
      <w:r w:rsidRPr="003063F4">
        <w:rPr>
          <w:lang w:val="fr-FR"/>
        </w:rPr>
        <w:t>Ainsi, en décembre 2016, le Ministère de la justice a entamé une procédure pour obtenir, par l</w:t>
      </w:r>
      <w:r w:rsidR="00010994" w:rsidRPr="003063F4">
        <w:rPr>
          <w:lang w:val="fr-FR"/>
        </w:rPr>
        <w:t>’</w:t>
      </w:r>
      <w:r w:rsidRPr="003063F4">
        <w:rPr>
          <w:lang w:val="fr-FR"/>
        </w:rPr>
        <w:t>intermédiaire du Programme opérationnel pour les capacités administratives (Union européenne), les fonds nécessaires à la réalisation d</w:t>
      </w:r>
      <w:r w:rsidR="00010994" w:rsidRPr="003063F4">
        <w:rPr>
          <w:lang w:val="fr-FR"/>
        </w:rPr>
        <w:t>’</w:t>
      </w:r>
      <w:r w:rsidRPr="003063F4">
        <w:rPr>
          <w:lang w:val="fr-FR"/>
        </w:rPr>
        <w:t>un projet d</w:t>
      </w:r>
      <w:r w:rsidR="00010994" w:rsidRPr="003063F4">
        <w:rPr>
          <w:lang w:val="fr-FR"/>
        </w:rPr>
        <w:t>’</w:t>
      </w:r>
      <w:r w:rsidRPr="003063F4">
        <w:rPr>
          <w:lang w:val="fr-FR"/>
        </w:rPr>
        <w:t>analyse devant permettre de déterminer les caractéristiques et composantes techniques d</w:t>
      </w:r>
      <w:r w:rsidR="00010994" w:rsidRPr="003063F4">
        <w:rPr>
          <w:lang w:val="fr-FR"/>
        </w:rPr>
        <w:t>’</w:t>
      </w:r>
      <w:r w:rsidRPr="003063F4">
        <w:rPr>
          <w:lang w:val="fr-FR"/>
        </w:rPr>
        <w:t>une version améliorée de l</w:t>
      </w:r>
      <w:r w:rsidR="00010994" w:rsidRPr="003063F4">
        <w:rPr>
          <w:lang w:val="fr-FR"/>
        </w:rPr>
        <w:t>’</w:t>
      </w:r>
      <w:r w:rsidRPr="003063F4">
        <w:rPr>
          <w:lang w:val="fr-FR"/>
        </w:rPr>
        <w:t>application ECRIS (Système européen d</w:t>
      </w:r>
      <w:r w:rsidR="00010994" w:rsidRPr="003063F4">
        <w:rPr>
          <w:lang w:val="fr-FR"/>
        </w:rPr>
        <w:t>’</w:t>
      </w:r>
      <w:r w:rsidRPr="003063F4">
        <w:rPr>
          <w:lang w:val="fr-FR"/>
        </w:rPr>
        <w:t>information sur les casiers judiciaires), de définir l</w:t>
      </w:r>
      <w:r w:rsidR="00010994" w:rsidRPr="003063F4">
        <w:rPr>
          <w:lang w:val="fr-FR"/>
        </w:rPr>
        <w:t>’</w:t>
      </w:r>
      <w:r w:rsidRPr="003063F4">
        <w:rPr>
          <w:lang w:val="fr-FR"/>
        </w:rPr>
        <w:t>infrastructure informatique nécessaire et d</w:t>
      </w:r>
      <w:r w:rsidR="00010994" w:rsidRPr="003063F4">
        <w:rPr>
          <w:lang w:val="fr-FR"/>
        </w:rPr>
        <w:t>’</w:t>
      </w:r>
      <w:r w:rsidRPr="003063F4">
        <w:rPr>
          <w:lang w:val="fr-FR"/>
        </w:rPr>
        <w:t>estimer les coûts qu</w:t>
      </w:r>
      <w:r w:rsidR="00010994" w:rsidRPr="003063F4">
        <w:rPr>
          <w:lang w:val="fr-FR"/>
        </w:rPr>
        <w:t>’</w:t>
      </w:r>
      <w:r w:rsidRPr="003063F4">
        <w:rPr>
          <w:lang w:val="fr-FR"/>
        </w:rPr>
        <w:t>engendrerait le développement de cette nouvelle version dans le cadre d</w:t>
      </w:r>
      <w:r w:rsidR="00010994" w:rsidRPr="003063F4">
        <w:rPr>
          <w:lang w:val="fr-FR"/>
        </w:rPr>
        <w:t>’</w:t>
      </w:r>
      <w:r w:rsidRPr="003063F4">
        <w:rPr>
          <w:lang w:val="fr-FR"/>
        </w:rPr>
        <w:t>un projet ultérieur (également financé au moyen du Programme opérationnel), le but étant qu</w:t>
      </w:r>
      <w:r w:rsidR="00010994" w:rsidRPr="003063F4">
        <w:rPr>
          <w:lang w:val="fr-FR"/>
        </w:rPr>
        <w:t>’</w:t>
      </w:r>
      <w:r w:rsidRPr="003063F4">
        <w:rPr>
          <w:lang w:val="fr-FR"/>
        </w:rPr>
        <w:t>elle puisse répondre aux nouveaux besoins du système judiciaire, sur les plans tant technologique (grâce à l</w:t>
      </w:r>
      <w:r w:rsidR="00010994" w:rsidRPr="003063F4">
        <w:rPr>
          <w:lang w:val="fr-FR"/>
        </w:rPr>
        <w:t>’</w:t>
      </w:r>
      <w:r w:rsidRPr="003063F4">
        <w:rPr>
          <w:lang w:val="fr-FR"/>
        </w:rPr>
        <w:t>amélioration de son architecture, par exemple) que fonctionnel (en facilitant les flux de données, notamment à des fins de statistiques judiciaires). Ce projet a été entrepris en partenariat avec le Conseil supérieur de la magistrature, le Bureau du Procureur près la Haute Cour de justice et de cassation, la Direction nationale anticorruption, la Direction des enquêtes sur la criminalité organisée et le terrorisme, la Cour d</w:t>
      </w:r>
      <w:r w:rsidR="00010994" w:rsidRPr="003063F4">
        <w:rPr>
          <w:lang w:val="fr-FR"/>
        </w:rPr>
        <w:t>’</w:t>
      </w:r>
      <w:r w:rsidRPr="003063F4">
        <w:rPr>
          <w:lang w:val="fr-FR"/>
        </w:rPr>
        <w:t>appel et le Tribunal de Bucarest, l</w:t>
      </w:r>
      <w:r w:rsidR="00010994" w:rsidRPr="003063F4">
        <w:rPr>
          <w:lang w:val="fr-FR"/>
        </w:rPr>
        <w:t>’</w:t>
      </w:r>
      <w:r w:rsidRPr="003063F4">
        <w:rPr>
          <w:lang w:val="fr-FR"/>
        </w:rPr>
        <w:t>Inspection judiciaire et la Direction nationale de probation. Le contrat de financement du projet d</w:t>
      </w:r>
      <w:r w:rsidR="00010994" w:rsidRPr="003063F4">
        <w:rPr>
          <w:lang w:val="fr-FR"/>
        </w:rPr>
        <w:t>’</w:t>
      </w:r>
      <w:r w:rsidRPr="003063F4">
        <w:rPr>
          <w:lang w:val="fr-FR"/>
        </w:rPr>
        <w:t xml:space="preserve">analyse a été signé en novembre 2017. Les travaux devraient durer </w:t>
      </w:r>
      <w:r w:rsidR="00845301">
        <w:rPr>
          <w:lang w:val="fr-FR"/>
        </w:rPr>
        <w:t>dix-huit</w:t>
      </w:r>
      <w:r w:rsidRPr="003063F4">
        <w:rPr>
          <w:lang w:val="fr-FR"/>
        </w:rPr>
        <w:t xml:space="preserve"> mois.</w:t>
      </w:r>
    </w:p>
    <w:p w14:paraId="6FF3BCFB" w14:textId="7E4DD21D" w:rsidR="007435AC" w:rsidRPr="003063F4" w:rsidRDefault="007435AC" w:rsidP="007435AC">
      <w:pPr>
        <w:pStyle w:val="SingleTxt"/>
        <w:numPr>
          <w:ilvl w:val="0"/>
          <w:numId w:val="44"/>
        </w:numPr>
        <w:spacing w:line="240" w:lineRule="exact"/>
        <w:ind w:left="1267"/>
        <w:rPr>
          <w:lang w:val="fr-FR"/>
        </w:rPr>
      </w:pPr>
      <w:r w:rsidRPr="003063F4">
        <w:rPr>
          <w:lang w:val="fr-FR"/>
        </w:rPr>
        <w:t>Le Ministère de la justice a annoncé avoir fait le nécessaire pour que, dans la nouvelle application, la catégorie des « crimes de haine » soit plus détaillée, c</w:t>
      </w:r>
      <w:r w:rsidR="00010994" w:rsidRPr="003063F4">
        <w:rPr>
          <w:lang w:val="fr-FR"/>
        </w:rPr>
        <w:t>’</w:t>
      </w:r>
      <w:r w:rsidRPr="003063F4">
        <w:rPr>
          <w:lang w:val="fr-FR"/>
        </w:rPr>
        <w:t>est-à-dire divisée en autant de sous-catégories que de circonstances énoncées à l</w:t>
      </w:r>
      <w:r w:rsidR="00010994" w:rsidRPr="003063F4">
        <w:rPr>
          <w:lang w:val="fr-FR"/>
        </w:rPr>
        <w:t>’</w:t>
      </w:r>
      <w:r w:rsidRPr="003063F4">
        <w:rPr>
          <w:lang w:val="fr-FR"/>
        </w:rPr>
        <w:t>alinéa h) de l</w:t>
      </w:r>
      <w:r w:rsidR="00010994" w:rsidRPr="003063F4">
        <w:rPr>
          <w:lang w:val="fr-FR"/>
        </w:rPr>
        <w:t>’</w:t>
      </w:r>
      <w:r w:rsidRPr="003063F4">
        <w:rPr>
          <w:lang w:val="fr-FR"/>
        </w:rPr>
        <w:t>article 77 du Code pénal, notamment l</w:t>
      </w:r>
      <w:r w:rsidR="00010994" w:rsidRPr="003063F4">
        <w:rPr>
          <w:lang w:val="fr-FR"/>
        </w:rPr>
        <w:t>’</w:t>
      </w:r>
      <w:r w:rsidRPr="003063F4">
        <w:rPr>
          <w:lang w:val="fr-FR"/>
        </w:rPr>
        <w:t>orientation sexuelle de la victime.</w:t>
      </w:r>
    </w:p>
    <w:p w14:paraId="74A5E0D7" w14:textId="61B39D05" w:rsidR="007435AC" w:rsidRPr="003063F4" w:rsidRDefault="007435AC" w:rsidP="007435AC">
      <w:pPr>
        <w:pStyle w:val="SingleTxt"/>
        <w:numPr>
          <w:ilvl w:val="0"/>
          <w:numId w:val="44"/>
        </w:numPr>
        <w:spacing w:line="240" w:lineRule="exact"/>
        <w:ind w:left="1267"/>
        <w:rPr>
          <w:lang w:val="fr-FR"/>
        </w:rPr>
      </w:pPr>
      <w:r w:rsidRPr="003063F4">
        <w:rPr>
          <w:lang w:val="fr-FR"/>
        </w:rPr>
        <w:t>À l</w:t>
      </w:r>
      <w:r w:rsidR="00010994" w:rsidRPr="003063F4">
        <w:rPr>
          <w:lang w:val="fr-FR"/>
        </w:rPr>
        <w:t>’</w:t>
      </w:r>
      <w:r w:rsidRPr="003063F4">
        <w:rPr>
          <w:lang w:val="fr-FR"/>
        </w:rPr>
        <w:t>issue d</w:t>
      </w:r>
      <w:r w:rsidR="00010994" w:rsidRPr="003063F4">
        <w:rPr>
          <w:lang w:val="fr-FR"/>
        </w:rPr>
        <w:t>’</w:t>
      </w:r>
      <w:r w:rsidRPr="003063F4">
        <w:rPr>
          <w:lang w:val="fr-FR"/>
        </w:rPr>
        <w:t xml:space="preserve">un processus interne de consultation mené en 2017, le Bureau du Procureur près la Haute Cour de justice et de cassation a accepté de revoir la façon </w:t>
      </w:r>
      <w:r w:rsidRPr="003063F4">
        <w:rPr>
          <w:lang w:val="fr-FR"/>
        </w:rPr>
        <w:lastRenderedPageBreak/>
        <w:t>dont les données statistiques étaient collectées au niveau du Ministère public</w:t>
      </w:r>
      <w:r w:rsidR="00010994" w:rsidRPr="003063F4">
        <w:rPr>
          <w:lang w:val="fr-FR"/>
        </w:rPr>
        <w:t> ;</w:t>
      </w:r>
      <w:r w:rsidRPr="003063F4">
        <w:rPr>
          <w:lang w:val="fr-FR"/>
        </w:rPr>
        <w:t xml:space="preserve"> il a été tenu compte de la nécessité de subdiviser la catégorie des crimes de haine. Ainsi, les données recueillies à partir de 2018 sont le nombre d</w:t>
      </w:r>
      <w:r w:rsidR="00010994" w:rsidRPr="003063F4">
        <w:rPr>
          <w:lang w:val="fr-FR"/>
        </w:rPr>
        <w:t>’</w:t>
      </w:r>
      <w:r w:rsidRPr="003063F4">
        <w:rPr>
          <w:lang w:val="fr-FR"/>
        </w:rPr>
        <w:t>affaires en instance au début de la période considérée, le nombre de nouvelles affaires, le nombre d</w:t>
      </w:r>
      <w:r w:rsidR="00010994" w:rsidRPr="003063F4">
        <w:rPr>
          <w:lang w:val="fr-FR"/>
        </w:rPr>
        <w:t>’</w:t>
      </w:r>
      <w:r w:rsidRPr="003063F4">
        <w:rPr>
          <w:lang w:val="fr-FR"/>
        </w:rPr>
        <w:t>affaires clôturées au cours de la période considérée (ventilé selon qu</w:t>
      </w:r>
      <w:r w:rsidR="00010994" w:rsidRPr="003063F4">
        <w:rPr>
          <w:lang w:val="fr-FR"/>
        </w:rPr>
        <w:t>’</w:t>
      </w:r>
      <w:r w:rsidRPr="003063F4">
        <w:rPr>
          <w:lang w:val="fr-FR"/>
        </w:rPr>
        <w:t>il y a eu mise en accusation ou procédure d</w:t>
      </w:r>
      <w:r w:rsidR="00010994" w:rsidRPr="003063F4">
        <w:rPr>
          <w:lang w:val="fr-FR"/>
        </w:rPr>
        <w:t>’</w:t>
      </w:r>
      <w:r w:rsidRPr="003063F4">
        <w:rPr>
          <w:lang w:val="fr-FR"/>
        </w:rPr>
        <w:t>aveu, abandon des charges ou classement de l</w:t>
      </w:r>
      <w:r w:rsidR="00010994" w:rsidRPr="003063F4">
        <w:rPr>
          <w:lang w:val="fr-FR"/>
        </w:rPr>
        <w:t>’</w:t>
      </w:r>
      <w:r w:rsidRPr="003063F4">
        <w:rPr>
          <w:lang w:val="fr-FR"/>
        </w:rPr>
        <w:t>affaire), le nombre de personnes inculpées ou accusées (selon les motifs de discrimination) et le nombre de victimes. Il convient de souligner que le motif de discrimination (race, nationalité, origine ethnique, langue, religion, sexe, orientation sexuelle, opinion ou appartenance politique, situation économique, origine sociale, âge, handicap, maladie chronique non contagieuse ou infection au VIH/sida, ou toute autre circonstance analogue) doit être indiqué dans le formulaire pour chacune des victimes.</w:t>
      </w:r>
    </w:p>
    <w:p w14:paraId="1AAF9B75" w14:textId="4B33F738" w:rsidR="007435AC" w:rsidRPr="003063F4" w:rsidRDefault="007435AC" w:rsidP="007435AC">
      <w:pPr>
        <w:pStyle w:val="SingleTxt"/>
        <w:numPr>
          <w:ilvl w:val="0"/>
          <w:numId w:val="44"/>
        </w:numPr>
        <w:spacing w:line="240" w:lineRule="exact"/>
        <w:ind w:left="1267"/>
        <w:rPr>
          <w:lang w:val="fr-FR"/>
        </w:rPr>
      </w:pPr>
      <w:r w:rsidRPr="003063F4">
        <w:rPr>
          <w:lang w:val="fr-FR"/>
        </w:rPr>
        <w:t>Le système de micro statistiques du Bureau du Procureur près la Haute Cour de justice et de cassation contient également des données concernant le nombre de femmes, y compris mineures, ayant été victimes d</w:t>
      </w:r>
      <w:r w:rsidR="00010994" w:rsidRPr="003063F4">
        <w:rPr>
          <w:lang w:val="fr-FR"/>
        </w:rPr>
        <w:t>’</w:t>
      </w:r>
      <w:r w:rsidRPr="003063F4">
        <w:rPr>
          <w:lang w:val="fr-FR"/>
        </w:rPr>
        <w:t>un acte criminel.</w:t>
      </w:r>
    </w:p>
    <w:p w14:paraId="5DEB9B03" w14:textId="3D86EC13" w:rsidR="007435AC" w:rsidRPr="003063F4" w:rsidRDefault="007435AC" w:rsidP="007435AC">
      <w:pPr>
        <w:pStyle w:val="SingleTxt"/>
        <w:numPr>
          <w:ilvl w:val="0"/>
          <w:numId w:val="44"/>
        </w:numPr>
        <w:spacing w:line="240" w:lineRule="exact"/>
        <w:ind w:left="1267"/>
        <w:rPr>
          <w:lang w:val="fr-FR"/>
        </w:rPr>
      </w:pPr>
      <w:r w:rsidRPr="003063F4">
        <w:rPr>
          <w:lang w:val="fr-FR"/>
        </w:rPr>
        <w:t>Toujours en ce qui concerne les données statistiques et les dispositions légales adoptées aux fins de dissuasion et de lutte contre la discrimination, l</w:t>
      </w:r>
      <w:r w:rsidR="00010994" w:rsidRPr="003063F4">
        <w:rPr>
          <w:lang w:val="fr-FR"/>
        </w:rPr>
        <w:t>’</w:t>
      </w:r>
      <w:r w:rsidRPr="003063F4">
        <w:rPr>
          <w:lang w:val="fr-FR"/>
        </w:rPr>
        <w:t>Inspection générale de la police roumaine a fait savoir que des consultations interinstitutionnelles avaient été menées à bien en vue d</w:t>
      </w:r>
      <w:r w:rsidR="00010994" w:rsidRPr="003063F4">
        <w:rPr>
          <w:lang w:val="fr-FR"/>
        </w:rPr>
        <w:t>’</w:t>
      </w:r>
      <w:r w:rsidRPr="003063F4">
        <w:rPr>
          <w:lang w:val="fr-FR"/>
        </w:rPr>
        <w:t>harmoniser la mise en correspondance des crimes et délits, tels que définis dans la législation pénale nationale, avec la classification internationale des infractions à des fins de statistiques. Cette harmonisation était fondamentale du point de vue de la réorganisation de la collecte de données statistiques par la police roumaine dans la mesure où elle détermine les critères de ventilation. Les sous-catégories de « crime de haine », qui indiquent le motif exact de discrimination, seront ajoutées dans le système statistique national lors de l</w:t>
      </w:r>
      <w:r w:rsidR="00010994" w:rsidRPr="003063F4">
        <w:rPr>
          <w:lang w:val="fr-FR"/>
        </w:rPr>
        <w:t>’</w:t>
      </w:r>
      <w:r w:rsidRPr="003063F4">
        <w:rPr>
          <w:lang w:val="fr-FR"/>
        </w:rPr>
        <w:t xml:space="preserve">application de la nouvelle classification internationale des infractions à des fins de statistiques. </w:t>
      </w:r>
    </w:p>
    <w:p w14:paraId="32A6B52E" w14:textId="33A8B396" w:rsidR="007435AC" w:rsidRPr="003063F4" w:rsidRDefault="007435AC" w:rsidP="007435AC">
      <w:pPr>
        <w:pStyle w:val="SingleTxt"/>
        <w:numPr>
          <w:ilvl w:val="0"/>
          <w:numId w:val="44"/>
        </w:numPr>
        <w:spacing w:line="240" w:lineRule="exact"/>
        <w:ind w:left="1267"/>
        <w:rPr>
          <w:lang w:val="fr-FR"/>
        </w:rPr>
      </w:pPr>
      <w:r w:rsidRPr="003063F4">
        <w:rPr>
          <w:lang w:val="fr-FR"/>
        </w:rPr>
        <w:t>Dans l</w:t>
      </w:r>
      <w:r w:rsidR="00010994" w:rsidRPr="003063F4">
        <w:rPr>
          <w:lang w:val="fr-FR"/>
        </w:rPr>
        <w:t>’</w:t>
      </w:r>
      <w:r w:rsidRPr="003063F4">
        <w:rPr>
          <w:lang w:val="fr-FR"/>
        </w:rPr>
        <w:t>intervalle, à l</w:t>
      </w:r>
      <w:r w:rsidR="00010994" w:rsidRPr="003063F4">
        <w:rPr>
          <w:lang w:val="fr-FR"/>
        </w:rPr>
        <w:t>’</w:t>
      </w:r>
      <w:r w:rsidRPr="003063F4">
        <w:rPr>
          <w:lang w:val="fr-FR"/>
        </w:rPr>
        <w:t>aide de fonds reçus dans le cadre du programme de subventions de la Norvège</w:t>
      </w:r>
      <w:r w:rsidR="00F853D5" w:rsidRPr="003063F4">
        <w:rPr>
          <w:lang w:val="fr-FR"/>
        </w:rPr>
        <w:t xml:space="preserve"> </w:t>
      </w:r>
      <w:r w:rsidRPr="003063F4">
        <w:rPr>
          <w:lang w:val="fr-FR"/>
        </w:rPr>
        <w:t>pour 2014-2021, l</w:t>
      </w:r>
      <w:r w:rsidR="00010994" w:rsidRPr="003063F4">
        <w:rPr>
          <w:lang w:val="fr-FR"/>
        </w:rPr>
        <w:t>’</w:t>
      </w:r>
      <w:r w:rsidRPr="003063F4">
        <w:rPr>
          <w:lang w:val="fr-FR"/>
        </w:rPr>
        <w:t>Inspection générale va créer dans le système national de notification des incidents un module qui permettra la saisie (et, par conséquent, l</w:t>
      </w:r>
      <w:r w:rsidR="00010994" w:rsidRPr="003063F4">
        <w:rPr>
          <w:lang w:val="fr-FR"/>
        </w:rPr>
        <w:t>’</w:t>
      </w:r>
      <w:r w:rsidRPr="003063F4">
        <w:rPr>
          <w:lang w:val="fr-FR"/>
        </w:rPr>
        <w:t>extraction) de données statistiques ventilées selon divers motifs de discrimination (race, nationalité, origine ethnique, langue, religion, sexe ou orientation sexuelle).</w:t>
      </w:r>
    </w:p>
    <w:p w14:paraId="40817F8D" w14:textId="02E47703" w:rsidR="007435AC" w:rsidRPr="003063F4" w:rsidRDefault="007435AC" w:rsidP="007435AC">
      <w:pPr>
        <w:pStyle w:val="SingleTxt"/>
        <w:numPr>
          <w:ilvl w:val="0"/>
          <w:numId w:val="44"/>
        </w:numPr>
        <w:spacing w:line="240" w:lineRule="exact"/>
        <w:ind w:left="1267"/>
        <w:rPr>
          <w:lang w:val="fr-FR"/>
        </w:rPr>
      </w:pPr>
      <w:r w:rsidRPr="003063F4">
        <w:rPr>
          <w:lang w:val="fr-FR"/>
        </w:rPr>
        <w:t>De plus, les infractions commises pour certains motifs discriminatoires sont enregistrées par la police sous les rubriques distinctes suivantes</w:t>
      </w:r>
      <w:r w:rsidR="00010994" w:rsidRPr="003063F4">
        <w:rPr>
          <w:lang w:val="fr-FR"/>
        </w:rPr>
        <w:t> :</w:t>
      </w:r>
      <w:r w:rsidRPr="003063F4">
        <w:rPr>
          <w:lang w:val="fr-FR"/>
        </w:rPr>
        <w:t xml:space="preserve"> </w:t>
      </w:r>
    </w:p>
    <w:p w14:paraId="430715E5" w14:textId="770F214D" w:rsidR="007435AC" w:rsidRPr="003063F4" w:rsidRDefault="00D66CB3" w:rsidP="00D66CB3">
      <w:pPr>
        <w:pStyle w:val="SingleTxt"/>
        <w:tabs>
          <w:tab w:val="right" w:pos="1685"/>
        </w:tabs>
        <w:ind w:left="1742" w:hanging="475"/>
        <w:rPr>
          <w:lang w:val="fr-FR"/>
        </w:rPr>
      </w:pPr>
      <w:r w:rsidRPr="003063F4">
        <w:rPr>
          <w:lang w:val="fr-FR"/>
        </w:rPr>
        <w:tab/>
      </w:r>
      <w:r w:rsidR="007435AC" w:rsidRPr="003063F4">
        <w:rPr>
          <w:lang w:val="fr-FR"/>
        </w:rPr>
        <w:t>•</w:t>
      </w:r>
      <w:r w:rsidR="007435AC" w:rsidRPr="003063F4">
        <w:rPr>
          <w:lang w:val="fr-FR"/>
        </w:rPr>
        <w:tab/>
        <w:t>Actes de torture motivés par la discrimination (art</w:t>
      </w:r>
      <w:r w:rsidR="00845301">
        <w:rPr>
          <w:lang w:val="fr-FR"/>
        </w:rPr>
        <w:t>.</w:t>
      </w:r>
      <w:r w:rsidR="007435AC" w:rsidRPr="003063F4">
        <w:rPr>
          <w:lang w:val="fr-FR"/>
        </w:rPr>
        <w:t xml:space="preserve"> 282 1) d) du Code pénal)</w:t>
      </w:r>
      <w:r w:rsidR="00010994" w:rsidRPr="003063F4">
        <w:rPr>
          <w:lang w:val="fr-FR"/>
        </w:rPr>
        <w:t> ;</w:t>
      </w:r>
      <w:r w:rsidR="007435AC" w:rsidRPr="003063F4">
        <w:rPr>
          <w:lang w:val="fr-FR"/>
        </w:rPr>
        <w:t xml:space="preserve"> </w:t>
      </w:r>
    </w:p>
    <w:p w14:paraId="01DFCB96" w14:textId="1A7D8348" w:rsidR="007435AC" w:rsidRPr="003063F4" w:rsidRDefault="00D66CB3" w:rsidP="00D66CB3">
      <w:pPr>
        <w:pStyle w:val="SingleTxt"/>
        <w:tabs>
          <w:tab w:val="right" w:pos="1685"/>
        </w:tabs>
        <w:ind w:left="1742" w:hanging="475"/>
        <w:rPr>
          <w:lang w:val="fr-FR"/>
        </w:rPr>
      </w:pPr>
      <w:r w:rsidRPr="003063F4">
        <w:rPr>
          <w:lang w:val="fr-FR"/>
        </w:rPr>
        <w:tab/>
      </w:r>
      <w:r w:rsidR="007435AC" w:rsidRPr="003063F4">
        <w:rPr>
          <w:lang w:val="fr-FR"/>
        </w:rPr>
        <w:t>•</w:t>
      </w:r>
      <w:r w:rsidR="007435AC" w:rsidRPr="003063F4">
        <w:rPr>
          <w:lang w:val="fr-FR"/>
        </w:rPr>
        <w:tab/>
        <w:t>Abus de fonctions découlant de la mise en situation d</w:t>
      </w:r>
      <w:r w:rsidR="00010994" w:rsidRPr="003063F4">
        <w:rPr>
          <w:lang w:val="fr-FR"/>
        </w:rPr>
        <w:t>’</w:t>
      </w:r>
      <w:r w:rsidR="007435AC" w:rsidRPr="003063F4">
        <w:rPr>
          <w:lang w:val="fr-FR"/>
        </w:rPr>
        <w:t>infériorité à raison de la race, de la nationalité, de l</w:t>
      </w:r>
      <w:r w:rsidR="00010994" w:rsidRPr="003063F4">
        <w:rPr>
          <w:lang w:val="fr-FR"/>
        </w:rPr>
        <w:t>’</w:t>
      </w:r>
      <w:r w:rsidR="007435AC" w:rsidRPr="003063F4">
        <w:rPr>
          <w:lang w:val="fr-FR"/>
        </w:rPr>
        <w:t>origine ethnique, de la langue, de la religion, du sexe, de l</w:t>
      </w:r>
      <w:r w:rsidR="00010994" w:rsidRPr="003063F4">
        <w:rPr>
          <w:lang w:val="fr-FR"/>
        </w:rPr>
        <w:t>’</w:t>
      </w:r>
      <w:r w:rsidR="007435AC" w:rsidRPr="003063F4">
        <w:rPr>
          <w:lang w:val="fr-FR"/>
        </w:rPr>
        <w:t>orientation sexuelle, de l</w:t>
      </w:r>
      <w:r w:rsidR="00010994" w:rsidRPr="003063F4">
        <w:rPr>
          <w:lang w:val="fr-FR"/>
        </w:rPr>
        <w:t>’</w:t>
      </w:r>
      <w:r w:rsidR="007435AC" w:rsidRPr="003063F4">
        <w:rPr>
          <w:lang w:val="fr-FR"/>
        </w:rPr>
        <w:t>appartenance politique, de la situation économique, de l</w:t>
      </w:r>
      <w:r w:rsidR="00010994" w:rsidRPr="003063F4">
        <w:rPr>
          <w:lang w:val="fr-FR"/>
        </w:rPr>
        <w:t>’</w:t>
      </w:r>
      <w:r w:rsidR="007435AC" w:rsidRPr="003063F4">
        <w:rPr>
          <w:lang w:val="fr-FR"/>
        </w:rPr>
        <w:t>âge, d</w:t>
      </w:r>
      <w:r w:rsidR="00010994" w:rsidRPr="003063F4">
        <w:rPr>
          <w:lang w:val="fr-FR"/>
        </w:rPr>
        <w:t>’</w:t>
      </w:r>
      <w:r w:rsidR="007435AC" w:rsidRPr="003063F4">
        <w:rPr>
          <w:lang w:val="fr-FR"/>
        </w:rPr>
        <w:t>un handicap, d</w:t>
      </w:r>
      <w:r w:rsidR="00010994" w:rsidRPr="003063F4">
        <w:rPr>
          <w:lang w:val="fr-FR"/>
        </w:rPr>
        <w:t>’</w:t>
      </w:r>
      <w:r w:rsidR="007435AC" w:rsidRPr="003063F4">
        <w:rPr>
          <w:lang w:val="fr-FR"/>
        </w:rPr>
        <w:t>une maladie chronique non contagieuse ou d</w:t>
      </w:r>
      <w:r w:rsidR="00010994" w:rsidRPr="003063F4">
        <w:rPr>
          <w:lang w:val="fr-FR"/>
        </w:rPr>
        <w:t>’</w:t>
      </w:r>
      <w:r w:rsidR="007435AC" w:rsidRPr="003063F4">
        <w:rPr>
          <w:lang w:val="fr-FR"/>
        </w:rPr>
        <w:t>une infection au VIH/sida (art</w:t>
      </w:r>
      <w:r w:rsidR="00845301">
        <w:rPr>
          <w:lang w:val="fr-FR"/>
        </w:rPr>
        <w:t>.</w:t>
      </w:r>
      <w:r w:rsidR="007435AC" w:rsidRPr="003063F4">
        <w:rPr>
          <w:lang w:val="fr-FR"/>
        </w:rPr>
        <w:t xml:space="preserve"> 297 2) du Code pénal)</w:t>
      </w:r>
      <w:r w:rsidR="00010994" w:rsidRPr="003063F4">
        <w:rPr>
          <w:lang w:val="fr-FR"/>
        </w:rPr>
        <w:t> ;</w:t>
      </w:r>
      <w:r w:rsidR="007435AC" w:rsidRPr="003063F4">
        <w:rPr>
          <w:lang w:val="fr-FR"/>
        </w:rPr>
        <w:t xml:space="preserve"> </w:t>
      </w:r>
    </w:p>
    <w:p w14:paraId="35061EC8" w14:textId="5C2221D1" w:rsidR="007435AC" w:rsidRPr="003063F4" w:rsidRDefault="00D66CB3" w:rsidP="00D66CB3">
      <w:pPr>
        <w:pStyle w:val="SingleTxt"/>
        <w:tabs>
          <w:tab w:val="right" w:pos="1685"/>
        </w:tabs>
        <w:ind w:left="1742" w:hanging="475"/>
        <w:rPr>
          <w:lang w:val="fr-FR"/>
        </w:rPr>
      </w:pPr>
      <w:r w:rsidRPr="003063F4">
        <w:rPr>
          <w:lang w:val="fr-FR"/>
        </w:rPr>
        <w:tab/>
      </w:r>
      <w:r w:rsidR="007435AC" w:rsidRPr="003063F4">
        <w:rPr>
          <w:lang w:val="fr-FR"/>
        </w:rPr>
        <w:t>•</w:t>
      </w:r>
      <w:r w:rsidR="007435AC" w:rsidRPr="003063F4">
        <w:rPr>
          <w:lang w:val="fr-FR"/>
        </w:rPr>
        <w:tab/>
        <w:t>Incitation à la haine ou à la discrimination (art</w:t>
      </w:r>
      <w:r w:rsidR="00845301">
        <w:rPr>
          <w:lang w:val="fr-FR"/>
        </w:rPr>
        <w:t>.</w:t>
      </w:r>
      <w:r w:rsidR="007435AC" w:rsidRPr="003063F4">
        <w:rPr>
          <w:lang w:val="fr-FR"/>
        </w:rPr>
        <w:t xml:space="preserve"> 369 du Code pénal).</w:t>
      </w:r>
    </w:p>
    <w:p w14:paraId="5C3DF846" w14:textId="77777777" w:rsidR="007435AC" w:rsidRPr="003063F4" w:rsidRDefault="007435AC" w:rsidP="007435AC">
      <w:pPr>
        <w:pStyle w:val="SingleTxt"/>
        <w:spacing w:after="0" w:line="120" w:lineRule="exact"/>
        <w:rPr>
          <w:sz w:val="10"/>
          <w:lang w:val="fr-FR"/>
        </w:rPr>
      </w:pPr>
    </w:p>
    <w:p w14:paraId="547F2BD0" w14:textId="75DB8E73" w:rsidR="007435AC" w:rsidRPr="003063F4" w:rsidRDefault="007435AC" w:rsidP="007435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63F4">
        <w:rPr>
          <w:lang w:val="fr-FR"/>
        </w:rPr>
        <w:tab/>
      </w:r>
      <w:r w:rsidRPr="003063F4">
        <w:rPr>
          <w:lang w:val="fr-FR"/>
        </w:rPr>
        <w:tab/>
        <w:t xml:space="preserve">Statistiques </w:t>
      </w:r>
    </w:p>
    <w:p w14:paraId="02F4BA75" w14:textId="01A1C48B" w:rsidR="007435AC" w:rsidRPr="003063F4" w:rsidRDefault="007435AC" w:rsidP="007435AC">
      <w:pPr>
        <w:pStyle w:val="SingleTxt"/>
        <w:spacing w:after="0" w:line="120" w:lineRule="exact"/>
        <w:rPr>
          <w:sz w:val="10"/>
          <w:lang w:val="fr-FR"/>
        </w:rPr>
      </w:pPr>
    </w:p>
    <w:p w14:paraId="2DC0AD8A" w14:textId="1E9B7467" w:rsidR="007435AC" w:rsidRPr="003063F4" w:rsidRDefault="007435AC" w:rsidP="007435AC">
      <w:pPr>
        <w:pStyle w:val="SingleTxt"/>
        <w:numPr>
          <w:ilvl w:val="0"/>
          <w:numId w:val="44"/>
        </w:numPr>
        <w:spacing w:line="240" w:lineRule="exact"/>
        <w:ind w:left="1267"/>
        <w:rPr>
          <w:lang w:val="fr-FR"/>
        </w:rPr>
      </w:pPr>
      <w:r w:rsidRPr="003063F4">
        <w:rPr>
          <w:lang w:val="fr-FR"/>
        </w:rPr>
        <w:t>Selon les données communiquées par l</w:t>
      </w:r>
      <w:r w:rsidR="00010994" w:rsidRPr="003063F4">
        <w:rPr>
          <w:lang w:val="fr-FR"/>
        </w:rPr>
        <w:t>’</w:t>
      </w:r>
      <w:r w:rsidRPr="003063F4">
        <w:rPr>
          <w:lang w:val="fr-FR"/>
        </w:rPr>
        <w:t>Inspection générale concernant la violence familiale, la situation en 2017, en 2018 et durant les cinq premiers mois de 2019 était la suivante</w:t>
      </w:r>
      <w:r w:rsidR="00010994" w:rsidRPr="003063F4">
        <w:rPr>
          <w:lang w:val="fr-FR"/>
        </w:rPr>
        <w:t> :</w:t>
      </w:r>
    </w:p>
    <w:p w14:paraId="53A4EAC4" w14:textId="72C74A1F" w:rsidR="00FC07F8" w:rsidRPr="003063F4" w:rsidRDefault="00FC07F8" w:rsidP="00FC07F8">
      <w:pPr>
        <w:pStyle w:val="SingleTxt"/>
        <w:spacing w:after="0" w:line="120" w:lineRule="exact"/>
        <w:rPr>
          <w:sz w:val="10"/>
          <w:lang w:val="fr-FR"/>
        </w:rPr>
      </w:pPr>
    </w:p>
    <w:p w14:paraId="62737C5F" w14:textId="0377451F" w:rsidR="00FC07F8" w:rsidRPr="003063F4" w:rsidRDefault="00FC07F8" w:rsidP="00FC07F8">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0"/>
        <w:gridCol w:w="1220"/>
        <w:gridCol w:w="1220"/>
        <w:gridCol w:w="1220"/>
        <w:gridCol w:w="1220"/>
        <w:gridCol w:w="1220"/>
      </w:tblGrid>
      <w:tr w:rsidR="00FC07F8" w:rsidRPr="003063F4" w14:paraId="4DE40ADF" w14:textId="77777777" w:rsidTr="00FC07F8">
        <w:trPr>
          <w:tblHeader/>
        </w:trPr>
        <w:tc>
          <w:tcPr>
            <w:tcW w:w="1220" w:type="dxa"/>
            <w:tcBorders>
              <w:top w:val="single" w:sz="4" w:space="0" w:color="auto"/>
              <w:bottom w:val="single" w:sz="12" w:space="0" w:color="auto"/>
            </w:tcBorders>
            <w:shd w:val="clear" w:color="auto" w:fill="auto"/>
            <w:noWrap/>
            <w:tcMar>
              <w:left w:w="0" w:type="dxa"/>
              <w:right w:w="0" w:type="dxa"/>
            </w:tcMar>
            <w:vAlign w:val="bottom"/>
          </w:tcPr>
          <w:p w14:paraId="30D01D90" w14:textId="77777777" w:rsidR="007435AC" w:rsidRPr="003063F4" w:rsidRDefault="007435AC" w:rsidP="00FC07F8">
            <w:pPr>
              <w:suppressAutoHyphens/>
              <w:spacing w:before="81" w:after="81" w:line="160" w:lineRule="exact"/>
              <w:ind w:right="40"/>
              <w:rPr>
                <w:i/>
                <w:sz w:val="14"/>
                <w:lang w:val="fr-FR"/>
              </w:rPr>
            </w:pPr>
            <w:r w:rsidRPr="003063F4">
              <w:rPr>
                <w:i/>
                <w:sz w:val="14"/>
                <w:lang w:val="fr-FR"/>
              </w:rPr>
              <w:lastRenderedPageBreak/>
              <w:t>Année</w:t>
            </w:r>
          </w:p>
        </w:tc>
        <w:tc>
          <w:tcPr>
            <w:tcW w:w="1220" w:type="dxa"/>
            <w:tcBorders>
              <w:top w:val="single" w:sz="4" w:space="0" w:color="auto"/>
              <w:bottom w:val="single" w:sz="12" w:space="0" w:color="auto"/>
            </w:tcBorders>
            <w:shd w:val="clear" w:color="auto" w:fill="auto"/>
            <w:noWrap/>
            <w:tcMar>
              <w:left w:w="0" w:type="dxa"/>
              <w:right w:w="0" w:type="dxa"/>
            </w:tcMar>
            <w:vAlign w:val="bottom"/>
          </w:tcPr>
          <w:p w14:paraId="3B0AFB59" w14:textId="16B4E48A" w:rsidR="007435AC" w:rsidRPr="003063F4" w:rsidRDefault="007435AC" w:rsidP="00FC07F8">
            <w:pPr>
              <w:suppressAutoHyphens/>
              <w:spacing w:before="81" w:after="81" w:line="160" w:lineRule="exact"/>
              <w:ind w:right="43"/>
              <w:jc w:val="right"/>
              <w:rPr>
                <w:i/>
                <w:sz w:val="14"/>
                <w:lang w:val="fr-FR"/>
              </w:rPr>
            </w:pPr>
            <w:r w:rsidRPr="003063F4">
              <w:rPr>
                <w:i/>
                <w:sz w:val="14"/>
                <w:lang w:val="fr-FR"/>
              </w:rPr>
              <w:t>Nombre d</w:t>
            </w:r>
            <w:r w:rsidR="00010994" w:rsidRPr="003063F4">
              <w:rPr>
                <w:i/>
                <w:sz w:val="14"/>
                <w:lang w:val="fr-FR"/>
              </w:rPr>
              <w:t>’</w:t>
            </w:r>
            <w:r w:rsidRPr="003063F4">
              <w:rPr>
                <w:i/>
                <w:sz w:val="14"/>
                <w:lang w:val="fr-FR"/>
              </w:rPr>
              <w:t>infractions pénales présumées enregistrées</w:t>
            </w:r>
          </w:p>
        </w:tc>
        <w:tc>
          <w:tcPr>
            <w:tcW w:w="1220" w:type="dxa"/>
            <w:tcBorders>
              <w:top w:val="single" w:sz="4" w:space="0" w:color="auto"/>
              <w:bottom w:val="single" w:sz="12" w:space="0" w:color="auto"/>
            </w:tcBorders>
            <w:shd w:val="clear" w:color="auto" w:fill="auto"/>
            <w:noWrap/>
            <w:tcMar>
              <w:left w:w="0" w:type="dxa"/>
              <w:right w:w="0" w:type="dxa"/>
            </w:tcMar>
            <w:vAlign w:val="bottom"/>
          </w:tcPr>
          <w:p w14:paraId="2F595D99" w14:textId="64BEC52A" w:rsidR="007435AC" w:rsidRPr="003063F4" w:rsidRDefault="007435AC" w:rsidP="00FC07F8">
            <w:pPr>
              <w:suppressAutoHyphens/>
              <w:spacing w:before="81" w:after="81" w:line="160" w:lineRule="exact"/>
              <w:ind w:right="43"/>
              <w:jc w:val="right"/>
              <w:rPr>
                <w:i/>
                <w:sz w:val="14"/>
                <w:lang w:val="fr-FR"/>
              </w:rPr>
            </w:pPr>
            <w:r w:rsidRPr="003063F4">
              <w:rPr>
                <w:i/>
                <w:sz w:val="14"/>
                <w:lang w:val="fr-FR"/>
              </w:rPr>
              <w:t>Nombre d</w:t>
            </w:r>
            <w:r w:rsidR="00010994" w:rsidRPr="003063F4">
              <w:rPr>
                <w:i/>
                <w:sz w:val="14"/>
                <w:lang w:val="fr-FR"/>
              </w:rPr>
              <w:t>’</w:t>
            </w:r>
            <w:r w:rsidRPr="003063F4">
              <w:rPr>
                <w:i/>
                <w:sz w:val="14"/>
                <w:lang w:val="fr-FR"/>
              </w:rPr>
              <w:t xml:space="preserve">ordonnances </w:t>
            </w:r>
            <w:r w:rsidR="008A1E34">
              <w:rPr>
                <w:i/>
                <w:sz w:val="14"/>
                <w:lang w:val="fr-FR"/>
              </w:rPr>
              <w:br/>
            </w:r>
            <w:r w:rsidRPr="003063F4">
              <w:rPr>
                <w:i/>
                <w:sz w:val="14"/>
                <w:lang w:val="fr-FR"/>
              </w:rPr>
              <w:t>de protection délivrées</w:t>
            </w:r>
          </w:p>
        </w:tc>
        <w:tc>
          <w:tcPr>
            <w:tcW w:w="1220" w:type="dxa"/>
            <w:tcBorders>
              <w:top w:val="single" w:sz="4" w:space="0" w:color="auto"/>
              <w:bottom w:val="single" w:sz="12" w:space="0" w:color="auto"/>
            </w:tcBorders>
            <w:shd w:val="clear" w:color="auto" w:fill="auto"/>
            <w:noWrap/>
            <w:tcMar>
              <w:left w:w="0" w:type="dxa"/>
              <w:right w:w="0" w:type="dxa"/>
            </w:tcMar>
            <w:vAlign w:val="bottom"/>
          </w:tcPr>
          <w:p w14:paraId="12688F60" w14:textId="0577968E" w:rsidR="007435AC" w:rsidRPr="003063F4" w:rsidRDefault="007435AC" w:rsidP="00FC07F8">
            <w:pPr>
              <w:suppressAutoHyphens/>
              <w:spacing w:before="81" w:after="81" w:line="160" w:lineRule="exact"/>
              <w:ind w:right="43"/>
              <w:jc w:val="right"/>
              <w:rPr>
                <w:i/>
                <w:sz w:val="14"/>
                <w:lang w:val="fr-FR"/>
              </w:rPr>
            </w:pPr>
            <w:r w:rsidRPr="003063F4">
              <w:rPr>
                <w:i/>
                <w:sz w:val="14"/>
                <w:lang w:val="fr-FR"/>
              </w:rPr>
              <w:t>Nombre d</w:t>
            </w:r>
            <w:r w:rsidR="00010994" w:rsidRPr="003063F4">
              <w:rPr>
                <w:i/>
                <w:sz w:val="14"/>
                <w:lang w:val="fr-FR"/>
              </w:rPr>
              <w:t>’</w:t>
            </w:r>
            <w:r w:rsidRPr="003063F4">
              <w:rPr>
                <w:i/>
                <w:sz w:val="14"/>
                <w:lang w:val="fr-FR"/>
              </w:rPr>
              <w:t xml:space="preserve">ordonnances </w:t>
            </w:r>
            <w:r w:rsidR="008A1E34">
              <w:rPr>
                <w:i/>
                <w:sz w:val="14"/>
                <w:lang w:val="fr-FR"/>
              </w:rPr>
              <w:br/>
            </w:r>
            <w:r w:rsidRPr="003063F4">
              <w:rPr>
                <w:i/>
                <w:sz w:val="14"/>
                <w:lang w:val="fr-FR"/>
              </w:rPr>
              <w:t>de protection provisoire délivrées</w:t>
            </w:r>
          </w:p>
        </w:tc>
        <w:tc>
          <w:tcPr>
            <w:tcW w:w="1220" w:type="dxa"/>
            <w:tcBorders>
              <w:top w:val="single" w:sz="4" w:space="0" w:color="auto"/>
              <w:bottom w:val="single" w:sz="12" w:space="0" w:color="auto"/>
            </w:tcBorders>
            <w:shd w:val="clear" w:color="auto" w:fill="auto"/>
            <w:noWrap/>
            <w:tcMar>
              <w:left w:w="0" w:type="dxa"/>
              <w:right w:w="0" w:type="dxa"/>
            </w:tcMar>
            <w:vAlign w:val="bottom"/>
          </w:tcPr>
          <w:p w14:paraId="505112B7" w14:textId="01070415" w:rsidR="007435AC" w:rsidRPr="003063F4" w:rsidRDefault="007435AC" w:rsidP="00FC07F8">
            <w:pPr>
              <w:suppressAutoHyphens/>
              <w:spacing w:before="81" w:after="81" w:line="160" w:lineRule="exact"/>
              <w:ind w:right="43"/>
              <w:jc w:val="right"/>
              <w:rPr>
                <w:i/>
                <w:sz w:val="14"/>
                <w:lang w:val="fr-FR"/>
              </w:rPr>
            </w:pPr>
            <w:r w:rsidRPr="003063F4">
              <w:rPr>
                <w:i/>
                <w:sz w:val="14"/>
                <w:lang w:val="fr-FR"/>
              </w:rPr>
              <w:t xml:space="preserve">Nombre de cas </w:t>
            </w:r>
            <w:r w:rsidR="008A1E34">
              <w:rPr>
                <w:i/>
                <w:sz w:val="14"/>
                <w:lang w:val="fr-FR"/>
              </w:rPr>
              <w:br/>
            </w:r>
            <w:r w:rsidRPr="003063F4">
              <w:rPr>
                <w:i/>
                <w:sz w:val="14"/>
                <w:lang w:val="fr-FR"/>
              </w:rPr>
              <w:t xml:space="preserve">de violation </w:t>
            </w:r>
            <w:r w:rsidR="008A1E34">
              <w:rPr>
                <w:i/>
                <w:sz w:val="14"/>
                <w:lang w:val="fr-FR"/>
              </w:rPr>
              <w:br/>
            </w:r>
            <w:r w:rsidRPr="003063F4">
              <w:rPr>
                <w:i/>
                <w:sz w:val="14"/>
                <w:lang w:val="fr-FR"/>
              </w:rPr>
              <w:t>d</w:t>
            </w:r>
            <w:r w:rsidR="00010994" w:rsidRPr="003063F4">
              <w:rPr>
                <w:i/>
                <w:sz w:val="14"/>
                <w:lang w:val="fr-FR"/>
              </w:rPr>
              <w:t>’</w:t>
            </w:r>
            <w:r w:rsidRPr="003063F4">
              <w:rPr>
                <w:i/>
                <w:sz w:val="14"/>
                <w:lang w:val="fr-FR"/>
              </w:rPr>
              <w:t>une ordonnance de protection*</w:t>
            </w:r>
          </w:p>
        </w:tc>
        <w:tc>
          <w:tcPr>
            <w:tcW w:w="1220" w:type="dxa"/>
            <w:tcBorders>
              <w:top w:val="single" w:sz="4" w:space="0" w:color="auto"/>
              <w:bottom w:val="single" w:sz="12" w:space="0" w:color="auto"/>
            </w:tcBorders>
            <w:shd w:val="clear" w:color="auto" w:fill="auto"/>
            <w:noWrap/>
            <w:tcMar>
              <w:left w:w="0" w:type="dxa"/>
              <w:right w:w="0" w:type="dxa"/>
            </w:tcMar>
            <w:vAlign w:val="bottom"/>
          </w:tcPr>
          <w:p w14:paraId="5147E333" w14:textId="42877618" w:rsidR="007435AC" w:rsidRPr="003063F4" w:rsidRDefault="007435AC" w:rsidP="00FC07F8">
            <w:pPr>
              <w:suppressAutoHyphens/>
              <w:spacing w:before="81" w:after="81" w:line="160" w:lineRule="exact"/>
              <w:ind w:right="43"/>
              <w:jc w:val="right"/>
              <w:rPr>
                <w:i/>
                <w:sz w:val="14"/>
                <w:lang w:val="fr-FR"/>
              </w:rPr>
            </w:pPr>
            <w:r w:rsidRPr="003063F4">
              <w:rPr>
                <w:i/>
                <w:sz w:val="14"/>
                <w:lang w:val="fr-FR"/>
              </w:rPr>
              <w:t xml:space="preserve">Nombre de cas </w:t>
            </w:r>
            <w:r w:rsidR="008A1E34">
              <w:rPr>
                <w:i/>
                <w:sz w:val="14"/>
                <w:lang w:val="fr-FR"/>
              </w:rPr>
              <w:br/>
            </w:r>
            <w:r w:rsidRPr="003063F4">
              <w:rPr>
                <w:i/>
                <w:sz w:val="14"/>
                <w:lang w:val="fr-FR"/>
              </w:rPr>
              <w:t xml:space="preserve">de violation </w:t>
            </w:r>
            <w:r w:rsidR="008A1E34">
              <w:rPr>
                <w:i/>
                <w:sz w:val="14"/>
                <w:lang w:val="fr-FR"/>
              </w:rPr>
              <w:br/>
            </w:r>
            <w:r w:rsidRPr="003063F4">
              <w:rPr>
                <w:i/>
                <w:sz w:val="14"/>
                <w:lang w:val="fr-FR"/>
              </w:rPr>
              <w:t>d</w:t>
            </w:r>
            <w:r w:rsidR="00010994" w:rsidRPr="003063F4">
              <w:rPr>
                <w:i/>
                <w:sz w:val="14"/>
                <w:lang w:val="fr-FR"/>
              </w:rPr>
              <w:t>’</w:t>
            </w:r>
            <w:r w:rsidRPr="003063F4">
              <w:rPr>
                <w:i/>
                <w:sz w:val="14"/>
                <w:lang w:val="fr-FR"/>
              </w:rPr>
              <w:t>une ordonnance de protection provisoire*</w:t>
            </w:r>
          </w:p>
        </w:tc>
      </w:tr>
      <w:tr w:rsidR="00FC07F8" w:rsidRPr="003063F4" w14:paraId="6821C674" w14:textId="77777777" w:rsidTr="00FC07F8">
        <w:trPr>
          <w:trHeight w:hRule="exact" w:val="115"/>
          <w:tblHeader/>
        </w:trPr>
        <w:tc>
          <w:tcPr>
            <w:tcW w:w="1220" w:type="dxa"/>
            <w:tcBorders>
              <w:top w:val="single" w:sz="12" w:space="0" w:color="auto"/>
            </w:tcBorders>
            <w:shd w:val="clear" w:color="auto" w:fill="auto"/>
            <w:noWrap/>
            <w:tcMar>
              <w:left w:w="0" w:type="dxa"/>
              <w:right w:w="0" w:type="dxa"/>
            </w:tcMar>
            <w:vAlign w:val="bottom"/>
          </w:tcPr>
          <w:p w14:paraId="387DA35D" w14:textId="77777777" w:rsidR="00FC07F8" w:rsidRPr="003063F4" w:rsidRDefault="00FC07F8" w:rsidP="00FC07F8">
            <w:pPr>
              <w:suppressAutoHyphens/>
              <w:spacing w:before="40" w:after="40" w:line="210" w:lineRule="exact"/>
              <w:ind w:right="40"/>
              <w:rPr>
                <w:sz w:val="17"/>
                <w:lang w:val="fr-FR"/>
              </w:rPr>
            </w:pPr>
          </w:p>
        </w:tc>
        <w:tc>
          <w:tcPr>
            <w:tcW w:w="1220" w:type="dxa"/>
            <w:tcBorders>
              <w:top w:val="single" w:sz="12" w:space="0" w:color="auto"/>
            </w:tcBorders>
            <w:shd w:val="clear" w:color="auto" w:fill="auto"/>
            <w:noWrap/>
            <w:tcMar>
              <w:left w:w="0" w:type="dxa"/>
              <w:right w:w="0" w:type="dxa"/>
            </w:tcMar>
            <w:vAlign w:val="bottom"/>
          </w:tcPr>
          <w:p w14:paraId="46F0F9F5" w14:textId="77777777" w:rsidR="00FC07F8" w:rsidRPr="003063F4" w:rsidRDefault="00FC07F8" w:rsidP="00FC07F8">
            <w:pPr>
              <w:suppressAutoHyphens/>
              <w:spacing w:before="40" w:after="40" w:line="210" w:lineRule="exact"/>
              <w:ind w:right="43"/>
              <w:jc w:val="right"/>
              <w:rPr>
                <w:sz w:val="17"/>
                <w:lang w:val="fr-FR"/>
              </w:rPr>
            </w:pPr>
          </w:p>
        </w:tc>
        <w:tc>
          <w:tcPr>
            <w:tcW w:w="1220" w:type="dxa"/>
            <w:tcBorders>
              <w:top w:val="single" w:sz="12" w:space="0" w:color="auto"/>
            </w:tcBorders>
            <w:shd w:val="clear" w:color="auto" w:fill="auto"/>
            <w:noWrap/>
            <w:tcMar>
              <w:left w:w="0" w:type="dxa"/>
              <w:right w:w="0" w:type="dxa"/>
            </w:tcMar>
            <w:vAlign w:val="bottom"/>
          </w:tcPr>
          <w:p w14:paraId="25B1F74F" w14:textId="77777777" w:rsidR="00FC07F8" w:rsidRPr="003063F4" w:rsidRDefault="00FC07F8" w:rsidP="00FC07F8">
            <w:pPr>
              <w:suppressAutoHyphens/>
              <w:spacing w:before="40" w:after="40" w:line="210" w:lineRule="exact"/>
              <w:ind w:right="43"/>
              <w:jc w:val="right"/>
              <w:rPr>
                <w:sz w:val="17"/>
                <w:lang w:val="fr-FR"/>
              </w:rPr>
            </w:pPr>
          </w:p>
        </w:tc>
        <w:tc>
          <w:tcPr>
            <w:tcW w:w="1220" w:type="dxa"/>
            <w:tcBorders>
              <w:top w:val="single" w:sz="12" w:space="0" w:color="auto"/>
            </w:tcBorders>
            <w:shd w:val="clear" w:color="auto" w:fill="auto"/>
            <w:noWrap/>
            <w:tcMar>
              <w:left w:w="0" w:type="dxa"/>
              <w:right w:w="0" w:type="dxa"/>
            </w:tcMar>
            <w:vAlign w:val="bottom"/>
          </w:tcPr>
          <w:p w14:paraId="37695A3B" w14:textId="77777777" w:rsidR="00FC07F8" w:rsidRPr="003063F4" w:rsidRDefault="00FC07F8" w:rsidP="00FC07F8">
            <w:pPr>
              <w:suppressAutoHyphens/>
              <w:spacing w:before="40" w:after="40" w:line="210" w:lineRule="exact"/>
              <w:ind w:right="43"/>
              <w:jc w:val="right"/>
              <w:rPr>
                <w:sz w:val="17"/>
                <w:lang w:val="fr-FR"/>
              </w:rPr>
            </w:pPr>
          </w:p>
        </w:tc>
        <w:tc>
          <w:tcPr>
            <w:tcW w:w="1220" w:type="dxa"/>
            <w:tcBorders>
              <w:top w:val="single" w:sz="12" w:space="0" w:color="auto"/>
            </w:tcBorders>
            <w:shd w:val="clear" w:color="auto" w:fill="auto"/>
            <w:noWrap/>
            <w:tcMar>
              <w:left w:w="0" w:type="dxa"/>
              <w:right w:w="0" w:type="dxa"/>
            </w:tcMar>
            <w:vAlign w:val="bottom"/>
          </w:tcPr>
          <w:p w14:paraId="5FB75CAD" w14:textId="77777777" w:rsidR="00FC07F8" w:rsidRPr="003063F4" w:rsidRDefault="00FC07F8" w:rsidP="00FC07F8">
            <w:pPr>
              <w:suppressAutoHyphens/>
              <w:spacing w:before="40" w:after="40" w:line="210" w:lineRule="exact"/>
              <w:ind w:right="43"/>
              <w:jc w:val="right"/>
              <w:rPr>
                <w:sz w:val="17"/>
                <w:lang w:val="fr-FR"/>
              </w:rPr>
            </w:pPr>
          </w:p>
        </w:tc>
        <w:tc>
          <w:tcPr>
            <w:tcW w:w="1220" w:type="dxa"/>
            <w:tcBorders>
              <w:top w:val="single" w:sz="12" w:space="0" w:color="auto"/>
            </w:tcBorders>
            <w:shd w:val="clear" w:color="auto" w:fill="auto"/>
            <w:noWrap/>
            <w:tcMar>
              <w:left w:w="0" w:type="dxa"/>
              <w:right w:w="0" w:type="dxa"/>
            </w:tcMar>
            <w:vAlign w:val="bottom"/>
          </w:tcPr>
          <w:p w14:paraId="186B517C" w14:textId="77777777" w:rsidR="00FC07F8" w:rsidRPr="003063F4" w:rsidRDefault="00FC07F8" w:rsidP="00FC07F8">
            <w:pPr>
              <w:suppressAutoHyphens/>
              <w:spacing w:before="40" w:after="40" w:line="210" w:lineRule="exact"/>
              <w:ind w:right="43"/>
              <w:jc w:val="right"/>
              <w:rPr>
                <w:sz w:val="17"/>
                <w:lang w:val="fr-FR"/>
              </w:rPr>
            </w:pPr>
          </w:p>
        </w:tc>
      </w:tr>
      <w:tr w:rsidR="00FC07F8" w:rsidRPr="003063F4" w14:paraId="79EE2D0B" w14:textId="77777777" w:rsidTr="00FC07F8">
        <w:tc>
          <w:tcPr>
            <w:tcW w:w="1220" w:type="dxa"/>
            <w:shd w:val="clear" w:color="auto" w:fill="auto"/>
            <w:noWrap/>
            <w:tcMar>
              <w:left w:w="0" w:type="dxa"/>
              <w:right w:w="0" w:type="dxa"/>
            </w:tcMar>
            <w:vAlign w:val="bottom"/>
          </w:tcPr>
          <w:p w14:paraId="4081E3B4" w14:textId="77777777" w:rsidR="007435AC" w:rsidRPr="003063F4" w:rsidRDefault="007435AC" w:rsidP="00FC07F8">
            <w:pPr>
              <w:tabs>
                <w:tab w:val="left" w:pos="288"/>
                <w:tab w:val="left" w:pos="576"/>
                <w:tab w:val="left" w:pos="864"/>
                <w:tab w:val="left" w:pos="1152"/>
              </w:tabs>
              <w:suppressAutoHyphens/>
              <w:spacing w:before="40" w:after="40" w:line="210" w:lineRule="exact"/>
              <w:ind w:right="40"/>
              <w:rPr>
                <w:sz w:val="17"/>
                <w:lang w:val="fr-FR"/>
              </w:rPr>
            </w:pPr>
            <w:r w:rsidRPr="003063F4">
              <w:rPr>
                <w:sz w:val="17"/>
                <w:lang w:val="fr-FR"/>
              </w:rPr>
              <w:t>2017</w:t>
            </w:r>
          </w:p>
        </w:tc>
        <w:tc>
          <w:tcPr>
            <w:tcW w:w="1220" w:type="dxa"/>
            <w:shd w:val="clear" w:color="auto" w:fill="auto"/>
            <w:noWrap/>
            <w:tcMar>
              <w:left w:w="0" w:type="dxa"/>
              <w:right w:w="0" w:type="dxa"/>
            </w:tcMar>
            <w:vAlign w:val="bottom"/>
          </w:tcPr>
          <w:p w14:paraId="5209504C" w14:textId="77777777" w:rsidR="007435AC" w:rsidRPr="003063F4" w:rsidRDefault="007435AC" w:rsidP="00FC07F8">
            <w:pPr>
              <w:tabs>
                <w:tab w:val="left" w:pos="288"/>
                <w:tab w:val="left" w:pos="576"/>
                <w:tab w:val="left" w:pos="864"/>
                <w:tab w:val="left" w:pos="1152"/>
              </w:tabs>
              <w:suppressAutoHyphens/>
              <w:spacing w:before="40" w:after="40" w:line="210" w:lineRule="exact"/>
              <w:ind w:right="43"/>
              <w:jc w:val="right"/>
              <w:rPr>
                <w:sz w:val="17"/>
                <w:lang w:val="fr-FR"/>
              </w:rPr>
            </w:pPr>
            <w:r w:rsidRPr="003063F4">
              <w:rPr>
                <w:sz w:val="17"/>
                <w:lang w:val="fr-FR"/>
              </w:rPr>
              <w:t>36 245</w:t>
            </w:r>
          </w:p>
        </w:tc>
        <w:tc>
          <w:tcPr>
            <w:tcW w:w="1220" w:type="dxa"/>
            <w:shd w:val="clear" w:color="auto" w:fill="auto"/>
            <w:noWrap/>
            <w:tcMar>
              <w:left w:w="0" w:type="dxa"/>
              <w:right w:w="0" w:type="dxa"/>
            </w:tcMar>
            <w:vAlign w:val="bottom"/>
          </w:tcPr>
          <w:p w14:paraId="4A5A60A1" w14:textId="77777777" w:rsidR="007435AC" w:rsidRPr="003063F4" w:rsidRDefault="007435AC" w:rsidP="00FC07F8">
            <w:pPr>
              <w:tabs>
                <w:tab w:val="left" w:pos="288"/>
                <w:tab w:val="left" w:pos="576"/>
                <w:tab w:val="left" w:pos="864"/>
                <w:tab w:val="left" w:pos="1152"/>
              </w:tabs>
              <w:suppressAutoHyphens/>
              <w:spacing w:before="40" w:after="40" w:line="210" w:lineRule="exact"/>
              <w:ind w:right="43"/>
              <w:jc w:val="right"/>
              <w:rPr>
                <w:sz w:val="17"/>
                <w:lang w:val="fr-FR"/>
              </w:rPr>
            </w:pPr>
            <w:r w:rsidRPr="003063F4">
              <w:rPr>
                <w:sz w:val="17"/>
                <w:lang w:val="fr-FR"/>
              </w:rPr>
              <w:t>2 894</w:t>
            </w:r>
          </w:p>
        </w:tc>
        <w:tc>
          <w:tcPr>
            <w:tcW w:w="1220" w:type="dxa"/>
            <w:shd w:val="clear" w:color="auto" w:fill="auto"/>
            <w:noWrap/>
            <w:tcMar>
              <w:left w:w="0" w:type="dxa"/>
              <w:right w:w="0" w:type="dxa"/>
            </w:tcMar>
            <w:vAlign w:val="bottom"/>
          </w:tcPr>
          <w:p w14:paraId="0839E558" w14:textId="247845C4" w:rsidR="007435AC" w:rsidRPr="003063F4" w:rsidRDefault="008A1E34" w:rsidP="00FC07F8">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1220" w:type="dxa"/>
            <w:shd w:val="clear" w:color="auto" w:fill="auto"/>
            <w:noWrap/>
            <w:tcMar>
              <w:left w:w="0" w:type="dxa"/>
              <w:right w:w="0" w:type="dxa"/>
            </w:tcMar>
            <w:vAlign w:val="bottom"/>
          </w:tcPr>
          <w:p w14:paraId="3020272E" w14:textId="77777777" w:rsidR="007435AC" w:rsidRPr="003063F4" w:rsidRDefault="007435AC" w:rsidP="00FC07F8">
            <w:pPr>
              <w:tabs>
                <w:tab w:val="left" w:pos="288"/>
                <w:tab w:val="left" w:pos="576"/>
                <w:tab w:val="left" w:pos="864"/>
                <w:tab w:val="left" w:pos="1152"/>
              </w:tabs>
              <w:suppressAutoHyphens/>
              <w:spacing w:before="40" w:after="40" w:line="210" w:lineRule="exact"/>
              <w:ind w:right="43"/>
              <w:jc w:val="right"/>
              <w:rPr>
                <w:sz w:val="17"/>
                <w:lang w:val="fr-FR"/>
              </w:rPr>
            </w:pPr>
            <w:r w:rsidRPr="003063F4">
              <w:rPr>
                <w:sz w:val="17"/>
                <w:lang w:val="fr-FR"/>
              </w:rPr>
              <w:t>1 011</w:t>
            </w:r>
          </w:p>
        </w:tc>
        <w:tc>
          <w:tcPr>
            <w:tcW w:w="1220" w:type="dxa"/>
            <w:shd w:val="clear" w:color="auto" w:fill="auto"/>
            <w:noWrap/>
            <w:tcMar>
              <w:left w:w="0" w:type="dxa"/>
              <w:right w:w="0" w:type="dxa"/>
            </w:tcMar>
            <w:vAlign w:val="bottom"/>
          </w:tcPr>
          <w:p w14:paraId="5C8BCAC1" w14:textId="351926D4" w:rsidR="007435AC" w:rsidRPr="003063F4" w:rsidRDefault="008A1E34" w:rsidP="00FC07F8">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r>
      <w:tr w:rsidR="007435AC" w:rsidRPr="003063F4" w14:paraId="67C43501" w14:textId="77777777" w:rsidTr="00FC07F8">
        <w:tc>
          <w:tcPr>
            <w:tcW w:w="1220" w:type="dxa"/>
            <w:shd w:val="clear" w:color="auto" w:fill="auto"/>
            <w:noWrap/>
            <w:tcMar>
              <w:left w:w="0" w:type="dxa"/>
              <w:right w:w="0" w:type="dxa"/>
            </w:tcMar>
            <w:vAlign w:val="bottom"/>
          </w:tcPr>
          <w:p w14:paraId="41430485" w14:textId="77777777" w:rsidR="007435AC" w:rsidRPr="003063F4" w:rsidRDefault="007435AC" w:rsidP="00FC07F8">
            <w:pPr>
              <w:tabs>
                <w:tab w:val="left" w:pos="288"/>
                <w:tab w:val="left" w:pos="576"/>
                <w:tab w:val="left" w:pos="864"/>
                <w:tab w:val="left" w:pos="1152"/>
              </w:tabs>
              <w:suppressAutoHyphens/>
              <w:spacing w:before="40" w:after="40" w:line="210" w:lineRule="exact"/>
              <w:ind w:right="40"/>
              <w:rPr>
                <w:sz w:val="17"/>
                <w:lang w:val="fr-FR"/>
              </w:rPr>
            </w:pPr>
            <w:r w:rsidRPr="003063F4">
              <w:rPr>
                <w:sz w:val="17"/>
                <w:lang w:val="fr-FR"/>
              </w:rPr>
              <w:t>2018</w:t>
            </w:r>
          </w:p>
        </w:tc>
        <w:tc>
          <w:tcPr>
            <w:tcW w:w="1220" w:type="dxa"/>
            <w:shd w:val="clear" w:color="auto" w:fill="auto"/>
            <w:noWrap/>
            <w:tcMar>
              <w:left w:w="0" w:type="dxa"/>
              <w:right w:w="0" w:type="dxa"/>
            </w:tcMar>
            <w:vAlign w:val="bottom"/>
          </w:tcPr>
          <w:p w14:paraId="4311302B" w14:textId="77777777" w:rsidR="007435AC" w:rsidRPr="003063F4" w:rsidRDefault="007435AC" w:rsidP="00FC07F8">
            <w:pPr>
              <w:tabs>
                <w:tab w:val="left" w:pos="288"/>
                <w:tab w:val="left" w:pos="576"/>
                <w:tab w:val="left" w:pos="864"/>
                <w:tab w:val="left" w:pos="1152"/>
              </w:tabs>
              <w:suppressAutoHyphens/>
              <w:spacing w:before="40" w:after="40" w:line="210" w:lineRule="exact"/>
              <w:ind w:right="43"/>
              <w:jc w:val="right"/>
              <w:rPr>
                <w:sz w:val="17"/>
                <w:lang w:val="fr-FR"/>
              </w:rPr>
            </w:pPr>
            <w:r w:rsidRPr="003063F4">
              <w:rPr>
                <w:sz w:val="17"/>
                <w:lang w:val="fr-FR"/>
              </w:rPr>
              <w:t>38 445</w:t>
            </w:r>
          </w:p>
        </w:tc>
        <w:tc>
          <w:tcPr>
            <w:tcW w:w="1220" w:type="dxa"/>
            <w:shd w:val="clear" w:color="auto" w:fill="auto"/>
            <w:noWrap/>
            <w:tcMar>
              <w:left w:w="0" w:type="dxa"/>
              <w:right w:w="0" w:type="dxa"/>
            </w:tcMar>
            <w:vAlign w:val="bottom"/>
          </w:tcPr>
          <w:p w14:paraId="0571B0E6" w14:textId="77777777" w:rsidR="007435AC" w:rsidRPr="003063F4" w:rsidRDefault="007435AC" w:rsidP="00FC07F8">
            <w:pPr>
              <w:tabs>
                <w:tab w:val="left" w:pos="288"/>
                <w:tab w:val="left" w:pos="576"/>
                <w:tab w:val="left" w:pos="864"/>
                <w:tab w:val="left" w:pos="1152"/>
              </w:tabs>
              <w:suppressAutoHyphens/>
              <w:spacing w:before="40" w:after="40" w:line="210" w:lineRule="exact"/>
              <w:ind w:right="43"/>
              <w:jc w:val="right"/>
              <w:rPr>
                <w:sz w:val="17"/>
                <w:lang w:val="fr-FR"/>
              </w:rPr>
            </w:pPr>
            <w:r w:rsidRPr="003063F4">
              <w:rPr>
                <w:sz w:val="17"/>
                <w:lang w:val="fr-FR"/>
              </w:rPr>
              <w:t>3 775</w:t>
            </w:r>
          </w:p>
        </w:tc>
        <w:tc>
          <w:tcPr>
            <w:tcW w:w="1220" w:type="dxa"/>
            <w:shd w:val="clear" w:color="auto" w:fill="auto"/>
            <w:noWrap/>
            <w:tcMar>
              <w:left w:w="0" w:type="dxa"/>
              <w:right w:w="0" w:type="dxa"/>
            </w:tcMar>
            <w:vAlign w:val="bottom"/>
          </w:tcPr>
          <w:p w14:paraId="759C21C5" w14:textId="20F35674" w:rsidR="007435AC" w:rsidRPr="003063F4" w:rsidRDefault="008A1E34" w:rsidP="00FC07F8">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1220" w:type="dxa"/>
            <w:shd w:val="clear" w:color="auto" w:fill="auto"/>
            <w:noWrap/>
            <w:tcMar>
              <w:left w:w="0" w:type="dxa"/>
              <w:right w:w="0" w:type="dxa"/>
            </w:tcMar>
            <w:vAlign w:val="bottom"/>
          </w:tcPr>
          <w:p w14:paraId="01C887F1" w14:textId="77777777" w:rsidR="007435AC" w:rsidRPr="003063F4" w:rsidRDefault="007435AC" w:rsidP="00FC07F8">
            <w:pPr>
              <w:tabs>
                <w:tab w:val="left" w:pos="288"/>
                <w:tab w:val="left" w:pos="576"/>
                <w:tab w:val="left" w:pos="864"/>
                <w:tab w:val="left" w:pos="1152"/>
              </w:tabs>
              <w:suppressAutoHyphens/>
              <w:spacing w:before="40" w:after="40" w:line="210" w:lineRule="exact"/>
              <w:ind w:right="43"/>
              <w:jc w:val="right"/>
              <w:rPr>
                <w:sz w:val="17"/>
                <w:lang w:val="fr-FR"/>
              </w:rPr>
            </w:pPr>
            <w:r w:rsidRPr="003063F4">
              <w:rPr>
                <w:sz w:val="17"/>
                <w:lang w:val="fr-FR"/>
              </w:rPr>
              <w:t>1 424</w:t>
            </w:r>
          </w:p>
        </w:tc>
        <w:tc>
          <w:tcPr>
            <w:tcW w:w="1220" w:type="dxa"/>
            <w:shd w:val="clear" w:color="auto" w:fill="auto"/>
            <w:noWrap/>
            <w:tcMar>
              <w:left w:w="0" w:type="dxa"/>
              <w:right w:w="0" w:type="dxa"/>
            </w:tcMar>
            <w:vAlign w:val="bottom"/>
          </w:tcPr>
          <w:p w14:paraId="0513E852" w14:textId="324865E6" w:rsidR="007435AC" w:rsidRPr="003063F4" w:rsidRDefault="008A1E34" w:rsidP="00FC07F8">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r>
      <w:tr w:rsidR="00FC07F8" w:rsidRPr="003063F4" w14:paraId="2A1A995A" w14:textId="77777777" w:rsidTr="00FC07F8">
        <w:tc>
          <w:tcPr>
            <w:tcW w:w="1220" w:type="dxa"/>
            <w:tcBorders>
              <w:bottom w:val="single" w:sz="12" w:space="0" w:color="auto"/>
            </w:tcBorders>
            <w:shd w:val="clear" w:color="auto" w:fill="auto"/>
            <w:noWrap/>
            <w:tcMar>
              <w:left w:w="0" w:type="dxa"/>
              <w:right w:w="0" w:type="dxa"/>
            </w:tcMar>
            <w:vAlign w:val="bottom"/>
          </w:tcPr>
          <w:p w14:paraId="6D32666E" w14:textId="77777777" w:rsidR="007435AC" w:rsidRPr="003063F4" w:rsidRDefault="007435AC" w:rsidP="00FC07F8">
            <w:pPr>
              <w:tabs>
                <w:tab w:val="left" w:pos="288"/>
                <w:tab w:val="left" w:pos="576"/>
                <w:tab w:val="left" w:pos="864"/>
                <w:tab w:val="left" w:pos="1152"/>
              </w:tabs>
              <w:suppressAutoHyphens/>
              <w:spacing w:before="40" w:after="40" w:line="210" w:lineRule="exact"/>
              <w:ind w:right="40"/>
              <w:rPr>
                <w:sz w:val="17"/>
                <w:lang w:val="fr-FR"/>
              </w:rPr>
            </w:pPr>
            <w:r w:rsidRPr="003063F4">
              <w:rPr>
                <w:sz w:val="17"/>
                <w:lang w:val="fr-FR"/>
              </w:rPr>
              <w:t>2019</w:t>
            </w:r>
          </w:p>
        </w:tc>
        <w:tc>
          <w:tcPr>
            <w:tcW w:w="1220" w:type="dxa"/>
            <w:tcBorders>
              <w:bottom w:val="single" w:sz="12" w:space="0" w:color="auto"/>
            </w:tcBorders>
            <w:shd w:val="clear" w:color="auto" w:fill="auto"/>
            <w:noWrap/>
            <w:tcMar>
              <w:left w:w="0" w:type="dxa"/>
              <w:right w:w="0" w:type="dxa"/>
            </w:tcMar>
            <w:vAlign w:val="bottom"/>
          </w:tcPr>
          <w:p w14:paraId="41907D47" w14:textId="77777777" w:rsidR="007435AC" w:rsidRPr="003063F4" w:rsidRDefault="007435AC" w:rsidP="00FC07F8">
            <w:pPr>
              <w:tabs>
                <w:tab w:val="left" w:pos="288"/>
                <w:tab w:val="left" w:pos="576"/>
                <w:tab w:val="left" w:pos="864"/>
                <w:tab w:val="left" w:pos="1152"/>
              </w:tabs>
              <w:suppressAutoHyphens/>
              <w:spacing w:before="40" w:after="40" w:line="210" w:lineRule="exact"/>
              <w:ind w:right="43"/>
              <w:jc w:val="right"/>
              <w:rPr>
                <w:sz w:val="17"/>
                <w:lang w:val="fr-FR"/>
              </w:rPr>
            </w:pPr>
            <w:r w:rsidRPr="003063F4">
              <w:rPr>
                <w:sz w:val="17"/>
                <w:lang w:val="fr-FR"/>
              </w:rPr>
              <w:t>16 585</w:t>
            </w:r>
          </w:p>
        </w:tc>
        <w:tc>
          <w:tcPr>
            <w:tcW w:w="1220" w:type="dxa"/>
            <w:tcBorders>
              <w:bottom w:val="single" w:sz="12" w:space="0" w:color="auto"/>
            </w:tcBorders>
            <w:shd w:val="clear" w:color="auto" w:fill="auto"/>
            <w:noWrap/>
            <w:tcMar>
              <w:left w:w="0" w:type="dxa"/>
              <w:right w:w="0" w:type="dxa"/>
            </w:tcMar>
            <w:vAlign w:val="bottom"/>
          </w:tcPr>
          <w:p w14:paraId="5F22D53F" w14:textId="77777777" w:rsidR="007435AC" w:rsidRPr="003063F4" w:rsidRDefault="007435AC" w:rsidP="00FC07F8">
            <w:pPr>
              <w:tabs>
                <w:tab w:val="left" w:pos="288"/>
                <w:tab w:val="left" w:pos="576"/>
                <w:tab w:val="left" w:pos="864"/>
                <w:tab w:val="left" w:pos="1152"/>
              </w:tabs>
              <w:suppressAutoHyphens/>
              <w:spacing w:before="40" w:after="40" w:line="210" w:lineRule="exact"/>
              <w:ind w:right="43"/>
              <w:jc w:val="right"/>
              <w:rPr>
                <w:sz w:val="17"/>
                <w:lang w:val="fr-FR"/>
              </w:rPr>
            </w:pPr>
            <w:r w:rsidRPr="003063F4">
              <w:rPr>
                <w:sz w:val="17"/>
                <w:lang w:val="fr-FR"/>
              </w:rPr>
              <w:t>3 016</w:t>
            </w:r>
          </w:p>
        </w:tc>
        <w:tc>
          <w:tcPr>
            <w:tcW w:w="1220" w:type="dxa"/>
            <w:tcBorders>
              <w:bottom w:val="single" w:sz="12" w:space="0" w:color="auto"/>
            </w:tcBorders>
            <w:shd w:val="clear" w:color="auto" w:fill="auto"/>
            <w:noWrap/>
            <w:tcMar>
              <w:left w:w="0" w:type="dxa"/>
              <w:right w:w="0" w:type="dxa"/>
            </w:tcMar>
            <w:vAlign w:val="bottom"/>
          </w:tcPr>
          <w:p w14:paraId="565BC487" w14:textId="77777777" w:rsidR="007435AC" w:rsidRPr="003063F4" w:rsidRDefault="007435AC" w:rsidP="00FC07F8">
            <w:pPr>
              <w:tabs>
                <w:tab w:val="left" w:pos="288"/>
                <w:tab w:val="left" w:pos="576"/>
                <w:tab w:val="left" w:pos="864"/>
                <w:tab w:val="left" w:pos="1152"/>
              </w:tabs>
              <w:suppressAutoHyphens/>
              <w:spacing w:before="40" w:after="40" w:line="210" w:lineRule="exact"/>
              <w:ind w:right="43"/>
              <w:jc w:val="right"/>
              <w:rPr>
                <w:sz w:val="17"/>
                <w:lang w:val="fr-FR"/>
              </w:rPr>
            </w:pPr>
            <w:r w:rsidRPr="003063F4">
              <w:rPr>
                <w:sz w:val="17"/>
                <w:lang w:val="fr-FR"/>
              </w:rPr>
              <w:t>3 034</w:t>
            </w:r>
          </w:p>
        </w:tc>
        <w:tc>
          <w:tcPr>
            <w:tcW w:w="1220" w:type="dxa"/>
            <w:tcBorders>
              <w:bottom w:val="single" w:sz="12" w:space="0" w:color="auto"/>
            </w:tcBorders>
            <w:shd w:val="clear" w:color="auto" w:fill="auto"/>
            <w:noWrap/>
            <w:tcMar>
              <w:left w:w="0" w:type="dxa"/>
              <w:right w:w="0" w:type="dxa"/>
            </w:tcMar>
            <w:vAlign w:val="bottom"/>
          </w:tcPr>
          <w:p w14:paraId="198F4570" w14:textId="77777777" w:rsidR="007435AC" w:rsidRPr="003063F4" w:rsidRDefault="007435AC" w:rsidP="00FC07F8">
            <w:pPr>
              <w:tabs>
                <w:tab w:val="left" w:pos="288"/>
                <w:tab w:val="left" w:pos="576"/>
                <w:tab w:val="left" w:pos="864"/>
                <w:tab w:val="left" w:pos="1152"/>
              </w:tabs>
              <w:suppressAutoHyphens/>
              <w:spacing w:before="40" w:after="40" w:line="210" w:lineRule="exact"/>
              <w:ind w:right="43"/>
              <w:jc w:val="right"/>
              <w:rPr>
                <w:sz w:val="17"/>
                <w:lang w:val="fr-FR"/>
              </w:rPr>
            </w:pPr>
            <w:r w:rsidRPr="003063F4">
              <w:rPr>
                <w:sz w:val="17"/>
                <w:lang w:val="fr-FR"/>
              </w:rPr>
              <w:t>766</w:t>
            </w:r>
          </w:p>
        </w:tc>
        <w:tc>
          <w:tcPr>
            <w:tcW w:w="1220" w:type="dxa"/>
            <w:tcBorders>
              <w:bottom w:val="single" w:sz="12" w:space="0" w:color="auto"/>
            </w:tcBorders>
            <w:shd w:val="clear" w:color="auto" w:fill="auto"/>
            <w:noWrap/>
            <w:tcMar>
              <w:left w:w="0" w:type="dxa"/>
              <w:right w:w="0" w:type="dxa"/>
            </w:tcMar>
            <w:vAlign w:val="bottom"/>
          </w:tcPr>
          <w:p w14:paraId="28679DB9" w14:textId="77777777" w:rsidR="007435AC" w:rsidRPr="003063F4" w:rsidRDefault="007435AC" w:rsidP="00FC07F8">
            <w:pPr>
              <w:tabs>
                <w:tab w:val="left" w:pos="288"/>
                <w:tab w:val="left" w:pos="576"/>
                <w:tab w:val="left" w:pos="864"/>
                <w:tab w:val="left" w:pos="1152"/>
              </w:tabs>
              <w:suppressAutoHyphens/>
              <w:spacing w:before="40" w:after="40" w:line="210" w:lineRule="exact"/>
              <w:ind w:right="43"/>
              <w:jc w:val="right"/>
              <w:rPr>
                <w:sz w:val="17"/>
                <w:lang w:val="fr-FR"/>
              </w:rPr>
            </w:pPr>
            <w:r w:rsidRPr="003063F4">
              <w:rPr>
                <w:sz w:val="17"/>
                <w:lang w:val="fr-FR"/>
              </w:rPr>
              <w:t>236</w:t>
            </w:r>
          </w:p>
        </w:tc>
      </w:tr>
    </w:tbl>
    <w:p w14:paraId="6636CCC1" w14:textId="4580E4CE" w:rsidR="0050272D" w:rsidRPr="003063F4" w:rsidRDefault="0050272D" w:rsidP="00FC07F8">
      <w:pPr>
        <w:pStyle w:val="SingleTxt"/>
        <w:spacing w:after="0" w:line="120" w:lineRule="exact"/>
        <w:rPr>
          <w:sz w:val="10"/>
          <w:lang w:val="fr-FR"/>
        </w:rPr>
      </w:pPr>
    </w:p>
    <w:p w14:paraId="3CC742BE" w14:textId="5C529929" w:rsidR="007435AC" w:rsidRPr="003063F4" w:rsidRDefault="00FC07F8" w:rsidP="00FC07F8">
      <w:pPr>
        <w:pStyle w:val="FootnoteText"/>
        <w:tabs>
          <w:tab w:val="right" w:pos="1476"/>
          <w:tab w:val="left" w:pos="1548"/>
          <w:tab w:val="right" w:pos="1836"/>
          <w:tab w:val="left" w:pos="1908"/>
        </w:tabs>
        <w:ind w:left="1548" w:right="1267" w:hanging="288"/>
        <w:rPr>
          <w:w w:val="100"/>
          <w:lang w:val="fr-FR"/>
        </w:rPr>
      </w:pPr>
      <w:r w:rsidRPr="003063F4">
        <w:rPr>
          <w:lang w:val="fr-FR"/>
        </w:rPr>
        <w:tab/>
      </w:r>
      <w:r w:rsidR="007435AC" w:rsidRPr="003063F4">
        <w:rPr>
          <w:i/>
          <w:iCs/>
          <w:lang w:val="fr-FR"/>
        </w:rPr>
        <w:t>*</w:t>
      </w:r>
      <w:r w:rsidRPr="003063F4">
        <w:rPr>
          <w:lang w:val="fr-FR"/>
        </w:rPr>
        <w:tab/>
      </w:r>
      <w:r w:rsidR="007435AC" w:rsidRPr="003063F4">
        <w:rPr>
          <w:w w:val="100"/>
          <w:lang w:val="fr-FR"/>
        </w:rPr>
        <w:t>Les données statistiques relatives aux ordonnances de protection provisoire ne sont disponibles qu</w:t>
      </w:r>
      <w:r w:rsidR="00010994" w:rsidRPr="003063F4">
        <w:rPr>
          <w:w w:val="100"/>
          <w:lang w:val="fr-FR"/>
        </w:rPr>
        <w:t>’</w:t>
      </w:r>
      <w:r w:rsidR="007435AC" w:rsidRPr="003063F4">
        <w:rPr>
          <w:w w:val="100"/>
          <w:lang w:val="fr-FR"/>
        </w:rPr>
        <w:t>à partir de 2019, cet instrument n</w:t>
      </w:r>
      <w:r w:rsidR="00010994" w:rsidRPr="003063F4">
        <w:rPr>
          <w:w w:val="100"/>
          <w:lang w:val="fr-FR"/>
        </w:rPr>
        <w:t>’</w:t>
      </w:r>
      <w:r w:rsidR="007435AC" w:rsidRPr="003063F4">
        <w:rPr>
          <w:w w:val="100"/>
          <w:lang w:val="fr-FR"/>
        </w:rPr>
        <w:t>ayant été créé en Roumanie qu</w:t>
      </w:r>
      <w:r w:rsidR="00010994" w:rsidRPr="003063F4">
        <w:rPr>
          <w:w w:val="100"/>
          <w:lang w:val="fr-FR"/>
        </w:rPr>
        <w:t>’</w:t>
      </w:r>
      <w:r w:rsidR="007435AC" w:rsidRPr="003063F4">
        <w:rPr>
          <w:w w:val="100"/>
          <w:lang w:val="fr-FR"/>
        </w:rPr>
        <w:t>en 2018, dans le cadre de la modification de la législation visant à lutter contre la violence sexiste.</w:t>
      </w:r>
    </w:p>
    <w:p w14:paraId="77FF9B25" w14:textId="04886B6D" w:rsidR="00FC07F8" w:rsidRPr="003063F4" w:rsidRDefault="00FC07F8" w:rsidP="007B3084">
      <w:pPr>
        <w:pStyle w:val="FootnoteText"/>
        <w:tabs>
          <w:tab w:val="right" w:pos="1476"/>
          <w:tab w:val="left" w:pos="1548"/>
          <w:tab w:val="right" w:pos="1836"/>
          <w:tab w:val="left" w:pos="1908"/>
        </w:tabs>
        <w:spacing w:line="120" w:lineRule="exact"/>
        <w:ind w:left="1548" w:right="1267" w:hanging="288"/>
        <w:rPr>
          <w:sz w:val="10"/>
          <w:lang w:val="fr-FR"/>
        </w:rPr>
      </w:pPr>
    </w:p>
    <w:p w14:paraId="008DEBC0" w14:textId="5F99CC3C" w:rsidR="007B3084" w:rsidRPr="003063F4" w:rsidRDefault="007B3084" w:rsidP="007B3084">
      <w:pPr>
        <w:pStyle w:val="FootnoteText"/>
        <w:tabs>
          <w:tab w:val="right" w:pos="1476"/>
          <w:tab w:val="left" w:pos="1548"/>
          <w:tab w:val="right" w:pos="1836"/>
          <w:tab w:val="left" w:pos="1908"/>
        </w:tabs>
        <w:spacing w:line="120" w:lineRule="exact"/>
        <w:ind w:left="1548" w:right="1267" w:hanging="288"/>
        <w:rPr>
          <w:sz w:val="10"/>
          <w:lang w:val="fr-FR"/>
        </w:rPr>
      </w:pPr>
    </w:p>
    <w:p w14:paraId="43585A20" w14:textId="7B36A493" w:rsidR="007435AC" w:rsidRPr="003063F4" w:rsidRDefault="007435AC" w:rsidP="007435AC">
      <w:pPr>
        <w:pStyle w:val="SingleTxt"/>
        <w:numPr>
          <w:ilvl w:val="0"/>
          <w:numId w:val="44"/>
        </w:numPr>
        <w:spacing w:line="240" w:lineRule="exact"/>
        <w:ind w:left="1267"/>
        <w:rPr>
          <w:lang w:val="fr-FR"/>
        </w:rPr>
      </w:pPr>
      <w:r w:rsidRPr="003063F4">
        <w:rPr>
          <w:lang w:val="fr-FR"/>
        </w:rPr>
        <w:t>On trouvera ci-après des informations sur le nombre total de cas de violence familiale pour lesquels une assistance des services sociaux a été demandée et accordée et qui ont été centralisés par l</w:t>
      </w:r>
      <w:r w:rsidR="00010994" w:rsidRPr="003063F4">
        <w:rPr>
          <w:lang w:val="fr-FR"/>
        </w:rPr>
        <w:t>’</w:t>
      </w:r>
      <w:r w:rsidRPr="003063F4">
        <w:rPr>
          <w:lang w:val="fr-FR"/>
        </w:rPr>
        <w:t>Agence nationale pour l</w:t>
      </w:r>
      <w:r w:rsidR="00010994" w:rsidRPr="003063F4">
        <w:rPr>
          <w:lang w:val="fr-FR"/>
        </w:rPr>
        <w:t>’</w:t>
      </w:r>
      <w:r w:rsidRPr="003063F4">
        <w:rPr>
          <w:lang w:val="fr-FR"/>
        </w:rPr>
        <w:t>égalité des chances entre les femmes et les hommes pendant la période 2017-2018</w:t>
      </w:r>
      <w:r w:rsidR="00010994" w:rsidRPr="003063F4">
        <w:rPr>
          <w:lang w:val="fr-FR"/>
        </w:rPr>
        <w:t> :</w:t>
      </w:r>
    </w:p>
    <w:p w14:paraId="2F865511" w14:textId="5BFA195D" w:rsidR="007435AC" w:rsidRPr="003063F4" w:rsidRDefault="00D66CB3" w:rsidP="00D66CB3">
      <w:pPr>
        <w:pStyle w:val="SingleTxt"/>
        <w:tabs>
          <w:tab w:val="right" w:pos="1685"/>
        </w:tabs>
        <w:ind w:left="1742" w:hanging="475"/>
        <w:rPr>
          <w:lang w:val="fr-FR"/>
        </w:rPr>
      </w:pPr>
      <w:r w:rsidRPr="003063F4">
        <w:rPr>
          <w:lang w:val="fr-FR"/>
        </w:rPr>
        <w:tab/>
      </w:r>
      <w:r w:rsidR="007435AC" w:rsidRPr="003063F4">
        <w:rPr>
          <w:lang w:val="fr-FR"/>
        </w:rPr>
        <w:t>•</w:t>
      </w:r>
      <w:r w:rsidR="007435AC" w:rsidRPr="003063F4">
        <w:rPr>
          <w:lang w:val="fr-FR"/>
        </w:rPr>
        <w:tab/>
        <w:t>En 2017, 13 102 cas ont été rapportés. Ils concernaient 1 927 femmes et 141 hommes adultes, ainsi que 11 034 mineures et mineurs âgés de 1 à 17 ans</w:t>
      </w:r>
      <w:r w:rsidR="00010994" w:rsidRPr="003063F4">
        <w:rPr>
          <w:lang w:val="fr-FR"/>
        </w:rPr>
        <w:t> ;</w:t>
      </w:r>
    </w:p>
    <w:p w14:paraId="4F7A460A" w14:textId="5E91D677" w:rsidR="007435AC" w:rsidRPr="003063F4" w:rsidRDefault="00D66CB3" w:rsidP="00D66CB3">
      <w:pPr>
        <w:pStyle w:val="SingleTxt"/>
        <w:tabs>
          <w:tab w:val="right" w:pos="1685"/>
        </w:tabs>
        <w:ind w:left="1742" w:hanging="475"/>
        <w:rPr>
          <w:lang w:val="fr-FR"/>
        </w:rPr>
      </w:pPr>
      <w:r w:rsidRPr="003063F4">
        <w:rPr>
          <w:lang w:val="fr-FR"/>
        </w:rPr>
        <w:tab/>
      </w:r>
      <w:r w:rsidR="007435AC" w:rsidRPr="003063F4">
        <w:rPr>
          <w:lang w:val="fr-FR"/>
        </w:rPr>
        <w:t>•</w:t>
      </w:r>
      <w:r w:rsidR="007435AC" w:rsidRPr="003063F4">
        <w:rPr>
          <w:lang w:val="fr-FR"/>
        </w:rPr>
        <w:tab/>
        <w:t>En 2018, 13 182 cas ont été rapportés. Ils concernaient 2 149 femmes et 172 hommes adultes, ainsi que 10 861 mineures et mineurs âgés de 1 à 17 ans.</w:t>
      </w:r>
    </w:p>
    <w:p w14:paraId="20DDD7CF" w14:textId="19A34957" w:rsidR="007435AC" w:rsidRPr="003063F4" w:rsidRDefault="007435AC" w:rsidP="00D66CB3">
      <w:pPr>
        <w:pStyle w:val="SingleTxt"/>
        <w:numPr>
          <w:ilvl w:val="0"/>
          <w:numId w:val="44"/>
        </w:numPr>
        <w:tabs>
          <w:tab w:val="right" w:pos="1685"/>
        </w:tabs>
        <w:spacing w:line="240" w:lineRule="exact"/>
        <w:ind w:left="1267"/>
        <w:rPr>
          <w:lang w:val="fr-FR"/>
        </w:rPr>
      </w:pPr>
      <w:r w:rsidRPr="003063F4">
        <w:rPr>
          <w:lang w:val="fr-FR"/>
        </w:rPr>
        <w:t>Selon les données disponibles concernant les activités menées par le Bureau du Procureur près la Haute Cour de justice et de cassation, le nombre de prévenus renvoyés en jugement pour des faits relevant de la violence domestique est le suivant</w:t>
      </w:r>
      <w:r w:rsidR="00010994" w:rsidRPr="003063F4">
        <w:rPr>
          <w:lang w:val="fr-FR"/>
        </w:rPr>
        <w:t> :</w:t>
      </w:r>
    </w:p>
    <w:p w14:paraId="79ACE26F" w14:textId="687217DD" w:rsidR="007435AC" w:rsidRPr="003063F4" w:rsidRDefault="00D66CB3" w:rsidP="00D66CB3">
      <w:pPr>
        <w:pStyle w:val="SingleTxt"/>
        <w:tabs>
          <w:tab w:val="right" w:pos="1685"/>
        </w:tabs>
        <w:ind w:left="1742" w:hanging="475"/>
        <w:rPr>
          <w:lang w:val="fr-FR"/>
        </w:rPr>
      </w:pPr>
      <w:r w:rsidRPr="003063F4">
        <w:rPr>
          <w:lang w:val="fr-FR"/>
        </w:rPr>
        <w:tab/>
      </w:r>
      <w:r w:rsidR="007435AC" w:rsidRPr="003063F4">
        <w:rPr>
          <w:lang w:val="fr-FR"/>
        </w:rPr>
        <w:t>•</w:t>
      </w:r>
      <w:r w:rsidR="007435AC" w:rsidRPr="003063F4">
        <w:rPr>
          <w:lang w:val="fr-FR"/>
        </w:rPr>
        <w:tab/>
        <w:t>En 2017, 1 491 prévenus ont été inculpés, soit 2,5 % du nombre total des personnes mises en examen, et il y a eu 1 766 victimes de violence familiale, dont 794 avaient moins de 18 ans</w:t>
      </w:r>
      <w:r w:rsidR="00010994" w:rsidRPr="003063F4">
        <w:rPr>
          <w:lang w:val="fr-FR"/>
        </w:rPr>
        <w:t> ;</w:t>
      </w:r>
    </w:p>
    <w:p w14:paraId="2901BAAC" w14:textId="1BA4FB12" w:rsidR="007435AC" w:rsidRPr="003063F4" w:rsidRDefault="00D66CB3" w:rsidP="00D66CB3">
      <w:pPr>
        <w:pStyle w:val="SingleTxt"/>
        <w:tabs>
          <w:tab w:val="right" w:pos="1685"/>
        </w:tabs>
        <w:ind w:left="1742" w:hanging="475"/>
        <w:rPr>
          <w:lang w:val="fr-FR"/>
        </w:rPr>
      </w:pPr>
      <w:r w:rsidRPr="003063F4">
        <w:rPr>
          <w:lang w:val="fr-FR"/>
        </w:rPr>
        <w:tab/>
      </w:r>
      <w:r w:rsidR="007435AC" w:rsidRPr="003063F4">
        <w:rPr>
          <w:lang w:val="fr-FR"/>
        </w:rPr>
        <w:t>•</w:t>
      </w:r>
      <w:r w:rsidR="007435AC" w:rsidRPr="003063F4">
        <w:rPr>
          <w:lang w:val="fr-FR"/>
        </w:rPr>
        <w:tab/>
        <w:t>En 2018, 1 360 prévenus ont été inculpés et il y a eu 1 647 victimes de violence familiale.</w:t>
      </w:r>
    </w:p>
    <w:p w14:paraId="5B9F219E" w14:textId="02D998EC" w:rsidR="007435AC" w:rsidRPr="003063F4" w:rsidRDefault="007435AC" w:rsidP="007435AC">
      <w:pPr>
        <w:pStyle w:val="SingleTxt"/>
        <w:spacing w:after="0" w:line="120" w:lineRule="exact"/>
        <w:rPr>
          <w:sz w:val="10"/>
          <w:lang w:val="fr-FR"/>
        </w:rPr>
      </w:pPr>
    </w:p>
    <w:p w14:paraId="220FF53E" w14:textId="6D135A41" w:rsidR="007435AC" w:rsidRPr="003063F4" w:rsidRDefault="007435AC" w:rsidP="00743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63F4">
        <w:rPr>
          <w:lang w:val="fr-FR"/>
        </w:rPr>
        <w:tab/>
      </w:r>
      <w:r w:rsidRPr="003063F4">
        <w:rPr>
          <w:lang w:val="fr-FR"/>
        </w:rPr>
        <w:tab/>
        <w:t xml:space="preserve">Suite donnée aux recommandations formulées au </w:t>
      </w:r>
      <w:r w:rsidRPr="003063F4">
        <w:rPr>
          <w:bCs/>
          <w:lang w:val="fr-FR"/>
        </w:rPr>
        <w:t>paragraphe 19 b) des</w:t>
      </w:r>
      <w:r w:rsidR="002561C4" w:rsidRPr="003063F4">
        <w:rPr>
          <w:bCs/>
          <w:lang w:val="fr-FR"/>
        </w:rPr>
        <w:t> </w:t>
      </w:r>
      <w:r w:rsidRPr="003063F4">
        <w:rPr>
          <w:bCs/>
          <w:lang w:val="fr-FR"/>
        </w:rPr>
        <w:t>observations finales</w:t>
      </w:r>
      <w:r w:rsidRPr="003063F4">
        <w:rPr>
          <w:lang w:val="fr-FR"/>
        </w:rPr>
        <w:t xml:space="preserve"> </w:t>
      </w:r>
    </w:p>
    <w:p w14:paraId="3C4A07C2" w14:textId="7F1879A3" w:rsidR="007435AC" w:rsidRPr="003063F4" w:rsidRDefault="007435AC" w:rsidP="007435AC">
      <w:pPr>
        <w:pStyle w:val="SingleTxt"/>
        <w:spacing w:after="0" w:line="120" w:lineRule="exact"/>
        <w:rPr>
          <w:sz w:val="10"/>
          <w:lang w:val="fr-FR"/>
        </w:rPr>
      </w:pPr>
    </w:p>
    <w:p w14:paraId="59401DDE" w14:textId="6F3BA647" w:rsidR="007435AC" w:rsidRPr="003063F4" w:rsidRDefault="007435AC" w:rsidP="007435AC">
      <w:pPr>
        <w:pStyle w:val="SingleTxt"/>
        <w:numPr>
          <w:ilvl w:val="0"/>
          <w:numId w:val="44"/>
        </w:numPr>
        <w:spacing w:line="240" w:lineRule="exact"/>
        <w:ind w:left="1267"/>
        <w:rPr>
          <w:lang w:val="fr-FR"/>
        </w:rPr>
      </w:pPr>
      <w:r w:rsidRPr="003063F4">
        <w:rPr>
          <w:lang w:val="fr-FR"/>
        </w:rPr>
        <w:t>Comme suite aux recommandations formulées par le Comité pour l</w:t>
      </w:r>
      <w:r w:rsidR="00010994" w:rsidRPr="003063F4">
        <w:rPr>
          <w:lang w:val="fr-FR"/>
        </w:rPr>
        <w:t>’</w:t>
      </w:r>
      <w:r w:rsidRPr="003063F4">
        <w:rPr>
          <w:lang w:val="fr-FR"/>
        </w:rPr>
        <w:t>élimination de la discrimination à l</w:t>
      </w:r>
      <w:r w:rsidR="00010994" w:rsidRPr="003063F4">
        <w:rPr>
          <w:lang w:val="fr-FR"/>
        </w:rPr>
        <w:t>’</w:t>
      </w:r>
      <w:r w:rsidRPr="003063F4">
        <w:rPr>
          <w:lang w:val="fr-FR"/>
        </w:rPr>
        <w:t>égard des femmes, dont l</w:t>
      </w:r>
      <w:r w:rsidR="00010994" w:rsidRPr="003063F4">
        <w:rPr>
          <w:lang w:val="fr-FR"/>
        </w:rPr>
        <w:t>’</w:t>
      </w:r>
      <w:r w:rsidRPr="003063F4">
        <w:rPr>
          <w:lang w:val="fr-FR"/>
        </w:rPr>
        <w:t>harmonisation de la législation nationale relative à la violence à l</w:t>
      </w:r>
      <w:r w:rsidR="00010994" w:rsidRPr="003063F4">
        <w:rPr>
          <w:lang w:val="fr-FR"/>
        </w:rPr>
        <w:t>’</w:t>
      </w:r>
      <w:r w:rsidRPr="003063F4">
        <w:rPr>
          <w:lang w:val="fr-FR"/>
        </w:rPr>
        <w:t>égard des femmes avec la Convention d</w:t>
      </w:r>
      <w:r w:rsidR="00010994" w:rsidRPr="003063F4">
        <w:rPr>
          <w:lang w:val="fr-FR"/>
        </w:rPr>
        <w:t>’</w:t>
      </w:r>
      <w:r w:rsidRPr="003063F4">
        <w:rPr>
          <w:lang w:val="fr-FR"/>
        </w:rPr>
        <w:t>Istanbul, des travaux ont été menés en 2018 et durant les premiers mois de 2019 et ont conduit à l</w:t>
      </w:r>
      <w:r w:rsidR="00010994" w:rsidRPr="003063F4">
        <w:rPr>
          <w:lang w:val="fr-FR"/>
        </w:rPr>
        <w:t>’</w:t>
      </w:r>
      <w:r w:rsidRPr="003063F4">
        <w:rPr>
          <w:lang w:val="fr-FR"/>
        </w:rPr>
        <w:t>adoption d</w:t>
      </w:r>
      <w:r w:rsidR="00010994" w:rsidRPr="003063F4">
        <w:rPr>
          <w:lang w:val="fr-FR"/>
        </w:rPr>
        <w:t>’</w:t>
      </w:r>
      <w:r w:rsidRPr="003063F4">
        <w:rPr>
          <w:lang w:val="fr-FR"/>
        </w:rPr>
        <w:t xml:space="preserve">un ensemble de textes composé de la législation primaire, de la législation secondaire et des actes normatifs annexes ci-après. </w:t>
      </w:r>
    </w:p>
    <w:p w14:paraId="222E66E3" w14:textId="692DCD48" w:rsidR="00623808" w:rsidRPr="003063F4" w:rsidRDefault="00623808" w:rsidP="00623808">
      <w:pPr>
        <w:pStyle w:val="SingleTxt"/>
        <w:spacing w:after="0" w:line="120" w:lineRule="exact"/>
        <w:rPr>
          <w:sz w:val="10"/>
          <w:lang w:val="fr-FR"/>
        </w:rPr>
      </w:pPr>
    </w:p>
    <w:p w14:paraId="0BC6BF65" w14:textId="50AB6D61" w:rsidR="007435AC" w:rsidRPr="003063F4" w:rsidRDefault="007435AC" w:rsidP="0062380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63F4">
        <w:rPr>
          <w:lang w:val="fr-FR"/>
        </w:rPr>
        <w:tab/>
      </w:r>
      <w:r w:rsidRPr="003063F4">
        <w:rPr>
          <w:lang w:val="fr-FR"/>
        </w:rPr>
        <w:tab/>
        <w:t>Législation primaire</w:t>
      </w:r>
    </w:p>
    <w:p w14:paraId="5B90152D" w14:textId="4189519D" w:rsidR="00623808" w:rsidRPr="003063F4" w:rsidRDefault="00623808" w:rsidP="00623808">
      <w:pPr>
        <w:pStyle w:val="SingleTxt"/>
        <w:spacing w:after="0" w:line="120" w:lineRule="exact"/>
        <w:rPr>
          <w:sz w:val="10"/>
          <w:lang w:val="fr-FR"/>
        </w:rPr>
      </w:pPr>
    </w:p>
    <w:p w14:paraId="62A92ED3" w14:textId="4A58C740" w:rsidR="007435AC" w:rsidRPr="003063F4" w:rsidRDefault="007435AC" w:rsidP="007435AC">
      <w:pPr>
        <w:pStyle w:val="SingleTxt"/>
        <w:numPr>
          <w:ilvl w:val="0"/>
          <w:numId w:val="44"/>
        </w:numPr>
        <w:spacing w:line="240" w:lineRule="exact"/>
        <w:ind w:left="1267"/>
        <w:rPr>
          <w:lang w:val="fr-FR"/>
        </w:rPr>
      </w:pPr>
      <w:r w:rsidRPr="003063F4">
        <w:rPr>
          <w:lang w:val="fr-FR"/>
        </w:rPr>
        <w:t>La loi n</w:t>
      </w:r>
      <w:r w:rsidR="00F853D5" w:rsidRPr="003063F4">
        <w:rPr>
          <w:vertAlign w:val="superscript"/>
          <w:lang w:val="fr-FR"/>
        </w:rPr>
        <w:t>o</w:t>
      </w:r>
      <w:r w:rsidR="005A626D">
        <w:rPr>
          <w:lang w:val="fr-FR"/>
        </w:rPr>
        <w:t> </w:t>
      </w:r>
      <w:r w:rsidRPr="003063F4">
        <w:rPr>
          <w:lang w:val="fr-FR"/>
        </w:rPr>
        <w:t>217/2003 sur la prévention et la répression de la violence familiale a été modifiée et complétée par la loi n</w:t>
      </w:r>
      <w:r w:rsidR="00F853D5" w:rsidRPr="003063F4">
        <w:rPr>
          <w:vertAlign w:val="superscript"/>
          <w:lang w:val="fr-FR"/>
        </w:rPr>
        <w:t>o</w:t>
      </w:r>
      <w:r w:rsidR="005A626D">
        <w:rPr>
          <w:lang w:val="fr-FR"/>
        </w:rPr>
        <w:t> </w:t>
      </w:r>
      <w:r w:rsidRPr="003063F4">
        <w:rPr>
          <w:lang w:val="fr-FR"/>
        </w:rPr>
        <w:t>174/2018. L</w:t>
      </w:r>
      <w:r w:rsidR="00010994" w:rsidRPr="003063F4">
        <w:rPr>
          <w:lang w:val="fr-FR"/>
        </w:rPr>
        <w:t>’</w:t>
      </w:r>
      <w:r w:rsidRPr="003063F4">
        <w:rPr>
          <w:lang w:val="fr-FR"/>
        </w:rPr>
        <w:t>adoption de cet acte essentiel était une condition préalable à la mise en œuvre des mesures prévues à la section 8 (respect et dignité des femmes) du chapitre du programme gouvernemental pour 2017-2020 relatif aux politiques publiques dans le domaine du travail et de la justice sociale, et offrait la base nécessaire pour soutenir la tentative de réforme de la législation sur la violence domestique, tâche complexe mais vitale pour l</w:t>
      </w:r>
      <w:r w:rsidR="00010994" w:rsidRPr="003063F4">
        <w:rPr>
          <w:lang w:val="fr-FR"/>
        </w:rPr>
        <w:t>’</w:t>
      </w:r>
      <w:r w:rsidRPr="003063F4">
        <w:rPr>
          <w:lang w:val="fr-FR"/>
        </w:rPr>
        <w:t>harmonisation des lois roumaines avec les dispositions de la Convention d</w:t>
      </w:r>
      <w:r w:rsidR="00010994" w:rsidRPr="003063F4">
        <w:rPr>
          <w:lang w:val="fr-FR"/>
        </w:rPr>
        <w:t>’</w:t>
      </w:r>
      <w:r w:rsidRPr="003063F4">
        <w:rPr>
          <w:lang w:val="fr-FR"/>
        </w:rPr>
        <w:t>Istanbul.</w:t>
      </w:r>
    </w:p>
    <w:p w14:paraId="0F764A25" w14:textId="4AE0BF29" w:rsidR="007435AC" w:rsidRPr="003063F4" w:rsidRDefault="007435AC" w:rsidP="007435AC">
      <w:pPr>
        <w:pStyle w:val="SingleTxt"/>
        <w:numPr>
          <w:ilvl w:val="0"/>
          <w:numId w:val="45"/>
        </w:numPr>
        <w:spacing w:line="240" w:lineRule="exact"/>
        <w:ind w:left="1267"/>
        <w:rPr>
          <w:lang w:val="fr-FR"/>
        </w:rPr>
      </w:pPr>
      <w:r w:rsidRPr="003063F4">
        <w:rPr>
          <w:lang w:val="fr-FR"/>
        </w:rPr>
        <w:t>Depuis décembre 2018, en vertu de l</w:t>
      </w:r>
      <w:r w:rsidR="00010994" w:rsidRPr="003063F4">
        <w:rPr>
          <w:lang w:val="fr-FR"/>
        </w:rPr>
        <w:t>’</w:t>
      </w:r>
      <w:r w:rsidRPr="003063F4">
        <w:rPr>
          <w:lang w:val="fr-FR"/>
        </w:rPr>
        <w:t>article 22</w:t>
      </w:r>
      <w:r w:rsidRPr="003063F4">
        <w:rPr>
          <w:vertAlign w:val="superscript"/>
          <w:lang w:val="fr-FR"/>
        </w:rPr>
        <w:t>10</w:t>
      </w:r>
      <w:r w:rsidRPr="003063F4">
        <w:rPr>
          <w:lang w:val="fr-FR"/>
        </w:rPr>
        <w:t xml:space="preserve"> de la nouvelle version de la loi n</w:t>
      </w:r>
      <w:r w:rsidR="00F853D5" w:rsidRPr="003063F4">
        <w:rPr>
          <w:vertAlign w:val="superscript"/>
          <w:lang w:val="fr-FR"/>
        </w:rPr>
        <w:t>o</w:t>
      </w:r>
      <w:r w:rsidR="005A626D">
        <w:rPr>
          <w:lang w:val="fr-FR"/>
        </w:rPr>
        <w:t> </w:t>
      </w:r>
      <w:r w:rsidRPr="003063F4">
        <w:rPr>
          <w:lang w:val="fr-FR"/>
        </w:rPr>
        <w:t xml:space="preserve">217/2003, les victimes de violence domestique peuvent demander la délivrance </w:t>
      </w:r>
      <w:r w:rsidRPr="003063F4">
        <w:rPr>
          <w:lang w:val="fr-FR"/>
        </w:rPr>
        <w:lastRenderedPageBreak/>
        <w:t>d</w:t>
      </w:r>
      <w:r w:rsidR="00010994" w:rsidRPr="003063F4">
        <w:rPr>
          <w:lang w:val="fr-FR"/>
        </w:rPr>
        <w:t>’</w:t>
      </w:r>
      <w:r w:rsidRPr="003063F4">
        <w:rPr>
          <w:lang w:val="fr-FR"/>
        </w:rPr>
        <w:t>une ordonnance de protection provisoire (conformément à l</w:t>
      </w:r>
      <w:r w:rsidR="00010994" w:rsidRPr="003063F4">
        <w:rPr>
          <w:lang w:val="fr-FR"/>
        </w:rPr>
        <w:t>’</w:t>
      </w:r>
      <w:r w:rsidRPr="003063F4">
        <w:rPr>
          <w:lang w:val="fr-FR"/>
        </w:rPr>
        <w:t>article 52 de la Convention d</w:t>
      </w:r>
      <w:r w:rsidR="00010994" w:rsidRPr="003063F4">
        <w:rPr>
          <w:lang w:val="fr-FR"/>
        </w:rPr>
        <w:t>’</w:t>
      </w:r>
      <w:r w:rsidRPr="003063F4">
        <w:rPr>
          <w:lang w:val="fr-FR"/>
        </w:rPr>
        <w:t xml:space="preserve">Istanbul). </w:t>
      </w:r>
    </w:p>
    <w:p w14:paraId="480719B9" w14:textId="3B88D6CD" w:rsidR="007435AC" w:rsidRPr="003063F4" w:rsidRDefault="007435AC" w:rsidP="007435AC">
      <w:pPr>
        <w:pStyle w:val="SingleTxt"/>
        <w:numPr>
          <w:ilvl w:val="0"/>
          <w:numId w:val="45"/>
        </w:numPr>
        <w:spacing w:line="240" w:lineRule="exact"/>
        <w:ind w:left="1267"/>
        <w:rPr>
          <w:lang w:val="fr-FR"/>
        </w:rPr>
      </w:pPr>
      <w:r w:rsidRPr="003063F4">
        <w:rPr>
          <w:lang w:val="fr-FR"/>
        </w:rPr>
        <w:t>La délivrance d</w:t>
      </w:r>
      <w:r w:rsidR="00010994" w:rsidRPr="003063F4">
        <w:rPr>
          <w:lang w:val="fr-FR"/>
        </w:rPr>
        <w:t>’</w:t>
      </w:r>
      <w:r w:rsidRPr="003063F4">
        <w:rPr>
          <w:lang w:val="fr-FR"/>
        </w:rPr>
        <w:t>une ordonnance de protection provisoire, mesure administrative de protection immédiate permettant aux services de police d</w:t>
      </w:r>
      <w:r w:rsidR="00010994" w:rsidRPr="003063F4">
        <w:rPr>
          <w:lang w:val="fr-FR"/>
        </w:rPr>
        <w:t>’</w:t>
      </w:r>
      <w:r w:rsidRPr="003063F4">
        <w:rPr>
          <w:lang w:val="fr-FR"/>
        </w:rPr>
        <w:t>intervenir rapidement et d</w:t>
      </w:r>
      <w:r w:rsidR="00010994" w:rsidRPr="003063F4">
        <w:rPr>
          <w:lang w:val="fr-FR"/>
        </w:rPr>
        <w:t>’</w:t>
      </w:r>
      <w:r w:rsidRPr="003063F4">
        <w:rPr>
          <w:lang w:val="fr-FR"/>
        </w:rPr>
        <w:t>obliger les agresseurs à quitter le domicile sur le champ, est le pilier central du nouveau dispositif adopté pour harmoniser la législation roumaine avec la Convention d</w:t>
      </w:r>
      <w:r w:rsidR="00010994" w:rsidRPr="003063F4">
        <w:rPr>
          <w:lang w:val="fr-FR"/>
        </w:rPr>
        <w:t>’</w:t>
      </w:r>
      <w:r w:rsidRPr="003063F4">
        <w:rPr>
          <w:lang w:val="fr-FR"/>
        </w:rPr>
        <w:t>Istanbul.</w:t>
      </w:r>
    </w:p>
    <w:p w14:paraId="5372B575" w14:textId="5BABB2BC" w:rsidR="007435AC" w:rsidRPr="003063F4" w:rsidRDefault="007435AC" w:rsidP="007435AC">
      <w:pPr>
        <w:pStyle w:val="SingleTxt"/>
        <w:numPr>
          <w:ilvl w:val="0"/>
          <w:numId w:val="45"/>
        </w:numPr>
        <w:spacing w:line="240" w:lineRule="exact"/>
        <w:ind w:left="1267"/>
        <w:rPr>
          <w:lang w:val="fr-FR"/>
        </w:rPr>
      </w:pPr>
      <w:r w:rsidRPr="003063F4">
        <w:rPr>
          <w:lang w:val="fr-FR"/>
        </w:rPr>
        <w:t>L</w:t>
      </w:r>
      <w:r w:rsidR="00010994" w:rsidRPr="003063F4">
        <w:rPr>
          <w:lang w:val="fr-FR"/>
        </w:rPr>
        <w:t>’</w:t>
      </w:r>
      <w:r w:rsidRPr="003063F4">
        <w:rPr>
          <w:lang w:val="fr-FR"/>
        </w:rPr>
        <w:t>ordonnance de protection provisoire diffère de l</w:t>
      </w:r>
      <w:r w:rsidR="00010994" w:rsidRPr="003063F4">
        <w:rPr>
          <w:lang w:val="fr-FR"/>
        </w:rPr>
        <w:t>’</w:t>
      </w:r>
      <w:r w:rsidRPr="003063F4">
        <w:rPr>
          <w:lang w:val="fr-FR"/>
        </w:rPr>
        <w:t>ordonnance de protection, dont l</w:t>
      </w:r>
      <w:r w:rsidR="00010994" w:rsidRPr="003063F4">
        <w:rPr>
          <w:lang w:val="fr-FR"/>
        </w:rPr>
        <w:t>’</w:t>
      </w:r>
      <w:r w:rsidRPr="003063F4">
        <w:rPr>
          <w:lang w:val="fr-FR"/>
        </w:rPr>
        <w:t>usage est réglementé au niveau national depuis 2012, en ce qu</w:t>
      </w:r>
      <w:r w:rsidR="00010994" w:rsidRPr="003063F4">
        <w:rPr>
          <w:lang w:val="fr-FR"/>
        </w:rPr>
        <w:t>’</w:t>
      </w:r>
      <w:r w:rsidRPr="003063F4">
        <w:rPr>
          <w:lang w:val="fr-FR"/>
        </w:rPr>
        <w:t xml:space="preserve">elle est délivrée en cas de danger imminent pour la santé et la sécurité des victimes de violence domestique. </w:t>
      </w:r>
    </w:p>
    <w:p w14:paraId="72A82EE1" w14:textId="3AE93B60" w:rsidR="007435AC" w:rsidRPr="003063F4" w:rsidRDefault="007435AC" w:rsidP="007435AC">
      <w:pPr>
        <w:pStyle w:val="SingleTxt"/>
        <w:numPr>
          <w:ilvl w:val="0"/>
          <w:numId w:val="45"/>
        </w:numPr>
        <w:spacing w:line="240" w:lineRule="exact"/>
        <w:ind w:left="1267"/>
        <w:rPr>
          <w:lang w:val="fr-FR"/>
        </w:rPr>
      </w:pPr>
      <w:r w:rsidRPr="003063F4">
        <w:rPr>
          <w:lang w:val="fr-FR"/>
        </w:rPr>
        <w:t>Désormais, les policiers ont le droit et l</w:t>
      </w:r>
      <w:r w:rsidR="00010994" w:rsidRPr="003063F4">
        <w:rPr>
          <w:lang w:val="fr-FR"/>
        </w:rPr>
        <w:t>’</w:t>
      </w:r>
      <w:r w:rsidRPr="003063F4">
        <w:rPr>
          <w:lang w:val="fr-FR"/>
        </w:rPr>
        <w:t>obligation de se rendre au domicile d</w:t>
      </w:r>
      <w:r w:rsidR="00010994" w:rsidRPr="003063F4">
        <w:rPr>
          <w:lang w:val="fr-FR"/>
        </w:rPr>
        <w:t>’</w:t>
      </w:r>
      <w:r w:rsidRPr="003063F4">
        <w:rPr>
          <w:lang w:val="fr-FR"/>
        </w:rPr>
        <w:t>une victime, d</w:t>
      </w:r>
      <w:r w:rsidR="00010994" w:rsidRPr="003063F4">
        <w:rPr>
          <w:lang w:val="fr-FR"/>
        </w:rPr>
        <w:t>’</w:t>
      </w:r>
      <w:r w:rsidRPr="003063F4">
        <w:rPr>
          <w:lang w:val="fr-FR"/>
        </w:rPr>
        <w:t>y entrer et de délivrer sur le champ une ordonnance de protection provisoire à l</w:t>
      </w:r>
      <w:r w:rsidR="00010994" w:rsidRPr="003063F4">
        <w:rPr>
          <w:lang w:val="fr-FR"/>
        </w:rPr>
        <w:t>’</w:t>
      </w:r>
      <w:r w:rsidRPr="003063F4">
        <w:rPr>
          <w:lang w:val="fr-FR"/>
        </w:rPr>
        <w:t>agresseur, qui quitte ainsi le logement dès que possible, même s</w:t>
      </w:r>
      <w:r w:rsidR="00010994" w:rsidRPr="003063F4">
        <w:rPr>
          <w:lang w:val="fr-FR"/>
        </w:rPr>
        <w:t>’</w:t>
      </w:r>
      <w:r w:rsidRPr="003063F4">
        <w:rPr>
          <w:lang w:val="fr-FR"/>
        </w:rPr>
        <w:t>il en est le propriétaire.</w:t>
      </w:r>
    </w:p>
    <w:p w14:paraId="391B64BA" w14:textId="6A1276FD" w:rsidR="007435AC" w:rsidRPr="003063F4" w:rsidRDefault="007435AC" w:rsidP="007435AC">
      <w:pPr>
        <w:pStyle w:val="SingleTxt"/>
        <w:numPr>
          <w:ilvl w:val="0"/>
          <w:numId w:val="45"/>
        </w:numPr>
        <w:spacing w:line="240" w:lineRule="exact"/>
        <w:ind w:left="1267"/>
        <w:rPr>
          <w:lang w:val="fr-FR"/>
        </w:rPr>
      </w:pPr>
      <w:r w:rsidRPr="003063F4">
        <w:rPr>
          <w:lang w:val="fr-FR"/>
        </w:rPr>
        <w:t>L</w:t>
      </w:r>
      <w:r w:rsidR="00010994" w:rsidRPr="003063F4">
        <w:rPr>
          <w:lang w:val="fr-FR"/>
        </w:rPr>
        <w:t>’</w:t>
      </w:r>
      <w:r w:rsidRPr="003063F4">
        <w:rPr>
          <w:lang w:val="fr-FR"/>
        </w:rPr>
        <w:t>ordonnance de protection provisoire permet également de prendre contre l</w:t>
      </w:r>
      <w:r w:rsidR="00010994" w:rsidRPr="003063F4">
        <w:rPr>
          <w:lang w:val="fr-FR"/>
        </w:rPr>
        <w:t>’</w:t>
      </w:r>
      <w:r w:rsidRPr="003063F4">
        <w:rPr>
          <w:lang w:val="fr-FR"/>
        </w:rPr>
        <w:t>agresseur les mesures suivantes</w:t>
      </w:r>
      <w:r w:rsidR="00010994" w:rsidRPr="003063F4">
        <w:rPr>
          <w:lang w:val="fr-FR"/>
        </w:rPr>
        <w:t> :</w:t>
      </w:r>
      <w:r w:rsidRPr="003063F4">
        <w:rPr>
          <w:lang w:val="fr-FR"/>
        </w:rPr>
        <w:t xml:space="preserve"> expulsion du domicile accompagnée d</w:t>
      </w:r>
      <w:r w:rsidR="00010994" w:rsidRPr="003063F4">
        <w:rPr>
          <w:lang w:val="fr-FR"/>
        </w:rPr>
        <w:t>’</w:t>
      </w:r>
      <w:r w:rsidRPr="003063F4">
        <w:rPr>
          <w:lang w:val="fr-FR"/>
        </w:rPr>
        <w:t>une interdiction d</w:t>
      </w:r>
      <w:r w:rsidR="00010994" w:rsidRPr="003063F4">
        <w:rPr>
          <w:lang w:val="fr-FR"/>
        </w:rPr>
        <w:t>’</w:t>
      </w:r>
      <w:r w:rsidRPr="003063F4">
        <w:rPr>
          <w:lang w:val="fr-FR"/>
        </w:rPr>
        <w:t>y retourner pendant toute la période couverte par l</w:t>
      </w:r>
      <w:r w:rsidR="00010994" w:rsidRPr="003063F4">
        <w:rPr>
          <w:lang w:val="fr-FR"/>
        </w:rPr>
        <w:t>’</w:t>
      </w:r>
      <w:r w:rsidRPr="003063F4">
        <w:rPr>
          <w:lang w:val="fr-FR"/>
        </w:rPr>
        <w:t>ordonnance, interdiction de s</w:t>
      </w:r>
      <w:r w:rsidR="00010994" w:rsidRPr="003063F4">
        <w:rPr>
          <w:lang w:val="fr-FR"/>
        </w:rPr>
        <w:t>’</w:t>
      </w:r>
      <w:r w:rsidRPr="003063F4">
        <w:rPr>
          <w:lang w:val="fr-FR"/>
        </w:rPr>
        <w:t>approcher à moins d</w:t>
      </w:r>
      <w:r w:rsidR="00010994" w:rsidRPr="003063F4">
        <w:rPr>
          <w:lang w:val="fr-FR"/>
        </w:rPr>
        <w:t>’</w:t>
      </w:r>
      <w:r w:rsidRPr="003063F4">
        <w:rPr>
          <w:lang w:val="fr-FR"/>
        </w:rPr>
        <w:t>une certaine distance de la victime (de son domicile, de son lieu de travail ou de son école, selon le cas), confiscation des clés du domicile et saisie des armes. Complétant l</w:t>
      </w:r>
      <w:r w:rsidR="00010994" w:rsidRPr="003063F4">
        <w:rPr>
          <w:lang w:val="fr-FR"/>
        </w:rPr>
        <w:t>’</w:t>
      </w:r>
      <w:r w:rsidRPr="003063F4">
        <w:rPr>
          <w:lang w:val="fr-FR"/>
        </w:rPr>
        <w:t>ordonnance de protection, elle est délivrée immédiatement par la police et a une période de validité de cinq jours. Elle doit être confirmée par le Bureau du Procureur. Si le procureur la confirme, elle est transmise avec tous les justificatifs nécessaires et une demande d</w:t>
      </w:r>
      <w:r w:rsidR="00010994" w:rsidRPr="003063F4">
        <w:rPr>
          <w:lang w:val="fr-FR"/>
        </w:rPr>
        <w:t>’</w:t>
      </w:r>
      <w:r w:rsidRPr="003063F4">
        <w:rPr>
          <w:lang w:val="fr-FR"/>
        </w:rPr>
        <w:t>ordonnance provisoire à la juridiction compétente. Elle est prolongée d</w:t>
      </w:r>
      <w:r w:rsidR="00010994" w:rsidRPr="003063F4">
        <w:rPr>
          <w:lang w:val="fr-FR"/>
        </w:rPr>
        <w:t>’</w:t>
      </w:r>
      <w:r w:rsidRPr="003063F4">
        <w:rPr>
          <w:lang w:val="fr-FR"/>
        </w:rPr>
        <w:t>office jusqu</w:t>
      </w:r>
      <w:r w:rsidR="00010994" w:rsidRPr="003063F4">
        <w:rPr>
          <w:lang w:val="fr-FR"/>
        </w:rPr>
        <w:t>’</w:t>
      </w:r>
      <w:r w:rsidRPr="003063F4">
        <w:rPr>
          <w:lang w:val="fr-FR"/>
        </w:rPr>
        <w:t>à la délivrance d</w:t>
      </w:r>
      <w:r w:rsidR="00010994" w:rsidRPr="003063F4">
        <w:rPr>
          <w:lang w:val="fr-FR"/>
        </w:rPr>
        <w:t>’</w:t>
      </w:r>
      <w:r w:rsidRPr="003063F4">
        <w:rPr>
          <w:lang w:val="fr-FR"/>
        </w:rPr>
        <w:t>une ordonnance de protection. L</w:t>
      </w:r>
      <w:r w:rsidR="00010994" w:rsidRPr="003063F4">
        <w:rPr>
          <w:lang w:val="fr-FR"/>
        </w:rPr>
        <w:t>’</w:t>
      </w:r>
      <w:r w:rsidRPr="003063F4">
        <w:rPr>
          <w:lang w:val="fr-FR"/>
        </w:rPr>
        <w:t>autre intérêt de l</w:t>
      </w:r>
      <w:r w:rsidR="00010994" w:rsidRPr="003063F4">
        <w:rPr>
          <w:lang w:val="fr-FR"/>
        </w:rPr>
        <w:t>’</w:t>
      </w:r>
      <w:r w:rsidRPr="003063F4">
        <w:rPr>
          <w:lang w:val="fr-FR"/>
        </w:rPr>
        <w:t>ordonnance provisoire, du point de vue des victimes, est que sa confirmation déclenche automatiquement la transmission d</w:t>
      </w:r>
      <w:r w:rsidR="00010994" w:rsidRPr="003063F4">
        <w:rPr>
          <w:lang w:val="fr-FR"/>
        </w:rPr>
        <w:t>’</w:t>
      </w:r>
      <w:r w:rsidRPr="003063F4">
        <w:rPr>
          <w:lang w:val="fr-FR"/>
        </w:rPr>
        <w:t>une demande d</w:t>
      </w:r>
      <w:r w:rsidR="00010994" w:rsidRPr="003063F4">
        <w:rPr>
          <w:lang w:val="fr-FR"/>
        </w:rPr>
        <w:t>’</w:t>
      </w:r>
      <w:r w:rsidRPr="003063F4">
        <w:rPr>
          <w:lang w:val="fr-FR"/>
        </w:rPr>
        <w:t xml:space="preserve">ordonnance de protection. </w:t>
      </w:r>
    </w:p>
    <w:p w14:paraId="6AF3F821" w14:textId="7C952B72" w:rsidR="007435AC" w:rsidRPr="003063F4" w:rsidRDefault="007435AC" w:rsidP="007435AC">
      <w:pPr>
        <w:pStyle w:val="SingleTxt"/>
        <w:numPr>
          <w:ilvl w:val="0"/>
          <w:numId w:val="45"/>
        </w:numPr>
        <w:spacing w:line="240" w:lineRule="exact"/>
        <w:ind w:left="1267"/>
        <w:rPr>
          <w:lang w:val="fr-FR"/>
        </w:rPr>
      </w:pPr>
      <w:r w:rsidRPr="003063F4">
        <w:rPr>
          <w:lang w:val="fr-FR"/>
        </w:rPr>
        <w:t>La loi n</w:t>
      </w:r>
      <w:r w:rsidR="00F853D5" w:rsidRPr="003063F4">
        <w:rPr>
          <w:vertAlign w:val="superscript"/>
          <w:lang w:val="fr-FR"/>
        </w:rPr>
        <w:t>o</w:t>
      </w:r>
      <w:r w:rsidR="005E4F83">
        <w:rPr>
          <w:lang w:val="fr-FR"/>
        </w:rPr>
        <w:t> </w:t>
      </w:r>
      <w:r w:rsidRPr="003063F4">
        <w:rPr>
          <w:lang w:val="fr-FR"/>
        </w:rPr>
        <w:t>217/2003, telle que modifiée par la loi n</w:t>
      </w:r>
      <w:r w:rsidR="00F853D5" w:rsidRPr="003063F4">
        <w:rPr>
          <w:vertAlign w:val="superscript"/>
          <w:lang w:val="fr-FR"/>
        </w:rPr>
        <w:t>o</w:t>
      </w:r>
      <w:r w:rsidR="005E4F83">
        <w:rPr>
          <w:lang w:val="fr-FR"/>
        </w:rPr>
        <w:t> </w:t>
      </w:r>
      <w:r w:rsidRPr="003063F4">
        <w:rPr>
          <w:lang w:val="fr-FR"/>
        </w:rPr>
        <w:t>174/2018, prévoit également les mesures suivantes</w:t>
      </w:r>
      <w:r w:rsidR="00010994" w:rsidRPr="003063F4">
        <w:rPr>
          <w:lang w:val="fr-FR"/>
        </w:rPr>
        <w:t> :</w:t>
      </w:r>
    </w:p>
    <w:p w14:paraId="2C82EB8C" w14:textId="374594B5" w:rsidR="007435AC" w:rsidRPr="003063F4" w:rsidRDefault="00D66CB3" w:rsidP="00D66CB3">
      <w:pPr>
        <w:pStyle w:val="SingleTxt"/>
        <w:tabs>
          <w:tab w:val="right" w:pos="1685"/>
        </w:tabs>
        <w:ind w:left="1742" w:hanging="475"/>
        <w:rPr>
          <w:lang w:val="fr-FR"/>
        </w:rPr>
      </w:pPr>
      <w:r w:rsidRPr="003063F4">
        <w:rPr>
          <w:lang w:val="fr-FR"/>
        </w:rPr>
        <w:tab/>
      </w:r>
      <w:r w:rsidR="007435AC" w:rsidRPr="003063F4">
        <w:rPr>
          <w:lang w:val="fr-FR"/>
        </w:rPr>
        <w:t>•</w:t>
      </w:r>
      <w:r w:rsidR="007435AC" w:rsidRPr="003063F4">
        <w:rPr>
          <w:lang w:val="fr-FR"/>
        </w:rPr>
        <w:tab/>
        <w:t>Des mesures de contrôle du respect des ordonnances de protection pouvant être appliquées par la police, conformément à l</w:t>
      </w:r>
      <w:r w:rsidR="00010994" w:rsidRPr="003063F4">
        <w:rPr>
          <w:lang w:val="fr-FR"/>
        </w:rPr>
        <w:t>’</w:t>
      </w:r>
      <w:r w:rsidR="007435AC" w:rsidRPr="003063F4">
        <w:rPr>
          <w:lang w:val="fr-FR"/>
        </w:rPr>
        <w:t>article 53 de la Convention d</w:t>
      </w:r>
      <w:r w:rsidR="00010994" w:rsidRPr="003063F4">
        <w:rPr>
          <w:lang w:val="fr-FR"/>
        </w:rPr>
        <w:t>’</w:t>
      </w:r>
      <w:r w:rsidR="007435AC" w:rsidRPr="003063F4">
        <w:rPr>
          <w:lang w:val="fr-FR"/>
        </w:rPr>
        <w:t>Istanbul</w:t>
      </w:r>
      <w:r w:rsidR="00010994" w:rsidRPr="003063F4">
        <w:rPr>
          <w:lang w:val="fr-FR"/>
        </w:rPr>
        <w:t> ;</w:t>
      </w:r>
    </w:p>
    <w:p w14:paraId="35932085" w14:textId="146AE596" w:rsidR="007435AC" w:rsidRPr="003063F4" w:rsidRDefault="00D66CB3" w:rsidP="00D66CB3">
      <w:pPr>
        <w:pStyle w:val="SingleTxt"/>
        <w:tabs>
          <w:tab w:val="right" w:pos="1685"/>
        </w:tabs>
        <w:ind w:left="1742" w:hanging="475"/>
        <w:rPr>
          <w:lang w:val="fr-FR"/>
        </w:rPr>
      </w:pPr>
      <w:r w:rsidRPr="003063F4">
        <w:rPr>
          <w:lang w:val="fr-FR"/>
        </w:rPr>
        <w:tab/>
      </w:r>
      <w:r w:rsidR="007435AC" w:rsidRPr="003063F4">
        <w:rPr>
          <w:lang w:val="fr-FR"/>
        </w:rPr>
        <w:t>•</w:t>
      </w:r>
      <w:r w:rsidR="007435AC" w:rsidRPr="003063F4">
        <w:rPr>
          <w:lang w:val="fr-FR"/>
        </w:rPr>
        <w:tab/>
        <w:t>Des mesures visant à prévenir la violation des dispositions figurant dans les ordonnances de protection émises par les tribunaux, conformément à l</w:t>
      </w:r>
      <w:r w:rsidR="00010994" w:rsidRPr="003063F4">
        <w:rPr>
          <w:lang w:val="fr-FR"/>
        </w:rPr>
        <w:t>’</w:t>
      </w:r>
      <w:r w:rsidR="007435AC" w:rsidRPr="003063F4">
        <w:rPr>
          <w:lang w:val="fr-FR"/>
        </w:rPr>
        <w:t>article 53 de la Convention d</w:t>
      </w:r>
      <w:r w:rsidR="00010994" w:rsidRPr="003063F4">
        <w:rPr>
          <w:lang w:val="fr-FR"/>
        </w:rPr>
        <w:t>’</w:t>
      </w:r>
      <w:r w:rsidR="007435AC" w:rsidRPr="003063F4">
        <w:rPr>
          <w:lang w:val="fr-FR"/>
        </w:rPr>
        <w:t>Istanbul</w:t>
      </w:r>
      <w:r w:rsidR="00010994" w:rsidRPr="003063F4">
        <w:rPr>
          <w:lang w:val="fr-FR"/>
        </w:rPr>
        <w:t> ;</w:t>
      </w:r>
    </w:p>
    <w:p w14:paraId="68534CCE" w14:textId="014F379C" w:rsidR="007435AC" w:rsidRPr="003063F4" w:rsidRDefault="00D66CB3" w:rsidP="00D66CB3">
      <w:pPr>
        <w:pStyle w:val="SingleTxt"/>
        <w:tabs>
          <w:tab w:val="right" w:pos="1685"/>
        </w:tabs>
        <w:ind w:left="1742" w:hanging="475"/>
        <w:rPr>
          <w:lang w:val="fr-FR"/>
        </w:rPr>
      </w:pPr>
      <w:r w:rsidRPr="003063F4">
        <w:rPr>
          <w:lang w:val="fr-FR"/>
        </w:rPr>
        <w:tab/>
      </w:r>
      <w:r w:rsidR="007435AC" w:rsidRPr="003063F4">
        <w:rPr>
          <w:lang w:val="fr-FR"/>
        </w:rPr>
        <w:t>•</w:t>
      </w:r>
      <w:r w:rsidR="007435AC" w:rsidRPr="003063F4">
        <w:rPr>
          <w:lang w:val="fr-FR"/>
        </w:rPr>
        <w:tab/>
        <w:t>Des mesures relatives à l</w:t>
      </w:r>
      <w:r w:rsidR="00010994" w:rsidRPr="003063F4">
        <w:rPr>
          <w:lang w:val="fr-FR"/>
        </w:rPr>
        <w:t>’</w:t>
      </w:r>
      <w:r w:rsidR="007435AC" w:rsidRPr="003063F4">
        <w:rPr>
          <w:lang w:val="fr-FR"/>
        </w:rPr>
        <w:t>appréciation des risques que présentent les cas de violence domestique, conformément à l</w:t>
      </w:r>
      <w:r w:rsidR="00010994" w:rsidRPr="003063F4">
        <w:rPr>
          <w:lang w:val="fr-FR"/>
        </w:rPr>
        <w:t>’</w:t>
      </w:r>
      <w:r w:rsidR="007435AC" w:rsidRPr="003063F4">
        <w:rPr>
          <w:lang w:val="fr-FR"/>
        </w:rPr>
        <w:t>article 51 de la Convention d</w:t>
      </w:r>
      <w:r w:rsidR="00010994" w:rsidRPr="003063F4">
        <w:rPr>
          <w:lang w:val="fr-FR"/>
        </w:rPr>
        <w:t>’</w:t>
      </w:r>
      <w:r w:rsidR="007435AC" w:rsidRPr="003063F4">
        <w:rPr>
          <w:lang w:val="fr-FR"/>
        </w:rPr>
        <w:t>Istanbul</w:t>
      </w:r>
      <w:r w:rsidR="00010994" w:rsidRPr="003063F4">
        <w:rPr>
          <w:lang w:val="fr-FR"/>
        </w:rPr>
        <w:t> ;</w:t>
      </w:r>
    </w:p>
    <w:p w14:paraId="5EB66768" w14:textId="778BA1AB" w:rsidR="007435AC" w:rsidRPr="003063F4" w:rsidRDefault="00D66CB3" w:rsidP="00D66CB3">
      <w:pPr>
        <w:pStyle w:val="SingleTxt"/>
        <w:tabs>
          <w:tab w:val="right" w:pos="1685"/>
        </w:tabs>
        <w:ind w:left="1742" w:hanging="475"/>
        <w:rPr>
          <w:lang w:val="fr-FR"/>
        </w:rPr>
      </w:pPr>
      <w:r w:rsidRPr="003063F4">
        <w:rPr>
          <w:lang w:val="fr-FR"/>
        </w:rPr>
        <w:tab/>
      </w:r>
      <w:r w:rsidR="007435AC" w:rsidRPr="003063F4">
        <w:rPr>
          <w:lang w:val="fr-FR"/>
        </w:rPr>
        <w:t>•</w:t>
      </w:r>
      <w:r w:rsidR="007435AC" w:rsidRPr="003063F4">
        <w:rPr>
          <w:lang w:val="fr-FR"/>
        </w:rPr>
        <w:tab/>
        <w:t>Des mesures visant à ce que les victimes bénéficient d</w:t>
      </w:r>
      <w:r w:rsidR="00010994" w:rsidRPr="003063F4">
        <w:rPr>
          <w:lang w:val="fr-FR"/>
        </w:rPr>
        <w:t>’</w:t>
      </w:r>
      <w:r w:rsidR="007435AC" w:rsidRPr="003063F4">
        <w:rPr>
          <w:lang w:val="fr-FR"/>
        </w:rPr>
        <w:t xml:space="preserve"> une protection adéquate et immédiate, conformément au paragraphe 1) de l</w:t>
      </w:r>
      <w:r w:rsidR="00010994" w:rsidRPr="003063F4">
        <w:rPr>
          <w:lang w:val="fr-FR"/>
        </w:rPr>
        <w:t>’</w:t>
      </w:r>
      <w:r w:rsidR="007435AC" w:rsidRPr="003063F4">
        <w:rPr>
          <w:lang w:val="fr-FR"/>
        </w:rPr>
        <w:t>article 50 de la Convention d</w:t>
      </w:r>
      <w:r w:rsidR="00010994" w:rsidRPr="003063F4">
        <w:rPr>
          <w:lang w:val="fr-FR"/>
        </w:rPr>
        <w:t>’</w:t>
      </w:r>
      <w:r w:rsidR="007435AC" w:rsidRPr="003063F4">
        <w:rPr>
          <w:lang w:val="fr-FR"/>
        </w:rPr>
        <w:t>Istanbul.</w:t>
      </w:r>
    </w:p>
    <w:p w14:paraId="16A9E231" w14:textId="5C000EA3" w:rsidR="007435AC" w:rsidRPr="003063F4" w:rsidRDefault="007435AC" w:rsidP="007435AC">
      <w:pPr>
        <w:pStyle w:val="SingleTxt"/>
        <w:numPr>
          <w:ilvl w:val="0"/>
          <w:numId w:val="45"/>
        </w:numPr>
        <w:spacing w:line="240" w:lineRule="exact"/>
        <w:ind w:left="1267"/>
        <w:rPr>
          <w:lang w:val="fr-FR"/>
        </w:rPr>
      </w:pPr>
      <w:r w:rsidRPr="003063F4">
        <w:rPr>
          <w:lang w:val="fr-FR"/>
        </w:rPr>
        <w:t>Le champ d</w:t>
      </w:r>
      <w:r w:rsidR="00010994" w:rsidRPr="003063F4">
        <w:rPr>
          <w:lang w:val="fr-FR"/>
        </w:rPr>
        <w:t>’</w:t>
      </w:r>
      <w:r w:rsidRPr="003063F4">
        <w:rPr>
          <w:lang w:val="fr-FR"/>
        </w:rPr>
        <w:t>application de la loi a par ailleurs été élargi</w:t>
      </w:r>
      <w:r w:rsidR="00010994" w:rsidRPr="003063F4">
        <w:rPr>
          <w:lang w:val="fr-FR"/>
        </w:rPr>
        <w:t> :</w:t>
      </w:r>
    </w:p>
    <w:p w14:paraId="0E572A60" w14:textId="3B7A5370" w:rsidR="007435AC" w:rsidRPr="003063F4" w:rsidRDefault="00D66CB3" w:rsidP="00D66CB3">
      <w:pPr>
        <w:pStyle w:val="SingleTxt"/>
        <w:tabs>
          <w:tab w:val="right" w:pos="1685"/>
        </w:tabs>
        <w:ind w:left="1742" w:hanging="475"/>
        <w:rPr>
          <w:lang w:val="fr-FR"/>
        </w:rPr>
      </w:pPr>
      <w:r w:rsidRPr="003063F4">
        <w:rPr>
          <w:lang w:val="fr-FR"/>
        </w:rPr>
        <w:tab/>
      </w:r>
      <w:r w:rsidR="007435AC" w:rsidRPr="003063F4">
        <w:rPr>
          <w:lang w:val="fr-FR"/>
        </w:rPr>
        <w:t>•</w:t>
      </w:r>
      <w:r w:rsidR="007435AC" w:rsidRPr="003063F4">
        <w:rPr>
          <w:lang w:val="fr-FR"/>
        </w:rPr>
        <w:tab/>
        <w:t>La définition de la notion de « membre de la famille » a été revue pour inclure les ascendants et descendants, ainsi que les frères et sœurs et leurs enfants et les personnes qui le sont devenues à la suite d</w:t>
      </w:r>
      <w:r w:rsidR="00010994" w:rsidRPr="003063F4">
        <w:rPr>
          <w:lang w:val="fr-FR"/>
        </w:rPr>
        <w:t>’</w:t>
      </w:r>
      <w:r w:rsidR="007435AC" w:rsidRPr="003063F4">
        <w:rPr>
          <w:lang w:val="fr-FR"/>
        </w:rPr>
        <w:t>une adoption</w:t>
      </w:r>
      <w:r w:rsidR="00010994" w:rsidRPr="003063F4">
        <w:rPr>
          <w:lang w:val="fr-FR"/>
        </w:rPr>
        <w:t> ;</w:t>
      </w:r>
      <w:r w:rsidR="007435AC" w:rsidRPr="003063F4">
        <w:rPr>
          <w:lang w:val="fr-FR"/>
        </w:rPr>
        <w:t xml:space="preserve"> les époux/épouses ou ex-époux/ex-épouses</w:t>
      </w:r>
      <w:r w:rsidR="00010994" w:rsidRPr="003063F4">
        <w:rPr>
          <w:lang w:val="fr-FR"/>
        </w:rPr>
        <w:t> ;</w:t>
      </w:r>
      <w:r w:rsidR="007435AC" w:rsidRPr="003063F4">
        <w:rPr>
          <w:lang w:val="fr-FR"/>
        </w:rPr>
        <w:t xml:space="preserve"> les personnes qui entretiennent des relations semblables à celles qui existent entre conjoints ou entre parents et enfants, si elles vivent ensemble</w:t>
      </w:r>
      <w:r w:rsidR="00010994" w:rsidRPr="003063F4">
        <w:rPr>
          <w:lang w:val="fr-FR"/>
        </w:rPr>
        <w:t> ;</w:t>
      </w:r>
      <w:r w:rsidR="007435AC" w:rsidRPr="003063F4">
        <w:rPr>
          <w:lang w:val="fr-FR"/>
        </w:rPr>
        <w:t xml:space="preserve"> les tuteurs ou autres personnes qui, en fait ou en droit, ont des droits sur des enfants, ainsi que les représentants légaux de personnes atteintes d</w:t>
      </w:r>
      <w:r w:rsidR="00010994" w:rsidRPr="003063F4">
        <w:rPr>
          <w:lang w:val="fr-FR"/>
        </w:rPr>
        <w:t>’</w:t>
      </w:r>
      <w:r w:rsidR="007435AC" w:rsidRPr="003063F4">
        <w:rPr>
          <w:lang w:val="fr-FR"/>
        </w:rPr>
        <w:t xml:space="preserve">une </w:t>
      </w:r>
      <w:r w:rsidR="007435AC" w:rsidRPr="003063F4">
        <w:rPr>
          <w:lang w:val="fr-FR"/>
        </w:rPr>
        <w:lastRenderedPageBreak/>
        <w:t>maladie mentale, d</w:t>
      </w:r>
      <w:r w:rsidR="00010994" w:rsidRPr="003063F4">
        <w:rPr>
          <w:lang w:val="fr-FR"/>
        </w:rPr>
        <w:t>’</w:t>
      </w:r>
      <w:r w:rsidR="007435AC" w:rsidRPr="003063F4">
        <w:rPr>
          <w:lang w:val="fr-FR"/>
        </w:rPr>
        <w:t>une déficience intellectuelle ou d</w:t>
      </w:r>
      <w:r w:rsidR="00010994" w:rsidRPr="003063F4">
        <w:rPr>
          <w:lang w:val="fr-FR"/>
        </w:rPr>
        <w:t>’</w:t>
      </w:r>
      <w:r w:rsidR="007435AC" w:rsidRPr="003063F4">
        <w:rPr>
          <w:lang w:val="fr-FR"/>
        </w:rPr>
        <w:t>un handicap physique ou les personnes qui s</w:t>
      </w:r>
      <w:r w:rsidR="00010994" w:rsidRPr="003063F4">
        <w:rPr>
          <w:lang w:val="fr-FR"/>
        </w:rPr>
        <w:t>’</w:t>
      </w:r>
      <w:r w:rsidR="007435AC" w:rsidRPr="003063F4">
        <w:rPr>
          <w:lang w:val="fr-FR"/>
        </w:rPr>
        <w:t>en occupent, sauf dans les cas où ils s</w:t>
      </w:r>
      <w:r w:rsidR="00010994" w:rsidRPr="003063F4">
        <w:rPr>
          <w:lang w:val="fr-FR"/>
        </w:rPr>
        <w:t>’</w:t>
      </w:r>
      <w:r w:rsidR="007435AC" w:rsidRPr="003063F4">
        <w:rPr>
          <w:lang w:val="fr-FR"/>
        </w:rPr>
        <w:t>acquittent de ces responsabilités dans l</w:t>
      </w:r>
      <w:r w:rsidR="00010994" w:rsidRPr="003063F4">
        <w:rPr>
          <w:lang w:val="fr-FR"/>
        </w:rPr>
        <w:t>’</w:t>
      </w:r>
      <w:r w:rsidR="007435AC" w:rsidRPr="003063F4">
        <w:rPr>
          <w:lang w:val="fr-FR"/>
        </w:rPr>
        <w:t>exercice de fonctions professionnelles</w:t>
      </w:r>
      <w:r w:rsidR="00010994" w:rsidRPr="003063F4">
        <w:rPr>
          <w:lang w:val="fr-FR"/>
        </w:rPr>
        <w:t> ;</w:t>
      </w:r>
    </w:p>
    <w:p w14:paraId="41015DAC" w14:textId="739D9CAD" w:rsidR="007435AC" w:rsidRPr="003063F4" w:rsidRDefault="00D66CB3" w:rsidP="00D66CB3">
      <w:pPr>
        <w:pStyle w:val="SingleTxt"/>
        <w:tabs>
          <w:tab w:val="right" w:pos="1685"/>
        </w:tabs>
        <w:ind w:left="1742" w:hanging="475"/>
        <w:rPr>
          <w:lang w:val="fr-FR"/>
        </w:rPr>
      </w:pPr>
      <w:r w:rsidRPr="003063F4">
        <w:rPr>
          <w:lang w:val="fr-FR"/>
        </w:rPr>
        <w:tab/>
      </w:r>
      <w:r w:rsidR="007435AC" w:rsidRPr="003063F4">
        <w:rPr>
          <w:lang w:val="fr-FR"/>
        </w:rPr>
        <w:t>•</w:t>
      </w:r>
      <w:r w:rsidR="007435AC" w:rsidRPr="003063F4">
        <w:rPr>
          <w:lang w:val="fr-FR"/>
        </w:rPr>
        <w:tab/>
        <w:t>Il a été spécifié qu</w:t>
      </w:r>
      <w:r w:rsidR="00010994" w:rsidRPr="003063F4">
        <w:rPr>
          <w:lang w:val="fr-FR"/>
        </w:rPr>
        <w:t>’</w:t>
      </w:r>
      <w:r w:rsidR="007435AC" w:rsidRPr="003063F4">
        <w:rPr>
          <w:lang w:val="fr-FR"/>
        </w:rPr>
        <w:t>en aucun cas la coutume, la culture, la religion, la tradition ou l</w:t>
      </w:r>
      <w:r w:rsidR="00010994" w:rsidRPr="003063F4">
        <w:rPr>
          <w:lang w:val="fr-FR"/>
        </w:rPr>
        <w:t>’</w:t>
      </w:r>
      <w:r w:rsidR="007435AC" w:rsidRPr="003063F4">
        <w:rPr>
          <w:lang w:val="fr-FR"/>
        </w:rPr>
        <w:t>«</w:t>
      </w:r>
      <w:r w:rsidR="005A626D">
        <w:rPr>
          <w:lang w:val="fr-FR"/>
        </w:rPr>
        <w:t> </w:t>
      </w:r>
      <w:r w:rsidR="007435AC" w:rsidRPr="003063F4">
        <w:rPr>
          <w:lang w:val="fr-FR"/>
        </w:rPr>
        <w:t>honneur</w:t>
      </w:r>
      <w:r w:rsidR="005A626D">
        <w:rPr>
          <w:lang w:val="fr-FR"/>
        </w:rPr>
        <w:t> </w:t>
      </w:r>
      <w:r w:rsidR="007435AC" w:rsidRPr="003063F4">
        <w:rPr>
          <w:lang w:val="fr-FR"/>
        </w:rPr>
        <w:t>» ne pouvaient justifier le recours à la violence contre des femmes ou des hommes, conformément à l</w:t>
      </w:r>
      <w:r w:rsidR="00010994" w:rsidRPr="003063F4">
        <w:rPr>
          <w:lang w:val="fr-FR"/>
        </w:rPr>
        <w:t>’</w:t>
      </w:r>
      <w:r w:rsidR="007435AC" w:rsidRPr="003063F4">
        <w:rPr>
          <w:lang w:val="fr-FR"/>
        </w:rPr>
        <w:t>article 42 et au paragraphe 5) de l</w:t>
      </w:r>
      <w:r w:rsidR="00010994" w:rsidRPr="003063F4">
        <w:rPr>
          <w:lang w:val="fr-FR"/>
        </w:rPr>
        <w:t>’</w:t>
      </w:r>
      <w:r w:rsidR="007435AC" w:rsidRPr="003063F4">
        <w:rPr>
          <w:lang w:val="fr-FR"/>
        </w:rPr>
        <w:t>article 121</w:t>
      </w:r>
      <w:r w:rsidR="00F853D5" w:rsidRPr="003063F4">
        <w:rPr>
          <w:lang w:val="fr-FR"/>
        </w:rPr>
        <w:t xml:space="preserve"> </w:t>
      </w:r>
      <w:r w:rsidR="007435AC" w:rsidRPr="003063F4">
        <w:rPr>
          <w:lang w:val="fr-FR"/>
        </w:rPr>
        <w:t>de la Convention d</w:t>
      </w:r>
      <w:r w:rsidR="00010994" w:rsidRPr="003063F4">
        <w:rPr>
          <w:lang w:val="fr-FR"/>
        </w:rPr>
        <w:t>’</w:t>
      </w:r>
      <w:r w:rsidR="007435AC" w:rsidRPr="003063F4">
        <w:rPr>
          <w:lang w:val="fr-FR"/>
        </w:rPr>
        <w:t>Istanbul</w:t>
      </w:r>
      <w:r w:rsidR="00010994" w:rsidRPr="003063F4">
        <w:rPr>
          <w:lang w:val="fr-FR"/>
        </w:rPr>
        <w:t> ;</w:t>
      </w:r>
    </w:p>
    <w:p w14:paraId="6C735D2F" w14:textId="2E602DB5" w:rsidR="007435AC" w:rsidRPr="003063F4" w:rsidRDefault="00D66CB3" w:rsidP="00D66CB3">
      <w:pPr>
        <w:pStyle w:val="SingleTxt"/>
        <w:tabs>
          <w:tab w:val="right" w:pos="1685"/>
        </w:tabs>
        <w:ind w:left="1742" w:hanging="475"/>
        <w:rPr>
          <w:i/>
          <w:lang w:val="fr-FR"/>
        </w:rPr>
      </w:pPr>
      <w:r w:rsidRPr="003063F4">
        <w:rPr>
          <w:lang w:val="fr-FR"/>
        </w:rPr>
        <w:tab/>
      </w:r>
      <w:r w:rsidR="007435AC" w:rsidRPr="003063F4">
        <w:rPr>
          <w:lang w:val="fr-FR"/>
        </w:rPr>
        <w:t>•</w:t>
      </w:r>
      <w:r w:rsidR="007435AC" w:rsidRPr="003063F4">
        <w:rPr>
          <w:lang w:val="fr-FR"/>
        </w:rPr>
        <w:tab/>
        <w:t>Les notions de « violence domestique », de « violence faite aux femmes », et de « victime » ont été définies ou redéfinies, tandis qu</w:t>
      </w:r>
      <w:r w:rsidR="00010994" w:rsidRPr="003063F4">
        <w:rPr>
          <w:lang w:val="fr-FR"/>
        </w:rPr>
        <w:t>’</w:t>
      </w:r>
      <w:r w:rsidR="007435AC" w:rsidRPr="003063F4">
        <w:rPr>
          <w:lang w:val="fr-FR"/>
        </w:rPr>
        <w:t>a été complétée la liste des définitions des formes de violence domestique (violence verbale, violence psychologique, violence physique, violence sexuelle (dont le viol conjugal), violence économique, violence sociale et violence spirituelle).</w:t>
      </w:r>
    </w:p>
    <w:p w14:paraId="20CABBC7" w14:textId="39C3C567" w:rsidR="007435AC" w:rsidRPr="003063F4" w:rsidRDefault="007435AC" w:rsidP="007435AC">
      <w:pPr>
        <w:pStyle w:val="SingleTxt"/>
        <w:numPr>
          <w:ilvl w:val="0"/>
          <w:numId w:val="45"/>
        </w:numPr>
        <w:spacing w:line="240" w:lineRule="exact"/>
        <w:ind w:left="1267"/>
        <w:rPr>
          <w:lang w:val="fr-FR"/>
        </w:rPr>
      </w:pPr>
      <w:r w:rsidRPr="003063F4">
        <w:rPr>
          <w:lang w:val="fr-FR"/>
        </w:rPr>
        <w:t>Dans le même temps, sont énoncées</w:t>
      </w:r>
      <w:r w:rsidR="00010994" w:rsidRPr="003063F4">
        <w:rPr>
          <w:lang w:val="fr-FR"/>
        </w:rPr>
        <w:t> :</w:t>
      </w:r>
    </w:p>
    <w:p w14:paraId="1C9283C2" w14:textId="1BAB5447" w:rsidR="007435AC" w:rsidRPr="003063F4" w:rsidRDefault="00D66CB3" w:rsidP="00D66CB3">
      <w:pPr>
        <w:pStyle w:val="SingleTxt"/>
        <w:tabs>
          <w:tab w:val="right" w:pos="1685"/>
        </w:tabs>
        <w:ind w:left="1742" w:hanging="475"/>
        <w:rPr>
          <w:lang w:val="fr-FR"/>
        </w:rPr>
      </w:pPr>
      <w:r w:rsidRPr="003063F4">
        <w:rPr>
          <w:lang w:val="fr-FR"/>
        </w:rPr>
        <w:tab/>
      </w:r>
      <w:r w:rsidR="007435AC" w:rsidRPr="003063F4">
        <w:rPr>
          <w:lang w:val="fr-FR"/>
        </w:rPr>
        <w:t>•</w:t>
      </w:r>
      <w:r w:rsidR="007435AC" w:rsidRPr="003063F4">
        <w:rPr>
          <w:lang w:val="fr-FR"/>
        </w:rPr>
        <w:tab/>
        <w:t>L</w:t>
      </w:r>
      <w:r w:rsidR="00010994" w:rsidRPr="003063F4">
        <w:rPr>
          <w:lang w:val="fr-FR"/>
        </w:rPr>
        <w:t>’</w:t>
      </w:r>
      <w:r w:rsidR="007435AC" w:rsidRPr="003063F4">
        <w:rPr>
          <w:lang w:val="fr-FR"/>
        </w:rPr>
        <w:t>obligation pour les autorités locales de tenir à jour des bases de données sur les formes d</w:t>
      </w:r>
      <w:r w:rsidR="00010994" w:rsidRPr="003063F4">
        <w:rPr>
          <w:lang w:val="fr-FR"/>
        </w:rPr>
        <w:t>’</w:t>
      </w:r>
      <w:r w:rsidR="007435AC" w:rsidRPr="003063F4">
        <w:rPr>
          <w:lang w:val="fr-FR"/>
        </w:rPr>
        <w:t>aide offertes aux victimes de violence domestique, notamment sur les services et les centres existants</w:t>
      </w:r>
      <w:r w:rsidR="00010994" w:rsidRPr="003063F4">
        <w:rPr>
          <w:lang w:val="fr-FR"/>
        </w:rPr>
        <w:t> ;</w:t>
      </w:r>
    </w:p>
    <w:p w14:paraId="3BD56160" w14:textId="4B414088" w:rsidR="007435AC" w:rsidRPr="003063F4" w:rsidRDefault="00D66CB3" w:rsidP="00D66CB3">
      <w:pPr>
        <w:pStyle w:val="SingleTxt"/>
        <w:tabs>
          <w:tab w:val="right" w:pos="1685"/>
        </w:tabs>
        <w:ind w:left="1742" w:hanging="475"/>
        <w:rPr>
          <w:lang w:val="fr-FR"/>
        </w:rPr>
      </w:pPr>
      <w:r w:rsidRPr="003063F4">
        <w:rPr>
          <w:lang w:val="fr-FR"/>
        </w:rPr>
        <w:tab/>
      </w:r>
      <w:r w:rsidR="007435AC" w:rsidRPr="003063F4">
        <w:rPr>
          <w:lang w:val="fr-FR"/>
        </w:rPr>
        <w:t>•</w:t>
      </w:r>
      <w:r w:rsidR="007435AC" w:rsidRPr="003063F4">
        <w:rPr>
          <w:lang w:val="fr-FR"/>
        </w:rPr>
        <w:tab/>
        <w:t>L</w:t>
      </w:r>
      <w:r w:rsidR="00010994" w:rsidRPr="003063F4">
        <w:rPr>
          <w:lang w:val="fr-FR"/>
        </w:rPr>
        <w:t>’</w:t>
      </w:r>
      <w:r w:rsidR="007435AC" w:rsidRPr="003063F4">
        <w:rPr>
          <w:lang w:val="fr-FR"/>
        </w:rPr>
        <w:t>obligation pour les autorités centrales, à savoir le Ministère du travail et de la justice sociale, le Ministère de l</w:t>
      </w:r>
      <w:r w:rsidR="00010994" w:rsidRPr="003063F4">
        <w:rPr>
          <w:lang w:val="fr-FR"/>
        </w:rPr>
        <w:t>’</w:t>
      </w:r>
      <w:r w:rsidR="007435AC" w:rsidRPr="003063F4">
        <w:rPr>
          <w:lang w:val="fr-FR"/>
        </w:rPr>
        <w:t>intérieur, le Ministère des affaires étrangères, le Ministère de l</w:t>
      </w:r>
      <w:r w:rsidR="00010994" w:rsidRPr="003063F4">
        <w:rPr>
          <w:lang w:val="fr-FR"/>
        </w:rPr>
        <w:t>’</w:t>
      </w:r>
      <w:r w:rsidR="007435AC" w:rsidRPr="003063F4">
        <w:rPr>
          <w:lang w:val="fr-FR"/>
        </w:rPr>
        <w:t>éducation nationale, le Ministère de la santé, le Ministère du développement régional et de l</w:t>
      </w:r>
      <w:r w:rsidR="00010994" w:rsidRPr="003063F4">
        <w:rPr>
          <w:lang w:val="fr-FR"/>
        </w:rPr>
        <w:t>’</w:t>
      </w:r>
      <w:r w:rsidR="007435AC" w:rsidRPr="003063F4">
        <w:rPr>
          <w:lang w:val="fr-FR"/>
        </w:rPr>
        <w:t>administration publique et le Ministère de la justice, d</w:t>
      </w:r>
      <w:r w:rsidR="00010994" w:rsidRPr="003063F4">
        <w:rPr>
          <w:lang w:val="fr-FR"/>
        </w:rPr>
        <w:t>’</w:t>
      </w:r>
      <w:r w:rsidR="007435AC" w:rsidRPr="003063F4">
        <w:rPr>
          <w:lang w:val="fr-FR"/>
        </w:rPr>
        <w:t>établir et de diffuser des documents relatifs à la prévention de la violence domestique et de la violence faite aux femmes</w:t>
      </w:r>
      <w:r w:rsidR="00010994" w:rsidRPr="003063F4">
        <w:rPr>
          <w:lang w:val="fr-FR"/>
        </w:rPr>
        <w:t> ;</w:t>
      </w:r>
      <w:bookmarkStart w:id="1" w:name="_GoBack"/>
      <w:bookmarkEnd w:id="1"/>
    </w:p>
    <w:p w14:paraId="040566B0" w14:textId="69151E28" w:rsidR="007435AC" w:rsidRPr="003063F4" w:rsidRDefault="00D66CB3" w:rsidP="00D66CB3">
      <w:pPr>
        <w:pStyle w:val="SingleTxt"/>
        <w:tabs>
          <w:tab w:val="right" w:pos="1685"/>
        </w:tabs>
        <w:ind w:left="1742" w:hanging="475"/>
        <w:rPr>
          <w:lang w:val="fr-FR"/>
        </w:rPr>
      </w:pPr>
      <w:r w:rsidRPr="003063F4">
        <w:rPr>
          <w:lang w:val="fr-FR"/>
        </w:rPr>
        <w:tab/>
      </w:r>
      <w:r w:rsidR="007435AC" w:rsidRPr="003063F4">
        <w:rPr>
          <w:lang w:val="fr-FR"/>
        </w:rPr>
        <w:t>•</w:t>
      </w:r>
      <w:r w:rsidR="007435AC" w:rsidRPr="003063F4">
        <w:rPr>
          <w:lang w:val="fr-FR"/>
        </w:rPr>
        <w:tab/>
        <w:t>L</w:t>
      </w:r>
      <w:r w:rsidR="00010994" w:rsidRPr="003063F4">
        <w:rPr>
          <w:lang w:val="fr-FR"/>
        </w:rPr>
        <w:t>’</w:t>
      </w:r>
      <w:r w:rsidR="007435AC" w:rsidRPr="003063F4">
        <w:rPr>
          <w:lang w:val="fr-FR"/>
        </w:rPr>
        <w:t>obligation d</w:t>
      </w:r>
      <w:r w:rsidR="00010994" w:rsidRPr="003063F4">
        <w:rPr>
          <w:lang w:val="fr-FR"/>
        </w:rPr>
        <w:t>’</w:t>
      </w:r>
      <w:r w:rsidR="007435AC" w:rsidRPr="003063F4">
        <w:rPr>
          <w:lang w:val="fr-FR"/>
        </w:rPr>
        <w:t>inclure dans les programmes d</w:t>
      </w:r>
      <w:r w:rsidR="00010994" w:rsidRPr="003063F4">
        <w:rPr>
          <w:lang w:val="fr-FR"/>
        </w:rPr>
        <w:t>’</w:t>
      </w:r>
      <w:r w:rsidR="007435AC" w:rsidRPr="003063F4">
        <w:rPr>
          <w:lang w:val="fr-FR"/>
        </w:rPr>
        <w:t>étude officiels, à tous les niveaux d</w:t>
      </w:r>
      <w:r w:rsidR="00010994" w:rsidRPr="003063F4">
        <w:rPr>
          <w:lang w:val="fr-FR"/>
        </w:rPr>
        <w:t>’</w:t>
      </w:r>
      <w:r w:rsidR="007435AC" w:rsidRPr="003063F4">
        <w:rPr>
          <w:lang w:val="fr-FR"/>
        </w:rPr>
        <w:t>enseignement, du matériel d</w:t>
      </w:r>
      <w:r w:rsidR="00010994" w:rsidRPr="003063F4">
        <w:rPr>
          <w:lang w:val="fr-FR"/>
        </w:rPr>
        <w:t>’</w:t>
      </w:r>
      <w:r w:rsidR="007435AC" w:rsidRPr="003063F4">
        <w:rPr>
          <w:lang w:val="fr-FR"/>
        </w:rPr>
        <w:t>enseignement adapté aux capacités et au stade de développement des apprenants sur des sujets tels que l</w:t>
      </w:r>
      <w:r w:rsidR="00010994" w:rsidRPr="003063F4">
        <w:rPr>
          <w:lang w:val="fr-FR"/>
        </w:rPr>
        <w:t>’</w:t>
      </w:r>
      <w:r w:rsidR="007435AC" w:rsidRPr="003063F4">
        <w:rPr>
          <w:lang w:val="fr-FR"/>
        </w:rPr>
        <w:t>égalité entre les femmes et les hommes, les rôles non stéréotypés des genres, le respect mutuel et la résolution non violente des conflits dans les relations interpersonnelles, conformément aux dispositions du paragraphe 1 de l</w:t>
      </w:r>
      <w:r w:rsidR="00010994" w:rsidRPr="003063F4">
        <w:rPr>
          <w:lang w:val="fr-FR"/>
        </w:rPr>
        <w:t>’</w:t>
      </w:r>
      <w:r w:rsidR="007435AC" w:rsidRPr="003063F4">
        <w:rPr>
          <w:lang w:val="fr-FR"/>
        </w:rPr>
        <w:t>article 14 de la Convention d</w:t>
      </w:r>
      <w:r w:rsidR="00010994" w:rsidRPr="003063F4">
        <w:rPr>
          <w:lang w:val="fr-FR"/>
        </w:rPr>
        <w:t>’</w:t>
      </w:r>
      <w:r w:rsidR="007435AC" w:rsidRPr="003063F4">
        <w:rPr>
          <w:lang w:val="fr-FR"/>
        </w:rPr>
        <w:t>Istanbul</w:t>
      </w:r>
      <w:r w:rsidR="00010994" w:rsidRPr="003063F4">
        <w:rPr>
          <w:lang w:val="fr-FR"/>
        </w:rPr>
        <w:t> ;</w:t>
      </w:r>
    </w:p>
    <w:p w14:paraId="5E411400" w14:textId="05F25B4C" w:rsidR="007435AC" w:rsidRPr="003063F4" w:rsidRDefault="00D66CB3" w:rsidP="00D66CB3">
      <w:pPr>
        <w:pStyle w:val="SingleTxt"/>
        <w:tabs>
          <w:tab w:val="right" w:pos="1685"/>
        </w:tabs>
        <w:ind w:left="1742" w:hanging="475"/>
        <w:rPr>
          <w:lang w:val="fr-FR"/>
        </w:rPr>
      </w:pPr>
      <w:r w:rsidRPr="003063F4">
        <w:rPr>
          <w:lang w:val="fr-FR"/>
        </w:rPr>
        <w:tab/>
      </w:r>
      <w:r w:rsidR="007435AC" w:rsidRPr="003063F4">
        <w:rPr>
          <w:lang w:val="fr-FR"/>
        </w:rPr>
        <w:t>•</w:t>
      </w:r>
      <w:r w:rsidR="007435AC" w:rsidRPr="003063F4">
        <w:rPr>
          <w:lang w:val="fr-FR"/>
        </w:rPr>
        <w:tab/>
        <w:t>Une gamme plus large de services sociaux offerts aux victimes et aux auteurs de violence domestique et de violence contre les femmes, notamment des permanences téléphoniques, conformément à l</w:t>
      </w:r>
      <w:r w:rsidR="00010994" w:rsidRPr="003063F4">
        <w:rPr>
          <w:lang w:val="fr-FR"/>
        </w:rPr>
        <w:t>’</w:t>
      </w:r>
      <w:r w:rsidR="007435AC" w:rsidRPr="003063F4">
        <w:rPr>
          <w:lang w:val="fr-FR"/>
        </w:rPr>
        <w:t>article 24 de la Convention d</w:t>
      </w:r>
      <w:r w:rsidR="00010994" w:rsidRPr="003063F4">
        <w:rPr>
          <w:lang w:val="fr-FR"/>
        </w:rPr>
        <w:t>’</w:t>
      </w:r>
      <w:r w:rsidR="007435AC" w:rsidRPr="003063F4">
        <w:rPr>
          <w:lang w:val="fr-FR"/>
        </w:rPr>
        <w:t xml:space="preserve">Istanbul et à la directive </w:t>
      </w:r>
      <w:hyperlink r:id="rId17" w:history="1">
        <w:r w:rsidR="007435AC" w:rsidRPr="003063F4">
          <w:rPr>
            <w:rStyle w:val="Hyperlink"/>
            <w:lang w:val="fr-FR"/>
          </w:rPr>
          <w:t>2012/29/UE</w:t>
        </w:r>
      </w:hyperlink>
      <w:r w:rsidR="007435AC" w:rsidRPr="003063F4">
        <w:rPr>
          <w:lang w:val="fr-FR"/>
        </w:rPr>
        <w:t>, des centres d</w:t>
      </w:r>
      <w:r w:rsidR="00010994" w:rsidRPr="003063F4">
        <w:rPr>
          <w:lang w:val="fr-FR"/>
        </w:rPr>
        <w:t>’</w:t>
      </w:r>
      <w:r w:rsidR="007435AC" w:rsidRPr="003063F4">
        <w:rPr>
          <w:lang w:val="fr-FR"/>
        </w:rPr>
        <w:t>aide aux victimes de violence sexuelle, conformément à l</w:t>
      </w:r>
      <w:r w:rsidR="00010994" w:rsidRPr="003063F4">
        <w:rPr>
          <w:lang w:val="fr-FR"/>
        </w:rPr>
        <w:t>’</w:t>
      </w:r>
      <w:r w:rsidR="007435AC" w:rsidRPr="003063F4">
        <w:rPr>
          <w:lang w:val="fr-FR"/>
        </w:rPr>
        <w:t>article 25 de la Convention d</w:t>
      </w:r>
      <w:r w:rsidR="00010994" w:rsidRPr="003063F4">
        <w:rPr>
          <w:lang w:val="fr-FR"/>
        </w:rPr>
        <w:t>’</w:t>
      </w:r>
      <w:r w:rsidR="007435AC" w:rsidRPr="003063F4">
        <w:rPr>
          <w:lang w:val="fr-FR"/>
        </w:rPr>
        <w:t xml:space="preserve">Istanbul et à la directive </w:t>
      </w:r>
      <w:hyperlink r:id="rId18" w:history="1">
        <w:r w:rsidR="007435AC" w:rsidRPr="003063F4">
          <w:rPr>
            <w:rStyle w:val="Hyperlink"/>
            <w:lang w:val="fr-FR"/>
          </w:rPr>
          <w:t>2012/29/UE</w:t>
        </w:r>
      </w:hyperlink>
      <w:r w:rsidR="007435AC" w:rsidRPr="003063F4">
        <w:rPr>
          <w:lang w:val="fr-FR"/>
        </w:rPr>
        <w:t>, des logements protégés, conformément à l</w:t>
      </w:r>
      <w:r w:rsidR="00010994" w:rsidRPr="003063F4">
        <w:rPr>
          <w:lang w:val="fr-FR"/>
        </w:rPr>
        <w:t>’</w:t>
      </w:r>
      <w:r w:rsidR="007435AC" w:rsidRPr="003063F4">
        <w:rPr>
          <w:lang w:val="fr-FR"/>
        </w:rPr>
        <w:t>article 77</w:t>
      </w:r>
      <w:r w:rsidR="005A626D">
        <w:rPr>
          <w:lang w:val="fr-FR"/>
        </w:rPr>
        <w:t> </w:t>
      </w:r>
      <w:r w:rsidR="007435AC" w:rsidRPr="003063F4">
        <w:rPr>
          <w:lang w:val="fr-FR"/>
        </w:rPr>
        <w:t>2) c) de la loi n</w:t>
      </w:r>
      <w:r w:rsidR="00F853D5" w:rsidRPr="003063F4">
        <w:rPr>
          <w:vertAlign w:val="superscript"/>
          <w:lang w:val="fr-FR"/>
        </w:rPr>
        <w:t>o</w:t>
      </w:r>
      <w:r w:rsidR="008A1E34">
        <w:rPr>
          <w:lang w:val="fr-FR"/>
        </w:rPr>
        <w:t> </w:t>
      </w:r>
      <w:r w:rsidR="007435AC" w:rsidRPr="003063F4">
        <w:rPr>
          <w:lang w:val="fr-FR"/>
        </w:rPr>
        <w:t>292/2011, et des centres d</w:t>
      </w:r>
      <w:r w:rsidR="00010994" w:rsidRPr="003063F4">
        <w:rPr>
          <w:lang w:val="fr-FR"/>
        </w:rPr>
        <w:t>’</w:t>
      </w:r>
      <w:r w:rsidR="007435AC" w:rsidRPr="003063F4">
        <w:rPr>
          <w:lang w:val="fr-FR"/>
        </w:rPr>
        <w:t>aide aux agresseurs, conformément à l</w:t>
      </w:r>
      <w:r w:rsidR="00010994" w:rsidRPr="003063F4">
        <w:rPr>
          <w:lang w:val="fr-FR"/>
        </w:rPr>
        <w:t>’</w:t>
      </w:r>
      <w:r w:rsidR="007435AC" w:rsidRPr="003063F4">
        <w:rPr>
          <w:lang w:val="fr-FR"/>
        </w:rPr>
        <w:t>article 16 de la Convention d</w:t>
      </w:r>
      <w:r w:rsidR="00010994" w:rsidRPr="003063F4">
        <w:rPr>
          <w:lang w:val="fr-FR"/>
        </w:rPr>
        <w:t>’</w:t>
      </w:r>
      <w:r w:rsidR="007435AC" w:rsidRPr="003063F4">
        <w:rPr>
          <w:lang w:val="fr-FR"/>
        </w:rPr>
        <w:t>Istanbul</w:t>
      </w:r>
      <w:r w:rsidR="00010994" w:rsidRPr="003063F4">
        <w:rPr>
          <w:lang w:val="fr-FR"/>
        </w:rPr>
        <w:t> ;</w:t>
      </w:r>
    </w:p>
    <w:p w14:paraId="01A92855" w14:textId="6B4C8DC1" w:rsidR="007435AC" w:rsidRPr="003063F4" w:rsidRDefault="00D66CB3" w:rsidP="00D66CB3">
      <w:pPr>
        <w:pStyle w:val="SingleTxt"/>
        <w:tabs>
          <w:tab w:val="right" w:pos="1685"/>
        </w:tabs>
        <w:ind w:left="1742" w:hanging="475"/>
        <w:rPr>
          <w:lang w:val="fr-FR"/>
        </w:rPr>
      </w:pPr>
      <w:r w:rsidRPr="003063F4">
        <w:rPr>
          <w:lang w:val="fr-FR"/>
        </w:rPr>
        <w:tab/>
      </w:r>
      <w:r w:rsidR="007435AC" w:rsidRPr="003063F4">
        <w:rPr>
          <w:lang w:val="fr-FR"/>
        </w:rPr>
        <w:t>•</w:t>
      </w:r>
      <w:r w:rsidR="007435AC" w:rsidRPr="003063F4">
        <w:rPr>
          <w:lang w:val="fr-FR"/>
        </w:rPr>
        <w:tab/>
        <w:t>L</w:t>
      </w:r>
      <w:r w:rsidR="00010994" w:rsidRPr="003063F4">
        <w:rPr>
          <w:lang w:val="fr-FR"/>
        </w:rPr>
        <w:t>’</w:t>
      </w:r>
      <w:r w:rsidR="007435AC" w:rsidRPr="003063F4">
        <w:rPr>
          <w:lang w:val="fr-FR"/>
        </w:rPr>
        <w:t>obligation pour les autorités locales de fournir ou d</w:t>
      </w:r>
      <w:r w:rsidR="00010994" w:rsidRPr="003063F4">
        <w:rPr>
          <w:lang w:val="fr-FR"/>
        </w:rPr>
        <w:t>’</w:t>
      </w:r>
      <w:r w:rsidR="007435AC" w:rsidRPr="003063F4">
        <w:rPr>
          <w:lang w:val="fr-FR"/>
        </w:rPr>
        <w:t>aménager, selon une répartition géographique adaptée aux besoins, des services d</w:t>
      </w:r>
      <w:r w:rsidR="00010994" w:rsidRPr="003063F4">
        <w:rPr>
          <w:lang w:val="fr-FR"/>
        </w:rPr>
        <w:t>’</w:t>
      </w:r>
      <w:r w:rsidR="007435AC" w:rsidRPr="003063F4">
        <w:rPr>
          <w:lang w:val="fr-FR"/>
        </w:rPr>
        <w:t>aide à toute victime de tout acte de violence couvert par les dispositions de la loi en question (loi n</w:t>
      </w:r>
      <w:r w:rsidR="00F853D5" w:rsidRPr="003063F4">
        <w:rPr>
          <w:vertAlign w:val="superscript"/>
          <w:lang w:val="fr-FR"/>
        </w:rPr>
        <w:t>o</w:t>
      </w:r>
      <w:r w:rsidR="005A626D">
        <w:rPr>
          <w:lang w:val="fr-FR"/>
        </w:rPr>
        <w:t> </w:t>
      </w:r>
      <w:r w:rsidR="007435AC" w:rsidRPr="003063F4">
        <w:rPr>
          <w:lang w:val="fr-FR"/>
        </w:rPr>
        <w:t>217/2003 modifiée par la loi n</w:t>
      </w:r>
      <w:r w:rsidR="00F853D5" w:rsidRPr="003063F4">
        <w:rPr>
          <w:vertAlign w:val="superscript"/>
          <w:lang w:val="fr-FR"/>
        </w:rPr>
        <w:t>o</w:t>
      </w:r>
      <w:r w:rsidR="005A626D">
        <w:rPr>
          <w:lang w:val="fr-FR"/>
        </w:rPr>
        <w:t> </w:t>
      </w:r>
      <w:r w:rsidR="007435AC" w:rsidRPr="003063F4">
        <w:rPr>
          <w:lang w:val="fr-FR"/>
        </w:rPr>
        <w:t>174/2018), conformément aux articles 22 et 23 de la Convention d</w:t>
      </w:r>
      <w:r w:rsidR="00010994" w:rsidRPr="003063F4">
        <w:rPr>
          <w:lang w:val="fr-FR"/>
        </w:rPr>
        <w:t>’</w:t>
      </w:r>
      <w:r w:rsidR="007435AC" w:rsidRPr="003063F4">
        <w:rPr>
          <w:lang w:val="fr-FR"/>
        </w:rPr>
        <w:t>Istanbul, la qualification des infractions que constituent le non-respect de cette obligation et les sanctions encourues</w:t>
      </w:r>
      <w:r w:rsidR="00010994" w:rsidRPr="003063F4">
        <w:rPr>
          <w:lang w:val="fr-FR"/>
        </w:rPr>
        <w:t> ;</w:t>
      </w:r>
    </w:p>
    <w:p w14:paraId="517D00AC" w14:textId="12520BE2" w:rsidR="007435AC" w:rsidRPr="003063F4" w:rsidRDefault="00D66CB3" w:rsidP="00D66CB3">
      <w:pPr>
        <w:pStyle w:val="SingleTxt"/>
        <w:tabs>
          <w:tab w:val="right" w:pos="1685"/>
        </w:tabs>
        <w:ind w:left="1742" w:hanging="475"/>
        <w:rPr>
          <w:lang w:val="fr-FR"/>
        </w:rPr>
      </w:pPr>
      <w:r w:rsidRPr="003063F4">
        <w:rPr>
          <w:lang w:val="fr-FR"/>
        </w:rPr>
        <w:tab/>
      </w:r>
      <w:r w:rsidR="007435AC" w:rsidRPr="003063F4">
        <w:rPr>
          <w:lang w:val="fr-FR"/>
        </w:rPr>
        <w:t>•</w:t>
      </w:r>
      <w:r w:rsidR="007435AC" w:rsidRPr="003063F4">
        <w:rPr>
          <w:lang w:val="fr-FR"/>
        </w:rPr>
        <w:tab/>
        <w:t>L</w:t>
      </w:r>
      <w:r w:rsidR="00010994" w:rsidRPr="003063F4">
        <w:rPr>
          <w:lang w:val="fr-FR"/>
        </w:rPr>
        <w:t>’</w:t>
      </w:r>
      <w:r w:rsidR="007435AC" w:rsidRPr="003063F4">
        <w:rPr>
          <w:lang w:val="fr-FR"/>
        </w:rPr>
        <w:t>obligation pour les autorités locales d</w:t>
      </w:r>
      <w:r w:rsidR="00010994" w:rsidRPr="003063F4">
        <w:rPr>
          <w:lang w:val="fr-FR"/>
        </w:rPr>
        <w:t>’</w:t>
      </w:r>
      <w:r w:rsidR="007435AC" w:rsidRPr="003063F4">
        <w:rPr>
          <w:lang w:val="fr-FR"/>
        </w:rPr>
        <w:t>acquérir une connaissance approfondie et réelle du problème et d</w:t>
      </w:r>
      <w:r w:rsidR="00010994" w:rsidRPr="003063F4">
        <w:rPr>
          <w:lang w:val="fr-FR"/>
        </w:rPr>
        <w:t>’</w:t>
      </w:r>
      <w:r w:rsidR="007435AC" w:rsidRPr="003063F4">
        <w:rPr>
          <w:lang w:val="fr-FR"/>
        </w:rPr>
        <w:t xml:space="preserve">allouer un budget suffisant aux activités visant à répondre aux besoins des bénéficiaires. </w:t>
      </w:r>
    </w:p>
    <w:p w14:paraId="438F9E60" w14:textId="27E8ADAD" w:rsidR="007435AC" w:rsidRPr="009C2207" w:rsidRDefault="007435AC" w:rsidP="007435AC">
      <w:pPr>
        <w:pStyle w:val="SingleTxt"/>
        <w:numPr>
          <w:ilvl w:val="0"/>
          <w:numId w:val="45"/>
        </w:numPr>
        <w:spacing w:line="240" w:lineRule="exact"/>
        <w:ind w:left="1267"/>
        <w:rPr>
          <w:iCs/>
          <w:lang w:val="fr-FR"/>
        </w:rPr>
      </w:pPr>
      <w:r w:rsidRPr="003063F4">
        <w:rPr>
          <w:lang w:val="fr-FR"/>
        </w:rPr>
        <w:t>La loi n</w:t>
      </w:r>
      <w:r w:rsidR="00F853D5" w:rsidRPr="003063F4">
        <w:rPr>
          <w:vertAlign w:val="superscript"/>
          <w:lang w:val="fr-FR"/>
        </w:rPr>
        <w:t>o</w:t>
      </w:r>
      <w:r w:rsidR="005A626D">
        <w:rPr>
          <w:lang w:val="fr-FR"/>
        </w:rPr>
        <w:t> </w:t>
      </w:r>
      <w:r w:rsidRPr="003063F4">
        <w:rPr>
          <w:lang w:val="fr-FR"/>
        </w:rPr>
        <w:t>178/2018, qui modifie et complète la loi n</w:t>
      </w:r>
      <w:r w:rsidR="00F853D5" w:rsidRPr="003063F4">
        <w:rPr>
          <w:vertAlign w:val="superscript"/>
          <w:lang w:val="fr-FR"/>
        </w:rPr>
        <w:t>o</w:t>
      </w:r>
      <w:r w:rsidR="005A626D">
        <w:rPr>
          <w:lang w:val="fr-FR"/>
        </w:rPr>
        <w:t> </w:t>
      </w:r>
      <w:r w:rsidRPr="003063F4">
        <w:rPr>
          <w:lang w:val="fr-FR"/>
        </w:rPr>
        <w:t>202/2002 sur l</w:t>
      </w:r>
      <w:r w:rsidR="00010994" w:rsidRPr="003063F4">
        <w:rPr>
          <w:lang w:val="fr-FR"/>
        </w:rPr>
        <w:t>’</w:t>
      </w:r>
      <w:r w:rsidRPr="003063F4">
        <w:rPr>
          <w:lang w:val="fr-FR"/>
        </w:rPr>
        <w:t>égalité des chances et de traitement des femmes et des hommes, définit la violence sexiste (fondée sur le genre), conformément à l</w:t>
      </w:r>
      <w:r w:rsidR="00010994" w:rsidRPr="003063F4">
        <w:rPr>
          <w:lang w:val="fr-FR"/>
        </w:rPr>
        <w:t>’</w:t>
      </w:r>
      <w:r w:rsidRPr="003063F4">
        <w:rPr>
          <w:lang w:val="fr-FR"/>
        </w:rPr>
        <w:t>article 3 d) de la Convention d</w:t>
      </w:r>
      <w:r w:rsidR="00010994" w:rsidRPr="003063F4">
        <w:rPr>
          <w:lang w:val="fr-FR"/>
        </w:rPr>
        <w:t>’</w:t>
      </w:r>
      <w:r w:rsidRPr="003063F4">
        <w:rPr>
          <w:lang w:val="fr-FR"/>
        </w:rPr>
        <w:t xml:space="preserve">Istanbul, et </w:t>
      </w:r>
      <w:r w:rsidRPr="003063F4">
        <w:rPr>
          <w:lang w:val="fr-FR"/>
        </w:rPr>
        <w:lastRenderedPageBreak/>
        <w:t>contient des dispositions en matière d</w:t>
      </w:r>
      <w:r w:rsidR="00010994" w:rsidRPr="003063F4">
        <w:rPr>
          <w:lang w:val="fr-FR"/>
        </w:rPr>
        <w:t>’</w:t>
      </w:r>
      <w:r w:rsidRPr="003063F4">
        <w:rPr>
          <w:lang w:val="fr-FR"/>
        </w:rPr>
        <w:t>égalité des chances sur les professions d</w:t>
      </w:r>
      <w:r w:rsidR="00010994" w:rsidRPr="003063F4">
        <w:rPr>
          <w:lang w:val="fr-FR"/>
        </w:rPr>
        <w:t>’</w:t>
      </w:r>
      <w:r w:rsidRPr="003063F4">
        <w:rPr>
          <w:lang w:val="fr-FR"/>
        </w:rPr>
        <w:t>expert et de technicien, s</w:t>
      </w:r>
      <w:r w:rsidR="00010994" w:rsidRPr="003063F4">
        <w:rPr>
          <w:lang w:val="fr-FR"/>
        </w:rPr>
        <w:t>’</w:t>
      </w:r>
      <w:r w:rsidRPr="003063F4">
        <w:rPr>
          <w:lang w:val="fr-FR"/>
        </w:rPr>
        <w:t>agissant notamment de leurs principales attributions.</w:t>
      </w:r>
    </w:p>
    <w:p w14:paraId="6CDFCF75" w14:textId="6126B915" w:rsidR="008A1E34" w:rsidRPr="009C2207" w:rsidRDefault="008A1E34" w:rsidP="009C2207">
      <w:pPr>
        <w:pStyle w:val="SingleTxt"/>
        <w:spacing w:after="0" w:line="120" w:lineRule="exact"/>
        <w:rPr>
          <w:sz w:val="10"/>
          <w:lang w:val="fr-FR"/>
        </w:rPr>
      </w:pPr>
    </w:p>
    <w:p w14:paraId="77BBB0A6" w14:textId="2245BBEB" w:rsidR="007435AC" w:rsidRPr="003063F4" w:rsidRDefault="007435AC" w:rsidP="0062380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63F4">
        <w:rPr>
          <w:lang w:val="fr-FR"/>
        </w:rPr>
        <w:tab/>
      </w:r>
      <w:r w:rsidRPr="003063F4">
        <w:rPr>
          <w:lang w:val="fr-FR"/>
        </w:rPr>
        <w:tab/>
        <w:t>Législation secondaire</w:t>
      </w:r>
    </w:p>
    <w:p w14:paraId="6846FBA3" w14:textId="0630912F" w:rsidR="00623808" w:rsidRPr="003063F4" w:rsidRDefault="00623808" w:rsidP="00623808">
      <w:pPr>
        <w:pStyle w:val="SingleTxt"/>
        <w:spacing w:after="0" w:line="120" w:lineRule="exact"/>
        <w:rPr>
          <w:sz w:val="10"/>
          <w:lang w:val="fr-FR"/>
        </w:rPr>
      </w:pPr>
    </w:p>
    <w:p w14:paraId="7674C018" w14:textId="05B8C362" w:rsidR="007435AC" w:rsidRPr="003063F4" w:rsidRDefault="007435AC" w:rsidP="007435AC">
      <w:pPr>
        <w:pStyle w:val="SingleTxt"/>
        <w:numPr>
          <w:ilvl w:val="0"/>
          <w:numId w:val="45"/>
        </w:numPr>
        <w:spacing w:line="240" w:lineRule="exact"/>
        <w:ind w:left="1267"/>
        <w:rPr>
          <w:bCs/>
          <w:lang w:val="fr-FR"/>
        </w:rPr>
      </w:pPr>
      <w:r w:rsidRPr="003063F4">
        <w:rPr>
          <w:lang w:val="fr-FR"/>
        </w:rPr>
        <w:t>La législation secondaire est la suivante</w:t>
      </w:r>
      <w:r w:rsidR="00010994" w:rsidRPr="003063F4">
        <w:rPr>
          <w:lang w:val="fr-FR"/>
        </w:rPr>
        <w:t> :</w:t>
      </w:r>
    </w:p>
    <w:p w14:paraId="77FA5938" w14:textId="216E2F6D" w:rsidR="007435AC" w:rsidRPr="003063F4" w:rsidRDefault="00D66CB3" w:rsidP="007435AC">
      <w:pPr>
        <w:pStyle w:val="SingleTxt"/>
        <w:rPr>
          <w:lang w:val="fr-FR"/>
        </w:rPr>
      </w:pPr>
      <w:r w:rsidRPr="003063F4">
        <w:rPr>
          <w:lang w:val="fr-FR"/>
        </w:rPr>
        <w:tab/>
      </w:r>
      <w:r w:rsidR="007435AC" w:rsidRPr="003063F4">
        <w:rPr>
          <w:lang w:val="fr-FR"/>
        </w:rPr>
        <w:t>a)</w:t>
      </w:r>
      <w:r w:rsidR="007435AC" w:rsidRPr="003063F4">
        <w:rPr>
          <w:lang w:val="fr-FR"/>
        </w:rPr>
        <w:tab/>
        <w:t>La décision gouvernementale n</w:t>
      </w:r>
      <w:r w:rsidR="00F853D5" w:rsidRPr="003063F4">
        <w:rPr>
          <w:vertAlign w:val="superscript"/>
          <w:lang w:val="fr-FR"/>
        </w:rPr>
        <w:t>o</w:t>
      </w:r>
      <w:r w:rsidR="00F853D5" w:rsidRPr="003063F4">
        <w:rPr>
          <w:lang w:val="fr-FR"/>
        </w:rPr>
        <w:t> </w:t>
      </w:r>
      <w:r w:rsidR="007435AC" w:rsidRPr="003063F4">
        <w:rPr>
          <w:lang w:val="fr-FR"/>
        </w:rPr>
        <w:t>365/2018, approuvant la stratégie nationale de promotion de l</w:t>
      </w:r>
      <w:r w:rsidR="00010994" w:rsidRPr="003063F4">
        <w:rPr>
          <w:lang w:val="fr-FR"/>
        </w:rPr>
        <w:t>’</w:t>
      </w:r>
      <w:r w:rsidR="007435AC" w:rsidRPr="003063F4">
        <w:rPr>
          <w:lang w:val="fr-FR"/>
        </w:rPr>
        <w:t>égalité entre les femmes et les hommes et de prévention de la violence familiale pour la période 2018-2021 et le plan opérationnel de mise en œuvre de cette stratégie</w:t>
      </w:r>
      <w:r w:rsidR="00010994" w:rsidRPr="003063F4">
        <w:rPr>
          <w:lang w:val="fr-FR"/>
        </w:rPr>
        <w:t> ;</w:t>
      </w:r>
    </w:p>
    <w:p w14:paraId="5A3DA6F6" w14:textId="6F8EFAE5" w:rsidR="007435AC" w:rsidRPr="003063F4" w:rsidRDefault="00D66CB3" w:rsidP="007435AC">
      <w:pPr>
        <w:pStyle w:val="SingleTxt"/>
        <w:rPr>
          <w:lang w:val="fr-FR"/>
        </w:rPr>
      </w:pPr>
      <w:r w:rsidRPr="003063F4">
        <w:rPr>
          <w:lang w:val="fr-FR"/>
        </w:rPr>
        <w:tab/>
      </w:r>
      <w:r w:rsidR="007435AC" w:rsidRPr="003063F4">
        <w:rPr>
          <w:lang w:val="fr-FR"/>
        </w:rPr>
        <w:t>b)</w:t>
      </w:r>
      <w:r w:rsidR="007435AC" w:rsidRPr="003063F4">
        <w:rPr>
          <w:lang w:val="fr-FR"/>
        </w:rPr>
        <w:tab/>
        <w:t>La décision gouvernementale n</w:t>
      </w:r>
      <w:r w:rsidR="00F853D5" w:rsidRPr="003063F4">
        <w:rPr>
          <w:vertAlign w:val="superscript"/>
          <w:lang w:val="fr-FR"/>
        </w:rPr>
        <w:t>o</w:t>
      </w:r>
      <w:r w:rsidR="00F853D5" w:rsidRPr="003063F4">
        <w:rPr>
          <w:lang w:val="fr-FR"/>
        </w:rPr>
        <w:t> </w:t>
      </w:r>
      <w:r w:rsidR="007435AC" w:rsidRPr="003063F4">
        <w:rPr>
          <w:lang w:val="fr-FR"/>
        </w:rPr>
        <w:t>877/2018, relative à l</w:t>
      </w:r>
      <w:r w:rsidR="00010994" w:rsidRPr="003063F4">
        <w:rPr>
          <w:lang w:val="fr-FR"/>
        </w:rPr>
        <w:t>’</w:t>
      </w:r>
      <w:r w:rsidR="007435AC" w:rsidRPr="003063F4">
        <w:rPr>
          <w:lang w:val="fr-FR"/>
        </w:rPr>
        <w:t>adoption de la stratégie nationale de développement durable en Roumanie pour 2030</w:t>
      </w:r>
      <w:r w:rsidR="00010994" w:rsidRPr="003063F4">
        <w:rPr>
          <w:lang w:val="fr-FR"/>
        </w:rPr>
        <w:t> ;</w:t>
      </w:r>
    </w:p>
    <w:p w14:paraId="0A3B21AF" w14:textId="2D26AB71" w:rsidR="007435AC" w:rsidRPr="003063F4" w:rsidRDefault="00D66CB3" w:rsidP="007435AC">
      <w:pPr>
        <w:pStyle w:val="SingleTxt"/>
        <w:rPr>
          <w:lang w:val="fr-FR"/>
        </w:rPr>
      </w:pPr>
      <w:r w:rsidRPr="003063F4">
        <w:rPr>
          <w:lang w:val="fr-FR"/>
        </w:rPr>
        <w:tab/>
      </w:r>
      <w:r w:rsidR="007435AC" w:rsidRPr="003063F4">
        <w:rPr>
          <w:lang w:val="fr-FR"/>
        </w:rPr>
        <w:t>c)</w:t>
      </w:r>
      <w:r w:rsidR="007435AC" w:rsidRPr="003063F4">
        <w:rPr>
          <w:lang w:val="fr-FR"/>
        </w:rPr>
        <w:tab/>
        <w:t>La décision gouvernementale n</w:t>
      </w:r>
      <w:r w:rsidR="00F853D5" w:rsidRPr="003063F4">
        <w:rPr>
          <w:vertAlign w:val="superscript"/>
          <w:lang w:val="fr-FR"/>
        </w:rPr>
        <w:t>o</w:t>
      </w:r>
      <w:r w:rsidR="00F853D5" w:rsidRPr="003063F4">
        <w:rPr>
          <w:lang w:val="fr-FR"/>
        </w:rPr>
        <w:t> </w:t>
      </w:r>
      <w:r w:rsidR="007435AC" w:rsidRPr="003063F4">
        <w:rPr>
          <w:lang w:val="fr-FR"/>
        </w:rPr>
        <w:t>262/2019, portant approbation des modalités d</w:t>
      </w:r>
      <w:r w:rsidR="00010994" w:rsidRPr="003063F4">
        <w:rPr>
          <w:lang w:val="fr-FR"/>
        </w:rPr>
        <w:t>’</w:t>
      </w:r>
      <w:r w:rsidR="007435AC" w:rsidRPr="003063F4">
        <w:rPr>
          <w:lang w:val="fr-FR"/>
        </w:rPr>
        <w:t>application de la loi n</w:t>
      </w:r>
      <w:r w:rsidR="00F853D5" w:rsidRPr="003063F4">
        <w:rPr>
          <w:vertAlign w:val="superscript"/>
          <w:lang w:val="fr-FR"/>
        </w:rPr>
        <w:t>o</w:t>
      </w:r>
      <w:r w:rsidR="00F853D5" w:rsidRPr="003063F4">
        <w:rPr>
          <w:lang w:val="fr-FR"/>
        </w:rPr>
        <w:t> </w:t>
      </w:r>
      <w:r w:rsidR="007435AC" w:rsidRPr="003063F4">
        <w:rPr>
          <w:lang w:val="fr-FR"/>
        </w:rPr>
        <w:t>202/2002 sur l</w:t>
      </w:r>
      <w:r w:rsidR="00010994" w:rsidRPr="003063F4">
        <w:rPr>
          <w:lang w:val="fr-FR"/>
        </w:rPr>
        <w:t>’</w:t>
      </w:r>
      <w:r w:rsidR="007435AC" w:rsidRPr="003063F4">
        <w:rPr>
          <w:lang w:val="fr-FR"/>
        </w:rPr>
        <w:t>égalité des chances et de traitement des femmes et des hommes</w:t>
      </w:r>
      <w:r w:rsidR="00010994" w:rsidRPr="003063F4">
        <w:rPr>
          <w:lang w:val="fr-FR"/>
        </w:rPr>
        <w:t> ;</w:t>
      </w:r>
    </w:p>
    <w:p w14:paraId="70CDE346" w14:textId="5936B53F" w:rsidR="00623808" w:rsidRPr="003063F4" w:rsidRDefault="00D66CB3" w:rsidP="00623808">
      <w:pPr>
        <w:pStyle w:val="SingleTxt"/>
        <w:rPr>
          <w:lang w:val="fr-FR"/>
        </w:rPr>
      </w:pPr>
      <w:r w:rsidRPr="003063F4">
        <w:rPr>
          <w:lang w:val="fr-FR"/>
        </w:rPr>
        <w:tab/>
      </w:r>
      <w:r w:rsidR="007435AC" w:rsidRPr="003063F4">
        <w:rPr>
          <w:lang w:val="fr-FR"/>
        </w:rPr>
        <w:t>d)</w:t>
      </w:r>
      <w:r w:rsidR="007435AC" w:rsidRPr="003063F4">
        <w:rPr>
          <w:lang w:val="fr-FR"/>
        </w:rPr>
        <w:tab/>
        <w:t>La décision gouvernementale n</w:t>
      </w:r>
      <w:r w:rsidR="00F853D5" w:rsidRPr="003063F4">
        <w:rPr>
          <w:vertAlign w:val="superscript"/>
          <w:lang w:val="fr-FR"/>
        </w:rPr>
        <w:t>o</w:t>
      </w:r>
      <w:r w:rsidR="00F853D5" w:rsidRPr="003063F4">
        <w:rPr>
          <w:lang w:val="fr-FR"/>
        </w:rPr>
        <w:t> </w:t>
      </w:r>
      <w:r w:rsidR="007435AC" w:rsidRPr="003063F4">
        <w:rPr>
          <w:lang w:val="fr-FR"/>
        </w:rPr>
        <w:t>476/2019, modifiant et complétant les modalités d</w:t>
      </w:r>
      <w:r w:rsidR="00010994" w:rsidRPr="003063F4">
        <w:rPr>
          <w:lang w:val="fr-FR"/>
        </w:rPr>
        <w:t>’</w:t>
      </w:r>
      <w:r w:rsidR="007435AC" w:rsidRPr="003063F4">
        <w:rPr>
          <w:lang w:val="fr-FR"/>
        </w:rPr>
        <w:t>application de la loi n</w:t>
      </w:r>
      <w:r w:rsidR="00F853D5" w:rsidRPr="003063F4">
        <w:rPr>
          <w:vertAlign w:val="superscript"/>
          <w:lang w:val="fr-FR"/>
        </w:rPr>
        <w:t>o</w:t>
      </w:r>
      <w:r w:rsidR="00F853D5" w:rsidRPr="003063F4">
        <w:rPr>
          <w:lang w:val="fr-FR"/>
        </w:rPr>
        <w:t> </w:t>
      </w:r>
      <w:r w:rsidR="007435AC" w:rsidRPr="003063F4">
        <w:rPr>
          <w:lang w:val="fr-FR"/>
        </w:rPr>
        <w:t>197/2012 relative à l</w:t>
      </w:r>
      <w:r w:rsidR="00010994" w:rsidRPr="003063F4">
        <w:rPr>
          <w:lang w:val="fr-FR"/>
        </w:rPr>
        <w:t>’</w:t>
      </w:r>
      <w:r w:rsidR="007435AC" w:rsidRPr="003063F4">
        <w:rPr>
          <w:lang w:val="fr-FR"/>
        </w:rPr>
        <w:t>assurance de la qualité des services sociaux approuvée par la décision gouvernementale n</w:t>
      </w:r>
      <w:r w:rsidR="00F853D5" w:rsidRPr="003063F4">
        <w:rPr>
          <w:vertAlign w:val="superscript"/>
          <w:lang w:val="fr-FR"/>
        </w:rPr>
        <w:t>o</w:t>
      </w:r>
      <w:r w:rsidR="00F853D5" w:rsidRPr="003063F4">
        <w:rPr>
          <w:lang w:val="fr-FR"/>
        </w:rPr>
        <w:t> </w:t>
      </w:r>
      <w:r w:rsidR="007435AC" w:rsidRPr="003063F4">
        <w:rPr>
          <w:lang w:val="fr-FR"/>
        </w:rPr>
        <w:t>118/2014, et la décision gouvernementale n</w:t>
      </w:r>
      <w:r w:rsidR="007435AC" w:rsidRPr="003063F4">
        <w:rPr>
          <w:vertAlign w:val="superscript"/>
          <w:lang w:val="fr-FR"/>
        </w:rPr>
        <w:t>o</w:t>
      </w:r>
      <w:r w:rsidR="00F853D5" w:rsidRPr="003063F4">
        <w:rPr>
          <w:lang w:val="fr-FR"/>
        </w:rPr>
        <w:t> </w:t>
      </w:r>
      <w:r w:rsidR="007435AC" w:rsidRPr="003063F4">
        <w:rPr>
          <w:lang w:val="fr-FR"/>
        </w:rPr>
        <w:t>867/2015 approuvant la nomenclature des services sociaux ainsi que le règlement-cadre qui régit leur organisation et leur fonctionnement.</w:t>
      </w:r>
    </w:p>
    <w:p w14:paraId="2F1A8766" w14:textId="27C91E9C" w:rsidR="00623808" w:rsidRPr="003063F4" w:rsidRDefault="00623808" w:rsidP="00623808">
      <w:pPr>
        <w:pStyle w:val="SingleTxt"/>
        <w:spacing w:after="0" w:line="120" w:lineRule="exact"/>
        <w:rPr>
          <w:sz w:val="10"/>
          <w:lang w:val="fr-FR"/>
        </w:rPr>
      </w:pPr>
    </w:p>
    <w:p w14:paraId="0D13F2F1" w14:textId="706A44FA" w:rsidR="007435AC" w:rsidRPr="003063F4" w:rsidRDefault="007435AC" w:rsidP="0062380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63F4">
        <w:rPr>
          <w:lang w:val="fr-FR"/>
        </w:rPr>
        <w:tab/>
      </w:r>
      <w:r w:rsidRPr="003063F4">
        <w:rPr>
          <w:lang w:val="fr-FR"/>
        </w:rPr>
        <w:tab/>
        <w:t>Actes normatifs annexes</w:t>
      </w:r>
    </w:p>
    <w:p w14:paraId="37E51FB6" w14:textId="6BFE4A61" w:rsidR="00623808" w:rsidRPr="003063F4" w:rsidRDefault="00623808" w:rsidP="00623808">
      <w:pPr>
        <w:pStyle w:val="SingleTxt"/>
        <w:spacing w:after="0" w:line="120" w:lineRule="exact"/>
        <w:rPr>
          <w:sz w:val="10"/>
          <w:lang w:val="fr-FR"/>
        </w:rPr>
      </w:pPr>
    </w:p>
    <w:p w14:paraId="515BCAB0" w14:textId="6A496594" w:rsidR="007435AC" w:rsidRPr="003063F4" w:rsidRDefault="007435AC" w:rsidP="007435AC">
      <w:pPr>
        <w:pStyle w:val="SingleTxt"/>
        <w:numPr>
          <w:ilvl w:val="0"/>
          <w:numId w:val="45"/>
        </w:numPr>
        <w:spacing w:line="240" w:lineRule="exact"/>
        <w:ind w:left="1267"/>
        <w:rPr>
          <w:lang w:val="fr-FR"/>
        </w:rPr>
      </w:pPr>
      <w:r w:rsidRPr="003063F4">
        <w:rPr>
          <w:lang w:val="fr-FR"/>
        </w:rPr>
        <w:t>Les actes normatifs pris en la matière sont les suivants</w:t>
      </w:r>
      <w:r w:rsidR="00010994" w:rsidRPr="003063F4">
        <w:rPr>
          <w:lang w:val="fr-FR"/>
        </w:rPr>
        <w:t> :</w:t>
      </w:r>
    </w:p>
    <w:p w14:paraId="497B922F" w14:textId="6917275B" w:rsidR="007435AC" w:rsidRPr="003063F4" w:rsidRDefault="00D66CB3" w:rsidP="007435AC">
      <w:pPr>
        <w:pStyle w:val="SingleTxt"/>
        <w:rPr>
          <w:lang w:val="fr-FR"/>
        </w:rPr>
      </w:pPr>
      <w:r w:rsidRPr="003063F4">
        <w:rPr>
          <w:lang w:val="fr-FR"/>
        </w:rPr>
        <w:tab/>
      </w:r>
      <w:r w:rsidR="007435AC" w:rsidRPr="003063F4">
        <w:rPr>
          <w:lang w:val="fr-FR"/>
        </w:rPr>
        <w:t>a)</w:t>
      </w:r>
      <w:r w:rsidR="007435AC" w:rsidRPr="003063F4">
        <w:rPr>
          <w:lang w:val="fr-FR"/>
        </w:rPr>
        <w:tab/>
        <w:t>L</w:t>
      </w:r>
      <w:r w:rsidR="00010994" w:rsidRPr="003063F4">
        <w:rPr>
          <w:lang w:val="fr-FR"/>
        </w:rPr>
        <w:t>’</w:t>
      </w:r>
      <w:r w:rsidR="007435AC" w:rsidRPr="003063F4">
        <w:rPr>
          <w:lang w:val="fr-FR"/>
        </w:rPr>
        <w:t>arrêté n</w:t>
      </w:r>
      <w:r w:rsidR="007435AC" w:rsidRPr="003063F4">
        <w:rPr>
          <w:vertAlign w:val="superscript"/>
          <w:lang w:val="fr-FR"/>
        </w:rPr>
        <w:t>o</w:t>
      </w:r>
      <w:r w:rsidR="00F853D5" w:rsidRPr="003063F4">
        <w:rPr>
          <w:lang w:val="fr-FR"/>
        </w:rPr>
        <w:t> </w:t>
      </w:r>
      <w:r w:rsidR="007435AC" w:rsidRPr="003063F4">
        <w:rPr>
          <w:lang w:val="fr-FR"/>
        </w:rPr>
        <w:t>146/2578/2018 du Ministère de l</w:t>
      </w:r>
      <w:r w:rsidR="00010994" w:rsidRPr="003063F4">
        <w:rPr>
          <w:lang w:val="fr-FR"/>
        </w:rPr>
        <w:t>’</w:t>
      </w:r>
      <w:r w:rsidR="007435AC" w:rsidRPr="003063F4">
        <w:rPr>
          <w:lang w:val="fr-FR"/>
        </w:rPr>
        <w:t>intérieur et du Ministère du travail, de la famille et de la justice sociale, qui a trait à la gestion par la police des cas de violence familiale et définit les modalités de délivrance des ordonnances de protection d</w:t>
      </w:r>
      <w:r w:rsidR="00010994" w:rsidRPr="003063F4">
        <w:rPr>
          <w:lang w:val="fr-FR"/>
        </w:rPr>
        <w:t>’</w:t>
      </w:r>
      <w:r w:rsidR="007435AC" w:rsidRPr="003063F4">
        <w:rPr>
          <w:lang w:val="fr-FR"/>
        </w:rPr>
        <w:t>urgence</w:t>
      </w:r>
      <w:r w:rsidR="00010994" w:rsidRPr="003063F4">
        <w:rPr>
          <w:lang w:val="fr-FR"/>
        </w:rPr>
        <w:t> ;</w:t>
      </w:r>
    </w:p>
    <w:p w14:paraId="24A40385" w14:textId="1953D005" w:rsidR="007435AC" w:rsidRPr="003063F4" w:rsidRDefault="00D66CB3" w:rsidP="007435AC">
      <w:pPr>
        <w:pStyle w:val="SingleTxt"/>
        <w:rPr>
          <w:lang w:val="fr-FR"/>
        </w:rPr>
      </w:pPr>
      <w:r w:rsidRPr="003063F4">
        <w:rPr>
          <w:lang w:val="fr-FR"/>
        </w:rPr>
        <w:tab/>
      </w:r>
      <w:r w:rsidR="007435AC" w:rsidRPr="003063F4">
        <w:rPr>
          <w:lang w:val="fr-FR"/>
        </w:rPr>
        <w:t>b)</w:t>
      </w:r>
      <w:r w:rsidR="007435AC" w:rsidRPr="003063F4">
        <w:rPr>
          <w:lang w:val="fr-FR"/>
        </w:rPr>
        <w:tab/>
        <w:t>L</w:t>
      </w:r>
      <w:r w:rsidR="00010994" w:rsidRPr="003063F4">
        <w:rPr>
          <w:lang w:val="fr-FR"/>
        </w:rPr>
        <w:t>’</w:t>
      </w:r>
      <w:r w:rsidR="007435AC" w:rsidRPr="003063F4">
        <w:rPr>
          <w:lang w:val="fr-FR"/>
        </w:rPr>
        <w:t>arrêté n</w:t>
      </w:r>
      <w:r w:rsidR="00F853D5" w:rsidRPr="003063F4">
        <w:rPr>
          <w:vertAlign w:val="superscript"/>
          <w:lang w:val="fr-FR"/>
        </w:rPr>
        <w:t>o</w:t>
      </w:r>
      <w:r w:rsidR="00F853D5" w:rsidRPr="003063F4">
        <w:rPr>
          <w:lang w:val="fr-FR"/>
        </w:rPr>
        <w:t> </w:t>
      </w:r>
      <w:r w:rsidR="007435AC" w:rsidRPr="003063F4">
        <w:rPr>
          <w:lang w:val="fr-FR"/>
        </w:rPr>
        <w:t>28/2019 du Ministère du travail, de la famille et de la justice sociale, qui porte approbation des normes minimales de qualité en matière d</w:t>
      </w:r>
      <w:r w:rsidR="00010994" w:rsidRPr="003063F4">
        <w:rPr>
          <w:lang w:val="fr-FR"/>
        </w:rPr>
        <w:t>’</w:t>
      </w:r>
      <w:r w:rsidR="007435AC" w:rsidRPr="003063F4">
        <w:rPr>
          <w:lang w:val="fr-FR"/>
        </w:rPr>
        <w:t>accréditation des services sociaux chargés de la prévention de la violence familiale</w:t>
      </w:r>
      <w:r w:rsidR="00010994" w:rsidRPr="003063F4">
        <w:rPr>
          <w:lang w:val="fr-FR"/>
        </w:rPr>
        <w:t> ;</w:t>
      </w:r>
    </w:p>
    <w:p w14:paraId="4327D51D" w14:textId="60E6EBDE" w:rsidR="007435AC" w:rsidRPr="003063F4" w:rsidRDefault="00D66CB3" w:rsidP="007435AC">
      <w:pPr>
        <w:pStyle w:val="SingleTxt"/>
        <w:rPr>
          <w:lang w:val="fr-FR"/>
        </w:rPr>
      </w:pPr>
      <w:r w:rsidRPr="003063F4">
        <w:rPr>
          <w:lang w:val="fr-FR"/>
        </w:rPr>
        <w:tab/>
      </w:r>
      <w:r w:rsidR="007435AC" w:rsidRPr="003063F4">
        <w:rPr>
          <w:lang w:val="fr-FR"/>
        </w:rPr>
        <w:t>c)</w:t>
      </w:r>
      <w:r w:rsidR="007435AC" w:rsidRPr="003063F4">
        <w:rPr>
          <w:lang w:val="fr-FR"/>
        </w:rPr>
        <w:tab/>
        <w:t>L</w:t>
      </w:r>
      <w:r w:rsidR="00010994" w:rsidRPr="003063F4">
        <w:rPr>
          <w:lang w:val="fr-FR"/>
        </w:rPr>
        <w:t>’</w:t>
      </w:r>
      <w:r w:rsidR="007435AC" w:rsidRPr="003063F4">
        <w:rPr>
          <w:lang w:val="fr-FR"/>
        </w:rPr>
        <w:t>arrêté n</w:t>
      </w:r>
      <w:r w:rsidR="00F853D5" w:rsidRPr="003063F4">
        <w:rPr>
          <w:vertAlign w:val="superscript"/>
          <w:lang w:val="fr-FR"/>
        </w:rPr>
        <w:t>o</w:t>
      </w:r>
      <w:r w:rsidR="00F853D5" w:rsidRPr="003063F4">
        <w:rPr>
          <w:lang w:val="fr-FR"/>
        </w:rPr>
        <w:t> </w:t>
      </w:r>
      <w:r w:rsidR="007435AC" w:rsidRPr="003063F4">
        <w:rPr>
          <w:lang w:val="fr-FR"/>
        </w:rPr>
        <w:t>2525/2018 du Ministère du travail, de la famille et de la justice sociale, portant approbation de la procédure d</w:t>
      </w:r>
      <w:r w:rsidR="00010994" w:rsidRPr="003063F4">
        <w:rPr>
          <w:lang w:val="fr-FR"/>
        </w:rPr>
        <w:t>’</w:t>
      </w:r>
      <w:r w:rsidR="007435AC" w:rsidRPr="003063F4">
        <w:rPr>
          <w:lang w:val="fr-FR"/>
        </w:rPr>
        <w:t>intervention d</w:t>
      </w:r>
      <w:r w:rsidR="00010994" w:rsidRPr="003063F4">
        <w:rPr>
          <w:lang w:val="fr-FR"/>
        </w:rPr>
        <w:t>’</w:t>
      </w:r>
      <w:r w:rsidR="007435AC" w:rsidRPr="003063F4">
        <w:rPr>
          <w:lang w:val="fr-FR"/>
        </w:rPr>
        <w:t>urgence en cas de violence familiale</w:t>
      </w:r>
      <w:r w:rsidR="00010994" w:rsidRPr="003063F4">
        <w:rPr>
          <w:lang w:val="fr-FR"/>
        </w:rPr>
        <w:t> ;</w:t>
      </w:r>
    </w:p>
    <w:p w14:paraId="6A27A488" w14:textId="0929445B" w:rsidR="007435AC" w:rsidRPr="003063F4" w:rsidRDefault="00D66CB3" w:rsidP="007435AC">
      <w:pPr>
        <w:pStyle w:val="SingleTxt"/>
        <w:rPr>
          <w:lang w:val="fr-FR"/>
        </w:rPr>
      </w:pPr>
      <w:r w:rsidRPr="003063F4">
        <w:rPr>
          <w:lang w:val="fr-FR"/>
        </w:rPr>
        <w:tab/>
      </w:r>
      <w:r w:rsidR="007435AC" w:rsidRPr="003063F4">
        <w:rPr>
          <w:lang w:val="fr-FR"/>
        </w:rPr>
        <w:t>d)</w:t>
      </w:r>
      <w:r w:rsidR="007435AC" w:rsidRPr="003063F4">
        <w:rPr>
          <w:lang w:val="fr-FR"/>
        </w:rPr>
        <w:tab/>
        <w:t>L</w:t>
      </w:r>
      <w:r w:rsidR="00010994" w:rsidRPr="003063F4">
        <w:rPr>
          <w:lang w:val="fr-FR"/>
        </w:rPr>
        <w:t>’</w:t>
      </w:r>
      <w:r w:rsidR="007435AC" w:rsidRPr="003063F4">
        <w:rPr>
          <w:lang w:val="fr-FR"/>
        </w:rPr>
        <w:t>arrêté n</w:t>
      </w:r>
      <w:r w:rsidR="00F853D5" w:rsidRPr="003063F4">
        <w:rPr>
          <w:vertAlign w:val="superscript"/>
          <w:lang w:val="fr-FR"/>
        </w:rPr>
        <w:t>o</w:t>
      </w:r>
      <w:r w:rsidR="00F853D5" w:rsidRPr="003063F4">
        <w:rPr>
          <w:lang w:val="fr-FR"/>
        </w:rPr>
        <w:t> </w:t>
      </w:r>
      <w:r w:rsidR="007435AC" w:rsidRPr="003063F4">
        <w:rPr>
          <w:lang w:val="fr-FR"/>
        </w:rPr>
        <w:t>2524/2018 du Ministère du travail, de la famille et de la justice sociale, portant approbation de la méthodologie relative à la participation aux programmes spéciaux d</w:t>
      </w:r>
      <w:r w:rsidR="00010994" w:rsidRPr="003063F4">
        <w:rPr>
          <w:lang w:val="fr-FR"/>
        </w:rPr>
        <w:t>’</w:t>
      </w:r>
      <w:r w:rsidR="007435AC" w:rsidRPr="003063F4">
        <w:rPr>
          <w:lang w:val="fr-FR"/>
        </w:rPr>
        <w:t>aide psychologique mis en place par les organismes spécialisés publics ou privés.</w:t>
      </w:r>
    </w:p>
    <w:p w14:paraId="0DDFDDEF" w14:textId="26688FAA" w:rsidR="007435AC" w:rsidRPr="003063F4" w:rsidRDefault="007435AC" w:rsidP="007435AC">
      <w:pPr>
        <w:pStyle w:val="SingleTxt"/>
        <w:numPr>
          <w:ilvl w:val="0"/>
          <w:numId w:val="45"/>
        </w:numPr>
        <w:spacing w:line="240" w:lineRule="exact"/>
        <w:ind w:left="1267"/>
        <w:rPr>
          <w:lang w:val="fr-FR"/>
        </w:rPr>
      </w:pPr>
      <w:r w:rsidRPr="003063F4">
        <w:rPr>
          <w:lang w:val="fr-FR"/>
        </w:rPr>
        <w:t>En ce qui concerne la période 2019-2022, l</w:t>
      </w:r>
      <w:r w:rsidR="00010994" w:rsidRPr="003063F4">
        <w:rPr>
          <w:lang w:val="fr-FR"/>
        </w:rPr>
        <w:t>’</w:t>
      </w:r>
      <w:r w:rsidRPr="003063F4">
        <w:rPr>
          <w:lang w:val="fr-FR"/>
        </w:rPr>
        <w:t>Agence nationale pour l</w:t>
      </w:r>
      <w:r w:rsidR="00010994" w:rsidRPr="003063F4">
        <w:rPr>
          <w:lang w:val="fr-FR"/>
        </w:rPr>
        <w:t>’</w:t>
      </w:r>
      <w:r w:rsidRPr="003063F4">
        <w:rPr>
          <w:lang w:val="fr-FR"/>
        </w:rPr>
        <w:t>égalité des chances entre les femmes et les hommes entend mener à bien un projet de soutien à la mise en œuvre de la Convention d</w:t>
      </w:r>
      <w:r w:rsidR="00010994" w:rsidRPr="003063F4">
        <w:rPr>
          <w:lang w:val="fr-FR"/>
        </w:rPr>
        <w:t>’</w:t>
      </w:r>
      <w:r w:rsidRPr="003063F4">
        <w:rPr>
          <w:lang w:val="fr-FR"/>
        </w:rPr>
        <w:t xml:space="preserve">Istanbul en Roumanie. Relevant du programme pour la justice du Ministère roumain de la justice, ce projet est financé, à hauteur de 2 500 000 euros, par le Mécanisme financier norvégien pour 2014-2021. </w:t>
      </w:r>
    </w:p>
    <w:p w14:paraId="6051DC36" w14:textId="2595D3E5" w:rsidR="007435AC" w:rsidRPr="003063F4" w:rsidRDefault="007435AC" w:rsidP="007435AC">
      <w:pPr>
        <w:pStyle w:val="SingleTxt"/>
        <w:numPr>
          <w:ilvl w:val="0"/>
          <w:numId w:val="46"/>
        </w:numPr>
        <w:spacing w:line="240" w:lineRule="exact"/>
        <w:ind w:left="1267"/>
        <w:rPr>
          <w:lang w:val="fr-FR"/>
        </w:rPr>
      </w:pPr>
      <w:r w:rsidRPr="003063F4">
        <w:rPr>
          <w:lang w:val="fr-FR"/>
        </w:rPr>
        <w:t>Ce projet a pour objectif d</w:t>
      </w:r>
      <w:r w:rsidR="00010994" w:rsidRPr="003063F4">
        <w:rPr>
          <w:lang w:val="fr-FR"/>
        </w:rPr>
        <w:t>’</w:t>
      </w:r>
      <w:r w:rsidRPr="003063F4">
        <w:rPr>
          <w:lang w:val="fr-FR"/>
        </w:rPr>
        <w:t>aider de façon stratégique les pouvoirs publics roumains à prendre des mesures coordonnées pour résoudre les difficultés posées par la mise en œuvre de la Convention d</w:t>
      </w:r>
      <w:r w:rsidR="00010994" w:rsidRPr="003063F4">
        <w:rPr>
          <w:lang w:val="fr-FR"/>
        </w:rPr>
        <w:t>’</w:t>
      </w:r>
      <w:r w:rsidRPr="003063F4">
        <w:rPr>
          <w:lang w:val="fr-FR"/>
        </w:rPr>
        <w:t>Istanbul, et avant tout de réduire la violence domestique et la violence faite aux femmes. Sont notamment prévus</w:t>
      </w:r>
      <w:r w:rsidR="00010994" w:rsidRPr="003063F4">
        <w:rPr>
          <w:lang w:val="fr-FR"/>
        </w:rPr>
        <w:t> :</w:t>
      </w:r>
      <w:r w:rsidRPr="003063F4">
        <w:rPr>
          <w:lang w:val="fr-FR"/>
        </w:rPr>
        <w:t xml:space="preserve"> la création, au niveau régional, d</w:t>
      </w:r>
      <w:r w:rsidR="00010994" w:rsidRPr="003063F4">
        <w:rPr>
          <w:lang w:val="fr-FR"/>
        </w:rPr>
        <w:t>’</w:t>
      </w:r>
      <w:r w:rsidRPr="003063F4">
        <w:rPr>
          <w:lang w:val="fr-FR"/>
        </w:rPr>
        <w:t>au moins 10 centres de secours aux victimes de viol et de 8 centres d</w:t>
      </w:r>
      <w:r w:rsidR="00010994" w:rsidRPr="003063F4">
        <w:rPr>
          <w:lang w:val="fr-FR"/>
        </w:rPr>
        <w:t>’</w:t>
      </w:r>
      <w:r w:rsidRPr="003063F4">
        <w:rPr>
          <w:lang w:val="fr-FR"/>
        </w:rPr>
        <w:t>aide aux agresseurs</w:t>
      </w:r>
      <w:r w:rsidR="00010994" w:rsidRPr="003063F4">
        <w:rPr>
          <w:lang w:val="fr-FR"/>
        </w:rPr>
        <w:t> ;</w:t>
      </w:r>
      <w:r w:rsidRPr="003063F4">
        <w:rPr>
          <w:lang w:val="fr-FR"/>
        </w:rPr>
        <w:t xml:space="preserve"> l</w:t>
      </w:r>
      <w:r w:rsidR="00010994" w:rsidRPr="003063F4">
        <w:rPr>
          <w:lang w:val="fr-FR"/>
        </w:rPr>
        <w:t>’</w:t>
      </w:r>
      <w:r w:rsidRPr="003063F4">
        <w:rPr>
          <w:lang w:val="fr-FR"/>
        </w:rPr>
        <w:t>amélioration des outils d</w:t>
      </w:r>
      <w:r w:rsidR="00010994" w:rsidRPr="003063F4">
        <w:rPr>
          <w:lang w:val="fr-FR"/>
        </w:rPr>
        <w:t>’</w:t>
      </w:r>
      <w:r w:rsidRPr="003063F4">
        <w:rPr>
          <w:lang w:val="fr-FR"/>
        </w:rPr>
        <w:t>intervention interinstitutionnelle</w:t>
      </w:r>
      <w:r w:rsidR="00010994" w:rsidRPr="003063F4">
        <w:rPr>
          <w:lang w:val="fr-FR"/>
        </w:rPr>
        <w:t> ;</w:t>
      </w:r>
      <w:r w:rsidRPr="003063F4">
        <w:rPr>
          <w:lang w:val="fr-FR"/>
        </w:rPr>
        <w:t xml:space="preserve"> </w:t>
      </w:r>
      <w:r w:rsidRPr="003063F4">
        <w:rPr>
          <w:lang w:val="fr-FR"/>
        </w:rPr>
        <w:lastRenderedPageBreak/>
        <w:t>l</w:t>
      </w:r>
      <w:r w:rsidR="00010994" w:rsidRPr="003063F4">
        <w:rPr>
          <w:lang w:val="fr-FR"/>
        </w:rPr>
        <w:t>’</w:t>
      </w:r>
      <w:r w:rsidRPr="003063F4">
        <w:rPr>
          <w:lang w:val="fr-FR"/>
        </w:rPr>
        <w:t>élaboration d</w:t>
      </w:r>
      <w:r w:rsidR="00010994" w:rsidRPr="003063F4">
        <w:rPr>
          <w:lang w:val="fr-FR"/>
        </w:rPr>
        <w:t>’</w:t>
      </w:r>
      <w:r w:rsidRPr="003063F4">
        <w:rPr>
          <w:lang w:val="fr-FR"/>
        </w:rPr>
        <w:t>outils et de méthodes normalisés à l</w:t>
      </w:r>
      <w:r w:rsidR="00010994" w:rsidRPr="003063F4">
        <w:rPr>
          <w:lang w:val="fr-FR"/>
        </w:rPr>
        <w:t>’</w:t>
      </w:r>
      <w:r w:rsidRPr="003063F4">
        <w:rPr>
          <w:lang w:val="fr-FR"/>
        </w:rPr>
        <w:t>intention des prestataires de services sociaux s</w:t>
      </w:r>
      <w:r w:rsidR="00010994" w:rsidRPr="003063F4">
        <w:rPr>
          <w:lang w:val="fr-FR"/>
        </w:rPr>
        <w:t>’</w:t>
      </w:r>
      <w:r w:rsidRPr="003063F4">
        <w:rPr>
          <w:lang w:val="fr-FR"/>
        </w:rPr>
        <w:t>occupant des victimes de violence domestique</w:t>
      </w:r>
      <w:r w:rsidR="00010994" w:rsidRPr="003063F4">
        <w:rPr>
          <w:lang w:val="fr-FR"/>
        </w:rPr>
        <w:t> ;</w:t>
      </w:r>
      <w:r w:rsidRPr="003063F4">
        <w:rPr>
          <w:lang w:val="fr-FR"/>
        </w:rPr>
        <w:t xml:space="preserve"> l</w:t>
      </w:r>
      <w:r w:rsidR="00010994" w:rsidRPr="003063F4">
        <w:rPr>
          <w:lang w:val="fr-FR"/>
        </w:rPr>
        <w:t>’</w:t>
      </w:r>
      <w:r w:rsidRPr="003063F4">
        <w:rPr>
          <w:lang w:val="fr-FR"/>
        </w:rPr>
        <w:t>organisation de campagnes de prévention de la violence domestique et de la violence faite aux femmes.</w:t>
      </w:r>
    </w:p>
    <w:p w14:paraId="3F79DAE9" w14:textId="2D39BD49" w:rsidR="007435AC" w:rsidRPr="003063F4" w:rsidRDefault="007435AC" w:rsidP="007435AC">
      <w:pPr>
        <w:pStyle w:val="SingleTxt"/>
        <w:numPr>
          <w:ilvl w:val="0"/>
          <w:numId w:val="46"/>
        </w:numPr>
        <w:spacing w:line="240" w:lineRule="exact"/>
        <w:ind w:left="1267"/>
        <w:rPr>
          <w:lang w:val="fr-FR"/>
        </w:rPr>
      </w:pPr>
      <w:r w:rsidRPr="003063F4">
        <w:rPr>
          <w:lang w:val="fr-FR"/>
        </w:rPr>
        <w:t>Il s</w:t>
      </w:r>
      <w:r w:rsidR="00010994" w:rsidRPr="003063F4">
        <w:rPr>
          <w:lang w:val="fr-FR"/>
        </w:rPr>
        <w:t>’</w:t>
      </w:r>
      <w:r w:rsidRPr="003063F4">
        <w:rPr>
          <w:lang w:val="fr-FR"/>
        </w:rPr>
        <w:t>agira principalement de renforcer la protection des femmes appartenant à une minorité ethnique, dont les Roms, et de proposer des mesures destinées à faire évoluer les mentalités au sujet de ces dernières et consistant notamment à</w:t>
      </w:r>
      <w:r w:rsidR="00010994" w:rsidRPr="003063F4">
        <w:rPr>
          <w:lang w:val="fr-FR"/>
        </w:rPr>
        <w:t> :</w:t>
      </w:r>
    </w:p>
    <w:p w14:paraId="40CFE793" w14:textId="0472D752" w:rsidR="007435AC" w:rsidRPr="003063F4" w:rsidRDefault="00D66CB3" w:rsidP="007435AC">
      <w:pPr>
        <w:pStyle w:val="SingleTxt"/>
        <w:rPr>
          <w:lang w:val="fr-FR"/>
        </w:rPr>
      </w:pPr>
      <w:r w:rsidRPr="003063F4">
        <w:rPr>
          <w:lang w:val="fr-FR"/>
        </w:rPr>
        <w:tab/>
      </w:r>
      <w:r w:rsidR="007435AC" w:rsidRPr="003063F4">
        <w:rPr>
          <w:lang w:val="fr-FR"/>
        </w:rPr>
        <w:t>a)</w:t>
      </w:r>
      <w:r w:rsidR="007435AC" w:rsidRPr="003063F4">
        <w:rPr>
          <w:lang w:val="fr-FR"/>
        </w:rPr>
        <w:tab/>
        <w:t>Améliorer les méthodes d</w:t>
      </w:r>
      <w:r w:rsidR="00010994" w:rsidRPr="003063F4">
        <w:rPr>
          <w:lang w:val="fr-FR"/>
        </w:rPr>
        <w:t>’</w:t>
      </w:r>
      <w:r w:rsidR="007435AC" w:rsidRPr="003063F4">
        <w:rPr>
          <w:lang w:val="fr-FR"/>
        </w:rPr>
        <w:t>intervention adoptées dans le système judiciaire, y compris par les membres des services de police. Plusieurs sessions de formation multidisciplinaire tenant compte des particularités des minorités ethniques, dont celle des Roms, seront organisées à l</w:t>
      </w:r>
      <w:r w:rsidR="00010994" w:rsidRPr="003063F4">
        <w:rPr>
          <w:lang w:val="fr-FR"/>
        </w:rPr>
        <w:t>’</w:t>
      </w:r>
      <w:r w:rsidR="007435AC" w:rsidRPr="003063F4">
        <w:rPr>
          <w:lang w:val="fr-FR"/>
        </w:rPr>
        <w:t>intention de 250 juges, procureurs, policiers et experts médico-légaux sur les principaux aspects du traitement des affaires de violence familiale et de violence faite aux femmes</w:t>
      </w:r>
      <w:r w:rsidR="00010994" w:rsidRPr="003063F4">
        <w:rPr>
          <w:lang w:val="fr-FR"/>
        </w:rPr>
        <w:t> ;</w:t>
      </w:r>
    </w:p>
    <w:p w14:paraId="02F3BE75" w14:textId="6F042D5B" w:rsidR="007435AC" w:rsidRPr="003063F4" w:rsidRDefault="00D66CB3" w:rsidP="007435AC">
      <w:pPr>
        <w:pStyle w:val="SingleTxt"/>
        <w:rPr>
          <w:lang w:val="fr-FR"/>
        </w:rPr>
      </w:pPr>
      <w:r w:rsidRPr="003063F4">
        <w:rPr>
          <w:lang w:val="fr-FR"/>
        </w:rPr>
        <w:tab/>
      </w:r>
      <w:r w:rsidR="007435AC" w:rsidRPr="003063F4">
        <w:rPr>
          <w:lang w:val="fr-FR"/>
        </w:rPr>
        <w:t>b)</w:t>
      </w:r>
      <w:r w:rsidR="007435AC" w:rsidRPr="003063F4">
        <w:rPr>
          <w:lang w:val="fr-FR"/>
        </w:rPr>
        <w:tab/>
        <w:t>Aider les prestataires de services sociaux spécialisés à prévenir la violence familiale et la violence sexiste et à lutter contre ces formes de violence en élaborant des outils et des méthodes normalisés à leur intention. Des séances de formation seront organisées à ce sujet au niveau local.</w:t>
      </w:r>
    </w:p>
    <w:p w14:paraId="5BDE4FFD" w14:textId="61AE4E19" w:rsidR="007435AC" w:rsidRPr="003063F4" w:rsidRDefault="007435AC" w:rsidP="007435AC">
      <w:pPr>
        <w:pStyle w:val="SingleTxt"/>
        <w:numPr>
          <w:ilvl w:val="0"/>
          <w:numId w:val="46"/>
        </w:numPr>
        <w:spacing w:line="240" w:lineRule="exact"/>
        <w:ind w:left="1267"/>
        <w:rPr>
          <w:lang w:val="fr-FR"/>
        </w:rPr>
      </w:pPr>
      <w:r w:rsidRPr="003063F4">
        <w:rPr>
          <w:lang w:val="fr-FR"/>
        </w:rPr>
        <w:t>Un module d</w:t>
      </w:r>
      <w:r w:rsidR="00010994" w:rsidRPr="003063F4">
        <w:rPr>
          <w:lang w:val="fr-FR"/>
        </w:rPr>
        <w:t>’</w:t>
      </w:r>
      <w:r w:rsidRPr="003063F4">
        <w:rPr>
          <w:lang w:val="fr-FR"/>
        </w:rPr>
        <w:t>enseignement de méthodes non discriminatoires à l</w:t>
      </w:r>
      <w:r w:rsidR="00010994" w:rsidRPr="003063F4">
        <w:rPr>
          <w:lang w:val="fr-FR"/>
        </w:rPr>
        <w:t>’</w:t>
      </w:r>
      <w:r w:rsidRPr="003063F4">
        <w:rPr>
          <w:lang w:val="fr-FR"/>
        </w:rPr>
        <w:t>égard des femmes roms sera par ailleurs mis sur pied.</w:t>
      </w:r>
    </w:p>
    <w:p w14:paraId="7AAF93AC" w14:textId="089FDC85" w:rsidR="007435AC" w:rsidRPr="003063F4" w:rsidRDefault="007435AC" w:rsidP="007435AC">
      <w:pPr>
        <w:pStyle w:val="SingleTxt"/>
        <w:numPr>
          <w:ilvl w:val="0"/>
          <w:numId w:val="47"/>
        </w:numPr>
        <w:spacing w:line="240" w:lineRule="exact"/>
        <w:ind w:left="1267"/>
        <w:rPr>
          <w:bCs/>
          <w:lang w:val="fr-FR"/>
        </w:rPr>
      </w:pPr>
      <w:r w:rsidRPr="003063F4">
        <w:rPr>
          <w:lang w:val="fr-FR"/>
        </w:rPr>
        <w:t>Le projet a également pour but l</w:t>
      </w:r>
      <w:r w:rsidR="00010994" w:rsidRPr="003063F4">
        <w:rPr>
          <w:lang w:val="fr-FR"/>
        </w:rPr>
        <w:t>’</w:t>
      </w:r>
      <w:r w:rsidRPr="003063F4">
        <w:rPr>
          <w:lang w:val="fr-FR"/>
        </w:rPr>
        <w:t>organisation de campagnes de prévention de la violence familiale et de la violence faite aux femmes, notamment des campagnes d</w:t>
      </w:r>
      <w:r w:rsidR="00010994" w:rsidRPr="003063F4">
        <w:rPr>
          <w:lang w:val="fr-FR"/>
        </w:rPr>
        <w:t>’</w:t>
      </w:r>
      <w:r w:rsidRPr="003063F4">
        <w:rPr>
          <w:lang w:val="fr-FR"/>
        </w:rPr>
        <w:t xml:space="preserve">information et de sensibilisation à mener aux niveaux régional et local sur la question de la violence sexiste et visant en particulier à combattre les stéréotypes sexistes et à changer le regard porté sur les femmes roms. </w:t>
      </w:r>
    </w:p>
    <w:p w14:paraId="01A28FA0" w14:textId="546C8E78" w:rsidR="00623808" w:rsidRPr="003063F4" w:rsidRDefault="00623808" w:rsidP="00623808">
      <w:pPr>
        <w:pStyle w:val="SingleTxt"/>
        <w:spacing w:after="0" w:line="120" w:lineRule="exact"/>
        <w:rPr>
          <w:sz w:val="10"/>
          <w:lang w:val="fr-FR"/>
        </w:rPr>
      </w:pPr>
    </w:p>
    <w:p w14:paraId="5446A9C0" w14:textId="636BB5EA" w:rsidR="00623808" w:rsidRPr="003063F4" w:rsidRDefault="007435AC" w:rsidP="006238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63F4">
        <w:rPr>
          <w:lang w:val="fr-FR"/>
        </w:rPr>
        <w:tab/>
      </w:r>
      <w:r w:rsidRPr="003063F4">
        <w:rPr>
          <w:lang w:val="fr-FR"/>
        </w:rPr>
        <w:tab/>
        <w:t>Suite donnée aux recommandations formulées au</w:t>
      </w:r>
      <w:r w:rsidRPr="003063F4">
        <w:rPr>
          <w:bCs/>
          <w:lang w:val="fr-FR"/>
        </w:rPr>
        <w:t xml:space="preserve"> paragraphe 21 a) des</w:t>
      </w:r>
      <w:r w:rsidR="002561C4" w:rsidRPr="003063F4">
        <w:rPr>
          <w:bCs/>
          <w:lang w:val="fr-FR"/>
        </w:rPr>
        <w:t> </w:t>
      </w:r>
      <w:r w:rsidRPr="003063F4">
        <w:rPr>
          <w:bCs/>
          <w:lang w:val="fr-FR"/>
        </w:rPr>
        <w:t>observations finales</w:t>
      </w:r>
      <w:r w:rsidRPr="003063F4">
        <w:rPr>
          <w:lang w:val="fr-FR"/>
        </w:rPr>
        <w:t xml:space="preserve"> </w:t>
      </w:r>
    </w:p>
    <w:p w14:paraId="7170E95C" w14:textId="13B56556" w:rsidR="00623808" w:rsidRPr="003063F4" w:rsidRDefault="00623808" w:rsidP="00623808">
      <w:pPr>
        <w:pStyle w:val="SingleTxt"/>
        <w:spacing w:after="0" w:line="120" w:lineRule="exact"/>
        <w:rPr>
          <w:sz w:val="10"/>
          <w:lang w:val="fr-FR"/>
        </w:rPr>
      </w:pPr>
    </w:p>
    <w:p w14:paraId="5722ABCA" w14:textId="3C03E01E" w:rsidR="007435AC" w:rsidRPr="003063F4" w:rsidRDefault="007435AC" w:rsidP="007435AC">
      <w:pPr>
        <w:pStyle w:val="SingleTxt"/>
        <w:numPr>
          <w:ilvl w:val="0"/>
          <w:numId w:val="47"/>
        </w:numPr>
        <w:spacing w:line="240" w:lineRule="exact"/>
        <w:ind w:left="1267"/>
        <w:rPr>
          <w:lang w:val="fr-FR"/>
        </w:rPr>
      </w:pPr>
      <w:r w:rsidRPr="003063F4">
        <w:rPr>
          <w:lang w:val="fr-FR"/>
        </w:rPr>
        <w:t>En 2018, le Gouvernement a approuvé, par sa décision n</w:t>
      </w:r>
      <w:r w:rsidR="00F853D5" w:rsidRPr="003063F4">
        <w:rPr>
          <w:vertAlign w:val="superscript"/>
          <w:lang w:val="fr-FR"/>
        </w:rPr>
        <w:t>o</w:t>
      </w:r>
      <w:r w:rsidR="00010994" w:rsidRPr="003063F4">
        <w:rPr>
          <w:lang w:val="fr-FR"/>
        </w:rPr>
        <w:t> </w:t>
      </w:r>
      <w:r w:rsidRPr="003063F4">
        <w:rPr>
          <w:lang w:val="fr-FR"/>
        </w:rPr>
        <w:t>861, une stratégie nationale de lutte contre la traite des êtres humains pour la période 2018-2022 et un plan d</w:t>
      </w:r>
      <w:r w:rsidR="00010994" w:rsidRPr="003063F4">
        <w:rPr>
          <w:lang w:val="fr-FR"/>
        </w:rPr>
        <w:t>’</w:t>
      </w:r>
      <w:r w:rsidRPr="003063F4">
        <w:rPr>
          <w:lang w:val="fr-FR"/>
        </w:rPr>
        <w:t xml:space="preserve">action national pour la mise en œuvre de cette stratégie sur une période de deux ans. </w:t>
      </w:r>
    </w:p>
    <w:p w14:paraId="682557EC" w14:textId="743477E9" w:rsidR="007435AC" w:rsidRPr="003063F4" w:rsidRDefault="007435AC" w:rsidP="007435AC">
      <w:pPr>
        <w:pStyle w:val="SingleTxt"/>
        <w:numPr>
          <w:ilvl w:val="0"/>
          <w:numId w:val="48"/>
        </w:numPr>
        <w:spacing w:line="240" w:lineRule="exact"/>
        <w:ind w:left="1267"/>
        <w:rPr>
          <w:lang w:val="fr-FR"/>
        </w:rPr>
      </w:pPr>
      <w:r w:rsidRPr="003063F4">
        <w:rPr>
          <w:lang w:val="fr-FR"/>
        </w:rPr>
        <w:t>Les mesures et actions nécessaires ont notamment été déterminées sur la base des statistiques disponibles, ventilées par sexe, sur la situation des victimes de la traite d</w:t>
      </w:r>
      <w:r w:rsidR="00010994" w:rsidRPr="003063F4">
        <w:rPr>
          <w:lang w:val="fr-FR"/>
        </w:rPr>
        <w:t>’</w:t>
      </w:r>
      <w:r w:rsidRPr="003063F4">
        <w:rPr>
          <w:lang w:val="fr-FR"/>
        </w:rPr>
        <w:t>êtres humains en Roumanie, qui ont mis en évidence l</w:t>
      </w:r>
      <w:r w:rsidR="00010994" w:rsidRPr="003063F4">
        <w:rPr>
          <w:lang w:val="fr-FR"/>
        </w:rPr>
        <w:t>’</w:t>
      </w:r>
      <w:r w:rsidRPr="003063F4">
        <w:rPr>
          <w:lang w:val="fr-FR"/>
        </w:rPr>
        <w:t>existence de certaines vulnérabilités. Diverses activités ont été organisées, et des institutions ayant des connaissances approfondies et un savoir-faire particulier dans la prestation de services ou d</w:t>
      </w:r>
      <w:r w:rsidR="00010994" w:rsidRPr="003063F4">
        <w:rPr>
          <w:lang w:val="fr-FR"/>
        </w:rPr>
        <w:t>’</w:t>
      </w:r>
      <w:r w:rsidRPr="003063F4">
        <w:rPr>
          <w:lang w:val="fr-FR"/>
        </w:rPr>
        <w:t>une assistance spécialisés à certains groupes vulnérables ont été sollicitées, l</w:t>
      </w:r>
      <w:r w:rsidR="00010994" w:rsidRPr="003063F4">
        <w:rPr>
          <w:lang w:val="fr-FR"/>
        </w:rPr>
        <w:t>’</w:t>
      </w:r>
      <w:r w:rsidRPr="003063F4">
        <w:rPr>
          <w:lang w:val="fr-FR"/>
        </w:rPr>
        <w:t>objectif étant, d</w:t>
      </w:r>
      <w:r w:rsidR="00010994" w:rsidRPr="003063F4">
        <w:rPr>
          <w:lang w:val="fr-FR"/>
        </w:rPr>
        <w:t>’</w:t>
      </w:r>
      <w:r w:rsidRPr="003063F4">
        <w:rPr>
          <w:lang w:val="fr-FR"/>
        </w:rPr>
        <w:t>une part, de mettre en place un mécanisme de coopération solide et efficace pour l</w:t>
      </w:r>
      <w:r w:rsidR="00010994" w:rsidRPr="003063F4">
        <w:rPr>
          <w:lang w:val="fr-FR"/>
        </w:rPr>
        <w:t>’</w:t>
      </w:r>
      <w:r w:rsidRPr="003063F4">
        <w:rPr>
          <w:lang w:val="fr-FR"/>
        </w:rPr>
        <w:t>aide directe aux victimes de violence qui permette de déterminer les besoins spécifiques d</w:t>
      </w:r>
      <w:r w:rsidR="00010994" w:rsidRPr="003063F4">
        <w:rPr>
          <w:lang w:val="fr-FR"/>
        </w:rPr>
        <w:t>’</w:t>
      </w:r>
      <w:r w:rsidRPr="003063F4">
        <w:rPr>
          <w:lang w:val="fr-FR"/>
        </w:rPr>
        <w:t>assistance et d</w:t>
      </w:r>
      <w:r w:rsidR="00010994" w:rsidRPr="003063F4">
        <w:rPr>
          <w:lang w:val="fr-FR"/>
        </w:rPr>
        <w:t>’</w:t>
      </w:r>
      <w:r w:rsidRPr="003063F4">
        <w:rPr>
          <w:lang w:val="fr-FR"/>
        </w:rPr>
        <w:t>appliquer les mesures voulues, et, d</w:t>
      </w:r>
      <w:r w:rsidR="00010994" w:rsidRPr="003063F4">
        <w:rPr>
          <w:lang w:val="fr-FR"/>
        </w:rPr>
        <w:t>’</w:t>
      </w:r>
      <w:r w:rsidRPr="003063F4">
        <w:rPr>
          <w:lang w:val="fr-FR"/>
        </w:rPr>
        <w:t>autre part, de surveiller et d</w:t>
      </w:r>
      <w:r w:rsidR="00010994" w:rsidRPr="003063F4">
        <w:rPr>
          <w:lang w:val="fr-FR"/>
        </w:rPr>
        <w:t>’</w:t>
      </w:r>
      <w:r w:rsidRPr="003063F4">
        <w:rPr>
          <w:lang w:val="fr-FR"/>
        </w:rPr>
        <w:t>adapter continuellement les méthodes d</w:t>
      </w:r>
      <w:r w:rsidR="00010994" w:rsidRPr="003063F4">
        <w:rPr>
          <w:lang w:val="fr-FR"/>
        </w:rPr>
        <w:t>’</w:t>
      </w:r>
      <w:r w:rsidRPr="003063F4">
        <w:rPr>
          <w:lang w:val="fr-FR"/>
        </w:rPr>
        <w:t>intervention en suivant l</w:t>
      </w:r>
      <w:r w:rsidR="00010994" w:rsidRPr="003063F4">
        <w:rPr>
          <w:lang w:val="fr-FR"/>
        </w:rPr>
        <w:t>’</w:t>
      </w:r>
      <w:r w:rsidRPr="003063F4">
        <w:rPr>
          <w:lang w:val="fr-FR"/>
        </w:rPr>
        <w:t>évolution du phénomène et des cas particuliers que la pratique aura permis de repérer.</w:t>
      </w:r>
    </w:p>
    <w:p w14:paraId="7BAAD604" w14:textId="245B88C3" w:rsidR="007435AC" w:rsidRPr="003063F4" w:rsidRDefault="007435AC" w:rsidP="007435AC">
      <w:pPr>
        <w:pStyle w:val="SingleTxt"/>
        <w:numPr>
          <w:ilvl w:val="0"/>
          <w:numId w:val="48"/>
        </w:numPr>
        <w:spacing w:line="240" w:lineRule="exact"/>
        <w:ind w:left="1267"/>
        <w:rPr>
          <w:lang w:val="fr-FR"/>
        </w:rPr>
      </w:pPr>
      <w:r w:rsidRPr="003063F4">
        <w:rPr>
          <w:lang w:val="fr-FR"/>
        </w:rPr>
        <w:t>La stratégie, qui répond aux normes juridiques européennes et internationales en matière de lutte contre la traite des êtres humains, est axée sur la prévention. Elle consiste dans la mise en place non seulement d</w:t>
      </w:r>
      <w:r w:rsidR="00010994" w:rsidRPr="003063F4">
        <w:rPr>
          <w:lang w:val="fr-FR"/>
        </w:rPr>
        <w:t>’</w:t>
      </w:r>
      <w:r w:rsidRPr="003063F4">
        <w:rPr>
          <w:lang w:val="fr-FR"/>
        </w:rPr>
        <w:t>actions de sensibilisation visant la population en général et les groupes de personnes vulnérables concernés en particulier, mais également de mesures socio-économiques concrètes</w:t>
      </w:r>
      <w:r w:rsidRPr="003063F4">
        <w:rPr>
          <w:b/>
          <w:bCs/>
          <w:lang w:val="fr-FR"/>
        </w:rPr>
        <w:t xml:space="preserve"> </w:t>
      </w:r>
      <w:r w:rsidRPr="003063F4">
        <w:rPr>
          <w:lang w:val="fr-FR"/>
        </w:rPr>
        <w:t>destinées à réduire la vulnérabilité des personnes à risque. Dans ce contexte, le plan de mise en œuvre prévoit l</w:t>
      </w:r>
      <w:r w:rsidR="00010994" w:rsidRPr="003063F4">
        <w:rPr>
          <w:lang w:val="fr-FR"/>
        </w:rPr>
        <w:t>’</w:t>
      </w:r>
      <w:r w:rsidRPr="003063F4">
        <w:rPr>
          <w:lang w:val="fr-FR"/>
        </w:rPr>
        <w:t>organisation de formations informelles à l</w:t>
      </w:r>
      <w:r w:rsidR="00010994" w:rsidRPr="003063F4">
        <w:rPr>
          <w:lang w:val="fr-FR"/>
        </w:rPr>
        <w:t>’</w:t>
      </w:r>
      <w:r w:rsidRPr="003063F4">
        <w:rPr>
          <w:lang w:val="fr-FR"/>
        </w:rPr>
        <w:t xml:space="preserve">intention des élèves et des </w:t>
      </w:r>
      <w:r w:rsidRPr="003063F4">
        <w:rPr>
          <w:lang w:val="fr-FR"/>
        </w:rPr>
        <w:lastRenderedPageBreak/>
        <w:t>étudiants, la mise sur pied d</w:t>
      </w:r>
      <w:r w:rsidR="00010994" w:rsidRPr="003063F4">
        <w:rPr>
          <w:lang w:val="fr-FR"/>
        </w:rPr>
        <w:t>’</w:t>
      </w:r>
      <w:r w:rsidRPr="003063F4">
        <w:rPr>
          <w:lang w:val="fr-FR"/>
        </w:rPr>
        <w:t>activités de formation destinées aux personnes qui appartiennent à des groupes vulnérables et l</w:t>
      </w:r>
      <w:r w:rsidR="00010994" w:rsidRPr="003063F4">
        <w:rPr>
          <w:lang w:val="fr-FR"/>
        </w:rPr>
        <w:t>’</w:t>
      </w:r>
      <w:r w:rsidRPr="003063F4">
        <w:rPr>
          <w:lang w:val="fr-FR"/>
        </w:rPr>
        <w:t>adoption de mesures visant à dissuader les employeurs d</w:t>
      </w:r>
      <w:r w:rsidR="00010994" w:rsidRPr="003063F4">
        <w:rPr>
          <w:lang w:val="fr-FR"/>
        </w:rPr>
        <w:t>’</w:t>
      </w:r>
      <w:r w:rsidRPr="003063F4">
        <w:rPr>
          <w:lang w:val="fr-FR"/>
        </w:rPr>
        <w:t>avoir recours aux services de victimes de la traite, de même qu</w:t>
      </w:r>
      <w:r w:rsidR="00010994" w:rsidRPr="003063F4">
        <w:rPr>
          <w:lang w:val="fr-FR"/>
        </w:rPr>
        <w:t>’</w:t>
      </w:r>
      <w:r w:rsidRPr="003063F4">
        <w:rPr>
          <w:lang w:val="fr-FR"/>
        </w:rPr>
        <w:t>une surveillance plus stricte des activités économiques qui connaissent une forte fluctuation de la main-d</w:t>
      </w:r>
      <w:r w:rsidR="00010994" w:rsidRPr="003063F4">
        <w:rPr>
          <w:lang w:val="fr-FR"/>
        </w:rPr>
        <w:t>’</w:t>
      </w:r>
      <w:r w:rsidRPr="003063F4">
        <w:rPr>
          <w:lang w:val="fr-FR"/>
        </w:rPr>
        <w:t>œuvre (par exemple dans les secteurs de la construction, de l</w:t>
      </w:r>
      <w:r w:rsidR="00010994" w:rsidRPr="003063F4">
        <w:rPr>
          <w:lang w:val="fr-FR"/>
        </w:rPr>
        <w:t>’</w:t>
      </w:r>
      <w:r w:rsidRPr="003063F4">
        <w:rPr>
          <w:lang w:val="fr-FR"/>
        </w:rPr>
        <w:t>agriculture, de l</w:t>
      </w:r>
      <w:r w:rsidR="00010994" w:rsidRPr="003063F4">
        <w:rPr>
          <w:lang w:val="fr-FR"/>
        </w:rPr>
        <w:t>’</w:t>
      </w:r>
      <w:r w:rsidRPr="003063F4">
        <w:rPr>
          <w:lang w:val="fr-FR"/>
        </w:rPr>
        <w:t>industrie du bois et du tourisme). Il est également prévu de prendre des mesures pour repérer suffisamment tôt, au niveau local, les enfants qui courent le risque d</w:t>
      </w:r>
      <w:r w:rsidR="00010994" w:rsidRPr="003063F4">
        <w:rPr>
          <w:lang w:val="fr-FR"/>
        </w:rPr>
        <w:t>’</w:t>
      </w:r>
      <w:r w:rsidRPr="003063F4">
        <w:rPr>
          <w:lang w:val="fr-FR"/>
        </w:rPr>
        <w:t>être victimes de la traite et auxquels les différentes formes d</w:t>
      </w:r>
      <w:r w:rsidR="00010994" w:rsidRPr="003063F4">
        <w:rPr>
          <w:lang w:val="fr-FR"/>
        </w:rPr>
        <w:t>’</w:t>
      </w:r>
      <w:r w:rsidRPr="003063F4">
        <w:rPr>
          <w:lang w:val="fr-FR"/>
        </w:rPr>
        <w:t>assistance prévues dans la législation devraient être fournies. La stratégie vise également à faire en sorte que les victimes reçoivent toutes la même aide, et une aide de qualité, ce pour quoi il est prévu de définir des lignes directrices qui favorisent une application intégrée et uniforme de la législation et autres textes relatifs à l</w:t>
      </w:r>
      <w:r w:rsidR="00010994" w:rsidRPr="003063F4">
        <w:rPr>
          <w:lang w:val="fr-FR"/>
        </w:rPr>
        <w:t>’</w:t>
      </w:r>
      <w:r w:rsidRPr="003063F4">
        <w:rPr>
          <w:lang w:val="fr-FR"/>
        </w:rPr>
        <w:t>assistance aux victimes et à la protection de ces dernières.</w:t>
      </w:r>
    </w:p>
    <w:p w14:paraId="638951B5" w14:textId="29F953CB" w:rsidR="007435AC" w:rsidRPr="003063F4" w:rsidRDefault="007435AC" w:rsidP="007435AC">
      <w:pPr>
        <w:pStyle w:val="SingleTxt"/>
        <w:spacing w:after="0" w:line="240" w:lineRule="auto"/>
        <w:rPr>
          <w:lang w:val="fr-FR"/>
        </w:rPr>
      </w:pPr>
      <w:r w:rsidRPr="003063F4">
        <w:rPr>
          <w:noProof/>
          <w:w w:val="100"/>
          <w:lang w:val="fr-FR"/>
        </w:rPr>
        <mc:AlternateContent>
          <mc:Choice Requires="wps">
            <w:drawing>
              <wp:anchor distT="0" distB="0" distL="114300" distR="114300" simplePos="0" relativeHeight="251659264" behindDoc="0" locked="0" layoutInCell="1" allowOverlap="1" wp14:anchorId="5D1063E4" wp14:editId="62EEEFA2">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7C88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435AC" w:rsidRPr="003063F4" w:rsidSect="00F921D6">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18T16:03:00Z" w:initials="Start">
    <w:p w14:paraId="0E56C81A" w14:textId="77777777" w:rsidR="00010994" w:rsidRPr="007435AC" w:rsidRDefault="00010994">
      <w:pPr>
        <w:pStyle w:val="CommentText"/>
        <w:rPr>
          <w:lang w:val="en-US"/>
        </w:rPr>
      </w:pPr>
      <w:r>
        <w:fldChar w:fldCharType="begin"/>
      </w:r>
      <w:r w:rsidRPr="007435AC">
        <w:rPr>
          <w:rStyle w:val="CommentReference"/>
          <w:lang w:val="en-US"/>
        </w:rPr>
        <w:instrText xml:space="preserve"> </w:instrText>
      </w:r>
      <w:r w:rsidRPr="007435AC">
        <w:rPr>
          <w:lang w:val="en-US"/>
        </w:rPr>
        <w:instrText>PAGE \# "'Page: '#'</w:instrText>
      </w:r>
      <w:r w:rsidRPr="007435AC">
        <w:rPr>
          <w:lang w:val="en-US"/>
        </w:rPr>
        <w:br/>
        <w:instrText>'"</w:instrText>
      </w:r>
      <w:r w:rsidRPr="007435AC">
        <w:rPr>
          <w:rStyle w:val="CommentReference"/>
          <w:lang w:val="en-US"/>
        </w:rPr>
        <w:instrText xml:space="preserve"> </w:instrText>
      </w:r>
      <w:r>
        <w:fldChar w:fldCharType="end"/>
      </w:r>
      <w:r>
        <w:rPr>
          <w:rStyle w:val="CommentReference"/>
        </w:rPr>
        <w:annotationRef/>
      </w:r>
      <w:r w:rsidRPr="007435AC">
        <w:rPr>
          <w:lang w:val="en-US"/>
        </w:rPr>
        <w:t>&lt;&lt;ODS JOB NO&gt;&gt;N1934453F&lt;&lt;ODS JOB NO&gt;&gt;</w:t>
      </w:r>
    </w:p>
    <w:p w14:paraId="324756E0" w14:textId="77777777" w:rsidR="00010994" w:rsidRPr="007435AC" w:rsidRDefault="00010994">
      <w:pPr>
        <w:pStyle w:val="CommentText"/>
        <w:rPr>
          <w:lang w:val="en-US"/>
        </w:rPr>
      </w:pPr>
      <w:r w:rsidRPr="007435AC">
        <w:rPr>
          <w:lang w:val="en-US"/>
        </w:rPr>
        <w:t>&lt;&lt;ODS DOC SYMBOL1&gt;&gt;CEDAW/C/ROU/CO/7-8/Add.1&lt;&lt;ODS DOC SYMBOL1&gt;&gt;</w:t>
      </w:r>
    </w:p>
    <w:p w14:paraId="75DCA983" w14:textId="77777777" w:rsidR="00010994" w:rsidRDefault="0001099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DCA98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3EDFA" w14:textId="77777777" w:rsidR="00010994" w:rsidRDefault="00010994" w:rsidP="00101B18">
      <w:pPr>
        <w:spacing w:line="240" w:lineRule="auto"/>
      </w:pPr>
      <w:r>
        <w:separator/>
      </w:r>
    </w:p>
  </w:endnote>
  <w:endnote w:type="continuationSeparator" w:id="0">
    <w:p w14:paraId="14C627D0" w14:textId="77777777" w:rsidR="00010994" w:rsidRDefault="00010994"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10994" w14:paraId="10017B91" w14:textId="77777777" w:rsidTr="0050272D">
      <w:tc>
        <w:tcPr>
          <w:tcW w:w="4920" w:type="dxa"/>
          <w:shd w:val="clear" w:color="auto" w:fill="auto"/>
        </w:tcPr>
        <w:p w14:paraId="51ECE3A2" w14:textId="35D3AA5B" w:rsidR="00010994" w:rsidRPr="0050272D" w:rsidRDefault="00010994" w:rsidP="0050272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B3ACF">
            <w:rPr>
              <w:b w:val="0"/>
              <w:w w:val="103"/>
              <w:sz w:val="14"/>
            </w:rPr>
            <w:t>19-18872</w:t>
          </w:r>
          <w:r>
            <w:rPr>
              <w:b w:val="0"/>
              <w:w w:val="103"/>
              <w:sz w:val="14"/>
            </w:rPr>
            <w:fldChar w:fldCharType="end"/>
          </w:r>
        </w:p>
      </w:tc>
      <w:tc>
        <w:tcPr>
          <w:tcW w:w="4920" w:type="dxa"/>
          <w:shd w:val="clear" w:color="auto" w:fill="auto"/>
        </w:tcPr>
        <w:p w14:paraId="07E5A542" w14:textId="77777777" w:rsidR="00010994" w:rsidRPr="0050272D" w:rsidRDefault="00010994" w:rsidP="0050272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3EE320F" w14:textId="77777777" w:rsidR="00010994" w:rsidRPr="0050272D" w:rsidRDefault="00010994" w:rsidP="00502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10994" w14:paraId="5D1F847C" w14:textId="77777777" w:rsidTr="0050272D">
      <w:tc>
        <w:tcPr>
          <w:tcW w:w="4920" w:type="dxa"/>
          <w:shd w:val="clear" w:color="auto" w:fill="auto"/>
        </w:tcPr>
        <w:p w14:paraId="0925A2FE" w14:textId="77777777" w:rsidR="00010994" w:rsidRPr="0050272D" w:rsidRDefault="00010994" w:rsidP="0050272D">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3EAADF0" w14:textId="3CCC930D" w:rsidR="00010994" w:rsidRPr="0050272D" w:rsidRDefault="00010994" w:rsidP="0050272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B3ACF">
            <w:rPr>
              <w:b w:val="0"/>
              <w:w w:val="103"/>
              <w:sz w:val="14"/>
            </w:rPr>
            <w:t>19-18872</w:t>
          </w:r>
          <w:r>
            <w:rPr>
              <w:b w:val="0"/>
              <w:w w:val="103"/>
              <w:sz w:val="14"/>
            </w:rPr>
            <w:fldChar w:fldCharType="end"/>
          </w:r>
        </w:p>
      </w:tc>
    </w:tr>
  </w:tbl>
  <w:p w14:paraId="1D2A8102" w14:textId="77777777" w:rsidR="00010994" w:rsidRPr="0050272D" w:rsidRDefault="00010994" w:rsidP="00502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0A6F" w14:textId="77777777" w:rsidR="00010994" w:rsidRDefault="00010994">
    <w:pPr>
      <w:pStyle w:val="Footer"/>
    </w:pPr>
    <w:r>
      <w:rPr>
        <w:noProof/>
      </w:rPr>
      <w:drawing>
        <wp:anchor distT="0" distB="0" distL="114300" distR="114300" simplePos="0" relativeHeight="251658240" behindDoc="0" locked="0" layoutInCell="1" allowOverlap="1" wp14:anchorId="56F320C5" wp14:editId="483D0643">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ROU/CO/7-8/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ROU/CO/7-8/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010994" w14:paraId="62795883" w14:textId="77777777" w:rsidTr="0050272D">
      <w:tc>
        <w:tcPr>
          <w:tcW w:w="3758" w:type="dxa"/>
        </w:tcPr>
        <w:p w14:paraId="10922E80" w14:textId="12785DEE" w:rsidR="00010994" w:rsidRDefault="00010994" w:rsidP="0050272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B3ACF">
            <w:rPr>
              <w:b w:val="0"/>
              <w:sz w:val="20"/>
            </w:rPr>
            <w:t>19-18872 (F)</w:t>
          </w:r>
          <w:r>
            <w:rPr>
              <w:b w:val="0"/>
              <w:sz w:val="20"/>
            </w:rPr>
            <w:fldChar w:fldCharType="end"/>
          </w:r>
          <w:r>
            <w:rPr>
              <w:b w:val="0"/>
              <w:sz w:val="20"/>
            </w:rPr>
            <w:t xml:space="preserve">    181119    261119</w:t>
          </w:r>
        </w:p>
        <w:p w14:paraId="530EA6D0" w14:textId="6A13B2D9" w:rsidR="00010994" w:rsidRPr="0050272D" w:rsidRDefault="00010994" w:rsidP="0050272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B3ACF">
            <w:rPr>
              <w:rFonts w:ascii="Barcode 3 of 9 by request" w:hAnsi="Barcode 3 of 9 by request"/>
              <w:spacing w:val="0"/>
              <w:w w:val="100"/>
              <w:sz w:val="24"/>
            </w:rPr>
            <w:t>*1918872*</w:t>
          </w:r>
          <w:r>
            <w:rPr>
              <w:rFonts w:ascii="Barcode 3 of 9 by request" w:hAnsi="Barcode 3 of 9 by request"/>
              <w:spacing w:val="0"/>
              <w:w w:val="100"/>
              <w:sz w:val="24"/>
            </w:rPr>
            <w:fldChar w:fldCharType="end"/>
          </w:r>
        </w:p>
      </w:tc>
      <w:tc>
        <w:tcPr>
          <w:tcW w:w="4920" w:type="dxa"/>
        </w:tcPr>
        <w:p w14:paraId="742249E2" w14:textId="77777777" w:rsidR="00010994" w:rsidRDefault="00010994" w:rsidP="0050272D">
          <w:pPr>
            <w:pStyle w:val="Footer"/>
            <w:spacing w:line="240" w:lineRule="atLeast"/>
            <w:jc w:val="right"/>
            <w:rPr>
              <w:b w:val="0"/>
              <w:sz w:val="20"/>
            </w:rPr>
          </w:pPr>
          <w:r>
            <w:rPr>
              <w:b w:val="0"/>
              <w:noProof/>
              <w:sz w:val="20"/>
            </w:rPr>
            <w:drawing>
              <wp:inline distT="0" distB="0" distL="0" distR="0" wp14:anchorId="68260EA8" wp14:editId="170D267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4458BB4" w14:textId="77777777" w:rsidR="00010994" w:rsidRPr="0050272D" w:rsidRDefault="00010994" w:rsidP="0050272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5ABC5" w14:textId="46EF7081" w:rsidR="00010994" w:rsidRPr="007B3084" w:rsidRDefault="00010994" w:rsidP="007B3084">
      <w:pPr>
        <w:pStyle w:val="Footer"/>
        <w:spacing w:after="80"/>
        <w:ind w:left="792"/>
        <w:rPr>
          <w:sz w:val="16"/>
        </w:rPr>
      </w:pPr>
      <w:r w:rsidRPr="007B3084">
        <w:rPr>
          <w:sz w:val="16"/>
        </w:rPr>
        <w:t>__________________</w:t>
      </w:r>
    </w:p>
  </w:footnote>
  <w:footnote w:type="continuationSeparator" w:id="0">
    <w:p w14:paraId="02FFC6DD" w14:textId="43B1D8B1" w:rsidR="00010994" w:rsidRPr="007B3084" w:rsidRDefault="00010994" w:rsidP="007B3084">
      <w:pPr>
        <w:pStyle w:val="Footer"/>
        <w:spacing w:after="80"/>
        <w:ind w:left="792"/>
        <w:rPr>
          <w:sz w:val="16"/>
        </w:rPr>
      </w:pPr>
      <w:r w:rsidRPr="007B3084">
        <w:rPr>
          <w:sz w:val="16"/>
        </w:rPr>
        <w:t>__________________</w:t>
      </w:r>
    </w:p>
  </w:footnote>
  <w:footnote w:id="1">
    <w:p w14:paraId="53CE4BD7" w14:textId="3DA51A8C" w:rsidR="00010994" w:rsidRPr="007B3084" w:rsidRDefault="00010994" w:rsidP="007B3084">
      <w:pPr>
        <w:pStyle w:val="FootnoteText"/>
        <w:tabs>
          <w:tab w:val="right" w:pos="1195"/>
          <w:tab w:val="left" w:pos="1267"/>
          <w:tab w:val="left" w:pos="1742"/>
          <w:tab w:val="left" w:pos="2218"/>
          <w:tab w:val="left" w:pos="2693"/>
        </w:tabs>
        <w:ind w:left="1267" w:right="1260" w:hanging="576"/>
        <w:rPr>
          <w:lang w:val="fr-FR"/>
        </w:rPr>
      </w:pPr>
      <w:r>
        <w:rPr>
          <w:lang w:val="fr-FR"/>
        </w:rPr>
        <w:tab/>
      </w:r>
      <w:r w:rsidRPr="00010994">
        <w:rPr>
          <w:rStyle w:val="FootnoteReference"/>
          <w:spacing w:val="4"/>
          <w:lang w:val="fr-FR"/>
        </w:rPr>
        <w:footnoteRef/>
      </w:r>
      <w:r w:rsidRPr="007B3084">
        <w:rPr>
          <w:lang w:val="fr-FR"/>
        </w:rPr>
        <w:tab/>
      </w:r>
      <w:hyperlink r:id="rId1" w:history="1">
        <w:r w:rsidRPr="008A75C0">
          <w:rPr>
            <w:rStyle w:val="Hyperlink"/>
            <w:lang w:val="fr-FR"/>
          </w:rPr>
          <w:t>https://www.feminism-romania.ro/despre-noi/asociaia-front</w:t>
        </w:r>
      </w:hyperlink>
      <w:r w:rsidRPr="007B3084">
        <w:rPr>
          <w:lang w:val="fr-FR"/>
        </w:rPr>
        <w:t>.</w:t>
      </w:r>
    </w:p>
  </w:footnote>
  <w:footnote w:id="2">
    <w:p w14:paraId="2C40669A" w14:textId="01F83F96" w:rsidR="00010994" w:rsidRPr="007B3084" w:rsidRDefault="00010994" w:rsidP="007B3084">
      <w:pPr>
        <w:pStyle w:val="FootnoteText"/>
        <w:tabs>
          <w:tab w:val="right" w:pos="1195"/>
          <w:tab w:val="left" w:pos="1267"/>
          <w:tab w:val="left" w:pos="1742"/>
          <w:tab w:val="left" w:pos="2218"/>
          <w:tab w:val="left" w:pos="2693"/>
        </w:tabs>
        <w:ind w:left="1267" w:right="1260" w:hanging="576"/>
        <w:rPr>
          <w:lang w:val="fr-FR"/>
        </w:rPr>
      </w:pPr>
      <w:r>
        <w:rPr>
          <w:lang w:val="fr-FR"/>
        </w:rPr>
        <w:tab/>
      </w:r>
      <w:r w:rsidRPr="00010994">
        <w:rPr>
          <w:rStyle w:val="FootnoteReference"/>
          <w:spacing w:val="4"/>
          <w:lang w:val="fr-FR"/>
        </w:rPr>
        <w:footnoteRef/>
      </w:r>
      <w:r w:rsidRPr="007B3084">
        <w:rPr>
          <w:lang w:val="fr-FR"/>
        </w:rPr>
        <w:tab/>
      </w:r>
      <w:hyperlink r:id="rId2" w:history="1">
        <w:r w:rsidRPr="008A75C0">
          <w:rPr>
            <w:rStyle w:val="Hyperlink"/>
            <w:lang w:val="fr-FR"/>
          </w:rPr>
          <w:t>https://www.peacewomen.org/sites/default/files/Plan-final.pdf</w:t>
        </w:r>
      </w:hyperlink>
      <w:r w:rsidRPr="007B3084">
        <w:rPr>
          <w:lang w:val="fr-FR"/>
        </w:rPr>
        <w:t>.</w:t>
      </w:r>
    </w:p>
  </w:footnote>
  <w:footnote w:id="3">
    <w:p w14:paraId="3DACE036" w14:textId="3FA1DAA8" w:rsidR="00010994" w:rsidRPr="007B3084" w:rsidRDefault="00010994" w:rsidP="007B3084">
      <w:pPr>
        <w:pStyle w:val="FootnoteText"/>
        <w:widowControl w:val="0"/>
        <w:tabs>
          <w:tab w:val="right" w:pos="1195"/>
          <w:tab w:val="left" w:pos="1267"/>
          <w:tab w:val="left" w:pos="1742"/>
          <w:tab w:val="left" w:pos="2218"/>
          <w:tab w:val="left" w:pos="2693"/>
        </w:tabs>
        <w:ind w:left="1267" w:right="1260" w:hanging="576"/>
        <w:rPr>
          <w:lang w:val="fr-FR"/>
        </w:rPr>
      </w:pPr>
      <w:r>
        <w:rPr>
          <w:lang w:val="fr-FR"/>
        </w:rPr>
        <w:tab/>
      </w:r>
      <w:r w:rsidRPr="00010994">
        <w:rPr>
          <w:rStyle w:val="FootnoteReference"/>
          <w:spacing w:val="4"/>
          <w:lang w:val="fr-FR"/>
        </w:rPr>
        <w:footnoteRef/>
      </w:r>
      <w:r w:rsidRPr="007B3084">
        <w:rPr>
          <w:lang w:val="fr-FR"/>
        </w:rPr>
        <w:tab/>
        <w:t>Aux termes de l</w:t>
      </w:r>
      <w:r>
        <w:rPr>
          <w:lang w:val="fr-FR"/>
        </w:rPr>
        <w:t>’</w:t>
      </w:r>
      <w:r w:rsidRPr="007B3084">
        <w:rPr>
          <w:lang w:val="fr-FR"/>
        </w:rPr>
        <w:t>alinéa h) de l</w:t>
      </w:r>
      <w:r>
        <w:rPr>
          <w:lang w:val="fr-FR"/>
        </w:rPr>
        <w:t>’</w:t>
      </w:r>
      <w:r w:rsidRPr="007B3084">
        <w:rPr>
          <w:lang w:val="fr-FR"/>
        </w:rPr>
        <w:t xml:space="preserve">article </w:t>
      </w:r>
      <w:r w:rsidRPr="00010994">
        <w:rPr>
          <w:lang w:val="fr-FR"/>
        </w:rPr>
        <w:t>77</w:t>
      </w:r>
      <w:r w:rsidRPr="007B3084">
        <w:rPr>
          <w:lang w:val="fr-FR"/>
        </w:rPr>
        <w:t xml:space="preserve"> du Code pénal roumain, constitue une circonstance aggravante la commission d</w:t>
      </w:r>
      <w:r>
        <w:rPr>
          <w:lang w:val="fr-FR"/>
        </w:rPr>
        <w:t>’</w:t>
      </w:r>
      <w:r w:rsidRPr="007B3084">
        <w:rPr>
          <w:lang w:val="fr-FR"/>
        </w:rPr>
        <w:t>une infraction à raison de la race, de la nationalité, de l</w:t>
      </w:r>
      <w:r>
        <w:rPr>
          <w:lang w:val="fr-FR"/>
        </w:rPr>
        <w:t>’</w:t>
      </w:r>
      <w:r w:rsidRPr="007B3084">
        <w:rPr>
          <w:lang w:val="fr-FR"/>
        </w:rPr>
        <w:t>appartenance ethnique, de la langue, du sexe, de l</w:t>
      </w:r>
      <w:r>
        <w:rPr>
          <w:lang w:val="fr-FR"/>
        </w:rPr>
        <w:t>’</w:t>
      </w:r>
      <w:r w:rsidRPr="007B3084">
        <w:rPr>
          <w:lang w:val="fr-FR"/>
        </w:rPr>
        <w:t>orientation sexuelle, des opinions ou allégeances politiques, de la situation économique, de l</w:t>
      </w:r>
      <w:r>
        <w:rPr>
          <w:lang w:val="fr-FR"/>
        </w:rPr>
        <w:t>’</w:t>
      </w:r>
      <w:r w:rsidRPr="007B3084">
        <w:rPr>
          <w:lang w:val="fr-FR"/>
        </w:rPr>
        <w:t>origine sociale, de l</w:t>
      </w:r>
      <w:r>
        <w:rPr>
          <w:lang w:val="fr-FR"/>
        </w:rPr>
        <w:t>’</w:t>
      </w:r>
      <w:r w:rsidRPr="007B3084">
        <w:rPr>
          <w:lang w:val="fr-FR"/>
        </w:rPr>
        <w:t>âge, d</w:t>
      </w:r>
      <w:r>
        <w:rPr>
          <w:lang w:val="fr-FR"/>
        </w:rPr>
        <w:t>’</w:t>
      </w:r>
      <w:r w:rsidRPr="007B3084">
        <w:rPr>
          <w:lang w:val="fr-FR"/>
        </w:rPr>
        <w:t>un handicap, d</w:t>
      </w:r>
      <w:r>
        <w:rPr>
          <w:lang w:val="fr-FR"/>
        </w:rPr>
        <w:t>’</w:t>
      </w:r>
      <w:r w:rsidRPr="007B3084">
        <w:rPr>
          <w:lang w:val="fr-FR"/>
        </w:rPr>
        <w:t>une maladie chronique non contagieuse ou d</w:t>
      </w:r>
      <w:r>
        <w:rPr>
          <w:lang w:val="fr-FR"/>
        </w:rPr>
        <w:t>’</w:t>
      </w:r>
      <w:r w:rsidRPr="007B3084">
        <w:rPr>
          <w:lang w:val="fr-FR"/>
        </w:rPr>
        <w:t>une infection au VIH/sida, ou encore pour toute autre raison analogue pour laquelle l</w:t>
      </w:r>
      <w:r>
        <w:rPr>
          <w:lang w:val="fr-FR"/>
        </w:rPr>
        <w:t>’</w:t>
      </w:r>
      <w:r w:rsidRPr="007B3084">
        <w:rPr>
          <w:lang w:val="fr-FR"/>
        </w:rPr>
        <w:t xml:space="preserve">auteur des faits jugerait la victime inférieure.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10994" w:rsidRPr="005C7071" w14:paraId="171CC5FC" w14:textId="77777777" w:rsidTr="0050272D">
      <w:trPr>
        <w:trHeight w:hRule="exact" w:val="864"/>
      </w:trPr>
      <w:tc>
        <w:tcPr>
          <w:tcW w:w="4920" w:type="dxa"/>
          <w:shd w:val="clear" w:color="auto" w:fill="auto"/>
          <w:vAlign w:val="bottom"/>
        </w:tcPr>
        <w:p w14:paraId="34774544" w14:textId="262A1A91" w:rsidR="00010994" w:rsidRPr="0050272D" w:rsidRDefault="00010994" w:rsidP="0050272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B3ACF">
            <w:rPr>
              <w:b/>
              <w:color w:val="000000"/>
            </w:rPr>
            <w:t>CEDAW/C/ROU/CO/7-8/Add.1</w:t>
          </w:r>
          <w:r>
            <w:rPr>
              <w:b/>
              <w:color w:val="000000"/>
            </w:rPr>
            <w:fldChar w:fldCharType="end"/>
          </w:r>
        </w:p>
      </w:tc>
      <w:tc>
        <w:tcPr>
          <w:tcW w:w="4920" w:type="dxa"/>
          <w:shd w:val="clear" w:color="auto" w:fill="auto"/>
          <w:vAlign w:val="bottom"/>
        </w:tcPr>
        <w:p w14:paraId="5EA911CD" w14:textId="77777777" w:rsidR="00010994" w:rsidRDefault="00010994" w:rsidP="0050272D">
          <w:pPr>
            <w:pStyle w:val="Header"/>
          </w:pPr>
        </w:p>
      </w:tc>
    </w:tr>
  </w:tbl>
  <w:p w14:paraId="45E40639" w14:textId="77777777" w:rsidR="00010994" w:rsidRPr="0050272D" w:rsidRDefault="00010994" w:rsidP="0050272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10994" w:rsidRPr="005C7071" w14:paraId="636514BD" w14:textId="77777777" w:rsidTr="0050272D">
      <w:trPr>
        <w:trHeight w:hRule="exact" w:val="864"/>
      </w:trPr>
      <w:tc>
        <w:tcPr>
          <w:tcW w:w="4920" w:type="dxa"/>
          <w:shd w:val="clear" w:color="auto" w:fill="auto"/>
          <w:vAlign w:val="bottom"/>
        </w:tcPr>
        <w:p w14:paraId="53AB5A35" w14:textId="77777777" w:rsidR="00010994" w:rsidRDefault="00010994" w:rsidP="0050272D">
          <w:pPr>
            <w:pStyle w:val="Header"/>
          </w:pPr>
        </w:p>
      </w:tc>
      <w:tc>
        <w:tcPr>
          <w:tcW w:w="4920" w:type="dxa"/>
          <w:shd w:val="clear" w:color="auto" w:fill="auto"/>
          <w:vAlign w:val="bottom"/>
        </w:tcPr>
        <w:p w14:paraId="6FB08ED9" w14:textId="0ACEE8CB" w:rsidR="00010994" w:rsidRPr="0050272D" w:rsidRDefault="00010994" w:rsidP="0050272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B3ACF">
            <w:rPr>
              <w:b/>
              <w:color w:val="000000"/>
            </w:rPr>
            <w:t>CEDAW/C/ROU/CO/7-8/Add.1</w:t>
          </w:r>
          <w:r>
            <w:rPr>
              <w:b/>
              <w:color w:val="000000"/>
            </w:rPr>
            <w:fldChar w:fldCharType="end"/>
          </w:r>
        </w:p>
      </w:tc>
    </w:tr>
  </w:tbl>
  <w:p w14:paraId="37D984E1" w14:textId="77777777" w:rsidR="00010994" w:rsidRPr="0050272D" w:rsidRDefault="00010994" w:rsidP="0050272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010994" w:rsidRPr="005C7071" w14:paraId="3E44DB04" w14:textId="77777777" w:rsidTr="0050272D">
      <w:trPr>
        <w:trHeight w:hRule="exact" w:val="864"/>
      </w:trPr>
      <w:tc>
        <w:tcPr>
          <w:tcW w:w="1267" w:type="dxa"/>
          <w:tcBorders>
            <w:bottom w:val="single" w:sz="4" w:space="0" w:color="auto"/>
          </w:tcBorders>
          <w:shd w:val="clear" w:color="auto" w:fill="auto"/>
          <w:vAlign w:val="bottom"/>
        </w:tcPr>
        <w:p w14:paraId="680D1026" w14:textId="77777777" w:rsidR="00010994" w:rsidRDefault="00010994" w:rsidP="0050272D">
          <w:pPr>
            <w:pStyle w:val="Header"/>
            <w:spacing w:after="120"/>
          </w:pPr>
        </w:p>
      </w:tc>
      <w:tc>
        <w:tcPr>
          <w:tcW w:w="2059" w:type="dxa"/>
          <w:tcBorders>
            <w:bottom w:val="single" w:sz="4" w:space="0" w:color="auto"/>
          </w:tcBorders>
          <w:shd w:val="clear" w:color="auto" w:fill="auto"/>
          <w:vAlign w:val="bottom"/>
        </w:tcPr>
        <w:p w14:paraId="5831738C" w14:textId="77777777" w:rsidR="00010994" w:rsidRPr="0050272D" w:rsidRDefault="00010994" w:rsidP="0050272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C2AA85C" w14:textId="77777777" w:rsidR="00010994" w:rsidRDefault="00010994" w:rsidP="0050272D">
          <w:pPr>
            <w:pStyle w:val="Header"/>
            <w:spacing w:after="120"/>
          </w:pPr>
        </w:p>
      </w:tc>
      <w:tc>
        <w:tcPr>
          <w:tcW w:w="6466" w:type="dxa"/>
          <w:gridSpan w:val="3"/>
          <w:tcBorders>
            <w:bottom w:val="single" w:sz="4" w:space="0" w:color="auto"/>
          </w:tcBorders>
          <w:shd w:val="clear" w:color="auto" w:fill="auto"/>
          <w:vAlign w:val="bottom"/>
        </w:tcPr>
        <w:p w14:paraId="0B89BDD9" w14:textId="77777777" w:rsidR="00010994" w:rsidRPr="007435AC" w:rsidRDefault="00010994" w:rsidP="0050272D">
          <w:pPr>
            <w:spacing w:after="80" w:line="240" w:lineRule="auto"/>
            <w:jc w:val="right"/>
            <w:rPr>
              <w:position w:val="-4"/>
              <w:lang w:val="en-US"/>
            </w:rPr>
          </w:pPr>
          <w:r w:rsidRPr="007435AC">
            <w:rPr>
              <w:position w:val="-4"/>
              <w:sz w:val="40"/>
              <w:lang w:val="en-US"/>
            </w:rPr>
            <w:t>CEDAW</w:t>
          </w:r>
          <w:r w:rsidRPr="007435AC">
            <w:rPr>
              <w:position w:val="-4"/>
              <w:lang w:val="en-US"/>
            </w:rPr>
            <w:t>/C/ROU/CO/7-8/Add.1</w:t>
          </w:r>
        </w:p>
      </w:tc>
    </w:tr>
    <w:tr w:rsidR="00010994" w:rsidRPr="0050272D" w14:paraId="64DEBABC" w14:textId="77777777" w:rsidTr="0050272D">
      <w:trPr>
        <w:trHeight w:hRule="exact" w:val="2880"/>
      </w:trPr>
      <w:tc>
        <w:tcPr>
          <w:tcW w:w="1267" w:type="dxa"/>
          <w:tcBorders>
            <w:top w:val="single" w:sz="4" w:space="0" w:color="auto"/>
            <w:bottom w:val="single" w:sz="12" w:space="0" w:color="auto"/>
          </w:tcBorders>
          <w:shd w:val="clear" w:color="auto" w:fill="auto"/>
        </w:tcPr>
        <w:p w14:paraId="7292F03B" w14:textId="77777777" w:rsidR="00010994" w:rsidRPr="0050272D" w:rsidRDefault="00010994" w:rsidP="0050272D">
          <w:pPr>
            <w:pStyle w:val="Header"/>
            <w:spacing w:before="120" w:line="240" w:lineRule="auto"/>
            <w:ind w:left="-72"/>
            <w:jc w:val="center"/>
          </w:pPr>
          <w:r>
            <w:t xml:space="preserve">  </w:t>
          </w:r>
          <w:r>
            <w:rPr>
              <w:noProof/>
            </w:rPr>
            <w:drawing>
              <wp:inline distT="0" distB="0" distL="0" distR="0" wp14:anchorId="17837B79" wp14:editId="2A248AF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A170817" w14:textId="5BCC6589" w:rsidR="00010994" w:rsidRPr="0050272D" w:rsidRDefault="00010994" w:rsidP="0050272D">
          <w:pPr>
            <w:pStyle w:val="XLarge"/>
            <w:spacing w:before="120" w:line="360" w:lineRule="exact"/>
            <w:rPr>
              <w:sz w:val="36"/>
            </w:rPr>
          </w:pPr>
          <w:r>
            <w:rPr>
              <w:sz w:val="36"/>
            </w:rPr>
            <w:t>Convention sur l</w:t>
          </w:r>
          <w:r w:rsidRPr="00010994">
            <w:rPr>
              <w:sz w:val="36"/>
            </w:rPr>
            <w:t>’</w:t>
          </w:r>
          <w:r>
            <w:rPr>
              <w:sz w:val="36"/>
            </w:rPr>
            <w:t>élimination</w:t>
          </w:r>
          <w:r>
            <w:rPr>
              <w:sz w:val="36"/>
            </w:rPr>
            <w:br/>
            <w:t>de toutes les formes</w:t>
          </w:r>
          <w:r>
            <w:rPr>
              <w:sz w:val="36"/>
            </w:rPr>
            <w:br/>
            <w:t>de discrimination à l</w:t>
          </w:r>
          <w:r w:rsidRPr="00010994">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309E0930" w14:textId="77777777" w:rsidR="00010994" w:rsidRPr="007435AC" w:rsidRDefault="00010994" w:rsidP="0050272D">
          <w:pPr>
            <w:pStyle w:val="Header"/>
            <w:spacing w:before="109"/>
            <w:rPr>
              <w:lang w:val="fr-FR"/>
            </w:rPr>
          </w:pPr>
        </w:p>
      </w:tc>
      <w:tc>
        <w:tcPr>
          <w:tcW w:w="3110" w:type="dxa"/>
          <w:tcBorders>
            <w:top w:val="single" w:sz="4" w:space="0" w:color="auto"/>
            <w:bottom w:val="single" w:sz="12" w:space="0" w:color="auto"/>
          </w:tcBorders>
          <w:shd w:val="clear" w:color="auto" w:fill="auto"/>
        </w:tcPr>
        <w:p w14:paraId="39D33E12" w14:textId="77777777" w:rsidR="00010994" w:rsidRPr="007435AC" w:rsidRDefault="00010994" w:rsidP="0050272D">
          <w:pPr>
            <w:pStyle w:val="Distribution"/>
            <w:rPr>
              <w:color w:val="000000"/>
              <w:lang w:val="fr-FR"/>
            </w:rPr>
          </w:pPr>
          <w:r w:rsidRPr="007435AC">
            <w:rPr>
              <w:color w:val="000000"/>
              <w:lang w:val="fr-FR"/>
            </w:rPr>
            <w:t>Distr. générale</w:t>
          </w:r>
        </w:p>
        <w:p w14:paraId="780104E3" w14:textId="77777777" w:rsidR="00010994" w:rsidRPr="007435AC" w:rsidRDefault="00010994" w:rsidP="0050272D">
          <w:pPr>
            <w:pStyle w:val="Publication"/>
            <w:rPr>
              <w:color w:val="000000"/>
              <w:lang w:val="fr-FR"/>
            </w:rPr>
          </w:pPr>
          <w:r w:rsidRPr="007435AC">
            <w:rPr>
              <w:color w:val="000000"/>
              <w:lang w:val="fr-FR"/>
            </w:rPr>
            <w:t>31 octobre 2019</w:t>
          </w:r>
        </w:p>
        <w:p w14:paraId="5A257C30" w14:textId="77777777" w:rsidR="00010994" w:rsidRPr="007435AC" w:rsidRDefault="00010994" w:rsidP="0050272D">
          <w:pPr>
            <w:rPr>
              <w:lang w:val="fr-FR"/>
            </w:rPr>
          </w:pPr>
          <w:r w:rsidRPr="007435AC">
            <w:rPr>
              <w:lang w:val="fr-FR"/>
            </w:rPr>
            <w:t>Français</w:t>
          </w:r>
        </w:p>
        <w:p w14:paraId="67F9FA1C" w14:textId="1153922C" w:rsidR="00010994" w:rsidRDefault="00010994" w:rsidP="0050272D">
          <w:pPr>
            <w:pStyle w:val="Original"/>
            <w:rPr>
              <w:color w:val="000000"/>
              <w:lang w:val="fr-FR"/>
            </w:rPr>
          </w:pPr>
          <w:r w:rsidRPr="007435AC">
            <w:rPr>
              <w:color w:val="000000"/>
              <w:lang w:val="fr-FR"/>
            </w:rPr>
            <w:t>Original</w:t>
          </w:r>
          <w:r w:rsidRPr="00010994">
            <w:rPr>
              <w:lang w:val="fr-FR"/>
            </w:rPr>
            <w:t> :</w:t>
          </w:r>
          <w:r w:rsidRPr="007435AC">
            <w:rPr>
              <w:color w:val="000000"/>
              <w:lang w:val="fr-FR"/>
            </w:rPr>
            <w:t xml:space="preserve"> anglais</w:t>
          </w:r>
        </w:p>
        <w:p w14:paraId="6B1A23DD" w14:textId="7BFCFD8D" w:rsidR="00010994" w:rsidRPr="007435AC" w:rsidRDefault="00010994" w:rsidP="007435AC">
          <w:pPr>
            <w:rPr>
              <w:lang w:val="fr-FR"/>
            </w:rPr>
          </w:pPr>
          <w:r w:rsidRPr="007435AC">
            <w:rPr>
              <w:lang w:val="fr-FR"/>
            </w:rPr>
            <w:t>Anglais, espagnol et français seulement</w:t>
          </w:r>
        </w:p>
      </w:tc>
    </w:tr>
  </w:tbl>
  <w:p w14:paraId="4FAEBC67" w14:textId="77777777" w:rsidR="00010994" w:rsidRPr="007435AC" w:rsidRDefault="00010994" w:rsidP="0050272D">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C300668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0608A"/>
    <w:multiLevelType w:val="singleLevel"/>
    <w:tmpl w:val="C0FE54A2"/>
    <w:lvl w:ilvl="0">
      <w:start w:val="1"/>
      <w:numFmt w:val="decimal"/>
      <w:lvlRestart w:val="0"/>
      <w:lvlText w:val="%1."/>
      <w:lvlJc w:val="left"/>
      <w:pPr>
        <w:tabs>
          <w:tab w:val="num" w:pos="475"/>
        </w:tabs>
        <w:ind w:left="0" w:firstLine="0"/>
      </w:pPr>
      <w:rPr>
        <w:w w:val="100"/>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B51B4"/>
    <w:multiLevelType w:val="hybridMultilevel"/>
    <w:tmpl w:val="F272886A"/>
    <w:lvl w:ilvl="0" w:tplc="FC04F2E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4"/>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3"/>
  </w:num>
  <w:num w:numId="42">
    <w:abstractNumId w:val="5"/>
  </w:num>
  <w:num w:numId="43">
    <w:abstractNumId w:val="3"/>
    <w:lvlOverride w:ilvl="0">
      <w:lvl w:ilvl="0">
        <w:start w:val="1"/>
        <w:numFmt w:val="decimal"/>
        <w:lvlRestart w:val="0"/>
        <w:lvlText w:val="%1."/>
        <w:lvlJc w:val="left"/>
        <w:pPr>
          <w:tabs>
            <w:tab w:val="num" w:pos="475"/>
          </w:tabs>
          <w:ind w:left="0" w:firstLine="0"/>
        </w:pPr>
        <w:rPr>
          <w:w w:val="100"/>
        </w:rPr>
      </w:lvl>
    </w:lvlOverride>
  </w:num>
  <w:num w:numId="44">
    <w:abstractNumId w:val="3"/>
    <w:lvlOverride w:ilvl="0">
      <w:lvl w:ilvl="0">
        <w:start w:val="1"/>
        <w:numFmt w:val="decimal"/>
        <w:lvlRestart w:val="0"/>
        <w:lvlText w:val="%1."/>
        <w:lvlJc w:val="left"/>
        <w:pPr>
          <w:tabs>
            <w:tab w:val="num" w:pos="475"/>
          </w:tabs>
          <w:ind w:left="0" w:firstLine="0"/>
        </w:pPr>
        <w:rPr>
          <w:w w:val="100"/>
        </w:rPr>
      </w:lvl>
    </w:lvlOverride>
  </w:num>
  <w:num w:numId="45">
    <w:abstractNumId w:val="3"/>
    <w:lvlOverride w:ilvl="0">
      <w:lvl w:ilvl="0">
        <w:start w:val="1"/>
        <w:numFmt w:val="decimal"/>
        <w:lvlRestart w:val="0"/>
        <w:lvlText w:val="%1."/>
        <w:lvlJc w:val="left"/>
        <w:pPr>
          <w:tabs>
            <w:tab w:val="num" w:pos="475"/>
          </w:tabs>
          <w:ind w:left="0" w:firstLine="0"/>
        </w:pPr>
        <w:rPr>
          <w:w w:val="100"/>
        </w:rPr>
      </w:lvl>
    </w:lvlOverride>
  </w:num>
  <w:num w:numId="46">
    <w:abstractNumId w:val="3"/>
    <w:lvlOverride w:ilvl="0">
      <w:lvl w:ilvl="0">
        <w:start w:val="1"/>
        <w:numFmt w:val="decimal"/>
        <w:lvlRestart w:val="0"/>
        <w:lvlText w:val="%1."/>
        <w:lvlJc w:val="left"/>
        <w:pPr>
          <w:tabs>
            <w:tab w:val="num" w:pos="475"/>
          </w:tabs>
          <w:ind w:left="0" w:firstLine="0"/>
        </w:pPr>
        <w:rPr>
          <w:w w:val="100"/>
        </w:rPr>
      </w:lvl>
    </w:lvlOverride>
  </w:num>
  <w:num w:numId="47">
    <w:abstractNumId w:val="3"/>
    <w:lvlOverride w:ilvl="0">
      <w:lvl w:ilvl="0">
        <w:start w:val="1"/>
        <w:numFmt w:val="decimal"/>
        <w:lvlRestart w:val="0"/>
        <w:lvlText w:val="%1."/>
        <w:lvlJc w:val="left"/>
        <w:pPr>
          <w:tabs>
            <w:tab w:val="num" w:pos="475"/>
          </w:tabs>
          <w:ind w:left="0" w:firstLine="0"/>
        </w:pPr>
        <w:rPr>
          <w:w w:val="100"/>
        </w:rPr>
      </w:lvl>
    </w:lvlOverride>
  </w:num>
  <w:num w:numId="48">
    <w:abstractNumId w:val="3"/>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8872*"/>
    <w:docVar w:name="CreationDt" w:val="18/11/2019 4:03: PM"/>
    <w:docVar w:name="DocCategory" w:val="Doc"/>
    <w:docVar w:name="DocType" w:val="Final"/>
    <w:docVar w:name="DutyStation" w:val="New York"/>
    <w:docVar w:name="FooterJN" w:val="19-18872"/>
    <w:docVar w:name="jobn" w:val="19-18872 (F)"/>
    <w:docVar w:name="jobnDT" w:val="19-18872 (F)   181119"/>
    <w:docVar w:name="jobnDTDT" w:val="19-18872 (F)   181119   181119"/>
    <w:docVar w:name="JobNo" w:val="1918872F"/>
    <w:docVar w:name="JobNo2" w:val="1934453F"/>
    <w:docVar w:name="LocalDrive" w:val="0"/>
    <w:docVar w:name="OandT" w:val="AAD"/>
    <w:docVar w:name="sss1" w:val="CEDAW/C/ROU/CO/7-8/Add.1"/>
    <w:docVar w:name="sss2" w:val="-"/>
    <w:docVar w:name="Symbol1" w:val="CEDAW/C/ROU/CO/7-8/Add.1"/>
    <w:docVar w:name="Symbol2" w:val="-"/>
  </w:docVars>
  <w:rsids>
    <w:rsidRoot w:val="005B7592"/>
    <w:rsid w:val="00002584"/>
    <w:rsid w:val="00010994"/>
    <w:rsid w:val="0006491F"/>
    <w:rsid w:val="00071D43"/>
    <w:rsid w:val="00082144"/>
    <w:rsid w:val="00101B18"/>
    <w:rsid w:val="001177E1"/>
    <w:rsid w:val="00122A56"/>
    <w:rsid w:val="00134FEE"/>
    <w:rsid w:val="00146C6A"/>
    <w:rsid w:val="00166A0D"/>
    <w:rsid w:val="001E2379"/>
    <w:rsid w:val="001E4B50"/>
    <w:rsid w:val="001F3EA3"/>
    <w:rsid w:val="001F7ED7"/>
    <w:rsid w:val="002113C3"/>
    <w:rsid w:val="00230CAE"/>
    <w:rsid w:val="00245107"/>
    <w:rsid w:val="00245FDC"/>
    <w:rsid w:val="002478A0"/>
    <w:rsid w:val="002561C4"/>
    <w:rsid w:val="00266AFE"/>
    <w:rsid w:val="0029764B"/>
    <w:rsid w:val="002A5E20"/>
    <w:rsid w:val="002C27B4"/>
    <w:rsid w:val="003063F4"/>
    <w:rsid w:val="0030765E"/>
    <w:rsid w:val="00366D21"/>
    <w:rsid w:val="003A675A"/>
    <w:rsid w:val="003C536A"/>
    <w:rsid w:val="003C7A35"/>
    <w:rsid w:val="003D3064"/>
    <w:rsid w:val="003E6A5D"/>
    <w:rsid w:val="003F61E1"/>
    <w:rsid w:val="00403DFD"/>
    <w:rsid w:val="00410BE8"/>
    <w:rsid w:val="00440C93"/>
    <w:rsid w:val="00472B7F"/>
    <w:rsid w:val="00480B84"/>
    <w:rsid w:val="004B64F9"/>
    <w:rsid w:val="004C1A25"/>
    <w:rsid w:val="004E491B"/>
    <w:rsid w:val="0050272D"/>
    <w:rsid w:val="00515991"/>
    <w:rsid w:val="005225EC"/>
    <w:rsid w:val="00525097"/>
    <w:rsid w:val="005509B6"/>
    <w:rsid w:val="0056533A"/>
    <w:rsid w:val="00571235"/>
    <w:rsid w:val="00577A36"/>
    <w:rsid w:val="00580CF2"/>
    <w:rsid w:val="0058467F"/>
    <w:rsid w:val="005A626D"/>
    <w:rsid w:val="005B398E"/>
    <w:rsid w:val="005B7592"/>
    <w:rsid w:val="005C03A7"/>
    <w:rsid w:val="005C5330"/>
    <w:rsid w:val="005C7071"/>
    <w:rsid w:val="005E4F83"/>
    <w:rsid w:val="005F1F5F"/>
    <w:rsid w:val="00623808"/>
    <w:rsid w:val="00632C10"/>
    <w:rsid w:val="00690698"/>
    <w:rsid w:val="006A1828"/>
    <w:rsid w:val="006B3ACF"/>
    <w:rsid w:val="006D79F5"/>
    <w:rsid w:val="006E4A4B"/>
    <w:rsid w:val="006E5107"/>
    <w:rsid w:val="006F370E"/>
    <w:rsid w:val="00703106"/>
    <w:rsid w:val="007435AC"/>
    <w:rsid w:val="007459AE"/>
    <w:rsid w:val="007531A5"/>
    <w:rsid w:val="00771C9E"/>
    <w:rsid w:val="007B3084"/>
    <w:rsid w:val="007B770F"/>
    <w:rsid w:val="007E224F"/>
    <w:rsid w:val="0082045E"/>
    <w:rsid w:val="008222A3"/>
    <w:rsid w:val="00845301"/>
    <w:rsid w:val="00876489"/>
    <w:rsid w:val="00883D3C"/>
    <w:rsid w:val="00886CF2"/>
    <w:rsid w:val="008A1E34"/>
    <w:rsid w:val="008D3879"/>
    <w:rsid w:val="008F3462"/>
    <w:rsid w:val="009237A6"/>
    <w:rsid w:val="00935932"/>
    <w:rsid w:val="009547DC"/>
    <w:rsid w:val="00993CB7"/>
    <w:rsid w:val="00994877"/>
    <w:rsid w:val="009C2207"/>
    <w:rsid w:val="009C3BFE"/>
    <w:rsid w:val="009D0EE3"/>
    <w:rsid w:val="009E3220"/>
    <w:rsid w:val="009F40B9"/>
    <w:rsid w:val="00A2494D"/>
    <w:rsid w:val="00A536A1"/>
    <w:rsid w:val="00AB0B7D"/>
    <w:rsid w:val="00AD5F2F"/>
    <w:rsid w:val="00B31C63"/>
    <w:rsid w:val="00B858D5"/>
    <w:rsid w:val="00BA2D2D"/>
    <w:rsid w:val="00BB1539"/>
    <w:rsid w:val="00C138C6"/>
    <w:rsid w:val="00CB06FB"/>
    <w:rsid w:val="00CB63C5"/>
    <w:rsid w:val="00CD145E"/>
    <w:rsid w:val="00D30EED"/>
    <w:rsid w:val="00D66CB3"/>
    <w:rsid w:val="00D67C81"/>
    <w:rsid w:val="00DC7881"/>
    <w:rsid w:val="00DE4D52"/>
    <w:rsid w:val="00E126C3"/>
    <w:rsid w:val="00E343A6"/>
    <w:rsid w:val="00E443AC"/>
    <w:rsid w:val="00E47A1E"/>
    <w:rsid w:val="00E7105F"/>
    <w:rsid w:val="00E7792F"/>
    <w:rsid w:val="00ED1F1C"/>
    <w:rsid w:val="00ED2351"/>
    <w:rsid w:val="00EE37EC"/>
    <w:rsid w:val="00EF2DFA"/>
    <w:rsid w:val="00F313F6"/>
    <w:rsid w:val="00F5012D"/>
    <w:rsid w:val="00F73093"/>
    <w:rsid w:val="00F853D5"/>
    <w:rsid w:val="00F921D6"/>
    <w:rsid w:val="00FA3D05"/>
    <w:rsid w:val="00FA5CC9"/>
    <w:rsid w:val="00FB0A2C"/>
    <w:rsid w:val="00FB2F9C"/>
    <w:rsid w:val="00FC07F8"/>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895821"/>
  <w15:chartTrackingRefBased/>
  <w15:docId w15:val="{EF4758C8-BE4C-433B-9CE0-608A289B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67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58467F"/>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8467F"/>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8467F"/>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8467F"/>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8467F"/>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8467F"/>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8467F"/>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8467F"/>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8467F"/>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8467F"/>
    <w:pPr>
      <w:keepNext/>
      <w:keepLines/>
      <w:suppressAutoHyphens/>
      <w:spacing w:line="270" w:lineRule="exact"/>
      <w:outlineLvl w:val="0"/>
    </w:pPr>
    <w:rPr>
      <w:b/>
      <w:sz w:val="24"/>
    </w:rPr>
  </w:style>
  <w:style w:type="paragraph" w:customStyle="1" w:styleId="HCH">
    <w:name w:val="_ H _CH"/>
    <w:basedOn w:val="H1"/>
    <w:next w:val="Normal"/>
    <w:qFormat/>
    <w:rsid w:val="0058467F"/>
    <w:pPr>
      <w:spacing w:line="300" w:lineRule="exact"/>
    </w:pPr>
    <w:rPr>
      <w:spacing w:val="-2"/>
      <w:sz w:val="28"/>
    </w:rPr>
  </w:style>
  <w:style w:type="paragraph" w:customStyle="1" w:styleId="HM">
    <w:name w:val="_ H __M"/>
    <w:basedOn w:val="HCH"/>
    <w:next w:val="Normal"/>
    <w:qFormat/>
    <w:rsid w:val="0058467F"/>
    <w:pPr>
      <w:spacing w:line="360" w:lineRule="exact"/>
    </w:pPr>
    <w:rPr>
      <w:spacing w:val="-3"/>
      <w:w w:val="99"/>
      <w:sz w:val="34"/>
    </w:rPr>
  </w:style>
  <w:style w:type="paragraph" w:customStyle="1" w:styleId="H23">
    <w:name w:val="_ H_2/3"/>
    <w:basedOn w:val="H1"/>
    <w:next w:val="SingleTxt"/>
    <w:qFormat/>
    <w:rsid w:val="0058467F"/>
    <w:pPr>
      <w:spacing w:line="240" w:lineRule="exact"/>
      <w:outlineLvl w:val="1"/>
    </w:pPr>
    <w:rPr>
      <w:spacing w:val="2"/>
      <w:sz w:val="20"/>
    </w:rPr>
  </w:style>
  <w:style w:type="paragraph" w:customStyle="1" w:styleId="H4">
    <w:name w:val="_ H_4"/>
    <w:basedOn w:val="Normal"/>
    <w:next w:val="SingleTxt"/>
    <w:qFormat/>
    <w:rsid w:val="0058467F"/>
    <w:pPr>
      <w:keepNext/>
      <w:keepLines/>
      <w:tabs>
        <w:tab w:val="right" w:pos="360"/>
      </w:tabs>
      <w:suppressAutoHyphens/>
      <w:outlineLvl w:val="3"/>
    </w:pPr>
    <w:rPr>
      <w:i/>
      <w:spacing w:val="3"/>
    </w:rPr>
  </w:style>
  <w:style w:type="paragraph" w:customStyle="1" w:styleId="H56">
    <w:name w:val="_ H_5/6"/>
    <w:basedOn w:val="Normal"/>
    <w:next w:val="Normal"/>
    <w:qFormat/>
    <w:rsid w:val="0058467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8467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8467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8467F"/>
    <w:pPr>
      <w:spacing w:line="540" w:lineRule="exact"/>
    </w:pPr>
    <w:rPr>
      <w:spacing w:val="-8"/>
      <w:w w:val="96"/>
      <w:sz w:val="57"/>
    </w:rPr>
  </w:style>
  <w:style w:type="paragraph" w:customStyle="1" w:styleId="SS">
    <w:name w:val="__S_S"/>
    <w:basedOn w:val="HCH"/>
    <w:next w:val="Normal"/>
    <w:qFormat/>
    <w:rsid w:val="0058467F"/>
    <w:pPr>
      <w:ind w:left="1267" w:right="1267"/>
    </w:pPr>
  </w:style>
  <w:style w:type="paragraph" w:customStyle="1" w:styleId="SingleTxt">
    <w:name w:val="__Single Txt"/>
    <w:basedOn w:val="Normal"/>
    <w:qFormat/>
    <w:rsid w:val="005846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846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846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8467F"/>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58467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8467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8467F"/>
    <w:pPr>
      <w:numPr>
        <w:numId w:val="29"/>
      </w:numPr>
      <w:spacing w:after="120"/>
      <w:ind w:right="1267"/>
      <w:jc w:val="both"/>
    </w:pPr>
  </w:style>
  <w:style w:type="paragraph" w:customStyle="1" w:styleId="Bullet2">
    <w:name w:val="Bullet 2"/>
    <w:basedOn w:val="Normal"/>
    <w:qFormat/>
    <w:rsid w:val="0058467F"/>
    <w:pPr>
      <w:numPr>
        <w:numId w:val="30"/>
      </w:numPr>
      <w:spacing w:after="120"/>
      <w:ind w:right="1264"/>
      <w:jc w:val="both"/>
    </w:pPr>
  </w:style>
  <w:style w:type="paragraph" w:customStyle="1" w:styleId="Bullet3">
    <w:name w:val="Bullet 3"/>
    <w:basedOn w:val="SingleTxt"/>
    <w:qFormat/>
    <w:rsid w:val="0058467F"/>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8467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58467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8467F"/>
    <w:pPr>
      <w:spacing w:line="210" w:lineRule="exact"/>
    </w:pPr>
    <w:rPr>
      <w:sz w:val="17"/>
      <w:szCs w:val="20"/>
    </w:rPr>
  </w:style>
  <w:style w:type="character" w:customStyle="1" w:styleId="EndnoteTextChar">
    <w:name w:val="Endnote Text Char"/>
    <w:link w:val="EndnoteText"/>
    <w:uiPriority w:val="99"/>
    <w:semiHidden/>
    <w:rsid w:val="0058467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58467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58467F"/>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58467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8467F"/>
    <w:pPr>
      <w:spacing w:line="210" w:lineRule="exact"/>
    </w:pPr>
    <w:rPr>
      <w:sz w:val="17"/>
      <w:szCs w:val="20"/>
    </w:rPr>
  </w:style>
  <w:style w:type="character" w:customStyle="1" w:styleId="FootnoteTextChar">
    <w:name w:val="Footnote Text Char"/>
    <w:link w:val="FootnoteText"/>
    <w:uiPriority w:val="99"/>
    <w:rsid w:val="0058467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58467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58467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58467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8467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8467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8467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8467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8467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8467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8467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8467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58467F"/>
    <w:rPr>
      <w:sz w:val="14"/>
    </w:rPr>
  </w:style>
  <w:style w:type="paragraph" w:styleId="ListParagraph">
    <w:name w:val="List Paragraph"/>
    <w:basedOn w:val="Normal"/>
    <w:uiPriority w:val="34"/>
    <w:rsid w:val="0058467F"/>
    <w:pPr>
      <w:ind w:left="720"/>
      <w:contextualSpacing/>
    </w:pPr>
  </w:style>
  <w:style w:type="paragraph" w:styleId="NoSpacing">
    <w:name w:val="No Spacing"/>
    <w:uiPriority w:val="1"/>
    <w:rsid w:val="0058467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8467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8467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8467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8467F"/>
    <w:pPr>
      <w:tabs>
        <w:tab w:val="right" w:pos="9965"/>
      </w:tabs>
      <w:spacing w:line="210" w:lineRule="exact"/>
    </w:pPr>
    <w:rPr>
      <w:spacing w:val="5"/>
      <w:w w:val="104"/>
      <w:sz w:val="17"/>
    </w:rPr>
  </w:style>
  <w:style w:type="paragraph" w:customStyle="1" w:styleId="SmallX">
    <w:name w:val="SmallX"/>
    <w:basedOn w:val="Small"/>
    <w:next w:val="Normal"/>
    <w:qFormat/>
    <w:rsid w:val="0058467F"/>
    <w:pPr>
      <w:spacing w:line="180" w:lineRule="exact"/>
      <w:jc w:val="right"/>
    </w:pPr>
    <w:rPr>
      <w:spacing w:val="6"/>
      <w:w w:val="106"/>
      <w:sz w:val="14"/>
    </w:rPr>
  </w:style>
  <w:style w:type="character" w:styleId="Strong">
    <w:name w:val="Strong"/>
    <w:uiPriority w:val="22"/>
    <w:rsid w:val="0058467F"/>
    <w:rPr>
      <w:b/>
      <w:bCs/>
    </w:rPr>
  </w:style>
  <w:style w:type="paragraph" w:customStyle="1" w:styleId="Style1">
    <w:name w:val="Style1"/>
    <w:basedOn w:val="Normal"/>
    <w:qFormat/>
    <w:rsid w:val="0058467F"/>
  </w:style>
  <w:style w:type="paragraph" w:customStyle="1" w:styleId="Style2">
    <w:name w:val="Style2"/>
    <w:basedOn w:val="Normal"/>
    <w:autoRedefine/>
    <w:qFormat/>
    <w:rsid w:val="0058467F"/>
  </w:style>
  <w:style w:type="paragraph" w:customStyle="1" w:styleId="TitleHCH">
    <w:name w:val="Title_H_CH"/>
    <w:basedOn w:val="H1"/>
    <w:next w:val="Normal"/>
    <w:qFormat/>
    <w:rsid w:val="005846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846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8467F"/>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50272D"/>
    <w:rPr>
      <w:sz w:val="16"/>
      <w:szCs w:val="16"/>
    </w:rPr>
  </w:style>
  <w:style w:type="paragraph" w:styleId="CommentText">
    <w:name w:val="annotation text"/>
    <w:basedOn w:val="Normal"/>
    <w:link w:val="CommentTextChar"/>
    <w:uiPriority w:val="99"/>
    <w:semiHidden/>
    <w:unhideWhenUsed/>
    <w:rsid w:val="0050272D"/>
    <w:pPr>
      <w:spacing w:line="240" w:lineRule="auto"/>
    </w:pPr>
    <w:rPr>
      <w:szCs w:val="20"/>
    </w:rPr>
  </w:style>
  <w:style w:type="character" w:customStyle="1" w:styleId="CommentTextChar">
    <w:name w:val="Comment Text Char"/>
    <w:basedOn w:val="DefaultParagraphFont"/>
    <w:link w:val="CommentText"/>
    <w:uiPriority w:val="99"/>
    <w:semiHidden/>
    <w:rsid w:val="0050272D"/>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50272D"/>
    <w:rPr>
      <w:b/>
      <w:bCs/>
    </w:rPr>
  </w:style>
  <w:style w:type="character" w:customStyle="1" w:styleId="CommentSubjectChar">
    <w:name w:val="Comment Subject Char"/>
    <w:basedOn w:val="CommentTextChar"/>
    <w:link w:val="CommentSubject"/>
    <w:uiPriority w:val="99"/>
    <w:semiHidden/>
    <w:rsid w:val="0050272D"/>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rsid w:val="0074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qFormat/>
    <w:rsid w:val="007435AC"/>
    <w:pPr>
      <w:suppressAutoHyphens/>
      <w:spacing w:after="120" w:line="240" w:lineRule="atLeast"/>
      <w:ind w:left="1134" w:right="1134"/>
      <w:jc w:val="both"/>
    </w:pPr>
    <w:rPr>
      <w:rFonts w:eastAsia="Times New Roman"/>
      <w:spacing w:val="0"/>
      <w:w w:val="100"/>
      <w:kern w:val="0"/>
      <w:szCs w:val="20"/>
      <w:lang w:val="en-GB"/>
    </w:rPr>
  </w:style>
  <w:style w:type="character" w:styleId="Hyperlink">
    <w:name w:val="Hyperlink"/>
    <w:basedOn w:val="DefaultParagraphFont"/>
    <w:uiPriority w:val="99"/>
    <w:unhideWhenUsed/>
    <w:rsid w:val="00623808"/>
    <w:rPr>
      <w:color w:val="0000FF"/>
      <w:u w:val="none"/>
    </w:rPr>
  </w:style>
  <w:style w:type="character" w:styleId="UnresolvedMention">
    <w:name w:val="Unresolved Mention"/>
    <w:basedOn w:val="DefaultParagraphFont"/>
    <w:uiPriority w:val="99"/>
    <w:semiHidden/>
    <w:unhideWhenUsed/>
    <w:rsid w:val="00623808"/>
    <w:rPr>
      <w:color w:val="605E5C"/>
      <w:shd w:val="clear" w:color="auto" w:fill="E1DFDD"/>
    </w:rPr>
  </w:style>
  <w:style w:type="character" w:styleId="FollowedHyperlink">
    <w:name w:val="FollowedHyperlink"/>
    <w:basedOn w:val="DefaultParagraphFont"/>
    <w:uiPriority w:val="99"/>
    <w:semiHidden/>
    <w:unhideWhenUsed/>
    <w:rsid w:val="00F853D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E/RES/2012/29/U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E/RES/2012/29/UE" TargetMode="External"/><Relationship Id="rId2" Type="http://schemas.openxmlformats.org/officeDocument/2006/relationships/styles" Target="styles.xml"/><Relationship Id="rId16" Type="http://schemas.openxmlformats.org/officeDocument/2006/relationships/hyperlink" Target="https://undocs.org/fr/S/RES/1325%20(2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ROU/CO/7-8"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www.peacewomen.org/sites/default/files/Plan-final.pdf" TargetMode="External"/><Relationship Id="rId1" Type="http://schemas.openxmlformats.org/officeDocument/2006/relationships/hyperlink" Target="https://www.feminism-romania.ro/despre-noi/asociaia-fro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4338</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Ahlem Adda-Bendia</dc:creator>
  <cp:keywords/>
  <dc:description/>
  <cp:lastModifiedBy>Judith Nduwimana</cp:lastModifiedBy>
  <cp:revision>3</cp:revision>
  <cp:lastPrinted>2019-11-26T18:07:00Z</cp:lastPrinted>
  <dcterms:created xsi:type="dcterms:W3CDTF">2019-11-26T18:07:00Z</dcterms:created>
  <dcterms:modified xsi:type="dcterms:W3CDTF">2019-11-26T18:07:00Z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1918872F</vt:lpwstr>
  </property>
  <property fmtid="{D5CDD505-2E9C-101B-9397-08002B2CF9AE}" pid="3" name="ODSRefJobNo">
    <vt:lpwstr>1934453F</vt:lpwstr>
  </property>
  <property fmtid="{D5CDD505-2E9C-101B-9397-08002B2CF9AE}" pid="4" name="Symbol1">
    <vt:lpwstr>CEDAW/C/ROU/CO/7-8/Add.1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10</vt:lpwstr>
  </property>
  <property fmtid="{D5CDD505-2E9C-101B-9397-08002B2CF9AE}" pid="11" name="Operator">
    <vt:lpwstr>AAD</vt:lpwstr>
  </property>
  <property fmtid="{D5CDD505-2E9C-101B-9397-08002B2CF9AE}" pid="12" name="Release Date">
    <vt:lpwstr/>
  </property>
  <property fmtid="{D5CDD505-2E9C-101B-9397-08002B2CF9AE}" pid="13" name="Title1">
    <vt:lpwstr>		Observations finales concernant le rapport valant septième et huitième rapports périodiques de la Roumanie_x000d_</vt:lpwstr>
  </property>
  <property fmtid="{D5CDD505-2E9C-101B-9397-08002B2CF9AE}" pid="14" name="Title2">
    <vt:lpwstr>		Additif_x000d_</vt:lpwstr>
  </property>
  <property fmtid="{D5CDD505-2E9C-101B-9397-08002B2CF9AE}" pid="15" name="Title3">
    <vt:lpwstr>		Renseignements reçus de la Roumanie au sujet de la suite donnée aux observations finales_x000d_</vt:lpwstr>
  </property>
</Properties>
</file>