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4531"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w:t>
            </w:r>
            <w:r w:rsidR="00F9464F">
              <w:rPr>
                <w:rFonts w:ascii="Arial" w:hAnsi="Arial"/>
                <w:b/>
                <w:sz w:val="32"/>
              </w:rPr>
              <w:t>’</w:t>
            </w:r>
            <w:r>
              <w:rPr>
                <w:rFonts w:ascii="Arial" w:hAnsi="Arial"/>
                <w:b/>
                <w:sz w:val="32"/>
              </w:rPr>
              <w:t>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204FC0" w:rsidRDefault="001A59A7" w:rsidP="00204FC0">
            <w:pPr>
              <w:spacing w:after="240"/>
            </w:pPr>
            <w:proofErr w:type="spellStart"/>
            <w:r>
              <w:t>Distr</w:t>
            </w:r>
            <w:proofErr w:type="spellEnd"/>
            <w:r>
              <w:t>.</w:t>
            </w:r>
            <w:r>
              <w:br/>
            </w:r>
            <w:r w:rsidR="00204FC0">
              <w:t>RESTREINTE</w:t>
            </w:r>
            <w:r w:rsidR="00204FC0">
              <w:rPr>
                <w:rStyle w:val="FootnoteReference"/>
              </w:rPr>
              <w:footnoteReference w:customMarkFollows="1" w:id="1"/>
              <w:t>*</w:t>
            </w:r>
          </w:p>
          <w:p w:rsidR="00204FC0" w:rsidRDefault="00204FC0" w:rsidP="00845067">
            <w:pPr>
              <w:spacing w:after="240"/>
              <w:rPr>
                <w:lang w:val="fr-FR"/>
              </w:rPr>
            </w:pPr>
            <w:r w:rsidRPr="005D569F">
              <w:rPr>
                <w:lang w:val="fr-FR"/>
              </w:rPr>
              <w:t>CERD/C/72/</w:t>
            </w:r>
            <w:r>
              <w:rPr>
                <w:lang w:val="fr-FR"/>
              </w:rPr>
              <w:t>D</w:t>
            </w:r>
            <w:r w:rsidRPr="005D569F">
              <w:rPr>
                <w:lang w:val="fr-FR"/>
              </w:rPr>
              <w:t>/38/2006</w:t>
            </w:r>
            <w:r>
              <w:rPr>
                <w:lang w:val="fr-FR"/>
              </w:rPr>
              <w:br/>
              <w:t>3 mars 2008</w:t>
            </w:r>
          </w:p>
          <w:p w:rsidR="00204FC0" w:rsidRDefault="00204FC0" w:rsidP="00204FC0">
            <w:r>
              <w:t>FRANÇAIS</w:t>
            </w:r>
          </w:p>
          <w:p w:rsidR="005D6AAA" w:rsidRDefault="00204FC0" w:rsidP="00845067">
            <w:pPr>
              <w:spacing w:after="240"/>
            </w:pPr>
            <w:r>
              <w:t>Original: ANGLAIS</w:t>
            </w:r>
          </w:p>
          <w:p w:rsidR="001A59A7" w:rsidRDefault="001A59A7" w:rsidP="00204FC0">
            <w:pPr>
              <w:spacing w:after="240"/>
            </w:pPr>
            <w:r>
              <w:br/>
            </w:r>
          </w:p>
        </w:tc>
      </w:tr>
    </w:tbl>
    <w:p w:rsidR="00204FC0" w:rsidRPr="00204FC0" w:rsidRDefault="001A59A7" w:rsidP="00845067">
      <w:pPr>
        <w:spacing w:before="120" w:after="240"/>
      </w:pPr>
      <w:r>
        <w:t>COMITÉ POUR L</w:t>
      </w:r>
      <w:r w:rsidR="00F9464F">
        <w:t>’</w:t>
      </w:r>
      <w:r>
        <w:t>ÉLIMINATION</w:t>
      </w:r>
      <w:r>
        <w:br/>
        <w:t>DE LA DISCRIMINATION RACIALE</w:t>
      </w:r>
      <w:r w:rsidR="00845067">
        <w:br/>
      </w:r>
      <w:proofErr w:type="spellStart"/>
      <w:r w:rsidR="00845067">
        <w:t>Soixante</w:t>
      </w:r>
      <w:r w:rsidR="00845067">
        <w:noBreakHyphen/>
        <w:t>douzième</w:t>
      </w:r>
      <w:proofErr w:type="spellEnd"/>
      <w:r w:rsidR="00845067">
        <w:t xml:space="preserve"> session</w:t>
      </w:r>
      <w:r w:rsidR="00845067">
        <w:br/>
        <w:t>18 février</w:t>
      </w:r>
      <w:r w:rsidR="00845067">
        <w:noBreakHyphen/>
        <w:t>7 mars 2008</w:t>
      </w:r>
    </w:p>
    <w:p w:rsidR="00204FC0" w:rsidRPr="00204FC0" w:rsidRDefault="00204FC0" w:rsidP="00845067">
      <w:pPr>
        <w:spacing w:before="360" w:after="240"/>
        <w:jc w:val="center"/>
        <w:rPr>
          <w:b/>
          <w:bCs/>
        </w:rPr>
      </w:pPr>
      <w:r w:rsidRPr="00204FC0">
        <w:rPr>
          <w:b/>
          <w:bCs/>
        </w:rPr>
        <w:t>OPINION</w:t>
      </w:r>
    </w:p>
    <w:p w:rsidR="00204FC0" w:rsidRPr="00204FC0" w:rsidRDefault="00204FC0" w:rsidP="00845067">
      <w:pPr>
        <w:spacing w:after="240"/>
        <w:jc w:val="center"/>
        <w:rPr>
          <w:b/>
          <w:bCs/>
        </w:rPr>
      </w:pPr>
      <w:r w:rsidRPr="00204FC0">
        <w:rPr>
          <w:b/>
          <w:bCs/>
        </w:rPr>
        <w:t>Communication n</w:t>
      </w:r>
      <w:r w:rsidRPr="00204FC0">
        <w:rPr>
          <w:b/>
          <w:bCs/>
          <w:vertAlign w:val="superscript"/>
        </w:rPr>
        <w:t>o</w:t>
      </w:r>
      <w:r w:rsidRPr="00204FC0">
        <w:rPr>
          <w:b/>
          <w:bCs/>
        </w:rPr>
        <w:t> 38/2006</w:t>
      </w:r>
    </w:p>
    <w:tbl>
      <w:tblPr>
        <w:tblW w:w="9497" w:type="dxa"/>
        <w:tblLayout w:type="fixed"/>
        <w:tblCellMar>
          <w:left w:w="70" w:type="dxa"/>
          <w:right w:w="70" w:type="dxa"/>
        </w:tblCellMar>
        <w:tblLook w:val="0000" w:firstRow="0" w:lastRow="0" w:firstColumn="0" w:lastColumn="0" w:noHBand="0" w:noVBand="0"/>
      </w:tblPr>
      <w:tblGrid>
        <w:gridCol w:w="3150"/>
        <w:gridCol w:w="6347"/>
      </w:tblGrid>
      <w:tr w:rsidR="00204FC0" w:rsidRPr="00204FC0" w:rsidTr="00BF2BC3">
        <w:tblPrEx>
          <w:tblCellMar>
            <w:top w:w="0" w:type="dxa"/>
            <w:bottom w:w="0" w:type="dxa"/>
          </w:tblCellMar>
        </w:tblPrEx>
        <w:tc>
          <w:tcPr>
            <w:tcW w:w="3150" w:type="dxa"/>
          </w:tcPr>
          <w:p w:rsidR="00204FC0" w:rsidRPr="00204FC0" w:rsidRDefault="00204FC0" w:rsidP="00845067">
            <w:pPr>
              <w:spacing w:after="240"/>
              <w:rPr>
                <w:u w:val="single"/>
              </w:rPr>
            </w:pPr>
            <w:r w:rsidRPr="00204FC0">
              <w:rPr>
                <w:u w:val="single"/>
              </w:rPr>
              <w:t>Présentée par</w:t>
            </w:r>
            <w:r w:rsidRPr="00204FC0">
              <w:t>:</w:t>
            </w:r>
          </w:p>
        </w:tc>
        <w:tc>
          <w:tcPr>
            <w:tcW w:w="6347" w:type="dxa"/>
          </w:tcPr>
          <w:p w:rsidR="00204FC0" w:rsidRPr="00204FC0" w:rsidRDefault="00204FC0" w:rsidP="00845067">
            <w:pPr>
              <w:spacing w:after="240"/>
            </w:pPr>
            <w:proofErr w:type="spellStart"/>
            <w:r w:rsidRPr="00204FC0">
              <w:t>Zentralrat</w:t>
            </w:r>
            <w:proofErr w:type="spellEnd"/>
            <w:r w:rsidR="00845067">
              <w:t xml:space="preserve"> </w:t>
            </w:r>
            <w:proofErr w:type="spellStart"/>
            <w:r w:rsidR="00845067">
              <w:t>Deutscher</w:t>
            </w:r>
            <w:proofErr w:type="spellEnd"/>
            <w:r w:rsidR="00845067">
              <w:t xml:space="preserve"> </w:t>
            </w:r>
            <w:proofErr w:type="spellStart"/>
            <w:r w:rsidR="00845067">
              <w:t>Sinti</w:t>
            </w:r>
            <w:proofErr w:type="spellEnd"/>
            <w:r w:rsidR="00845067">
              <w:t xml:space="preserve"> </w:t>
            </w:r>
            <w:proofErr w:type="spellStart"/>
            <w:r w:rsidR="00845067">
              <w:t>und</w:t>
            </w:r>
            <w:proofErr w:type="spellEnd"/>
            <w:r w:rsidR="00845067">
              <w:t xml:space="preserve"> Roma et consorts</w:t>
            </w:r>
            <w:r w:rsidRPr="00204FC0">
              <w:t xml:space="preserve"> (représentés par un conseil)</w:t>
            </w:r>
          </w:p>
        </w:tc>
      </w:tr>
      <w:tr w:rsidR="00204FC0" w:rsidRPr="00204FC0" w:rsidTr="00BF2BC3">
        <w:tblPrEx>
          <w:tblCellMar>
            <w:top w:w="0" w:type="dxa"/>
            <w:bottom w:w="0" w:type="dxa"/>
          </w:tblCellMar>
        </w:tblPrEx>
        <w:tc>
          <w:tcPr>
            <w:tcW w:w="3150" w:type="dxa"/>
          </w:tcPr>
          <w:p w:rsidR="00204FC0" w:rsidRPr="00204FC0" w:rsidRDefault="00204FC0" w:rsidP="00845067">
            <w:pPr>
              <w:spacing w:after="240"/>
              <w:rPr>
                <w:u w:val="single"/>
              </w:rPr>
            </w:pPr>
            <w:r w:rsidRPr="00204FC0">
              <w:rPr>
                <w:u w:val="single"/>
              </w:rPr>
              <w:t>Au nom de</w:t>
            </w:r>
            <w:r w:rsidRPr="00204FC0">
              <w:t>:</w:t>
            </w:r>
          </w:p>
        </w:tc>
        <w:tc>
          <w:tcPr>
            <w:tcW w:w="6347" w:type="dxa"/>
          </w:tcPr>
          <w:p w:rsidR="00204FC0" w:rsidRPr="00204FC0" w:rsidRDefault="00204FC0" w:rsidP="00845067">
            <w:pPr>
              <w:spacing w:after="240"/>
            </w:pPr>
            <w:r w:rsidRPr="00204FC0">
              <w:t>Les auteurs</w:t>
            </w:r>
          </w:p>
        </w:tc>
      </w:tr>
      <w:tr w:rsidR="00204FC0" w:rsidRPr="00204FC0" w:rsidTr="00BF2BC3">
        <w:tblPrEx>
          <w:tblCellMar>
            <w:top w:w="0" w:type="dxa"/>
            <w:bottom w:w="0" w:type="dxa"/>
          </w:tblCellMar>
        </w:tblPrEx>
        <w:tc>
          <w:tcPr>
            <w:tcW w:w="3150" w:type="dxa"/>
          </w:tcPr>
          <w:p w:rsidR="00204FC0" w:rsidRPr="00204FC0" w:rsidRDefault="00204FC0" w:rsidP="00845067">
            <w:pPr>
              <w:spacing w:after="240"/>
              <w:rPr>
                <w:u w:val="single"/>
              </w:rPr>
            </w:pPr>
            <w:r w:rsidRPr="00204FC0">
              <w:rPr>
                <w:u w:val="single"/>
              </w:rPr>
              <w:t>État partie</w:t>
            </w:r>
            <w:r w:rsidRPr="00204FC0">
              <w:t>:</w:t>
            </w:r>
          </w:p>
        </w:tc>
        <w:tc>
          <w:tcPr>
            <w:tcW w:w="6347" w:type="dxa"/>
          </w:tcPr>
          <w:p w:rsidR="00204FC0" w:rsidRPr="00204FC0" w:rsidRDefault="00204FC0" w:rsidP="00845067">
            <w:pPr>
              <w:spacing w:after="240"/>
            </w:pPr>
            <w:r w:rsidRPr="00204FC0">
              <w:t>Allemagne</w:t>
            </w:r>
          </w:p>
        </w:tc>
      </w:tr>
      <w:tr w:rsidR="00204FC0" w:rsidRPr="00204FC0" w:rsidTr="00BF2BC3">
        <w:tblPrEx>
          <w:tblCellMar>
            <w:top w:w="0" w:type="dxa"/>
            <w:bottom w:w="0" w:type="dxa"/>
          </w:tblCellMar>
        </w:tblPrEx>
        <w:tc>
          <w:tcPr>
            <w:tcW w:w="3150" w:type="dxa"/>
          </w:tcPr>
          <w:p w:rsidR="00204FC0" w:rsidRPr="00204FC0" w:rsidRDefault="00204FC0" w:rsidP="00845067">
            <w:pPr>
              <w:spacing w:after="240"/>
              <w:rPr>
                <w:u w:val="single"/>
              </w:rPr>
            </w:pPr>
            <w:r w:rsidRPr="00204FC0">
              <w:rPr>
                <w:u w:val="single"/>
              </w:rPr>
              <w:t>Date de la communication</w:t>
            </w:r>
            <w:r w:rsidRPr="00204FC0">
              <w:t>:</w:t>
            </w:r>
          </w:p>
        </w:tc>
        <w:tc>
          <w:tcPr>
            <w:tcW w:w="6347" w:type="dxa"/>
          </w:tcPr>
          <w:p w:rsidR="00204FC0" w:rsidRPr="00204FC0" w:rsidRDefault="00204FC0" w:rsidP="00845067">
            <w:pPr>
              <w:spacing w:after="240"/>
            </w:pPr>
            <w:r w:rsidRPr="00204FC0">
              <w:t>29 août 2006 (date de la lettre initiale)</w:t>
            </w:r>
          </w:p>
        </w:tc>
      </w:tr>
      <w:tr w:rsidR="00204FC0" w:rsidRPr="00204FC0" w:rsidTr="00BF2BC3">
        <w:tblPrEx>
          <w:tblCellMar>
            <w:top w:w="0" w:type="dxa"/>
            <w:bottom w:w="0" w:type="dxa"/>
          </w:tblCellMar>
        </w:tblPrEx>
        <w:tc>
          <w:tcPr>
            <w:tcW w:w="3150" w:type="dxa"/>
          </w:tcPr>
          <w:p w:rsidR="00204FC0" w:rsidRPr="00204FC0" w:rsidRDefault="00204FC0" w:rsidP="00845067">
            <w:pPr>
              <w:spacing w:after="240"/>
            </w:pPr>
            <w:r w:rsidRPr="00204FC0">
              <w:rPr>
                <w:u w:val="single"/>
              </w:rPr>
              <w:t>Date de la présente décision</w:t>
            </w:r>
            <w:r w:rsidRPr="00204FC0">
              <w:t>:</w:t>
            </w:r>
          </w:p>
        </w:tc>
        <w:tc>
          <w:tcPr>
            <w:tcW w:w="6347" w:type="dxa"/>
          </w:tcPr>
          <w:p w:rsidR="00204FC0" w:rsidRPr="00204FC0" w:rsidRDefault="00204FC0" w:rsidP="00845067">
            <w:pPr>
              <w:spacing w:after="240"/>
            </w:pPr>
            <w:r w:rsidRPr="00204FC0">
              <w:t>22 février 2008</w:t>
            </w:r>
          </w:p>
        </w:tc>
      </w:tr>
    </w:tbl>
    <w:p w:rsidR="00204FC0" w:rsidRPr="00204FC0" w:rsidRDefault="00204FC0" w:rsidP="00BF2BC3">
      <w:pPr>
        <w:spacing w:before="240" w:after="240"/>
        <w:jc w:val="center"/>
      </w:pPr>
      <w:r w:rsidRPr="00204FC0">
        <w:t>[ANNEXE]</w:t>
      </w:r>
    </w:p>
    <w:p w:rsidR="00204FC0" w:rsidRPr="00204FC0" w:rsidRDefault="00204FC0" w:rsidP="008777CD">
      <w:pPr>
        <w:spacing w:after="240"/>
        <w:jc w:val="center"/>
        <w:rPr>
          <w:b/>
          <w:bCs/>
        </w:rPr>
      </w:pPr>
      <w:r w:rsidRPr="00204FC0">
        <w:rPr>
          <w:b/>
          <w:bCs/>
        </w:rPr>
        <w:br w:type="page"/>
        <w:t>ANNEXE</w:t>
      </w:r>
    </w:p>
    <w:p w:rsidR="00204FC0" w:rsidRPr="00204FC0" w:rsidRDefault="00204FC0" w:rsidP="008777CD">
      <w:pPr>
        <w:spacing w:after="240"/>
        <w:jc w:val="center"/>
        <w:rPr>
          <w:b/>
          <w:bCs/>
        </w:rPr>
      </w:pPr>
      <w:r w:rsidRPr="00204FC0">
        <w:rPr>
          <w:b/>
          <w:bCs/>
        </w:rPr>
        <w:t>OPINION ADOPTÉE PAR LE COMITÉ POUR L</w:t>
      </w:r>
      <w:r w:rsidR="00F9464F">
        <w:rPr>
          <w:b/>
          <w:bCs/>
        </w:rPr>
        <w:t>’</w:t>
      </w:r>
      <w:r w:rsidRPr="00204FC0">
        <w:rPr>
          <w:b/>
          <w:bCs/>
        </w:rPr>
        <w:t>ÉLIMINATION DE LA DISCRIMINATION RACIALE EN APPLICATION DE L</w:t>
      </w:r>
      <w:r w:rsidR="00F9464F">
        <w:rPr>
          <w:b/>
          <w:bCs/>
        </w:rPr>
        <w:t>’</w:t>
      </w:r>
      <w:r w:rsidRPr="00204FC0">
        <w:rPr>
          <w:b/>
          <w:bCs/>
        </w:rPr>
        <w:t>ARTICLE 14</w:t>
      </w:r>
      <w:r w:rsidRPr="00204FC0">
        <w:rPr>
          <w:b/>
          <w:bCs/>
        </w:rPr>
        <w:br/>
        <w:t>DE LA CONVENTION INTERNATIONALE SUR L</w:t>
      </w:r>
      <w:r w:rsidR="00F9464F">
        <w:rPr>
          <w:b/>
          <w:bCs/>
        </w:rPr>
        <w:t>’</w:t>
      </w:r>
      <w:r w:rsidRPr="00204FC0">
        <w:rPr>
          <w:b/>
          <w:bCs/>
        </w:rPr>
        <w:t>ÉLIMINATION</w:t>
      </w:r>
      <w:r w:rsidRPr="00204FC0">
        <w:rPr>
          <w:b/>
          <w:bCs/>
        </w:rPr>
        <w:br/>
        <w:t>DE TOUTES LES FORMES DE DISCRIMINATION RACIALE</w:t>
      </w:r>
    </w:p>
    <w:p w:rsidR="00204FC0" w:rsidRPr="00204FC0" w:rsidRDefault="00204FC0" w:rsidP="008777CD">
      <w:pPr>
        <w:spacing w:after="240"/>
        <w:jc w:val="center"/>
        <w:rPr>
          <w:b/>
          <w:bCs/>
        </w:rPr>
      </w:pPr>
      <w:proofErr w:type="spellStart"/>
      <w:r w:rsidRPr="00204FC0">
        <w:rPr>
          <w:b/>
          <w:bCs/>
        </w:rPr>
        <w:t>Soixante</w:t>
      </w:r>
      <w:r w:rsidRPr="00204FC0">
        <w:rPr>
          <w:b/>
          <w:bCs/>
        </w:rPr>
        <w:noBreakHyphen/>
        <w:t>douzième</w:t>
      </w:r>
      <w:proofErr w:type="spellEnd"/>
      <w:r w:rsidRPr="00204FC0">
        <w:rPr>
          <w:b/>
          <w:bCs/>
        </w:rPr>
        <w:t xml:space="preserve"> session</w:t>
      </w:r>
    </w:p>
    <w:p w:rsidR="00204FC0" w:rsidRPr="00204FC0" w:rsidRDefault="00204FC0" w:rsidP="008777CD">
      <w:pPr>
        <w:spacing w:after="240"/>
        <w:jc w:val="center"/>
        <w:rPr>
          <w:b/>
          <w:bCs/>
        </w:rPr>
      </w:pPr>
      <w:r w:rsidRPr="00204FC0">
        <w:rPr>
          <w:b/>
          <w:bCs/>
        </w:rPr>
        <w:t>concernant la</w:t>
      </w:r>
    </w:p>
    <w:p w:rsidR="00204FC0" w:rsidRPr="00204FC0" w:rsidRDefault="00204FC0" w:rsidP="008777CD">
      <w:pPr>
        <w:spacing w:after="240"/>
        <w:jc w:val="center"/>
        <w:rPr>
          <w:b/>
          <w:bCs/>
        </w:rPr>
      </w:pPr>
      <w:r w:rsidRPr="00204FC0">
        <w:rPr>
          <w:b/>
          <w:bCs/>
        </w:rPr>
        <w:t>Communication n</w:t>
      </w:r>
      <w:r w:rsidRPr="00204FC0">
        <w:rPr>
          <w:b/>
          <w:bCs/>
          <w:vertAlign w:val="superscript"/>
        </w:rPr>
        <w:t>o</w:t>
      </w:r>
      <w:r w:rsidRPr="00204FC0">
        <w:rPr>
          <w:b/>
          <w:bCs/>
        </w:rPr>
        <w:t> 38/2006</w:t>
      </w:r>
    </w:p>
    <w:tbl>
      <w:tblPr>
        <w:tblW w:w="9498" w:type="dxa"/>
        <w:tblLayout w:type="fixed"/>
        <w:tblCellMar>
          <w:left w:w="70" w:type="dxa"/>
          <w:right w:w="70" w:type="dxa"/>
        </w:tblCellMar>
        <w:tblLook w:val="0000" w:firstRow="0" w:lastRow="0" w:firstColumn="0" w:lastColumn="0" w:noHBand="0" w:noVBand="0"/>
      </w:tblPr>
      <w:tblGrid>
        <w:gridCol w:w="2856"/>
        <w:gridCol w:w="6642"/>
      </w:tblGrid>
      <w:tr w:rsidR="00204FC0" w:rsidRPr="00204FC0" w:rsidTr="00BF2BC3">
        <w:tblPrEx>
          <w:tblCellMar>
            <w:top w:w="0" w:type="dxa"/>
            <w:bottom w:w="0" w:type="dxa"/>
          </w:tblCellMar>
        </w:tblPrEx>
        <w:tc>
          <w:tcPr>
            <w:tcW w:w="2856" w:type="dxa"/>
          </w:tcPr>
          <w:p w:rsidR="00204FC0" w:rsidRPr="00204FC0" w:rsidRDefault="00204FC0" w:rsidP="00845067">
            <w:pPr>
              <w:spacing w:after="240"/>
              <w:rPr>
                <w:u w:val="single"/>
              </w:rPr>
            </w:pPr>
            <w:r w:rsidRPr="00204FC0">
              <w:rPr>
                <w:u w:val="single"/>
              </w:rPr>
              <w:t>Présentée par</w:t>
            </w:r>
            <w:r w:rsidRPr="00204FC0">
              <w:t>:</w:t>
            </w:r>
          </w:p>
        </w:tc>
        <w:tc>
          <w:tcPr>
            <w:tcW w:w="6642" w:type="dxa"/>
          </w:tcPr>
          <w:p w:rsidR="00204FC0" w:rsidRPr="00204FC0" w:rsidRDefault="00204FC0" w:rsidP="00845067">
            <w:pPr>
              <w:spacing w:after="240"/>
            </w:pPr>
            <w:proofErr w:type="spellStart"/>
            <w:r w:rsidRPr="00204FC0">
              <w:t>Zentralrat</w:t>
            </w:r>
            <w:proofErr w:type="spellEnd"/>
            <w:r w:rsidR="008777CD">
              <w:t xml:space="preserve"> </w:t>
            </w:r>
            <w:proofErr w:type="spellStart"/>
            <w:r w:rsidR="008777CD">
              <w:t>Deutscher</w:t>
            </w:r>
            <w:proofErr w:type="spellEnd"/>
            <w:r w:rsidR="008777CD">
              <w:t xml:space="preserve"> </w:t>
            </w:r>
            <w:proofErr w:type="spellStart"/>
            <w:r w:rsidR="008777CD">
              <w:t>Sinti</w:t>
            </w:r>
            <w:proofErr w:type="spellEnd"/>
            <w:r w:rsidR="008777CD">
              <w:t xml:space="preserve"> </w:t>
            </w:r>
            <w:proofErr w:type="spellStart"/>
            <w:r w:rsidR="008777CD">
              <w:t>und</w:t>
            </w:r>
            <w:proofErr w:type="spellEnd"/>
            <w:r w:rsidR="008777CD">
              <w:t xml:space="preserve"> Roma et consorts</w:t>
            </w:r>
            <w:r w:rsidRPr="00204FC0">
              <w:t xml:space="preserve"> (représentés par un conseil)</w:t>
            </w:r>
          </w:p>
        </w:tc>
      </w:tr>
      <w:tr w:rsidR="00204FC0" w:rsidRPr="00204FC0" w:rsidTr="00BF2BC3">
        <w:tblPrEx>
          <w:tblCellMar>
            <w:top w:w="0" w:type="dxa"/>
            <w:bottom w:w="0" w:type="dxa"/>
          </w:tblCellMar>
        </w:tblPrEx>
        <w:tc>
          <w:tcPr>
            <w:tcW w:w="2856" w:type="dxa"/>
          </w:tcPr>
          <w:p w:rsidR="00204FC0" w:rsidRPr="00204FC0" w:rsidRDefault="00204FC0" w:rsidP="00845067">
            <w:pPr>
              <w:spacing w:after="240"/>
              <w:rPr>
                <w:u w:val="single"/>
              </w:rPr>
            </w:pPr>
            <w:r w:rsidRPr="00204FC0">
              <w:rPr>
                <w:u w:val="single"/>
              </w:rPr>
              <w:t>Au nom de</w:t>
            </w:r>
            <w:r w:rsidRPr="00204FC0">
              <w:t>:</w:t>
            </w:r>
          </w:p>
        </w:tc>
        <w:tc>
          <w:tcPr>
            <w:tcW w:w="6642" w:type="dxa"/>
          </w:tcPr>
          <w:p w:rsidR="00204FC0" w:rsidRPr="00204FC0" w:rsidRDefault="00204FC0" w:rsidP="00845067">
            <w:pPr>
              <w:spacing w:after="240"/>
            </w:pPr>
            <w:r w:rsidRPr="00204FC0">
              <w:t>Les auteurs</w:t>
            </w:r>
          </w:p>
        </w:tc>
      </w:tr>
      <w:tr w:rsidR="00204FC0" w:rsidRPr="00204FC0" w:rsidTr="00BF2BC3">
        <w:tblPrEx>
          <w:tblCellMar>
            <w:top w:w="0" w:type="dxa"/>
            <w:bottom w:w="0" w:type="dxa"/>
          </w:tblCellMar>
        </w:tblPrEx>
        <w:tc>
          <w:tcPr>
            <w:tcW w:w="2856" w:type="dxa"/>
          </w:tcPr>
          <w:p w:rsidR="00204FC0" w:rsidRPr="00204FC0" w:rsidRDefault="00204FC0" w:rsidP="00845067">
            <w:pPr>
              <w:spacing w:after="240"/>
              <w:rPr>
                <w:u w:val="single"/>
              </w:rPr>
            </w:pPr>
            <w:r w:rsidRPr="00204FC0">
              <w:rPr>
                <w:u w:val="single"/>
              </w:rPr>
              <w:t>État partie</w:t>
            </w:r>
            <w:r w:rsidRPr="00204FC0">
              <w:t>:</w:t>
            </w:r>
          </w:p>
        </w:tc>
        <w:tc>
          <w:tcPr>
            <w:tcW w:w="6642" w:type="dxa"/>
          </w:tcPr>
          <w:p w:rsidR="00204FC0" w:rsidRPr="00204FC0" w:rsidRDefault="00204FC0" w:rsidP="00845067">
            <w:pPr>
              <w:spacing w:after="240"/>
            </w:pPr>
            <w:r w:rsidRPr="00204FC0">
              <w:t>Allemagne</w:t>
            </w:r>
          </w:p>
        </w:tc>
      </w:tr>
      <w:tr w:rsidR="00204FC0" w:rsidRPr="00204FC0" w:rsidTr="00BF2BC3">
        <w:tblPrEx>
          <w:tblCellMar>
            <w:top w:w="0" w:type="dxa"/>
            <w:bottom w:w="0" w:type="dxa"/>
          </w:tblCellMar>
        </w:tblPrEx>
        <w:tc>
          <w:tcPr>
            <w:tcW w:w="2856" w:type="dxa"/>
          </w:tcPr>
          <w:p w:rsidR="00204FC0" w:rsidRPr="00204FC0" w:rsidRDefault="00204FC0" w:rsidP="00845067">
            <w:pPr>
              <w:spacing w:after="240"/>
              <w:rPr>
                <w:u w:val="single"/>
              </w:rPr>
            </w:pPr>
            <w:r w:rsidRPr="00204FC0">
              <w:rPr>
                <w:u w:val="single"/>
              </w:rPr>
              <w:t>Date de la communication</w:t>
            </w:r>
            <w:r w:rsidRPr="00204FC0">
              <w:t>:</w:t>
            </w:r>
          </w:p>
        </w:tc>
        <w:tc>
          <w:tcPr>
            <w:tcW w:w="6642" w:type="dxa"/>
          </w:tcPr>
          <w:p w:rsidR="00204FC0" w:rsidRPr="00204FC0" w:rsidRDefault="00204FC0" w:rsidP="00845067">
            <w:pPr>
              <w:spacing w:after="240"/>
            </w:pPr>
            <w:r w:rsidRPr="00204FC0">
              <w:t>29 août 2006 (date de la lettre initiale)</w:t>
            </w:r>
          </w:p>
        </w:tc>
      </w:tr>
    </w:tbl>
    <w:p w:rsidR="00204FC0" w:rsidRPr="00204FC0" w:rsidRDefault="00204FC0" w:rsidP="008777CD">
      <w:pPr>
        <w:spacing w:after="240"/>
        <w:ind w:firstLine="567"/>
      </w:pPr>
      <w:r w:rsidRPr="00204FC0">
        <w:rPr>
          <w:i/>
          <w:iCs/>
        </w:rPr>
        <w:t>Le Comité pour l</w:t>
      </w:r>
      <w:r w:rsidR="00F9464F">
        <w:rPr>
          <w:i/>
          <w:iCs/>
        </w:rPr>
        <w:t>’</w:t>
      </w:r>
      <w:r w:rsidRPr="00204FC0">
        <w:rPr>
          <w:i/>
          <w:iCs/>
        </w:rPr>
        <w:t>élimination de la discrimination raciale</w:t>
      </w:r>
      <w:r w:rsidRPr="00204FC0">
        <w:t>, créé en application de l</w:t>
      </w:r>
      <w:r w:rsidR="00F9464F">
        <w:t>’</w:t>
      </w:r>
      <w:r w:rsidRPr="00204FC0">
        <w:t>article 8 de la Convention internationale sur l</w:t>
      </w:r>
      <w:r w:rsidR="00F9464F">
        <w:t>’</w:t>
      </w:r>
      <w:r w:rsidRPr="00204FC0">
        <w:t>élimination de toutes les formes de discrimination raciale,</w:t>
      </w:r>
    </w:p>
    <w:p w:rsidR="00204FC0" w:rsidRPr="00204FC0" w:rsidRDefault="00204FC0" w:rsidP="008777CD">
      <w:pPr>
        <w:spacing w:after="240"/>
        <w:ind w:firstLine="567"/>
      </w:pPr>
      <w:r w:rsidRPr="00204FC0">
        <w:rPr>
          <w:i/>
          <w:iCs/>
        </w:rPr>
        <w:t xml:space="preserve">Réuni le </w:t>
      </w:r>
      <w:r w:rsidRPr="00204FC0">
        <w:t>22 février 2008,</w:t>
      </w:r>
    </w:p>
    <w:p w:rsidR="00204FC0" w:rsidRPr="00204FC0" w:rsidRDefault="00204FC0" w:rsidP="008777CD">
      <w:pPr>
        <w:spacing w:after="240"/>
        <w:ind w:firstLine="567"/>
      </w:pPr>
      <w:r w:rsidRPr="00204FC0">
        <w:rPr>
          <w:i/>
          <w:iCs/>
        </w:rPr>
        <w:t>Ayant achevé</w:t>
      </w:r>
      <w:r w:rsidRPr="00204FC0">
        <w:t xml:space="preserve"> l</w:t>
      </w:r>
      <w:r w:rsidR="00F9464F">
        <w:t>’</w:t>
      </w:r>
      <w:r w:rsidRPr="00204FC0">
        <w:t>examen de la communication n</w:t>
      </w:r>
      <w:r w:rsidRPr="00204FC0">
        <w:rPr>
          <w:vertAlign w:val="superscript"/>
        </w:rPr>
        <w:t>o</w:t>
      </w:r>
      <w:r w:rsidRPr="00204FC0">
        <w:t xml:space="preserve"> 38/2006, soumise au Comité au nom de </w:t>
      </w:r>
      <w:proofErr w:type="spellStart"/>
      <w:r w:rsidRPr="00204FC0">
        <w:t>Zentralrat</w:t>
      </w:r>
      <w:proofErr w:type="spellEnd"/>
      <w:r w:rsidR="008777CD">
        <w:t xml:space="preserve"> </w:t>
      </w:r>
      <w:proofErr w:type="spellStart"/>
      <w:r w:rsidR="008777CD">
        <w:t>Deutscher</w:t>
      </w:r>
      <w:proofErr w:type="spellEnd"/>
      <w:r w:rsidR="008777CD">
        <w:t xml:space="preserve"> </w:t>
      </w:r>
      <w:proofErr w:type="spellStart"/>
      <w:r w:rsidR="008777CD">
        <w:t>Sinti</w:t>
      </w:r>
      <w:proofErr w:type="spellEnd"/>
      <w:r w:rsidR="008777CD">
        <w:t xml:space="preserve"> </w:t>
      </w:r>
      <w:proofErr w:type="spellStart"/>
      <w:r w:rsidR="008777CD">
        <w:t>und</w:t>
      </w:r>
      <w:proofErr w:type="spellEnd"/>
      <w:r w:rsidR="008777CD">
        <w:t xml:space="preserve"> Roma et consorts en </w:t>
      </w:r>
      <w:r w:rsidRPr="00204FC0">
        <w:t>vertu de l</w:t>
      </w:r>
      <w:r w:rsidR="00F9464F">
        <w:t>’</w:t>
      </w:r>
      <w:r w:rsidRPr="00204FC0">
        <w:t>article 14 de la Convention internationale sur l</w:t>
      </w:r>
      <w:r w:rsidR="00F9464F">
        <w:t>’</w:t>
      </w:r>
      <w:r w:rsidRPr="00204FC0">
        <w:t>élimination de toutes les formes de discrimination raciale,</w:t>
      </w:r>
    </w:p>
    <w:p w:rsidR="00204FC0" w:rsidRPr="00204FC0" w:rsidRDefault="00204FC0" w:rsidP="008777CD">
      <w:pPr>
        <w:spacing w:after="240"/>
        <w:ind w:firstLine="567"/>
      </w:pPr>
      <w:r w:rsidRPr="00204FC0">
        <w:rPr>
          <w:i/>
          <w:iCs/>
        </w:rPr>
        <w:t xml:space="preserve">Ayant pris en considération </w:t>
      </w:r>
      <w:r w:rsidRPr="00204FC0">
        <w:t>tous les renseignements qui lui avaient été communiqués par les requérants, leur conseil et l</w:t>
      </w:r>
      <w:r w:rsidR="00F9464F">
        <w:t>’</w:t>
      </w:r>
      <w:r w:rsidRPr="00204FC0">
        <w:t>État partie,</w:t>
      </w:r>
    </w:p>
    <w:p w:rsidR="00204FC0" w:rsidRPr="00204FC0" w:rsidRDefault="00204FC0" w:rsidP="008777CD">
      <w:pPr>
        <w:spacing w:after="240"/>
        <w:ind w:firstLine="567"/>
      </w:pPr>
      <w:r w:rsidRPr="00204FC0">
        <w:rPr>
          <w:i/>
          <w:iCs/>
        </w:rPr>
        <w:t>Adopte</w:t>
      </w:r>
      <w:r w:rsidRPr="00204FC0">
        <w:t xml:space="preserve"> ce qui suit:</w:t>
      </w:r>
    </w:p>
    <w:p w:rsidR="00204FC0" w:rsidRPr="00204FC0" w:rsidRDefault="00204FC0" w:rsidP="008777CD">
      <w:pPr>
        <w:spacing w:after="240"/>
        <w:jc w:val="center"/>
      </w:pPr>
      <w:r w:rsidRPr="00204FC0">
        <w:rPr>
          <w:b/>
          <w:bCs/>
        </w:rPr>
        <w:t>OPINION</w:t>
      </w:r>
    </w:p>
    <w:p w:rsidR="00204FC0" w:rsidRPr="00204FC0" w:rsidRDefault="00204FC0" w:rsidP="00845067">
      <w:pPr>
        <w:spacing w:after="240"/>
      </w:pPr>
      <w:r w:rsidRPr="00204FC0">
        <w:t>1</w:t>
      </w:r>
      <w:r w:rsidR="008777CD">
        <w:t>.1</w:t>
      </w:r>
      <w:r w:rsidR="008777CD">
        <w:tab/>
        <w:t>Les requérants sont l</w:t>
      </w:r>
      <w:r w:rsidR="00F9464F">
        <w:t>’</w:t>
      </w:r>
      <w:r w:rsidR="008777CD">
        <w:t>association</w:t>
      </w:r>
      <w:r w:rsidRPr="00204FC0">
        <w:t xml:space="preserve"> </w:t>
      </w:r>
      <w:proofErr w:type="spellStart"/>
      <w:r w:rsidRPr="00BF2BC3">
        <w:rPr>
          <w:iCs/>
        </w:rPr>
        <w:t>Zentralrat</w:t>
      </w:r>
      <w:proofErr w:type="spellEnd"/>
      <w:r w:rsidRPr="00BF2BC3">
        <w:rPr>
          <w:iCs/>
        </w:rPr>
        <w:t xml:space="preserve"> </w:t>
      </w:r>
      <w:proofErr w:type="spellStart"/>
      <w:r w:rsidRPr="00BF2BC3">
        <w:rPr>
          <w:iCs/>
        </w:rPr>
        <w:t>Deutscher</w:t>
      </w:r>
      <w:proofErr w:type="spellEnd"/>
      <w:r w:rsidRPr="00BF2BC3">
        <w:rPr>
          <w:iCs/>
        </w:rPr>
        <w:t xml:space="preserve"> </w:t>
      </w:r>
      <w:proofErr w:type="spellStart"/>
      <w:r w:rsidRPr="00BF2BC3">
        <w:rPr>
          <w:iCs/>
        </w:rPr>
        <w:t>Sinti</w:t>
      </w:r>
      <w:proofErr w:type="spellEnd"/>
      <w:r w:rsidRPr="00BF2BC3">
        <w:rPr>
          <w:iCs/>
        </w:rPr>
        <w:t xml:space="preserve"> </w:t>
      </w:r>
      <w:proofErr w:type="spellStart"/>
      <w:r w:rsidRPr="00BF2BC3">
        <w:rPr>
          <w:iCs/>
        </w:rPr>
        <w:t>und</w:t>
      </w:r>
      <w:proofErr w:type="spellEnd"/>
      <w:r w:rsidRPr="00BF2BC3">
        <w:rPr>
          <w:iCs/>
        </w:rPr>
        <w:t xml:space="preserve"> Roma</w:t>
      </w:r>
      <w:r w:rsidRPr="00204FC0">
        <w:t xml:space="preserve"> (Conseil central des </w:t>
      </w:r>
      <w:proofErr w:type="spellStart"/>
      <w:r w:rsidRPr="00204FC0">
        <w:t>Sintis</w:t>
      </w:r>
      <w:proofErr w:type="spellEnd"/>
      <w:r w:rsidRPr="00204FC0">
        <w:t xml:space="preserve"> et </w:t>
      </w:r>
      <w:r w:rsidR="008777CD">
        <w:t xml:space="preserve">des </w:t>
      </w:r>
      <w:proofErr w:type="spellStart"/>
      <w:r w:rsidR="008777CD">
        <w:t>Roms</w:t>
      </w:r>
      <w:proofErr w:type="spellEnd"/>
      <w:r w:rsidR="008777CD">
        <w:t xml:space="preserve"> allemands),</w:t>
      </w:r>
      <w:r w:rsidRPr="00204FC0">
        <w:t xml:space="preserve"> agissan</w:t>
      </w:r>
      <w:r w:rsidR="008777CD">
        <w:t>t en son nom et au nom de G. W.,</w:t>
      </w:r>
      <w:r w:rsidRPr="00204FC0">
        <w:t xml:space="preserve"> le </w:t>
      </w:r>
      <w:proofErr w:type="spellStart"/>
      <w:r w:rsidRPr="00BF2BC3">
        <w:rPr>
          <w:iCs/>
        </w:rPr>
        <w:t>Verband</w:t>
      </w:r>
      <w:proofErr w:type="spellEnd"/>
      <w:r w:rsidRPr="00BF2BC3">
        <w:rPr>
          <w:iCs/>
        </w:rPr>
        <w:t xml:space="preserve"> </w:t>
      </w:r>
      <w:proofErr w:type="spellStart"/>
      <w:r w:rsidRPr="00BF2BC3">
        <w:rPr>
          <w:iCs/>
        </w:rPr>
        <w:t>Deutscher</w:t>
      </w:r>
      <w:proofErr w:type="spellEnd"/>
      <w:r w:rsidRPr="00BF2BC3">
        <w:rPr>
          <w:iCs/>
        </w:rPr>
        <w:t xml:space="preserve"> </w:t>
      </w:r>
      <w:proofErr w:type="spellStart"/>
      <w:r w:rsidRPr="00BF2BC3">
        <w:rPr>
          <w:iCs/>
        </w:rPr>
        <w:t>Sinti</w:t>
      </w:r>
      <w:proofErr w:type="spellEnd"/>
      <w:r w:rsidRPr="00BF2BC3">
        <w:rPr>
          <w:iCs/>
        </w:rPr>
        <w:t xml:space="preserve"> </w:t>
      </w:r>
      <w:proofErr w:type="spellStart"/>
      <w:r w:rsidRPr="00BF2BC3">
        <w:rPr>
          <w:iCs/>
        </w:rPr>
        <w:t>und</w:t>
      </w:r>
      <w:proofErr w:type="spellEnd"/>
      <w:r w:rsidRPr="00BF2BC3">
        <w:rPr>
          <w:iCs/>
        </w:rPr>
        <w:t xml:space="preserve"> Roma − </w:t>
      </w:r>
      <w:proofErr w:type="spellStart"/>
      <w:r w:rsidRPr="00BF2BC3">
        <w:rPr>
          <w:iCs/>
        </w:rPr>
        <w:t>Landesverband</w:t>
      </w:r>
      <w:proofErr w:type="spellEnd"/>
      <w:r w:rsidRPr="00BF2BC3">
        <w:rPr>
          <w:iCs/>
        </w:rPr>
        <w:t xml:space="preserve"> Bayern</w:t>
      </w:r>
      <w:r w:rsidR="00FB29A2" w:rsidRPr="00BF2BC3">
        <w:t xml:space="preserve"> </w:t>
      </w:r>
      <w:r w:rsidR="00FB29A2">
        <w:t>(s</w:t>
      </w:r>
      <w:r w:rsidRPr="00204FC0">
        <w:t>ection bavaroise de l</w:t>
      </w:r>
      <w:r w:rsidR="00F9464F">
        <w:t>’</w:t>
      </w:r>
      <w:r w:rsidRPr="00204FC0">
        <w:t>Association de</w:t>
      </w:r>
      <w:r w:rsidR="008777CD">
        <w:t xml:space="preserve">s </w:t>
      </w:r>
      <w:proofErr w:type="spellStart"/>
      <w:r w:rsidR="008777CD">
        <w:t>Sintis</w:t>
      </w:r>
      <w:proofErr w:type="spellEnd"/>
      <w:r w:rsidR="008777CD">
        <w:t xml:space="preserve"> et des </w:t>
      </w:r>
      <w:proofErr w:type="spellStart"/>
      <w:r w:rsidR="008777CD">
        <w:t>Roms</w:t>
      </w:r>
      <w:proofErr w:type="spellEnd"/>
      <w:r w:rsidR="008777CD">
        <w:t xml:space="preserve"> allemands), R. R. et F. R. Ils </w:t>
      </w:r>
      <w:r w:rsidRPr="00204FC0">
        <w:t>affirment être victimes d</w:t>
      </w:r>
      <w:r w:rsidR="00F9464F">
        <w:t>’</w:t>
      </w:r>
      <w:r w:rsidRPr="00204FC0">
        <w:t>une violation par l</w:t>
      </w:r>
      <w:r w:rsidR="00F9464F">
        <w:t>’</w:t>
      </w:r>
      <w:r w:rsidRPr="00204FC0">
        <w:t>Allemagne</w:t>
      </w:r>
      <w:r w:rsidRPr="00204FC0">
        <w:rPr>
          <w:b/>
          <w:vertAlign w:val="superscript"/>
        </w:rPr>
        <w:footnoteReference w:id="2"/>
      </w:r>
      <w:r w:rsidR="008777CD">
        <w:t xml:space="preserve"> des alinéas </w:t>
      </w:r>
      <w:r w:rsidRPr="00204FC0">
        <w:rPr>
          <w:i/>
        </w:rPr>
        <w:t>a</w:t>
      </w:r>
      <w:r w:rsidR="008777CD">
        <w:t xml:space="preserve"> et </w:t>
      </w:r>
      <w:r w:rsidRPr="00204FC0">
        <w:rPr>
          <w:i/>
        </w:rPr>
        <w:t>c</w:t>
      </w:r>
      <w:r w:rsidRPr="00204FC0">
        <w:t xml:space="preserve"> </w:t>
      </w:r>
      <w:r w:rsidR="008777CD">
        <w:t>de l</w:t>
      </w:r>
      <w:r w:rsidR="00F9464F">
        <w:t>’</w:t>
      </w:r>
      <w:r w:rsidR="008777CD">
        <w:t>article 4, et de l</w:t>
      </w:r>
      <w:r w:rsidR="00F9464F">
        <w:t>’</w:t>
      </w:r>
      <w:r w:rsidR="008777CD">
        <w:t>article </w:t>
      </w:r>
      <w:r w:rsidRPr="00204FC0">
        <w:t>6 de la Convention internationale sur l</w:t>
      </w:r>
      <w:r w:rsidR="00F9464F">
        <w:t>’</w:t>
      </w:r>
      <w:r w:rsidRPr="00204FC0">
        <w:t xml:space="preserve">élimination de toutes les formes de discrimination raciale. Ils sont représentés par un conseil. </w:t>
      </w:r>
    </w:p>
    <w:p w:rsidR="00204FC0" w:rsidRPr="00204FC0" w:rsidRDefault="008777CD" w:rsidP="00845067">
      <w:pPr>
        <w:spacing w:after="240"/>
      </w:pPr>
      <w:r>
        <w:t>1.2</w:t>
      </w:r>
      <w:r>
        <w:tab/>
        <w:t>Conformément au paragraphe 6 a) de l</w:t>
      </w:r>
      <w:r w:rsidR="00F9464F">
        <w:t>’</w:t>
      </w:r>
      <w:r>
        <w:t>article </w:t>
      </w:r>
      <w:r w:rsidR="00204FC0" w:rsidRPr="00204FC0">
        <w:t>14 de la Convention, le Comité a transmis la comm</w:t>
      </w:r>
      <w:r>
        <w:t>unication à l</w:t>
      </w:r>
      <w:r w:rsidR="00F9464F">
        <w:t>’</w:t>
      </w:r>
      <w:r>
        <w:t>État partie le 14 </w:t>
      </w:r>
      <w:r w:rsidR="00204FC0" w:rsidRPr="00204FC0">
        <w:t>septembr</w:t>
      </w:r>
      <w:r>
        <w:t>e </w:t>
      </w:r>
      <w:r w:rsidR="00204FC0" w:rsidRPr="00204FC0">
        <w:t>2006.</w:t>
      </w:r>
    </w:p>
    <w:p w:rsidR="00204FC0" w:rsidRPr="00204FC0" w:rsidRDefault="00204FC0" w:rsidP="008777CD">
      <w:pPr>
        <w:keepNext/>
        <w:spacing w:after="240"/>
        <w:rPr>
          <w:b/>
          <w:bCs/>
        </w:rPr>
      </w:pPr>
      <w:r w:rsidRPr="00204FC0">
        <w:rPr>
          <w:b/>
          <w:bCs/>
        </w:rPr>
        <w:t>Rappel des faits</w:t>
      </w:r>
    </w:p>
    <w:p w:rsidR="00204FC0" w:rsidRPr="00204FC0" w:rsidRDefault="00204FC0" w:rsidP="00845067">
      <w:pPr>
        <w:spacing w:after="240"/>
      </w:pPr>
      <w:r w:rsidRPr="00204FC0">
        <w:t>2.1</w:t>
      </w:r>
      <w:r w:rsidRPr="00204FC0">
        <w:tab/>
        <w:t>Le commissaire de</w:t>
      </w:r>
      <w:r w:rsidR="008777CD">
        <w:t xml:space="preserve"> police judiciaire G. W.</w:t>
      </w:r>
      <w:r w:rsidRPr="00204FC0">
        <w:t>, membre</w:t>
      </w:r>
      <w:r w:rsidR="008777CD">
        <w:t xml:space="preserve"> de la minorité </w:t>
      </w:r>
      <w:proofErr w:type="spellStart"/>
      <w:r w:rsidR="008777CD">
        <w:t>sinti</w:t>
      </w:r>
      <w:proofErr w:type="spellEnd"/>
      <w:r w:rsidR="008777CD">
        <w:t xml:space="preserve"> et rom, a </w:t>
      </w:r>
      <w:r w:rsidRPr="00204FC0">
        <w:t xml:space="preserve">écrit un article intitulé «Les </w:t>
      </w:r>
      <w:proofErr w:type="spellStart"/>
      <w:r w:rsidRPr="00204FC0">
        <w:t>Sintis</w:t>
      </w:r>
      <w:proofErr w:type="spellEnd"/>
      <w:r w:rsidRPr="00204FC0">
        <w:t xml:space="preserve"> et les </w:t>
      </w:r>
      <w:proofErr w:type="spellStart"/>
      <w:r w:rsidRPr="00204FC0">
        <w:t>Roms</w:t>
      </w:r>
      <w:proofErr w:type="spellEnd"/>
      <w:r w:rsidRPr="00204FC0">
        <w:t xml:space="preserve"> </w:t>
      </w:r>
      <w:r w:rsidR="008777CD">
        <w:t>− En Allemagne depuis 600 </w:t>
      </w:r>
      <w:r w:rsidRPr="00204FC0">
        <w:t>ans», qui a été publié</w:t>
      </w:r>
      <w:r w:rsidR="008777CD">
        <w:t xml:space="preserve"> dans le numéro de juillet/août </w:t>
      </w:r>
      <w:r w:rsidRPr="00204FC0">
        <w:t xml:space="preserve">2005 du </w:t>
      </w:r>
      <w:proofErr w:type="spellStart"/>
      <w:r w:rsidRPr="00204FC0">
        <w:rPr>
          <w:i/>
          <w:iCs/>
        </w:rPr>
        <w:t>Kriminalist</w:t>
      </w:r>
      <w:proofErr w:type="spellEnd"/>
      <w:r w:rsidRPr="00204FC0">
        <w:t>, revue de l</w:t>
      </w:r>
      <w:r w:rsidR="00F9464F">
        <w:t>’</w:t>
      </w:r>
      <w:r w:rsidRPr="00204FC0">
        <w:t>Association des fonctionnaires de police judiciaire allemands (BDK). Dans le courrier des lecteurs du numéro d</w:t>
      </w:r>
      <w:r w:rsidR="00F9464F">
        <w:t>’</w:t>
      </w:r>
      <w:r w:rsidRPr="00204FC0">
        <w:t>octobre 2005, une lettre écrite p</w:t>
      </w:r>
      <w:r w:rsidR="00F9464F">
        <w:t xml:space="preserve">ar P. L., </w:t>
      </w:r>
      <w:proofErr w:type="spellStart"/>
      <w:r w:rsidR="00F9464F">
        <w:t>Vice</w:t>
      </w:r>
      <w:r w:rsidR="00F9464F">
        <w:noBreakHyphen/>
      </w:r>
      <w:r w:rsidR="00FB29A2">
        <w:t>Président</w:t>
      </w:r>
      <w:proofErr w:type="spellEnd"/>
      <w:r w:rsidR="00FB29A2">
        <w:t xml:space="preserve"> de la s</w:t>
      </w:r>
      <w:r w:rsidRPr="00204FC0">
        <w:t>ection bavaroise de la BDK et commissaire de police de l</w:t>
      </w:r>
      <w:r w:rsidR="00F9464F">
        <w:t>’</w:t>
      </w:r>
      <w:r w:rsidRPr="00204FC0">
        <w:t>inspection criminelle de la ville de Fürth, a été publi</w:t>
      </w:r>
      <w:r w:rsidR="00F9464F">
        <w:t>ée en réponse à l’article de G. W. Les </w:t>
      </w:r>
      <w:r w:rsidRPr="00204FC0">
        <w:t xml:space="preserve">auteurs ont précisé que </w:t>
      </w:r>
      <w:r w:rsidRPr="00204FC0">
        <w:rPr>
          <w:i/>
          <w:iCs/>
        </w:rPr>
        <w:t xml:space="preserve">Der </w:t>
      </w:r>
      <w:proofErr w:type="spellStart"/>
      <w:r w:rsidRPr="00204FC0">
        <w:rPr>
          <w:i/>
          <w:iCs/>
        </w:rPr>
        <w:t>Kriminalist</w:t>
      </w:r>
      <w:proofErr w:type="spellEnd"/>
      <w:r w:rsidRPr="00204FC0">
        <w:rPr>
          <w:i/>
          <w:iCs/>
        </w:rPr>
        <w:t xml:space="preserve"> </w:t>
      </w:r>
      <w:r w:rsidR="00406730">
        <w:t>était lu par plus de 20 000 </w:t>
      </w:r>
      <w:r w:rsidRPr="00204FC0">
        <w:t>personnes, membres de l</w:t>
      </w:r>
      <w:r w:rsidR="00F9464F">
        <w:t>’</w:t>
      </w:r>
      <w:r w:rsidRPr="00204FC0">
        <w:t>une des plus importantes associations de fonctionnaires de police d</w:t>
      </w:r>
      <w:r w:rsidR="00F9464F">
        <w:t>’</w:t>
      </w:r>
      <w:r w:rsidRPr="00204FC0">
        <w:t>Allemag</w:t>
      </w:r>
      <w:r w:rsidR="00F9464F">
        <w:t>ne. Le texte de la lettre de P. </w:t>
      </w:r>
      <w:r w:rsidRPr="00204FC0">
        <w:t>L. était le suivant:</w:t>
      </w:r>
    </w:p>
    <w:p w:rsidR="00204FC0" w:rsidRPr="00F9464F" w:rsidRDefault="00204FC0" w:rsidP="00F9464F">
      <w:pPr>
        <w:spacing w:after="240"/>
        <w:ind w:left="567" w:firstLine="567"/>
        <w:rPr>
          <w:iCs/>
        </w:rPr>
      </w:pPr>
      <w:r w:rsidRPr="00F9464F">
        <w:rPr>
          <w:iCs/>
        </w:rPr>
        <w:t>«C</w:t>
      </w:r>
      <w:r w:rsidR="00F9464F">
        <w:rPr>
          <w:iCs/>
        </w:rPr>
        <w:t>’</w:t>
      </w:r>
      <w:r w:rsidRPr="00F9464F">
        <w:rPr>
          <w:iCs/>
        </w:rPr>
        <w:t>est avec intérêt que j</w:t>
      </w:r>
      <w:r w:rsidR="00F9464F">
        <w:rPr>
          <w:iCs/>
        </w:rPr>
        <w:t>’</w:t>
      </w:r>
      <w:r w:rsidRPr="00F9464F">
        <w:rPr>
          <w:iCs/>
        </w:rPr>
        <w:t>ai lu l</w:t>
      </w:r>
      <w:r w:rsidR="00F9464F">
        <w:rPr>
          <w:iCs/>
        </w:rPr>
        <w:t>’</w:t>
      </w:r>
      <w:r w:rsidRPr="00F9464F">
        <w:rPr>
          <w:iCs/>
        </w:rPr>
        <w:t xml:space="preserve">article de </w:t>
      </w:r>
      <w:r w:rsidR="00F9464F">
        <w:rPr>
          <w:iCs/>
        </w:rPr>
        <w:t xml:space="preserve">notre collègue G. W., </w:t>
      </w:r>
      <w:proofErr w:type="spellStart"/>
      <w:r w:rsidR="00F9464F">
        <w:rPr>
          <w:iCs/>
        </w:rPr>
        <w:t>lui</w:t>
      </w:r>
      <w:r w:rsidR="00F9464F">
        <w:rPr>
          <w:iCs/>
        </w:rPr>
        <w:noBreakHyphen/>
        <w:t>même</w:t>
      </w:r>
      <w:proofErr w:type="spellEnd"/>
      <w:r w:rsidR="00F9464F">
        <w:rPr>
          <w:iCs/>
        </w:rPr>
        <w:t xml:space="preserve"> </w:t>
      </w:r>
      <w:proofErr w:type="spellStart"/>
      <w:r w:rsidR="00F9464F">
        <w:rPr>
          <w:iCs/>
        </w:rPr>
        <w:t>s</w:t>
      </w:r>
      <w:r w:rsidRPr="00F9464F">
        <w:rPr>
          <w:iCs/>
        </w:rPr>
        <w:t>inti</w:t>
      </w:r>
      <w:proofErr w:type="spellEnd"/>
      <w:r w:rsidRPr="00F9464F">
        <w:rPr>
          <w:iCs/>
        </w:rPr>
        <w:t>, mais je ne peux pas laisser dire cela. Même à une époque où la protect</w:t>
      </w:r>
      <w:r w:rsidR="0092173E">
        <w:rPr>
          <w:iCs/>
        </w:rPr>
        <w:t xml:space="preserve">ion des minorités est placée </w:t>
      </w:r>
      <w:proofErr w:type="spellStart"/>
      <w:r w:rsidR="0092173E">
        <w:rPr>
          <w:iCs/>
        </w:rPr>
        <w:t>au</w:t>
      </w:r>
      <w:r w:rsidR="0092173E">
        <w:rPr>
          <w:iCs/>
        </w:rPr>
        <w:noBreakHyphen/>
      </w:r>
      <w:r w:rsidRPr="00F9464F">
        <w:rPr>
          <w:iCs/>
        </w:rPr>
        <w:t>dessus</w:t>
      </w:r>
      <w:proofErr w:type="spellEnd"/>
      <w:r w:rsidRPr="00F9464F">
        <w:rPr>
          <w:iCs/>
        </w:rPr>
        <w:t xml:space="preserve"> de tout et où les fautes commises par le régime nazi continuent de peser sur les générations ultérieures, il n</w:t>
      </w:r>
      <w:r w:rsidR="00F9464F">
        <w:rPr>
          <w:iCs/>
        </w:rPr>
        <w:t>’</w:t>
      </w:r>
      <w:r w:rsidRPr="00F9464F">
        <w:rPr>
          <w:iCs/>
        </w:rPr>
        <w:t>est p</w:t>
      </w:r>
      <w:r w:rsidR="00F9464F">
        <w:rPr>
          <w:iCs/>
        </w:rPr>
        <w:t xml:space="preserve">as possible d’accepter </w:t>
      </w:r>
      <w:r w:rsidRPr="00F9464F">
        <w:rPr>
          <w:iCs/>
        </w:rPr>
        <w:t>quelque chose d</w:t>
      </w:r>
      <w:r w:rsidR="00F9464F">
        <w:rPr>
          <w:iCs/>
        </w:rPr>
        <w:t>’</w:t>
      </w:r>
      <w:r w:rsidRPr="00F9464F">
        <w:rPr>
          <w:iCs/>
        </w:rPr>
        <w:t xml:space="preserve">aussi partial. </w:t>
      </w:r>
    </w:p>
    <w:p w:rsidR="00204FC0" w:rsidRPr="00F9464F" w:rsidRDefault="00204FC0" w:rsidP="00F9464F">
      <w:pPr>
        <w:spacing w:after="240"/>
        <w:ind w:left="567" w:firstLine="567"/>
        <w:rPr>
          <w:iCs/>
        </w:rPr>
      </w:pPr>
      <w:r w:rsidRPr="00F9464F">
        <w:rPr>
          <w:iCs/>
        </w:rPr>
        <w:t>En tant que fonctionnaire de police chargé des atteintes aux biens, j</w:t>
      </w:r>
      <w:r w:rsidR="00F9464F">
        <w:rPr>
          <w:iCs/>
        </w:rPr>
        <w:t>’</w:t>
      </w:r>
      <w:r w:rsidRPr="00F9464F">
        <w:rPr>
          <w:iCs/>
        </w:rPr>
        <w:t xml:space="preserve">ai souvent été confronté à la culture, au mode de vie marginal </w:t>
      </w:r>
      <w:r w:rsidR="00DF0A60">
        <w:rPr>
          <w:iCs/>
        </w:rPr>
        <w:t>− </w:t>
      </w:r>
      <w:r w:rsidRPr="00F9464F">
        <w:rPr>
          <w:iCs/>
        </w:rPr>
        <w:t>reflétant un</w:t>
      </w:r>
      <w:r w:rsidR="00DF0A60">
        <w:rPr>
          <w:iCs/>
        </w:rPr>
        <w:t xml:space="preserve"> certain esprit de conspiration </w:t>
      </w:r>
      <w:r w:rsidRPr="00F9464F">
        <w:rPr>
          <w:iCs/>
        </w:rPr>
        <w:t>− ainsi qu</w:t>
      </w:r>
      <w:r w:rsidR="00F9464F">
        <w:rPr>
          <w:iCs/>
        </w:rPr>
        <w:t>’</w:t>
      </w:r>
      <w:r w:rsidRPr="00F9464F">
        <w:rPr>
          <w:iCs/>
        </w:rPr>
        <w:t xml:space="preserve">à la criminalité des </w:t>
      </w:r>
      <w:proofErr w:type="spellStart"/>
      <w:r w:rsidRPr="00F9464F">
        <w:rPr>
          <w:iCs/>
        </w:rPr>
        <w:t>Sintis</w:t>
      </w:r>
      <w:proofErr w:type="spellEnd"/>
      <w:r w:rsidRPr="00F9464F">
        <w:rPr>
          <w:iCs/>
        </w:rPr>
        <w:t xml:space="preserve"> et des </w:t>
      </w:r>
      <w:proofErr w:type="spellStart"/>
      <w:r w:rsidRPr="00F9464F">
        <w:rPr>
          <w:iCs/>
        </w:rPr>
        <w:t>Roms</w:t>
      </w:r>
      <w:proofErr w:type="spellEnd"/>
      <w:r w:rsidRPr="00F9464F">
        <w:rPr>
          <w:iCs/>
        </w:rPr>
        <w:t>. Nous nous sommes infiltrés dans la vie de délinquants tsiganes par le biais de groupes de travail et au moyen d</w:t>
      </w:r>
      <w:r w:rsidR="00F9464F">
        <w:rPr>
          <w:iCs/>
        </w:rPr>
        <w:t>’</w:t>
      </w:r>
      <w:r w:rsidR="00DF0A60">
        <w:rPr>
          <w:iCs/>
        </w:rPr>
        <w:t>agents secrets (“</w:t>
      </w:r>
      <w:proofErr w:type="spellStart"/>
      <w:r w:rsidR="00DF0A60">
        <w:rPr>
          <w:iCs/>
        </w:rPr>
        <w:t>Aussteiger</w:t>
      </w:r>
      <w:proofErr w:type="spellEnd"/>
      <w:r w:rsidR="00DF0A60">
        <w:rPr>
          <w:iCs/>
        </w:rPr>
        <w:t>”</w:t>
      </w:r>
      <w:r w:rsidRPr="00F9464F">
        <w:rPr>
          <w:iCs/>
        </w:rPr>
        <w:t xml:space="preserve">). Des </w:t>
      </w:r>
      <w:proofErr w:type="spellStart"/>
      <w:r w:rsidRPr="00F9464F">
        <w:rPr>
          <w:iCs/>
        </w:rPr>
        <w:t>Sintis</w:t>
      </w:r>
      <w:proofErr w:type="spellEnd"/>
      <w:r w:rsidRPr="00F9464F">
        <w:rPr>
          <w:iCs/>
        </w:rPr>
        <w:t xml:space="preserve"> nous ont dit qu</w:t>
      </w:r>
      <w:r w:rsidR="00F9464F">
        <w:rPr>
          <w:iCs/>
        </w:rPr>
        <w:t>’</w:t>
      </w:r>
      <w:r w:rsidR="00DF0A60">
        <w:rPr>
          <w:iCs/>
        </w:rPr>
        <w:t>ils se sentaient comme des “asticots dans du lard”</w:t>
      </w:r>
      <w:r w:rsidRPr="00F9464F">
        <w:rPr>
          <w:iCs/>
        </w:rPr>
        <w:t xml:space="preserve"> (“Made </w:t>
      </w:r>
      <w:proofErr w:type="spellStart"/>
      <w:r w:rsidRPr="00F9464F">
        <w:rPr>
          <w:iCs/>
        </w:rPr>
        <w:t>im</w:t>
      </w:r>
      <w:proofErr w:type="spellEnd"/>
      <w:r w:rsidRPr="00F9464F">
        <w:rPr>
          <w:iCs/>
        </w:rPr>
        <w:t xml:space="preserve"> </w:t>
      </w:r>
      <w:proofErr w:type="spellStart"/>
      <w:r w:rsidRPr="00F9464F">
        <w:rPr>
          <w:iCs/>
        </w:rPr>
        <w:t>Speck</w:t>
      </w:r>
      <w:proofErr w:type="spellEnd"/>
      <w:r w:rsidRPr="00F9464F">
        <w:rPr>
          <w:iCs/>
        </w:rPr>
        <w:t>”) dans le système de protection sociale de la République fédérale d</w:t>
      </w:r>
      <w:r w:rsidR="00F9464F">
        <w:rPr>
          <w:iCs/>
        </w:rPr>
        <w:t>’</w:t>
      </w:r>
      <w:r w:rsidRPr="00F9464F">
        <w:rPr>
          <w:iCs/>
        </w:rPr>
        <w:t>Allemagne. Il fallait utiliser le système pour pratiquer le vol, la fraude et le parasitisme social sans aucun scrupule en raison des persécutions subies pendant le III</w:t>
      </w:r>
      <w:r w:rsidRPr="00F9464F">
        <w:rPr>
          <w:iCs/>
          <w:vertAlign w:val="superscript"/>
        </w:rPr>
        <w:t>e</w:t>
      </w:r>
      <w:r w:rsidR="00DF0A60">
        <w:rPr>
          <w:iCs/>
        </w:rPr>
        <w:t> </w:t>
      </w:r>
      <w:r w:rsidRPr="00F9464F">
        <w:rPr>
          <w:iCs/>
        </w:rPr>
        <w:t>Reich. Ils considéraient comme non pertinent l</w:t>
      </w:r>
      <w:r w:rsidR="00F9464F">
        <w:rPr>
          <w:iCs/>
        </w:rPr>
        <w:t>’</w:t>
      </w:r>
      <w:r w:rsidRPr="00F9464F">
        <w:rPr>
          <w:iCs/>
        </w:rPr>
        <w:t>argument selon lequel les atrocités commises à l</w:t>
      </w:r>
      <w:r w:rsidR="00F9464F">
        <w:rPr>
          <w:iCs/>
        </w:rPr>
        <w:t>’</w:t>
      </w:r>
      <w:r w:rsidRPr="00F9464F">
        <w:rPr>
          <w:iCs/>
        </w:rPr>
        <w:t xml:space="preserve">encontre des juifs, des homosexuels, des chrétiens et des opposants politiques ne les avaient pas conduits à avoir des comportements criminels. </w:t>
      </w:r>
    </w:p>
    <w:p w:rsidR="00204FC0" w:rsidRPr="00F9464F" w:rsidRDefault="00204FC0" w:rsidP="00F9464F">
      <w:pPr>
        <w:spacing w:after="240"/>
        <w:ind w:left="567" w:firstLine="567"/>
        <w:rPr>
          <w:iCs/>
        </w:rPr>
      </w:pPr>
      <w:r w:rsidRPr="00F9464F">
        <w:rPr>
          <w:iCs/>
        </w:rPr>
        <w:t>Comme l</w:t>
      </w:r>
      <w:r w:rsidR="00F9464F">
        <w:rPr>
          <w:iCs/>
        </w:rPr>
        <w:t>’</w:t>
      </w:r>
      <w:r w:rsidR="00DF0A60">
        <w:rPr>
          <w:iCs/>
        </w:rPr>
        <w:t>écrit G. </w:t>
      </w:r>
      <w:r w:rsidRPr="00F9464F">
        <w:rPr>
          <w:iCs/>
        </w:rPr>
        <w:t>W., il n</w:t>
      </w:r>
      <w:r w:rsidR="00F9464F">
        <w:rPr>
          <w:iCs/>
        </w:rPr>
        <w:t>’</w:t>
      </w:r>
      <w:r w:rsidRPr="00F9464F">
        <w:rPr>
          <w:iCs/>
        </w:rPr>
        <w:t xml:space="preserve">existe pas de statistiques relatives au pourcentage de délinquants </w:t>
      </w:r>
      <w:proofErr w:type="spellStart"/>
      <w:r w:rsidRPr="00F9464F">
        <w:rPr>
          <w:iCs/>
        </w:rPr>
        <w:t>sintis</w:t>
      </w:r>
      <w:proofErr w:type="spellEnd"/>
      <w:r w:rsidRPr="00F9464F">
        <w:rPr>
          <w:iCs/>
        </w:rPr>
        <w:t xml:space="preserve"> et </w:t>
      </w:r>
      <w:proofErr w:type="spellStart"/>
      <w:r w:rsidRPr="00F9464F">
        <w:rPr>
          <w:iCs/>
        </w:rPr>
        <w:t>roms</w:t>
      </w:r>
      <w:proofErr w:type="spellEnd"/>
      <w:r w:rsidRPr="00F9464F">
        <w:rPr>
          <w:iCs/>
        </w:rPr>
        <w:t xml:space="preserve"> e</w:t>
      </w:r>
      <w:r w:rsidR="00DF0A60">
        <w:rPr>
          <w:iCs/>
        </w:rPr>
        <w:t>n Allemagne. S’il y en avait</w:t>
      </w:r>
      <w:r w:rsidRPr="00F9464F">
        <w:rPr>
          <w:iCs/>
        </w:rPr>
        <w:t>, il n</w:t>
      </w:r>
      <w:r w:rsidR="00F9464F">
        <w:rPr>
          <w:iCs/>
        </w:rPr>
        <w:t>’</w:t>
      </w:r>
      <w:r w:rsidRPr="00F9464F">
        <w:rPr>
          <w:iCs/>
        </w:rPr>
        <w:t>aurait pas pu écrire cet article.</w:t>
      </w:r>
      <w:r w:rsidR="00BF2BC3">
        <w:rPr>
          <w:iCs/>
        </w:rPr>
        <w:t> </w:t>
      </w:r>
      <w:r w:rsidRPr="00F9464F">
        <w:rPr>
          <w:iCs/>
        </w:rPr>
        <w:t>Mais il est certain que ce groupe de personnes, même s</w:t>
      </w:r>
      <w:r w:rsidR="00F9464F">
        <w:rPr>
          <w:iCs/>
        </w:rPr>
        <w:t>’</w:t>
      </w:r>
      <w:r w:rsidRPr="00F9464F">
        <w:rPr>
          <w:iCs/>
        </w:rPr>
        <w:t>il ne compte</w:t>
      </w:r>
      <w:r w:rsidR="00DF0A60">
        <w:rPr>
          <w:iCs/>
        </w:rPr>
        <w:t xml:space="preserve"> que 100 000 individus, occupe</w:t>
      </w:r>
      <w:r w:rsidRPr="00F9464F">
        <w:rPr>
          <w:iCs/>
        </w:rPr>
        <w:t xml:space="preserve"> les autorités de manière disproportionnée. </w:t>
      </w:r>
    </w:p>
    <w:p w:rsidR="00204FC0" w:rsidRPr="00F9464F" w:rsidRDefault="00204FC0" w:rsidP="00F9464F">
      <w:pPr>
        <w:spacing w:after="240"/>
        <w:ind w:left="567" w:firstLine="567"/>
        <w:rPr>
          <w:iCs/>
        </w:rPr>
      </w:pPr>
      <w:r w:rsidRPr="00F9464F">
        <w:rPr>
          <w:iCs/>
        </w:rPr>
        <w:t>Qui, par exemple, commet des vols dans tout le pays, notamment au détriment des personnes âgées? Qui se fait passer pour un agent de police afin de dérober les maigres économies que des retraités ont cachées dans le placard de la cuisine ou de la buanderie pour payer leurs obsèques? Qui, au</w:t>
      </w:r>
      <w:r w:rsidR="00DF0A60">
        <w:rPr>
          <w:iCs/>
        </w:rPr>
        <w:t xml:space="preserve"> prétexte de montrer des nappes, fait entrer des complices chez des </w:t>
      </w:r>
      <w:r w:rsidRPr="00F9464F">
        <w:rPr>
          <w:iCs/>
        </w:rPr>
        <w:t>per</w:t>
      </w:r>
      <w:r w:rsidR="00DF0A60">
        <w:rPr>
          <w:iCs/>
        </w:rPr>
        <w:t>sonnes handicapées ou aveugles</w:t>
      </w:r>
      <w:r w:rsidRPr="00F9464F">
        <w:rPr>
          <w:iCs/>
        </w:rPr>
        <w:t>? Et que dire de l</w:t>
      </w:r>
      <w:r w:rsidR="00F9464F">
        <w:rPr>
          <w:iCs/>
        </w:rPr>
        <w:t>’</w:t>
      </w:r>
      <w:r w:rsidRPr="00F9464F">
        <w:rPr>
          <w:iCs/>
        </w:rPr>
        <w:t>arnaque du verre d</w:t>
      </w:r>
      <w:r w:rsidR="00F9464F">
        <w:rPr>
          <w:iCs/>
        </w:rPr>
        <w:t>’</w:t>
      </w:r>
      <w:r w:rsidRPr="00F9464F">
        <w:rPr>
          <w:iCs/>
        </w:rPr>
        <w:t xml:space="preserve">eau et du papier? </w:t>
      </w:r>
    </w:p>
    <w:p w:rsidR="00204FC0" w:rsidRPr="00F9464F" w:rsidRDefault="00204FC0" w:rsidP="00F9464F">
      <w:pPr>
        <w:spacing w:after="240"/>
        <w:ind w:left="567" w:firstLine="567"/>
        <w:rPr>
          <w:iCs/>
        </w:rPr>
      </w:pPr>
      <w:r w:rsidRPr="00F9464F">
        <w:rPr>
          <w:iCs/>
        </w:rPr>
        <w:t>S</w:t>
      </w:r>
      <w:r w:rsidR="00F9464F">
        <w:rPr>
          <w:iCs/>
        </w:rPr>
        <w:t>’</w:t>
      </w:r>
      <w:proofErr w:type="spellStart"/>
      <w:r w:rsidR="0092173E">
        <w:rPr>
          <w:iCs/>
        </w:rPr>
        <w:t>agit</w:t>
      </w:r>
      <w:r w:rsidR="0092173E">
        <w:rPr>
          <w:iCs/>
        </w:rPr>
        <w:noBreakHyphen/>
      </w:r>
      <w:r w:rsidRPr="00F9464F">
        <w:rPr>
          <w:iCs/>
        </w:rPr>
        <w:t>il</w:t>
      </w:r>
      <w:proofErr w:type="spellEnd"/>
      <w:r w:rsidRPr="00F9464F">
        <w:rPr>
          <w:iCs/>
        </w:rPr>
        <w:t xml:space="preserve"> vraiment d</w:t>
      </w:r>
      <w:r w:rsidR="00F9464F">
        <w:rPr>
          <w:iCs/>
        </w:rPr>
        <w:t>’</w:t>
      </w:r>
      <w:r w:rsidRPr="00F9464F">
        <w:rPr>
          <w:iCs/>
        </w:rPr>
        <w:t xml:space="preserve">un préjugé lorsque des citoyens se plaignent que les </w:t>
      </w:r>
      <w:proofErr w:type="spellStart"/>
      <w:r w:rsidRPr="00F9464F">
        <w:rPr>
          <w:iCs/>
        </w:rPr>
        <w:t>Sintis</w:t>
      </w:r>
      <w:proofErr w:type="spellEnd"/>
      <w:r w:rsidRPr="00F9464F">
        <w:rPr>
          <w:iCs/>
        </w:rPr>
        <w:t xml:space="preserve"> arrivent en Mercedes devant le Service de la protection sociale? N</w:t>
      </w:r>
      <w:r w:rsidR="00F9464F">
        <w:rPr>
          <w:iCs/>
        </w:rPr>
        <w:t>’</w:t>
      </w:r>
      <w:proofErr w:type="spellStart"/>
      <w:r w:rsidR="0092173E">
        <w:rPr>
          <w:iCs/>
        </w:rPr>
        <w:t>est</w:t>
      </w:r>
      <w:r w:rsidR="0092173E">
        <w:rPr>
          <w:iCs/>
        </w:rPr>
        <w:noBreakHyphen/>
      </w:r>
      <w:r w:rsidRPr="00F9464F">
        <w:rPr>
          <w:iCs/>
        </w:rPr>
        <w:t>il</w:t>
      </w:r>
      <w:proofErr w:type="spellEnd"/>
      <w:r w:rsidRPr="00F9464F">
        <w:rPr>
          <w:iCs/>
        </w:rPr>
        <w:t xml:space="preserve"> pas vrai que presque aucun Rom n</w:t>
      </w:r>
      <w:r w:rsidR="00F9464F">
        <w:rPr>
          <w:iCs/>
        </w:rPr>
        <w:t>’</w:t>
      </w:r>
      <w:r w:rsidRPr="00F9464F">
        <w:rPr>
          <w:iCs/>
        </w:rPr>
        <w:t xml:space="preserve">a de travail régulier et ne paie de cotisations sociales? Pourquoi </w:t>
      </w:r>
      <w:r w:rsidR="00E62F1D">
        <w:rPr>
          <w:iCs/>
        </w:rPr>
        <w:t>les</w:t>
      </w:r>
      <w:r w:rsidR="00BF2BC3">
        <w:rPr>
          <w:iCs/>
        </w:rPr>
        <w:t> </w:t>
      </w:r>
      <w:r w:rsidR="00E62F1D">
        <w:rPr>
          <w:iCs/>
        </w:rPr>
        <w:t xml:space="preserve">membres de </w:t>
      </w:r>
      <w:r w:rsidRPr="00F9464F">
        <w:rPr>
          <w:iCs/>
        </w:rPr>
        <w:t>ce groupe s</w:t>
      </w:r>
      <w:r w:rsidR="00F9464F">
        <w:rPr>
          <w:iCs/>
        </w:rPr>
        <w:t>’</w:t>
      </w:r>
      <w:proofErr w:type="spellStart"/>
      <w:r w:rsidRPr="00F9464F">
        <w:rPr>
          <w:iCs/>
        </w:rPr>
        <w:t>isole</w:t>
      </w:r>
      <w:r w:rsidR="00E62F1D">
        <w:rPr>
          <w:iCs/>
        </w:rPr>
        <w:t>nt</w:t>
      </w:r>
      <w:r w:rsidR="00E62F1D">
        <w:rPr>
          <w:iCs/>
        </w:rPr>
        <w:noBreakHyphen/>
      </w:r>
      <w:r w:rsidRPr="00F9464F">
        <w:rPr>
          <w:iCs/>
        </w:rPr>
        <w:t>il</w:t>
      </w:r>
      <w:r w:rsidR="00E62F1D">
        <w:rPr>
          <w:iCs/>
        </w:rPr>
        <w:t>s</w:t>
      </w:r>
      <w:proofErr w:type="spellEnd"/>
      <w:r w:rsidRPr="00F9464F">
        <w:rPr>
          <w:iCs/>
        </w:rPr>
        <w:t xml:space="preserve"> de la sorte, par exemple en se mariant entre eux, sans déclaration au Service de l</w:t>
      </w:r>
      <w:r w:rsidR="00F9464F">
        <w:rPr>
          <w:iCs/>
        </w:rPr>
        <w:t>’</w:t>
      </w:r>
      <w:r w:rsidRPr="00F9464F">
        <w:rPr>
          <w:iCs/>
        </w:rPr>
        <w:t>état civil? Pourquoi les p</w:t>
      </w:r>
      <w:r w:rsidR="0092173E">
        <w:rPr>
          <w:iCs/>
        </w:rPr>
        <w:t xml:space="preserve">ères des enfants </w:t>
      </w:r>
      <w:proofErr w:type="spellStart"/>
      <w:r w:rsidR="0092173E">
        <w:rPr>
          <w:iCs/>
        </w:rPr>
        <w:t>sintis</w:t>
      </w:r>
      <w:proofErr w:type="spellEnd"/>
      <w:r w:rsidR="0092173E">
        <w:rPr>
          <w:iCs/>
        </w:rPr>
        <w:t xml:space="preserve"> ne </w:t>
      </w:r>
      <w:proofErr w:type="spellStart"/>
      <w:r w:rsidR="0092173E">
        <w:rPr>
          <w:iCs/>
        </w:rPr>
        <w:t>sont</w:t>
      </w:r>
      <w:r w:rsidR="0092173E">
        <w:rPr>
          <w:iCs/>
        </w:rPr>
        <w:noBreakHyphen/>
      </w:r>
      <w:r w:rsidRPr="00F9464F">
        <w:rPr>
          <w:iCs/>
        </w:rPr>
        <w:t>ils</w:t>
      </w:r>
      <w:proofErr w:type="spellEnd"/>
      <w:r w:rsidRPr="00F9464F">
        <w:rPr>
          <w:iCs/>
        </w:rPr>
        <w:t xml:space="preserve"> pas déclarés au Service d</w:t>
      </w:r>
      <w:r w:rsidR="00F9464F">
        <w:rPr>
          <w:iCs/>
        </w:rPr>
        <w:t>’</w:t>
      </w:r>
      <w:r w:rsidRPr="00F9464F">
        <w:rPr>
          <w:iCs/>
        </w:rPr>
        <w:t>aide sociale aux jeunes? (…)</w:t>
      </w:r>
    </w:p>
    <w:p w:rsidR="00204FC0" w:rsidRPr="00F9464F" w:rsidRDefault="00E62F1D" w:rsidP="00F9464F">
      <w:pPr>
        <w:spacing w:after="240"/>
        <w:ind w:left="567" w:firstLine="567"/>
        <w:rPr>
          <w:iCs/>
        </w:rPr>
      </w:pPr>
      <w:r>
        <w:rPr>
          <w:iCs/>
        </w:rPr>
        <w:t>Celui qui</w:t>
      </w:r>
      <w:r w:rsidR="00204FC0" w:rsidRPr="00F9464F">
        <w:rPr>
          <w:iCs/>
        </w:rPr>
        <w:t xml:space="preserve"> ne veut pas s</w:t>
      </w:r>
      <w:r w:rsidR="00F9464F">
        <w:rPr>
          <w:iCs/>
        </w:rPr>
        <w:t>’</w:t>
      </w:r>
      <w:r w:rsidR="00204FC0" w:rsidRPr="00F9464F">
        <w:rPr>
          <w:iCs/>
        </w:rPr>
        <w:t>intégrer dans la société tout en vivant des prestations sociales ne peut prétendre avoir le sens de la communauté. Mes propos ne sont pas l</w:t>
      </w:r>
      <w:r w:rsidR="00F9464F">
        <w:rPr>
          <w:iCs/>
        </w:rPr>
        <w:t>’</w:t>
      </w:r>
      <w:r w:rsidR="00204FC0" w:rsidRPr="00F9464F">
        <w:rPr>
          <w:iCs/>
        </w:rPr>
        <w:t xml:space="preserve">expression de ma seule opinion </w:t>
      </w:r>
      <w:r>
        <w:rPr>
          <w:iCs/>
        </w:rPr>
        <w:t>comme j’ai pu le constater en discutant avec</w:t>
      </w:r>
      <w:r w:rsidR="00204FC0" w:rsidRPr="00F9464F">
        <w:rPr>
          <w:iCs/>
        </w:rPr>
        <w:t xml:space="preserve"> de nom</w:t>
      </w:r>
      <w:r>
        <w:rPr>
          <w:iCs/>
        </w:rPr>
        <w:t>breux collègues. Ce ne sont pas</w:t>
      </w:r>
      <w:r w:rsidR="00204FC0" w:rsidRPr="00F9464F">
        <w:rPr>
          <w:iCs/>
        </w:rPr>
        <w:t xml:space="preserve"> de</w:t>
      </w:r>
      <w:r>
        <w:rPr>
          <w:iCs/>
        </w:rPr>
        <w:t>s</w:t>
      </w:r>
      <w:r w:rsidR="00204FC0" w:rsidRPr="00F9464F">
        <w:rPr>
          <w:iCs/>
        </w:rPr>
        <w:t xml:space="preserve"> préjugés, de</w:t>
      </w:r>
      <w:r>
        <w:rPr>
          <w:iCs/>
        </w:rPr>
        <w:t>s</w:t>
      </w:r>
      <w:r w:rsidR="00204FC0" w:rsidRPr="00F9464F">
        <w:rPr>
          <w:iCs/>
        </w:rPr>
        <w:t xml:space="preserve"> généralisations (“</w:t>
      </w:r>
      <w:proofErr w:type="spellStart"/>
      <w:r w:rsidR="00204FC0" w:rsidRPr="00F9464F">
        <w:rPr>
          <w:iCs/>
        </w:rPr>
        <w:t>Pauschalisierungen</w:t>
      </w:r>
      <w:proofErr w:type="spellEnd"/>
      <w:r w:rsidR="00204FC0" w:rsidRPr="00F9464F">
        <w:rPr>
          <w:iCs/>
        </w:rPr>
        <w:t>”) ou d</w:t>
      </w:r>
      <w:r>
        <w:rPr>
          <w:iCs/>
        </w:rPr>
        <w:t xml:space="preserve">es </w:t>
      </w:r>
      <w:r w:rsidR="00204FC0" w:rsidRPr="00F9464F">
        <w:rPr>
          <w:iCs/>
        </w:rPr>
        <w:t xml:space="preserve">accusations, mais </w:t>
      </w:r>
      <w:r>
        <w:rPr>
          <w:iCs/>
        </w:rPr>
        <w:t>c’est le reflet</w:t>
      </w:r>
      <w:r w:rsidR="00204FC0" w:rsidRPr="00F9464F">
        <w:rPr>
          <w:iCs/>
        </w:rPr>
        <w:t xml:space="preserve"> de la réalité quotidienne d</w:t>
      </w:r>
      <w:r w:rsidR="00F9464F">
        <w:rPr>
          <w:iCs/>
        </w:rPr>
        <w:t>’</w:t>
      </w:r>
      <w:r w:rsidR="00204FC0" w:rsidRPr="00F9464F">
        <w:rPr>
          <w:iCs/>
        </w:rPr>
        <w:t>une activité criminelle.</w:t>
      </w:r>
    </w:p>
    <w:p w:rsidR="00204FC0" w:rsidRPr="00F9464F" w:rsidRDefault="00F71B2A" w:rsidP="00F9464F">
      <w:pPr>
        <w:spacing w:after="240"/>
        <w:ind w:left="567" w:firstLine="567"/>
        <w:rPr>
          <w:iCs/>
        </w:rPr>
      </w:pPr>
      <w:r>
        <w:rPr>
          <w:iCs/>
        </w:rPr>
        <w:t xml:space="preserve">Je ne comprends absolument pas comment </w:t>
      </w:r>
      <w:r w:rsidR="00204FC0" w:rsidRPr="00F9464F">
        <w:rPr>
          <w:iCs/>
        </w:rPr>
        <w:t>un fonctionnaire de police qui</w:t>
      </w:r>
      <w:r>
        <w:rPr>
          <w:iCs/>
        </w:rPr>
        <w:t xml:space="preserve"> connaît cette situation peut être aussi</w:t>
      </w:r>
      <w:r w:rsidR="00204FC0" w:rsidRPr="00F9464F">
        <w:rPr>
          <w:iCs/>
        </w:rPr>
        <w:t xml:space="preserve"> partial dans son argumentation. Ses origines l</w:t>
      </w:r>
      <w:r w:rsidR="00F9464F">
        <w:rPr>
          <w:iCs/>
        </w:rPr>
        <w:t>’</w:t>
      </w:r>
      <w:r w:rsidR="00204FC0" w:rsidRPr="00F9464F">
        <w:rPr>
          <w:iCs/>
        </w:rPr>
        <w:t>excusent en partie et sa carrière mérite des éloges, mais il devrait s</w:t>
      </w:r>
      <w:r w:rsidR="00F9464F">
        <w:rPr>
          <w:iCs/>
        </w:rPr>
        <w:t>’</w:t>
      </w:r>
      <w:r w:rsidR="00204FC0" w:rsidRPr="00F9464F">
        <w:rPr>
          <w:iCs/>
        </w:rPr>
        <w:t>en tenir à la réalité des faits.».</w:t>
      </w:r>
    </w:p>
    <w:p w:rsidR="00204FC0" w:rsidRPr="00204FC0" w:rsidRDefault="00204FC0" w:rsidP="00845067">
      <w:pPr>
        <w:spacing w:after="240"/>
      </w:pPr>
      <w:r w:rsidRPr="00204FC0">
        <w:t>2.2</w:t>
      </w:r>
      <w:r w:rsidRPr="00204FC0">
        <w:tab/>
        <w:t>Les auteur</w:t>
      </w:r>
      <w:r w:rsidR="00F71B2A">
        <w:t>s affirment que la lettre de P. </w:t>
      </w:r>
      <w:r w:rsidRPr="00204FC0">
        <w:t>L. contient de nombreux propos discriminatoires à l</w:t>
      </w:r>
      <w:r w:rsidR="00F9464F">
        <w:t>’</w:t>
      </w:r>
      <w:r w:rsidRPr="00204FC0">
        <w:t xml:space="preserve">égard des </w:t>
      </w:r>
      <w:proofErr w:type="spellStart"/>
      <w:r w:rsidRPr="00204FC0">
        <w:t>Sintis</w:t>
      </w:r>
      <w:proofErr w:type="spellEnd"/>
      <w:r w:rsidRPr="00204FC0">
        <w:t xml:space="preserve"> e</w:t>
      </w:r>
      <w:r w:rsidR="00F71B2A">
        <w:t xml:space="preserve">t des </w:t>
      </w:r>
      <w:proofErr w:type="spellStart"/>
      <w:r w:rsidR="00F71B2A">
        <w:t>Roms</w:t>
      </w:r>
      <w:proofErr w:type="spellEnd"/>
      <w:r w:rsidR="00F71B2A">
        <w:t>. Ils estiment que P. </w:t>
      </w:r>
      <w:r w:rsidRPr="00204FC0">
        <w:t>L. a utilisé des stéréotypes racistes et dégradants, allant jusqu</w:t>
      </w:r>
      <w:r w:rsidR="00F9464F">
        <w:t>’</w:t>
      </w:r>
      <w:r w:rsidR="00F71B2A">
        <w:t>à dire que la délinquance</w:t>
      </w:r>
      <w:r w:rsidRPr="00204FC0">
        <w:t xml:space="preserve"> est une caractéristique essentielle des </w:t>
      </w:r>
      <w:proofErr w:type="spellStart"/>
      <w:r w:rsidRPr="00204FC0">
        <w:t>Sintis</w:t>
      </w:r>
      <w:proofErr w:type="spellEnd"/>
      <w:r w:rsidRPr="00204FC0">
        <w:t xml:space="preserve"> et des </w:t>
      </w:r>
      <w:proofErr w:type="spellStart"/>
      <w:r w:rsidRPr="00204FC0">
        <w:t>Roms</w:t>
      </w:r>
      <w:proofErr w:type="spellEnd"/>
      <w:r w:rsidRPr="00204FC0">
        <w:t xml:space="preserve">. Ils notent en </w:t>
      </w:r>
      <w:r w:rsidR="00F71B2A">
        <w:t>particulier que les termes «asticot</w:t>
      </w:r>
      <w:r w:rsidRPr="00204FC0">
        <w:t>» et «parasit</w:t>
      </w:r>
      <w:r w:rsidR="00FB29A2">
        <w:t>isme» étaient utilisés par les n</w:t>
      </w:r>
      <w:r w:rsidRPr="00204FC0">
        <w:t xml:space="preserve">azis dans leur propagande contre les communautés juive, </w:t>
      </w:r>
      <w:proofErr w:type="spellStart"/>
      <w:r w:rsidRPr="00204FC0">
        <w:t>sinti</w:t>
      </w:r>
      <w:proofErr w:type="spellEnd"/>
      <w:r w:rsidRPr="00204FC0">
        <w:t xml:space="preserve"> et rom. Les auteurs affirment qu</w:t>
      </w:r>
      <w:r w:rsidR="00F9464F">
        <w:t>’</w:t>
      </w:r>
      <w:r w:rsidRPr="00204FC0">
        <w:t xml:space="preserve">une telle publication attise la haine envers les communautés </w:t>
      </w:r>
      <w:proofErr w:type="spellStart"/>
      <w:r w:rsidRPr="00204FC0">
        <w:t>sinti</w:t>
      </w:r>
      <w:proofErr w:type="spellEnd"/>
      <w:r w:rsidRPr="00204FC0">
        <w:t xml:space="preserve"> et rom, augmente les risques d</w:t>
      </w:r>
      <w:r w:rsidR="00F9464F">
        <w:t>’</w:t>
      </w:r>
      <w:r w:rsidRPr="00204FC0">
        <w:t>hostilité des fonctionnaires de police, et renforce l</w:t>
      </w:r>
      <w:r w:rsidR="00F9464F">
        <w:t>’</w:t>
      </w:r>
      <w:r w:rsidRPr="00204FC0">
        <w:t>exclusion sociale de cette minorité.</w:t>
      </w:r>
    </w:p>
    <w:p w:rsidR="00204FC0" w:rsidRPr="00204FC0" w:rsidRDefault="00F71B2A" w:rsidP="00845067">
      <w:pPr>
        <w:spacing w:after="240"/>
      </w:pPr>
      <w:r>
        <w:t>2.3</w:t>
      </w:r>
      <w:r>
        <w:tab/>
        <w:t>En novembre </w:t>
      </w:r>
      <w:r w:rsidR="00204FC0" w:rsidRPr="00204FC0">
        <w:t xml:space="preserve">2005, après une protestation publique organisée par le Conseil central des </w:t>
      </w:r>
      <w:proofErr w:type="spellStart"/>
      <w:r w:rsidR="00204FC0" w:rsidRPr="00204FC0">
        <w:t>Sintis</w:t>
      </w:r>
      <w:proofErr w:type="spellEnd"/>
      <w:r w:rsidR="00204FC0" w:rsidRPr="00204FC0">
        <w:t xml:space="preserve"> et des </w:t>
      </w:r>
      <w:proofErr w:type="spellStart"/>
      <w:r w:rsidR="00204FC0" w:rsidRPr="00204FC0">
        <w:t>Roms</w:t>
      </w:r>
      <w:proofErr w:type="spellEnd"/>
      <w:r w:rsidR="00204FC0" w:rsidRPr="00204FC0">
        <w:t xml:space="preserve"> allemands, le Ministère bavarois de l</w:t>
      </w:r>
      <w:r w:rsidR="00F9464F">
        <w:t>’</w:t>
      </w:r>
      <w:r w:rsidR="00204FC0" w:rsidRPr="00204FC0">
        <w:t>in</w:t>
      </w:r>
      <w:r>
        <w:t>térieur a suspendu P. </w:t>
      </w:r>
      <w:r w:rsidR="00204FC0" w:rsidRPr="00204FC0">
        <w:t xml:space="preserve">L. de ses fonctions au commissariat de police de Fürth, au motif que les propos négatifs de portée générale visant des groupes de population précis, tels que les </w:t>
      </w:r>
      <w:proofErr w:type="spellStart"/>
      <w:r w:rsidR="00204FC0" w:rsidRPr="00204FC0">
        <w:t>Sintis</w:t>
      </w:r>
      <w:proofErr w:type="spellEnd"/>
      <w:r w:rsidR="00204FC0" w:rsidRPr="00204FC0">
        <w:t xml:space="preserve"> et les </w:t>
      </w:r>
      <w:proofErr w:type="spellStart"/>
      <w:r w:rsidR="00204FC0" w:rsidRPr="00204FC0">
        <w:t>Roms</w:t>
      </w:r>
      <w:proofErr w:type="spellEnd"/>
      <w:r w:rsidR="00204FC0" w:rsidRPr="00204FC0">
        <w:t xml:space="preserve"> dans le cas présent, n</w:t>
      </w:r>
      <w:r w:rsidR="00F9464F">
        <w:t>’</w:t>
      </w:r>
      <w:r w:rsidR="00204FC0" w:rsidRPr="00204FC0">
        <w:t xml:space="preserve">étaient pas acceptables. </w:t>
      </w:r>
    </w:p>
    <w:p w:rsidR="00204FC0" w:rsidRPr="00204FC0" w:rsidRDefault="00204FC0" w:rsidP="00845067">
      <w:pPr>
        <w:spacing w:after="240"/>
      </w:pPr>
      <w:r w:rsidRPr="00204FC0">
        <w:t>2.4</w:t>
      </w:r>
      <w:r w:rsidRPr="00204FC0">
        <w:tab/>
      </w:r>
      <w:r w:rsidR="00F71B2A">
        <w:t>Le 24 novembre </w:t>
      </w:r>
      <w:r w:rsidRPr="00204FC0">
        <w:t xml:space="preserve">2005, le Conseil central des </w:t>
      </w:r>
      <w:proofErr w:type="spellStart"/>
      <w:r w:rsidRPr="00204FC0">
        <w:t>Sintis</w:t>
      </w:r>
      <w:proofErr w:type="spellEnd"/>
      <w:r w:rsidRPr="00204FC0">
        <w:t xml:space="preserve"> et des </w:t>
      </w:r>
      <w:proofErr w:type="spellStart"/>
      <w:r w:rsidRPr="00204FC0">
        <w:t>Roms</w:t>
      </w:r>
      <w:proofErr w:type="spellEnd"/>
      <w:r w:rsidRPr="00204FC0">
        <w:t xml:space="preserve"> allemands et R</w:t>
      </w:r>
      <w:r w:rsidR="00F71B2A">
        <w:t>. R.</w:t>
      </w:r>
      <w:r w:rsidRPr="00204FC0">
        <w:t xml:space="preserve"> ont porté plainte devant le Procureur du district de Heidelberg et, le 1</w:t>
      </w:r>
      <w:r w:rsidRPr="00204FC0">
        <w:rPr>
          <w:vertAlign w:val="superscript"/>
        </w:rPr>
        <w:t>er</w:t>
      </w:r>
      <w:r w:rsidR="00F71B2A">
        <w:t> décembre </w:t>
      </w:r>
      <w:r w:rsidR="00FB29A2">
        <w:t>2005, la s</w:t>
      </w:r>
      <w:r w:rsidRPr="00204FC0">
        <w:t>ection bavaroise de l</w:t>
      </w:r>
      <w:r w:rsidR="00F9464F">
        <w:t>’</w:t>
      </w:r>
      <w:r w:rsidRPr="00204FC0">
        <w:t xml:space="preserve">Association des </w:t>
      </w:r>
      <w:proofErr w:type="spellStart"/>
      <w:r w:rsidRPr="00204FC0">
        <w:t>Sintis</w:t>
      </w:r>
      <w:proofErr w:type="spellEnd"/>
      <w:r w:rsidRPr="00204FC0">
        <w:t xml:space="preserve"> et des </w:t>
      </w:r>
      <w:proofErr w:type="spellStart"/>
      <w:r w:rsidRPr="00204FC0">
        <w:t>Roms</w:t>
      </w:r>
      <w:proofErr w:type="spellEnd"/>
      <w:r w:rsidRPr="00204FC0">
        <w:t xml:space="preserve"> allemands et F. R</w:t>
      </w:r>
      <w:r w:rsidR="00F71B2A">
        <w:t>. ont déposé</w:t>
      </w:r>
      <w:r w:rsidRPr="00204FC0">
        <w:t xml:space="preserve"> une plainte devant le Pro</w:t>
      </w:r>
      <w:r w:rsidR="0092173E">
        <w:t xml:space="preserve">cureur du district de </w:t>
      </w:r>
      <w:proofErr w:type="spellStart"/>
      <w:r w:rsidR="0092173E">
        <w:t>Nuremberg</w:t>
      </w:r>
      <w:r w:rsidR="0092173E">
        <w:noBreakHyphen/>
      </w:r>
      <w:r w:rsidRPr="00204FC0">
        <w:t>Fürth</w:t>
      </w:r>
      <w:proofErr w:type="spellEnd"/>
      <w:r w:rsidRPr="00204FC0">
        <w:t>. Les deux plaintes ont ensuite été transmises à l</w:t>
      </w:r>
      <w:r w:rsidR="00F9464F">
        <w:t>’</w:t>
      </w:r>
      <w:r w:rsidRPr="00204FC0">
        <w:t xml:space="preserve">autorité compétente, à savoir le Procureur du district </w:t>
      </w:r>
      <w:r w:rsidR="00F71B2A">
        <w:t xml:space="preserve">de </w:t>
      </w:r>
      <w:proofErr w:type="spellStart"/>
      <w:r w:rsidR="00F71B2A">
        <w:t>Neuruppin</w:t>
      </w:r>
      <w:proofErr w:type="spellEnd"/>
      <w:r w:rsidR="00F71B2A">
        <w:t xml:space="preserve"> (</w:t>
      </w:r>
      <w:proofErr w:type="spellStart"/>
      <w:r w:rsidR="00F71B2A">
        <w:t>Brandenbourg</w:t>
      </w:r>
      <w:proofErr w:type="spellEnd"/>
      <w:r w:rsidR="00F71B2A">
        <w:t>). Le </w:t>
      </w:r>
      <w:r w:rsidRPr="00204FC0">
        <w:t xml:space="preserve">Procureur de </w:t>
      </w:r>
      <w:proofErr w:type="spellStart"/>
      <w:r w:rsidRPr="00204FC0">
        <w:t>Neuruppin</w:t>
      </w:r>
      <w:proofErr w:type="spellEnd"/>
      <w:r w:rsidRPr="00204FC0">
        <w:t xml:space="preserve"> a rejeté la première </w:t>
      </w:r>
      <w:r w:rsidR="00F71B2A">
        <w:t>plainte le 4 janvier 2006 et la seconde le 12 janvier </w:t>
      </w:r>
      <w:r w:rsidRPr="00204FC0">
        <w:t xml:space="preserve">2006, en </w:t>
      </w:r>
      <w:r w:rsidR="00F71B2A">
        <w:t>développant le même raisonnement − c’est</w:t>
      </w:r>
      <w:r w:rsidR="00F71B2A">
        <w:noBreakHyphen/>
      </w:r>
      <w:proofErr w:type="spellStart"/>
      <w:r w:rsidR="00F71B2A">
        <w:t>à</w:t>
      </w:r>
      <w:r w:rsidR="00F71B2A">
        <w:noBreakHyphen/>
        <w:t>dire</w:t>
      </w:r>
      <w:proofErr w:type="spellEnd"/>
      <w:r w:rsidRPr="00204FC0">
        <w:t xml:space="preserve"> que les éléments </w:t>
      </w:r>
      <w:r w:rsidR="00F71B2A">
        <w:t xml:space="preserve">constitutifs </w:t>
      </w:r>
      <w:r w:rsidRPr="00204FC0">
        <w:t>de l</w:t>
      </w:r>
      <w:r w:rsidR="00F9464F">
        <w:t>’</w:t>
      </w:r>
      <w:r w:rsidR="00F71B2A">
        <w:t>infraction qualifiée</w:t>
      </w:r>
      <w:r w:rsidRPr="00204FC0">
        <w:t xml:space="preserve"> à l</w:t>
      </w:r>
      <w:r w:rsidR="00F9464F">
        <w:t>’</w:t>
      </w:r>
      <w:r w:rsidR="00F71B2A">
        <w:t>article </w:t>
      </w:r>
      <w:r w:rsidRPr="00204FC0">
        <w:t>130 du Code pénal allemand n</w:t>
      </w:r>
      <w:r w:rsidR="00F9464F">
        <w:t>’</w:t>
      </w:r>
      <w:r w:rsidR="00F71B2A">
        <w:t>étaient pas réunis −</w:t>
      </w:r>
      <w:r w:rsidRPr="00204FC0">
        <w:t xml:space="preserve"> </w:t>
      </w:r>
      <w:r w:rsidR="00F71B2A">
        <w:t>et a donc refusé</w:t>
      </w:r>
      <w:r w:rsidRPr="00204FC0">
        <w:t xml:space="preserve"> d</w:t>
      </w:r>
      <w:r w:rsidR="00F9464F">
        <w:t>’</w:t>
      </w:r>
      <w:r w:rsidR="00F71B2A">
        <w:t>inculper P. </w:t>
      </w:r>
      <w:r w:rsidRPr="00204FC0">
        <w:t>L. d</w:t>
      </w:r>
      <w:r w:rsidR="00F9464F">
        <w:t>’</w:t>
      </w:r>
      <w:r w:rsidRPr="00204FC0">
        <w:t>une infractio</w:t>
      </w:r>
      <w:r w:rsidR="00F71B2A">
        <w:t>n au Code pénal</w:t>
      </w:r>
      <w:r w:rsidRPr="00204FC0">
        <w:t xml:space="preserve">. </w:t>
      </w:r>
    </w:p>
    <w:p w:rsidR="00204FC0" w:rsidRPr="00204FC0" w:rsidRDefault="00F71B2A" w:rsidP="00845067">
      <w:pPr>
        <w:spacing w:after="240"/>
      </w:pPr>
      <w:r>
        <w:t>2.5</w:t>
      </w:r>
      <w:r>
        <w:tab/>
        <w:t>Le 12 janvier </w:t>
      </w:r>
      <w:r w:rsidR="00204FC0" w:rsidRPr="00204FC0">
        <w:t xml:space="preserve">2006, les auteurs ont fait appel devant le Procureur général </w:t>
      </w:r>
      <w:r w:rsidR="00204FC0" w:rsidRPr="00204FC0">
        <w:rPr>
          <w:i/>
        </w:rPr>
        <w:t>(</w:t>
      </w:r>
      <w:proofErr w:type="spellStart"/>
      <w:r w:rsidR="00204FC0" w:rsidRPr="00204FC0">
        <w:rPr>
          <w:i/>
        </w:rPr>
        <w:t>Generalstaatsanwaltschaft</w:t>
      </w:r>
      <w:proofErr w:type="spellEnd"/>
      <w:r w:rsidR="00204FC0" w:rsidRPr="00204FC0">
        <w:rPr>
          <w:i/>
        </w:rPr>
        <w:t>)</w:t>
      </w:r>
      <w:r w:rsidR="00204FC0" w:rsidRPr="00204FC0">
        <w:t xml:space="preserve"> d</w:t>
      </w:r>
      <w:r w:rsidR="00406730">
        <w:t xml:space="preserve">u Land de </w:t>
      </w:r>
      <w:proofErr w:type="spellStart"/>
      <w:r w:rsidR="00406730">
        <w:t>Brandenbourg</w:t>
      </w:r>
      <w:proofErr w:type="spellEnd"/>
      <w:r w:rsidR="00406730">
        <w:t xml:space="preserve"> des deux </w:t>
      </w:r>
      <w:r w:rsidR="00204FC0" w:rsidRPr="00204FC0">
        <w:t xml:space="preserve">décisions rendues par le Procureur du district de </w:t>
      </w:r>
      <w:proofErr w:type="spellStart"/>
      <w:r w:rsidR="00204FC0" w:rsidRPr="00204FC0">
        <w:t>Neuruppin</w:t>
      </w:r>
      <w:proofErr w:type="spellEnd"/>
      <w:r w:rsidR="00204FC0" w:rsidRPr="00204FC0">
        <w:t>. Cet appel a été rej</w:t>
      </w:r>
      <w:r>
        <w:t>eté le 20 février </w:t>
      </w:r>
      <w:r w:rsidR="00204FC0" w:rsidRPr="00204FC0">
        <w:t>2006.</w:t>
      </w:r>
    </w:p>
    <w:p w:rsidR="00204FC0" w:rsidRPr="00204FC0" w:rsidRDefault="00F71B2A" w:rsidP="00845067">
      <w:pPr>
        <w:spacing w:after="240"/>
      </w:pPr>
      <w:r>
        <w:t>2.6</w:t>
      </w:r>
      <w:r>
        <w:tab/>
        <w:t>Le 20 mars </w:t>
      </w:r>
      <w:r w:rsidR="00204FC0" w:rsidRPr="00204FC0">
        <w:t xml:space="preserve">2006, les auteurs ont interjeté appel devant la Cour suprême du </w:t>
      </w:r>
      <w:proofErr w:type="spellStart"/>
      <w:r w:rsidR="00204FC0" w:rsidRPr="00204FC0">
        <w:t>Brandenbourg</w:t>
      </w:r>
      <w:proofErr w:type="spellEnd"/>
      <w:r>
        <w:t xml:space="preserve"> et ont été déboutés en date du 15 mai </w:t>
      </w:r>
      <w:r w:rsidR="00204FC0" w:rsidRPr="00204FC0">
        <w:t>2006. S</w:t>
      </w:r>
      <w:r w:rsidR="00F9464F">
        <w:t>’</w:t>
      </w:r>
      <w:r w:rsidR="00204FC0" w:rsidRPr="00204FC0">
        <w:t>agissant des particuliers, la Cour a estimé que la plainte n</w:t>
      </w:r>
      <w:r w:rsidR="00F9464F">
        <w:t>’</w:t>
      </w:r>
      <w:r w:rsidR="00204FC0" w:rsidRPr="00204FC0">
        <w:t>était pas fondée. S</w:t>
      </w:r>
      <w:r w:rsidR="00F9464F">
        <w:t>’</w:t>
      </w:r>
      <w:r w:rsidR="00204FC0" w:rsidRPr="00204FC0">
        <w:t xml:space="preserve">agissant du Conseil central des </w:t>
      </w:r>
      <w:proofErr w:type="spellStart"/>
      <w:r w:rsidR="00204FC0" w:rsidRPr="00204FC0">
        <w:t>Sintis</w:t>
      </w:r>
      <w:proofErr w:type="spellEnd"/>
      <w:r w:rsidR="00204FC0" w:rsidRPr="00204FC0">
        <w:t xml:space="preserve"> </w:t>
      </w:r>
      <w:r w:rsidR="00FB29A2">
        <w:t xml:space="preserve">et des </w:t>
      </w:r>
      <w:proofErr w:type="spellStart"/>
      <w:r w:rsidR="00FB29A2">
        <w:t>Roms</w:t>
      </w:r>
      <w:proofErr w:type="spellEnd"/>
      <w:r w:rsidR="00FB29A2">
        <w:t xml:space="preserve"> allemands et de la s</w:t>
      </w:r>
      <w:r w:rsidR="00204FC0" w:rsidRPr="00204FC0">
        <w:t>ection bavaroise de l</w:t>
      </w:r>
      <w:r w:rsidR="00F9464F">
        <w:t>’</w:t>
      </w:r>
      <w:r w:rsidR="00204FC0" w:rsidRPr="00204FC0">
        <w:t xml:space="preserve">Association des </w:t>
      </w:r>
      <w:proofErr w:type="spellStart"/>
      <w:r w:rsidR="00204FC0" w:rsidRPr="00204FC0">
        <w:t>Sintis</w:t>
      </w:r>
      <w:proofErr w:type="spellEnd"/>
      <w:r w:rsidR="00204FC0" w:rsidRPr="00204FC0">
        <w:t xml:space="preserve"> et des</w:t>
      </w:r>
      <w:r>
        <w:t xml:space="preserve"> </w:t>
      </w:r>
      <w:proofErr w:type="spellStart"/>
      <w:r>
        <w:t>Roms</w:t>
      </w:r>
      <w:proofErr w:type="spellEnd"/>
      <w:r>
        <w:t xml:space="preserve"> allemands, elle</w:t>
      </w:r>
      <w:r w:rsidR="00204FC0" w:rsidRPr="00204FC0">
        <w:t xml:space="preserve"> a déclaré la plainte irrecevable au motif que leurs droits, en tant qu</w:t>
      </w:r>
      <w:r w:rsidR="00F9464F">
        <w:t>’</w:t>
      </w:r>
      <w:r>
        <w:t>associations, ne p</w:t>
      </w:r>
      <w:r w:rsidR="00204FC0" w:rsidRPr="00204FC0">
        <w:t>ouvaient avoir été atteints qu</w:t>
      </w:r>
      <w:r w:rsidR="00F9464F">
        <w:t>’</w:t>
      </w:r>
      <w:r w:rsidR="00204FC0" w:rsidRPr="00204FC0">
        <w:t>indirectement.</w:t>
      </w:r>
    </w:p>
    <w:p w:rsidR="00204FC0" w:rsidRPr="00204FC0" w:rsidRDefault="00F71B2A" w:rsidP="00845067">
      <w:pPr>
        <w:spacing w:after="240"/>
      </w:pPr>
      <w:r>
        <w:t>2.7</w:t>
      </w:r>
      <w:r>
        <w:tab/>
        <w:t xml:space="preserve">Les auteurs font valoir que le refus des </w:t>
      </w:r>
      <w:r w:rsidR="00204FC0" w:rsidRPr="00204FC0">
        <w:t xml:space="preserve">autorités judiciaires </w:t>
      </w:r>
      <w:r>
        <w:t xml:space="preserve">d’engager des poursuites </w:t>
      </w:r>
      <w:r w:rsidR="00204FC0" w:rsidRPr="00204FC0">
        <w:t>pénale</w:t>
      </w:r>
      <w:r>
        <w:t>s privait</w:t>
      </w:r>
      <w:r w:rsidR="00204FC0" w:rsidRPr="00204FC0">
        <w:t xml:space="preserve"> les </w:t>
      </w:r>
      <w:proofErr w:type="spellStart"/>
      <w:r w:rsidR="00204FC0" w:rsidRPr="00204FC0">
        <w:t>Sintis</w:t>
      </w:r>
      <w:proofErr w:type="spellEnd"/>
      <w:r w:rsidR="00204FC0" w:rsidRPr="00204FC0">
        <w:t xml:space="preserve"> et</w:t>
      </w:r>
      <w:r>
        <w:t xml:space="preserve"> les </w:t>
      </w:r>
      <w:proofErr w:type="spellStart"/>
      <w:r>
        <w:t>Roms</w:t>
      </w:r>
      <w:proofErr w:type="spellEnd"/>
      <w:r>
        <w:t xml:space="preserve"> allemands de toute</w:t>
      </w:r>
      <w:r w:rsidR="00204FC0" w:rsidRPr="00204FC0">
        <w:t xml:space="preserve"> protection contre la discrimination raciale. Ce faisant, l</w:t>
      </w:r>
      <w:r w:rsidR="00F9464F">
        <w:t>’</w:t>
      </w:r>
      <w:r>
        <w:t>État partie tolér</w:t>
      </w:r>
      <w:r w:rsidR="00FB29A2">
        <w:t>er</w:t>
      </w:r>
      <w:r>
        <w:t>ait</w:t>
      </w:r>
      <w:r w:rsidR="00204FC0" w:rsidRPr="00204FC0">
        <w:t xml:space="preserve"> que de telles pratiques di</w:t>
      </w:r>
      <w:r>
        <w:t>scriminatoires se répètent. Les </w:t>
      </w:r>
      <w:r w:rsidR="00204FC0" w:rsidRPr="00204FC0">
        <w:t>auteurs attirent l</w:t>
      </w:r>
      <w:r w:rsidR="00F9464F">
        <w:t>’</w:t>
      </w:r>
      <w:r w:rsidR="00204FC0" w:rsidRPr="00204FC0">
        <w:t>attention sur une affaire similaire concernant des déclarations publiques à caractère discriminatoire visant les Juifs, dans laquelle la Cour suprême du Land de Hesse avait affirmé que les termes «parasite» et «parasitisme social» avaient été utilisés par le passé contre les Juifs à des fins malveillantes et diffamatoires, et avait estimé que de telles déclarations publiques déniaient aux membres d</w:t>
      </w:r>
      <w:r w:rsidR="00F9464F">
        <w:t>’</w:t>
      </w:r>
      <w:r w:rsidR="00204FC0" w:rsidRPr="00204FC0">
        <w:t>une minorité le droit d</w:t>
      </w:r>
      <w:r w:rsidR="00F9464F">
        <w:t>’</w:t>
      </w:r>
      <w:r w:rsidR="00204FC0" w:rsidRPr="00204FC0">
        <w:t xml:space="preserve">être considérés comme des membres égaux de la communauté. </w:t>
      </w:r>
    </w:p>
    <w:p w:rsidR="00204FC0" w:rsidRPr="00204FC0" w:rsidRDefault="00204FC0" w:rsidP="00F71B2A">
      <w:pPr>
        <w:keepNext/>
        <w:spacing w:after="240"/>
        <w:rPr>
          <w:b/>
          <w:bCs/>
        </w:rPr>
      </w:pPr>
      <w:r w:rsidRPr="00204FC0">
        <w:rPr>
          <w:b/>
          <w:bCs/>
        </w:rPr>
        <w:t>Teneur de la plainte</w:t>
      </w:r>
    </w:p>
    <w:p w:rsidR="00204FC0" w:rsidRPr="00204FC0" w:rsidRDefault="00204FC0" w:rsidP="00845067">
      <w:pPr>
        <w:spacing w:after="240"/>
      </w:pPr>
      <w:r w:rsidRPr="00204FC0">
        <w:t>3.</w:t>
      </w:r>
      <w:r w:rsidRPr="00204FC0">
        <w:tab/>
        <w:t>Les auteurs affirment que l</w:t>
      </w:r>
      <w:r w:rsidR="00F9464F">
        <w:t>’</w:t>
      </w:r>
      <w:r w:rsidRPr="00204FC0">
        <w:t>Allema</w:t>
      </w:r>
      <w:r w:rsidR="00FB29A2">
        <w:t>gne a violé les droits qui leur</w:t>
      </w:r>
      <w:r w:rsidRPr="00204FC0">
        <w:t xml:space="preserve"> sont</w:t>
      </w:r>
      <w:r w:rsidR="00F71B2A">
        <w:t xml:space="preserve"> reconnus, en tant que particuliers et en tant que groupes par l’article 4 a) et </w:t>
      </w:r>
      <w:r w:rsidRPr="00204FC0">
        <w:t xml:space="preserve">c) et </w:t>
      </w:r>
      <w:r w:rsidR="00F71B2A">
        <w:t>l’article </w:t>
      </w:r>
      <w:r w:rsidRPr="00204FC0">
        <w:t>6 de la Convention internationale sur l</w:t>
      </w:r>
      <w:r w:rsidR="00F9464F">
        <w:t>’</w:t>
      </w:r>
      <w:r w:rsidRPr="00204FC0">
        <w:t>élimination de toutes les formes de</w:t>
      </w:r>
      <w:r w:rsidR="00F71B2A">
        <w:t xml:space="preserve"> discrimination raciale, étant donné que</w:t>
      </w:r>
      <w:r w:rsidRPr="00204FC0">
        <w:t xml:space="preserve"> l</w:t>
      </w:r>
      <w:r w:rsidR="00F9464F">
        <w:t>’</w:t>
      </w:r>
      <w:r w:rsidRPr="00204FC0">
        <w:t xml:space="preserve">État partie ne leur offre pas la protection prévue par son Code pénal contre les publications qui contiennent des insultes visant des </w:t>
      </w:r>
      <w:proofErr w:type="spellStart"/>
      <w:r w:rsidRPr="00204FC0">
        <w:t>Sintis</w:t>
      </w:r>
      <w:proofErr w:type="spellEnd"/>
      <w:r w:rsidRPr="00204FC0">
        <w:t xml:space="preserve"> et des </w:t>
      </w:r>
      <w:proofErr w:type="spellStart"/>
      <w:r w:rsidRPr="00204FC0">
        <w:t>Roms</w:t>
      </w:r>
      <w:proofErr w:type="spellEnd"/>
      <w:r w:rsidRPr="00204FC0">
        <w:t xml:space="preserve">. </w:t>
      </w:r>
    </w:p>
    <w:p w:rsidR="00204FC0" w:rsidRPr="00204FC0" w:rsidRDefault="00204FC0" w:rsidP="00F71B2A">
      <w:pPr>
        <w:keepNext/>
        <w:spacing w:after="240"/>
        <w:rPr>
          <w:b/>
          <w:bCs/>
        </w:rPr>
      </w:pPr>
      <w:r w:rsidRPr="00204FC0">
        <w:rPr>
          <w:b/>
          <w:bCs/>
        </w:rPr>
        <w:t>Observations de l</w:t>
      </w:r>
      <w:r w:rsidR="00F9464F">
        <w:rPr>
          <w:b/>
          <w:bCs/>
        </w:rPr>
        <w:t>’</w:t>
      </w:r>
      <w:r w:rsidRPr="00204FC0">
        <w:rPr>
          <w:b/>
          <w:bCs/>
        </w:rPr>
        <w:t>État partie sur la recevabilité et le fond</w:t>
      </w:r>
    </w:p>
    <w:p w:rsidR="00204FC0" w:rsidRPr="00204FC0" w:rsidRDefault="00F71B2A" w:rsidP="00845067">
      <w:pPr>
        <w:spacing w:after="240"/>
      </w:pPr>
      <w:r>
        <w:t>4.1</w:t>
      </w:r>
      <w:r>
        <w:tab/>
        <w:t>Dans une note du 26 janvier </w:t>
      </w:r>
      <w:r w:rsidR="00204FC0" w:rsidRPr="00204FC0">
        <w:t>2007, l</w:t>
      </w:r>
      <w:r w:rsidR="00F9464F">
        <w:t>’</w:t>
      </w:r>
      <w:r w:rsidR="00204FC0" w:rsidRPr="00204FC0">
        <w:t>État partie a formulé des observations sur la recevabilité e</w:t>
      </w:r>
      <w:r>
        <w:t>t le fond de la communication. Concernant</w:t>
      </w:r>
      <w:r w:rsidR="00204FC0" w:rsidRPr="00204FC0">
        <w:t xml:space="preserve"> la recevabilité, il </w:t>
      </w:r>
      <w:r>
        <w:t>fait valoir</w:t>
      </w:r>
      <w:r w:rsidR="00204FC0" w:rsidRPr="00204FC0">
        <w:t xml:space="preserve"> que le Conseil central des </w:t>
      </w:r>
      <w:proofErr w:type="spellStart"/>
      <w:r w:rsidR="00204FC0" w:rsidRPr="00204FC0">
        <w:t>Sintis</w:t>
      </w:r>
      <w:proofErr w:type="spellEnd"/>
      <w:r w:rsidR="00204FC0" w:rsidRPr="00204FC0">
        <w:t xml:space="preserve"> e</w:t>
      </w:r>
      <w:r w:rsidR="00FB29A2">
        <w:t xml:space="preserve">t des </w:t>
      </w:r>
      <w:proofErr w:type="spellStart"/>
      <w:r w:rsidR="00FB29A2">
        <w:t>Roms</w:t>
      </w:r>
      <w:proofErr w:type="spellEnd"/>
      <w:r w:rsidR="00FB29A2">
        <w:t xml:space="preserve"> allemands et que la s</w:t>
      </w:r>
      <w:r w:rsidR="00204FC0" w:rsidRPr="00204FC0">
        <w:t>ection bavaroise de l</w:t>
      </w:r>
      <w:r w:rsidR="00F9464F">
        <w:t>’</w:t>
      </w:r>
      <w:r w:rsidR="00204FC0" w:rsidRPr="00204FC0">
        <w:t xml:space="preserve">Association des </w:t>
      </w:r>
      <w:proofErr w:type="spellStart"/>
      <w:r w:rsidR="00204FC0" w:rsidRPr="00204FC0">
        <w:t>Sintis</w:t>
      </w:r>
      <w:proofErr w:type="spellEnd"/>
      <w:r w:rsidR="00204FC0" w:rsidRPr="00204FC0">
        <w:t xml:space="preserve"> et des </w:t>
      </w:r>
      <w:proofErr w:type="spellStart"/>
      <w:r w:rsidR="00204FC0" w:rsidRPr="00204FC0">
        <w:t>Roms</w:t>
      </w:r>
      <w:proofErr w:type="spellEnd"/>
      <w:r w:rsidR="00204FC0" w:rsidRPr="00204FC0">
        <w:t xml:space="preserve"> allemands n</w:t>
      </w:r>
      <w:r w:rsidR="00F9464F">
        <w:t>’</w:t>
      </w:r>
      <w:r w:rsidR="00204FC0" w:rsidRPr="00204FC0">
        <w:t>ont pas qualité pour soumettre une communication au titre du paragraphe 1 de l</w:t>
      </w:r>
      <w:r w:rsidR="00F9464F">
        <w:t>’</w:t>
      </w:r>
      <w:r w:rsidR="00204FC0" w:rsidRPr="00204FC0">
        <w:t>article 14 de la Convention. Il affirme que seules les personnes ou les groupes de personnes qui se déclarent victimes d</w:t>
      </w:r>
      <w:r w:rsidR="00F9464F">
        <w:t>’</w:t>
      </w:r>
      <w:r w:rsidR="00204FC0" w:rsidRPr="00204FC0">
        <w:t>une violation d</w:t>
      </w:r>
      <w:r w:rsidR="00F9464F">
        <w:t>’</w:t>
      </w:r>
      <w:r w:rsidR="00204FC0" w:rsidRPr="00204FC0">
        <w:t>un droit énoncé dans la Convention peuvent adresser des communication</w:t>
      </w:r>
      <w:r w:rsidR="00406730">
        <w:t>s au Comité. Aucune de ces deux </w:t>
      </w:r>
      <w:r w:rsidR="00204FC0" w:rsidRPr="00204FC0">
        <w:t>ass</w:t>
      </w:r>
      <w:r>
        <w:t>ociations ne se dit victime d</w:t>
      </w:r>
      <w:r w:rsidR="00F9464F">
        <w:t>’</w:t>
      </w:r>
      <w:r>
        <w:t xml:space="preserve">une </w:t>
      </w:r>
      <w:r w:rsidR="00204FC0" w:rsidRPr="00204FC0">
        <w:t>action ou de l</w:t>
      </w:r>
      <w:r w:rsidR="00F9464F">
        <w:t>’</w:t>
      </w:r>
      <w:r w:rsidR="00204FC0" w:rsidRPr="00204FC0">
        <w:t>inaction de l</w:t>
      </w:r>
      <w:r w:rsidR="00F9464F">
        <w:t>’</w:t>
      </w:r>
      <w:r w:rsidR="00204FC0" w:rsidRPr="00204FC0">
        <w:t>Ét</w:t>
      </w:r>
      <w:r>
        <w:t>at, et ne peuvent donc revendique</w:t>
      </w:r>
      <w:r w:rsidR="00FB29A2">
        <w:t>r</w:t>
      </w:r>
      <w:r w:rsidR="00204FC0" w:rsidRPr="00204FC0">
        <w:t xml:space="preserve"> la dignité due aux</w:t>
      </w:r>
      <w:r>
        <w:t xml:space="preserve"> personnes. De plus, la</w:t>
      </w:r>
      <w:r w:rsidR="00204FC0" w:rsidRPr="00204FC0">
        <w:t xml:space="preserve"> communication diffère d</w:t>
      </w:r>
      <w:r w:rsidR="00F9464F">
        <w:t>’</w:t>
      </w:r>
      <w:r w:rsidR="00204FC0" w:rsidRPr="00204FC0">
        <w:t xml:space="preserve">une </w:t>
      </w:r>
      <w:r>
        <w:t>autre affaire sur laquelle le</w:t>
      </w:r>
      <w:r w:rsidR="00204FC0" w:rsidRPr="00204FC0">
        <w:t xml:space="preserve"> Comité</w:t>
      </w:r>
      <w:r w:rsidR="00204FC0" w:rsidRPr="00204FC0">
        <w:rPr>
          <w:b/>
          <w:vertAlign w:val="superscript"/>
        </w:rPr>
        <w:footnoteReference w:id="3"/>
      </w:r>
      <w:r w:rsidR="00204FC0" w:rsidRPr="00204FC0">
        <w:t xml:space="preserve"> </w:t>
      </w:r>
      <w:r>
        <w:t xml:space="preserve">avait eu à se prononcer </w:t>
      </w:r>
      <w:r w:rsidR="00BF2BC3">
        <w:t>en l’</w:t>
      </w:r>
      <w:r w:rsidR="00BF2BC3" w:rsidRPr="00204FC0">
        <w:t>espèce</w:t>
      </w:r>
      <w:r w:rsidR="00BF2BC3">
        <w:t xml:space="preserve"> </w:t>
      </w:r>
      <w:r w:rsidR="006C50A4">
        <w:t xml:space="preserve">en ce que </w:t>
      </w:r>
      <w:r w:rsidR="006C50A4" w:rsidRPr="00204FC0">
        <w:t>les plaignants</w:t>
      </w:r>
      <w:r w:rsidR="006C50A4">
        <w:t xml:space="preserve"> ne dénonc</w:t>
      </w:r>
      <w:r w:rsidR="00204FC0" w:rsidRPr="00204FC0">
        <w:t>ent pas une atteinte à leur travail et ne déclarent pas être victimes en tant qu</w:t>
      </w:r>
      <w:r w:rsidR="00F9464F">
        <w:t>’</w:t>
      </w:r>
      <w:r w:rsidR="00204FC0" w:rsidRPr="00204FC0">
        <w:t>organisations.</w:t>
      </w:r>
    </w:p>
    <w:p w:rsidR="00204FC0" w:rsidRPr="00204FC0" w:rsidRDefault="00204FC0" w:rsidP="00845067">
      <w:pPr>
        <w:spacing w:after="240"/>
      </w:pPr>
      <w:r w:rsidRPr="00204FC0">
        <w:t>4.2</w:t>
      </w:r>
      <w:r w:rsidRPr="00204FC0">
        <w:tab/>
        <w:t>L</w:t>
      </w:r>
      <w:r w:rsidR="00F9464F">
        <w:t>’</w:t>
      </w:r>
      <w:r w:rsidRPr="00204FC0">
        <w:t>État partie fait valoir qu</w:t>
      </w:r>
      <w:r w:rsidR="00F9464F">
        <w:t>’</w:t>
      </w:r>
      <w:r w:rsidR="006C50A4">
        <w:t>aucun des auteur</w:t>
      </w:r>
      <w:r w:rsidRPr="00204FC0">
        <w:t>s n</w:t>
      </w:r>
      <w:r w:rsidR="00F9464F">
        <w:t>’</w:t>
      </w:r>
      <w:r w:rsidRPr="00204FC0">
        <w:t xml:space="preserve">a étayé les </w:t>
      </w:r>
      <w:r w:rsidR="00FB29A2">
        <w:t>griefs</w:t>
      </w:r>
      <w:r w:rsidRPr="00204FC0">
        <w:t xml:space="preserve"> </w:t>
      </w:r>
      <w:r w:rsidR="006C50A4">
        <w:t xml:space="preserve">de violation </w:t>
      </w:r>
      <w:r w:rsidRPr="00204FC0">
        <w:t>de l</w:t>
      </w:r>
      <w:r w:rsidR="00F9464F">
        <w:t>’</w:t>
      </w:r>
      <w:r w:rsidR="006C50A4">
        <w:t>article 4 a) et </w:t>
      </w:r>
      <w:r w:rsidRPr="00204FC0">
        <w:t>c) de la Convention, et qu</w:t>
      </w:r>
      <w:r w:rsidR="00F9464F">
        <w:t>’</w:t>
      </w:r>
      <w:r w:rsidRPr="00204FC0">
        <w:t>aucun n</w:t>
      </w:r>
      <w:r w:rsidR="00F9464F">
        <w:t>’</w:t>
      </w:r>
      <w:r w:rsidRPr="00204FC0">
        <w:t>a épuisé les recours internes comme l</w:t>
      </w:r>
      <w:r w:rsidR="00F9464F">
        <w:t>’</w:t>
      </w:r>
      <w:r w:rsidR="006C50A4">
        <w:t>exige le paragraphe </w:t>
      </w:r>
      <w:r w:rsidRPr="00204FC0">
        <w:t>2 de l</w:t>
      </w:r>
      <w:r w:rsidR="00F9464F">
        <w:t>’</w:t>
      </w:r>
      <w:r w:rsidR="006C50A4">
        <w:t>article 14</w:t>
      </w:r>
      <w:r w:rsidRPr="00204FC0">
        <w:t>. Il ajoute que les recours internes comprennent l</w:t>
      </w:r>
      <w:r w:rsidR="00F9464F">
        <w:t>’</w:t>
      </w:r>
      <w:r w:rsidRPr="00204FC0">
        <w:t>appel devant la Cour constitutionnelle fédérale et qu</w:t>
      </w:r>
      <w:r w:rsidR="00F9464F">
        <w:t>’</w:t>
      </w:r>
      <w:r w:rsidRPr="00204FC0">
        <w:t xml:space="preserve">aucun </w:t>
      </w:r>
      <w:r w:rsidR="006C50A4">
        <w:t>des auteurs ne s’</w:t>
      </w:r>
      <w:r w:rsidR="00FB29A2">
        <w:t>es</w:t>
      </w:r>
      <w:r w:rsidR="006C50A4">
        <w:t xml:space="preserve">t prévalu de ce recours, alors que rien ne permettait de penser qu’il </w:t>
      </w:r>
      <w:r w:rsidR="006C50A4" w:rsidRPr="00204FC0">
        <w:t>était voué à l</w:t>
      </w:r>
      <w:r w:rsidR="006C50A4">
        <w:t>’</w:t>
      </w:r>
      <w:r w:rsidR="006C50A4" w:rsidRPr="00204FC0">
        <w:t>échec</w:t>
      </w:r>
      <w:r w:rsidR="006C50A4">
        <w:t xml:space="preserve">. </w:t>
      </w:r>
      <w:r w:rsidR="006C50A4" w:rsidRPr="00204FC0">
        <w:t>L</w:t>
      </w:r>
      <w:r w:rsidR="006C50A4">
        <w:t>’</w:t>
      </w:r>
      <w:r w:rsidR="006C50A4" w:rsidRPr="00204FC0">
        <w:t>État part</w:t>
      </w:r>
      <w:r w:rsidR="006C50A4">
        <w:t xml:space="preserve">ie fait valoir </w:t>
      </w:r>
      <w:r w:rsidR="006C50A4" w:rsidRPr="00204FC0">
        <w:t>dans sa décision du 15 mai 2006</w:t>
      </w:r>
      <w:r w:rsidRPr="00204FC0">
        <w:t xml:space="preserve"> que </w:t>
      </w:r>
      <w:r w:rsidR="006C50A4">
        <w:t xml:space="preserve">la Cour suprême du </w:t>
      </w:r>
      <w:proofErr w:type="spellStart"/>
      <w:r w:rsidR="006C50A4">
        <w:t>Brandenbourg</w:t>
      </w:r>
      <w:proofErr w:type="spellEnd"/>
      <w:r w:rsidRPr="00204FC0">
        <w:t xml:space="preserve"> </w:t>
      </w:r>
      <w:r w:rsidR="006C50A4">
        <w:t xml:space="preserve">a déclaré la demande des deux premiers </w:t>
      </w:r>
      <w:proofErr w:type="spellStart"/>
      <w:r w:rsidR="006C50A4">
        <w:t>recourants</w:t>
      </w:r>
      <w:proofErr w:type="spellEnd"/>
      <w:r w:rsidR="006C50A4">
        <w:t xml:space="preserve"> </w:t>
      </w:r>
      <w:r w:rsidRPr="00204FC0">
        <w:t xml:space="preserve">irrecevable </w:t>
      </w:r>
      <w:r w:rsidR="006C50A4">
        <w:t>uniquement pour le</w:t>
      </w:r>
      <w:r w:rsidRPr="00204FC0">
        <w:t xml:space="preserve"> motif qu</w:t>
      </w:r>
      <w:r w:rsidR="00F9464F">
        <w:t>’</w:t>
      </w:r>
      <w:r w:rsidRPr="00204FC0">
        <w:t>ils n</w:t>
      </w:r>
      <w:r w:rsidR="00F9464F">
        <w:t>’</w:t>
      </w:r>
      <w:r w:rsidRPr="00204FC0">
        <w:t>avaien</w:t>
      </w:r>
      <w:r w:rsidR="006C50A4">
        <w:t>t pas la qualité de victime. Il </w:t>
      </w:r>
      <w:r w:rsidRPr="00204FC0">
        <w:t>considère, au moins en ce qui concern</w:t>
      </w:r>
      <w:r w:rsidR="006C50A4">
        <w:t>e les auteur</w:t>
      </w:r>
      <w:r w:rsidRPr="00204FC0">
        <w:t xml:space="preserve">s qui sont des personnes physiques, que la Cour constitutionnelle fédérale aurait pu examiner le jugement émis par la Cour suprême du </w:t>
      </w:r>
      <w:proofErr w:type="spellStart"/>
      <w:r w:rsidRPr="00204FC0">
        <w:t>Brandenbourg</w:t>
      </w:r>
      <w:proofErr w:type="spellEnd"/>
      <w:r w:rsidRPr="00204FC0">
        <w:t xml:space="preserve"> sur la liberté d</w:t>
      </w:r>
      <w:r w:rsidR="00F9464F">
        <w:t>’</w:t>
      </w:r>
      <w:r w:rsidRPr="00204FC0">
        <w:t>expression, garanti</w:t>
      </w:r>
      <w:r w:rsidR="006C50A4">
        <w:t>e</w:t>
      </w:r>
      <w:r w:rsidRPr="00204FC0">
        <w:t xml:space="preserve"> par l</w:t>
      </w:r>
      <w:r w:rsidR="00F9464F">
        <w:t>’</w:t>
      </w:r>
      <w:r w:rsidR="006C50A4">
        <w:t>article </w:t>
      </w:r>
      <w:r w:rsidRPr="00204FC0">
        <w:t xml:space="preserve">5 de </w:t>
      </w:r>
      <w:r w:rsidR="006C50A4">
        <w:t xml:space="preserve">la </w:t>
      </w:r>
      <w:r w:rsidR="00BF2BC3">
        <w:t>L</w:t>
      </w:r>
      <w:r w:rsidR="006C50A4">
        <w:t>oi fondamentale allemande. Pour ce qui est de G. </w:t>
      </w:r>
      <w:r w:rsidRPr="00204FC0">
        <w:t>W., l</w:t>
      </w:r>
      <w:r w:rsidR="00F9464F">
        <w:t>’</w:t>
      </w:r>
      <w:r w:rsidRPr="00204FC0">
        <w:t>État partie note que ce dernier n</w:t>
      </w:r>
      <w:r w:rsidR="00F9464F">
        <w:t>’</w:t>
      </w:r>
      <w:r w:rsidR="006C50A4">
        <w:t xml:space="preserve">a pas engagé d’action </w:t>
      </w:r>
      <w:r w:rsidRPr="00204FC0">
        <w:t>pénal</w:t>
      </w:r>
      <w:r w:rsidR="006C50A4">
        <w:t>e</w:t>
      </w:r>
      <w:r w:rsidRPr="00204FC0">
        <w:t xml:space="preserve"> alors qu</w:t>
      </w:r>
      <w:r w:rsidR="00F9464F">
        <w:t>’</w:t>
      </w:r>
      <w:r w:rsidRPr="00204FC0">
        <w:t>i</w:t>
      </w:r>
      <w:r w:rsidR="006C50A4">
        <w:t xml:space="preserve">l en avait la possibilité. Pour </w:t>
      </w:r>
      <w:r w:rsidRPr="00204FC0">
        <w:t>cette seule raison, il n</w:t>
      </w:r>
      <w:r w:rsidR="00F9464F">
        <w:t>’</w:t>
      </w:r>
      <w:r w:rsidRPr="00204FC0">
        <w:t>a pas épuisé les recours internes qui étaient à sa disposition et potentiellement utiles.</w:t>
      </w:r>
    </w:p>
    <w:p w:rsidR="00204FC0" w:rsidRPr="00204FC0" w:rsidRDefault="00204FC0" w:rsidP="00845067">
      <w:pPr>
        <w:spacing w:after="240"/>
      </w:pPr>
      <w:r w:rsidRPr="00204FC0">
        <w:t>4.3</w:t>
      </w:r>
      <w:r w:rsidRPr="00204FC0">
        <w:tab/>
        <w:t>Sur le fond, l</w:t>
      </w:r>
      <w:r w:rsidR="00F9464F">
        <w:t>’</w:t>
      </w:r>
      <w:r w:rsidRPr="00204FC0">
        <w:t>État partie nie qu</w:t>
      </w:r>
      <w:r w:rsidR="00F9464F">
        <w:t>’</w:t>
      </w:r>
      <w:r w:rsidRPr="00204FC0">
        <w:t>il y ait eu une violation de l</w:t>
      </w:r>
      <w:r w:rsidR="00F9464F">
        <w:t>’</w:t>
      </w:r>
      <w:r w:rsidR="006C50A4">
        <w:t>article 4 a) et </w:t>
      </w:r>
      <w:r w:rsidRPr="00204FC0">
        <w:t>c) et de l</w:t>
      </w:r>
      <w:r w:rsidR="00F9464F">
        <w:t>’</w:t>
      </w:r>
      <w:r w:rsidR="006C50A4">
        <w:t>article </w:t>
      </w:r>
      <w:r w:rsidRPr="00204FC0">
        <w:t>6 de la Convention. En ce qui concerne l</w:t>
      </w:r>
      <w:r w:rsidR="00F9464F">
        <w:t>’</w:t>
      </w:r>
      <w:r w:rsidR="006C50A4">
        <w:t>article 4 </w:t>
      </w:r>
      <w:r w:rsidRPr="00204FC0">
        <w:t>a), l</w:t>
      </w:r>
      <w:r w:rsidR="00F9464F">
        <w:t>’</w:t>
      </w:r>
      <w:r w:rsidRPr="00204FC0">
        <w:t>État partie maintient que toutes les catégories d</w:t>
      </w:r>
      <w:r w:rsidR="00F9464F">
        <w:t>’</w:t>
      </w:r>
      <w:r w:rsidRPr="00204FC0">
        <w:t>infraction qui y sont visé</w:t>
      </w:r>
      <w:r w:rsidR="006C50A4">
        <w:t>es tombent sous le coup de la loi</w:t>
      </w:r>
      <w:r w:rsidRPr="00204FC0">
        <w:t xml:space="preserve"> pénale allemande, en particulier l</w:t>
      </w:r>
      <w:r w:rsidR="00F9464F">
        <w:t>’</w:t>
      </w:r>
      <w:r w:rsidRPr="00204FC0">
        <w:t>incitation à la haine raciale ou ethnique («</w:t>
      </w:r>
      <w:proofErr w:type="spellStart"/>
      <w:r w:rsidRPr="00204FC0">
        <w:t>Volksverhetzung</w:t>
      </w:r>
      <w:proofErr w:type="spellEnd"/>
      <w:r w:rsidRPr="00204FC0">
        <w:t>») visée à l</w:t>
      </w:r>
      <w:r w:rsidR="00F9464F">
        <w:t>’</w:t>
      </w:r>
      <w:r w:rsidRPr="00204FC0">
        <w:t>article 130 du Code pénal</w:t>
      </w:r>
      <w:r w:rsidRPr="00204FC0">
        <w:rPr>
          <w:b/>
          <w:vertAlign w:val="superscript"/>
        </w:rPr>
        <w:footnoteReference w:id="4"/>
      </w:r>
      <w:r w:rsidRPr="00204FC0">
        <w:t>. De plus, le Code pénal contient d</w:t>
      </w:r>
      <w:r w:rsidR="00F9464F">
        <w:t>’</w:t>
      </w:r>
      <w:r w:rsidRPr="00204FC0">
        <w:t>autres dispositions qui incriminent les actes racistes et xénophobes, par exemple l</w:t>
      </w:r>
      <w:r w:rsidR="00F9464F">
        <w:t>’</w:t>
      </w:r>
      <w:r w:rsidR="006C50A4">
        <w:t>article </w:t>
      </w:r>
      <w:r w:rsidRPr="00204FC0">
        <w:t>86 (diffusion de propagande par des organisations inconstitutionnelles) et l</w:t>
      </w:r>
      <w:r w:rsidR="00F9464F">
        <w:t>’</w:t>
      </w:r>
      <w:r w:rsidR="006C50A4">
        <w:t>article 86 </w:t>
      </w:r>
      <w:r w:rsidRPr="00204FC0">
        <w:t>a) (utilisation de symboles par des organisations inconstitutionnelles). Les obligations découlant de l</w:t>
      </w:r>
      <w:r w:rsidR="00F9464F">
        <w:t>’</w:t>
      </w:r>
      <w:r w:rsidR="006C50A4">
        <w:t>article 4 </w:t>
      </w:r>
      <w:r w:rsidRPr="00204FC0">
        <w:t>a) de la Convention ont donc été pleinement prises en compte par l</w:t>
      </w:r>
      <w:r w:rsidR="00F9464F">
        <w:t>’</w:t>
      </w:r>
      <w:r w:rsidR="006C50A4">
        <w:t>article </w:t>
      </w:r>
      <w:r w:rsidRPr="00204FC0">
        <w:t>130 du Code pénal et la protection n</w:t>
      </w:r>
      <w:r w:rsidR="00F9464F">
        <w:t>’</w:t>
      </w:r>
      <w:r w:rsidRPr="00204FC0">
        <w:t>a pas de lacunes à cet égard. Le fait que certains actes de dis</w:t>
      </w:r>
      <w:r w:rsidR="006C50A4">
        <w:t>crimination ne soient pas expressément énoncés</w:t>
      </w:r>
      <w:r w:rsidRPr="00204FC0">
        <w:t xml:space="preserve"> dans la disposition n</w:t>
      </w:r>
      <w:r w:rsidR="00F9464F">
        <w:t>’</w:t>
      </w:r>
      <w:r w:rsidRPr="00204FC0">
        <w:t>est pas contraire à la Convention. La liste figurant à l</w:t>
      </w:r>
      <w:r w:rsidR="00F9464F">
        <w:t>’</w:t>
      </w:r>
      <w:r w:rsidR="006C50A4">
        <w:t>article 4 </w:t>
      </w:r>
      <w:r w:rsidRPr="00204FC0">
        <w:t>a) de la Convention n</w:t>
      </w:r>
      <w:r w:rsidR="00F9464F">
        <w:t>’</w:t>
      </w:r>
      <w:r w:rsidRPr="00204FC0">
        <w:t>énumère pas tous les actes de discrimination imaginables, mais vise plutôt les actes de violence ou ceux qui ont pour but la propagande raciste.</w:t>
      </w:r>
    </w:p>
    <w:p w:rsidR="00204FC0" w:rsidRPr="00204FC0" w:rsidRDefault="00204FC0" w:rsidP="00845067">
      <w:pPr>
        <w:spacing w:after="240"/>
      </w:pPr>
      <w:r w:rsidRPr="00204FC0">
        <w:t>4.4</w:t>
      </w:r>
      <w:r w:rsidRPr="00204FC0">
        <w:tab/>
        <w:t>L</w:t>
      </w:r>
      <w:r w:rsidR="00F9464F">
        <w:t>’</w:t>
      </w:r>
      <w:r w:rsidRPr="00204FC0">
        <w:t>État partie ajoute que, conf</w:t>
      </w:r>
      <w:r w:rsidR="001C73DD">
        <w:t>ormément au paragraphe 2 de la R</w:t>
      </w:r>
      <w:r w:rsidRPr="00204FC0">
        <w:t>ecommandation générale XV, l</w:t>
      </w:r>
      <w:r w:rsidR="00F9464F">
        <w:t>’</w:t>
      </w:r>
      <w:r w:rsidR="001C73DD">
        <w:t>article </w:t>
      </w:r>
      <w:r w:rsidRPr="00204FC0">
        <w:t>130 du Code pénal allemand est effectivement appliqué. La législation pénale prévoit le principe de la légalité des poursuites, qui oblige les autorités chargées des poursuites à mener une enquête d</w:t>
      </w:r>
      <w:r w:rsidR="00F9464F">
        <w:t>’</w:t>
      </w:r>
      <w:r w:rsidRPr="00204FC0">
        <w:t xml:space="preserve">office sur le suspect et à engager une action </w:t>
      </w:r>
      <w:r w:rsidR="001C73DD">
        <w:t xml:space="preserve">publique si nécessaire. En </w:t>
      </w:r>
      <w:r w:rsidRPr="00204FC0">
        <w:t>l</w:t>
      </w:r>
      <w:r w:rsidR="00F9464F">
        <w:t>’</w:t>
      </w:r>
      <w:r w:rsidRPr="00204FC0">
        <w:t>espèce, l</w:t>
      </w:r>
      <w:r w:rsidR="00F9464F">
        <w:t>’</w:t>
      </w:r>
      <w:r w:rsidRPr="00204FC0">
        <w:t>État partie constate que le parquet a réagi immédiatement et que l</w:t>
      </w:r>
      <w:r w:rsidR="00F9464F">
        <w:t>’</w:t>
      </w:r>
      <w:r w:rsidRPr="00204FC0">
        <w:t>affaire a fait l</w:t>
      </w:r>
      <w:r w:rsidR="00F9464F">
        <w:t>’</w:t>
      </w:r>
      <w:r w:rsidRPr="00204FC0">
        <w:t>objet d</w:t>
      </w:r>
      <w:r w:rsidR="00F9464F">
        <w:t>’</w:t>
      </w:r>
      <w:r w:rsidRPr="00204FC0">
        <w:t>une enquête approfondie jusqu</w:t>
      </w:r>
      <w:r w:rsidR="00F9464F">
        <w:t>’</w:t>
      </w:r>
      <w:r w:rsidRPr="00204FC0">
        <w:t>à l</w:t>
      </w:r>
      <w:r w:rsidR="00F9464F">
        <w:t>’</w:t>
      </w:r>
      <w:r w:rsidRPr="00204FC0">
        <w:t xml:space="preserve">achèvement de la procédure par le Procureur du district de </w:t>
      </w:r>
      <w:proofErr w:type="spellStart"/>
      <w:r w:rsidRPr="00204FC0">
        <w:t>Neuruppin</w:t>
      </w:r>
      <w:proofErr w:type="spellEnd"/>
      <w:r w:rsidRPr="00204FC0">
        <w:t>.</w:t>
      </w:r>
    </w:p>
    <w:p w:rsidR="00204FC0" w:rsidRPr="00204FC0" w:rsidRDefault="001C73DD" w:rsidP="00845067">
      <w:pPr>
        <w:spacing w:after="240"/>
      </w:pPr>
      <w:r>
        <w:t>4.5</w:t>
      </w:r>
      <w:r>
        <w:tab/>
        <w:t>En ce qui concerne</w:t>
      </w:r>
      <w:r w:rsidR="00204FC0" w:rsidRPr="00204FC0">
        <w:t xml:space="preserve"> l</w:t>
      </w:r>
      <w:r w:rsidR="00F9464F">
        <w:t>’</w:t>
      </w:r>
      <w:r w:rsidR="00204FC0" w:rsidRPr="00204FC0">
        <w:t>i</w:t>
      </w:r>
      <w:r>
        <w:t>nterprétation et</w:t>
      </w:r>
      <w:r w:rsidR="00204FC0" w:rsidRPr="00204FC0">
        <w:t xml:space="preserve"> l</w:t>
      </w:r>
      <w:r w:rsidR="00F9464F">
        <w:t>’</w:t>
      </w:r>
      <w:r w:rsidR="00204FC0" w:rsidRPr="00204FC0">
        <w:t>application de l</w:t>
      </w:r>
      <w:r w:rsidR="00F9464F">
        <w:t>’</w:t>
      </w:r>
      <w:r>
        <w:t>article </w:t>
      </w:r>
      <w:r w:rsidR="00204FC0" w:rsidRPr="00204FC0">
        <w:t>130 du Code pénal, l</w:t>
      </w:r>
      <w:r w:rsidR="00F9464F">
        <w:t>’</w:t>
      </w:r>
      <w:r w:rsidR="00204FC0" w:rsidRPr="00204FC0">
        <w:t xml:space="preserve">État partie note que le Procureur du district de </w:t>
      </w:r>
      <w:proofErr w:type="spellStart"/>
      <w:r w:rsidR="00204FC0" w:rsidRPr="00204FC0">
        <w:t>Neuruppin</w:t>
      </w:r>
      <w:proofErr w:type="spellEnd"/>
      <w:r w:rsidR="00204FC0" w:rsidRPr="00204FC0">
        <w:t xml:space="preserve">, le Procureur général du </w:t>
      </w:r>
      <w:proofErr w:type="spellStart"/>
      <w:r w:rsidR="00204FC0" w:rsidRPr="00204FC0">
        <w:t>Brandenbourg</w:t>
      </w:r>
      <w:proofErr w:type="spellEnd"/>
      <w:r w:rsidR="00204FC0" w:rsidRPr="00204FC0">
        <w:t xml:space="preserve"> et la Cour suprême du </w:t>
      </w:r>
      <w:proofErr w:type="spellStart"/>
      <w:r w:rsidR="00204FC0" w:rsidRPr="00204FC0">
        <w:t>Brandenbourg</w:t>
      </w:r>
      <w:proofErr w:type="spellEnd"/>
      <w:r w:rsidR="00204FC0" w:rsidRPr="00204FC0">
        <w:t xml:space="preserve"> n</w:t>
      </w:r>
      <w:r w:rsidR="00F9464F">
        <w:t>’</w:t>
      </w:r>
      <w:r w:rsidR="00204FC0" w:rsidRPr="00204FC0">
        <w:t>ont pas estimé que les éléments constitutifs des infractions énoncées à l</w:t>
      </w:r>
      <w:r w:rsidR="00F9464F">
        <w:t>’</w:t>
      </w:r>
      <w:r>
        <w:t>article </w:t>
      </w:r>
      <w:r w:rsidR="00204FC0" w:rsidRPr="00204FC0">
        <w:t>130 ou à l</w:t>
      </w:r>
      <w:r w:rsidR="00F9464F">
        <w:t>’</w:t>
      </w:r>
      <w:r>
        <w:t>article </w:t>
      </w:r>
      <w:r w:rsidR="00204FC0" w:rsidRPr="00204FC0">
        <w:t>185 du Code pénal étaient réunis. Ces décisions montrent que tous les propos discriminatoires ne constituent pas une infraction d</w:t>
      </w:r>
      <w:r w:rsidR="00F9464F">
        <w:t>’</w:t>
      </w:r>
      <w:r w:rsidR="00204FC0" w:rsidRPr="00204FC0">
        <w:t>incitation à la haine raciale ou ethnique, à moins de comporter un élément relatif à l</w:t>
      </w:r>
      <w:r w:rsidR="00F9464F">
        <w:t>’</w:t>
      </w:r>
      <w:r w:rsidR="00204FC0" w:rsidRPr="00204FC0">
        <w:t>objectif de l</w:t>
      </w:r>
      <w:r w:rsidR="00F9464F">
        <w:t>’</w:t>
      </w:r>
      <w:r w:rsidR="00204FC0" w:rsidRPr="00204FC0">
        <w:t>incitation à la haine raciale. L</w:t>
      </w:r>
      <w:r w:rsidR="00F9464F">
        <w:t>’</w:t>
      </w:r>
      <w:r w:rsidR="00204FC0" w:rsidRPr="00204FC0">
        <w:t xml:space="preserve">État partie rappelle que </w:t>
      </w:r>
      <w:r>
        <w:t xml:space="preserve">dans toutes les décisions </w:t>
      </w:r>
      <w:r w:rsidR="00204FC0" w:rsidRPr="00204FC0">
        <w:t xml:space="preserve">mentionnées </w:t>
      </w:r>
      <w:r>
        <w:t>il était relevé</w:t>
      </w:r>
      <w:r w:rsidR="00204FC0" w:rsidRPr="00204FC0">
        <w:t xml:space="preserve"> que les propos contenus dans la lettre étaient «déplacés», «de mauvais goût» et «injurieux et offensants». Il fait observer que </w:t>
      </w:r>
      <w:r w:rsidR="00872D9E">
        <w:t xml:space="preserve">ce qu’il faut déterminer avant tout c’est </w:t>
      </w:r>
      <w:r w:rsidR="00204FC0" w:rsidRPr="00204FC0">
        <w:t>si les tribunaux ont correctement interprété les dispositions pertinentes du Code pénal. Il rappelle que les États parties ont une certaine latitude pour la mise en œuvre des obligations découlant de la Convention, en particulier en ce qui concerne l</w:t>
      </w:r>
      <w:r w:rsidR="00F9464F">
        <w:t>’</w:t>
      </w:r>
      <w:r w:rsidR="00204FC0" w:rsidRPr="00204FC0">
        <w:t>interpr</w:t>
      </w:r>
      <w:r w:rsidR="00872D9E">
        <w:t>étation de leurs normes légal</w:t>
      </w:r>
      <w:r w:rsidR="00204FC0" w:rsidRPr="00204FC0">
        <w:t>es nationales. En ce qui con</w:t>
      </w:r>
      <w:r w:rsidR="00872D9E">
        <w:t>cerne les conséquences pour P. L. il signal</w:t>
      </w:r>
      <w:r w:rsidR="00204FC0" w:rsidRPr="00204FC0">
        <w:t xml:space="preserve">e que des mesures disciplinaires ont </w:t>
      </w:r>
      <w:r w:rsidR="00872D9E">
        <w:t xml:space="preserve">bien </w:t>
      </w:r>
      <w:r w:rsidR="00204FC0" w:rsidRPr="00204FC0">
        <w:t>été prises à son encontre.</w:t>
      </w:r>
    </w:p>
    <w:p w:rsidR="00204FC0" w:rsidRPr="00204FC0" w:rsidRDefault="00AF035C" w:rsidP="00845067">
      <w:pPr>
        <w:spacing w:after="240"/>
      </w:pPr>
      <w:r>
        <w:t>4.6</w:t>
      </w:r>
      <w:r>
        <w:tab/>
        <w:t>Pour ce qui est</w:t>
      </w:r>
      <w:r w:rsidR="00204FC0" w:rsidRPr="00204FC0">
        <w:t xml:space="preserve"> de l</w:t>
      </w:r>
      <w:r w:rsidR="00F9464F">
        <w:t>’</w:t>
      </w:r>
      <w:r>
        <w:t>article 4 </w:t>
      </w:r>
      <w:r w:rsidR="00204FC0" w:rsidRPr="00204FC0">
        <w:t>c) de la Convention, l</w:t>
      </w:r>
      <w:r w:rsidR="00F9464F">
        <w:t>’</w:t>
      </w:r>
      <w:r w:rsidR="00204FC0" w:rsidRPr="00204FC0">
        <w:t xml:space="preserve">État partie nie en avoir violé les dispositions. Il fait observer que </w:t>
      </w:r>
      <w:r w:rsidR="00204FC0" w:rsidRPr="00204FC0">
        <w:rPr>
          <w:i/>
          <w:iCs/>
        </w:rPr>
        <w:t xml:space="preserve">Der </w:t>
      </w:r>
      <w:proofErr w:type="spellStart"/>
      <w:r w:rsidR="00204FC0" w:rsidRPr="00204FC0">
        <w:rPr>
          <w:i/>
          <w:iCs/>
        </w:rPr>
        <w:t>Kriminalist</w:t>
      </w:r>
      <w:proofErr w:type="spellEnd"/>
      <w:r w:rsidR="00204FC0" w:rsidRPr="00204FC0">
        <w:rPr>
          <w:i/>
          <w:iCs/>
        </w:rPr>
        <w:t xml:space="preserve"> </w:t>
      </w:r>
      <w:r w:rsidR="00204FC0" w:rsidRPr="00204FC0">
        <w:t>n</w:t>
      </w:r>
      <w:r w:rsidR="00F9464F">
        <w:t>’</w:t>
      </w:r>
      <w:r w:rsidR="00204FC0" w:rsidRPr="00204FC0">
        <w:t>est pas publié par une autorité ou une institution publiques, mais par une association professionnelle. L</w:t>
      </w:r>
      <w:r w:rsidR="00F9464F">
        <w:t>’</w:t>
      </w:r>
      <w:r w:rsidR="00204FC0" w:rsidRPr="00204FC0">
        <w:t>auteur de la le</w:t>
      </w:r>
      <w:r>
        <w:t>ttre a pu</w:t>
      </w:r>
      <w:r w:rsidR="0092173E">
        <w:t xml:space="preserve">blié </w:t>
      </w:r>
      <w:proofErr w:type="spellStart"/>
      <w:r w:rsidR="0092173E">
        <w:t>celle</w:t>
      </w:r>
      <w:r w:rsidR="0092173E">
        <w:noBreakHyphen/>
      </w:r>
      <w:r>
        <w:t>ci</w:t>
      </w:r>
      <w:proofErr w:type="spellEnd"/>
      <w:r>
        <w:t xml:space="preserve"> à titre</w:t>
      </w:r>
      <w:r w:rsidR="00204FC0" w:rsidRPr="00204FC0">
        <w:t xml:space="preserve"> personne</w:t>
      </w:r>
      <w:r>
        <w:t>l</w:t>
      </w:r>
      <w:r w:rsidR="00204FC0" w:rsidRPr="00204FC0">
        <w:t>, et non dans l</w:t>
      </w:r>
      <w:r w:rsidR="00F9464F">
        <w:t>’</w:t>
      </w:r>
      <w:r w:rsidR="00204FC0" w:rsidRPr="00204FC0">
        <w:t>exercice de ses fonctions. L</w:t>
      </w:r>
      <w:r w:rsidR="00F9464F">
        <w:t>’</w:t>
      </w:r>
      <w:r w:rsidR="00204FC0" w:rsidRPr="00204FC0">
        <w:t xml:space="preserve">absence de poursuites et de condamnation par le ministère public ne peut </w:t>
      </w:r>
      <w:r>
        <w:t xml:space="preserve">pas </w:t>
      </w:r>
      <w:r w:rsidR="00204FC0" w:rsidRPr="00204FC0">
        <w:t>être considérée comme une violation de</w:t>
      </w:r>
      <w:r>
        <w:t xml:space="preserve">s dispositions en cause, car pour qu’il y ait encouragement ou </w:t>
      </w:r>
      <w:r w:rsidR="00204FC0" w:rsidRPr="00204FC0">
        <w:t xml:space="preserve">incitation </w:t>
      </w:r>
      <w:r>
        <w:t>il faut</w:t>
      </w:r>
      <w:r w:rsidR="00204FC0" w:rsidRPr="00204FC0">
        <w:t xml:space="preserve"> beaucoup plus que de simplement s</w:t>
      </w:r>
      <w:r w:rsidR="00F9464F">
        <w:t>’</w:t>
      </w:r>
      <w:r w:rsidR="00204FC0" w:rsidRPr="00204FC0">
        <w:t>abstenir d</w:t>
      </w:r>
      <w:r w:rsidR="00F9464F">
        <w:t>’</w:t>
      </w:r>
      <w:r w:rsidR="00204FC0" w:rsidRPr="00204FC0">
        <w:t xml:space="preserve">engager des poursuites pénales. </w:t>
      </w:r>
    </w:p>
    <w:p w:rsidR="00204FC0" w:rsidRPr="00204FC0" w:rsidRDefault="00AF035C" w:rsidP="00845067">
      <w:pPr>
        <w:spacing w:after="240"/>
      </w:pPr>
      <w:r>
        <w:t>4.7</w:t>
      </w:r>
      <w:r>
        <w:tab/>
        <w:t>Enfin, en ce qui concerne</w:t>
      </w:r>
      <w:r w:rsidR="00204FC0" w:rsidRPr="00204FC0">
        <w:t xml:space="preserve"> l</w:t>
      </w:r>
      <w:r w:rsidR="00F9464F">
        <w:t>’</w:t>
      </w:r>
      <w:r>
        <w:t>article </w:t>
      </w:r>
      <w:r w:rsidR="00204FC0" w:rsidRPr="00204FC0">
        <w:t>6 de la Convention, l</w:t>
      </w:r>
      <w:r w:rsidR="00F9464F">
        <w:t>’</w:t>
      </w:r>
      <w:r w:rsidR="00204FC0" w:rsidRPr="00204FC0">
        <w:t>État partie maintient qu</w:t>
      </w:r>
      <w:r w:rsidR="00F9464F">
        <w:t>’</w:t>
      </w:r>
      <w:r w:rsidR="00204FC0" w:rsidRPr="00204FC0">
        <w:t>en l</w:t>
      </w:r>
      <w:r w:rsidR="00F9464F">
        <w:t>’</w:t>
      </w:r>
      <w:r w:rsidR="00204FC0" w:rsidRPr="00204FC0">
        <w:t>espèce, les autorités chargées des poursuites pénales ont agi rapidement et se sont pleinement acquittées de leurs obligations de protection effective en ouvrant immédiatement une enquête à l</w:t>
      </w:r>
      <w:r w:rsidR="00F9464F">
        <w:t>’</w:t>
      </w:r>
      <w:r>
        <w:t>encontre de P. </w:t>
      </w:r>
      <w:r w:rsidR="00204FC0" w:rsidRPr="00204FC0">
        <w:t>L. Après un examen approfondi, les autorités ont conclu que le chef d</w:t>
      </w:r>
      <w:r w:rsidR="00F9464F">
        <w:t>’</w:t>
      </w:r>
      <w:r w:rsidR="00204FC0" w:rsidRPr="00204FC0">
        <w:t>incitation à la haine raciale ou ethnique ne pouvait pas être établi et ont clos la procédure.</w:t>
      </w:r>
    </w:p>
    <w:p w:rsidR="00204FC0" w:rsidRPr="00204FC0" w:rsidRDefault="00AF035C" w:rsidP="00AF035C">
      <w:pPr>
        <w:keepNext/>
        <w:spacing w:after="240"/>
        <w:rPr>
          <w:b/>
          <w:bCs/>
        </w:rPr>
      </w:pPr>
      <w:r>
        <w:rPr>
          <w:b/>
          <w:bCs/>
        </w:rPr>
        <w:t>Commentaires des auteur</w:t>
      </w:r>
      <w:r w:rsidR="00204FC0" w:rsidRPr="00204FC0">
        <w:rPr>
          <w:b/>
          <w:bCs/>
        </w:rPr>
        <w:t>s</w:t>
      </w:r>
    </w:p>
    <w:p w:rsidR="00204FC0" w:rsidRPr="00204FC0" w:rsidRDefault="00AF035C" w:rsidP="00845067">
      <w:pPr>
        <w:spacing w:after="240"/>
      </w:pPr>
      <w:r>
        <w:t>5.1</w:t>
      </w:r>
      <w:r>
        <w:tab/>
        <w:t>Dans une réponse du 7 mars </w:t>
      </w:r>
      <w:r w:rsidR="00204FC0" w:rsidRPr="00204FC0">
        <w:t>2007, les auteurs ont commenté les observations de l</w:t>
      </w:r>
      <w:r w:rsidR="00F9464F">
        <w:t>’</w:t>
      </w:r>
      <w:r w:rsidR="00204FC0" w:rsidRPr="00204FC0">
        <w:t>État partie. Ils notent que les autorités allemandes n</w:t>
      </w:r>
      <w:r w:rsidR="00F9464F">
        <w:t>’</w:t>
      </w:r>
      <w:r w:rsidR="00204FC0" w:rsidRPr="00204FC0">
        <w:t>ont pas ouvert d</w:t>
      </w:r>
      <w:r w:rsidR="00F9464F">
        <w:t>’</w:t>
      </w:r>
      <w:r w:rsidR="00204FC0" w:rsidRPr="00204FC0">
        <w:t>enquête d</w:t>
      </w:r>
      <w:r w:rsidR="00F9464F">
        <w:t>’</w:t>
      </w:r>
      <w:r w:rsidR="00204FC0" w:rsidRPr="00204FC0">
        <w:t>office sur l</w:t>
      </w:r>
      <w:r w:rsidR="00F9464F">
        <w:t>’</w:t>
      </w:r>
      <w:r w:rsidR="00204FC0" w:rsidRPr="00204FC0">
        <w:t>affaire, mais qu</w:t>
      </w:r>
      <w:r w:rsidR="00F9464F">
        <w:t>’</w:t>
      </w:r>
      <w:r w:rsidR="00204FC0" w:rsidRPr="00204FC0">
        <w:t>elles ont été poussées à agir par la plainte déposée par l</w:t>
      </w:r>
      <w:r w:rsidR="00F9464F">
        <w:t>’</w:t>
      </w:r>
      <w:r>
        <w:t>un des plaignants (le </w:t>
      </w:r>
      <w:r w:rsidR="00204FC0" w:rsidRPr="00204FC0">
        <w:t xml:space="preserve">Conseil central des </w:t>
      </w:r>
      <w:proofErr w:type="spellStart"/>
      <w:r w:rsidR="00204FC0" w:rsidRPr="00204FC0">
        <w:t>Sintis</w:t>
      </w:r>
      <w:proofErr w:type="spellEnd"/>
      <w:r w:rsidR="00204FC0" w:rsidRPr="00204FC0">
        <w:t xml:space="preserve"> et des </w:t>
      </w:r>
      <w:proofErr w:type="spellStart"/>
      <w:r w:rsidR="00204FC0" w:rsidRPr="00204FC0">
        <w:t>Roms</w:t>
      </w:r>
      <w:proofErr w:type="spellEnd"/>
      <w:r w:rsidR="00204FC0" w:rsidRPr="00204FC0">
        <w:t xml:space="preserve"> allemands). Ils ajoutent qu</w:t>
      </w:r>
      <w:r w:rsidR="00F9464F">
        <w:t>’</w:t>
      </w:r>
      <w:r w:rsidR="00204FC0" w:rsidRPr="00204FC0">
        <w:t>à ce jour le syndicat de police n</w:t>
      </w:r>
      <w:r w:rsidR="00F9464F">
        <w:t>’</w:t>
      </w:r>
      <w:r w:rsidR="00204FC0" w:rsidRPr="00204FC0">
        <w:t>a en aucune manière désavoué l</w:t>
      </w:r>
      <w:r w:rsidR="00F9464F">
        <w:t>’</w:t>
      </w:r>
      <w:r>
        <w:t>article de P. </w:t>
      </w:r>
      <w:r w:rsidR="00204FC0" w:rsidRPr="00204FC0">
        <w:t>L.</w:t>
      </w:r>
    </w:p>
    <w:p w:rsidR="00204FC0" w:rsidRPr="00204FC0" w:rsidRDefault="00AF035C" w:rsidP="00845067">
      <w:pPr>
        <w:spacing w:after="240"/>
      </w:pPr>
      <w:r>
        <w:t>5.2</w:t>
      </w:r>
      <w:r>
        <w:tab/>
        <w:t>Les auteurs font valoir que</w:t>
      </w:r>
      <w:r w:rsidR="00FB29A2">
        <w:t>,</w:t>
      </w:r>
      <w:r w:rsidR="00204FC0" w:rsidRPr="00204FC0">
        <w:t xml:space="preserve"> bien que les organisations qui ont présenté conjointement la plainte n</w:t>
      </w:r>
      <w:r w:rsidR="00F9464F">
        <w:t>’</w:t>
      </w:r>
      <w:r w:rsidR="00204FC0" w:rsidRPr="00204FC0">
        <w:t>aient pas été nommément attaquées dans l</w:t>
      </w:r>
      <w:r w:rsidR="00F9464F">
        <w:t>’</w:t>
      </w:r>
      <w:r>
        <w:t>article de P. </w:t>
      </w:r>
      <w:r w:rsidR="00204FC0" w:rsidRPr="00204FC0">
        <w:t xml:space="preserve">L., </w:t>
      </w:r>
      <w:r>
        <w:t>il a été porté atteinte à leurs droits</w:t>
      </w:r>
      <w:r w:rsidR="00204FC0" w:rsidRPr="00204FC0">
        <w:t xml:space="preserve"> par l</w:t>
      </w:r>
      <w:r w:rsidR="00F9464F">
        <w:t>’</w:t>
      </w:r>
      <w:r w:rsidR="00204FC0" w:rsidRPr="00204FC0">
        <w:t>incrimination sans nuances de l</w:t>
      </w:r>
      <w:r w:rsidR="00F9464F">
        <w:t>’</w:t>
      </w:r>
      <w:r w:rsidR="00204FC0" w:rsidRPr="00204FC0">
        <w:t xml:space="preserve">ensemble de la minorité </w:t>
      </w:r>
      <w:proofErr w:type="spellStart"/>
      <w:r w:rsidR="00204FC0" w:rsidRPr="00204FC0">
        <w:t>sinti</w:t>
      </w:r>
      <w:proofErr w:type="spellEnd"/>
      <w:r w:rsidR="00204FC0" w:rsidRPr="00204FC0">
        <w:t xml:space="preserve"> et rom. Ils affirment que le dénigrement de la réputation sociale de la minorité a des retombées sur la réputation des organisations et leur capacité d</w:t>
      </w:r>
      <w:r w:rsidR="00F9464F">
        <w:t>’</w:t>
      </w:r>
      <w:r>
        <w:t>exercer une influence politique</w:t>
      </w:r>
      <w:r w:rsidR="00204FC0" w:rsidRPr="00204FC0">
        <w:t xml:space="preserve"> attendu, notamment, qu</w:t>
      </w:r>
      <w:r w:rsidR="00F9464F">
        <w:t>’</w:t>
      </w:r>
      <w:r w:rsidR="00204FC0" w:rsidRPr="00204FC0">
        <w:t>elles agissent publiquement en tant que défenseurs de la minorité et qu</w:t>
      </w:r>
      <w:r w:rsidR="00F9464F">
        <w:t>’</w:t>
      </w:r>
      <w:r w:rsidR="00204FC0" w:rsidRPr="00204FC0">
        <w:t>elles sont financées par l</w:t>
      </w:r>
      <w:r w:rsidR="00F9464F">
        <w:t>’</w:t>
      </w:r>
      <w:r w:rsidR="00204FC0" w:rsidRPr="00204FC0">
        <w:t>État pour ce faire.</w:t>
      </w:r>
    </w:p>
    <w:p w:rsidR="00204FC0" w:rsidRPr="00204FC0" w:rsidRDefault="00AF035C" w:rsidP="00845067">
      <w:pPr>
        <w:spacing w:after="240"/>
      </w:pPr>
      <w:r>
        <w:t>5.3</w:t>
      </w:r>
      <w:r>
        <w:tab/>
        <w:t>Pour ce qui est</w:t>
      </w:r>
      <w:r w:rsidR="00204FC0" w:rsidRPr="00204FC0">
        <w:t xml:space="preserve"> de l</w:t>
      </w:r>
      <w:r w:rsidR="00F9464F">
        <w:t>’</w:t>
      </w:r>
      <w:r w:rsidR="00204FC0" w:rsidRPr="00204FC0">
        <w:t>épuisement des recour</w:t>
      </w:r>
      <w:r>
        <w:t>s internes, les auteurs affirm</w:t>
      </w:r>
      <w:r w:rsidR="00204FC0" w:rsidRPr="00204FC0">
        <w:t>ent qu</w:t>
      </w:r>
      <w:r w:rsidR="00F9464F">
        <w:t>’</w:t>
      </w:r>
      <w:r w:rsidR="00204FC0" w:rsidRPr="00204FC0">
        <w:t>une plainte devant la Cour constitutionnelle fédérale aurait été non seulement déclarée irrecevable mais n</w:t>
      </w:r>
      <w:r w:rsidR="00F9464F">
        <w:t>’</w:t>
      </w:r>
      <w:r w:rsidR="00204FC0" w:rsidRPr="00204FC0">
        <w:t>aurait eu aucune chance d</w:t>
      </w:r>
      <w:r w:rsidR="00F9464F">
        <w:t>’</w:t>
      </w:r>
      <w:r>
        <w:t>aboutir, étant donné</w:t>
      </w:r>
      <w:r w:rsidR="00204FC0" w:rsidRPr="00204FC0">
        <w:t xml:space="preserve"> la jurisprudence de cette juridiction. Ils affirment ne connaître aucune affaire dans laquelle la Cour constitutionnelle fédérale aurait fait droit à un recours contre une décision concernant une procédure judiciaire. </w:t>
      </w:r>
    </w:p>
    <w:p w:rsidR="00204FC0" w:rsidRPr="00204FC0" w:rsidRDefault="00204FC0" w:rsidP="00845067">
      <w:pPr>
        <w:spacing w:after="240"/>
      </w:pPr>
      <w:r w:rsidRPr="00204FC0">
        <w:t>5.4</w:t>
      </w:r>
      <w:r w:rsidRPr="00204FC0">
        <w:tab/>
        <w:t xml:space="preserve">En ce qui concerne les dispositions du Code pénal, les auteurs </w:t>
      </w:r>
      <w:r w:rsidR="00AF035C">
        <w:t>doutent que les articles 130 et </w:t>
      </w:r>
      <w:r w:rsidRPr="00204FC0">
        <w:t xml:space="preserve">185, </w:t>
      </w:r>
      <w:r w:rsidR="00AF035C">
        <w:t>avec leurs prescriptions très strictes</w:t>
      </w:r>
      <w:r w:rsidRPr="00204FC0">
        <w:t>, permettent de lutter efficacement contre la propagande raciste. Ils doutent que l</w:t>
      </w:r>
      <w:r w:rsidR="00F9464F">
        <w:t>’</w:t>
      </w:r>
      <w:r w:rsidRPr="00204FC0">
        <w:t>intention de la partie responsable «d</w:t>
      </w:r>
      <w:r w:rsidR="00F9464F">
        <w:t>’</w:t>
      </w:r>
      <w:r w:rsidRPr="00204FC0">
        <w:t>inciter à la haine contre des catégorie</w:t>
      </w:r>
      <w:r w:rsidR="00AF035C">
        <w:t>s de la population» (comme l’énonce</w:t>
      </w:r>
      <w:r w:rsidRPr="00204FC0">
        <w:t xml:space="preserve"> l</w:t>
      </w:r>
      <w:r w:rsidR="00F9464F">
        <w:t>’</w:t>
      </w:r>
      <w:r w:rsidR="00AF035C">
        <w:t>article </w:t>
      </w:r>
      <w:r w:rsidRPr="00204FC0">
        <w:t>130) soit absente en l</w:t>
      </w:r>
      <w:r w:rsidR="00F9464F">
        <w:t>’</w:t>
      </w:r>
      <w:r w:rsidR="00AF035C">
        <w:t>espèce, étant donné que P. </w:t>
      </w:r>
      <w:r w:rsidRPr="00204FC0">
        <w:t>L. est fonctionnaire de police.</w:t>
      </w:r>
    </w:p>
    <w:p w:rsidR="00204FC0" w:rsidRPr="00204FC0" w:rsidRDefault="00204FC0" w:rsidP="00BF2BC3">
      <w:pPr>
        <w:keepLines/>
        <w:spacing w:after="240"/>
      </w:pPr>
      <w:r w:rsidRPr="00204FC0">
        <w:t>5.5</w:t>
      </w:r>
      <w:r w:rsidRPr="00204FC0">
        <w:tab/>
        <w:t>Les auteurs réaffirment que les appréciations exprimées dans l</w:t>
      </w:r>
      <w:r w:rsidR="00F9464F">
        <w:t>’</w:t>
      </w:r>
      <w:r w:rsidRPr="00204FC0">
        <w:t xml:space="preserve">article sur les communautés rom et </w:t>
      </w:r>
      <w:proofErr w:type="spellStart"/>
      <w:r w:rsidRPr="00204FC0">
        <w:t>sinti</w:t>
      </w:r>
      <w:proofErr w:type="spellEnd"/>
      <w:r w:rsidRPr="00204FC0">
        <w:t xml:space="preserve"> représentent une atteinte à la dignité de leurs membres, et qu</w:t>
      </w:r>
      <w:r w:rsidR="00F9464F">
        <w:t>’</w:t>
      </w:r>
      <w:r w:rsidRPr="00204FC0">
        <w:t>elles ne peuvent pas être considérées comme «l</w:t>
      </w:r>
      <w:r w:rsidR="00F9464F">
        <w:t>’</w:t>
      </w:r>
      <w:r w:rsidRPr="00204FC0">
        <w:t>expression acceptable d</w:t>
      </w:r>
      <w:r w:rsidR="00F9464F">
        <w:t>’</w:t>
      </w:r>
      <w:r w:rsidRPr="00204FC0">
        <w:t>une opinion», pas plus que comme «le sentiment et les impressions subjectifs d</w:t>
      </w:r>
      <w:r w:rsidR="00F9464F">
        <w:t>’</w:t>
      </w:r>
      <w:r w:rsidRPr="00204FC0">
        <w:t>u</w:t>
      </w:r>
      <w:r w:rsidR="00AF035C">
        <w:t>n fonctionnaire de police». Si l</w:t>
      </w:r>
      <w:r w:rsidRPr="00204FC0">
        <w:t xml:space="preserve">es </w:t>
      </w:r>
      <w:r w:rsidR="00AF035C">
        <w:t xml:space="preserve">mêmes </w:t>
      </w:r>
      <w:r w:rsidRPr="00204FC0">
        <w:t xml:space="preserve">appréciations avaient été portées sur des Juifs, elles auraient entraîné une </w:t>
      </w:r>
      <w:r w:rsidR="00AF035C">
        <w:t>intervention judiciaire de</w:t>
      </w:r>
      <w:r w:rsidRPr="00204FC0">
        <w:t xml:space="preserve"> grande ampleur. Les auteurs ajoutent que l</w:t>
      </w:r>
      <w:r w:rsidR="00F9464F">
        <w:t>’</w:t>
      </w:r>
      <w:r w:rsidRPr="00204FC0">
        <w:t xml:space="preserve">État partie </w:t>
      </w:r>
      <w:r w:rsidR="001329F8">
        <w:t>n’est pas défavorable</w:t>
      </w:r>
      <w:r w:rsidR="00AF035C">
        <w:t xml:space="preserve"> à ce</w:t>
      </w:r>
      <w:r w:rsidRPr="00204FC0">
        <w:t xml:space="preserve"> que ses fonctionnaires de police incriminent une catégorie entière de la population. L</w:t>
      </w:r>
      <w:r w:rsidR="00F9464F">
        <w:t>’</w:t>
      </w:r>
      <w:r w:rsidRPr="00204FC0">
        <w:t>approbation de telles déclarations publiques comporte le risque que d</w:t>
      </w:r>
      <w:r w:rsidR="00F9464F">
        <w:t>’</w:t>
      </w:r>
      <w:r w:rsidRPr="00204FC0">
        <w:t>autres fonctionnaires de police adoptent une attitude similaire à l</w:t>
      </w:r>
      <w:r w:rsidR="00F9464F">
        <w:t>’</w:t>
      </w:r>
      <w:r w:rsidRPr="00204FC0">
        <w:t xml:space="preserve">égard des </w:t>
      </w:r>
      <w:proofErr w:type="spellStart"/>
      <w:r w:rsidRPr="00204FC0">
        <w:t>Sintis</w:t>
      </w:r>
      <w:proofErr w:type="spellEnd"/>
      <w:r w:rsidRPr="00204FC0">
        <w:t xml:space="preserve"> et des </w:t>
      </w:r>
      <w:proofErr w:type="spellStart"/>
      <w:r w:rsidRPr="00204FC0">
        <w:t>Roms</w:t>
      </w:r>
      <w:proofErr w:type="spellEnd"/>
      <w:r w:rsidRPr="00204FC0">
        <w:t>.</w:t>
      </w:r>
    </w:p>
    <w:p w:rsidR="00204FC0" w:rsidRPr="00204FC0" w:rsidRDefault="00AF035C" w:rsidP="00AF035C">
      <w:pPr>
        <w:keepNext/>
        <w:spacing w:after="240"/>
        <w:rPr>
          <w:b/>
          <w:bCs/>
        </w:rPr>
      </w:pPr>
      <w:r>
        <w:rPr>
          <w:b/>
          <w:bCs/>
        </w:rPr>
        <w:t>Observations supplémentaires</w:t>
      </w:r>
      <w:r w:rsidR="00204FC0" w:rsidRPr="00204FC0">
        <w:rPr>
          <w:b/>
          <w:bCs/>
        </w:rPr>
        <w:t xml:space="preserve"> des parties</w:t>
      </w:r>
    </w:p>
    <w:p w:rsidR="00204FC0" w:rsidRPr="00204FC0" w:rsidRDefault="00204FC0" w:rsidP="00845067">
      <w:pPr>
        <w:spacing w:after="240"/>
      </w:pPr>
      <w:r w:rsidRPr="00204FC0">
        <w:t>6.</w:t>
      </w:r>
      <w:r w:rsidRPr="00204FC0">
        <w:tab/>
        <w:t>D</w:t>
      </w:r>
      <w:r w:rsidR="00AF035C">
        <w:t>ans ses remarques en date du 31 mai 2007 et du 16 novembre </w:t>
      </w:r>
      <w:r w:rsidRPr="00204FC0">
        <w:t>2007, l</w:t>
      </w:r>
      <w:r w:rsidR="00F9464F">
        <w:t>’</w:t>
      </w:r>
      <w:r w:rsidRPr="00204FC0">
        <w:t>État partie reprend pour l</w:t>
      </w:r>
      <w:r w:rsidR="00F9464F">
        <w:t>’</w:t>
      </w:r>
      <w:r w:rsidRPr="00204FC0">
        <w:t>essentiel les arguments exposés dans ses premières observations. Il affirme en particulier que l</w:t>
      </w:r>
      <w:r w:rsidR="00F9464F">
        <w:t>’</w:t>
      </w:r>
      <w:r w:rsidR="00AF035C">
        <w:t>article </w:t>
      </w:r>
      <w:r w:rsidRPr="00204FC0">
        <w:t>130 du Code pénal a été utilisé avec succès par le passé pour agir contre la propagande d</w:t>
      </w:r>
      <w:r w:rsidR="00F9464F">
        <w:t>’</w:t>
      </w:r>
      <w:r w:rsidRPr="00204FC0">
        <w:t>extrême droite. Dans une communication</w:t>
      </w:r>
      <w:r w:rsidR="00AF035C">
        <w:t xml:space="preserve"> du 27 juin 2007, les auteur</w:t>
      </w:r>
      <w:r w:rsidRPr="00204FC0">
        <w:t>s ont répondu aux remarques de l</w:t>
      </w:r>
      <w:r w:rsidR="00F9464F">
        <w:t>’</w:t>
      </w:r>
      <w:r w:rsidRPr="00204FC0">
        <w:t xml:space="preserve">État partie, en reprenant les arguments présentés antérieurement. </w:t>
      </w:r>
    </w:p>
    <w:p w:rsidR="00204FC0" w:rsidRPr="00204FC0" w:rsidRDefault="00204FC0" w:rsidP="00AF035C">
      <w:pPr>
        <w:keepNext/>
        <w:spacing w:after="240"/>
        <w:rPr>
          <w:b/>
          <w:bCs/>
        </w:rPr>
      </w:pPr>
      <w:r w:rsidRPr="00204FC0">
        <w:rPr>
          <w:b/>
          <w:bCs/>
        </w:rPr>
        <w:t xml:space="preserve">Délibérations du Comité </w:t>
      </w:r>
    </w:p>
    <w:p w:rsidR="00204FC0" w:rsidRPr="00204FC0" w:rsidRDefault="00204FC0" w:rsidP="00845067">
      <w:pPr>
        <w:spacing w:after="240"/>
      </w:pPr>
      <w:r w:rsidRPr="00204FC0">
        <w:t>7.1</w:t>
      </w:r>
      <w:r w:rsidRPr="00204FC0">
        <w:tab/>
        <w:t>Avant d</w:t>
      </w:r>
      <w:r w:rsidR="00F9464F">
        <w:t>’</w:t>
      </w:r>
      <w:r w:rsidR="00AF035C">
        <w:t>examiner toute plainte soumis</w:t>
      </w:r>
      <w:r w:rsidRPr="00204FC0">
        <w:t>e dans une communication, le Comité pour l</w:t>
      </w:r>
      <w:r w:rsidR="00F9464F">
        <w:t>’</w:t>
      </w:r>
      <w:r w:rsidRPr="00204FC0">
        <w:t xml:space="preserve">élimination de la discrimination raciale doit, </w:t>
      </w:r>
      <w:r w:rsidR="00AF035C">
        <w:t>conformément à</w:t>
      </w:r>
      <w:r w:rsidRPr="00204FC0">
        <w:t xml:space="preserve"> l</w:t>
      </w:r>
      <w:r w:rsidR="00F9464F">
        <w:t>’</w:t>
      </w:r>
      <w:r w:rsidRPr="00204FC0">
        <w:t>article 91 de son règle</w:t>
      </w:r>
      <w:r w:rsidR="00AF035C">
        <w:t>ment intérieur, déterminer si la</w:t>
      </w:r>
      <w:r w:rsidRPr="00204FC0">
        <w:t xml:space="preserve"> communication est recevable en vertu de la Convention.</w:t>
      </w:r>
    </w:p>
    <w:p w:rsidR="00204FC0" w:rsidRPr="00204FC0" w:rsidRDefault="00AF035C" w:rsidP="00845067">
      <w:pPr>
        <w:spacing w:after="240"/>
      </w:pPr>
      <w:r>
        <w:t>7.2</w:t>
      </w:r>
      <w:r>
        <w:tab/>
        <w:t>Le Comité relève que deux </w:t>
      </w:r>
      <w:r w:rsidR="00204FC0" w:rsidRPr="00204FC0">
        <w:t xml:space="preserve">personnes morales figurent parmi les auteurs de la </w:t>
      </w:r>
      <w:r>
        <w:t>communication</w:t>
      </w:r>
      <w:r w:rsidR="00204FC0" w:rsidRPr="00204FC0">
        <w:t xml:space="preserve">: le Conseil central des </w:t>
      </w:r>
      <w:proofErr w:type="spellStart"/>
      <w:r w:rsidR="00204FC0" w:rsidRPr="00204FC0">
        <w:t>Sint</w:t>
      </w:r>
      <w:r w:rsidR="001329F8">
        <w:t>is</w:t>
      </w:r>
      <w:proofErr w:type="spellEnd"/>
      <w:r w:rsidR="001329F8">
        <w:t xml:space="preserve"> et des </w:t>
      </w:r>
      <w:proofErr w:type="spellStart"/>
      <w:r w:rsidR="001329F8">
        <w:t>Roms</w:t>
      </w:r>
      <w:proofErr w:type="spellEnd"/>
      <w:r w:rsidR="001329F8">
        <w:t xml:space="preserve"> allemands et la s</w:t>
      </w:r>
      <w:r w:rsidR="00204FC0" w:rsidRPr="00204FC0">
        <w:t>ection bavaroise de l</w:t>
      </w:r>
      <w:r w:rsidR="00F9464F">
        <w:t>’</w:t>
      </w:r>
      <w:r w:rsidR="00204FC0" w:rsidRPr="00204FC0">
        <w:t xml:space="preserve">Association des </w:t>
      </w:r>
      <w:proofErr w:type="spellStart"/>
      <w:r w:rsidR="00204FC0" w:rsidRPr="00204FC0">
        <w:t>Sintis</w:t>
      </w:r>
      <w:proofErr w:type="spellEnd"/>
      <w:r w:rsidR="00204FC0" w:rsidRPr="00204FC0">
        <w:t xml:space="preserve"> </w:t>
      </w:r>
      <w:r>
        <w:t xml:space="preserve">et des </w:t>
      </w:r>
      <w:proofErr w:type="spellStart"/>
      <w:r>
        <w:t>Roms</w:t>
      </w:r>
      <w:proofErr w:type="spellEnd"/>
      <w:r>
        <w:t xml:space="preserve"> allemands. Il</w:t>
      </w:r>
      <w:r w:rsidR="00204FC0" w:rsidRPr="00204FC0">
        <w:t xml:space="preserve"> prend note de l</w:t>
      </w:r>
      <w:r w:rsidR="00F9464F">
        <w:t>’</w:t>
      </w:r>
      <w:r w:rsidR="00204FC0" w:rsidRPr="00204FC0">
        <w:t>objection de l</w:t>
      </w:r>
      <w:r w:rsidR="00F9464F">
        <w:t>’</w:t>
      </w:r>
      <w:r>
        <w:t>État partie qui fait valoir qu’</w:t>
      </w:r>
      <w:r w:rsidR="00204FC0" w:rsidRPr="00204FC0">
        <w:t>une personne morale, contrairement à une personne physique ou à un groupe de personnes, ne peut pas adresser une communication ou revendiquer le statut de victime au titre du paragraphe 1 de l</w:t>
      </w:r>
      <w:r w:rsidR="00F9464F">
        <w:t>’</w:t>
      </w:r>
      <w:r>
        <w:t>article 14. Il prend</w:t>
      </w:r>
      <w:r w:rsidR="00204FC0" w:rsidRPr="00204FC0">
        <w:t xml:space="preserve"> également</w:t>
      </w:r>
      <w:r>
        <w:t xml:space="preserve"> note</w:t>
      </w:r>
      <w:r w:rsidR="00204FC0" w:rsidRPr="00204FC0">
        <w:t xml:space="preserve"> </w:t>
      </w:r>
      <w:r w:rsidR="001329F8">
        <w:t xml:space="preserve">de </w:t>
      </w:r>
      <w:r w:rsidR="00204FC0" w:rsidRPr="00204FC0">
        <w:t>l</w:t>
      </w:r>
      <w:r w:rsidR="00F9464F">
        <w:t>’</w:t>
      </w:r>
      <w:r w:rsidR="00204FC0" w:rsidRPr="00204FC0">
        <w:t xml:space="preserve">argument des auteurs </w:t>
      </w:r>
      <w:r>
        <w:t>qui affirment que les</w:t>
      </w:r>
      <w:r w:rsidR="00204FC0" w:rsidRPr="00204FC0">
        <w:t xml:space="preserve"> organisations ont présenté une plainte au nom de leurs</w:t>
      </w:r>
      <w:r>
        <w:t xml:space="preserve"> membres en tant que «groupe de </w:t>
      </w:r>
      <w:r w:rsidR="00204FC0" w:rsidRPr="00204FC0">
        <w:t xml:space="preserve">personnes» appartenant aux </w:t>
      </w:r>
      <w:r>
        <w:t xml:space="preserve">communautés rom et </w:t>
      </w:r>
      <w:proofErr w:type="spellStart"/>
      <w:r>
        <w:t>sinti</w:t>
      </w:r>
      <w:proofErr w:type="spellEnd"/>
      <w:r>
        <w:t>, et qu’une atteinte à</w:t>
      </w:r>
      <w:r w:rsidR="00204FC0" w:rsidRPr="00204FC0">
        <w:t xml:space="preserve"> leurs droits propres </w:t>
      </w:r>
      <w:r>
        <w:t>découle des</w:t>
      </w:r>
      <w:r w:rsidR="00204FC0" w:rsidRPr="00204FC0">
        <w:t xml:space="preserve"> propos émis dans l</w:t>
      </w:r>
      <w:r w:rsidR="00F9464F">
        <w:t>’</w:t>
      </w:r>
      <w:r w:rsidR="00204FC0" w:rsidRPr="00204FC0">
        <w:t>article considéré. Le Comité ne considère pas le fait que deux des auteurs soient des organisations comme un obstacle</w:t>
      </w:r>
      <w:r>
        <w:t xml:space="preserve"> à la recevabilité de la communication</w:t>
      </w:r>
      <w:r w:rsidR="00204FC0" w:rsidRPr="00204FC0">
        <w:t>. L</w:t>
      </w:r>
      <w:r w:rsidR="00F9464F">
        <w:t>’</w:t>
      </w:r>
      <w:r w:rsidR="00D94AFB">
        <w:t>article 14 de la Convention énonce expressément</w:t>
      </w:r>
      <w:r w:rsidR="00204FC0" w:rsidRPr="00204FC0">
        <w:t xml:space="preserve"> la compétence du Comité pour recevoir des communications émanant de «groupes de personnes», et le Comité considère que, compte tenu de la nature des activités de ces organisations et du groupe de personnes qu</w:t>
      </w:r>
      <w:r w:rsidR="00F9464F">
        <w:t>’</w:t>
      </w:r>
      <w:r w:rsidR="00204FC0" w:rsidRPr="00204FC0">
        <w:t>elles représentent, elles satisfont au critère relatif à la qualité d</w:t>
      </w:r>
      <w:r w:rsidR="00D94AFB">
        <w:t>e victime au sens du paragraphe </w:t>
      </w:r>
      <w:r w:rsidR="00204FC0" w:rsidRPr="00204FC0">
        <w:t>1 de l</w:t>
      </w:r>
      <w:r w:rsidR="00F9464F">
        <w:t>’</w:t>
      </w:r>
      <w:r w:rsidR="00D94AFB">
        <w:t>article </w:t>
      </w:r>
      <w:r w:rsidR="00204FC0" w:rsidRPr="00204FC0">
        <w:t>14</w:t>
      </w:r>
      <w:r w:rsidR="00204FC0" w:rsidRPr="00204FC0">
        <w:rPr>
          <w:b/>
          <w:vertAlign w:val="superscript"/>
        </w:rPr>
        <w:footnoteReference w:id="5"/>
      </w:r>
      <w:r w:rsidR="00204FC0" w:rsidRPr="00204FC0">
        <w:t>.</w:t>
      </w:r>
    </w:p>
    <w:p w:rsidR="00204FC0" w:rsidRPr="00204FC0" w:rsidRDefault="00D94AFB" w:rsidP="00845067">
      <w:pPr>
        <w:spacing w:after="240"/>
      </w:pPr>
      <w:r>
        <w:t>7.3</w:t>
      </w:r>
      <w:r>
        <w:tab/>
        <w:t>Pour ce qui est</w:t>
      </w:r>
      <w:r w:rsidR="00204FC0" w:rsidRPr="00204FC0">
        <w:t xml:space="preserve"> de l</w:t>
      </w:r>
      <w:r w:rsidR="00F9464F">
        <w:t>’</w:t>
      </w:r>
      <w:r w:rsidR="00204FC0" w:rsidRPr="00204FC0">
        <w:t>épuisement des recours internes, le Comité note que l</w:t>
      </w:r>
      <w:r w:rsidR="00F9464F">
        <w:t>’</w:t>
      </w:r>
      <w:r w:rsidR="00204FC0" w:rsidRPr="00204FC0">
        <w:t xml:space="preserve">État partie </w:t>
      </w:r>
      <w:r>
        <w:t>fait observer que les auteurs</w:t>
      </w:r>
      <w:r w:rsidR="00204FC0" w:rsidRPr="00204FC0">
        <w:t xml:space="preserve"> n</w:t>
      </w:r>
      <w:r w:rsidR="00F9464F">
        <w:t>’</w:t>
      </w:r>
      <w:r>
        <w:t>ont pas formé recours</w:t>
      </w:r>
      <w:r w:rsidR="00204FC0" w:rsidRPr="00204FC0">
        <w:t xml:space="preserve"> devant la Cour </w:t>
      </w:r>
      <w:r>
        <w:t>constitutionnelle fédérale. De leur côté les auteurs objectent que ce recours</w:t>
      </w:r>
      <w:r w:rsidR="00204FC0" w:rsidRPr="00204FC0">
        <w:t xml:space="preserve"> n</w:t>
      </w:r>
      <w:r w:rsidR="00F9464F">
        <w:t>’</w:t>
      </w:r>
      <w:r w:rsidR="00204FC0" w:rsidRPr="00204FC0">
        <w:t>aurait eu aucune chance d</w:t>
      </w:r>
      <w:r w:rsidR="00F9464F">
        <w:t>’</w:t>
      </w:r>
      <w:r w:rsidR="00204FC0" w:rsidRPr="00204FC0">
        <w:t>aboutir et renvoient à la jurisprudence de la Cour. Ils affirmen</w:t>
      </w:r>
      <w:r>
        <w:t>t − </w:t>
      </w:r>
      <w:r w:rsidR="00204FC0" w:rsidRPr="00204FC0">
        <w:t>et l</w:t>
      </w:r>
      <w:r w:rsidR="00F9464F">
        <w:t>’</w:t>
      </w:r>
      <w:r w:rsidR="00204FC0" w:rsidRPr="00204FC0">
        <w:t xml:space="preserve">État partie </w:t>
      </w:r>
      <w:r>
        <w:t>le reconnaît −</w:t>
      </w:r>
      <w:r w:rsidR="00204FC0" w:rsidRPr="00204FC0">
        <w:t xml:space="preserve"> que les personnes n</w:t>
      </w:r>
      <w:r>
        <w:t>e</w:t>
      </w:r>
      <w:r w:rsidR="00BF2BC3">
        <w:t> </w:t>
      </w:r>
      <w:r>
        <w:t xml:space="preserve">peuvent pas, en droit allemand, </w:t>
      </w:r>
      <w:r w:rsidR="00204FC0" w:rsidRPr="00204FC0">
        <w:t>obliger l</w:t>
      </w:r>
      <w:r w:rsidR="00F9464F">
        <w:t>’</w:t>
      </w:r>
      <w:r>
        <w:t xml:space="preserve">État à </w:t>
      </w:r>
      <w:r w:rsidR="00204FC0" w:rsidRPr="00204FC0">
        <w:t>eng</w:t>
      </w:r>
      <w:r>
        <w:t xml:space="preserve">ager des poursuites pénales. Le </w:t>
      </w:r>
      <w:r w:rsidR="00204FC0" w:rsidRPr="00204FC0">
        <w:t>Comité a</w:t>
      </w:r>
      <w:r w:rsidR="00BF2BC3">
        <w:t> </w:t>
      </w:r>
      <w:r w:rsidR="00204FC0" w:rsidRPr="00204FC0">
        <w:t xml:space="preserve">affirmé précédemment </w:t>
      </w:r>
      <w:r>
        <w:t>que l’auteur d’une communication</w:t>
      </w:r>
      <w:r w:rsidR="00204FC0" w:rsidRPr="00204FC0">
        <w:t xml:space="preserve"> est tenu d</w:t>
      </w:r>
      <w:r w:rsidR="00F9464F">
        <w:t>’</w:t>
      </w:r>
      <w:r w:rsidR="00204FC0" w:rsidRPr="00204FC0">
        <w:t>épuiser</w:t>
      </w:r>
      <w:r>
        <w:t xml:space="preserve"> uniquement</w:t>
      </w:r>
      <w:r w:rsidR="00204FC0" w:rsidRPr="00204FC0">
        <w:t xml:space="preserve"> les recours qui sont utiles dans les circonstances de son cas particulier</w:t>
      </w:r>
      <w:r w:rsidR="00204FC0" w:rsidRPr="00204FC0">
        <w:rPr>
          <w:b/>
          <w:vertAlign w:val="superscript"/>
        </w:rPr>
        <w:footnoteReference w:id="6"/>
      </w:r>
      <w:r w:rsidR="00204FC0" w:rsidRPr="00204FC0">
        <w:t>. Il s</w:t>
      </w:r>
      <w:r w:rsidR="00F9464F">
        <w:t>’</w:t>
      </w:r>
      <w:r w:rsidR="00204FC0" w:rsidRPr="00204FC0">
        <w:t>ensuit</w:t>
      </w:r>
      <w:r>
        <w:t xml:space="preserve"> que</w:t>
      </w:r>
      <w:r w:rsidR="00204FC0" w:rsidRPr="00204FC0">
        <w:t>, à l</w:t>
      </w:r>
      <w:r w:rsidR="00F9464F">
        <w:t>’</w:t>
      </w:r>
      <w:r>
        <w:t>exception de G. W.,</w:t>
      </w:r>
      <w:r w:rsidR="00204FC0" w:rsidRPr="00204FC0">
        <w:t xml:space="preserve"> les requérants on</w:t>
      </w:r>
      <w:r>
        <w:t>t satisfait aux conditions énoncées au paragraphe 7 </w:t>
      </w:r>
      <w:r w:rsidR="00204FC0" w:rsidRPr="00204FC0">
        <w:t>a) de l</w:t>
      </w:r>
      <w:r w:rsidR="00F9464F">
        <w:t>’</w:t>
      </w:r>
      <w:r w:rsidR="00204FC0" w:rsidRPr="00204FC0">
        <w:t>article 14</w:t>
      </w:r>
      <w:r>
        <w:t xml:space="preserve"> de la Convention</w:t>
      </w:r>
      <w:r w:rsidR="00204FC0" w:rsidRPr="00204FC0">
        <w:t>.</w:t>
      </w:r>
    </w:p>
    <w:p w:rsidR="00204FC0" w:rsidRPr="00204FC0" w:rsidRDefault="00D94AFB" w:rsidP="00845067">
      <w:pPr>
        <w:spacing w:after="240"/>
      </w:pPr>
      <w:r>
        <w:t>7.4</w:t>
      </w:r>
      <w:r>
        <w:tab/>
        <w:t>En ce qui concerne G. </w:t>
      </w:r>
      <w:r w:rsidR="00204FC0" w:rsidRPr="00204FC0">
        <w:t xml:space="preserve">W., le Comité note que </w:t>
      </w:r>
      <w:proofErr w:type="spellStart"/>
      <w:r w:rsidR="00204FC0" w:rsidRPr="00204FC0">
        <w:t>celui</w:t>
      </w:r>
      <w:r w:rsidR="00204FC0" w:rsidRPr="00204FC0">
        <w:noBreakHyphen/>
        <w:t>ci</w:t>
      </w:r>
      <w:proofErr w:type="spellEnd"/>
      <w:r w:rsidR="00204FC0" w:rsidRPr="00204FC0">
        <w:t xml:space="preserve"> n</w:t>
      </w:r>
      <w:r w:rsidR="00F9464F">
        <w:t>’</w:t>
      </w:r>
      <w:r w:rsidR="00204FC0" w:rsidRPr="00204FC0">
        <w:t>a pas porté plainte au pénal et n</w:t>
      </w:r>
      <w:r w:rsidR="00F9464F">
        <w:t>’</w:t>
      </w:r>
      <w:r w:rsidR="00204FC0" w:rsidRPr="00204FC0">
        <w:t>était pas partie à la procédure engagée devant la Cour sup</w:t>
      </w:r>
      <w:r>
        <w:t xml:space="preserve">rême du </w:t>
      </w:r>
      <w:proofErr w:type="spellStart"/>
      <w:r>
        <w:t>Brandenbourg</w:t>
      </w:r>
      <w:proofErr w:type="spellEnd"/>
      <w:r>
        <w:t>. La communication</w:t>
      </w:r>
      <w:r w:rsidR="00204FC0" w:rsidRPr="00204FC0">
        <w:t xml:space="preserve"> est donc ir</w:t>
      </w:r>
      <w:r>
        <w:t>recevable en ce qui concerne G. </w:t>
      </w:r>
      <w:r w:rsidR="00204FC0" w:rsidRPr="00204FC0">
        <w:t xml:space="preserve">W. </w:t>
      </w:r>
      <w:r>
        <w:t xml:space="preserve">pour </w:t>
      </w:r>
      <w:proofErr w:type="spellStart"/>
      <w:r>
        <w:t>non</w:t>
      </w:r>
      <w:r>
        <w:noBreakHyphen/>
      </w:r>
      <w:r w:rsidR="00204FC0" w:rsidRPr="00204FC0">
        <w:t>épuisement</w:t>
      </w:r>
      <w:proofErr w:type="spellEnd"/>
      <w:r w:rsidR="00204FC0" w:rsidRPr="00204FC0">
        <w:t xml:space="preserve"> des recours internes</w:t>
      </w:r>
      <w:r w:rsidR="00204FC0" w:rsidRPr="00204FC0">
        <w:rPr>
          <w:b/>
          <w:vertAlign w:val="superscript"/>
        </w:rPr>
        <w:footnoteReference w:id="7"/>
      </w:r>
      <w:r w:rsidR="00204FC0" w:rsidRPr="00204FC0">
        <w:t>.</w:t>
      </w:r>
    </w:p>
    <w:p w:rsidR="00204FC0" w:rsidRPr="00204FC0" w:rsidRDefault="00D94AFB" w:rsidP="00845067">
      <w:pPr>
        <w:spacing w:after="240"/>
      </w:pPr>
      <w:r>
        <w:t>7.5</w:t>
      </w:r>
      <w:r>
        <w:tab/>
        <w:t>Pour ce qui est</w:t>
      </w:r>
      <w:r w:rsidR="00204FC0" w:rsidRPr="00204FC0">
        <w:t xml:space="preserve"> de l</w:t>
      </w:r>
      <w:r w:rsidR="00F9464F">
        <w:t>’</w:t>
      </w:r>
      <w:r>
        <w:t>article 4 </w:t>
      </w:r>
      <w:r w:rsidR="00204FC0" w:rsidRPr="00204FC0">
        <w:t>c) de la Convention, le Comité accepte l</w:t>
      </w:r>
      <w:r w:rsidR="00F9464F">
        <w:t>’</w:t>
      </w:r>
      <w:r w:rsidR="00204FC0" w:rsidRPr="00204FC0">
        <w:t>argument de l</w:t>
      </w:r>
      <w:r w:rsidR="00F9464F">
        <w:t>’</w:t>
      </w:r>
      <w:r>
        <w:t>État partie qui affirme que</w:t>
      </w:r>
      <w:r w:rsidR="00204FC0" w:rsidRPr="00204FC0">
        <w:t xml:space="preserve"> le BDK est une association professionnelle et</w:t>
      </w:r>
      <w:r>
        <w:t xml:space="preserve"> non un organisme public, et</w:t>
      </w:r>
      <w:r w:rsidR="003A1914">
        <w:t xml:space="preserve"> que</w:t>
      </w:r>
      <w:r>
        <w:t xml:space="preserve"> P. </w:t>
      </w:r>
      <w:r w:rsidR="00204FC0" w:rsidRPr="00204FC0">
        <w:t>L. a écrit la lettre en cause</w:t>
      </w:r>
      <w:r>
        <w:t xml:space="preserve"> à titre privé. Le Comité considère</w:t>
      </w:r>
      <w:r w:rsidR="00204FC0" w:rsidRPr="00204FC0">
        <w:t xml:space="preserve"> donc ce grief</w:t>
      </w:r>
      <w:r w:rsidR="001329F8">
        <w:t xml:space="preserve"> </w:t>
      </w:r>
      <w:r w:rsidR="00204FC0" w:rsidRPr="00204FC0">
        <w:t>irrecevable.</w:t>
      </w:r>
    </w:p>
    <w:p w:rsidR="00204FC0" w:rsidRPr="00204FC0" w:rsidRDefault="00204FC0" w:rsidP="00845067">
      <w:pPr>
        <w:spacing w:after="240"/>
      </w:pPr>
      <w:r w:rsidRPr="00204FC0">
        <w:t>7.6</w:t>
      </w:r>
      <w:r w:rsidRPr="00204FC0">
        <w:tab/>
        <w:t>Au vu de ce qui précède, le Comité déclare l</w:t>
      </w:r>
      <w:r w:rsidR="00D94AFB">
        <w:t>a communication</w:t>
      </w:r>
      <w:r w:rsidRPr="00204FC0">
        <w:t xml:space="preserve"> recevable en ce qui a trait à l</w:t>
      </w:r>
      <w:r w:rsidR="00F9464F">
        <w:t>’</w:t>
      </w:r>
      <w:r w:rsidRPr="00204FC0">
        <w:t>article 4 a) et à l</w:t>
      </w:r>
      <w:r w:rsidR="00F9464F">
        <w:t>’</w:t>
      </w:r>
      <w:r w:rsidR="00D94AFB">
        <w:t>article 6 de la Convention et procèd</w:t>
      </w:r>
      <w:r w:rsidRPr="00204FC0">
        <w:t>e à son examen quant au fond.</w:t>
      </w:r>
    </w:p>
    <w:p w:rsidR="00204FC0" w:rsidRPr="00204FC0" w:rsidRDefault="00D94AFB" w:rsidP="00845067">
      <w:pPr>
        <w:spacing w:after="240"/>
      </w:pPr>
      <w:r>
        <w:t>7.7</w:t>
      </w:r>
      <w:r>
        <w:tab/>
        <w:t>Sur le fond,</w:t>
      </w:r>
      <w:r w:rsidR="00204FC0" w:rsidRPr="00204FC0">
        <w:t xml:space="preserve"> le Comité</w:t>
      </w:r>
      <w:r>
        <w:t xml:space="preserve"> doit déterminer avant tout</w:t>
      </w:r>
      <w:r w:rsidR="00204FC0" w:rsidRPr="00204FC0">
        <w:t xml:space="preserve"> si les dispositions du Code pénal allemand offrent une protection suffisante contre les actes</w:t>
      </w:r>
      <w:r>
        <w:t xml:space="preserve"> de discrimination raciale. Les auteurs affirm</w:t>
      </w:r>
      <w:r w:rsidR="00204FC0" w:rsidRPr="00204FC0">
        <w:t xml:space="preserve">ent que le cadre juridique existant et son application privent les </w:t>
      </w:r>
      <w:proofErr w:type="spellStart"/>
      <w:r w:rsidR="00204FC0" w:rsidRPr="00204FC0">
        <w:t>Sintis</w:t>
      </w:r>
      <w:proofErr w:type="spellEnd"/>
      <w:r w:rsidR="00204FC0" w:rsidRPr="00204FC0">
        <w:t xml:space="preserve"> et les </w:t>
      </w:r>
      <w:proofErr w:type="spellStart"/>
      <w:r w:rsidR="00204FC0" w:rsidRPr="00204FC0">
        <w:t>Roms</w:t>
      </w:r>
      <w:proofErr w:type="spellEnd"/>
      <w:r w:rsidR="00204FC0" w:rsidRPr="00204FC0">
        <w:t xml:space="preserve"> d</w:t>
      </w:r>
      <w:r w:rsidR="00F9464F">
        <w:t>’</w:t>
      </w:r>
      <w:r w:rsidR="00204FC0" w:rsidRPr="00204FC0">
        <w:t>une protection effective. Le Comité a pris note de l</w:t>
      </w:r>
      <w:r w:rsidR="00F9464F">
        <w:t>’</w:t>
      </w:r>
      <w:r>
        <w:t>argument</w:t>
      </w:r>
      <w:r w:rsidR="00204FC0" w:rsidRPr="00204FC0">
        <w:t xml:space="preserve"> de l</w:t>
      </w:r>
      <w:r w:rsidR="00F9464F">
        <w:t>’</w:t>
      </w:r>
      <w:r w:rsidR="00204FC0" w:rsidRPr="00204FC0">
        <w:t xml:space="preserve">État partie </w:t>
      </w:r>
      <w:r>
        <w:t>qui fait valoir que le</w:t>
      </w:r>
      <w:r w:rsidR="00204FC0" w:rsidRPr="00204FC0">
        <w:t xml:space="preserve"> Code pénal contient les dispositions nécessaires pour assurer des sanctions effectives visant à lutter contre l</w:t>
      </w:r>
      <w:r w:rsidR="00F9464F">
        <w:t>’</w:t>
      </w:r>
      <w:r w:rsidR="00204FC0" w:rsidRPr="00204FC0">
        <w:t>incitation à la discrimination raciale</w:t>
      </w:r>
      <w:r>
        <w:t>,</w:t>
      </w:r>
      <w:r w:rsidR="00204FC0" w:rsidRPr="00204FC0">
        <w:t xml:space="preserve"> </w:t>
      </w:r>
      <w:r>
        <w:t>conformément à</w:t>
      </w:r>
      <w:r w:rsidR="00204FC0" w:rsidRPr="00204FC0">
        <w:t xml:space="preserve"> l</w:t>
      </w:r>
      <w:r w:rsidR="00F9464F">
        <w:t>’</w:t>
      </w:r>
      <w:r>
        <w:t>article 4 de la Convention</w:t>
      </w:r>
      <w:r w:rsidR="00204FC0" w:rsidRPr="00204FC0">
        <w:t>. Il estime qu</w:t>
      </w:r>
      <w:r w:rsidR="00F9464F">
        <w:t>’</w:t>
      </w:r>
      <w:r w:rsidR="00204FC0" w:rsidRPr="00204FC0">
        <w:t xml:space="preserve">il appartient au Comité non pas de décider </w:t>
      </w:r>
      <w:r w:rsidR="00204FC0" w:rsidRPr="00D94AFB">
        <w:rPr>
          <w:i/>
        </w:rPr>
        <w:t>in abstracto</w:t>
      </w:r>
      <w:r w:rsidR="00204FC0" w:rsidRPr="00204FC0">
        <w:t xml:space="preserve"> si la législation interne est </w:t>
      </w:r>
      <w:r>
        <w:t xml:space="preserve">compatible </w:t>
      </w:r>
      <w:r w:rsidR="00204FC0" w:rsidRPr="00204FC0">
        <w:t xml:space="preserve">ou </w:t>
      </w:r>
      <w:r>
        <w:t>in</w:t>
      </w:r>
      <w:r w:rsidR="00204FC0" w:rsidRPr="00204FC0">
        <w:t>compatible avec la Convention, mais de déterminer si une violation a été commise dans le cas qui lui est soumis</w:t>
      </w:r>
      <w:r w:rsidR="00204FC0" w:rsidRPr="00204FC0">
        <w:rPr>
          <w:b/>
          <w:vertAlign w:val="superscript"/>
        </w:rPr>
        <w:footnoteReference w:id="8"/>
      </w:r>
      <w:r w:rsidR="00204FC0" w:rsidRPr="00204FC0">
        <w:t>. Au vu des informations dont dispose le Comité, il n</w:t>
      </w:r>
      <w:r w:rsidR="00F9464F">
        <w:t>’</w:t>
      </w:r>
      <w:r w:rsidR="00204FC0" w:rsidRPr="00204FC0">
        <w:t xml:space="preserve">apparaît pas que les décisions du Procureur de district et du Procureur général ainsi que celles de la Cour suprême du </w:t>
      </w:r>
      <w:proofErr w:type="spellStart"/>
      <w:r w:rsidR="00204FC0" w:rsidRPr="00204FC0">
        <w:t>Brandenbourg</w:t>
      </w:r>
      <w:proofErr w:type="spellEnd"/>
      <w:r w:rsidR="00204FC0" w:rsidRPr="00204FC0">
        <w:t xml:space="preserve"> aient été</w:t>
      </w:r>
      <w:r>
        <w:t xml:space="preserve"> manifestement arbitraires ou aient représenté</w:t>
      </w:r>
      <w:r w:rsidR="00204FC0" w:rsidRPr="00204FC0">
        <w:t xml:space="preserve"> un déni de justice. De plus, le Comité note que l</w:t>
      </w:r>
      <w:r w:rsidR="00F9464F">
        <w:t>’</w:t>
      </w:r>
      <w:r w:rsidR="00204FC0" w:rsidRPr="00204FC0">
        <w:t>article du</w:t>
      </w:r>
      <w:r w:rsidR="00204FC0" w:rsidRPr="00204FC0">
        <w:rPr>
          <w:i/>
        </w:rPr>
        <w:t xml:space="preserve"> </w:t>
      </w:r>
      <w:proofErr w:type="spellStart"/>
      <w:r w:rsidR="00204FC0" w:rsidRPr="00204FC0">
        <w:rPr>
          <w:i/>
        </w:rPr>
        <w:t>Kriminalist</w:t>
      </w:r>
      <w:proofErr w:type="spellEnd"/>
      <w:r w:rsidR="00204FC0" w:rsidRPr="00204FC0">
        <w:rPr>
          <w:i/>
        </w:rPr>
        <w:t xml:space="preserve"> </w:t>
      </w:r>
      <w:r>
        <w:t>a eu des conséquences pour</w:t>
      </w:r>
      <w:r w:rsidR="00204FC0" w:rsidRPr="00204FC0">
        <w:t xml:space="preserve"> son auteur, puisque des mesures disciplinaires ont été prises à son encontre</w:t>
      </w:r>
      <w:r w:rsidR="00204FC0" w:rsidRPr="00204FC0">
        <w:rPr>
          <w:b/>
          <w:vertAlign w:val="superscript"/>
        </w:rPr>
        <w:footnoteReference w:id="9"/>
      </w:r>
      <w:r w:rsidR="00204FC0" w:rsidRPr="00204FC0">
        <w:t xml:space="preserve">. </w:t>
      </w:r>
    </w:p>
    <w:p w:rsidR="00204FC0" w:rsidRPr="00204FC0" w:rsidRDefault="00060A2A" w:rsidP="00845067">
      <w:pPr>
        <w:spacing w:after="240"/>
      </w:pPr>
      <w:r>
        <w:t>8.</w:t>
      </w:r>
      <w:r>
        <w:tab/>
        <w:t>L</w:t>
      </w:r>
      <w:r w:rsidRPr="00204FC0">
        <w:t>e Comité pour l</w:t>
      </w:r>
      <w:r>
        <w:t xml:space="preserve">’élimination de </w:t>
      </w:r>
      <w:r w:rsidRPr="00204FC0">
        <w:t>la discrimination raciale</w:t>
      </w:r>
      <w:r>
        <w:t>, a</w:t>
      </w:r>
      <w:r w:rsidR="00204FC0" w:rsidRPr="00204FC0">
        <w:t>gissant en vertu du paragraphe 7 de l</w:t>
      </w:r>
      <w:r w:rsidR="00F9464F">
        <w:t>’</w:t>
      </w:r>
      <w:r w:rsidR="00204FC0" w:rsidRPr="00204FC0">
        <w:t>article 14 de l</w:t>
      </w:r>
      <w:r>
        <w:t xml:space="preserve">a Convention internationale sur </w:t>
      </w:r>
      <w:r w:rsidR="00204FC0" w:rsidRPr="00204FC0">
        <w:t>l</w:t>
      </w:r>
      <w:r w:rsidR="00F9464F">
        <w:t>’</w:t>
      </w:r>
      <w:r w:rsidR="00204FC0" w:rsidRPr="00204FC0">
        <w:t>élimination de toutes les formes de discrimination raciale</w:t>
      </w:r>
      <w:r w:rsidR="001329F8">
        <w:t>,</w:t>
      </w:r>
      <w:r>
        <w:t xml:space="preserve"> </w:t>
      </w:r>
      <w:r w:rsidR="00204FC0" w:rsidRPr="00204FC0">
        <w:t>est d</w:t>
      </w:r>
      <w:r w:rsidR="00F9464F">
        <w:t>’</w:t>
      </w:r>
      <w:r w:rsidR="00204FC0" w:rsidRPr="00204FC0">
        <w:t>avis que les faits dont il a é</w:t>
      </w:r>
      <w:r>
        <w:t>té saisi ne font pas apparaître de violation de l’article 4 a) et de l’article </w:t>
      </w:r>
      <w:r w:rsidR="00204FC0" w:rsidRPr="00204FC0">
        <w:t>6 de la Convention.</w:t>
      </w:r>
    </w:p>
    <w:p w:rsidR="00F9464F" w:rsidRDefault="00204FC0" w:rsidP="00BF2BC3">
      <w:pPr>
        <w:spacing w:after="360"/>
      </w:pPr>
      <w:r w:rsidRPr="00204FC0">
        <w:t>9.</w:t>
      </w:r>
      <w:r w:rsidRPr="00204FC0">
        <w:tab/>
        <w:t>Sans préjudice de ce qui précède, le Comité rappelle que l</w:t>
      </w:r>
      <w:r w:rsidR="00F9464F">
        <w:t>’</w:t>
      </w:r>
      <w:r w:rsidR="0052453B">
        <w:t>article de P. </w:t>
      </w:r>
      <w:r w:rsidRPr="00204FC0">
        <w:t>L. a été perçu comme injurieux et offensant non seulement par les requérants, mais aussi par les autorités chargées des poursuites et par les autorités ju</w:t>
      </w:r>
      <w:r w:rsidR="0052453B">
        <w:t>diciaires qui ont examiné l’</w:t>
      </w:r>
      <w:r w:rsidRPr="00204FC0">
        <w:t>affaire. Le Comité souhaite attirer l</w:t>
      </w:r>
      <w:r w:rsidR="00F9464F">
        <w:t>’</w:t>
      </w:r>
      <w:r w:rsidRPr="00204FC0">
        <w:t>attention de l</w:t>
      </w:r>
      <w:r w:rsidR="00F9464F">
        <w:t>’</w:t>
      </w:r>
      <w:r w:rsidR="0052453B">
        <w:t xml:space="preserve">État partie i) </w:t>
      </w:r>
      <w:r w:rsidRPr="00204FC0">
        <w:t xml:space="preserve">sur </w:t>
      </w:r>
      <w:r w:rsidR="0052453B">
        <w:t>le caractère</w:t>
      </w:r>
      <w:r w:rsidR="001329F8">
        <w:t xml:space="preserve"> discriminatoire, insultant</w:t>
      </w:r>
      <w:r w:rsidRPr="00204FC0">
        <w:t xml:space="preserve"> et diffamatoir</w:t>
      </w:r>
      <w:r w:rsidR="0052453B">
        <w:t>e des commentaires faits par P. </w:t>
      </w:r>
      <w:r w:rsidRPr="00204FC0">
        <w:t>L. dans la réponse qu</w:t>
      </w:r>
      <w:r w:rsidR="00F9464F">
        <w:t>’</w:t>
      </w:r>
      <w:r w:rsidRPr="00204FC0">
        <w:t xml:space="preserve">il a publiée dans </w:t>
      </w:r>
      <w:r w:rsidRPr="00204FC0">
        <w:rPr>
          <w:i/>
        </w:rPr>
        <w:t xml:space="preserve">Der </w:t>
      </w:r>
      <w:proofErr w:type="spellStart"/>
      <w:r w:rsidRPr="00204FC0">
        <w:rPr>
          <w:i/>
        </w:rPr>
        <w:t>Kriminalist</w:t>
      </w:r>
      <w:proofErr w:type="spellEnd"/>
      <w:r w:rsidRPr="00204FC0">
        <w:rPr>
          <w:i/>
        </w:rPr>
        <w:t xml:space="preserve"> </w:t>
      </w:r>
      <w:r w:rsidRPr="00204FC0">
        <w:t>et sur la por</w:t>
      </w:r>
      <w:r w:rsidR="0052453B">
        <w:t>tée particulière de propos</w:t>
      </w:r>
      <w:r w:rsidRPr="00204FC0">
        <w:t xml:space="preserve"> de cette nature émanant d</w:t>
      </w:r>
      <w:r w:rsidR="00F9464F">
        <w:t>’</w:t>
      </w:r>
      <w:r w:rsidRPr="00204FC0">
        <w:t xml:space="preserve">un fonctionnaire de police, dont le devoir est de servir </w:t>
      </w:r>
      <w:r w:rsidR="0052453B">
        <w:t>et protéger les particuliers et ii) sur la Recommandation générale </w:t>
      </w:r>
      <w:r w:rsidRPr="00204FC0">
        <w:t>XXVII, qu</w:t>
      </w:r>
      <w:r w:rsidR="00F9464F">
        <w:t>’</w:t>
      </w:r>
      <w:r w:rsidR="0052453B">
        <w:t xml:space="preserve">il a adoptée à sa </w:t>
      </w:r>
      <w:proofErr w:type="spellStart"/>
      <w:r w:rsidR="0052453B">
        <w:t>cinquante</w:t>
      </w:r>
      <w:r w:rsidR="0052453B">
        <w:noBreakHyphen/>
      </w:r>
      <w:r w:rsidRPr="00204FC0">
        <w:t>septième</w:t>
      </w:r>
      <w:proofErr w:type="spellEnd"/>
      <w:r w:rsidRPr="00204FC0">
        <w:t xml:space="preserve"> session, relative à la discrimination à l</w:t>
      </w:r>
      <w:r w:rsidR="00F9464F">
        <w:t>’</w:t>
      </w:r>
      <w:r w:rsidRPr="00204FC0">
        <w:t xml:space="preserve">égard des </w:t>
      </w:r>
      <w:proofErr w:type="spellStart"/>
      <w:r w:rsidRPr="00204FC0">
        <w:t>Roms</w:t>
      </w:r>
      <w:proofErr w:type="spellEnd"/>
      <w:r w:rsidRPr="00204FC0">
        <w:t>.</w:t>
      </w:r>
    </w:p>
    <w:p w:rsidR="001A59A7" w:rsidRDefault="00204FC0" w:rsidP="00845067">
      <w:pPr>
        <w:spacing w:after="240"/>
      </w:pPr>
      <w:r w:rsidRPr="00204FC0">
        <w:t xml:space="preserve">[Adopté en anglais (version originale), </w:t>
      </w:r>
      <w:r w:rsidR="0052453B" w:rsidRPr="00204FC0">
        <w:t>en espagnol</w:t>
      </w:r>
      <w:r w:rsidR="0052453B">
        <w:t>,</w:t>
      </w:r>
      <w:r w:rsidR="0052453B" w:rsidRPr="00204FC0">
        <w:t xml:space="preserve"> </w:t>
      </w:r>
      <w:r w:rsidRPr="00204FC0">
        <w:t>en fran</w:t>
      </w:r>
      <w:r w:rsidR="0052453B">
        <w:t>çais</w:t>
      </w:r>
      <w:r w:rsidRPr="00204FC0">
        <w:t xml:space="preserve"> et en russe. Paraîtra ultérieurement en arabe et en chinois dans l</w:t>
      </w:r>
      <w:r w:rsidR="0052453B">
        <w:t xml:space="preserve">e rapport annuel du Comité à </w:t>
      </w:r>
      <w:r w:rsidRPr="00204FC0">
        <w:t>l</w:t>
      </w:r>
      <w:r w:rsidR="00F9464F">
        <w:t>’</w:t>
      </w:r>
      <w:r w:rsidRPr="00204FC0">
        <w:t xml:space="preserve">Assemblée générale.] </w:t>
      </w:r>
    </w:p>
    <w:p w:rsidR="00204FC0" w:rsidRDefault="00204FC0" w:rsidP="00845067">
      <w:pPr>
        <w:spacing w:after="240"/>
        <w:jc w:val="center"/>
      </w:pPr>
      <w:r>
        <w:t>-----</w:t>
      </w:r>
    </w:p>
    <w:sectPr w:rsidR="00204FC0" w:rsidSect="006058AE">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E6" w:rsidRDefault="000B0BE6">
      <w:r>
        <w:separator/>
      </w:r>
    </w:p>
  </w:endnote>
  <w:endnote w:type="continuationSeparator" w:id="0">
    <w:p w:rsidR="000B0BE6" w:rsidRDefault="000B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A4" w:rsidRDefault="006C50A4">
    <w:pPr>
      <w:pStyle w:val="Footer"/>
      <w:spacing w:before="240"/>
    </w:pPr>
    <w:r>
      <w:t>GE.08</w:t>
    </w:r>
    <w:r>
      <w:noBreakHyphen/>
      <w:t>40901  (F)</w:t>
    </w:r>
    <w:r w:rsidR="00BF2BC3">
      <w:t xml:space="preserve">    150408    160408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E6" w:rsidRDefault="000B0BE6">
      <w:r>
        <w:separator/>
      </w:r>
    </w:p>
  </w:footnote>
  <w:footnote w:type="continuationSeparator" w:id="0">
    <w:p w:rsidR="000B0BE6" w:rsidRDefault="000B0BE6">
      <w:r>
        <w:continuationSeparator/>
      </w:r>
    </w:p>
  </w:footnote>
  <w:footnote w:id="1">
    <w:p w:rsidR="006C50A4" w:rsidRDefault="006C50A4" w:rsidP="002630AF">
      <w:pPr>
        <w:pStyle w:val="FootnoteText"/>
        <w:spacing w:after="240"/>
        <w:jc w:val="both"/>
      </w:pPr>
      <w:r>
        <w:rPr>
          <w:rStyle w:val="FootnoteReference"/>
        </w:rPr>
        <w:t>*</w:t>
      </w:r>
      <w:r>
        <w:t xml:space="preserve"> Rendue publique sur décision du Comité pour l’élimination de la discrimination raciale.</w:t>
      </w:r>
    </w:p>
  </w:footnote>
  <w:footnote w:id="2">
    <w:p w:rsidR="006C50A4" w:rsidRDefault="006C50A4" w:rsidP="00204FC0">
      <w:pPr>
        <w:pStyle w:val="FootnoteText"/>
        <w:spacing w:after="240"/>
      </w:pPr>
      <w:r>
        <w:rPr>
          <w:rStyle w:val="FootnoteReference"/>
        </w:rPr>
        <w:footnoteRef/>
      </w:r>
      <w:r>
        <w:t xml:space="preserve"> L’Allemagne a ratifié la Convention le 16 mai 1969, et a fait la déclaration prévue à l’article 14 le 30 août 2001.</w:t>
      </w:r>
    </w:p>
  </w:footnote>
  <w:footnote w:id="3">
    <w:p w:rsidR="006C50A4" w:rsidRDefault="006C50A4" w:rsidP="00204FC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30/2003, </w:t>
      </w:r>
      <w:r>
        <w:rPr>
          <w:i/>
          <w:iCs/>
        </w:rPr>
        <w:t>La Communauté juive d’Oslo et consorts</w:t>
      </w:r>
      <w:r>
        <w:t xml:space="preserve"> c. </w:t>
      </w:r>
      <w:r>
        <w:rPr>
          <w:i/>
          <w:iCs/>
        </w:rPr>
        <w:t>Norvège</w:t>
      </w:r>
      <w:r>
        <w:t>, opinion adoptée le 15 août 2005.</w:t>
      </w:r>
    </w:p>
  </w:footnote>
  <w:footnote w:id="4">
    <w:p w:rsidR="006C50A4" w:rsidRDefault="006C50A4" w:rsidP="001C73DD">
      <w:pPr>
        <w:pStyle w:val="FootnoteText"/>
        <w:spacing w:after="240"/>
      </w:pPr>
      <w:r>
        <w:rPr>
          <w:rStyle w:val="FootnoteReference"/>
        </w:rPr>
        <w:footnoteRef/>
      </w:r>
      <w:r>
        <w:t xml:space="preserve"> </w:t>
      </w:r>
      <w:r w:rsidR="00FB29A2">
        <w:rPr>
          <w:u w:val="single"/>
        </w:rPr>
        <w:t>Article 130.</w:t>
      </w:r>
      <w:r>
        <w:rPr>
          <w:u w:val="single"/>
        </w:rPr>
        <w:t xml:space="preserve"> Incitation à la haine raciale ou ethnique</w:t>
      </w:r>
      <w:r w:rsidR="00E04AB6">
        <w:t>. 1) </w:t>
      </w:r>
      <w:r>
        <w:t>Quiconque, d’une manière susceptible de perturber la paix sociale,</w:t>
      </w:r>
      <w:r w:rsidR="00E04AB6">
        <w:t xml:space="preserve"> 1. </w:t>
      </w:r>
      <w:r>
        <w:t>incite à la haine contre des catégories de la population ou invite à prendre des mesures violentes ou arbitraires contre ces catég</w:t>
      </w:r>
      <w:r w:rsidR="00E04AB6">
        <w:t>ories; ou, 2. </w:t>
      </w:r>
      <w:r>
        <w:t>porte atteinte à la dignité</w:t>
      </w:r>
      <w:r w:rsidRPr="002E3846">
        <w:t xml:space="preserve"> d</w:t>
      </w:r>
      <w:r>
        <w:t>’</w:t>
      </w:r>
      <w:r w:rsidRPr="002E3846">
        <w:t>autrui</w:t>
      </w:r>
      <w:r>
        <w:t xml:space="preserve"> en </w:t>
      </w:r>
      <w:r w:rsidRPr="002E3846">
        <w:t>insultant, calomniant</w:t>
      </w:r>
      <w:r>
        <w:t xml:space="preserve"> ou en diffamant des catégories de la population, encourt une peine d’emprisonnement alla</w:t>
      </w:r>
      <w:r w:rsidR="00EE11A3">
        <w:t>nt de trois mois à cinq </w:t>
      </w:r>
      <w:r w:rsidR="00E04AB6">
        <w:t>ans. 2) </w:t>
      </w:r>
      <w:r>
        <w:t>Quiconque, 1. s’agissant</w:t>
      </w:r>
      <w:r w:rsidRPr="002E3846">
        <w:t xml:space="preserve"> d</w:t>
      </w:r>
      <w:r>
        <w:t>’</w:t>
      </w:r>
      <w:r w:rsidRPr="002E3846">
        <w:t>écrits</w:t>
      </w:r>
      <w:r w:rsidR="00E04AB6">
        <w:t xml:space="preserve"> (art. 11, par. </w:t>
      </w:r>
      <w:r>
        <w:t xml:space="preserve">3) qui incitent à la haine contre des catégories de la population ou contre un groupe national, racial ou religieux ou contre un groupe caractérisé par ses coutumes populaires, invitent à prendre des mesures violentes ou arbitraires contre ces groupes ou portent atteinte à la dignité </w:t>
      </w:r>
      <w:r w:rsidRPr="002E3846">
        <w:t>d</w:t>
      </w:r>
      <w:r>
        <w:t>’</w:t>
      </w:r>
      <w:r w:rsidRPr="002E3846">
        <w:t>autrui</w:t>
      </w:r>
      <w:r>
        <w:t xml:space="preserve"> en insultant, calomniant ou diffamant des catégories de la population ou un des groupes susmentionnés: a) </w:t>
      </w:r>
      <w:r w:rsidRPr="002E3846">
        <w:t>diffuse ces</w:t>
      </w:r>
      <w:r>
        <w:t xml:space="preserve"> écrits; (…)</w:t>
      </w:r>
      <w:r w:rsidR="00FB29A2">
        <w:t>.</w:t>
      </w:r>
    </w:p>
  </w:footnote>
  <w:footnote w:id="5">
    <w:p w:rsidR="006C50A4" w:rsidRDefault="006C50A4" w:rsidP="00D94AFB">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30/2003, </w:t>
      </w:r>
      <w:r>
        <w:rPr>
          <w:i/>
          <w:iCs/>
        </w:rPr>
        <w:t>La communauté juive d’Oslo et consorts</w:t>
      </w:r>
      <w:r>
        <w:t xml:space="preserve"> c. </w:t>
      </w:r>
      <w:r>
        <w:rPr>
          <w:i/>
          <w:iCs/>
        </w:rPr>
        <w:t>Norvège</w:t>
      </w:r>
      <w:r>
        <w:t>, opinion adop</w:t>
      </w:r>
      <w:r w:rsidR="00D94AFB">
        <w:t>tée le 15 août 2005, par. </w:t>
      </w:r>
      <w:r>
        <w:t>7.4.</w:t>
      </w:r>
    </w:p>
  </w:footnote>
  <w:footnote w:id="6">
    <w:p w:rsidR="006C50A4" w:rsidRPr="00513C23" w:rsidRDefault="006C50A4" w:rsidP="00204FC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11/1998, </w:t>
      </w:r>
      <w:r w:rsidRPr="009D77F3">
        <w:rPr>
          <w:i/>
        </w:rPr>
        <w:t>Miroslav Lacko</w:t>
      </w:r>
      <w:r>
        <w:t xml:space="preserve"> c. </w:t>
      </w:r>
      <w:r>
        <w:rPr>
          <w:i/>
        </w:rPr>
        <w:t xml:space="preserve">République </w:t>
      </w:r>
      <w:r w:rsidRPr="000D5C59">
        <w:rPr>
          <w:i/>
        </w:rPr>
        <w:t>slovaque</w:t>
      </w:r>
      <w:r>
        <w:t xml:space="preserve">, </w:t>
      </w:r>
      <w:r w:rsidRPr="000D5C59">
        <w:t>opinion</w:t>
      </w:r>
      <w:r w:rsidR="0052453B">
        <w:t xml:space="preserve"> adoptée le 9 août 2001, par. </w:t>
      </w:r>
      <w:r>
        <w:t xml:space="preserve">6.2; communication </w:t>
      </w:r>
      <w:r>
        <w:rPr>
          <w:rFonts w:eastAsia="MS Mincho"/>
        </w:rPr>
        <w:t>n</w:t>
      </w:r>
      <w:r>
        <w:rPr>
          <w:rFonts w:eastAsia="MS Mincho"/>
          <w:vertAlign w:val="superscript"/>
        </w:rPr>
        <w:t>o</w:t>
      </w:r>
      <w:r>
        <w:t xml:space="preserve"> 13/1998, </w:t>
      </w:r>
      <w:r w:rsidRPr="003923BE">
        <w:rPr>
          <w:i/>
        </w:rPr>
        <w:t>Anna Koptova</w:t>
      </w:r>
      <w:r>
        <w:t xml:space="preserve"> c. </w:t>
      </w:r>
      <w:r w:rsidRPr="003923BE">
        <w:rPr>
          <w:i/>
        </w:rPr>
        <w:t>République slovaque</w:t>
      </w:r>
      <w:r>
        <w:t>, opini</w:t>
      </w:r>
      <w:r w:rsidR="0052453B">
        <w:t>on adoptée le 8 août 2000, par. </w:t>
      </w:r>
      <w:r>
        <w:t>6.4.</w:t>
      </w:r>
    </w:p>
  </w:footnote>
  <w:footnote w:id="7">
    <w:p w:rsidR="006C50A4" w:rsidRPr="00761B44" w:rsidRDefault="006C50A4" w:rsidP="00204FC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22/2002, </w:t>
      </w:r>
      <w:r w:rsidRPr="00761B44">
        <w:rPr>
          <w:i/>
        </w:rPr>
        <w:t>POEM et FASM</w:t>
      </w:r>
      <w:r>
        <w:t xml:space="preserve"> c. </w:t>
      </w:r>
      <w:r w:rsidRPr="00761B44">
        <w:rPr>
          <w:i/>
        </w:rPr>
        <w:t>Danemark</w:t>
      </w:r>
      <w:r w:rsidR="0052453B">
        <w:t>, décision du 17 mars 2003, par. </w:t>
      </w:r>
      <w:r>
        <w:t>6.3.</w:t>
      </w:r>
    </w:p>
  </w:footnote>
  <w:footnote w:id="8">
    <w:p w:rsidR="006C50A4" w:rsidRPr="00D27BD0" w:rsidRDefault="006C50A4" w:rsidP="00204FC0">
      <w:pPr>
        <w:pStyle w:val="FootnoteText"/>
        <w:spacing w:after="240"/>
      </w:pPr>
      <w:r>
        <w:rPr>
          <w:rStyle w:val="FootnoteReference"/>
        </w:rPr>
        <w:footnoteRef/>
      </w:r>
      <w:r>
        <w:t xml:space="preserve"> Voir la communication </w:t>
      </w:r>
      <w:r>
        <w:rPr>
          <w:rFonts w:eastAsia="MS Mincho"/>
        </w:rPr>
        <w:t>n</w:t>
      </w:r>
      <w:r>
        <w:rPr>
          <w:rFonts w:eastAsia="MS Mincho"/>
          <w:vertAlign w:val="superscript"/>
        </w:rPr>
        <w:t>o</w:t>
      </w:r>
      <w:r>
        <w:t xml:space="preserve"> 40/2007, </w:t>
      </w:r>
      <w:r w:rsidRPr="005A6D1D">
        <w:rPr>
          <w:i/>
        </w:rPr>
        <w:t xml:space="preserve">Er </w:t>
      </w:r>
      <w:r>
        <w:t xml:space="preserve">c. </w:t>
      </w:r>
      <w:r w:rsidRPr="005A6D1D">
        <w:rPr>
          <w:i/>
        </w:rPr>
        <w:t>Danemark</w:t>
      </w:r>
      <w:r w:rsidR="0052453B">
        <w:t>, décision du 8 août 2007, par. </w:t>
      </w:r>
      <w:r>
        <w:t>7.2.</w:t>
      </w:r>
    </w:p>
  </w:footnote>
  <w:footnote w:id="9">
    <w:p w:rsidR="006C50A4" w:rsidRPr="00EC50C1" w:rsidRDefault="006C50A4" w:rsidP="00204FC0">
      <w:pPr>
        <w:pStyle w:val="FootnoteText"/>
        <w:spacing w:after="240"/>
      </w:pPr>
      <w:r>
        <w:rPr>
          <w:rStyle w:val="FootnoteReference"/>
        </w:rPr>
        <w:footnoteRef/>
      </w:r>
      <w:r w:rsidR="0052453B">
        <w:t xml:space="preserve"> Voir par. </w:t>
      </w:r>
      <w: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A4" w:rsidRDefault="006C50A4">
    <w:pPr>
      <w:pStyle w:val="Header"/>
    </w:pPr>
    <w:r>
      <w:t>CERD/C/72/D/38/2006</w:t>
    </w:r>
  </w:p>
  <w:p w:rsidR="006C50A4" w:rsidRDefault="006C50A4">
    <w:pPr>
      <w:pStyle w:val="Header"/>
    </w:pPr>
    <w:r>
      <w:t xml:space="preserve">page </w:t>
    </w:r>
    <w:r>
      <w:fldChar w:fldCharType="begin"/>
    </w:r>
    <w:r>
      <w:instrText xml:space="preserve"> PAGE  \* MERGEFORMAT </w:instrText>
    </w:r>
    <w:r>
      <w:fldChar w:fldCharType="separate"/>
    </w:r>
    <w:r w:rsidR="007565E1">
      <w:rPr>
        <w:noProof/>
      </w:rPr>
      <w:t>2</w:t>
    </w:r>
    <w:r>
      <w:fldChar w:fldCharType="end"/>
    </w:r>
  </w:p>
  <w:p w:rsidR="006C50A4" w:rsidRDefault="006C5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A4" w:rsidRDefault="006C50A4" w:rsidP="006058AE">
    <w:pPr>
      <w:pStyle w:val="Header"/>
      <w:tabs>
        <w:tab w:val="clear" w:pos="4320"/>
        <w:tab w:val="clear" w:pos="8640"/>
        <w:tab w:val="left" w:pos="7087"/>
      </w:tabs>
    </w:pPr>
    <w:r>
      <w:tab/>
      <w:t>CERD/C/72/D/38/2006</w:t>
    </w:r>
  </w:p>
  <w:p w:rsidR="006C50A4" w:rsidRDefault="006C50A4" w:rsidP="006058AE">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sidR="003A1914">
      <w:rPr>
        <w:noProof/>
      </w:rPr>
      <w:t>9</w:t>
    </w:r>
    <w:r>
      <w:fldChar w:fldCharType="end"/>
    </w:r>
  </w:p>
  <w:p w:rsidR="006C50A4" w:rsidRDefault="006C50A4" w:rsidP="006058AE">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051"/>
    <w:rsid w:val="00060A2A"/>
    <w:rsid w:val="000B0BE6"/>
    <w:rsid w:val="001329F8"/>
    <w:rsid w:val="00156A89"/>
    <w:rsid w:val="00173051"/>
    <w:rsid w:val="001A59A7"/>
    <w:rsid w:val="001C73DD"/>
    <w:rsid w:val="00204FC0"/>
    <w:rsid w:val="002630AF"/>
    <w:rsid w:val="003A1914"/>
    <w:rsid w:val="00406730"/>
    <w:rsid w:val="00464DD1"/>
    <w:rsid w:val="0052453B"/>
    <w:rsid w:val="005D6AAA"/>
    <w:rsid w:val="005F62B1"/>
    <w:rsid w:val="006058AE"/>
    <w:rsid w:val="006C50A4"/>
    <w:rsid w:val="006F0BDA"/>
    <w:rsid w:val="007565E1"/>
    <w:rsid w:val="00782A35"/>
    <w:rsid w:val="00845067"/>
    <w:rsid w:val="00872D9E"/>
    <w:rsid w:val="008777CD"/>
    <w:rsid w:val="0092173E"/>
    <w:rsid w:val="00AF035C"/>
    <w:rsid w:val="00AF4908"/>
    <w:rsid w:val="00BF2BC3"/>
    <w:rsid w:val="00BF4465"/>
    <w:rsid w:val="00D94AFB"/>
    <w:rsid w:val="00DF0A60"/>
    <w:rsid w:val="00E04AB6"/>
    <w:rsid w:val="00E62F1D"/>
    <w:rsid w:val="00EE11A3"/>
    <w:rsid w:val="00F619AE"/>
    <w:rsid w:val="00F71B2A"/>
    <w:rsid w:val="00F9464F"/>
    <w:rsid w:val="00FB29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4118</Words>
  <Characters>21622</Characters>
  <Application>Microsoft Office Word</Application>
  <DocSecurity>4</DocSecurity>
  <Lines>343</Lines>
  <Paragraphs>103</Paragraphs>
  <ScaleCrop>false</ScaleCrop>
  <HeadingPairs>
    <vt:vector size="2" baseType="variant">
      <vt:variant>
        <vt:lpstr>Titre</vt:lpstr>
      </vt:variant>
      <vt:variant>
        <vt:i4>1</vt:i4>
      </vt:variant>
    </vt:vector>
  </HeadingPairs>
  <TitlesOfParts>
    <vt:vector size="1" baseType="lpstr">
      <vt:lpstr>CERD/C/72/D/38/2006</vt:lpstr>
    </vt:vector>
  </TitlesOfParts>
  <Company>ONU</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CERD/C/72/D/38/2006</dc:title>
  <dc:subject>final</dc:subject>
  <dc:creator>Andreotta</dc:creator>
  <cp:keywords/>
  <dc:description/>
  <cp:lastModifiedBy>brèque</cp:lastModifiedBy>
  <cp:revision>2</cp:revision>
  <cp:lastPrinted>2008-04-16T08:58:00Z</cp:lastPrinted>
  <dcterms:created xsi:type="dcterms:W3CDTF">2008-04-16T09:01:00Z</dcterms:created>
  <dcterms:modified xsi:type="dcterms:W3CDTF">2008-04-16T09:01:00Z</dcterms:modified>
</cp:coreProperties>
</file>