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55A7460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D96B78" w14:textId="77777777" w:rsidR="002D5AAC" w:rsidRDefault="002D5AAC" w:rsidP="00FB2A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6FCBFE5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95AA435" w14:textId="1AD0067A" w:rsidR="002D5AAC" w:rsidRDefault="00FB2AF0" w:rsidP="00FB2AF0">
            <w:pPr>
              <w:jc w:val="right"/>
            </w:pPr>
            <w:r w:rsidRPr="00D81B18">
              <w:rPr>
                <w:sz w:val="40"/>
              </w:rPr>
              <w:t>CAT</w:t>
            </w:r>
            <w:r w:rsidRPr="00D81B18">
              <w:t>/C/NGA/COAR/1</w:t>
            </w:r>
          </w:p>
        </w:tc>
      </w:tr>
      <w:tr w:rsidR="002D5AAC" w:rsidRPr="00904476" w14:paraId="64D065F5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2F48A9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25C5F5" wp14:editId="1C280C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0367AC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26F9B1" w14:textId="77777777" w:rsidR="002D5AAC" w:rsidRPr="00904476" w:rsidRDefault="00FB2AF0" w:rsidP="00F90E40">
            <w:pPr>
              <w:spacing w:before="240"/>
              <w:rPr>
                <w:lang w:val="en-US"/>
              </w:rPr>
            </w:pPr>
            <w:r w:rsidRPr="00904476">
              <w:rPr>
                <w:lang w:val="en-US"/>
              </w:rPr>
              <w:t>Distr.: General</w:t>
            </w:r>
          </w:p>
          <w:p w14:paraId="64938373" w14:textId="77777777" w:rsidR="00FB2AF0" w:rsidRPr="00904476" w:rsidRDefault="00FB2AF0" w:rsidP="00FB2AF0">
            <w:pPr>
              <w:spacing w:line="240" w:lineRule="exact"/>
              <w:rPr>
                <w:lang w:val="en-US"/>
              </w:rPr>
            </w:pPr>
            <w:r w:rsidRPr="00904476">
              <w:rPr>
                <w:lang w:val="en-US"/>
              </w:rPr>
              <w:t>21 December 2021</w:t>
            </w:r>
          </w:p>
          <w:p w14:paraId="2B359475" w14:textId="77777777" w:rsidR="00FB2AF0" w:rsidRPr="00904476" w:rsidRDefault="00FB2AF0" w:rsidP="00FB2AF0">
            <w:pPr>
              <w:spacing w:line="240" w:lineRule="exact"/>
              <w:rPr>
                <w:lang w:val="en-US"/>
              </w:rPr>
            </w:pPr>
            <w:r w:rsidRPr="00904476">
              <w:rPr>
                <w:lang w:val="en-US"/>
              </w:rPr>
              <w:t>Russian</w:t>
            </w:r>
          </w:p>
          <w:p w14:paraId="34ACD0BB" w14:textId="5CB4AA48" w:rsidR="00FB2AF0" w:rsidRPr="00904476" w:rsidRDefault="00FB2AF0" w:rsidP="00FB2AF0">
            <w:pPr>
              <w:spacing w:line="240" w:lineRule="exact"/>
              <w:rPr>
                <w:lang w:val="en-US"/>
              </w:rPr>
            </w:pPr>
            <w:r w:rsidRPr="00904476">
              <w:rPr>
                <w:lang w:val="en-US"/>
              </w:rPr>
              <w:t>Original: English</w:t>
            </w:r>
          </w:p>
        </w:tc>
      </w:tr>
    </w:tbl>
    <w:p w14:paraId="3DCF9F8B" w14:textId="77777777" w:rsidR="00FB2AF0" w:rsidRPr="00D81B18" w:rsidRDefault="00FB2AF0" w:rsidP="00FB2AF0">
      <w:pPr>
        <w:spacing w:before="120"/>
        <w:rPr>
          <w:b/>
          <w:sz w:val="24"/>
          <w:szCs w:val="24"/>
        </w:rPr>
      </w:pPr>
      <w:r w:rsidRPr="00D81B18">
        <w:rPr>
          <w:b/>
          <w:bCs/>
          <w:sz w:val="24"/>
          <w:szCs w:val="24"/>
        </w:rPr>
        <w:t>Комитет против пыток</w:t>
      </w:r>
    </w:p>
    <w:p w14:paraId="612864E5" w14:textId="77777777" w:rsidR="00FB2AF0" w:rsidRPr="006A3FE0" w:rsidRDefault="00FB2AF0" w:rsidP="00FB2AF0">
      <w:pPr>
        <w:pStyle w:val="HChG"/>
      </w:pPr>
      <w:r>
        <w:tab/>
      </w:r>
      <w:r>
        <w:tab/>
      </w:r>
      <w:r>
        <w:rPr>
          <w:bCs/>
        </w:rPr>
        <w:t>Заключительные замечания в отсутствие первоначального доклада Нигерии</w:t>
      </w:r>
      <w:r w:rsidRPr="006A725E">
        <w:rPr>
          <w:b w:val="0"/>
          <w:bCs/>
          <w:sz w:val="20"/>
        </w:rPr>
        <w:footnoteReference w:customMarkFollows="1" w:id="1"/>
        <w:t>*</w:t>
      </w:r>
    </w:p>
    <w:p w14:paraId="65B39761" w14:textId="7D0236D5" w:rsidR="00FB2AF0" w:rsidRPr="006A3FE0" w:rsidRDefault="00FB2AF0" w:rsidP="00FB2AF0">
      <w:pPr>
        <w:pStyle w:val="SingleTxtG"/>
      </w:pPr>
      <w:r>
        <w:t>1.</w:t>
      </w:r>
      <w:r>
        <w:tab/>
        <w:t xml:space="preserve">В отсутствие первоначального доклада государства-участника Комитет рассмотрел ход осуществления Конвенции в Нигерии на своих 1852-м и </w:t>
      </w:r>
      <w:r w:rsidR="00D81B18">
        <w:br/>
      </w:r>
      <w:r>
        <w:t>1855-м заседаниях</w:t>
      </w:r>
      <w:r w:rsidRPr="006A725E">
        <w:rPr>
          <w:rStyle w:val="aa"/>
        </w:rPr>
        <w:footnoteReference w:id="2"/>
      </w:r>
      <w:r>
        <w:t>, состоявшихся 16 и 17 ноября 2021 года. В соответствии с пунктом</w:t>
      </w:r>
      <w:r w:rsidR="00D81B18">
        <w:rPr>
          <w:lang w:val="en-US"/>
        </w:rPr>
        <w:t> </w:t>
      </w:r>
      <w:r>
        <w:t>3 правила 67 своих правил процедуры Комитет уведомил государство-участник о том, что он намерен рассмотреть меры, принятые для защиты или обеспечения осуществления прав, признанных в Конвенции, в отсутствие доклада и принять заключительные замечания. Комитет проанализировал информацию, полученную от национальных и международных источников, включая другие механизмы Организации Объединенных Наций, и на своем 1868-м заседании, состоявшемся 26 ноября 2021 года, принял настоящие заключительные замечания.</w:t>
      </w:r>
      <w:bookmarkStart w:id="0" w:name="_Hlk90977990"/>
    </w:p>
    <w:bookmarkEnd w:id="0"/>
    <w:p w14:paraId="35C35D8C" w14:textId="58FE7DF7" w:rsidR="00FB2AF0" w:rsidRPr="006A3FE0" w:rsidRDefault="00D81B18" w:rsidP="00FB2AF0">
      <w:pPr>
        <w:pStyle w:val="H1G"/>
      </w:pPr>
      <w:r>
        <w:rPr>
          <w:bCs/>
        </w:rPr>
        <w:tab/>
      </w:r>
      <w:r w:rsidR="00FB2AF0">
        <w:rPr>
          <w:bCs/>
        </w:rPr>
        <w:t>A.</w:t>
      </w:r>
      <w:r w:rsidR="00FB2AF0">
        <w:tab/>
      </w:r>
      <w:r w:rsidR="00FB2AF0">
        <w:rPr>
          <w:bCs/>
        </w:rPr>
        <w:t>Введение</w:t>
      </w:r>
      <w:bookmarkStart w:id="1" w:name="_Hlk90978020"/>
      <w:bookmarkEnd w:id="1"/>
    </w:p>
    <w:p w14:paraId="22E8A09F" w14:textId="6BCA76CF" w:rsidR="00FB2AF0" w:rsidRPr="006A3FE0" w:rsidRDefault="00FB2AF0" w:rsidP="00FB2AF0">
      <w:pPr>
        <w:pStyle w:val="SingleTxtG"/>
      </w:pPr>
      <w:bookmarkStart w:id="2" w:name="_Hlk90978126"/>
      <w:r>
        <w:t>2.</w:t>
      </w:r>
      <w:r>
        <w:tab/>
        <w:t>Нигерия присоединилась к Конвенции 28 июня 2001 года. Государство-участник было обязано представить свой первоначальный доклад в соответствии со статьей 19 (п. 1) Конвенции до 28 июня 2002 года. Каждый последующий год Нигерия включалась в список государств-участников с просроченными докладами, указываемых в ежегодном докладе, который Комитет представляет государствам-участникам и Генеральной Ассамблее. В своем письме от 27 июня 2012 года Комитет напомнил государству-участнику о его просроченном первоначальном докладе и о том, что Комитет может провести обзор в отсутствие такого доклада ввиду длительной задержки с его представлением. 10 декабря 2012 года государство-участник направило Комитету ответ с информацией о создании и мандате Национального комитета против пыток и о проводимой им работе в качестве дополнения к письму, направленному Комитету Председателем Национального комитета против пыток Нигерии 26 сентября 2012 года. В письме от 30 сентября 2019 года Комитет вновь напомнил государству-участнику о просроченном первоначальном докладе и о том, что Комитет может провести обзор в отсутствие такого доклада. Комитет также предложил государству-участнику принять упрощенную процедуру представления докладов для оказания ему помощи в подготовке его первоначального доклада. В отсутствие ответа Комитет в своих письмах от 9 декабря 2019 года и 27 марта 2020 года проинформировал государство-участник о своем решении провести обзор осуществления Конвенции на своей семьдесят первой сессии в отсутствие доклада государства-участника. В связи с пандемией коронавирусного заболевания (COVID-19) и ее воздействием на функционирование договорных органов и проведение очных сессий Комитет в письме от 5 октября 2020 года проинформировал государство-участник об отсрочке и переносе обзора ситуации в государстве-участнике на семьдесят вторую сессию. 10</w:t>
      </w:r>
      <w:r w:rsidR="00D81B18">
        <w:rPr>
          <w:lang w:val="en-US"/>
        </w:rPr>
        <w:t> </w:t>
      </w:r>
      <w:r>
        <w:t xml:space="preserve">сентября 2021 года Комитет вновь проинформировал государство-участник о </w:t>
      </w:r>
      <w:r>
        <w:lastRenderedPageBreak/>
        <w:t>возможности рассмотрения на своей семьдесят второй сессии ситуации в государстве-участнике в отсутствие доклада в соответствии с правилом 67 своих правил процедуры. Комитет приветствует направленный 22 октября 2021 года ответ государства-участника, подтверждающий его участие в семьдесят второй сессии, и последующее участие государства-участника в диалоге.</w:t>
      </w:r>
      <w:bookmarkEnd w:id="2"/>
    </w:p>
    <w:p w14:paraId="5166C8A8" w14:textId="77777777" w:rsidR="00FB2AF0" w:rsidRPr="006A3FE0" w:rsidRDefault="00FB2AF0" w:rsidP="00FB2AF0">
      <w:pPr>
        <w:pStyle w:val="SingleTxtG"/>
      </w:pPr>
      <w:r>
        <w:t>3.</w:t>
      </w:r>
      <w:r>
        <w:tab/>
        <w:t>Вместе с тем Комитет выражает сожаление по поводу того, что государство-участник не выполняет свои обязательства по представлению докладов согласно статье 19 Конвенции на протяжении более 19 лет, что не позволило Комитету оценить ход осуществления Конвенции государством-участником на основе первоначального доклада.</w:t>
      </w:r>
    </w:p>
    <w:p w14:paraId="6F2CA726" w14:textId="77777777" w:rsidR="00FB2AF0" w:rsidRPr="006A3FE0" w:rsidRDefault="00FB2AF0" w:rsidP="00FB2AF0">
      <w:pPr>
        <w:pStyle w:val="SingleTxtG"/>
      </w:pPr>
      <w:r>
        <w:t>4.</w:t>
      </w:r>
      <w:r>
        <w:tab/>
        <w:t>Учитывая обязательства, принятые государством-участником после универсального периодического обзора Совета по правам человека 2018 года в отношении более полного выполнения своих международных обязательств и укрепления сотрудничества с правозащитными механизмами, в частности путем представления докладов всем договорным органам</w:t>
      </w:r>
      <w:r w:rsidRPr="006A725E">
        <w:rPr>
          <w:rStyle w:val="aa"/>
        </w:rPr>
        <w:footnoteReference w:id="3"/>
      </w:r>
      <w:r>
        <w:t>, Комитет сожалеет, что государство-участник еще не выполнило свои обязательства по представлению докладов в соответствии с Конвенцией.</w:t>
      </w:r>
    </w:p>
    <w:p w14:paraId="1F156002" w14:textId="19B14FB5" w:rsidR="00FB2AF0" w:rsidRPr="006A3FE0" w:rsidRDefault="00D81B18" w:rsidP="00FB2AF0">
      <w:pPr>
        <w:pStyle w:val="H1G"/>
      </w:pPr>
      <w:r>
        <w:rPr>
          <w:bCs/>
        </w:rPr>
        <w:tab/>
      </w:r>
      <w:r w:rsidR="00FB2AF0">
        <w:rPr>
          <w:bCs/>
        </w:rPr>
        <w:t>B.</w:t>
      </w:r>
      <w:r w:rsidR="00FB2AF0">
        <w:tab/>
      </w:r>
      <w:r w:rsidR="00FB2AF0">
        <w:rPr>
          <w:bCs/>
        </w:rPr>
        <w:t>Позитивные аспекты</w:t>
      </w:r>
    </w:p>
    <w:p w14:paraId="1210E24E" w14:textId="77777777" w:rsidR="00FB2AF0" w:rsidRPr="006A3FE0" w:rsidRDefault="00FB2AF0" w:rsidP="00FB2AF0">
      <w:pPr>
        <w:pStyle w:val="SingleTxtG"/>
      </w:pPr>
      <w:r>
        <w:t>5.</w:t>
      </w:r>
      <w:r>
        <w:tab/>
        <w:t>Комитет приветствует ратификацию государством-участником следующих международных договоров или присоединение к ним с момента его присоединения к Конвенции:</w:t>
      </w:r>
    </w:p>
    <w:p w14:paraId="2CC678F1" w14:textId="424B9391" w:rsidR="00FB2AF0" w:rsidRPr="006A3FE0" w:rsidRDefault="00D81B18" w:rsidP="00FB2AF0">
      <w:pPr>
        <w:pStyle w:val="SingleTxtG"/>
      </w:pPr>
      <w:r>
        <w:tab/>
      </w:r>
      <w:r w:rsidR="00FB2AF0">
        <w:t>a)</w:t>
      </w:r>
      <w:r w:rsidR="00FB2AF0">
        <w:tab/>
        <w:t>Конвенция Организации Объединенных Наций против транснациональной организованной преступности, 28 июня 2001 года;</w:t>
      </w:r>
    </w:p>
    <w:p w14:paraId="551A8EA4" w14:textId="5435B6D8" w:rsidR="00FB2AF0" w:rsidRPr="00504926" w:rsidRDefault="00D81B18" w:rsidP="00FB2AF0">
      <w:pPr>
        <w:pStyle w:val="SingleTxtG"/>
      </w:pPr>
      <w:r>
        <w:tab/>
      </w:r>
      <w:r w:rsidR="00FB2AF0">
        <w:t>b)</w:t>
      </w:r>
      <w:r w:rsidR="00FB2AF0">
        <w:tab/>
        <w:t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28</w:t>
      </w:r>
      <w:r>
        <w:rPr>
          <w:lang w:val="en-US"/>
        </w:rPr>
        <w:t> </w:t>
      </w:r>
      <w:r w:rsidR="00FB2AF0">
        <w:t>июня 2001 года;</w:t>
      </w:r>
    </w:p>
    <w:p w14:paraId="76DF024A" w14:textId="36E6E12E" w:rsidR="00FB2AF0" w:rsidRPr="00504926" w:rsidRDefault="00D81B18" w:rsidP="00FB2AF0">
      <w:pPr>
        <w:pStyle w:val="SingleTxtG"/>
      </w:pPr>
      <w:r>
        <w:tab/>
      </w:r>
      <w:r w:rsidR="00FB2AF0">
        <w:t>c)</w:t>
      </w:r>
      <w:r w:rsidR="00FB2AF0">
        <w:tab/>
        <w:t xml:space="preserve">Протокол против незаконного ввоза мигрантов по суше, морю </w:t>
      </w:r>
      <w:r w:rsidR="0086464A">
        <w:br/>
      </w:r>
      <w:r w:rsidR="00FB2AF0">
        <w:t>и воздуху, дополняющий Конвенцию Организации Объединенных Наций против транснациональной организованной преступности, 27 сентября 2001 года;</w:t>
      </w:r>
    </w:p>
    <w:p w14:paraId="6467D37B" w14:textId="59F4A18F" w:rsidR="00FB2AF0" w:rsidRPr="006A3FE0" w:rsidRDefault="00D81B18" w:rsidP="00FB2AF0">
      <w:pPr>
        <w:pStyle w:val="SingleTxtG"/>
      </w:pPr>
      <w:r>
        <w:tab/>
      </w:r>
      <w:r w:rsidR="00FB2AF0">
        <w:t>d)</w:t>
      </w:r>
      <w:r w:rsidR="00FB2AF0">
        <w:tab/>
        <w:t>Международная конвенция о борьбе с финансированием терроризма, 16</w:t>
      </w:r>
      <w:r>
        <w:rPr>
          <w:lang w:val="en-US"/>
        </w:rPr>
        <w:t> </w:t>
      </w:r>
      <w:r w:rsidR="00FB2AF0">
        <w:t>июня 2003 года;</w:t>
      </w:r>
    </w:p>
    <w:p w14:paraId="7E290699" w14:textId="18E6BF8C" w:rsidR="00FB2AF0" w:rsidRPr="006A3FE0" w:rsidRDefault="00D81B18" w:rsidP="00FB2AF0">
      <w:pPr>
        <w:pStyle w:val="SingleTxtG"/>
      </w:pPr>
      <w:r>
        <w:tab/>
      </w:r>
      <w:r w:rsidR="00FB2AF0">
        <w:t>e)</w:t>
      </w:r>
      <w:r w:rsidR="00FB2AF0">
        <w:tab/>
        <w:t>Факультативный протокол к Конвенции о ликвидации всех форм дискриминации в отношении женщин, 22 ноября 2004 года;</w:t>
      </w:r>
    </w:p>
    <w:p w14:paraId="06EF1186" w14:textId="674F141B" w:rsidR="00FB2AF0" w:rsidRPr="006A3FE0" w:rsidRDefault="00D81B18" w:rsidP="00FB2AF0">
      <w:pPr>
        <w:pStyle w:val="SingleTxtG"/>
      </w:pPr>
      <w:r>
        <w:tab/>
      </w:r>
      <w:r w:rsidR="00FB2AF0">
        <w:t>f)</w:t>
      </w:r>
      <w:r w:rsidR="00FB2AF0"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наказания, 27 июля 2009 года;</w:t>
      </w:r>
    </w:p>
    <w:p w14:paraId="1C7FF190" w14:textId="5FC33D21" w:rsidR="00FB2AF0" w:rsidRPr="006A3FE0" w:rsidRDefault="00D81B18" w:rsidP="00FB2AF0">
      <w:pPr>
        <w:pStyle w:val="SingleTxtG"/>
      </w:pPr>
      <w:r>
        <w:tab/>
      </w:r>
      <w:r w:rsidR="00FB2AF0">
        <w:t>g)</w:t>
      </w:r>
      <w:r w:rsidR="00FB2AF0">
        <w:tab/>
        <w:t>Международная конвенция для защиты всех лиц от насильственных исчезновений, 27 июля 2009 года;</w:t>
      </w:r>
    </w:p>
    <w:p w14:paraId="7362D768" w14:textId="600CF55A" w:rsidR="00FB2AF0" w:rsidRPr="006A3FE0" w:rsidRDefault="00D81B18" w:rsidP="00FB2AF0">
      <w:pPr>
        <w:pStyle w:val="SingleTxtG"/>
      </w:pPr>
      <w:r>
        <w:tab/>
      </w:r>
      <w:r w:rsidR="00FB2AF0">
        <w:t>h)</w:t>
      </w:r>
      <w:r w:rsidR="00FB2AF0">
        <w:tab/>
        <w:t>Международная конвенция о защите прав всех трудящихся-мигрантов и членов их семей, 27 июля 2009 года;</w:t>
      </w:r>
    </w:p>
    <w:p w14:paraId="31EEB688" w14:textId="6C2D59C8" w:rsidR="00FB2AF0" w:rsidRPr="006A3FE0" w:rsidRDefault="00D81B18" w:rsidP="00FB2AF0">
      <w:pPr>
        <w:pStyle w:val="SingleTxtG"/>
      </w:pPr>
      <w:r>
        <w:tab/>
      </w:r>
      <w:r w:rsidR="00FB2AF0">
        <w:t>i)</w:t>
      </w:r>
      <w:r w:rsidR="00FB2AF0">
        <w:tab/>
        <w:t>Факультативные протоколы к Конвенции о правах ребенка, касающиеся торговли детьми, детской проституции и детской порнографии, а также участия детей в вооруженных конфликтах, 25 сентября 2010 года и 27 сентября 2012 года, соответственно;</w:t>
      </w:r>
    </w:p>
    <w:p w14:paraId="2DDD3BBA" w14:textId="7D505864" w:rsidR="00FB2AF0" w:rsidRPr="006A3FE0" w:rsidRDefault="00D81B18" w:rsidP="00FB2AF0">
      <w:pPr>
        <w:pStyle w:val="SingleTxtG"/>
      </w:pPr>
      <w:r>
        <w:tab/>
      </w:r>
      <w:r w:rsidR="00FB2AF0">
        <w:t>j)</w:t>
      </w:r>
      <w:r w:rsidR="00FB2AF0">
        <w:tab/>
        <w:t>Конвенция о правах инвалидов и Факультативный протокол к ней, 24</w:t>
      </w:r>
      <w:r w:rsidR="00904476">
        <w:t> </w:t>
      </w:r>
      <w:r w:rsidR="00FB2AF0">
        <w:t>сентября 2010 года;</w:t>
      </w:r>
    </w:p>
    <w:p w14:paraId="1B490A84" w14:textId="39954931" w:rsidR="00FB2AF0" w:rsidRPr="006A3FE0" w:rsidRDefault="00D81B18" w:rsidP="00FB2AF0">
      <w:pPr>
        <w:pStyle w:val="SingleTxtG"/>
      </w:pPr>
      <w:r>
        <w:lastRenderedPageBreak/>
        <w:tab/>
      </w:r>
      <w:r w:rsidR="00FB2AF0">
        <w:t>k)</w:t>
      </w:r>
      <w:r w:rsidR="00FB2AF0">
        <w:tab/>
        <w:t xml:space="preserve">Конвенция о статусе апатридов и Конвенция о сокращении </w:t>
      </w:r>
      <w:proofErr w:type="spellStart"/>
      <w:r w:rsidR="00FB2AF0">
        <w:t>безгражданства</w:t>
      </w:r>
      <w:proofErr w:type="spellEnd"/>
      <w:r w:rsidR="00FB2AF0">
        <w:t>, в 2011 году;</w:t>
      </w:r>
    </w:p>
    <w:p w14:paraId="5C25296A" w14:textId="65F8833B" w:rsidR="00FB2AF0" w:rsidRPr="006A3FE0" w:rsidRDefault="00904476" w:rsidP="00FB2AF0">
      <w:pPr>
        <w:pStyle w:val="SingleTxtG"/>
      </w:pPr>
      <w:r>
        <w:tab/>
      </w:r>
      <w:r w:rsidR="00FB2AF0">
        <w:t>l)</w:t>
      </w:r>
      <w:r w:rsidR="00FB2AF0">
        <w:tab/>
        <w:t>Конвенция Африканского союза о защите внутренне перемещенных лиц в Африке и оказании им помощи, в 2012 году;</w:t>
      </w:r>
    </w:p>
    <w:p w14:paraId="18B2C1F2" w14:textId="77777777" w:rsidR="00FB2AF0" w:rsidRPr="006A3FE0" w:rsidRDefault="00FB2AF0" w:rsidP="00FB2AF0">
      <w:pPr>
        <w:pStyle w:val="SingleTxtG"/>
      </w:pPr>
      <w:r>
        <w:t>6.</w:t>
      </w:r>
      <w:r>
        <w:tab/>
        <w:t>Комитет приветствует также принятие следующих законодательных и институциональных мер в областях, имеющих отношение к Конвенции:</w:t>
      </w:r>
    </w:p>
    <w:p w14:paraId="1CC70CC0" w14:textId="09CF69EB" w:rsidR="00FB2AF0" w:rsidRPr="006A3FE0" w:rsidRDefault="00904476" w:rsidP="00FB2AF0">
      <w:pPr>
        <w:pStyle w:val="SingleTxtG"/>
      </w:pPr>
      <w:r>
        <w:tab/>
      </w:r>
      <w:r w:rsidR="00FB2AF0">
        <w:t>a)</w:t>
      </w:r>
      <w:r w:rsidR="00FB2AF0">
        <w:tab/>
        <w:t>Закон о правах ребенка, в 2003 году;</w:t>
      </w:r>
    </w:p>
    <w:p w14:paraId="1B40DF32" w14:textId="751F1D08" w:rsidR="00FB2AF0" w:rsidRPr="006A3FE0" w:rsidRDefault="00904476" w:rsidP="00FB2AF0">
      <w:pPr>
        <w:pStyle w:val="SingleTxtG"/>
      </w:pPr>
      <w:r>
        <w:tab/>
      </w:r>
      <w:r w:rsidR="00FB2AF0">
        <w:t>b)</w:t>
      </w:r>
      <w:r w:rsidR="00FB2AF0">
        <w:tab/>
        <w:t xml:space="preserve">Закон о ратификации и обеспечении применения Африканской хартии прав человека и народов, в 2004 году; </w:t>
      </w:r>
    </w:p>
    <w:p w14:paraId="22BF328B" w14:textId="45A9B2BE" w:rsidR="00FB2AF0" w:rsidRPr="006A3FE0" w:rsidRDefault="00904476" w:rsidP="00FB2AF0">
      <w:pPr>
        <w:pStyle w:val="SingleTxtG"/>
      </w:pPr>
      <w:r>
        <w:tab/>
      </w:r>
      <w:r w:rsidR="00FB2AF0">
        <w:t>c)</w:t>
      </w:r>
      <w:r w:rsidR="00FB2AF0">
        <w:tab/>
        <w:t>Закон о доказательствах, в 2011 году;</w:t>
      </w:r>
    </w:p>
    <w:p w14:paraId="1C02CCE0" w14:textId="1A3B0029" w:rsidR="00FB2AF0" w:rsidRPr="006A3FE0" w:rsidRDefault="00904476" w:rsidP="00FB2AF0">
      <w:pPr>
        <w:pStyle w:val="SingleTxtG"/>
      </w:pPr>
      <w:r>
        <w:tab/>
      </w:r>
      <w:r w:rsidR="00FB2AF0">
        <w:t>d)</w:t>
      </w:r>
      <w:r w:rsidR="00FB2AF0">
        <w:tab/>
        <w:t>Закон о Национальной комиссии по правам человека, в 2010 году;</w:t>
      </w:r>
    </w:p>
    <w:p w14:paraId="327A60B4" w14:textId="6481F644" w:rsidR="00FB2AF0" w:rsidRPr="006A3FE0" w:rsidRDefault="00904476" w:rsidP="00FB2AF0">
      <w:pPr>
        <w:pStyle w:val="SingleTxtG"/>
      </w:pPr>
      <w:r>
        <w:tab/>
      </w:r>
      <w:r w:rsidR="00FB2AF0">
        <w:t>e)</w:t>
      </w:r>
      <w:r w:rsidR="00FB2AF0">
        <w:tab/>
        <w:t>Закон о предотвращении терроризма, в 2011 году;</w:t>
      </w:r>
    </w:p>
    <w:p w14:paraId="1BDC9D21" w14:textId="68D17295" w:rsidR="00FB2AF0" w:rsidRPr="006A3FE0" w:rsidRDefault="00904476" w:rsidP="00FB2AF0">
      <w:pPr>
        <w:pStyle w:val="SingleTxtG"/>
      </w:pPr>
      <w:r>
        <w:tab/>
      </w:r>
      <w:r w:rsidR="00FB2AF0">
        <w:t>f)</w:t>
      </w:r>
      <w:r w:rsidR="00FB2AF0">
        <w:tab/>
        <w:t>Закон о Совете по правовой помощи Нигерии, в 2012 году;</w:t>
      </w:r>
    </w:p>
    <w:p w14:paraId="7984B641" w14:textId="46259CD7" w:rsidR="00FB2AF0" w:rsidRPr="006A3FE0" w:rsidRDefault="00904476" w:rsidP="00FB2AF0">
      <w:pPr>
        <w:pStyle w:val="SingleTxtG"/>
      </w:pPr>
      <w:r>
        <w:tab/>
      </w:r>
      <w:r w:rsidR="00FB2AF0">
        <w:t>g)</w:t>
      </w:r>
      <w:r w:rsidR="00FB2AF0">
        <w:tab/>
        <w:t>Закон об отправлении уголовного правосудия, в 2015 году;</w:t>
      </w:r>
    </w:p>
    <w:p w14:paraId="7350CF73" w14:textId="2BFEAE5C" w:rsidR="00FB2AF0" w:rsidRPr="006A3FE0" w:rsidRDefault="00904476" w:rsidP="00FB2AF0">
      <w:pPr>
        <w:pStyle w:val="SingleTxtG"/>
      </w:pPr>
      <w:r>
        <w:tab/>
      </w:r>
      <w:r w:rsidR="00FB2AF0">
        <w:t>h)</w:t>
      </w:r>
      <w:r w:rsidR="00FB2AF0">
        <w:tab/>
        <w:t>Закон о запрещении насилия против личности, в 2015 году;</w:t>
      </w:r>
    </w:p>
    <w:p w14:paraId="7E336815" w14:textId="6473D97C" w:rsidR="00FB2AF0" w:rsidRPr="006A3FE0" w:rsidRDefault="00904476" w:rsidP="00FB2AF0">
      <w:pPr>
        <w:pStyle w:val="SingleTxtG"/>
      </w:pPr>
      <w:r>
        <w:tab/>
      </w:r>
      <w:r w:rsidR="00FB2AF0">
        <w:t>i)</w:t>
      </w:r>
      <w:r w:rsidR="00FB2AF0">
        <w:tab/>
        <w:t>Закон о борьбе с пытками, в 2017 году;</w:t>
      </w:r>
    </w:p>
    <w:p w14:paraId="152CF0D5" w14:textId="4B6B50A0" w:rsidR="00FB2AF0" w:rsidRPr="006A3FE0" w:rsidRDefault="00904476" w:rsidP="00FB2AF0">
      <w:pPr>
        <w:pStyle w:val="SingleTxtG"/>
      </w:pPr>
      <w:r>
        <w:tab/>
      </w:r>
      <w:r w:rsidR="00FB2AF0">
        <w:t>j)</w:t>
      </w:r>
      <w:r w:rsidR="00FB2AF0">
        <w:tab/>
        <w:t>Закон об исправительной службе Нигерии, в 2019 году;</w:t>
      </w:r>
    </w:p>
    <w:p w14:paraId="781FD0F3" w14:textId="6F00D726" w:rsidR="00FB2AF0" w:rsidRPr="006A3FE0" w:rsidRDefault="00904476" w:rsidP="00FB2AF0">
      <w:pPr>
        <w:pStyle w:val="SingleTxtG"/>
      </w:pPr>
      <w:r>
        <w:tab/>
      </w:r>
      <w:r w:rsidR="00FB2AF0">
        <w:t>k)</w:t>
      </w:r>
      <w:r w:rsidR="00FB2AF0">
        <w:tab/>
        <w:t>Закон об учреждении нигерийской полиции, в 2020 году;</w:t>
      </w:r>
    </w:p>
    <w:p w14:paraId="779FF59B" w14:textId="0E4AC285" w:rsidR="00FB2AF0" w:rsidRPr="006A3FE0" w:rsidRDefault="00904476" w:rsidP="00FB2AF0">
      <w:pPr>
        <w:pStyle w:val="SingleTxtG"/>
      </w:pPr>
      <w:r>
        <w:tab/>
      </w:r>
      <w:r w:rsidR="00FB2AF0">
        <w:t>l)</w:t>
      </w:r>
      <w:r w:rsidR="00FB2AF0">
        <w:tab/>
        <w:t>Закон о финансовой автономии судебной системы, в 2020 году;</w:t>
      </w:r>
    </w:p>
    <w:p w14:paraId="4E9E3AE9" w14:textId="65152994" w:rsidR="00FB2AF0" w:rsidRPr="006A3FE0" w:rsidRDefault="00904476" w:rsidP="00FB2AF0">
      <w:pPr>
        <w:pStyle w:val="SingleTxtG"/>
      </w:pPr>
      <w:r>
        <w:tab/>
      </w:r>
      <w:r w:rsidR="00FB2AF0">
        <w:t>m)</w:t>
      </w:r>
      <w:r w:rsidR="00FB2AF0">
        <w:tab/>
        <w:t>Правила, касающиеся процедур обеспечения соблюдения основных прав человека, в 2009 году;</w:t>
      </w:r>
    </w:p>
    <w:p w14:paraId="2746E360" w14:textId="77E8F49E" w:rsidR="00FB2AF0" w:rsidRPr="006A3FE0" w:rsidRDefault="00904476" w:rsidP="00FB2AF0">
      <w:pPr>
        <w:pStyle w:val="SingleTxtG"/>
      </w:pPr>
      <w:r>
        <w:tab/>
      </w:r>
      <w:r w:rsidR="00FB2AF0">
        <w:t>n)</w:t>
      </w:r>
      <w:r w:rsidR="00FB2AF0">
        <w:tab/>
        <w:t>План действий по прекращению и предотвращению вербовки и использования детей в вооруженных конфликтах, в 2017 году;</w:t>
      </w:r>
    </w:p>
    <w:p w14:paraId="658D8E79" w14:textId="0E5BE746" w:rsidR="00FB2AF0" w:rsidRPr="006A3FE0" w:rsidRDefault="00904476" w:rsidP="00FB2AF0">
      <w:pPr>
        <w:pStyle w:val="SingleTxtG"/>
      </w:pPr>
      <w:r>
        <w:tab/>
      </w:r>
      <w:r w:rsidR="00FB2AF0">
        <w:t>o)</w:t>
      </w:r>
      <w:r w:rsidR="00FB2AF0">
        <w:tab/>
        <w:t>Национальный план действий по поощрению и защите прав человека и стратегический план работы на период 2019</w:t>
      </w:r>
      <w:r w:rsidRPr="00904476">
        <w:t>–</w:t>
      </w:r>
      <w:r w:rsidR="00FB2AF0">
        <w:t>2022 годов;</w:t>
      </w:r>
    </w:p>
    <w:p w14:paraId="029FA56E" w14:textId="60251BB1" w:rsidR="00FB2AF0" w:rsidRPr="006A3FE0" w:rsidRDefault="00904476" w:rsidP="00FB2AF0">
      <w:pPr>
        <w:pStyle w:val="SingleTxtG"/>
      </w:pPr>
      <w:r>
        <w:tab/>
      </w:r>
      <w:r w:rsidR="00FB2AF0">
        <w:t>p)</w:t>
      </w:r>
      <w:r w:rsidR="00FB2AF0">
        <w:tab/>
        <w:t>Управление уголовного правосудия и реформ.</w:t>
      </w:r>
    </w:p>
    <w:p w14:paraId="419A2EE6" w14:textId="0FF6266E" w:rsidR="00FB2AF0" w:rsidRPr="006A3FE0" w:rsidRDefault="00904476" w:rsidP="00FB2AF0">
      <w:pPr>
        <w:pStyle w:val="H1G"/>
      </w:pPr>
      <w:r>
        <w:rPr>
          <w:bCs/>
        </w:rPr>
        <w:tab/>
      </w:r>
      <w:r w:rsidR="00FB2AF0">
        <w:rPr>
          <w:bCs/>
        </w:rPr>
        <w:t>C.</w:t>
      </w:r>
      <w:r w:rsidR="00FB2AF0">
        <w:tab/>
      </w:r>
      <w:r w:rsidR="00FB2AF0">
        <w:rPr>
          <w:bCs/>
        </w:rPr>
        <w:t>Основные вопросы, вызывающие обеспокоенность, и</w:t>
      </w:r>
      <w:r>
        <w:rPr>
          <w:bCs/>
          <w:lang w:val="en-US"/>
        </w:rPr>
        <w:t> </w:t>
      </w:r>
      <w:r w:rsidR="00FB2AF0">
        <w:rPr>
          <w:bCs/>
        </w:rPr>
        <w:t>рекомендации</w:t>
      </w:r>
    </w:p>
    <w:p w14:paraId="53060167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Прямое применение Конвенции национальными судами</w:t>
      </w:r>
    </w:p>
    <w:p w14:paraId="2870A0B7" w14:textId="77777777" w:rsidR="00FB2AF0" w:rsidRPr="006A3FE0" w:rsidRDefault="00FB2AF0" w:rsidP="00FB2AF0">
      <w:pPr>
        <w:pStyle w:val="SingleTxtG"/>
      </w:pPr>
      <w:r>
        <w:t>7.</w:t>
      </w:r>
      <w:r>
        <w:tab/>
        <w:t>Комитет приветствует введение в действие Закона о борьбе с пытками, который применяется на всей территории страны. Вместе с тем Комитет обеспокоен отсутствием информации о фактической практике прямого применения Конвенции национальными судами, а также о случаях, когда положения Конвенции напрямую применялись национальными судами (ст. 2 и 12).</w:t>
      </w:r>
    </w:p>
    <w:p w14:paraId="03D24D39" w14:textId="77777777" w:rsidR="00FB2AF0" w:rsidRPr="006A3FE0" w:rsidRDefault="00FB2AF0" w:rsidP="00FB2AF0">
      <w:pPr>
        <w:pStyle w:val="SingleTxtG"/>
      </w:pPr>
      <w:r>
        <w:t>8.</w:t>
      </w:r>
      <w:r>
        <w:tab/>
      </w:r>
      <w:r>
        <w:rPr>
          <w:b/>
          <w:bCs/>
        </w:rPr>
        <w:t>Государству-участнику следует организовать для сотрудников судебных органов и адвокатов специальную подготовку по вопросам прямого применения Конвенции и отстаивания в судах прав, закрепленных в ее положениях, а также представить в своем следующем периодическом докладе информацию о конкретных делах, при рассмотрении которых на положения Конвенции делались ссылки в национальных судах.</w:t>
      </w:r>
    </w:p>
    <w:p w14:paraId="35E934C9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Полный запрет пыток</w:t>
      </w:r>
    </w:p>
    <w:p w14:paraId="4E9ADBE2" w14:textId="77777777" w:rsidR="00FB2AF0" w:rsidRPr="006A3FE0" w:rsidRDefault="00FB2AF0" w:rsidP="00FB2AF0">
      <w:pPr>
        <w:pStyle w:val="SingleTxtG"/>
      </w:pPr>
      <w:r>
        <w:t>9.</w:t>
      </w:r>
      <w:r>
        <w:tab/>
        <w:t xml:space="preserve">Комитет отмечает, что определение пытки в Законе о борьбе с пытками охватывает акты пыток, осуществляемые с целью запугивания или принуждения какого-либо лица или третьей стороны по любой причине, основанной на дискриминации любого характера. Однако оно не охватывает действия, которые могут </w:t>
      </w:r>
      <w:r>
        <w:lastRenderedPageBreak/>
        <w:t>представлять собой пытку и которые совершаются с целью, основанной исключительно на дискриминации, как это предусмотрено Конвенцией. Комитет также обеспокоен тем, что Закон о борьбе с пытками не охватывает попытки совершения актов пыток в соответствии со статьей 4 Конвенции и не содержит конкретных положений, отменяющих срок давности и возможность амнистии и помилования за акты пыток (ст. 1 и 4).</w:t>
      </w:r>
    </w:p>
    <w:p w14:paraId="25F25747" w14:textId="77777777" w:rsidR="00FB2AF0" w:rsidRPr="006A3FE0" w:rsidRDefault="00FB2AF0" w:rsidP="00FB2AF0">
      <w:pPr>
        <w:pStyle w:val="SingleTxtG"/>
        <w:rPr>
          <w:b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5D0B0107" w14:textId="454A5027" w:rsidR="00FB2AF0" w:rsidRPr="006A3FE0" w:rsidRDefault="00904476" w:rsidP="00FB2AF0">
      <w:pPr>
        <w:pStyle w:val="SingleTxtG"/>
        <w:rPr>
          <w:b/>
        </w:rPr>
      </w:pPr>
      <w: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</w:r>
      <w:r w:rsidR="00FB2AF0">
        <w:rPr>
          <w:b/>
          <w:bCs/>
        </w:rPr>
        <w:t xml:space="preserve">продолжать прилагать усилия по приведению своего определения пытки в полное соответствие со статьей 1 Конвенции и напрямую включить в определение пытки следующую отдельную цель: </w:t>
      </w:r>
      <w:r>
        <w:rPr>
          <w:b/>
          <w:bCs/>
        </w:rPr>
        <w:t>«</w:t>
      </w:r>
      <w:r w:rsidR="00FB2AF0">
        <w:rPr>
          <w:b/>
          <w:bCs/>
        </w:rPr>
        <w:t>или по любой причине, основанной на дискриминации любого характера</w:t>
      </w:r>
      <w:r>
        <w:rPr>
          <w:b/>
          <w:bCs/>
        </w:rPr>
        <w:t>»</w:t>
      </w:r>
      <w:r w:rsidR="00FB2AF0">
        <w:rPr>
          <w:b/>
          <w:bCs/>
        </w:rPr>
        <w:t>;</w:t>
      </w:r>
    </w:p>
    <w:p w14:paraId="0A335944" w14:textId="679E90DD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</w:r>
      <w:r w:rsidR="00FB2AF0">
        <w:rPr>
          <w:b/>
          <w:bCs/>
        </w:rPr>
        <w:t>ввести в Закон о борьбе с пытками уголовную ответственность за попытку подвергнуть пытке;</w:t>
      </w:r>
    </w:p>
    <w:p w14:paraId="6EF43282" w14:textId="49286040" w:rsidR="00FB2AF0" w:rsidRPr="006A3FE0" w:rsidRDefault="00904476" w:rsidP="00FB2AF0">
      <w:pPr>
        <w:pStyle w:val="SingleTxtG"/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</w:r>
      <w:r w:rsidR="00FB2AF0">
        <w:rPr>
          <w:b/>
          <w:bCs/>
        </w:rPr>
        <w:t>обеспечить исключение прямо предусмотренного законом срока давности за преступление пытки и уточнить соответствующие положения согласно замечанию общего порядка № 3 (2012) Комитета об осуществлении статьи 14, а также прямо закрепить исключение пыток из сферы действия положений об амнистии и помиловании.</w:t>
      </w:r>
    </w:p>
    <w:p w14:paraId="294296E5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Основные гарантии</w:t>
      </w:r>
    </w:p>
    <w:p w14:paraId="7AA397CB" w14:textId="77777777" w:rsidR="00FB2AF0" w:rsidRPr="006A3FE0" w:rsidRDefault="00FB2AF0" w:rsidP="00FB2AF0">
      <w:pPr>
        <w:pStyle w:val="SingleTxtG"/>
        <w:spacing w:line="240" w:lineRule="exact"/>
      </w:pPr>
      <w:r>
        <w:t>11.</w:t>
      </w:r>
      <w:r>
        <w:tab/>
        <w:t>Приветствуя принятие государством-участником Закона об отправлении уголовного правосудия и его приверженность дальнейшему укреплению системы правосудия, заявленную в ходе универсального периодического обзора</w:t>
      </w:r>
      <w:r w:rsidRPr="00904476">
        <w:rPr>
          <w:sz w:val="18"/>
          <w:szCs w:val="18"/>
          <w:vertAlign w:val="superscript"/>
        </w:rPr>
        <w:footnoteReference w:id="4"/>
      </w:r>
      <w:r>
        <w:t>, Комитет обеспокоен тем, что, несмотря на существующие правовые положения, обеспечение основных гарантий сопряжено с многочисленными недостатками, включая:</w:t>
      </w:r>
    </w:p>
    <w:p w14:paraId="71034752" w14:textId="76C40E1E" w:rsidR="00FB2AF0" w:rsidRPr="006A3FE0" w:rsidRDefault="00904476" w:rsidP="00FB2AF0">
      <w:pPr>
        <w:pStyle w:val="SingleTxtG"/>
        <w:spacing w:line="240" w:lineRule="exact"/>
      </w:pPr>
      <w:r>
        <w:tab/>
      </w:r>
      <w:r w:rsidR="00FB2AF0">
        <w:t>a)</w:t>
      </w:r>
      <w:r w:rsidR="00FB2AF0">
        <w:tab/>
        <w:t xml:space="preserve">многочисленные случаи содержания в полиции сверх установленного законом срока в 24 или 48 часов (в нарушение статьи 35 Конституции и статьи 62 Закона о полиции); </w:t>
      </w:r>
    </w:p>
    <w:p w14:paraId="25D4094E" w14:textId="5A5E7CBF" w:rsidR="00FB2AF0" w:rsidRPr="006A3FE0" w:rsidRDefault="00904476" w:rsidP="00FB2AF0">
      <w:pPr>
        <w:pStyle w:val="SingleTxtG"/>
        <w:spacing w:line="240" w:lineRule="exact"/>
      </w:pPr>
      <w:r>
        <w:tab/>
      </w:r>
      <w:r w:rsidR="00FB2AF0">
        <w:t>b)</w:t>
      </w:r>
      <w:r w:rsidR="00FB2AF0">
        <w:tab/>
        <w:t>утверждения о произвольных задержаниях и содержании без связи с внешним миром без возможности связаться с родственником или лицом по своему выбору, а также отсутствие систематического и последовательного использования реестров лишенных свободы лиц на всех этапах содержания под стражей, включая подробную информацию о них;</w:t>
      </w:r>
    </w:p>
    <w:p w14:paraId="5275BA32" w14:textId="75E4A24C" w:rsidR="00FB2AF0" w:rsidRPr="006A3FE0" w:rsidRDefault="00904476" w:rsidP="00FB2AF0">
      <w:pPr>
        <w:pStyle w:val="SingleTxtG"/>
        <w:spacing w:line="240" w:lineRule="exact"/>
      </w:pPr>
      <w:r>
        <w:tab/>
      </w:r>
      <w:r w:rsidR="00FB2AF0">
        <w:t>c)</w:t>
      </w:r>
      <w:r w:rsidR="00FB2AF0">
        <w:tab/>
        <w:t>сообщения о том, что задержанные не получают в обычном порядке информацию о причине их задержания и об их правах, включая право на юридическое представительство;</w:t>
      </w:r>
    </w:p>
    <w:p w14:paraId="0974E73C" w14:textId="32367426" w:rsidR="00FB2AF0" w:rsidRPr="006A3FE0" w:rsidRDefault="00904476" w:rsidP="00FB2AF0">
      <w:pPr>
        <w:pStyle w:val="SingleTxtG"/>
        <w:spacing w:line="240" w:lineRule="exact"/>
      </w:pPr>
      <w:r>
        <w:tab/>
      </w:r>
      <w:r w:rsidR="00FB2AF0">
        <w:t>d)</w:t>
      </w:r>
      <w:r w:rsidR="00FB2AF0">
        <w:tab/>
        <w:t>сложность получения на практике правовой помощи, несмотря на создание Совета по правовой помощи Нигерии, который имеет отделения во всех 36</w:t>
      </w:r>
      <w:r>
        <w:t> </w:t>
      </w:r>
      <w:r w:rsidR="00FB2AF0">
        <w:t>штатах, но испытывает нехватку финансирования;</w:t>
      </w:r>
    </w:p>
    <w:p w14:paraId="64D79ED1" w14:textId="6E12A800" w:rsidR="00FB2AF0" w:rsidRPr="006A3FE0" w:rsidRDefault="00904476" w:rsidP="00FB2AF0">
      <w:pPr>
        <w:pStyle w:val="SingleTxtG"/>
        <w:spacing w:line="240" w:lineRule="exact"/>
        <w:rPr>
          <w:b/>
          <w:szCs w:val="24"/>
        </w:rPr>
      </w:pPr>
      <w:r>
        <w:tab/>
      </w:r>
      <w:r w:rsidR="00FB2AF0">
        <w:t>e)</w:t>
      </w:r>
      <w:r w:rsidR="00FB2AF0">
        <w:tab/>
        <w:t>отсутствие регулярной аудио- или видеозаписи допросов содержащихся под стражей в полиции</w:t>
      </w:r>
      <w:r w:rsidR="00FB2AF0" w:rsidRPr="001659E5">
        <w:t xml:space="preserve"> </w:t>
      </w:r>
      <w:r w:rsidR="00FB2AF0">
        <w:t>лиц в ходе следственных действий, несмотря на конкретное требование закона;</w:t>
      </w:r>
    </w:p>
    <w:p w14:paraId="3EF4B6B4" w14:textId="5CC3EBCE" w:rsidR="00FB2AF0" w:rsidRPr="006A3FE0" w:rsidRDefault="00904476" w:rsidP="00FB2AF0">
      <w:pPr>
        <w:pStyle w:val="SingleTxtG"/>
        <w:spacing w:line="240" w:lineRule="exact"/>
      </w:pPr>
      <w:r>
        <w:tab/>
      </w:r>
      <w:r w:rsidR="00FB2AF0">
        <w:t>f)</w:t>
      </w:r>
      <w:r w:rsidR="00FB2AF0">
        <w:tab/>
        <w:t>отсутствие возможности проведения независимого медицинского обследования начиная с момента заключения под стражу (ст. 2).</w:t>
      </w:r>
    </w:p>
    <w:p w14:paraId="4D11FE1E" w14:textId="77777777" w:rsidR="00FB2AF0" w:rsidRPr="006A3FE0" w:rsidRDefault="00FB2AF0" w:rsidP="00FB2AF0">
      <w:pPr>
        <w:pStyle w:val="SingleTxtG"/>
        <w:rPr>
          <w:b/>
        </w:rPr>
      </w:pPr>
      <w:r>
        <w:t>12.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464E9FDC" w14:textId="633A1593" w:rsidR="00FB2AF0" w:rsidRPr="00904476" w:rsidRDefault="00904476" w:rsidP="00FB2AF0">
      <w:pPr>
        <w:pStyle w:val="SingleTxtG"/>
        <w:rPr>
          <w:b/>
          <w:bCs/>
        </w:rPr>
      </w:pPr>
      <w:r w:rsidRPr="00904476"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гарантировать право задержанных лиц быть в срочном порядке доставленными к судье или быть освобожденными и оспаривать законность их содержания под стражей на любой стадии производства по делу;</w:t>
      </w:r>
    </w:p>
    <w:p w14:paraId="5157A864" w14:textId="465A9D24" w:rsidR="00FB2AF0" w:rsidRPr="00904476" w:rsidRDefault="00904476" w:rsidP="0086464A">
      <w:pPr>
        <w:pStyle w:val="SingleTxtG"/>
        <w:pageBreakBefore/>
        <w:rPr>
          <w:b/>
          <w:bCs/>
        </w:rPr>
      </w:pPr>
      <w:r w:rsidRPr="00904476">
        <w:rPr>
          <w:b/>
          <w:bCs/>
        </w:rPr>
        <w:lastRenderedPageBreak/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обеспечить точную регистрацию лишения свободы в реестрах на всех этапах разбирательства и обеспечить право информировать родственника или другое лицо по своему выбору о своем задержании или содержании под стражей;</w:t>
      </w:r>
    </w:p>
    <w:p w14:paraId="2AE3ECA1" w14:textId="1D4B47C5" w:rsidR="00FB2AF0" w:rsidRPr="00904476" w:rsidRDefault="00904476" w:rsidP="00FB2AF0">
      <w:pPr>
        <w:pStyle w:val="SingleTxtG"/>
        <w:rPr>
          <w:b/>
          <w:bCs/>
        </w:rPr>
      </w:pPr>
      <w:r w:rsidRPr="00904476"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обеспечить, чтобы задержанные и содержащиеся под стражей лица немедленно информировались о выдвинутых против них обвинениях и имели возможность оперативного доступа к адвокату или бесплатной правовой помощи на протяжении всего разбирательства, в том числе на этапе первоначального допроса и следствия, в соответствии с Основными принципами, касающимися роли юристов, и Принципами и руководящими положениями Организации Объединенных Наций, касающимися доступа к юридической помощи в системах уголовного правосудия;</w:t>
      </w:r>
    </w:p>
    <w:p w14:paraId="04F9B056" w14:textId="6C0D144D" w:rsidR="00FB2AF0" w:rsidRPr="00904476" w:rsidRDefault="00904476" w:rsidP="00FB2AF0">
      <w:pPr>
        <w:pStyle w:val="SingleTxtG"/>
        <w:rPr>
          <w:b/>
          <w:bCs/>
        </w:rPr>
      </w:pPr>
      <w:r w:rsidRPr="00904476">
        <w:rPr>
          <w:b/>
          <w:bCs/>
        </w:rPr>
        <w:tab/>
      </w:r>
      <w:r w:rsidR="00FB2AF0" w:rsidRPr="00904476">
        <w:rPr>
          <w:b/>
          <w:bCs/>
        </w:rPr>
        <w:t>d)</w:t>
      </w:r>
      <w:r w:rsidR="00FB2AF0" w:rsidRPr="00904476">
        <w:rPr>
          <w:b/>
          <w:bCs/>
        </w:rPr>
        <w:tab/>
        <w:t>выделить людские и финансовые ресурсы, необходимые для обеспечения надлежащего функционирования всех местных отделений Совета по правовой помощи;</w:t>
      </w:r>
    </w:p>
    <w:p w14:paraId="79EE9088" w14:textId="4CD0AF9B" w:rsidR="00FB2AF0" w:rsidRPr="00904476" w:rsidRDefault="00904476" w:rsidP="00FB2AF0">
      <w:pPr>
        <w:pStyle w:val="SingleTxtG"/>
        <w:rPr>
          <w:b/>
          <w:bCs/>
        </w:rPr>
      </w:pPr>
      <w:r w:rsidRPr="00904476">
        <w:rPr>
          <w:b/>
          <w:bCs/>
        </w:rPr>
        <w:tab/>
      </w:r>
      <w:r w:rsidR="00FB2AF0" w:rsidRPr="00904476">
        <w:rPr>
          <w:b/>
          <w:bCs/>
        </w:rPr>
        <w:t>e)</w:t>
      </w:r>
      <w:r w:rsidR="00FB2AF0" w:rsidRPr="00904476">
        <w:rPr>
          <w:b/>
          <w:bCs/>
        </w:rPr>
        <w:tab/>
        <w:t>обеспечивать видеозапись допросов заключенных под стражу лиц, хранение таких записей в безопасном месте и под контролем надзорных органов, а также предоставление этих записей в распоряжение следователей, содержащихся под стражей лиц и адвокатов и обеспечить для облегчения выполнения настоящей рекомендации необходимую техническую и финансовую поддержку отделениям полиции;</w:t>
      </w:r>
    </w:p>
    <w:p w14:paraId="502BA193" w14:textId="7CED9ADB" w:rsidR="00FB2AF0" w:rsidRPr="00904476" w:rsidRDefault="00904476" w:rsidP="00FB2AF0">
      <w:pPr>
        <w:pStyle w:val="SingleTxtG"/>
        <w:rPr>
          <w:b/>
          <w:bCs/>
        </w:rPr>
      </w:pPr>
      <w:r w:rsidRPr="00904476">
        <w:rPr>
          <w:b/>
          <w:bCs/>
        </w:rPr>
        <w:tab/>
      </w:r>
      <w:r w:rsidR="00FB2AF0" w:rsidRPr="00904476">
        <w:rPr>
          <w:b/>
          <w:bCs/>
        </w:rPr>
        <w:t>f)</w:t>
      </w:r>
      <w:r w:rsidR="00FB2AF0" w:rsidRPr="00904476">
        <w:rPr>
          <w:b/>
          <w:bCs/>
        </w:rPr>
        <w:tab/>
        <w:t>обеспечить содержащимся под стражей лицам право запрашивать и проходить медицинское обследование у независимого врача или врача по их выбору и предоставление такого медицинского обследования без каких-либо условий и с соблюдением полной конфиденциальности сразу же по прибытии в полицейский участок, центр содержания под стражей или тюрьму;</w:t>
      </w:r>
    </w:p>
    <w:p w14:paraId="34E25B18" w14:textId="425AC3B0" w:rsidR="00FB2AF0" w:rsidRPr="006A3FE0" w:rsidRDefault="00904476" w:rsidP="00FB2AF0">
      <w:pPr>
        <w:pStyle w:val="SingleTxtG"/>
        <w:rPr>
          <w:b/>
        </w:rPr>
      </w:pPr>
      <w:r w:rsidRPr="00904476">
        <w:rPr>
          <w:b/>
          <w:bCs/>
        </w:rPr>
        <w:tab/>
      </w:r>
      <w:r w:rsidR="00FB2AF0" w:rsidRPr="00904476">
        <w:rPr>
          <w:b/>
          <w:bCs/>
        </w:rPr>
        <w:t>g)</w:t>
      </w:r>
      <w:r w:rsidR="00FB2AF0" w:rsidRPr="00904476">
        <w:rPr>
          <w:b/>
          <w:bCs/>
        </w:rPr>
        <w:tab/>
        <w:t>обеспечить надлежащую и регулярную подготовку по соответствующим правовым положениям, контролировать их соблюдение и наказывать должностных</w:t>
      </w:r>
      <w:r w:rsidR="00FB2AF0">
        <w:rPr>
          <w:b/>
          <w:bCs/>
        </w:rPr>
        <w:t xml:space="preserve"> лиц за любые случаи их несоблюдения.</w:t>
      </w:r>
    </w:p>
    <w:p w14:paraId="6ACD87A0" w14:textId="60DB8DD4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Заявления о пытках, жестоком обращении, произвольном содержании под</w:t>
      </w:r>
      <w:r w:rsidR="00904476">
        <w:rPr>
          <w:bCs/>
        </w:rPr>
        <w:t> </w:t>
      </w:r>
      <w:r>
        <w:rPr>
          <w:bCs/>
        </w:rPr>
        <w:t>стражей и чрезмерном применении силы</w:t>
      </w:r>
    </w:p>
    <w:p w14:paraId="69D8F225" w14:textId="35E7B9BE" w:rsidR="00FB2AF0" w:rsidRPr="006A3FE0" w:rsidRDefault="00FB2AF0" w:rsidP="00FB2AF0">
      <w:pPr>
        <w:pStyle w:val="SingleTxtG"/>
      </w:pPr>
      <w:r>
        <w:t>13.</w:t>
      </w:r>
      <w:r>
        <w:tab/>
        <w:t>Комитет высоко оценивает предпринимаемые усилия по реформированию полиции, включая принятие Закона о полиции и пересмотр Постановления о полиции</w:t>
      </w:r>
      <w:r w:rsidR="00904476">
        <w:t> </w:t>
      </w:r>
      <w:r>
        <w:t>№</w:t>
      </w:r>
      <w:r w:rsidR="0086464A">
        <w:t> </w:t>
      </w:r>
      <w:r>
        <w:t xml:space="preserve">237 с учетом международных стандартов, однако он по-прежнему обеспокоен сообщениями о чрезмерном применении силы, включая смертоносную силу путем применения огнестрельного оружия, что приводит к внесудебным казням во время задержаний или при обеспечении правопорядка во время демонстраций. </w:t>
      </w:r>
      <w:r w:rsidR="0086464A">
        <w:br/>
      </w:r>
      <w:r>
        <w:t>Он обеспокоен также ростом милитаризации полицейской деятельности из-за проведения совместных операций, в том числе во время протестов #EndSARS, прошедших в Лагосе 20 октября 2020 года в контексте режима изоляции, введенного для сдерживания распространения пандемии COVID-19, в результате чего в Национальную комиссию по правам человека было направлено 38</w:t>
      </w:r>
      <w:r w:rsidR="0086464A">
        <w:t> </w:t>
      </w:r>
      <w:r>
        <w:t xml:space="preserve">жалоб на внесудебные казни, а также в ответ на другие демонстрации, прошедшие в </w:t>
      </w:r>
      <w:r w:rsidR="00904476">
        <w:br/>
      </w:r>
      <w:r>
        <w:t xml:space="preserve">юго-восточных штатах. Комитет глубоко обеспокоен заявлениями о грубых нарушениях со стороны Специального отряда по борьбе с грабежами полиции Нигерии. Он принимает к сведению ответ государства-участника на эти утверждения, например направление поручения Национальной комиссии по правам человека о проведении расследования, создание судебных следственных комиссий на федеральном уровне и уровне штатов, а также расформирование Специального отряда по борьбе с грабежами. Комитет отмечает сообщения о том, что судебные комиссии получили 2500 жалоб на пытки и жестокое обращение, произвольные задержания и содержание под стражей, а также внесудебные казни, но по-прежнему обеспокоен тем, что никаких отчетов о расследовании этих жалоб обнародовано не было, а также тем, что никто не был привлечен к ответственности за эти деяния. Сообщается, что некоторые из этих комиссий перестали заседать из-за отсутствия финансирования. </w:t>
      </w:r>
      <w:r>
        <w:lastRenderedPageBreak/>
        <w:t>Комитет обеспокоен также использованием полицией закона от 2014 года против лесбиянок, геев, бисексуалов, трансгендеров и интерсексов, в частности для придания законного характера произвольным задержаниям и содержанию под стражей; сообщениями о произвольном содержании под стражей лиц, которым не предъявлены обвинения и которые не осуждены за какие-либо преступления; сообщениями о жестоком обращении с лицами с интеллектуальной и психосоциальной инвалидностью в государственных учреждениях и частных заведениях, включая религиозные и традиционные лечебные центры; и жестоким обращением с потребителями наркотиков, особенно со стороны сотрудников Национального управления по борьбе с наркотиками и в наркологических реабилитационных учреждениях (ст</w:t>
      </w:r>
      <w:r w:rsidR="00904476">
        <w:t>.</w:t>
      </w:r>
      <w:r>
        <w:t xml:space="preserve"> 1</w:t>
      </w:r>
      <w:r w:rsidR="00904476">
        <w:t>–</w:t>
      </w:r>
      <w:r>
        <w:t>2, 11</w:t>
      </w:r>
      <w:r w:rsidR="00904476">
        <w:t>–</w:t>
      </w:r>
      <w:r>
        <w:t>14 и 16).</w:t>
      </w:r>
    </w:p>
    <w:p w14:paraId="42CE5A5F" w14:textId="77777777" w:rsidR="00FB2AF0" w:rsidRPr="006A3FE0" w:rsidRDefault="00FB2AF0" w:rsidP="00FB2AF0">
      <w:pPr>
        <w:pStyle w:val="SingleTxtG"/>
        <w:rPr>
          <w:b/>
        </w:rPr>
      </w:pPr>
      <w:r>
        <w:t>14.</w:t>
      </w:r>
      <w:r>
        <w:tab/>
      </w:r>
      <w:r>
        <w:rPr>
          <w:b/>
          <w:bCs/>
        </w:rPr>
        <w:t>Государству-участнику настоятельно рекомендуется:</w:t>
      </w:r>
    </w:p>
    <w:p w14:paraId="016DBBB1" w14:textId="039CC622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обеспечить дальнейшее обучение сотрудников правоохранительных органов и сил безопасности по вопросам полного запрета пыток и применения силы, включая Постановление о полиции № 237, с учетом Основных принципов применения силы и огнестрельного оружия должностными лицами по поддержанию правопорядка;</w:t>
      </w:r>
    </w:p>
    <w:p w14:paraId="69C62C39" w14:textId="3069CB23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предать гласности выводы судебных следственных комиссий, обеспечить немедленное расследование независимым органом заявлений о нарушениях, совершенных сотрудниками полиции, членами Специального отряда по борьбе с грабежами и сотрудниками сил безопасности, занятыми в полицейской деятельности, и предоставить дезагрегированную информацию о возбужденных делах, предоставлении жертвам полного возмещения ущерба и выделенных на эти цели ресурсах;</w:t>
      </w:r>
    </w:p>
    <w:p w14:paraId="729B6604" w14:textId="65A2CDD0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прекратить и расследовать произвольные задержания и нападения на лиц с инвалидностью, потребителей наркотиков и лесбиянок, геев, бисексуалов, трансгендеров и интерсексов, расследовать эти инциденты, привлекать к ответственности предполагаемых виновных и предоставлять жертвам эффективные средства правовой защиты.</w:t>
      </w:r>
    </w:p>
    <w:p w14:paraId="4EA58E8E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Неприемлемость признаний, полученных с помощью пыток</w:t>
      </w:r>
    </w:p>
    <w:p w14:paraId="405AB507" w14:textId="77777777" w:rsidR="00FB2AF0" w:rsidRPr="006A3FE0" w:rsidRDefault="00FB2AF0" w:rsidP="00FB2AF0">
      <w:pPr>
        <w:pStyle w:val="SingleTxtG"/>
      </w:pPr>
      <w:r>
        <w:t>15.</w:t>
      </w:r>
      <w:r>
        <w:tab/>
        <w:t>Комитет положительно оценивает действующие правовые положения, которые запрещают принимать признания, полученные с помощью пыток, и содержатся в Законе о борьбе с пытками, Законе о доказательствах и Законе об отправлении уголовного правосудия, но обеспокоен сообщениями о постоянном применении пыток при проведении допросов сотрудниками полиции, военными и членами Объединенных сил гражданской самообороны. Несмотря на существующие правовые гарантии, включая запись признательных показаний (см. п. 11 выше) и возможность представить судье жалобу на принуждение, поступают многочисленные сообщения о том, что вопреки закону сделанные под принуждением признания на практике принимаются. Комитет сожалеет, что государство-участник не представило никакой достоверной информации о применении судьями этих правовых гарантий на практике (ст. 2, 10 и 15).</w:t>
      </w:r>
    </w:p>
    <w:p w14:paraId="72DFA668" w14:textId="77777777" w:rsidR="00FB2AF0" w:rsidRPr="006A3FE0" w:rsidRDefault="00FB2AF0" w:rsidP="00FB2AF0">
      <w:pPr>
        <w:pStyle w:val="SingleTxtG"/>
        <w:rPr>
          <w:b/>
        </w:rPr>
      </w:pPr>
      <w:r>
        <w:t>16.</w:t>
      </w:r>
      <w:r>
        <w:tab/>
      </w:r>
      <w:r>
        <w:rPr>
          <w:b/>
          <w:bCs/>
        </w:rPr>
        <w:t>Государству-участнику следует:</w:t>
      </w:r>
    </w:p>
    <w:p w14:paraId="08FFCDF5" w14:textId="15CD7402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 xml:space="preserve">принять необходимые меры, для того чтобы на практике гарантировать недопустимость признательных показаний, заявлений и других доказательств, полученных с помощью пыток, за исключением тех случаев, когда они используются против лица, обвиняемого в применении пыток, в качестве доказательства того, что такое заявление было сделано под принуждением; чтобы прокуроры и судьи спрашивали всех обвиняемых по уголовным делам, подвергались ли они пыткам или жестокому обращению; </w:t>
      </w:r>
      <w:r w:rsidR="0086464A">
        <w:rPr>
          <w:b/>
          <w:bCs/>
        </w:rPr>
        <w:br/>
      </w:r>
      <w:r w:rsidR="00FB2AF0" w:rsidRPr="00904476">
        <w:rPr>
          <w:b/>
          <w:bCs/>
        </w:rPr>
        <w:t>и чтобы все утверждения о пытках и жестоком обращении, сделанные в ходе судебных разбирательств в государстве-участнике, оперативно и эффективно расследовались, а предполагаемые виновные привлекались к ответственности и подвергались наказанию, а также представить информацию о таких случаях;</w:t>
      </w:r>
    </w:p>
    <w:p w14:paraId="588CF250" w14:textId="4A130DCF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lastRenderedPageBreak/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обеспечить, чтобы все сотрудники полиции, органов национальной безопасности</w:t>
      </w:r>
      <w:r w:rsidR="00FB2AF0">
        <w:rPr>
          <w:b/>
          <w:bCs/>
        </w:rPr>
        <w:t xml:space="preserve"> и вооруженных сил, судьи и прокуроры проходили обязательную подготовку, предусматривающую уделение первоочередного внимания взаимосвязи между не связанными с принуждением методами допроса, запрещением пыток и жестокого обращения и обязанностью судебных органов признавать недействительными признания, полученные с помощью пыток.</w:t>
      </w:r>
    </w:p>
    <w:p w14:paraId="3238DDC0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Содержание под стражей до суда и переполненность тюрем</w:t>
      </w:r>
    </w:p>
    <w:p w14:paraId="4A9FDDCD" w14:textId="68A6B4D0" w:rsidR="00FB2AF0" w:rsidRPr="00504926" w:rsidRDefault="00FB2AF0" w:rsidP="00FB2AF0">
      <w:pPr>
        <w:pStyle w:val="SingleTxtG"/>
      </w:pPr>
      <w:r>
        <w:t>17.</w:t>
      </w:r>
      <w:r>
        <w:tab/>
        <w:t>Комитет приветствует усилия государства-участника по решению проблемы чрезмерного использования длительного досудебного содержания под стражей, ведущего к хронической переполненности мест содержания под стражей, путем принятия Закона об отправлении уголовного правосудия. Статья 34 этого закона обязывает главных судей и магистратов на уровне штатов проводить ежемесячные инспекции полицейских участков и других мест содержания под стражей, кроме тюрем, в пределах своей юрисдикции, проверять протоколы задержания, руководить предъявлением обвинений подозреваемым и назначать освобождение под залог. Комитет также принимает к сведению информацию о реализации программы по снижению переполненности тюрем, включая освобождение около 2000 заключенных и 160 несовершеннолетних, а также сообщения об освобождении 7813 заключенных из исправительных центров для снижения переполненности и сдерживания распространения пандемии COVID-19 в 2020 году. Однако Комитет по-прежнему обеспокоен тем, что, несмотря на эти меры, около 72 процентов заключенных все еще ожидают суда. Комитет также понимает, что задержанные могут оспорить законность своего содержания под стражей у судьи и подать жалобу в Национальную комиссию по правам человека, но с сожалением отмечает неэффективность этой системы, в частности, из-за значительных задержек в доступе к правосудию (ст. 2, 11</w:t>
      </w:r>
      <w:r w:rsidR="00904476">
        <w:t>–</w:t>
      </w:r>
      <w:r>
        <w:t>13 и 16).</w:t>
      </w:r>
    </w:p>
    <w:p w14:paraId="720CCD26" w14:textId="77777777" w:rsidR="00FB2AF0" w:rsidRPr="006A3FE0" w:rsidRDefault="00FB2AF0" w:rsidP="00FB2AF0">
      <w:pPr>
        <w:pStyle w:val="SingleTxtG"/>
        <w:rPr>
          <w:b/>
        </w:rPr>
      </w:pPr>
      <w:r>
        <w:t>18.</w:t>
      </w:r>
      <w:r>
        <w:tab/>
      </w:r>
      <w:r>
        <w:rPr>
          <w:b/>
          <w:bCs/>
        </w:rPr>
        <w:t>Государству-участнику следует:</w:t>
      </w:r>
    </w:p>
    <w:p w14:paraId="7027162D" w14:textId="5E737E74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обеспечить надлежащее применение Закона об отправлении уголовного правосудия, в частности, эффективный надзор за досудебным содержанием под стражей, гарантируя соответствие предварительного заключения положениям, устанавливающим его максимальную продолжительность, а также его максимально короткий срок и исключительный, необходимый и пропорциональный характер;</w:t>
      </w:r>
    </w:p>
    <w:p w14:paraId="268AA16E" w14:textId="0FC721C1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обеспечить тщательный контроль за досудебным содержанием под стражей со стороны судов;</w:t>
      </w:r>
    </w:p>
    <w:p w14:paraId="2F5FADC9" w14:textId="65669505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учесть опыт, полученный в ходе реализации федеральной программы снижения переполненности мест содержания под стражей и пандемии COVID-19, и активизировать усилия с целью значительного сокращения переполненности мест содержания под стражей путем более широкого использования мер, не связанных с лишением свободы, таких как условно-досрочное освобождение и досрочное освобождение, в соответствии с Минимальными стандартными правилами Организации Объединенных Наций в отношении мер, не связанных с тюремным заключением (Токийские правила), и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</w:t>
      </w:r>
      <w:proofErr w:type="spellStart"/>
      <w:r w:rsidR="00FB2AF0" w:rsidRPr="00904476">
        <w:rPr>
          <w:b/>
          <w:bCs/>
        </w:rPr>
        <w:t>Бангкокские</w:t>
      </w:r>
      <w:proofErr w:type="spellEnd"/>
      <w:r w:rsidR="00FB2AF0" w:rsidRPr="00904476">
        <w:rPr>
          <w:b/>
          <w:bCs/>
        </w:rPr>
        <w:t xml:space="preserve"> правила);</w:t>
      </w:r>
    </w:p>
    <w:p w14:paraId="049AD409" w14:textId="2B6FCB97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d</w:t>
      </w:r>
      <w:r w:rsidR="00FB2AF0">
        <w:t>)</w:t>
      </w:r>
      <w:r w:rsidR="00FB2AF0">
        <w:tab/>
      </w:r>
      <w:r w:rsidR="00FB2AF0">
        <w:rPr>
          <w:b/>
          <w:bCs/>
        </w:rPr>
        <w:t>обеспечить всем лишенным свободы лицам эффективные, независимые и доступные механизмы подачи жалоб, а также быстрое, беспристрастное и тщательное расследование жалоб.</w:t>
      </w:r>
    </w:p>
    <w:p w14:paraId="42C512D8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1D70BD71" w14:textId="77777777" w:rsidR="00FB2AF0" w:rsidRPr="006A3FE0" w:rsidRDefault="00FB2AF0" w:rsidP="00FB2AF0">
      <w:pPr>
        <w:pStyle w:val="SingleTxtG"/>
      </w:pPr>
      <w:r>
        <w:t>19.</w:t>
      </w:r>
      <w:r>
        <w:tab/>
        <w:t xml:space="preserve">Комитет принимает к сведению заявление государства-участника о проводимой реформе исправительных учреждений, но по-прежнему обеспокоен многочисленными сообщениями о плохих материальных и санитарных условиях содержания, которые сохраняются во всех местах лишения свободы, отсутствии доступа к надлежащей медицинской помощи, в том числе среди лиц с инфекционными заболеваниями, и </w:t>
      </w:r>
      <w:r>
        <w:lastRenderedPageBreak/>
        <w:t xml:space="preserve">неадекватном питании и водоснабжении. Он обеспокоен также сообщениями об отсутствии раздельного содержания несовершеннолетних и совершеннолетних заключенных, а также осужденных и лиц, находящихся в предварительном заключении, и о содержании беременных и кормящих женщин и лиц с инвалидностью в обычных местах содержания под стражей, где отсутствует доступ к соответствующим медицинским услугам. Комитет сожалеет об отсутствии достоверной информации об общем количестве смертей в тюрьмах, их причинах и последующих расследованиях, например, в связи с сообщением об инциденте в тюрьме </w:t>
      </w:r>
      <w:proofErr w:type="spellStart"/>
      <w:r>
        <w:t>Икойи</w:t>
      </w:r>
      <w:proofErr w:type="spellEnd"/>
      <w:r>
        <w:t xml:space="preserve"> в декабре 2019 года (ст. 2, 11 и 16).</w:t>
      </w:r>
    </w:p>
    <w:p w14:paraId="09204AC8" w14:textId="77777777" w:rsidR="00FB2AF0" w:rsidRPr="006A3FE0" w:rsidRDefault="00FB2AF0" w:rsidP="00FB2AF0">
      <w:pPr>
        <w:pStyle w:val="SingleTxtG"/>
        <w:rPr>
          <w:b/>
        </w:rPr>
      </w:pPr>
      <w:r>
        <w:t>20.</w:t>
      </w:r>
      <w:r>
        <w:tab/>
      </w:r>
      <w:r>
        <w:rPr>
          <w:b/>
          <w:bCs/>
        </w:rPr>
        <w:t>Государству-участнику следует:</w:t>
      </w:r>
    </w:p>
    <w:p w14:paraId="36E18D02" w14:textId="7AE23379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улучшить материальные условия в полицейских изоляторах и исправительных учреждениях, в том числе в отношении вентиляции и доступа к адекватному питанию и водопроводной воде, и принять меры с целью приведения условий содержания под стражей и оперативных процедур в соответствие с Минимальными стандартными правилами Организации Объединенных Наций в отношении обращения с заключенными (Правила Нельсона Манделы);</w:t>
      </w:r>
    </w:p>
    <w:p w14:paraId="05EB61F8" w14:textId="52DD9E12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ввести системы раздельного содержания несовершеннолетних и совершеннолетних заключенных, а также осужденных и лиц, находящихся в предварительном заключении; обеспечить содержание женщин в условиях, учитывающих гендерную специфику, и немедленное освобождение их детей из мест лишения свободы; обеспечить содержание заключенных с инвалидностью в гуманных условиях и адаптацию тюрем к их потребностям; а также обеспечить перевод подследственных и осужденных лиц с интеллектуальной или психосоциальной инвалидностью из мест лишения свободы в психиатрические больницы или соответствующие терапевтические учреждения;</w:t>
      </w:r>
    </w:p>
    <w:p w14:paraId="321A0B36" w14:textId="39E27585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обеспечить предоставление надлежащих медицинских услуг всем заключенным, и в частности лицам с инвалидностью, и проведение тщательного и независимого медицинского обследование всех содержащихся под стражей лиц сразу после их лишения свободы, а также на регулярной основе в течение всего срока их содержания под стражей;</w:t>
      </w:r>
    </w:p>
    <w:p w14:paraId="2C2CDF39" w14:textId="41BD967F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d)</w:t>
      </w:r>
      <w:r w:rsidR="00FB2AF0" w:rsidRPr="00904476">
        <w:rPr>
          <w:b/>
          <w:bCs/>
        </w:rPr>
        <w:tab/>
      </w:r>
      <w:r w:rsidR="00FB2AF0">
        <w:rPr>
          <w:b/>
          <w:bCs/>
        </w:rPr>
        <w:t>обеспечить оперативное, тщательное и беспристрастное расследование всех случаев смерти в местах лишения свободы, в том числе путем проведения независимой судебно-медицинской экспертизы;</w:t>
      </w:r>
      <w:r w:rsidR="00FB2AF0">
        <w:t xml:space="preserve"> </w:t>
      </w:r>
      <w:r w:rsidR="00FB2AF0">
        <w:rPr>
          <w:b/>
          <w:bCs/>
        </w:rPr>
        <w:t xml:space="preserve">принять меры </w:t>
      </w:r>
      <w:r w:rsidR="00B4512F">
        <w:rPr>
          <w:b/>
          <w:bCs/>
        </w:rPr>
        <w:br/>
      </w:r>
      <w:r w:rsidR="00FB2AF0">
        <w:rPr>
          <w:b/>
          <w:bCs/>
        </w:rPr>
        <w:t xml:space="preserve">с целью выделения необходимых людских и материальных ресурсов </w:t>
      </w:r>
      <w:r w:rsidR="00B4512F">
        <w:rPr>
          <w:b/>
          <w:bCs/>
        </w:rPr>
        <w:br/>
      </w:r>
      <w:r w:rsidR="00FB2AF0">
        <w:rPr>
          <w:b/>
          <w:bCs/>
        </w:rPr>
        <w:t>для обеспечения надлежащего медицинского обслуживания заключенных;</w:t>
      </w:r>
      <w:r w:rsidR="00FB2AF0">
        <w:t xml:space="preserve"> </w:t>
      </w:r>
      <w:r w:rsidR="00FB2AF0">
        <w:rPr>
          <w:b/>
          <w:bCs/>
        </w:rPr>
        <w:t>провести обзор эффективности программ профилактики самоубийств и членовредительства, а также профилактики, выявления и лечения хронических дегенеративных заболеваний и инфекционных или заразных заболеваний в тюрьмах;</w:t>
      </w:r>
      <w:r w:rsidR="00FB2AF0">
        <w:t xml:space="preserve"> </w:t>
      </w:r>
      <w:r w:rsidR="00FB2AF0">
        <w:rPr>
          <w:b/>
          <w:bCs/>
        </w:rPr>
        <w:t>и собрать и представить подробную информацию о случаях смерти в местах лишения свободы и их причинах.</w:t>
      </w:r>
    </w:p>
    <w:p w14:paraId="507C67EC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Независимый мониторинг мест лишения свободы и Факультативный протокол</w:t>
      </w:r>
    </w:p>
    <w:p w14:paraId="56B3A2C2" w14:textId="77777777" w:rsidR="00B4512F" w:rsidRDefault="00FB2AF0" w:rsidP="00FB2AF0">
      <w:pPr>
        <w:pStyle w:val="SingleTxtG"/>
      </w:pPr>
      <w:r>
        <w:t>21.</w:t>
      </w:r>
      <w:r>
        <w:tab/>
        <w:t xml:space="preserve">Комитет отмечает, что государство-участник ратифицировало Факультативный протокол 27 июля 2009 года и 29 сентября 2009 года учредило Национальный комитет против пыток, уполномоченный посещать места содержания под стражей в Нигерии и расследовать любые жалобы на применение пыток в них. Он отмечает также, что в 2014 году Подкомитет по предупреждению пыток и других жестоких, бесчеловечных или унижающих достоинство видов обращения и наказания провел консультативное посещение государства-участника. Вместе с тем Комитет сожалеет, что государство-участник не уведомило Подкомитет о назначении национального превентивного механизма, и что до настоящего времени Подкомитет не провел ни одного официального посещения государства-участника. Комитет отмечает далее, что Национальный комитет против пыток был создан на основании круга ведения, а не законодательного акта, регулирующего его функции, мандат и ресурсы, и серьезно </w:t>
      </w:r>
      <w:r w:rsidR="00B4512F">
        <w:br/>
      </w:r>
    </w:p>
    <w:p w14:paraId="4FAB96E2" w14:textId="0BDDCAA4" w:rsidR="00FB2AF0" w:rsidRPr="006A3FE0" w:rsidRDefault="00FB2AF0" w:rsidP="00FB2AF0">
      <w:pPr>
        <w:pStyle w:val="SingleTxtG"/>
      </w:pPr>
      <w:r>
        <w:lastRenderedPageBreak/>
        <w:t>обеспокоен отсутствием у Национального комитета юридической, оперативной и финансовой независимости, поскольку он входит в структуру Федерального министерства юстиции, и надлежащего финансирования (ст. 2, 11, 13 и 16).</w:t>
      </w:r>
    </w:p>
    <w:p w14:paraId="04C84741" w14:textId="77777777" w:rsidR="00FB2AF0" w:rsidRPr="006A3FE0" w:rsidRDefault="00FB2AF0" w:rsidP="00FB2AF0">
      <w:pPr>
        <w:pStyle w:val="SingleTxtG"/>
        <w:rPr>
          <w:b/>
        </w:rPr>
      </w:pPr>
      <w:r>
        <w:t>22.</w:t>
      </w:r>
      <w:r>
        <w:tab/>
      </w:r>
      <w:r>
        <w:rPr>
          <w:b/>
          <w:bCs/>
        </w:rPr>
        <w:t>Государству-участнику настоятельно рекомендуется:</w:t>
      </w:r>
    </w:p>
    <w:p w14:paraId="1262325A" w14:textId="4D70698A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принять меры с целью приведения деятельности Национального комитета против пыток в соответствие с Факультативным протоколом к Конвенции и обеспечить его независимость, а также наличие у него достаточного штата сотрудников, адекватных ресурсов и необходимого бюджета для эффективного выполнения своего превентивного мандата в соответствии с Руководящими принципами, касающимися национальных превентивных механизмов</w:t>
      </w:r>
      <w:r w:rsidR="00FB2AF0" w:rsidRPr="00904476">
        <w:rPr>
          <w:rStyle w:val="aa"/>
        </w:rPr>
        <w:footnoteReference w:id="5"/>
      </w:r>
      <w:r w:rsidR="00FB2AF0" w:rsidRPr="00904476">
        <w:rPr>
          <w:b/>
          <w:bCs/>
        </w:rPr>
        <w:t>;</w:t>
      </w:r>
    </w:p>
    <w:p w14:paraId="5C3260D7" w14:textId="6C8DA973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рассмотреть возможность обращения за технической помощью к Организации Объединенных Наций, в том числе за рекомендациями Подкомитета, в связи с созданием национального превентивного механизма в соответствии со статьей 11 Факультативного протокола;</w:t>
      </w:r>
    </w:p>
    <w:p w14:paraId="13B9F026" w14:textId="11AA8436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обеспечить, чтобы во всех местах лишения свободы проводились эффективные и регулярные контрольные посещения сотрудниками независимого органа с привлечением медицинского персонала, чтобы посещения могли проводиться без предварительного уведомления и чтобы такие наблюдатели могли проводить конфиденциальные встречи наедине с лишенными свободы лицами без угрозы каких-либо репрессий и публично отчитываться о сделанных ими заключениях;</w:t>
      </w:r>
    </w:p>
    <w:p w14:paraId="5F3EA5B0" w14:textId="559EC097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d)</w:t>
      </w:r>
      <w:r w:rsidR="00FB2AF0">
        <w:tab/>
      </w:r>
      <w:r w:rsidR="00FB2AF0">
        <w:rPr>
          <w:b/>
          <w:bCs/>
        </w:rPr>
        <w:t>уполномочить неправительственные правозащитные организации, а также субъекты гражданского общества, предоставляющие услуги в области здравоохранения и образования, осуществлять мониторинг в местах лишения свободы.</w:t>
      </w:r>
    </w:p>
    <w:p w14:paraId="01674083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Меры по борьбе с терроризмом</w:t>
      </w:r>
    </w:p>
    <w:p w14:paraId="3630DDCA" w14:textId="77777777" w:rsidR="00B4512F" w:rsidRDefault="00FB2AF0" w:rsidP="00FB2AF0">
      <w:pPr>
        <w:pStyle w:val="SingleTxtG"/>
      </w:pPr>
      <w:r>
        <w:t>23.</w:t>
      </w:r>
      <w:r>
        <w:tab/>
        <w:t>Комитет высоко оценивает принятое государством-участником в ходе универсального периодического обзора в 2018 году</w:t>
      </w:r>
      <w:r w:rsidRPr="006A725E">
        <w:rPr>
          <w:rStyle w:val="aa"/>
        </w:rPr>
        <w:footnoteReference w:id="6"/>
      </w:r>
      <w:r>
        <w:t xml:space="preserve"> обязательство о реализации мер по борьбе с безнаказанностью с особым вниманием к преступлениям, совершаемым </w:t>
      </w:r>
      <w:r w:rsidR="00904476">
        <w:t>«</w:t>
      </w:r>
      <w:r>
        <w:t>Боко Харам</w:t>
      </w:r>
      <w:r w:rsidR="00904476">
        <w:t>»</w:t>
      </w:r>
      <w:r>
        <w:t>. Вместе с тем он обеспокоен неуклонным ухудшением обстановки в сфере безопасности из-за систематических нападений негосударственных вооруженных групп и столкновений между земледельцами и скотоводами, что привело к перемещению около 2,9 м</w:t>
      </w:r>
      <w:r w:rsidR="00904476">
        <w:t>лн</w:t>
      </w:r>
      <w:r>
        <w:t xml:space="preserve"> человек на северо-востоке страны, а также сообщениями о том, что </w:t>
      </w:r>
      <w:r w:rsidR="00904476">
        <w:t>«</w:t>
      </w:r>
      <w:r>
        <w:t>Боко Харам</w:t>
      </w:r>
      <w:r w:rsidR="00904476">
        <w:t>»</w:t>
      </w:r>
      <w:r>
        <w:t xml:space="preserve"> использует детей в качестве боевиков или эксплуатирует их в иной форме, включая принудительные браки, сексуальное рабство и принудительный труд. Кроме того, Комитет в равной степени обеспокоен многочисленными утверждениями о внесудебных казнях, пытках, насильственных исчезновениях и сексуальном насилии, совершаемых военными и членами Объединенных сил гражданской самообороны в ходе операций по обеспечению безопасности, на что в 2021 году обратил внимание Специальный докладчик по вопросу о внесудебных казнях, казнях без надлежащего судебного разбирательства или произвольных казнях</w:t>
      </w:r>
      <w:r w:rsidRPr="006A725E">
        <w:rPr>
          <w:rStyle w:val="aa"/>
        </w:rPr>
        <w:footnoteReference w:id="7"/>
      </w:r>
      <w:r>
        <w:t>. Несмотря на создание государством-участником в 2017</w:t>
      </w:r>
      <w:r w:rsidR="00904476">
        <w:t> </w:t>
      </w:r>
      <w:r>
        <w:t xml:space="preserve">году Специальной следственной комиссии и Президентской следственной комиссии по проверке соблюдения вооруженными силами обязательств в области прав человека и правил применения вооруженной силы, Комитет сожалеет об отсутствии информации о проведенных расследованиях и судебных процессах и их результатах, включая возмещение ущерба жертвам. Комитет обеспокоен также сообщениями о произвольном содержании под стражей и содержании под стражей без связи с </w:t>
      </w:r>
      <w:r w:rsidR="00B4512F">
        <w:br/>
      </w:r>
    </w:p>
    <w:p w14:paraId="71228075" w14:textId="619B52FE" w:rsidR="00FB2AF0" w:rsidRPr="006A3FE0" w:rsidRDefault="00FB2AF0" w:rsidP="00FB2AF0">
      <w:pPr>
        <w:pStyle w:val="SingleTxtG"/>
      </w:pPr>
      <w:r>
        <w:lastRenderedPageBreak/>
        <w:t>внешним миром лиц, выведенных из-под контроля негосударственных субъектов или</w:t>
      </w:r>
      <w:r w:rsidR="00B4512F">
        <w:t> </w:t>
      </w:r>
      <w:r>
        <w:t xml:space="preserve">предположительно связанных с ними, включая женщин и детей; случаях смерти людей в управляемых военными лагерях для перемещенных лиц в штате </w:t>
      </w:r>
      <w:proofErr w:type="spellStart"/>
      <w:r>
        <w:t>Борно</w:t>
      </w:r>
      <w:proofErr w:type="spellEnd"/>
      <w:r>
        <w:t xml:space="preserve"> </w:t>
      </w:r>
      <w:r w:rsidR="00B4512F">
        <w:br/>
      </w:r>
      <w:r>
        <w:t>в 2015 и 2016</w:t>
      </w:r>
      <w:r w:rsidR="00904476">
        <w:t> </w:t>
      </w:r>
      <w:r>
        <w:t xml:space="preserve">годах; бомбардировке лагеря для перемещенных лиц </w:t>
      </w:r>
      <w:r w:rsidR="00904476">
        <w:t>«</w:t>
      </w:r>
      <w:proofErr w:type="spellStart"/>
      <w:r>
        <w:t>Ранн</w:t>
      </w:r>
      <w:proofErr w:type="spellEnd"/>
      <w:r w:rsidR="00904476">
        <w:t>»</w:t>
      </w:r>
      <w:r>
        <w:t xml:space="preserve"> в 2017 году, в результате которой погибло не менее 160 человек; случаях смерти и плохих условиях содержания в местах содержания под стражей вооруженных сил, особенно в казармах в </w:t>
      </w:r>
      <w:proofErr w:type="spellStart"/>
      <w:r>
        <w:t>Гиве</w:t>
      </w:r>
      <w:proofErr w:type="spellEnd"/>
      <w:r>
        <w:t xml:space="preserve"> и на военной базе в </w:t>
      </w:r>
      <w:proofErr w:type="spellStart"/>
      <w:r>
        <w:t>Каинджи</w:t>
      </w:r>
      <w:proofErr w:type="spellEnd"/>
      <w:r>
        <w:t xml:space="preserve">; и отсутствием расследований в связи </w:t>
      </w:r>
      <w:r w:rsidR="00B4512F">
        <w:br/>
      </w:r>
      <w:r>
        <w:t xml:space="preserve">с этими сообщениями. Комитет приветствует план действий по пресечению и предотвращению вербовки и использования детей в вооруженных конфликтах, подписанный Объединенными силами гражданской самообороны в 2017 году, но </w:t>
      </w:r>
      <w:r w:rsidR="00904476">
        <w:br/>
      </w:r>
      <w:r>
        <w:t xml:space="preserve">по-прежнему обеспокоен сообщениями об использовании военными мальчиков в возрасте от 13 до 17 лет для выполнения вспомогательных функций в штате </w:t>
      </w:r>
      <w:proofErr w:type="spellStart"/>
      <w:r>
        <w:t>Борно</w:t>
      </w:r>
      <w:proofErr w:type="spellEnd"/>
      <w:r>
        <w:t xml:space="preserve"> в 2019 году (ст. 2, 11</w:t>
      </w:r>
      <w:r w:rsidR="00904476">
        <w:t>–</w:t>
      </w:r>
      <w:r>
        <w:t>12 и 16).</w:t>
      </w:r>
    </w:p>
    <w:p w14:paraId="53A7026A" w14:textId="77777777" w:rsidR="00FB2AF0" w:rsidRPr="006A3FE0" w:rsidRDefault="00FB2AF0" w:rsidP="00FB2AF0">
      <w:pPr>
        <w:pStyle w:val="SingleTxtG"/>
        <w:rPr>
          <w:b/>
        </w:rPr>
      </w:pPr>
      <w:r>
        <w:t>24.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49146FE7" w14:textId="1C0CDFB5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активизировать усилия по обеспечению охраны и безопасности населения, затронутого конфликтом, предотвращать нарушения их прав человека любой стороной конфликта и обеспечить соблюдение военнослужащими и членами Объединенных сил гражданской самообороны документов по правам человека и международного гуманитарного права и прекращение произвольного содержания под стражей женщин и детей;</w:t>
      </w:r>
    </w:p>
    <w:p w14:paraId="3015D121" w14:textId="480AD074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принять меры по повышению прозрачности расследований, в том числе путем публикации выводов органов, которым поручено проведение таких расследований (см. п.</w:t>
      </w:r>
      <w:r w:rsidR="00B4512F">
        <w:rPr>
          <w:b/>
          <w:bCs/>
        </w:rPr>
        <w:t> </w:t>
      </w:r>
      <w:r w:rsidR="00FB2AF0" w:rsidRPr="00904476">
        <w:rPr>
          <w:b/>
          <w:bCs/>
        </w:rPr>
        <w:t>23 выше), и продолжать проводить оперативные, беспристрастные и эффективные расследования утверждений о нарушениях, совершенных в контексте контртеррористических операций как государственными, так и негосударственными субъектами, и особенно военнослужащими и членами Объединенных сил гражданской самообороны, привлекать к ответственности и наказывать виновных, а также обеспечить жертвам доступ к эффективным средствам правовой защиты и полное возмещение ущерба;</w:t>
      </w:r>
    </w:p>
    <w:p w14:paraId="50049B28" w14:textId="4E5A7088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обеспечить контроль судебным органом документов, в которых фиксируются задержания и случаи смерти в местах содержания под стражей вооруженных сил, немедленно освободить детей, содержащихся во всех местах содержания под стражей вооруженных сил, и использовать заключение под стражу несовершеннолетних правонарушителей лишь в качестве крайней меры и в подходящих для этой цели учреждениях;</w:t>
      </w:r>
    </w:p>
    <w:p w14:paraId="5BC121E6" w14:textId="7E9BDE0E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d)</w:t>
      </w:r>
      <w:r w:rsidR="00FB2AF0" w:rsidRPr="00904476">
        <w:rPr>
          <w:b/>
          <w:bCs/>
        </w:rPr>
        <w:tab/>
      </w:r>
      <w:r w:rsidR="00FB2AF0">
        <w:rPr>
          <w:b/>
          <w:bCs/>
        </w:rPr>
        <w:t>продолжать наращивать усилия с целью предотвращения использования детей-солдат, не допускать использования детей вооруженными силами для выполнения вспомогательных функций и оперативно расследовать такие случаи.</w:t>
      </w:r>
    </w:p>
    <w:p w14:paraId="1B3E62A0" w14:textId="77777777" w:rsidR="00FB2AF0" w:rsidRPr="006A3FE0" w:rsidRDefault="00FB2AF0" w:rsidP="00FB2AF0">
      <w:pPr>
        <w:pStyle w:val="H23G"/>
      </w:pPr>
      <w:r>
        <w:tab/>
      </w:r>
      <w:r>
        <w:tab/>
      </w:r>
      <w:r w:rsidRPr="00504926">
        <w:rPr>
          <w:bCs/>
        </w:rPr>
        <w:t>Национальное</w:t>
      </w:r>
      <w:r>
        <w:rPr>
          <w:bCs/>
        </w:rPr>
        <w:t xml:space="preserve"> правозащитное учреждение</w:t>
      </w:r>
    </w:p>
    <w:p w14:paraId="435A6772" w14:textId="2DB830F6" w:rsidR="00FB2AF0" w:rsidRPr="006A3FE0" w:rsidRDefault="00FB2AF0" w:rsidP="00FB2AF0">
      <w:pPr>
        <w:pStyle w:val="SingleTxtG"/>
        <w:rPr>
          <w:bCs/>
        </w:rPr>
      </w:pPr>
      <w:r>
        <w:t>25.</w:t>
      </w:r>
      <w:r>
        <w:tab/>
        <w:t>Комитет отмечает, что Национальная комиссия по правам человека уполномочена посещать места лишения свободы, принимать жалобы, проводить расследования, присуждать компенсацию и требовать исполнения своих решений. Он</w:t>
      </w:r>
      <w:r w:rsidR="00904476">
        <w:t> </w:t>
      </w:r>
      <w:r>
        <w:t>отмечает также активные усилия этого учреждения в области консультативной, учебной и пропагандистской деятельности, а также его участие в работе нескольких следственных органов. Однако Комитет сожалеет об отсутствии информации о последующих действиях по 27</w:t>
      </w:r>
      <w:r w:rsidR="00B4512F">
        <w:t> </w:t>
      </w:r>
      <w:r>
        <w:t>858 жалобам на пытки и жестокое обращение, полученным Комиссией в период с 2019 по 2020 год, о присужденных и взысканных компенсациях, а также о делах, переданных генеральному прокурору на федеральном уровне и уровне штатов для дальнейшего привлечения к ответственности. Комитет также обеспокоен тем, что этому учреждению выделяется недостаточно ресурсов (ст.</w:t>
      </w:r>
      <w:r w:rsidR="00904476">
        <w:t> </w:t>
      </w:r>
      <w:r>
        <w:t>2).</w:t>
      </w:r>
    </w:p>
    <w:p w14:paraId="7E3F59A6" w14:textId="77777777" w:rsidR="00FB2AF0" w:rsidRPr="006A3FE0" w:rsidRDefault="00FB2AF0" w:rsidP="00B4512F">
      <w:pPr>
        <w:pStyle w:val="SingleTxtG"/>
        <w:pageBreakBefore/>
        <w:rPr>
          <w:b/>
        </w:rPr>
      </w:pPr>
      <w:r>
        <w:lastRenderedPageBreak/>
        <w:t>26.</w:t>
      </w:r>
      <w:r>
        <w:tab/>
      </w:r>
      <w:r>
        <w:rPr>
          <w:b/>
          <w:bCs/>
        </w:rPr>
        <w:t>В отношении Национальной комиссии по правам человека государству-участнику следует:</w:t>
      </w:r>
    </w:p>
    <w:p w14:paraId="5F5F4251" w14:textId="3893A334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усилить ее канцелярию, чтобы она могла эффективно выполнять свой мандат во всех частях страны, и предоставить ей необходимые людские, финансовые и институциональные ресурсы в соответствии с принципами, касающимися статуса национальных учреждений, занимающихся поощрением и защитой прав человека (Парижские принципы);</w:t>
      </w:r>
    </w:p>
    <w:p w14:paraId="648017EE" w14:textId="12E8C4F4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обеспечить оперативное и эффективное рассмотрение этим органом жалоб на пытки и жестокое обращение, а также публичное и регулярное информирование о результатах рассмотрения дел и назначенной компенсации;</w:t>
      </w:r>
    </w:p>
    <w:p w14:paraId="212304FE" w14:textId="06D88DED" w:rsidR="00FB2AF0" w:rsidRPr="006A3FE0" w:rsidRDefault="00904476" w:rsidP="00FB2AF0">
      <w:pPr>
        <w:pStyle w:val="SingleTxtG"/>
        <w:rPr>
          <w:b/>
          <w:sz w:val="24"/>
          <w:szCs w:val="24"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уточнить механизмы координации с Национальным комитетом против</w:t>
      </w:r>
      <w:r w:rsidR="00FB2AF0">
        <w:rPr>
          <w:b/>
          <w:bCs/>
        </w:rPr>
        <w:t xml:space="preserve"> пыток в отношении посещений мест содержания под стражей, не допускать возможного дублирования работы и укрепить механизм передачи жалоб.</w:t>
      </w:r>
    </w:p>
    <w:p w14:paraId="57833D98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Смертная казнь</w:t>
      </w:r>
    </w:p>
    <w:p w14:paraId="60DEC855" w14:textId="70BB901F" w:rsidR="00FB2AF0" w:rsidRPr="006A3FE0" w:rsidRDefault="00FB2AF0" w:rsidP="00FB2AF0">
      <w:pPr>
        <w:pStyle w:val="SingleTxtG"/>
      </w:pPr>
      <w:r>
        <w:t>27.</w:t>
      </w:r>
      <w:r>
        <w:tab/>
        <w:t>Отмечая вынесенную в 2003 году одной из национальных исследовательских групп рекомендацию о введении моратория на смертную казнь и предполагаемое отсутствие казней с 2016 года, Комитет сожалеет, что смертные приговоры продолжали выноситься в 2019 и 2020 годах. Комитет отмечает принятие Закона об исправительной службе Нигерии, в частности статью 12 (п.</w:t>
      </w:r>
      <w:r w:rsidR="00904476">
        <w:t> </w:t>
      </w:r>
      <w:r>
        <w:t>2</w:t>
      </w:r>
      <w:r w:rsidR="00904476">
        <w:t> </w:t>
      </w:r>
      <w:r>
        <w:t>с)), которая предусматривает замену смертного приговора пожизненным заключением для заключенных, отбывших более 10 лет в ожидании смертной казни, а также периодические пересмотры смертных приговоров, проводимые Президентским консультативным комитетом по вопросам помилования и аналогичными комитетами на уровне штатов. Вместе с тем он сожалеет об отсутствии официальной статистики в отношении числа лиц, ожидающих смертной казни (по некоторым данным, их число достигает 2700 человек), а также об отсутствии подробной информации о применении положения о смягчении наказания и помилования на всей территории страны. Комитет весьма обеспокоен сообщениями о том, что в 12 штатах, где действует шариат, смертная казнь может быть назначена за такие преступления, как прелюбодеяние, вероотступничество, колдовство и сексуальные отношения между лицами одного пола. Он весьма обеспокоен также тем, что такие наказания могут быть применены к несовершеннолетним в силу нечеткого определения возраста ребенка в шариате, которое связано с наступлением половой зрелости, несмотря на заявление государства-участника о том, что смертные приговоры не могут быть вынесены лицам моложе 18 лет (ст. 16).</w:t>
      </w:r>
    </w:p>
    <w:p w14:paraId="5DB85618" w14:textId="77777777" w:rsidR="00FB2AF0" w:rsidRPr="006A3FE0" w:rsidRDefault="00FB2AF0" w:rsidP="00FB2AF0">
      <w:pPr>
        <w:pStyle w:val="SingleTxtG"/>
        <w:rPr>
          <w:b/>
        </w:rPr>
      </w:pPr>
      <w:r>
        <w:t>28.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03CBC22B" w14:textId="6694DA7D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немедленно запретить применение смертной казни ко всем лицам моложе 18 лет в соответствии с федеральным законодательством, в том числе в штатах, где действует шариат;</w:t>
      </w:r>
    </w:p>
    <w:p w14:paraId="3AE4B13B" w14:textId="34469F83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заменить все уже вынесенные смертные приговоры на тюремные сроки в соответствии</w:t>
      </w:r>
      <w:r w:rsidR="00FB2AF0">
        <w:rPr>
          <w:b/>
          <w:bCs/>
        </w:rPr>
        <w:t xml:space="preserve"> с положениями Закона об исправительных учреждениях Нигерии;</w:t>
      </w:r>
      <w:r w:rsidR="00FB2AF0">
        <w:t xml:space="preserve"> </w:t>
      </w:r>
      <w:r w:rsidR="00FB2AF0">
        <w:rPr>
          <w:b/>
          <w:bCs/>
        </w:rPr>
        <w:t>рассмотреть возможность объявления официального моратория на смертную казнь за все предусмотренные законом преступления, распространив его на всю территорию страны;</w:t>
      </w:r>
      <w:r w:rsidR="00FB2AF0">
        <w:t xml:space="preserve"> </w:t>
      </w:r>
      <w:r w:rsidR="00FB2AF0">
        <w:rPr>
          <w:b/>
          <w:bCs/>
        </w:rPr>
        <w:t>рассмотреть возможность ратификации второго Факультативного протокола к Международному пакту о гражданских и политических правах, направленного на отмену смертной казни;</w:t>
      </w:r>
      <w:r w:rsidR="00FB2AF0">
        <w:t xml:space="preserve"> </w:t>
      </w:r>
      <w:r w:rsidR="00FB2AF0">
        <w:rPr>
          <w:b/>
          <w:bCs/>
        </w:rPr>
        <w:t>и предоставить подробную информацию о случаях смягчения приговора и помилования.</w:t>
      </w:r>
    </w:p>
    <w:p w14:paraId="726FF474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Телесные наказания детей</w:t>
      </w:r>
    </w:p>
    <w:p w14:paraId="4C02060B" w14:textId="14391F38" w:rsidR="00FB2AF0" w:rsidRPr="006A3FE0" w:rsidRDefault="00FB2AF0" w:rsidP="00FB2AF0">
      <w:pPr>
        <w:pStyle w:val="SingleTxtG"/>
      </w:pPr>
      <w:r>
        <w:t>29.</w:t>
      </w:r>
      <w:r>
        <w:tab/>
        <w:t xml:space="preserve">Комитет глубоко обеспокоен распространенным использованием телесных наказаний детей в частной среде, например дома или в других альтернативных местах ухода, что разрешено законом (статья 295 Уголовного кодекса, действующего в южных штатах, и статья 55 Уголовного кодекса, действующего в северных штатах). </w:t>
      </w:r>
      <w:r>
        <w:lastRenderedPageBreak/>
        <w:t>Он также сожалеет, что положения Закона о правах ребенка 2003 года не были включены в законодательство всех штатов. Комитет особо отмечает статью 11 этого закона, запрещающую пытки и жестокое обращение, и статью 221 (п.</w:t>
      </w:r>
      <w:r w:rsidR="00904476">
        <w:t> </w:t>
      </w:r>
      <w:r>
        <w:t>1</w:t>
      </w:r>
      <w:r w:rsidR="00904476">
        <w:t> </w:t>
      </w:r>
      <w:r>
        <w:t>b)), запрещающую телесные наказания за уголовные преступления. Он обеспокоен сообщениями о том, что статья 11 не толкуется как запрещающая телесные наказания детей в частной среде и что телесные наказания могут по-прежнему применяться к лицам моложе 18 лет в качестве наказания за преступление в тех штатах, где действует шариат (ст. 1, 2, 4, 11 и 16).</w:t>
      </w:r>
    </w:p>
    <w:p w14:paraId="04AEB03D" w14:textId="77777777" w:rsidR="00FB2AF0" w:rsidRPr="006A3FE0" w:rsidRDefault="00FB2AF0" w:rsidP="00FB2AF0">
      <w:pPr>
        <w:pStyle w:val="SingleTxtG"/>
        <w:rPr>
          <w:b/>
        </w:rPr>
      </w:pPr>
      <w:r>
        <w:t>30.</w:t>
      </w:r>
      <w:r>
        <w:tab/>
      </w:r>
      <w:r>
        <w:rPr>
          <w:b/>
          <w:bCs/>
        </w:rPr>
        <w:t>Государству-участнику следует:</w:t>
      </w:r>
    </w:p>
    <w:p w14:paraId="3CABB847" w14:textId="34C6BEF0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предпринять дальнейшие шаги для обеспечения того, чтобы положения Закона о правах ребенка 2003 года были также включены в законодательство всех штатов на всей территории страны, привести толкование его статьи 11 в соответствие с международными стандартами и прямо запретить в законе и на практике телесные наказания детей в любых условиях, в результате действий или бездействия государственных должностных лиц и других лиц, ответственных за выполнение государственных обязательств в соответствии с Конвенцией, будь то в качестве наказания за совершенное преступление или в дисциплинарных целях;</w:t>
      </w:r>
    </w:p>
    <w:p w14:paraId="22C94467" w14:textId="4797C2B9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>
        <w:tab/>
      </w:r>
      <w:r w:rsidR="00FB2AF0">
        <w:rPr>
          <w:b/>
          <w:bCs/>
        </w:rPr>
        <w:t>пропагандировать позитивные ненасильственные формы поддержания дисциплины в качестве альтернативы телесным наказаниям и проводить кампании по повышению осведомленности общественности о вредных последствиях телесных наказаний, в том числе детей.</w:t>
      </w:r>
    </w:p>
    <w:p w14:paraId="1E51D745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Гендерное насилие</w:t>
      </w:r>
    </w:p>
    <w:p w14:paraId="44BC4037" w14:textId="7A7B73FF" w:rsidR="00FB2AF0" w:rsidRPr="006A3FE0" w:rsidRDefault="00FB2AF0" w:rsidP="00FB2AF0">
      <w:pPr>
        <w:pStyle w:val="SingleTxtG"/>
      </w:pPr>
      <w:r>
        <w:t>31.</w:t>
      </w:r>
      <w:r>
        <w:tab/>
        <w:t xml:space="preserve">Приветствуя принятие Закона о запрещении насилия против личности, Комитет сожалеет, что он еще не применяется во всех штатах. Он принимает к сведению другие административные меры государства-участника, включая объявление губернаторами штатов чрезвычайного положения в области гендерного насилия, создание Министерством юстиции подразделений по гендерным вопросам, а также создание центров помощи по вопросам сексуального насилия и посягательств сексуального характера. Однако Комитет по-прежнему встревожен сообщениями о продолжающемся и широко распространенном сексуальном и гендерном насилии со стороны </w:t>
      </w:r>
      <w:r w:rsidR="00904476">
        <w:t>«</w:t>
      </w:r>
      <w:r>
        <w:t>Боко Харам</w:t>
      </w:r>
      <w:r w:rsidR="00904476">
        <w:t>»</w:t>
      </w:r>
      <w:r>
        <w:t xml:space="preserve"> и о незащищенности девочек и мальчиков от похищения вооруженными группами в период с 2014 по 2021 год. Комитет серьезно обеспокоен сообщениями о сексуальном насилии в отношении женщин и девочек, совершенном членами Объединенных сил гражданской самообороны, в частности в больнице и лагерях средней школы </w:t>
      </w:r>
      <w:proofErr w:type="spellStart"/>
      <w:r>
        <w:t>Бамы</w:t>
      </w:r>
      <w:proofErr w:type="spellEnd"/>
      <w:r>
        <w:t xml:space="preserve">, а также о сексуальной эксплуатации и надругательствах в государственных лагерях для внутренне перемещенных лиц и неофициальных лагерях, а также в местных общинах в </w:t>
      </w:r>
      <w:proofErr w:type="spellStart"/>
      <w:r>
        <w:t>Майдугури</w:t>
      </w:r>
      <w:proofErr w:type="spellEnd"/>
      <w:r>
        <w:t xml:space="preserve">, штат </w:t>
      </w:r>
      <w:proofErr w:type="spellStart"/>
      <w:r>
        <w:t>Борно</w:t>
      </w:r>
      <w:proofErr w:type="spellEnd"/>
      <w:r>
        <w:t>, и на территории всей северо-восточной части страны. Кроме того, Комитет встревожен продолжающимся применением калечащих операций на женских половых органах и тем, что государство-участник не предприняло никаких действенных шагов по искоренению этой практики. Он также обеспокоен высоким уровнем материнской смертности, часто связанным с изнасилованием, препятствиями в доступе к контрацепции и уголовной ответственностью за аборт за исключением случаев спасения жизни матери, поскольку это толкает женщин на незаконные и небезопасные аборты, ставящие под угрозу их здоровье и жизнь (ст. 2, 12</w:t>
      </w:r>
      <w:r w:rsidR="00904476">
        <w:t>–</w:t>
      </w:r>
      <w:r>
        <w:t>14 и 16).</w:t>
      </w:r>
    </w:p>
    <w:p w14:paraId="04F86922" w14:textId="77777777" w:rsidR="00FB2AF0" w:rsidRPr="006A3FE0" w:rsidRDefault="00FB2AF0" w:rsidP="00FB2AF0">
      <w:pPr>
        <w:pStyle w:val="SingleTxtG"/>
        <w:rPr>
          <w:b/>
        </w:rPr>
      </w:pPr>
      <w:r>
        <w:t>32.</w:t>
      </w:r>
      <w:r>
        <w:tab/>
      </w:r>
      <w:r>
        <w:rPr>
          <w:b/>
          <w:bCs/>
        </w:rPr>
        <w:t>Комитет настоятельно призывает государство-участник продолжать свои усилия по борьбе со всеми формами сексуального и гендерного насилия, особенно в тех случаях, когда речь идет о действиях или бездействии государственных органов или других субъектов, влекущих международную ответственность государства-участника по Конвенции.</w:t>
      </w:r>
      <w:r>
        <w:t xml:space="preserve"> </w:t>
      </w:r>
      <w:r>
        <w:rPr>
          <w:b/>
          <w:bCs/>
        </w:rPr>
        <w:t>В частности, государству-участнику следует:</w:t>
      </w:r>
    </w:p>
    <w:p w14:paraId="48E5E716" w14:textId="6D1DFFC9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активизировать усилия с целью обеспечения включения положений Закона о запрещении насилия против личности также в законодательство всех штатов на всей территории страны;</w:t>
      </w:r>
    </w:p>
    <w:p w14:paraId="36DF1780" w14:textId="32EAAF7E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принимать эффективные меры по защите внутренне перемещенных лиц, особенно женщин и девочек, предотвращать и искоренить калечащие операции на женских половых органах и обеспечивать меры защиты для подверженных риску девочек, а также обеспечивать эффективное расследование всех случаев гендерного насилия со стороны государственных и негосударственных субъектов, привлечение к ответственности предполагаемых виновных и предоставление возмещения жертвам, включая адекватную компенсацию и доступ к медицинским услугам и консультациям, и предоставить подробную информацию о таких случаях;</w:t>
      </w:r>
    </w:p>
    <w:p w14:paraId="2795618B" w14:textId="705B36C8" w:rsidR="00FB2AF0" w:rsidRPr="006A3FE0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 xml:space="preserve">обеспечить доступ к комплексным услугам в области сексуального и репродуктивного здоровья и отменить уголовную ответственность за добровольное прерывание беременности в случаях, когда </w:t>
      </w:r>
      <w:proofErr w:type="spellStart"/>
      <w:r w:rsidR="00FB2AF0" w:rsidRPr="00904476">
        <w:rPr>
          <w:b/>
          <w:bCs/>
        </w:rPr>
        <w:t>донашивание</w:t>
      </w:r>
      <w:proofErr w:type="spellEnd"/>
      <w:r w:rsidR="00FB2AF0" w:rsidRPr="00904476">
        <w:rPr>
          <w:b/>
          <w:bCs/>
        </w:rPr>
        <w:t xml:space="preserve"> плода причинит женщине значительные страдания, когда беременность является результатом</w:t>
      </w:r>
      <w:r w:rsidR="00FB2AF0">
        <w:rPr>
          <w:b/>
          <w:bCs/>
        </w:rPr>
        <w:t xml:space="preserve"> изнасилования и когда плод не является жизнеспособным.</w:t>
      </w:r>
    </w:p>
    <w:p w14:paraId="28CBD562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Безнаказанность: отсутствие расследований и судебного преследования актов пыток и жестокого обращения</w:t>
      </w:r>
    </w:p>
    <w:p w14:paraId="2EC5D9CF" w14:textId="35D80068" w:rsidR="00FB2AF0" w:rsidRPr="006A3FE0" w:rsidRDefault="00FB2AF0" w:rsidP="00FB2AF0">
      <w:pPr>
        <w:pStyle w:val="SingleTxtG"/>
      </w:pPr>
      <w:r>
        <w:t>33.</w:t>
      </w:r>
      <w:r>
        <w:tab/>
        <w:t>Ввиду огромного количества заявлений и жалоб в связи с жестоким обращением и гендерным насилием со стороны негосударственных субъектов и государственных должностных лиц, включая сотрудников полиции, членов Специального отряда по борьбе с грабежами, военнослужащих и членов Объединенных сил гражданской самообороны, сообщений о том, что механизмы надзора за полицией, включая Комиссию по вопросам полицейской службы и Национальную комиссию по правам человека, остаются неэффективными, а также из-за неэффективности многочисленных учрежденных следственных комиссий и групп на федеральном уровне, уровне штатов и в военных структурах Комитет глубоко обеспокоен отсутствием подотчетности, обусловленной тем, что, согласно имеющимся данным, количество принятых дисциплинарных мер и возбужденных уголовных дел является ограниченным, что способствует созданию обстановки безнаказанности (ст. 1</w:t>
      </w:r>
      <w:r w:rsidR="00904476">
        <w:t>–</w:t>
      </w:r>
      <w:r>
        <w:t>2, 4, 11</w:t>
      </w:r>
      <w:r w:rsidR="00904476">
        <w:t>–</w:t>
      </w:r>
      <w:r>
        <w:t>13 и 16).</w:t>
      </w:r>
    </w:p>
    <w:p w14:paraId="77419F6E" w14:textId="77777777" w:rsidR="00FB2AF0" w:rsidRPr="006A3FE0" w:rsidRDefault="00FB2AF0" w:rsidP="00FB2AF0">
      <w:pPr>
        <w:pStyle w:val="SingleTxtG"/>
        <w:rPr>
          <w:b/>
        </w:rPr>
      </w:pPr>
      <w:r>
        <w:t>34.</w:t>
      </w:r>
      <w:r>
        <w:tab/>
      </w:r>
      <w:r>
        <w:rPr>
          <w:b/>
          <w:bCs/>
        </w:rPr>
        <w:t>В дополнение к вышеуказанным рекомендациям, в которых содержится настоятельный призыв к государству-участнику провести незамедлительные и эффективные расследования утверждений о нарушениях, совершенных государственными и негосударственными субъектами, государству-участнику следует:</w:t>
      </w:r>
    </w:p>
    <w:p w14:paraId="2B8E38DF" w14:textId="3A945625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a)</w:t>
      </w:r>
      <w:r w:rsidR="00FB2AF0" w:rsidRPr="00904476">
        <w:rPr>
          <w:b/>
          <w:bCs/>
        </w:rPr>
        <w:tab/>
        <w:t>предоставить полную информацию о конкретных дисциплинарных и уголовных наказаниях, назначенных сотрудникам полиции, членам Специального отряда по борьбе с грабежами и Объединенных сил гражданской самообороны, военнослужащим, а также негосударственным субъектам, подозреваемым в таких деяниях, как пытки, жестокое обращение, внесудебные казни и произвольные задержания, или признанным виновными в них;</w:t>
      </w:r>
    </w:p>
    <w:p w14:paraId="0A288ADF" w14:textId="67B9A467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b)</w:t>
      </w:r>
      <w:r w:rsidR="00FB2AF0" w:rsidRPr="00904476">
        <w:rPr>
          <w:b/>
          <w:bCs/>
        </w:rPr>
        <w:tab/>
        <w:t>принять незамедлительные меры для обеспечения функционирования эффективного и независимого механизма надзора за деятельностью полиции;</w:t>
      </w:r>
    </w:p>
    <w:p w14:paraId="506447E8" w14:textId="57E4F0E3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c)</w:t>
      </w:r>
      <w:r w:rsidR="00FB2AF0" w:rsidRPr="00904476">
        <w:rPr>
          <w:b/>
          <w:bCs/>
        </w:rPr>
        <w:tab/>
        <w:t>обеспечить, чтобы судебные комиссии и следственные советы не создавались и не использовались исключительно для замены надлежащих процедур уголовного правосудия, а также обеспечить отсутствие институциональных или иерархических взаимосвязей между следователями этих органов и подозреваемыми в совершении таких деяний;</w:t>
      </w:r>
    </w:p>
    <w:p w14:paraId="32276048" w14:textId="04FA1CC5" w:rsidR="00FB2AF0" w:rsidRPr="00904476" w:rsidRDefault="00904476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904476">
        <w:rPr>
          <w:b/>
          <w:bCs/>
        </w:rPr>
        <w:t>d)</w:t>
      </w:r>
      <w:r w:rsidR="00FB2AF0" w:rsidRPr="00904476">
        <w:rPr>
          <w:b/>
          <w:bCs/>
        </w:rPr>
        <w:tab/>
        <w:t>обеспечить, чтобы в случаях предполагаемых пыток или неправомерного обращения подозреваемые должностные лица немедленно отстранялись от исполнения служебных обязанностей на период расследования во избежание опасности того, что в противном случае они могут повторить предполагаемое деяние, подвергнуть репрессиям предполагаемую жертву или воспрепятствовать расследованию;</w:t>
      </w:r>
    </w:p>
    <w:p w14:paraId="2BA56B32" w14:textId="0A2E5F0D" w:rsidR="00FB2AF0" w:rsidRPr="006A3FE0" w:rsidRDefault="00904476" w:rsidP="00FB2AF0">
      <w:pPr>
        <w:pStyle w:val="SingleTxtG"/>
        <w:rPr>
          <w:b/>
        </w:rPr>
      </w:pPr>
      <w:r>
        <w:rPr>
          <w:b/>
          <w:bCs/>
        </w:rPr>
        <w:lastRenderedPageBreak/>
        <w:tab/>
      </w:r>
      <w:r w:rsidR="00FB2AF0" w:rsidRPr="00904476">
        <w:rPr>
          <w:b/>
          <w:bCs/>
        </w:rPr>
        <w:t>e)</w:t>
      </w:r>
      <w:r w:rsidR="00FB2AF0" w:rsidRPr="00904476">
        <w:rPr>
          <w:b/>
          <w:bCs/>
        </w:rPr>
        <w:tab/>
        <w:t>обеспечить проведение обязательного обучения по положениям Конвенции и полному запрету пыток сотрудников правоохранительных органов и сил безопасности, сотрудников тюрем, медицинских сотрудников, судей, прокуроров и адвокатов, а также включить в качестве неотъемлемой части в программу такого</w:t>
      </w:r>
      <w:r w:rsidR="00FB2AF0">
        <w:rPr>
          <w:b/>
          <w:bCs/>
        </w:rPr>
        <w:t xml:space="preserve"> обучения Руководство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</w:r>
    </w:p>
    <w:p w14:paraId="040E2A1F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Возмещение ущерба, включая компенсацию и реабилитацию</w:t>
      </w:r>
    </w:p>
    <w:p w14:paraId="2E728948" w14:textId="1051EBFB" w:rsidR="00FB2AF0" w:rsidRPr="006A3FE0" w:rsidRDefault="00FB2AF0" w:rsidP="00FB2AF0">
      <w:pPr>
        <w:pStyle w:val="SingleTxtG"/>
      </w:pPr>
      <w:r>
        <w:t>35.</w:t>
      </w:r>
      <w:r>
        <w:tab/>
        <w:t>Приветствуя статьи 6 и 9 Закона о борьбе с пытками, которые предусматривают право лиц на доступ к правовой помощи и требование компенсации за пытки и жестокое обращение, и статью 32 Закона об отправлении уголовного правосудия 2015</w:t>
      </w:r>
      <w:r w:rsidR="00CC753A">
        <w:t> </w:t>
      </w:r>
      <w:r>
        <w:t>года, которая предусматривает покрытие расходов, выплату компенсации, возмещение ущерба и реституцию жертвам преступлений, Комитет сожалеет об отсутствии информации о фактическом применении этих положений, включая данные о жертвах пыток и жестокого обращения, которые уже получили возмещение. Комитет также сожалеет об отсутствии информации о том, были ли жертвам пыток в дополнение к компенсации предоставлены услуги медицинской и психосоциальной реабилитации, и были ли созданы для них специальные реабилитационные программы (ст. 2 и 14).</w:t>
      </w:r>
    </w:p>
    <w:p w14:paraId="7B095476" w14:textId="77777777" w:rsidR="00FB2AF0" w:rsidRPr="006A3FE0" w:rsidRDefault="00FB2AF0" w:rsidP="00FB2AF0">
      <w:pPr>
        <w:pStyle w:val="SingleTxtG"/>
        <w:rPr>
          <w:b/>
        </w:rPr>
      </w:pPr>
      <w:r>
        <w:t>36.</w:t>
      </w:r>
      <w:r>
        <w:tab/>
      </w:r>
      <w:r>
        <w:rPr>
          <w:b/>
          <w:bCs/>
        </w:rPr>
        <w:t>Государству-участнику следует:</w:t>
      </w:r>
    </w:p>
    <w:p w14:paraId="2FFA33BF" w14:textId="31D6B92D" w:rsidR="00FB2AF0" w:rsidRPr="00CC753A" w:rsidRDefault="00CC753A" w:rsidP="00FB2AF0">
      <w:pPr>
        <w:pStyle w:val="SingleTxtG"/>
        <w:rPr>
          <w:b/>
          <w:bCs/>
        </w:rPr>
      </w:pPr>
      <w:r>
        <w:rPr>
          <w:b/>
          <w:bCs/>
        </w:rPr>
        <w:tab/>
      </w:r>
      <w:r w:rsidR="00FB2AF0" w:rsidRPr="00CC753A">
        <w:rPr>
          <w:b/>
          <w:bCs/>
        </w:rPr>
        <w:t>a)</w:t>
      </w:r>
      <w:r w:rsidR="00FB2AF0" w:rsidRPr="00CC753A">
        <w:rPr>
          <w:b/>
          <w:bCs/>
        </w:rPr>
        <w:tab/>
        <w:t>обеспечить включение в Закон о борьбе с пытками отдельного положения, которое позволяло бы жертвам пыток и жестокого обращения получать возмещение, включая средства для как можно более полной реабилитации, как указано в Замечании общего порядка № 3 (2012) Комитета;</w:t>
      </w:r>
    </w:p>
    <w:p w14:paraId="2C9FEA0C" w14:textId="6E6F6216" w:rsidR="00FB2AF0" w:rsidRPr="006A3FE0" w:rsidRDefault="00CC753A" w:rsidP="00FB2AF0">
      <w:pPr>
        <w:pStyle w:val="SingleTxtG"/>
        <w:rPr>
          <w:b/>
          <w:sz w:val="24"/>
          <w:szCs w:val="24"/>
        </w:rPr>
      </w:pPr>
      <w:r>
        <w:rPr>
          <w:b/>
          <w:bCs/>
        </w:rPr>
        <w:tab/>
      </w:r>
      <w:r w:rsidR="00FB2AF0" w:rsidRPr="00CC753A">
        <w:rPr>
          <w:b/>
          <w:bCs/>
        </w:rPr>
        <w:t>b)</w:t>
      </w:r>
      <w:r w:rsidR="00FB2AF0" w:rsidRPr="00CC753A">
        <w:rPr>
          <w:b/>
          <w:bCs/>
        </w:rPr>
        <w:tab/>
        <w:t>создать реабилитационные программы для жертв пыток и жестокого обращения</w:t>
      </w:r>
      <w:r w:rsidR="00FB2AF0">
        <w:rPr>
          <w:b/>
          <w:bCs/>
        </w:rPr>
        <w:t xml:space="preserve"> в сотрудничестве со специализированными организациями гражданского общества, например поручив это действующим по всей стране судебным следственным комиссиям, и выделить ресурсы для реализации таких программ.</w:t>
      </w:r>
    </w:p>
    <w:p w14:paraId="0DE2A907" w14:textId="77777777" w:rsidR="00FB2AF0" w:rsidRPr="006A3FE0" w:rsidRDefault="00FB2AF0" w:rsidP="00FB2AF0">
      <w:pPr>
        <w:pStyle w:val="H23G"/>
      </w:pPr>
      <w:r>
        <w:tab/>
      </w:r>
      <w:r>
        <w:tab/>
      </w:r>
      <w:r>
        <w:tab/>
      </w:r>
      <w:r>
        <w:rPr>
          <w:bCs/>
        </w:rPr>
        <w:t>Процедура последующей деятельности</w:t>
      </w:r>
    </w:p>
    <w:p w14:paraId="4B7B1CC7" w14:textId="77777777" w:rsidR="00FB2AF0" w:rsidRPr="006A3FE0" w:rsidRDefault="00FB2AF0" w:rsidP="00FB2AF0">
      <w:pPr>
        <w:pStyle w:val="SingleTxtG"/>
        <w:rPr>
          <w:sz w:val="24"/>
          <w:szCs w:val="24"/>
        </w:rPr>
      </w:pPr>
      <w:r>
        <w:t>37.</w:t>
      </w:r>
      <w:r>
        <w:tab/>
      </w:r>
      <w:r>
        <w:rPr>
          <w:b/>
          <w:bCs/>
        </w:rPr>
        <w:t xml:space="preserve">Комитет просит государство-участник представить к 3 декабря 2022 года информацию о последующих мерах по выполнению рекомендаций Комитета, касающихся утверждений о пытках, жестоком обращении, произвольном содержании под стражей и чрезмерном применении силы, в частности членами Специального отряда по борьбе с грабежами, досудебного содержания под стражей и переполненности тюрем, национального превентивного механизма и гендерного насилия (см. </w:t>
      </w:r>
      <w:proofErr w:type="spellStart"/>
      <w:r>
        <w:rPr>
          <w:b/>
          <w:bCs/>
        </w:rPr>
        <w:t>пп</w:t>
      </w:r>
      <w:proofErr w:type="spellEnd"/>
      <w:r>
        <w:rPr>
          <w:b/>
          <w:bCs/>
        </w:rPr>
        <w:t>. 14 b), 18, 22 и 32 выше).</w:t>
      </w:r>
      <w:r>
        <w:t xml:space="preserve"> </w:t>
      </w:r>
      <w:r>
        <w:rPr>
          <w:b/>
          <w:bCs/>
        </w:rPr>
        <w:t>В этой связи государству-участнику предлагается сообщить Комитету о своих планах по выполнению в предстоящий отчетный период некоторых или всех из оставшихся рекомендаций, содержащихся в заключительных замечаниях.</w:t>
      </w:r>
    </w:p>
    <w:p w14:paraId="4D0BD0B7" w14:textId="77777777" w:rsidR="00FB2AF0" w:rsidRPr="006A3FE0" w:rsidRDefault="00FB2AF0" w:rsidP="00FB2AF0">
      <w:pPr>
        <w:pStyle w:val="H23G"/>
      </w:pPr>
      <w:r>
        <w:tab/>
      </w:r>
      <w:r>
        <w:tab/>
      </w:r>
      <w:r>
        <w:rPr>
          <w:bCs/>
        </w:rPr>
        <w:t>Прочие вопросы</w:t>
      </w:r>
    </w:p>
    <w:p w14:paraId="5952CED3" w14:textId="77777777" w:rsidR="00FB2AF0" w:rsidRPr="006A3FE0" w:rsidRDefault="00FB2AF0" w:rsidP="00FB2AF0">
      <w:pPr>
        <w:pStyle w:val="SingleTxtG"/>
      </w:pPr>
      <w:r>
        <w:t>38.</w:t>
      </w:r>
      <w:r>
        <w:tab/>
      </w:r>
      <w:r>
        <w:rPr>
          <w:b/>
          <w:bCs/>
        </w:rPr>
        <w:t>Комитет призывает государство-участник рассмотреть вопрос о том, чтобы сделать заявления по статьям 21 и 22 Конвенции.</w:t>
      </w:r>
    </w:p>
    <w:p w14:paraId="58D56664" w14:textId="77777777" w:rsidR="00FB2AF0" w:rsidRPr="006A3FE0" w:rsidRDefault="00FB2AF0" w:rsidP="00FB2AF0">
      <w:pPr>
        <w:pStyle w:val="SingleTxtG"/>
      </w:pPr>
      <w:r>
        <w:t>39.</w:t>
      </w:r>
      <w:r>
        <w:tab/>
      </w:r>
      <w:r>
        <w:rPr>
          <w:b/>
          <w:bCs/>
        </w:rPr>
        <w:t>Комитет предлагает государству-участнику ратифицировать основные договоры Организации Объединенных Наций по правам человека, участником которых оно еще не является.</w:t>
      </w:r>
    </w:p>
    <w:p w14:paraId="0DC60032" w14:textId="77777777" w:rsidR="00FB2AF0" w:rsidRPr="006A3FE0" w:rsidRDefault="00FB2AF0" w:rsidP="00FB2AF0">
      <w:pPr>
        <w:pStyle w:val="SingleTxtG"/>
      </w:pPr>
      <w:r>
        <w:t>40.</w:t>
      </w:r>
      <w:r>
        <w:tab/>
      </w:r>
      <w:r>
        <w:rPr>
          <w:b/>
          <w:bCs/>
        </w:rPr>
        <w:t>Государству-участнику предлагается обеспечить широкое распространение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организации, а также сообщить Комитету о мероприятиях, проводимых им в целях распространения.</w:t>
      </w:r>
    </w:p>
    <w:p w14:paraId="000226EE" w14:textId="53088681" w:rsidR="00FB2AF0" w:rsidRPr="006A3FE0" w:rsidRDefault="00FB2AF0" w:rsidP="00FB2AF0">
      <w:pPr>
        <w:pStyle w:val="SingleTxtG"/>
      </w:pPr>
      <w:r>
        <w:lastRenderedPageBreak/>
        <w:t>41.</w:t>
      </w:r>
      <w:r>
        <w:tab/>
      </w:r>
      <w:r>
        <w:rPr>
          <w:b/>
          <w:bCs/>
        </w:rPr>
        <w:t>Комитет призывает государство-участник выполнить свои обязательства по представлению докладов согласно статье 19 Конвенции и представить свой доклад, который будет считаться его вторым периодическим докладом, до 3</w:t>
      </w:r>
      <w:r w:rsidR="00CC753A">
        <w:rPr>
          <w:b/>
          <w:bCs/>
        </w:rPr>
        <w:t> </w:t>
      </w:r>
      <w:r>
        <w:rPr>
          <w:b/>
          <w:bCs/>
        </w:rPr>
        <w:t>декабря 2025 года.</w:t>
      </w:r>
      <w:r>
        <w:t xml:space="preserve"> </w:t>
      </w:r>
      <w:r>
        <w:rPr>
          <w:b/>
          <w:bCs/>
        </w:rPr>
        <w:t>В этой связи Комитет предлагает государству-участнику к 3</w:t>
      </w:r>
      <w:r w:rsidR="00CC753A">
        <w:rPr>
          <w:b/>
          <w:bCs/>
        </w:rPr>
        <w:t> </w:t>
      </w:r>
      <w:r>
        <w:rPr>
          <w:b/>
          <w:bCs/>
        </w:rPr>
        <w:t>декабря 2022 года подготовить свой доклад в соответствии с упрощенной процедурой представления докладов, согласно которой Комитет направит в адрес государства-участника перечень вопросов, предваряющий представление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станут его вторым периодическим докладом, подлежащим представлению согласно статье</w:t>
      </w:r>
      <w:r w:rsidR="00CC753A">
        <w:rPr>
          <w:b/>
          <w:bCs/>
        </w:rPr>
        <w:t> </w:t>
      </w:r>
      <w:r>
        <w:rPr>
          <w:b/>
          <w:bCs/>
        </w:rPr>
        <w:t>19 Конвенции.</w:t>
      </w:r>
    </w:p>
    <w:p w14:paraId="6D9C24BE" w14:textId="77777777" w:rsidR="00FB2AF0" w:rsidRPr="006A3FE0" w:rsidRDefault="00FB2AF0" w:rsidP="00FB2AF0">
      <w:pPr>
        <w:pStyle w:val="SingleTxtG"/>
        <w:spacing w:before="240" w:after="0"/>
        <w:jc w:val="center"/>
        <w:rPr>
          <w:u w:val="single"/>
        </w:rPr>
      </w:pPr>
      <w:r w:rsidRPr="006A3FE0">
        <w:rPr>
          <w:u w:val="single"/>
          <w:lang w:eastAsia="en-GB"/>
        </w:rPr>
        <w:tab/>
      </w:r>
      <w:r w:rsidRPr="006A3FE0">
        <w:rPr>
          <w:u w:val="single"/>
          <w:lang w:eastAsia="en-GB"/>
        </w:rPr>
        <w:tab/>
      </w:r>
      <w:r w:rsidRPr="006A3FE0">
        <w:rPr>
          <w:u w:val="single"/>
          <w:lang w:eastAsia="en-GB"/>
        </w:rPr>
        <w:tab/>
      </w:r>
      <w:r w:rsidRPr="006A3FE0">
        <w:rPr>
          <w:u w:val="single"/>
          <w:lang w:eastAsia="en-GB"/>
        </w:rPr>
        <w:tab/>
      </w:r>
    </w:p>
    <w:sectPr w:rsidR="00FB2AF0" w:rsidRPr="006A3FE0" w:rsidSect="00FB2A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E7D4" w14:textId="77777777" w:rsidR="000446F2" w:rsidRPr="00A312BC" w:rsidRDefault="000446F2" w:rsidP="00A312BC"/>
  </w:endnote>
  <w:endnote w:type="continuationSeparator" w:id="0">
    <w:p w14:paraId="6919BF31" w14:textId="77777777" w:rsidR="000446F2" w:rsidRPr="00A312BC" w:rsidRDefault="000446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EABC" w14:textId="6C6D20A9" w:rsidR="00FB2AF0" w:rsidRPr="00FB2AF0" w:rsidRDefault="00FB2AF0">
    <w:pPr>
      <w:pStyle w:val="a8"/>
    </w:pPr>
    <w:r w:rsidRPr="00FB2AF0">
      <w:rPr>
        <w:b/>
        <w:sz w:val="18"/>
      </w:rPr>
      <w:fldChar w:fldCharType="begin"/>
    </w:r>
    <w:r w:rsidRPr="00FB2AF0">
      <w:rPr>
        <w:b/>
        <w:sz w:val="18"/>
      </w:rPr>
      <w:instrText xml:space="preserve"> PAGE  \* MERGEFORMAT </w:instrText>
    </w:r>
    <w:r w:rsidRPr="00FB2AF0">
      <w:rPr>
        <w:b/>
        <w:sz w:val="18"/>
      </w:rPr>
      <w:fldChar w:fldCharType="separate"/>
    </w:r>
    <w:r w:rsidRPr="00FB2AF0">
      <w:rPr>
        <w:b/>
        <w:noProof/>
        <w:sz w:val="18"/>
      </w:rPr>
      <w:t>2</w:t>
    </w:r>
    <w:r w:rsidRPr="00FB2AF0">
      <w:rPr>
        <w:b/>
        <w:sz w:val="18"/>
      </w:rPr>
      <w:fldChar w:fldCharType="end"/>
    </w:r>
    <w:r>
      <w:rPr>
        <w:b/>
        <w:sz w:val="18"/>
      </w:rPr>
      <w:tab/>
    </w:r>
    <w:r>
      <w:t>GE.21-19451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CA7A" w14:textId="32FE3598" w:rsidR="00FB2AF0" w:rsidRPr="00FB2AF0" w:rsidRDefault="00FB2AF0" w:rsidP="00FB2AF0">
    <w:pPr>
      <w:pStyle w:val="a8"/>
      <w:tabs>
        <w:tab w:val="clear" w:pos="9639"/>
        <w:tab w:val="right" w:pos="9638"/>
      </w:tabs>
      <w:rPr>
        <w:b/>
        <w:sz w:val="18"/>
      </w:rPr>
    </w:pPr>
    <w:r>
      <w:t>GE.21-19451</w:t>
    </w:r>
    <w:r>
      <w:tab/>
    </w:r>
    <w:r w:rsidRPr="00FB2AF0">
      <w:rPr>
        <w:b/>
        <w:sz w:val="18"/>
      </w:rPr>
      <w:fldChar w:fldCharType="begin"/>
    </w:r>
    <w:r w:rsidRPr="00FB2AF0">
      <w:rPr>
        <w:b/>
        <w:sz w:val="18"/>
      </w:rPr>
      <w:instrText xml:space="preserve"> PAGE  \* MERGEFORMAT </w:instrText>
    </w:r>
    <w:r w:rsidRPr="00FB2AF0">
      <w:rPr>
        <w:b/>
        <w:sz w:val="18"/>
      </w:rPr>
      <w:fldChar w:fldCharType="separate"/>
    </w:r>
    <w:r w:rsidRPr="00FB2AF0">
      <w:rPr>
        <w:b/>
        <w:noProof/>
        <w:sz w:val="18"/>
      </w:rPr>
      <w:t>3</w:t>
    </w:r>
    <w:r w:rsidRPr="00FB2A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DEB3" w14:textId="45C8C8BC" w:rsidR="00042B72" w:rsidRPr="00FB2AF0" w:rsidRDefault="00FB2AF0" w:rsidP="00FB2A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1E2CBB" wp14:editId="70AEC1D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19451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503534" wp14:editId="66BD76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090222  240222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3242" w14:textId="77777777" w:rsidR="000446F2" w:rsidRPr="001075E9" w:rsidRDefault="000446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E0BAA1" w14:textId="77777777" w:rsidR="000446F2" w:rsidRDefault="000446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F7D450" w14:textId="5766B16C" w:rsidR="00FB2AF0" w:rsidRPr="006A3FE0" w:rsidRDefault="00FB2AF0" w:rsidP="00FB2AF0">
      <w:pPr>
        <w:pStyle w:val="ad"/>
      </w:pPr>
      <w:r>
        <w:tab/>
      </w:r>
      <w:r w:rsidRPr="00D81B18">
        <w:rPr>
          <w:sz w:val="20"/>
        </w:rPr>
        <w:t>*</w:t>
      </w:r>
      <w:r>
        <w:tab/>
        <w:t xml:space="preserve">Приняты Комитетом на его семьдесят второй сессии (8 ноября </w:t>
      </w:r>
      <w:r w:rsidR="00D81B18" w:rsidRPr="00D81B18">
        <w:t>—</w:t>
      </w:r>
      <w:r>
        <w:t xml:space="preserve"> 3 декабря 2021 года).</w:t>
      </w:r>
    </w:p>
  </w:footnote>
  <w:footnote w:id="2">
    <w:p w14:paraId="0C98D2BD" w14:textId="5EF13FF0" w:rsidR="00FB2AF0" w:rsidRPr="006A3FE0" w:rsidRDefault="00FB2AF0" w:rsidP="00FB2AF0">
      <w:pPr>
        <w:pStyle w:val="ad"/>
        <w:rPr>
          <w:lang w:val="de-CH"/>
        </w:rPr>
      </w:pPr>
      <w:r w:rsidRPr="00B74663">
        <w:tab/>
      </w:r>
      <w:r w:rsidRPr="00B74663">
        <w:rPr>
          <w:rStyle w:val="aa"/>
        </w:rPr>
        <w:footnoteRef/>
      </w:r>
      <w:r w:rsidRPr="006A3FE0">
        <w:rPr>
          <w:lang w:val="de-CH"/>
        </w:rPr>
        <w:tab/>
      </w:r>
      <w:r>
        <w:t>См</w:t>
      </w:r>
      <w:r w:rsidRPr="006A3FE0">
        <w:rPr>
          <w:lang w:val="de-CH"/>
        </w:rPr>
        <w:t xml:space="preserve">. </w:t>
      </w:r>
      <w:hyperlink r:id="rId1" w:history="1">
        <w:r w:rsidRPr="00D81B18">
          <w:rPr>
            <w:rStyle w:val="af1"/>
            <w:lang w:val="de-CH"/>
          </w:rPr>
          <w:t>CAT/C/SR.1852</w:t>
        </w:r>
      </w:hyperlink>
      <w:r w:rsidRPr="006A3FE0">
        <w:rPr>
          <w:lang w:val="de-CH"/>
        </w:rPr>
        <w:t xml:space="preserve"> </w:t>
      </w:r>
      <w:r>
        <w:t>и</w:t>
      </w:r>
      <w:r w:rsidRPr="006A3FE0">
        <w:rPr>
          <w:lang w:val="de-CH"/>
        </w:rPr>
        <w:t xml:space="preserve"> </w:t>
      </w:r>
      <w:hyperlink r:id="rId2" w:history="1">
        <w:r w:rsidRPr="00D81B18">
          <w:rPr>
            <w:rStyle w:val="af1"/>
            <w:lang w:val="de-CH"/>
          </w:rPr>
          <w:t>CAT/C/SR.1855</w:t>
        </w:r>
      </w:hyperlink>
      <w:r w:rsidRPr="006A3FE0">
        <w:rPr>
          <w:lang w:val="de-CH"/>
        </w:rPr>
        <w:t>.</w:t>
      </w:r>
    </w:p>
  </w:footnote>
  <w:footnote w:id="3">
    <w:p w14:paraId="5DD94FAF" w14:textId="4D58C83B" w:rsidR="00FB2AF0" w:rsidRPr="00FB2AF0" w:rsidRDefault="00FB2AF0" w:rsidP="00FB2AF0">
      <w:pPr>
        <w:pStyle w:val="ad"/>
        <w:rPr>
          <w:lang w:val="en-US"/>
        </w:rPr>
      </w:pPr>
      <w:r w:rsidRPr="006A3FE0">
        <w:rPr>
          <w:lang w:val="de-CH"/>
        </w:rPr>
        <w:tab/>
      </w:r>
      <w:r>
        <w:rPr>
          <w:rStyle w:val="aa"/>
        </w:rPr>
        <w:footnoteRef/>
      </w:r>
      <w:r w:rsidRPr="006A3FE0">
        <w:rPr>
          <w:lang w:val="en-US"/>
        </w:rPr>
        <w:tab/>
      </w:r>
      <w:r>
        <w:t>См</w:t>
      </w:r>
      <w:r w:rsidRPr="006A3FE0">
        <w:rPr>
          <w:lang w:val="en-US"/>
        </w:rPr>
        <w:t xml:space="preserve">. </w:t>
      </w:r>
      <w:hyperlink r:id="rId3" w:history="1">
        <w:r w:rsidRPr="00D81B18">
          <w:rPr>
            <w:rStyle w:val="af1"/>
            <w:lang w:val="en-US"/>
          </w:rPr>
          <w:t>A/HRC/40/7</w:t>
        </w:r>
      </w:hyperlink>
      <w:r w:rsidRPr="006A3FE0">
        <w:rPr>
          <w:lang w:val="en-US"/>
        </w:rPr>
        <w:t xml:space="preserve">, </w:t>
      </w:r>
      <w:proofErr w:type="spellStart"/>
      <w:r>
        <w:t>пп</w:t>
      </w:r>
      <w:proofErr w:type="spellEnd"/>
      <w:r w:rsidRPr="006A3FE0">
        <w:rPr>
          <w:lang w:val="en-US"/>
        </w:rPr>
        <w:t>.148.15</w:t>
      </w:r>
      <w:r w:rsidR="0086464A" w:rsidRPr="0086464A">
        <w:rPr>
          <w:lang w:val="en-US"/>
        </w:rPr>
        <w:t>–</w:t>
      </w:r>
      <w:r w:rsidRPr="006A3FE0">
        <w:rPr>
          <w:lang w:val="en-US"/>
        </w:rPr>
        <w:t xml:space="preserve">148.18, </w:t>
      </w:r>
      <w:r>
        <w:t>и</w:t>
      </w:r>
      <w:r w:rsidRPr="006A3FE0">
        <w:rPr>
          <w:lang w:val="en-US"/>
        </w:rPr>
        <w:t xml:space="preserve"> </w:t>
      </w:r>
      <w:hyperlink r:id="rId4" w:history="1">
        <w:r w:rsidRPr="00D81B18">
          <w:rPr>
            <w:rStyle w:val="af1"/>
            <w:lang w:val="en-US"/>
          </w:rPr>
          <w:t>A/HRC/40/7/Add.1</w:t>
        </w:r>
      </w:hyperlink>
      <w:r w:rsidRPr="006A3FE0">
        <w:rPr>
          <w:lang w:val="en-US"/>
        </w:rPr>
        <w:t>.</w:t>
      </w:r>
    </w:p>
  </w:footnote>
  <w:footnote w:id="4">
    <w:p w14:paraId="74D2E129" w14:textId="289320BD" w:rsidR="00FB2AF0" w:rsidRPr="00FB2AF0" w:rsidRDefault="00FB2AF0" w:rsidP="00FB2AF0">
      <w:pPr>
        <w:pStyle w:val="ad"/>
        <w:rPr>
          <w:lang w:val="en-US"/>
        </w:rPr>
      </w:pPr>
      <w:r w:rsidRPr="006A3FE0">
        <w:rPr>
          <w:lang w:val="en-US"/>
        </w:rPr>
        <w:tab/>
      </w:r>
      <w:r>
        <w:rPr>
          <w:rStyle w:val="aa"/>
        </w:rPr>
        <w:footnoteRef/>
      </w:r>
      <w:r w:rsidRPr="006A3FE0">
        <w:rPr>
          <w:lang w:val="en-US"/>
        </w:rPr>
        <w:tab/>
      </w:r>
      <w:r>
        <w:t>См</w:t>
      </w:r>
      <w:r w:rsidRPr="006A3FE0">
        <w:rPr>
          <w:lang w:val="en-US"/>
        </w:rPr>
        <w:t xml:space="preserve">. </w:t>
      </w:r>
      <w:hyperlink r:id="rId5" w:history="1">
        <w:r w:rsidRPr="00D81B18">
          <w:rPr>
            <w:rStyle w:val="af1"/>
            <w:lang w:val="en-US"/>
          </w:rPr>
          <w:t>A/HRC/40/7</w:t>
        </w:r>
      </w:hyperlink>
      <w:r w:rsidRPr="006A3FE0">
        <w:rPr>
          <w:lang w:val="en-US"/>
        </w:rPr>
        <w:t xml:space="preserve">, </w:t>
      </w:r>
      <w:proofErr w:type="spellStart"/>
      <w:r>
        <w:t>пп</w:t>
      </w:r>
      <w:proofErr w:type="spellEnd"/>
      <w:r w:rsidRPr="006A3FE0">
        <w:rPr>
          <w:lang w:val="en-US"/>
        </w:rPr>
        <w:t xml:space="preserve">. 148.159-148.161, </w:t>
      </w:r>
      <w:r>
        <w:t>и</w:t>
      </w:r>
      <w:r w:rsidRPr="006A3FE0">
        <w:rPr>
          <w:lang w:val="en-US"/>
        </w:rPr>
        <w:t xml:space="preserve"> </w:t>
      </w:r>
      <w:hyperlink r:id="rId6" w:history="1">
        <w:r w:rsidRPr="00D81B18">
          <w:rPr>
            <w:rStyle w:val="af1"/>
            <w:lang w:val="en-US"/>
          </w:rPr>
          <w:t>A/HRC/40/7/Add.1</w:t>
        </w:r>
      </w:hyperlink>
      <w:r w:rsidRPr="006A3FE0">
        <w:rPr>
          <w:lang w:val="en-US"/>
        </w:rPr>
        <w:t>.</w:t>
      </w:r>
    </w:p>
  </w:footnote>
  <w:footnote w:id="5">
    <w:p w14:paraId="5914D402" w14:textId="425C3BDD" w:rsidR="00FB2AF0" w:rsidRPr="00FB2AF0" w:rsidRDefault="00FB2AF0" w:rsidP="00FB2AF0">
      <w:pPr>
        <w:pStyle w:val="ad"/>
        <w:rPr>
          <w:lang w:val="en-US"/>
        </w:rPr>
      </w:pPr>
      <w:r w:rsidRPr="006A3FE0">
        <w:rPr>
          <w:lang w:val="en-US"/>
        </w:rPr>
        <w:tab/>
      </w:r>
      <w:r>
        <w:rPr>
          <w:rStyle w:val="aa"/>
        </w:rPr>
        <w:footnoteRef/>
      </w:r>
      <w:r w:rsidRPr="006A3FE0">
        <w:rPr>
          <w:lang w:val="en-US"/>
        </w:rPr>
        <w:tab/>
      </w:r>
      <w:hyperlink r:id="rId7" w:history="1">
        <w:r w:rsidRPr="00D81B18">
          <w:rPr>
            <w:rStyle w:val="af1"/>
            <w:lang w:val="en-US"/>
          </w:rPr>
          <w:t>CAT/OP/12/5</w:t>
        </w:r>
      </w:hyperlink>
      <w:r w:rsidRPr="006A3FE0">
        <w:rPr>
          <w:lang w:val="en-US"/>
        </w:rPr>
        <w:t>.</w:t>
      </w:r>
    </w:p>
  </w:footnote>
  <w:footnote w:id="6">
    <w:p w14:paraId="0F164325" w14:textId="1A255F1E" w:rsidR="00FB2AF0" w:rsidRPr="00FB2AF0" w:rsidRDefault="00FB2AF0" w:rsidP="00FB2AF0">
      <w:pPr>
        <w:pStyle w:val="ad"/>
        <w:rPr>
          <w:lang w:val="en-US"/>
        </w:rPr>
      </w:pPr>
      <w:r w:rsidRPr="006A3FE0">
        <w:rPr>
          <w:lang w:val="en-US"/>
        </w:rPr>
        <w:tab/>
      </w:r>
      <w:r>
        <w:rPr>
          <w:rStyle w:val="aa"/>
        </w:rPr>
        <w:footnoteRef/>
      </w:r>
      <w:r w:rsidRPr="006A3FE0">
        <w:rPr>
          <w:lang w:val="en-US"/>
        </w:rPr>
        <w:tab/>
      </w:r>
      <w:r>
        <w:t>См</w:t>
      </w:r>
      <w:r w:rsidRPr="006A3FE0">
        <w:rPr>
          <w:lang w:val="en-US"/>
        </w:rPr>
        <w:t xml:space="preserve">. </w:t>
      </w:r>
      <w:hyperlink r:id="rId8" w:history="1">
        <w:r w:rsidRPr="00D81B18">
          <w:rPr>
            <w:rStyle w:val="af1"/>
            <w:lang w:val="en-US"/>
          </w:rPr>
          <w:t>A/HRC/40/7</w:t>
        </w:r>
      </w:hyperlink>
      <w:r w:rsidRPr="006A3FE0">
        <w:rPr>
          <w:lang w:val="en-US"/>
        </w:rPr>
        <w:t xml:space="preserve">, </w:t>
      </w:r>
      <w:proofErr w:type="spellStart"/>
      <w:r>
        <w:t>пп</w:t>
      </w:r>
      <w:proofErr w:type="spellEnd"/>
      <w:r w:rsidRPr="006A3FE0">
        <w:rPr>
          <w:lang w:val="en-US"/>
        </w:rPr>
        <w:t xml:space="preserve">.148,164, </w:t>
      </w:r>
      <w:r>
        <w:t>и</w:t>
      </w:r>
      <w:r w:rsidRPr="006A3FE0">
        <w:rPr>
          <w:lang w:val="en-US"/>
        </w:rPr>
        <w:t xml:space="preserve"> </w:t>
      </w:r>
      <w:hyperlink r:id="rId9" w:history="1">
        <w:r w:rsidRPr="00D81B18">
          <w:rPr>
            <w:rStyle w:val="af1"/>
            <w:lang w:val="en-US"/>
          </w:rPr>
          <w:t>A/HRC/40/7/Add.1</w:t>
        </w:r>
      </w:hyperlink>
      <w:r w:rsidRPr="006A3FE0">
        <w:rPr>
          <w:lang w:val="en-US"/>
        </w:rPr>
        <w:t>.</w:t>
      </w:r>
    </w:p>
  </w:footnote>
  <w:footnote w:id="7">
    <w:p w14:paraId="641AA3ED" w14:textId="244E2B9C" w:rsidR="00FB2AF0" w:rsidRPr="008269EB" w:rsidRDefault="00FB2AF0" w:rsidP="00FB2AF0">
      <w:pPr>
        <w:pStyle w:val="ad"/>
      </w:pPr>
      <w:r w:rsidRPr="006A3FE0">
        <w:rPr>
          <w:lang w:val="en-US"/>
        </w:rPr>
        <w:tab/>
      </w:r>
      <w:r w:rsidRPr="008269EB">
        <w:rPr>
          <w:rStyle w:val="aa"/>
        </w:rPr>
        <w:footnoteRef/>
      </w:r>
      <w:r>
        <w:tab/>
      </w:r>
      <w:hyperlink r:id="rId10" w:history="1">
        <w:r w:rsidRPr="00D81B18">
          <w:rPr>
            <w:rStyle w:val="af1"/>
          </w:rPr>
          <w:t>A/HRC/47/33/Add.2</w:t>
        </w:r>
      </w:hyperlink>
      <w:r>
        <w:t xml:space="preserve">, </w:t>
      </w:r>
      <w:proofErr w:type="spellStart"/>
      <w:r>
        <w:t>пп</w:t>
      </w:r>
      <w:proofErr w:type="spellEnd"/>
      <w:r>
        <w:t>. 38</w:t>
      </w:r>
      <w:r w:rsidR="00B4512F">
        <w:t>–</w:t>
      </w:r>
      <w:r>
        <w:t>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F93E" w14:textId="3EADC073" w:rsidR="00FB2AF0" w:rsidRPr="00FB2AF0" w:rsidRDefault="0017343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CAT/C/NGA/COAR/1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60E1" w14:textId="28536BF8" w:rsidR="00FB2AF0" w:rsidRPr="00FB2AF0" w:rsidRDefault="0017343E" w:rsidP="00FB2AF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CAT/C/NGA/COAR/1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2"/>
    <w:rsid w:val="00030741"/>
    <w:rsid w:val="00033EE1"/>
    <w:rsid w:val="00041407"/>
    <w:rsid w:val="00042B72"/>
    <w:rsid w:val="000446F2"/>
    <w:rsid w:val="000558BD"/>
    <w:rsid w:val="000725B5"/>
    <w:rsid w:val="000814CD"/>
    <w:rsid w:val="000B57E7"/>
    <w:rsid w:val="000B6373"/>
    <w:rsid w:val="000F09DF"/>
    <w:rsid w:val="000F61B2"/>
    <w:rsid w:val="001075E9"/>
    <w:rsid w:val="00172F8A"/>
    <w:rsid w:val="0017343E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42810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07B3F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45368"/>
    <w:rsid w:val="0086445C"/>
    <w:rsid w:val="0086464A"/>
    <w:rsid w:val="00894693"/>
    <w:rsid w:val="008A08D7"/>
    <w:rsid w:val="008B6909"/>
    <w:rsid w:val="00904476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4512F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C753A"/>
    <w:rsid w:val="00CE5A1A"/>
    <w:rsid w:val="00CF55F6"/>
    <w:rsid w:val="00D33D63"/>
    <w:rsid w:val="00D7263B"/>
    <w:rsid w:val="00D81B18"/>
    <w:rsid w:val="00D90028"/>
    <w:rsid w:val="00D90138"/>
    <w:rsid w:val="00DF71B9"/>
    <w:rsid w:val="00E032C0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B2AF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9E54D"/>
  <w15:docId w15:val="{44A30ADA-A418-48F7-88F9-D0B7BBE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FB2AF0"/>
    <w:rPr>
      <w:lang w:val="ru-RU" w:eastAsia="en-US"/>
    </w:rPr>
  </w:style>
  <w:style w:type="paragraph" w:styleId="af3">
    <w:name w:val="annotation text"/>
    <w:basedOn w:val="a"/>
    <w:link w:val="af4"/>
    <w:uiPriority w:val="99"/>
    <w:unhideWhenUsed/>
    <w:rsid w:val="00FB2AF0"/>
    <w:pPr>
      <w:suppressAutoHyphens w:val="0"/>
      <w:spacing w:line="240" w:lineRule="auto"/>
    </w:pPr>
    <w:rPr>
      <w:rFonts w:eastAsia="Times New Roman" w:cs="Times New Roman"/>
      <w:szCs w:val="20"/>
      <w:lang w:val="en-GB" w:eastAsia="en-GB"/>
    </w:rPr>
  </w:style>
  <w:style w:type="character" w:customStyle="1" w:styleId="af4">
    <w:name w:val="Текст примечания Знак"/>
    <w:basedOn w:val="a0"/>
    <w:link w:val="af3"/>
    <w:uiPriority w:val="99"/>
    <w:rsid w:val="00FB2AF0"/>
    <w:rPr>
      <w:lang w:val="en-GB" w:eastAsia="en-GB"/>
    </w:rPr>
  </w:style>
  <w:style w:type="character" w:styleId="af5">
    <w:name w:val="annotation reference"/>
    <w:basedOn w:val="a0"/>
    <w:uiPriority w:val="99"/>
    <w:semiHidden/>
    <w:unhideWhenUsed/>
    <w:rsid w:val="00FB2AF0"/>
    <w:rPr>
      <w:sz w:val="16"/>
      <w:szCs w:val="16"/>
    </w:rPr>
  </w:style>
  <w:style w:type="character" w:styleId="af6">
    <w:name w:val="Unresolved Mention"/>
    <w:basedOn w:val="a0"/>
    <w:uiPriority w:val="99"/>
    <w:semiHidden/>
    <w:unhideWhenUsed/>
    <w:rsid w:val="00D8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HRC/40/7" TargetMode="External"/><Relationship Id="rId3" Type="http://schemas.openxmlformats.org/officeDocument/2006/relationships/hyperlink" Target="http://undocs.org/ru/A/HRC/40/7" TargetMode="External"/><Relationship Id="rId7" Type="http://schemas.openxmlformats.org/officeDocument/2006/relationships/hyperlink" Target="http://undocs.org/ru/CAT/OP/12/5" TargetMode="External"/><Relationship Id="rId2" Type="http://schemas.openxmlformats.org/officeDocument/2006/relationships/hyperlink" Target="http://undocs.org/ru/CAT/C/SR.1855" TargetMode="External"/><Relationship Id="rId1" Type="http://schemas.openxmlformats.org/officeDocument/2006/relationships/hyperlink" Target="http://undocs.org/ru/CAT/C/SR.1852" TargetMode="External"/><Relationship Id="rId6" Type="http://schemas.openxmlformats.org/officeDocument/2006/relationships/hyperlink" Target="http://undocs.org/ru/A/HRC/40/7/Add.1" TargetMode="External"/><Relationship Id="rId5" Type="http://schemas.openxmlformats.org/officeDocument/2006/relationships/hyperlink" Target="http://undocs.org/ru/A/HRC/40/7" TargetMode="External"/><Relationship Id="rId10" Type="http://schemas.openxmlformats.org/officeDocument/2006/relationships/hyperlink" Target="http://undocs.org/ru/A/HRC/47/33/Add.2" TargetMode="External"/><Relationship Id="rId4" Type="http://schemas.openxmlformats.org/officeDocument/2006/relationships/hyperlink" Target="http://undocs.org/ru/A/HRC/40/7/Add.1" TargetMode="External"/><Relationship Id="rId9" Type="http://schemas.openxmlformats.org/officeDocument/2006/relationships/hyperlink" Target="http://undocs.org/ru/A/HRC/40/7/Add.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15</Pages>
  <Words>6036</Words>
  <Characters>41290</Characters>
  <Application>Microsoft Office Word</Application>
  <DocSecurity>0</DocSecurity>
  <Lines>737</Lines>
  <Paragraphs>174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CAT/C/NGA/COAR/1</vt:lpstr>
      <vt:lpstr>A/</vt:lpstr>
      <vt:lpstr>A/</vt:lpstr>
      <vt:lpstr>A/</vt:lpstr>
    </vt:vector>
  </TitlesOfParts>
  <Company>DCM</Company>
  <LinksUpToDate>false</LinksUpToDate>
  <CharactersWithSpaces>47152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CAT/C/NGA/COAR/1</dc:title>
  <dc:subject/>
  <dc:creator>Svetlana PROKOUDINA</dc:creator>
  <cp:keywords/>
  <cp:lastModifiedBy>Svetlana Prokoudina</cp:lastModifiedBy>
  <cp:revision>3</cp:revision>
  <cp:lastPrinted>2022-02-24T13:58:00Z</cp:lastPrinted>
  <dcterms:created xsi:type="dcterms:W3CDTF">2022-02-24T13:58:00Z</dcterms:created>
  <dcterms:modified xsi:type="dcterms:W3CDTF">2022-02-24T13:58:00Z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