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240E1" w:rsidTr="007C7BEE">
        <w:trPr>
          <w:cantSplit/>
          <w:trHeight w:hRule="exact" w:val="851"/>
        </w:trPr>
        <w:tc>
          <w:tcPr>
            <w:tcW w:w="1276" w:type="dxa"/>
            <w:tcBorders>
              <w:bottom w:val="single" w:sz="4" w:space="0" w:color="auto"/>
            </w:tcBorders>
            <w:shd w:val="clear" w:color="auto" w:fill="auto"/>
            <w:vAlign w:val="bottom"/>
          </w:tcPr>
          <w:p w:rsidR="00B56E9C" w:rsidRPr="00603A19" w:rsidRDefault="00603A19" w:rsidP="00603A19">
            <w:pPr>
              <w:pStyle w:val="SingleTxtG"/>
              <w:spacing w:after="0" w:line="20" w:lineRule="exact"/>
              <w:rPr>
                <w:sz w:val="2"/>
              </w:rPr>
            </w:pPr>
            <w:r>
              <w:rPr>
                <w:rStyle w:val="CommentReference"/>
              </w:rPr>
              <w:commentReference w:id="0"/>
            </w:r>
          </w:p>
          <w:p w:rsidR="00603A19" w:rsidRPr="00E96317" w:rsidRDefault="00603A19" w:rsidP="00006E2C">
            <w:pPr>
              <w:pStyle w:val="SingleTxtG"/>
              <w:spacing w:after="0" w:line="20" w:lineRule="exact"/>
              <w:rPr>
                <w:sz w:val="2"/>
              </w:rPr>
            </w:pPr>
          </w:p>
          <w:p w:rsidR="00006E2C" w:rsidRPr="00E96317" w:rsidRDefault="00006E2C" w:rsidP="007C7BEE">
            <w:pPr>
              <w:pStyle w:val="SingleTxtG"/>
            </w:pPr>
          </w:p>
        </w:tc>
        <w:tc>
          <w:tcPr>
            <w:tcW w:w="2268" w:type="dxa"/>
            <w:tcBorders>
              <w:bottom w:val="single" w:sz="4" w:space="0" w:color="auto"/>
            </w:tcBorders>
            <w:shd w:val="clear" w:color="auto" w:fill="auto"/>
            <w:vAlign w:val="bottom"/>
          </w:tcPr>
          <w:p w:rsidR="00B56E9C" w:rsidRPr="007240E1" w:rsidRDefault="00B56E9C" w:rsidP="007C7BEE">
            <w:pPr>
              <w:spacing w:after="80" w:line="300" w:lineRule="exact"/>
              <w:rPr>
                <w:b/>
                <w:sz w:val="24"/>
                <w:szCs w:val="24"/>
              </w:rPr>
            </w:pPr>
            <w:r w:rsidRPr="007240E1">
              <w:rPr>
                <w:sz w:val="28"/>
                <w:szCs w:val="28"/>
              </w:rPr>
              <w:t>United Nations</w:t>
            </w:r>
          </w:p>
        </w:tc>
        <w:tc>
          <w:tcPr>
            <w:tcW w:w="6095" w:type="dxa"/>
            <w:gridSpan w:val="2"/>
            <w:tcBorders>
              <w:bottom w:val="single" w:sz="4" w:space="0" w:color="auto"/>
            </w:tcBorders>
            <w:shd w:val="clear" w:color="auto" w:fill="auto"/>
            <w:vAlign w:val="bottom"/>
          </w:tcPr>
          <w:p w:rsidR="00B56E9C" w:rsidRPr="007240E1" w:rsidRDefault="007B2CA0" w:rsidP="00344502">
            <w:pPr>
              <w:suppressAutoHyphens w:val="0"/>
              <w:spacing w:after="20"/>
              <w:jc w:val="right"/>
            </w:pPr>
            <w:r w:rsidRPr="007240E1">
              <w:rPr>
                <w:sz w:val="40"/>
              </w:rPr>
              <w:t>CERD</w:t>
            </w:r>
            <w:r w:rsidRPr="007240E1">
              <w:t>/C/</w:t>
            </w:r>
            <w:r w:rsidR="00344502" w:rsidRPr="007240E1">
              <w:t>MKD</w:t>
            </w:r>
            <w:r w:rsidRPr="007240E1">
              <w:t>/CO/</w:t>
            </w:r>
            <w:r w:rsidR="00344502" w:rsidRPr="007240E1">
              <w:t>8-10</w:t>
            </w:r>
          </w:p>
        </w:tc>
      </w:tr>
      <w:tr w:rsidR="00B56E9C" w:rsidRPr="007240E1" w:rsidTr="007C7BEE">
        <w:trPr>
          <w:cantSplit/>
          <w:trHeight w:hRule="exact" w:val="2835"/>
        </w:trPr>
        <w:tc>
          <w:tcPr>
            <w:tcW w:w="1276" w:type="dxa"/>
            <w:tcBorders>
              <w:top w:val="single" w:sz="4" w:space="0" w:color="auto"/>
              <w:bottom w:val="single" w:sz="12" w:space="0" w:color="auto"/>
            </w:tcBorders>
            <w:shd w:val="clear" w:color="auto" w:fill="auto"/>
          </w:tcPr>
          <w:p w:rsidR="00B56E9C" w:rsidRPr="007240E1" w:rsidRDefault="00006E2C" w:rsidP="007C7BEE">
            <w:pPr>
              <w:spacing w:before="120"/>
              <w:jc w:val="center"/>
            </w:pPr>
            <w:r w:rsidRPr="007240E1">
              <w:rPr>
                <w:noProof/>
                <w:lang w:val="en-US" w:eastAsia="zh-CN"/>
              </w:rPr>
              <w:drawing>
                <wp:inline distT="0" distB="0" distL="0" distR="0" wp14:anchorId="2C14C9D1" wp14:editId="348F16EA">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240E1" w:rsidRDefault="00B56E9C" w:rsidP="007C7BEE">
            <w:pPr>
              <w:spacing w:before="120" w:line="380" w:lineRule="exact"/>
              <w:rPr>
                <w:b/>
                <w:sz w:val="34"/>
                <w:szCs w:val="40"/>
              </w:rPr>
            </w:pPr>
            <w:r w:rsidRPr="007240E1">
              <w:rPr>
                <w:b/>
                <w:sz w:val="34"/>
                <w:szCs w:val="40"/>
              </w:rPr>
              <w:t>International Convention on</w:t>
            </w:r>
            <w:r w:rsidR="00A01489" w:rsidRPr="007240E1">
              <w:rPr>
                <w:b/>
                <w:sz w:val="34"/>
                <w:szCs w:val="40"/>
              </w:rPr>
              <w:br/>
            </w:r>
            <w:r w:rsidR="00E63389" w:rsidRPr="007240E1">
              <w:rPr>
                <w:b/>
                <w:sz w:val="34"/>
                <w:szCs w:val="40"/>
              </w:rPr>
              <w:t>the Elimination of A</w:t>
            </w:r>
            <w:r w:rsidRPr="007240E1">
              <w:rPr>
                <w:b/>
                <w:sz w:val="34"/>
                <w:szCs w:val="40"/>
              </w:rPr>
              <w:t>ll Forms</w:t>
            </w:r>
            <w:r w:rsidR="00A01489" w:rsidRPr="007240E1">
              <w:rPr>
                <w:b/>
                <w:sz w:val="34"/>
                <w:szCs w:val="40"/>
              </w:rPr>
              <w:br/>
            </w:r>
            <w:r w:rsidRPr="007240E1">
              <w:rPr>
                <w:b/>
                <w:sz w:val="34"/>
                <w:szCs w:val="40"/>
              </w:rPr>
              <w:t>of Racial Discrimination</w:t>
            </w:r>
          </w:p>
        </w:tc>
        <w:tc>
          <w:tcPr>
            <w:tcW w:w="2835" w:type="dxa"/>
            <w:tcBorders>
              <w:top w:val="single" w:sz="4" w:space="0" w:color="auto"/>
              <w:bottom w:val="single" w:sz="12" w:space="0" w:color="auto"/>
            </w:tcBorders>
            <w:shd w:val="clear" w:color="auto" w:fill="auto"/>
          </w:tcPr>
          <w:p w:rsidR="007B2CA0" w:rsidRPr="007240E1" w:rsidRDefault="007B2CA0" w:rsidP="007C7BEE">
            <w:pPr>
              <w:suppressAutoHyphens w:val="0"/>
              <w:spacing w:before="240" w:line="240" w:lineRule="exact"/>
            </w:pPr>
            <w:r w:rsidRPr="007240E1">
              <w:t xml:space="preserve">Distr.: </w:t>
            </w:r>
            <w:r w:rsidR="00B545EB" w:rsidRPr="007240E1">
              <w:t>General</w:t>
            </w:r>
          </w:p>
          <w:p w:rsidR="007B2CA0" w:rsidRPr="007240E1" w:rsidRDefault="00223F47" w:rsidP="007C7BEE">
            <w:pPr>
              <w:suppressAutoHyphens w:val="0"/>
            </w:pPr>
            <w:r>
              <w:t>21</w:t>
            </w:r>
            <w:r w:rsidRPr="007240E1">
              <w:t xml:space="preserve"> </w:t>
            </w:r>
            <w:r w:rsidR="00507232" w:rsidRPr="007240E1">
              <w:t>September</w:t>
            </w:r>
            <w:r w:rsidR="00344502" w:rsidRPr="007240E1">
              <w:t xml:space="preserve"> </w:t>
            </w:r>
            <w:r w:rsidR="002D241A" w:rsidRPr="007240E1">
              <w:t>2015</w:t>
            </w:r>
          </w:p>
          <w:p w:rsidR="002D241A" w:rsidRPr="007240E1" w:rsidRDefault="002D241A" w:rsidP="007C7BEE">
            <w:pPr>
              <w:suppressAutoHyphens w:val="0"/>
            </w:pPr>
          </w:p>
          <w:p w:rsidR="00B56E9C" w:rsidRPr="007240E1" w:rsidRDefault="007B2CA0" w:rsidP="009977E8">
            <w:pPr>
              <w:suppressAutoHyphens w:val="0"/>
            </w:pPr>
            <w:r w:rsidRPr="007240E1">
              <w:t xml:space="preserve">Original: </w:t>
            </w:r>
            <w:r w:rsidR="009977E8" w:rsidRPr="007240E1">
              <w:t>English</w:t>
            </w:r>
          </w:p>
          <w:p w:rsidR="004D4C34" w:rsidRPr="007240E1" w:rsidRDefault="004D4C34" w:rsidP="009977E8">
            <w:pPr>
              <w:suppressAutoHyphens w:val="0"/>
            </w:pPr>
          </w:p>
        </w:tc>
      </w:tr>
    </w:tbl>
    <w:p w:rsidR="00EA1AB4" w:rsidRPr="007240E1" w:rsidRDefault="00EA1AB4" w:rsidP="00EA1AB4">
      <w:pPr>
        <w:spacing w:before="120"/>
        <w:rPr>
          <w:b/>
          <w:sz w:val="24"/>
          <w:szCs w:val="24"/>
        </w:rPr>
      </w:pPr>
      <w:r w:rsidRPr="007240E1">
        <w:rPr>
          <w:b/>
          <w:sz w:val="24"/>
          <w:szCs w:val="24"/>
        </w:rPr>
        <w:t>Committee on the Elimination of Racial Discrimination</w:t>
      </w:r>
    </w:p>
    <w:p w:rsidR="00EA1AB4" w:rsidRPr="007240E1" w:rsidRDefault="00EA1AB4" w:rsidP="008D72A7">
      <w:pPr>
        <w:pStyle w:val="HChG"/>
      </w:pPr>
      <w:r w:rsidRPr="007240E1">
        <w:tab/>
      </w:r>
      <w:r w:rsidRPr="007240E1">
        <w:tab/>
        <w:t xml:space="preserve">Concluding observations on the </w:t>
      </w:r>
      <w:r w:rsidR="00A16A41" w:rsidRPr="007240E1">
        <w:t xml:space="preserve">combined </w:t>
      </w:r>
      <w:r w:rsidR="00344502" w:rsidRPr="007240E1">
        <w:t>eighth to tenth</w:t>
      </w:r>
      <w:r w:rsidR="002D241A" w:rsidRPr="007240E1">
        <w:t xml:space="preserve"> </w:t>
      </w:r>
      <w:r w:rsidRPr="007240E1">
        <w:t>periodic report</w:t>
      </w:r>
      <w:r w:rsidR="009977E8" w:rsidRPr="007240E1">
        <w:t>s</w:t>
      </w:r>
      <w:r w:rsidRPr="007240E1">
        <w:t xml:space="preserve"> of </w:t>
      </w:r>
      <w:r w:rsidR="005D078A" w:rsidRPr="007240E1">
        <w:t>the</w:t>
      </w:r>
      <w:r w:rsidR="00CD1D91" w:rsidRPr="007240E1">
        <w:t xml:space="preserve"> former Yugoslav Republic of </w:t>
      </w:r>
      <w:r w:rsidR="00344502" w:rsidRPr="007240E1">
        <w:t>Macedonia</w:t>
      </w:r>
      <w:r w:rsidR="00B545EB" w:rsidRPr="007240E1">
        <w:rPr>
          <w:rStyle w:val="FootnoteReference"/>
          <w:b w:val="0"/>
          <w:bCs/>
          <w:sz w:val="20"/>
          <w:vertAlign w:val="baseline"/>
        </w:rPr>
        <w:footnoteReference w:customMarkFollows="1" w:id="2"/>
        <w:t>*</w:t>
      </w:r>
    </w:p>
    <w:p w:rsidR="002C704A" w:rsidRPr="007240E1" w:rsidRDefault="00FF6E5F" w:rsidP="007240E1">
      <w:pPr>
        <w:pStyle w:val="SingleTxtG"/>
      </w:pPr>
      <w:r w:rsidRPr="007240E1">
        <w:t>1.</w:t>
      </w:r>
      <w:r w:rsidRPr="007240E1">
        <w:tab/>
      </w:r>
      <w:r w:rsidR="002C704A" w:rsidRPr="007240E1">
        <w:t xml:space="preserve">The Committee considered the combined </w:t>
      </w:r>
      <w:r w:rsidR="00E56B79" w:rsidRPr="007240E1">
        <w:t>eighth to tenth</w:t>
      </w:r>
      <w:r w:rsidR="002C704A" w:rsidRPr="007240E1">
        <w:t xml:space="preserve"> periodic reports of </w:t>
      </w:r>
      <w:r w:rsidR="00E56B79" w:rsidRPr="007240E1">
        <w:t>the former Yugoslav Republic of Macedonia</w:t>
      </w:r>
      <w:r w:rsidR="002C704A" w:rsidRPr="007240E1">
        <w:t xml:space="preserve"> (CERD/C/</w:t>
      </w:r>
      <w:r w:rsidR="00E56B79" w:rsidRPr="007240E1">
        <w:t>MKD</w:t>
      </w:r>
      <w:r w:rsidR="002C704A" w:rsidRPr="007240E1">
        <w:t>/</w:t>
      </w:r>
      <w:r w:rsidR="00E56B79" w:rsidRPr="007240E1">
        <w:t>8</w:t>
      </w:r>
      <w:r w:rsidR="00AF0E0F" w:rsidRPr="007240E1">
        <w:t>-</w:t>
      </w:r>
      <w:r w:rsidR="002C704A" w:rsidRPr="007240E1">
        <w:t>1</w:t>
      </w:r>
      <w:r w:rsidR="00E56B79" w:rsidRPr="007240E1">
        <w:t>0</w:t>
      </w:r>
      <w:r w:rsidR="002C704A" w:rsidRPr="007240E1">
        <w:t xml:space="preserve">), submitted in one </w:t>
      </w:r>
      <w:bookmarkStart w:id="1" w:name="_GoBack"/>
      <w:bookmarkEnd w:id="1"/>
      <w:r w:rsidR="002C704A" w:rsidRPr="007240E1">
        <w:t>document, at its 23</w:t>
      </w:r>
      <w:r w:rsidR="00E56B79" w:rsidRPr="007240E1">
        <w:t>65</w:t>
      </w:r>
      <w:r w:rsidR="002C704A" w:rsidRPr="007240E1">
        <w:t>th and 23</w:t>
      </w:r>
      <w:r w:rsidR="00E56B79" w:rsidRPr="007240E1">
        <w:t>66</w:t>
      </w:r>
      <w:r w:rsidR="002C704A" w:rsidRPr="007240E1">
        <w:t>th  meetings (CERD/C/SR.23</w:t>
      </w:r>
      <w:r w:rsidR="00E56B79" w:rsidRPr="007240E1">
        <w:t>65</w:t>
      </w:r>
      <w:r w:rsidR="002C704A" w:rsidRPr="007240E1">
        <w:t>, CERD/C/SR.23</w:t>
      </w:r>
      <w:r w:rsidR="00E56B79" w:rsidRPr="007240E1">
        <w:t>66</w:t>
      </w:r>
      <w:r w:rsidR="002C704A" w:rsidRPr="007240E1">
        <w:t xml:space="preserve">), held on </w:t>
      </w:r>
      <w:r w:rsidR="00E56B79" w:rsidRPr="007240E1">
        <w:t>11</w:t>
      </w:r>
      <w:r w:rsidR="002C704A" w:rsidRPr="007240E1">
        <w:t xml:space="preserve"> and </w:t>
      </w:r>
      <w:r w:rsidR="00E56B79" w:rsidRPr="007240E1">
        <w:t>12 August</w:t>
      </w:r>
      <w:r w:rsidR="002C704A" w:rsidRPr="007240E1">
        <w:t xml:space="preserve"> 2015. At its </w:t>
      </w:r>
      <w:r w:rsidR="002C68F0" w:rsidRPr="007240E1">
        <w:t>23</w:t>
      </w:r>
      <w:r w:rsidR="00096537" w:rsidRPr="007240E1">
        <w:t>8</w:t>
      </w:r>
      <w:r w:rsidR="00F6482F" w:rsidRPr="007240E1">
        <w:t>4th</w:t>
      </w:r>
      <w:r w:rsidR="002C704A" w:rsidRPr="007240E1">
        <w:t xml:space="preserve"> meeting, held on </w:t>
      </w:r>
      <w:r w:rsidR="00096537" w:rsidRPr="007240E1">
        <w:t>2</w:t>
      </w:r>
      <w:r w:rsidR="00F6482F" w:rsidRPr="007240E1">
        <w:t>5</w:t>
      </w:r>
      <w:r w:rsidR="002C704A" w:rsidRPr="007240E1">
        <w:t xml:space="preserve"> </w:t>
      </w:r>
      <w:r w:rsidR="002C68F0" w:rsidRPr="007240E1">
        <w:t>August</w:t>
      </w:r>
      <w:r w:rsidR="002C704A" w:rsidRPr="007240E1">
        <w:t xml:space="preserve"> 2015, it adopted the following concluding observations.</w:t>
      </w:r>
    </w:p>
    <w:p w:rsidR="002C704A" w:rsidRPr="007240E1" w:rsidRDefault="002C704A" w:rsidP="002C704A">
      <w:pPr>
        <w:pStyle w:val="H1G"/>
        <w:rPr>
          <w:szCs w:val="24"/>
        </w:rPr>
      </w:pPr>
      <w:r w:rsidRPr="007240E1">
        <w:rPr>
          <w:szCs w:val="24"/>
        </w:rPr>
        <w:tab/>
        <w:t>A.</w:t>
      </w:r>
      <w:r w:rsidRPr="007240E1">
        <w:rPr>
          <w:szCs w:val="24"/>
        </w:rPr>
        <w:tab/>
        <w:t>Introduction</w:t>
      </w:r>
    </w:p>
    <w:p w:rsidR="002C704A" w:rsidRPr="007240E1" w:rsidRDefault="00FF6E5F" w:rsidP="007240E1">
      <w:pPr>
        <w:pStyle w:val="SingleTxtG"/>
      </w:pPr>
      <w:r w:rsidRPr="007240E1">
        <w:t>2.</w:t>
      </w:r>
      <w:r w:rsidRPr="007240E1">
        <w:tab/>
      </w:r>
      <w:r w:rsidR="002C704A" w:rsidRPr="007240E1">
        <w:t xml:space="preserve">The Committee welcomes the submission of the combined </w:t>
      </w:r>
      <w:r w:rsidR="00096537" w:rsidRPr="007240E1">
        <w:t>eighth to tenth</w:t>
      </w:r>
      <w:r w:rsidR="002C704A" w:rsidRPr="007240E1">
        <w:t xml:space="preserve"> periodic reports of the State party</w:t>
      </w:r>
      <w:r w:rsidR="00096537" w:rsidRPr="007240E1">
        <w:t xml:space="preserve"> and appreciate</w:t>
      </w:r>
      <w:r w:rsidR="00591BA8" w:rsidRPr="007240E1">
        <w:t>s</w:t>
      </w:r>
      <w:r w:rsidR="00096537" w:rsidRPr="007240E1">
        <w:t xml:space="preserve"> </w:t>
      </w:r>
      <w:r w:rsidR="00032443" w:rsidRPr="007240E1">
        <w:t>that</w:t>
      </w:r>
      <w:r w:rsidR="00096537" w:rsidRPr="007240E1">
        <w:t xml:space="preserve"> it </w:t>
      </w:r>
      <w:r w:rsidR="002C704A" w:rsidRPr="007240E1">
        <w:t>include</w:t>
      </w:r>
      <w:r w:rsidR="00C81661" w:rsidRPr="007240E1">
        <w:t>s</w:t>
      </w:r>
      <w:r w:rsidR="002C704A" w:rsidRPr="007240E1">
        <w:t xml:space="preserve"> responses to the concerns raised by the Committee in its previous concluding observations.</w:t>
      </w:r>
      <w:r w:rsidR="00096537" w:rsidRPr="007240E1">
        <w:t xml:space="preserve"> T</w:t>
      </w:r>
      <w:r w:rsidR="002C704A" w:rsidRPr="007240E1">
        <w:t>he Committee welcomes the oral presentation given by the State party’s delegation</w:t>
      </w:r>
      <w:r w:rsidR="00A16A41" w:rsidRPr="007240E1">
        <w:t>,</w:t>
      </w:r>
      <w:r w:rsidR="002C704A" w:rsidRPr="007240E1">
        <w:t xml:space="preserve"> consisting of representatives of various executive bodies</w:t>
      </w:r>
      <w:r w:rsidR="00A04BAD" w:rsidRPr="007240E1">
        <w:t>, including</w:t>
      </w:r>
      <w:r w:rsidR="002C704A" w:rsidRPr="007240E1">
        <w:t xml:space="preserve"> </w:t>
      </w:r>
      <w:r w:rsidR="00096537" w:rsidRPr="007240E1">
        <w:t>persons belonging to minority groups</w:t>
      </w:r>
      <w:r w:rsidR="002C704A" w:rsidRPr="007240E1">
        <w:t>. The Committee also appreciates the open and constructive dialogue held with the State party.</w:t>
      </w:r>
    </w:p>
    <w:p w:rsidR="002C704A" w:rsidRPr="007240E1" w:rsidRDefault="002C704A" w:rsidP="002C704A">
      <w:pPr>
        <w:pStyle w:val="H1G"/>
        <w:rPr>
          <w:szCs w:val="24"/>
        </w:rPr>
      </w:pPr>
      <w:r w:rsidRPr="007240E1">
        <w:rPr>
          <w:szCs w:val="24"/>
        </w:rPr>
        <w:tab/>
        <w:t>B.</w:t>
      </w:r>
      <w:r w:rsidRPr="007240E1">
        <w:rPr>
          <w:szCs w:val="24"/>
        </w:rPr>
        <w:tab/>
        <w:t>Positive aspects</w:t>
      </w:r>
    </w:p>
    <w:p w:rsidR="00222428" w:rsidRPr="007240E1" w:rsidRDefault="00FF6E5F" w:rsidP="007240E1">
      <w:pPr>
        <w:pStyle w:val="SingleTxtG"/>
      </w:pPr>
      <w:r w:rsidRPr="007240E1">
        <w:t>3.</w:t>
      </w:r>
      <w:r w:rsidRPr="007240E1">
        <w:tab/>
      </w:r>
      <w:r w:rsidR="002C704A" w:rsidRPr="007240E1">
        <w:t xml:space="preserve">The Committee welcomes the </w:t>
      </w:r>
      <w:r w:rsidR="00222428" w:rsidRPr="007240E1">
        <w:t>ratification by the State party of the following international human rights instruments:</w:t>
      </w:r>
    </w:p>
    <w:p w:rsidR="00222428" w:rsidRPr="007240E1" w:rsidRDefault="008D72A7" w:rsidP="007240E1">
      <w:pPr>
        <w:pStyle w:val="SingleTxtG"/>
        <w:ind w:firstLine="567"/>
      </w:pPr>
      <w:r w:rsidRPr="007240E1">
        <w:t>(a)</w:t>
      </w:r>
      <w:r w:rsidRPr="007240E1">
        <w:tab/>
      </w:r>
      <w:r w:rsidR="00222428" w:rsidRPr="007240E1">
        <w:t>The Optional Protocol to the Convention against Torture and other Cruel, Inhuman or Degrading Treatment or Punishment in February 2009</w:t>
      </w:r>
      <w:r w:rsidR="00032443" w:rsidRPr="007240E1">
        <w:t xml:space="preserve">; </w:t>
      </w:r>
    </w:p>
    <w:p w:rsidR="002C704A" w:rsidRPr="007240E1" w:rsidRDefault="008D72A7" w:rsidP="007240E1">
      <w:pPr>
        <w:pStyle w:val="SingleTxtG"/>
        <w:ind w:firstLine="567"/>
      </w:pPr>
      <w:r w:rsidRPr="007240E1">
        <w:t>(b)</w:t>
      </w:r>
      <w:r w:rsidRPr="007240E1">
        <w:tab/>
      </w:r>
      <w:r w:rsidR="00222428" w:rsidRPr="007240E1">
        <w:t>The</w:t>
      </w:r>
      <w:r w:rsidR="002C704A" w:rsidRPr="007240E1">
        <w:t xml:space="preserve"> Convention on the Rights of Persons with Disabilities</w:t>
      </w:r>
      <w:r w:rsidR="00E64F64" w:rsidRPr="007240E1">
        <w:t xml:space="preserve"> and its Optional Protocol</w:t>
      </w:r>
      <w:r w:rsidR="002C704A" w:rsidRPr="007240E1">
        <w:t xml:space="preserve"> in </w:t>
      </w:r>
      <w:r w:rsidR="00222428" w:rsidRPr="007240E1">
        <w:t>December</w:t>
      </w:r>
      <w:r w:rsidR="002C704A" w:rsidRPr="007240E1">
        <w:t xml:space="preserve"> 201</w:t>
      </w:r>
      <w:r w:rsidR="00222428" w:rsidRPr="007240E1">
        <w:t>1</w:t>
      </w:r>
      <w:r w:rsidR="00032443" w:rsidRPr="007240E1">
        <w:t>.</w:t>
      </w:r>
    </w:p>
    <w:p w:rsidR="002C704A" w:rsidRPr="007240E1" w:rsidRDefault="00FF6E5F" w:rsidP="007240E1">
      <w:pPr>
        <w:pStyle w:val="SingleTxtG"/>
        <w:keepNext/>
      </w:pPr>
      <w:r w:rsidRPr="007240E1">
        <w:t>4.</w:t>
      </w:r>
      <w:r w:rsidRPr="007240E1">
        <w:tab/>
      </w:r>
      <w:r w:rsidR="005E57A8" w:rsidRPr="007240E1">
        <w:t>T</w:t>
      </w:r>
      <w:r w:rsidR="002C704A" w:rsidRPr="007240E1">
        <w:t>he Committee also welcomes</w:t>
      </w:r>
      <w:r w:rsidR="00D9765A" w:rsidRPr="007240E1">
        <w:t xml:space="preserve"> </w:t>
      </w:r>
      <w:r w:rsidR="00691554" w:rsidRPr="007240E1">
        <w:t xml:space="preserve">the </w:t>
      </w:r>
      <w:r w:rsidR="00D9765A" w:rsidRPr="007240E1">
        <w:t>legislative and institutional measures taken during the period under consideration, including</w:t>
      </w:r>
      <w:r w:rsidR="002C704A" w:rsidRPr="007240E1">
        <w:t>:</w:t>
      </w:r>
    </w:p>
    <w:p w:rsidR="00D9765A" w:rsidRPr="007240E1" w:rsidRDefault="008D72A7" w:rsidP="007240E1">
      <w:pPr>
        <w:pStyle w:val="SingleTxtG"/>
        <w:ind w:firstLine="567"/>
        <w:rPr>
          <w:color w:val="000000"/>
          <w:lang w:eastAsia="en-GB"/>
        </w:rPr>
      </w:pPr>
      <w:r w:rsidRPr="007240E1">
        <w:rPr>
          <w:color w:val="000000"/>
          <w:lang w:eastAsia="en-GB"/>
        </w:rPr>
        <w:t>(a)</w:t>
      </w:r>
      <w:r w:rsidRPr="007240E1">
        <w:rPr>
          <w:color w:val="000000"/>
          <w:lang w:eastAsia="en-GB"/>
        </w:rPr>
        <w:tab/>
      </w:r>
      <w:r w:rsidR="00D9765A" w:rsidRPr="007240E1">
        <w:rPr>
          <w:color w:val="000000"/>
          <w:lang w:eastAsia="en-GB"/>
        </w:rPr>
        <w:t xml:space="preserve">The amendment </w:t>
      </w:r>
      <w:r w:rsidR="00BD3B8F" w:rsidRPr="007240E1">
        <w:rPr>
          <w:color w:val="000000"/>
          <w:lang w:eastAsia="en-GB"/>
        </w:rPr>
        <w:t xml:space="preserve">in 2011 </w:t>
      </w:r>
      <w:r w:rsidR="00D9765A" w:rsidRPr="007240E1">
        <w:rPr>
          <w:color w:val="000000"/>
          <w:lang w:eastAsia="en-GB"/>
        </w:rPr>
        <w:t>of article 20 of the Law on Social Protection</w:t>
      </w:r>
      <w:r w:rsidR="00691554" w:rsidRPr="007240E1">
        <w:rPr>
          <w:color w:val="000000"/>
          <w:lang w:eastAsia="en-GB"/>
        </w:rPr>
        <w:t>,</w:t>
      </w:r>
      <w:r w:rsidR="00D9765A" w:rsidRPr="007240E1">
        <w:rPr>
          <w:color w:val="000000"/>
          <w:lang w:eastAsia="en-GB"/>
        </w:rPr>
        <w:t xml:space="preserve"> prohibiting direct or indirect discrimination on </w:t>
      </w:r>
      <w:r w:rsidR="00691554" w:rsidRPr="007240E1">
        <w:rPr>
          <w:color w:val="000000"/>
          <w:lang w:eastAsia="en-GB"/>
        </w:rPr>
        <w:t xml:space="preserve">the </w:t>
      </w:r>
      <w:r w:rsidR="00D9765A" w:rsidRPr="007240E1">
        <w:rPr>
          <w:color w:val="000000"/>
          <w:lang w:eastAsia="en-GB"/>
        </w:rPr>
        <w:t>grounds of</w:t>
      </w:r>
      <w:r w:rsidR="00691554" w:rsidRPr="007240E1">
        <w:rPr>
          <w:color w:val="000000"/>
          <w:lang w:eastAsia="en-GB"/>
        </w:rPr>
        <w:t>,</w:t>
      </w:r>
      <w:r w:rsidR="00D9765A" w:rsidRPr="007240E1">
        <w:rPr>
          <w:color w:val="000000"/>
          <w:lang w:eastAsia="en-GB"/>
        </w:rPr>
        <w:t xml:space="preserve"> </w:t>
      </w:r>
      <w:r w:rsidR="00691554" w:rsidRPr="007240E1">
        <w:rPr>
          <w:color w:val="000000"/>
          <w:lang w:eastAsia="en-GB"/>
        </w:rPr>
        <w:t xml:space="preserve">inter alia, </w:t>
      </w:r>
      <w:r w:rsidR="00D9765A" w:rsidRPr="007240E1">
        <w:rPr>
          <w:color w:val="000000"/>
          <w:lang w:eastAsia="en-GB"/>
        </w:rPr>
        <w:t xml:space="preserve">gender, race, colour </w:t>
      </w:r>
      <w:r w:rsidR="00691554" w:rsidRPr="007240E1">
        <w:rPr>
          <w:color w:val="000000"/>
          <w:lang w:eastAsia="en-GB"/>
        </w:rPr>
        <w:t xml:space="preserve">or </w:t>
      </w:r>
      <w:r w:rsidR="00D9765A" w:rsidRPr="007240E1">
        <w:rPr>
          <w:color w:val="000000"/>
          <w:lang w:eastAsia="en-GB"/>
        </w:rPr>
        <w:t xml:space="preserve">national, ethnic, social, political, religious, cultural </w:t>
      </w:r>
      <w:r w:rsidR="00691554" w:rsidRPr="007240E1">
        <w:rPr>
          <w:color w:val="000000"/>
          <w:lang w:eastAsia="en-GB"/>
        </w:rPr>
        <w:t xml:space="preserve">or </w:t>
      </w:r>
      <w:r w:rsidR="00D9765A" w:rsidRPr="007240E1">
        <w:rPr>
          <w:color w:val="000000"/>
          <w:lang w:eastAsia="en-GB"/>
        </w:rPr>
        <w:t>linguistic</w:t>
      </w:r>
      <w:r w:rsidR="00691554" w:rsidRPr="007240E1">
        <w:rPr>
          <w:color w:val="000000"/>
          <w:lang w:eastAsia="en-GB"/>
        </w:rPr>
        <w:t xml:space="preserve"> background</w:t>
      </w:r>
      <w:r w:rsidR="00F132F5" w:rsidRPr="007240E1">
        <w:rPr>
          <w:color w:val="000000"/>
          <w:lang w:eastAsia="en-GB"/>
        </w:rPr>
        <w:t>;</w:t>
      </w:r>
    </w:p>
    <w:p w:rsidR="00D9765A" w:rsidRPr="007240E1" w:rsidRDefault="008D72A7" w:rsidP="007240E1">
      <w:pPr>
        <w:pStyle w:val="SingleTxtG"/>
        <w:ind w:firstLine="567"/>
        <w:rPr>
          <w:color w:val="000000"/>
          <w:lang w:eastAsia="en-GB"/>
        </w:rPr>
      </w:pPr>
      <w:r w:rsidRPr="007240E1">
        <w:rPr>
          <w:color w:val="000000"/>
          <w:lang w:eastAsia="en-GB"/>
        </w:rPr>
        <w:lastRenderedPageBreak/>
        <w:t>(b)</w:t>
      </w:r>
      <w:r w:rsidRPr="007240E1">
        <w:rPr>
          <w:color w:val="000000"/>
          <w:lang w:eastAsia="en-GB"/>
        </w:rPr>
        <w:tab/>
      </w:r>
      <w:r w:rsidR="00D9765A" w:rsidRPr="007240E1">
        <w:rPr>
          <w:color w:val="000000"/>
          <w:lang w:eastAsia="en-GB"/>
        </w:rPr>
        <w:t xml:space="preserve">The adoption in 2012 of the National Strategy on Equality and Non-Discrimination on </w:t>
      </w:r>
      <w:r w:rsidR="00691554" w:rsidRPr="007240E1">
        <w:rPr>
          <w:color w:val="000000"/>
          <w:lang w:eastAsia="en-GB"/>
        </w:rPr>
        <w:t xml:space="preserve">the </w:t>
      </w:r>
      <w:r w:rsidR="00D9765A" w:rsidRPr="007240E1">
        <w:rPr>
          <w:color w:val="000000"/>
          <w:lang w:eastAsia="en-GB"/>
        </w:rPr>
        <w:t xml:space="preserve">grounds of ethnic affiliation, age, mental </w:t>
      </w:r>
      <w:r w:rsidR="00691554" w:rsidRPr="007240E1">
        <w:rPr>
          <w:color w:val="000000"/>
          <w:lang w:eastAsia="en-GB"/>
        </w:rPr>
        <w:t xml:space="preserve">or </w:t>
      </w:r>
      <w:r w:rsidR="00D9765A" w:rsidRPr="007240E1">
        <w:rPr>
          <w:color w:val="000000"/>
          <w:lang w:eastAsia="en-GB"/>
        </w:rPr>
        <w:t xml:space="preserve">physical disability </w:t>
      </w:r>
      <w:r w:rsidR="00691554" w:rsidRPr="007240E1">
        <w:rPr>
          <w:color w:val="000000"/>
          <w:lang w:eastAsia="en-GB"/>
        </w:rPr>
        <w:t xml:space="preserve">or </w:t>
      </w:r>
      <w:r w:rsidR="00D9765A" w:rsidRPr="007240E1">
        <w:rPr>
          <w:color w:val="000000"/>
          <w:lang w:eastAsia="en-GB"/>
        </w:rPr>
        <w:t>gender (2012-2015)</w:t>
      </w:r>
      <w:r w:rsidR="00F132F5" w:rsidRPr="007240E1">
        <w:rPr>
          <w:color w:val="000000"/>
          <w:lang w:eastAsia="en-GB"/>
        </w:rPr>
        <w:t>;</w:t>
      </w:r>
    </w:p>
    <w:p w:rsidR="00D9765A" w:rsidRPr="007240E1" w:rsidRDefault="008D72A7" w:rsidP="007240E1">
      <w:pPr>
        <w:pStyle w:val="SingleTxtG"/>
        <w:ind w:firstLine="567"/>
        <w:rPr>
          <w:color w:val="000000"/>
          <w:lang w:eastAsia="en-GB"/>
        </w:rPr>
      </w:pPr>
      <w:r w:rsidRPr="007240E1">
        <w:rPr>
          <w:color w:val="000000"/>
          <w:lang w:eastAsia="en-GB"/>
        </w:rPr>
        <w:t>(c)</w:t>
      </w:r>
      <w:r w:rsidRPr="007240E1">
        <w:rPr>
          <w:color w:val="000000"/>
          <w:lang w:eastAsia="en-GB"/>
        </w:rPr>
        <w:tab/>
      </w:r>
      <w:r w:rsidR="00D9765A" w:rsidRPr="007240E1">
        <w:rPr>
          <w:color w:val="000000"/>
          <w:lang w:eastAsia="en-GB"/>
        </w:rPr>
        <w:t xml:space="preserve">The adoption </w:t>
      </w:r>
      <w:r w:rsidR="00F132F5" w:rsidRPr="007240E1">
        <w:rPr>
          <w:color w:val="000000"/>
          <w:lang w:eastAsia="en-GB"/>
        </w:rPr>
        <w:t xml:space="preserve">in 2010 </w:t>
      </w:r>
      <w:r w:rsidR="00D9765A" w:rsidRPr="007240E1">
        <w:rPr>
          <w:color w:val="000000"/>
          <w:lang w:eastAsia="en-GB"/>
        </w:rPr>
        <w:t xml:space="preserve">of the </w:t>
      </w:r>
      <w:r w:rsidR="00F132F5" w:rsidRPr="007240E1">
        <w:rPr>
          <w:color w:val="000000"/>
          <w:lang w:eastAsia="en-GB"/>
        </w:rPr>
        <w:t xml:space="preserve">National Action Plan for Advancing the Social Status of Roma </w:t>
      </w:r>
      <w:r w:rsidR="00691554" w:rsidRPr="007240E1">
        <w:rPr>
          <w:color w:val="000000"/>
          <w:lang w:eastAsia="en-GB"/>
        </w:rPr>
        <w:t>W</w:t>
      </w:r>
      <w:r w:rsidR="00F132F5" w:rsidRPr="007240E1">
        <w:rPr>
          <w:color w:val="000000"/>
          <w:lang w:eastAsia="en-GB"/>
        </w:rPr>
        <w:t>omen;</w:t>
      </w:r>
    </w:p>
    <w:p w:rsidR="00BD3B8F" w:rsidRPr="007240E1" w:rsidRDefault="008D72A7" w:rsidP="007240E1">
      <w:pPr>
        <w:pStyle w:val="SingleTxtG"/>
        <w:ind w:firstLine="567"/>
        <w:rPr>
          <w:color w:val="000000"/>
          <w:lang w:eastAsia="en-GB"/>
        </w:rPr>
      </w:pPr>
      <w:r w:rsidRPr="007240E1">
        <w:rPr>
          <w:color w:val="000000"/>
          <w:lang w:eastAsia="en-GB"/>
        </w:rPr>
        <w:t>(d)</w:t>
      </w:r>
      <w:r w:rsidRPr="007240E1">
        <w:rPr>
          <w:color w:val="000000"/>
          <w:lang w:eastAsia="en-GB"/>
        </w:rPr>
        <w:tab/>
      </w:r>
      <w:r w:rsidR="00BD3B8F" w:rsidRPr="007240E1">
        <w:rPr>
          <w:color w:val="000000"/>
          <w:lang w:eastAsia="en-GB"/>
        </w:rPr>
        <w:t xml:space="preserve">The implementation of </w:t>
      </w:r>
      <w:r w:rsidR="00691554" w:rsidRPr="007240E1">
        <w:rPr>
          <w:color w:val="000000"/>
          <w:lang w:eastAsia="en-GB"/>
        </w:rPr>
        <w:t xml:space="preserve">a </w:t>
      </w:r>
      <w:r w:rsidR="00BD3B8F" w:rsidRPr="007240E1">
        <w:rPr>
          <w:color w:val="000000"/>
          <w:lang w:eastAsia="en-GB"/>
        </w:rPr>
        <w:t xml:space="preserve">project </w:t>
      </w:r>
      <w:r w:rsidR="00691554" w:rsidRPr="007240E1">
        <w:rPr>
          <w:color w:val="000000"/>
          <w:lang w:eastAsia="en-GB"/>
        </w:rPr>
        <w:t xml:space="preserve">to provide </w:t>
      </w:r>
      <w:r w:rsidR="00BD3B8F" w:rsidRPr="007240E1">
        <w:rPr>
          <w:color w:val="000000"/>
          <w:lang w:eastAsia="en-GB"/>
        </w:rPr>
        <w:t xml:space="preserve">free textbooks in Romani for the optional subject </w:t>
      </w:r>
      <w:r w:rsidR="00C81661" w:rsidRPr="007240E1">
        <w:rPr>
          <w:color w:val="000000"/>
          <w:lang w:eastAsia="en-GB"/>
        </w:rPr>
        <w:t>“</w:t>
      </w:r>
      <w:r w:rsidR="00BD3B8F" w:rsidRPr="007240E1">
        <w:rPr>
          <w:color w:val="000000"/>
          <w:lang w:eastAsia="en-GB"/>
        </w:rPr>
        <w:t>Roma Language and Culture</w:t>
      </w:r>
      <w:r w:rsidR="00C81661" w:rsidRPr="007240E1">
        <w:rPr>
          <w:color w:val="000000"/>
          <w:lang w:eastAsia="en-GB"/>
        </w:rPr>
        <w:t>”</w:t>
      </w:r>
      <w:r w:rsidR="00BD3B8F" w:rsidRPr="007240E1">
        <w:rPr>
          <w:color w:val="000000"/>
          <w:lang w:eastAsia="en-GB"/>
        </w:rPr>
        <w:t xml:space="preserve"> since </w:t>
      </w:r>
      <w:r w:rsidR="00691554" w:rsidRPr="007240E1">
        <w:rPr>
          <w:color w:val="000000"/>
          <w:lang w:eastAsia="en-GB"/>
        </w:rPr>
        <w:t xml:space="preserve">the </w:t>
      </w:r>
      <w:r w:rsidR="00BD3B8F" w:rsidRPr="007240E1">
        <w:rPr>
          <w:color w:val="000000"/>
          <w:lang w:eastAsia="en-GB"/>
        </w:rPr>
        <w:t>2010</w:t>
      </w:r>
      <w:r w:rsidR="00691554" w:rsidRPr="007240E1">
        <w:rPr>
          <w:color w:val="000000"/>
          <w:lang w:eastAsia="en-GB"/>
        </w:rPr>
        <w:t>/</w:t>
      </w:r>
      <w:r w:rsidR="00BD3B8F" w:rsidRPr="007240E1">
        <w:rPr>
          <w:color w:val="000000"/>
          <w:lang w:eastAsia="en-GB"/>
        </w:rPr>
        <w:t>11 school year</w:t>
      </w:r>
      <w:r w:rsidR="002F58AD" w:rsidRPr="007240E1">
        <w:rPr>
          <w:color w:val="000000"/>
          <w:lang w:eastAsia="en-GB"/>
        </w:rPr>
        <w:t>;</w:t>
      </w:r>
    </w:p>
    <w:p w:rsidR="002F58AD" w:rsidRPr="007240E1" w:rsidRDefault="008D72A7" w:rsidP="007240E1">
      <w:pPr>
        <w:pStyle w:val="SingleTxtG"/>
        <w:ind w:firstLine="567"/>
        <w:rPr>
          <w:color w:val="000000"/>
          <w:lang w:eastAsia="en-GB"/>
        </w:rPr>
      </w:pPr>
      <w:r w:rsidRPr="007240E1">
        <w:rPr>
          <w:color w:val="000000"/>
          <w:lang w:eastAsia="en-GB"/>
        </w:rPr>
        <w:t>(e)</w:t>
      </w:r>
      <w:r w:rsidRPr="007240E1">
        <w:rPr>
          <w:color w:val="000000"/>
          <w:lang w:eastAsia="en-GB"/>
        </w:rPr>
        <w:tab/>
      </w:r>
      <w:r w:rsidR="002F58AD" w:rsidRPr="007240E1">
        <w:rPr>
          <w:color w:val="000000"/>
          <w:lang w:eastAsia="en-GB"/>
        </w:rPr>
        <w:t xml:space="preserve">The establishment in 2012 of the Inter-Sector Human Rights Body </w:t>
      </w:r>
      <w:r w:rsidR="00691554" w:rsidRPr="007240E1">
        <w:rPr>
          <w:color w:val="000000"/>
          <w:lang w:eastAsia="en-GB"/>
        </w:rPr>
        <w:t xml:space="preserve">to advance </w:t>
      </w:r>
      <w:r w:rsidR="002F58AD" w:rsidRPr="007240E1">
        <w:rPr>
          <w:color w:val="000000"/>
          <w:lang w:eastAsia="en-GB"/>
        </w:rPr>
        <w:t>the coordination of human rights activities and exchang</w:t>
      </w:r>
      <w:r w:rsidR="00691554" w:rsidRPr="007240E1">
        <w:rPr>
          <w:color w:val="000000"/>
          <w:lang w:eastAsia="en-GB"/>
        </w:rPr>
        <w:t>e</w:t>
      </w:r>
      <w:r w:rsidR="002F58AD" w:rsidRPr="007240E1">
        <w:rPr>
          <w:color w:val="000000"/>
          <w:lang w:eastAsia="en-GB"/>
        </w:rPr>
        <w:t xml:space="preserve"> information on the implementation of recommendations from United Nations human rights bodies.</w:t>
      </w:r>
    </w:p>
    <w:p w:rsidR="00876D26" w:rsidRPr="007240E1" w:rsidRDefault="00FF6E5F" w:rsidP="007240E1">
      <w:pPr>
        <w:pStyle w:val="SingleTxtG"/>
        <w:rPr>
          <w:color w:val="000000"/>
          <w:lang w:eastAsia="en-GB"/>
        </w:rPr>
      </w:pPr>
      <w:r w:rsidRPr="007240E1">
        <w:rPr>
          <w:color w:val="000000"/>
          <w:lang w:eastAsia="en-GB"/>
        </w:rPr>
        <w:t>5.</w:t>
      </w:r>
      <w:r w:rsidRPr="007240E1">
        <w:rPr>
          <w:color w:val="000000"/>
          <w:lang w:eastAsia="en-GB"/>
        </w:rPr>
        <w:tab/>
      </w:r>
      <w:r w:rsidR="002C704A" w:rsidRPr="007240E1">
        <w:t>Following its recommendation</w:t>
      </w:r>
      <w:r w:rsidR="00691554" w:rsidRPr="007240E1">
        <w:t>s</w:t>
      </w:r>
      <w:r w:rsidR="002C704A" w:rsidRPr="007240E1">
        <w:t xml:space="preserve"> in 20</w:t>
      </w:r>
      <w:r w:rsidR="00705A56" w:rsidRPr="007240E1">
        <w:t>07</w:t>
      </w:r>
      <w:r w:rsidR="00876D26" w:rsidRPr="007240E1">
        <w:t xml:space="preserve"> (CERD/C/MKD/CO/7, paras. 17 and 18)</w:t>
      </w:r>
      <w:r w:rsidR="002C704A" w:rsidRPr="007240E1">
        <w:t>,</w:t>
      </w:r>
      <w:r w:rsidR="009C5DA5" w:rsidRPr="007240E1">
        <w:t xml:space="preserve"> the</w:t>
      </w:r>
      <w:r w:rsidR="009C5DA5" w:rsidRPr="007240E1">
        <w:rPr>
          <w:color w:val="000000"/>
          <w:lang w:eastAsia="en-GB"/>
        </w:rPr>
        <w:t xml:space="preserve"> Committee </w:t>
      </w:r>
      <w:r w:rsidR="00E33128" w:rsidRPr="007240E1">
        <w:rPr>
          <w:color w:val="000000"/>
          <w:lang w:eastAsia="en-GB"/>
        </w:rPr>
        <w:t>welcomes the</w:t>
      </w:r>
      <w:r w:rsidR="009644B9" w:rsidRPr="007240E1">
        <w:rPr>
          <w:color w:val="000000"/>
          <w:lang w:eastAsia="en-GB"/>
        </w:rPr>
        <w:t xml:space="preserve"> </w:t>
      </w:r>
      <w:r w:rsidR="0034392D" w:rsidRPr="007240E1">
        <w:rPr>
          <w:color w:val="000000"/>
          <w:lang w:eastAsia="en-GB"/>
        </w:rPr>
        <w:t>measures taken by the State party</w:t>
      </w:r>
      <w:r w:rsidR="00691554" w:rsidRPr="007240E1">
        <w:rPr>
          <w:color w:val="000000"/>
          <w:lang w:eastAsia="en-GB"/>
        </w:rPr>
        <w:t>,</w:t>
      </w:r>
      <w:r w:rsidR="009644B9" w:rsidRPr="007240E1">
        <w:rPr>
          <w:color w:val="000000"/>
          <w:lang w:eastAsia="en-GB"/>
        </w:rPr>
        <w:t xml:space="preserve"> which have decreased </w:t>
      </w:r>
      <w:r w:rsidR="00BB6AAF" w:rsidRPr="007240E1">
        <w:rPr>
          <w:color w:val="000000"/>
          <w:lang w:eastAsia="en-GB"/>
        </w:rPr>
        <w:t xml:space="preserve">the </w:t>
      </w:r>
      <w:r w:rsidR="009644B9" w:rsidRPr="007240E1">
        <w:rPr>
          <w:color w:val="000000"/>
          <w:lang w:eastAsia="en-GB"/>
        </w:rPr>
        <w:t xml:space="preserve">school drop-out rate of children belonging to minority groups and </w:t>
      </w:r>
      <w:r w:rsidR="00E652BC" w:rsidRPr="007240E1">
        <w:rPr>
          <w:color w:val="000000"/>
          <w:lang w:eastAsia="en-GB"/>
        </w:rPr>
        <w:t xml:space="preserve">increased </w:t>
      </w:r>
      <w:r w:rsidR="009644B9" w:rsidRPr="007240E1">
        <w:rPr>
          <w:color w:val="000000"/>
          <w:lang w:eastAsia="en-GB"/>
        </w:rPr>
        <w:t>the number of secondary school and university students, in particular girls</w:t>
      </w:r>
      <w:r w:rsidR="00E33128" w:rsidRPr="007240E1">
        <w:rPr>
          <w:color w:val="000000"/>
          <w:lang w:eastAsia="en-GB"/>
        </w:rPr>
        <w:t>,</w:t>
      </w:r>
      <w:r w:rsidR="009644B9" w:rsidRPr="007240E1">
        <w:rPr>
          <w:color w:val="000000"/>
          <w:lang w:eastAsia="en-GB"/>
        </w:rPr>
        <w:t xml:space="preserve"> </w:t>
      </w:r>
      <w:r w:rsidR="00760D4F" w:rsidRPr="007240E1">
        <w:rPr>
          <w:color w:val="000000"/>
          <w:lang w:eastAsia="en-GB"/>
        </w:rPr>
        <w:t>from these communities</w:t>
      </w:r>
      <w:r w:rsidR="00E33128" w:rsidRPr="007240E1">
        <w:rPr>
          <w:color w:val="000000"/>
          <w:lang w:eastAsia="en-GB"/>
        </w:rPr>
        <w:t>, including</w:t>
      </w:r>
      <w:r w:rsidR="0034392D" w:rsidRPr="007240E1">
        <w:rPr>
          <w:color w:val="000000"/>
          <w:lang w:eastAsia="en-GB"/>
        </w:rPr>
        <w:t>:</w:t>
      </w:r>
      <w:r w:rsidR="00926B77" w:rsidRPr="007240E1">
        <w:rPr>
          <w:color w:val="000000"/>
          <w:lang w:eastAsia="en-GB"/>
        </w:rPr>
        <w:t xml:space="preserve"> </w:t>
      </w:r>
    </w:p>
    <w:p w:rsidR="00876D26" w:rsidRPr="007240E1" w:rsidRDefault="008D72A7" w:rsidP="007240E1">
      <w:pPr>
        <w:pStyle w:val="SingleTxtG"/>
        <w:ind w:firstLine="567"/>
        <w:rPr>
          <w:color w:val="000000"/>
          <w:lang w:eastAsia="en-GB"/>
        </w:rPr>
      </w:pPr>
      <w:r w:rsidRPr="007240E1">
        <w:rPr>
          <w:color w:val="000000"/>
          <w:lang w:eastAsia="en-GB"/>
        </w:rPr>
        <w:t>(a)</w:t>
      </w:r>
      <w:r w:rsidRPr="007240E1">
        <w:rPr>
          <w:color w:val="000000"/>
          <w:lang w:eastAsia="en-GB"/>
        </w:rPr>
        <w:tab/>
      </w:r>
      <w:r w:rsidR="00E33128" w:rsidRPr="007240E1">
        <w:rPr>
          <w:color w:val="000000"/>
          <w:lang w:eastAsia="en-GB"/>
        </w:rPr>
        <w:t>The introduction of c</w:t>
      </w:r>
      <w:r w:rsidR="00926B77" w:rsidRPr="007240E1">
        <w:rPr>
          <w:color w:val="000000"/>
          <w:lang w:eastAsia="en-GB"/>
        </w:rPr>
        <w:t>ompulsory</w:t>
      </w:r>
      <w:r w:rsidR="00876D26" w:rsidRPr="007240E1">
        <w:rPr>
          <w:color w:val="000000"/>
          <w:lang w:eastAsia="en-GB"/>
        </w:rPr>
        <w:t xml:space="preserve"> secondary education in the 2008/09 school year</w:t>
      </w:r>
      <w:r w:rsidR="00691554" w:rsidRPr="007240E1">
        <w:rPr>
          <w:color w:val="000000"/>
          <w:lang w:eastAsia="en-GB"/>
        </w:rPr>
        <w:t>,</w:t>
      </w:r>
      <w:r w:rsidR="00876D26" w:rsidRPr="007240E1">
        <w:rPr>
          <w:color w:val="000000"/>
          <w:lang w:eastAsia="en-GB"/>
        </w:rPr>
        <w:t xml:space="preserve"> with free transport</w:t>
      </w:r>
      <w:r w:rsidR="00691554" w:rsidRPr="007240E1">
        <w:rPr>
          <w:color w:val="000000"/>
          <w:lang w:eastAsia="en-GB"/>
        </w:rPr>
        <w:t>ation</w:t>
      </w:r>
      <w:r w:rsidR="00876D26" w:rsidRPr="007240E1">
        <w:rPr>
          <w:color w:val="000000"/>
          <w:lang w:eastAsia="en-GB"/>
        </w:rPr>
        <w:t xml:space="preserve"> provided to all primary and secondary pupils travelling </w:t>
      </w:r>
      <w:r w:rsidR="000210EC" w:rsidRPr="007240E1">
        <w:rPr>
          <w:color w:val="000000"/>
          <w:lang w:eastAsia="en-GB"/>
        </w:rPr>
        <w:t xml:space="preserve">at least </w:t>
      </w:r>
      <w:r w:rsidR="00876D26" w:rsidRPr="007240E1">
        <w:rPr>
          <w:color w:val="000000"/>
          <w:lang w:eastAsia="en-GB"/>
        </w:rPr>
        <w:t>2</w:t>
      </w:r>
      <w:r w:rsidR="00ED0936" w:rsidRPr="007240E1">
        <w:rPr>
          <w:color w:val="000000"/>
          <w:lang w:eastAsia="en-GB"/>
        </w:rPr>
        <w:t> </w:t>
      </w:r>
      <w:r w:rsidR="000210EC" w:rsidRPr="007240E1">
        <w:rPr>
          <w:color w:val="000000"/>
          <w:lang w:eastAsia="en-GB"/>
        </w:rPr>
        <w:t xml:space="preserve">km </w:t>
      </w:r>
      <w:r w:rsidR="00760D4F" w:rsidRPr="007240E1">
        <w:rPr>
          <w:color w:val="000000"/>
          <w:lang w:eastAsia="en-GB"/>
        </w:rPr>
        <w:t>from home to school</w:t>
      </w:r>
      <w:r w:rsidR="00876D26" w:rsidRPr="007240E1">
        <w:rPr>
          <w:color w:val="000000"/>
          <w:lang w:eastAsia="en-GB"/>
        </w:rPr>
        <w:t>;</w:t>
      </w:r>
    </w:p>
    <w:p w:rsidR="002C704A" w:rsidRPr="007240E1" w:rsidRDefault="008D72A7" w:rsidP="007240E1">
      <w:pPr>
        <w:pStyle w:val="SingleTxtG"/>
        <w:ind w:firstLine="567"/>
        <w:rPr>
          <w:color w:val="000000"/>
          <w:lang w:eastAsia="en-GB"/>
        </w:rPr>
      </w:pPr>
      <w:r w:rsidRPr="007240E1">
        <w:rPr>
          <w:color w:val="000000"/>
          <w:lang w:eastAsia="en-GB"/>
        </w:rPr>
        <w:t>(b)</w:t>
      </w:r>
      <w:r w:rsidRPr="007240E1">
        <w:rPr>
          <w:color w:val="000000"/>
          <w:lang w:eastAsia="en-GB"/>
        </w:rPr>
        <w:tab/>
      </w:r>
      <w:r w:rsidR="00876D26" w:rsidRPr="007240E1">
        <w:rPr>
          <w:color w:val="000000"/>
          <w:lang w:eastAsia="en-GB"/>
        </w:rPr>
        <w:t>The Project for Providing Scholarships, Mentorship and Tutorship to Roma Secondary</w:t>
      </w:r>
      <w:r w:rsidR="0034392D" w:rsidRPr="007240E1">
        <w:rPr>
          <w:color w:val="000000"/>
          <w:lang w:eastAsia="en-GB"/>
        </w:rPr>
        <w:t xml:space="preserve"> School Pupils</w:t>
      </w:r>
      <w:r w:rsidR="00691554" w:rsidRPr="007240E1">
        <w:rPr>
          <w:color w:val="000000"/>
          <w:lang w:eastAsia="en-GB"/>
        </w:rPr>
        <w:t>,</w:t>
      </w:r>
      <w:r w:rsidR="0034392D" w:rsidRPr="007240E1">
        <w:rPr>
          <w:color w:val="000000"/>
          <w:lang w:eastAsia="en-GB"/>
        </w:rPr>
        <w:t xml:space="preserve"> since November 2009;</w:t>
      </w:r>
    </w:p>
    <w:p w:rsidR="0034392D" w:rsidRPr="007240E1" w:rsidRDefault="008D72A7" w:rsidP="007240E1">
      <w:pPr>
        <w:pStyle w:val="SingleTxtG"/>
        <w:ind w:firstLine="567"/>
      </w:pPr>
      <w:r w:rsidRPr="007240E1">
        <w:t>(c)</w:t>
      </w:r>
      <w:r w:rsidRPr="007240E1">
        <w:tab/>
      </w:r>
      <w:r w:rsidR="00C01052" w:rsidRPr="007240E1">
        <w:t>The Conditional Cas</w:t>
      </w:r>
      <w:r w:rsidR="00636C41" w:rsidRPr="007240E1">
        <w:t>h Transfers Project</w:t>
      </w:r>
      <w:r w:rsidR="00691554" w:rsidRPr="007240E1">
        <w:t>,</w:t>
      </w:r>
      <w:r w:rsidR="00636C41" w:rsidRPr="007240E1">
        <w:t xml:space="preserve"> which helps</w:t>
      </w:r>
      <w:r w:rsidR="00C01052" w:rsidRPr="007240E1">
        <w:t xml:space="preserve"> to provide financial assistance, conditional upon regular school attendance</w:t>
      </w:r>
      <w:r w:rsidR="00691554" w:rsidRPr="007240E1">
        <w:t>,</w:t>
      </w:r>
      <w:r w:rsidR="00C01052" w:rsidRPr="007240E1">
        <w:t xml:space="preserve"> to secondary school pupils whose paren</w:t>
      </w:r>
      <w:r w:rsidR="008B2DBC" w:rsidRPr="007240E1">
        <w:t>ts receive welfare</w:t>
      </w:r>
      <w:r w:rsidR="00241379" w:rsidRPr="007240E1">
        <w:t>.</w:t>
      </w:r>
    </w:p>
    <w:p w:rsidR="002C704A" w:rsidRPr="007240E1" w:rsidRDefault="002C704A" w:rsidP="002C704A">
      <w:pPr>
        <w:pStyle w:val="H1G"/>
        <w:rPr>
          <w:szCs w:val="24"/>
        </w:rPr>
      </w:pPr>
      <w:r w:rsidRPr="007240E1">
        <w:rPr>
          <w:szCs w:val="24"/>
        </w:rPr>
        <w:tab/>
        <w:t>C.</w:t>
      </w:r>
      <w:r w:rsidRPr="007240E1">
        <w:rPr>
          <w:szCs w:val="24"/>
        </w:rPr>
        <w:tab/>
        <w:t>Concern and recommendations</w:t>
      </w:r>
    </w:p>
    <w:p w:rsidR="002C704A" w:rsidRPr="007240E1" w:rsidRDefault="00934401" w:rsidP="00934401">
      <w:pPr>
        <w:pStyle w:val="H23G"/>
      </w:pPr>
      <w:r w:rsidRPr="007240E1">
        <w:tab/>
      </w:r>
      <w:r w:rsidRPr="007240E1">
        <w:tab/>
      </w:r>
      <w:r w:rsidR="002C704A" w:rsidRPr="007240E1">
        <w:t>Monitoring racial discrimination</w:t>
      </w:r>
    </w:p>
    <w:p w:rsidR="002C704A" w:rsidRPr="007240E1" w:rsidRDefault="00FF6E5F" w:rsidP="007240E1">
      <w:pPr>
        <w:pStyle w:val="SingleTxtG"/>
      </w:pPr>
      <w:r w:rsidRPr="007240E1">
        <w:t>6.</w:t>
      </w:r>
      <w:r w:rsidRPr="007240E1">
        <w:tab/>
      </w:r>
      <w:r w:rsidR="00456130" w:rsidRPr="007240E1">
        <w:t xml:space="preserve">While taking note of </w:t>
      </w:r>
      <w:r w:rsidR="00E33128" w:rsidRPr="007240E1">
        <w:t xml:space="preserve">the </w:t>
      </w:r>
      <w:r w:rsidR="00456130" w:rsidRPr="007240E1">
        <w:t xml:space="preserve">data </w:t>
      </w:r>
      <w:r w:rsidR="00BB6AAF" w:rsidRPr="007240E1">
        <w:t>available</w:t>
      </w:r>
      <w:r w:rsidR="00456130" w:rsidRPr="007240E1">
        <w:t xml:space="preserve"> in the periodic report and </w:t>
      </w:r>
      <w:r w:rsidR="005D3B58" w:rsidRPr="007240E1">
        <w:t xml:space="preserve">the </w:t>
      </w:r>
      <w:r w:rsidR="00456130" w:rsidRPr="007240E1">
        <w:t>core document, t</w:t>
      </w:r>
      <w:r w:rsidR="002C704A" w:rsidRPr="007240E1">
        <w:t xml:space="preserve">he Committee </w:t>
      </w:r>
      <w:r w:rsidR="00456130" w:rsidRPr="007240E1">
        <w:t xml:space="preserve">notes that the State party has not </w:t>
      </w:r>
      <w:r w:rsidR="00506D04" w:rsidRPr="007240E1">
        <w:t xml:space="preserve">conducted </w:t>
      </w:r>
      <w:r w:rsidR="00456130" w:rsidRPr="007240E1">
        <w:t xml:space="preserve">a census since 2002. It regrets the lack of </w:t>
      </w:r>
      <w:r w:rsidR="00E33128" w:rsidRPr="007240E1">
        <w:t xml:space="preserve">disaggregated </w:t>
      </w:r>
      <w:r w:rsidR="00456130" w:rsidRPr="007240E1">
        <w:t xml:space="preserve">socioeconomic </w:t>
      </w:r>
      <w:r w:rsidR="004B7D5F" w:rsidRPr="007240E1">
        <w:t xml:space="preserve">data </w:t>
      </w:r>
      <w:r w:rsidR="00691554" w:rsidRPr="007240E1">
        <w:t xml:space="preserve">on </w:t>
      </w:r>
      <w:r w:rsidR="004B7D5F" w:rsidRPr="007240E1">
        <w:t xml:space="preserve">the population, including </w:t>
      </w:r>
      <w:r w:rsidR="00691554" w:rsidRPr="007240E1">
        <w:t xml:space="preserve">on </w:t>
      </w:r>
      <w:r w:rsidR="00456130" w:rsidRPr="007240E1">
        <w:t xml:space="preserve">the </w:t>
      </w:r>
      <w:r w:rsidR="005D3B58" w:rsidRPr="007240E1">
        <w:t xml:space="preserve">prison </w:t>
      </w:r>
      <w:r w:rsidR="00456130" w:rsidRPr="007240E1">
        <w:t>population</w:t>
      </w:r>
      <w:r w:rsidR="00D66B13" w:rsidRPr="007240E1">
        <w:t>,</w:t>
      </w:r>
      <w:r w:rsidR="00426836" w:rsidRPr="007240E1">
        <w:t xml:space="preserve"> </w:t>
      </w:r>
      <w:r w:rsidR="00E33128" w:rsidRPr="007240E1">
        <w:t xml:space="preserve">that would </w:t>
      </w:r>
      <w:r w:rsidR="00456130" w:rsidRPr="007240E1">
        <w:t xml:space="preserve">allow the Committee to better assess the situation of </w:t>
      </w:r>
      <w:r w:rsidR="003E60FB" w:rsidRPr="007240E1">
        <w:t xml:space="preserve">groups </w:t>
      </w:r>
      <w:r w:rsidR="005D3B58" w:rsidRPr="007240E1">
        <w:t>at risk of racial discrimination.</w:t>
      </w:r>
      <w:r w:rsidR="00B877B2" w:rsidRPr="007240E1">
        <w:t xml:space="preserve"> </w:t>
      </w:r>
    </w:p>
    <w:p w:rsidR="002C704A" w:rsidRPr="007240E1" w:rsidRDefault="00FF6E5F" w:rsidP="007240E1">
      <w:pPr>
        <w:pStyle w:val="SingleTxtG"/>
        <w:rPr>
          <w:b/>
        </w:rPr>
      </w:pPr>
      <w:r w:rsidRPr="007240E1">
        <w:t>7.</w:t>
      </w:r>
      <w:r w:rsidRPr="007240E1">
        <w:tab/>
      </w:r>
      <w:r w:rsidR="002C704A" w:rsidRPr="007240E1">
        <w:rPr>
          <w:b/>
          <w:bCs/>
        </w:rPr>
        <w:t>In line with its revised reporting guidelines (CERD/C/2007/1, paras. 10 and 12), the Committee</w:t>
      </w:r>
      <w:r w:rsidR="00456130" w:rsidRPr="007240E1">
        <w:rPr>
          <w:b/>
          <w:bCs/>
        </w:rPr>
        <w:t xml:space="preserve"> encourages the State party to </w:t>
      </w:r>
      <w:r w:rsidR="00506D04" w:rsidRPr="007240E1">
        <w:rPr>
          <w:b/>
          <w:bCs/>
        </w:rPr>
        <w:t xml:space="preserve">conduct </w:t>
      </w:r>
      <w:r w:rsidR="00456130" w:rsidRPr="007240E1">
        <w:rPr>
          <w:b/>
          <w:bCs/>
        </w:rPr>
        <w:t xml:space="preserve">a census </w:t>
      </w:r>
      <w:r w:rsidR="00E33128" w:rsidRPr="007240E1">
        <w:rPr>
          <w:b/>
          <w:bCs/>
        </w:rPr>
        <w:t xml:space="preserve">as soon as </w:t>
      </w:r>
      <w:r w:rsidR="00456130" w:rsidRPr="007240E1">
        <w:rPr>
          <w:b/>
          <w:bCs/>
        </w:rPr>
        <w:t>possible</w:t>
      </w:r>
      <w:r w:rsidR="00F47672" w:rsidRPr="007240E1">
        <w:rPr>
          <w:b/>
          <w:bCs/>
        </w:rPr>
        <w:t>,</w:t>
      </w:r>
      <w:r w:rsidR="00456130" w:rsidRPr="007240E1">
        <w:rPr>
          <w:b/>
          <w:bCs/>
        </w:rPr>
        <w:t xml:space="preserve"> </w:t>
      </w:r>
      <w:r w:rsidR="00E70E75" w:rsidRPr="007240E1">
        <w:rPr>
          <w:b/>
          <w:bCs/>
        </w:rPr>
        <w:t xml:space="preserve">or </w:t>
      </w:r>
      <w:r w:rsidR="00456130" w:rsidRPr="007240E1">
        <w:rPr>
          <w:b/>
          <w:bCs/>
        </w:rPr>
        <w:t>to collect updated data on the demographic composition of its population</w:t>
      </w:r>
      <w:r w:rsidR="00E33128" w:rsidRPr="007240E1">
        <w:rPr>
          <w:b/>
          <w:bCs/>
        </w:rPr>
        <w:t xml:space="preserve"> by other appropriate methods</w:t>
      </w:r>
      <w:r w:rsidR="00456130" w:rsidRPr="007240E1">
        <w:rPr>
          <w:b/>
          <w:bCs/>
        </w:rPr>
        <w:t>. The Committee</w:t>
      </w:r>
      <w:r w:rsidR="002C704A" w:rsidRPr="007240E1">
        <w:rPr>
          <w:b/>
          <w:bCs/>
        </w:rPr>
        <w:t xml:space="preserve"> recommends that the State party </w:t>
      </w:r>
      <w:r w:rsidR="00456130" w:rsidRPr="007240E1">
        <w:rPr>
          <w:b/>
          <w:bCs/>
        </w:rPr>
        <w:t>collect disaggregated statistics on the enjoyment</w:t>
      </w:r>
      <w:r w:rsidR="00032443" w:rsidRPr="007240E1">
        <w:rPr>
          <w:b/>
          <w:bCs/>
        </w:rPr>
        <w:t xml:space="preserve"> </w:t>
      </w:r>
      <w:r w:rsidR="00456130" w:rsidRPr="007240E1">
        <w:rPr>
          <w:b/>
          <w:bCs/>
        </w:rPr>
        <w:t>of economic, social</w:t>
      </w:r>
      <w:r w:rsidR="002C704A" w:rsidRPr="007240E1">
        <w:rPr>
          <w:b/>
          <w:bCs/>
        </w:rPr>
        <w:t xml:space="preserve"> </w:t>
      </w:r>
      <w:r w:rsidR="00456130" w:rsidRPr="007240E1">
        <w:rPr>
          <w:b/>
          <w:bCs/>
        </w:rPr>
        <w:t>and cultural rights</w:t>
      </w:r>
      <w:r w:rsidR="002C704A" w:rsidRPr="007240E1">
        <w:rPr>
          <w:b/>
        </w:rPr>
        <w:t xml:space="preserve"> </w:t>
      </w:r>
      <w:r w:rsidR="002C704A" w:rsidRPr="007240E1">
        <w:rPr>
          <w:b/>
          <w:bCs/>
        </w:rPr>
        <w:t xml:space="preserve">enshrined </w:t>
      </w:r>
      <w:r w:rsidR="00456130" w:rsidRPr="007240E1">
        <w:rPr>
          <w:b/>
          <w:bCs/>
        </w:rPr>
        <w:t>in the Convention</w:t>
      </w:r>
      <w:r w:rsidR="002C704A" w:rsidRPr="007240E1">
        <w:rPr>
          <w:b/>
          <w:bCs/>
        </w:rPr>
        <w:t xml:space="preserve"> </w:t>
      </w:r>
      <w:r w:rsidR="00A04BAD" w:rsidRPr="007240E1">
        <w:rPr>
          <w:b/>
          <w:bCs/>
        </w:rPr>
        <w:t xml:space="preserve">by all ethnic communities, </w:t>
      </w:r>
      <w:r w:rsidR="00441301" w:rsidRPr="007240E1">
        <w:rPr>
          <w:b/>
          <w:bCs/>
        </w:rPr>
        <w:t xml:space="preserve">including ethnic Macedonians and ethnic Albanians, </w:t>
      </w:r>
      <w:r w:rsidR="002C704A" w:rsidRPr="007240E1">
        <w:rPr>
          <w:b/>
          <w:bCs/>
        </w:rPr>
        <w:t>in full respect of the principles of confidentiality, informed consent and self-identification.</w:t>
      </w:r>
      <w:r w:rsidR="002C704A" w:rsidRPr="007240E1">
        <w:rPr>
          <w:b/>
        </w:rPr>
        <w:t xml:space="preserve"> </w:t>
      </w:r>
      <w:r w:rsidR="004B7D5F" w:rsidRPr="007240E1">
        <w:rPr>
          <w:b/>
        </w:rPr>
        <w:t xml:space="preserve">The Committee would welcome in particular data </w:t>
      </w:r>
      <w:r w:rsidR="00BD30CE" w:rsidRPr="007240E1">
        <w:rPr>
          <w:b/>
        </w:rPr>
        <w:t>specifying where each minority community is living amid which majority.</w:t>
      </w:r>
    </w:p>
    <w:p w:rsidR="002C704A" w:rsidRPr="007240E1" w:rsidRDefault="00B323A6" w:rsidP="00B323A6">
      <w:pPr>
        <w:pStyle w:val="H23G"/>
      </w:pPr>
      <w:r w:rsidRPr="007240E1">
        <w:tab/>
      </w:r>
      <w:r w:rsidRPr="007240E1">
        <w:tab/>
      </w:r>
      <w:r w:rsidR="002C704A" w:rsidRPr="007240E1">
        <w:t>The Convention in domestic legislation</w:t>
      </w:r>
    </w:p>
    <w:p w:rsidR="002C704A" w:rsidRPr="007240E1" w:rsidRDefault="00FF6E5F" w:rsidP="007240E1">
      <w:pPr>
        <w:pStyle w:val="SingleTxtG"/>
      </w:pPr>
      <w:r w:rsidRPr="007240E1">
        <w:t>8.</w:t>
      </w:r>
      <w:r w:rsidRPr="007240E1">
        <w:tab/>
      </w:r>
      <w:r w:rsidR="002C704A" w:rsidRPr="007240E1">
        <w:t xml:space="preserve">The Committee </w:t>
      </w:r>
      <w:r w:rsidR="001778B7" w:rsidRPr="007240E1">
        <w:t>is</w:t>
      </w:r>
      <w:r w:rsidR="005D3B58" w:rsidRPr="007240E1">
        <w:t xml:space="preserve"> concern</w:t>
      </w:r>
      <w:r w:rsidR="001778B7" w:rsidRPr="007240E1">
        <w:t>ed</w:t>
      </w:r>
      <w:r w:rsidR="005D3B58" w:rsidRPr="007240E1">
        <w:t xml:space="preserve"> about the </w:t>
      </w:r>
      <w:r w:rsidR="00510251" w:rsidRPr="007240E1">
        <w:t xml:space="preserve">absence of a clear definition of racial discrimination </w:t>
      </w:r>
      <w:r w:rsidR="001778B7" w:rsidRPr="007240E1">
        <w:t xml:space="preserve">in the State party’s legislation </w:t>
      </w:r>
      <w:r w:rsidR="00510251" w:rsidRPr="007240E1">
        <w:t>in line with article 1 of the Convention</w:t>
      </w:r>
      <w:r w:rsidR="00BB3A64" w:rsidRPr="007240E1">
        <w:t>,</w:t>
      </w:r>
      <w:r w:rsidR="00E857B4" w:rsidRPr="007240E1">
        <w:t xml:space="preserve"> despite numerous grounds of discrimination introduced into its legislation</w:t>
      </w:r>
      <w:r w:rsidR="00245748" w:rsidRPr="007240E1">
        <w:t xml:space="preserve">. It also regrets </w:t>
      </w:r>
      <w:r w:rsidR="00D17B6E" w:rsidRPr="007240E1">
        <w:t xml:space="preserve">that </w:t>
      </w:r>
      <w:r w:rsidR="00245748" w:rsidRPr="007240E1">
        <w:t xml:space="preserve">the Criminal Code </w:t>
      </w:r>
      <w:r w:rsidR="001778B7" w:rsidRPr="007240E1">
        <w:t>does not address</w:t>
      </w:r>
      <w:r w:rsidR="00E652BC" w:rsidRPr="007240E1">
        <w:t xml:space="preserve"> </w:t>
      </w:r>
      <w:r w:rsidR="00245748" w:rsidRPr="007240E1">
        <w:t>assistance to racist organizations and the financing thereof.</w:t>
      </w:r>
      <w:r w:rsidR="00C57988" w:rsidRPr="007240E1">
        <w:t xml:space="preserve"> The Committee is </w:t>
      </w:r>
      <w:r w:rsidR="00D17B6E" w:rsidRPr="007240E1">
        <w:t>further</w:t>
      </w:r>
      <w:r w:rsidR="00C57988" w:rsidRPr="007240E1">
        <w:t xml:space="preserve"> concerned </w:t>
      </w:r>
      <w:r w:rsidR="00F04B96" w:rsidRPr="007240E1">
        <w:t>about</w:t>
      </w:r>
      <w:r w:rsidR="00C57988" w:rsidRPr="007240E1">
        <w:t xml:space="preserve"> </w:t>
      </w:r>
      <w:r w:rsidR="001778B7" w:rsidRPr="007240E1">
        <w:t>reports</w:t>
      </w:r>
      <w:r w:rsidR="00C57988" w:rsidRPr="007240E1">
        <w:t xml:space="preserve"> that </w:t>
      </w:r>
      <w:r w:rsidR="00C81661" w:rsidRPr="007240E1">
        <w:t xml:space="preserve">the provisions of </w:t>
      </w:r>
      <w:r w:rsidR="00C57988" w:rsidRPr="007240E1">
        <w:t xml:space="preserve">the 2010 </w:t>
      </w:r>
      <w:r w:rsidR="00C57988" w:rsidRPr="007240E1">
        <w:lastRenderedPageBreak/>
        <w:t xml:space="preserve">Law on </w:t>
      </w:r>
      <w:r w:rsidR="00BB3A64" w:rsidRPr="007240E1">
        <w:t xml:space="preserve">the </w:t>
      </w:r>
      <w:r w:rsidR="00C57988" w:rsidRPr="007240E1">
        <w:t xml:space="preserve">Prevention and Protection Against Discrimination </w:t>
      </w:r>
      <w:r w:rsidR="001778B7" w:rsidRPr="007240E1">
        <w:t xml:space="preserve">are </w:t>
      </w:r>
      <w:r w:rsidR="00C81661" w:rsidRPr="007240E1">
        <w:t xml:space="preserve">unclear </w:t>
      </w:r>
      <w:r w:rsidR="001778B7" w:rsidRPr="007240E1">
        <w:t>and</w:t>
      </w:r>
      <w:r w:rsidR="00C81661" w:rsidRPr="007240E1">
        <w:t xml:space="preserve"> not harmonized with existing legislation</w:t>
      </w:r>
      <w:r w:rsidR="00510251" w:rsidRPr="007240E1">
        <w:t xml:space="preserve"> </w:t>
      </w:r>
      <w:r w:rsidR="002C704A" w:rsidRPr="007240E1">
        <w:t>(arts</w:t>
      </w:r>
      <w:r w:rsidR="00245748" w:rsidRPr="007240E1">
        <w:t>.</w:t>
      </w:r>
      <w:r w:rsidR="002C704A" w:rsidRPr="007240E1">
        <w:t xml:space="preserve"> 1</w:t>
      </w:r>
      <w:r w:rsidR="00245748" w:rsidRPr="007240E1">
        <w:t>, 2</w:t>
      </w:r>
      <w:r w:rsidR="002C704A" w:rsidRPr="007240E1">
        <w:t xml:space="preserve"> and. </w:t>
      </w:r>
      <w:r w:rsidR="00245748" w:rsidRPr="007240E1">
        <w:t>4</w:t>
      </w:r>
      <w:r w:rsidR="002C704A" w:rsidRPr="007240E1">
        <w:t>).</w:t>
      </w:r>
    </w:p>
    <w:p w:rsidR="000F77E5" w:rsidRPr="007240E1" w:rsidRDefault="00FF6E5F" w:rsidP="007240E1">
      <w:pPr>
        <w:pStyle w:val="SingleTxtG"/>
        <w:rPr>
          <w:b/>
        </w:rPr>
      </w:pPr>
      <w:r w:rsidRPr="007240E1">
        <w:t>9.</w:t>
      </w:r>
      <w:r w:rsidRPr="007240E1">
        <w:tab/>
      </w:r>
      <w:r w:rsidR="000F77E5" w:rsidRPr="007240E1">
        <w:rPr>
          <w:b/>
        </w:rPr>
        <w:t>The Committee:</w:t>
      </w:r>
    </w:p>
    <w:p w:rsidR="00D17B6E" w:rsidRPr="007240E1" w:rsidRDefault="00CF46A0" w:rsidP="007240E1">
      <w:pPr>
        <w:pStyle w:val="SingleTxtG"/>
        <w:spacing w:line="240" w:lineRule="auto"/>
        <w:ind w:firstLine="567"/>
        <w:rPr>
          <w:b/>
        </w:rPr>
      </w:pPr>
      <w:r w:rsidRPr="007240E1">
        <w:rPr>
          <w:bCs/>
        </w:rPr>
        <w:t>(a)</w:t>
      </w:r>
      <w:r w:rsidRPr="007240E1">
        <w:rPr>
          <w:bCs/>
        </w:rPr>
        <w:tab/>
      </w:r>
      <w:r w:rsidR="000F77E5" w:rsidRPr="007240E1">
        <w:rPr>
          <w:b/>
        </w:rPr>
        <w:t>R</w:t>
      </w:r>
      <w:r w:rsidR="001B3A67" w:rsidRPr="007240E1">
        <w:rPr>
          <w:b/>
        </w:rPr>
        <w:t>ecommends that the State party r</w:t>
      </w:r>
      <w:r w:rsidR="009C3B1D" w:rsidRPr="007240E1">
        <w:rPr>
          <w:b/>
        </w:rPr>
        <w:t xml:space="preserve">evise its Criminal Code to </w:t>
      </w:r>
      <w:r w:rsidR="008D64D6" w:rsidRPr="007240E1">
        <w:rPr>
          <w:b/>
        </w:rPr>
        <w:t>ensure that it contains</w:t>
      </w:r>
      <w:r w:rsidR="009C3B1D" w:rsidRPr="007240E1">
        <w:rPr>
          <w:b/>
        </w:rPr>
        <w:t xml:space="preserve"> a</w:t>
      </w:r>
      <w:r w:rsidR="00E61B92" w:rsidRPr="007240E1">
        <w:rPr>
          <w:b/>
        </w:rPr>
        <w:t xml:space="preserve"> clear and comprehensive</w:t>
      </w:r>
      <w:r w:rsidR="009C3B1D" w:rsidRPr="007240E1">
        <w:rPr>
          <w:b/>
        </w:rPr>
        <w:t xml:space="preserve"> definition of racial discrimination</w:t>
      </w:r>
      <w:r w:rsidR="00E61B92" w:rsidRPr="007240E1">
        <w:rPr>
          <w:b/>
        </w:rPr>
        <w:t xml:space="preserve"> that is </w:t>
      </w:r>
      <w:r w:rsidR="009C3B1D" w:rsidRPr="007240E1">
        <w:rPr>
          <w:b/>
        </w:rPr>
        <w:t xml:space="preserve">fully </w:t>
      </w:r>
      <w:r w:rsidR="00E61B92" w:rsidRPr="007240E1">
        <w:rPr>
          <w:b/>
        </w:rPr>
        <w:t>consistent</w:t>
      </w:r>
      <w:r w:rsidR="009C3B1D" w:rsidRPr="007240E1">
        <w:rPr>
          <w:b/>
        </w:rPr>
        <w:t xml:space="preserve"> with article 1 of the Convention</w:t>
      </w:r>
      <w:r w:rsidR="001B3A67" w:rsidRPr="007240E1">
        <w:rPr>
          <w:b/>
        </w:rPr>
        <w:t>;</w:t>
      </w:r>
    </w:p>
    <w:p w:rsidR="002C704A" w:rsidRPr="007240E1" w:rsidRDefault="00CF46A0" w:rsidP="007240E1">
      <w:pPr>
        <w:pStyle w:val="SingleTxtG"/>
        <w:spacing w:line="240" w:lineRule="auto"/>
        <w:ind w:firstLine="567"/>
        <w:rPr>
          <w:b/>
        </w:rPr>
      </w:pPr>
      <w:r w:rsidRPr="007240E1">
        <w:t>(b)</w:t>
      </w:r>
      <w:r w:rsidRPr="007240E1">
        <w:rPr>
          <w:b/>
          <w:bCs/>
        </w:rPr>
        <w:tab/>
      </w:r>
      <w:r w:rsidR="00506D04" w:rsidRPr="007240E1">
        <w:rPr>
          <w:b/>
          <w:bCs/>
        </w:rPr>
        <w:t xml:space="preserve">Bearing in mind its </w:t>
      </w:r>
      <w:r w:rsidR="00BB3A64" w:rsidRPr="007240E1">
        <w:rPr>
          <w:b/>
          <w:bCs/>
        </w:rPr>
        <w:t>g</w:t>
      </w:r>
      <w:r w:rsidR="00506D04" w:rsidRPr="007240E1">
        <w:rPr>
          <w:b/>
          <w:bCs/>
        </w:rPr>
        <w:t xml:space="preserve">eneral recommendation </w:t>
      </w:r>
      <w:r w:rsidR="00AF0E0F" w:rsidRPr="007240E1">
        <w:rPr>
          <w:b/>
          <w:bCs/>
        </w:rPr>
        <w:t>N</w:t>
      </w:r>
      <w:r w:rsidR="00506D04" w:rsidRPr="007240E1">
        <w:rPr>
          <w:b/>
          <w:bCs/>
        </w:rPr>
        <w:t xml:space="preserve">o. </w:t>
      </w:r>
      <w:r w:rsidR="001778B7" w:rsidRPr="007240E1">
        <w:rPr>
          <w:b/>
          <w:bCs/>
        </w:rPr>
        <w:t>3</w:t>
      </w:r>
      <w:r w:rsidR="00506D04" w:rsidRPr="007240E1">
        <w:rPr>
          <w:b/>
          <w:bCs/>
        </w:rPr>
        <w:t>5 (</w:t>
      </w:r>
      <w:r w:rsidR="001778B7" w:rsidRPr="007240E1">
        <w:rPr>
          <w:b/>
          <w:bCs/>
        </w:rPr>
        <w:t>2013) on combating racist hate speech</w:t>
      </w:r>
      <w:r w:rsidR="00BB3A64" w:rsidRPr="007240E1">
        <w:rPr>
          <w:b/>
          <w:bCs/>
        </w:rPr>
        <w:t>,</w:t>
      </w:r>
      <w:r w:rsidR="00506D04" w:rsidRPr="007240E1">
        <w:rPr>
          <w:b/>
          <w:bCs/>
        </w:rPr>
        <w:t xml:space="preserve"> and r</w:t>
      </w:r>
      <w:r w:rsidR="008D64D6" w:rsidRPr="007240E1">
        <w:rPr>
          <w:b/>
          <w:bCs/>
        </w:rPr>
        <w:t xml:space="preserve">ecalling that the provisions of article 4 of the Convention are mandatory, </w:t>
      </w:r>
      <w:r w:rsidR="009C3B1D" w:rsidRPr="007240E1">
        <w:rPr>
          <w:b/>
        </w:rPr>
        <w:t xml:space="preserve">recommends that measures </w:t>
      </w:r>
      <w:r w:rsidR="008D64D6" w:rsidRPr="007240E1">
        <w:rPr>
          <w:b/>
        </w:rPr>
        <w:t xml:space="preserve">be taken to include </w:t>
      </w:r>
      <w:r w:rsidR="00F47B40" w:rsidRPr="007240E1">
        <w:rPr>
          <w:b/>
        </w:rPr>
        <w:t xml:space="preserve">in its legislation </w:t>
      </w:r>
      <w:r w:rsidR="008D64D6" w:rsidRPr="007240E1">
        <w:rPr>
          <w:b/>
        </w:rPr>
        <w:t xml:space="preserve">all aspects of this article, including provisions on </w:t>
      </w:r>
      <w:r w:rsidR="00472384" w:rsidRPr="007240E1">
        <w:rPr>
          <w:b/>
        </w:rPr>
        <w:t xml:space="preserve">the prohibition of organizations that promote </w:t>
      </w:r>
      <w:r w:rsidR="00056562" w:rsidRPr="007240E1">
        <w:rPr>
          <w:b/>
        </w:rPr>
        <w:t xml:space="preserve">or incite racial discrimination </w:t>
      </w:r>
      <w:r w:rsidR="00BB3A64" w:rsidRPr="007240E1">
        <w:rPr>
          <w:b/>
        </w:rPr>
        <w:t xml:space="preserve">and </w:t>
      </w:r>
      <w:r w:rsidR="00472384" w:rsidRPr="007240E1">
        <w:rPr>
          <w:b/>
        </w:rPr>
        <w:t xml:space="preserve">participation in or </w:t>
      </w:r>
      <w:r w:rsidR="00B33516" w:rsidRPr="007240E1">
        <w:rPr>
          <w:b/>
        </w:rPr>
        <w:t xml:space="preserve">assistance </w:t>
      </w:r>
      <w:r w:rsidR="00472384" w:rsidRPr="007240E1">
        <w:rPr>
          <w:b/>
        </w:rPr>
        <w:t>to such organizations;</w:t>
      </w:r>
    </w:p>
    <w:p w:rsidR="00056562" w:rsidRPr="007240E1" w:rsidRDefault="00CF46A0" w:rsidP="007240E1">
      <w:pPr>
        <w:pStyle w:val="SingleTxtG"/>
        <w:spacing w:line="240" w:lineRule="auto"/>
        <w:ind w:firstLine="567"/>
        <w:rPr>
          <w:b/>
        </w:rPr>
      </w:pPr>
      <w:r w:rsidRPr="007240E1">
        <w:rPr>
          <w:bCs/>
        </w:rPr>
        <w:t>(c)</w:t>
      </w:r>
      <w:r w:rsidRPr="007240E1">
        <w:rPr>
          <w:b/>
        </w:rPr>
        <w:tab/>
      </w:r>
      <w:r w:rsidR="001B3A67" w:rsidRPr="007240E1">
        <w:rPr>
          <w:b/>
        </w:rPr>
        <w:t xml:space="preserve">Encourages the State party to amend the Law on </w:t>
      </w:r>
      <w:r w:rsidR="00BB3A64" w:rsidRPr="007240E1">
        <w:rPr>
          <w:b/>
        </w:rPr>
        <w:t xml:space="preserve">the </w:t>
      </w:r>
      <w:r w:rsidR="001B3A67" w:rsidRPr="007240E1">
        <w:rPr>
          <w:b/>
        </w:rPr>
        <w:t xml:space="preserve">Prevention and Protection Against Discrimination </w:t>
      </w:r>
      <w:r w:rsidR="00F559D7" w:rsidRPr="007240E1">
        <w:rPr>
          <w:b/>
        </w:rPr>
        <w:t>in accordance</w:t>
      </w:r>
      <w:r w:rsidR="00056562" w:rsidRPr="007240E1">
        <w:rPr>
          <w:b/>
        </w:rPr>
        <w:t xml:space="preserve"> with the Convention</w:t>
      </w:r>
      <w:r w:rsidR="00445AA0" w:rsidRPr="007240E1">
        <w:rPr>
          <w:b/>
        </w:rPr>
        <w:t xml:space="preserve"> and domestic legislation</w:t>
      </w:r>
      <w:r w:rsidR="00056562" w:rsidRPr="007240E1">
        <w:rPr>
          <w:b/>
        </w:rPr>
        <w:t>, in particular regarding</w:t>
      </w:r>
      <w:r w:rsidR="00F559D7" w:rsidRPr="007240E1">
        <w:rPr>
          <w:b/>
        </w:rPr>
        <w:t xml:space="preserve"> court protection,</w:t>
      </w:r>
      <w:r w:rsidR="00056562" w:rsidRPr="007240E1">
        <w:rPr>
          <w:b/>
        </w:rPr>
        <w:t xml:space="preserve"> </w:t>
      </w:r>
      <w:r w:rsidR="00F559D7" w:rsidRPr="007240E1">
        <w:rPr>
          <w:b/>
        </w:rPr>
        <w:t xml:space="preserve">the burden of proof </w:t>
      </w:r>
      <w:r w:rsidR="00445AA0" w:rsidRPr="007240E1">
        <w:rPr>
          <w:b/>
        </w:rPr>
        <w:t xml:space="preserve">and </w:t>
      </w:r>
      <w:r w:rsidR="00056562" w:rsidRPr="007240E1">
        <w:rPr>
          <w:b/>
        </w:rPr>
        <w:t>special measures;</w:t>
      </w:r>
    </w:p>
    <w:p w:rsidR="001B3A67" w:rsidRPr="007240E1" w:rsidRDefault="00CF46A0" w:rsidP="007240E1">
      <w:pPr>
        <w:pStyle w:val="SingleTxtG"/>
        <w:spacing w:line="240" w:lineRule="auto"/>
        <w:ind w:firstLine="567"/>
        <w:rPr>
          <w:b/>
        </w:rPr>
      </w:pPr>
      <w:r w:rsidRPr="007240E1">
        <w:rPr>
          <w:bCs/>
        </w:rPr>
        <w:t>(d)</w:t>
      </w:r>
      <w:r w:rsidRPr="007240E1">
        <w:rPr>
          <w:b/>
        </w:rPr>
        <w:tab/>
      </w:r>
      <w:r w:rsidR="00056562" w:rsidRPr="007240E1">
        <w:rPr>
          <w:b/>
        </w:rPr>
        <w:t>Recommends that the State party ensure that all the provisions related to the prohibition of racial discrimination are fully understood and disseminated to the public and the judiciary.</w:t>
      </w:r>
      <w:r w:rsidR="001068EB" w:rsidRPr="007240E1">
        <w:rPr>
          <w:b/>
        </w:rPr>
        <w:t xml:space="preserve"> The Committee requests that the State party include </w:t>
      </w:r>
      <w:r w:rsidR="00B33516" w:rsidRPr="007240E1">
        <w:rPr>
          <w:b/>
        </w:rPr>
        <w:t xml:space="preserve">information on </w:t>
      </w:r>
      <w:r w:rsidR="001068EB" w:rsidRPr="007240E1">
        <w:rPr>
          <w:b/>
        </w:rPr>
        <w:t xml:space="preserve">relevant cases tried and </w:t>
      </w:r>
      <w:r w:rsidR="00E03D93" w:rsidRPr="007240E1">
        <w:rPr>
          <w:b/>
        </w:rPr>
        <w:t xml:space="preserve">sanctions </w:t>
      </w:r>
      <w:r w:rsidR="001068EB" w:rsidRPr="007240E1">
        <w:rPr>
          <w:b/>
        </w:rPr>
        <w:t>applied for racial discrimination</w:t>
      </w:r>
      <w:r w:rsidR="00591BA8" w:rsidRPr="007240E1">
        <w:rPr>
          <w:b/>
        </w:rPr>
        <w:t xml:space="preserve"> in its next periodic report</w:t>
      </w:r>
      <w:r w:rsidR="001068EB" w:rsidRPr="007240E1">
        <w:rPr>
          <w:b/>
        </w:rPr>
        <w:t>.</w:t>
      </w:r>
    </w:p>
    <w:p w:rsidR="002C704A" w:rsidRPr="007240E1" w:rsidRDefault="00B323A6" w:rsidP="00B323A6">
      <w:pPr>
        <w:pStyle w:val="H23G"/>
      </w:pPr>
      <w:r w:rsidRPr="007240E1">
        <w:tab/>
      </w:r>
      <w:r w:rsidRPr="007240E1">
        <w:tab/>
      </w:r>
      <w:r w:rsidR="00510251" w:rsidRPr="007240E1">
        <w:t>National institutions</w:t>
      </w:r>
    </w:p>
    <w:p w:rsidR="002C704A" w:rsidRPr="007240E1" w:rsidRDefault="00FF6E5F" w:rsidP="007240E1">
      <w:pPr>
        <w:pStyle w:val="SingleTxtG"/>
      </w:pPr>
      <w:r w:rsidRPr="007240E1">
        <w:t>10.</w:t>
      </w:r>
      <w:r w:rsidRPr="007240E1">
        <w:tab/>
      </w:r>
      <w:r w:rsidR="002C704A" w:rsidRPr="007240E1">
        <w:t>The Committee is concerned abou</w:t>
      </w:r>
      <w:r w:rsidR="00722EAA" w:rsidRPr="007240E1">
        <w:t>t shortcomings in the current law regarding the mandate</w:t>
      </w:r>
      <w:r w:rsidR="002F1A58" w:rsidRPr="007240E1">
        <w:t xml:space="preserve"> and</w:t>
      </w:r>
      <w:r w:rsidR="00722EAA" w:rsidRPr="007240E1">
        <w:t xml:space="preserve"> the selection process </w:t>
      </w:r>
      <w:r w:rsidR="002F1A58" w:rsidRPr="007240E1">
        <w:t xml:space="preserve">of the Ombudsman as well as the </w:t>
      </w:r>
      <w:r w:rsidR="00722EAA" w:rsidRPr="007240E1">
        <w:t xml:space="preserve">resources </w:t>
      </w:r>
      <w:r w:rsidR="002F1A58" w:rsidRPr="007240E1">
        <w:t xml:space="preserve">allocated to the </w:t>
      </w:r>
      <w:r w:rsidR="00722EAA" w:rsidRPr="007240E1">
        <w:t xml:space="preserve">Ombudsman </w:t>
      </w:r>
      <w:r w:rsidR="002F1A58" w:rsidRPr="007240E1">
        <w:t>to undertake some key activities</w:t>
      </w:r>
      <w:r w:rsidR="00722EAA" w:rsidRPr="007240E1">
        <w:t xml:space="preserve">. </w:t>
      </w:r>
      <w:r w:rsidR="008E4501" w:rsidRPr="007240E1">
        <w:t xml:space="preserve">The Committee is further concerned by </w:t>
      </w:r>
      <w:r w:rsidR="00B33516" w:rsidRPr="007240E1">
        <w:t>reports that</w:t>
      </w:r>
      <w:r w:rsidR="008E4501" w:rsidRPr="007240E1">
        <w:t xml:space="preserve"> the Commission for </w:t>
      </w:r>
      <w:r w:rsidR="00BB3A64" w:rsidRPr="007240E1">
        <w:t xml:space="preserve">the </w:t>
      </w:r>
      <w:r w:rsidR="008E4501" w:rsidRPr="007240E1">
        <w:t xml:space="preserve">Prevention and Protection </w:t>
      </w:r>
      <w:r w:rsidR="00BB3A64" w:rsidRPr="007240E1">
        <w:t>a</w:t>
      </w:r>
      <w:r w:rsidR="008E4501" w:rsidRPr="007240E1">
        <w:t>gainst Discrimination has limited financial and human resources</w:t>
      </w:r>
      <w:r w:rsidR="00BB3A64" w:rsidRPr="007240E1">
        <w:t>,</w:t>
      </w:r>
      <w:r w:rsidR="008E4501" w:rsidRPr="007240E1">
        <w:t xml:space="preserve"> which hamper</w:t>
      </w:r>
      <w:r w:rsidR="00BB3A64" w:rsidRPr="007240E1">
        <w:t>s</w:t>
      </w:r>
      <w:r w:rsidR="008E4501" w:rsidRPr="007240E1">
        <w:t xml:space="preserve"> its ability to successfully fulfil its mandate</w:t>
      </w:r>
      <w:r w:rsidR="00E53B93" w:rsidRPr="007240E1">
        <w:t>. The Committee finally notes the lack of clear coordination between the Ombudsman and the Commission</w:t>
      </w:r>
      <w:r w:rsidR="00445AA0" w:rsidRPr="007240E1">
        <w:t xml:space="preserve"> when </w:t>
      </w:r>
      <w:r w:rsidR="001D45D8" w:rsidRPr="007240E1">
        <w:t>assisting victims of</w:t>
      </w:r>
      <w:r w:rsidR="00445AA0" w:rsidRPr="007240E1">
        <w:t xml:space="preserve"> racial discrimination</w:t>
      </w:r>
      <w:r w:rsidR="008E4501" w:rsidRPr="007240E1">
        <w:t xml:space="preserve"> </w:t>
      </w:r>
      <w:r w:rsidR="002C704A" w:rsidRPr="007240E1">
        <w:t xml:space="preserve">(arts. 2 and 6). </w:t>
      </w:r>
    </w:p>
    <w:p w:rsidR="00E53B93" w:rsidRPr="007240E1" w:rsidRDefault="00FF6E5F" w:rsidP="007240E1">
      <w:pPr>
        <w:pStyle w:val="SingleTxtG"/>
        <w:rPr>
          <w:b/>
        </w:rPr>
      </w:pPr>
      <w:r w:rsidRPr="007240E1">
        <w:t>11.</w:t>
      </w:r>
      <w:r w:rsidRPr="007240E1">
        <w:tab/>
      </w:r>
      <w:r w:rsidR="00163DCA" w:rsidRPr="007240E1">
        <w:rPr>
          <w:b/>
        </w:rPr>
        <w:t>The Committee</w:t>
      </w:r>
      <w:r w:rsidR="008E4501" w:rsidRPr="007240E1">
        <w:rPr>
          <w:b/>
        </w:rPr>
        <w:t xml:space="preserve"> </w:t>
      </w:r>
      <w:r w:rsidR="00E53B93" w:rsidRPr="007240E1">
        <w:rPr>
          <w:b/>
        </w:rPr>
        <w:t>recommends that the State party</w:t>
      </w:r>
      <w:r w:rsidR="00591BA8" w:rsidRPr="007240E1">
        <w:rPr>
          <w:b/>
        </w:rPr>
        <w:t>:</w:t>
      </w:r>
    </w:p>
    <w:p w:rsidR="00E53B93" w:rsidRPr="007240E1" w:rsidRDefault="00CF46A0" w:rsidP="007240E1">
      <w:pPr>
        <w:pStyle w:val="SingleTxtG"/>
        <w:spacing w:line="240" w:lineRule="auto"/>
        <w:ind w:firstLine="567"/>
        <w:rPr>
          <w:b/>
        </w:rPr>
      </w:pPr>
      <w:r w:rsidRPr="007240E1">
        <w:rPr>
          <w:bCs/>
        </w:rPr>
        <w:t>(a)</w:t>
      </w:r>
      <w:r w:rsidRPr="007240E1">
        <w:rPr>
          <w:b/>
        </w:rPr>
        <w:tab/>
      </w:r>
      <w:r w:rsidR="00E70E75" w:rsidRPr="007240E1">
        <w:rPr>
          <w:b/>
        </w:rPr>
        <w:t>Amend</w:t>
      </w:r>
      <w:r w:rsidR="00E53B93" w:rsidRPr="007240E1">
        <w:rPr>
          <w:b/>
        </w:rPr>
        <w:t xml:space="preserve"> the law on the Ombudsman as soon as possible to consolidate the mandate of the Ombudsman with regard to the promotion and protection of human rights, to strengthen its role as the </w:t>
      </w:r>
      <w:r w:rsidR="00BB3A64" w:rsidRPr="007240E1">
        <w:rPr>
          <w:b/>
        </w:rPr>
        <w:t>n</w:t>
      </w:r>
      <w:r w:rsidR="00E53B93" w:rsidRPr="007240E1">
        <w:rPr>
          <w:b/>
        </w:rPr>
        <w:t xml:space="preserve">ational </w:t>
      </w:r>
      <w:r w:rsidR="00BB3A64" w:rsidRPr="007240E1">
        <w:rPr>
          <w:b/>
        </w:rPr>
        <w:t>p</w:t>
      </w:r>
      <w:r w:rsidR="00E53B93" w:rsidRPr="007240E1">
        <w:rPr>
          <w:b/>
        </w:rPr>
        <w:t xml:space="preserve">reventive </w:t>
      </w:r>
      <w:r w:rsidR="00BB3A64" w:rsidRPr="007240E1">
        <w:rPr>
          <w:b/>
        </w:rPr>
        <w:t>m</w:t>
      </w:r>
      <w:r w:rsidR="00E53B93" w:rsidRPr="007240E1">
        <w:rPr>
          <w:b/>
        </w:rPr>
        <w:t xml:space="preserve">echanism and to ensure its financial independence in accordance with the </w:t>
      </w:r>
      <w:r w:rsidR="00BB3A64" w:rsidRPr="007240E1">
        <w:rPr>
          <w:b/>
        </w:rPr>
        <w:t>Principles relating to the status of national institutions for the promotion and protection of human rights (</w:t>
      </w:r>
      <w:r w:rsidR="00E53B93" w:rsidRPr="007240E1">
        <w:rPr>
          <w:b/>
        </w:rPr>
        <w:t>Paris Principles</w:t>
      </w:r>
      <w:r w:rsidR="00BB3A64" w:rsidRPr="007240E1">
        <w:rPr>
          <w:b/>
        </w:rPr>
        <w:t>)</w:t>
      </w:r>
      <w:r w:rsidR="00226C59" w:rsidRPr="007240E1">
        <w:rPr>
          <w:b/>
        </w:rPr>
        <w:t xml:space="preserve">. The State party should </w:t>
      </w:r>
      <w:r w:rsidR="00E53B93" w:rsidRPr="007240E1">
        <w:rPr>
          <w:b/>
        </w:rPr>
        <w:t xml:space="preserve">fully cooperate with the Ombudsman </w:t>
      </w:r>
      <w:r w:rsidR="00BA7E97" w:rsidRPr="007240E1">
        <w:rPr>
          <w:b/>
        </w:rPr>
        <w:t>and act on its</w:t>
      </w:r>
      <w:r w:rsidR="00226C59" w:rsidRPr="007240E1">
        <w:rPr>
          <w:b/>
        </w:rPr>
        <w:t xml:space="preserve"> </w:t>
      </w:r>
      <w:r w:rsidR="00BA7E97" w:rsidRPr="007240E1">
        <w:rPr>
          <w:b/>
        </w:rPr>
        <w:t>recom</w:t>
      </w:r>
      <w:r w:rsidR="00226C59" w:rsidRPr="007240E1">
        <w:rPr>
          <w:b/>
        </w:rPr>
        <w:t xml:space="preserve">mendations, </w:t>
      </w:r>
      <w:r w:rsidR="00B12DD3" w:rsidRPr="007240E1">
        <w:rPr>
          <w:b/>
        </w:rPr>
        <w:t xml:space="preserve">in particular </w:t>
      </w:r>
      <w:r w:rsidR="00C81D98" w:rsidRPr="007240E1">
        <w:rPr>
          <w:b/>
        </w:rPr>
        <w:t>pursuant</w:t>
      </w:r>
      <w:r w:rsidR="00226C59" w:rsidRPr="007240E1">
        <w:rPr>
          <w:b/>
        </w:rPr>
        <w:t xml:space="preserve"> to the fight against racial discrimination</w:t>
      </w:r>
      <w:r w:rsidR="009F5B5C" w:rsidRPr="007240E1">
        <w:rPr>
          <w:b/>
        </w:rPr>
        <w:t>;</w:t>
      </w:r>
    </w:p>
    <w:p w:rsidR="00E53B93" w:rsidRPr="007240E1" w:rsidRDefault="00CF46A0" w:rsidP="007240E1">
      <w:pPr>
        <w:pStyle w:val="SingleTxtG"/>
        <w:spacing w:line="240" w:lineRule="auto"/>
        <w:ind w:firstLine="567"/>
        <w:rPr>
          <w:b/>
        </w:rPr>
      </w:pPr>
      <w:r w:rsidRPr="007240E1">
        <w:rPr>
          <w:bCs/>
        </w:rPr>
        <w:t>(b)</w:t>
      </w:r>
      <w:r w:rsidRPr="007240E1">
        <w:rPr>
          <w:b/>
        </w:rPr>
        <w:tab/>
      </w:r>
      <w:r w:rsidR="00B33516" w:rsidRPr="007240E1">
        <w:rPr>
          <w:b/>
        </w:rPr>
        <w:t>E</w:t>
      </w:r>
      <w:r w:rsidR="00226C59" w:rsidRPr="007240E1">
        <w:rPr>
          <w:b/>
        </w:rPr>
        <w:t>nsure that t</w:t>
      </w:r>
      <w:r w:rsidR="00E53B93" w:rsidRPr="007240E1">
        <w:rPr>
          <w:b/>
        </w:rPr>
        <w:t xml:space="preserve">he Commission for </w:t>
      </w:r>
      <w:r w:rsidR="00BB3A64" w:rsidRPr="007240E1">
        <w:rPr>
          <w:b/>
        </w:rPr>
        <w:t xml:space="preserve">the </w:t>
      </w:r>
      <w:r w:rsidR="00226C59" w:rsidRPr="007240E1">
        <w:rPr>
          <w:b/>
        </w:rPr>
        <w:t>Prevention and P</w:t>
      </w:r>
      <w:r w:rsidR="00E53B93" w:rsidRPr="007240E1">
        <w:rPr>
          <w:b/>
        </w:rPr>
        <w:t xml:space="preserve">rotection </w:t>
      </w:r>
      <w:r w:rsidR="00BB3A64" w:rsidRPr="007240E1">
        <w:rPr>
          <w:b/>
        </w:rPr>
        <w:t>a</w:t>
      </w:r>
      <w:r w:rsidR="00E53B93" w:rsidRPr="007240E1">
        <w:rPr>
          <w:b/>
        </w:rPr>
        <w:t>gainst</w:t>
      </w:r>
      <w:r w:rsidR="00226C59" w:rsidRPr="007240E1">
        <w:rPr>
          <w:b/>
        </w:rPr>
        <w:t xml:space="preserve"> Discrimination is provided with adequate financial and human resources that guarantee its independence and effectiveness. The Commission’s advisory and educational functions should </w:t>
      </w:r>
      <w:r w:rsidR="00591BA8" w:rsidRPr="007240E1">
        <w:rPr>
          <w:b/>
        </w:rPr>
        <w:t xml:space="preserve">also </w:t>
      </w:r>
      <w:r w:rsidR="00226C59" w:rsidRPr="007240E1">
        <w:rPr>
          <w:b/>
        </w:rPr>
        <w:t>be strengthened;</w:t>
      </w:r>
    </w:p>
    <w:p w:rsidR="00163DCA" w:rsidRPr="007240E1" w:rsidRDefault="00CF46A0" w:rsidP="007240E1">
      <w:pPr>
        <w:pStyle w:val="SingleTxtG"/>
        <w:spacing w:line="240" w:lineRule="auto"/>
        <w:ind w:firstLine="567"/>
        <w:rPr>
          <w:b/>
        </w:rPr>
      </w:pPr>
      <w:r w:rsidRPr="007240E1">
        <w:rPr>
          <w:bCs/>
        </w:rPr>
        <w:t>(c)</w:t>
      </w:r>
      <w:r w:rsidRPr="007240E1">
        <w:rPr>
          <w:b/>
        </w:rPr>
        <w:tab/>
      </w:r>
      <w:r w:rsidR="00930D63" w:rsidRPr="007240E1">
        <w:rPr>
          <w:b/>
        </w:rPr>
        <w:t>Clarify the mandate of national mechanisms, such as the Ombudsman and the Commission, avoiding duplication and encouraging c</w:t>
      </w:r>
      <w:r w:rsidR="008E4501" w:rsidRPr="007240E1">
        <w:rPr>
          <w:b/>
        </w:rPr>
        <w:t xml:space="preserve">oordination </w:t>
      </w:r>
      <w:r w:rsidR="00930D63" w:rsidRPr="007240E1">
        <w:rPr>
          <w:b/>
        </w:rPr>
        <w:t xml:space="preserve">and synergy </w:t>
      </w:r>
      <w:r w:rsidR="00591BA8" w:rsidRPr="007240E1">
        <w:rPr>
          <w:b/>
        </w:rPr>
        <w:t xml:space="preserve">between them </w:t>
      </w:r>
      <w:r w:rsidR="00930D63" w:rsidRPr="007240E1">
        <w:rPr>
          <w:b/>
        </w:rPr>
        <w:t>to enhance the protection against racial discrimination</w:t>
      </w:r>
      <w:r w:rsidR="00D25535" w:rsidRPr="007240E1">
        <w:rPr>
          <w:b/>
        </w:rPr>
        <w:t xml:space="preserve"> and violations of other human rights</w:t>
      </w:r>
      <w:r w:rsidR="00930D63" w:rsidRPr="007240E1">
        <w:rPr>
          <w:b/>
        </w:rPr>
        <w:t>.</w:t>
      </w:r>
    </w:p>
    <w:p w:rsidR="002C704A" w:rsidRPr="007240E1" w:rsidRDefault="00B323A6">
      <w:pPr>
        <w:pStyle w:val="H23G"/>
      </w:pPr>
      <w:r w:rsidRPr="007240E1">
        <w:tab/>
      </w:r>
      <w:r w:rsidRPr="007240E1">
        <w:tab/>
      </w:r>
      <w:r w:rsidR="00510251" w:rsidRPr="007240E1">
        <w:t>Situation of migrants, asylum</w:t>
      </w:r>
      <w:r w:rsidR="00E96317" w:rsidRPr="007240E1">
        <w:t xml:space="preserve"> </w:t>
      </w:r>
      <w:r w:rsidR="00510251" w:rsidRPr="007240E1">
        <w:t>seekers and refugees</w:t>
      </w:r>
    </w:p>
    <w:p w:rsidR="00D6598D" w:rsidRPr="007240E1" w:rsidRDefault="00FF6E5F" w:rsidP="007240E1">
      <w:pPr>
        <w:pStyle w:val="SingleTxtG"/>
      </w:pPr>
      <w:r w:rsidRPr="007240E1">
        <w:t>12.</w:t>
      </w:r>
      <w:r w:rsidRPr="007240E1">
        <w:tab/>
      </w:r>
      <w:r w:rsidR="00B877B2" w:rsidRPr="007240E1">
        <w:t xml:space="preserve">While </w:t>
      </w:r>
      <w:r w:rsidR="00E96317" w:rsidRPr="007240E1">
        <w:t xml:space="preserve">noting </w:t>
      </w:r>
      <w:r w:rsidR="00B877B2" w:rsidRPr="007240E1">
        <w:t>the challenges faced by the State party in terms of inf</w:t>
      </w:r>
      <w:r w:rsidR="00957FC9" w:rsidRPr="007240E1">
        <w:t>lux of migrants in the country</w:t>
      </w:r>
      <w:r w:rsidR="00E96317" w:rsidRPr="007240E1">
        <w:t>,</w:t>
      </w:r>
      <w:r w:rsidR="00957FC9" w:rsidRPr="007240E1">
        <w:t xml:space="preserve"> and </w:t>
      </w:r>
      <w:r w:rsidR="00CB23A4" w:rsidRPr="007240E1">
        <w:t xml:space="preserve">despite </w:t>
      </w:r>
      <w:r w:rsidR="00957FC9" w:rsidRPr="007240E1">
        <w:t xml:space="preserve">some </w:t>
      </w:r>
      <w:r w:rsidR="00A04BAD" w:rsidRPr="007240E1">
        <w:t xml:space="preserve">positive </w:t>
      </w:r>
      <w:r w:rsidR="00957FC9" w:rsidRPr="007240E1">
        <w:t xml:space="preserve">measures </w:t>
      </w:r>
      <w:r w:rsidR="00067B19" w:rsidRPr="007240E1">
        <w:t>taken</w:t>
      </w:r>
      <w:r w:rsidR="00957FC9" w:rsidRPr="007240E1">
        <w:t xml:space="preserve">, the </w:t>
      </w:r>
      <w:r w:rsidR="00B877B2" w:rsidRPr="007240E1">
        <w:t>Commit</w:t>
      </w:r>
      <w:r w:rsidR="00D6598D" w:rsidRPr="007240E1">
        <w:t>tee expresses its concern about:</w:t>
      </w:r>
    </w:p>
    <w:p w:rsidR="00D6598D" w:rsidRPr="007240E1" w:rsidRDefault="00734325" w:rsidP="007240E1">
      <w:pPr>
        <w:pStyle w:val="SingleTxtG"/>
        <w:ind w:firstLine="567"/>
      </w:pPr>
      <w:r w:rsidRPr="007240E1">
        <w:t>(a)</w:t>
      </w:r>
      <w:r w:rsidRPr="007240E1">
        <w:tab/>
      </w:r>
      <w:r w:rsidR="007C0B36" w:rsidRPr="007240E1">
        <w:t>Lengthy administrative</w:t>
      </w:r>
      <w:r w:rsidR="00866167" w:rsidRPr="007240E1">
        <w:t xml:space="preserve"> </w:t>
      </w:r>
      <w:r w:rsidR="00B877B2" w:rsidRPr="007240E1">
        <w:t>detention of asylum</w:t>
      </w:r>
      <w:r w:rsidR="00E96317" w:rsidRPr="007240E1">
        <w:t xml:space="preserve"> </w:t>
      </w:r>
      <w:r w:rsidR="00B877B2" w:rsidRPr="007240E1">
        <w:t>seekers</w:t>
      </w:r>
      <w:r w:rsidR="00B33516" w:rsidRPr="007240E1">
        <w:t>,</w:t>
      </w:r>
      <w:r w:rsidR="002C704A" w:rsidRPr="007240E1">
        <w:t xml:space="preserve"> </w:t>
      </w:r>
      <w:r w:rsidR="00B877B2" w:rsidRPr="007240E1">
        <w:t xml:space="preserve">mainly </w:t>
      </w:r>
      <w:r w:rsidR="007C0B36" w:rsidRPr="007240E1">
        <w:t xml:space="preserve">those who are summoned to appear before the courts </w:t>
      </w:r>
      <w:r w:rsidR="00B877B2" w:rsidRPr="007240E1">
        <w:t>as witnesses in criminal trials</w:t>
      </w:r>
      <w:r w:rsidR="00B33516" w:rsidRPr="007240E1">
        <w:t>,</w:t>
      </w:r>
      <w:r w:rsidR="00E15E0C" w:rsidRPr="007240E1">
        <w:t xml:space="preserve"> </w:t>
      </w:r>
      <w:r w:rsidR="00E96317" w:rsidRPr="007240E1">
        <w:t xml:space="preserve">and the </w:t>
      </w:r>
      <w:r w:rsidR="00A00044" w:rsidRPr="007240E1">
        <w:t>detention of</w:t>
      </w:r>
      <w:r w:rsidR="006269A2" w:rsidRPr="007240E1">
        <w:t xml:space="preserve"> unaccompanied minors</w:t>
      </w:r>
      <w:r w:rsidR="006627D6" w:rsidRPr="007240E1">
        <w:t>;</w:t>
      </w:r>
      <w:r w:rsidR="00D6598D" w:rsidRPr="007240E1">
        <w:t xml:space="preserve"> </w:t>
      </w:r>
    </w:p>
    <w:p w:rsidR="00D6598D" w:rsidRPr="007240E1" w:rsidRDefault="00734325" w:rsidP="007240E1">
      <w:pPr>
        <w:pStyle w:val="SingleTxtG"/>
        <w:ind w:firstLine="567"/>
      </w:pPr>
      <w:r w:rsidRPr="007240E1">
        <w:t>(b)</w:t>
      </w:r>
      <w:r w:rsidRPr="007240E1">
        <w:tab/>
      </w:r>
      <w:r w:rsidR="007C0B36" w:rsidRPr="007240E1">
        <w:t xml:space="preserve">Reported cases of expulsion without </w:t>
      </w:r>
      <w:r w:rsidR="00E15E0C" w:rsidRPr="007240E1">
        <w:t xml:space="preserve">proper </w:t>
      </w:r>
      <w:r w:rsidR="007C0B36" w:rsidRPr="007240E1">
        <w:t>assess</w:t>
      </w:r>
      <w:r w:rsidR="00B33516" w:rsidRPr="007240E1">
        <w:t>ment of possible</w:t>
      </w:r>
      <w:r w:rsidR="00E15E0C" w:rsidRPr="007240E1">
        <w:t xml:space="preserve"> infringe</w:t>
      </w:r>
      <w:r w:rsidR="00B33516" w:rsidRPr="007240E1">
        <w:t>ment</w:t>
      </w:r>
      <w:r w:rsidR="00E15E0C" w:rsidRPr="007240E1">
        <w:t xml:space="preserve"> </w:t>
      </w:r>
      <w:r w:rsidR="00F47672" w:rsidRPr="007240E1">
        <w:t xml:space="preserve">of </w:t>
      </w:r>
      <w:r w:rsidR="00E15E0C" w:rsidRPr="007240E1">
        <w:t>the principle of non-refoulement;</w:t>
      </w:r>
    </w:p>
    <w:p w:rsidR="002C704A" w:rsidRPr="007240E1" w:rsidRDefault="00734325" w:rsidP="007240E1">
      <w:pPr>
        <w:pStyle w:val="SingleTxtG"/>
        <w:ind w:firstLine="567"/>
      </w:pPr>
      <w:r w:rsidRPr="007240E1">
        <w:t>(c)</w:t>
      </w:r>
      <w:r w:rsidRPr="007240E1">
        <w:tab/>
      </w:r>
      <w:r w:rsidR="00B33516" w:rsidRPr="007240E1">
        <w:t xml:space="preserve">Poor </w:t>
      </w:r>
      <w:r w:rsidR="007C0B36" w:rsidRPr="007240E1">
        <w:t xml:space="preserve">material conditions </w:t>
      </w:r>
      <w:r w:rsidR="00E15E0C" w:rsidRPr="007240E1">
        <w:t>in</w:t>
      </w:r>
      <w:r w:rsidR="007C0B36" w:rsidRPr="007240E1">
        <w:t xml:space="preserve"> </w:t>
      </w:r>
      <w:r w:rsidR="00E96317" w:rsidRPr="007240E1">
        <w:t>r</w:t>
      </w:r>
      <w:r w:rsidR="007C0B36" w:rsidRPr="007240E1">
        <w:t xml:space="preserve">eception </w:t>
      </w:r>
      <w:r w:rsidR="00E96317" w:rsidRPr="007240E1">
        <w:t>c</w:t>
      </w:r>
      <w:r w:rsidR="007C0B36" w:rsidRPr="007240E1">
        <w:t xml:space="preserve">entres for </w:t>
      </w:r>
      <w:r w:rsidR="00E96317" w:rsidRPr="007240E1">
        <w:t>f</w:t>
      </w:r>
      <w:r w:rsidR="007C0B36" w:rsidRPr="007240E1">
        <w:t>oreigners</w:t>
      </w:r>
      <w:r w:rsidR="006A22A6" w:rsidRPr="007240E1">
        <w:t>, irregularities in the treatment of transit migrants and potential asylum seekers</w:t>
      </w:r>
      <w:r w:rsidR="00445AA0" w:rsidRPr="007240E1">
        <w:t xml:space="preserve"> </w:t>
      </w:r>
      <w:r w:rsidR="00E96317" w:rsidRPr="007240E1">
        <w:t xml:space="preserve">and </w:t>
      </w:r>
      <w:r w:rsidR="006935F1" w:rsidRPr="007240E1">
        <w:t xml:space="preserve">lack of local integration programmes </w:t>
      </w:r>
      <w:r w:rsidR="001D43B6" w:rsidRPr="007240E1">
        <w:t>(art</w:t>
      </w:r>
      <w:r w:rsidR="001D45D8" w:rsidRPr="007240E1">
        <w:t>s</w:t>
      </w:r>
      <w:r w:rsidR="002C704A" w:rsidRPr="007240E1">
        <w:t xml:space="preserve">. </w:t>
      </w:r>
      <w:r w:rsidR="001D43B6" w:rsidRPr="007240E1">
        <w:t xml:space="preserve">2 and </w:t>
      </w:r>
      <w:r w:rsidR="002C704A" w:rsidRPr="007240E1">
        <w:t>5).</w:t>
      </w:r>
    </w:p>
    <w:p w:rsidR="006C2A63" w:rsidRPr="007240E1" w:rsidRDefault="00FF6E5F" w:rsidP="007240E1">
      <w:pPr>
        <w:pStyle w:val="SingleTxtG"/>
        <w:rPr>
          <w:b/>
        </w:rPr>
      </w:pPr>
      <w:r w:rsidRPr="007240E1">
        <w:t>13.</w:t>
      </w:r>
      <w:r w:rsidRPr="007240E1">
        <w:tab/>
      </w:r>
      <w:r w:rsidR="006C2A63" w:rsidRPr="007240E1">
        <w:rPr>
          <w:b/>
        </w:rPr>
        <w:t xml:space="preserve">Bearing in mind its </w:t>
      </w:r>
      <w:r w:rsidR="00BB3A64" w:rsidRPr="007240E1">
        <w:rPr>
          <w:b/>
        </w:rPr>
        <w:t>g</w:t>
      </w:r>
      <w:r w:rsidR="006C2A63" w:rsidRPr="007240E1">
        <w:rPr>
          <w:b/>
        </w:rPr>
        <w:t>eneral recommendation No. 30 (2005) on discrimination against non-citizens, t</w:t>
      </w:r>
      <w:r w:rsidR="002C704A" w:rsidRPr="007240E1">
        <w:rPr>
          <w:b/>
        </w:rPr>
        <w:t>he Committee r</w:t>
      </w:r>
      <w:r w:rsidR="00163DCA" w:rsidRPr="007240E1">
        <w:rPr>
          <w:b/>
        </w:rPr>
        <w:t>ecommends that the State party</w:t>
      </w:r>
      <w:r w:rsidR="006C2A63" w:rsidRPr="007240E1">
        <w:rPr>
          <w:b/>
        </w:rPr>
        <w:t>:</w:t>
      </w:r>
    </w:p>
    <w:p w:rsidR="006C2A63" w:rsidRPr="007240E1" w:rsidRDefault="00734325" w:rsidP="007240E1">
      <w:pPr>
        <w:pStyle w:val="SingleTxtG"/>
        <w:spacing w:line="240" w:lineRule="auto"/>
        <w:ind w:firstLine="567"/>
        <w:rPr>
          <w:b/>
        </w:rPr>
      </w:pPr>
      <w:r w:rsidRPr="007240E1">
        <w:rPr>
          <w:bCs/>
        </w:rPr>
        <w:t>(a)</w:t>
      </w:r>
      <w:r w:rsidRPr="007240E1">
        <w:rPr>
          <w:b/>
        </w:rPr>
        <w:tab/>
      </w:r>
      <w:r w:rsidR="00591BA8" w:rsidRPr="007240E1">
        <w:rPr>
          <w:b/>
        </w:rPr>
        <w:t xml:space="preserve">Refrain from </w:t>
      </w:r>
      <w:r w:rsidR="00E96317" w:rsidRPr="007240E1">
        <w:rPr>
          <w:b/>
        </w:rPr>
        <w:t xml:space="preserve">the </w:t>
      </w:r>
      <w:r w:rsidR="00B33516" w:rsidRPr="007240E1">
        <w:rPr>
          <w:b/>
        </w:rPr>
        <w:t xml:space="preserve">lengthy detention of </w:t>
      </w:r>
      <w:r w:rsidR="006935F1" w:rsidRPr="007240E1">
        <w:rPr>
          <w:b/>
        </w:rPr>
        <w:t xml:space="preserve">migrants as </w:t>
      </w:r>
      <w:r w:rsidR="00811AE9" w:rsidRPr="007240E1">
        <w:rPr>
          <w:b/>
        </w:rPr>
        <w:t>potential witnesses in criminal trials</w:t>
      </w:r>
      <w:r w:rsidR="00591BA8" w:rsidRPr="007240E1">
        <w:rPr>
          <w:b/>
        </w:rPr>
        <w:t xml:space="preserve"> while combating smuggling</w:t>
      </w:r>
      <w:r w:rsidR="00811AE9" w:rsidRPr="007240E1">
        <w:rPr>
          <w:b/>
        </w:rPr>
        <w:t xml:space="preserve">. The </w:t>
      </w:r>
      <w:r w:rsidR="006935F1" w:rsidRPr="007240E1">
        <w:rPr>
          <w:b/>
        </w:rPr>
        <w:t>Committee also recommends that the State party significantly reduce the maximum period of</w:t>
      </w:r>
      <w:r w:rsidR="00EB7054" w:rsidRPr="007240E1">
        <w:rPr>
          <w:b/>
        </w:rPr>
        <w:t xml:space="preserve"> detention under the new draft </w:t>
      </w:r>
      <w:r w:rsidR="00E96317" w:rsidRPr="007240E1">
        <w:rPr>
          <w:b/>
        </w:rPr>
        <w:t>l</w:t>
      </w:r>
      <w:r w:rsidR="006935F1" w:rsidRPr="007240E1">
        <w:rPr>
          <w:b/>
        </w:rPr>
        <w:t xml:space="preserve">aw on </w:t>
      </w:r>
      <w:r w:rsidR="00E96317" w:rsidRPr="007240E1">
        <w:rPr>
          <w:b/>
        </w:rPr>
        <w:t>f</w:t>
      </w:r>
      <w:r w:rsidR="006935F1" w:rsidRPr="007240E1">
        <w:rPr>
          <w:b/>
        </w:rPr>
        <w:t xml:space="preserve">oreigners and effectively ensure that </w:t>
      </w:r>
      <w:r w:rsidR="00EB7054" w:rsidRPr="007240E1">
        <w:rPr>
          <w:b/>
        </w:rPr>
        <w:t>asylum</w:t>
      </w:r>
      <w:r w:rsidR="00E96317" w:rsidRPr="007240E1">
        <w:rPr>
          <w:b/>
        </w:rPr>
        <w:t xml:space="preserve"> </w:t>
      </w:r>
      <w:r w:rsidR="00EB7054" w:rsidRPr="007240E1">
        <w:rPr>
          <w:b/>
        </w:rPr>
        <w:t xml:space="preserve">seekers, in particular </w:t>
      </w:r>
      <w:r w:rsidR="006935F1" w:rsidRPr="007240E1">
        <w:rPr>
          <w:b/>
        </w:rPr>
        <w:t>unaccompanied minors</w:t>
      </w:r>
      <w:r w:rsidR="00B33516" w:rsidRPr="007240E1">
        <w:rPr>
          <w:b/>
        </w:rPr>
        <w:t>,</w:t>
      </w:r>
      <w:r w:rsidR="006935F1" w:rsidRPr="007240E1">
        <w:rPr>
          <w:b/>
        </w:rPr>
        <w:t xml:space="preserve"> are not detained except as a last resort and </w:t>
      </w:r>
      <w:r w:rsidR="001054BD" w:rsidRPr="007240E1">
        <w:rPr>
          <w:b/>
        </w:rPr>
        <w:t>for</w:t>
      </w:r>
      <w:r w:rsidR="006935F1" w:rsidRPr="007240E1">
        <w:rPr>
          <w:b/>
        </w:rPr>
        <w:t xml:space="preserve"> the shortest </w:t>
      </w:r>
      <w:r w:rsidR="001054BD" w:rsidRPr="007240E1">
        <w:rPr>
          <w:b/>
        </w:rPr>
        <w:t>time</w:t>
      </w:r>
      <w:r w:rsidR="006935F1" w:rsidRPr="007240E1">
        <w:rPr>
          <w:b/>
        </w:rPr>
        <w:t xml:space="preserve"> possible;</w:t>
      </w:r>
    </w:p>
    <w:p w:rsidR="006C2A63" w:rsidRPr="007240E1" w:rsidRDefault="00734325" w:rsidP="007240E1">
      <w:pPr>
        <w:pStyle w:val="SingleTxtG"/>
        <w:spacing w:line="240" w:lineRule="auto"/>
        <w:ind w:firstLine="567"/>
        <w:rPr>
          <w:b/>
        </w:rPr>
      </w:pPr>
      <w:r w:rsidRPr="007240E1">
        <w:rPr>
          <w:bCs/>
        </w:rPr>
        <w:t>(b)</w:t>
      </w:r>
      <w:r w:rsidRPr="007240E1">
        <w:rPr>
          <w:b/>
        </w:rPr>
        <w:tab/>
      </w:r>
      <w:r w:rsidR="00D534B3" w:rsidRPr="007240E1">
        <w:rPr>
          <w:b/>
        </w:rPr>
        <w:t xml:space="preserve">Guarantee that all cases of expulsion are well assessed and do not lead to </w:t>
      </w:r>
      <w:r w:rsidR="00E96317" w:rsidRPr="007240E1">
        <w:rPr>
          <w:b/>
        </w:rPr>
        <w:t xml:space="preserve">the </w:t>
      </w:r>
      <w:r w:rsidR="00D534B3" w:rsidRPr="007240E1">
        <w:rPr>
          <w:b/>
        </w:rPr>
        <w:t>expulsion of persons who may be subject</w:t>
      </w:r>
      <w:r w:rsidR="00A841BD" w:rsidRPr="007240E1">
        <w:rPr>
          <w:b/>
        </w:rPr>
        <w:t>ed</w:t>
      </w:r>
      <w:r w:rsidR="00D534B3" w:rsidRPr="007240E1">
        <w:rPr>
          <w:b/>
        </w:rPr>
        <w:t xml:space="preserve"> </w:t>
      </w:r>
      <w:r w:rsidR="001054BD" w:rsidRPr="007240E1">
        <w:rPr>
          <w:b/>
        </w:rPr>
        <w:t xml:space="preserve">to </w:t>
      </w:r>
      <w:r w:rsidR="00257903" w:rsidRPr="007240E1">
        <w:rPr>
          <w:b/>
        </w:rPr>
        <w:t>persecution</w:t>
      </w:r>
      <w:r w:rsidR="00D534B3" w:rsidRPr="007240E1">
        <w:rPr>
          <w:b/>
        </w:rPr>
        <w:t>. Th</w:t>
      </w:r>
      <w:r w:rsidR="001054BD" w:rsidRPr="007240E1">
        <w:rPr>
          <w:b/>
        </w:rPr>
        <w:t xml:space="preserve">e State party should also provide </w:t>
      </w:r>
      <w:r w:rsidR="00D534B3" w:rsidRPr="007240E1">
        <w:rPr>
          <w:b/>
        </w:rPr>
        <w:t>asylum</w:t>
      </w:r>
      <w:r w:rsidR="00E96317" w:rsidRPr="007240E1">
        <w:rPr>
          <w:b/>
        </w:rPr>
        <w:t xml:space="preserve"> </w:t>
      </w:r>
      <w:r w:rsidR="00D534B3" w:rsidRPr="007240E1">
        <w:rPr>
          <w:b/>
        </w:rPr>
        <w:t>seekers with avenues of appeal a</w:t>
      </w:r>
      <w:r w:rsidR="00BD30CE" w:rsidRPr="007240E1">
        <w:rPr>
          <w:b/>
        </w:rPr>
        <w:t xml:space="preserve">nd recourse prior </w:t>
      </w:r>
      <w:r w:rsidR="00E652BC" w:rsidRPr="007240E1">
        <w:rPr>
          <w:b/>
        </w:rPr>
        <w:t xml:space="preserve">to </w:t>
      </w:r>
      <w:r w:rsidR="00E857B4" w:rsidRPr="007240E1">
        <w:rPr>
          <w:b/>
        </w:rPr>
        <w:t xml:space="preserve">the </w:t>
      </w:r>
      <w:r w:rsidR="00BD30CE" w:rsidRPr="007240E1">
        <w:rPr>
          <w:b/>
        </w:rPr>
        <w:t>expulsion and ensure they are treated with respect</w:t>
      </w:r>
      <w:r w:rsidR="00F626F8" w:rsidRPr="007240E1">
        <w:rPr>
          <w:b/>
        </w:rPr>
        <w:t>;</w:t>
      </w:r>
    </w:p>
    <w:p w:rsidR="006935F1" w:rsidRPr="007240E1" w:rsidRDefault="00734325" w:rsidP="007240E1">
      <w:pPr>
        <w:pStyle w:val="SingleTxtG"/>
        <w:spacing w:line="240" w:lineRule="auto"/>
        <w:ind w:firstLine="567"/>
        <w:rPr>
          <w:b/>
        </w:rPr>
      </w:pPr>
      <w:r w:rsidRPr="007240E1">
        <w:rPr>
          <w:bCs/>
        </w:rPr>
        <w:t>(c)</w:t>
      </w:r>
      <w:r w:rsidRPr="007240E1">
        <w:rPr>
          <w:b/>
        </w:rPr>
        <w:tab/>
      </w:r>
      <w:r w:rsidR="00811AE9" w:rsidRPr="007240E1">
        <w:rPr>
          <w:b/>
        </w:rPr>
        <w:t xml:space="preserve">Continue with its efforts </w:t>
      </w:r>
      <w:r w:rsidR="006935F1" w:rsidRPr="007240E1">
        <w:rPr>
          <w:b/>
        </w:rPr>
        <w:t xml:space="preserve">to </w:t>
      </w:r>
      <w:r w:rsidR="00067B19" w:rsidRPr="007240E1">
        <w:rPr>
          <w:b/>
        </w:rPr>
        <w:t>improv</w:t>
      </w:r>
      <w:r w:rsidR="00EB7054" w:rsidRPr="007240E1">
        <w:rPr>
          <w:b/>
        </w:rPr>
        <w:t>e</w:t>
      </w:r>
      <w:r w:rsidR="00067B19" w:rsidRPr="007240E1">
        <w:rPr>
          <w:b/>
        </w:rPr>
        <w:t xml:space="preserve"> the living conditions</w:t>
      </w:r>
      <w:r w:rsidR="00811AE9" w:rsidRPr="007240E1">
        <w:rPr>
          <w:b/>
        </w:rPr>
        <w:t xml:space="preserve"> at the </w:t>
      </w:r>
      <w:r w:rsidR="00E96317" w:rsidRPr="007240E1">
        <w:rPr>
          <w:b/>
        </w:rPr>
        <w:t>r</w:t>
      </w:r>
      <w:r w:rsidR="00811AE9" w:rsidRPr="007240E1">
        <w:rPr>
          <w:b/>
        </w:rPr>
        <w:t xml:space="preserve">eception </w:t>
      </w:r>
      <w:r w:rsidR="00E96317" w:rsidRPr="007240E1">
        <w:rPr>
          <w:b/>
        </w:rPr>
        <w:t>c</w:t>
      </w:r>
      <w:r w:rsidR="00811AE9" w:rsidRPr="007240E1">
        <w:rPr>
          <w:b/>
        </w:rPr>
        <w:t>entre</w:t>
      </w:r>
      <w:r w:rsidR="00E96317" w:rsidRPr="007240E1">
        <w:rPr>
          <w:b/>
        </w:rPr>
        <w:t>s</w:t>
      </w:r>
      <w:r w:rsidR="00811AE9" w:rsidRPr="007240E1">
        <w:rPr>
          <w:b/>
        </w:rPr>
        <w:t xml:space="preserve"> for </w:t>
      </w:r>
      <w:r w:rsidR="00E96317" w:rsidRPr="007240E1">
        <w:rPr>
          <w:b/>
        </w:rPr>
        <w:t>f</w:t>
      </w:r>
      <w:r w:rsidR="00811AE9" w:rsidRPr="007240E1">
        <w:rPr>
          <w:b/>
        </w:rPr>
        <w:t xml:space="preserve">oreigners. While welcoming </w:t>
      </w:r>
      <w:r w:rsidR="00691554" w:rsidRPr="007240E1">
        <w:rPr>
          <w:b/>
        </w:rPr>
        <w:t xml:space="preserve">the </w:t>
      </w:r>
      <w:r w:rsidR="00811AE9" w:rsidRPr="007240E1">
        <w:rPr>
          <w:b/>
        </w:rPr>
        <w:t xml:space="preserve">measures taken to address overcrowding and bad conditions in the Gazi Baba </w:t>
      </w:r>
      <w:r w:rsidR="00E96317" w:rsidRPr="007240E1">
        <w:rPr>
          <w:b/>
        </w:rPr>
        <w:t>r</w:t>
      </w:r>
      <w:r w:rsidR="00811AE9" w:rsidRPr="007240E1">
        <w:rPr>
          <w:b/>
        </w:rPr>
        <w:t xml:space="preserve">eception </w:t>
      </w:r>
      <w:r w:rsidR="00E96317" w:rsidRPr="007240E1">
        <w:rPr>
          <w:b/>
        </w:rPr>
        <w:t>c</w:t>
      </w:r>
      <w:r w:rsidR="00811AE9" w:rsidRPr="007240E1">
        <w:rPr>
          <w:b/>
        </w:rPr>
        <w:t xml:space="preserve">entre for </w:t>
      </w:r>
      <w:r w:rsidR="00E96317" w:rsidRPr="007240E1">
        <w:rPr>
          <w:b/>
        </w:rPr>
        <w:t>f</w:t>
      </w:r>
      <w:r w:rsidR="00811AE9" w:rsidRPr="007240E1">
        <w:rPr>
          <w:b/>
        </w:rPr>
        <w:t>oreigners, the Committee requests that the Ombudsman</w:t>
      </w:r>
      <w:r w:rsidR="00E96317" w:rsidRPr="007240E1">
        <w:rPr>
          <w:b/>
        </w:rPr>
        <w:t>,</w:t>
      </w:r>
      <w:r w:rsidR="00811AE9" w:rsidRPr="007240E1">
        <w:rPr>
          <w:b/>
        </w:rPr>
        <w:t xml:space="preserve"> in its capacity </w:t>
      </w:r>
      <w:r w:rsidR="006935F1" w:rsidRPr="007240E1">
        <w:rPr>
          <w:b/>
        </w:rPr>
        <w:t>as</w:t>
      </w:r>
      <w:r w:rsidR="00811AE9" w:rsidRPr="007240E1">
        <w:rPr>
          <w:b/>
        </w:rPr>
        <w:t xml:space="preserve"> the </w:t>
      </w:r>
      <w:r w:rsidR="00BB3A64" w:rsidRPr="007240E1">
        <w:rPr>
          <w:b/>
        </w:rPr>
        <w:t>n</w:t>
      </w:r>
      <w:r w:rsidR="00811AE9" w:rsidRPr="007240E1">
        <w:rPr>
          <w:b/>
        </w:rPr>
        <w:t xml:space="preserve">ational </w:t>
      </w:r>
      <w:r w:rsidR="00BB3A64" w:rsidRPr="007240E1">
        <w:rPr>
          <w:b/>
        </w:rPr>
        <w:t>p</w:t>
      </w:r>
      <w:r w:rsidR="00811AE9" w:rsidRPr="007240E1">
        <w:rPr>
          <w:b/>
        </w:rPr>
        <w:t xml:space="preserve">reventive </w:t>
      </w:r>
      <w:r w:rsidR="00BB3A64" w:rsidRPr="007240E1">
        <w:rPr>
          <w:b/>
        </w:rPr>
        <w:t>m</w:t>
      </w:r>
      <w:r w:rsidR="00811AE9" w:rsidRPr="007240E1">
        <w:rPr>
          <w:b/>
        </w:rPr>
        <w:t>echanism</w:t>
      </w:r>
      <w:r w:rsidR="00E96317" w:rsidRPr="007240E1">
        <w:rPr>
          <w:b/>
        </w:rPr>
        <w:t>,</w:t>
      </w:r>
      <w:r w:rsidR="00811AE9" w:rsidRPr="007240E1">
        <w:rPr>
          <w:b/>
        </w:rPr>
        <w:t xml:space="preserve"> and concerned non-governmental organizations be granted access to all </w:t>
      </w:r>
      <w:r w:rsidR="00E96317" w:rsidRPr="007240E1">
        <w:rPr>
          <w:b/>
        </w:rPr>
        <w:t>r</w:t>
      </w:r>
      <w:r w:rsidR="00811AE9" w:rsidRPr="007240E1">
        <w:rPr>
          <w:b/>
        </w:rPr>
        <w:t xml:space="preserve">eception </w:t>
      </w:r>
      <w:r w:rsidR="00E96317" w:rsidRPr="007240E1">
        <w:rPr>
          <w:b/>
        </w:rPr>
        <w:t>c</w:t>
      </w:r>
      <w:r w:rsidR="00811AE9" w:rsidRPr="007240E1">
        <w:rPr>
          <w:b/>
        </w:rPr>
        <w:t xml:space="preserve">entres </w:t>
      </w:r>
      <w:r w:rsidR="00591BA8" w:rsidRPr="007240E1">
        <w:rPr>
          <w:b/>
        </w:rPr>
        <w:t xml:space="preserve">with the aim </w:t>
      </w:r>
      <w:r w:rsidR="00454332" w:rsidRPr="007240E1">
        <w:rPr>
          <w:b/>
        </w:rPr>
        <w:t>to</w:t>
      </w:r>
      <w:r w:rsidR="00257903" w:rsidRPr="007240E1">
        <w:rPr>
          <w:b/>
        </w:rPr>
        <w:t xml:space="preserve"> monitoring conditions and </w:t>
      </w:r>
      <w:r w:rsidR="00811AE9" w:rsidRPr="007240E1">
        <w:rPr>
          <w:b/>
        </w:rPr>
        <w:t>prevent</w:t>
      </w:r>
      <w:r w:rsidR="00257903" w:rsidRPr="007240E1">
        <w:rPr>
          <w:b/>
        </w:rPr>
        <w:t>ing</w:t>
      </w:r>
      <w:r w:rsidR="00811AE9" w:rsidRPr="007240E1">
        <w:rPr>
          <w:b/>
        </w:rPr>
        <w:t xml:space="preserve"> </w:t>
      </w:r>
      <w:r w:rsidR="00E96317" w:rsidRPr="007240E1">
        <w:rPr>
          <w:b/>
        </w:rPr>
        <w:t xml:space="preserve">the </w:t>
      </w:r>
      <w:r w:rsidR="00454332" w:rsidRPr="007240E1">
        <w:rPr>
          <w:b/>
        </w:rPr>
        <w:t>mistreatment of detainees</w:t>
      </w:r>
      <w:r w:rsidR="000A484E" w:rsidRPr="007240E1">
        <w:rPr>
          <w:b/>
        </w:rPr>
        <w:t>. The Committee further recommends that the State party i</w:t>
      </w:r>
      <w:r w:rsidR="006935F1" w:rsidRPr="007240E1">
        <w:rPr>
          <w:b/>
        </w:rPr>
        <w:t>mplement its new 2015-2025 Strategy on the Integration of Refugees and Foreign Nationals to enhance local integration programmes.</w:t>
      </w:r>
    </w:p>
    <w:p w:rsidR="002C704A" w:rsidRPr="007240E1" w:rsidRDefault="00B323A6" w:rsidP="00514F33">
      <w:pPr>
        <w:pStyle w:val="H23G"/>
      </w:pPr>
      <w:r w:rsidRPr="007240E1">
        <w:tab/>
      </w:r>
      <w:r w:rsidRPr="007240E1">
        <w:tab/>
      </w:r>
      <w:r w:rsidR="00510251" w:rsidRPr="007240E1">
        <w:t>Freedom of movement</w:t>
      </w:r>
    </w:p>
    <w:p w:rsidR="002C704A" w:rsidRPr="007240E1" w:rsidRDefault="00FF6E5F" w:rsidP="007240E1">
      <w:pPr>
        <w:pStyle w:val="SingleTxtG"/>
      </w:pPr>
      <w:r w:rsidRPr="007240E1">
        <w:t>14.</w:t>
      </w:r>
      <w:r w:rsidRPr="007240E1">
        <w:tab/>
      </w:r>
      <w:r w:rsidR="00F739D7" w:rsidRPr="007240E1">
        <w:t xml:space="preserve">The Committee </w:t>
      </w:r>
      <w:r w:rsidR="000767DB" w:rsidRPr="007240E1">
        <w:t>is</w:t>
      </w:r>
      <w:r w:rsidR="00F739D7" w:rsidRPr="007240E1">
        <w:t xml:space="preserve"> concern</w:t>
      </w:r>
      <w:r w:rsidR="000767DB" w:rsidRPr="007240E1">
        <w:t>ed</w:t>
      </w:r>
      <w:r w:rsidR="00F739D7" w:rsidRPr="007240E1">
        <w:t xml:space="preserve"> about </w:t>
      </w:r>
      <w:r w:rsidR="000767DB" w:rsidRPr="007240E1">
        <w:t>reports</w:t>
      </w:r>
      <w:r w:rsidR="00F739D7" w:rsidRPr="007240E1">
        <w:t xml:space="preserve"> that citizens belonging to Roma and Albanian communities </w:t>
      </w:r>
      <w:r w:rsidR="000767DB" w:rsidRPr="007240E1">
        <w:t xml:space="preserve">have been </w:t>
      </w:r>
      <w:r w:rsidR="00F739D7" w:rsidRPr="007240E1">
        <w:t xml:space="preserve">prevented </w:t>
      </w:r>
      <w:r w:rsidR="00E652BC" w:rsidRPr="007240E1">
        <w:t xml:space="preserve">from </w:t>
      </w:r>
      <w:r w:rsidR="00F739D7" w:rsidRPr="007240E1">
        <w:t>leav</w:t>
      </w:r>
      <w:r w:rsidR="00E652BC" w:rsidRPr="007240E1">
        <w:t>ing</w:t>
      </w:r>
      <w:r w:rsidR="00F739D7" w:rsidRPr="007240E1">
        <w:t xml:space="preserve"> the country on the </w:t>
      </w:r>
      <w:r w:rsidR="000767DB" w:rsidRPr="007240E1">
        <w:t>ground</w:t>
      </w:r>
      <w:r w:rsidR="00E96317" w:rsidRPr="007240E1">
        <w:t>s</w:t>
      </w:r>
      <w:r w:rsidR="000767DB" w:rsidRPr="007240E1">
        <w:t xml:space="preserve"> </w:t>
      </w:r>
      <w:r w:rsidR="00F739D7" w:rsidRPr="007240E1">
        <w:t xml:space="preserve">that they </w:t>
      </w:r>
      <w:r w:rsidR="005A16E1" w:rsidRPr="007240E1">
        <w:t>would</w:t>
      </w:r>
      <w:r w:rsidR="00F739D7" w:rsidRPr="007240E1">
        <w:t xml:space="preserve"> apply</w:t>
      </w:r>
      <w:r w:rsidR="005A16E1" w:rsidRPr="007240E1">
        <w:t xml:space="preserve"> </w:t>
      </w:r>
      <w:r w:rsidR="00E652BC" w:rsidRPr="007240E1">
        <w:t xml:space="preserve">for </w:t>
      </w:r>
      <w:r w:rsidR="005A16E1" w:rsidRPr="007240E1">
        <w:t>asylum in European Union</w:t>
      </w:r>
      <w:r w:rsidR="00DE46AC" w:rsidRPr="007240E1">
        <w:t xml:space="preserve"> </w:t>
      </w:r>
      <w:r w:rsidR="00613BD8" w:rsidRPr="007240E1">
        <w:t>countries</w:t>
      </w:r>
      <w:r w:rsidR="000767DB" w:rsidRPr="007240E1">
        <w:t>,</w:t>
      </w:r>
      <w:r w:rsidR="00613BD8" w:rsidRPr="007240E1">
        <w:t xml:space="preserve"> </w:t>
      </w:r>
      <w:r w:rsidR="00DE46AC" w:rsidRPr="007240E1">
        <w:t xml:space="preserve">and </w:t>
      </w:r>
      <w:r w:rsidR="000767DB" w:rsidRPr="007240E1">
        <w:t xml:space="preserve">have </w:t>
      </w:r>
      <w:r w:rsidR="00591BA8" w:rsidRPr="007240E1">
        <w:t>ha</w:t>
      </w:r>
      <w:r w:rsidR="00EB7054" w:rsidRPr="007240E1">
        <w:t>d</w:t>
      </w:r>
      <w:r w:rsidR="00591BA8" w:rsidRPr="007240E1">
        <w:t xml:space="preserve"> </w:t>
      </w:r>
      <w:r w:rsidR="00DE46AC" w:rsidRPr="007240E1">
        <w:t>their travel documents confiscated</w:t>
      </w:r>
      <w:r w:rsidR="00F739D7" w:rsidRPr="007240E1">
        <w:t>. The Committee</w:t>
      </w:r>
      <w:r w:rsidR="005A16E1" w:rsidRPr="007240E1">
        <w:t xml:space="preserve"> notes the 2014 </w:t>
      </w:r>
      <w:r w:rsidR="00E96317" w:rsidRPr="007240E1">
        <w:t>r</w:t>
      </w:r>
      <w:r w:rsidR="005A16E1" w:rsidRPr="007240E1">
        <w:t xml:space="preserve">uling of the Constitutional Court </w:t>
      </w:r>
      <w:r w:rsidR="00E96317" w:rsidRPr="007240E1">
        <w:t xml:space="preserve">that </w:t>
      </w:r>
      <w:r w:rsidR="005A16E1" w:rsidRPr="007240E1">
        <w:t>abolish</w:t>
      </w:r>
      <w:r w:rsidR="00E96317" w:rsidRPr="007240E1">
        <w:t>ed</w:t>
      </w:r>
      <w:r w:rsidR="005A16E1" w:rsidRPr="007240E1">
        <w:t xml:space="preserve"> restrictive provisions of the Law on Travel Documents</w:t>
      </w:r>
      <w:r w:rsidR="00E96317" w:rsidRPr="007240E1">
        <w:t>,</w:t>
      </w:r>
      <w:r w:rsidR="00EE144F" w:rsidRPr="007240E1">
        <w:t xml:space="preserve"> but</w:t>
      </w:r>
      <w:r w:rsidR="005A16E1" w:rsidRPr="007240E1">
        <w:t xml:space="preserve"> </w:t>
      </w:r>
      <w:r w:rsidR="000767DB" w:rsidRPr="007240E1">
        <w:t>remains</w:t>
      </w:r>
      <w:r w:rsidR="00EE144F" w:rsidRPr="007240E1">
        <w:t xml:space="preserve"> </w:t>
      </w:r>
      <w:r w:rsidR="005A16E1" w:rsidRPr="007240E1">
        <w:t xml:space="preserve">concerned by </w:t>
      </w:r>
      <w:r w:rsidR="006E0004" w:rsidRPr="007240E1">
        <w:t xml:space="preserve">the </w:t>
      </w:r>
      <w:r w:rsidR="005A16E1" w:rsidRPr="007240E1">
        <w:t xml:space="preserve">ethnic profiling of </w:t>
      </w:r>
      <w:r w:rsidR="006E0004" w:rsidRPr="007240E1">
        <w:t>these communities</w:t>
      </w:r>
      <w:r w:rsidR="005A16E1" w:rsidRPr="007240E1">
        <w:t xml:space="preserve"> by border police</w:t>
      </w:r>
      <w:r w:rsidR="002C704A" w:rsidRPr="007240E1">
        <w:t xml:space="preserve"> </w:t>
      </w:r>
      <w:r w:rsidR="005A16E1" w:rsidRPr="007240E1">
        <w:t xml:space="preserve">officers </w:t>
      </w:r>
      <w:r w:rsidR="002C704A" w:rsidRPr="007240E1">
        <w:t>(arts. 2 and 5).</w:t>
      </w:r>
    </w:p>
    <w:p w:rsidR="006E0004" w:rsidRPr="007240E1" w:rsidRDefault="00FF6E5F" w:rsidP="007240E1">
      <w:pPr>
        <w:pStyle w:val="SingleTxtG"/>
        <w:rPr>
          <w:b/>
        </w:rPr>
      </w:pPr>
      <w:r w:rsidRPr="007240E1">
        <w:t>15.</w:t>
      </w:r>
      <w:r w:rsidRPr="007240E1">
        <w:tab/>
      </w:r>
      <w:r w:rsidR="00F739D7" w:rsidRPr="007240E1">
        <w:rPr>
          <w:b/>
        </w:rPr>
        <w:t xml:space="preserve">While taking note </w:t>
      </w:r>
      <w:r w:rsidR="00EE144F" w:rsidRPr="007240E1">
        <w:rPr>
          <w:b/>
        </w:rPr>
        <w:t xml:space="preserve">of </w:t>
      </w:r>
      <w:r w:rsidR="00F739D7" w:rsidRPr="007240E1">
        <w:rPr>
          <w:b/>
        </w:rPr>
        <w:t xml:space="preserve">the </w:t>
      </w:r>
      <w:r w:rsidR="006E0004" w:rsidRPr="007240E1">
        <w:rPr>
          <w:b/>
        </w:rPr>
        <w:t xml:space="preserve">delegation’s </w:t>
      </w:r>
      <w:r w:rsidR="00F739D7" w:rsidRPr="007240E1">
        <w:rPr>
          <w:b/>
        </w:rPr>
        <w:t xml:space="preserve">declaration that the State party will implement </w:t>
      </w:r>
      <w:r w:rsidR="00EE144F" w:rsidRPr="007240E1">
        <w:rPr>
          <w:b/>
        </w:rPr>
        <w:t>the above</w:t>
      </w:r>
      <w:r w:rsidR="00E96317" w:rsidRPr="007240E1">
        <w:rPr>
          <w:b/>
        </w:rPr>
        <w:t>-</w:t>
      </w:r>
      <w:r w:rsidR="00EE144F" w:rsidRPr="007240E1">
        <w:rPr>
          <w:b/>
        </w:rPr>
        <w:t>mentioned ruling, t</w:t>
      </w:r>
      <w:r w:rsidR="00F739D7" w:rsidRPr="007240E1">
        <w:rPr>
          <w:b/>
        </w:rPr>
        <w:t xml:space="preserve">he Committee recommends that the State party closely </w:t>
      </w:r>
      <w:r w:rsidR="006E0004" w:rsidRPr="007240E1">
        <w:rPr>
          <w:b/>
        </w:rPr>
        <w:t xml:space="preserve">assess </w:t>
      </w:r>
      <w:r w:rsidR="00B35DBF" w:rsidRPr="007240E1">
        <w:rPr>
          <w:b/>
        </w:rPr>
        <w:t xml:space="preserve">and </w:t>
      </w:r>
      <w:r w:rsidR="00837DAC" w:rsidRPr="007240E1">
        <w:rPr>
          <w:b/>
        </w:rPr>
        <w:t>take steps to respond to</w:t>
      </w:r>
      <w:r w:rsidR="00B35DBF" w:rsidRPr="007240E1">
        <w:rPr>
          <w:b/>
        </w:rPr>
        <w:t xml:space="preserve"> </w:t>
      </w:r>
      <w:r w:rsidR="006E0004" w:rsidRPr="007240E1">
        <w:rPr>
          <w:b/>
        </w:rPr>
        <w:t xml:space="preserve">the causes </w:t>
      </w:r>
      <w:r w:rsidR="00E96317" w:rsidRPr="007240E1">
        <w:rPr>
          <w:b/>
        </w:rPr>
        <w:t xml:space="preserve">that </w:t>
      </w:r>
      <w:r w:rsidR="006E0004" w:rsidRPr="007240E1">
        <w:rPr>
          <w:b/>
        </w:rPr>
        <w:t xml:space="preserve">lead persons belonging to these communities to </w:t>
      </w:r>
      <w:r w:rsidR="00A04BAD" w:rsidRPr="007240E1">
        <w:rPr>
          <w:b/>
        </w:rPr>
        <w:t xml:space="preserve">leave or </w:t>
      </w:r>
      <w:r w:rsidR="006E0004" w:rsidRPr="007240E1">
        <w:rPr>
          <w:b/>
        </w:rPr>
        <w:t>seek refuge in other countries. The Committee recommends that the State party full</w:t>
      </w:r>
      <w:r w:rsidR="00DF3BF2" w:rsidRPr="007240E1">
        <w:rPr>
          <w:b/>
        </w:rPr>
        <w:t>y</w:t>
      </w:r>
      <w:r w:rsidR="006E0004" w:rsidRPr="007240E1">
        <w:rPr>
          <w:b/>
        </w:rPr>
        <w:t xml:space="preserve"> respect the right to freedom of movement</w:t>
      </w:r>
      <w:r w:rsidR="00DF3BF2" w:rsidRPr="007240E1">
        <w:rPr>
          <w:b/>
        </w:rPr>
        <w:t xml:space="preserve"> of its citizens and their right to leave and return to the country. In </w:t>
      </w:r>
      <w:r w:rsidR="00E96317" w:rsidRPr="007240E1">
        <w:rPr>
          <w:b/>
        </w:rPr>
        <w:t xml:space="preserve">the </w:t>
      </w:r>
      <w:r w:rsidR="00DF3BF2" w:rsidRPr="007240E1">
        <w:rPr>
          <w:b/>
        </w:rPr>
        <w:t xml:space="preserve">light of its </w:t>
      </w:r>
      <w:r w:rsidR="00BB3A64" w:rsidRPr="007240E1">
        <w:rPr>
          <w:b/>
        </w:rPr>
        <w:t>g</w:t>
      </w:r>
      <w:r w:rsidR="00DF3BF2" w:rsidRPr="007240E1">
        <w:rPr>
          <w:b/>
        </w:rPr>
        <w:t xml:space="preserve">eneral recommendation 31 (2005) on the prevention of racial discrimination in the administration and functioning of the criminal justice system, the Committee recalls that </w:t>
      </w:r>
      <w:r w:rsidR="006E0004" w:rsidRPr="007240E1">
        <w:rPr>
          <w:b/>
        </w:rPr>
        <w:t>States parties should take the necessary steps to prevent questioning, arrests</w:t>
      </w:r>
      <w:r w:rsidR="00591BA8" w:rsidRPr="007240E1">
        <w:rPr>
          <w:b/>
        </w:rPr>
        <w:t xml:space="preserve"> and searches</w:t>
      </w:r>
      <w:r w:rsidR="000A484E" w:rsidRPr="007240E1">
        <w:rPr>
          <w:b/>
        </w:rPr>
        <w:t xml:space="preserve"> </w:t>
      </w:r>
      <w:r w:rsidR="006E0004" w:rsidRPr="007240E1">
        <w:rPr>
          <w:b/>
        </w:rPr>
        <w:t xml:space="preserve">solely on </w:t>
      </w:r>
      <w:r w:rsidR="00DF3BF2" w:rsidRPr="007240E1">
        <w:rPr>
          <w:b/>
        </w:rPr>
        <w:t xml:space="preserve">the </w:t>
      </w:r>
      <w:r w:rsidR="005E1397" w:rsidRPr="007240E1">
        <w:rPr>
          <w:b/>
        </w:rPr>
        <w:t xml:space="preserve">basis of the </w:t>
      </w:r>
      <w:r w:rsidR="00DF3BF2" w:rsidRPr="007240E1">
        <w:rPr>
          <w:b/>
        </w:rPr>
        <w:t xml:space="preserve">ethnicity of individuals. The </w:t>
      </w:r>
      <w:r w:rsidR="006E0004" w:rsidRPr="007240E1">
        <w:rPr>
          <w:b/>
        </w:rPr>
        <w:t xml:space="preserve">mere </w:t>
      </w:r>
      <w:r w:rsidR="00511773" w:rsidRPr="007240E1">
        <w:rPr>
          <w:b/>
        </w:rPr>
        <w:t xml:space="preserve">perception or the </w:t>
      </w:r>
      <w:r w:rsidR="006E0004" w:rsidRPr="007240E1">
        <w:rPr>
          <w:b/>
        </w:rPr>
        <w:t>fact of belonging to a</w:t>
      </w:r>
      <w:r w:rsidR="00B35DBF" w:rsidRPr="007240E1">
        <w:rPr>
          <w:b/>
        </w:rPr>
        <w:t>n</w:t>
      </w:r>
      <w:r w:rsidR="006E0004" w:rsidRPr="007240E1">
        <w:rPr>
          <w:b/>
        </w:rPr>
        <w:t xml:space="preserve"> ethnic group is not a sufficient reason, de jure or de facto, to </w:t>
      </w:r>
      <w:r w:rsidR="00DF3BF2" w:rsidRPr="007240E1">
        <w:rPr>
          <w:b/>
        </w:rPr>
        <w:t>restrict the right to movement.</w:t>
      </w:r>
    </w:p>
    <w:p w:rsidR="002C704A" w:rsidRPr="007240E1" w:rsidRDefault="00B323A6" w:rsidP="00B323A6">
      <w:pPr>
        <w:pStyle w:val="H23G"/>
      </w:pPr>
      <w:r w:rsidRPr="007240E1">
        <w:tab/>
      </w:r>
      <w:r w:rsidRPr="007240E1">
        <w:tab/>
      </w:r>
      <w:r w:rsidR="00510251" w:rsidRPr="007240E1">
        <w:t>Situation of Roma</w:t>
      </w:r>
    </w:p>
    <w:p w:rsidR="002C704A" w:rsidRPr="007240E1" w:rsidRDefault="00FF6E5F" w:rsidP="007240E1">
      <w:pPr>
        <w:pStyle w:val="SingleTxtG"/>
      </w:pPr>
      <w:r w:rsidRPr="007240E1">
        <w:t>16.</w:t>
      </w:r>
      <w:r w:rsidRPr="007240E1">
        <w:tab/>
      </w:r>
      <w:r w:rsidR="002C704A" w:rsidRPr="007240E1">
        <w:t xml:space="preserve">The </w:t>
      </w:r>
      <w:r w:rsidR="00ED7B47" w:rsidRPr="007240E1">
        <w:t xml:space="preserve">Committee is concerned </w:t>
      </w:r>
      <w:r w:rsidR="00975CCA" w:rsidRPr="007240E1">
        <w:t>by</w:t>
      </w:r>
      <w:r w:rsidR="001D45D8" w:rsidRPr="007240E1">
        <w:t>:</w:t>
      </w:r>
      <w:r w:rsidR="00975CCA" w:rsidRPr="007240E1">
        <w:t xml:space="preserve"> </w:t>
      </w:r>
    </w:p>
    <w:p w:rsidR="00ED7B47" w:rsidRPr="007240E1" w:rsidRDefault="004328CB" w:rsidP="007240E1">
      <w:pPr>
        <w:pStyle w:val="SingleTxtG"/>
        <w:ind w:firstLine="567"/>
      </w:pPr>
      <w:r w:rsidRPr="007240E1">
        <w:t>(a)</w:t>
      </w:r>
      <w:r w:rsidRPr="007240E1">
        <w:tab/>
      </w:r>
      <w:r w:rsidR="00ED7B47" w:rsidRPr="007240E1">
        <w:t>The information regarding existing segregation of Roma in the field of education despite significant progress achieved by the State party in this area</w:t>
      </w:r>
      <w:r w:rsidR="00A951BD" w:rsidRPr="007240E1">
        <w:t xml:space="preserve">. The Committee is concerned by the information related to </w:t>
      </w:r>
      <w:r w:rsidR="00613BD8" w:rsidRPr="007240E1">
        <w:t>the refusal by some schools to enrol Roma students,</w:t>
      </w:r>
      <w:r w:rsidR="009C6B11" w:rsidRPr="007240E1">
        <w:t xml:space="preserve"> including in Bitola,</w:t>
      </w:r>
      <w:r w:rsidR="00613BD8" w:rsidRPr="007240E1">
        <w:t xml:space="preserve"> the occurrence of self-segregation by Roma students </w:t>
      </w:r>
      <w:r w:rsidR="005E1397" w:rsidRPr="007240E1">
        <w:t xml:space="preserve">and </w:t>
      </w:r>
      <w:r w:rsidR="00613BD8" w:rsidRPr="007240E1">
        <w:t xml:space="preserve">the </w:t>
      </w:r>
      <w:r w:rsidR="00511773" w:rsidRPr="007240E1">
        <w:t xml:space="preserve">still </w:t>
      </w:r>
      <w:r w:rsidR="00613BD8" w:rsidRPr="007240E1">
        <w:t>high percentage of Roma in schools for children with intellectual disabilities;</w:t>
      </w:r>
    </w:p>
    <w:p w:rsidR="003C0F23" w:rsidRPr="007240E1" w:rsidRDefault="004328CB" w:rsidP="007240E1">
      <w:pPr>
        <w:pStyle w:val="SingleTxtG"/>
        <w:ind w:firstLine="567"/>
      </w:pPr>
      <w:r w:rsidRPr="007240E1">
        <w:t>(b)</w:t>
      </w:r>
      <w:r w:rsidRPr="007240E1">
        <w:tab/>
      </w:r>
      <w:r w:rsidR="003C0F23" w:rsidRPr="007240E1">
        <w:t xml:space="preserve">The slow </w:t>
      </w:r>
      <w:r w:rsidR="003327A8" w:rsidRPr="007240E1">
        <w:t>progress</w:t>
      </w:r>
      <w:r w:rsidR="003C0F23" w:rsidRPr="007240E1">
        <w:t xml:space="preserve"> achieved </w:t>
      </w:r>
      <w:r w:rsidR="000767DB" w:rsidRPr="007240E1">
        <w:t>with respect</w:t>
      </w:r>
      <w:r w:rsidR="003C0F23" w:rsidRPr="007240E1">
        <w:t xml:space="preserve"> to the State party’s </w:t>
      </w:r>
      <w:r w:rsidR="000767DB" w:rsidRPr="007240E1">
        <w:t xml:space="preserve">efforts </w:t>
      </w:r>
      <w:r w:rsidR="003C0F23" w:rsidRPr="007240E1">
        <w:t>to allocate social housing to Roma families and improve living</w:t>
      </w:r>
      <w:r w:rsidR="00591BA8" w:rsidRPr="007240E1">
        <w:t xml:space="preserve"> conditions in Roma settlements </w:t>
      </w:r>
      <w:r w:rsidR="003327A8" w:rsidRPr="007240E1">
        <w:t>through the implementation of projects under the Decade and Strategy for the Roma;</w:t>
      </w:r>
    </w:p>
    <w:p w:rsidR="00613BD8" w:rsidRPr="007240E1" w:rsidRDefault="004328CB" w:rsidP="007240E1">
      <w:pPr>
        <w:pStyle w:val="SingleTxtG"/>
        <w:ind w:firstLine="567"/>
      </w:pPr>
      <w:r w:rsidRPr="007240E1">
        <w:t>(c)</w:t>
      </w:r>
      <w:r w:rsidRPr="007240E1">
        <w:tab/>
      </w:r>
      <w:r w:rsidR="00975CCA" w:rsidRPr="007240E1">
        <w:t xml:space="preserve">The fact that persons belonging to </w:t>
      </w:r>
      <w:r w:rsidR="005E1397" w:rsidRPr="007240E1">
        <w:t xml:space="preserve">the </w:t>
      </w:r>
      <w:r w:rsidR="00975CCA" w:rsidRPr="007240E1">
        <w:t xml:space="preserve">Roma community </w:t>
      </w:r>
      <w:r w:rsidR="00DE45EF" w:rsidRPr="007240E1">
        <w:t>continue to be</w:t>
      </w:r>
      <w:r w:rsidR="00975CCA" w:rsidRPr="007240E1">
        <w:t xml:space="preserve"> the most affected by poverty, material depr</w:t>
      </w:r>
      <w:r w:rsidR="00A04BAD" w:rsidRPr="007240E1">
        <w:t>i</w:t>
      </w:r>
      <w:r w:rsidR="00975CCA" w:rsidRPr="007240E1">
        <w:t>vation</w:t>
      </w:r>
      <w:r w:rsidR="00BC6280" w:rsidRPr="007240E1">
        <w:t>, unemployment</w:t>
      </w:r>
      <w:r w:rsidR="00975CCA" w:rsidRPr="007240E1">
        <w:t xml:space="preserve"> and social exclusion</w:t>
      </w:r>
      <w:r w:rsidR="001D45D8" w:rsidRPr="007240E1">
        <w:t xml:space="preserve"> (arts. 2, 3 and 5).</w:t>
      </w:r>
    </w:p>
    <w:p w:rsidR="002C704A" w:rsidRPr="007240E1" w:rsidRDefault="00FF6E5F" w:rsidP="007240E1">
      <w:pPr>
        <w:pStyle w:val="SingleTxtG"/>
        <w:rPr>
          <w:b/>
        </w:rPr>
      </w:pPr>
      <w:r w:rsidRPr="007240E1">
        <w:t>17.</w:t>
      </w:r>
      <w:r w:rsidRPr="007240E1">
        <w:tab/>
      </w:r>
      <w:r w:rsidR="0014424E" w:rsidRPr="007240E1">
        <w:rPr>
          <w:b/>
        </w:rPr>
        <w:t xml:space="preserve">In view of its </w:t>
      </w:r>
      <w:r w:rsidR="00BB3A64" w:rsidRPr="007240E1">
        <w:rPr>
          <w:b/>
        </w:rPr>
        <w:t>g</w:t>
      </w:r>
      <w:r w:rsidR="0014424E" w:rsidRPr="007240E1">
        <w:rPr>
          <w:b/>
        </w:rPr>
        <w:t>eneral recommendations 27 (2000) on discrimination against Roma, t</w:t>
      </w:r>
      <w:r w:rsidR="002C704A" w:rsidRPr="007240E1">
        <w:rPr>
          <w:b/>
        </w:rPr>
        <w:t>he Committee</w:t>
      </w:r>
      <w:r w:rsidR="002C704A" w:rsidRPr="007240E1">
        <w:t xml:space="preserve"> </w:t>
      </w:r>
      <w:r w:rsidR="002C704A" w:rsidRPr="007240E1">
        <w:rPr>
          <w:b/>
        </w:rPr>
        <w:t>recommends</w:t>
      </w:r>
      <w:r w:rsidR="002C704A" w:rsidRPr="007240E1">
        <w:t xml:space="preserve"> </w:t>
      </w:r>
      <w:r w:rsidR="002C704A" w:rsidRPr="007240E1">
        <w:rPr>
          <w:b/>
        </w:rPr>
        <w:t>that the State party</w:t>
      </w:r>
      <w:r w:rsidR="00DF3BF2" w:rsidRPr="007240E1">
        <w:rPr>
          <w:b/>
        </w:rPr>
        <w:t>:</w:t>
      </w:r>
    </w:p>
    <w:p w:rsidR="00ED7B47" w:rsidRPr="007240E1" w:rsidRDefault="004328CB" w:rsidP="007240E1">
      <w:pPr>
        <w:pStyle w:val="SingleTxtG"/>
        <w:spacing w:line="240" w:lineRule="auto"/>
        <w:ind w:firstLine="567"/>
        <w:rPr>
          <w:b/>
        </w:rPr>
      </w:pPr>
      <w:r w:rsidRPr="007240E1">
        <w:rPr>
          <w:bCs/>
        </w:rPr>
        <w:t>(a)</w:t>
      </w:r>
      <w:r w:rsidRPr="007240E1">
        <w:rPr>
          <w:b/>
        </w:rPr>
        <w:tab/>
      </w:r>
      <w:r w:rsidR="00970648" w:rsidRPr="007240E1">
        <w:rPr>
          <w:b/>
        </w:rPr>
        <w:t xml:space="preserve">Firmly address the issue of segregation of Roma children in education in line with article 3 of the Convention. The Committee underlines that conditions of racial segregation are not </w:t>
      </w:r>
      <w:r w:rsidR="00A04BAD" w:rsidRPr="007240E1">
        <w:rPr>
          <w:b/>
        </w:rPr>
        <w:t xml:space="preserve">necessarily </w:t>
      </w:r>
      <w:r w:rsidR="00970648" w:rsidRPr="007240E1">
        <w:rPr>
          <w:b/>
        </w:rPr>
        <w:t>created by governmental policies but may arise as an unintended by</w:t>
      </w:r>
      <w:r w:rsidR="005E1397" w:rsidRPr="007240E1">
        <w:rPr>
          <w:b/>
        </w:rPr>
        <w:t>-</w:t>
      </w:r>
      <w:r w:rsidR="00970648" w:rsidRPr="007240E1">
        <w:rPr>
          <w:b/>
        </w:rPr>
        <w:t>product of actions of private pers</w:t>
      </w:r>
      <w:r w:rsidR="000C541D" w:rsidRPr="007240E1">
        <w:rPr>
          <w:b/>
        </w:rPr>
        <w:t xml:space="preserve">ons leading to social isolation. The State party should </w:t>
      </w:r>
      <w:r w:rsidR="000767DB" w:rsidRPr="007240E1">
        <w:rPr>
          <w:b/>
        </w:rPr>
        <w:t xml:space="preserve">eliminate </w:t>
      </w:r>
      <w:r w:rsidR="000C541D" w:rsidRPr="007240E1">
        <w:rPr>
          <w:b/>
        </w:rPr>
        <w:t>any discrimination against Roma students</w:t>
      </w:r>
      <w:r w:rsidR="009E4A49" w:rsidRPr="007240E1">
        <w:rPr>
          <w:b/>
        </w:rPr>
        <w:t xml:space="preserve"> in their access to adequate education and combat stereotypes that lead to social exclusion;</w:t>
      </w:r>
    </w:p>
    <w:p w:rsidR="0014424E" w:rsidRPr="007240E1" w:rsidRDefault="004328CB" w:rsidP="007240E1">
      <w:pPr>
        <w:pStyle w:val="SingleTxtG"/>
        <w:spacing w:line="240" w:lineRule="auto"/>
        <w:ind w:firstLine="567"/>
        <w:rPr>
          <w:b/>
        </w:rPr>
      </w:pPr>
      <w:r w:rsidRPr="007240E1">
        <w:rPr>
          <w:bCs/>
        </w:rPr>
        <w:t>(b)</w:t>
      </w:r>
      <w:r w:rsidRPr="007240E1">
        <w:rPr>
          <w:b/>
        </w:rPr>
        <w:tab/>
      </w:r>
      <w:r w:rsidR="004549A4" w:rsidRPr="007240E1">
        <w:rPr>
          <w:b/>
        </w:rPr>
        <w:t xml:space="preserve">Strengthen its </w:t>
      </w:r>
      <w:r w:rsidR="007C3B88" w:rsidRPr="007240E1">
        <w:rPr>
          <w:b/>
        </w:rPr>
        <w:t>efforts</w:t>
      </w:r>
      <w:r w:rsidR="004549A4" w:rsidRPr="007240E1">
        <w:rPr>
          <w:b/>
        </w:rPr>
        <w:t xml:space="preserve"> </w:t>
      </w:r>
      <w:r w:rsidR="005E1397" w:rsidRPr="007240E1">
        <w:rPr>
          <w:b/>
        </w:rPr>
        <w:t xml:space="preserve">to </w:t>
      </w:r>
      <w:r w:rsidR="004549A4" w:rsidRPr="007240E1">
        <w:rPr>
          <w:b/>
        </w:rPr>
        <w:t>provid</w:t>
      </w:r>
      <w:r w:rsidR="005E1397" w:rsidRPr="007240E1">
        <w:rPr>
          <w:b/>
        </w:rPr>
        <w:t>e</w:t>
      </w:r>
      <w:r w:rsidR="004549A4" w:rsidRPr="007240E1">
        <w:rPr>
          <w:b/>
        </w:rPr>
        <w:t xml:space="preserve"> adequate </w:t>
      </w:r>
      <w:r w:rsidR="00E652BC" w:rsidRPr="007240E1">
        <w:rPr>
          <w:b/>
        </w:rPr>
        <w:t xml:space="preserve">social </w:t>
      </w:r>
      <w:r w:rsidR="004549A4" w:rsidRPr="007240E1">
        <w:rPr>
          <w:b/>
        </w:rPr>
        <w:t xml:space="preserve">housing to Roma families through </w:t>
      </w:r>
      <w:r w:rsidR="000D1523" w:rsidRPr="007240E1">
        <w:rPr>
          <w:b/>
        </w:rPr>
        <w:t>special programmes for housing by municipalities</w:t>
      </w:r>
      <w:r w:rsidR="00CF0A92" w:rsidRPr="007240E1">
        <w:rPr>
          <w:b/>
        </w:rPr>
        <w:t xml:space="preserve">, including </w:t>
      </w:r>
      <w:r w:rsidR="005E1397" w:rsidRPr="007240E1">
        <w:rPr>
          <w:b/>
        </w:rPr>
        <w:t xml:space="preserve">by </w:t>
      </w:r>
      <w:r w:rsidR="000767DB" w:rsidRPr="007240E1">
        <w:rPr>
          <w:b/>
        </w:rPr>
        <w:t xml:space="preserve">allocating an adequate </w:t>
      </w:r>
      <w:r w:rsidR="00CF0A92" w:rsidRPr="007240E1">
        <w:rPr>
          <w:b/>
        </w:rPr>
        <w:t>budget</w:t>
      </w:r>
      <w:r w:rsidR="000767DB" w:rsidRPr="007240E1">
        <w:rPr>
          <w:b/>
        </w:rPr>
        <w:t xml:space="preserve"> for such programmes</w:t>
      </w:r>
      <w:r w:rsidR="007C3B88" w:rsidRPr="007240E1">
        <w:rPr>
          <w:b/>
        </w:rPr>
        <w:t>;</w:t>
      </w:r>
    </w:p>
    <w:p w:rsidR="0014424E" w:rsidRPr="007240E1" w:rsidRDefault="004328CB" w:rsidP="007240E1">
      <w:pPr>
        <w:pStyle w:val="SingleTxtG"/>
        <w:spacing w:line="240" w:lineRule="auto"/>
        <w:ind w:firstLine="567"/>
        <w:rPr>
          <w:b/>
        </w:rPr>
      </w:pPr>
      <w:r w:rsidRPr="007240E1">
        <w:rPr>
          <w:bCs/>
        </w:rPr>
        <w:t>(c)</w:t>
      </w:r>
      <w:r w:rsidRPr="007240E1">
        <w:rPr>
          <w:b/>
        </w:rPr>
        <w:tab/>
      </w:r>
      <w:r w:rsidR="00445AA0" w:rsidRPr="007240E1">
        <w:rPr>
          <w:b/>
        </w:rPr>
        <w:t>Continue</w:t>
      </w:r>
      <w:r w:rsidR="005109D2" w:rsidRPr="007240E1">
        <w:rPr>
          <w:b/>
        </w:rPr>
        <w:t xml:space="preserve"> </w:t>
      </w:r>
      <w:r w:rsidR="00BB3A64" w:rsidRPr="007240E1">
        <w:rPr>
          <w:b/>
        </w:rPr>
        <w:t xml:space="preserve">to take </w:t>
      </w:r>
      <w:r w:rsidR="005109D2" w:rsidRPr="007240E1">
        <w:rPr>
          <w:b/>
        </w:rPr>
        <w:t>special measures for Roma</w:t>
      </w:r>
      <w:r w:rsidR="000767DB" w:rsidRPr="007240E1">
        <w:rPr>
          <w:b/>
        </w:rPr>
        <w:t>,</w:t>
      </w:r>
      <w:r w:rsidR="005109D2" w:rsidRPr="007240E1">
        <w:rPr>
          <w:b/>
        </w:rPr>
        <w:t xml:space="preserve"> in </w:t>
      </w:r>
      <w:r w:rsidR="000767DB" w:rsidRPr="007240E1">
        <w:rPr>
          <w:b/>
        </w:rPr>
        <w:t>accordance with</w:t>
      </w:r>
      <w:r w:rsidR="005109D2" w:rsidRPr="007240E1">
        <w:rPr>
          <w:b/>
        </w:rPr>
        <w:t xml:space="preserve"> </w:t>
      </w:r>
      <w:r w:rsidR="00BB3A64" w:rsidRPr="007240E1">
        <w:rPr>
          <w:b/>
        </w:rPr>
        <w:t>g</w:t>
      </w:r>
      <w:r w:rsidR="005109D2" w:rsidRPr="007240E1">
        <w:rPr>
          <w:b/>
        </w:rPr>
        <w:t xml:space="preserve">eneral recommendation </w:t>
      </w:r>
      <w:r w:rsidR="00AF0E0F" w:rsidRPr="007240E1">
        <w:rPr>
          <w:b/>
        </w:rPr>
        <w:t>N</w:t>
      </w:r>
      <w:r w:rsidR="005109D2" w:rsidRPr="007240E1">
        <w:rPr>
          <w:b/>
        </w:rPr>
        <w:t>o. 32 (2009) on the meaning and scope of special measures in the Convention</w:t>
      </w:r>
      <w:r w:rsidR="000767DB" w:rsidRPr="007240E1">
        <w:rPr>
          <w:b/>
        </w:rPr>
        <w:t>,</w:t>
      </w:r>
      <w:r w:rsidR="005109D2" w:rsidRPr="007240E1">
        <w:rPr>
          <w:b/>
        </w:rPr>
        <w:t xml:space="preserve"> by promoting the employment and advancement of Roma and combat</w:t>
      </w:r>
      <w:r w:rsidR="00591BA8" w:rsidRPr="007240E1">
        <w:rPr>
          <w:b/>
        </w:rPr>
        <w:t>ing</w:t>
      </w:r>
      <w:r w:rsidR="005109D2" w:rsidRPr="007240E1">
        <w:rPr>
          <w:b/>
        </w:rPr>
        <w:t xml:space="preserve"> their social exclusion.</w:t>
      </w:r>
    </w:p>
    <w:p w:rsidR="002C704A" w:rsidRPr="007240E1" w:rsidRDefault="00B323A6" w:rsidP="00B323A6">
      <w:pPr>
        <w:pStyle w:val="H23G"/>
      </w:pPr>
      <w:r w:rsidRPr="007240E1">
        <w:tab/>
      </w:r>
      <w:r w:rsidRPr="007240E1">
        <w:tab/>
      </w:r>
      <w:r w:rsidR="004B7D5F" w:rsidRPr="007240E1">
        <w:t>Gender-related dimensions of racial discrimination</w:t>
      </w:r>
      <w:r w:rsidR="00632BC4" w:rsidRPr="007240E1">
        <w:t xml:space="preserve"> </w:t>
      </w:r>
    </w:p>
    <w:p w:rsidR="002C704A" w:rsidRPr="007240E1" w:rsidRDefault="00FF6E5F" w:rsidP="007240E1">
      <w:pPr>
        <w:pStyle w:val="SingleTxtG"/>
      </w:pPr>
      <w:r w:rsidRPr="007240E1">
        <w:t>18.</w:t>
      </w:r>
      <w:r w:rsidRPr="007240E1">
        <w:tab/>
      </w:r>
      <w:r w:rsidR="001A3839" w:rsidRPr="007240E1">
        <w:t>The Committee expresses its concern about</w:t>
      </w:r>
      <w:r w:rsidR="001D45D8" w:rsidRPr="007240E1">
        <w:t>:</w:t>
      </w:r>
      <w:r w:rsidR="002C704A" w:rsidRPr="007240E1">
        <w:t xml:space="preserve"> </w:t>
      </w:r>
    </w:p>
    <w:p w:rsidR="00236914" w:rsidRPr="007240E1" w:rsidRDefault="004328CB" w:rsidP="007240E1">
      <w:pPr>
        <w:pStyle w:val="SingleTxtG"/>
        <w:ind w:firstLine="567"/>
      </w:pPr>
      <w:r w:rsidRPr="007240E1">
        <w:t>(a)</w:t>
      </w:r>
      <w:r w:rsidRPr="007240E1">
        <w:tab/>
      </w:r>
      <w:r w:rsidR="00236914" w:rsidRPr="007240E1">
        <w:t xml:space="preserve">The vulnerability of women belonging to minority groups as regards the violation of their right to employment and their overrepresentation in low-paid jobs despite </w:t>
      </w:r>
      <w:r w:rsidR="00691554" w:rsidRPr="007240E1">
        <w:t xml:space="preserve">the </w:t>
      </w:r>
      <w:r w:rsidR="00236914" w:rsidRPr="007240E1">
        <w:t xml:space="preserve">measures taken by the State party to increase their access to the labour market through a number of measures and projects </w:t>
      </w:r>
      <w:r w:rsidR="00236914" w:rsidRPr="007240E1">
        <w:rPr>
          <w:lang w:eastAsia="en-GB"/>
        </w:rPr>
        <w:t>(arts</w:t>
      </w:r>
      <w:r w:rsidR="00236914" w:rsidRPr="007240E1">
        <w:t>. 2 and 5)</w:t>
      </w:r>
      <w:r w:rsidR="009F5B5C" w:rsidRPr="007240E1">
        <w:t>;</w:t>
      </w:r>
    </w:p>
    <w:p w:rsidR="00236914" w:rsidRPr="007240E1" w:rsidRDefault="004328CB" w:rsidP="007240E1">
      <w:pPr>
        <w:pStyle w:val="SingleTxtG"/>
        <w:ind w:firstLine="567"/>
      </w:pPr>
      <w:r w:rsidRPr="007240E1">
        <w:t>(b)</w:t>
      </w:r>
      <w:r w:rsidRPr="007240E1">
        <w:tab/>
      </w:r>
      <w:r w:rsidR="00236914" w:rsidRPr="007240E1">
        <w:t xml:space="preserve">The prevalence of early marriage within </w:t>
      </w:r>
      <w:r w:rsidR="005E1397" w:rsidRPr="007240E1">
        <w:t xml:space="preserve">the </w:t>
      </w:r>
      <w:r w:rsidR="00236914" w:rsidRPr="007240E1">
        <w:t xml:space="preserve">Roma and Albanian communities, which </w:t>
      </w:r>
      <w:r w:rsidR="005E1397" w:rsidRPr="007240E1">
        <w:t xml:space="preserve">is </w:t>
      </w:r>
      <w:r w:rsidR="00236914" w:rsidRPr="007240E1">
        <w:t xml:space="preserve">considered a traditional practice, without adequate responses from the State party to combat this harmful practice in an efficient manner; </w:t>
      </w:r>
    </w:p>
    <w:p w:rsidR="00632BC4" w:rsidRPr="007240E1" w:rsidRDefault="004328CB" w:rsidP="007240E1">
      <w:pPr>
        <w:pStyle w:val="SingleTxtG"/>
        <w:ind w:firstLine="567"/>
      </w:pPr>
      <w:r w:rsidRPr="007240E1">
        <w:t>(c)</w:t>
      </w:r>
      <w:r w:rsidRPr="007240E1">
        <w:tab/>
      </w:r>
      <w:r w:rsidR="000767DB" w:rsidRPr="007240E1">
        <w:t>The underreporting of i</w:t>
      </w:r>
      <w:r w:rsidR="00895017" w:rsidRPr="007240E1">
        <w:t>ncidences of d</w:t>
      </w:r>
      <w:r w:rsidR="00632BC4" w:rsidRPr="007240E1">
        <w:t>omestic violence</w:t>
      </w:r>
      <w:r w:rsidR="005E1397" w:rsidRPr="007240E1">
        <w:t>,</w:t>
      </w:r>
      <w:r w:rsidR="00895017" w:rsidRPr="007240E1">
        <w:t xml:space="preserve"> </w:t>
      </w:r>
      <w:r w:rsidR="00DE45EF" w:rsidRPr="007240E1">
        <w:t xml:space="preserve">which </w:t>
      </w:r>
      <w:r w:rsidR="004B7D5F" w:rsidRPr="007240E1">
        <w:t>particularly affect</w:t>
      </w:r>
      <w:r w:rsidR="005E1397" w:rsidRPr="007240E1">
        <w:t>s</w:t>
      </w:r>
      <w:r w:rsidR="004B7D5F" w:rsidRPr="007240E1">
        <w:t xml:space="preserve"> women belonging to minority groups</w:t>
      </w:r>
      <w:r w:rsidR="00895017" w:rsidRPr="007240E1">
        <w:t xml:space="preserve">. </w:t>
      </w:r>
      <w:r w:rsidR="000767DB" w:rsidRPr="007240E1">
        <w:t>B</w:t>
      </w:r>
      <w:r w:rsidR="00EB7054" w:rsidRPr="007240E1">
        <w:t xml:space="preserve">earing in mind </w:t>
      </w:r>
      <w:r w:rsidR="00895017" w:rsidRPr="007240E1">
        <w:t>cases of early marriage in the country</w:t>
      </w:r>
      <w:r w:rsidR="000767DB" w:rsidRPr="007240E1">
        <w:t xml:space="preserve">, the Committee regrets that women </w:t>
      </w:r>
      <w:r w:rsidR="005E1397" w:rsidRPr="007240E1">
        <w:t xml:space="preserve">under the age of </w:t>
      </w:r>
      <w:r w:rsidR="000767DB" w:rsidRPr="007240E1">
        <w:t>18 are not admitted in shelter centres</w:t>
      </w:r>
      <w:r w:rsidR="00895017" w:rsidRPr="007240E1">
        <w:t xml:space="preserve">. The Committee is also concerned by the information </w:t>
      </w:r>
      <w:r w:rsidR="000A484E" w:rsidRPr="007240E1">
        <w:t>according to which the</w:t>
      </w:r>
      <w:r w:rsidR="00895017" w:rsidRPr="007240E1">
        <w:t xml:space="preserve"> 2014 Law on </w:t>
      </w:r>
      <w:r w:rsidR="00732D92" w:rsidRPr="007240E1">
        <w:t>the Prevention of and Pr</w:t>
      </w:r>
      <w:r w:rsidR="00895017" w:rsidRPr="007240E1">
        <w:t xml:space="preserve">otection </w:t>
      </w:r>
      <w:r w:rsidR="00732D92" w:rsidRPr="007240E1">
        <w:t>against</w:t>
      </w:r>
      <w:r w:rsidR="00895017" w:rsidRPr="007240E1">
        <w:t xml:space="preserve"> Domestic Violence</w:t>
      </w:r>
      <w:r w:rsidR="00732D92" w:rsidRPr="007240E1">
        <w:t xml:space="preserve"> does not provide for </w:t>
      </w:r>
      <w:r w:rsidR="005E1397" w:rsidRPr="007240E1">
        <w:t xml:space="preserve">the </w:t>
      </w:r>
      <w:r w:rsidR="00732D92" w:rsidRPr="007240E1">
        <w:t>appropriate protection of women victims of domestic violence</w:t>
      </w:r>
      <w:r w:rsidR="00E22828" w:rsidRPr="007240E1">
        <w:t>.</w:t>
      </w:r>
    </w:p>
    <w:p w:rsidR="002C704A" w:rsidRPr="007240E1" w:rsidRDefault="00FF6E5F" w:rsidP="007240E1">
      <w:pPr>
        <w:pStyle w:val="SingleTxtG"/>
        <w:rPr>
          <w:b/>
          <w:bCs/>
        </w:rPr>
      </w:pPr>
      <w:r w:rsidRPr="007240E1">
        <w:rPr>
          <w:bCs/>
        </w:rPr>
        <w:t>19.</w:t>
      </w:r>
      <w:r w:rsidRPr="007240E1">
        <w:rPr>
          <w:bCs/>
        </w:rPr>
        <w:tab/>
      </w:r>
      <w:r w:rsidR="00DE45EF" w:rsidRPr="007240E1">
        <w:rPr>
          <w:b/>
          <w:bCs/>
        </w:rPr>
        <w:t xml:space="preserve">In </w:t>
      </w:r>
      <w:r w:rsidR="00E96317" w:rsidRPr="007240E1">
        <w:rPr>
          <w:b/>
        </w:rPr>
        <w:t xml:space="preserve">the </w:t>
      </w:r>
      <w:r w:rsidR="00DE45EF" w:rsidRPr="007240E1">
        <w:rPr>
          <w:b/>
          <w:bCs/>
        </w:rPr>
        <w:t>light of its</w:t>
      </w:r>
      <w:r w:rsidR="00895017" w:rsidRPr="007240E1">
        <w:rPr>
          <w:b/>
          <w:bCs/>
        </w:rPr>
        <w:t xml:space="preserve"> </w:t>
      </w:r>
      <w:r w:rsidR="00BB3A64" w:rsidRPr="007240E1">
        <w:rPr>
          <w:b/>
          <w:bCs/>
        </w:rPr>
        <w:t>g</w:t>
      </w:r>
      <w:r w:rsidR="00895017" w:rsidRPr="007240E1">
        <w:rPr>
          <w:b/>
          <w:bCs/>
        </w:rPr>
        <w:t xml:space="preserve">eneral recommendation </w:t>
      </w:r>
      <w:r w:rsidR="00AF0E0F" w:rsidRPr="007240E1">
        <w:rPr>
          <w:b/>
          <w:bCs/>
        </w:rPr>
        <w:t>N</w:t>
      </w:r>
      <w:r w:rsidR="00895017" w:rsidRPr="007240E1">
        <w:rPr>
          <w:b/>
          <w:bCs/>
        </w:rPr>
        <w:t>o. 25 (2000) on gender-related dimensions of racial discrimination, t</w:t>
      </w:r>
      <w:r w:rsidR="002C704A" w:rsidRPr="007240E1">
        <w:rPr>
          <w:b/>
          <w:bCs/>
        </w:rPr>
        <w:t>he Committee recommends that the State party</w:t>
      </w:r>
      <w:r w:rsidR="00591BA8" w:rsidRPr="007240E1">
        <w:rPr>
          <w:b/>
          <w:bCs/>
        </w:rPr>
        <w:t>:</w:t>
      </w:r>
    </w:p>
    <w:p w:rsidR="00236914" w:rsidRPr="007240E1" w:rsidRDefault="004328CB" w:rsidP="007240E1">
      <w:pPr>
        <w:pStyle w:val="SingleTxtG"/>
        <w:spacing w:line="240" w:lineRule="auto"/>
        <w:ind w:firstLine="567"/>
        <w:rPr>
          <w:b/>
        </w:rPr>
      </w:pPr>
      <w:r w:rsidRPr="007240E1">
        <w:rPr>
          <w:bCs/>
        </w:rPr>
        <w:t>(a)</w:t>
      </w:r>
      <w:r w:rsidRPr="007240E1">
        <w:rPr>
          <w:b/>
        </w:rPr>
        <w:tab/>
      </w:r>
      <w:r w:rsidR="00236914" w:rsidRPr="007240E1">
        <w:rPr>
          <w:b/>
        </w:rPr>
        <w:t>Allocate sufficient resources to the implementation of the National Action Plan on Roma Women (2016-2020) and the grant scheme “Integration of Women from Ethnic Communities in the Labour Market” and inform the Committee on concrete results</w:t>
      </w:r>
      <w:r w:rsidRPr="007240E1">
        <w:rPr>
          <w:b/>
        </w:rPr>
        <w:t>;</w:t>
      </w:r>
      <w:r w:rsidR="00236914" w:rsidRPr="007240E1">
        <w:rPr>
          <w:b/>
        </w:rPr>
        <w:t xml:space="preserve"> </w:t>
      </w:r>
    </w:p>
    <w:p w:rsidR="00236914" w:rsidRPr="007240E1" w:rsidRDefault="004328CB" w:rsidP="007240E1">
      <w:pPr>
        <w:pStyle w:val="SingleTxtG"/>
        <w:spacing w:line="240" w:lineRule="auto"/>
        <w:ind w:firstLine="567"/>
        <w:rPr>
          <w:b/>
        </w:rPr>
      </w:pPr>
      <w:r w:rsidRPr="007240E1">
        <w:rPr>
          <w:bCs/>
        </w:rPr>
        <w:t>(b)</w:t>
      </w:r>
      <w:r w:rsidRPr="007240E1">
        <w:rPr>
          <w:b/>
        </w:rPr>
        <w:tab/>
      </w:r>
      <w:r w:rsidR="00236914" w:rsidRPr="007240E1">
        <w:rPr>
          <w:b/>
        </w:rPr>
        <w:t>Monitor and assess the situation, including by involving civil society organizations</w:t>
      </w:r>
      <w:r w:rsidR="005E1397" w:rsidRPr="007240E1">
        <w:rPr>
          <w:b/>
        </w:rPr>
        <w:t>,</w:t>
      </w:r>
      <w:r w:rsidR="00236914" w:rsidRPr="007240E1">
        <w:rPr>
          <w:b/>
        </w:rPr>
        <w:t xml:space="preserve"> with the aim of combating early marriage, and raise awareness </w:t>
      </w:r>
      <w:r w:rsidR="005E1397" w:rsidRPr="007240E1">
        <w:rPr>
          <w:b/>
        </w:rPr>
        <w:t xml:space="preserve">among </w:t>
      </w:r>
      <w:r w:rsidR="00236914" w:rsidRPr="007240E1">
        <w:rPr>
          <w:b/>
        </w:rPr>
        <w:t xml:space="preserve">the population, in particular </w:t>
      </w:r>
      <w:r w:rsidR="005E1397" w:rsidRPr="007240E1">
        <w:rPr>
          <w:b/>
        </w:rPr>
        <w:t xml:space="preserve">those </w:t>
      </w:r>
      <w:r w:rsidR="00236914" w:rsidRPr="007240E1">
        <w:rPr>
          <w:b/>
        </w:rPr>
        <w:t>communities concerned</w:t>
      </w:r>
      <w:r w:rsidR="005E1397" w:rsidRPr="007240E1">
        <w:rPr>
          <w:b/>
        </w:rPr>
        <w:t>,</w:t>
      </w:r>
      <w:r w:rsidR="00236914" w:rsidRPr="007240E1">
        <w:rPr>
          <w:b/>
        </w:rPr>
        <w:t xml:space="preserve"> on the negative impact of this practice on girls’ education, health and </w:t>
      </w:r>
      <w:r w:rsidR="005E1397" w:rsidRPr="007240E1">
        <w:rPr>
          <w:b/>
        </w:rPr>
        <w:t xml:space="preserve">employment </w:t>
      </w:r>
      <w:r w:rsidR="00236914" w:rsidRPr="007240E1">
        <w:rPr>
          <w:b/>
        </w:rPr>
        <w:t xml:space="preserve">prospects; </w:t>
      </w:r>
    </w:p>
    <w:p w:rsidR="00163DCA" w:rsidRPr="007240E1" w:rsidRDefault="004328CB" w:rsidP="007240E1">
      <w:pPr>
        <w:pStyle w:val="SingleTxtG"/>
        <w:spacing w:line="240" w:lineRule="auto"/>
        <w:ind w:firstLine="567"/>
        <w:rPr>
          <w:b/>
        </w:rPr>
      </w:pPr>
      <w:r w:rsidRPr="007240E1">
        <w:rPr>
          <w:bCs/>
        </w:rPr>
        <w:t>(c)</w:t>
      </w:r>
      <w:r w:rsidRPr="007240E1">
        <w:rPr>
          <w:b/>
        </w:rPr>
        <w:tab/>
      </w:r>
      <w:r w:rsidR="00732D92" w:rsidRPr="007240E1">
        <w:rPr>
          <w:b/>
        </w:rPr>
        <w:t xml:space="preserve">Raise awareness </w:t>
      </w:r>
      <w:r w:rsidR="005E1397" w:rsidRPr="007240E1">
        <w:rPr>
          <w:b/>
        </w:rPr>
        <w:t xml:space="preserve">among </w:t>
      </w:r>
      <w:r w:rsidR="00732D92" w:rsidRPr="007240E1">
        <w:rPr>
          <w:b/>
        </w:rPr>
        <w:t>the population, in particular of persons belonging to minority groups</w:t>
      </w:r>
      <w:r w:rsidR="00A04BAD" w:rsidRPr="007240E1">
        <w:rPr>
          <w:b/>
        </w:rPr>
        <w:t>,</w:t>
      </w:r>
      <w:r w:rsidR="00732D92" w:rsidRPr="007240E1">
        <w:rPr>
          <w:b/>
        </w:rPr>
        <w:t xml:space="preserve"> on the </w:t>
      </w:r>
      <w:r w:rsidR="000A484E" w:rsidRPr="007240E1">
        <w:rPr>
          <w:b/>
        </w:rPr>
        <w:t xml:space="preserve">prohibition and </w:t>
      </w:r>
      <w:r w:rsidR="00732D92" w:rsidRPr="007240E1">
        <w:rPr>
          <w:b/>
        </w:rPr>
        <w:t>negative effects of gender</w:t>
      </w:r>
      <w:r w:rsidR="004F2BD4" w:rsidRPr="007240E1">
        <w:rPr>
          <w:b/>
        </w:rPr>
        <w:t>-</w:t>
      </w:r>
      <w:r w:rsidR="00732D92" w:rsidRPr="007240E1">
        <w:rPr>
          <w:b/>
        </w:rPr>
        <w:t>based violence</w:t>
      </w:r>
      <w:r w:rsidR="00A04BAD" w:rsidRPr="007240E1">
        <w:rPr>
          <w:b/>
        </w:rPr>
        <w:t>,</w:t>
      </w:r>
      <w:r w:rsidR="00732D92" w:rsidRPr="007240E1">
        <w:rPr>
          <w:b/>
        </w:rPr>
        <w:t xml:space="preserve"> and inform potential victims on </w:t>
      </w:r>
      <w:r w:rsidR="004F2BD4" w:rsidRPr="007240E1">
        <w:rPr>
          <w:b/>
        </w:rPr>
        <w:t xml:space="preserve">the </w:t>
      </w:r>
      <w:r w:rsidR="00732D92" w:rsidRPr="007240E1">
        <w:rPr>
          <w:b/>
        </w:rPr>
        <w:t>remedies available. The State party should ensure that the above</w:t>
      </w:r>
      <w:r w:rsidR="00E96317" w:rsidRPr="007240E1">
        <w:rPr>
          <w:b/>
        </w:rPr>
        <w:t>-</w:t>
      </w:r>
      <w:r w:rsidR="00732D92" w:rsidRPr="007240E1">
        <w:rPr>
          <w:b/>
        </w:rPr>
        <w:t xml:space="preserve">mentioned </w:t>
      </w:r>
      <w:r w:rsidR="00582564" w:rsidRPr="007240E1">
        <w:rPr>
          <w:b/>
        </w:rPr>
        <w:t>l</w:t>
      </w:r>
      <w:r w:rsidR="00732D92" w:rsidRPr="007240E1">
        <w:rPr>
          <w:b/>
        </w:rPr>
        <w:t xml:space="preserve">aw is fully in line with its international </w:t>
      </w:r>
      <w:r w:rsidR="00EF3166" w:rsidRPr="007240E1">
        <w:rPr>
          <w:b/>
        </w:rPr>
        <w:t>obligations</w:t>
      </w:r>
      <w:r w:rsidR="00EB7054" w:rsidRPr="007240E1">
        <w:rPr>
          <w:b/>
        </w:rPr>
        <w:t xml:space="preserve">, that perpetrators are </w:t>
      </w:r>
      <w:r w:rsidR="004D2369" w:rsidRPr="007240E1">
        <w:rPr>
          <w:b/>
        </w:rPr>
        <w:t xml:space="preserve">duly </w:t>
      </w:r>
      <w:r w:rsidR="00EB7054" w:rsidRPr="007240E1">
        <w:rPr>
          <w:b/>
        </w:rPr>
        <w:t>prosecuted</w:t>
      </w:r>
      <w:r w:rsidR="00773519" w:rsidRPr="007240E1">
        <w:rPr>
          <w:b/>
        </w:rPr>
        <w:t xml:space="preserve"> </w:t>
      </w:r>
      <w:r w:rsidR="00732D92" w:rsidRPr="007240E1">
        <w:rPr>
          <w:b/>
        </w:rPr>
        <w:t xml:space="preserve">and </w:t>
      </w:r>
      <w:r w:rsidR="004F2BD4" w:rsidRPr="007240E1">
        <w:rPr>
          <w:b/>
        </w:rPr>
        <w:t xml:space="preserve">that </w:t>
      </w:r>
      <w:r w:rsidR="00732D92" w:rsidRPr="007240E1">
        <w:rPr>
          <w:b/>
        </w:rPr>
        <w:t xml:space="preserve">effective protection </w:t>
      </w:r>
      <w:r w:rsidR="002F1459" w:rsidRPr="007240E1">
        <w:rPr>
          <w:b/>
        </w:rPr>
        <w:t xml:space="preserve">is </w:t>
      </w:r>
      <w:r w:rsidR="00732D92" w:rsidRPr="007240E1">
        <w:rPr>
          <w:b/>
        </w:rPr>
        <w:t>provided to victims of domestic violence regardless of age</w:t>
      </w:r>
      <w:r w:rsidR="00E22828" w:rsidRPr="007240E1">
        <w:rPr>
          <w:b/>
        </w:rPr>
        <w:t>.</w:t>
      </w:r>
    </w:p>
    <w:p w:rsidR="002C704A" w:rsidRPr="007240E1" w:rsidRDefault="00B323A6" w:rsidP="00B323A6">
      <w:pPr>
        <w:pStyle w:val="H23G"/>
      </w:pPr>
      <w:r w:rsidRPr="007240E1">
        <w:tab/>
      </w:r>
      <w:r w:rsidRPr="007240E1">
        <w:tab/>
      </w:r>
      <w:r w:rsidR="00510251" w:rsidRPr="007240E1">
        <w:t>Situation of children</w:t>
      </w:r>
      <w:r w:rsidR="00EB7054" w:rsidRPr="007240E1">
        <w:t xml:space="preserve"> </w:t>
      </w:r>
    </w:p>
    <w:p w:rsidR="002C704A" w:rsidRPr="007240E1" w:rsidRDefault="00FF6E5F" w:rsidP="007240E1">
      <w:pPr>
        <w:pStyle w:val="SingleTxtG"/>
      </w:pPr>
      <w:r w:rsidRPr="007240E1">
        <w:t>20.</w:t>
      </w:r>
      <w:r w:rsidRPr="007240E1">
        <w:tab/>
      </w:r>
      <w:r w:rsidR="002C704A" w:rsidRPr="007240E1">
        <w:t>The Committee notes with</w:t>
      </w:r>
      <w:r w:rsidR="0034032C" w:rsidRPr="007240E1">
        <w:t xml:space="preserve"> concern</w:t>
      </w:r>
      <w:r w:rsidR="001D45D8" w:rsidRPr="007240E1">
        <w:t>:</w:t>
      </w:r>
      <w:r w:rsidR="0034032C" w:rsidRPr="007240E1">
        <w:t xml:space="preserve"> </w:t>
      </w:r>
    </w:p>
    <w:p w:rsidR="0034032C" w:rsidRPr="007240E1" w:rsidRDefault="00E22828" w:rsidP="007240E1">
      <w:pPr>
        <w:pStyle w:val="SingleTxtG"/>
        <w:ind w:firstLine="567"/>
      </w:pPr>
      <w:r w:rsidRPr="007240E1">
        <w:rPr>
          <w:color w:val="000000"/>
          <w:lang w:eastAsia="en-GB"/>
        </w:rPr>
        <w:t>(a)</w:t>
      </w:r>
      <w:r w:rsidRPr="007240E1">
        <w:rPr>
          <w:color w:val="000000"/>
          <w:lang w:eastAsia="en-GB"/>
        </w:rPr>
        <w:tab/>
      </w:r>
      <w:r w:rsidR="0034032C" w:rsidRPr="007240E1">
        <w:rPr>
          <w:color w:val="000000"/>
          <w:lang w:eastAsia="en-GB"/>
        </w:rPr>
        <w:t xml:space="preserve">The </w:t>
      </w:r>
      <w:r w:rsidR="003A4BA0" w:rsidRPr="007240E1">
        <w:rPr>
          <w:color w:val="000000"/>
          <w:lang w:eastAsia="en-GB"/>
        </w:rPr>
        <w:t xml:space="preserve">situation </w:t>
      </w:r>
      <w:r w:rsidR="00D62365" w:rsidRPr="007240E1">
        <w:rPr>
          <w:color w:val="000000"/>
          <w:lang w:eastAsia="en-GB"/>
        </w:rPr>
        <w:t xml:space="preserve">of children living in the </w:t>
      </w:r>
      <w:r w:rsidR="003A4BA0" w:rsidRPr="007240E1">
        <w:rPr>
          <w:color w:val="000000"/>
          <w:lang w:eastAsia="en-GB"/>
        </w:rPr>
        <w:t>street</w:t>
      </w:r>
      <w:r w:rsidR="00D62365" w:rsidRPr="007240E1">
        <w:rPr>
          <w:color w:val="000000"/>
          <w:lang w:eastAsia="en-GB"/>
        </w:rPr>
        <w:t>,</w:t>
      </w:r>
      <w:r w:rsidR="003A4BA0" w:rsidRPr="007240E1">
        <w:rPr>
          <w:color w:val="000000"/>
          <w:lang w:eastAsia="en-GB"/>
        </w:rPr>
        <w:t xml:space="preserve"> </w:t>
      </w:r>
      <w:r w:rsidR="00D62365" w:rsidRPr="007240E1">
        <w:rPr>
          <w:color w:val="000000"/>
          <w:lang w:eastAsia="en-GB"/>
        </w:rPr>
        <w:t>most</w:t>
      </w:r>
      <w:r w:rsidR="002013ED" w:rsidRPr="007240E1">
        <w:rPr>
          <w:color w:val="000000"/>
          <w:lang w:eastAsia="en-GB"/>
        </w:rPr>
        <w:t xml:space="preserve"> </w:t>
      </w:r>
      <w:r w:rsidR="00EB7054" w:rsidRPr="007240E1">
        <w:rPr>
          <w:color w:val="000000"/>
          <w:lang w:eastAsia="en-GB"/>
        </w:rPr>
        <w:t xml:space="preserve">of </w:t>
      </w:r>
      <w:r w:rsidR="00D62365" w:rsidRPr="007240E1">
        <w:rPr>
          <w:color w:val="000000"/>
          <w:lang w:eastAsia="en-GB"/>
        </w:rPr>
        <w:t>whom</w:t>
      </w:r>
      <w:r w:rsidR="00EB7054" w:rsidRPr="007240E1">
        <w:rPr>
          <w:color w:val="000000"/>
          <w:lang w:eastAsia="en-GB"/>
        </w:rPr>
        <w:t xml:space="preserve"> belong</w:t>
      </w:r>
      <w:r w:rsidR="002013ED" w:rsidRPr="007240E1">
        <w:rPr>
          <w:color w:val="000000"/>
          <w:lang w:eastAsia="en-GB"/>
        </w:rPr>
        <w:t xml:space="preserve"> to the Roma community</w:t>
      </w:r>
      <w:r w:rsidR="0034032C" w:rsidRPr="007240E1">
        <w:rPr>
          <w:color w:val="000000"/>
          <w:lang w:eastAsia="en-GB"/>
        </w:rPr>
        <w:t xml:space="preserve">. </w:t>
      </w:r>
      <w:r w:rsidR="0034032C" w:rsidRPr="007240E1">
        <w:t xml:space="preserve">Despite the </w:t>
      </w:r>
      <w:r w:rsidR="004F2BD4" w:rsidRPr="007240E1">
        <w:t>p</w:t>
      </w:r>
      <w:r w:rsidR="00EB7054" w:rsidRPr="007240E1">
        <w:t>rotoco</w:t>
      </w:r>
      <w:r w:rsidR="00D62365" w:rsidRPr="007240E1">
        <w:t xml:space="preserve">ls for </w:t>
      </w:r>
      <w:r w:rsidR="004F2BD4" w:rsidRPr="007240E1">
        <w:t xml:space="preserve">the </w:t>
      </w:r>
      <w:r w:rsidR="00D62365" w:rsidRPr="007240E1">
        <w:t>treatment of these children</w:t>
      </w:r>
      <w:r w:rsidR="00EB7054" w:rsidRPr="007240E1">
        <w:t xml:space="preserve"> developed by the State party, </w:t>
      </w:r>
      <w:r w:rsidR="00D62365" w:rsidRPr="007240E1">
        <w:t xml:space="preserve">and </w:t>
      </w:r>
      <w:r w:rsidR="00EB7054" w:rsidRPr="007240E1">
        <w:t xml:space="preserve">the </w:t>
      </w:r>
      <w:r w:rsidR="0034032C" w:rsidRPr="007240E1">
        <w:t xml:space="preserve">existence of </w:t>
      </w:r>
      <w:r w:rsidR="004F2BD4" w:rsidRPr="007240E1">
        <w:t xml:space="preserve">day centres </w:t>
      </w:r>
      <w:r w:rsidR="0034032C" w:rsidRPr="007240E1">
        <w:t>in Bitola, Skopje and Prilep where they</w:t>
      </w:r>
      <w:r w:rsidR="003A4BA0" w:rsidRPr="007240E1">
        <w:t xml:space="preserve"> have access to education and other basic services</w:t>
      </w:r>
      <w:r w:rsidR="0034032C" w:rsidRPr="007240E1">
        <w:t>, the</w:t>
      </w:r>
      <w:r w:rsidR="003A4BA0" w:rsidRPr="007240E1">
        <w:t xml:space="preserve"> problem persist</w:t>
      </w:r>
      <w:r w:rsidR="004D2369" w:rsidRPr="007240E1">
        <w:t>s</w:t>
      </w:r>
      <w:r w:rsidR="003A4BA0" w:rsidRPr="007240E1">
        <w:t>;</w:t>
      </w:r>
    </w:p>
    <w:p w:rsidR="007E7BD0" w:rsidRPr="007240E1" w:rsidRDefault="00E22828" w:rsidP="007240E1">
      <w:pPr>
        <w:pStyle w:val="SingleTxtG"/>
        <w:ind w:firstLine="567"/>
      </w:pPr>
      <w:r w:rsidRPr="007240E1">
        <w:t>(b)</w:t>
      </w:r>
      <w:r w:rsidRPr="007240E1">
        <w:tab/>
      </w:r>
      <w:r w:rsidR="00EB7054" w:rsidRPr="007240E1">
        <w:t xml:space="preserve">The </w:t>
      </w:r>
      <w:r w:rsidR="00D62365" w:rsidRPr="007240E1">
        <w:t>reported increase</w:t>
      </w:r>
      <w:r w:rsidR="00EB7054" w:rsidRPr="007240E1">
        <w:t xml:space="preserve"> of </w:t>
      </w:r>
      <w:r w:rsidR="003A4BA0" w:rsidRPr="007240E1">
        <w:t xml:space="preserve">children addicted </w:t>
      </w:r>
      <w:r w:rsidR="00EB7054" w:rsidRPr="007240E1">
        <w:t>to drugs, in particular Roma</w:t>
      </w:r>
      <w:r w:rsidR="00DE45EF" w:rsidRPr="007240E1">
        <w:t>,</w:t>
      </w:r>
      <w:r w:rsidR="00EB7054" w:rsidRPr="007240E1">
        <w:t xml:space="preserve"> </w:t>
      </w:r>
      <w:r w:rsidR="002013ED" w:rsidRPr="007240E1">
        <w:t xml:space="preserve">whose </w:t>
      </w:r>
      <w:r w:rsidR="007E7BD0" w:rsidRPr="007240E1">
        <w:t>situation is worsened by the poverty of their parents and the legal obstacle</w:t>
      </w:r>
      <w:r w:rsidR="004D2369" w:rsidRPr="007240E1">
        <w:t>s</w:t>
      </w:r>
      <w:r w:rsidR="007E7BD0" w:rsidRPr="007240E1">
        <w:t xml:space="preserve"> </w:t>
      </w:r>
      <w:r w:rsidR="002013ED" w:rsidRPr="007240E1">
        <w:t>for children</w:t>
      </w:r>
      <w:r w:rsidR="007E7BD0" w:rsidRPr="007240E1">
        <w:t xml:space="preserve"> </w:t>
      </w:r>
      <w:r w:rsidR="007E7BD0" w:rsidRPr="007240E1">
        <w:rPr>
          <w:color w:val="000000"/>
          <w:lang w:eastAsia="en-GB"/>
        </w:rPr>
        <w:t xml:space="preserve">under the age of 18 </w:t>
      </w:r>
      <w:r w:rsidR="00EB7054" w:rsidRPr="007240E1">
        <w:rPr>
          <w:color w:val="000000"/>
          <w:lang w:eastAsia="en-GB"/>
        </w:rPr>
        <w:t xml:space="preserve">to access </w:t>
      </w:r>
      <w:r w:rsidR="00E652BC" w:rsidRPr="007240E1">
        <w:rPr>
          <w:color w:val="000000"/>
          <w:lang w:eastAsia="en-GB"/>
        </w:rPr>
        <w:t xml:space="preserve">substance abuse </w:t>
      </w:r>
      <w:r w:rsidR="00EB7054" w:rsidRPr="007240E1">
        <w:rPr>
          <w:color w:val="000000"/>
          <w:lang w:eastAsia="en-GB"/>
        </w:rPr>
        <w:t>treatments;</w:t>
      </w:r>
      <w:r w:rsidR="007E7BD0" w:rsidRPr="007240E1">
        <w:rPr>
          <w:color w:val="000000"/>
          <w:lang w:eastAsia="en-GB"/>
        </w:rPr>
        <w:t xml:space="preserve"> </w:t>
      </w:r>
    </w:p>
    <w:p w:rsidR="009E4A49" w:rsidRPr="007240E1" w:rsidRDefault="00E22828" w:rsidP="007240E1">
      <w:pPr>
        <w:pStyle w:val="SingleTxtG"/>
        <w:ind w:firstLine="567"/>
      </w:pPr>
      <w:r w:rsidRPr="007240E1">
        <w:t>(c)</w:t>
      </w:r>
      <w:r w:rsidRPr="007240E1">
        <w:tab/>
      </w:r>
      <w:r w:rsidR="0034032C" w:rsidRPr="007240E1">
        <w:t xml:space="preserve">The </w:t>
      </w:r>
      <w:r w:rsidR="009F5E73" w:rsidRPr="007240E1">
        <w:t>ongoing</w:t>
      </w:r>
      <w:r w:rsidR="00EB7054" w:rsidRPr="007240E1">
        <w:t xml:space="preserve"> </w:t>
      </w:r>
      <w:r w:rsidR="0034032C" w:rsidRPr="007240E1">
        <w:t>lack of i</w:t>
      </w:r>
      <w:r w:rsidR="00120713" w:rsidRPr="007240E1">
        <w:t>dentity documents</w:t>
      </w:r>
      <w:r w:rsidR="0034032C" w:rsidRPr="007240E1">
        <w:t xml:space="preserve"> </w:t>
      </w:r>
      <w:r w:rsidR="004F2BD4" w:rsidRPr="007240E1">
        <w:t xml:space="preserve">of </w:t>
      </w:r>
      <w:r w:rsidR="004D2369" w:rsidRPr="007240E1">
        <w:t>some</w:t>
      </w:r>
      <w:r w:rsidR="0034032C" w:rsidRPr="007240E1">
        <w:t xml:space="preserve"> Roma</w:t>
      </w:r>
      <w:r w:rsidR="004F2BD4" w:rsidRPr="007240E1">
        <w:t>,</w:t>
      </w:r>
      <w:r w:rsidR="0034032C" w:rsidRPr="007240E1">
        <w:t xml:space="preserve"> </w:t>
      </w:r>
      <w:r w:rsidR="002013ED" w:rsidRPr="007240E1">
        <w:t>which prevents them from accessing social security benefits</w:t>
      </w:r>
      <w:r w:rsidR="0034032C" w:rsidRPr="007240E1">
        <w:t xml:space="preserve">. The Committee notes the </w:t>
      </w:r>
      <w:r w:rsidR="004D2369" w:rsidRPr="007240E1">
        <w:t>assertion by</w:t>
      </w:r>
      <w:r w:rsidR="0034032C" w:rsidRPr="007240E1">
        <w:t xml:space="preserve"> the State party that 550 persons have been identified as </w:t>
      </w:r>
      <w:r w:rsidR="004F2BD4" w:rsidRPr="007240E1">
        <w:t xml:space="preserve">not having had their </w:t>
      </w:r>
      <w:r w:rsidR="0034032C" w:rsidRPr="007240E1">
        <w:t>birth</w:t>
      </w:r>
      <w:r w:rsidR="004F2BD4" w:rsidRPr="007240E1">
        <w:t>s</w:t>
      </w:r>
      <w:r w:rsidR="0034032C" w:rsidRPr="007240E1">
        <w:t xml:space="preserve"> registered in the Birth Register</w:t>
      </w:r>
      <w:r w:rsidR="00EB7054" w:rsidRPr="007240E1">
        <w:t xml:space="preserve">. It is concerned </w:t>
      </w:r>
      <w:r w:rsidR="002013ED" w:rsidRPr="007240E1">
        <w:t>that</w:t>
      </w:r>
      <w:r w:rsidR="00EB7054" w:rsidRPr="007240E1">
        <w:t xml:space="preserve"> only</w:t>
      </w:r>
      <w:r w:rsidR="002013ED" w:rsidRPr="007240E1">
        <w:t xml:space="preserve"> </w:t>
      </w:r>
      <w:r w:rsidR="0034032C" w:rsidRPr="007240E1">
        <w:t xml:space="preserve">120 </w:t>
      </w:r>
      <w:r w:rsidR="00EB7054" w:rsidRPr="007240E1">
        <w:t>among</w:t>
      </w:r>
      <w:r w:rsidR="0034032C" w:rsidRPr="007240E1">
        <w:t xml:space="preserve"> them have been registered</w:t>
      </w:r>
      <w:r w:rsidR="00D62365" w:rsidRPr="007240E1">
        <w:t xml:space="preserve"> so far</w:t>
      </w:r>
      <w:r w:rsidR="001D45D8" w:rsidRPr="007240E1">
        <w:t xml:space="preserve"> (arts. 2 and 5).</w:t>
      </w:r>
    </w:p>
    <w:p w:rsidR="002C704A" w:rsidRPr="007240E1" w:rsidRDefault="00FF6E5F" w:rsidP="007240E1">
      <w:pPr>
        <w:pStyle w:val="SingleTxtG"/>
        <w:rPr>
          <w:b/>
        </w:rPr>
      </w:pPr>
      <w:r w:rsidRPr="007240E1">
        <w:t>21.</w:t>
      </w:r>
      <w:r w:rsidRPr="007240E1">
        <w:tab/>
      </w:r>
      <w:r w:rsidR="002C704A" w:rsidRPr="007240E1">
        <w:rPr>
          <w:b/>
        </w:rPr>
        <w:t>The Committee recommends that the State party</w:t>
      </w:r>
      <w:r w:rsidR="00EB7054" w:rsidRPr="007240E1">
        <w:rPr>
          <w:b/>
        </w:rPr>
        <w:t>:</w:t>
      </w:r>
      <w:r w:rsidR="002C704A" w:rsidRPr="007240E1">
        <w:rPr>
          <w:b/>
        </w:rPr>
        <w:t xml:space="preserve"> </w:t>
      </w:r>
    </w:p>
    <w:p w:rsidR="007E4234" w:rsidRPr="007240E1" w:rsidRDefault="00C52D8E" w:rsidP="007240E1">
      <w:pPr>
        <w:pStyle w:val="SingleTxtG"/>
        <w:spacing w:line="240" w:lineRule="auto"/>
        <w:ind w:firstLine="567"/>
        <w:rPr>
          <w:b/>
          <w:color w:val="000000"/>
          <w:lang w:eastAsia="en-GB"/>
        </w:rPr>
      </w:pPr>
      <w:r w:rsidRPr="007240E1">
        <w:rPr>
          <w:bCs/>
          <w:iCs/>
          <w:color w:val="000000"/>
          <w:lang w:eastAsia="en-GB"/>
        </w:rPr>
        <w:t>(a)</w:t>
      </w:r>
      <w:r w:rsidRPr="007240E1">
        <w:rPr>
          <w:b/>
          <w:iCs/>
          <w:color w:val="000000"/>
          <w:lang w:eastAsia="en-GB"/>
        </w:rPr>
        <w:tab/>
      </w:r>
      <w:r w:rsidR="00076713" w:rsidRPr="007240E1">
        <w:rPr>
          <w:b/>
          <w:iCs/>
          <w:color w:val="000000"/>
          <w:lang w:eastAsia="en-GB"/>
        </w:rPr>
        <w:t>P</w:t>
      </w:r>
      <w:r w:rsidR="007E4234" w:rsidRPr="007240E1">
        <w:rPr>
          <w:b/>
          <w:iCs/>
          <w:color w:val="000000"/>
          <w:lang w:eastAsia="en-GB"/>
        </w:rPr>
        <w:t>rovide adequate institutional</w:t>
      </w:r>
      <w:r w:rsidR="007308E4" w:rsidRPr="007240E1">
        <w:rPr>
          <w:b/>
          <w:iCs/>
          <w:color w:val="000000"/>
          <w:lang w:eastAsia="en-GB"/>
        </w:rPr>
        <w:t xml:space="preserve"> protection to children </w:t>
      </w:r>
      <w:r w:rsidR="00D144B8" w:rsidRPr="007240E1">
        <w:rPr>
          <w:b/>
          <w:iCs/>
          <w:color w:val="000000"/>
          <w:lang w:eastAsia="en-GB"/>
        </w:rPr>
        <w:t xml:space="preserve">living in the street </w:t>
      </w:r>
      <w:r w:rsidR="007308E4" w:rsidRPr="007240E1">
        <w:rPr>
          <w:b/>
          <w:iCs/>
          <w:color w:val="000000"/>
          <w:lang w:eastAsia="en-GB"/>
        </w:rPr>
        <w:t xml:space="preserve">and enhance the efficiency of </w:t>
      </w:r>
      <w:r w:rsidR="00D144B8" w:rsidRPr="007240E1">
        <w:rPr>
          <w:b/>
          <w:iCs/>
          <w:color w:val="000000"/>
          <w:lang w:eastAsia="en-GB"/>
        </w:rPr>
        <w:t>p</w:t>
      </w:r>
      <w:r w:rsidR="007308E4" w:rsidRPr="007240E1">
        <w:rPr>
          <w:b/>
          <w:iCs/>
          <w:color w:val="000000"/>
          <w:lang w:eastAsia="en-GB"/>
        </w:rPr>
        <w:t>rotocol</w:t>
      </w:r>
      <w:r w:rsidR="00A3650C" w:rsidRPr="007240E1">
        <w:rPr>
          <w:b/>
          <w:iCs/>
          <w:color w:val="000000"/>
          <w:lang w:eastAsia="en-GB"/>
        </w:rPr>
        <w:t>s</w:t>
      </w:r>
      <w:r w:rsidR="007308E4" w:rsidRPr="007240E1">
        <w:rPr>
          <w:b/>
          <w:iCs/>
          <w:color w:val="000000"/>
          <w:lang w:eastAsia="en-GB"/>
        </w:rPr>
        <w:t xml:space="preserve"> </w:t>
      </w:r>
      <w:r w:rsidR="00D144B8" w:rsidRPr="007240E1">
        <w:rPr>
          <w:b/>
          <w:iCs/>
          <w:color w:val="000000"/>
          <w:lang w:eastAsia="en-GB"/>
        </w:rPr>
        <w:t xml:space="preserve">aiming </w:t>
      </w:r>
      <w:r w:rsidR="004F2BD4" w:rsidRPr="007240E1">
        <w:rPr>
          <w:b/>
          <w:iCs/>
          <w:color w:val="000000"/>
          <w:lang w:eastAsia="en-GB"/>
        </w:rPr>
        <w:t xml:space="preserve">at </w:t>
      </w:r>
      <w:r w:rsidR="007E4234" w:rsidRPr="007240E1">
        <w:rPr>
          <w:b/>
          <w:iCs/>
          <w:color w:val="000000"/>
          <w:lang w:eastAsia="en-GB"/>
        </w:rPr>
        <w:t>the</w:t>
      </w:r>
      <w:r w:rsidR="007308E4" w:rsidRPr="007240E1">
        <w:rPr>
          <w:b/>
          <w:iCs/>
          <w:color w:val="000000"/>
          <w:lang w:eastAsia="en-GB"/>
        </w:rPr>
        <w:t xml:space="preserve"> reintegration </w:t>
      </w:r>
      <w:r w:rsidR="00326032" w:rsidRPr="007240E1">
        <w:rPr>
          <w:b/>
          <w:iCs/>
          <w:color w:val="000000"/>
          <w:lang w:eastAsia="en-GB"/>
        </w:rPr>
        <w:t xml:space="preserve">of these children </w:t>
      </w:r>
      <w:r w:rsidR="007308E4" w:rsidRPr="007240E1">
        <w:rPr>
          <w:b/>
          <w:iCs/>
          <w:color w:val="000000"/>
          <w:lang w:eastAsia="en-GB"/>
        </w:rPr>
        <w:t>into the</w:t>
      </w:r>
      <w:r w:rsidR="00E652BC" w:rsidRPr="007240E1">
        <w:rPr>
          <w:b/>
          <w:iCs/>
          <w:color w:val="000000"/>
          <w:lang w:eastAsia="en-GB"/>
        </w:rPr>
        <w:t>ir</w:t>
      </w:r>
      <w:r w:rsidR="007308E4" w:rsidRPr="007240E1">
        <w:rPr>
          <w:b/>
          <w:iCs/>
          <w:color w:val="000000"/>
          <w:lang w:eastAsia="en-GB"/>
        </w:rPr>
        <w:t xml:space="preserve"> family. The State party should tackle the root causes of this phenomenon in collaboration with the parents, non-governmental organizations and the concerned children;</w:t>
      </w:r>
      <w:r w:rsidR="007E4234" w:rsidRPr="007240E1">
        <w:rPr>
          <w:b/>
          <w:iCs/>
          <w:color w:val="000000"/>
          <w:lang w:eastAsia="en-GB"/>
        </w:rPr>
        <w:t xml:space="preserve"> </w:t>
      </w:r>
    </w:p>
    <w:p w:rsidR="0025010D" w:rsidRPr="007240E1" w:rsidRDefault="00C52D8E" w:rsidP="007240E1">
      <w:pPr>
        <w:pStyle w:val="SingleTxtG"/>
        <w:spacing w:line="240" w:lineRule="auto"/>
        <w:ind w:firstLine="567"/>
        <w:rPr>
          <w:b/>
          <w:color w:val="000000"/>
          <w:lang w:eastAsia="en-GB"/>
        </w:rPr>
      </w:pPr>
      <w:r w:rsidRPr="007240E1">
        <w:rPr>
          <w:bCs/>
        </w:rPr>
        <w:t>(b)</w:t>
      </w:r>
      <w:r w:rsidRPr="007240E1">
        <w:rPr>
          <w:b/>
        </w:rPr>
        <w:tab/>
      </w:r>
      <w:r w:rsidR="00C72784" w:rsidRPr="007240E1">
        <w:rPr>
          <w:b/>
        </w:rPr>
        <w:t xml:space="preserve">Continue </w:t>
      </w:r>
      <w:r w:rsidR="004F2BD4" w:rsidRPr="007240E1">
        <w:rPr>
          <w:b/>
        </w:rPr>
        <w:t xml:space="preserve">to </w:t>
      </w:r>
      <w:r w:rsidR="00C72784" w:rsidRPr="007240E1">
        <w:rPr>
          <w:b/>
        </w:rPr>
        <w:t>d</w:t>
      </w:r>
      <w:r w:rsidR="007308E4" w:rsidRPr="007240E1">
        <w:rPr>
          <w:b/>
        </w:rPr>
        <w:t xml:space="preserve">evelop prevention programmes and </w:t>
      </w:r>
      <w:r w:rsidR="00C72784" w:rsidRPr="007240E1">
        <w:rPr>
          <w:b/>
        </w:rPr>
        <w:t xml:space="preserve">ensure </w:t>
      </w:r>
      <w:r w:rsidR="007308E4" w:rsidRPr="007240E1">
        <w:rPr>
          <w:b/>
        </w:rPr>
        <w:t xml:space="preserve">access for all to the rehabilitation programmes </w:t>
      </w:r>
      <w:r w:rsidR="0025010D" w:rsidRPr="007240E1">
        <w:rPr>
          <w:b/>
        </w:rPr>
        <w:t>for drug users</w:t>
      </w:r>
      <w:r w:rsidR="004F2BD4" w:rsidRPr="007240E1">
        <w:rPr>
          <w:b/>
        </w:rPr>
        <w:t>,</w:t>
      </w:r>
      <w:r w:rsidR="0025010D" w:rsidRPr="007240E1">
        <w:rPr>
          <w:b/>
        </w:rPr>
        <w:t xml:space="preserve"> </w:t>
      </w:r>
      <w:r w:rsidR="007308E4" w:rsidRPr="007240E1">
        <w:rPr>
          <w:b/>
        </w:rPr>
        <w:t>including those</w:t>
      </w:r>
      <w:r w:rsidR="007E4234" w:rsidRPr="007240E1">
        <w:rPr>
          <w:b/>
          <w:color w:val="000000"/>
          <w:lang w:eastAsia="en-GB"/>
        </w:rPr>
        <w:t xml:space="preserve"> under the age of 18</w:t>
      </w:r>
      <w:r w:rsidR="00A3650C" w:rsidRPr="007240E1">
        <w:rPr>
          <w:b/>
          <w:color w:val="000000"/>
          <w:lang w:eastAsia="en-GB"/>
        </w:rPr>
        <w:t>;</w:t>
      </w:r>
    </w:p>
    <w:p w:rsidR="009E4A49" w:rsidRPr="007240E1" w:rsidRDefault="00C52D8E" w:rsidP="007240E1">
      <w:pPr>
        <w:pStyle w:val="SingleTxtG"/>
        <w:spacing w:line="240" w:lineRule="auto"/>
        <w:ind w:firstLine="567"/>
        <w:rPr>
          <w:b/>
          <w:iCs/>
          <w:color w:val="000000"/>
          <w:lang w:eastAsia="en-GB"/>
        </w:rPr>
      </w:pPr>
      <w:r w:rsidRPr="007240E1">
        <w:rPr>
          <w:bCs/>
          <w:iCs/>
          <w:color w:val="000000"/>
          <w:lang w:eastAsia="en-GB"/>
        </w:rPr>
        <w:t>(c)</w:t>
      </w:r>
      <w:r w:rsidRPr="007240E1">
        <w:rPr>
          <w:b/>
          <w:iCs/>
          <w:color w:val="000000"/>
          <w:lang w:eastAsia="en-GB"/>
        </w:rPr>
        <w:tab/>
      </w:r>
      <w:r w:rsidR="009E4A49" w:rsidRPr="007240E1">
        <w:rPr>
          <w:b/>
          <w:iCs/>
          <w:color w:val="000000"/>
          <w:lang w:eastAsia="en-GB"/>
        </w:rPr>
        <w:t xml:space="preserve">Take measures </w:t>
      </w:r>
      <w:r w:rsidR="00326032" w:rsidRPr="007240E1">
        <w:rPr>
          <w:b/>
          <w:iCs/>
          <w:color w:val="000000"/>
          <w:lang w:eastAsia="en-GB"/>
        </w:rPr>
        <w:t>to identify children whose birth</w:t>
      </w:r>
      <w:r w:rsidR="004F2BD4" w:rsidRPr="007240E1">
        <w:rPr>
          <w:b/>
          <w:iCs/>
          <w:color w:val="000000"/>
          <w:lang w:eastAsia="en-GB"/>
        </w:rPr>
        <w:t>s</w:t>
      </w:r>
      <w:r w:rsidR="00326032" w:rsidRPr="007240E1">
        <w:rPr>
          <w:b/>
          <w:iCs/>
          <w:color w:val="000000"/>
          <w:lang w:eastAsia="en-GB"/>
        </w:rPr>
        <w:t xml:space="preserve"> </w:t>
      </w:r>
      <w:r w:rsidR="004F2BD4" w:rsidRPr="007240E1">
        <w:rPr>
          <w:b/>
          <w:iCs/>
          <w:color w:val="000000"/>
          <w:lang w:eastAsia="en-GB"/>
        </w:rPr>
        <w:t xml:space="preserve">were </w:t>
      </w:r>
      <w:r w:rsidR="00326032" w:rsidRPr="007240E1">
        <w:rPr>
          <w:b/>
          <w:iCs/>
          <w:color w:val="000000"/>
          <w:lang w:eastAsia="en-GB"/>
        </w:rPr>
        <w:t>not registered and who lack identity documents and continue to proceed with retroactive birth registration and issuance of documents</w:t>
      </w:r>
      <w:r w:rsidR="00F47B40" w:rsidRPr="007240E1">
        <w:rPr>
          <w:b/>
          <w:iCs/>
          <w:color w:val="000000"/>
          <w:lang w:eastAsia="en-GB"/>
        </w:rPr>
        <w:t>, including</w:t>
      </w:r>
      <w:r w:rsidR="00441301" w:rsidRPr="007240E1">
        <w:rPr>
          <w:b/>
          <w:iCs/>
          <w:color w:val="000000"/>
          <w:lang w:eastAsia="en-GB"/>
        </w:rPr>
        <w:t xml:space="preserve">, if possible, </w:t>
      </w:r>
      <w:r w:rsidR="00F47B40" w:rsidRPr="007240E1">
        <w:rPr>
          <w:b/>
          <w:iCs/>
          <w:color w:val="000000"/>
          <w:lang w:eastAsia="en-GB"/>
        </w:rPr>
        <w:t>by simplifying the entire process</w:t>
      </w:r>
      <w:r w:rsidR="00326032" w:rsidRPr="007240E1">
        <w:rPr>
          <w:b/>
          <w:iCs/>
          <w:color w:val="000000"/>
          <w:lang w:eastAsia="en-GB"/>
        </w:rPr>
        <w:t xml:space="preserve">. </w:t>
      </w:r>
      <w:r w:rsidR="009E4A49" w:rsidRPr="007240E1">
        <w:rPr>
          <w:b/>
          <w:iCs/>
          <w:color w:val="000000"/>
          <w:lang w:eastAsia="en-GB"/>
        </w:rPr>
        <w:t xml:space="preserve"> </w:t>
      </w:r>
    </w:p>
    <w:p w:rsidR="002C704A" w:rsidRPr="007240E1" w:rsidRDefault="00BE11D1" w:rsidP="00BE11D1">
      <w:pPr>
        <w:pStyle w:val="H23G"/>
      </w:pPr>
      <w:r w:rsidRPr="007240E1">
        <w:tab/>
      </w:r>
      <w:r w:rsidRPr="007240E1">
        <w:tab/>
      </w:r>
      <w:r w:rsidR="00506D04" w:rsidRPr="007240E1">
        <w:t>Evaluation of n</w:t>
      </w:r>
      <w:r w:rsidR="00510251" w:rsidRPr="007240E1">
        <w:t>ational policies</w:t>
      </w:r>
    </w:p>
    <w:p w:rsidR="00BF3398" w:rsidRPr="007240E1" w:rsidRDefault="00FF6E5F" w:rsidP="007240E1">
      <w:pPr>
        <w:pStyle w:val="SingleTxtG"/>
        <w:rPr>
          <w:bCs/>
        </w:rPr>
      </w:pPr>
      <w:r w:rsidRPr="007240E1">
        <w:rPr>
          <w:bCs/>
        </w:rPr>
        <w:t>22.</w:t>
      </w:r>
      <w:r w:rsidRPr="007240E1">
        <w:rPr>
          <w:bCs/>
        </w:rPr>
        <w:tab/>
      </w:r>
      <w:r w:rsidR="00E47651" w:rsidRPr="007240E1">
        <w:t xml:space="preserve">While welcoming a number of </w:t>
      </w:r>
      <w:r w:rsidR="00691554" w:rsidRPr="007240E1">
        <w:t xml:space="preserve">the </w:t>
      </w:r>
      <w:r w:rsidR="00E47651" w:rsidRPr="007240E1">
        <w:t>measures and policies taken by the State party, t</w:t>
      </w:r>
      <w:r w:rsidR="002C704A" w:rsidRPr="007240E1">
        <w:t xml:space="preserve">he Committee </w:t>
      </w:r>
      <w:r w:rsidR="00D144B8" w:rsidRPr="007240E1">
        <w:t>regrets</w:t>
      </w:r>
      <w:r w:rsidR="002C704A" w:rsidRPr="007240E1">
        <w:t xml:space="preserve"> the </w:t>
      </w:r>
      <w:r w:rsidR="007578A3" w:rsidRPr="007240E1">
        <w:t xml:space="preserve">lack of sufficient information on concrete results </w:t>
      </w:r>
      <w:r w:rsidR="00E47651" w:rsidRPr="007240E1">
        <w:t>obtained</w:t>
      </w:r>
      <w:r w:rsidR="007578A3" w:rsidRPr="007240E1">
        <w:t xml:space="preserve">, such as </w:t>
      </w:r>
      <w:r w:rsidR="00E47651" w:rsidRPr="007240E1">
        <w:t xml:space="preserve">through </w:t>
      </w:r>
      <w:r w:rsidR="007578A3" w:rsidRPr="007240E1">
        <w:t>the 2012 National Strategy on Equality and Non-Discrimination,</w:t>
      </w:r>
      <w:r w:rsidR="00E47651" w:rsidRPr="007240E1">
        <w:t xml:space="preserve"> the National Strategy for the Roma and the 2005-2015 Decade for Roma Inclusion.</w:t>
      </w:r>
      <w:r w:rsidR="007578A3" w:rsidRPr="007240E1">
        <w:t xml:space="preserve"> </w:t>
      </w:r>
      <w:r w:rsidR="00E47651" w:rsidRPr="007240E1">
        <w:t>The Committee is concerned by the information that some of these policies have not</w:t>
      </w:r>
      <w:r w:rsidR="00E47651" w:rsidRPr="007240E1">
        <w:rPr>
          <w:bCs/>
        </w:rPr>
        <w:t xml:space="preserve"> received sufficient funding </w:t>
      </w:r>
      <w:r w:rsidR="002C704A" w:rsidRPr="007240E1">
        <w:t>(art</w:t>
      </w:r>
      <w:r w:rsidR="001D45D8" w:rsidRPr="007240E1">
        <w:t>s</w:t>
      </w:r>
      <w:r w:rsidR="00163DCA" w:rsidRPr="007240E1">
        <w:t xml:space="preserve">. </w:t>
      </w:r>
      <w:r w:rsidR="001D43B6" w:rsidRPr="007240E1">
        <w:t>2 and 5</w:t>
      </w:r>
      <w:r w:rsidR="002C704A" w:rsidRPr="007240E1">
        <w:t>).</w:t>
      </w:r>
      <w:r w:rsidR="00BF3398" w:rsidRPr="007240E1">
        <w:rPr>
          <w:bCs/>
        </w:rPr>
        <w:t xml:space="preserve"> </w:t>
      </w:r>
    </w:p>
    <w:p w:rsidR="00680928" w:rsidRPr="007240E1" w:rsidRDefault="00FF6E5F" w:rsidP="007240E1">
      <w:pPr>
        <w:pStyle w:val="SingleTxtG"/>
        <w:rPr>
          <w:b/>
          <w:bCs/>
          <w:iCs/>
        </w:rPr>
      </w:pPr>
      <w:r w:rsidRPr="007240E1">
        <w:rPr>
          <w:bCs/>
          <w:iCs/>
        </w:rPr>
        <w:t>23.</w:t>
      </w:r>
      <w:r w:rsidRPr="007240E1">
        <w:rPr>
          <w:bCs/>
          <w:iCs/>
        </w:rPr>
        <w:tab/>
      </w:r>
      <w:r w:rsidR="00163DCA" w:rsidRPr="007240E1">
        <w:rPr>
          <w:b/>
        </w:rPr>
        <w:t xml:space="preserve">The Committee recommends that the State party </w:t>
      </w:r>
      <w:r w:rsidR="00BF3398" w:rsidRPr="007240E1">
        <w:rPr>
          <w:b/>
        </w:rPr>
        <w:t>ass</w:t>
      </w:r>
      <w:r w:rsidR="00E47651" w:rsidRPr="007240E1">
        <w:rPr>
          <w:b/>
        </w:rPr>
        <w:t xml:space="preserve">ess the impact of its policies </w:t>
      </w:r>
      <w:r w:rsidR="00BF3398" w:rsidRPr="007240E1">
        <w:rPr>
          <w:b/>
        </w:rPr>
        <w:t>to i</w:t>
      </w:r>
      <w:r w:rsidR="00680928" w:rsidRPr="007240E1">
        <w:rPr>
          <w:b/>
          <w:bCs/>
        </w:rPr>
        <w:t>mprove the</w:t>
      </w:r>
      <w:r w:rsidR="00D144B8" w:rsidRPr="007240E1">
        <w:rPr>
          <w:b/>
          <w:bCs/>
        </w:rPr>
        <w:t xml:space="preserve"> </w:t>
      </w:r>
      <w:r w:rsidR="00680928" w:rsidRPr="007240E1">
        <w:rPr>
          <w:b/>
          <w:lang w:eastAsia="zh-CN"/>
        </w:rPr>
        <w:t>design and implementati</w:t>
      </w:r>
      <w:r w:rsidR="00063D37" w:rsidRPr="007240E1">
        <w:rPr>
          <w:b/>
          <w:lang w:eastAsia="zh-CN"/>
        </w:rPr>
        <w:t>on</w:t>
      </w:r>
      <w:r w:rsidR="00D144B8" w:rsidRPr="007240E1">
        <w:rPr>
          <w:b/>
          <w:lang w:eastAsia="zh-CN"/>
        </w:rPr>
        <w:t xml:space="preserve"> of subsequent programmes</w:t>
      </w:r>
      <w:r w:rsidR="00680928" w:rsidRPr="007240E1">
        <w:rPr>
          <w:b/>
          <w:lang w:eastAsia="zh-CN"/>
        </w:rPr>
        <w:t xml:space="preserve">. The Committee </w:t>
      </w:r>
      <w:r w:rsidR="00BF3398" w:rsidRPr="007240E1">
        <w:rPr>
          <w:b/>
          <w:lang w:eastAsia="zh-CN"/>
        </w:rPr>
        <w:t xml:space="preserve">also </w:t>
      </w:r>
      <w:r w:rsidR="00680928" w:rsidRPr="007240E1">
        <w:rPr>
          <w:b/>
          <w:lang w:eastAsia="zh-CN"/>
        </w:rPr>
        <w:t xml:space="preserve">recommends </w:t>
      </w:r>
      <w:r w:rsidR="00BF3398" w:rsidRPr="007240E1">
        <w:rPr>
          <w:b/>
          <w:lang w:eastAsia="zh-CN"/>
        </w:rPr>
        <w:t>that the State party e</w:t>
      </w:r>
      <w:r w:rsidR="00680928" w:rsidRPr="007240E1">
        <w:rPr>
          <w:b/>
          <w:bCs/>
          <w:iCs/>
        </w:rPr>
        <w:t xml:space="preserve">stablish effective mechanisms to </w:t>
      </w:r>
      <w:r w:rsidR="00D144B8" w:rsidRPr="007240E1">
        <w:rPr>
          <w:b/>
          <w:bCs/>
          <w:iCs/>
        </w:rPr>
        <w:t>involve</w:t>
      </w:r>
      <w:r w:rsidR="00680928" w:rsidRPr="007240E1">
        <w:rPr>
          <w:b/>
          <w:bCs/>
          <w:iCs/>
        </w:rPr>
        <w:t xml:space="preserve"> </w:t>
      </w:r>
      <w:r w:rsidR="00063D37" w:rsidRPr="007240E1">
        <w:rPr>
          <w:b/>
          <w:bCs/>
          <w:iCs/>
        </w:rPr>
        <w:t xml:space="preserve">targeted groups </w:t>
      </w:r>
      <w:r w:rsidR="00680928" w:rsidRPr="007240E1">
        <w:rPr>
          <w:b/>
          <w:bCs/>
          <w:iCs/>
        </w:rPr>
        <w:t xml:space="preserve">in the development and implementation of </w:t>
      </w:r>
      <w:r w:rsidR="00D144B8" w:rsidRPr="007240E1">
        <w:rPr>
          <w:b/>
          <w:bCs/>
          <w:iCs/>
        </w:rPr>
        <w:t>policies</w:t>
      </w:r>
      <w:r w:rsidR="00680928" w:rsidRPr="007240E1">
        <w:rPr>
          <w:b/>
          <w:bCs/>
          <w:iCs/>
        </w:rPr>
        <w:t xml:space="preserve"> affecting them at</w:t>
      </w:r>
      <w:r w:rsidR="00BF3398" w:rsidRPr="007240E1">
        <w:rPr>
          <w:b/>
          <w:bCs/>
          <w:iCs/>
        </w:rPr>
        <w:t xml:space="preserve"> </w:t>
      </w:r>
      <w:r w:rsidR="00D144B8" w:rsidRPr="007240E1">
        <w:rPr>
          <w:b/>
          <w:bCs/>
          <w:iCs/>
        </w:rPr>
        <w:t xml:space="preserve">the </w:t>
      </w:r>
      <w:r w:rsidR="00BF3398" w:rsidRPr="007240E1">
        <w:rPr>
          <w:b/>
          <w:bCs/>
          <w:iCs/>
        </w:rPr>
        <w:t>national and local levels.</w:t>
      </w:r>
    </w:p>
    <w:p w:rsidR="00510251" w:rsidRPr="007240E1" w:rsidRDefault="00BE11D1" w:rsidP="00BE11D1">
      <w:pPr>
        <w:pStyle w:val="H23G"/>
      </w:pPr>
      <w:r w:rsidRPr="007240E1">
        <w:tab/>
      </w:r>
      <w:r w:rsidRPr="007240E1">
        <w:tab/>
      </w:r>
      <w:r w:rsidR="00017D2F" w:rsidRPr="007240E1">
        <w:t>Right to participate in public life</w:t>
      </w:r>
    </w:p>
    <w:p w:rsidR="007F0517" w:rsidRPr="007240E1" w:rsidRDefault="00FF6E5F" w:rsidP="007240E1">
      <w:pPr>
        <w:pStyle w:val="SingleTxtG"/>
      </w:pPr>
      <w:r w:rsidRPr="007240E1">
        <w:t>24.</w:t>
      </w:r>
      <w:r w:rsidRPr="007240E1">
        <w:tab/>
      </w:r>
      <w:r w:rsidR="007F0517" w:rsidRPr="007240E1">
        <w:t xml:space="preserve">The Committee </w:t>
      </w:r>
      <w:r w:rsidR="00E857B4" w:rsidRPr="007240E1">
        <w:t>notes the delegation’s declaration that</w:t>
      </w:r>
      <w:r w:rsidR="00760653" w:rsidRPr="007240E1">
        <w:t>,</w:t>
      </w:r>
      <w:r w:rsidR="00E857B4" w:rsidRPr="007240E1">
        <w:t xml:space="preserve"> since 2001</w:t>
      </w:r>
      <w:r w:rsidR="00760653" w:rsidRPr="007240E1">
        <w:t>,</w:t>
      </w:r>
      <w:r w:rsidR="00E857B4" w:rsidRPr="007240E1">
        <w:t xml:space="preserve"> </w:t>
      </w:r>
      <w:r w:rsidR="00760653" w:rsidRPr="007240E1">
        <w:t xml:space="preserve">the </w:t>
      </w:r>
      <w:r w:rsidR="00E857B4" w:rsidRPr="007240E1">
        <w:t xml:space="preserve">representation of smaller ethnic communities in public administration has increased. </w:t>
      </w:r>
      <w:r w:rsidR="00D62C88" w:rsidRPr="007240E1">
        <w:t>Despite this</w:t>
      </w:r>
      <w:r w:rsidR="00E857B4" w:rsidRPr="007240E1">
        <w:t xml:space="preserve"> apparent progress</w:t>
      </w:r>
      <w:r w:rsidR="00D62C88" w:rsidRPr="007240E1">
        <w:t>, the Committee</w:t>
      </w:r>
      <w:r w:rsidR="00E857B4" w:rsidRPr="007240E1">
        <w:t xml:space="preserve"> believes that efforts are still needed in terms of </w:t>
      </w:r>
      <w:r w:rsidR="00637055" w:rsidRPr="007240E1">
        <w:t xml:space="preserve">access </w:t>
      </w:r>
      <w:r w:rsidR="00121B9A" w:rsidRPr="007240E1">
        <w:t>to</w:t>
      </w:r>
      <w:r w:rsidR="00E857B4" w:rsidRPr="007240E1">
        <w:t xml:space="preserve"> leading and managerial positions </w:t>
      </w:r>
      <w:r w:rsidR="00121B9A" w:rsidRPr="007240E1">
        <w:t>by</w:t>
      </w:r>
      <w:r w:rsidR="00637055" w:rsidRPr="007240E1">
        <w:t xml:space="preserve"> </w:t>
      </w:r>
      <w:r w:rsidR="00E857B4" w:rsidRPr="007240E1">
        <w:t xml:space="preserve">the members of the communities who are not majority, in particular of those who belong to smaller ethnic communities </w:t>
      </w:r>
      <w:r w:rsidR="00255D47" w:rsidRPr="007240E1">
        <w:t>(art</w:t>
      </w:r>
      <w:r w:rsidR="001D45D8" w:rsidRPr="007240E1">
        <w:t>s</w:t>
      </w:r>
      <w:r w:rsidR="00255D47" w:rsidRPr="007240E1">
        <w:t>. 2 and 5).</w:t>
      </w:r>
    </w:p>
    <w:p w:rsidR="00EC0CFF" w:rsidRPr="007240E1" w:rsidRDefault="00FF6E5F" w:rsidP="007240E1">
      <w:pPr>
        <w:pStyle w:val="SingleTxtG"/>
        <w:rPr>
          <w:b/>
        </w:rPr>
      </w:pPr>
      <w:r w:rsidRPr="007240E1">
        <w:t>25.</w:t>
      </w:r>
      <w:r w:rsidRPr="007240E1">
        <w:tab/>
      </w:r>
      <w:r w:rsidR="00510251" w:rsidRPr="007240E1">
        <w:rPr>
          <w:b/>
        </w:rPr>
        <w:t>The Committee recommends that the State party</w:t>
      </w:r>
      <w:r w:rsidR="00AA407D" w:rsidRPr="007240E1">
        <w:rPr>
          <w:b/>
        </w:rPr>
        <w:t xml:space="preserve"> </w:t>
      </w:r>
      <w:r w:rsidR="00377342" w:rsidRPr="007240E1">
        <w:rPr>
          <w:b/>
        </w:rPr>
        <w:t>continue to s</w:t>
      </w:r>
      <w:r w:rsidR="009C6B11" w:rsidRPr="007240E1">
        <w:rPr>
          <w:b/>
        </w:rPr>
        <w:t xml:space="preserve">trengthen the </w:t>
      </w:r>
      <w:r w:rsidR="00506D04" w:rsidRPr="007240E1">
        <w:rPr>
          <w:b/>
        </w:rPr>
        <w:t xml:space="preserve">efforts </w:t>
      </w:r>
      <w:r w:rsidR="009C6B11" w:rsidRPr="007240E1">
        <w:rPr>
          <w:b/>
        </w:rPr>
        <w:t xml:space="preserve">for </w:t>
      </w:r>
      <w:r w:rsidR="00EC0CFF" w:rsidRPr="007240E1">
        <w:rPr>
          <w:b/>
        </w:rPr>
        <w:t xml:space="preserve">the </w:t>
      </w:r>
      <w:r w:rsidR="009C6B11" w:rsidRPr="007240E1">
        <w:rPr>
          <w:b/>
        </w:rPr>
        <w:t xml:space="preserve">implementation of the principle </w:t>
      </w:r>
      <w:r w:rsidR="003F56E9" w:rsidRPr="007240E1">
        <w:rPr>
          <w:b/>
        </w:rPr>
        <w:t xml:space="preserve">of </w:t>
      </w:r>
      <w:r w:rsidR="009C6B11" w:rsidRPr="007240E1">
        <w:rPr>
          <w:b/>
        </w:rPr>
        <w:t>adequa</w:t>
      </w:r>
      <w:r w:rsidR="00EC0CFF" w:rsidRPr="007240E1">
        <w:rPr>
          <w:b/>
        </w:rPr>
        <w:t>te and equitable representation, strive for</w:t>
      </w:r>
      <w:r w:rsidR="009C6B11" w:rsidRPr="007240E1">
        <w:rPr>
          <w:b/>
        </w:rPr>
        <w:t xml:space="preserve"> </w:t>
      </w:r>
      <w:r w:rsidR="00EC0CFF" w:rsidRPr="007240E1">
        <w:rPr>
          <w:b/>
        </w:rPr>
        <w:t>the</w:t>
      </w:r>
      <w:r w:rsidR="009C6B11" w:rsidRPr="007240E1">
        <w:rPr>
          <w:b/>
        </w:rPr>
        <w:t xml:space="preserve"> representation </w:t>
      </w:r>
      <w:r w:rsidR="00EC0CFF" w:rsidRPr="007240E1">
        <w:rPr>
          <w:b/>
        </w:rPr>
        <w:t xml:space="preserve">of smaller communities </w:t>
      </w:r>
      <w:r w:rsidR="009C6B11" w:rsidRPr="007240E1">
        <w:rPr>
          <w:b/>
        </w:rPr>
        <w:t>in managerial posts</w:t>
      </w:r>
      <w:r w:rsidR="00EC0CFF" w:rsidRPr="007240E1">
        <w:rPr>
          <w:b/>
        </w:rPr>
        <w:t xml:space="preserve"> </w:t>
      </w:r>
      <w:r w:rsidR="00760653" w:rsidRPr="007240E1">
        <w:rPr>
          <w:b/>
        </w:rPr>
        <w:t xml:space="preserve">and </w:t>
      </w:r>
      <w:r w:rsidR="00EC0CFF" w:rsidRPr="007240E1">
        <w:rPr>
          <w:b/>
        </w:rPr>
        <w:t>fully cooperate with the Ombudsman in monitoring the implementation of this principle</w:t>
      </w:r>
      <w:r w:rsidR="009C6B11" w:rsidRPr="007240E1">
        <w:rPr>
          <w:b/>
        </w:rPr>
        <w:t>.</w:t>
      </w:r>
      <w:r w:rsidR="00AA407D" w:rsidRPr="007240E1">
        <w:rPr>
          <w:b/>
        </w:rPr>
        <w:t xml:space="preserve"> </w:t>
      </w:r>
    </w:p>
    <w:p w:rsidR="002C704A" w:rsidRPr="007240E1" w:rsidRDefault="002C704A" w:rsidP="002C704A">
      <w:pPr>
        <w:pStyle w:val="H1G"/>
        <w:rPr>
          <w:szCs w:val="24"/>
        </w:rPr>
      </w:pPr>
      <w:r w:rsidRPr="007240E1">
        <w:rPr>
          <w:szCs w:val="24"/>
        </w:rPr>
        <w:tab/>
      </w:r>
      <w:r w:rsidR="00166576" w:rsidRPr="007240E1">
        <w:rPr>
          <w:szCs w:val="24"/>
        </w:rPr>
        <w:t>D</w:t>
      </w:r>
      <w:r w:rsidRPr="007240E1">
        <w:rPr>
          <w:szCs w:val="24"/>
        </w:rPr>
        <w:t>.</w:t>
      </w:r>
      <w:r w:rsidRPr="007240E1">
        <w:rPr>
          <w:szCs w:val="24"/>
        </w:rPr>
        <w:tab/>
        <w:t>Other recommendations</w:t>
      </w:r>
    </w:p>
    <w:p w:rsidR="002C704A" w:rsidRPr="007240E1" w:rsidRDefault="002C704A" w:rsidP="002C704A">
      <w:pPr>
        <w:pStyle w:val="H23G"/>
      </w:pPr>
      <w:r w:rsidRPr="007240E1">
        <w:rPr>
          <w:sz w:val="24"/>
          <w:szCs w:val="24"/>
        </w:rPr>
        <w:tab/>
      </w:r>
      <w:r w:rsidRPr="007240E1">
        <w:rPr>
          <w:sz w:val="24"/>
          <w:szCs w:val="24"/>
        </w:rPr>
        <w:tab/>
      </w:r>
      <w:r w:rsidRPr="007240E1">
        <w:t>Ratification of other treaties</w:t>
      </w:r>
    </w:p>
    <w:p w:rsidR="002C704A" w:rsidRPr="007240E1" w:rsidRDefault="00FF6E5F" w:rsidP="007240E1">
      <w:pPr>
        <w:pStyle w:val="SingleTxtG"/>
      </w:pPr>
      <w:r w:rsidRPr="007240E1">
        <w:t>26.</w:t>
      </w:r>
      <w:r w:rsidRPr="007240E1">
        <w:tab/>
      </w:r>
      <w:r w:rsidR="002C704A" w:rsidRPr="007240E1">
        <w:t xml:space="preserve">Bearing in mind the indivisibility of all human rights, the Committee encourages the State party to consider ratifying </w:t>
      </w:r>
      <w:r w:rsidR="00760653" w:rsidRPr="007240E1">
        <w:t xml:space="preserve">those </w:t>
      </w:r>
      <w:r w:rsidR="002C704A" w:rsidRPr="007240E1">
        <w:t xml:space="preserve">international human rights treaties </w:t>
      </w:r>
      <w:r w:rsidR="00760653" w:rsidRPr="007240E1">
        <w:t xml:space="preserve">that </w:t>
      </w:r>
      <w:r w:rsidR="002C704A" w:rsidRPr="007240E1">
        <w:t>it has not yet ratified, in particular treaties with provisions that have a direct relevance to communities that may be the subject of racial discrimination</w:t>
      </w:r>
      <w:r w:rsidR="00B019BE" w:rsidRPr="007240E1">
        <w:t xml:space="preserve">, including the </w:t>
      </w:r>
      <w:r w:rsidR="00760653" w:rsidRPr="007240E1">
        <w:t>International Convention on the Protection of the Rights of All Migrant Workers and Members of their Families</w:t>
      </w:r>
      <w:r w:rsidR="00BF6E08" w:rsidRPr="007240E1">
        <w:t>.</w:t>
      </w:r>
    </w:p>
    <w:p w:rsidR="00236914" w:rsidRPr="007240E1" w:rsidRDefault="00236914" w:rsidP="00236914">
      <w:pPr>
        <w:pStyle w:val="H23G"/>
      </w:pPr>
      <w:r w:rsidRPr="007240E1">
        <w:tab/>
      </w:r>
      <w:r w:rsidRPr="007240E1">
        <w:tab/>
        <w:t>Follow-up to the Durban Declaration and Programme of Action</w:t>
      </w:r>
    </w:p>
    <w:p w:rsidR="00DF1164" w:rsidRPr="007240E1" w:rsidRDefault="00FF6E5F" w:rsidP="007240E1">
      <w:pPr>
        <w:pStyle w:val="SingleTxtG"/>
        <w:rPr>
          <w:rStyle w:val="SingleTxtGCar"/>
        </w:rPr>
      </w:pPr>
      <w:r w:rsidRPr="007240E1">
        <w:rPr>
          <w:rStyle w:val="SingleTxtGCar"/>
        </w:rPr>
        <w:t>27.</w:t>
      </w:r>
      <w:r w:rsidRPr="007240E1">
        <w:rPr>
          <w:rStyle w:val="SingleTxtGCar"/>
        </w:rPr>
        <w:tab/>
      </w:r>
      <w:r w:rsidR="00DF1164" w:rsidRPr="007240E1">
        <w:rPr>
          <w:rStyle w:val="SingleTxtGCar"/>
        </w:rPr>
        <w:t xml:space="preserve">In the light of its general recommendation No. 33 (2009) on the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2C704A" w:rsidRPr="007240E1" w:rsidRDefault="00BE11D1" w:rsidP="00BE11D1">
      <w:pPr>
        <w:pStyle w:val="H23G"/>
        <w:rPr>
          <w:lang w:eastAsia="en-GB"/>
        </w:rPr>
      </w:pPr>
      <w:r w:rsidRPr="007240E1">
        <w:rPr>
          <w:lang w:eastAsia="en-GB"/>
        </w:rPr>
        <w:tab/>
      </w:r>
      <w:r w:rsidRPr="007240E1">
        <w:rPr>
          <w:lang w:eastAsia="en-GB"/>
        </w:rPr>
        <w:tab/>
      </w:r>
      <w:r w:rsidR="002C704A" w:rsidRPr="007240E1">
        <w:rPr>
          <w:lang w:eastAsia="en-GB"/>
        </w:rPr>
        <w:t xml:space="preserve">International Decade for People of African Descent </w:t>
      </w:r>
    </w:p>
    <w:p w:rsidR="002C704A" w:rsidRPr="007240E1" w:rsidRDefault="00FF6E5F" w:rsidP="007240E1">
      <w:pPr>
        <w:pStyle w:val="SingleTxtG"/>
        <w:rPr>
          <w:rFonts w:asciiTheme="majorBidi" w:hAnsiTheme="majorBidi" w:cstheme="majorBidi"/>
          <w:lang w:eastAsia="en-GB"/>
        </w:rPr>
      </w:pPr>
      <w:r w:rsidRPr="007240E1">
        <w:rPr>
          <w:lang w:eastAsia="en-GB"/>
        </w:rPr>
        <w:t>28.</w:t>
      </w:r>
      <w:r w:rsidRPr="007240E1">
        <w:rPr>
          <w:lang w:eastAsia="en-GB"/>
        </w:rPr>
        <w:tab/>
      </w:r>
      <w:r w:rsidR="002C704A" w:rsidRPr="007240E1">
        <w:rPr>
          <w:lang w:eastAsia="en-GB"/>
        </w:rPr>
        <w:t>In the light of General Assembly resolution 68/237</w:t>
      </w:r>
      <w:r w:rsidR="00760653" w:rsidRPr="007240E1">
        <w:rPr>
          <w:lang w:eastAsia="en-GB"/>
        </w:rPr>
        <w:t>,</w:t>
      </w:r>
      <w:r w:rsidR="002C704A" w:rsidRPr="007240E1">
        <w:rPr>
          <w:lang w:eastAsia="en-GB"/>
        </w:rPr>
        <w:t xml:space="preserve"> </w:t>
      </w:r>
      <w:r w:rsidR="00760653" w:rsidRPr="007240E1">
        <w:rPr>
          <w:lang w:eastAsia="en-GB"/>
        </w:rPr>
        <w:t xml:space="preserve">in which the Assembly proclaimed </w:t>
      </w:r>
      <w:r w:rsidR="002C704A" w:rsidRPr="007240E1">
        <w:rPr>
          <w:lang w:eastAsia="en-GB"/>
        </w:rPr>
        <w:t>the International Decade for People of African Descent for 2015-2024</w:t>
      </w:r>
      <w:r w:rsidR="00760653" w:rsidRPr="007240E1">
        <w:rPr>
          <w:lang w:eastAsia="en-GB"/>
        </w:rPr>
        <w:t>,</w:t>
      </w:r>
      <w:r w:rsidR="002C704A" w:rsidRPr="007240E1">
        <w:rPr>
          <w:lang w:eastAsia="en-GB"/>
        </w:rPr>
        <w:t xml:space="preserve"> and </w:t>
      </w:r>
      <w:r w:rsidR="00760653" w:rsidRPr="007240E1">
        <w:rPr>
          <w:lang w:eastAsia="en-GB"/>
        </w:rPr>
        <w:t xml:space="preserve">Assembly </w:t>
      </w:r>
      <w:r w:rsidR="002C704A" w:rsidRPr="007240E1">
        <w:rPr>
          <w:lang w:eastAsia="en-GB"/>
        </w:rPr>
        <w:t>resolution 69/16 on the program</w:t>
      </w:r>
      <w:r w:rsidR="00691554" w:rsidRPr="007240E1">
        <w:rPr>
          <w:lang w:eastAsia="en-GB"/>
        </w:rPr>
        <w:t>me</w:t>
      </w:r>
      <w:r w:rsidR="002C704A" w:rsidRPr="007240E1">
        <w:rPr>
          <w:lang w:eastAsia="en-GB"/>
        </w:rPr>
        <w:t xml:space="preserve"> of activities for the implementation of the Decade, the Committee recommends that the State party prepare and implement a suitable program</w:t>
      </w:r>
      <w:r w:rsidR="00691554" w:rsidRPr="007240E1">
        <w:rPr>
          <w:lang w:eastAsia="en-GB"/>
        </w:rPr>
        <w:t>me</w:t>
      </w:r>
      <w:r w:rsidR="002C704A" w:rsidRPr="007240E1">
        <w:rPr>
          <w:lang w:eastAsia="en-GB"/>
        </w:rPr>
        <w:t xml:space="preserve"> of measures and policies. The Committee requests that the State party includes in its next report precise information on the concrete measures adopted in this framework, taking into account its </w:t>
      </w:r>
      <w:r w:rsidR="00BB3A64" w:rsidRPr="007240E1">
        <w:rPr>
          <w:lang w:eastAsia="en-GB"/>
        </w:rPr>
        <w:t>g</w:t>
      </w:r>
      <w:r w:rsidR="002C704A" w:rsidRPr="007240E1">
        <w:rPr>
          <w:lang w:eastAsia="en-GB"/>
        </w:rPr>
        <w:t xml:space="preserve">eneral </w:t>
      </w:r>
      <w:r w:rsidR="00BB3A64" w:rsidRPr="007240E1">
        <w:rPr>
          <w:lang w:eastAsia="en-GB"/>
        </w:rPr>
        <w:t>r</w:t>
      </w:r>
      <w:r w:rsidR="002C704A" w:rsidRPr="007240E1">
        <w:rPr>
          <w:lang w:eastAsia="en-GB"/>
        </w:rPr>
        <w:t>ecommendation N</w:t>
      </w:r>
      <w:r w:rsidR="009F5B5C" w:rsidRPr="007240E1">
        <w:rPr>
          <w:lang w:eastAsia="en-GB"/>
        </w:rPr>
        <w:t>o. </w:t>
      </w:r>
      <w:r w:rsidR="002C704A" w:rsidRPr="007240E1">
        <w:rPr>
          <w:lang w:eastAsia="en-GB"/>
        </w:rPr>
        <w:t>34 (2011) on racial discrimination against people of African descent.</w:t>
      </w:r>
      <w:r w:rsidR="002C704A" w:rsidRPr="007240E1">
        <w:rPr>
          <w:rFonts w:ascii="Verdana" w:hAnsi="Verdana"/>
          <w:lang w:eastAsia="en-GB"/>
        </w:rPr>
        <w:t xml:space="preserve"> </w:t>
      </w:r>
    </w:p>
    <w:p w:rsidR="002C704A" w:rsidRPr="007240E1" w:rsidRDefault="002C704A" w:rsidP="002C704A">
      <w:pPr>
        <w:pStyle w:val="H23G"/>
      </w:pPr>
      <w:r w:rsidRPr="007240E1">
        <w:tab/>
      </w:r>
      <w:r w:rsidRPr="007240E1">
        <w:tab/>
        <w:t>Consultations with civil society</w:t>
      </w:r>
    </w:p>
    <w:p w:rsidR="002C704A" w:rsidRPr="007240E1" w:rsidRDefault="00FF6E5F" w:rsidP="007240E1">
      <w:pPr>
        <w:pStyle w:val="SingleTxtG"/>
      </w:pPr>
      <w:r w:rsidRPr="007240E1">
        <w:t>29.</w:t>
      </w:r>
      <w:r w:rsidRPr="007240E1">
        <w:tab/>
      </w:r>
      <w:r w:rsidR="002C704A" w:rsidRPr="007240E1">
        <w:t xml:space="preserve">The Committee recommends that the State party continue </w:t>
      </w:r>
      <w:r w:rsidR="00760653" w:rsidRPr="007240E1">
        <w:t xml:space="preserve">to </w:t>
      </w:r>
      <w:r w:rsidR="002C704A" w:rsidRPr="007240E1">
        <w:t xml:space="preserve">consult and expand its dialogue with civil society </w:t>
      </w:r>
      <w:r w:rsidR="00760653" w:rsidRPr="007240E1">
        <w:t xml:space="preserve">organizations </w:t>
      </w:r>
      <w:r w:rsidR="002C704A" w:rsidRPr="007240E1">
        <w:t xml:space="preserve">working in the area of human rights protection, in particular </w:t>
      </w:r>
      <w:r w:rsidR="00760653" w:rsidRPr="007240E1">
        <w:t xml:space="preserve">on </w:t>
      </w:r>
      <w:r w:rsidR="002C704A" w:rsidRPr="007240E1">
        <w:t xml:space="preserve">combating racial discrimination, in connection with the preparation of the next periodic report and the follow-up to the </w:t>
      </w:r>
      <w:r w:rsidR="00760653" w:rsidRPr="007240E1">
        <w:t xml:space="preserve">present </w:t>
      </w:r>
      <w:r w:rsidR="002C704A" w:rsidRPr="007240E1">
        <w:t>concluding observations.</w:t>
      </w:r>
    </w:p>
    <w:p w:rsidR="002C704A" w:rsidRPr="007240E1" w:rsidRDefault="002C704A" w:rsidP="002C704A">
      <w:pPr>
        <w:pStyle w:val="H23G"/>
      </w:pPr>
      <w:r w:rsidRPr="007240E1">
        <w:tab/>
      </w:r>
      <w:r w:rsidRPr="007240E1">
        <w:tab/>
        <w:t>Dissemination</w:t>
      </w:r>
    </w:p>
    <w:p w:rsidR="00FC6C8A" w:rsidRPr="007240E1" w:rsidRDefault="00FF6E5F" w:rsidP="007240E1">
      <w:pPr>
        <w:pStyle w:val="SingleTxtG"/>
      </w:pPr>
      <w:r w:rsidRPr="007240E1">
        <w:t>30.</w:t>
      </w:r>
      <w:r w:rsidRPr="007240E1">
        <w:tab/>
      </w:r>
      <w:r w:rsidR="002C704A" w:rsidRPr="007240E1">
        <w:t xml:space="preserve">The Committee recommends that the State party’s reports be made readily available and accessible to the public at the time of their submission and that the </w:t>
      </w:r>
      <w:r w:rsidR="00FC6C8A" w:rsidRPr="007240E1">
        <w:t xml:space="preserve">Committee’s concluding observations with respect to these reports be similarly publicized in the official and other commonly used languages, as appropriate. </w:t>
      </w:r>
    </w:p>
    <w:p w:rsidR="00FC6C8A" w:rsidRPr="007240E1" w:rsidRDefault="00BE11D1" w:rsidP="00BE11D1">
      <w:pPr>
        <w:pStyle w:val="H23G"/>
      </w:pPr>
      <w:r w:rsidRPr="007240E1">
        <w:tab/>
      </w:r>
      <w:r w:rsidRPr="007240E1">
        <w:tab/>
      </w:r>
      <w:r w:rsidR="00FC6C8A" w:rsidRPr="007240E1">
        <w:t>Amendment to article 8 of the Convention</w:t>
      </w:r>
    </w:p>
    <w:p w:rsidR="00FC6C8A" w:rsidRPr="007240E1" w:rsidRDefault="00FF6E5F" w:rsidP="007240E1">
      <w:pPr>
        <w:pStyle w:val="SingleTxtG"/>
      </w:pPr>
      <w:r w:rsidRPr="007240E1">
        <w:t>31.</w:t>
      </w:r>
      <w:r w:rsidRPr="007240E1">
        <w:tab/>
      </w:r>
      <w:r w:rsidR="00FC6C8A" w:rsidRPr="007240E1">
        <w:t xml:space="preserve">The Committee recommends that the State party ratify the amendment to article 8, paragraph 6, of the Convention, adopted on 15 January 1992 at the 14th Meeting of States Parties to the Convention and endorsed by the General Assembly in its resolution 47/111. </w:t>
      </w:r>
    </w:p>
    <w:p w:rsidR="002C704A" w:rsidRPr="007240E1" w:rsidRDefault="002C704A" w:rsidP="002C704A">
      <w:pPr>
        <w:pStyle w:val="H23G"/>
      </w:pPr>
      <w:r w:rsidRPr="007240E1">
        <w:tab/>
      </w:r>
      <w:r w:rsidRPr="007240E1">
        <w:tab/>
        <w:t>Follow-up to concluding observations</w:t>
      </w:r>
    </w:p>
    <w:p w:rsidR="002C704A" w:rsidRPr="007240E1" w:rsidRDefault="00FF6E5F" w:rsidP="007240E1">
      <w:pPr>
        <w:pStyle w:val="SingleTxtG"/>
      </w:pPr>
      <w:r w:rsidRPr="007240E1">
        <w:t>32.</w:t>
      </w:r>
      <w:r w:rsidRPr="007240E1">
        <w:tab/>
      </w:r>
      <w:r w:rsidR="002C704A" w:rsidRPr="007240E1">
        <w:t>In accordance with article 9 </w:t>
      </w:r>
      <w:r w:rsidR="00760653" w:rsidRPr="007240E1">
        <w:t>(</w:t>
      </w:r>
      <w:r w:rsidR="002C704A" w:rsidRPr="007240E1">
        <w:t>1</w:t>
      </w:r>
      <w:r w:rsidR="00760653" w:rsidRPr="007240E1">
        <w:t>)</w:t>
      </w:r>
      <w:r w:rsidR="002C704A" w:rsidRPr="007240E1">
        <w:t xml:space="preserve"> of the Convention and rule 65 of its amended rules of procedure, the Committee requests the State party to provide information, within one year of the adoption of the present concluding observations, on its follow-up to the recommendations contained in paragraphs </w:t>
      </w:r>
      <w:r w:rsidR="00506D04" w:rsidRPr="007240E1">
        <w:t xml:space="preserve">11, 15 </w:t>
      </w:r>
      <w:r w:rsidR="002C704A" w:rsidRPr="007240E1">
        <w:t xml:space="preserve">and </w:t>
      </w:r>
      <w:r w:rsidR="00506D04" w:rsidRPr="007240E1">
        <w:t>2</w:t>
      </w:r>
      <w:r w:rsidR="008E1FFC" w:rsidRPr="007240E1">
        <w:t>5</w:t>
      </w:r>
      <w:r w:rsidR="00506D04" w:rsidRPr="007240E1">
        <w:t xml:space="preserve"> </w:t>
      </w:r>
      <w:r w:rsidR="002C704A" w:rsidRPr="007240E1">
        <w:t>above.</w:t>
      </w:r>
    </w:p>
    <w:p w:rsidR="002C704A" w:rsidRPr="007240E1" w:rsidRDefault="002C704A" w:rsidP="002C704A">
      <w:pPr>
        <w:pStyle w:val="H23G"/>
      </w:pPr>
      <w:r w:rsidRPr="007240E1">
        <w:tab/>
      </w:r>
      <w:r w:rsidRPr="007240E1">
        <w:tab/>
        <w:t>Paragraphs of particular importance</w:t>
      </w:r>
    </w:p>
    <w:p w:rsidR="002C704A" w:rsidRPr="007240E1" w:rsidRDefault="00FF6E5F" w:rsidP="007240E1">
      <w:pPr>
        <w:pStyle w:val="SingleTxtG"/>
      </w:pPr>
      <w:r w:rsidRPr="007240E1">
        <w:t>33.</w:t>
      </w:r>
      <w:r w:rsidRPr="007240E1">
        <w:tab/>
      </w:r>
      <w:r w:rsidR="002C704A" w:rsidRPr="007240E1">
        <w:t xml:space="preserve">The Committee also wishes to draw the attention of the State party to the particular importance of the recommendations contained in paragraphs </w:t>
      </w:r>
      <w:r w:rsidR="005F357A" w:rsidRPr="007240E1">
        <w:t xml:space="preserve">13, </w:t>
      </w:r>
      <w:r w:rsidR="00506D04" w:rsidRPr="007240E1">
        <w:t xml:space="preserve">17, 19 </w:t>
      </w:r>
      <w:r w:rsidR="002C704A" w:rsidRPr="007240E1">
        <w:t xml:space="preserve">and </w:t>
      </w:r>
      <w:r w:rsidR="00506D04" w:rsidRPr="007240E1">
        <w:t>21 </w:t>
      </w:r>
      <w:r w:rsidR="002C704A" w:rsidRPr="007240E1">
        <w:t xml:space="preserve">above and requests the State party to provide detailed information in its next periodic report on </w:t>
      </w:r>
      <w:r w:rsidR="00691554" w:rsidRPr="007240E1">
        <w:t xml:space="preserve">the </w:t>
      </w:r>
      <w:r w:rsidR="002C704A" w:rsidRPr="007240E1">
        <w:t>concrete measures taken to implement those recommendations.</w:t>
      </w:r>
    </w:p>
    <w:p w:rsidR="002C704A" w:rsidRPr="007240E1" w:rsidRDefault="002C704A" w:rsidP="002C704A">
      <w:pPr>
        <w:pStyle w:val="H23G"/>
      </w:pPr>
      <w:r w:rsidRPr="007240E1">
        <w:tab/>
      </w:r>
      <w:r w:rsidRPr="007240E1">
        <w:tab/>
        <w:t>Preparation of the next periodic report</w:t>
      </w:r>
    </w:p>
    <w:p w:rsidR="002C704A" w:rsidRPr="00E96317" w:rsidRDefault="00FF6E5F" w:rsidP="007240E1">
      <w:pPr>
        <w:pStyle w:val="SingleTxtG"/>
      </w:pPr>
      <w:r w:rsidRPr="007240E1">
        <w:t>34.</w:t>
      </w:r>
      <w:r w:rsidRPr="007240E1">
        <w:tab/>
      </w:r>
      <w:r w:rsidR="002C704A" w:rsidRPr="007240E1">
        <w:t>The Committee recommends that the State party submit its</w:t>
      </w:r>
      <w:r w:rsidR="005F357A" w:rsidRPr="007240E1">
        <w:t xml:space="preserve"> 11th to 14th </w:t>
      </w:r>
      <w:r w:rsidR="002C704A" w:rsidRPr="007240E1">
        <w:t xml:space="preserve">periodic reports, in a single document, by </w:t>
      </w:r>
      <w:r w:rsidR="005F357A" w:rsidRPr="007240E1">
        <w:t>17</w:t>
      </w:r>
      <w:r w:rsidR="008E1FFC" w:rsidRPr="007240E1">
        <w:t xml:space="preserve"> </w:t>
      </w:r>
      <w:r w:rsidR="005F357A" w:rsidRPr="007240E1">
        <w:t xml:space="preserve">September </w:t>
      </w:r>
      <w:r w:rsidR="002C704A" w:rsidRPr="007240E1">
        <w:t>201</w:t>
      </w:r>
      <w:r w:rsidR="005F357A" w:rsidRPr="007240E1">
        <w:t>8</w:t>
      </w:r>
      <w:r w:rsidR="002C704A" w:rsidRPr="007240E1">
        <w:t xml:space="preserve">, taking into account the </w:t>
      </w:r>
      <w:r w:rsidR="002C704A" w:rsidRPr="007240E1">
        <w:rPr>
          <w:rStyle w:val="SingleTxtGCar"/>
        </w:rPr>
        <w:t>reporting</w:t>
      </w:r>
      <w:r w:rsidR="002C704A" w:rsidRPr="007240E1">
        <w:t xml:space="preserve"> guidelines adopted by the Committee </w:t>
      </w:r>
      <w:r w:rsidR="00760653" w:rsidRPr="007240E1">
        <w:t xml:space="preserve">at </w:t>
      </w:r>
      <w:r w:rsidR="002C704A" w:rsidRPr="007240E1">
        <w:t>its seventy-first session (CERD/C/2007/1) and addressing all the points raised in the present concluding observations. In the light of General Assembly resolution 68/268, the Committee urges the State party to observe the word limit of 21,200 for periodic reports and 42,400 for the common core document.</w:t>
      </w:r>
    </w:p>
    <w:p w:rsidR="002C704A" w:rsidRPr="00E96317" w:rsidRDefault="002C704A" w:rsidP="002C704A">
      <w:pPr>
        <w:pStyle w:val="SingleTxtG"/>
        <w:spacing w:before="240" w:after="0"/>
        <w:jc w:val="center"/>
      </w:pPr>
      <w:r w:rsidRPr="00E96317">
        <w:rPr>
          <w:u w:val="single"/>
        </w:rPr>
        <w:tab/>
      </w:r>
      <w:r w:rsidRPr="00E96317">
        <w:rPr>
          <w:u w:val="single"/>
        </w:rPr>
        <w:tab/>
      </w:r>
      <w:r w:rsidRPr="00E96317">
        <w:rPr>
          <w:u w:val="single"/>
        </w:rPr>
        <w:tab/>
      </w:r>
    </w:p>
    <w:p w:rsidR="002C704A" w:rsidRPr="00E96317" w:rsidRDefault="002C704A" w:rsidP="002C704A"/>
    <w:sectPr w:rsidR="002C704A" w:rsidRPr="00E96317" w:rsidSect="00603A19">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4T08:36:00Z" w:initials="Start">
    <w:p w:rsidR="00603A19" w:rsidRDefault="00603A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NO&gt;&gt;N1521399E&lt;&lt;ODS JOB NO&gt;&gt;</w:t>
      </w:r>
    </w:p>
    <w:p w:rsidR="00603A19" w:rsidRDefault="00603A19">
      <w:pPr>
        <w:pStyle w:val="CommentText"/>
      </w:pPr>
      <w:r>
        <w:t>&lt;&lt;ODS DOC SYMBOL1&gt;&gt;CERD/C/MKD/CO/8-10&lt;&lt;ODS DOC SYMBOL1&gt;&gt;</w:t>
      </w:r>
    </w:p>
    <w:p w:rsidR="00603A19" w:rsidRDefault="00603A1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B1" w:rsidRDefault="005418B1"/>
  </w:endnote>
  <w:endnote w:type="continuationSeparator" w:id="0">
    <w:p w:rsidR="005418B1" w:rsidRDefault="005418B1"/>
  </w:endnote>
  <w:endnote w:type="continuationNotice" w:id="1">
    <w:p w:rsidR="005418B1" w:rsidRDefault="0054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4" w:rsidRPr="007B2CA0" w:rsidRDefault="00EA1AB4" w:rsidP="007B2CA0">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sidR="000B0F8F">
      <w:rPr>
        <w:b/>
        <w:noProof/>
        <w:sz w:val="18"/>
      </w:rPr>
      <w:t>8</w:t>
    </w:r>
    <w:r w:rsidRPr="007B2CA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4" w:rsidRPr="007B2CA0" w:rsidRDefault="00EA1AB4"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sidR="000B0F8F">
      <w:rPr>
        <w:b/>
        <w:noProof/>
        <w:sz w:val="18"/>
      </w:rPr>
      <w:t>7</w:t>
    </w:r>
    <w:r w:rsidRPr="007B2C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03A19" w:rsidTr="00603A19">
      <w:tc>
        <w:tcPr>
          <w:tcW w:w="3614" w:type="dxa"/>
          <w:shd w:val="clear" w:color="auto" w:fill="auto"/>
        </w:tcPr>
        <w:p w:rsidR="00603A19" w:rsidRDefault="00603A19" w:rsidP="00603A19">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CERD/C/MKD/CO/8-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RD/C/MKD/CO/8-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GE.15-15623(E)</w:t>
          </w:r>
        </w:p>
        <w:p w:rsidR="00603A19" w:rsidRPr="00603A19" w:rsidRDefault="00603A19" w:rsidP="00603A19">
          <w:pPr>
            <w:pStyle w:val="Footer"/>
            <w:rPr>
              <w:rFonts w:ascii="Barcode 3 of 9 by request" w:hAnsi="Barcode 3 of 9 by request"/>
              <w:sz w:val="24"/>
            </w:rPr>
          </w:pPr>
          <w:r>
            <w:rPr>
              <w:rFonts w:ascii="Barcode 3 of 9 by request" w:hAnsi="Barcode 3 of 9 by request"/>
              <w:sz w:val="24"/>
            </w:rPr>
            <w:t>*1515623*</w:t>
          </w:r>
        </w:p>
      </w:tc>
      <w:tc>
        <w:tcPr>
          <w:tcW w:w="4752" w:type="dxa"/>
          <w:shd w:val="clear" w:color="auto" w:fill="auto"/>
        </w:tcPr>
        <w:p w:rsidR="00603A19" w:rsidRDefault="00603A19" w:rsidP="00603A19">
          <w:pPr>
            <w:pStyle w:val="Footer"/>
            <w:spacing w:line="240" w:lineRule="atLeast"/>
            <w:jc w:val="right"/>
            <w:rPr>
              <w:sz w:val="20"/>
            </w:rPr>
          </w:pPr>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03A19" w:rsidRPr="00603A19" w:rsidRDefault="00603A19" w:rsidP="00603A1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B1" w:rsidRPr="000B175B" w:rsidRDefault="005418B1" w:rsidP="000B175B">
      <w:pPr>
        <w:tabs>
          <w:tab w:val="right" w:pos="2155"/>
        </w:tabs>
        <w:spacing w:after="80"/>
        <w:ind w:left="680"/>
        <w:rPr>
          <w:u w:val="single"/>
        </w:rPr>
      </w:pPr>
      <w:r>
        <w:rPr>
          <w:u w:val="single"/>
        </w:rPr>
        <w:tab/>
      </w:r>
    </w:p>
  </w:footnote>
  <w:footnote w:type="continuationSeparator" w:id="0">
    <w:p w:rsidR="005418B1" w:rsidRPr="00FC68B7" w:rsidRDefault="005418B1" w:rsidP="00FC68B7">
      <w:pPr>
        <w:tabs>
          <w:tab w:val="left" w:pos="2155"/>
        </w:tabs>
        <w:spacing w:after="80"/>
        <w:ind w:left="680"/>
        <w:rPr>
          <w:u w:val="single"/>
        </w:rPr>
      </w:pPr>
      <w:r>
        <w:rPr>
          <w:u w:val="single"/>
        </w:rPr>
        <w:tab/>
      </w:r>
    </w:p>
  </w:footnote>
  <w:footnote w:type="continuationNotice" w:id="1">
    <w:p w:rsidR="005418B1" w:rsidRDefault="005418B1"/>
  </w:footnote>
  <w:footnote w:id="2">
    <w:p w:rsidR="00B545EB" w:rsidRPr="00E057FE" w:rsidRDefault="00B545EB" w:rsidP="00B545EB">
      <w:pPr>
        <w:pStyle w:val="FootnoteText"/>
      </w:pPr>
      <w:r>
        <w:tab/>
      </w:r>
      <w:r w:rsidRPr="0025679D">
        <w:rPr>
          <w:rStyle w:val="FootnoteReference"/>
          <w:sz w:val="20"/>
          <w:vertAlign w:val="baseline"/>
        </w:rPr>
        <w:t>*</w:t>
      </w:r>
      <w:r w:rsidRPr="00E057FE">
        <w:tab/>
        <w:t xml:space="preserve">Adopted by the Committee at its </w:t>
      </w:r>
      <w:r>
        <w:t>eighty-seventh</w:t>
      </w:r>
      <w:r w:rsidRPr="0055184D">
        <w:rPr>
          <w:color w:val="FF0000"/>
        </w:rPr>
        <w:t xml:space="preserve"> </w:t>
      </w:r>
      <w:r w:rsidRPr="00E057FE">
        <w:t>session (</w:t>
      </w:r>
      <w:r>
        <w:t>3-28 August 2015)</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4" w:rsidRPr="007B2CA0" w:rsidRDefault="002C68F0" w:rsidP="007B2CA0">
    <w:pPr>
      <w:pStyle w:val="Header"/>
    </w:pPr>
    <w:r>
      <w:t>CERD/C/MKD/CO/8-10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4" w:rsidRPr="002C68F0" w:rsidRDefault="00EA1AB4" w:rsidP="007B2CA0">
    <w:pPr>
      <w:pStyle w:val="Header"/>
      <w:jc w:val="right"/>
      <w:rPr>
        <w:b w:val="0"/>
      </w:rPr>
    </w:pPr>
    <w:r w:rsidRPr="007B2CA0">
      <w:t>CERD/C/</w:t>
    </w:r>
    <w:r w:rsidR="002C68F0">
      <w:t>MKD/CO/8-10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B43A3C"/>
    <w:multiLevelType w:val="hybridMultilevel"/>
    <w:tmpl w:val="BFAE0C58"/>
    <w:lvl w:ilvl="0" w:tplc="97F29854">
      <w:start w:val="1"/>
      <w:numFmt w:val="lowerLetter"/>
      <w:lvlText w:val="(%1)"/>
      <w:lvlJc w:val="left"/>
      <w:pPr>
        <w:ind w:left="1854" w:hanging="360"/>
      </w:pPr>
      <w:rPr>
        <w:rFonts w:eastAsia="Times New Roman"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883491F"/>
    <w:multiLevelType w:val="hybridMultilevel"/>
    <w:tmpl w:val="C57A6352"/>
    <w:lvl w:ilvl="0" w:tplc="01325DD6">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nsid w:val="0ADF3364"/>
    <w:multiLevelType w:val="hybridMultilevel"/>
    <w:tmpl w:val="7A48B5DE"/>
    <w:lvl w:ilvl="0" w:tplc="58DAFAAE">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0E382D30"/>
    <w:multiLevelType w:val="hybridMultilevel"/>
    <w:tmpl w:val="A6CA46E8"/>
    <w:lvl w:ilvl="0" w:tplc="01325DD6">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2A613B7"/>
    <w:multiLevelType w:val="hybridMultilevel"/>
    <w:tmpl w:val="F4002D92"/>
    <w:lvl w:ilvl="0" w:tplc="01325DD6">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A346F"/>
    <w:multiLevelType w:val="hybridMultilevel"/>
    <w:tmpl w:val="632AA582"/>
    <w:lvl w:ilvl="0" w:tplc="97F29854">
      <w:start w:val="1"/>
      <w:numFmt w:val="lowerLetter"/>
      <w:lvlText w:val="(%1)"/>
      <w:lvlJc w:val="left"/>
      <w:pPr>
        <w:ind w:left="2421" w:hanging="360"/>
      </w:pPr>
      <w:rPr>
        <w:rFonts w:eastAsia="Times New Roman" w:hint="default"/>
      </w:rPr>
    </w:lvl>
    <w:lvl w:ilvl="1" w:tplc="97F29854">
      <w:start w:val="1"/>
      <w:numFmt w:val="lowerLetter"/>
      <w:lvlText w:val="(%2)"/>
      <w:lvlJc w:val="left"/>
      <w:pPr>
        <w:ind w:left="3141" w:hanging="360"/>
      </w:pPr>
      <w:rPr>
        <w:rFonts w:eastAsia="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16AE3F4E"/>
    <w:multiLevelType w:val="hybridMultilevel"/>
    <w:tmpl w:val="B106B542"/>
    <w:lvl w:ilvl="0" w:tplc="97F29854">
      <w:start w:val="1"/>
      <w:numFmt w:val="lowerLetter"/>
      <w:lvlText w:val="(%1)"/>
      <w:lvlJc w:val="left"/>
      <w:pPr>
        <w:ind w:left="1854" w:hanging="360"/>
      </w:pPr>
      <w:rPr>
        <w:rFonts w:eastAsia="Times New Roman" w:hint="default"/>
      </w:rPr>
    </w:lvl>
    <w:lvl w:ilvl="1" w:tplc="01325DD6">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8736F4"/>
    <w:multiLevelType w:val="hybridMultilevel"/>
    <w:tmpl w:val="BFACBE32"/>
    <w:lvl w:ilvl="0" w:tplc="97F29854">
      <w:start w:val="1"/>
      <w:numFmt w:val="lowerLetter"/>
      <w:lvlText w:val="(%1)"/>
      <w:lvlJc w:val="left"/>
      <w:pPr>
        <w:ind w:left="2421" w:hanging="360"/>
      </w:pPr>
      <w:rPr>
        <w:rFonts w:eastAsia="Times New Roman"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1FBB10B1"/>
    <w:multiLevelType w:val="hybridMultilevel"/>
    <w:tmpl w:val="0B6218F8"/>
    <w:lvl w:ilvl="0" w:tplc="01325DD6">
      <w:start w:val="1"/>
      <w:numFmt w:val="lowerLetter"/>
      <w:lvlText w:val="(%1)"/>
      <w:lvlJc w:val="left"/>
      <w:pPr>
        <w:ind w:left="1854" w:hanging="360"/>
      </w:p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21F31801"/>
    <w:multiLevelType w:val="hybridMultilevel"/>
    <w:tmpl w:val="13527FE8"/>
    <w:lvl w:ilvl="0" w:tplc="C234DEC0">
      <w:numFmt w:val="bullet"/>
      <w:lvlText w:val="-"/>
      <w:lvlJc w:val="left"/>
      <w:pPr>
        <w:ind w:left="1080" w:hanging="360"/>
      </w:pPr>
      <w:rPr>
        <w:rFonts w:ascii="Arial" w:eastAsia="Calibr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4EA6EAF"/>
    <w:multiLevelType w:val="hybridMultilevel"/>
    <w:tmpl w:val="E32A58A2"/>
    <w:lvl w:ilvl="0" w:tplc="97F29854">
      <w:start w:val="1"/>
      <w:numFmt w:val="lowerLetter"/>
      <w:lvlText w:val="(%1)"/>
      <w:lvlJc w:val="left"/>
      <w:pPr>
        <w:ind w:left="2421" w:hanging="360"/>
      </w:pPr>
      <w:rPr>
        <w:rFonts w:eastAsia="Times New Roman" w:hint="default"/>
      </w:rPr>
    </w:lvl>
    <w:lvl w:ilvl="1" w:tplc="01325DD6">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nsid w:val="2B047463"/>
    <w:multiLevelType w:val="hybridMultilevel"/>
    <w:tmpl w:val="7BF84FB6"/>
    <w:lvl w:ilvl="0" w:tplc="97F29854">
      <w:start w:val="1"/>
      <w:numFmt w:val="lowerLetter"/>
      <w:lvlText w:val="(%1)"/>
      <w:lvlJc w:val="left"/>
      <w:pPr>
        <w:ind w:left="1854" w:hanging="360"/>
      </w:pPr>
      <w:rPr>
        <w:rFonts w:eastAsia="Times New Roman" w:hint="default"/>
      </w:rPr>
    </w:lvl>
    <w:lvl w:ilvl="1" w:tplc="01325DD6">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2B7C021B"/>
    <w:multiLevelType w:val="hybridMultilevel"/>
    <w:tmpl w:val="05A26DA6"/>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2D542379"/>
    <w:multiLevelType w:val="hybridMultilevel"/>
    <w:tmpl w:val="9FC029AC"/>
    <w:lvl w:ilvl="0" w:tplc="09E019B6">
      <w:start w:val="1"/>
      <w:numFmt w:val="decimal"/>
      <w:lvlText w:val="%1."/>
      <w:lvlJc w:val="left"/>
      <w:pPr>
        <w:ind w:left="1854" w:hanging="360"/>
      </w:pPr>
      <w:rPr>
        <w:rFonts w:ascii="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333769"/>
    <w:multiLevelType w:val="hybridMultilevel"/>
    <w:tmpl w:val="9898AB62"/>
    <w:lvl w:ilvl="0" w:tplc="00F65F6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36273599"/>
    <w:multiLevelType w:val="hybridMultilevel"/>
    <w:tmpl w:val="F1FE3FBC"/>
    <w:lvl w:ilvl="0" w:tplc="97F29854">
      <w:start w:val="1"/>
      <w:numFmt w:val="lowerLetter"/>
      <w:lvlText w:val="(%1)"/>
      <w:lvlJc w:val="left"/>
      <w:pPr>
        <w:ind w:left="1854" w:hanging="360"/>
      </w:pPr>
      <w:rPr>
        <w:rFonts w:eastAsia="Times New Roman"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43931B3F"/>
    <w:multiLevelType w:val="hybridMultilevel"/>
    <w:tmpl w:val="EF16BDD4"/>
    <w:lvl w:ilvl="0" w:tplc="97F29854">
      <w:start w:val="1"/>
      <w:numFmt w:val="lowerLetter"/>
      <w:lvlText w:val="(%1)"/>
      <w:lvlJc w:val="left"/>
      <w:pPr>
        <w:ind w:left="2421" w:hanging="360"/>
      </w:pPr>
      <w:rPr>
        <w:rFonts w:eastAsia="Times New Roman" w:hint="default"/>
      </w:rPr>
    </w:lvl>
    <w:lvl w:ilvl="1" w:tplc="01325DD6">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nsid w:val="44BE6F52"/>
    <w:multiLevelType w:val="hybridMultilevel"/>
    <w:tmpl w:val="EC42519E"/>
    <w:lvl w:ilvl="0" w:tplc="97F29854">
      <w:start w:val="1"/>
      <w:numFmt w:val="lowerLetter"/>
      <w:lvlText w:val="(%1)"/>
      <w:lvlJc w:val="left"/>
      <w:pPr>
        <w:ind w:left="2214" w:hanging="360"/>
      </w:pPr>
      <w:rPr>
        <w:rFonts w:eastAsia="Times New Roman" w:hint="default"/>
      </w:rPr>
    </w:lvl>
    <w:lvl w:ilvl="1" w:tplc="01325DD6">
      <w:start w:val="1"/>
      <w:numFmt w:val="lowerLetter"/>
      <w:lvlText w:val="(%2)"/>
      <w:lvlJc w:val="left"/>
      <w:pPr>
        <w:ind w:left="2062"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3">
    <w:nsid w:val="45F170C5"/>
    <w:multiLevelType w:val="hybridMultilevel"/>
    <w:tmpl w:val="EF98639C"/>
    <w:lvl w:ilvl="0" w:tplc="01325DD6">
      <w:start w:val="1"/>
      <w:numFmt w:val="lowerLetter"/>
      <w:lvlText w:val="(%1)"/>
      <w:lvlJc w:val="left"/>
      <w:pPr>
        <w:ind w:left="1854" w:hanging="360"/>
      </w:p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4970065A"/>
    <w:multiLevelType w:val="hybridMultilevel"/>
    <w:tmpl w:val="AC0E29EA"/>
    <w:lvl w:ilvl="0" w:tplc="01325DD6">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4D35328D"/>
    <w:multiLevelType w:val="hybridMultilevel"/>
    <w:tmpl w:val="200271F6"/>
    <w:lvl w:ilvl="0" w:tplc="97F29854">
      <w:start w:val="1"/>
      <w:numFmt w:val="lowerLetter"/>
      <w:lvlText w:val="(%1)"/>
      <w:lvlJc w:val="left"/>
      <w:pPr>
        <w:ind w:left="2421" w:hanging="360"/>
      </w:pPr>
      <w:rPr>
        <w:rFonts w:eastAsia="Times New Roman" w:hint="default"/>
      </w:rPr>
    </w:lvl>
    <w:lvl w:ilvl="1" w:tplc="97F29854">
      <w:start w:val="1"/>
      <w:numFmt w:val="lowerLetter"/>
      <w:lvlText w:val="(%2)"/>
      <w:lvlJc w:val="left"/>
      <w:pPr>
        <w:ind w:left="3141" w:hanging="360"/>
      </w:pPr>
      <w:rPr>
        <w:rFonts w:eastAsia="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nsid w:val="4D8E02EF"/>
    <w:multiLevelType w:val="hybridMultilevel"/>
    <w:tmpl w:val="35D69A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53011CFB"/>
    <w:multiLevelType w:val="hybridMultilevel"/>
    <w:tmpl w:val="17209638"/>
    <w:lvl w:ilvl="0" w:tplc="97F29854">
      <w:start w:val="1"/>
      <w:numFmt w:val="lowerLetter"/>
      <w:lvlText w:val="(%1)"/>
      <w:lvlJc w:val="left"/>
      <w:pPr>
        <w:ind w:left="2421" w:hanging="360"/>
      </w:pPr>
      <w:rPr>
        <w:rFonts w:eastAsia="Times New Roman"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nsid w:val="54D948C0"/>
    <w:multiLevelType w:val="hybridMultilevel"/>
    <w:tmpl w:val="48F2C28A"/>
    <w:lvl w:ilvl="0" w:tplc="97F29854">
      <w:start w:val="1"/>
      <w:numFmt w:val="lowerLetter"/>
      <w:lvlText w:val="(%1)"/>
      <w:lvlJc w:val="left"/>
      <w:pPr>
        <w:ind w:left="1854" w:hanging="360"/>
      </w:pPr>
      <w:rPr>
        <w:rFonts w:eastAsia="Times New Roman"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56AC42A0"/>
    <w:multiLevelType w:val="hybridMultilevel"/>
    <w:tmpl w:val="61208B0A"/>
    <w:lvl w:ilvl="0" w:tplc="97F29854">
      <w:start w:val="1"/>
      <w:numFmt w:val="lowerLetter"/>
      <w:lvlText w:val="(%1)"/>
      <w:lvlJc w:val="left"/>
      <w:pPr>
        <w:ind w:left="2421" w:hanging="360"/>
      </w:pPr>
      <w:rPr>
        <w:rFonts w:eastAsia="Times New Roman"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0">
    <w:nsid w:val="5F836885"/>
    <w:multiLevelType w:val="hybridMultilevel"/>
    <w:tmpl w:val="FC6075EE"/>
    <w:lvl w:ilvl="0" w:tplc="97F29854">
      <w:start w:val="1"/>
      <w:numFmt w:val="lowerLetter"/>
      <w:lvlText w:val="(%1)"/>
      <w:lvlJc w:val="left"/>
      <w:pPr>
        <w:ind w:left="2421" w:hanging="360"/>
      </w:pPr>
      <w:rPr>
        <w:rFonts w:eastAsia="Times New Roman" w:hint="default"/>
      </w:rPr>
    </w:lvl>
    <w:lvl w:ilvl="1" w:tplc="97F29854">
      <w:start w:val="1"/>
      <w:numFmt w:val="lowerLetter"/>
      <w:lvlText w:val="(%2)"/>
      <w:lvlJc w:val="left"/>
      <w:pPr>
        <w:ind w:left="3141" w:hanging="360"/>
      </w:pPr>
      <w:rPr>
        <w:rFonts w:eastAsia="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3406356"/>
    <w:multiLevelType w:val="hybridMultilevel"/>
    <w:tmpl w:val="9252EEA6"/>
    <w:lvl w:ilvl="0" w:tplc="97F29854">
      <w:start w:val="1"/>
      <w:numFmt w:val="lowerLetter"/>
      <w:lvlText w:val="(%1)"/>
      <w:lvlJc w:val="left"/>
      <w:pPr>
        <w:ind w:left="2421" w:hanging="360"/>
      </w:pPr>
      <w:rPr>
        <w:rFonts w:eastAsia="Times New Roman" w:hint="default"/>
      </w:rPr>
    </w:lvl>
    <w:lvl w:ilvl="1" w:tplc="E8F6D7AC">
      <w:start w:val="1"/>
      <w:numFmt w:val="lowerLetter"/>
      <w:lvlText w:val="%2)"/>
      <w:lvlJc w:val="left"/>
      <w:pPr>
        <w:ind w:left="3906" w:hanging="1125"/>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3">
    <w:nsid w:val="64DD3366"/>
    <w:multiLevelType w:val="hybridMultilevel"/>
    <w:tmpl w:val="DCD2024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4">
    <w:nsid w:val="65CE4A69"/>
    <w:multiLevelType w:val="hybridMultilevel"/>
    <w:tmpl w:val="B39E3652"/>
    <w:lvl w:ilvl="0" w:tplc="01325DD6">
      <w:start w:val="1"/>
      <w:numFmt w:val="lowerLetter"/>
      <w:lvlText w:val="(%1)"/>
      <w:lvlJc w:val="left"/>
      <w:pPr>
        <w:ind w:left="1854" w:hanging="360"/>
      </w:p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70D90EF9"/>
    <w:multiLevelType w:val="hybridMultilevel"/>
    <w:tmpl w:val="3C166D1A"/>
    <w:lvl w:ilvl="0" w:tplc="97F29854">
      <w:start w:val="1"/>
      <w:numFmt w:val="lowerLetter"/>
      <w:lvlText w:val="(%1)"/>
      <w:lvlJc w:val="left"/>
      <w:pPr>
        <w:ind w:left="2421" w:hanging="360"/>
      </w:pPr>
      <w:rPr>
        <w:rFonts w:eastAsia="Times New Roman"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6">
    <w:nsid w:val="74E6681F"/>
    <w:multiLevelType w:val="hybridMultilevel"/>
    <w:tmpl w:val="5C3A755E"/>
    <w:lvl w:ilvl="0" w:tplc="97F29854">
      <w:start w:val="1"/>
      <w:numFmt w:val="lowerLetter"/>
      <w:lvlText w:val="(%1)"/>
      <w:lvlJc w:val="left"/>
      <w:pPr>
        <w:ind w:left="2421" w:hanging="360"/>
      </w:pPr>
      <w:rPr>
        <w:rFonts w:eastAsia="Times New Roman"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7">
    <w:nsid w:val="78873832"/>
    <w:multiLevelType w:val="hybridMultilevel"/>
    <w:tmpl w:val="2612C6C6"/>
    <w:lvl w:ilvl="0" w:tplc="97F29854">
      <w:start w:val="1"/>
      <w:numFmt w:val="lowerLetter"/>
      <w:lvlText w:val="(%1)"/>
      <w:lvlJc w:val="left"/>
      <w:pPr>
        <w:ind w:left="2214" w:hanging="360"/>
      </w:pPr>
      <w:rPr>
        <w:rFonts w:eastAsia="Times New Roman"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0"/>
  </w:num>
  <w:num w:numId="13">
    <w:abstractNumId w:val="10"/>
  </w:num>
  <w:num w:numId="14">
    <w:abstractNumId w:val="41"/>
  </w:num>
  <w:num w:numId="15">
    <w:abstractNumId w:val="1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3"/>
  </w:num>
  <w:num w:numId="21">
    <w:abstractNumId w:val="13"/>
  </w:num>
  <w:num w:numId="22">
    <w:abstractNumId w:val="42"/>
  </w:num>
  <w:num w:numId="23">
    <w:abstractNumId w:val="14"/>
  </w:num>
  <w:num w:numId="24">
    <w:abstractNumId w:val="47"/>
  </w:num>
  <w:num w:numId="25">
    <w:abstractNumId w:val="32"/>
  </w:num>
  <w:num w:numId="26">
    <w:abstractNumId w:val="39"/>
  </w:num>
  <w:num w:numId="27">
    <w:abstractNumId w:val="24"/>
  </w:num>
  <w:num w:numId="28">
    <w:abstractNumId w:val="37"/>
  </w:num>
  <w:num w:numId="29">
    <w:abstractNumId w:val="31"/>
  </w:num>
  <w:num w:numId="30">
    <w:abstractNumId w:val="21"/>
  </w:num>
  <w:num w:numId="31">
    <w:abstractNumId w:val="35"/>
  </w:num>
  <w:num w:numId="32">
    <w:abstractNumId w:val="45"/>
  </w:num>
  <w:num w:numId="33">
    <w:abstractNumId w:val="40"/>
  </w:num>
  <w:num w:numId="34">
    <w:abstractNumId w:val="46"/>
  </w:num>
  <w:num w:numId="35">
    <w:abstractNumId w:val="18"/>
  </w:num>
  <w:num w:numId="36">
    <w:abstractNumId w:val="12"/>
  </w:num>
  <w:num w:numId="37">
    <w:abstractNumId w:val="25"/>
  </w:num>
  <w:num w:numId="38">
    <w:abstractNumId w:val="16"/>
  </w:num>
  <w:num w:numId="39">
    <w:abstractNumId w:val="22"/>
  </w:num>
  <w:num w:numId="40">
    <w:abstractNumId w:val="30"/>
  </w:num>
  <w:num w:numId="41">
    <w:abstractNumId w:val="19"/>
  </w:num>
  <w:num w:numId="42">
    <w:abstractNumId w:val="34"/>
  </w:num>
  <w:num w:numId="43">
    <w:abstractNumId w:val="33"/>
  </w:num>
  <w:num w:numId="44">
    <w:abstractNumId w:val="15"/>
  </w:num>
  <w:num w:numId="45">
    <w:abstractNumId w:val="44"/>
  </w:num>
  <w:num w:numId="46">
    <w:abstractNumId w:val="38"/>
  </w:num>
  <w:num w:numId="47">
    <w:abstractNumId w:val="26"/>
  </w:num>
  <w:num w:numId="48">
    <w:abstractNumId w:val="27"/>
  </w:num>
  <w:num w:numId="4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5"/>
    <w:rsid w:val="00003B9C"/>
    <w:rsid w:val="00006E2C"/>
    <w:rsid w:val="00017D2F"/>
    <w:rsid w:val="000210EC"/>
    <w:rsid w:val="00024ADB"/>
    <w:rsid w:val="00032443"/>
    <w:rsid w:val="00032FF2"/>
    <w:rsid w:val="00033486"/>
    <w:rsid w:val="00046BC3"/>
    <w:rsid w:val="00050F6B"/>
    <w:rsid w:val="000551DC"/>
    <w:rsid w:val="00056562"/>
    <w:rsid w:val="00063D37"/>
    <w:rsid w:val="00067B19"/>
    <w:rsid w:val="00072C8C"/>
    <w:rsid w:val="00072D14"/>
    <w:rsid w:val="000733B5"/>
    <w:rsid w:val="00076713"/>
    <w:rsid w:val="000767DB"/>
    <w:rsid w:val="00077485"/>
    <w:rsid w:val="000814F4"/>
    <w:rsid w:val="000931C0"/>
    <w:rsid w:val="00096537"/>
    <w:rsid w:val="000A484E"/>
    <w:rsid w:val="000A5D3B"/>
    <w:rsid w:val="000B0F8F"/>
    <w:rsid w:val="000B175B"/>
    <w:rsid w:val="000B2225"/>
    <w:rsid w:val="000B3A0F"/>
    <w:rsid w:val="000B4EF7"/>
    <w:rsid w:val="000B5E73"/>
    <w:rsid w:val="000C1462"/>
    <w:rsid w:val="000C2D2E"/>
    <w:rsid w:val="000C541D"/>
    <w:rsid w:val="000D1523"/>
    <w:rsid w:val="000D30FF"/>
    <w:rsid w:val="000D3CB8"/>
    <w:rsid w:val="000E0415"/>
    <w:rsid w:val="000F01FE"/>
    <w:rsid w:val="000F77E5"/>
    <w:rsid w:val="001054BD"/>
    <w:rsid w:val="001068EB"/>
    <w:rsid w:val="001103AA"/>
    <w:rsid w:val="00116DD0"/>
    <w:rsid w:val="00120713"/>
    <w:rsid w:val="00121B9A"/>
    <w:rsid w:val="00143099"/>
    <w:rsid w:val="0014424E"/>
    <w:rsid w:val="00153CC5"/>
    <w:rsid w:val="00154012"/>
    <w:rsid w:val="00155467"/>
    <w:rsid w:val="00163DCA"/>
    <w:rsid w:val="00166576"/>
    <w:rsid w:val="00175736"/>
    <w:rsid w:val="001778B7"/>
    <w:rsid w:val="00180D95"/>
    <w:rsid w:val="0018544F"/>
    <w:rsid w:val="0018711F"/>
    <w:rsid w:val="00195274"/>
    <w:rsid w:val="001A3839"/>
    <w:rsid w:val="001B117E"/>
    <w:rsid w:val="001B3A67"/>
    <w:rsid w:val="001B4B04"/>
    <w:rsid w:val="001C6663"/>
    <w:rsid w:val="001C7895"/>
    <w:rsid w:val="001D26DF"/>
    <w:rsid w:val="001D43B6"/>
    <w:rsid w:val="001D45D8"/>
    <w:rsid w:val="001E3AF4"/>
    <w:rsid w:val="001E5AA0"/>
    <w:rsid w:val="002013ED"/>
    <w:rsid w:val="00202DA8"/>
    <w:rsid w:val="00206627"/>
    <w:rsid w:val="002072C1"/>
    <w:rsid w:val="00211E0B"/>
    <w:rsid w:val="00214EF3"/>
    <w:rsid w:val="00222428"/>
    <w:rsid w:val="00223F47"/>
    <w:rsid w:val="00226C59"/>
    <w:rsid w:val="00231DCB"/>
    <w:rsid w:val="002331D2"/>
    <w:rsid w:val="00236914"/>
    <w:rsid w:val="00241379"/>
    <w:rsid w:val="00245748"/>
    <w:rsid w:val="0025010D"/>
    <w:rsid w:val="00251B1D"/>
    <w:rsid w:val="00255D47"/>
    <w:rsid w:val="00257903"/>
    <w:rsid w:val="00290367"/>
    <w:rsid w:val="00290F8D"/>
    <w:rsid w:val="002B0464"/>
    <w:rsid w:val="002C56F1"/>
    <w:rsid w:val="002C68F0"/>
    <w:rsid w:val="002C704A"/>
    <w:rsid w:val="002D241A"/>
    <w:rsid w:val="002E109D"/>
    <w:rsid w:val="002E26F7"/>
    <w:rsid w:val="002E46A6"/>
    <w:rsid w:val="002F1459"/>
    <w:rsid w:val="002F175C"/>
    <w:rsid w:val="002F1A58"/>
    <w:rsid w:val="002F58AD"/>
    <w:rsid w:val="003054C0"/>
    <w:rsid w:val="003229D8"/>
    <w:rsid w:val="00326032"/>
    <w:rsid w:val="003305AB"/>
    <w:rsid w:val="003327A8"/>
    <w:rsid w:val="0034032C"/>
    <w:rsid w:val="0034392D"/>
    <w:rsid w:val="00344502"/>
    <w:rsid w:val="00352709"/>
    <w:rsid w:val="0035793E"/>
    <w:rsid w:val="00371178"/>
    <w:rsid w:val="00377342"/>
    <w:rsid w:val="003A23BB"/>
    <w:rsid w:val="003A31F5"/>
    <w:rsid w:val="003A4810"/>
    <w:rsid w:val="003A4BA0"/>
    <w:rsid w:val="003A6810"/>
    <w:rsid w:val="003C0F23"/>
    <w:rsid w:val="003C10E9"/>
    <w:rsid w:val="003C2CC4"/>
    <w:rsid w:val="003D0772"/>
    <w:rsid w:val="003D4B23"/>
    <w:rsid w:val="003E2883"/>
    <w:rsid w:val="003E60FB"/>
    <w:rsid w:val="003E7C45"/>
    <w:rsid w:val="003F56E9"/>
    <w:rsid w:val="004044CE"/>
    <w:rsid w:val="00405DDC"/>
    <w:rsid w:val="00410C89"/>
    <w:rsid w:val="00412229"/>
    <w:rsid w:val="00417768"/>
    <w:rsid w:val="00426836"/>
    <w:rsid w:val="004325CB"/>
    <w:rsid w:val="004328CB"/>
    <w:rsid w:val="00441301"/>
    <w:rsid w:val="00445AA0"/>
    <w:rsid w:val="00454332"/>
    <w:rsid w:val="0045495B"/>
    <w:rsid w:val="004549A4"/>
    <w:rsid w:val="00456130"/>
    <w:rsid w:val="00460865"/>
    <w:rsid w:val="004610FB"/>
    <w:rsid w:val="00472384"/>
    <w:rsid w:val="00473E74"/>
    <w:rsid w:val="00491C34"/>
    <w:rsid w:val="004978B8"/>
    <w:rsid w:val="004B7D5F"/>
    <w:rsid w:val="004D2369"/>
    <w:rsid w:val="004D25E4"/>
    <w:rsid w:val="004D4C34"/>
    <w:rsid w:val="004E60C7"/>
    <w:rsid w:val="004F2BD4"/>
    <w:rsid w:val="004F62B0"/>
    <w:rsid w:val="005022D0"/>
    <w:rsid w:val="00506D04"/>
    <w:rsid w:val="00507232"/>
    <w:rsid w:val="00510251"/>
    <w:rsid w:val="005109D2"/>
    <w:rsid w:val="00511773"/>
    <w:rsid w:val="00514F33"/>
    <w:rsid w:val="00517B36"/>
    <w:rsid w:val="005418B1"/>
    <w:rsid w:val="005420F2"/>
    <w:rsid w:val="00554B0F"/>
    <w:rsid w:val="00582564"/>
    <w:rsid w:val="00591BA8"/>
    <w:rsid w:val="005A16E1"/>
    <w:rsid w:val="005A189E"/>
    <w:rsid w:val="005A1F06"/>
    <w:rsid w:val="005B3DB3"/>
    <w:rsid w:val="005C0F86"/>
    <w:rsid w:val="005C4C3A"/>
    <w:rsid w:val="005C6A79"/>
    <w:rsid w:val="005D078A"/>
    <w:rsid w:val="005D3B58"/>
    <w:rsid w:val="005E1397"/>
    <w:rsid w:val="005E57A8"/>
    <w:rsid w:val="005F2A0A"/>
    <w:rsid w:val="005F357A"/>
    <w:rsid w:val="005F5F5E"/>
    <w:rsid w:val="006001EE"/>
    <w:rsid w:val="00603A19"/>
    <w:rsid w:val="006050D0"/>
    <w:rsid w:val="00605DC1"/>
    <w:rsid w:val="00611FC4"/>
    <w:rsid w:val="0061275D"/>
    <w:rsid w:val="00613BD8"/>
    <w:rsid w:val="00613C16"/>
    <w:rsid w:val="006176FB"/>
    <w:rsid w:val="006269A2"/>
    <w:rsid w:val="00632BC4"/>
    <w:rsid w:val="00636C41"/>
    <w:rsid w:val="00637055"/>
    <w:rsid w:val="00640B26"/>
    <w:rsid w:val="00643B16"/>
    <w:rsid w:val="006627D6"/>
    <w:rsid w:val="00672720"/>
    <w:rsid w:val="0067392E"/>
    <w:rsid w:val="0067738A"/>
    <w:rsid w:val="00680928"/>
    <w:rsid w:val="0068761E"/>
    <w:rsid w:val="00691554"/>
    <w:rsid w:val="006935F1"/>
    <w:rsid w:val="006A22A6"/>
    <w:rsid w:val="006C2A63"/>
    <w:rsid w:val="006D57BB"/>
    <w:rsid w:val="006E0004"/>
    <w:rsid w:val="006E564B"/>
    <w:rsid w:val="006E7E1A"/>
    <w:rsid w:val="006F2BC0"/>
    <w:rsid w:val="006F5FDA"/>
    <w:rsid w:val="00705A56"/>
    <w:rsid w:val="0071610F"/>
    <w:rsid w:val="00717472"/>
    <w:rsid w:val="00722EAA"/>
    <w:rsid w:val="007240E1"/>
    <w:rsid w:val="007260F6"/>
    <w:rsid w:val="0072632A"/>
    <w:rsid w:val="007308E4"/>
    <w:rsid w:val="00732D92"/>
    <w:rsid w:val="00734325"/>
    <w:rsid w:val="00740B8E"/>
    <w:rsid w:val="00750C1B"/>
    <w:rsid w:val="007578A3"/>
    <w:rsid w:val="00760653"/>
    <w:rsid w:val="00760D4F"/>
    <w:rsid w:val="00773519"/>
    <w:rsid w:val="0078281D"/>
    <w:rsid w:val="00791F3D"/>
    <w:rsid w:val="00794939"/>
    <w:rsid w:val="007A206A"/>
    <w:rsid w:val="007B112D"/>
    <w:rsid w:val="007B2673"/>
    <w:rsid w:val="007B2CA0"/>
    <w:rsid w:val="007B6BA5"/>
    <w:rsid w:val="007C0041"/>
    <w:rsid w:val="007C0B36"/>
    <w:rsid w:val="007C3390"/>
    <w:rsid w:val="007C3B88"/>
    <w:rsid w:val="007C4F4B"/>
    <w:rsid w:val="007C7BEE"/>
    <w:rsid w:val="007E4234"/>
    <w:rsid w:val="007E4AD0"/>
    <w:rsid w:val="007E5611"/>
    <w:rsid w:val="007E7BD0"/>
    <w:rsid w:val="007F0517"/>
    <w:rsid w:val="007F6462"/>
    <w:rsid w:val="007F6611"/>
    <w:rsid w:val="00802A36"/>
    <w:rsid w:val="00811AE9"/>
    <w:rsid w:val="00812B52"/>
    <w:rsid w:val="00814098"/>
    <w:rsid w:val="008242D7"/>
    <w:rsid w:val="00832D01"/>
    <w:rsid w:val="00837DAC"/>
    <w:rsid w:val="008544BE"/>
    <w:rsid w:val="00856BFF"/>
    <w:rsid w:val="00866167"/>
    <w:rsid w:val="00872FFA"/>
    <w:rsid w:val="00876D26"/>
    <w:rsid w:val="00895017"/>
    <w:rsid w:val="008979B1"/>
    <w:rsid w:val="00897D39"/>
    <w:rsid w:val="00897DB8"/>
    <w:rsid w:val="008A4CA9"/>
    <w:rsid w:val="008A6B25"/>
    <w:rsid w:val="008A6C4F"/>
    <w:rsid w:val="008B2335"/>
    <w:rsid w:val="008B2DBC"/>
    <w:rsid w:val="008B4CBF"/>
    <w:rsid w:val="008D3ACB"/>
    <w:rsid w:val="008D64D6"/>
    <w:rsid w:val="008D72A7"/>
    <w:rsid w:val="008E1FFC"/>
    <w:rsid w:val="008E4501"/>
    <w:rsid w:val="008F64FB"/>
    <w:rsid w:val="00900B5E"/>
    <w:rsid w:val="0090126D"/>
    <w:rsid w:val="00910180"/>
    <w:rsid w:val="00916443"/>
    <w:rsid w:val="009223CA"/>
    <w:rsid w:val="00926B77"/>
    <w:rsid w:val="00930D63"/>
    <w:rsid w:val="00934401"/>
    <w:rsid w:val="009369F6"/>
    <w:rsid w:val="00940F93"/>
    <w:rsid w:val="009518BC"/>
    <w:rsid w:val="00951FD8"/>
    <w:rsid w:val="009557E5"/>
    <w:rsid w:val="00957FC9"/>
    <w:rsid w:val="009603EF"/>
    <w:rsid w:val="009644B9"/>
    <w:rsid w:val="00970648"/>
    <w:rsid w:val="0097075A"/>
    <w:rsid w:val="00975CCA"/>
    <w:rsid w:val="00984A52"/>
    <w:rsid w:val="009977E8"/>
    <w:rsid w:val="009A0C85"/>
    <w:rsid w:val="009A3D56"/>
    <w:rsid w:val="009B4A1B"/>
    <w:rsid w:val="009C00A4"/>
    <w:rsid w:val="009C0798"/>
    <w:rsid w:val="009C0EE8"/>
    <w:rsid w:val="009C14AA"/>
    <w:rsid w:val="009C3B1D"/>
    <w:rsid w:val="009C5DA5"/>
    <w:rsid w:val="009C6B11"/>
    <w:rsid w:val="009D4C90"/>
    <w:rsid w:val="009E4A49"/>
    <w:rsid w:val="009E54EC"/>
    <w:rsid w:val="009E589F"/>
    <w:rsid w:val="009F5B5C"/>
    <w:rsid w:val="009F5E73"/>
    <w:rsid w:val="00A00044"/>
    <w:rsid w:val="00A01489"/>
    <w:rsid w:val="00A04BAD"/>
    <w:rsid w:val="00A117B2"/>
    <w:rsid w:val="00A16A41"/>
    <w:rsid w:val="00A244F6"/>
    <w:rsid w:val="00A3650C"/>
    <w:rsid w:val="00A41B47"/>
    <w:rsid w:val="00A5477B"/>
    <w:rsid w:val="00A61CCD"/>
    <w:rsid w:val="00A64909"/>
    <w:rsid w:val="00A72F22"/>
    <w:rsid w:val="00A748A6"/>
    <w:rsid w:val="00A776B4"/>
    <w:rsid w:val="00A841BD"/>
    <w:rsid w:val="00A92371"/>
    <w:rsid w:val="00A94361"/>
    <w:rsid w:val="00A951BD"/>
    <w:rsid w:val="00AA407D"/>
    <w:rsid w:val="00AC1552"/>
    <w:rsid w:val="00AC2071"/>
    <w:rsid w:val="00AD2A05"/>
    <w:rsid w:val="00AD690E"/>
    <w:rsid w:val="00AF0E0F"/>
    <w:rsid w:val="00B019BE"/>
    <w:rsid w:val="00B0576F"/>
    <w:rsid w:val="00B06775"/>
    <w:rsid w:val="00B12DD3"/>
    <w:rsid w:val="00B15B18"/>
    <w:rsid w:val="00B30179"/>
    <w:rsid w:val="00B323A6"/>
    <w:rsid w:val="00B33516"/>
    <w:rsid w:val="00B35DBF"/>
    <w:rsid w:val="00B3621C"/>
    <w:rsid w:val="00B545EB"/>
    <w:rsid w:val="00B56E9C"/>
    <w:rsid w:val="00B64B1F"/>
    <w:rsid w:val="00B64F02"/>
    <w:rsid w:val="00B6553F"/>
    <w:rsid w:val="00B70FB3"/>
    <w:rsid w:val="00B81E12"/>
    <w:rsid w:val="00B877B2"/>
    <w:rsid w:val="00B938F1"/>
    <w:rsid w:val="00B93CE8"/>
    <w:rsid w:val="00B95516"/>
    <w:rsid w:val="00BA7E97"/>
    <w:rsid w:val="00BB3A64"/>
    <w:rsid w:val="00BB5074"/>
    <w:rsid w:val="00BB60E4"/>
    <w:rsid w:val="00BB6AAF"/>
    <w:rsid w:val="00BC041E"/>
    <w:rsid w:val="00BC6280"/>
    <w:rsid w:val="00BC74E9"/>
    <w:rsid w:val="00BD30CE"/>
    <w:rsid w:val="00BD3B8F"/>
    <w:rsid w:val="00BE11D1"/>
    <w:rsid w:val="00BF3398"/>
    <w:rsid w:val="00BF68A8"/>
    <w:rsid w:val="00BF6E08"/>
    <w:rsid w:val="00C0013A"/>
    <w:rsid w:val="00C01052"/>
    <w:rsid w:val="00C1267E"/>
    <w:rsid w:val="00C3206E"/>
    <w:rsid w:val="00C463DD"/>
    <w:rsid w:val="00C4724C"/>
    <w:rsid w:val="00C475AB"/>
    <w:rsid w:val="00C52D8E"/>
    <w:rsid w:val="00C53A77"/>
    <w:rsid w:val="00C57988"/>
    <w:rsid w:val="00C629A0"/>
    <w:rsid w:val="00C72784"/>
    <w:rsid w:val="00C745C3"/>
    <w:rsid w:val="00C75FB9"/>
    <w:rsid w:val="00C81661"/>
    <w:rsid w:val="00C81D98"/>
    <w:rsid w:val="00CB23A4"/>
    <w:rsid w:val="00CC00AC"/>
    <w:rsid w:val="00CC24D2"/>
    <w:rsid w:val="00CC26C5"/>
    <w:rsid w:val="00CC3F8B"/>
    <w:rsid w:val="00CD1D91"/>
    <w:rsid w:val="00CD40E0"/>
    <w:rsid w:val="00CE4A8F"/>
    <w:rsid w:val="00CE5CBA"/>
    <w:rsid w:val="00CF0A92"/>
    <w:rsid w:val="00CF17E2"/>
    <w:rsid w:val="00CF46A0"/>
    <w:rsid w:val="00D06422"/>
    <w:rsid w:val="00D144B8"/>
    <w:rsid w:val="00D17B6E"/>
    <w:rsid w:val="00D2031B"/>
    <w:rsid w:val="00D218CB"/>
    <w:rsid w:val="00D25535"/>
    <w:rsid w:val="00D25FE2"/>
    <w:rsid w:val="00D43252"/>
    <w:rsid w:val="00D450C5"/>
    <w:rsid w:val="00D51E7F"/>
    <w:rsid w:val="00D534B3"/>
    <w:rsid w:val="00D62365"/>
    <w:rsid w:val="00D62C88"/>
    <w:rsid w:val="00D6598D"/>
    <w:rsid w:val="00D66B13"/>
    <w:rsid w:val="00D700E3"/>
    <w:rsid w:val="00D7767E"/>
    <w:rsid w:val="00D84CED"/>
    <w:rsid w:val="00D85999"/>
    <w:rsid w:val="00D87C5B"/>
    <w:rsid w:val="00D95523"/>
    <w:rsid w:val="00D9765A"/>
    <w:rsid w:val="00D978C6"/>
    <w:rsid w:val="00DA3C1C"/>
    <w:rsid w:val="00DB3F3E"/>
    <w:rsid w:val="00DB6BAA"/>
    <w:rsid w:val="00DC64B7"/>
    <w:rsid w:val="00DE3CD2"/>
    <w:rsid w:val="00DE45EF"/>
    <w:rsid w:val="00DE46AC"/>
    <w:rsid w:val="00DF1164"/>
    <w:rsid w:val="00DF1870"/>
    <w:rsid w:val="00DF3BF2"/>
    <w:rsid w:val="00E03D93"/>
    <w:rsid w:val="00E109FB"/>
    <w:rsid w:val="00E15E0C"/>
    <w:rsid w:val="00E22828"/>
    <w:rsid w:val="00E33128"/>
    <w:rsid w:val="00E468F5"/>
    <w:rsid w:val="00E47651"/>
    <w:rsid w:val="00E53B93"/>
    <w:rsid w:val="00E54A6F"/>
    <w:rsid w:val="00E54E5E"/>
    <w:rsid w:val="00E56B79"/>
    <w:rsid w:val="00E607F1"/>
    <w:rsid w:val="00E61B92"/>
    <w:rsid w:val="00E63389"/>
    <w:rsid w:val="00E64F64"/>
    <w:rsid w:val="00E652BC"/>
    <w:rsid w:val="00E70956"/>
    <w:rsid w:val="00E70E75"/>
    <w:rsid w:val="00E71BC8"/>
    <w:rsid w:val="00E71C82"/>
    <w:rsid w:val="00E7260F"/>
    <w:rsid w:val="00E73A44"/>
    <w:rsid w:val="00E81E17"/>
    <w:rsid w:val="00E857B4"/>
    <w:rsid w:val="00E96317"/>
    <w:rsid w:val="00E96630"/>
    <w:rsid w:val="00EA1AB4"/>
    <w:rsid w:val="00EB7054"/>
    <w:rsid w:val="00EC0CFF"/>
    <w:rsid w:val="00EC64C6"/>
    <w:rsid w:val="00ED0936"/>
    <w:rsid w:val="00ED32A3"/>
    <w:rsid w:val="00ED4D65"/>
    <w:rsid w:val="00ED616A"/>
    <w:rsid w:val="00ED7A2A"/>
    <w:rsid w:val="00ED7B47"/>
    <w:rsid w:val="00EE144F"/>
    <w:rsid w:val="00EF1D7F"/>
    <w:rsid w:val="00EF3166"/>
    <w:rsid w:val="00F04B96"/>
    <w:rsid w:val="00F132F5"/>
    <w:rsid w:val="00F32B3C"/>
    <w:rsid w:val="00F34583"/>
    <w:rsid w:val="00F34737"/>
    <w:rsid w:val="00F3574C"/>
    <w:rsid w:val="00F37306"/>
    <w:rsid w:val="00F47672"/>
    <w:rsid w:val="00F47B40"/>
    <w:rsid w:val="00F504DF"/>
    <w:rsid w:val="00F559D7"/>
    <w:rsid w:val="00F626F8"/>
    <w:rsid w:val="00F6482F"/>
    <w:rsid w:val="00F67F14"/>
    <w:rsid w:val="00F739D7"/>
    <w:rsid w:val="00FA271C"/>
    <w:rsid w:val="00FB0831"/>
    <w:rsid w:val="00FB3F06"/>
    <w:rsid w:val="00FC68B7"/>
    <w:rsid w:val="00FC6C8A"/>
    <w:rsid w:val="00FD05BE"/>
    <w:rsid w:val="00FE1A07"/>
    <w:rsid w:val="00FE6228"/>
    <w:rsid w:val="00FF16E8"/>
    <w:rsid w:val="00FF19D4"/>
    <w:rsid w:val="00FF6E5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2C704A"/>
    <w:rPr>
      <w:lang w:eastAsia="en-US"/>
    </w:rPr>
  </w:style>
  <w:style w:type="paragraph" w:customStyle="1" w:styleId="Default">
    <w:name w:val="Default"/>
    <w:rsid w:val="002C704A"/>
    <w:pPr>
      <w:autoSpaceDE w:val="0"/>
      <w:autoSpaceDN w:val="0"/>
      <w:adjustRightInd w:val="0"/>
    </w:pPr>
    <w:rPr>
      <w:rFonts w:ascii="Calibri" w:eastAsia="Calibri" w:hAnsi="Calibri" w:cs="Calibri"/>
      <w:color w:val="000000"/>
      <w:sz w:val="24"/>
      <w:szCs w:val="24"/>
    </w:rPr>
  </w:style>
  <w:style w:type="character" w:customStyle="1" w:styleId="SingleTxtGCar">
    <w:name w:val="_ Single Txt_G Car"/>
    <w:locked/>
    <w:rsid w:val="002C704A"/>
    <w:rPr>
      <w:lang w:eastAsia="en-US"/>
    </w:rPr>
  </w:style>
  <w:style w:type="character" w:customStyle="1" w:styleId="highlight1">
    <w:name w:val="highlight1"/>
    <w:rsid w:val="00E61B92"/>
    <w:rPr>
      <w:shd w:val="clear" w:color="auto" w:fill="FFCC33"/>
    </w:rPr>
  </w:style>
  <w:style w:type="paragraph" w:styleId="ListParagraph">
    <w:name w:val="List Paragraph"/>
    <w:basedOn w:val="Normal"/>
    <w:uiPriority w:val="34"/>
    <w:qFormat/>
    <w:rsid w:val="009C6B11"/>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2E109D"/>
    <w:pPr>
      <w:spacing w:line="240" w:lineRule="auto"/>
    </w:pPr>
    <w:rPr>
      <w:rFonts w:ascii="Tahoma" w:hAnsi="Tahoma" w:cs="Tahoma"/>
      <w:sz w:val="16"/>
      <w:szCs w:val="16"/>
    </w:rPr>
  </w:style>
  <w:style w:type="character" w:customStyle="1" w:styleId="BalloonTextChar">
    <w:name w:val="Balloon Text Char"/>
    <w:link w:val="BalloonText"/>
    <w:rsid w:val="002E109D"/>
    <w:rPr>
      <w:rFonts w:ascii="Tahoma" w:hAnsi="Tahoma" w:cs="Tahoma"/>
      <w:sz w:val="16"/>
      <w:szCs w:val="16"/>
      <w:lang w:eastAsia="en-US"/>
    </w:rPr>
  </w:style>
  <w:style w:type="paragraph" w:styleId="CommentSubject">
    <w:name w:val="annotation subject"/>
    <w:basedOn w:val="CommentText"/>
    <w:next w:val="CommentText"/>
    <w:link w:val="CommentSubjectChar"/>
    <w:rsid w:val="00006E2C"/>
    <w:rPr>
      <w:b/>
      <w:bCs/>
    </w:rPr>
  </w:style>
  <w:style w:type="character" w:customStyle="1" w:styleId="CommentTextChar">
    <w:name w:val="Comment Text Char"/>
    <w:basedOn w:val="DefaultParagraphFont"/>
    <w:link w:val="CommentText"/>
    <w:semiHidden/>
    <w:rsid w:val="00006E2C"/>
    <w:rPr>
      <w:lang w:eastAsia="en-US"/>
    </w:rPr>
  </w:style>
  <w:style w:type="character" w:customStyle="1" w:styleId="CommentSubjectChar">
    <w:name w:val="Comment Subject Char"/>
    <w:basedOn w:val="CommentTextChar"/>
    <w:link w:val="CommentSubject"/>
    <w:rsid w:val="00006E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2C704A"/>
    <w:rPr>
      <w:lang w:eastAsia="en-US"/>
    </w:rPr>
  </w:style>
  <w:style w:type="paragraph" w:customStyle="1" w:styleId="Default">
    <w:name w:val="Default"/>
    <w:rsid w:val="002C704A"/>
    <w:pPr>
      <w:autoSpaceDE w:val="0"/>
      <w:autoSpaceDN w:val="0"/>
      <w:adjustRightInd w:val="0"/>
    </w:pPr>
    <w:rPr>
      <w:rFonts w:ascii="Calibri" w:eastAsia="Calibri" w:hAnsi="Calibri" w:cs="Calibri"/>
      <w:color w:val="000000"/>
      <w:sz w:val="24"/>
      <w:szCs w:val="24"/>
    </w:rPr>
  </w:style>
  <w:style w:type="character" w:customStyle="1" w:styleId="SingleTxtGCar">
    <w:name w:val="_ Single Txt_G Car"/>
    <w:locked/>
    <w:rsid w:val="002C704A"/>
    <w:rPr>
      <w:lang w:eastAsia="en-US"/>
    </w:rPr>
  </w:style>
  <w:style w:type="character" w:customStyle="1" w:styleId="highlight1">
    <w:name w:val="highlight1"/>
    <w:rsid w:val="00E61B92"/>
    <w:rPr>
      <w:shd w:val="clear" w:color="auto" w:fill="FFCC33"/>
    </w:rPr>
  </w:style>
  <w:style w:type="paragraph" w:styleId="ListParagraph">
    <w:name w:val="List Paragraph"/>
    <w:basedOn w:val="Normal"/>
    <w:uiPriority w:val="34"/>
    <w:qFormat/>
    <w:rsid w:val="009C6B11"/>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2E109D"/>
    <w:pPr>
      <w:spacing w:line="240" w:lineRule="auto"/>
    </w:pPr>
    <w:rPr>
      <w:rFonts w:ascii="Tahoma" w:hAnsi="Tahoma" w:cs="Tahoma"/>
      <w:sz w:val="16"/>
      <w:szCs w:val="16"/>
    </w:rPr>
  </w:style>
  <w:style w:type="character" w:customStyle="1" w:styleId="BalloonTextChar">
    <w:name w:val="Balloon Text Char"/>
    <w:link w:val="BalloonText"/>
    <w:rsid w:val="002E109D"/>
    <w:rPr>
      <w:rFonts w:ascii="Tahoma" w:hAnsi="Tahoma" w:cs="Tahoma"/>
      <w:sz w:val="16"/>
      <w:szCs w:val="16"/>
      <w:lang w:eastAsia="en-US"/>
    </w:rPr>
  </w:style>
  <w:style w:type="paragraph" w:styleId="CommentSubject">
    <w:name w:val="annotation subject"/>
    <w:basedOn w:val="CommentText"/>
    <w:next w:val="CommentText"/>
    <w:link w:val="CommentSubjectChar"/>
    <w:rsid w:val="00006E2C"/>
    <w:rPr>
      <w:b/>
      <w:bCs/>
    </w:rPr>
  </w:style>
  <w:style w:type="character" w:customStyle="1" w:styleId="CommentTextChar">
    <w:name w:val="Comment Text Char"/>
    <w:basedOn w:val="DefaultParagraphFont"/>
    <w:link w:val="CommentText"/>
    <w:semiHidden/>
    <w:rsid w:val="00006E2C"/>
    <w:rPr>
      <w:lang w:eastAsia="en-US"/>
    </w:rPr>
  </w:style>
  <w:style w:type="character" w:customStyle="1" w:styleId="CommentSubjectChar">
    <w:name w:val="Comment Subject Char"/>
    <w:basedOn w:val="CommentTextChar"/>
    <w:link w:val="CommentSubject"/>
    <w:rsid w:val="00006E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6615">
      <w:bodyDiv w:val="1"/>
      <w:marLeft w:val="0"/>
      <w:marRight w:val="0"/>
      <w:marTop w:val="0"/>
      <w:marBottom w:val="0"/>
      <w:divBdr>
        <w:top w:val="none" w:sz="0" w:space="0" w:color="auto"/>
        <w:left w:val="none" w:sz="0" w:space="0" w:color="auto"/>
        <w:bottom w:val="none" w:sz="0" w:space="0" w:color="auto"/>
        <w:right w:val="none" w:sz="0" w:space="0" w:color="auto"/>
      </w:divBdr>
      <w:divsChild>
        <w:div w:id="2004894197">
          <w:marLeft w:val="0"/>
          <w:marRight w:val="0"/>
          <w:marTop w:val="0"/>
          <w:marBottom w:val="0"/>
          <w:divBdr>
            <w:top w:val="none" w:sz="0" w:space="0" w:color="auto"/>
            <w:left w:val="none" w:sz="0" w:space="0" w:color="auto"/>
            <w:bottom w:val="none" w:sz="0" w:space="0" w:color="auto"/>
            <w:right w:val="none" w:sz="0" w:space="0" w:color="auto"/>
          </w:divBdr>
          <w:divsChild>
            <w:div w:id="878005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4676945">
      <w:bodyDiv w:val="1"/>
      <w:marLeft w:val="0"/>
      <w:marRight w:val="0"/>
      <w:marTop w:val="0"/>
      <w:marBottom w:val="0"/>
      <w:divBdr>
        <w:top w:val="none" w:sz="0" w:space="0" w:color="auto"/>
        <w:left w:val="none" w:sz="0" w:space="0" w:color="auto"/>
        <w:bottom w:val="none" w:sz="0" w:space="0" w:color="auto"/>
        <w:right w:val="none" w:sz="0" w:space="0" w:color="auto"/>
      </w:divBdr>
    </w:div>
    <w:div w:id="1375957185">
      <w:bodyDiv w:val="1"/>
      <w:marLeft w:val="0"/>
      <w:marRight w:val="0"/>
      <w:marTop w:val="0"/>
      <w:marBottom w:val="0"/>
      <w:divBdr>
        <w:top w:val="none" w:sz="0" w:space="0" w:color="auto"/>
        <w:left w:val="none" w:sz="0" w:space="0" w:color="auto"/>
        <w:bottom w:val="none" w:sz="0" w:space="0" w:color="auto"/>
        <w:right w:val="none" w:sz="0" w:space="0" w:color="auto"/>
      </w:divBdr>
    </w:div>
    <w:div w:id="1598520539">
      <w:bodyDiv w:val="1"/>
      <w:marLeft w:val="0"/>
      <w:marRight w:val="0"/>
      <w:marTop w:val="0"/>
      <w:marBottom w:val="0"/>
      <w:divBdr>
        <w:top w:val="none" w:sz="0" w:space="0" w:color="auto"/>
        <w:left w:val="none" w:sz="0" w:space="0" w:color="auto"/>
        <w:bottom w:val="none" w:sz="0" w:space="0" w:color="auto"/>
        <w:right w:val="none" w:sz="0" w:space="0" w:color="auto"/>
      </w:divBdr>
    </w:div>
    <w:div w:id="1644693220">
      <w:bodyDiv w:val="1"/>
      <w:marLeft w:val="0"/>
      <w:marRight w:val="0"/>
      <w:marTop w:val="0"/>
      <w:marBottom w:val="0"/>
      <w:divBdr>
        <w:top w:val="none" w:sz="0" w:space="0" w:color="auto"/>
        <w:left w:val="none" w:sz="0" w:space="0" w:color="auto"/>
        <w:bottom w:val="none" w:sz="0" w:space="0" w:color="auto"/>
        <w:right w:val="none" w:sz="0" w:space="0" w:color="auto"/>
      </w:divBdr>
    </w:div>
    <w:div w:id="19190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388F-0FEB-4672-A434-4C8FEDDD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Template>
  <TotalTime>0</TotalTime>
  <Pages>8</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1363908</vt:lpstr>
    </vt:vector>
  </TitlesOfParts>
  <Company>CSD</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1363908</dc:title>
  <dc:subject>CERD/C/XXX/CO/R.Y</dc:subject>
  <dc:creator>Morris</dc:creator>
  <dc:description>Final</dc:description>
  <cp:lastModifiedBy>pdfeng</cp:lastModifiedBy>
  <cp:revision>3</cp:revision>
  <cp:lastPrinted>2015-09-24T06:36:00Z</cp:lastPrinted>
  <dcterms:created xsi:type="dcterms:W3CDTF">2015-09-24T06:36:00Z</dcterms:created>
  <dcterms:modified xsi:type="dcterms:W3CDTF">2015-09-24T06:36:00Z</dcterms:modified>
</cp:coreProperties>
</file>