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RPr="00174283" w:rsidTr="003B4E47">
        <w:trPr>
          <w:cantSplit/>
          <w:trHeight w:hRule="exact" w:val="851"/>
        </w:trPr>
        <w:tc>
          <w:tcPr>
            <w:tcW w:w="1276" w:type="dxa"/>
            <w:tcBorders>
              <w:bottom w:val="single" w:sz="4" w:space="0" w:color="auto"/>
            </w:tcBorders>
            <w:vAlign w:val="bottom"/>
          </w:tcPr>
          <w:p w:rsidR="00523650" w:rsidRPr="00174283" w:rsidRDefault="000A41E6" w:rsidP="00DB6205">
            <w:pPr>
              <w:pStyle w:val="SingleTxtG"/>
              <w:numPr>
                <w:ilvl w:val="0"/>
                <w:numId w:val="4"/>
              </w:numPr>
              <w:jc w:val="left"/>
              <w:rPr>
                <w:lang w:val="fr-FR"/>
              </w:rPr>
            </w:pPr>
            <w:r w:rsidRPr="00174283">
              <w:rPr>
                <w:lang w:val="fr-FR"/>
              </w:rPr>
              <w:t>arti</w:t>
            </w:r>
          </w:p>
        </w:tc>
        <w:tc>
          <w:tcPr>
            <w:tcW w:w="2268" w:type="dxa"/>
            <w:tcBorders>
              <w:bottom w:val="single" w:sz="4" w:space="0" w:color="auto"/>
            </w:tcBorders>
            <w:vAlign w:val="bottom"/>
          </w:tcPr>
          <w:p w:rsidR="00523650" w:rsidRPr="00174283" w:rsidRDefault="00523650" w:rsidP="003B4E47">
            <w:pPr>
              <w:spacing w:after="80" w:line="300" w:lineRule="exact"/>
              <w:rPr>
                <w:b/>
                <w:sz w:val="24"/>
                <w:szCs w:val="24"/>
                <w:lang w:val="fr-FR"/>
              </w:rPr>
            </w:pPr>
            <w:r w:rsidRPr="00174283">
              <w:rPr>
                <w:sz w:val="28"/>
                <w:szCs w:val="28"/>
                <w:lang w:val="fr-FR"/>
              </w:rPr>
              <w:t>Nations</w:t>
            </w:r>
            <w:r w:rsidR="0041222A" w:rsidRPr="00174283">
              <w:rPr>
                <w:sz w:val="28"/>
                <w:szCs w:val="28"/>
                <w:lang w:val="fr-FR"/>
              </w:rPr>
              <w:t xml:space="preserve"> Unies</w:t>
            </w:r>
          </w:p>
        </w:tc>
        <w:tc>
          <w:tcPr>
            <w:tcW w:w="6095" w:type="dxa"/>
            <w:gridSpan w:val="2"/>
            <w:tcBorders>
              <w:bottom w:val="single" w:sz="4" w:space="0" w:color="auto"/>
            </w:tcBorders>
            <w:vAlign w:val="bottom"/>
          </w:tcPr>
          <w:p w:rsidR="00523650" w:rsidRPr="00174283" w:rsidRDefault="00D8201B" w:rsidP="00695AA1">
            <w:pPr>
              <w:jc w:val="right"/>
              <w:rPr>
                <w:lang w:val="fr-FR"/>
              </w:rPr>
            </w:pPr>
            <w:r w:rsidRPr="00174283">
              <w:rPr>
                <w:sz w:val="40"/>
                <w:lang w:val="fr-FR"/>
              </w:rPr>
              <w:t>CERD</w:t>
            </w:r>
            <w:r w:rsidRPr="00174283">
              <w:rPr>
                <w:lang w:val="fr-FR"/>
              </w:rPr>
              <w:t>/</w:t>
            </w:r>
            <w:r w:rsidR="00695AA1" w:rsidRPr="00174283">
              <w:rPr>
                <w:lang w:val="fr-FR"/>
              </w:rPr>
              <w:t>C/MKD/</w:t>
            </w:r>
            <w:r w:rsidRPr="00174283">
              <w:rPr>
                <w:lang w:val="fr-FR"/>
              </w:rPr>
              <w:t>8-10</w:t>
            </w:r>
          </w:p>
        </w:tc>
      </w:tr>
      <w:tr w:rsidR="00523650" w:rsidRPr="00174283" w:rsidTr="003B4E47">
        <w:trPr>
          <w:cantSplit/>
          <w:trHeight w:hRule="exact" w:val="2835"/>
        </w:trPr>
        <w:tc>
          <w:tcPr>
            <w:tcW w:w="1276" w:type="dxa"/>
            <w:tcBorders>
              <w:top w:val="single" w:sz="4" w:space="0" w:color="auto"/>
              <w:bottom w:val="single" w:sz="12" w:space="0" w:color="auto"/>
            </w:tcBorders>
          </w:tcPr>
          <w:p w:rsidR="00523650" w:rsidRPr="00174283" w:rsidRDefault="00161F0A" w:rsidP="003B4E47">
            <w:pPr>
              <w:spacing w:before="120"/>
              <w:jc w:val="center"/>
              <w:rPr>
                <w:lang w:val="fr-FR"/>
              </w:rPr>
            </w:pPr>
            <w:r w:rsidRPr="00174283">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174283" w:rsidRDefault="0041222A" w:rsidP="003B4E47">
            <w:pPr>
              <w:spacing w:before="120" w:line="380" w:lineRule="exact"/>
              <w:rPr>
                <w:b/>
                <w:sz w:val="34"/>
                <w:szCs w:val="40"/>
                <w:lang w:val="fr-FR"/>
              </w:rPr>
            </w:pPr>
            <w:r w:rsidRPr="00174283">
              <w:rPr>
                <w:b/>
                <w:sz w:val="34"/>
                <w:szCs w:val="34"/>
                <w:lang w:val="fr-FR"/>
              </w:rPr>
              <w:t>Convention internationale sur</w:t>
            </w:r>
            <w:r w:rsidRPr="00174283">
              <w:rPr>
                <w:b/>
                <w:sz w:val="34"/>
                <w:szCs w:val="34"/>
                <w:lang w:val="fr-FR"/>
              </w:rPr>
              <w:br/>
              <w:t>l</w:t>
            </w:r>
            <w:r w:rsidR="00205A62">
              <w:rPr>
                <w:b/>
                <w:sz w:val="34"/>
                <w:szCs w:val="34"/>
                <w:lang w:val="fr-FR"/>
              </w:rPr>
              <w:t>’</w:t>
            </w:r>
            <w:r w:rsidRPr="00174283">
              <w:rPr>
                <w:b/>
                <w:sz w:val="34"/>
                <w:szCs w:val="34"/>
                <w:lang w:val="fr-FR"/>
              </w:rPr>
              <w:t>élimination de toutes les formes</w:t>
            </w:r>
            <w:r w:rsidRPr="00174283">
              <w:rPr>
                <w:b/>
                <w:sz w:val="34"/>
                <w:szCs w:val="34"/>
                <w:lang w:val="fr-FR"/>
              </w:rPr>
              <w:br/>
              <w:t>de discrimination raciale</w:t>
            </w:r>
          </w:p>
          <w:p w:rsidR="00523650" w:rsidRPr="00174283" w:rsidRDefault="00523650" w:rsidP="003B4E47">
            <w:pPr>
              <w:spacing w:before="120" w:line="420" w:lineRule="exact"/>
              <w:rPr>
                <w:lang w:val="fr-FR"/>
              </w:rPr>
            </w:pPr>
          </w:p>
        </w:tc>
        <w:tc>
          <w:tcPr>
            <w:tcW w:w="2835" w:type="dxa"/>
            <w:tcBorders>
              <w:top w:val="single" w:sz="4" w:space="0" w:color="auto"/>
              <w:bottom w:val="single" w:sz="12" w:space="0" w:color="auto"/>
            </w:tcBorders>
          </w:tcPr>
          <w:p w:rsidR="00523650" w:rsidRPr="00174283" w:rsidRDefault="00D8201B" w:rsidP="00D8201B">
            <w:pPr>
              <w:spacing w:before="240" w:line="240" w:lineRule="exact"/>
              <w:rPr>
                <w:lang w:val="fr-FR"/>
              </w:rPr>
            </w:pPr>
            <w:r w:rsidRPr="00174283">
              <w:rPr>
                <w:lang w:val="fr-FR"/>
              </w:rPr>
              <w:t>Distr.</w:t>
            </w:r>
            <w:r w:rsidR="0041222A" w:rsidRPr="00174283">
              <w:rPr>
                <w:lang w:val="fr-FR"/>
              </w:rPr>
              <w:t xml:space="preserve"> générale</w:t>
            </w:r>
          </w:p>
          <w:p w:rsidR="00F73685" w:rsidRDefault="00B956A1" w:rsidP="00D8201B">
            <w:pPr>
              <w:spacing w:line="240" w:lineRule="exact"/>
              <w:rPr>
                <w:lang w:val="fr-FR"/>
              </w:rPr>
            </w:pPr>
            <w:r w:rsidRPr="00174283">
              <w:rPr>
                <w:lang w:val="fr-FR"/>
              </w:rPr>
              <w:t>2</w:t>
            </w:r>
            <w:r w:rsidR="00CE1B9A" w:rsidRPr="00174283">
              <w:rPr>
                <w:lang w:val="fr-FR"/>
              </w:rPr>
              <w:t>2</w:t>
            </w:r>
            <w:r w:rsidR="00F612CD" w:rsidRPr="00174283">
              <w:rPr>
                <w:lang w:val="fr-FR"/>
              </w:rPr>
              <w:t xml:space="preserve"> </w:t>
            </w:r>
            <w:r w:rsidR="0041222A" w:rsidRPr="00174283">
              <w:rPr>
                <w:lang w:val="fr-FR"/>
              </w:rPr>
              <w:t>novembre</w:t>
            </w:r>
            <w:r w:rsidR="005E01B6" w:rsidRPr="00174283">
              <w:rPr>
                <w:lang w:val="fr-FR"/>
              </w:rPr>
              <w:t xml:space="preserve"> </w:t>
            </w:r>
            <w:r w:rsidR="00D8201B" w:rsidRPr="00174283">
              <w:rPr>
                <w:lang w:val="fr-FR"/>
              </w:rPr>
              <w:t>2013</w:t>
            </w:r>
          </w:p>
          <w:p w:rsidR="00F94753" w:rsidRPr="00174283" w:rsidRDefault="00F94753" w:rsidP="00D8201B">
            <w:pPr>
              <w:spacing w:line="240" w:lineRule="exact"/>
              <w:rPr>
                <w:lang w:val="fr-FR"/>
              </w:rPr>
            </w:pPr>
            <w:r>
              <w:rPr>
                <w:lang w:val="fr-FR"/>
              </w:rPr>
              <w:t>Français</w:t>
            </w:r>
          </w:p>
          <w:p w:rsidR="00D8201B" w:rsidRPr="00174283" w:rsidRDefault="00D8201B" w:rsidP="0041222A">
            <w:pPr>
              <w:spacing w:line="240" w:lineRule="exact"/>
              <w:rPr>
                <w:lang w:val="fr-FR"/>
              </w:rPr>
            </w:pPr>
            <w:r w:rsidRPr="00174283">
              <w:rPr>
                <w:lang w:val="fr-FR"/>
              </w:rPr>
              <w:t>Original</w:t>
            </w:r>
            <w:r w:rsidR="002F51DC">
              <w:rPr>
                <w:lang w:val="fr-FR"/>
              </w:rPr>
              <w:t>:</w:t>
            </w:r>
            <w:r w:rsidRPr="00174283">
              <w:rPr>
                <w:lang w:val="fr-FR"/>
              </w:rPr>
              <w:t xml:space="preserve"> </w:t>
            </w:r>
            <w:r w:rsidR="0041222A" w:rsidRPr="00174283">
              <w:rPr>
                <w:lang w:val="fr-FR"/>
              </w:rPr>
              <w:t>anglais</w:t>
            </w:r>
          </w:p>
        </w:tc>
      </w:tr>
    </w:tbl>
    <w:p w:rsidR="0041222A" w:rsidRPr="00174283" w:rsidRDefault="0041222A" w:rsidP="0041222A">
      <w:pPr>
        <w:spacing w:before="120"/>
        <w:rPr>
          <w:b/>
          <w:sz w:val="24"/>
          <w:szCs w:val="24"/>
          <w:lang w:val="fr-FR"/>
        </w:rPr>
      </w:pPr>
      <w:r w:rsidRPr="00174283">
        <w:rPr>
          <w:b/>
          <w:sz w:val="24"/>
          <w:szCs w:val="24"/>
          <w:lang w:val="fr-FR"/>
        </w:rPr>
        <w:t>Comité pour l</w:t>
      </w:r>
      <w:r w:rsidR="00205A62">
        <w:rPr>
          <w:b/>
          <w:sz w:val="24"/>
          <w:szCs w:val="24"/>
          <w:lang w:val="fr-FR"/>
        </w:rPr>
        <w:t>’</w:t>
      </w:r>
      <w:r w:rsidRPr="00174283">
        <w:rPr>
          <w:b/>
          <w:sz w:val="24"/>
          <w:szCs w:val="24"/>
          <w:lang w:val="fr-FR"/>
        </w:rPr>
        <w:t>élimination de la discrimination raciale</w:t>
      </w:r>
    </w:p>
    <w:p w:rsidR="00490E24" w:rsidRPr="00174283" w:rsidRDefault="008E2D39" w:rsidP="00695AA1">
      <w:pPr>
        <w:pStyle w:val="HMG"/>
        <w:rPr>
          <w:lang w:val="fr-FR"/>
        </w:rPr>
      </w:pPr>
      <w:r w:rsidRPr="00174283">
        <w:rPr>
          <w:lang w:val="fr-FR"/>
        </w:rPr>
        <w:tab/>
      </w:r>
      <w:r w:rsidRPr="00174283">
        <w:rPr>
          <w:lang w:val="fr-FR"/>
        </w:rPr>
        <w:tab/>
      </w:r>
      <w:r w:rsidR="00271620" w:rsidRPr="00174283">
        <w:rPr>
          <w:lang w:val="fr-FR"/>
        </w:rPr>
        <w:t>Examen des rapports soumis par les États parties</w:t>
      </w:r>
      <w:r w:rsidR="00271620" w:rsidRPr="00174283">
        <w:rPr>
          <w:lang w:val="fr-FR"/>
        </w:rPr>
        <w:br/>
        <w:t>en application de l</w:t>
      </w:r>
      <w:r w:rsidR="00205A62">
        <w:rPr>
          <w:lang w:val="fr-FR"/>
        </w:rPr>
        <w:t>’</w:t>
      </w:r>
      <w:r w:rsidR="00271620" w:rsidRPr="00174283">
        <w:rPr>
          <w:lang w:val="fr-FR"/>
        </w:rPr>
        <w:t>article 9 de la Convention</w:t>
      </w:r>
    </w:p>
    <w:p w:rsidR="00695AA1" w:rsidRPr="00174283" w:rsidRDefault="00695AA1" w:rsidP="00695AA1">
      <w:pPr>
        <w:pStyle w:val="HChG"/>
        <w:rPr>
          <w:lang w:val="fr-FR"/>
        </w:rPr>
      </w:pPr>
      <w:r w:rsidRPr="00174283">
        <w:rPr>
          <w:lang w:val="fr-FR"/>
        </w:rPr>
        <w:tab/>
      </w:r>
      <w:r w:rsidRPr="00174283">
        <w:rPr>
          <w:lang w:val="fr-FR"/>
        </w:rPr>
        <w:tab/>
      </w:r>
      <w:r w:rsidR="00271620" w:rsidRPr="00174283">
        <w:rPr>
          <w:lang w:val="fr-FR"/>
        </w:rPr>
        <w:t xml:space="preserve">Huitième, neuvième et dixième rapports périodiques des États parties attendus en </w:t>
      </w:r>
      <w:r w:rsidRPr="00174283">
        <w:rPr>
          <w:lang w:val="fr-FR"/>
        </w:rPr>
        <w:t>2010</w:t>
      </w:r>
    </w:p>
    <w:p w:rsidR="00490E24" w:rsidRPr="00174283" w:rsidRDefault="00695AA1" w:rsidP="00695AA1">
      <w:pPr>
        <w:pStyle w:val="HMG"/>
        <w:rPr>
          <w:lang w:val="fr-FR"/>
        </w:rPr>
      </w:pPr>
      <w:r w:rsidRPr="00174283">
        <w:rPr>
          <w:lang w:val="fr-FR"/>
        </w:rPr>
        <w:tab/>
      </w:r>
      <w:r w:rsidRPr="00174283">
        <w:rPr>
          <w:lang w:val="fr-FR"/>
        </w:rPr>
        <w:tab/>
      </w:r>
      <w:r w:rsidR="00614C4E" w:rsidRPr="00174283">
        <w:rPr>
          <w:lang w:val="fr-FR"/>
        </w:rPr>
        <w:t>Ex-République yougoslave de Macédoine</w:t>
      </w:r>
      <w:r w:rsidRPr="00174283">
        <w:rPr>
          <w:b w:val="0"/>
          <w:sz w:val="20"/>
          <w:lang w:val="fr-FR"/>
        </w:rPr>
        <w:footnoteReference w:customMarkFollows="1" w:id="2"/>
        <w:t>*</w:t>
      </w:r>
      <w:r w:rsidR="00F73685" w:rsidRPr="00A84AB5">
        <w:rPr>
          <w:b w:val="0"/>
          <w:sz w:val="20"/>
          <w:vertAlign w:val="superscript"/>
          <w:lang w:val="fr-FR"/>
        </w:rPr>
        <w:t>,</w:t>
      </w:r>
      <w:r w:rsidRPr="00174283">
        <w:rPr>
          <w:b w:val="0"/>
          <w:sz w:val="20"/>
          <w:lang w:val="fr-FR"/>
        </w:rPr>
        <w:t xml:space="preserve"> </w:t>
      </w:r>
      <w:r w:rsidRPr="00174283">
        <w:rPr>
          <w:b w:val="0"/>
          <w:sz w:val="20"/>
          <w:lang w:val="fr-FR"/>
        </w:rPr>
        <w:footnoteReference w:customMarkFollows="1" w:id="3"/>
        <w:t>**</w:t>
      </w:r>
    </w:p>
    <w:p w:rsidR="00490E24" w:rsidRPr="00174283" w:rsidRDefault="00527C18" w:rsidP="008E2D39">
      <w:pPr>
        <w:pStyle w:val="SingleTxtG"/>
        <w:jc w:val="right"/>
        <w:rPr>
          <w:lang w:val="fr-FR"/>
        </w:rPr>
      </w:pPr>
      <w:r w:rsidRPr="00174283">
        <w:rPr>
          <w:lang w:val="fr-FR"/>
        </w:rPr>
        <w:t>[</w:t>
      </w:r>
      <w:r w:rsidR="008C1485" w:rsidRPr="00174283">
        <w:rPr>
          <w:lang w:val="fr-FR"/>
        </w:rPr>
        <w:t xml:space="preserve">17 </w:t>
      </w:r>
      <w:r w:rsidR="00271620" w:rsidRPr="00174283">
        <w:rPr>
          <w:lang w:val="fr-FR"/>
        </w:rPr>
        <w:t>juillet</w:t>
      </w:r>
      <w:r w:rsidR="008C1485" w:rsidRPr="00174283">
        <w:rPr>
          <w:lang w:val="fr-FR"/>
        </w:rPr>
        <w:t xml:space="preserve"> 201</w:t>
      </w:r>
      <w:r w:rsidR="00695AA1" w:rsidRPr="00174283">
        <w:rPr>
          <w:lang w:val="fr-FR"/>
        </w:rPr>
        <w:t>3</w:t>
      </w:r>
      <w:r w:rsidRPr="00174283">
        <w:rPr>
          <w:lang w:val="fr-FR"/>
        </w:rPr>
        <w:t>]</w:t>
      </w:r>
    </w:p>
    <w:p w:rsidR="00961987" w:rsidRPr="00174283" w:rsidRDefault="00490E24" w:rsidP="00490E24">
      <w:pPr>
        <w:spacing w:after="120"/>
        <w:rPr>
          <w:sz w:val="28"/>
          <w:lang w:val="fr-FR"/>
        </w:rPr>
      </w:pPr>
      <w:r w:rsidRPr="00174283">
        <w:rPr>
          <w:lang w:val="fr-FR"/>
        </w:rPr>
        <w:br w:type="page"/>
      </w:r>
      <w:r w:rsidR="00F863D7" w:rsidRPr="00174283">
        <w:rPr>
          <w:sz w:val="28"/>
          <w:lang w:val="fr-FR"/>
        </w:rPr>
        <w:t>Table</w:t>
      </w:r>
      <w:r w:rsidRPr="00174283">
        <w:rPr>
          <w:sz w:val="28"/>
          <w:lang w:val="fr-FR"/>
        </w:rPr>
        <w:t>s</w:t>
      </w:r>
      <w:r w:rsidR="00F863D7" w:rsidRPr="00174283">
        <w:rPr>
          <w:sz w:val="28"/>
          <w:lang w:val="fr-FR"/>
        </w:rPr>
        <w:t xml:space="preserve"> des matières</w:t>
      </w:r>
    </w:p>
    <w:p w:rsidR="00854D3B" w:rsidRPr="00174283" w:rsidRDefault="00854D3B" w:rsidP="00854D3B">
      <w:pPr>
        <w:tabs>
          <w:tab w:val="right" w:pos="8929"/>
          <w:tab w:val="right" w:pos="9638"/>
        </w:tabs>
        <w:spacing w:after="120"/>
        <w:ind w:left="283"/>
        <w:rPr>
          <w:lang w:val="fr-FR"/>
        </w:rPr>
      </w:pPr>
      <w:r w:rsidRPr="00174283">
        <w:rPr>
          <w:i/>
          <w:sz w:val="18"/>
          <w:lang w:val="fr-FR"/>
        </w:rPr>
        <w:tab/>
        <w:t>Paragraph</w:t>
      </w:r>
      <w:r w:rsidR="00DD0385" w:rsidRPr="00174283">
        <w:rPr>
          <w:i/>
          <w:sz w:val="18"/>
          <w:lang w:val="fr-FR"/>
        </w:rPr>
        <w:t>e</w:t>
      </w:r>
      <w:r w:rsidRPr="00174283">
        <w:rPr>
          <w:i/>
          <w:sz w:val="18"/>
          <w:lang w:val="fr-FR"/>
        </w:rPr>
        <w:t>s</w:t>
      </w:r>
      <w:r w:rsidRPr="00174283">
        <w:rPr>
          <w:i/>
          <w:sz w:val="18"/>
          <w:lang w:val="fr-FR"/>
        </w:rPr>
        <w:tab/>
        <w:t>Page</w:t>
      </w:r>
    </w:p>
    <w:p w:rsidR="00854D3B" w:rsidRPr="00174283" w:rsidRDefault="00854D3B" w:rsidP="00C0185C">
      <w:pPr>
        <w:tabs>
          <w:tab w:val="right" w:pos="850"/>
          <w:tab w:val="left" w:pos="1134"/>
          <w:tab w:val="left" w:pos="1559"/>
          <w:tab w:val="left" w:pos="1984"/>
          <w:tab w:val="left" w:leader="dot" w:pos="7654"/>
          <w:tab w:val="right" w:pos="8929"/>
          <w:tab w:val="right" w:pos="9630"/>
        </w:tabs>
        <w:spacing w:after="120"/>
        <w:ind w:right="2079"/>
        <w:rPr>
          <w:lang w:val="fr-FR"/>
        </w:rPr>
      </w:pPr>
      <w:r w:rsidRPr="00174283">
        <w:rPr>
          <w:lang w:val="fr-FR"/>
        </w:rPr>
        <w:tab/>
      </w:r>
      <w:r w:rsidR="00D34C03" w:rsidRPr="00174283">
        <w:rPr>
          <w:lang w:val="fr-FR"/>
        </w:rPr>
        <w:t>I.</w:t>
      </w:r>
      <w:r w:rsidRPr="00174283">
        <w:rPr>
          <w:lang w:val="fr-FR"/>
        </w:rPr>
        <w:tab/>
        <w:t>Introduction</w:t>
      </w:r>
      <w:r w:rsidRPr="00174283">
        <w:rPr>
          <w:lang w:val="fr-FR"/>
        </w:rPr>
        <w:tab/>
      </w:r>
      <w:r w:rsidRPr="00174283">
        <w:rPr>
          <w:lang w:val="fr-FR"/>
        </w:rPr>
        <w:tab/>
      </w:r>
      <w:r w:rsidR="00F924C9" w:rsidRPr="00174283">
        <w:rPr>
          <w:lang w:val="fr-FR"/>
        </w:rPr>
        <w:t>1–5</w:t>
      </w:r>
      <w:r w:rsidRPr="00174283">
        <w:rPr>
          <w:lang w:val="fr-FR"/>
        </w:rPr>
        <w:tab/>
      </w:r>
      <w:r w:rsidR="00F924C9" w:rsidRPr="00174283">
        <w:rPr>
          <w:lang w:val="fr-FR"/>
        </w:rPr>
        <w:t>3</w:t>
      </w:r>
    </w:p>
    <w:p w:rsidR="00D34C03" w:rsidRPr="00174283" w:rsidRDefault="00854D3B" w:rsidP="00C0185C">
      <w:pPr>
        <w:tabs>
          <w:tab w:val="right" w:pos="850"/>
          <w:tab w:val="left" w:pos="1134"/>
          <w:tab w:val="left" w:pos="1559"/>
          <w:tab w:val="left" w:pos="1984"/>
          <w:tab w:val="left" w:leader="dot" w:pos="7654"/>
          <w:tab w:val="right" w:pos="8929"/>
          <w:tab w:val="right" w:pos="9630"/>
        </w:tabs>
        <w:spacing w:after="120"/>
        <w:ind w:right="2079"/>
        <w:rPr>
          <w:lang w:val="fr-FR"/>
        </w:rPr>
      </w:pPr>
      <w:r w:rsidRPr="00174283">
        <w:rPr>
          <w:lang w:val="fr-FR"/>
        </w:rPr>
        <w:tab/>
      </w:r>
      <w:r w:rsidR="00FD02CF" w:rsidRPr="00174283">
        <w:rPr>
          <w:lang w:val="fr-FR"/>
        </w:rPr>
        <w:t>II.</w:t>
      </w:r>
      <w:r w:rsidR="00FD02CF" w:rsidRPr="00174283">
        <w:rPr>
          <w:lang w:val="fr-FR"/>
        </w:rPr>
        <w:tab/>
        <w:t>Articles de la</w:t>
      </w:r>
      <w:r w:rsidR="00D34C03" w:rsidRPr="00174283">
        <w:rPr>
          <w:lang w:val="fr-FR"/>
        </w:rPr>
        <w:t xml:space="preserve"> Convention</w:t>
      </w:r>
      <w:r w:rsidR="00D34C03" w:rsidRPr="00174283">
        <w:rPr>
          <w:lang w:val="fr-FR"/>
        </w:rPr>
        <w:tab/>
      </w:r>
      <w:r w:rsidR="00D34C03" w:rsidRPr="00174283">
        <w:rPr>
          <w:lang w:val="fr-FR"/>
        </w:rPr>
        <w:tab/>
      </w:r>
      <w:r w:rsidR="00EF7EA4" w:rsidRPr="00174283">
        <w:rPr>
          <w:lang w:val="fr-FR"/>
        </w:rPr>
        <w:t>6–122</w:t>
      </w:r>
      <w:r w:rsidRPr="00174283">
        <w:rPr>
          <w:lang w:val="fr-FR"/>
        </w:rPr>
        <w:tab/>
      </w:r>
      <w:r w:rsidR="00EF7EA4" w:rsidRPr="00174283">
        <w:rPr>
          <w:lang w:val="fr-FR"/>
        </w:rPr>
        <w:t>3</w:t>
      </w:r>
    </w:p>
    <w:p w:rsidR="00854D3B" w:rsidRPr="00174283" w:rsidRDefault="00D34C03" w:rsidP="00C0185C">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8D011E">
        <w:rPr>
          <w:lang w:val="fr-FR"/>
        </w:rPr>
        <w:t>Article 2.</w:t>
      </w:r>
      <w:r w:rsidR="00854D3B" w:rsidRPr="00174283">
        <w:rPr>
          <w:lang w:val="fr-FR"/>
        </w:rPr>
        <w:t xml:space="preserve"> </w:t>
      </w:r>
      <w:r w:rsidR="00FD02CF" w:rsidRPr="00174283">
        <w:rPr>
          <w:lang w:val="fr-FR"/>
        </w:rPr>
        <w:t>Élimination de la discrimination raciale sous toutes ses formes</w:t>
      </w:r>
      <w:r w:rsidR="00854D3B" w:rsidRPr="00174283">
        <w:rPr>
          <w:lang w:val="fr-FR"/>
        </w:rPr>
        <w:tab/>
      </w:r>
      <w:r w:rsidR="00854D3B" w:rsidRPr="00174283">
        <w:rPr>
          <w:lang w:val="fr-FR"/>
        </w:rPr>
        <w:tab/>
      </w:r>
      <w:r w:rsidR="00F924C9" w:rsidRPr="00174283">
        <w:rPr>
          <w:lang w:val="fr-FR"/>
        </w:rPr>
        <w:t>6–25</w:t>
      </w:r>
      <w:r w:rsidR="00854D3B" w:rsidRPr="00174283">
        <w:rPr>
          <w:lang w:val="fr-FR"/>
        </w:rPr>
        <w:tab/>
      </w:r>
      <w:r w:rsidR="00F924C9" w:rsidRPr="00174283">
        <w:rPr>
          <w:lang w:val="fr-FR"/>
        </w:rPr>
        <w:t>3</w:t>
      </w:r>
    </w:p>
    <w:p w:rsidR="00854D3B" w:rsidRPr="00174283" w:rsidRDefault="00C900B5" w:rsidP="008D011E">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Pr>
          <w:lang w:val="fr-FR"/>
        </w:rPr>
        <w:tab/>
      </w:r>
      <w:r>
        <w:rPr>
          <w:lang w:val="fr-FR"/>
        </w:rPr>
        <w:tab/>
        <w:t>Article 3</w:t>
      </w:r>
      <w:r w:rsidR="008D011E">
        <w:rPr>
          <w:lang w:val="fr-FR"/>
        </w:rPr>
        <w:t>.</w:t>
      </w:r>
      <w:r w:rsidR="00854D3B" w:rsidRPr="00174283">
        <w:rPr>
          <w:lang w:val="fr-FR"/>
        </w:rPr>
        <w:t xml:space="preserve"> </w:t>
      </w:r>
      <w:r w:rsidR="00FD02CF" w:rsidRPr="00174283">
        <w:rPr>
          <w:lang w:val="fr-FR"/>
        </w:rPr>
        <w:t>Interdiction de la ségrégation raciale et de l</w:t>
      </w:r>
      <w:r w:rsidR="00205A62">
        <w:rPr>
          <w:lang w:val="fr-FR"/>
        </w:rPr>
        <w:t>’</w:t>
      </w:r>
      <w:r w:rsidR="00FD02CF" w:rsidRPr="00174283">
        <w:rPr>
          <w:lang w:val="fr-FR"/>
        </w:rPr>
        <w:t>apartheid</w:t>
      </w:r>
      <w:r w:rsidR="00854D3B" w:rsidRPr="00174283">
        <w:rPr>
          <w:lang w:val="fr-FR"/>
        </w:rPr>
        <w:tab/>
      </w:r>
      <w:r w:rsidR="00854D3B" w:rsidRPr="00174283">
        <w:rPr>
          <w:lang w:val="fr-FR"/>
        </w:rPr>
        <w:tab/>
      </w:r>
      <w:r w:rsidR="00F924C9" w:rsidRPr="00174283">
        <w:rPr>
          <w:lang w:val="fr-FR"/>
        </w:rPr>
        <w:t>26</w:t>
      </w:r>
      <w:r w:rsidR="00854D3B" w:rsidRPr="00174283">
        <w:rPr>
          <w:lang w:val="fr-FR"/>
        </w:rPr>
        <w:tab/>
      </w:r>
      <w:r w:rsidR="00F924C9" w:rsidRPr="00174283">
        <w:rPr>
          <w:lang w:val="fr-FR"/>
        </w:rPr>
        <w:t>7</w:t>
      </w:r>
    </w:p>
    <w:p w:rsidR="00854D3B" w:rsidRPr="00174283" w:rsidRDefault="00854D3B" w:rsidP="00C900B5">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t>Artic</w:t>
      </w:r>
      <w:r w:rsidR="00EC7A54">
        <w:rPr>
          <w:lang w:val="fr-FR"/>
        </w:rPr>
        <w:t>le</w:t>
      </w:r>
      <w:r w:rsidR="008D011E">
        <w:rPr>
          <w:lang w:val="fr-FR"/>
        </w:rPr>
        <w:t xml:space="preserve"> 4.</w:t>
      </w:r>
      <w:r w:rsidRPr="00174283">
        <w:rPr>
          <w:lang w:val="fr-FR"/>
        </w:rPr>
        <w:t xml:space="preserve"> </w:t>
      </w:r>
      <w:r w:rsidR="00FD02CF" w:rsidRPr="00174283">
        <w:rPr>
          <w:lang w:val="fr-FR"/>
        </w:rPr>
        <w:t xml:space="preserve">Mesures législatives, administratives et autres </w:t>
      </w:r>
      <w:r w:rsidR="000D3562">
        <w:rPr>
          <w:lang w:val="fr-FR"/>
        </w:rPr>
        <w:t xml:space="preserve">visant à </w:t>
      </w:r>
      <w:r w:rsidR="002D1747" w:rsidRPr="002D1747">
        <w:rPr>
          <w:lang w:val="fr-FR"/>
        </w:rPr>
        <w:t xml:space="preserve">éliminer </w:t>
      </w:r>
      <w:r w:rsidR="00EF0E79">
        <w:rPr>
          <w:lang w:val="fr-FR"/>
        </w:rPr>
        <w:br/>
      </w:r>
      <w:r w:rsidR="00EF0E79" w:rsidRPr="002D1747">
        <w:rPr>
          <w:lang w:val="fr-FR"/>
        </w:rPr>
        <w:t xml:space="preserve">toute </w:t>
      </w:r>
      <w:r w:rsidR="002D1747" w:rsidRPr="002D1747">
        <w:rPr>
          <w:lang w:val="fr-FR"/>
        </w:rPr>
        <w:t xml:space="preserve">forme de propagande </w:t>
      </w:r>
      <w:r w:rsidR="000D3562">
        <w:rPr>
          <w:lang w:val="fr-FR"/>
        </w:rPr>
        <w:t>s</w:t>
      </w:r>
      <w:r w:rsidR="00205A62">
        <w:rPr>
          <w:lang w:val="fr-FR"/>
        </w:rPr>
        <w:t>’</w:t>
      </w:r>
      <w:r w:rsidR="000D3562">
        <w:rPr>
          <w:lang w:val="fr-FR"/>
        </w:rPr>
        <w:t>inspirant</w:t>
      </w:r>
      <w:r w:rsidR="002D1747" w:rsidRPr="002D1747">
        <w:rPr>
          <w:lang w:val="fr-FR"/>
        </w:rPr>
        <w:t xml:space="preserve"> d</w:t>
      </w:r>
      <w:r w:rsidR="00205A62">
        <w:rPr>
          <w:lang w:val="fr-FR"/>
        </w:rPr>
        <w:t>’</w:t>
      </w:r>
      <w:r w:rsidR="002D1747" w:rsidRPr="002D1747">
        <w:rPr>
          <w:lang w:val="fr-FR"/>
        </w:rPr>
        <w:t xml:space="preserve">idées de supériorité </w:t>
      </w:r>
      <w:r w:rsidR="002F51DC" w:rsidRPr="002D1747">
        <w:rPr>
          <w:lang w:val="fr-FR"/>
        </w:rPr>
        <w:t xml:space="preserve">raciale </w:t>
      </w:r>
      <w:r w:rsidR="002D1747" w:rsidRPr="002D1747">
        <w:rPr>
          <w:lang w:val="fr-FR"/>
        </w:rPr>
        <w:t>et</w:t>
      </w:r>
      <w:r w:rsidR="002D1747" w:rsidRPr="002D1747">
        <w:rPr>
          <w:b/>
          <w:lang w:val="fr-FR"/>
        </w:rPr>
        <w:t xml:space="preserve"> </w:t>
      </w:r>
      <w:r w:rsidR="000D3562">
        <w:rPr>
          <w:lang w:val="fr-FR"/>
        </w:rPr>
        <w:t xml:space="preserve">incitant </w:t>
      </w:r>
      <w:r w:rsidR="00EF0E79">
        <w:rPr>
          <w:lang w:val="fr-FR"/>
        </w:rPr>
        <w:br/>
      </w:r>
      <w:r w:rsidR="000D3562">
        <w:rPr>
          <w:lang w:val="fr-FR"/>
        </w:rPr>
        <w:t>à la</w:t>
      </w:r>
      <w:r w:rsidR="002D1747" w:rsidRPr="002D1747">
        <w:rPr>
          <w:lang w:val="fr-FR"/>
        </w:rPr>
        <w:t xml:space="preserve"> haine et </w:t>
      </w:r>
      <w:r w:rsidR="000D3562">
        <w:rPr>
          <w:lang w:val="fr-FR"/>
        </w:rPr>
        <w:t>à la</w:t>
      </w:r>
      <w:r w:rsidR="002D1747" w:rsidRPr="002D1747">
        <w:rPr>
          <w:lang w:val="fr-FR"/>
        </w:rPr>
        <w:t xml:space="preserve"> discrimination</w:t>
      </w:r>
      <w:r w:rsidRPr="00174283">
        <w:rPr>
          <w:lang w:val="fr-FR"/>
        </w:rPr>
        <w:tab/>
      </w:r>
      <w:r w:rsidR="002D1747">
        <w:rPr>
          <w:lang w:val="fr-FR"/>
        </w:rPr>
        <w:tab/>
      </w:r>
      <w:r w:rsidR="00F924C9" w:rsidRPr="00174283">
        <w:rPr>
          <w:lang w:val="fr-FR"/>
        </w:rPr>
        <w:t>27–35</w:t>
      </w:r>
      <w:r w:rsidRPr="00174283">
        <w:rPr>
          <w:lang w:val="fr-FR"/>
        </w:rPr>
        <w:tab/>
      </w:r>
      <w:r w:rsidR="00F924C9" w:rsidRPr="00174283">
        <w:rPr>
          <w:lang w:val="fr-FR"/>
        </w:rPr>
        <w:t>7</w:t>
      </w:r>
    </w:p>
    <w:p w:rsidR="00854D3B" w:rsidRPr="00174283" w:rsidRDefault="008D011E" w:rsidP="00C900B5">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Pr>
          <w:lang w:val="fr-FR"/>
        </w:rPr>
        <w:tab/>
      </w:r>
      <w:r>
        <w:rPr>
          <w:lang w:val="fr-FR"/>
        </w:rPr>
        <w:tab/>
        <w:t>Article 5.</w:t>
      </w:r>
      <w:r w:rsidR="00854D3B" w:rsidRPr="00174283">
        <w:rPr>
          <w:lang w:val="fr-FR"/>
        </w:rPr>
        <w:t xml:space="preserve"> </w:t>
      </w:r>
      <w:r w:rsidR="00FD02CF" w:rsidRPr="00174283">
        <w:rPr>
          <w:lang w:val="fr-FR"/>
        </w:rPr>
        <w:t>Droits garantis par la Convention</w:t>
      </w:r>
      <w:r w:rsidR="00854D3B" w:rsidRPr="00174283">
        <w:rPr>
          <w:lang w:val="fr-FR"/>
        </w:rPr>
        <w:tab/>
      </w:r>
      <w:r w:rsidR="00854D3B" w:rsidRPr="00174283">
        <w:rPr>
          <w:lang w:val="fr-FR"/>
        </w:rPr>
        <w:tab/>
      </w:r>
      <w:r w:rsidR="00F924C9" w:rsidRPr="00174283">
        <w:rPr>
          <w:lang w:val="fr-FR"/>
        </w:rPr>
        <w:t>36–96</w:t>
      </w:r>
      <w:r w:rsidR="00854D3B" w:rsidRPr="00174283">
        <w:rPr>
          <w:lang w:val="fr-FR"/>
        </w:rPr>
        <w:tab/>
      </w:r>
      <w:r w:rsidR="00FD02CF" w:rsidRPr="00174283">
        <w:rPr>
          <w:lang w:val="fr-FR"/>
        </w:rPr>
        <w:t>1</w:t>
      </w:r>
      <w:r w:rsidR="003A3379">
        <w:rPr>
          <w:lang w:val="fr-FR"/>
        </w:rPr>
        <w:t>0</w:t>
      </w:r>
    </w:p>
    <w:p w:rsidR="00854D3B" w:rsidRPr="00174283" w:rsidRDefault="00EC7A54" w:rsidP="00C900B5">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Pr>
          <w:lang w:val="fr-FR"/>
        </w:rPr>
        <w:tab/>
      </w:r>
      <w:r>
        <w:rPr>
          <w:lang w:val="fr-FR"/>
        </w:rPr>
        <w:tab/>
        <w:t>A</w:t>
      </w:r>
      <w:r w:rsidR="008D011E">
        <w:rPr>
          <w:lang w:val="fr-FR"/>
        </w:rPr>
        <w:t>rticle 6.</w:t>
      </w:r>
      <w:r w:rsidR="00854D3B" w:rsidRPr="00174283">
        <w:rPr>
          <w:lang w:val="fr-FR"/>
        </w:rPr>
        <w:t xml:space="preserve"> </w:t>
      </w:r>
      <w:r w:rsidR="00FD02CF" w:rsidRPr="00174283">
        <w:rPr>
          <w:lang w:val="fr-FR"/>
        </w:rPr>
        <w:t>Protection contre tous actes de discrimination raciale</w:t>
      </w:r>
      <w:r w:rsidR="00854D3B" w:rsidRPr="00174283">
        <w:rPr>
          <w:lang w:val="fr-FR"/>
        </w:rPr>
        <w:tab/>
      </w:r>
      <w:r w:rsidR="00854D3B" w:rsidRPr="00174283">
        <w:rPr>
          <w:lang w:val="fr-FR"/>
        </w:rPr>
        <w:tab/>
      </w:r>
      <w:r w:rsidR="00F924C9" w:rsidRPr="00174283">
        <w:rPr>
          <w:lang w:val="fr-FR"/>
        </w:rPr>
        <w:t>97–100</w:t>
      </w:r>
      <w:r w:rsidR="00854D3B" w:rsidRPr="00174283">
        <w:rPr>
          <w:lang w:val="fr-FR"/>
        </w:rPr>
        <w:tab/>
      </w:r>
      <w:r w:rsidR="00FD02CF" w:rsidRPr="00174283">
        <w:rPr>
          <w:lang w:val="fr-FR"/>
        </w:rPr>
        <w:t>1</w:t>
      </w:r>
      <w:r w:rsidR="00393029">
        <w:rPr>
          <w:lang w:val="fr-FR"/>
        </w:rPr>
        <w:t>7</w:t>
      </w:r>
    </w:p>
    <w:p w:rsidR="00854D3B" w:rsidRPr="00174283" w:rsidRDefault="008D011E" w:rsidP="00C900B5">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Pr>
          <w:lang w:val="fr-FR"/>
        </w:rPr>
        <w:tab/>
      </w:r>
      <w:r>
        <w:rPr>
          <w:lang w:val="fr-FR"/>
        </w:rPr>
        <w:tab/>
        <w:t>Article 7.</w:t>
      </w:r>
      <w:r w:rsidR="00854D3B" w:rsidRPr="00174283">
        <w:rPr>
          <w:lang w:val="fr-FR"/>
        </w:rPr>
        <w:t xml:space="preserve"> </w:t>
      </w:r>
      <w:r w:rsidR="00FD02CF" w:rsidRPr="00174283">
        <w:rPr>
          <w:lang w:val="fr-FR"/>
        </w:rPr>
        <w:t xml:space="preserve">Mesures </w:t>
      </w:r>
      <w:r w:rsidR="002D1747" w:rsidRPr="002D1747">
        <w:rPr>
          <w:lang w:val="fr-FR"/>
        </w:rPr>
        <w:t>mises en œuvre dans les domaines de l</w:t>
      </w:r>
      <w:r w:rsidR="00205A62">
        <w:rPr>
          <w:lang w:val="fr-FR"/>
        </w:rPr>
        <w:t>’</w:t>
      </w:r>
      <w:r w:rsidR="002D1747" w:rsidRPr="002D1747">
        <w:rPr>
          <w:lang w:val="fr-FR"/>
        </w:rPr>
        <w:t xml:space="preserve">enseignement, </w:t>
      </w:r>
      <w:r w:rsidR="002F51DC">
        <w:rPr>
          <w:lang w:val="fr-FR"/>
        </w:rPr>
        <w:br/>
      </w:r>
      <w:r w:rsidR="002D1747" w:rsidRPr="002D1747">
        <w:rPr>
          <w:lang w:val="fr-FR"/>
        </w:rPr>
        <w:t>de l</w:t>
      </w:r>
      <w:r w:rsidR="00205A62">
        <w:rPr>
          <w:lang w:val="fr-FR"/>
        </w:rPr>
        <w:t>’</w:t>
      </w:r>
      <w:r w:rsidR="002D1747" w:rsidRPr="002D1747">
        <w:rPr>
          <w:lang w:val="fr-FR"/>
        </w:rPr>
        <w:t>éducation, de la culture et de l</w:t>
      </w:r>
      <w:r w:rsidR="00205A62">
        <w:rPr>
          <w:lang w:val="fr-FR"/>
        </w:rPr>
        <w:t>’</w:t>
      </w:r>
      <w:r w:rsidR="002D1747" w:rsidRPr="002D1747">
        <w:rPr>
          <w:lang w:val="fr-FR"/>
        </w:rPr>
        <w:t xml:space="preserve">information pour lutter contre les </w:t>
      </w:r>
      <w:r w:rsidR="002F51DC">
        <w:rPr>
          <w:lang w:val="fr-FR"/>
        </w:rPr>
        <w:br/>
      </w:r>
      <w:r w:rsidR="002D1747" w:rsidRPr="002D1747">
        <w:rPr>
          <w:lang w:val="fr-FR"/>
        </w:rPr>
        <w:t>préjugés conduisant à la discrimination raciale</w:t>
      </w:r>
      <w:r w:rsidR="00854D3B" w:rsidRPr="00174283">
        <w:rPr>
          <w:lang w:val="fr-FR"/>
        </w:rPr>
        <w:tab/>
      </w:r>
      <w:r w:rsidR="00854D3B" w:rsidRPr="00174283">
        <w:rPr>
          <w:lang w:val="fr-FR"/>
        </w:rPr>
        <w:tab/>
      </w:r>
      <w:r w:rsidR="00F924C9" w:rsidRPr="00174283">
        <w:rPr>
          <w:lang w:val="fr-FR"/>
        </w:rPr>
        <w:t>101–122</w:t>
      </w:r>
      <w:r w:rsidR="00854D3B" w:rsidRPr="00174283">
        <w:rPr>
          <w:lang w:val="fr-FR"/>
        </w:rPr>
        <w:tab/>
      </w:r>
      <w:r w:rsidR="00FD02CF" w:rsidRPr="00174283">
        <w:rPr>
          <w:lang w:val="fr-FR"/>
        </w:rPr>
        <w:t>1</w:t>
      </w:r>
      <w:r w:rsidR="00393029">
        <w:rPr>
          <w:lang w:val="fr-FR"/>
        </w:rPr>
        <w:t>8</w:t>
      </w:r>
    </w:p>
    <w:p w:rsidR="00854D3B" w:rsidRPr="00174283" w:rsidRDefault="00854D3B"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00D34C03" w:rsidRPr="00174283">
        <w:rPr>
          <w:lang w:val="fr-FR"/>
        </w:rPr>
        <w:t>III.</w:t>
      </w:r>
      <w:r w:rsidRPr="00174283">
        <w:rPr>
          <w:lang w:val="fr-FR"/>
        </w:rPr>
        <w:tab/>
      </w:r>
      <w:r w:rsidR="00FD02CF" w:rsidRPr="00174283">
        <w:rPr>
          <w:lang w:val="fr-FR"/>
        </w:rPr>
        <w:t>Réponses aux observations finales du Comité pour l</w:t>
      </w:r>
      <w:r w:rsidR="00205A62">
        <w:rPr>
          <w:lang w:val="fr-FR"/>
        </w:rPr>
        <w:t>’</w:t>
      </w:r>
      <w:r w:rsidR="00FD02CF" w:rsidRPr="00174283">
        <w:rPr>
          <w:lang w:val="fr-FR"/>
        </w:rPr>
        <w:t>élimination de la discrimination raciale</w:t>
      </w:r>
      <w:r w:rsidRPr="00174283">
        <w:rPr>
          <w:lang w:val="fr-FR"/>
        </w:rPr>
        <w:tab/>
      </w:r>
      <w:r w:rsidRPr="00174283">
        <w:rPr>
          <w:lang w:val="fr-FR"/>
        </w:rPr>
        <w:tab/>
      </w:r>
      <w:r w:rsidR="00F924C9" w:rsidRPr="00174283">
        <w:rPr>
          <w:lang w:val="fr-FR"/>
        </w:rPr>
        <w:t>123–213</w:t>
      </w:r>
      <w:r w:rsidRPr="00174283">
        <w:rPr>
          <w:lang w:val="fr-FR"/>
        </w:rPr>
        <w:tab/>
      </w:r>
      <w:r w:rsidR="00FD02CF" w:rsidRPr="00174283">
        <w:rPr>
          <w:lang w:val="fr-FR"/>
        </w:rPr>
        <w:t>2</w:t>
      </w:r>
      <w:r w:rsidR="00393029">
        <w:rPr>
          <w:lang w:val="fr-FR"/>
        </w:rPr>
        <w:t>1</w:t>
      </w:r>
    </w:p>
    <w:p w:rsidR="0021332A" w:rsidRPr="00174283" w:rsidRDefault="0021332A"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Réponse aux recommandations figurant au paragraphe 9 des observations finales du Comité (CERD/C/MKD/CO/7)</w:t>
      </w:r>
      <w:r w:rsidR="00FD02CF" w:rsidRPr="00174283">
        <w:rPr>
          <w:lang w:val="fr-FR"/>
        </w:rPr>
        <w:tab/>
      </w:r>
      <w:r w:rsidR="00FD02CF" w:rsidRPr="00174283">
        <w:rPr>
          <w:lang w:val="fr-FR"/>
        </w:rPr>
        <w:tab/>
        <w:t>123</w:t>
      </w:r>
      <w:r w:rsidR="00FD02CF" w:rsidRPr="00174283">
        <w:rPr>
          <w:lang w:val="fr-FR"/>
        </w:rPr>
        <w:tab/>
        <w:t>2</w:t>
      </w:r>
      <w:r w:rsidR="00393029">
        <w:rPr>
          <w:lang w:val="fr-FR"/>
        </w:rPr>
        <w:t>1</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Réponse aux recommandations figurant </w:t>
      </w:r>
      <w:r w:rsidR="0089660E" w:rsidRPr="00174283">
        <w:rPr>
          <w:lang w:val="fr-FR"/>
        </w:rPr>
        <w:t>au paragraphe</w:t>
      </w:r>
      <w:r w:rsidR="00FD02CF" w:rsidRPr="00174283">
        <w:rPr>
          <w:lang w:val="fr-FR"/>
        </w:rPr>
        <w:t xml:space="preserve"> 10 des observations finales du Comité</w:t>
      </w:r>
      <w:r w:rsidR="00FD02CF" w:rsidRPr="00174283">
        <w:rPr>
          <w:lang w:val="fr-FR"/>
        </w:rPr>
        <w:tab/>
      </w:r>
      <w:r w:rsidR="00FD02CF" w:rsidRPr="00174283">
        <w:rPr>
          <w:lang w:val="fr-FR"/>
        </w:rPr>
        <w:tab/>
        <w:t>124–126</w:t>
      </w:r>
      <w:r w:rsidR="00FD02CF" w:rsidRPr="00174283">
        <w:rPr>
          <w:lang w:val="fr-FR"/>
        </w:rPr>
        <w:tab/>
        <w:t>2</w:t>
      </w:r>
      <w:r w:rsidR="00393029">
        <w:rPr>
          <w:lang w:val="fr-FR"/>
        </w:rPr>
        <w:t>2</w:t>
      </w:r>
    </w:p>
    <w:p w:rsidR="00EF7EA4" w:rsidRPr="00174283" w:rsidRDefault="00EF7EA4" w:rsidP="00C0185C">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Réponse aux recommandations figurant </w:t>
      </w:r>
      <w:r w:rsidR="0089660E" w:rsidRPr="00174283">
        <w:rPr>
          <w:lang w:val="fr-FR"/>
        </w:rPr>
        <w:t>au paragraphe</w:t>
      </w:r>
      <w:r w:rsidR="00FD02CF" w:rsidRPr="00174283">
        <w:rPr>
          <w:lang w:val="fr-FR"/>
        </w:rPr>
        <w:t xml:space="preserve"> 11 des observatio</w:t>
      </w:r>
      <w:r w:rsidR="00393029">
        <w:rPr>
          <w:lang w:val="fr-FR"/>
        </w:rPr>
        <w:t>ns finales du Comité</w:t>
      </w:r>
      <w:r w:rsidR="00393029">
        <w:rPr>
          <w:lang w:val="fr-FR"/>
        </w:rPr>
        <w:tab/>
      </w:r>
      <w:r w:rsidR="00393029">
        <w:rPr>
          <w:lang w:val="fr-FR"/>
        </w:rPr>
        <w:tab/>
        <w:t>127–136</w:t>
      </w:r>
      <w:r w:rsidR="00393029">
        <w:rPr>
          <w:lang w:val="fr-FR"/>
        </w:rPr>
        <w:tab/>
        <w:t>22</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Réponse aux recommandations figurant </w:t>
      </w:r>
      <w:r w:rsidR="0089660E" w:rsidRPr="00174283">
        <w:rPr>
          <w:lang w:val="fr-FR"/>
        </w:rPr>
        <w:t>au paragraphe</w:t>
      </w:r>
      <w:r w:rsidR="00FD02CF" w:rsidRPr="00174283">
        <w:rPr>
          <w:lang w:val="fr-FR"/>
        </w:rPr>
        <w:t xml:space="preserve"> 12 des observations finales du Comité</w:t>
      </w:r>
      <w:r w:rsidR="00FD02CF" w:rsidRPr="00174283">
        <w:rPr>
          <w:lang w:val="fr-FR"/>
        </w:rPr>
        <w:tab/>
      </w:r>
      <w:r w:rsidR="00FD02CF" w:rsidRPr="00174283">
        <w:rPr>
          <w:lang w:val="fr-FR"/>
        </w:rPr>
        <w:tab/>
        <w:t>137–139</w:t>
      </w:r>
      <w:r w:rsidR="00FD02CF" w:rsidRPr="00174283">
        <w:rPr>
          <w:lang w:val="fr-FR"/>
        </w:rPr>
        <w:tab/>
        <w:t>2</w:t>
      </w:r>
      <w:r w:rsidR="00393029">
        <w:rPr>
          <w:lang w:val="fr-FR"/>
        </w:rPr>
        <w:t>3</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Réponse aux recommandations figurant </w:t>
      </w:r>
      <w:r w:rsidR="0089660E" w:rsidRPr="00174283">
        <w:rPr>
          <w:lang w:val="fr-FR"/>
        </w:rPr>
        <w:t>au paragraphe</w:t>
      </w:r>
      <w:r w:rsidR="00FD02CF" w:rsidRPr="00174283">
        <w:rPr>
          <w:lang w:val="fr-FR"/>
        </w:rPr>
        <w:t xml:space="preserve"> 13 des observations finales du Comité</w:t>
      </w:r>
      <w:r w:rsidR="00FD02CF" w:rsidRPr="00174283">
        <w:rPr>
          <w:lang w:val="fr-FR"/>
        </w:rPr>
        <w:tab/>
      </w:r>
      <w:r w:rsidR="00FD02CF" w:rsidRPr="00174283">
        <w:rPr>
          <w:lang w:val="fr-FR"/>
        </w:rPr>
        <w:tab/>
        <w:t>140–141</w:t>
      </w:r>
      <w:r w:rsidR="00FD02CF" w:rsidRPr="00174283">
        <w:rPr>
          <w:lang w:val="fr-FR"/>
        </w:rPr>
        <w:tab/>
        <w:t>2</w:t>
      </w:r>
      <w:r w:rsidR="00393029">
        <w:rPr>
          <w:lang w:val="fr-FR"/>
        </w:rPr>
        <w:t>4</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Réponse aux recommandations figurant au paragraphe 14 des observations finales du Comité</w:t>
      </w:r>
      <w:r w:rsidR="00FD02CF" w:rsidRPr="00174283">
        <w:rPr>
          <w:lang w:val="fr-FR"/>
        </w:rPr>
        <w:tab/>
      </w:r>
      <w:r w:rsidR="00FD02CF" w:rsidRPr="00174283">
        <w:rPr>
          <w:lang w:val="fr-FR"/>
        </w:rPr>
        <w:tab/>
        <w:t>142–153</w:t>
      </w:r>
      <w:r w:rsidR="00FD02CF" w:rsidRPr="00174283">
        <w:rPr>
          <w:lang w:val="fr-FR"/>
        </w:rPr>
        <w:tab/>
        <w:t>2</w:t>
      </w:r>
      <w:r w:rsidR="00393029">
        <w:rPr>
          <w:lang w:val="fr-FR"/>
        </w:rPr>
        <w:t>4</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Réponse aux recommandations figurant au paragraphe 15 des observations finales du Comité </w:t>
      </w:r>
      <w:r w:rsidR="00FD02CF" w:rsidRPr="00174283">
        <w:rPr>
          <w:lang w:val="fr-FR"/>
        </w:rPr>
        <w:tab/>
      </w:r>
      <w:r w:rsidR="00FD02CF" w:rsidRPr="00174283">
        <w:rPr>
          <w:lang w:val="fr-FR"/>
        </w:rPr>
        <w:tab/>
        <w:t>154–171</w:t>
      </w:r>
      <w:r w:rsidR="00FD02CF" w:rsidRPr="00174283">
        <w:rPr>
          <w:lang w:val="fr-FR"/>
        </w:rPr>
        <w:tab/>
        <w:t>2</w:t>
      </w:r>
      <w:r w:rsidR="00393029">
        <w:rPr>
          <w:lang w:val="fr-FR"/>
        </w:rPr>
        <w:t>6</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Réponse aux recommandations figurant au paragraphe 16 des observations finales du Comité</w:t>
      </w:r>
      <w:r w:rsidRPr="00174283">
        <w:rPr>
          <w:lang w:val="fr-FR"/>
        </w:rPr>
        <w:tab/>
      </w:r>
      <w:r w:rsidRPr="00174283">
        <w:rPr>
          <w:lang w:val="fr-FR"/>
        </w:rPr>
        <w:tab/>
        <w:t>172–</w:t>
      </w:r>
      <w:r w:rsidR="00B44EAA" w:rsidRPr="00174283">
        <w:rPr>
          <w:lang w:val="fr-FR"/>
        </w:rPr>
        <w:t>175</w:t>
      </w:r>
      <w:r w:rsidRPr="00174283">
        <w:rPr>
          <w:lang w:val="fr-FR"/>
        </w:rPr>
        <w:tab/>
      </w:r>
      <w:r w:rsidR="00FD02CF" w:rsidRPr="00174283">
        <w:rPr>
          <w:lang w:val="fr-FR"/>
        </w:rPr>
        <w:t>2</w:t>
      </w:r>
      <w:r w:rsidR="00393029">
        <w:rPr>
          <w:lang w:val="fr-FR"/>
        </w:rPr>
        <w:t>8</w:t>
      </w:r>
    </w:p>
    <w:p w:rsidR="00EF7EA4" w:rsidRPr="00174283" w:rsidRDefault="00EF7EA4" w:rsidP="00C0185C">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Réponse aux recommandations figurant aux paragraphes 17 et 18 des observations finales du Comité</w:t>
      </w:r>
      <w:r w:rsidRPr="00174283">
        <w:rPr>
          <w:lang w:val="fr-FR"/>
        </w:rPr>
        <w:tab/>
      </w:r>
      <w:r w:rsidRPr="00174283">
        <w:rPr>
          <w:lang w:val="fr-FR"/>
        </w:rPr>
        <w:tab/>
      </w:r>
      <w:r w:rsidR="00B44EAA" w:rsidRPr="00174283">
        <w:rPr>
          <w:lang w:val="fr-FR"/>
        </w:rPr>
        <w:t>176–208</w:t>
      </w:r>
      <w:r w:rsidRPr="00174283">
        <w:rPr>
          <w:lang w:val="fr-FR"/>
        </w:rPr>
        <w:tab/>
      </w:r>
      <w:r w:rsidR="00393029">
        <w:rPr>
          <w:lang w:val="fr-FR"/>
        </w:rPr>
        <w:t>29</w:t>
      </w:r>
    </w:p>
    <w:p w:rsidR="00EF7EA4" w:rsidRPr="00174283" w:rsidRDefault="00EF7EA4" w:rsidP="00393029">
      <w:pPr>
        <w:tabs>
          <w:tab w:val="right" w:pos="850"/>
          <w:tab w:val="left" w:pos="1134"/>
          <w:tab w:val="left" w:pos="1559"/>
          <w:tab w:val="left" w:pos="1984"/>
          <w:tab w:val="left" w:leader="dot" w:pos="7654"/>
          <w:tab w:val="right" w:pos="8929"/>
          <w:tab w:val="right" w:pos="9630"/>
        </w:tabs>
        <w:spacing w:after="120"/>
        <w:ind w:left="1143" w:right="2079" w:hanging="1143"/>
        <w:rPr>
          <w:lang w:val="fr-FR"/>
        </w:rPr>
      </w:pPr>
      <w:r w:rsidRPr="00174283">
        <w:rPr>
          <w:lang w:val="fr-FR"/>
        </w:rPr>
        <w:tab/>
      </w:r>
      <w:r w:rsidRPr="00174283">
        <w:rPr>
          <w:lang w:val="fr-FR"/>
        </w:rPr>
        <w:tab/>
      </w:r>
      <w:r w:rsidR="00FD02CF" w:rsidRPr="00174283">
        <w:rPr>
          <w:lang w:val="fr-FR"/>
        </w:rPr>
        <w:t>Réponse aux recommandations figurant au paragraphe 19 des observations finales du Comité</w:t>
      </w:r>
      <w:r w:rsidRPr="00174283">
        <w:rPr>
          <w:lang w:val="fr-FR"/>
        </w:rPr>
        <w:tab/>
      </w:r>
      <w:r w:rsidRPr="00174283">
        <w:rPr>
          <w:lang w:val="fr-FR"/>
        </w:rPr>
        <w:tab/>
      </w:r>
      <w:r w:rsidR="00B44EAA" w:rsidRPr="00174283">
        <w:rPr>
          <w:lang w:val="fr-FR"/>
        </w:rPr>
        <w:t>209–213</w:t>
      </w:r>
      <w:r w:rsidRPr="00174283">
        <w:rPr>
          <w:lang w:val="fr-FR"/>
        </w:rPr>
        <w:tab/>
      </w:r>
      <w:r w:rsidR="00FD02CF" w:rsidRPr="00174283">
        <w:rPr>
          <w:lang w:val="fr-FR"/>
        </w:rPr>
        <w:t>3</w:t>
      </w:r>
      <w:r w:rsidR="00393029">
        <w:rPr>
          <w:lang w:val="fr-FR"/>
        </w:rPr>
        <w:t>5</w:t>
      </w:r>
    </w:p>
    <w:p w:rsidR="00854D3B" w:rsidRPr="00174283" w:rsidRDefault="00854D3B" w:rsidP="002F51DC">
      <w:pPr>
        <w:pStyle w:val="H56G"/>
        <w:rPr>
          <w:lang w:val="fr-FR"/>
        </w:rPr>
      </w:pPr>
      <w:r w:rsidRPr="00174283">
        <w:rPr>
          <w:lang w:val="fr-FR"/>
        </w:rPr>
        <w:tab/>
        <w:t>Annex</w:t>
      </w:r>
      <w:r w:rsidR="00FD02CF" w:rsidRPr="00174283">
        <w:rPr>
          <w:lang w:val="fr-FR"/>
        </w:rPr>
        <w:t>e</w:t>
      </w:r>
    </w:p>
    <w:p w:rsidR="00854D3B" w:rsidRPr="00174283" w:rsidRDefault="00854D3B" w:rsidP="008A2E6C">
      <w:pPr>
        <w:tabs>
          <w:tab w:val="right" w:pos="850"/>
          <w:tab w:val="left" w:pos="1134"/>
          <w:tab w:val="left" w:pos="1559"/>
          <w:tab w:val="left" w:pos="1984"/>
          <w:tab w:val="left" w:leader="dot" w:pos="8917"/>
          <w:tab w:val="right" w:pos="9628"/>
        </w:tabs>
        <w:spacing w:after="120"/>
        <w:ind w:left="1143" w:right="2079" w:hanging="1143"/>
        <w:rPr>
          <w:lang w:val="fr-FR"/>
        </w:rPr>
      </w:pPr>
      <w:r w:rsidRPr="00174283">
        <w:rPr>
          <w:lang w:val="fr-FR"/>
        </w:rPr>
        <w:tab/>
      </w:r>
      <w:r w:rsidRPr="00174283">
        <w:rPr>
          <w:lang w:val="fr-FR"/>
        </w:rPr>
        <w:tab/>
      </w:r>
      <w:r w:rsidR="00FD02CF" w:rsidRPr="00174283">
        <w:rPr>
          <w:lang w:val="fr-FR"/>
        </w:rPr>
        <w:t xml:space="preserve">Articles de la loi </w:t>
      </w:r>
      <w:r w:rsidR="004C1FBA">
        <w:rPr>
          <w:lang w:val="fr-FR"/>
        </w:rPr>
        <w:t>portant modification du</w:t>
      </w:r>
      <w:r w:rsidR="00FD02CF" w:rsidRPr="00174283">
        <w:rPr>
          <w:lang w:val="fr-FR"/>
        </w:rPr>
        <w:t xml:space="preserve"> Code pénal</w:t>
      </w:r>
      <w:r w:rsidRPr="00174283">
        <w:rPr>
          <w:lang w:val="fr-FR"/>
        </w:rPr>
        <w:tab/>
      </w:r>
      <w:r w:rsidR="00C0185C" w:rsidRPr="00174283">
        <w:rPr>
          <w:lang w:val="fr-FR"/>
        </w:rPr>
        <w:tab/>
      </w:r>
      <w:r w:rsidR="00F924C9" w:rsidRPr="00174283">
        <w:rPr>
          <w:lang w:val="fr-FR"/>
        </w:rPr>
        <w:t>3</w:t>
      </w:r>
      <w:r w:rsidR="00393029">
        <w:rPr>
          <w:lang w:val="fr-FR"/>
        </w:rPr>
        <w:t>7</w:t>
      </w:r>
    </w:p>
    <w:p w:rsidR="00490E24" w:rsidRPr="00174283" w:rsidRDefault="00490E24" w:rsidP="008E2D39">
      <w:pPr>
        <w:pStyle w:val="HChG"/>
        <w:rPr>
          <w:lang w:val="fr-FR"/>
        </w:rPr>
      </w:pPr>
      <w:r w:rsidRPr="00174283">
        <w:rPr>
          <w:lang w:val="fr-FR"/>
        </w:rPr>
        <w:br w:type="page"/>
      </w:r>
      <w:r w:rsidR="008E2D39" w:rsidRPr="00174283">
        <w:rPr>
          <w:lang w:val="fr-FR"/>
        </w:rPr>
        <w:tab/>
      </w:r>
      <w:r w:rsidRPr="00174283">
        <w:rPr>
          <w:lang w:val="fr-FR"/>
        </w:rPr>
        <w:t>I.</w:t>
      </w:r>
      <w:r w:rsidR="008E2D39" w:rsidRPr="00174283">
        <w:rPr>
          <w:lang w:val="fr-FR"/>
        </w:rPr>
        <w:tab/>
      </w:r>
      <w:r w:rsidRPr="00174283">
        <w:rPr>
          <w:lang w:val="fr-FR"/>
        </w:rPr>
        <w:t>Introduction</w:t>
      </w:r>
    </w:p>
    <w:p w:rsidR="00C80393" w:rsidRDefault="00C80393" w:rsidP="00C80393">
      <w:pPr>
        <w:pStyle w:val="SingleTxtG"/>
        <w:rPr>
          <w:lang w:val="fr-FR"/>
        </w:rPr>
      </w:pPr>
      <w:r>
        <w:rPr>
          <w:lang w:val="fr-FR"/>
        </w:rPr>
        <w:t>1.</w:t>
      </w:r>
      <w:r>
        <w:rPr>
          <w:lang w:val="fr-FR"/>
        </w:rPr>
        <w:tab/>
      </w:r>
      <w:r w:rsidR="007F476D" w:rsidRPr="001563A8">
        <w:rPr>
          <w:lang w:val="fr-FR"/>
        </w:rPr>
        <w:t>La République de Macédoine</w:t>
      </w:r>
      <w:r w:rsidR="001563A8" w:rsidRPr="001563A8">
        <w:rPr>
          <w:lang w:val="fr-FR"/>
        </w:rPr>
        <w:t xml:space="preserve"> a adhéré à</w:t>
      </w:r>
      <w:r w:rsidR="007F476D" w:rsidRPr="001563A8">
        <w:rPr>
          <w:lang w:val="fr-FR"/>
        </w:rPr>
        <w:t xml:space="preserve"> la </w:t>
      </w:r>
      <w:r w:rsidR="00380CBE" w:rsidRPr="001563A8">
        <w:rPr>
          <w:lang w:val="fr-FR"/>
        </w:rPr>
        <w:t>Convention internationale sur l</w:t>
      </w:r>
      <w:r w:rsidR="00205A62">
        <w:rPr>
          <w:lang w:val="fr-FR"/>
        </w:rPr>
        <w:t>’</w:t>
      </w:r>
      <w:r w:rsidR="00380CBE" w:rsidRPr="001563A8">
        <w:rPr>
          <w:lang w:val="fr-FR"/>
        </w:rPr>
        <w:t xml:space="preserve">élimination de toutes les formes de discrimination raciale </w:t>
      </w:r>
      <w:r w:rsidR="00490E24" w:rsidRPr="001563A8">
        <w:rPr>
          <w:lang w:val="fr-FR"/>
        </w:rPr>
        <w:t>(</w:t>
      </w:r>
      <w:r w:rsidR="00380CBE" w:rsidRPr="001563A8">
        <w:rPr>
          <w:lang w:val="fr-FR"/>
        </w:rPr>
        <w:t>la</w:t>
      </w:r>
      <w:r w:rsidR="00490E24" w:rsidRPr="001563A8">
        <w:rPr>
          <w:lang w:val="fr-FR"/>
        </w:rPr>
        <w:t xml:space="preserve"> Convention)</w:t>
      </w:r>
      <w:r w:rsidR="00380CBE" w:rsidRPr="001563A8">
        <w:rPr>
          <w:lang w:val="fr-FR"/>
        </w:rPr>
        <w:t xml:space="preserve"> </w:t>
      </w:r>
      <w:r w:rsidR="00763F58">
        <w:rPr>
          <w:lang w:val="fr-FR"/>
        </w:rPr>
        <w:t xml:space="preserve">par succession </w:t>
      </w:r>
      <w:r w:rsidR="001563A8">
        <w:rPr>
          <w:lang w:val="fr-FR"/>
        </w:rPr>
        <w:t>et</w:t>
      </w:r>
      <w:r w:rsidR="00D1208D" w:rsidRPr="001563A8">
        <w:rPr>
          <w:lang w:val="fr-FR"/>
        </w:rPr>
        <w:t xml:space="preserve"> </w:t>
      </w:r>
      <w:r w:rsidR="00D0098F" w:rsidRPr="001563A8">
        <w:rPr>
          <w:lang w:val="fr-FR"/>
        </w:rPr>
        <w:t xml:space="preserve">présente </w:t>
      </w:r>
      <w:r w:rsidR="00380CBE" w:rsidRPr="001563A8">
        <w:rPr>
          <w:lang w:val="fr-FR"/>
        </w:rPr>
        <w:t xml:space="preserve">ci-après </w:t>
      </w:r>
      <w:r w:rsidR="00D0098F" w:rsidRPr="001563A8">
        <w:rPr>
          <w:lang w:val="fr-FR"/>
        </w:rPr>
        <w:t xml:space="preserve">les huitième, neuvième et dixième rapports périodiques relatifs à </w:t>
      </w:r>
      <w:r w:rsidR="00380CBE" w:rsidRPr="001563A8">
        <w:rPr>
          <w:lang w:val="fr-FR"/>
        </w:rPr>
        <w:t xml:space="preserve">son </w:t>
      </w:r>
      <w:r w:rsidR="00D0098F" w:rsidRPr="001563A8">
        <w:rPr>
          <w:lang w:val="fr-FR"/>
        </w:rPr>
        <w:t>application, conformément aux dispositions de</w:t>
      </w:r>
      <w:r w:rsidR="007F476D" w:rsidRPr="001563A8">
        <w:rPr>
          <w:lang w:val="fr-FR"/>
        </w:rPr>
        <w:t xml:space="preserve"> </w:t>
      </w:r>
      <w:r w:rsidR="00380CBE" w:rsidRPr="001563A8">
        <w:rPr>
          <w:lang w:val="fr-FR"/>
        </w:rPr>
        <w:t>l</w:t>
      </w:r>
      <w:r w:rsidR="00205A62">
        <w:rPr>
          <w:lang w:val="fr-FR"/>
        </w:rPr>
        <w:t>’</w:t>
      </w:r>
      <w:r w:rsidR="00D0098F" w:rsidRPr="001563A8">
        <w:rPr>
          <w:lang w:val="fr-FR"/>
        </w:rPr>
        <w:t>article 9</w:t>
      </w:r>
      <w:r w:rsidR="00380CBE" w:rsidRPr="001563A8">
        <w:rPr>
          <w:lang w:val="fr-FR"/>
        </w:rPr>
        <w:t xml:space="preserve"> de la Convention</w:t>
      </w:r>
      <w:r w:rsidR="00190FF7" w:rsidRPr="001563A8">
        <w:rPr>
          <w:lang w:val="fr-FR"/>
        </w:rPr>
        <w:t>.</w:t>
      </w:r>
    </w:p>
    <w:p w:rsidR="00190FF7" w:rsidRPr="00174283" w:rsidRDefault="00C80393" w:rsidP="00C80393">
      <w:pPr>
        <w:pStyle w:val="SingleTxtG"/>
        <w:rPr>
          <w:lang w:val="fr-FR"/>
        </w:rPr>
      </w:pPr>
      <w:r>
        <w:rPr>
          <w:lang w:val="fr-FR"/>
        </w:rPr>
        <w:t>2.</w:t>
      </w:r>
      <w:r>
        <w:rPr>
          <w:lang w:val="fr-FR"/>
        </w:rPr>
        <w:tab/>
      </w:r>
      <w:r w:rsidR="00892A31" w:rsidRPr="00174283">
        <w:rPr>
          <w:lang w:val="fr-FR"/>
        </w:rPr>
        <w:t xml:space="preserve">Le présent rapport contient des informations sur les mesures législatives, judiciaires, administratives et autres </w:t>
      </w:r>
      <w:r w:rsidR="00A268FC" w:rsidRPr="00174283">
        <w:rPr>
          <w:lang w:val="fr-FR"/>
        </w:rPr>
        <w:t xml:space="preserve">que la République de Macédoine a </w:t>
      </w:r>
      <w:r w:rsidR="00892A31" w:rsidRPr="00174283">
        <w:rPr>
          <w:lang w:val="fr-FR"/>
        </w:rPr>
        <w:t>prises</w:t>
      </w:r>
      <w:r w:rsidR="00A268FC" w:rsidRPr="00174283">
        <w:rPr>
          <w:rFonts w:ascii="Calibri" w:eastAsia="Calibri" w:hAnsi="Calibri"/>
          <w:sz w:val="22"/>
          <w:szCs w:val="22"/>
          <w:lang w:val="fr-FR"/>
        </w:rPr>
        <w:t xml:space="preserve"> </w:t>
      </w:r>
      <w:r w:rsidR="00A268FC" w:rsidRPr="00174283">
        <w:rPr>
          <w:lang w:val="fr-FR"/>
        </w:rPr>
        <w:t>pour assurer l</w:t>
      </w:r>
      <w:r w:rsidR="00205A62">
        <w:rPr>
          <w:lang w:val="fr-FR"/>
        </w:rPr>
        <w:t>’</w:t>
      </w:r>
      <w:r w:rsidR="00A268FC" w:rsidRPr="00174283">
        <w:rPr>
          <w:lang w:val="fr-FR"/>
        </w:rPr>
        <w:t>exercice des droits garantis par la Convention</w:t>
      </w:r>
      <w:r w:rsidR="00892A31" w:rsidRPr="00174283">
        <w:rPr>
          <w:lang w:val="fr-FR"/>
        </w:rPr>
        <w:t xml:space="preserve"> </w:t>
      </w:r>
      <w:r w:rsidR="00AB3878">
        <w:rPr>
          <w:lang w:val="fr-FR"/>
        </w:rPr>
        <w:t xml:space="preserve">pendant </w:t>
      </w:r>
      <w:r w:rsidR="00A268FC" w:rsidRPr="00174283">
        <w:rPr>
          <w:lang w:val="fr-FR"/>
        </w:rPr>
        <w:t xml:space="preserve">la période qui a suivi </w:t>
      </w:r>
      <w:r w:rsidR="00AB3878">
        <w:rPr>
          <w:lang w:val="fr-FR"/>
        </w:rPr>
        <w:t>l</w:t>
      </w:r>
      <w:r w:rsidR="00205A62">
        <w:rPr>
          <w:lang w:val="fr-FR"/>
        </w:rPr>
        <w:t>’</w:t>
      </w:r>
      <w:r w:rsidR="00AB3878">
        <w:rPr>
          <w:lang w:val="fr-FR"/>
        </w:rPr>
        <w:t xml:space="preserve">examen </w:t>
      </w:r>
      <w:r w:rsidR="00584B5F" w:rsidRPr="00174283">
        <w:rPr>
          <w:lang w:val="fr-FR"/>
        </w:rPr>
        <w:t>de</w:t>
      </w:r>
      <w:r w:rsidR="00A268FC" w:rsidRPr="00174283">
        <w:rPr>
          <w:lang w:val="fr-FR"/>
        </w:rPr>
        <w:t xml:space="preserve"> se</w:t>
      </w:r>
      <w:r w:rsidR="00584B5F" w:rsidRPr="00174283">
        <w:rPr>
          <w:lang w:val="fr-FR"/>
        </w:rPr>
        <w:t>s quatrième</w:t>
      </w:r>
      <w:r w:rsidR="005E30AE" w:rsidRPr="00174283">
        <w:rPr>
          <w:lang w:val="fr-FR"/>
        </w:rPr>
        <w:t xml:space="preserve"> à</w:t>
      </w:r>
      <w:r w:rsidR="008721B7" w:rsidRPr="00174283">
        <w:rPr>
          <w:lang w:val="fr-FR"/>
        </w:rPr>
        <w:t xml:space="preserve"> septième</w:t>
      </w:r>
      <w:r w:rsidR="00584B5F" w:rsidRPr="00174283">
        <w:rPr>
          <w:lang w:val="fr-FR"/>
        </w:rPr>
        <w:t xml:space="preserve"> rapports, présentés en un seul document</w:t>
      </w:r>
      <w:r w:rsidR="00490E24" w:rsidRPr="00174283">
        <w:rPr>
          <w:lang w:val="fr-FR"/>
        </w:rPr>
        <w:t xml:space="preserve"> (CERD/C/MKD/7)</w:t>
      </w:r>
      <w:r w:rsidR="00A268FC" w:rsidRPr="00174283">
        <w:rPr>
          <w:lang w:val="fr-FR"/>
        </w:rPr>
        <w:t>,</w:t>
      </w:r>
      <w:r w:rsidR="00D44A27" w:rsidRPr="00174283">
        <w:rPr>
          <w:lang w:val="fr-FR"/>
        </w:rPr>
        <w:t xml:space="preserve"> aux </w:t>
      </w:r>
      <w:r w:rsidR="00490E24" w:rsidRPr="00174283">
        <w:rPr>
          <w:lang w:val="fr-FR"/>
        </w:rPr>
        <w:t>1798</w:t>
      </w:r>
      <w:r w:rsidR="006D7BA0" w:rsidRPr="00174283">
        <w:rPr>
          <w:vertAlign w:val="superscript"/>
          <w:lang w:val="fr-FR"/>
        </w:rPr>
        <w:t>e</w:t>
      </w:r>
      <w:r w:rsidR="00D44A27" w:rsidRPr="00174283">
        <w:rPr>
          <w:lang w:val="fr-FR"/>
        </w:rPr>
        <w:t xml:space="preserve"> et </w:t>
      </w:r>
      <w:r w:rsidR="00490E24" w:rsidRPr="00174283">
        <w:rPr>
          <w:lang w:val="fr-FR"/>
        </w:rPr>
        <w:t>1799</w:t>
      </w:r>
      <w:r w:rsidR="00D44A27" w:rsidRPr="00174283">
        <w:rPr>
          <w:vertAlign w:val="superscript"/>
          <w:lang w:val="fr-FR"/>
        </w:rPr>
        <w:t>e</w:t>
      </w:r>
      <w:r w:rsidR="006D7BA0" w:rsidRPr="00174283">
        <w:rPr>
          <w:lang w:val="fr-FR"/>
        </w:rPr>
        <w:t> </w:t>
      </w:r>
      <w:r w:rsidR="00AB3878">
        <w:rPr>
          <w:lang w:val="fr-FR"/>
        </w:rPr>
        <w:t xml:space="preserve">séances </w:t>
      </w:r>
      <w:r w:rsidR="00D44A27" w:rsidRPr="00174283">
        <w:rPr>
          <w:lang w:val="fr-FR"/>
        </w:rPr>
        <w:t>du Comité pour l</w:t>
      </w:r>
      <w:r w:rsidR="00205A62">
        <w:rPr>
          <w:lang w:val="fr-FR"/>
        </w:rPr>
        <w:t>’</w:t>
      </w:r>
      <w:r w:rsidR="00D44A27" w:rsidRPr="00174283">
        <w:rPr>
          <w:lang w:val="fr-FR"/>
        </w:rPr>
        <w:t>élimination de la discrimination raciale</w:t>
      </w:r>
      <w:r w:rsidR="00490E24" w:rsidRPr="00174283">
        <w:rPr>
          <w:lang w:val="fr-FR"/>
        </w:rPr>
        <w:t xml:space="preserve"> (</w:t>
      </w:r>
      <w:r w:rsidR="00D44A27" w:rsidRPr="00174283">
        <w:rPr>
          <w:lang w:val="fr-FR"/>
        </w:rPr>
        <w:t>le Comité</w:t>
      </w:r>
      <w:r w:rsidR="00490E24" w:rsidRPr="00174283">
        <w:rPr>
          <w:lang w:val="fr-FR"/>
        </w:rPr>
        <w:t xml:space="preserve">), </w:t>
      </w:r>
      <w:r w:rsidR="00E365BB" w:rsidRPr="00174283">
        <w:rPr>
          <w:lang w:val="fr-FR"/>
        </w:rPr>
        <w:t>tenues respectivement les</w:t>
      </w:r>
      <w:r w:rsidR="00490E24" w:rsidRPr="00174283">
        <w:rPr>
          <w:lang w:val="fr-FR"/>
        </w:rPr>
        <w:t xml:space="preserve"> 26 </w:t>
      </w:r>
      <w:r w:rsidR="00E365BB" w:rsidRPr="00174283">
        <w:rPr>
          <w:lang w:val="fr-FR"/>
        </w:rPr>
        <w:t>et</w:t>
      </w:r>
      <w:r w:rsidR="00490E24" w:rsidRPr="00174283">
        <w:rPr>
          <w:lang w:val="fr-FR"/>
        </w:rPr>
        <w:t xml:space="preserve"> </w:t>
      </w:r>
      <w:r w:rsidR="00190FF7" w:rsidRPr="00174283">
        <w:rPr>
          <w:lang w:val="fr-FR"/>
        </w:rPr>
        <w:t xml:space="preserve">27 </w:t>
      </w:r>
      <w:r w:rsidR="00E365BB" w:rsidRPr="00174283">
        <w:rPr>
          <w:lang w:val="fr-FR"/>
        </w:rPr>
        <w:t>février</w:t>
      </w:r>
      <w:r w:rsidR="00190FF7" w:rsidRPr="00174283">
        <w:rPr>
          <w:lang w:val="fr-FR"/>
        </w:rPr>
        <w:t xml:space="preserve"> 2007</w:t>
      </w:r>
      <w:r w:rsidR="00E365BB" w:rsidRPr="00174283">
        <w:rPr>
          <w:lang w:val="fr-FR"/>
        </w:rPr>
        <w:t>.</w:t>
      </w:r>
    </w:p>
    <w:p w:rsidR="00190FF7" w:rsidRPr="00174283" w:rsidRDefault="00C80393" w:rsidP="00C80393">
      <w:pPr>
        <w:pStyle w:val="SingleTxtG"/>
        <w:rPr>
          <w:lang w:val="fr-FR"/>
        </w:rPr>
      </w:pPr>
      <w:r>
        <w:rPr>
          <w:lang w:val="fr-FR"/>
        </w:rPr>
        <w:t>3.</w:t>
      </w:r>
      <w:r>
        <w:rPr>
          <w:lang w:val="fr-FR"/>
        </w:rPr>
        <w:tab/>
      </w:r>
      <w:r w:rsidR="00E365BB" w:rsidRPr="00174283">
        <w:rPr>
          <w:lang w:val="fr-FR"/>
        </w:rPr>
        <w:t>Le présent rapport a été préparé conformément aux</w:t>
      </w:r>
      <w:r w:rsidR="008F45C7" w:rsidRPr="00174283">
        <w:rPr>
          <w:lang w:val="fr-FR"/>
        </w:rPr>
        <w:t xml:space="preserve"> directives</w:t>
      </w:r>
      <w:r w:rsidR="00E365BB" w:rsidRPr="00174283">
        <w:rPr>
          <w:lang w:val="fr-FR"/>
        </w:rPr>
        <w:t xml:space="preserve"> </w:t>
      </w:r>
      <w:r w:rsidR="008721B7" w:rsidRPr="00174283">
        <w:rPr>
          <w:lang w:val="fr-FR"/>
        </w:rPr>
        <w:t>pour l</w:t>
      </w:r>
      <w:r w:rsidR="00205A62">
        <w:rPr>
          <w:lang w:val="fr-FR"/>
        </w:rPr>
        <w:t>’</w:t>
      </w:r>
      <w:r w:rsidR="008721B7" w:rsidRPr="00174283">
        <w:rPr>
          <w:lang w:val="fr-FR"/>
        </w:rPr>
        <w:t xml:space="preserve">établissement </w:t>
      </w:r>
      <w:r w:rsidR="008F45C7" w:rsidRPr="00174283">
        <w:rPr>
          <w:lang w:val="fr-FR"/>
        </w:rPr>
        <w:t>du document</w:t>
      </w:r>
      <w:r w:rsidR="008721B7" w:rsidRPr="00174283">
        <w:rPr>
          <w:lang w:val="fr-FR"/>
        </w:rPr>
        <w:t xml:space="preserve"> </w:t>
      </w:r>
      <w:r w:rsidR="00517149" w:rsidRPr="00174283">
        <w:rPr>
          <w:lang w:val="fr-FR"/>
        </w:rPr>
        <w:t>se rapportant spécifiquement à la Convention sur l</w:t>
      </w:r>
      <w:r w:rsidR="00205A62">
        <w:rPr>
          <w:lang w:val="fr-FR"/>
        </w:rPr>
        <w:t>’</w:t>
      </w:r>
      <w:r w:rsidR="00517149" w:rsidRPr="00174283">
        <w:rPr>
          <w:lang w:val="fr-FR"/>
        </w:rPr>
        <w:t>élimination de toutes les formes de discrimination raciale</w:t>
      </w:r>
      <w:r w:rsidR="00E365BB" w:rsidRPr="00174283">
        <w:rPr>
          <w:lang w:val="fr-FR"/>
        </w:rPr>
        <w:t xml:space="preserve"> </w:t>
      </w:r>
      <w:r w:rsidR="00490E24" w:rsidRPr="00174283">
        <w:rPr>
          <w:lang w:val="fr-FR"/>
        </w:rPr>
        <w:t>(CERD</w:t>
      </w:r>
      <w:r w:rsidR="00190FF7" w:rsidRPr="00174283">
        <w:rPr>
          <w:lang w:val="fr-FR"/>
        </w:rPr>
        <w:t>/C/2007/1), dat</w:t>
      </w:r>
      <w:r w:rsidR="008A5422" w:rsidRPr="00174283">
        <w:rPr>
          <w:lang w:val="fr-FR"/>
        </w:rPr>
        <w:t>é</w:t>
      </w:r>
      <w:r w:rsidR="00592E90" w:rsidRPr="00174283">
        <w:rPr>
          <w:lang w:val="fr-FR"/>
        </w:rPr>
        <w:t>es</w:t>
      </w:r>
      <w:r w:rsidR="008A5422" w:rsidRPr="00174283">
        <w:rPr>
          <w:lang w:val="fr-FR"/>
        </w:rPr>
        <w:t xml:space="preserve"> du 13 juin</w:t>
      </w:r>
      <w:r w:rsidR="00190FF7" w:rsidRPr="00174283">
        <w:rPr>
          <w:lang w:val="fr-FR"/>
        </w:rPr>
        <w:t xml:space="preserve"> 2008.</w:t>
      </w:r>
    </w:p>
    <w:p w:rsidR="00190FF7" w:rsidRPr="00174283" w:rsidRDefault="00C80393" w:rsidP="00C80393">
      <w:pPr>
        <w:pStyle w:val="SingleTxtG"/>
        <w:rPr>
          <w:lang w:val="fr-FR"/>
        </w:rPr>
      </w:pPr>
      <w:r>
        <w:rPr>
          <w:lang w:val="fr-FR"/>
        </w:rPr>
        <w:t>4.</w:t>
      </w:r>
      <w:r>
        <w:rPr>
          <w:lang w:val="fr-FR"/>
        </w:rPr>
        <w:tab/>
      </w:r>
      <w:r w:rsidR="00D0098F" w:rsidRPr="00174283">
        <w:rPr>
          <w:lang w:val="fr-FR"/>
        </w:rPr>
        <w:t xml:space="preserve">Lors de son élaboration, une attention </w:t>
      </w:r>
      <w:r w:rsidR="00592E90" w:rsidRPr="00174283">
        <w:rPr>
          <w:lang w:val="fr-FR"/>
        </w:rPr>
        <w:t xml:space="preserve">toute </w:t>
      </w:r>
      <w:r w:rsidR="00D0098F" w:rsidRPr="00174283">
        <w:rPr>
          <w:lang w:val="fr-FR"/>
        </w:rPr>
        <w:t xml:space="preserve">particulière a été portée aux commentaires et recommandations figurant dans les observations finales </w:t>
      </w:r>
      <w:r w:rsidR="00E17837" w:rsidRPr="00174283">
        <w:rPr>
          <w:lang w:val="fr-FR"/>
        </w:rPr>
        <w:t>(CERD/C/MKD/CO/7)</w:t>
      </w:r>
      <w:r w:rsidR="00E17837">
        <w:rPr>
          <w:lang w:val="fr-FR"/>
        </w:rPr>
        <w:t xml:space="preserve"> </w:t>
      </w:r>
      <w:r w:rsidR="00D0098F" w:rsidRPr="00174283">
        <w:rPr>
          <w:lang w:val="fr-FR"/>
        </w:rPr>
        <w:t>adoptées par le Comité à sa 1813</w:t>
      </w:r>
      <w:r w:rsidR="00D0098F" w:rsidRPr="00174283">
        <w:rPr>
          <w:vertAlign w:val="superscript"/>
          <w:lang w:val="fr-FR"/>
        </w:rPr>
        <w:t>e</w:t>
      </w:r>
      <w:r w:rsidR="006D7BA0" w:rsidRPr="00174283">
        <w:rPr>
          <w:lang w:val="fr-FR"/>
        </w:rPr>
        <w:t> </w:t>
      </w:r>
      <w:r w:rsidR="00E17837">
        <w:rPr>
          <w:lang w:val="fr-FR"/>
        </w:rPr>
        <w:t>séance</w:t>
      </w:r>
      <w:r w:rsidR="00E365BB" w:rsidRPr="00174283">
        <w:rPr>
          <w:lang w:val="fr-FR"/>
        </w:rPr>
        <w:t>,</w:t>
      </w:r>
      <w:r w:rsidR="00D0098F" w:rsidRPr="00174283">
        <w:rPr>
          <w:lang w:val="fr-FR"/>
        </w:rPr>
        <w:t xml:space="preserve"> le 8 mars 2007</w:t>
      </w:r>
      <w:r w:rsidR="002F51DC">
        <w:rPr>
          <w:lang w:val="fr-FR"/>
        </w:rPr>
        <w:t>.</w:t>
      </w:r>
    </w:p>
    <w:p w:rsidR="00490E24" w:rsidRPr="00174283" w:rsidRDefault="00C80393" w:rsidP="00C80393">
      <w:pPr>
        <w:pStyle w:val="SingleTxtG"/>
        <w:rPr>
          <w:lang w:val="fr-FR"/>
        </w:rPr>
      </w:pPr>
      <w:r>
        <w:rPr>
          <w:lang w:val="fr-FR"/>
        </w:rPr>
        <w:t>5.</w:t>
      </w:r>
      <w:r>
        <w:rPr>
          <w:lang w:val="fr-FR"/>
        </w:rPr>
        <w:tab/>
      </w:r>
      <w:r w:rsidR="004F111A" w:rsidRPr="00174283">
        <w:rPr>
          <w:lang w:val="fr-FR"/>
        </w:rPr>
        <w:t xml:space="preserve">Avant </w:t>
      </w:r>
      <w:r w:rsidR="00E17837">
        <w:rPr>
          <w:lang w:val="fr-FR"/>
        </w:rPr>
        <w:t>d</w:t>
      </w:r>
      <w:r w:rsidR="00205A62">
        <w:rPr>
          <w:lang w:val="fr-FR"/>
        </w:rPr>
        <w:t>’</w:t>
      </w:r>
      <w:r w:rsidR="00E17837">
        <w:rPr>
          <w:lang w:val="fr-FR"/>
        </w:rPr>
        <w:t>être soumis</w:t>
      </w:r>
      <w:r w:rsidR="004F111A" w:rsidRPr="00174283">
        <w:rPr>
          <w:lang w:val="fr-FR"/>
        </w:rPr>
        <w:t xml:space="preserve"> au Gouvernement </w:t>
      </w:r>
      <w:r w:rsidR="00E17837">
        <w:rPr>
          <w:lang w:val="fr-FR"/>
        </w:rPr>
        <w:t>pour</w:t>
      </w:r>
      <w:r w:rsidR="004F111A" w:rsidRPr="00174283">
        <w:rPr>
          <w:lang w:val="fr-FR"/>
        </w:rPr>
        <w:t xml:space="preserve"> approbation, le </w:t>
      </w:r>
      <w:r w:rsidR="00E17837">
        <w:rPr>
          <w:lang w:val="fr-FR"/>
        </w:rPr>
        <w:t>projet de rapport</w:t>
      </w:r>
      <w:r w:rsidR="004F111A" w:rsidRPr="00174283">
        <w:rPr>
          <w:lang w:val="fr-FR"/>
        </w:rPr>
        <w:t xml:space="preserve"> a été transmis à plusieurs organisations de la société civile. L</w:t>
      </w:r>
      <w:r w:rsidR="00205A62">
        <w:rPr>
          <w:lang w:val="fr-FR"/>
        </w:rPr>
        <w:t>’</w:t>
      </w:r>
      <w:r w:rsidR="004F111A" w:rsidRPr="00174283">
        <w:rPr>
          <w:lang w:val="fr-FR"/>
        </w:rPr>
        <w:t>une d</w:t>
      </w:r>
      <w:r w:rsidR="00205A62">
        <w:rPr>
          <w:lang w:val="fr-FR"/>
        </w:rPr>
        <w:t>’</w:t>
      </w:r>
      <w:r w:rsidR="004F111A" w:rsidRPr="00174283">
        <w:rPr>
          <w:lang w:val="fr-FR"/>
        </w:rPr>
        <w:t xml:space="preserve">entre elles a fait parvenir des remarques </w:t>
      </w:r>
      <w:r w:rsidR="00277025" w:rsidRPr="00174283">
        <w:rPr>
          <w:lang w:val="fr-FR"/>
        </w:rPr>
        <w:t xml:space="preserve">qui </w:t>
      </w:r>
      <w:r w:rsidR="004F111A" w:rsidRPr="00174283">
        <w:rPr>
          <w:lang w:val="fr-FR"/>
        </w:rPr>
        <w:t>concern</w:t>
      </w:r>
      <w:r w:rsidR="00277025" w:rsidRPr="00174283">
        <w:rPr>
          <w:lang w:val="fr-FR"/>
        </w:rPr>
        <w:t>e</w:t>
      </w:r>
      <w:r w:rsidR="004F111A" w:rsidRPr="00174283">
        <w:rPr>
          <w:lang w:val="fr-FR"/>
        </w:rPr>
        <w:t xml:space="preserve">nt principalement la </w:t>
      </w:r>
      <w:r w:rsidR="00032707" w:rsidRPr="00174283">
        <w:rPr>
          <w:lang w:val="fr-FR"/>
        </w:rPr>
        <w:t>loi sur</w:t>
      </w:r>
      <w:r w:rsidR="002F51DC">
        <w:rPr>
          <w:lang w:val="fr-FR"/>
        </w:rPr>
        <w:t xml:space="preserve"> </w:t>
      </w:r>
      <w:r w:rsidR="00E17837">
        <w:rPr>
          <w:lang w:val="fr-FR"/>
        </w:rPr>
        <w:t>la</w:t>
      </w:r>
      <w:r w:rsidR="0061460D">
        <w:rPr>
          <w:lang w:val="fr-FR"/>
        </w:rPr>
        <w:t xml:space="preserve"> prévention de la</w:t>
      </w:r>
      <w:r w:rsidR="00032707" w:rsidRPr="00174283">
        <w:rPr>
          <w:lang w:val="fr-FR"/>
        </w:rPr>
        <w:t xml:space="preserve"> discrimination et </w:t>
      </w:r>
      <w:r w:rsidR="0061460D">
        <w:rPr>
          <w:lang w:val="fr-FR"/>
        </w:rPr>
        <w:t>la protection contre ce phénomène</w:t>
      </w:r>
      <w:r w:rsidR="00490E24" w:rsidRPr="00174283">
        <w:rPr>
          <w:lang w:val="fr-FR"/>
        </w:rPr>
        <w:t>.</w:t>
      </w:r>
    </w:p>
    <w:p w:rsidR="00D34C03" w:rsidRPr="00174283" w:rsidRDefault="00CB419C" w:rsidP="00D34C03">
      <w:pPr>
        <w:pStyle w:val="HChG"/>
        <w:rPr>
          <w:lang w:val="fr-FR"/>
        </w:rPr>
      </w:pPr>
      <w:r w:rsidRPr="00174283">
        <w:rPr>
          <w:lang w:val="fr-FR"/>
        </w:rPr>
        <w:tab/>
      </w:r>
      <w:r w:rsidR="00D34C03" w:rsidRPr="00174283">
        <w:rPr>
          <w:lang w:val="fr-FR"/>
        </w:rPr>
        <w:t>II.</w:t>
      </w:r>
      <w:r w:rsidR="00D34C03" w:rsidRPr="00174283">
        <w:rPr>
          <w:lang w:val="fr-FR"/>
        </w:rPr>
        <w:tab/>
        <w:t xml:space="preserve">Articles </w:t>
      </w:r>
      <w:r w:rsidR="00D0098F" w:rsidRPr="00174283">
        <w:rPr>
          <w:lang w:val="fr-FR"/>
        </w:rPr>
        <w:t>de la</w:t>
      </w:r>
      <w:r w:rsidR="00D34C03" w:rsidRPr="00174283">
        <w:rPr>
          <w:lang w:val="fr-FR"/>
        </w:rPr>
        <w:t xml:space="preserve"> Convention</w:t>
      </w:r>
    </w:p>
    <w:p w:rsidR="00490E24" w:rsidRPr="00174283" w:rsidRDefault="00D34C03" w:rsidP="00CB419C">
      <w:pPr>
        <w:pStyle w:val="H1G"/>
        <w:rPr>
          <w:lang w:val="fr-FR"/>
        </w:rPr>
      </w:pPr>
      <w:r w:rsidRPr="00174283">
        <w:rPr>
          <w:lang w:val="fr-FR"/>
        </w:rPr>
        <w:tab/>
      </w:r>
      <w:r w:rsidRPr="00174283">
        <w:rPr>
          <w:lang w:val="fr-FR"/>
        </w:rPr>
        <w:tab/>
      </w:r>
      <w:r w:rsidR="00CB419C" w:rsidRPr="00174283">
        <w:rPr>
          <w:lang w:val="fr-FR"/>
        </w:rPr>
        <w:t>Article 2</w:t>
      </w:r>
      <w:r w:rsidR="00CB419C" w:rsidRPr="00174283">
        <w:rPr>
          <w:lang w:val="fr-FR"/>
        </w:rPr>
        <w:br/>
      </w:r>
      <w:r w:rsidR="00DD6333" w:rsidRPr="00174283">
        <w:rPr>
          <w:lang w:val="fr-FR"/>
        </w:rPr>
        <w:t>Élimination de la discrimination raciale sous toutes ses formes</w:t>
      </w:r>
    </w:p>
    <w:p w:rsidR="00490E24" w:rsidRPr="00174283" w:rsidRDefault="00CB419C" w:rsidP="00A956DC">
      <w:pPr>
        <w:pStyle w:val="H23G"/>
        <w:rPr>
          <w:lang w:val="fr-FR"/>
        </w:rPr>
      </w:pPr>
      <w:r w:rsidRPr="00174283">
        <w:rPr>
          <w:lang w:val="fr-FR"/>
        </w:rPr>
        <w:tab/>
      </w:r>
      <w:r w:rsidR="005F4C93" w:rsidRPr="00174283">
        <w:rPr>
          <w:lang w:val="fr-FR"/>
        </w:rPr>
        <w:t>1</w:t>
      </w:r>
      <w:r w:rsidR="00490E24" w:rsidRPr="00174283">
        <w:rPr>
          <w:lang w:val="fr-FR"/>
        </w:rPr>
        <w:t>.</w:t>
      </w:r>
      <w:r w:rsidRPr="00174283">
        <w:rPr>
          <w:lang w:val="fr-FR"/>
        </w:rPr>
        <w:tab/>
      </w:r>
      <w:r w:rsidR="00E17837">
        <w:rPr>
          <w:lang w:val="fr-FR"/>
        </w:rPr>
        <w:t>D</w:t>
      </w:r>
      <w:r w:rsidR="00DD6333" w:rsidRPr="00174283">
        <w:rPr>
          <w:lang w:val="fr-FR"/>
        </w:rPr>
        <w:t xml:space="preserve">escription </w:t>
      </w:r>
      <w:r w:rsidR="00E17837">
        <w:rPr>
          <w:lang w:val="fr-FR"/>
        </w:rPr>
        <w:t xml:space="preserve">succincte </w:t>
      </w:r>
      <w:r w:rsidR="00DD6333" w:rsidRPr="00174283">
        <w:rPr>
          <w:lang w:val="fr-FR"/>
        </w:rPr>
        <w:t>du cadre législatif et des politiques générales relatives à</w:t>
      </w:r>
      <w:r w:rsidR="00A956DC">
        <w:rPr>
          <w:lang w:val="fr-FR"/>
        </w:rPr>
        <w:t> </w:t>
      </w:r>
      <w:r w:rsidR="00DD6333" w:rsidRPr="00174283">
        <w:rPr>
          <w:lang w:val="fr-FR"/>
        </w:rPr>
        <w:t>l</w:t>
      </w:r>
      <w:r w:rsidR="00205A62">
        <w:rPr>
          <w:lang w:val="fr-FR"/>
        </w:rPr>
        <w:t>’</w:t>
      </w:r>
      <w:r w:rsidR="00DD6333" w:rsidRPr="00174283">
        <w:rPr>
          <w:lang w:val="fr-FR"/>
        </w:rPr>
        <w:t>élimination de la discrimination raciale</w:t>
      </w:r>
    </w:p>
    <w:p w:rsidR="00190FF7" w:rsidRPr="00174283" w:rsidRDefault="00C80393" w:rsidP="00C80393">
      <w:pPr>
        <w:pStyle w:val="SingleTxtG"/>
        <w:rPr>
          <w:lang w:val="fr-FR"/>
        </w:rPr>
      </w:pPr>
      <w:r>
        <w:rPr>
          <w:lang w:val="fr-FR"/>
        </w:rPr>
        <w:t>6.</w:t>
      </w:r>
      <w:r>
        <w:rPr>
          <w:lang w:val="fr-FR"/>
        </w:rPr>
        <w:tab/>
      </w:r>
      <w:r w:rsidR="00DD6F33" w:rsidRPr="00174283">
        <w:rPr>
          <w:lang w:val="fr-FR"/>
        </w:rPr>
        <w:t>La République de Macédoine est fermement résolue à éliminer le racisme et l</w:t>
      </w:r>
      <w:r w:rsidR="00205A62">
        <w:rPr>
          <w:lang w:val="fr-FR"/>
        </w:rPr>
        <w:t>’</w:t>
      </w:r>
      <w:r w:rsidR="00DD6F33" w:rsidRPr="00174283">
        <w:rPr>
          <w:lang w:val="fr-FR"/>
        </w:rPr>
        <w:t xml:space="preserve">intolérance raciale sous toutes </w:t>
      </w:r>
      <w:r w:rsidR="00277025" w:rsidRPr="00174283">
        <w:rPr>
          <w:lang w:val="fr-FR"/>
        </w:rPr>
        <w:t>leurs</w:t>
      </w:r>
      <w:r w:rsidR="00DD6F33" w:rsidRPr="00174283">
        <w:rPr>
          <w:lang w:val="fr-FR"/>
        </w:rPr>
        <w:t xml:space="preserve"> formes</w:t>
      </w:r>
      <w:r w:rsidR="002C6CE4" w:rsidRPr="00174283">
        <w:rPr>
          <w:lang w:val="fr-FR"/>
        </w:rPr>
        <w:t xml:space="preserve"> et à élaborer des politiques visant à lutter contre la </w:t>
      </w:r>
      <w:r w:rsidR="00490E24" w:rsidRPr="00174283">
        <w:rPr>
          <w:lang w:val="fr-FR"/>
        </w:rPr>
        <w:t xml:space="preserve">discrimination, </w:t>
      </w:r>
      <w:r w:rsidR="002C6CE4" w:rsidRPr="00174283">
        <w:rPr>
          <w:lang w:val="fr-FR"/>
        </w:rPr>
        <w:t>l</w:t>
      </w:r>
      <w:r w:rsidR="00205A62">
        <w:rPr>
          <w:lang w:val="fr-FR"/>
        </w:rPr>
        <w:t>’</w:t>
      </w:r>
      <w:r w:rsidR="00490E24" w:rsidRPr="00174283">
        <w:rPr>
          <w:lang w:val="fr-FR"/>
        </w:rPr>
        <w:t>intol</w:t>
      </w:r>
      <w:r w:rsidR="002C6CE4" w:rsidRPr="00174283">
        <w:rPr>
          <w:lang w:val="fr-FR"/>
        </w:rPr>
        <w:t>é</w:t>
      </w:r>
      <w:r w:rsidR="00490E24" w:rsidRPr="00174283">
        <w:rPr>
          <w:lang w:val="fr-FR"/>
        </w:rPr>
        <w:t xml:space="preserve">rance </w:t>
      </w:r>
      <w:r w:rsidR="002C6CE4" w:rsidRPr="00174283">
        <w:rPr>
          <w:lang w:val="fr-FR"/>
        </w:rPr>
        <w:t>et la</w:t>
      </w:r>
      <w:r w:rsidR="00490E24" w:rsidRPr="00174283">
        <w:rPr>
          <w:lang w:val="fr-FR"/>
        </w:rPr>
        <w:t xml:space="preserve"> violence</w:t>
      </w:r>
      <w:r w:rsidR="002C6CE4" w:rsidRPr="00174283">
        <w:rPr>
          <w:lang w:val="fr-FR"/>
        </w:rPr>
        <w:t xml:space="preserve"> raciales</w:t>
      </w:r>
      <w:r w:rsidR="00490E24" w:rsidRPr="00174283">
        <w:rPr>
          <w:lang w:val="fr-FR"/>
        </w:rPr>
        <w:t xml:space="preserve">. </w:t>
      </w:r>
      <w:r w:rsidR="003B18EA" w:rsidRPr="00174283">
        <w:rPr>
          <w:lang w:val="fr-FR"/>
        </w:rPr>
        <w:t>S</w:t>
      </w:r>
      <w:r w:rsidR="00EE098F" w:rsidRPr="00174283">
        <w:rPr>
          <w:lang w:val="fr-FR"/>
        </w:rPr>
        <w:t xml:space="preserve">a </w:t>
      </w:r>
      <w:r w:rsidR="00490E24" w:rsidRPr="00174283">
        <w:rPr>
          <w:lang w:val="fr-FR"/>
        </w:rPr>
        <w:t xml:space="preserve">Constitution </w:t>
      </w:r>
      <w:r w:rsidR="005F24F1" w:rsidRPr="00174283">
        <w:rPr>
          <w:lang w:val="fr-FR"/>
        </w:rPr>
        <w:t>consacre l</w:t>
      </w:r>
      <w:r w:rsidR="00205A62">
        <w:rPr>
          <w:lang w:val="fr-FR"/>
        </w:rPr>
        <w:t>’</w:t>
      </w:r>
      <w:r w:rsidR="005F24F1" w:rsidRPr="00174283">
        <w:rPr>
          <w:lang w:val="fr-FR"/>
        </w:rPr>
        <w:t>égalité entre les citoyens et stipule que tous jouissent des mêmes droits</w:t>
      </w:r>
      <w:r w:rsidR="003C6089" w:rsidRPr="00174283">
        <w:rPr>
          <w:lang w:val="fr-FR"/>
        </w:rPr>
        <w:t xml:space="preserve"> et libertés</w:t>
      </w:r>
      <w:r w:rsidR="005F24F1" w:rsidRPr="00174283">
        <w:rPr>
          <w:lang w:val="fr-FR"/>
        </w:rPr>
        <w:t xml:space="preserve">, </w:t>
      </w:r>
      <w:r w:rsidR="006847F2" w:rsidRPr="00174283">
        <w:rPr>
          <w:lang w:val="fr-FR"/>
        </w:rPr>
        <w:t>quels que soient</w:t>
      </w:r>
      <w:r w:rsidR="002F51DC">
        <w:rPr>
          <w:lang w:val="fr-FR"/>
        </w:rPr>
        <w:t xml:space="preserve"> </w:t>
      </w:r>
      <w:r w:rsidR="006847F2" w:rsidRPr="00174283">
        <w:rPr>
          <w:lang w:val="fr-FR"/>
        </w:rPr>
        <w:t>leur sexe, leur race, leur couleur de peau, leur origine nationale ou sociale,</w:t>
      </w:r>
      <w:r w:rsidR="003B18EA" w:rsidRPr="00174283">
        <w:rPr>
          <w:lang w:val="fr-FR"/>
        </w:rPr>
        <w:t xml:space="preserve"> </w:t>
      </w:r>
      <w:r w:rsidR="005F24F1" w:rsidRPr="00174283">
        <w:rPr>
          <w:lang w:val="fr-FR"/>
        </w:rPr>
        <w:t>leurs opinions politiques ou</w:t>
      </w:r>
      <w:r w:rsidR="003B18EA" w:rsidRPr="00174283">
        <w:rPr>
          <w:lang w:val="fr-FR"/>
        </w:rPr>
        <w:t xml:space="preserve"> </w:t>
      </w:r>
      <w:r w:rsidR="005F24F1" w:rsidRPr="00174283">
        <w:rPr>
          <w:lang w:val="fr-FR"/>
        </w:rPr>
        <w:t xml:space="preserve">leurs convictions religieuses, leur fortune ou leur </w:t>
      </w:r>
      <w:r w:rsidR="003B18EA" w:rsidRPr="00174283">
        <w:rPr>
          <w:lang w:val="fr-FR"/>
        </w:rPr>
        <w:t>position</w:t>
      </w:r>
      <w:r w:rsidR="005F24F1" w:rsidRPr="00174283">
        <w:rPr>
          <w:lang w:val="fr-FR"/>
        </w:rPr>
        <w:t xml:space="preserve"> social</w:t>
      </w:r>
      <w:r w:rsidR="003B18EA" w:rsidRPr="00174283">
        <w:rPr>
          <w:lang w:val="fr-FR"/>
        </w:rPr>
        <w:t>e</w:t>
      </w:r>
      <w:r w:rsidR="001F3E51">
        <w:rPr>
          <w:lang w:val="fr-FR"/>
        </w:rPr>
        <w:t xml:space="preserve"> (a</w:t>
      </w:r>
      <w:r w:rsidR="006D7BA0" w:rsidRPr="00174283">
        <w:rPr>
          <w:lang w:val="fr-FR"/>
        </w:rPr>
        <w:t>rt</w:t>
      </w:r>
      <w:r w:rsidR="001F3E51">
        <w:rPr>
          <w:lang w:val="fr-FR"/>
        </w:rPr>
        <w:t>.</w:t>
      </w:r>
      <w:r w:rsidR="006D7BA0" w:rsidRPr="00174283">
        <w:rPr>
          <w:lang w:val="fr-FR"/>
        </w:rPr>
        <w:t> </w:t>
      </w:r>
      <w:r w:rsidR="00490E24" w:rsidRPr="00174283">
        <w:rPr>
          <w:lang w:val="fr-FR"/>
        </w:rPr>
        <w:t xml:space="preserve">9). </w:t>
      </w:r>
      <w:r w:rsidR="002C6CE4" w:rsidRPr="00174283">
        <w:rPr>
          <w:lang w:val="fr-FR"/>
        </w:rPr>
        <w:t xml:space="preserve">Les </w:t>
      </w:r>
      <w:r w:rsidR="0038015F" w:rsidRPr="00174283">
        <w:rPr>
          <w:lang w:val="fr-FR"/>
        </w:rPr>
        <w:t>amendements</w:t>
      </w:r>
      <w:r w:rsidR="002C6CE4" w:rsidRPr="00174283">
        <w:rPr>
          <w:lang w:val="fr-FR"/>
        </w:rPr>
        <w:t xml:space="preserve"> apportés à la Constitution en</w:t>
      </w:r>
      <w:r w:rsidR="00490E24" w:rsidRPr="00174283">
        <w:rPr>
          <w:lang w:val="fr-FR"/>
        </w:rPr>
        <w:t xml:space="preserve"> 2001 (</w:t>
      </w:r>
      <w:r w:rsidR="0038015F" w:rsidRPr="00174283">
        <w:rPr>
          <w:lang w:val="fr-FR"/>
        </w:rPr>
        <w:t>amendement</w:t>
      </w:r>
      <w:r w:rsidR="002C6CE4" w:rsidRPr="00174283">
        <w:rPr>
          <w:lang w:val="fr-FR"/>
        </w:rPr>
        <w:t xml:space="preserve">s IV à </w:t>
      </w:r>
      <w:r w:rsidR="00490E24" w:rsidRPr="00174283">
        <w:rPr>
          <w:lang w:val="fr-FR"/>
        </w:rPr>
        <w:t xml:space="preserve">XIX) </w:t>
      </w:r>
      <w:r w:rsidR="002C6CE4" w:rsidRPr="00174283">
        <w:rPr>
          <w:lang w:val="fr-FR"/>
        </w:rPr>
        <w:t xml:space="preserve">ont </w:t>
      </w:r>
      <w:r w:rsidR="005F28A1" w:rsidRPr="00174283">
        <w:rPr>
          <w:lang w:val="fr-FR"/>
        </w:rPr>
        <w:t xml:space="preserve">introduit le concept de discrimination positive </w:t>
      </w:r>
      <w:r w:rsidR="0036699A" w:rsidRPr="00174283">
        <w:rPr>
          <w:lang w:val="fr-FR"/>
        </w:rPr>
        <w:t>pour permettre la représentation équitable des différentes communautés de Macédoine</w:t>
      </w:r>
      <w:r w:rsidR="00F0719E" w:rsidRPr="00174283">
        <w:rPr>
          <w:lang w:val="fr-FR"/>
        </w:rPr>
        <w:t xml:space="preserve"> et</w:t>
      </w:r>
      <w:r w:rsidR="0036699A" w:rsidRPr="00174283">
        <w:rPr>
          <w:lang w:val="fr-FR"/>
        </w:rPr>
        <w:t xml:space="preserve"> souligner</w:t>
      </w:r>
      <w:r w:rsidR="00F0719E" w:rsidRPr="00174283">
        <w:rPr>
          <w:lang w:val="fr-FR"/>
        </w:rPr>
        <w:t>, ce faisant,</w:t>
      </w:r>
      <w:r w:rsidR="00205A62">
        <w:rPr>
          <w:lang w:val="fr-FR"/>
        </w:rPr>
        <w:t xml:space="preserve"> le caractère multi</w:t>
      </w:r>
      <w:r w:rsidR="0036699A" w:rsidRPr="00174283">
        <w:rPr>
          <w:lang w:val="fr-FR"/>
        </w:rPr>
        <w:t xml:space="preserve">ethnique de la nation et </w:t>
      </w:r>
      <w:r w:rsidR="00E07A91" w:rsidRPr="00174283">
        <w:rPr>
          <w:lang w:val="fr-FR"/>
        </w:rPr>
        <w:t xml:space="preserve">illustrer </w:t>
      </w:r>
      <w:r w:rsidR="00743350" w:rsidRPr="00174283">
        <w:rPr>
          <w:lang w:val="fr-FR"/>
        </w:rPr>
        <w:t>la volonté stratégique de</w:t>
      </w:r>
      <w:r w:rsidR="0038015F" w:rsidRPr="00174283">
        <w:rPr>
          <w:lang w:val="fr-FR"/>
        </w:rPr>
        <w:t xml:space="preserve"> la République </w:t>
      </w:r>
      <w:r w:rsidR="00743350" w:rsidRPr="00174283">
        <w:rPr>
          <w:lang w:val="fr-FR"/>
        </w:rPr>
        <w:t xml:space="preserve">de </w:t>
      </w:r>
      <w:r w:rsidR="0061460D">
        <w:rPr>
          <w:lang w:val="fr-FR"/>
        </w:rPr>
        <w:t>permettre</w:t>
      </w:r>
      <w:r w:rsidR="00743350" w:rsidRPr="00174283">
        <w:rPr>
          <w:lang w:val="fr-FR"/>
        </w:rPr>
        <w:t xml:space="preserve"> aux</w:t>
      </w:r>
      <w:r w:rsidR="0038015F" w:rsidRPr="00174283">
        <w:rPr>
          <w:lang w:val="fr-FR"/>
        </w:rPr>
        <w:t xml:space="preserve"> </w:t>
      </w:r>
      <w:r w:rsidR="00C66919" w:rsidRPr="00174283">
        <w:rPr>
          <w:lang w:val="fr-FR"/>
        </w:rPr>
        <w:t xml:space="preserve">membres </w:t>
      </w:r>
      <w:r w:rsidR="0038015F" w:rsidRPr="00174283">
        <w:rPr>
          <w:lang w:val="fr-FR"/>
        </w:rPr>
        <w:t>de</w:t>
      </w:r>
      <w:r w:rsidR="00C66919" w:rsidRPr="00174283">
        <w:rPr>
          <w:lang w:val="fr-FR"/>
        </w:rPr>
        <w:t xml:space="preserve"> ces communautés</w:t>
      </w:r>
      <w:r w:rsidR="0038015F" w:rsidRPr="00174283">
        <w:rPr>
          <w:lang w:val="fr-FR"/>
        </w:rPr>
        <w:t xml:space="preserve"> </w:t>
      </w:r>
      <w:r w:rsidR="00743350" w:rsidRPr="00174283">
        <w:rPr>
          <w:lang w:val="fr-FR"/>
        </w:rPr>
        <w:t>de</w:t>
      </w:r>
      <w:r w:rsidR="0038015F" w:rsidRPr="00174283">
        <w:rPr>
          <w:lang w:val="fr-FR"/>
        </w:rPr>
        <w:t xml:space="preserve"> pleinement exercer le</w:t>
      </w:r>
      <w:r w:rsidR="00F0719E" w:rsidRPr="00174283">
        <w:rPr>
          <w:lang w:val="fr-FR"/>
        </w:rPr>
        <w:t>ur</w:t>
      </w:r>
      <w:r w:rsidR="0038015F" w:rsidRPr="00174283">
        <w:rPr>
          <w:lang w:val="fr-FR"/>
        </w:rPr>
        <w:t>s droits</w:t>
      </w:r>
      <w:r w:rsidR="00C66919" w:rsidRPr="00174283">
        <w:rPr>
          <w:lang w:val="fr-FR"/>
        </w:rPr>
        <w:t>.</w:t>
      </w:r>
      <w:r w:rsidR="0036699A" w:rsidRPr="00174283">
        <w:rPr>
          <w:lang w:val="fr-FR"/>
        </w:rPr>
        <w:t xml:space="preserve"> </w:t>
      </w:r>
    </w:p>
    <w:p w:rsidR="00190FF7" w:rsidRPr="00174283" w:rsidRDefault="00C80393" w:rsidP="00C80393">
      <w:pPr>
        <w:pStyle w:val="SingleTxtG"/>
        <w:rPr>
          <w:lang w:val="fr-FR"/>
        </w:rPr>
      </w:pPr>
      <w:r>
        <w:rPr>
          <w:lang w:val="fr-FR"/>
        </w:rPr>
        <w:t>7.</w:t>
      </w:r>
      <w:r>
        <w:rPr>
          <w:lang w:val="fr-FR"/>
        </w:rPr>
        <w:tab/>
      </w:r>
      <w:r w:rsidR="00633E49" w:rsidRPr="00174283">
        <w:rPr>
          <w:lang w:val="fr-FR"/>
        </w:rPr>
        <w:t xml:space="preserve">La législation de la République de Macédoine </w:t>
      </w:r>
      <w:r w:rsidR="0061460D">
        <w:rPr>
          <w:lang w:val="fr-FR"/>
        </w:rPr>
        <w:t>comprend</w:t>
      </w:r>
      <w:r w:rsidR="0061460D" w:rsidRPr="00174283">
        <w:rPr>
          <w:lang w:val="fr-FR"/>
        </w:rPr>
        <w:t xml:space="preserve"> </w:t>
      </w:r>
      <w:r w:rsidR="00633E49" w:rsidRPr="00174283">
        <w:rPr>
          <w:lang w:val="fr-FR"/>
        </w:rPr>
        <w:t>plusieurs dispositions interdisant la</w:t>
      </w:r>
      <w:r w:rsidR="00490E24" w:rsidRPr="00174283">
        <w:rPr>
          <w:lang w:val="fr-FR"/>
        </w:rPr>
        <w:t xml:space="preserve"> discrimination </w:t>
      </w:r>
      <w:r w:rsidR="00633E49" w:rsidRPr="00174283">
        <w:rPr>
          <w:lang w:val="fr-FR"/>
        </w:rPr>
        <w:t xml:space="preserve">dans certains domaines de la </w:t>
      </w:r>
      <w:r w:rsidR="00C46B0A" w:rsidRPr="00174283">
        <w:rPr>
          <w:lang w:val="fr-FR"/>
        </w:rPr>
        <w:t>vie sociale</w:t>
      </w:r>
      <w:r w:rsidR="00633E49" w:rsidRPr="00174283">
        <w:rPr>
          <w:lang w:val="fr-FR"/>
        </w:rPr>
        <w:t xml:space="preserve">, </w:t>
      </w:r>
      <w:r w:rsidR="00CD031E" w:rsidRPr="00174283">
        <w:rPr>
          <w:lang w:val="fr-FR"/>
        </w:rPr>
        <w:t xml:space="preserve">de même que la discrimination fondée sur des motifs spécifiques. </w:t>
      </w:r>
    </w:p>
    <w:p w:rsidR="00190FF7" w:rsidRPr="00174283" w:rsidRDefault="00C80393" w:rsidP="00C80393">
      <w:pPr>
        <w:pStyle w:val="SingleTxtG"/>
        <w:rPr>
          <w:lang w:val="fr-FR"/>
        </w:rPr>
      </w:pPr>
      <w:r>
        <w:rPr>
          <w:lang w:val="fr-FR"/>
        </w:rPr>
        <w:t>8.</w:t>
      </w:r>
      <w:r>
        <w:rPr>
          <w:lang w:val="fr-FR"/>
        </w:rPr>
        <w:tab/>
      </w:r>
      <w:r w:rsidR="00DF3083" w:rsidRPr="00174283">
        <w:rPr>
          <w:lang w:val="fr-FR"/>
        </w:rPr>
        <w:t xml:space="preserve">Le 8 avril 2010, </w:t>
      </w:r>
      <w:r w:rsidR="00231704" w:rsidRPr="00174283">
        <w:rPr>
          <w:lang w:val="fr-FR"/>
        </w:rPr>
        <w:t>l</w:t>
      </w:r>
      <w:r w:rsidR="00205A62">
        <w:rPr>
          <w:lang w:val="fr-FR"/>
        </w:rPr>
        <w:t>’</w:t>
      </w:r>
      <w:r w:rsidR="006B0193">
        <w:rPr>
          <w:lang w:val="fr-FR"/>
        </w:rPr>
        <w:t>Assemblée</w:t>
      </w:r>
      <w:r w:rsidR="00B8196A" w:rsidRPr="00174283">
        <w:rPr>
          <w:lang w:val="fr-FR"/>
        </w:rPr>
        <w:t xml:space="preserve"> a</w:t>
      </w:r>
      <w:r w:rsidR="00DF3083" w:rsidRPr="00174283">
        <w:rPr>
          <w:lang w:val="fr-FR"/>
        </w:rPr>
        <w:t xml:space="preserve"> adopté la </w:t>
      </w:r>
      <w:r w:rsidR="00CD5CA2" w:rsidRPr="00174283">
        <w:rPr>
          <w:lang w:val="fr-FR"/>
        </w:rPr>
        <w:t xml:space="preserve">loi sur la prévention </w:t>
      </w:r>
      <w:r w:rsidR="00D232AC" w:rsidRPr="00174283">
        <w:rPr>
          <w:lang w:val="fr-FR"/>
        </w:rPr>
        <w:t>de</w:t>
      </w:r>
      <w:r w:rsidR="00CD5CA2" w:rsidRPr="00174283">
        <w:rPr>
          <w:lang w:val="fr-FR"/>
        </w:rPr>
        <w:t xml:space="preserve"> la discrimination</w:t>
      </w:r>
      <w:r w:rsidR="00D232AC" w:rsidRPr="00174283">
        <w:rPr>
          <w:lang w:val="fr-FR"/>
        </w:rPr>
        <w:t xml:space="preserve"> et la </w:t>
      </w:r>
      <w:r w:rsidR="0061460D">
        <w:rPr>
          <w:lang w:val="fr-FR"/>
        </w:rPr>
        <w:t>protection contre ce phénomène</w:t>
      </w:r>
      <w:r w:rsidR="00CD5CA2" w:rsidRPr="00174283">
        <w:rPr>
          <w:lang w:val="fr-FR"/>
        </w:rPr>
        <w:t xml:space="preserve"> </w:t>
      </w:r>
      <w:r w:rsidR="00490E24" w:rsidRPr="00174283">
        <w:rPr>
          <w:lang w:val="fr-FR"/>
        </w:rPr>
        <w:t>(</w:t>
      </w:r>
      <w:r w:rsidR="00B8196A" w:rsidRPr="006C4B2D">
        <w:rPr>
          <w:i/>
          <w:iCs/>
          <w:lang w:val="fr-FR"/>
        </w:rPr>
        <w:t xml:space="preserve">Journal </w:t>
      </w:r>
      <w:r w:rsidR="00490E24" w:rsidRPr="006C4B2D">
        <w:rPr>
          <w:i/>
          <w:iCs/>
          <w:lang w:val="fr-FR"/>
        </w:rPr>
        <w:t>Offici</w:t>
      </w:r>
      <w:r w:rsidR="00B8196A" w:rsidRPr="006C4B2D">
        <w:rPr>
          <w:i/>
          <w:iCs/>
          <w:lang w:val="fr-FR"/>
        </w:rPr>
        <w:t>e</w:t>
      </w:r>
      <w:r w:rsidR="00490E24" w:rsidRPr="006C4B2D">
        <w:rPr>
          <w:i/>
          <w:iCs/>
          <w:lang w:val="fr-FR"/>
        </w:rPr>
        <w:t xml:space="preserve">l </w:t>
      </w:r>
      <w:r w:rsidR="00B8196A" w:rsidRPr="006C4B2D">
        <w:rPr>
          <w:i/>
          <w:iCs/>
          <w:lang w:val="fr-FR"/>
        </w:rPr>
        <w:t>de la République de Macédoine</w:t>
      </w:r>
      <w:r w:rsidR="00B8196A" w:rsidRPr="00174283">
        <w:rPr>
          <w:lang w:val="fr-FR"/>
        </w:rPr>
        <w:t xml:space="preserve"> n</w:t>
      </w:r>
      <w:r w:rsidR="00B8196A" w:rsidRPr="00174283">
        <w:rPr>
          <w:vertAlign w:val="superscript"/>
          <w:lang w:val="fr-FR"/>
        </w:rPr>
        <w:t>o</w:t>
      </w:r>
      <w:r w:rsidR="00A12C01" w:rsidRPr="00174283">
        <w:rPr>
          <w:lang w:val="fr-FR"/>
        </w:rPr>
        <w:t> </w:t>
      </w:r>
      <w:r w:rsidR="00490E24" w:rsidRPr="00174283">
        <w:rPr>
          <w:lang w:val="fr-FR"/>
        </w:rPr>
        <w:t>50</w:t>
      </w:r>
      <w:r w:rsidR="0061460D">
        <w:rPr>
          <w:lang w:val="fr-FR"/>
        </w:rPr>
        <w:t xml:space="preserve"> du</w:t>
      </w:r>
      <w:r w:rsidR="00490E24" w:rsidRPr="00174283">
        <w:rPr>
          <w:lang w:val="fr-FR"/>
        </w:rPr>
        <w:t xml:space="preserve"> 13</w:t>
      </w:r>
      <w:r w:rsidR="00A12C01" w:rsidRPr="00174283">
        <w:rPr>
          <w:lang w:val="fr-FR"/>
        </w:rPr>
        <w:t> </w:t>
      </w:r>
      <w:r w:rsidR="00B8196A" w:rsidRPr="00174283">
        <w:rPr>
          <w:lang w:val="fr-FR"/>
        </w:rPr>
        <w:t>av</w:t>
      </w:r>
      <w:r w:rsidR="00490E24" w:rsidRPr="00174283">
        <w:rPr>
          <w:lang w:val="fr-FR"/>
        </w:rPr>
        <w:t xml:space="preserve">ril 2010). </w:t>
      </w:r>
      <w:r w:rsidR="00B8196A" w:rsidRPr="00174283">
        <w:rPr>
          <w:lang w:val="fr-FR"/>
        </w:rPr>
        <w:t>Cette loi est entrée en vigueur le 1</w:t>
      </w:r>
      <w:r w:rsidR="00B8196A" w:rsidRPr="00174283">
        <w:rPr>
          <w:vertAlign w:val="superscript"/>
          <w:lang w:val="fr-FR"/>
        </w:rPr>
        <w:t>er</w:t>
      </w:r>
      <w:r w:rsidR="00B8196A" w:rsidRPr="00174283">
        <w:rPr>
          <w:lang w:val="fr-FR"/>
        </w:rPr>
        <w:t xml:space="preserve"> janvier</w:t>
      </w:r>
      <w:r w:rsidR="00190FF7" w:rsidRPr="00174283">
        <w:rPr>
          <w:lang w:val="fr-FR"/>
        </w:rPr>
        <w:t xml:space="preserve"> 2011.</w:t>
      </w:r>
    </w:p>
    <w:p w:rsidR="00A12C01" w:rsidRPr="00174283" w:rsidRDefault="00C80393" w:rsidP="00C80393">
      <w:pPr>
        <w:pStyle w:val="SingleTxtG"/>
        <w:rPr>
          <w:lang w:val="fr-FR"/>
        </w:rPr>
      </w:pPr>
      <w:r>
        <w:rPr>
          <w:lang w:val="fr-FR"/>
        </w:rPr>
        <w:t>9.</w:t>
      </w:r>
      <w:r>
        <w:rPr>
          <w:lang w:val="fr-FR"/>
        </w:rPr>
        <w:tab/>
      </w:r>
      <w:r w:rsidR="000519DF" w:rsidRPr="00174283">
        <w:rPr>
          <w:lang w:val="fr-FR"/>
        </w:rPr>
        <w:t>L</w:t>
      </w:r>
      <w:r w:rsidR="00205A62">
        <w:rPr>
          <w:lang w:val="fr-FR"/>
        </w:rPr>
        <w:t>’</w:t>
      </w:r>
      <w:r w:rsidR="000519DF" w:rsidRPr="00174283">
        <w:rPr>
          <w:lang w:val="fr-FR"/>
        </w:rPr>
        <w:t>a</w:t>
      </w:r>
      <w:r w:rsidR="00490E24" w:rsidRPr="00174283">
        <w:rPr>
          <w:lang w:val="fr-FR"/>
        </w:rPr>
        <w:t xml:space="preserve">rticle 3 </w:t>
      </w:r>
      <w:r w:rsidR="000519DF" w:rsidRPr="00174283">
        <w:rPr>
          <w:lang w:val="fr-FR"/>
        </w:rPr>
        <w:t>de cette loi</w:t>
      </w:r>
      <w:r w:rsidR="00F104B6" w:rsidRPr="00174283">
        <w:rPr>
          <w:lang w:val="fr-FR"/>
        </w:rPr>
        <w:t xml:space="preserve"> </w:t>
      </w:r>
      <w:r w:rsidR="000519DF" w:rsidRPr="00174283">
        <w:rPr>
          <w:lang w:val="fr-FR"/>
        </w:rPr>
        <w:t>interdit toute discrimination directe ou indirecte, tout appel ou incitation à la discrimination et tout soutien apporté à un traitement discriminatoire fondé sur le sexe, la race, la couleur de peau, le genre, l</w:t>
      </w:r>
      <w:r w:rsidR="00205A62">
        <w:rPr>
          <w:lang w:val="fr-FR"/>
        </w:rPr>
        <w:t>’</w:t>
      </w:r>
      <w:r w:rsidR="000519DF" w:rsidRPr="00174283">
        <w:rPr>
          <w:lang w:val="fr-FR"/>
        </w:rPr>
        <w:t>appartenance à un groupe marginalisé, l</w:t>
      </w:r>
      <w:r w:rsidR="00205A62">
        <w:rPr>
          <w:lang w:val="fr-FR"/>
        </w:rPr>
        <w:t>’</w:t>
      </w:r>
      <w:r w:rsidR="000519DF" w:rsidRPr="00174283">
        <w:rPr>
          <w:lang w:val="fr-FR"/>
        </w:rPr>
        <w:t>origine ethnique, la langue, la nationalité, l</w:t>
      </w:r>
      <w:r w:rsidR="00205A62">
        <w:rPr>
          <w:lang w:val="fr-FR"/>
        </w:rPr>
        <w:t>’</w:t>
      </w:r>
      <w:r w:rsidR="000519DF" w:rsidRPr="00174283">
        <w:rPr>
          <w:lang w:val="fr-FR"/>
        </w:rPr>
        <w:t>origine sociale, la religion</w:t>
      </w:r>
      <w:r w:rsidR="00231704" w:rsidRPr="00174283">
        <w:rPr>
          <w:lang w:val="fr-FR"/>
        </w:rPr>
        <w:t>,</w:t>
      </w:r>
      <w:r w:rsidR="000519DF" w:rsidRPr="00174283">
        <w:rPr>
          <w:lang w:val="fr-FR"/>
        </w:rPr>
        <w:t xml:space="preserve"> la confession</w:t>
      </w:r>
      <w:r w:rsidR="00231704" w:rsidRPr="00174283">
        <w:rPr>
          <w:lang w:val="fr-FR"/>
        </w:rPr>
        <w:t xml:space="preserve"> ou</w:t>
      </w:r>
      <w:r w:rsidR="000519DF" w:rsidRPr="00174283">
        <w:rPr>
          <w:lang w:val="fr-FR"/>
        </w:rPr>
        <w:t xml:space="preserve"> d</w:t>
      </w:r>
      <w:r w:rsidR="00205A62">
        <w:rPr>
          <w:lang w:val="fr-FR"/>
        </w:rPr>
        <w:t>’</w:t>
      </w:r>
      <w:r w:rsidR="000519DF" w:rsidRPr="00174283">
        <w:rPr>
          <w:lang w:val="fr-FR"/>
        </w:rPr>
        <w:t>autres croyances, l</w:t>
      </w:r>
      <w:r w:rsidR="00205A62">
        <w:rPr>
          <w:lang w:val="fr-FR"/>
        </w:rPr>
        <w:t>’</w:t>
      </w:r>
      <w:r w:rsidR="000519DF" w:rsidRPr="00174283">
        <w:rPr>
          <w:lang w:val="fr-FR"/>
        </w:rPr>
        <w:t>éducation, l</w:t>
      </w:r>
      <w:r w:rsidR="00205A62">
        <w:rPr>
          <w:lang w:val="fr-FR"/>
        </w:rPr>
        <w:t>’</w:t>
      </w:r>
      <w:r w:rsidR="000519DF" w:rsidRPr="00174283">
        <w:rPr>
          <w:lang w:val="fr-FR"/>
        </w:rPr>
        <w:t>appartenance politique, l</w:t>
      </w:r>
      <w:r w:rsidR="00231704" w:rsidRPr="00174283">
        <w:rPr>
          <w:lang w:val="fr-FR"/>
        </w:rPr>
        <w:t xml:space="preserve">a situation </w:t>
      </w:r>
      <w:r w:rsidR="000519DF" w:rsidRPr="00174283">
        <w:rPr>
          <w:lang w:val="fr-FR"/>
        </w:rPr>
        <w:t>personnel</w:t>
      </w:r>
      <w:r w:rsidR="00231704" w:rsidRPr="00174283">
        <w:rPr>
          <w:lang w:val="fr-FR"/>
        </w:rPr>
        <w:t>le</w:t>
      </w:r>
      <w:r w:rsidR="000519DF" w:rsidRPr="00174283">
        <w:rPr>
          <w:lang w:val="fr-FR"/>
        </w:rPr>
        <w:t xml:space="preserve"> ou social</w:t>
      </w:r>
      <w:r w:rsidR="00231704" w:rsidRPr="00174283">
        <w:rPr>
          <w:lang w:val="fr-FR"/>
        </w:rPr>
        <w:t>e</w:t>
      </w:r>
      <w:r w:rsidR="000519DF" w:rsidRPr="00174283">
        <w:rPr>
          <w:lang w:val="fr-FR"/>
        </w:rPr>
        <w:t>, une incapacité mentale ou physique, l</w:t>
      </w:r>
      <w:r w:rsidR="00205A62">
        <w:rPr>
          <w:lang w:val="fr-FR"/>
        </w:rPr>
        <w:t>’</w:t>
      </w:r>
      <w:r w:rsidR="000519DF" w:rsidRPr="00174283">
        <w:rPr>
          <w:lang w:val="fr-FR"/>
        </w:rPr>
        <w:t>âge, la situation familiale ou matrimoniale, la fortune, l</w:t>
      </w:r>
      <w:r w:rsidR="00205A62">
        <w:rPr>
          <w:lang w:val="fr-FR"/>
        </w:rPr>
        <w:t>’</w:t>
      </w:r>
      <w:r w:rsidR="000519DF" w:rsidRPr="00174283">
        <w:rPr>
          <w:lang w:val="fr-FR"/>
        </w:rPr>
        <w:t>état de santé ou tout autre motif prévu par la loi ou les accords internationaux ratifiés par la République de Macédoine</w:t>
      </w:r>
      <w:r w:rsidR="00490E24" w:rsidRPr="00174283">
        <w:rPr>
          <w:lang w:val="fr-FR"/>
        </w:rPr>
        <w:t xml:space="preserve">. </w:t>
      </w:r>
      <w:r w:rsidR="000519DF" w:rsidRPr="00174283">
        <w:rPr>
          <w:lang w:val="fr-FR"/>
        </w:rPr>
        <w:t>L</w:t>
      </w:r>
      <w:r w:rsidR="00205A62">
        <w:rPr>
          <w:lang w:val="fr-FR"/>
        </w:rPr>
        <w:t>’</w:t>
      </w:r>
      <w:r w:rsidR="000519DF" w:rsidRPr="00174283">
        <w:rPr>
          <w:lang w:val="fr-FR"/>
        </w:rPr>
        <w:t xml:space="preserve">interdiction de la discrimination et la </w:t>
      </w:r>
      <w:r w:rsidR="0061460D">
        <w:rPr>
          <w:lang w:val="fr-FR"/>
        </w:rPr>
        <w:t>protection</w:t>
      </w:r>
      <w:r w:rsidR="0061460D" w:rsidRPr="00174283">
        <w:rPr>
          <w:lang w:val="fr-FR"/>
        </w:rPr>
        <w:t xml:space="preserve"> </w:t>
      </w:r>
      <w:r w:rsidR="000519DF" w:rsidRPr="00174283">
        <w:rPr>
          <w:lang w:val="fr-FR"/>
        </w:rPr>
        <w:t>contre ce phénomène s</w:t>
      </w:r>
      <w:r w:rsidR="00205A62">
        <w:rPr>
          <w:lang w:val="fr-FR"/>
        </w:rPr>
        <w:t>’</w:t>
      </w:r>
      <w:r w:rsidR="000519DF" w:rsidRPr="00174283">
        <w:rPr>
          <w:lang w:val="fr-FR"/>
        </w:rPr>
        <w:t>appliquent à toutes les personnes physiques et morales.</w:t>
      </w:r>
    </w:p>
    <w:p w:rsidR="00A12C01" w:rsidRPr="00174283" w:rsidRDefault="00C80393" w:rsidP="00C80393">
      <w:pPr>
        <w:pStyle w:val="SingleTxtG"/>
        <w:rPr>
          <w:lang w:val="fr-FR"/>
        </w:rPr>
      </w:pPr>
      <w:r>
        <w:rPr>
          <w:lang w:val="fr-FR"/>
        </w:rPr>
        <w:t>10.</w:t>
      </w:r>
      <w:r>
        <w:rPr>
          <w:lang w:val="fr-FR"/>
        </w:rPr>
        <w:tab/>
      </w:r>
      <w:r w:rsidR="003F40C5" w:rsidRPr="00174283">
        <w:rPr>
          <w:lang w:val="fr-FR"/>
        </w:rPr>
        <w:t xml:space="preserve">La loi </w:t>
      </w:r>
      <w:r w:rsidR="008E7CD0" w:rsidRPr="00174283">
        <w:rPr>
          <w:lang w:val="fr-FR"/>
        </w:rPr>
        <w:t>sanctionne</w:t>
      </w:r>
      <w:r w:rsidR="003F40C5" w:rsidRPr="00174283">
        <w:rPr>
          <w:lang w:val="fr-FR"/>
        </w:rPr>
        <w:t xml:space="preserve"> en outre tout appel ou incitation à la discrimination</w:t>
      </w:r>
      <w:r w:rsidR="00721FA1" w:rsidRPr="00174283">
        <w:rPr>
          <w:lang w:val="fr-FR"/>
        </w:rPr>
        <w:t xml:space="preserve"> et tout soutien apporté à un traitement discriminatoire</w:t>
      </w:r>
      <w:r w:rsidR="003F40C5" w:rsidRPr="00174283">
        <w:rPr>
          <w:lang w:val="fr-FR"/>
        </w:rPr>
        <w:t>,</w:t>
      </w:r>
      <w:r w:rsidR="00721FA1" w:rsidRPr="00174283">
        <w:rPr>
          <w:lang w:val="fr-FR"/>
        </w:rPr>
        <w:t xml:space="preserve"> et en particulier le harcèlement, la</w:t>
      </w:r>
      <w:r w:rsidR="003F40C5" w:rsidRPr="00174283">
        <w:rPr>
          <w:lang w:val="fr-FR"/>
        </w:rPr>
        <w:t xml:space="preserve"> persécution </w:t>
      </w:r>
      <w:r w:rsidR="00721FA1" w:rsidRPr="00174283">
        <w:rPr>
          <w:lang w:val="fr-FR"/>
        </w:rPr>
        <w:t>et la</w:t>
      </w:r>
      <w:r w:rsidR="00490E24" w:rsidRPr="00174283">
        <w:rPr>
          <w:lang w:val="fr-FR"/>
        </w:rPr>
        <w:t xml:space="preserve"> s</w:t>
      </w:r>
      <w:r w:rsidR="00721FA1" w:rsidRPr="00174283">
        <w:rPr>
          <w:lang w:val="fr-FR"/>
        </w:rPr>
        <w:t>é</w:t>
      </w:r>
      <w:r w:rsidR="00490E24" w:rsidRPr="00174283">
        <w:rPr>
          <w:lang w:val="fr-FR"/>
        </w:rPr>
        <w:t>gr</w:t>
      </w:r>
      <w:r w:rsidR="00721FA1" w:rsidRPr="00174283">
        <w:rPr>
          <w:lang w:val="fr-FR"/>
        </w:rPr>
        <w:t>é</w:t>
      </w:r>
      <w:r w:rsidR="00490E24" w:rsidRPr="00174283">
        <w:rPr>
          <w:lang w:val="fr-FR"/>
        </w:rPr>
        <w:t xml:space="preserve">gation. </w:t>
      </w:r>
      <w:r w:rsidR="00321BCD" w:rsidRPr="00174283">
        <w:rPr>
          <w:lang w:val="fr-FR"/>
        </w:rPr>
        <w:t xml:space="preserve">Elle contient de multiples </w:t>
      </w:r>
      <w:r w:rsidR="00D232AC" w:rsidRPr="00174283">
        <w:rPr>
          <w:lang w:val="fr-FR"/>
        </w:rPr>
        <w:t>garanties de procédure</w:t>
      </w:r>
      <w:r w:rsidR="00490E24" w:rsidRPr="00174283">
        <w:rPr>
          <w:lang w:val="fr-FR"/>
        </w:rPr>
        <w:t>,</w:t>
      </w:r>
      <w:r w:rsidR="00321BCD" w:rsidRPr="00174283">
        <w:rPr>
          <w:lang w:val="fr-FR"/>
        </w:rPr>
        <w:t xml:space="preserve"> y compris des dispositions </w:t>
      </w:r>
      <w:r w:rsidR="00360178" w:rsidRPr="00174283">
        <w:rPr>
          <w:lang w:val="fr-FR"/>
        </w:rPr>
        <w:t>relatives au</w:t>
      </w:r>
      <w:r w:rsidR="00391E69" w:rsidRPr="00174283">
        <w:rPr>
          <w:lang w:val="fr-FR"/>
        </w:rPr>
        <w:t xml:space="preserve"> transfert de la charge de la preuve</w:t>
      </w:r>
      <w:r w:rsidR="00490E24" w:rsidRPr="00174283">
        <w:rPr>
          <w:lang w:val="fr-FR"/>
        </w:rPr>
        <w:t xml:space="preserve">, </w:t>
      </w:r>
      <w:r w:rsidR="00360178" w:rsidRPr="00174283">
        <w:rPr>
          <w:lang w:val="fr-FR"/>
        </w:rPr>
        <w:t xml:space="preserve">et prévoit </w:t>
      </w:r>
      <w:r w:rsidR="00033C41" w:rsidRPr="00174283">
        <w:rPr>
          <w:lang w:val="fr-FR"/>
        </w:rPr>
        <w:t>l</w:t>
      </w:r>
      <w:r w:rsidR="00205A62">
        <w:rPr>
          <w:lang w:val="fr-FR"/>
        </w:rPr>
        <w:t>’</w:t>
      </w:r>
      <w:r w:rsidR="00033C41" w:rsidRPr="00174283">
        <w:rPr>
          <w:lang w:val="fr-FR"/>
        </w:rPr>
        <w:t>intervention d</w:t>
      </w:r>
      <w:r w:rsidR="00205A62">
        <w:rPr>
          <w:lang w:val="fr-FR"/>
        </w:rPr>
        <w:t>’</w:t>
      </w:r>
      <w:r w:rsidR="00360178" w:rsidRPr="00174283">
        <w:rPr>
          <w:lang w:val="fr-FR"/>
        </w:rPr>
        <w:t xml:space="preserve">ONG spécialisées </w:t>
      </w:r>
      <w:r w:rsidR="006822B6" w:rsidRPr="00174283">
        <w:rPr>
          <w:lang w:val="fr-FR"/>
        </w:rPr>
        <w:t>en qualité de tierce p</w:t>
      </w:r>
      <w:r w:rsidR="00205A62">
        <w:rPr>
          <w:lang w:val="fr-FR"/>
        </w:rPr>
        <w:t>artie ou comme plaignants ou co</w:t>
      </w:r>
      <w:r w:rsidR="006822B6" w:rsidRPr="00174283">
        <w:rPr>
          <w:lang w:val="fr-FR"/>
        </w:rPr>
        <w:t>pl</w:t>
      </w:r>
      <w:r w:rsidR="00F31FED" w:rsidRPr="00174283">
        <w:rPr>
          <w:lang w:val="fr-FR"/>
        </w:rPr>
        <w:t>a</w:t>
      </w:r>
      <w:r w:rsidR="006822B6" w:rsidRPr="00174283">
        <w:rPr>
          <w:lang w:val="fr-FR"/>
        </w:rPr>
        <w:t>ignants, sous certaines conditions.</w:t>
      </w:r>
      <w:r w:rsidR="00490E24" w:rsidRPr="00174283">
        <w:rPr>
          <w:lang w:val="fr-FR"/>
        </w:rPr>
        <w:t xml:space="preserve"> </w:t>
      </w:r>
      <w:r w:rsidR="00A72633" w:rsidRPr="00174283">
        <w:rPr>
          <w:lang w:val="fr-FR"/>
        </w:rPr>
        <w:t>La loi envisage également la création d</w:t>
      </w:r>
      <w:r w:rsidR="00205A62">
        <w:rPr>
          <w:lang w:val="fr-FR"/>
        </w:rPr>
        <w:t>’</w:t>
      </w:r>
      <w:r w:rsidR="00A72633" w:rsidRPr="00174283">
        <w:rPr>
          <w:lang w:val="fr-FR"/>
        </w:rPr>
        <w:t>une Commission pour la protection contre la discrimination</w:t>
      </w:r>
      <w:r w:rsidR="00490E24" w:rsidRPr="00174283">
        <w:rPr>
          <w:lang w:val="fr-FR"/>
        </w:rPr>
        <w:t xml:space="preserve">. </w:t>
      </w:r>
      <w:r w:rsidR="001A78A1" w:rsidRPr="00174283">
        <w:rPr>
          <w:lang w:val="fr-FR"/>
        </w:rPr>
        <w:t>Elle revêt une importance particulière pour la République de Macédoine car il s</w:t>
      </w:r>
      <w:r w:rsidR="00205A62">
        <w:rPr>
          <w:lang w:val="fr-FR"/>
        </w:rPr>
        <w:t>’</w:t>
      </w:r>
      <w:r w:rsidR="001A78A1" w:rsidRPr="00174283">
        <w:rPr>
          <w:lang w:val="fr-FR"/>
        </w:rPr>
        <w:t xml:space="preserve">agit </w:t>
      </w:r>
      <w:r w:rsidR="00346AC1" w:rsidRPr="00174283">
        <w:rPr>
          <w:lang w:val="fr-FR"/>
        </w:rPr>
        <w:t xml:space="preserve">de la première loi </w:t>
      </w:r>
      <w:r w:rsidR="00F31FED" w:rsidRPr="00174283">
        <w:rPr>
          <w:lang w:val="fr-FR"/>
        </w:rPr>
        <w:t xml:space="preserve">à </w:t>
      </w:r>
      <w:r w:rsidR="006F3B9F" w:rsidRPr="00174283">
        <w:rPr>
          <w:lang w:val="fr-FR"/>
        </w:rPr>
        <w:t>consacr</w:t>
      </w:r>
      <w:r w:rsidR="00F31FED" w:rsidRPr="00174283">
        <w:rPr>
          <w:lang w:val="fr-FR"/>
        </w:rPr>
        <w:t xml:space="preserve">er </w:t>
      </w:r>
      <w:r w:rsidR="00B11D19" w:rsidRPr="00174283">
        <w:rPr>
          <w:lang w:val="fr-FR"/>
        </w:rPr>
        <w:t>l</w:t>
      </w:r>
      <w:r w:rsidR="00205A62">
        <w:rPr>
          <w:lang w:val="fr-FR"/>
        </w:rPr>
        <w:t>’</w:t>
      </w:r>
      <w:r w:rsidR="00EB63F7" w:rsidRPr="00174283">
        <w:rPr>
          <w:lang w:val="fr-FR"/>
        </w:rPr>
        <w:t>interdiction générale de la discrimination</w:t>
      </w:r>
      <w:r w:rsidR="00346AC1" w:rsidRPr="00174283">
        <w:rPr>
          <w:lang w:val="fr-FR"/>
        </w:rPr>
        <w:t>.</w:t>
      </w:r>
    </w:p>
    <w:p w:rsidR="00A12C01" w:rsidRPr="00174283" w:rsidRDefault="00C80393" w:rsidP="00C80393">
      <w:pPr>
        <w:pStyle w:val="SingleTxtG"/>
        <w:rPr>
          <w:lang w:val="fr-FR"/>
        </w:rPr>
      </w:pPr>
      <w:r>
        <w:rPr>
          <w:lang w:val="fr-FR"/>
        </w:rPr>
        <w:t>11.</w:t>
      </w:r>
      <w:r>
        <w:rPr>
          <w:lang w:val="fr-FR"/>
        </w:rPr>
        <w:tab/>
      </w:r>
      <w:r w:rsidR="00986875" w:rsidRPr="00174283">
        <w:rPr>
          <w:lang w:val="fr-FR"/>
        </w:rPr>
        <w:t>En plus</w:t>
      </w:r>
      <w:r w:rsidR="00AD5458" w:rsidRPr="00174283">
        <w:rPr>
          <w:lang w:val="fr-FR"/>
        </w:rPr>
        <w:t xml:space="preserve"> de cette loi</w:t>
      </w:r>
      <w:r w:rsidR="007E133B" w:rsidRPr="00174283">
        <w:rPr>
          <w:lang w:val="fr-FR"/>
        </w:rPr>
        <w:t xml:space="preserve"> et avant son adoption</w:t>
      </w:r>
      <w:r w:rsidR="00490E24" w:rsidRPr="00174283">
        <w:rPr>
          <w:lang w:val="fr-FR"/>
        </w:rPr>
        <w:t xml:space="preserve">, </w:t>
      </w:r>
      <w:r w:rsidR="00AD5458" w:rsidRPr="00174283">
        <w:rPr>
          <w:lang w:val="fr-FR"/>
        </w:rPr>
        <w:t xml:space="preserve">plusieurs </w:t>
      </w:r>
      <w:r w:rsidR="00D45493" w:rsidRPr="00174283">
        <w:rPr>
          <w:lang w:val="fr-FR"/>
        </w:rPr>
        <w:t xml:space="preserve">autres </w:t>
      </w:r>
      <w:r w:rsidR="00BE27A9" w:rsidRPr="00174283">
        <w:rPr>
          <w:lang w:val="fr-FR"/>
        </w:rPr>
        <w:t xml:space="preserve">textes de loi </w:t>
      </w:r>
      <w:r w:rsidR="003B0975" w:rsidRPr="00174283">
        <w:rPr>
          <w:lang w:val="fr-FR"/>
        </w:rPr>
        <w:t>permettaient</w:t>
      </w:r>
      <w:r w:rsidR="007E133B" w:rsidRPr="00174283">
        <w:rPr>
          <w:lang w:val="fr-FR"/>
        </w:rPr>
        <w:t xml:space="preserve"> </w:t>
      </w:r>
      <w:r w:rsidR="00AD6ED8" w:rsidRPr="00174283">
        <w:rPr>
          <w:lang w:val="fr-FR"/>
        </w:rPr>
        <w:t>de lutter contre certaines formes de discrimination</w:t>
      </w:r>
      <w:r w:rsidR="002E4BF5" w:rsidRPr="00174283">
        <w:rPr>
          <w:lang w:val="fr-FR"/>
        </w:rPr>
        <w:t>,</w:t>
      </w:r>
      <w:r w:rsidR="00AD6ED8" w:rsidRPr="00174283">
        <w:rPr>
          <w:lang w:val="fr-FR"/>
        </w:rPr>
        <w:t xml:space="preserve"> dans </w:t>
      </w:r>
      <w:r w:rsidR="007E133B" w:rsidRPr="00174283">
        <w:rPr>
          <w:lang w:val="fr-FR"/>
        </w:rPr>
        <w:t>diver</w:t>
      </w:r>
      <w:r w:rsidR="00AD6ED8" w:rsidRPr="00174283">
        <w:rPr>
          <w:lang w:val="fr-FR"/>
        </w:rPr>
        <w:t xml:space="preserve">s domaines. Ces lois peuvent être divisées en deux groupes. Le premier comprend les lois qui proscrivent la </w:t>
      </w:r>
      <w:r w:rsidR="00490E24" w:rsidRPr="00174283">
        <w:rPr>
          <w:lang w:val="fr-FR"/>
        </w:rPr>
        <w:t xml:space="preserve">discrimination </w:t>
      </w:r>
      <w:r w:rsidR="00AD6ED8" w:rsidRPr="00174283">
        <w:rPr>
          <w:lang w:val="fr-FR"/>
        </w:rPr>
        <w:t xml:space="preserve">dans </w:t>
      </w:r>
      <w:r w:rsidR="002E4BF5" w:rsidRPr="00174283">
        <w:rPr>
          <w:lang w:val="fr-FR"/>
        </w:rPr>
        <w:t>les domaines spécifiques qu</w:t>
      </w:r>
      <w:r w:rsidR="00205A62">
        <w:rPr>
          <w:lang w:val="fr-FR"/>
        </w:rPr>
        <w:t>’</w:t>
      </w:r>
      <w:r w:rsidR="002E4BF5" w:rsidRPr="00174283">
        <w:rPr>
          <w:lang w:val="fr-FR"/>
        </w:rPr>
        <w:t>elles règlementent</w:t>
      </w:r>
      <w:r w:rsidR="002F51DC">
        <w:rPr>
          <w:lang w:val="fr-FR"/>
        </w:rPr>
        <w:t>:</w:t>
      </w:r>
      <w:r w:rsidR="00490E24" w:rsidRPr="00174283">
        <w:rPr>
          <w:lang w:val="fr-FR"/>
        </w:rPr>
        <w:t xml:space="preserve"> </w:t>
      </w:r>
      <w:r w:rsidR="00580B8B" w:rsidRPr="00174283">
        <w:rPr>
          <w:lang w:val="fr-FR"/>
        </w:rPr>
        <w:t xml:space="preserve">loi sur les relations </w:t>
      </w:r>
      <w:r w:rsidR="002F57B0" w:rsidRPr="00174283">
        <w:rPr>
          <w:lang w:val="fr-FR"/>
        </w:rPr>
        <w:t>professionnelles</w:t>
      </w:r>
      <w:r w:rsidR="00490E24" w:rsidRPr="00174283">
        <w:rPr>
          <w:lang w:val="fr-FR"/>
        </w:rPr>
        <w:t xml:space="preserve">, </w:t>
      </w:r>
      <w:r w:rsidR="00580B8B" w:rsidRPr="00174283">
        <w:rPr>
          <w:lang w:val="fr-FR"/>
        </w:rPr>
        <w:t>loi sur la protection sociale, loi su</w:t>
      </w:r>
      <w:r w:rsidR="006D7BA0" w:rsidRPr="00174283">
        <w:rPr>
          <w:lang w:val="fr-FR"/>
        </w:rPr>
        <w:t>r les soins de santé, loi sur l</w:t>
      </w:r>
      <w:r w:rsidR="00205A62">
        <w:rPr>
          <w:lang w:val="fr-FR"/>
        </w:rPr>
        <w:t>’</w:t>
      </w:r>
      <w:r w:rsidR="00580B8B" w:rsidRPr="00174283">
        <w:rPr>
          <w:lang w:val="fr-FR"/>
        </w:rPr>
        <w:t>assurance maladie, loi sur la santé mentale, loi sur la protection des droits des patients, loi sur l</w:t>
      </w:r>
      <w:r w:rsidR="00205A62">
        <w:rPr>
          <w:lang w:val="fr-FR"/>
        </w:rPr>
        <w:t>’</w:t>
      </w:r>
      <w:r w:rsidR="00580B8B" w:rsidRPr="00174283">
        <w:rPr>
          <w:lang w:val="fr-FR"/>
        </w:rPr>
        <w:t>enseignement primaire, loi sur l</w:t>
      </w:r>
      <w:r w:rsidR="00205A62">
        <w:rPr>
          <w:lang w:val="fr-FR"/>
        </w:rPr>
        <w:t>’</w:t>
      </w:r>
      <w:r w:rsidR="00580B8B" w:rsidRPr="00174283">
        <w:rPr>
          <w:lang w:val="fr-FR"/>
        </w:rPr>
        <w:t>enseignement secondaire,</w:t>
      </w:r>
      <w:r w:rsidR="000103B5" w:rsidRPr="00174283">
        <w:rPr>
          <w:lang w:val="fr-FR"/>
        </w:rPr>
        <w:t xml:space="preserve"> loi sur l</w:t>
      </w:r>
      <w:r w:rsidR="00205A62">
        <w:rPr>
          <w:lang w:val="fr-FR"/>
        </w:rPr>
        <w:t>’</w:t>
      </w:r>
      <w:r w:rsidR="000103B5" w:rsidRPr="00174283">
        <w:rPr>
          <w:lang w:val="fr-FR"/>
        </w:rPr>
        <w:t>enseignement universitaire, loi sur le bénévolat, loi sur la santé publique, loi sur les tribunaux, loi relative à l</w:t>
      </w:r>
      <w:r w:rsidR="00205A62">
        <w:rPr>
          <w:lang w:val="fr-FR"/>
        </w:rPr>
        <w:t>’</w:t>
      </w:r>
      <w:r w:rsidR="000103B5" w:rsidRPr="00174283">
        <w:rPr>
          <w:lang w:val="fr-FR"/>
        </w:rPr>
        <w:t>égalité des chances entre les femmes et les hommes</w:t>
      </w:r>
      <w:r w:rsidR="00490E24" w:rsidRPr="00174283">
        <w:rPr>
          <w:lang w:val="fr-FR"/>
        </w:rPr>
        <w:t xml:space="preserve">, </w:t>
      </w:r>
      <w:r w:rsidR="00580B8B" w:rsidRPr="00174283">
        <w:rPr>
          <w:lang w:val="fr-FR"/>
        </w:rPr>
        <w:t>loi sur l</w:t>
      </w:r>
      <w:r w:rsidR="00205A62">
        <w:rPr>
          <w:lang w:val="fr-FR"/>
        </w:rPr>
        <w:t>’</w:t>
      </w:r>
      <w:r w:rsidR="00580B8B" w:rsidRPr="00174283">
        <w:rPr>
          <w:lang w:val="fr-FR"/>
        </w:rPr>
        <w:t>utilisation des langues</w:t>
      </w:r>
      <w:r w:rsidR="00490E24" w:rsidRPr="00174283">
        <w:rPr>
          <w:lang w:val="fr-FR"/>
        </w:rPr>
        <w:t xml:space="preserve">, </w:t>
      </w:r>
      <w:r w:rsidR="000103B5" w:rsidRPr="00174283">
        <w:rPr>
          <w:lang w:val="fr-FR"/>
        </w:rPr>
        <w:t>loi sur l</w:t>
      </w:r>
      <w:r w:rsidR="00205A62">
        <w:rPr>
          <w:lang w:val="fr-FR"/>
        </w:rPr>
        <w:t>’</w:t>
      </w:r>
      <w:r w:rsidR="000103B5" w:rsidRPr="00174283">
        <w:rPr>
          <w:lang w:val="fr-FR"/>
        </w:rPr>
        <w:t>utilisation des drapeaux des communautés</w:t>
      </w:r>
      <w:r w:rsidR="007E133B" w:rsidRPr="00174283">
        <w:rPr>
          <w:lang w:val="fr-FR"/>
        </w:rPr>
        <w:t xml:space="preserve"> de la République de Macédoine</w:t>
      </w:r>
      <w:r w:rsidR="000103B5" w:rsidRPr="00174283">
        <w:rPr>
          <w:lang w:val="fr-FR"/>
        </w:rPr>
        <w:t xml:space="preserve"> </w:t>
      </w:r>
      <w:r w:rsidR="000A5988" w:rsidRPr="00174283">
        <w:rPr>
          <w:lang w:val="fr-FR"/>
        </w:rPr>
        <w:t>et autres lois similaires.</w:t>
      </w:r>
    </w:p>
    <w:p w:rsidR="00A12C01" w:rsidRPr="00174283" w:rsidRDefault="00C80393" w:rsidP="00C80393">
      <w:pPr>
        <w:pStyle w:val="SingleTxtG"/>
        <w:rPr>
          <w:lang w:val="fr-FR"/>
        </w:rPr>
      </w:pPr>
      <w:r>
        <w:rPr>
          <w:lang w:val="fr-FR"/>
        </w:rPr>
        <w:t>12.</w:t>
      </w:r>
      <w:r>
        <w:rPr>
          <w:lang w:val="fr-FR"/>
        </w:rPr>
        <w:tab/>
      </w:r>
      <w:r w:rsidR="002E4BF5" w:rsidRPr="00174283">
        <w:rPr>
          <w:lang w:val="fr-FR"/>
        </w:rPr>
        <w:t xml:space="preserve">Le second groupe comprend les lois </w:t>
      </w:r>
      <w:r w:rsidR="00781E1B" w:rsidRPr="00174283">
        <w:rPr>
          <w:lang w:val="fr-FR"/>
        </w:rPr>
        <w:t xml:space="preserve">qui </w:t>
      </w:r>
      <w:r w:rsidR="008E7CD0" w:rsidRPr="00174283">
        <w:rPr>
          <w:lang w:val="fr-FR"/>
        </w:rPr>
        <w:t>sanctionnent</w:t>
      </w:r>
      <w:r w:rsidR="00781E1B" w:rsidRPr="00174283">
        <w:rPr>
          <w:lang w:val="fr-FR"/>
        </w:rPr>
        <w:t xml:space="preserve"> les</w:t>
      </w:r>
      <w:r w:rsidR="002E4BF5" w:rsidRPr="00174283">
        <w:rPr>
          <w:lang w:val="fr-FR"/>
        </w:rPr>
        <w:t xml:space="preserve"> délits</w:t>
      </w:r>
      <w:r w:rsidR="00310915" w:rsidRPr="00174283">
        <w:rPr>
          <w:lang w:val="fr-FR"/>
        </w:rPr>
        <w:t xml:space="preserve"> et infractions </w:t>
      </w:r>
      <w:r w:rsidR="0082625D" w:rsidRPr="00174283">
        <w:rPr>
          <w:lang w:val="fr-FR"/>
        </w:rPr>
        <w:t>à caractère discriminatoire</w:t>
      </w:r>
      <w:r w:rsidR="00781E1B" w:rsidRPr="00174283">
        <w:rPr>
          <w:lang w:val="fr-FR"/>
        </w:rPr>
        <w:t>,</w:t>
      </w:r>
      <w:r w:rsidR="00BA707A" w:rsidRPr="00174283">
        <w:rPr>
          <w:lang w:val="fr-FR"/>
        </w:rPr>
        <w:t xml:space="preserve"> les lois relevant du droit procédural</w:t>
      </w:r>
      <w:r w:rsidR="00781E1B" w:rsidRPr="00174283">
        <w:rPr>
          <w:lang w:val="fr-FR"/>
        </w:rPr>
        <w:t xml:space="preserve"> et les lois relatives aux institutions compétentes dans ce domaine, à savoir le code pénal</w:t>
      </w:r>
      <w:r w:rsidR="005A0722" w:rsidRPr="00174283">
        <w:rPr>
          <w:lang w:val="fr-FR"/>
        </w:rPr>
        <w:t>, la loi sur les infractions mineures</w:t>
      </w:r>
      <w:r w:rsidR="00490E24" w:rsidRPr="00174283">
        <w:rPr>
          <w:lang w:val="fr-FR"/>
        </w:rPr>
        <w:t xml:space="preserve">, </w:t>
      </w:r>
      <w:r w:rsidR="005A0722" w:rsidRPr="00174283">
        <w:rPr>
          <w:lang w:val="fr-FR"/>
        </w:rPr>
        <w:t>la loi relative à la procédure civile</w:t>
      </w:r>
      <w:r w:rsidR="00490E24" w:rsidRPr="00174283">
        <w:rPr>
          <w:lang w:val="fr-FR"/>
        </w:rPr>
        <w:t xml:space="preserve">, </w:t>
      </w:r>
      <w:r w:rsidR="005A0722" w:rsidRPr="00174283">
        <w:rPr>
          <w:lang w:val="fr-FR"/>
        </w:rPr>
        <w:t>la loi relative à la procédure pénale, la loi relative à la procédure administrative et la loi</w:t>
      </w:r>
      <w:r w:rsidR="00E944C4" w:rsidRPr="00174283">
        <w:rPr>
          <w:lang w:val="fr-FR"/>
        </w:rPr>
        <w:t xml:space="preserve"> relative au Médiateur</w:t>
      </w:r>
      <w:r w:rsidR="00A12C01" w:rsidRPr="00174283">
        <w:rPr>
          <w:lang w:val="fr-FR"/>
        </w:rPr>
        <w:t>.</w:t>
      </w:r>
    </w:p>
    <w:p w:rsidR="00A12C01" w:rsidRPr="00174283" w:rsidRDefault="00C80393" w:rsidP="00C80393">
      <w:pPr>
        <w:pStyle w:val="SingleTxtG"/>
        <w:rPr>
          <w:lang w:val="fr-FR"/>
        </w:rPr>
      </w:pPr>
      <w:r>
        <w:rPr>
          <w:lang w:val="fr-FR"/>
        </w:rPr>
        <w:t>13.</w:t>
      </w:r>
      <w:r>
        <w:rPr>
          <w:lang w:val="fr-FR"/>
        </w:rPr>
        <w:tab/>
      </w:r>
      <w:r w:rsidR="00A2216A" w:rsidRPr="00174283">
        <w:rPr>
          <w:lang w:val="fr-FR"/>
        </w:rPr>
        <w:t xml:space="preserve">En plus de la législation nationale, la </w:t>
      </w:r>
      <w:r w:rsidR="003E32BB" w:rsidRPr="00174283">
        <w:rPr>
          <w:lang w:val="fr-FR"/>
        </w:rPr>
        <w:t xml:space="preserve">Macédoine </w:t>
      </w:r>
      <w:r w:rsidR="00784148" w:rsidRPr="00174283">
        <w:rPr>
          <w:lang w:val="fr-FR"/>
        </w:rPr>
        <w:t>a souscrit d</w:t>
      </w:r>
      <w:r w:rsidR="00205A62">
        <w:rPr>
          <w:lang w:val="fr-FR"/>
        </w:rPr>
        <w:t>’</w:t>
      </w:r>
      <w:r w:rsidR="00784148" w:rsidRPr="00174283">
        <w:rPr>
          <w:lang w:val="fr-FR"/>
        </w:rPr>
        <w:t xml:space="preserve">autres engagements en vertu </w:t>
      </w:r>
      <w:r w:rsidR="009A06FF" w:rsidRPr="00174283">
        <w:rPr>
          <w:lang w:val="fr-FR"/>
        </w:rPr>
        <w:t>des systèmes universels, régionaux et locaux de protection des droits de l</w:t>
      </w:r>
      <w:r w:rsidR="00205A62">
        <w:rPr>
          <w:lang w:val="fr-FR"/>
        </w:rPr>
        <w:t>’</w:t>
      </w:r>
      <w:r w:rsidR="009A06FF" w:rsidRPr="00174283">
        <w:rPr>
          <w:lang w:val="fr-FR"/>
        </w:rPr>
        <w:t xml:space="preserve">homme </w:t>
      </w:r>
      <w:r w:rsidR="00575600" w:rsidRPr="00174283">
        <w:rPr>
          <w:lang w:val="fr-FR"/>
        </w:rPr>
        <w:t>(</w:t>
      </w:r>
      <w:r w:rsidR="003E32BB" w:rsidRPr="00174283">
        <w:rPr>
          <w:lang w:val="fr-FR"/>
        </w:rPr>
        <w:t>voir</w:t>
      </w:r>
      <w:r w:rsidR="00490E24" w:rsidRPr="00174283">
        <w:rPr>
          <w:lang w:val="fr-FR"/>
        </w:rPr>
        <w:t xml:space="preserve"> Part</w:t>
      </w:r>
      <w:r w:rsidR="00A2216A" w:rsidRPr="00174283">
        <w:rPr>
          <w:lang w:val="fr-FR"/>
        </w:rPr>
        <w:t>ie</w:t>
      </w:r>
      <w:r w:rsidR="00490E24" w:rsidRPr="00174283">
        <w:rPr>
          <w:lang w:val="fr-FR"/>
        </w:rPr>
        <w:t xml:space="preserve"> 2 </w:t>
      </w:r>
      <w:r w:rsidR="00A2216A" w:rsidRPr="00174283">
        <w:rPr>
          <w:lang w:val="fr-FR"/>
        </w:rPr>
        <w:t>du</w:t>
      </w:r>
      <w:r w:rsidR="00575600" w:rsidRPr="00174283">
        <w:rPr>
          <w:lang w:val="fr-FR"/>
        </w:rPr>
        <w:t xml:space="preserve"> </w:t>
      </w:r>
      <w:r w:rsidR="00A2216A" w:rsidRPr="00174283">
        <w:rPr>
          <w:lang w:val="fr-FR"/>
        </w:rPr>
        <w:t>Document de base actualis</w:t>
      </w:r>
      <w:r w:rsidR="003E32BB" w:rsidRPr="00174283">
        <w:rPr>
          <w:lang w:val="fr-FR"/>
        </w:rPr>
        <w:t>é</w:t>
      </w:r>
      <w:r w:rsidR="00A2216A" w:rsidRPr="00174283">
        <w:rPr>
          <w:lang w:val="fr-FR"/>
        </w:rPr>
        <w:t xml:space="preserve"> </w:t>
      </w:r>
      <w:r w:rsidR="00F612CD" w:rsidRPr="00174283">
        <w:rPr>
          <w:lang w:val="fr-FR"/>
        </w:rPr>
        <w:t>–</w:t>
      </w:r>
      <w:r w:rsidR="00575600" w:rsidRPr="00174283">
        <w:rPr>
          <w:lang w:val="fr-FR"/>
        </w:rPr>
        <w:t> </w:t>
      </w:r>
      <w:r w:rsidR="00490E24" w:rsidRPr="00174283">
        <w:rPr>
          <w:rFonts w:eastAsia="Arial"/>
          <w:lang w:val="fr-FR"/>
        </w:rPr>
        <w:t xml:space="preserve">2. </w:t>
      </w:r>
      <w:r w:rsidR="003E32BB" w:rsidRPr="00174283">
        <w:rPr>
          <w:rFonts w:eastAsia="Arial"/>
          <w:lang w:val="fr-FR"/>
        </w:rPr>
        <w:t>Cadre général de la protection et de la promotion des droits de l</w:t>
      </w:r>
      <w:r w:rsidR="00205A62">
        <w:rPr>
          <w:rFonts w:eastAsia="Arial"/>
          <w:lang w:val="fr-FR"/>
        </w:rPr>
        <w:t>’</w:t>
      </w:r>
      <w:r w:rsidR="003E32BB" w:rsidRPr="00174283">
        <w:rPr>
          <w:rFonts w:eastAsia="Arial"/>
          <w:lang w:val="fr-FR"/>
        </w:rPr>
        <w:t>homme</w:t>
      </w:r>
      <w:r w:rsidR="00490E24" w:rsidRPr="00174283">
        <w:rPr>
          <w:lang w:val="fr-FR"/>
        </w:rPr>
        <w:t xml:space="preserve">; </w:t>
      </w:r>
      <w:r w:rsidR="00490E24" w:rsidRPr="00174283">
        <w:rPr>
          <w:rFonts w:eastAsia="Arial"/>
          <w:lang w:val="fr-FR"/>
        </w:rPr>
        <w:t>C</w:t>
      </w:r>
      <w:r w:rsidR="00A12C01" w:rsidRPr="00174283">
        <w:rPr>
          <w:rFonts w:eastAsia="Arial"/>
          <w:lang w:val="fr-FR"/>
        </w:rPr>
        <w:t>. </w:t>
      </w:r>
      <w:r w:rsidR="003E32BB" w:rsidRPr="00174283">
        <w:rPr>
          <w:rFonts w:eastAsia="Arial"/>
          <w:lang w:val="fr-FR"/>
        </w:rPr>
        <w:t>Acceptation des normes internationales relatives aux droits de l</w:t>
      </w:r>
      <w:r w:rsidR="00205A62">
        <w:rPr>
          <w:rFonts w:eastAsia="Arial"/>
          <w:lang w:val="fr-FR"/>
        </w:rPr>
        <w:t>’</w:t>
      </w:r>
      <w:r w:rsidR="003E32BB" w:rsidRPr="00174283">
        <w:rPr>
          <w:rFonts w:eastAsia="Arial"/>
          <w:lang w:val="fr-FR"/>
        </w:rPr>
        <w:t>homme</w:t>
      </w:r>
      <w:r w:rsidR="00490E24" w:rsidRPr="00174283">
        <w:rPr>
          <w:rFonts w:eastAsia="Arial"/>
          <w:lang w:val="fr-FR"/>
        </w:rPr>
        <w:t>).</w:t>
      </w:r>
    </w:p>
    <w:p w:rsidR="00490E24" w:rsidRPr="00174283" w:rsidRDefault="00C80393" w:rsidP="00C80393">
      <w:pPr>
        <w:pStyle w:val="SingleTxtG"/>
        <w:rPr>
          <w:lang w:val="fr-FR"/>
        </w:rPr>
      </w:pPr>
      <w:r>
        <w:rPr>
          <w:lang w:val="fr-FR"/>
        </w:rPr>
        <w:t>14.</w:t>
      </w:r>
      <w:r>
        <w:rPr>
          <w:lang w:val="fr-FR"/>
        </w:rPr>
        <w:tab/>
      </w:r>
      <w:r w:rsidR="00BA56DF" w:rsidRPr="00174283">
        <w:rPr>
          <w:lang w:val="fr-FR"/>
        </w:rPr>
        <w:t>Outre les</w:t>
      </w:r>
      <w:r w:rsidR="00D6151F" w:rsidRPr="00174283">
        <w:rPr>
          <w:lang w:val="fr-FR"/>
        </w:rPr>
        <w:t xml:space="preserve"> engagements auxquels elle a souscrits en adhérant au Conseil de l</w:t>
      </w:r>
      <w:r w:rsidR="00205A62">
        <w:rPr>
          <w:lang w:val="fr-FR"/>
        </w:rPr>
        <w:t>’</w:t>
      </w:r>
      <w:r w:rsidR="00D6151F" w:rsidRPr="00174283">
        <w:rPr>
          <w:lang w:val="fr-FR"/>
        </w:rPr>
        <w:t>Europe et aux Nations Unies</w:t>
      </w:r>
      <w:r w:rsidR="00490E24" w:rsidRPr="00174283">
        <w:rPr>
          <w:lang w:val="fr-FR"/>
        </w:rPr>
        <w:t xml:space="preserve">, </w:t>
      </w:r>
      <w:r w:rsidR="00071D79" w:rsidRPr="00174283">
        <w:rPr>
          <w:lang w:val="fr-FR"/>
        </w:rPr>
        <w:t>et en sa qualité de candidate à l</w:t>
      </w:r>
      <w:r w:rsidR="00205A62">
        <w:rPr>
          <w:lang w:val="fr-FR"/>
        </w:rPr>
        <w:t>’</w:t>
      </w:r>
      <w:r w:rsidR="00071D79" w:rsidRPr="00174283">
        <w:rPr>
          <w:lang w:val="fr-FR"/>
        </w:rPr>
        <w:t>adhésion à l</w:t>
      </w:r>
      <w:r w:rsidR="00205A62">
        <w:rPr>
          <w:lang w:val="fr-FR"/>
        </w:rPr>
        <w:t>’</w:t>
      </w:r>
      <w:r w:rsidR="00071D79" w:rsidRPr="00174283">
        <w:rPr>
          <w:lang w:val="fr-FR"/>
        </w:rPr>
        <w:t xml:space="preserve">Union européenne, la Macédoine est tenue de mettre sa législation en pleine conformité </w:t>
      </w:r>
      <w:r w:rsidR="00344387" w:rsidRPr="00174283">
        <w:rPr>
          <w:lang w:val="fr-FR"/>
        </w:rPr>
        <w:t>avec l</w:t>
      </w:r>
      <w:r w:rsidR="00205A62">
        <w:rPr>
          <w:lang w:val="fr-FR"/>
        </w:rPr>
        <w:t>’</w:t>
      </w:r>
      <w:r w:rsidR="00344387" w:rsidRPr="00174283">
        <w:rPr>
          <w:lang w:val="fr-FR"/>
        </w:rPr>
        <w:t>acquis communautaire qui prévoit l</w:t>
      </w:r>
      <w:r w:rsidR="00205A62">
        <w:rPr>
          <w:lang w:val="fr-FR"/>
        </w:rPr>
        <w:t>’</w:t>
      </w:r>
      <w:r w:rsidR="00344387" w:rsidRPr="00174283">
        <w:rPr>
          <w:lang w:val="fr-FR"/>
        </w:rPr>
        <w:t xml:space="preserve">interdiction de la </w:t>
      </w:r>
      <w:r w:rsidR="00490E24" w:rsidRPr="00174283">
        <w:rPr>
          <w:lang w:val="fr-FR"/>
        </w:rPr>
        <w:t>discrimination (</w:t>
      </w:r>
      <w:r w:rsidR="00BA56DF" w:rsidRPr="00174283">
        <w:rPr>
          <w:lang w:val="fr-FR"/>
        </w:rPr>
        <w:t>conformément aux</w:t>
      </w:r>
      <w:r w:rsidR="00344387" w:rsidRPr="00174283">
        <w:rPr>
          <w:lang w:val="fr-FR"/>
        </w:rPr>
        <w:t xml:space="preserve"> </w:t>
      </w:r>
      <w:r w:rsidR="00FC0029" w:rsidRPr="00174283">
        <w:rPr>
          <w:lang w:val="fr-FR"/>
        </w:rPr>
        <w:t>d</w:t>
      </w:r>
      <w:r w:rsidR="00490E24" w:rsidRPr="00174283">
        <w:rPr>
          <w:lang w:val="fr-FR"/>
        </w:rPr>
        <w:t>irective</w:t>
      </w:r>
      <w:r w:rsidR="00FC0029" w:rsidRPr="00174283">
        <w:rPr>
          <w:lang w:val="fr-FR"/>
        </w:rPr>
        <w:t>s</w:t>
      </w:r>
      <w:r w:rsidR="00F104B6" w:rsidRPr="00174283">
        <w:rPr>
          <w:lang w:val="fr-FR"/>
        </w:rPr>
        <w:t xml:space="preserve"> </w:t>
      </w:r>
      <w:r w:rsidR="001206F9">
        <w:rPr>
          <w:lang w:val="fr-FR"/>
        </w:rPr>
        <w:t xml:space="preserve">du Conseil </w:t>
      </w:r>
      <w:r w:rsidR="00490E24" w:rsidRPr="00174283">
        <w:rPr>
          <w:lang w:val="fr-FR"/>
        </w:rPr>
        <w:t>2000/43/</w:t>
      </w:r>
      <w:r w:rsidR="00344387" w:rsidRPr="00174283">
        <w:rPr>
          <w:lang w:val="fr-FR"/>
        </w:rPr>
        <w:t>CE et</w:t>
      </w:r>
      <w:r w:rsidR="00490E24" w:rsidRPr="00174283">
        <w:rPr>
          <w:lang w:val="fr-FR"/>
        </w:rPr>
        <w:t xml:space="preserve"> 2000/78/</w:t>
      </w:r>
      <w:r w:rsidR="00344387" w:rsidRPr="00174283">
        <w:rPr>
          <w:lang w:val="fr-FR"/>
        </w:rPr>
        <w:t>CE</w:t>
      </w:r>
      <w:r w:rsidR="005862FE">
        <w:rPr>
          <w:lang w:val="fr-FR"/>
        </w:rPr>
        <w:t xml:space="preserve"> interdisant la discrimination,</w:t>
      </w:r>
      <w:r w:rsidR="00344387" w:rsidRPr="00174283">
        <w:rPr>
          <w:lang w:val="fr-FR"/>
        </w:rPr>
        <w:t xml:space="preserve"> </w:t>
      </w:r>
      <w:r w:rsidR="00AD3318" w:rsidRPr="00174283">
        <w:rPr>
          <w:lang w:val="fr-FR"/>
        </w:rPr>
        <w:t>aux</w:t>
      </w:r>
      <w:r w:rsidR="00344387" w:rsidRPr="00174283">
        <w:rPr>
          <w:lang w:val="fr-FR"/>
        </w:rPr>
        <w:t xml:space="preserve"> directives</w:t>
      </w:r>
      <w:r w:rsidR="001206F9">
        <w:rPr>
          <w:lang w:val="fr-FR"/>
        </w:rPr>
        <w:t xml:space="preserve"> du Conseil</w:t>
      </w:r>
      <w:r w:rsidR="00B91634" w:rsidRPr="00174283">
        <w:rPr>
          <w:lang w:val="fr-FR"/>
        </w:rPr>
        <w:t xml:space="preserve"> </w:t>
      </w:r>
      <w:r w:rsidR="00B91634" w:rsidRPr="00174283">
        <w:rPr>
          <w:iCs/>
          <w:lang w:val="fr-FR"/>
        </w:rPr>
        <w:t>2004/113/CE</w:t>
      </w:r>
      <w:r w:rsidR="00B91634" w:rsidRPr="00174283">
        <w:rPr>
          <w:lang w:val="fr-FR"/>
        </w:rPr>
        <w:t xml:space="preserve"> et 2006/54/CE </w:t>
      </w:r>
      <w:r w:rsidR="005C6A5F" w:rsidRPr="00174283">
        <w:rPr>
          <w:lang w:val="fr-FR"/>
        </w:rPr>
        <w:t>relatives à l</w:t>
      </w:r>
      <w:r w:rsidR="00205A62">
        <w:rPr>
          <w:lang w:val="fr-FR"/>
        </w:rPr>
        <w:t>’</w:t>
      </w:r>
      <w:r w:rsidR="005C6A5F" w:rsidRPr="00174283">
        <w:rPr>
          <w:lang w:val="fr-FR"/>
        </w:rPr>
        <w:t>interdiction de la discrimination fondée sur le sexe</w:t>
      </w:r>
      <w:r w:rsidR="00973B01" w:rsidRPr="00174283">
        <w:rPr>
          <w:lang w:val="fr-FR"/>
        </w:rPr>
        <w:t>, ainsi qu</w:t>
      </w:r>
      <w:r w:rsidR="00205A62">
        <w:rPr>
          <w:lang w:val="fr-FR"/>
        </w:rPr>
        <w:t>’</w:t>
      </w:r>
      <w:r w:rsidR="00AD3318" w:rsidRPr="00174283">
        <w:rPr>
          <w:lang w:val="fr-FR"/>
        </w:rPr>
        <w:t>à</w:t>
      </w:r>
      <w:r w:rsidR="00973B01" w:rsidRPr="00174283">
        <w:rPr>
          <w:lang w:val="fr-FR"/>
        </w:rPr>
        <w:t xml:space="preserve"> la </w:t>
      </w:r>
      <w:r w:rsidR="00484AF4" w:rsidRPr="00174283">
        <w:rPr>
          <w:lang w:val="fr-FR"/>
        </w:rPr>
        <w:t>Charte européenne des droits fondamentaux</w:t>
      </w:r>
      <w:r w:rsidR="00490E24" w:rsidRPr="00174283">
        <w:rPr>
          <w:lang w:val="fr-FR"/>
        </w:rPr>
        <w:t xml:space="preserve">, </w:t>
      </w:r>
      <w:r w:rsidR="00484AF4" w:rsidRPr="00174283">
        <w:rPr>
          <w:lang w:val="fr-FR"/>
        </w:rPr>
        <w:t xml:space="preserve">tout en </w:t>
      </w:r>
      <w:r w:rsidR="0074639B" w:rsidRPr="00174283">
        <w:rPr>
          <w:lang w:val="fr-FR"/>
        </w:rPr>
        <w:t>suivant les efforts en vue de l</w:t>
      </w:r>
      <w:r w:rsidR="00205A62">
        <w:rPr>
          <w:lang w:val="fr-FR"/>
        </w:rPr>
        <w:t>’</w:t>
      </w:r>
      <w:r w:rsidR="0074639B" w:rsidRPr="00174283">
        <w:rPr>
          <w:lang w:val="fr-FR"/>
        </w:rPr>
        <w:t xml:space="preserve">adoption du projet de directive horizontale </w:t>
      </w:r>
      <w:r w:rsidR="00AD3318" w:rsidRPr="00174283">
        <w:rPr>
          <w:lang w:val="fr-FR"/>
        </w:rPr>
        <w:t>pou</w:t>
      </w:r>
      <w:r w:rsidR="00973B01" w:rsidRPr="00174283">
        <w:rPr>
          <w:lang w:val="fr-FR"/>
        </w:rPr>
        <w:t>r l</w:t>
      </w:r>
      <w:r w:rsidR="00205A62">
        <w:rPr>
          <w:lang w:val="fr-FR"/>
        </w:rPr>
        <w:t>’</w:t>
      </w:r>
      <w:r w:rsidR="00973B01" w:rsidRPr="00174283">
        <w:rPr>
          <w:lang w:val="fr-FR"/>
        </w:rPr>
        <w:t>égalité de traitement</w:t>
      </w:r>
      <w:r w:rsidR="00490E24" w:rsidRPr="00174283">
        <w:rPr>
          <w:lang w:val="fr-FR"/>
        </w:rPr>
        <w:t>).</w:t>
      </w:r>
    </w:p>
    <w:p w:rsidR="00490E24" w:rsidRPr="00174283" w:rsidRDefault="00CB419C" w:rsidP="00CB419C">
      <w:pPr>
        <w:pStyle w:val="H23G"/>
        <w:rPr>
          <w:lang w:val="fr-FR"/>
        </w:rPr>
      </w:pPr>
      <w:r w:rsidRPr="00174283">
        <w:rPr>
          <w:lang w:val="fr-FR"/>
        </w:rPr>
        <w:tab/>
      </w:r>
      <w:r w:rsidR="005F4C93" w:rsidRPr="00174283">
        <w:rPr>
          <w:lang w:val="fr-FR"/>
        </w:rPr>
        <w:t>2</w:t>
      </w:r>
      <w:r w:rsidR="00490E24" w:rsidRPr="00174283">
        <w:rPr>
          <w:lang w:val="fr-FR"/>
        </w:rPr>
        <w:t>.</w:t>
      </w:r>
      <w:r w:rsidRPr="00174283">
        <w:rPr>
          <w:lang w:val="fr-FR"/>
        </w:rPr>
        <w:tab/>
      </w:r>
      <w:r w:rsidR="00EA316E" w:rsidRPr="00174283">
        <w:rPr>
          <w:lang w:val="fr-FR"/>
        </w:rPr>
        <w:t>Renseignements spécifiques et détaillés sur les mesures d</w:t>
      </w:r>
      <w:r w:rsidR="00205A62">
        <w:rPr>
          <w:lang w:val="fr-FR"/>
        </w:rPr>
        <w:t>’</w:t>
      </w:r>
      <w:r w:rsidR="00EA316E" w:rsidRPr="00174283">
        <w:rPr>
          <w:lang w:val="fr-FR"/>
        </w:rPr>
        <w:t>ordre législatif, judiciaire, administratif ou autre</w:t>
      </w:r>
    </w:p>
    <w:p w:rsidR="00A12C01" w:rsidRPr="00174283" w:rsidRDefault="00C80393" w:rsidP="00C80393">
      <w:pPr>
        <w:pStyle w:val="SingleTxtG"/>
        <w:rPr>
          <w:lang w:val="fr-FR"/>
        </w:rPr>
      </w:pPr>
      <w:r>
        <w:rPr>
          <w:lang w:val="fr-FR"/>
        </w:rPr>
        <w:t>15.</w:t>
      </w:r>
      <w:r>
        <w:rPr>
          <w:lang w:val="fr-FR"/>
        </w:rPr>
        <w:tab/>
      </w:r>
      <w:r w:rsidR="00351B7C" w:rsidRPr="00174283">
        <w:rPr>
          <w:lang w:val="fr-FR"/>
        </w:rPr>
        <w:t>En mai 2012, l</w:t>
      </w:r>
      <w:r w:rsidR="007B4232" w:rsidRPr="00174283">
        <w:rPr>
          <w:lang w:val="fr-FR"/>
        </w:rPr>
        <w:t xml:space="preserve">e Gouvernement a adopté </w:t>
      </w:r>
      <w:r w:rsidR="00351B7C" w:rsidRPr="00174283">
        <w:rPr>
          <w:lang w:val="fr-FR"/>
        </w:rPr>
        <w:t>une s</w:t>
      </w:r>
      <w:r w:rsidR="007B4232" w:rsidRPr="00174283">
        <w:rPr>
          <w:lang w:val="fr-FR"/>
        </w:rPr>
        <w:t>tratégie nationale pour l</w:t>
      </w:r>
      <w:r w:rsidR="00205A62">
        <w:rPr>
          <w:lang w:val="fr-FR"/>
        </w:rPr>
        <w:t>’</w:t>
      </w:r>
      <w:r w:rsidR="007B4232" w:rsidRPr="00174283">
        <w:rPr>
          <w:lang w:val="fr-FR"/>
        </w:rPr>
        <w:t>égalité et la non-discrimination. Celle-ci est axée sur quatre motifs de discrimination (</w:t>
      </w:r>
      <w:r w:rsidR="00F34E37" w:rsidRPr="00174283">
        <w:rPr>
          <w:lang w:val="fr-FR"/>
        </w:rPr>
        <w:t xml:space="preserve">appartenance ethnique, âge, </w:t>
      </w:r>
      <w:r w:rsidR="007B4232" w:rsidRPr="00174283">
        <w:rPr>
          <w:lang w:val="fr-FR"/>
        </w:rPr>
        <w:t xml:space="preserve">incapacité mentale et physique et sexe) </w:t>
      </w:r>
      <w:r w:rsidR="00161BE6" w:rsidRPr="00174283">
        <w:rPr>
          <w:lang w:val="fr-FR"/>
        </w:rPr>
        <w:t>et couvre la période</w:t>
      </w:r>
      <w:r w:rsidR="00490E24" w:rsidRPr="00174283">
        <w:rPr>
          <w:lang w:val="fr-FR"/>
        </w:rPr>
        <w:t xml:space="preserve"> 2012-2015. </w:t>
      </w:r>
      <w:r w:rsidR="00161BE6" w:rsidRPr="00174283">
        <w:rPr>
          <w:lang w:val="fr-FR"/>
        </w:rPr>
        <w:t xml:space="preserve">Son </w:t>
      </w:r>
      <w:r w:rsidR="00AC544A" w:rsidRPr="00174283">
        <w:rPr>
          <w:lang w:val="fr-FR"/>
        </w:rPr>
        <w:t xml:space="preserve">principal objectif </w:t>
      </w:r>
      <w:r w:rsidR="00161BE6" w:rsidRPr="00174283">
        <w:rPr>
          <w:lang w:val="fr-FR"/>
        </w:rPr>
        <w:t>est d</w:t>
      </w:r>
      <w:r w:rsidR="00205A62">
        <w:rPr>
          <w:lang w:val="fr-FR"/>
        </w:rPr>
        <w:t>’</w:t>
      </w:r>
      <w:r w:rsidR="00161BE6" w:rsidRPr="00174283">
        <w:rPr>
          <w:lang w:val="fr-FR"/>
        </w:rPr>
        <w:t xml:space="preserve">améliorer la situation des catégories de citoyens les plus vulnérables au sein de la société et </w:t>
      </w:r>
      <w:r w:rsidR="009605EB" w:rsidRPr="00174283">
        <w:rPr>
          <w:lang w:val="fr-FR"/>
        </w:rPr>
        <w:t>de</w:t>
      </w:r>
      <w:r w:rsidR="00161BE6" w:rsidRPr="00174283">
        <w:rPr>
          <w:lang w:val="fr-FR"/>
        </w:rPr>
        <w:t xml:space="preserve"> garantir des progrès constants dans l</w:t>
      </w:r>
      <w:r w:rsidR="00205A62">
        <w:rPr>
          <w:lang w:val="fr-FR"/>
        </w:rPr>
        <w:t>’</w:t>
      </w:r>
      <w:r w:rsidR="00161BE6" w:rsidRPr="00174283">
        <w:rPr>
          <w:lang w:val="fr-FR"/>
        </w:rPr>
        <w:t>exercice des droits relatifs à l</w:t>
      </w:r>
      <w:r w:rsidR="00205A62">
        <w:rPr>
          <w:lang w:val="fr-FR"/>
        </w:rPr>
        <w:t>’</w:t>
      </w:r>
      <w:r w:rsidR="00161BE6" w:rsidRPr="00174283">
        <w:rPr>
          <w:lang w:val="fr-FR"/>
        </w:rPr>
        <w:t>égalité et à la non-discrimination</w:t>
      </w:r>
      <w:r w:rsidR="00490E24" w:rsidRPr="00174283">
        <w:rPr>
          <w:lang w:val="fr-FR"/>
        </w:rPr>
        <w:t>.</w:t>
      </w:r>
      <w:r w:rsidR="00F104B6" w:rsidRPr="00174283">
        <w:rPr>
          <w:lang w:val="fr-FR"/>
        </w:rPr>
        <w:t xml:space="preserve"> </w:t>
      </w:r>
      <w:r w:rsidR="009D6E21" w:rsidRPr="00174283">
        <w:rPr>
          <w:lang w:val="fr-FR"/>
        </w:rPr>
        <w:t>L</w:t>
      </w:r>
      <w:r w:rsidR="00205A62">
        <w:rPr>
          <w:lang w:val="fr-FR"/>
        </w:rPr>
        <w:t>’</w:t>
      </w:r>
      <w:r w:rsidR="009D6E21" w:rsidRPr="00174283">
        <w:rPr>
          <w:lang w:val="fr-FR"/>
        </w:rPr>
        <w:t xml:space="preserve">expérience acquise dans </w:t>
      </w:r>
      <w:r w:rsidR="00F34E37" w:rsidRPr="00174283">
        <w:rPr>
          <w:lang w:val="fr-FR"/>
        </w:rPr>
        <w:t xml:space="preserve">le cadre de </w:t>
      </w:r>
      <w:r w:rsidR="009D6E21" w:rsidRPr="00174283">
        <w:rPr>
          <w:lang w:val="fr-FR"/>
        </w:rPr>
        <w:t xml:space="preserve">la mise en œuvre des politiques et mesures antérieures </w:t>
      </w:r>
      <w:r w:rsidR="00C91DEE" w:rsidRPr="00174283">
        <w:rPr>
          <w:lang w:val="fr-FR"/>
        </w:rPr>
        <w:t>en vue</w:t>
      </w:r>
      <w:r w:rsidR="009D6E21" w:rsidRPr="00174283">
        <w:rPr>
          <w:lang w:val="fr-FR"/>
        </w:rPr>
        <w:t xml:space="preserve"> d</w:t>
      </w:r>
      <w:r w:rsidR="00205A62">
        <w:rPr>
          <w:lang w:val="fr-FR"/>
        </w:rPr>
        <w:t>’</w:t>
      </w:r>
      <w:r w:rsidR="009D6E21" w:rsidRPr="00174283">
        <w:rPr>
          <w:lang w:val="fr-FR"/>
        </w:rPr>
        <w:t>assurer l</w:t>
      </w:r>
      <w:r w:rsidR="00205A62">
        <w:rPr>
          <w:lang w:val="fr-FR"/>
        </w:rPr>
        <w:t>’</w:t>
      </w:r>
      <w:r w:rsidR="009D6E21" w:rsidRPr="00174283">
        <w:rPr>
          <w:lang w:val="fr-FR"/>
        </w:rPr>
        <w:t>égalité des chances a montré que pour garantir l</w:t>
      </w:r>
      <w:r w:rsidR="00205A62">
        <w:rPr>
          <w:lang w:val="fr-FR"/>
        </w:rPr>
        <w:t>’</w:t>
      </w:r>
      <w:r w:rsidR="009D6E21" w:rsidRPr="00174283">
        <w:rPr>
          <w:lang w:val="fr-FR"/>
        </w:rPr>
        <w:t>égalité de tous</w:t>
      </w:r>
      <w:r w:rsidR="00FB70A2" w:rsidRPr="00174283">
        <w:rPr>
          <w:lang w:val="fr-FR"/>
        </w:rPr>
        <w:t xml:space="preserve"> les citoyens</w:t>
      </w:r>
      <w:r w:rsidR="009D6E21" w:rsidRPr="00174283">
        <w:rPr>
          <w:lang w:val="fr-FR"/>
        </w:rPr>
        <w:t>, il fallait consentir des efforts résolus, promouvoir la coopération, nouer des partenariats</w:t>
      </w:r>
      <w:r w:rsidR="009605EB" w:rsidRPr="00174283">
        <w:rPr>
          <w:lang w:val="fr-FR"/>
        </w:rPr>
        <w:t xml:space="preserve"> et</w:t>
      </w:r>
      <w:r w:rsidR="009D6E21" w:rsidRPr="00174283">
        <w:rPr>
          <w:lang w:val="fr-FR"/>
        </w:rPr>
        <w:t xml:space="preserve"> </w:t>
      </w:r>
      <w:r w:rsidR="00FB70A2" w:rsidRPr="00174283">
        <w:rPr>
          <w:lang w:val="fr-FR"/>
        </w:rPr>
        <w:t>respecter</w:t>
      </w:r>
      <w:r w:rsidR="009D6E21" w:rsidRPr="00174283">
        <w:rPr>
          <w:lang w:val="fr-FR"/>
        </w:rPr>
        <w:t xml:space="preserve"> les principes de transparence et de participation </w:t>
      </w:r>
      <w:r w:rsidR="0065315C" w:rsidRPr="00174283">
        <w:rPr>
          <w:lang w:val="fr-FR"/>
        </w:rPr>
        <w:t>de</w:t>
      </w:r>
      <w:r w:rsidR="009D6E21" w:rsidRPr="00174283">
        <w:rPr>
          <w:lang w:val="fr-FR"/>
        </w:rPr>
        <w:t xml:space="preserve"> toutes les parties prenantes à la vie économique, sociale et politique. La stratégie a été élaborée après </w:t>
      </w:r>
      <w:r w:rsidR="009605EB" w:rsidRPr="00174283">
        <w:rPr>
          <w:lang w:val="fr-FR"/>
        </w:rPr>
        <w:t>plusieurs mois de</w:t>
      </w:r>
      <w:r w:rsidR="009D6E21" w:rsidRPr="00174283">
        <w:rPr>
          <w:lang w:val="fr-FR"/>
        </w:rPr>
        <w:t xml:space="preserve"> consultations </w:t>
      </w:r>
      <w:r w:rsidR="009605EB" w:rsidRPr="00174283">
        <w:rPr>
          <w:lang w:val="fr-FR"/>
        </w:rPr>
        <w:t>avec</w:t>
      </w:r>
      <w:r w:rsidR="009D6E21" w:rsidRPr="00174283">
        <w:rPr>
          <w:lang w:val="fr-FR"/>
        </w:rPr>
        <w:t xml:space="preserve"> les institutions gouvernementales, la société civile et les organisations internationales agissant dans ce domaine en Macédoine. La stratégie </w:t>
      </w:r>
      <w:r w:rsidR="00183D34" w:rsidRPr="00174283">
        <w:rPr>
          <w:lang w:val="fr-FR"/>
        </w:rPr>
        <w:t xml:space="preserve">tient compte de </w:t>
      </w:r>
      <w:r w:rsidR="009D6E21" w:rsidRPr="00174283">
        <w:rPr>
          <w:lang w:val="fr-FR"/>
        </w:rPr>
        <w:t>l</w:t>
      </w:r>
      <w:r w:rsidR="00205A62">
        <w:rPr>
          <w:lang w:val="fr-FR"/>
        </w:rPr>
        <w:t>’</w:t>
      </w:r>
      <w:r w:rsidR="009D6E21" w:rsidRPr="00174283">
        <w:rPr>
          <w:lang w:val="fr-FR"/>
        </w:rPr>
        <w:t>Accord de stabilisation et d</w:t>
      </w:r>
      <w:r w:rsidR="00205A62">
        <w:rPr>
          <w:lang w:val="fr-FR"/>
        </w:rPr>
        <w:t>’</w:t>
      </w:r>
      <w:r w:rsidR="009D6E21" w:rsidRPr="00174283">
        <w:rPr>
          <w:lang w:val="fr-FR"/>
        </w:rPr>
        <w:t>association signé avec l</w:t>
      </w:r>
      <w:r w:rsidR="00205A62">
        <w:rPr>
          <w:lang w:val="fr-FR"/>
        </w:rPr>
        <w:t>’</w:t>
      </w:r>
      <w:r w:rsidR="009D6E21" w:rsidRPr="00174283">
        <w:rPr>
          <w:lang w:val="fr-FR"/>
        </w:rPr>
        <w:t xml:space="preserve">Union européenne, </w:t>
      </w:r>
      <w:r w:rsidR="00183D34" w:rsidRPr="00174283">
        <w:rPr>
          <w:lang w:val="fr-FR"/>
        </w:rPr>
        <w:t>d</w:t>
      </w:r>
      <w:r w:rsidR="009D6E21" w:rsidRPr="00174283">
        <w:rPr>
          <w:lang w:val="fr-FR"/>
        </w:rPr>
        <w:t>es obligations relatives au processus d</w:t>
      </w:r>
      <w:r w:rsidR="00205A62">
        <w:rPr>
          <w:lang w:val="fr-FR"/>
        </w:rPr>
        <w:t>’</w:t>
      </w:r>
      <w:r w:rsidR="009D6E21" w:rsidRPr="00174283">
        <w:rPr>
          <w:lang w:val="fr-FR"/>
        </w:rPr>
        <w:t>intégration européenne</w:t>
      </w:r>
      <w:r w:rsidR="006E2177" w:rsidRPr="00174283">
        <w:rPr>
          <w:lang w:val="fr-FR"/>
        </w:rPr>
        <w:t>,</w:t>
      </w:r>
      <w:r w:rsidR="009D6E21" w:rsidRPr="00174283">
        <w:rPr>
          <w:lang w:val="fr-FR"/>
        </w:rPr>
        <w:t xml:space="preserve"> </w:t>
      </w:r>
      <w:r w:rsidR="00183D34" w:rsidRPr="00174283">
        <w:rPr>
          <w:lang w:val="fr-FR"/>
        </w:rPr>
        <w:t>du</w:t>
      </w:r>
      <w:r w:rsidR="009D6E21" w:rsidRPr="00174283">
        <w:rPr>
          <w:lang w:val="fr-FR"/>
        </w:rPr>
        <w:t xml:space="preserve"> processus d</w:t>
      </w:r>
      <w:r w:rsidR="00205A62">
        <w:rPr>
          <w:lang w:val="fr-FR"/>
        </w:rPr>
        <w:t>’</w:t>
      </w:r>
      <w:r w:rsidR="009D6E21" w:rsidRPr="00174283">
        <w:rPr>
          <w:lang w:val="fr-FR"/>
        </w:rPr>
        <w:t>harmonisation et de mise en conformité de la législation de la République de Macédoine avec l</w:t>
      </w:r>
      <w:r w:rsidR="00205A62">
        <w:rPr>
          <w:lang w:val="fr-FR"/>
        </w:rPr>
        <w:t>’</w:t>
      </w:r>
      <w:r w:rsidR="009D6E21" w:rsidRPr="00174283">
        <w:rPr>
          <w:lang w:val="fr-FR"/>
        </w:rPr>
        <w:t>acquis européen</w:t>
      </w:r>
      <w:r w:rsidR="006E2177" w:rsidRPr="00174283">
        <w:rPr>
          <w:lang w:val="fr-FR"/>
        </w:rPr>
        <w:t xml:space="preserve"> et</w:t>
      </w:r>
      <w:r w:rsidR="009D6E21" w:rsidRPr="00174283">
        <w:rPr>
          <w:lang w:val="fr-FR"/>
        </w:rPr>
        <w:t xml:space="preserve"> d</w:t>
      </w:r>
      <w:r w:rsidR="00205A62">
        <w:rPr>
          <w:lang w:val="fr-FR"/>
        </w:rPr>
        <w:t>’</w:t>
      </w:r>
      <w:r w:rsidR="009D6E21" w:rsidRPr="00174283">
        <w:rPr>
          <w:lang w:val="fr-FR"/>
        </w:rPr>
        <w:t xml:space="preserve">autres obligations internationales. </w:t>
      </w:r>
      <w:r w:rsidR="00F225AA">
        <w:rPr>
          <w:lang w:val="fr-FR"/>
        </w:rPr>
        <w:t>Elle</w:t>
      </w:r>
      <w:r w:rsidR="00C91DEE" w:rsidRPr="00174283">
        <w:rPr>
          <w:lang w:val="fr-FR"/>
        </w:rPr>
        <w:t xml:space="preserve"> est a</w:t>
      </w:r>
      <w:r w:rsidR="009D6E21" w:rsidRPr="00174283">
        <w:rPr>
          <w:lang w:val="fr-FR"/>
        </w:rPr>
        <w:t xml:space="preserve">xée sur quatre motifs de discrimination (incapacité mentale et physique, </w:t>
      </w:r>
      <w:r w:rsidR="006E2177" w:rsidRPr="00174283">
        <w:rPr>
          <w:lang w:val="fr-FR"/>
        </w:rPr>
        <w:t xml:space="preserve">appartenance ethnique, âge et </w:t>
      </w:r>
      <w:r w:rsidR="009D6E21" w:rsidRPr="00174283">
        <w:rPr>
          <w:lang w:val="fr-FR"/>
        </w:rPr>
        <w:t>s</w:t>
      </w:r>
      <w:r w:rsidR="006E2177" w:rsidRPr="00174283">
        <w:rPr>
          <w:lang w:val="fr-FR"/>
        </w:rPr>
        <w:t>e</w:t>
      </w:r>
      <w:r w:rsidR="009D6E21" w:rsidRPr="00174283">
        <w:rPr>
          <w:lang w:val="fr-FR"/>
        </w:rPr>
        <w:t>xe)</w:t>
      </w:r>
      <w:r w:rsidR="00244121" w:rsidRPr="00174283">
        <w:rPr>
          <w:lang w:val="fr-FR"/>
        </w:rPr>
        <w:t>,</w:t>
      </w:r>
      <w:r w:rsidR="009D6E21" w:rsidRPr="00174283">
        <w:rPr>
          <w:lang w:val="fr-FR"/>
        </w:rPr>
        <w:t xml:space="preserve"> </w:t>
      </w:r>
      <w:r w:rsidR="00244121" w:rsidRPr="00174283">
        <w:rPr>
          <w:lang w:val="fr-FR"/>
        </w:rPr>
        <w:t>pour lesquels des objectifs stratégiques et des activités spécifique sont été définis, assortis d</w:t>
      </w:r>
      <w:r w:rsidR="00205A62">
        <w:rPr>
          <w:lang w:val="fr-FR"/>
        </w:rPr>
        <w:t>’</w:t>
      </w:r>
      <w:r w:rsidR="00244121" w:rsidRPr="00174283">
        <w:rPr>
          <w:lang w:val="fr-FR"/>
        </w:rPr>
        <w:t>indicateurs et du nom des entités responsables de l</w:t>
      </w:r>
      <w:r w:rsidR="00205A62">
        <w:rPr>
          <w:lang w:val="fr-FR"/>
        </w:rPr>
        <w:t>’</w:t>
      </w:r>
      <w:r w:rsidR="00244121" w:rsidRPr="00174283">
        <w:rPr>
          <w:lang w:val="fr-FR"/>
        </w:rPr>
        <w:t>exécution</w:t>
      </w:r>
      <w:r w:rsidR="009D6E21" w:rsidRPr="00174283">
        <w:rPr>
          <w:lang w:val="fr-FR"/>
        </w:rPr>
        <w:t xml:space="preserve">. </w:t>
      </w:r>
      <w:r w:rsidR="00F801E2" w:rsidRPr="00174283">
        <w:rPr>
          <w:lang w:val="fr-FR"/>
        </w:rPr>
        <w:t>Elle</w:t>
      </w:r>
      <w:r w:rsidR="009D6E21" w:rsidRPr="00174283">
        <w:rPr>
          <w:lang w:val="fr-FR"/>
        </w:rPr>
        <w:t xml:space="preserve"> ouvre la voie à d</w:t>
      </w:r>
      <w:r w:rsidR="00205A62">
        <w:rPr>
          <w:lang w:val="fr-FR"/>
        </w:rPr>
        <w:t>’</w:t>
      </w:r>
      <w:r w:rsidR="009D6E21" w:rsidRPr="00174283">
        <w:rPr>
          <w:lang w:val="fr-FR"/>
        </w:rPr>
        <w:t xml:space="preserve">autres activités, travaux et </w:t>
      </w:r>
      <w:r w:rsidR="00116C71" w:rsidRPr="00174283">
        <w:rPr>
          <w:lang w:val="fr-FR"/>
        </w:rPr>
        <w:t>projets de coopération</w:t>
      </w:r>
      <w:r w:rsidR="009D6E21" w:rsidRPr="00174283">
        <w:rPr>
          <w:lang w:val="fr-FR"/>
        </w:rPr>
        <w:t xml:space="preserve"> pour reconnaître la discrimination comme l</w:t>
      </w:r>
      <w:r w:rsidR="00205A62">
        <w:rPr>
          <w:lang w:val="fr-FR"/>
        </w:rPr>
        <w:t>’</w:t>
      </w:r>
      <w:r w:rsidR="009D6E21" w:rsidRPr="00174283">
        <w:rPr>
          <w:lang w:val="fr-FR"/>
        </w:rPr>
        <w:t>une des violations les plus flagrantes des droits de l</w:t>
      </w:r>
      <w:r w:rsidR="00205A62">
        <w:rPr>
          <w:lang w:val="fr-FR"/>
        </w:rPr>
        <w:t>’</w:t>
      </w:r>
      <w:r w:rsidR="009D6E21" w:rsidRPr="00174283">
        <w:rPr>
          <w:lang w:val="fr-FR"/>
        </w:rPr>
        <w:t xml:space="preserve">homme. </w:t>
      </w:r>
      <w:r w:rsidR="00F225AA">
        <w:rPr>
          <w:lang w:val="fr-FR"/>
        </w:rPr>
        <w:t>La stratégie</w:t>
      </w:r>
      <w:r w:rsidR="009D6E21" w:rsidRPr="00174283">
        <w:rPr>
          <w:lang w:val="fr-FR"/>
        </w:rPr>
        <w:t xml:space="preserve"> définit également la mise en œuvre des mesures envisagées dans le cadre des plans d</w:t>
      </w:r>
      <w:r w:rsidR="00205A62">
        <w:rPr>
          <w:lang w:val="fr-FR"/>
        </w:rPr>
        <w:t>’</w:t>
      </w:r>
      <w:r w:rsidR="009D6E21" w:rsidRPr="00174283">
        <w:rPr>
          <w:lang w:val="fr-FR"/>
        </w:rPr>
        <w:t xml:space="preserve">action, qui fixent les priorités à un an, les modalités </w:t>
      </w:r>
      <w:r w:rsidR="00950A29" w:rsidRPr="00174283">
        <w:rPr>
          <w:lang w:val="fr-FR"/>
        </w:rPr>
        <w:t xml:space="preserve">et délais </w:t>
      </w:r>
      <w:r w:rsidR="009D6E21" w:rsidRPr="00174283">
        <w:rPr>
          <w:lang w:val="fr-FR"/>
        </w:rPr>
        <w:t xml:space="preserve">de mise en œuvre, les organes chargés de sa mise en œuvre, le budget imparti, les </w:t>
      </w:r>
      <w:r w:rsidR="00A269E3" w:rsidRPr="00174283">
        <w:rPr>
          <w:lang w:val="fr-FR"/>
        </w:rPr>
        <w:t xml:space="preserve">résultats attendus ainsi que </w:t>
      </w:r>
      <w:r w:rsidR="00116C71" w:rsidRPr="00174283">
        <w:rPr>
          <w:lang w:val="fr-FR"/>
        </w:rPr>
        <w:t>d</w:t>
      </w:r>
      <w:r w:rsidR="00A269E3" w:rsidRPr="00174283">
        <w:rPr>
          <w:lang w:val="fr-FR"/>
        </w:rPr>
        <w:t>es indicateurs qualitatifs et quantitatifs</w:t>
      </w:r>
      <w:r w:rsidR="00950A29" w:rsidRPr="00174283">
        <w:rPr>
          <w:lang w:val="fr-FR"/>
        </w:rPr>
        <w:t xml:space="preserve"> de son succès</w:t>
      </w:r>
      <w:r w:rsidR="00A269E3" w:rsidRPr="00174283">
        <w:rPr>
          <w:lang w:val="fr-FR"/>
        </w:rPr>
        <w:t xml:space="preserve">. Les mesures définies dans le cadre de la stratégie seront également </w:t>
      </w:r>
      <w:r w:rsidR="00400C11" w:rsidRPr="00174283">
        <w:rPr>
          <w:lang w:val="fr-FR"/>
        </w:rPr>
        <w:t>mises en concordance avec le processus en cours au niveau administratif, à savoir la planification stratégique</w:t>
      </w:r>
      <w:r w:rsidR="00E011A4" w:rsidRPr="00174283">
        <w:rPr>
          <w:lang w:val="fr-FR"/>
        </w:rPr>
        <w:t xml:space="preserve"> et</w:t>
      </w:r>
      <w:r w:rsidR="00400C11" w:rsidRPr="00174283">
        <w:rPr>
          <w:lang w:val="fr-FR"/>
        </w:rPr>
        <w:t xml:space="preserve"> budgétaire et la mise en œuvre du Plan national pour l</w:t>
      </w:r>
      <w:r w:rsidR="00205A62">
        <w:rPr>
          <w:lang w:val="fr-FR"/>
        </w:rPr>
        <w:t>’</w:t>
      </w:r>
      <w:r w:rsidR="00400C11" w:rsidRPr="00174283">
        <w:rPr>
          <w:lang w:val="fr-FR"/>
        </w:rPr>
        <w:t>adoption de l</w:t>
      </w:r>
      <w:r w:rsidR="00205A62">
        <w:rPr>
          <w:lang w:val="fr-FR"/>
        </w:rPr>
        <w:t>’</w:t>
      </w:r>
      <w:r w:rsidR="00400C11" w:rsidRPr="00174283">
        <w:rPr>
          <w:lang w:val="fr-FR"/>
        </w:rPr>
        <w:t xml:space="preserve">acquis </w:t>
      </w:r>
      <w:r w:rsidR="00C31B03" w:rsidRPr="00174283">
        <w:rPr>
          <w:lang w:val="fr-FR"/>
        </w:rPr>
        <w:t>communautaire</w:t>
      </w:r>
      <w:r w:rsidR="00400C11" w:rsidRPr="00174283">
        <w:rPr>
          <w:lang w:val="fr-FR"/>
        </w:rPr>
        <w:t>. Cela permettra de garantir la cohérence</w:t>
      </w:r>
      <w:r w:rsidR="00950A29" w:rsidRPr="00174283">
        <w:rPr>
          <w:lang w:val="fr-FR"/>
        </w:rPr>
        <w:t xml:space="preserve"> des actions</w:t>
      </w:r>
      <w:r w:rsidR="00400C11" w:rsidRPr="00174283">
        <w:rPr>
          <w:lang w:val="fr-FR"/>
        </w:rPr>
        <w:t>, de dégager des synergies et d</w:t>
      </w:r>
      <w:r w:rsidR="00205A62">
        <w:rPr>
          <w:lang w:val="fr-FR"/>
        </w:rPr>
        <w:t>’</w:t>
      </w:r>
      <w:r w:rsidR="00400C11" w:rsidRPr="00174283">
        <w:rPr>
          <w:lang w:val="fr-FR"/>
        </w:rPr>
        <w:t xml:space="preserve">utiliser les ressources </w:t>
      </w:r>
      <w:r w:rsidR="00DF12FE" w:rsidRPr="00174283">
        <w:rPr>
          <w:lang w:val="fr-FR"/>
        </w:rPr>
        <w:t>de manière rationnelle</w:t>
      </w:r>
      <w:r w:rsidR="00950A29" w:rsidRPr="00174283">
        <w:rPr>
          <w:lang w:val="fr-FR"/>
        </w:rPr>
        <w:t>,</w:t>
      </w:r>
      <w:r w:rsidR="00DF12FE" w:rsidRPr="00174283">
        <w:rPr>
          <w:lang w:val="fr-FR"/>
        </w:rPr>
        <w:t xml:space="preserve"> tout en mettant</w:t>
      </w:r>
      <w:r w:rsidR="00DB1D82" w:rsidRPr="00174283">
        <w:rPr>
          <w:lang w:val="fr-FR"/>
        </w:rPr>
        <w:t xml:space="preserve"> concrètement</w:t>
      </w:r>
      <w:r w:rsidR="00DF12FE" w:rsidRPr="00174283">
        <w:rPr>
          <w:lang w:val="fr-FR"/>
        </w:rPr>
        <w:t xml:space="preserve"> en œuvre les règlements et programmes en matière d</w:t>
      </w:r>
      <w:r w:rsidR="00205A62">
        <w:rPr>
          <w:lang w:val="fr-FR"/>
        </w:rPr>
        <w:t>’</w:t>
      </w:r>
      <w:r w:rsidR="00DF12FE" w:rsidRPr="00174283">
        <w:rPr>
          <w:lang w:val="fr-FR"/>
        </w:rPr>
        <w:t xml:space="preserve">égalité et de non-discrimination. </w:t>
      </w:r>
    </w:p>
    <w:p w:rsidR="00A12C01" w:rsidRPr="00174283" w:rsidRDefault="00C80393" w:rsidP="00C80393">
      <w:pPr>
        <w:pStyle w:val="SingleTxtG"/>
        <w:rPr>
          <w:lang w:val="fr-FR"/>
        </w:rPr>
      </w:pPr>
      <w:r>
        <w:rPr>
          <w:lang w:val="fr-FR"/>
        </w:rPr>
        <w:t>16.</w:t>
      </w:r>
      <w:r>
        <w:rPr>
          <w:lang w:val="fr-FR"/>
        </w:rPr>
        <w:tab/>
      </w:r>
      <w:r w:rsidR="005E191A" w:rsidRPr="00174283">
        <w:rPr>
          <w:lang w:val="fr-FR"/>
        </w:rPr>
        <w:t>S</w:t>
      </w:r>
      <w:r w:rsidR="00205A62">
        <w:rPr>
          <w:lang w:val="fr-FR"/>
        </w:rPr>
        <w:t>’</w:t>
      </w:r>
      <w:r w:rsidR="005E191A" w:rsidRPr="00174283">
        <w:rPr>
          <w:lang w:val="fr-FR"/>
        </w:rPr>
        <w:t>agissant de l</w:t>
      </w:r>
      <w:r w:rsidR="00205A62">
        <w:rPr>
          <w:lang w:val="fr-FR"/>
        </w:rPr>
        <w:t>’</w:t>
      </w:r>
      <w:r w:rsidR="005E191A" w:rsidRPr="00174283">
        <w:rPr>
          <w:lang w:val="fr-FR"/>
        </w:rPr>
        <w:t>exercice des droits à la protection sociale, l</w:t>
      </w:r>
      <w:r w:rsidR="00205A62">
        <w:rPr>
          <w:lang w:val="fr-FR"/>
        </w:rPr>
        <w:t>’</w:t>
      </w:r>
      <w:r w:rsidR="003724DF" w:rsidRPr="00174283">
        <w:rPr>
          <w:lang w:val="fr-FR"/>
        </w:rPr>
        <w:t>a</w:t>
      </w:r>
      <w:r w:rsidR="00490E24" w:rsidRPr="00174283">
        <w:rPr>
          <w:lang w:val="fr-FR"/>
        </w:rPr>
        <w:t>rticl</w:t>
      </w:r>
      <w:r w:rsidR="00D4271F" w:rsidRPr="00174283">
        <w:rPr>
          <w:lang w:val="fr-FR"/>
        </w:rPr>
        <w:t>e 20 de la loi sur la protection sociale (</w:t>
      </w:r>
      <w:r w:rsidR="00D4271F" w:rsidRPr="006C4B2D">
        <w:rPr>
          <w:i/>
          <w:iCs/>
          <w:lang w:val="fr-FR"/>
        </w:rPr>
        <w:t>Journal officiel de la République de Macédoine</w:t>
      </w:r>
      <w:r w:rsidR="00D4271F" w:rsidRPr="00174283">
        <w:rPr>
          <w:lang w:val="fr-FR"/>
        </w:rPr>
        <w:t xml:space="preserve"> n</w:t>
      </w:r>
      <w:r w:rsidR="00D4271F" w:rsidRPr="00174283">
        <w:rPr>
          <w:vertAlign w:val="superscript"/>
          <w:lang w:val="fr-FR"/>
        </w:rPr>
        <w:t>o</w:t>
      </w:r>
      <w:r w:rsidR="00D4271F" w:rsidRPr="00174283">
        <w:rPr>
          <w:lang w:val="fr-FR"/>
        </w:rPr>
        <w:t xml:space="preserve"> 79, 24 juin 2009, et ses </w:t>
      </w:r>
      <w:r w:rsidR="00950A29" w:rsidRPr="00174283">
        <w:rPr>
          <w:lang w:val="fr-FR"/>
        </w:rPr>
        <w:t>modifications</w:t>
      </w:r>
      <w:r w:rsidR="00D4271F" w:rsidRPr="00174283">
        <w:rPr>
          <w:lang w:val="fr-FR"/>
        </w:rPr>
        <w:t xml:space="preserve"> </w:t>
      </w:r>
      <w:r w:rsidR="00950A29" w:rsidRPr="00174283">
        <w:rPr>
          <w:lang w:val="fr-FR"/>
        </w:rPr>
        <w:t>publiées</w:t>
      </w:r>
      <w:r w:rsidR="00C0337C" w:rsidRPr="00174283">
        <w:rPr>
          <w:lang w:val="fr-FR"/>
        </w:rPr>
        <w:t xml:space="preserve"> dans le</w:t>
      </w:r>
      <w:r w:rsidR="00D4271F" w:rsidRPr="00174283">
        <w:rPr>
          <w:lang w:val="fr-FR"/>
        </w:rPr>
        <w:t xml:space="preserve"> Journal officiel n</w:t>
      </w:r>
      <w:r w:rsidR="00D4271F" w:rsidRPr="00174283">
        <w:rPr>
          <w:vertAlign w:val="superscript"/>
          <w:lang w:val="fr-FR"/>
        </w:rPr>
        <w:t>os</w:t>
      </w:r>
      <w:r w:rsidR="00D4271F" w:rsidRPr="00174283">
        <w:rPr>
          <w:lang w:val="fr-FR"/>
        </w:rPr>
        <w:t> </w:t>
      </w:r>
      <w:r w:rsidR="00490E24" w:rsidRPr="00174283">
        <w:rPr>
          <w:lang w:val="fr-FR"/>
        </w:rPr>
        <w:t xml:space="preserve">36/11 </w:t>
      </w:r>
      <w:r w:rsidR="00D4271F" w:rsidRPr="00174283">
        <w:rPr>
          <w:lang w:val="fr-FR"/>
        </w:rPr>
        <w:t>et</w:t>
      </w:r>
      <w:r w:rsidR="00490E24" w:rsidRPr="00174283">
        <w:rPr>
          <w:lang w:val="fr-FR"/>
        </w:rPr>
        <w:t xml:space="preserve"> 51/11 </w:t>
      </w:r>
      <w:r w:rsidR="00D4271F" w:rsidRPr="00174283">
        <w:rPr>
          <w:lang w:val="fr-FR"/>
        </w:rPr>
        <w:t>de</w:t>
      </w:r>
      <w:r w:rsidR="00490E24" w:rsidRPr="00174283">
        <w:rPr>
          <w:lang w:val="fr-FR"/>
        </w:rPr>
        <w:t xml:space="preserve"> 2011), </w:t>
      </w:r>
      <w:r w:rsidR="00D4271F" w:rsidRPr="00174283">
        <w:rPr>
          <w:lang w:val="fr-FR"/>
        </w:rPr>
        <w:t xml:space="preserve">interdit la discrimination directe ou indirecte </w:t>
      </w:r>
      <w:r w:rsidR="00372B7C" w:rsidRPr="00174283">
        <w:rPr>
          <w:lang w:val="fr-FR"/>
        </w:rPr>
        <w:t>fondée sur le sexe, la race, la couleur de la peau, l</w:t>
      </w:r>
      <w:r w:rsidR="00205A62">
        <w:rPr>
          <w:lang w:val="fr-FR"/>
        </w:rPr>
        <w:t>’</w:t>
      </w:r>
      <w:r w:rsidR="00372B7C" w:rsidRPr="00174283">
        <w:rPr>
          <w:lang w:val="fr-FR"/>
        </w:rPr>
        <w:t>appartenance nationale, ethnique, politique, religieuse, culturelle, linguistique ou sociale, le handicap ou l</w:t>
      </w:r>
      <w:r w:rsidR="00205A62">
        <w:rPr>
          <w:lang w:val="fr-FR"/>
        </w:rPr>
        <w:t>’</w:t>
      </w:r>
      <w:r w:rsidR="00372B7C" w:rsidRPr="00174283">
        <w:rPr>
          <w:lang w:val="fr-FR"/>
        </w:rPr>
        <w:t>origine</w:t>
      </w:r>
      <w:r w:rsidR="00D4271F" w:rsidRPr="00174283">
        <w:rPr>
          <w:lang w:val="fr-FR"/>
        </w:rPr>
        <w:t xml:space="preserve">. </w:t>
      </w:r>
    </w:p>
    <w:p w:rsidR="00490E24" w:rsidRPr="00174283" w:rsidRDefault="00C80393" w:rsidP="00C80393">
      <w:pPr>
        <w:pStyle w:val="SingleTxtG"/>
        <w:rPr>
          <w:lang w:val="fr-FR"/>
        </w:rPr>
      </w:pPr>
      <w:r>
        <w:rPr>
          <w:lang w:val="fr-FR"/>
        </w:rPr>
        <w:t>17.</w:t>
      </w:r>
      <w:r>
        <w:rPr>
          <w:lang w:val="fr-FR"/>
        </w:rPr>
        <w:tab/>
      </w:r>
      <w:r w:rsidR="009561FB" w:rsidRPr="00174283">
        <w:rPr>
          <w:lang w:val="fr-FR"/>
        </w:rPr>
        <w:t>Le Ministère du travail et de la politique sociale a créé une section de l</w:t>
      </w:r>
      <w:r w:rsidR="00205A62">
        <w:rPr>
          <w:lang w:val="fr-FR"/>
        </w:rPr>
        <w:t>’</w:t>
      </w:r>
      <w:r w:rsidR="009561FB" w:rsidRPr="00174283">
        <w:rPr>
          <w:lang w:val="fr-FR"/>
        </w:rPr>
        <w:t>égalité des chances en mars</w:t>
      </w:r>
      <w:r w:rsidR="00490E24" w:rsidRPr="00174283">
        <w:rPr>
          <w:lang w:val="fr-FR"/>
        </w:rPr>
        <w:t xml:space="preserve"> 2007. </w:t>
      </w:r>
      <w:r w:rsidR="00D4271F" w:rsidRPr="00174283">
        <w:rPr>
          <w:lang w:val="fr-FR"/>
        </w:rPr>
        <w:t xml:space="preserve">Sa principale tâche est de déployer des activités pour promouvoir </w:t>
      </w:r>
      <w:r w:rsidR="00372B7C" w:rsidRPr="00174283">
        <w:rPr>
          <w:lang w:val="fr-FR"/>
        </w:rPr>
        <w:t>l</w:t>
      </w:r>
      <w:r w:rsidR="00205A62">
        <w:rPr>
          <w:lang w:val="fr-FR"/>
        </w:rPr>
        <w:t>’</w:t>
      </w:r>
      <w:r w:rsidR="00372B7C" w:rsidRPr="00174283">
        <w:rPr>
          <w:lang w:val="fr-FR"/>
        </w:rPr>
        <w:t xml:space="preserve">égalité et </w:t>
      </w:r>
      <w:r w:rsidR="00D4271F" w:rsidRPr="00174283">
        <w:rPr>
          <w:lang w:val="fr-FR"/>
        </w:rPr>
        <w:t>l</w:t>
      </w:r>
      <w:r w:rsidR="00205A62">
        <w:rPr>
          <w:lang w:val="fr-FR"/>
        </w:rPr>
        <w:t>’</w:t>
      </w:r>
      <w:r w:rsidR="00D4271F" w:rsidRPr="00174283">
        <w:rPr>
          <w:lang w:val="fr-FR"/>
        </w:rPr>
        <w:t>égalité des chances</w:t>
      </w:r>
      <w:r w:rsidR="00315B41" w:rsidRPr="00174283">
        <w:rPr>
          <w:lang w:val="fr-FR"/>
        </w:rPr>
        <w:t xml:space="preserve"> et </w:t>
      </w:r>
      <w:r w:rsidR="00F225AA">
        <w:rPr>
          <w:lang w:val="fr-FR"/>
        </w:rPr>
        <w:t xml:space="preserve">pour </w:t>
      </w:r>
      <w:r w:rsidR="00315B41" w:rsidRPr="00174283">
        <w:rPr>
          <w:lang w:val="fr-FR"/>
        </w:rPr>
        <w:t>prévenir et combattre</w:t>
      </w:r>
      <w:r w:rsidR="00D4271F" w:rsidRPr="00174283">
        <w:rPr>
          <w:lang w:val="fr-FR"/>
        </w:rPr>
        <w:t xml:space="preserve"> toute forme de violence et de discrimination fondées sur le </w:t>
      </w:r>
      <w:r w:rsidR="00372B7C" w:rsidRPr="00174283">
        <w:rPr>
          <w:lang w:val="fr-FR"/>
        </w:rPr>
        <w:t>sexe, l</w:t>
      </w:r>
      <w:r w:rsidR="00205A62">
        <w:rPr>
          <w:lang w:val="fr-FR"/>
        </w:rPr>
        <w:t>’</w:t>
      </w:r>
      <w:r w:rsidR="00372B7C" w:rsidRPr="00174283">
        <w:rPr>
          <w:lang w:val="fr-FR"/>
        </w:rPr>
        <w:t>âge, l</w:t>
      </w:r>
      <w:r w:rsidR="00205A62">
        <w:rPr>
          <w:lang w:val="fr-FR"/>
        </w:rPr>
        <w:t>’</w:t>
      </w:r>
      <w:r w:rsidR="00372B7C" w:rsidRPr="00174283">
        <w:rPr>
          <w:lang w:val="fr-FR"/>
        </w:rPr>
        <w:t>appartenance eth</w:t>
      </w:r>
      <w:r w:rsidR="00D4271F" w:rsidRPr="00174283">
        <w:rPr>
          <w:lang w:val="fr-FR"/>
        </w:rPr>
        <w:t>nique, le handicap mental et physique, la double discrimination, etc., dans tous les domaines de la vie sociale, à l</w:t>
      </w:r>
      <w:r w:rsidR="00205A62">
        <w:rPr>
          <w:lang w:val="fr-FR"/>
        </w:rPr>
        <w:t>’</w:t>
      </w:r>
      <w:r w:rsidR="00D4271F" w:rsidRPr="00174283">
        <w:rPr>
          <w:lang w:val="fr-FR"/>
        </w:rPr>
        <w:t xml:space="preserve">échelle nationale et locale. </w:t>
      </w:r>
      <w:r w:rsidR="00E55DB6" w:rsidRPr="00174283">
        <w:rPr>
          <w:lang w:val="fr-FR"/>
        </w:rPr>
        <w:t>L</w:t>
      </w:r>
      <w:r w:rsidR="00D4271F" w:rsidRPr="00174283">
        <w:rPr>
          <w:lang w:val="fr-FR"/>
        </w:rPr>
        <w:t xml:space="preserve">a </w:t>
      </w:r>
      <w:r w:rsidR="003D7C30" w:rsidRPr="00174283">
        <w:rPr>
          <w:lang w:val="fr-FR"/>
        </w:rPr>
        <w:t>s</w:t>
      </w:r>
      <w:r w:rsidR="00D4271F" w:rsidRPr="00174283">
        <w:rPr>
          <w:lang w:val="fr-FR"/>
        </w:rPr>
        <w:t>ection de l</w:t>
      </w:r>
      <w:r w:rsidR="00205A62">
        <w:rPr>
          <w:lang w:val="fr-FR"/>
        </w:rPr>
        <w:t>’</w:t>
      </w:r>
      <w:r w:rsidR="00D4271F" w:rsidRPr="00174283">
        <w:rPr>
          <w:lang w:val="fr-FR"/>
        </w:rPr>
        <w:t xml:space="preserve">égalité des chances est </w:t>
      </w:r>
      <w:r w:rsidR="00E55DB6" w:rsidRPr="00174283">
        <w:rPr>
          <w:lang w:val="fr-FR"/>
        </w:rPr>
        <w:t xml:space="preserve">aussi </w:t>
      </w:r>
      <w:r w:rsidR="00D4271F" w:rsidRPr="00174283">
        <w:rPr>
          <w:lang w:val="fr-FR"/>
        </w:rPr>
        <w:t>chargée de veiller à la coo</w:t>
      </w:r>
      <w:r w:rsidR="00315B41" w:rsidRPr="00174283">
        <w:rPr>
          <w:lang w:val="fr-FR"/>
        </w:rPr>
        <w:t>p</w:t>
      </w:r>
      <w:r w:rsidR="00D4271F" w:rsidRPr="00174283">
        <w:rPr>
          <w:lang w:val="fr-FR"/>
        </w:rPr>
        <w:t xml:space="preserve">ération interministérielle ainsi </w:t>
      </w:r>
      <w:r w:rsidR="00315B41" w:rsidRPr="00174283">
        <w:rPr>
          <w:lang w:val="fr-FR"/>
        </w:rPr>
        <w:t>qu</w:t>
      </w:r>
      <w:r w:rsidR="00205A62">
        <w:rPr>
          <w:lang w:val="fr-FR"/>
        </w:rPr>
        <w:t>’</w:t>
      </w:r>
      <w:r w:rsidR="00315B41" w:rsidRPr="00174283">
        <w:rPr>
          <w:lang w:val="fr-FR"/>
        </w:rPr>
        <w:t xml:space="preserve">à la coopération </w:t>
      </w:r>
      <w:r w:rsidR="00D4271F" w:rsidRPr="00174283">
        <w:rPr>
          <w:lang w:val="fr-FR"/>
        </w:rPr>
        <w:t>avec la société civile et les partenaires sociaux. Elle a égalem</w:t>
      </w:r>
      <w:r w:rsidR="00315B41" w:rsidRPr="00174283">
        <w:rPr>
          <w:lang w:val="fr-FR"/>
        </w:rPr>
        <w:t>ent</w:t>
      </w:r>
      <w:r w:rsidR="00D4271F" w:rsidRPr="00174283">
        <w:rPr>
          <w:lang w:val="fr-FR"/>
        </w:rPr>
        <w:t xml:space="preserve"> pour responsabilité de suivre la mise en œuvre de la loi </w:t>
      </w:r>
      <w:r w:rsidR="00E85DF8" w:rsidRPr="00174283">
        <w:rPr>
          <w:lang w:val="fr-FR"/>
        </w:rPr>
        <w:t>relative à</w:t>
      </w:r>
      <w:r w:rsidR="00D4271F" w:rsidRPr="00174283">
        <w:rPr>
          <w:lang w:val="fr-FR"/>
        </w:rPr>
        <w:t xml:space="preserve"> l</w:t>
      </w:r>
      <w:r w:rsidR="00205A62">
        <w:rPr>
          <w:lang w:val="fr-FR"/>
        </w:rPr>
        <w:t>’</w:t>
      </w:r>
      <w:r w:rsidR="00D4271F" w:rsidRPr="00174283">
        <w:rPr>
          <w:lang w:val="fr-FR"/>
        </w:rPr>
        <w:t xml:space="preserve">égalité des chances </w:t>
      </w:r>
      <w:r w:rsidR="003D7C30" w:rsidRPr="00174283">
        <w:rPr>
          <w:lang w:val="fr-FR"/>
        </w:rPr>
        <w:t>entre</w:t>
      </w:r>
      <w:r w:rsidR="00E85DF8" w:rsidRPr="00174283">
        <w:rPr>
          <w:lang w:val="fr-FR"/>
        </w:rPr>
        <w:t xml:space="preserve"> les</w:t>
      </w:r>
      <w:r w:rsidR="003D7C30" w:rsidRPr="00174283">
        <w:rPr>
          <w:lang w:val="fr-FR"/>
        </w:rPr>
        <w:t xml:space="preserve"> hommes et </w:t>
      </w:r>
      <w:r w:rsidR="00E85DF8" w:rsidRPr="00174283">
        <w:rPr>
          <w:lang w:val="fr-FR"/>
        </w:rPr>
        <w:t xml:space="preserve">les </w:t>
      </w:r>
      <w:r w:rsidR="003D7C30" w:rsidRPr="00174283">
        <w:rPr>
          <w:lang w:val="fr-FR"/>
        </w:rPr>
        <w:t>femmes et de la loi sur la lutte contre la discrimination et la protection contre la discrimination</w:t>
      </w:r>
      <w:r w:rsidR="00315B41" w:rsidRPr="00174283">
        <w:rPr>
          <w:lang w:val="fr-FR"/>
        </w:rPr>
        <w:t>,</w:t>
      </w:r>
      <w:r w:rsidR="003D7C30" w:rsidRPr="00174283">
        <w:rPr>
          <w:lang w:val="fr-FR"/>
        </w:rPr>
        <w:t xml:space="preserve"> ainsi que </w:t>
      </w:r>
      <w:r w:rsidR="00315B41" w:rsidRPr="00174283">
        <w:rPr>
          <w:lang w:val="fr-FR"/>
        </w:rPr>
        <w:t xml:space="preserve">de </w:t>
      </w:r>
      <w:r w:rsidR="003D7C30" w:rsidRPr="00174283">
        <w:rPr>
          <w:lang w:val="fr-FR"/>
        </w:rPr>
        <w:t xml:space="preserve">toute autre loi et </w:t>
      </w:r>
      <w:r w:rsidR="00315B41" w:rsidRPr="00174283">
        <w:rPr>
          <w:lang w:val="fr-FR"/>
        </w:rPr>
        <w:t xml:space="preserve">de tout </w:t>
      </w:r>
      <w:r w:rsidR="003D7C30" w:rsidRPr="00174283">
        <w:rPr>
          <w:lang w:val="fr-FR"/>
        </w:rPr>
        <w:t>programme dans ce domaine. Elle coordonne les activités générales dans ce domaine et suit la mise en œuvre des politiques, mesures et activités</w:t>
      </w:r>
      <w:r w:rsidR="00C70276" w:rsidRPr="00174283">
        <w:rPr>
          <w:lang w:val="fr-FR"/>
        </w:rPr>
        <w:t xml:space="preserve"> qui s</w:t>
      </w:r>
      <w:r w:rsidR="00205A62">
        <w:rPr>
          <w:lang w:val="fr-FR"/>
        </w:rPr>
        <w:t>’</w:t>
      </w:r>
      <w:r w:rsidR="00C70276" w:rsidRPr="00174283">
        <w:rPr>
          <w:lang w:val="fr-FR"/>
        </w:rPr>
        <w:t>y rattachent</w:t>
      </w:r>
      <w:r w:rsidR="009561FB" w:rsidRPr="00174283">
        <w:rPr>
          <w:lang w:val="fr-FR"/>
        </w:rPr>
        <w:t>.</w:t>
      </w:r>
    </w:p>
    <w:p w:rsidR="00490E24" w:rsidRPr="00174283" w:rsidRDefault="00CB419C" w:rsidP="00CB419C">
      <w:pPr>
        <w:pStyle w:val="H23G"/>
        <w:rPr>
          <w:lang w:val="fr-FR"/>
        </w:rPr>
      </w:pPr>
      <w:r w:rsidRPr="00174283">
        <w:rPr>
          <w:lang w:val="fr-FR"/>
        </w:rPr>
        <w:tab/>
      </w:r>
      <w:r w:rsidR="005F4C93" w:rsidRPr="00174283">
        <w:rPr>
          <w:lang w:val="fr-FR"/>
        </w:rPr>
        <w:t>3</w:t>
      </w:r>
      <w:r w:rsidR="00490E24" w:rsidRPr="00174283">
        <w:rPr>
          <w:lang w:val="fr-FR"/>
        </w:rPr>
        <w:t>.</w:t>
      </w:r>
      <w:r w:rsidRPr="00174283">
        <w:rPr>
          <w:lang w:val="fr-FR"/>
        </w:rPr>
        <w:tab/>
      </w:r>
      <w:r w:rsidR="003D7C30" w:rsidRPr="00174283">
        <w:rPr>
          <w:lang w:val="fr-FR"/>
        </w:rPr>
        <w:t>Renseignements sur les institutions nationales des droits de l</w:t>
      </w:r>
      <w:r w:rsidR="00205A62">
        <w:rPr>
          <w:lang w:val="fr-FR"/>
        </w:rPr>
        <w:t>’</w:t>
      </w:r>
      <w:r w:rsidR="003D7C30" w:rsidRPr="00174283">
        <w:rPr>
          <w:lang w:val="fr-FR"/>
        </w:rPr>
        <w:t>homme compétentes dans la lutte contre la discrimination raciale</w:t>
      </w:r>
      <w:r w:rsidR="00490E24" w:rsidRPr="00174283">
        <w:rPr>
          <w:lang w:val="fr-FR"/>
        </w:rPr>
        <w:t xml:space="preserve"> </w:t>
      </w:r>
    </w:p>
    <w:p w:rsidR="00490E24" w:rsidRPr="00174283" w:rsidRDefault="00C80393" w:rsidP="00C80393">
      <w:pPr>
        <w:pStyle w:val="SingleTxtG"/>
        <w:rPr>
          <w:lang w:val="fr-FR"/>
        </w:rPr>
      </w:pPr>
      <w:r>
        <w:rPr>
          <w:lang w:val="fr-FR"/>
        </w:rPr>
        <w:t>18.</w:t>
      </w:r>
      <w:r>
        <w:rPr>
          <w:lang w:val="fr-FR"/>
        </w:rPr>
        <w:tab/>
      </w:r>
      <w:r w:rsidR="00C70276" w:rsidRPr="00174283">
        <w:rPr>
          <w:lang w:val="fr-FR"/>
        </w:rPr>
        <w:t>Se reporter au</w:t>
      </w:r>
      <w:r w:rsidR="003D7C30" w:rsidRPr="00174283">
        <w:rPr>
          <w:lang w:val="fr-FR"/>
        </w:rPr>
        <w:t xml:space="preserve"> Document de base actualisé </w:t>
      </w:r>
      <w:r w:rsidR="00340B74" w:rsidRPr="00174283">
        <w:rPr>
          <w:lang w:val="fr-FR"/>
        </w:rPr>
        <w:t>–</w:t>
      </w:r>
      <w:r w:rsidR="00490E24" w:rsidRPr="00174283">
        <w:rPr>
          <w:lang w:val="fr-FR"/>
        </w:rPr>
        <w:t xml:space="preserve"> Part</w:t>
      </w:r>
      <w:r w:rsidR="003D7C30" w:rsidRPr="00174283">
        <w:rPr>
          <w:lang w:val="fr-FR"/>
        </w:rPr>
        <w:t>ie</w:t>
      </w:r>
      <w:r w:rsidR="00490E24" w:rsidRPr="00174283">
        <w:rPr>
          <w:lang w:val="fr-FR"/>
        </w:rPr>
        <w:t xml:space="preserve"> </w:t>
      </w:r>
      <w:r w:rsidR="00490E24" w:rsidRPr="00174283">
        <w:rPr>
          <w:rFonts w:eastAsia="Arial"/>
          <w:lang w:val="fr-FR"/>
        </w:rPr>
        <w:t xml:space="preserve">E. </w:t>
      </w:r>
      <w:r w:rsidR="003D7C30" w:rsidRPr="00174283">
        <w:rPr>
          <w:rFonts w:eastAsia="Arial"/>
          <w:lang w:val="fr-FR"/>
        </w:rPr>
        <w:t>Cadre de la promotion des droits de l</w:t>
      </w:r>
      <w:r w:rsidR="00205A62">
        <w:rPr>
          <w:rFonts w:eastAsia="Arial"/>
          <w:lang w:val="fr-FR"/>
        </w:rPr>
        <w:t>’</w:t>
      </w:r>
      <w:r w:rsidR="003D7C30" w:rsidRPr="00174283">
        <w:rPr>
          <w:rFonts w:eastAsia="Arial"/>
          <w:lang w:val="fr-FR"/>
        </w:rPr>
        <w:t xml:space="preserve">homme au niveau national </w:t>
      </w:r>
      <w:r w:rsidR="00490E24" w:rsidRPr="00174283">
        <w:rPr>
          <w:rFonts w:eastAsia="Arial"/>
          <w:lang w:val="fr-FR"/>
        </w:rPr>
        <w:t xml:space="preserve">– III </w:t>
      </w:r>
      <w:r w:rsidR="003D7C30" w:rsidRPr="00174283">
        <w:rPr>
          <w:rFonts w:eastAsia="Arial"/>
          <w:lang w:val="fr-FR"/>
        </w:rPr>
        <w:t>Institutions nationales indépendantes de défense des droits de l</w:t>
      </w:r>
      <w:r w:rsidR="00205A62">
        <w:rPr>
          <w:rFonts w:eastAsia="Arial"/>
          <w:lang w:val="fr-FR"/>
        </w:rPr>
        <w:t>’</w:t>
      </w:r>
      <w:r w:rsidR="003D7C30" w:rsidRPr="00174283">
        <w:rPr>
          <w:rFonts w:eastAsia="Arial"/>
          <w:lang w:val="fr-FR"/>
        </w:rPr>
        <w:t xml:space="preserve">homme. </w:t>
      </w:r>
    </w:p>
    <w:p w:rsidR="00490E24" w:rsidRPr="00174283" w:rsidRDefault="00CB419C" w:rsidP="00CB419C">
      <w:pPr>
        <w:pStyle w:val="H23G"/>
        <w:rPr>
          <w:lang w:val="fr-FR"/>
        </w:rPr>
      </w:pPr>
      <w:r w:rsidRPr="00174283">
        <w:rPr>
          <w:lang w:val="fr-FR"/>
        </w:rPr>
        <w:tab/>
      </w:r>
      <w:r w:rsidR="005F4C93" w:rsidRPr="00174283">
        <w:rPr>
          <w:lang w:val="fr-FR"/>
        </w:rPr>
        <w:t>4</w:t>
      </w:r>
      <w:r w:rsidR="00490E24" w:rsidRPr="00174283">
        <w:rPr>
          <w:lang w:val="fr-FR"/>
        </w:rPr>
        <w:t>.</w:t>
      </w:r>
      <w:r w:rsidRPr="00174283">
        <w:rPr>
          <w:lang w:val="fr-FR"/>
        </w:rPr>
        <w:tab/>
      </w:r>
      <w:r w:rsidR="003D7C30" w:rsidRPr="00174283">
        <w:rPr>
          <w:lang w:val="fr-FR"/>
        </w:rPr>
        <w:t xml:space="preserve">Renseignements sur les groupes ou particuliers bénéficiant de mesures spéciales et concrètes dans le domaine social, économique, culturel et autre, conformément </w:t>
      </w:r>
      <w:r w:rsidR="00A8000F" w:rsidRPr="00174283">
        <w:rPr>
          <w:lang w:val="fr-FR"/>
        </w:rPr>
        <w:t>au paragraphe 2 de</w:t>
      </w:r>
      <w:r w:rsidR="003D7C30" w:rsidRPr="00174283">
        <w:rPr>
          <w:lang w:val="fr-FR"/>
        </w:rPr>
        <w:t xml:space="preserve"> l</w:t>
      </w:r>
      <w:r w:rsidR="00205A62">
        <w:rPr>
          <w:lang w:val="fr-FR"/>
        </w:rPr>
        <w:t>’</w:t>
      </w:r>
      <w:r w:rsidR="003D7C30" w:rsidRPr="00174283">
        <w:rPr>
          <w:lang w:val="fr-FR"/>
        </w:rPr>
        <w:t>article 2</w:t>
      </w:r>
      <w:r w:rsidR="00A8000F" w:rsidRPr="00174283">
        <w:rPr>
          <w:lang w:val="fr-FR"/>
        </w:rPr>
        <w:t xml:space="preserve"> </w:t>
      </w:r>
      <w:r w:rsidR="003D7C30" w:rsidRPr="00174283">
        <w:rPr>
          <w:lang w:val="fr-FR"/>
        </w:rPr>
        <w:t>de la Convention</w:t>
      </w:r>
    </w:p>
    <w:p w:rsidR="00490E24" w:rsidRPr="00174283" w:rsidRDefault="00C80393" w:rsidP="00C80393">
      <w:pPr>
        <w:pStyle w:val="SingleTxtG"/>
        <w:rPr>
          <w:lang w:val="fr-FR"/>
        </w:rPr>
      </w:pPr>
      <w:r>
        <w:rPr>
          <w:lang w:val="fr-FR"/>
        </w:rPr>
        <w:t>19.</w:t>
      </w:r>
      <w:r>
        <w:rPr>
          <w:lang w:val="fr-FR"/>
        </w:rPr>
        <w:tab/>
      </w:r>
      <w:r w:rsidR="003D7C30" w:rsidRPr="00174283">
        <w:rPr>
          <w:lang w:val="fr-FR"/>
        </w:rPr>
        <w:t xml:space="preserve">Le principe de représentation équitable </w:t>
      </w:r>
      <w:r w:rsidR="00E54258" w:rsidRPr="00174283">
        <w:rPr>
          <w:lang w:val="fr-FR"/>
        </w:rPr>
        <w:t>consacré par</w:t>
      </w:r>
      <w:r w:rsidR="003D7C30" w:rsidRPr="00174283">
        <w:rPr>
          <w:lang w:val="fr-FR"/>
        </w:rPr>
        <w:t xml:space="preserve"> </w:t>
      </w:r>
      <w:r w:rsidR="009E05F6" w:rsidRPr="00174283">
        <w:rPr>
          <w:lang w:val="fr-FR"/>
        </w:rPr>
        <w:t>l</w:t>
      </w:r>
      <w:r w:rsidR="00205A62">
        <w:rPr>
          <w:lang w:val="fr-FR"/>
        </w:rPr>
        <w:t>’</w:t>
      </w:r>
      <w:r w:rsidR="009E05F6" w:rsidRPr="00174283">
        <w:rPr>
          <w:lang w:val="fr-FR"/>
        </w:rPr>
        <w:t>Accord-cadre d</w:t>
      </w:r>
      <w:r w:rsidR="00205A62">
        <w:rPr>
          <w:lang w:val="fr-FR"/>
        </w:rPr>
        <w:t>’</w:t>
      </w:r>
      <w:r w:rsidR="009E05F6" w:rsidRPr="00174283">
        <w:rPr>
          <w:lang w:val="fr-FR"/>
        </w:rPr>
        <w:t xml:space="preserve">Ohrid </w:t>
      </w:r>
      <w:r w:rsidR="003D7C30" w:rsidRPr="00174283">
        <w:rPr>
          <w:lang w:val="fr-FR"/>
        </w:rPr>
        <w:t xml:space="preserve">a été incorporé dans la </w:t>
      </w:r>
      <w:r w:rsidR="00490E24" w:rsidRPr="00174283">
        <w:rPr>
          <w:lang w:val="fr-FR"/>
        </w:rPr>
        <w:t xml:space="preserve">Constitution </w:t>
      </w:r>
      <w:r w:rsidR="00C70276" w:rsidRPr="00174283">
        <w:rPr>
          <w:lang w:val="fr-FR"/>
        </w:rPr>
        <w:t>macédonienne</w:t>
      </w:r>
      <w:r w:rsidR="00CA2A0A" w:rsidRPr="00174283">
        <w:rPr>
          <w:lang w:val="fr-FR"/>
        </w:rPr>
        <w:t>. Le s</w:t>
      </w:r>
      <w:r w:rsidR="00A8000F" w:rsidRPr="00174283">
        <w:rPr>
          <w:lang w:val="fr-FR"/>
        </w:rPr>
        <w:t xml:space="preserve">ixième </w:t>
      </w:r>
      <w:r w:rsidR="00CE619F" w:rsidRPr="00174283">
        <w:rPr>
          <w:lang w:val="fr-FR"/>
        </w:rPr>
        <w:t>amendement</w:t>
      </w:r>
      <w:r w:rsidR="00CA2A0A" w:rsidRPr="00174283">
        <w:rPr>
          <w:lang w:val="fr-FR"/>
        </w:rPr>
        <w:t xml:space="preserve"> (</w:t>
      </w:r>
      <w:r w:rsidR="003D7C30" w:rsidRPr="00174283">
        <w:rPr>
          <w:lang w:val="fr-FR"/>
        </w:rPr>
        <w:t>a</w:t>
      </w:r>
      <w:r w:rsidR="00490E24" w:rsidRPr="00174283">
        <w:rPr>
          <w:lang w:val="fr-FR"/>
        </w:rPr>
        <w:t>rt</w:t>
      </w:r>
      <w:r w:rsidR="001F3E51">
        <w:rPr>
          <w:lang w:val="fr-FR"/>
        </w:rPr>
        <w:t>.</w:t>
      </w:r>
      <w:r w:rsidR="00575600" w:rsidRPr="00174283">
        <w:rPr>
          <w:lang w:val="fr-FR"/>
        </w:rPr>
        <w:t> </w:t>
      </w:r>
      <w:r w:rsidR="00490E24" w:rsidRPr="00174283">
        <w:rPr>
          <w:lang w:val="fr-FR"/>
        </w:rPr>
        <w:t xml:space="preserve">8, </w:t>
      </w:r>
      <w:r w:rsidR="00C23104" w:rsidRPr="00174283">
        <w:rPr>
          <w:lang w:val="fr-FR"/>
        </w:rPr>
        <w:t>p</w:t>
      </w:r>
      <w:r w:rsidR="00A8000F" w:rsidRPr="00174283">
        <w:rPr>
          <w:lang w:val="fr-FR"/>
        </w:rPr>
        <w:t>ar</w:t>
      </w:r>
      <w:r w:rsidR="001F3E51">
        <w:rPr>
          <w:lang w:val="fr-FR"/>
        </w:rPr>
        <w:t>.</w:t>
      </w:r>
      <w:r w:rsidR="003D7C30" w:rsidRPr="00174283">
        <w:rPr>
          <w:lang w:val="fr-FR"/>
        </w:rPr>
        <w:t> </w:t>
      </w:r>
      <w:r w:rsidR="00490E24" w:rsidRPr="00174283">
        <w:rPr>
          <w:lang w:val="fr-FR"/>
        </w:rPr>
        <w:t>2)</w:t>
      </w:r>
      <w:r w:rsidR="00CA2A0A" w:rsidRPr="00174283">
        <w:rPr>
          <w:lang w:val="fr-FR"/>
        </w:rPr>
        <w:t xml:space="preserve"> porte</w:t>
      </w:r>
      <w:r w:rsidR="00CA2A0A" w:rsidRPr="00174283">
        <w:rPr>
          <w:rFonts w:eastAsia="Calibri"/>
          <w:lang w:val="fr-FR"/>
        </w:rPr>
        <w:t xml:space="preserve"> sur la </w:t>
      </w:r>
      <w:r w:rsidR="00CA2A0A" w:rsidRPr="00174283">
        <w:rPr>
          <w:lang w:val="fr-FR"/>
        </w:rPr>
        <w:t xml:space="preserve">représentation équitable des citoyens </w:t>
      </w:r>
      <w:r w:rsidR="00BF662D" w:rsidRPr="00174283">
        <w:rPr>
          <w:lang w:val="fr-FR"/>
        </w:rPr>
        <w:t>appartenant aux</w:t>
      </w:r>
      <w:r w:rsidR="00CA2A0A" w:rsidRPr="00174283">
        <w:rPr>
          <w:lang w:val="fr-FR"/>
        </w:rPr>
        <w:t xml:space="preserve"> communautés</w:t>
      </w:r>
      <w:r w:rsidR="002F51DC">
        <w:rPr>
          <w:lang w:val="fr-FR"/>
        </w:rPr>
        <w:t xml:space="preserve"> </w:t>
      </w:r>
      <w:r w:rsidR="00CA2A0A" w:rsidRPr="00174283">
        <w:rPr>
          <w:lang w:val="fr-FR"/>
        </w:rPr>
        <w:t>nationales dans les organes de l</w:t>
      </w:r>
      <w:r w:rsidR="00205A62">
        <w:rPr>
          <w:lang w:val="fr-FR"/>
        </w:rPr>
        <w:t>’</w:t>
      </w:r>
      <w:r w:rsidR="00CA2A0A" w:rsidRPr="00174283">
        <w:rPr>
          <w:lang w:val="fr-FR"/>
        </w:rPr>
        <w:t>État</w:t>
      </w:r>
      <w:r w:rsidR="002F51DC">
        <w:rPr>
          <w:lang w:val="fr-FR"/>
        </w:rPr>
        <w:t xml:space="preserve"> </w:t>
      </w:r>
      <w:r w:rsidR="00CA2A0A" w:rsidRPr="00174283">
        <w:rPr>
          <w:lang w:val="fr-FR"/>
        </w:rPr>
        <w:t>et les autres administrations publiques à tous les échelons</w:t>
      </w:r>
      <w:r w:rsidR="00490E24" w:rsidRPr="00174283">
        <w:rPr>
          <w:lang w:val="fr-FR"/>
        </w:rPr>
        <w:t>.</w:t>
      </w:r>
      <w:r w:rsidR="00B45914" w:rsidRPr="00174283">
        <w:rPr>
          <w:lang w:val="fr-FR"/>
        </w:rPr>
        <w:t xml:space="preserve"> </w:t>
      </w:r>
      <w:r w:rsidR="003D7C30" w:rsidRPr="00174283">
        <w:rPr>
          <w:lang w:val="fr-FR"/>
        </w:rPr>
        <w:t>L</w:t>
      </w:r>
      <w:r w:rsidR="00205A62">
        <w:rPr>
          <w:lang w:val="fr-FR"/>
        </w:rPr>
        <w:t>’</w:t>
      </w:r>
      <w:r w:rsidR="00490E24" w:rsidRPr="00174283">
        <w:rPr>
          <w:lang w:val="fr-FR"/>
        </w:rPr>
        <w:t xml:space="preserve">application </w:t>
      </w:r>
      <w:r w:rsidR="003D7C30" w:rsidRPr="00174283">
        <w:rPr>
          <w:lang w:val="fr-FR"/>
        </w:rPr>
        <w:t xml:space="preserve">de ce principe constitutionnel a </w:t>
      </w:r>
      <w:r w:rsidR="00B45914" w:rsidRPr="00174283">
        <w:rPr>
          <w:lang w:val="fr-FR"/>
        </w:rPr>
        <w:t>entraîné la modification d</w:t>
      </w:r>
      <w:r w:rsidR="00205A62">
        <w:rPr>
          <w:lang w:val="fr-FR"/>
        </w:rPr>
        <w:t>’</w:t>
      </w:r>
      <w:r w:rsidR="003D7C30" w:rsidRPr="00174283">
        <w:rPr>
          <w:lang w:val="fr-FR"/>
        </w:rPr>
        <w:t>un certain nombre de lois</w:t>
      </w:r>
      <w:r w:rsidR="002F51DC">
        <w:rPr>
          <w:lang w:val="fr-FR"/>
        </w:rPr>
        <w:t>:</w:t>
      </w:r>
      <w:r w:rsidR="003D7C30" w:rsidRPr="00174283">
        <w:rPr>
          <w:lang w:val="fr-FR"/>
        </w:rPr>
        <w:t xml:space="preserve"> loi sur les fonctionnaires, loi sur les relations </w:t>
      </w:r>
      <w:r w:rsidR="00800824" w:rsidRPr="00174283">
        <w:rPr>
          <w:lang w:val="fr-FR"/>
        </w:rPr>
        <w:t>professionnelles</w:t>
      </w:r>
      <w:r w:rsidR="003D7C30" w:rsidRPr="00174283">
        <w:rPr>
          <w:lang w:val="fr-FR"/>
        </w:rPr>
        <w:t xml:space="preserve">, loi </w:t>
      </w:r>
      <w:r w:rsidR="00655604" w:rsidRPr="00174283">
        <w:rPr>
          <w:lang w:val="fr-FR"/>
        </w:rPr>
        <w:t xml:space="preserve">relative à </w:t>
      </w:r>
      <w:r w:rsidR="002E34E2" w:rsidRPr="00174283">
        <w:rPr>
          <w:lang w:val="fr-FR"/>
        </w:rPr>
        <w:t>l</w:t>
      </w:r>
      <w:r w:rsidR="00205A62">
        <w:rPr>
          <w:lang w:val="fr-FR"/>
        </w:rPr>
        <w:t>’</w:t>
      </w:r>
      <w:r w:rsidR="002E34E2" w:rsidRPr="00174283">
        <w:rPr>
          <w:lang w:val="fr-FR"/>
        </w:rPr>
        <w:t xml:space="preserve">autonomie locale, loi sur la ville de </w:t>
      </w:r>
      <w:r w:rsidR="00490E24" w:rsidRPr="00174283">
        <w:rPr>
          <w:lang w:val="fr-FR"/>
        </w:rPr>
        <w:t xml:space="preserve">Skopje, </w:t>
      </w:r>
      <w:r w:rsidR="002E34E2" w:rsidRPr="00174283">
        <w:rPr>
          <w:lang w:val="fr-FR"/>
        </w:rPr>
        <w:t xml:space="preserve">loi sur le </w:t>
      </w:r>
      <w:r w:rsidR="0053456D" w:rsidRPr="00174283">
        <w:rPr>
          <w:lang w:val="fr-FR"/>
        </w:rPr>
        <w:t>M</w:t>
      </w:r>
      <w:r w:rsidR="002E34E2" w:rsidRPr="00174283">
        <w:rPr>
          <w:lang w:val="fr-FR"/>
        </w:rPr>
        <w:t xml:space="preserve">édiateur, etc. En 2007, le </w:t>
      </w:r>
      <w:r w:rsidR="00D30369" w:rsidRPr="00174283">
        <w:rPr>
          <w:lang w:val="fr-FR"/>
        </w:rPr>
        <w:t xml:space="preserve">Secrétariat </w:t>
      </w:r>
      <w:r w:rsidR="00800824" w:rsidRPr="00174283">
        <w:rPr>
          <w:lang w:val="fr-FR"/>
        </w:rPr>
        <w:t>pour</w:t>
      </w:r>
      <w:r w:rsidR="00D30369" w:rsidRPr="00174283">
        <w:rPr>
          <w:lang w:val="fr-FR"/>
        </w:rPr>
        <w:t xml:space="preserve"> la mise en œuvre de l</w:t>
      </w:r>
      <w:r w:rsidR="00205A62">
        <w:rPr>
          <w:lang w:val="fr-FR"/>
        </w:rPr>
        <w:t>’</w:t>
      </w:r>
      <w:r w:rsidR="00D30369" w:rsidRPr="00174283">
        <w:rPr>
          <w:lang w:val="fr-FR"/>
        </w:rPr>
        <w:t xml:space="preserve">Accord-cadre </w:t>
      </w:r>
      <w:r w:rsidR="005F66BA" w:rsidRPr="00174283">
        <w:rPr>
          <w:lang w:val="fr-FR"/>
        </w:rPr>
        <w:t xml:space="preserve">a adopté une stratégie pour la représentation équitable des personnes appartenant aux communautés </w:t>
      </w:r>
      <w:r w:rsidR="00655604" w:rsidRPr="00174283">
        <w:rPr>
          <w:lang w:val="fr-FR"/>
        </w:rPr>
        <w:t>non majoritaires</w:t>
      </w:r>
      <w:r w:rsidR="005F66BA" w:rsidRPr="00174283">
        <w:rPr>
          <w:lang w:val="fr-FR"/>
        </w:rPr>
        <w:t xml:space="preserve"> de Macédoine qui définit les mesures et activités visant à améliorer la représentation équitable de l</w:t>
      </w:r>
      <w:r w:rsidR="00205A62">
        <w:rPr>
          <w:lang w:val="fr-FR"/>
        </w:rPr>
        <w:t>’</w:t>
      </w:r>
      <w:r w:rsidR="005F66BA" w:rsidRPr="00174283">
        <w:rPr>
          <w:lang w:val="fr-FR"/>
        </w:rPr>
        <w:t xml:space="preserve">ensemble des communautés de la République. Le Bureau du </w:t>
      </w:r>
      <w:r w:rsidR="0053456D" w:rsidRPr="00174283">
        <w:rPr>
          <w:lang w:val="fr-FR"/>
        </w:rPr>
        <w:t>M</w:t>
      </w:r>
      <w:r w:rsidR="005F66BA" w:rsidRPr="00174283">
        <w:rPr>
          <w:lang w:val="fr-FR"/>
        </w:rPr>
        <w:t>édiateur est l</w:t>
      </w:r>
      <w:r w:rsidR="00205A62">
        <w:rPr>
          <w:lang w:val="fr-FR"/>
        </w:rPr>
        <w:t>’</w:t>
      </w:r>
      <w:r w:rsidR="005F66BA" w:rsidRPr="00174283">
        <w:rPr>
          <w:lang w:val="fr-FR"/>
        </w:rPr>
        <w:t>organe chargé de protéger les principes d</w:t>
      </w:r>
      <w:r w:rsidR="00205A62">
        <w:rPr>
          <w:lang w:val="fr-FR"/>
        </w:rPr>
        <w:t>’</w:t>
      </w:r>
      <w:r w:rsidR="005F66BA" w:rsidRPr="00174283">
        <w:rPr>
          <w:lang w:val="fr-FR"/>
        </w:rPr>
        <w:t xml:space="preserve">égalité et de représentation équitable. Les informations sur les progrès </w:t>
      </w:r>
      <w:r w:rsidR="008E7CD0" w:rsidRPr="00174283">
        <w:rPr>
          <w:lang w:val="fr-FR"/>
        </w:rPr>
        <w:t>accomplis</w:t>
      </w:r>
      <w:r w:rsidR="005F66BA" w:rsidRPr="00174283">
        <w:rPr>
          <w:lang w:val="fr-FR"/>
        </w:rPr>
        <w:t xml:space="preserve"> dans l</w:t>
      </w:r>
      <w:r w:rsidR="00205A62">
        <w:rPr>
          <w:lang w:val="fr-FR"/>
        </w:rPr>
        <w:t>’</w:t>
      </w:r>
      <w:r w:rsidR="005F66BA" w:rsidRPr="00174283">
        <w:rPr>
          <w:lang w:val="fr-FR"/>
        </w:rPr>
        <w:t>application d</w:t>
      </w:r>
      <w:r w:rsidR="00BF662D" w:rsidRPr="00174283">
        <w:rPr>
          <w:lang w:val="fr-FR"/>
        </w:rPr>
        <w:t>e ce</w:t>
      </w:r>
      <w:r w:rsidR="005F66BA" w:rsidRPr="00174283">
        <w:rPr>
          <w:lang w:val="fr-FR"/>
        </w:rPr>
        <w:t xml:space="preserve"> principe </w:t>
      </w:r>
      <w:r w:rsidR="00BF662D" w:rsidRPr="00174283">
        <w:rPr>
          <w:lang w:val="fr-FR"/>
        </w:rPr>
        <w:t>au sein de</w:t>
      </w:r>
      <w:r w:rsidR="00DD1569" w:rsidRPr="00174283">
        <w:rPr>
          <w:lang w:val="fr-FR"/>
        </w:rPr>
        <w:t xml:space="preserve"> la fonction publique</w:t>
      </w:r>
      <w:r w:rsidR="005F66BA" w:rsidRPr="00174283">
        <w:rPr>
          <w:lang w:val="fr-FR"/>
        </w:rPr>
        <w:t xml:space="preserve"> font l</w:t>
      </w:r>
      <w:r w:rsidR="00205A62">
        <w:rPr>
          <w:lang w:val="fr-FR"/>
        </w:rPr>
        <w:t>’</w:t>
      </w:r>
      <w:r w:rsidR="005F66BA" w:rsidRPr="00174283">
        <w:rPr>
          <w:lang w:val="fr-FR"/>
        </w:rPr>
        <w:t>objet d</w:t>
      </w:r>
      <w:r w:rsidR="00205A62">
        <w:rPr>
          <w:lang w:val="fr-FR"/>
        </w:rPr>
        <w:t>’</w:t>
      </w:r>
      <w:r w:rsidR="005F66BA" w:rsidRPr="00174283">
        <w:rPr>
          <w:lang w:val="fr-FR"/>
        </w:rPr>
        <w:t>un Rapport annuel. Par ailleurs, l</w:t>
      </w:r>
      <w:r w:rsidR="00205A62">
        <w:rPr>
          <w:lang w:val="fr-FR"/>
        </w:rPr>
        <w:t>’</w:t>
      </w:r>
      <w:r w:rsidR="005F66BA" w:rsidRPr="00174283">
        <w:rPr>
          <w:lang w:val="fr-FR"/>
        </w:rPr>
        <w:t>article 2 de la loi modifiant la loi sur les fonctionnaires (</w:t>
      </w:r>
      <w:r w:rsidR="005F66BA" w:rsidRPr="006C4B2D">
        <w:rPr>
          <w:i/>
          <w:iCs/>
          <w:lang w:val="fr-FR"/>
        </w:rPr>
        <w:t>Journal officiel de la République de Macédoine</w:t>
      </w:r>
      <w:r w:rsidR="005F66BA" w:rsidRPr="00174283">
        <w:rPr>
          <w:lang w:val="fr-FR"/>
        </w:rPr>
        <w:t xml:space="preserve"> n</w:t>
      </w:r>
      <w:r w:rsidR="005F66BA" w:rsidRPr="00174283">
        <w:rPr>
          <w:vertAlign w:val="superscript"/>
          <w:lang w:val="fr-FR"/>
        </w:rPr>
        <w:t>o</w:t>
      </w:r>
      <w:r w:rsidR="005F66BA" w:rsidRPr="00174283">
        <w:rPr>
          <w:lang w:val="fr-FR"/>
        </w:rPr>
        <w:t xml:space="preserve"> 40/3) prévoit que les organes administratifs publics élaborent des </w:t>
      </w:r>
      <w:r w:rsidR="00240BBB" w:rsidRPr="00174283">
        <w:rPr>
          <w:lang w:val="fr-FR"/>
        </w:rPr>
        <w:t>plans annuels pour garantir la représentation équitable des</w:t>
      </w:r>
      <w:r w:rsidR="00DD1569" w:rsidRPr="00174283">
        <w:rPr>
          <w:lang w:val="fr-FR"/>
        </w:rPr>
        <w:t xml:space="preserve"> membres des</w:t>
      </w:r>
      <w:r w:rsidR="00240BBB" w:rsidRPr="00174283">
        <w:rPr>
          <w:lang w:val="fr-FR"/>
        </w:rPr>
        <w:t xml:space="preserve"> communautés. Ces plans contiennent des données sur la situation en matière de représentation équitable</w:t>
      </w:r>
      <w:r w:rsidR="007B3D0A" w:rsidRPr="00174283">
        <w:rPr>
          <w:lang w:val="fr-FR"/>
        </w:rPr>
        <w:t xml:space="preserve">, </w:t>
      </w:r>
      <w:r w:rsidR="00240BBB" w:rsidRPr="00174283">
        <w:rPr>
          <w:lang w:val="fr-FR"/>
        </w:rPr>
        <w:t>des informations sur les plans de recrutement, de promotion professionnelle et de formation</w:t>
      </w:r>
      <w:r w:rsidR="009538CE" w:rsidRPr="00174283">
        <w:rPr>
          <w:lang w:val="fr-FR"/>
        </w:rPr>
        <w:t>,</w:t>
      </w:r>
      <w:r w:rsidR="00240BBB" w:rsidRPr="00174283">
        <w:rPr>
          <w:lang w:val="fr-FR"/>
        </w:rPr>
        <w:t xml:space="preserve"> </w:t>
      </w:r>
      <w:r w:rsidR="007B3D0A" w:rsidRPr="00174283">
        <w:rPr>
          <w:lang w:val="fr-FR"/>
        </w:rPr>
        <w:t>ainsi que</w:t>
      </w:r>
      <w:r w:rsidR="00240BBB" w:rsidRPr="00174283">
        <w:rPr>
          <w:lang w:val="fr-FR"/>
        </w:rPr>
        <w:t xml:space="preserve"> des évaluations des répercussions fi</w:t>
      </w:r>
      <w:r w:rsidR="000E49D4" w:rsidRPr="00174283">
        <w:rPr>
          <w:lang w:val="fr-FR"/>
        </w:rPr>
        <w:t>nancières</w:t>
      </w:r>
      <w:r w:rsidR="00240BBB" w:rsidRPr="00174283">
        <w:rPr>
          <w:lang w:val="fr-FR"/>
        </w:rPr>
        <w:t xml:space="preserve">. </w:t>
      </w:r>
      <w:r w:rsidR="00BF662D" w:rsidRPr="00174283">
        <w:rPr>
          <w:lang w:val="fr-FR"/>
        </w:rPr>
        <w:t>O</w:t>
      </w:r>
      <w:r w:rsidR="00240BBB" w:rsidRPr="00174283">
        <w:rPr>
          <w:lang w:val="fr-FR"/>
        </w:rPr>
        <w:t>utre le principe constitutionnel d</w:t>
      </w:r>
      <w:r w:rsidR="00205A62">
        <w:rPr>
          <w:lang w:val="fr-FR"/>
        </w:rPr>
        <w:t>’</w:t>
      </w:r>
      <w:r w:rsidR="00240BBB" w:rsidRPr="00174283">
        <w:rPr>
          <w:lang w:val="fr-FR"/>
        </w:rPr>
        <w:t>égalité d</w:t>
      </w:r>
      <w:r w:rsidR="00205A62">
        <w:rPr>
          <w:lang w:val="fr-FR"/>
        </w:rPr>
        <w:t>’</w:t>
      </w:r>
      <w:r w:rsidR="00240BBB" w:rsidRPr="00174283">
        <w:rPr>
          <w:lang w:val="fr-FR"/>
        </w:rPr>
        <w:t>accès à l</w:t>
      </w:r>
      <w:r w:rsidR="00205A62">
        <w:rPr>
          <w:lang w:val="fr-FR"/>
        </w:rPr>
        <w:t>’</w:t>
      </w:r>
      <w:r w:rsidR="00240BBB" w:rsidRPr="00174283">
        <w:rPr>
          <w:lang w:val="fr-FR"/>
        </w:rPr>
        <w:t xml:space="preserve">emploi </w:t>
      </w:r>
      <w:r w:rsidR="000769BF" w:rsidRPr="00174283">
        <w:rPr>
          <w:lang w:val="fr-FR"/>
        </w:rPr>
        <w:t>dans le plein respect des critères de professionnalisme et de compétence</w:t>
      </w:r>
      <w:r w:rsidR="00240BBB" w:rsidRPr="00174283">
        <w:rPr>
          <w:lang w:val="fr-FR"/>
        </w:rPr>
        <w:t>, le</w:t>
      </w:r>
      <w:r w:rsidR="002F51DC">
        <w:rPr>
          <w:lang w:val="fr-FR"/>
        </w:rPr>
        <w:t xml:space="preserve"> </w:t>
      </w:r>
      <w:r w:rsidR="000769BF" w:rsidRPr="00174283">
        <w:rPr>
          <w:lang w:val="fr-FR"/>
        </w:rPr>
        <w:t>principe de la représentation équitable des citoyens appartenant à toutes les communautés est</w:t>
      </w:r>
      <w:r w:rsidR="00A03829" w:rsidRPr="00174283">
        <w:rPr>
          <w:lang w:val="fr-FR"/>
        </w:rPr>
        <w:t xml:space="preserve"> par conséquent</w:t>
      </w:r>
      <w:r w:rsidR="000769BF" w:rsidRPr="00174283">
        <w:rPr>
          <w:lang w:val="fr-FR"/>
        </w:rPr>
        <w:t xml:space="preserve"> appliqué </w:t>
      </w:r>
      <w:r w:rsidR="009538CE" w:rsidRPr="00174283">
        <w:rPr>
          <w:lang w:val="fr-FR"/>
        </w:rPr>
        <w:t>lors du recrutement de</w:t>
      </w:r>
      <w:r w:rsidR="00A03829" w:rsidRPr="00174283">
        <w:rPr>
          <w:lang w:val="fr-FR"/>
        </w:rPr>
        <w:t>s</w:t>
      </w:r>
      <w:r w:rsidR="009538CE" w:rsidRPr="00174283">
        <w:rPr>
          <w:lang w:val="fr-FR"/>
        </w:rPr>
        <w:t xml:space="preserve"> fonctionnaires </w:t>
      </w:r>
      <w:r w:rsidR="00240BBB" w:rsidRPr="00174283">
        <w:rPr>
          <w:lang w:val="fr-FR"/>
        </w:rPr>
        <w:t>(art</w:t>
      </w:r>
      <w:r w:rsidR="001F3E51">
        <w:rPr>
          <w:lang w:val="fr-FR"/>
        </w:rPr>
        <w:t>.</w:t>
      </w:r>
      <w:r w:rsidR="00240BBB" w:rsidRPr="00174283">
        <w:rPr>
          <w:lang w:val="fr-FR"/>
        </w:rPr>
        <w:t xml:space="preserve"> 12 de la loi sur les fonctionnaires). </w:t>
      </w:r>
    </w:p>
    <w:p w:rsidR="00490E24" w:rsidRPr="00174283" w:rsidRDefault="00CB419C" w:rsidP="005F4C93">
      <w:pPr>
        <w:pStyle w:val="H23G"/>
        <w:rPr>
          <w:lang w:val="fr-FR"/>
        </w:rPr>
      </w:pPr>
      <w:r w:rsidRPr="00174283">
        <w:rPr>
          <w:lang w:val="fr-FR"/>
        </w:rPr>
        <w:tab/>
      </w:r>
      <w:r w:rsidRPr="00174283">
        <w:rPr>
          <w:lang w:val="fr-FR"/>
        </w:rPr>
        <w:tab/>
      </w:r>
      <w:r w:rsidR="00490E24" w:rsidRPr="00174283">
        <w:rPr>
          <w:lang w:val="fr-FR"/>
        </w:rPr>
        <w:t xml:space="preserve">Situation </w:t>
      </w:r>
      <w:r w:rsidR="00240BBB" w:rsidRPr="00174283">
        <w:rPr>
          <w:lang w:val="fr-FR"/>
        </w:rPr>
        <w:t>des Roms</w:t>
      </w:r>
    </w:p>
    <w:p w:rsidR="00490E24" w:rsidRPr="00174283" w:rsidRDefault="00C80393" w:rsidP="00C80393">
      <w:pPr>
        <w:pStyle w:val="SingleTxtG"/>
        <w:rPr>
          <w:lang w:val="fr-FR"/>
        </w:rPr>
      </w:pPr>
      <w:r>
        <w:rPr>
          <w:lang w:val="fr-FR"/>
        </w:rPr>
        <w:t>20.</w:t>
      </w:r>
      <w:r>
        <w:rPr>
          <w:lang w:val="fr-FR"/>
        </w:rPr>
        <w:tab/>
      </w:r>
      <w:r w:rsidR="001079A2" w:rsidRPr="00174283">
        <w:rPr>
          <w:lang w:val="fr-FR"/>
        </w:rPr>
        <w:t xml:space="preserve">Le Gouvernement a </w:t>
      </w:r>
      <w:r w:rsidR="002F172D" w:rsidRPr="00174283">
        <w:rPr>
          <w:lang w:val="fr-FR"/>
        </w:rPr>
        <w:t>élaboré</w:t>
      </w:r>
      <w:r w:rsidR="001079A2" w:rsidRPr="00174283">
        <w:rPr>
          <w:lang w:val="fr-FR"/>
        </w:rPr>
        <w:t xml:space="preserve"> une Stratégie nationale pour les Roms. </w:t>
      </w:r>
      <w:r w:rsidR="007B3D0A" w:rsidRPr="00174283">
        <w:rPr>
          <w:lang w:val="fr-FR"/>
        </w:rPr>
        <w:t>Des plans d</w:t>
      </w:r>
      <w:r w:rsidR="00205A62">
        <w:rPr>
          <w:lang w:val="fr-FR"/>
        </w:rPr>
        <w:t>’</w:t>
      </w:r>
      <w:r w:rsidR="007B3D0A" w:rsidRPr="00174283">
        <w:rPr>
          <w:lang w:val="fr-FR"/>
        </w:rPr>
        <w:t xml:space="preserve">action nationaux ont été </w:t>
      </w:r>
      <w:r w:rsidR="002F172D" w:rsidRPr="00174283">
        <w:rPr>
          <w:lang w:val="fr-FR"/>
        </w:rPr>
        <w:t>préparé</w:t>
      </w:r>
      <w:r w:rsidR="007B3D0A" w:rsidRPr="00174283">
        <w:rPr>
          <w:lang w:val="fr-FR"/>
        </w:rPr>
        <w:t>s</w:t>
      </w:r>
      <w:r w:rsidR="001079A2" w:rsidRPr="00174283">
        <w:rPr>
          <w:lang w:val="fr-FR"/>
        </w:rPr>
        <w:t xml:space="preserve">, conformément à </w:t>
      </w:r>
      <w:r w:rsidR="00DD1569" w:rsidRPr="00174283">
        <w:rPr>
          <w:lang w:val="fr-FR"/>
        </w:rPr>
        <w:t xml:space="preserve">cette </w:t>
      </w:r>
      <w:r w:rsidR="003429EF" w:rsidRPr="00174283">
        <w:rPr>
          <w:lang w:val="fr-FR"/>
        </w:rPr>
        <w:t>S</w:t>
      </w:r>
      <w:r w:rsidR="001079A2" w:rsidRPr="00174283">
        <w:rPr>
          <w:lang w:val="fr-FR"/>
        </w:rPr>
        <w:t xml:space="preserve">tratégie et à la </w:t>
      </w:r>
      <w:r w:rsidR="007B3D0A" w:rsidRPr="00174283">
        <w:rPr>
          <w:iCs/>
          <w:lang w:val="fr-FR"/>
        </w:rPr>
        <w:t>Décennie pour</w:t>
      </w:r>
      <w:r w:rsidR="007B3D0A" w:rsidRPr="00174283">
        <w:rPr>
          <w:lang w:val="fr-FR"/>
        </w:rPr>
        <w:t xml:space="preserve"> l</w:t>
      </w:r>
      <w:r w:rsidR="00205A62">
        <w:rPr>
          <w:lang w:val="fr-FR"/>
        </w:rPr>
        <w:t>’</w:t>
      </w:r>
      <w:r w:rsidR="000D0535" w:rsidRPr="00174283">
        <w:rPr>
          <w:lang w:val="fr-FR"/>
        </w:rPr>
        <w:t>intégration</w:t>
      </w:r>
      <w:r w:rsidR="007B3D0A" w:rsidRPr="00174283">
        <w:rPr>
          <w:lang w:val="fr-FR"/>
        </w:rPr>
        <w:t xml:space="preserve"> des </w:t>
      </w:r>
      <w:r w:rsidR="007B3D0A" w:rsidRPr="00174283">
        <w:rPr>
          <w:iCs/>
          <w:lang w:val="fr-FR"/>
        </w:rPr>
        <w:t>Roms</w:t>
      </w:r>
      <w:r w:rsidR="000D0535" w:rsidRPr="00174283">
        <w:rPr>
          <w:iCs/>
          <w:lang w:val="fr-FR"/>
        </w:rPr>
        <w:t xml:space="preserve"> 2005-2015</w:t>
      </w:r>
      <w:r w:rsidR="001079A2" w:rsidRPr="00174283">
        <w:rPr>
          <w:lang w:val="fr-FR"/>
        </w:rPr>
        <w:t>.</w:t>
      </w:r>
      <w:r w:rsidR="0030152D" w:rsidRPr="00174283">
        <w:rPr>
          <w:lang w:val="fr-FR"/>
        </w:rPr>
        <w:t xml:space="preserve"> </w:t>
      </w:r>
      <w:r w:rsidR="001079A2" w:rsidRPr="00174283">
        <w:rPr>
          <w:lang w:val="fr-FR"/>
        </w:rPr>
        <w:t xml:space="preserve">Les municipalités </w:t>
      </w:r>
      <w:r w:rsidR="002F172D" w:rsidRPr="00174283">
        <w:rPr>
          <w:lang w:val="fr-FR"/>
        </w:rPr>
        <w:t xml:space="preserve">dont la population est majoritairement </w:t>
      </w:r>
      <w:r w:rsidR="00174283" w:rsidRPr="00174283">
        <w:rPr>
          <w:lang w:val="fr-FR"/>
        </w:rPr>
        <w:t>constituée</w:t>
      </w:r>
      <w:r w:rsidR="001079A2" w:rsidRPr="00174283">
        <w:rPr>
          <w:lang w:val="fr-FR"/>
        </w:rPr>
        <w:t xml:space="preserve"> de Roms (municipalités importantes comme les villes de </w:t>
      </w:r>
      <w:r w:rsidR="00490E24" w:rsidRPr="00174283">
        <w:rPr>
          <w:lang w:val="fr-FR"/>
        </w:rPr>
        <w:t xml:space="preserve">Tetovo, Gostivar, Stip, Delcevo, Kocani, Prilep, etc.) </w:t>
      </w:r>
      <w:r w:rsidR="001079A2" w:rsidRPr="00174283">
        <w:rPr>
          <w:lang w:val="fr-FR"/>
        </w:rPr>
        <w:t>ont élaboré des plans d</w:t>
      </w:r>
      <w:r w:rsidR="00205A62">
        <w:rPr>
          <w:lang w:val="fr-FR"/>
        </w:rPr>
        <w:t>’</w:t>
      </w:r>
      <w:r w:rsidR="001079A2" w:rsidRPr="00174283">
        <w:rPr>
          <w:lang w:val="fr-FR"/>
        </w:rPr>
        <w:t xml:space="preserve">action locaux, conformes aux plans nationaux. </w:t>
      </w:r>
      <w:r w:rsidR="0030152D" w:rsidRPr="00174283">
        <w:rPr>
          <w:lang w:val="fr-FR"/>
        </w:rPr>
        <w:t>Leur mise en œuvre est financée par les</w:t>
      </w:r>
      <w:r w:rsidR="001079A2" w:rsidRPr="00174283">
        <w:rPr>
          <w:lang w:val="fr-FR"/>
        </w:rPr>
        <w:t xml:space="preserve"> budgets locaux. </w:t>
      </w:r>
    </w:p>
    <w:p w:rsidR="00490E24" w:rsidRPr="00174283" w:rsidRDefault="00C80393" w:rsidP="00C80393">
      <w:pPr>
        <w:pStyle w:val="SingleTxtG"/>
        <w:rPr>
          <w:lang w:val="fr-FR"/>
        </w:rPr>
      </w:pPr>
      <w:r>
        <w:rPr>
          <w:lang w:val="fr-FR"/>
        </w:rPr>
        <w:t>21.</w:t>
      </w:r>
      <w:r>
        <w:rPr>
          <w:lang w:val="fr-FR"/>
        </w:rPr>
        <w:tab/>
      </w:r>
      <w:r w:rsidR="00BE7EE6" w:rsidRPr="00174283">
        <w:rPr>
          <w:lang w:val="fr-FR"/>
        </w:rPr>
        <w:t>Le projet intitulé «Soutien à la mise en œuvre de la Stratégie pour les Roms», financé par l</w:t>
      </w:r>
      <w:r w:rsidR="00205A62">
        <w:rPr>
          <w:lang w:val="fr-FR"/>
        </w:rPr>
        <w:t>’</w:t>
      </w:r>
      <w:r w:rsidR="00BE7EE6" w:rsidRPr="00174283">
        <w:rPr>
          <w:lang w:val="fr-FR"/>
        </w:rPr>
        <w:t>Union européenne (</w:t>
      </w:r>
      <w:r w:rsidR="002F172D" w:rsidRPr="00174283">
        <w:rPr>
          <w:lang w:val="fr-FR"/>
        </w:rPr>
        <w:t>à hauteur d</w:t>
      </w:r>
      <w:r w:rsidR="00205A62">
        <w:rPr>
          <w:lang w:val="fr-FR"/>
        </w:rPr>
        <w:t>’</w:t>
      </w:r>
      <w:r w:rsidR="00BE7EE6" w:rsidRPr="00174283">
        <w:rPr>
          <w:lang w:val="fr-FR"/>
        </w:rPr>
        <w:t xml:space="preserve">environ 600 000 euros), a été </w:t>
      </w:r>
      <w:r w:rsidR="00631317">
        <w:rPr>
          <w:lang w:val="fr-FR"/>
        </w:rPr>
        <w:t>déployé</w:t>
      </w:r>
      <w:r w:rsidR="00BE7EE6" w:rsidRPr="00174283">
        <w:rPr>
          <w:lang w:val="fr-FR"/>
        </w:rPr>
        <w:t xml:space="preserve"> entre janvier 2011 et juillet 2012 dans le but de renforcer les capacités institutionnelles des organes chargés de la mise en œuvre de la Stratégie nationale pour les Roms</w:t>
      </w:r>
      <w:r w:rsidR="002F172D" w:rsidRPr="00174283">
        <w:rPr>
          <w:lang w:val="fr-FR"/>
        </w:rPr>
        <w:t>, condition préalable à l</w:t>
      </w:r>
      <w:r w:rsidR="00205A62">
        <w:rPr>
          <w:lang w:val="fr-FR"/>
        </w:rPr>
        <w:t>’</w:t>
      </w:r>
      <w:r w:rsidR="002F172D" w:rsidRPr="00174283">
        <w:rPr>
          <w:lang w:val="fr-FR"/>
        </w:rPr>
        <w:t>amélioration de</w:t>
      </w:r>
      <w:r w:rsidR="00BE7EE6" w:rsidRPr="00174283">
        <w:rPr>
          <w:lang w:val="fr-FR"/>
        </w:rPr>
        <w:t xml:space="preserve"> la situation des Roms dans quatre domaines essentiels</w:t>
      </w:r>
      <w:r w:rsidR="002F51DC">
        <w:rPr>
          <w:lang w:val="fr-FR"/>
        </w:rPr>
        <w:t>:</w:t>
      </w:r>
      <w:r w:rsidR="00BE7EE6" w:rsidRPr="00174283">
        <w:rPr>
          <w:lang w:val="fr-FR"/>
        </w:rPr>
        <w:t xml:space="preserve"> logement, soins de santé, éducation et emploi. </w:t>
      </w:r>
    </w:p>
    <w:p w:rsidR="00490E24" w:rsidRPr="00174283" w:rsidRDefault="00C80393" w:rsidP="00C80393">
      <w:pPr>
        <w:pStyle w:val="SingleTxtG"/>
        <w:rPr>
          <w:lang w:val="fr-FR"/>
        </w:rPr>
      </w:pPr>
      <w:r>
        <w:rPr>
          <w:lang w:val="fr-FR"/>
        </w:rPr>
        <w:t>22.</w:t>
      </w:r>
      <w:r>
        <w:rPr>
          <w:lang w:val="fr-FR"/>
        </w:rPr>
        <w:tab/>
      </w:r>
      <w:r w:rsidR="00BE7EE6" w:rsidRPr="00174283">
        <w:rPr>
          <w:lang w:val="fr-FR"/>
        </w:rPr>
        <w:t xml:space="preserve">En vertu de ce projet, deux </w:t>
      </w:r>
      <w:r w:rsidR="0030152D" w:rsidRPr="00174283">
        <w:rPr>
          <w:lang w:val="fr-FR"/>
        </w:rPr>
        <w:t>grands axes</w:t>
      </w:r>
      <w:r w:rsidR="00BE7EE6" w:rsidRPr="00174283">
        <w:rPr>
          <w:lang w:val="fr-FR"/>
        </w:rPr>
        <w:t xml:space="preserve"> sont privilégiés</w:t>
      </w:r>
      <w:r w:rsidR="002F51DC">
        <w:rPr>
          <w:lang w:val="fr-FR"/>
        </w:rPr>
        <w:t>:</w:t>
      </w:r>
    </w:p>
    <w:p w:rsidR="00490E24" w:rsidRPr="00174283" w:rsidRDefault="0030152D" w:rsidP="00CB419C">
      <w:pPr>
        <w:pStyle w:val="Bullet1G"/>
        <w:rPr>
          <w:lang w:val="fr-FR"/>
        </w:rPr>
      </w:pPr>
      <w:r w:rsidRPr="00174283">
        <w:rPr>
          <w:lang w:val="fr-FR"/>
        </w:rPr>
        <w:t>Le r</w:t>
      </w:r>
      <w:r w:rsidR="00BE7EE6" w:rsidRPr="00174283">
        <w:rPr>
          <w:lang w:val="fr-FR"/>
        </w:rPr>
        <w:t>enforce</w:t>
      </w:r>
      <w:r w:rsidRPr="00174283">
        <w:rPr>
          <w:lang w:val="fr-FR"/>
        </w:rPr>
        <w:t>ment</w:t>
      </w:r>
      <w:r w:rsidR="00BE7EE6" w:rsidRPr="00174283">
        <w:rPr>
          <w:lang w:val="fr-FR"/>
        </w:rPr>
        <w:t xml:space="preserve"> </w:t>
      </w:r>
      <w:r w:rsidRPr="00174283">
        <w:rPr>
          <w:lang w:val="fr-FR"/>
        </w:rPr>
        <w:t xml:space="preserve">de </w:t>
      </w:r>
      <w:r w:rsidR="00BE7EE6" w:rsidRPr="00174283">
        <w:rPr>
          <w:lang w:val="fr-FR"/>
        </w:rPr>
        <w:t>la structure opérati</w:t>
      </w:r>
      <w:r w:rsidRPr="00174283">
        <w:rPr>
          <w:lang w:val="fr-FR"/>
        </w:rPr>
        <w:t>onnelle</w:t>
      </w:r>
      <w:r w:rsidR="00BE7EE6" w:rsidRPr="00174283">
        <w:rPr>
          <w:lang w:val="fr-FR"/>
        </w:rPr>
        <w:t xml:space="preserve"> et de coordination pour la mise en œuvre de la Stratégie pour les Roms</w:t>
      </w:r>
      <w:r w:rsidR="00B6019A" w:rsidRPr="00174283">
        <w:rPr>
          <w:lang w:val="fr-FR"/>
        </w:rPr>
        <w:t>;</w:t>
      </w:r>
      <w:r w:rsidR="00BE7EE6" w:rsidRPr="00174283">
        <w:rPr>
          <w:lang w:val="fr-FR"/>
        </w:rPr>
        <w:t xml:space="preserve"> et</w:t>
      </w:r>
      <w:r w:rsidR="00490E24" w:rsidRPr="00174283">
        <w:rPr>
          <w:lang w:val="fr-FR"/>
        </w:rPr>
        <w:t xml:space="preserve"> </w:t>
      </w:r>
    </w:p>
    <w:p w:rsidR="00490E24" w:rsidRPr="00174283" w:rsidRDefault="001038E1" w:rsidP="00CB419C">
      <w:pPr>
        <w:pStyle w:val="Bullet1G"/>
        <w:rPr>
          <w:lang w:val="fr-FR"/>
        </w:rPr>
      </w:pPr>
      <w:r w:rsidRPr="00174283">
        <w:rPr>
          <w:lang w:val="fr-FR"/>
        </w:rPr>
        <w:t>La m</w:t>
      </w:r>
      <w:r w:rsidR="00BE7EE6" w:rsidRPr="00174283">
        <w:rPr>
          <w:lang w:val="fr-FR"/>
        </w:rPr>
        <w:t>ise en œuvre de plans d</w:t>
      </w:r>
      <w:r w:rsidR="00205A62">
        <w:rPr>
          <w:lang w:val="fr-FR"/>
        </w:rPr>
        <w:t>’</w:t>
      </w:r>
      <w:r w:rsidR="00BE7EE6" w:rsidRPr="00174283">
        <w:rPr>
          <w:lang w:val="fr-FR"/>
        </w:rPr>
        <w:t>action</w:t>
      </w:r>
      <w:r w:rsidRPr="00174283">
        <w:rPr>
          <w:lang w:val="fr-FR"/>
        </w:rPr>
        <w:t xml:space="preserve">, </w:t>
      </w:r>
      <w:r w:rsidR="00537528" w:rsidRPr="00174283">
        <w:rPr>
          <w:lang w:val="fr-FR"/>
        </w:rPr>
        <w:t>en</w:t>
      </w:r>
      <w:r w:rsidRPr="00174283">
        <w:rPr>
          <w:lang w:val="fr-FR"/>
        </w:rPr>
        <w:t xml:space="preserve"> particuli</w:t>
      </w:r>
      <w:r w:rsidR="00537528" w:rsidRPr="00174283">
        <w:rPr>
          <w:lang w:val="fr-FR"/>
        </w:rPr>
        <w:t>er à l</w:t>
      </w:r>
      <w:r w:rsidR="00205A62">
        <w:rPr>
          <w:lang w:val="fr-FR"/>
        </w:rPr>
        <w:t>’</w:t>
      </w:r>
      <w:r w:rsidR="00537528" w:rsidRPr="00174283">
        <w:rPr>
          <w:lang w:val="fr-FR"/>
        </w:rPr>
        <w:t>échelle locale</w:t>
      </w:r>
      <w:r w:rsidR="00BE7EE6" w:rsidRPr="00174283">
        <w:rPr>
          <w:lang w:val="fr-FR"/>
        </w:rPr>
        <w:t xml:space="preserve">. </w:t>
      </w:r>
    </w:p>
    <w:p w:rsidR="00A12C01" w:rsidRPr="00174283" w:rsidRDefault="00C80393" w:rsidP="00C80393">
      <w:pPr>
        <w:pStyle w:val="SingleTxtG"/>
        <w:rPr>
          <w:lang w:val="fr-FR"/>
        </w:rPr>
      </w:pPr>
      <w:r>
        <w:rPr>
          <w:lang w:val="fr-FR"/>
        </w:rPr>
        <w:t>23.</w:t>
      </w:r>
      <w:r>
        <w:rPr>
          <w:lang w:val="fr-FR"/>
        </w:rPr>
        <w:tab/>
      </w:r>
      <w:r w:rsidR="00E62D35" w:rsidRPr="00174283">
        <w:rPr>
          <w:lang w:val="fr-FR"/>
        </w:rPr>
        <w:t>Dans le cadre de ce projet, l</w:t>
      </w:r>
      <w:r w:rsidR="00BE7EE6" w:rsidRPr="00174283">
        <w:rPr>
          <w:lang w:val="fr-FR"/>
        </w:rPr>
        <w:t>es capacités des institutions et organes suivants ont été renforcées</w:t>
      </w:r>
      <w:r w:rsidR="002F51DC">
        <w:rPr>
          <w:lang w:val="fr-FR"/>
        </w:rPr>
        <w:t>:</w:t>
      </w:r>
      <w:r w:rsidR="00BE7EE6" w:rsidRPr="00174283">
        <w:rPr>
          <w:lang w:val="fr-FR"/>
        </w:rPr>
        <w:t xml:space="preserve"> Unité chargée de la mise en œuvre de la Stratégie pour les Roms et de la Décennie pour </w:t>
      </w:r>
      <w:r w:rsidR="001038E1" w:rsidRPr="00174283">
        <w:rPr>
          <w:lang w:val="fr-FR"/>
        </w:rPr>
        <w:t>l</w:t>
      </w:r>
      <w:r w:rsidR="00205A62">
        <w:rPr>
          <w:lang w:val="fr-FR"/>
        </w:rPr>
        <w:t>’</w:t>
      </w:r>
      <w:r w:rsidR="000D0535" w:rsidRPr="00174283">
        <w:rPr>
          <w:lang w:val="fr-FR"/>
        </w:rPr>
        <w:t>intégration</w:t>
      </w:r>
      <w:r w:rsidR="001038E1" w:rsidRPr="00174283">
        <w:rPr>
          <w:lang w:val="fr-FR"/>
        </w:rPr>
        <w:t xml:space="preserve"> d</w:t>
      </w:r>
      <w:r w:rsidR="00BE7EE6" w:rsidRPr="00174283">
        <w:rPr>
          <w:lang w:val="fr-FR"/>
        </w:rPr>
        <w:t>es Roms</w:t>
      </w:r>
      <w:r w:rsidR="00631317">
        <w:rPr>
          <w:lang w:val="fr-FR"/>
        </w:rPr>
        <w:t xml:space="preserve"> du</w:t>
      </w:r>
      <w:r w:rsidR="00631317" w:rsidRPr="00631317">
        <w:rPr>
          <w:lang w:val="fr-FR"/>
        </w:rPr>
        <w:t xml:space="preserve"> Ministère du travail et de la politique sociale</w:t>
      </w:r>
      <w:r w:rsidR="001004CF" w:rsidRPr="00174283">
        <w:rPr>
          <w:lang w:val="fr-FR"/>
        </w:rPr>
        <w:t>;</w:t>
      </w:r>
      <w:r w:rsidR="00BE7EE6" w:rsidRPr="00174283">
        <w:rPr>
          <w:lang w:val="fr-FR"/>
        </w:rPr>
        <w:t xml:space="preserve"> </w:t>
      </w:r>
      <w:r w:rsidR="00490E24" w:rsidRPr="00174283">
        <w:rPr>
          <w:lang w:val="fr-FR"/>
        </w:rPr>
        <w:t xml:space="preserve">Cabinet </w:t>
      </w:r>
      <w:r w:rsidR="00BE7EE6" w:rsidRPr="00174283">
        <w:rPr>
          <w:lang w:val="fr-FR"/>
        </w:rPr>
        <w:t>du Ministre sans portefeuille, qui est le coordonnateur national de la Stratégie et de la Décennie pour l</w:t>
      </w:r>
      <w:r w:rsidR="00205A62">
        <w:rPr>
          <w:lang w:val="fr-FR"/>
        </w:rPr>
        <w:t>’</w:t>
      </w:r>
      <w:r w:rsidR="000D0535" w:rsidRPr="00174283">
        <w:rPr>
          <w:lang w:val="fr-FR"/>
        </w:rPr>
        <w:t>intégration</w:t>
      </w:r>
      <w:r w:rsidR="00102DB0" w:rsidRPr="00174283">
        <w:rPr>
          <w:lang w:val="fr-FR"/>
        </w:rPr>
        <w:t xml:space="preserve"> d</w:t>
      </w:r>
      <w:r w:rsidR="00BE7EE6" w:rsidRPr="00174283">
        <w:rPr>
          <w:lang w:val="fr-FR"/>
        </w:rPr>
        <w:t xml:space="preserve">es Roms et Organe de coordination national pour la mise en </w:t>
      </w:r>
      <w:r w:rsidR="003B430E" w:rsidRPr="00174283">
        <w:rPr>
          <w:lang w:val="fr-FR"/>
        </w:rPr>
        <w:t xml:space="preserve">œuvre </w:t>
      </w:r>
      <w:r w:rsidR="00BE7EE6" w:rsidRPr="00174283">
        <w:rPr>
          <w:lang w:val="fr-FR"/>
        </w:rPr>
        <w:t xml:space="preserve">de la Stratégie pour les Roms. </w:t>
      </w:r>
    </w:p>
    <w:p w:rsidR="00490E24" w:rsidRPr="00174283" w:rsidRDefault="00C80393" w:rsidP="00C80393">
      <w:pPr>
        <w:pStyle w:val="SingleTxtG"/>
        <w:rPr>
          <w:lang w:val="fr-FR"/>
        </w:rPr>
      </w:pPr>
      <w:r>
        <w:rPr>
          <w:lang w:val="fr-FR"/>
        </w:rPr>
        <w:t>24.</w:t>
      </w:r>
      <w:r>
        <w:rPr>
          <w:lang w:val="fr-FR"/>
        </w:rPr>
        <w:tab/>
      </w:r>
      <w:r w:rsidR="001004CF" w:rsidRPr="00174283">
        <w:rPr>
          <w:lang w:val="fr-FR"/>
        </w:rPr>
        <w:t>L</w:t>
      </w:r>
      <w:r w:rsidR="00594B80" w:rsidRPr="00174283">
        <w:rPr>
          <w:lang w:val="fr-FR"/>
        </w:rPr>
        <w:t xml:space="preserve">a Macédoine a </w:t>
      </w:r>
      <w:r w:rsidR="00662C51" w:rsidRPr="00174283">
        <w:rPr>
          <w:lang w:val="fr-FR"/>
        </w:rPr>
        <w:t xml:space="preserve">assuré la présidence de </w:t>
      </w:r>
      <w:r w:rsidR="00594B80" w:rsidRPr="00174283">
        <w:rPr>
          <w:lang w:val="fr-FR"/>
        </w:rPr>
        <w:t>la Décennie pour l</w:t>
      </w:r>
      <w:r w:rsidR="00205A62">
        <w:rPr>
          <w:lang w:val="fr-FR"/>
        </w:rPr>
        <w:t>’</w:t>
      </w:r>
      <w:r w:rsidR="000D0535" w:rsidRPr="00174283">
        <w:rPr>
          <w:lang w:val="fr-FR"/>
        </w:rPr>
        <w:t>intégration</w:t>
      </w:r>
      <w:r w:rsidR="00594B80" w:rsidRPr="00174283">
        <w:rPr>
          <w:lang w:val="fr-FR"/>
        </w:rPr>
        <w:t xml:space="preserve"> des Roms</w:t>
      </w:r>
      <w:r w:rsidR="000D0535" w:rsidRPr="00174283">
        <w:rPr>
          <w:lang w:val="fr-FR"/>
        </w:rPr>
        <w:t xml:space="preserve"> 2005-2015</w:t>
      </w:r>
      <w:r w:rsidR="001004CF" w:rsidRPr="00174283">
        <w:rPr>
          <w:lang w:val="fr-FR"/>
        </w:rPr>
        <w:t xml:space="preserve"> du 1</w:t>
      </w:r>
      <w:r w:rsidR="001004CF" w:rsidRPr="00174283">
        <w:rPr>
          <w:vertAlign w:val="superscript"/>
          <w:lang w:val="fr-FR"/>
        </w:rPr>
        <w:t>er</w:t>
      </w:r>
      <w:r w:rsidR="001004CF" w:rsidRPr="00174283">
        <w:rPr>
          <w:lang w:val="fr-FR"/>
        </w:rPr>
        <w:t xml:space="preserve"> juillet 2011 au 30 juin 2012</w:t>
      </w:r>
      <w:r w:rsidR="00B437B0" w:rsidRPr="00174283">
        <w:rPr>
          <w:lang w:val="fr-FR"/>
        </w:rPr>
        <w:t xml:space="preserve">. </w:t>
      </w:r>
      <w:r w:rsidR="001004CF" w:rsidRPr="00174283">
        <w:rPr>
          <w:lang w:val="fr-FR"/>
        </w:rPr>
        <w:t>La Décennie est un</w:t>
      </w:r>
      <w:r w:rsidR="008E72B4" w:rsidRPr="00174283">
        <w:rPr>
          <w:lang w:val="fr-FR"/>
        </w:rPr>
        <w:t>e initiative</w:t>
      </w:r>
      <w:r w:rsidR="00B437B0" w:rsidRPr="00174283">
        <w:rPr>
          <w:lang w:val="fr-FR"/>
        </w:rPr>
        <w:t xml:space="preserve"> international</w:t>
      </w:r>
      <w:r w:rsidR="008E72B4" w:rsidRPr="00174283">
        <w:rPr>
          <w:lang w:val="fr-FR"/>
        </w:rPr>
        <w:t>e</w:t>
      </w:r>
      <w:r w:rsidR="00B437B0" w:rsidRPr="00174283">
        <w:rPr>
          <w:lang w:val="fr-FR"/>
        </w:rPr>
        <w:t xml:space="preserve"> </w:t>
      </w:r>
      <w:r w:rsidR="008E72B4" w:rsidRPr="00174283">
        <w:rPr>
          <w:lang w:val="fr-FR"/>
        </w:rPr>
        <w:t>qui traduit</w:t>
      </w:r>
      <w:r w:rsidR="00B437B0" w:rsidRPr="00174283">
        <w:rPr>
          <w:lang w:val="fr-FR"/>
        </w:rPr>
        <w:t xml:space="preserve"> l</w:t>
      </w:r>
      <w:r w:rsidR="00205A62">
        <w:rPr>
          <w:lang w:val="fr-FR"/>
        </w:rPr>
        <w:t>’</w:t>
      </w:r>
      <w:r w:rsidR="00594B80" w:rsidRPr="00174283">
        <w:rPr>
          <w:lang w:val="fr-FR"/>
        </w:rPr>
        <w:t xml:space="preserve">engagement politique des gouvernements signataires </w:t>
      </w:r>
      <w:r w:rsidR="00B437B0" w:rsidRPr="00174283">
        <w:rPr>
          <w:lang w:val="fr-FR"/>
        </w:rPr>
        <w:t>à r</w:t>
      </w:r>
      <w:r w:rsidR="005B2C97" w:rsidRPr="00174283">
        <w:rPr>
          <w:lang w:val="fr-FR"/>
        </w:rPr>
        <w:t>éduire la pauvreté et à lutter contre</w:t>
      </w:r>
      <w:r w:rsidR="00B437B0" w:rsidRPr="00174283">
        <w:rPr>
          <w:lang w:val="fr-FR"/>
        </w:rPr>
        <w:t xml:space="preserve"> </w:t>
      </w:r>
      <w:r w:rsidR="00594B80" w:rsidRPr="00174283">
        <w:rPr>
          <w:lang w:val="fr-FR"/>
        </w:rPr>
        <w:t xml:space="preserve">la marginalisation et la discrimination </w:t>
      </w:r>
      <w:r w:rsidR="005B2C97" w:rsidRPr="00174283">
        <w:rPr>
          <w:lang w:val="fr-FR"/>
        </w:rPr>
        <w:t>dont les</w:t>
      </w:r>
      <w:r w:rsidR="00594B80" w:rsidRPr="00174283">
        <w:rPr>
          <w:lang w:val="fr-FR"/>
        </w:rPr>
        <w:t xml:space="preserve"> Roms</w:t>
      </w:r>
      <w:r w:rsidR="005B2C97" w:rsidRPr="00174283">
        <w:rPr>
          <w:lang w:val="fr-FR"/>
        </w:rPr>
        <w:t xml:space="preserve"> font l</w:t>
      </w:r>
      <w:r w:rsidR="00205A62">
        <w:rPr>
          <w:lang w:val="fr-FR"/>
        </w:rPr>
        <w:t>’</w:t>
      </w:r>
      <w:r w:rsidR="005B2C97" w:rsidRPr="00174283">
        <w:rPr>
          <w:lang w:val="fr-FR"/>
        </w:rPr>
        <w:t>objet</w:t>
      </w:r>
      <w:r w:rsidR="00594B80" w:rsidRPr="00174283">
        <w:rPr>
          <w:lang w:val="fr-FR"/>
        </w:rPr>
        <w:t xml:space="preserve"> à l</w:t>
      </w:r>
      <w:r w:rsidR="00205A62">
        <w:rPr>
          <w:lang w:val="fr-FR"/>
        </w:rPr>
        <w:t>’</w:t>
      </w:r>
      <w:r w:rsidR="00594B80" w:rsidRPr="00174283">
        <w:rPr>
          <w:lang w:val="fr-FR"/>
        </w:rPr>
        <w:t xml:space="preserve">échelle régionale. </w:t>
      </w:r>
    </w:p>
    <w:p w:rsidR="00490E24" w:rsidRPr="00174283" w:rsidRDefault="00C80393" w:rsidP="00C80393">
      <w:pPr>
        <w:pStyle w:val="SingleTxtG"/>
        <w:rPr>
          <w:lang w:val="fr-FR"/>
        </w:rPr>
      </w:pPr>
      <w:r>
        <w:rPr>
          <w:lang w:val="fr-FR"/>
        </w:rPr>
        <w:t>25.</w:t>
      </w:r>
      <w:r>
        <w:rPr>
          <w:lang w:val="fr-FR"/>
        </w:rPr>
        <w:tab/>
      </w:r>
      <w:r w:rsidR="00594B80" w:rsidRPr="00174283">
        <w:rPr>
          <w:lang w:val="fr-FR"/>
        </w:rPr>
        <w:t>Pour plus d</w:t>
      </w:r>
      <w:r w:rsidR="00205A62">
        <w:rPr>
          <w:lang w:val="fr-FR"/>
        </w:rPr>
        <w:t>’</w:t>
      </w:r>
      <w:r w:rsidR="00594B80" w:rsidRPr="00174283">
        <w:rPr>
          <w:lang w:val="fr-FR"/>
        </w:rPr>
        <w:t>informations</w:t>
      </w:r>
      <w:r w:rsidR="00662C51" w:rsidRPr="00174283">
        <w:rPr>
          <w:lang w:val="fr-FR"/>
        </w:rPr>
        <w:t>,</w:t>
      </w:r>
      <w:r w:rsidR="00594B80" w:rsidRPr="00174283">
        <w:rPr>
          <w:lang w:val="fr-FR"/>
        </w:rPr>
        <w:t xml:space="preserve"> se reporter à la </w:t>
      </w:r>
      <w:r w:rsidR="00662C51" w:rsidRPr="00174283">
        <w:rPr>
          <w:lang w:val="fr-FR"/>
        </w:rPr>
        <w:t>Partie 3</w:t>
      </w:r>
      <w:r w:rsidR="00537528" w:rsidRPr="00174283">
        <w:rPr>
          <w:lang w:val="fr-FR"/>
        </w:rPr>
        <w:t xml:space="preserve"> du Document de base actualisé</w:t>
      </w:r>
      <w:r w:rsidR="00662C51" w:rsidRPr="00174283">
        <w:rPr>
          <w:lang w:val="fr-FR"/>
        </w:rPr>
        <w:t>.</w:t>
      </w:r>
      <w:r w:rsidR="00594B80" w:rsidRPr="00174283">
        <w:rPr>
          <w:lang w:val="fr-FR"/>
        </w:rPr>
        <w:t xml:space="preserve"> Informations concernant la discrimination et l</w:t>
      </w:r>
      <w:r w:rsidR="00205A62">
        <w:rPr>
          <w:lang w:val="fr-FR"/>
        </w:rPr>
        <w:t>’</w:t>
      </w:r>
      <w:r w:rsidR="00594B80" w:rsidRPr="00174283">
        <w:rPr>
          <w:lang w:val="fr-FR"/>
        </w:rPr>
        <w:t>égalité et les recours utiles</w:t>
      </w:r>
      <w:r w:rsidR="00B6019A" w:rsidRPr="00174283">
        <w:rPr>
          <w:lang w:val="fr-FR"/>
        </w:rPr>
        <w:t>;</w:t>
      </w:r>
      <w:r w:rsidR="00594B80" w:rsidRPr="00174283">
        <w:rPr>
          <w:lang w:val="fr-FR"/>
        </w:rPr>
        <w:t xml:space="preserve"> </w:t>
      </w:r>
      <w:r w:rsidR="008E72B4" w:rsidRPr="00174283">
        <w:rPr>
          <w:lang w:val="fr-FR"/>
        </w:rPr>
        <w:t>2</w:t>
      </w:r>
      <w:r w:rsidR="00594B80" w:rsidRPr="00174283">
        <w:rPr>
          <w:lang w:val="fr-FR"/>
        </w:rPr>
        <w:t>. Groupes vulnérables</w:t>
      </w:r>
      <w:r w:rsidR="00662C51" w:rsidRPr="00174283">
        <w:rPr>
          <w:lang w:val="fr-FR"/>
        </w:rPr>
        <w:t>, du Document de base</w:t>
      </w:r>
      <w:r w:rsidR="00594B80" w:rsidRPr="00174283">
        <w:rPr>
          <w:lang w:val="fr-FR"/>
        </w:rPr>
        <w:t xml:space="preserve">. </w:t>
      </w:r>
    </w:p>
    <w:p w:rsidR="00490E24" w:rsidRPr="00174283" w:rsidRDefault="00CB419C" w:rsidP="00CB419C">
      <w:pPr>
        <w:pStyle w:val="H1G"/>
        <w:rPr>
          <w:lang w:val="fr-FR"/>
        </w:rPr>
      </w:pPr>
      <w:r w:rsidRPr="00174283">
        <w:rPr>
          <w:lang w:val="fr-FR"/>
        </w:rPr>
        <w:tab/>
      </w:r>
      <w:r w:rsidRPr="00174283">
        <w:rPr>
          <w:lang w:val="fr-FR"/>
        </w:rPr>
        <w:tab/>
      </w:r>
      <w:r w:rsidR="00490E24" w:rsidRPr="00174283">
        <w:rPr>
          <w:lang w:val="fr-FR"/>
        </w:rPr>
        <w:t>Article 3</w:t>
      </w:r>
      <w:r w:rsidRPr="00174283">
        <w:rPr>
          <w:lang w:val="fr-FR"/>
        </w:rPr>
        <w:br/>
      </w:r>
      <w:r w:rsidR="00594B80" w:rsidRPr="00174283">
        <w:rPr>
          <w:lang w:val="fr-FR"/>
        </w:rPr>
        <w:t>Interdiction de la ségrégation raciale et de l</w:t>
      </w:r>
      <w:r w:rsidR="00205A62">
        <w:rPr>
          <w:lang w:val="fr-FR"/>
        </w:rPr>
        <w:t>’</w:t>
      </w:r>
      <w:r w:rsidR="00490E24" w:rsidRPr="00174283">
        <w:rPr>
          <w:lang w:val="fr-FR"/>
        </w:rPr>
        <w:t xml:space="preserve">apartheid </w:t>
      </w:r>
    </w:p>
    <w:p w:rsidR="00490E24" w:rsidRPr="00174283" w:rsidRDefault="00C80393" w:rsidP="00C80393">
      <w:pPr>
        <w:pStyle w:val="SingleTxtG"/>
        <w:rPr>
          <w:lang w:val="fr-FR"/>
        </w:rPr>
      </w:pPr>
      <w:r>
        <w:rPr>
          <w:lang w:val="fr-FR"/>
        </w:rPr>
        <w:t>26.</w:t>
      </w:r>
      <w:r>
        <w:rPr>
          <w:lang w:val="fr-FR"/>
        </w:rPr>
        <w:tab/>
      </w:r>
      <w:r w:rsidR="00594B80" w:rsidRPr="00174283">
        <w:rPr>
          <w:lang w:val="fr-FR"/>
        </w:rPr>
        <w:t xml:space="preserve">Voir à ce sujet les </w:t>
      </w:r>
      <w:r w:rsidR="00396C45" w:rsidRPr="00174283">
        <w:rPr>
          <w:lang w:val="fr-FR"/>
        </w:rPr>
        <w:t>quatrième</w:t>
      </w:r>
      <w:r w:rsidR="00537528" w:rsidRPr="00174283">
        <w:rPr>
          <w:lang w:val="fr-FR"/>
        </w:rPr>
        <w:t xml:space="preserve"> à</w:t>
      </w:r>
      <w:r w:rsidR="00396C45" w:rsidRPr="00174283">
        <w:rPr>
          <w:lang w:val="fr-FR"/>
        </w:rPr>
        <w:t xml:space="preserve"> septième rapports périodiques </w:t>
      </w:r>
      <w:r w:rsidR="00594B80" w:rsidRPr="00174283">
        <w:rPr>
          <w:lang w:val="fr-FR"/>
        </w:rPr>
        <w:t xml:space="preserve">de la République de Macédoine. </w:t>
      </w:r>
    </w:p>
    <w:p w:rsidR="00490E24" w:rsidRPr="00174283" w:rsidRDefault="00CB419C" w:rsidP="00CB419C">
      <w:pPr>
        <w:pStyle w:val="H1G"/>
        <w:rPr>
          <w:lang w:val="fr-FR"/>
        </w:rPr>
      </w:pPr>
      <w:r w:rsidRPr="00174283">
        <w:rPr>
          <w:lang w:val="fr-FR"/>
        </w:rPr>
        <w:tab/>
      </w:r>
      <w:r w:rsidRPr="00174283">
        <w:rPr>
          <w:lang w:val="fr-FR"/>
        </w:rPr>
        <w:tab/>
      </w:r>
      <w:r w:rsidR="00490E24" w:rsidRPr="00174283">
        <w:rPr>
          <w:lang w:val="fr-FR"/>
        </w:rPr>
        <w:t>Article 4</w:t>
      </w:r>
      <w:r w:rsidRPr="00174283">
        <w:rPr>
          <w:lang w:val="fr-FR"/>
        </w:rPr>
        <w:br/>
      </w:r>
      <w:r w:rsidR="00A80066" w:rsidRPr="00174283">
        <w:rPr>
          <w:lang w:val="fr-FR"/>
        </w:rPr>
        <w:t xml:space="preserve">Mesures législatives, administratives et autres </w:t>
      </w:r>
      <w:r w:rsidR="00853814">
        <w:rPr>
          <w:lang w:val="fr-FR"/>
        </w:rPr>
        <w:t>visant à</w:t>
      </w:r>
      <w:r w:rsidR="00594B80" w:rsidRPr="00174283">
        <w:rPr>
          <w:lang w:val="fr-FR"/>
        </w:rPr>
        <w:t xml:space="preserve"> </w:t>
      </w:r>
      <w:r w:rsidR="002512BD" w:rsidRPr="00174283">
        <w:rPr>
          <w:lang w:val="fr-FR"/>
        </w:rPr>
        <w:t>éliminer</w:t>
      </w:r>
      <w:r w:rsidR="00594B80" w:rsidRPr="00174283">
        <w:rPr>
          <w:lang w:val="fr-FR"/>
        </w:rPr>
        <w:t xml:space="preserve"> toute forme de propagande </w:t>
      </w:r>
      <w:r w:rsidR="00853814">
        <w:rPr>
          <w:lang w:val="fr-FR"/>
        </w:rPr>
        <w:t>s</w:t>
      </w:r>
      <w:r w:rsidR="00205A62">
        <w:rPr>
          <w:lang w:val="fr-FR"/>
        </w:rPr>
        <w:t>’</w:t>
      </w:r>
      <w:r w:rsidR="00853814">
        <w:rPr>
          <w:lang w:val="fr-FR"/>
        </w:rPr>
        <w:t>inspirant</w:t>
      </w:r>
      <w:r w:rsidR="00EC14B1" w:rsidRPr="00174283">
        <w:rPr>
          <w:lang w:val="fr-FR"/>
        </w:rPr>
        <w:t xml:space="preserve"> d</w:t>
      </w:r>
      <w:r w:rsidR="00205A62">
        <w:rPr>
          <w:lang w:val="fr-FR"/>
        </w:rPr>
        <w:t>’</w:t>
      </w:r>
      <w:r w:rsidR="00EC14B1" w:rsidRPr="00174283">
        <w:rPr>
          <w:lang w:val="fr-FR"/>
        </w:rPr>
        <w:t xml:space="preserve">idées </w:t>
      </w:r>
      <w:r w:rsidR="00594B80" w:rsidRPr="00174283">
        <w:rPr>
          <w:lang w:val="fr-FR"/>
        </w:rPr>
        <w:t>de supériorité racial</w:t>
      </w:r>
      <w:r w:rsidR="002512BD" w:rsidRPr="00174283">
        <w:rPr>
          <w:lang w:val="fr-FR"/>
        </w:rPr>
        <w:t>e et</w:t>
      </w:r>
      <w:r w:rsidR="00EC14B1" w:rsidRPr="00174283">
        <w:rPr>
          <w:b w:val="0"/>
          <w:sz w:val="20"/>
          <w:lang w:val="fr-FR"/>
        </w:rPr>
        <w:t xml:space="preserve"> </w:t>
      </w:r>
      <w:r w:rsidR="00853814">
        <w:rPr>
          <w:lang w:val="fr-FR"/>
        </w:rPr>
        <w:t>incitant à</w:t>
      </w:r>
      <w:r w:rsidR="00EC14B1" w:rsidRPr="00174283">
        <w:rPr>
          <w:lang w:val="fr-FR"/>
        </w:rPr>
        <w:t xml:space="preserve"> </w:t>
      </w:r>
      <w:r w:rsidR="00853814">
        <w:rPr>
          <w:lang w:val="fr-FR"/>
        </w:rPr>
        <w:t xml:space="preserve">la </w:t>
      </w:r>
      <w:r w:rsidR="00EC14B1" w:rsidRPr="00174283">
        <w:rPr>
          <w:lang w:val="fr-FR"/>
        </w:rPr>
        <w:t xml:space="preserve">haine et </w:t>
      </w:r>
      <w:r w:rsidR="00853814">
        <w:rPr>
          <w:lang w:val="fr-FR"/>
        </w:rPr>
        <w:t>à la</w:t>
      </w:r>
      <w:r w:rsidR="00EC14B1" w:rsidRPr="00174283">
        <w:rPr>
          <w:lang w:val="fr-FR"/>
        </w:rPr>
        <w:t xml:space="preserve"> discrimination </w:t>
      </w:r>
    </w:p>
    <w:p w:rsidR="00490E24" w:rsidRPr="00174283" w:rsidRDefault="00C80393" w:rsidP="00C80393">
      <w:pPr>
        <w:pStyle w:val="SingleTxtG"/>
        <w:rPr>
          <w:lang w:val="fr-FR"/>
        </w:rPr>
      </w:pPr>
      <w:r>
        <w:rPr>
          <w:lang w:val="fr-FR"/>
        </w:rPr>
        <w:t>27.</w:t>
      </w:r>
      <w:r>
        <w:rPr>
          <w:lang w:val="fr-FR"/>
        </w:rPr>
        <w:tab/>
      </w:r>
      <w:r w:rsidR="00594B80" w:rsidRPr="00174283">
        <w:rPr>
          <w:lang w:val="fr-FR"/>
        </w:rPr>
        <w:t xml:space="preserve">Le </w:t>
      </w:r>
      <w:r w:rsidR="00490E24" w:rsidRPr="00174283">
        <w:rPr>
          <w:lang w:val="fr-FR"/>
        </w:rPr>
        <w:t xml:space="preserve">Code </w:t>
      </w:r>
      <w:r w:rsidR="00594B80" w:rsidRPr="00174283">
        <w:rPr>
          <w:lang w:val="fr-FR"/>
        </w:rPr>
        <w:t xml:space="preserve">pénal </w:t>
      </w:r>
      <w:r w:rsidR="00490E24" w:rsidRPr="00174283">
        <w:rPr>
          <w:lang w:val="fr-FR"/>
        </w:rPr>
        <w:t>(</w:t>
      </w:r>
      <w:r w:rsidR="00594B80" w:rsidRPr="006C4B2D">
        <w:rPr>
          <w:i/>
          <w:iCs/>
          <w:lang w:val="fr-FR"/>
        </w:rPr>
        <w:t>Journal officiel de la République de Macédoine</w:t>
      </w:r>
      <w:r w:rsidR="00594B80" w:rsidRPr="00174283">
        <w:rPr>
          <w:lang w:val="fr-FR"/>
        </w:rPr>
        <w:t xml:space="preserve"> n</w:t>
      </w:r>
      <w:r w:rsidR="00594B80" w:rsidRPr="00174283">
        <w:rPr>
          <w:vertAlign w:val="superscript"/>
          <w:lang w:val="fr-FR"/>
        </w:rPr>
        <w:t>os</w:t>
      </w:r>
      <w:r w:rsidR="00594B80" w:rsidRPr="00174283">
        <w:rPr>
          <w:lang w:val="fr-FR"/>
        </w:rPr>
        <w:t> </w:t>
      </w:r>
      <w:r w:rsidR="00490E24" w:rsidRPr="00174283">
        <w:rPr>
          <w:lang w:val="fr-FR"/>
        </w:rPr>
        <w:t xml:space="preserve">37/96, 80/99, 4/2002, 43/2003, 19/2004, 81/2005, 60/2006, 73/2006, 87/2007, 7/2008, 139/2008, 114/2009, 51/2011, 135/2011, 185/2011 </w:t>
      </w:r>
      <w:r w:rsidR="00594B80" w:rsidRPr="00174283">
        <w:rPr>
          <w:lang w:val="fr-FR"/>
        </w:rPr>
        <w:t>et</w:t>
      </w:r>
      <w:r w:rsidR="00490E24" w:rsidRPr="00174283">
        <w:rPr>
          <w:lang w:val="fr-FR"/>
        </w:rPr>
        <w:t xml:space="preserve"> 142/2012) s</w:t>
      </w:r>
      <w:r w:rsidR="00594B80" w:rsidRPr="00174283">
        <w:rPr>
          <w:lang w:val="fr-FR"/>
        </w:rPr>
        <w:t xml:space="preserve">anctionne les délits </w:t>
      </w:r>
      <w:r w:rsidR="0046765D" w:rsidRPr="00174283">
        <w:rPr>
          <w:lang w:val="fr-FR"/>
        </w:rPr>
        <w:t>suivants</w:t>
      </w:r>
      <w:r w:rsidR="002F51DC">
        <w:rPr>
          <w:lang w:val="fr-FR"/>
        </w:rPr>
        <w:t>:</w:t>
      </w:r>
      <w:r w:rsidR="00594B80" w:rsidRPr="00174283">
        <w:rPr>
          <w:lang w:val="fr-FR"/>
        </w:rPr>
        <w:t xml:space="preserve"> </w:t>
      </w:r>
      <w:r w:rsidR="000A41DB" w:rsidRPr="00174283">
        <w:rPr>
          <w:lang w:val="fr-FR"/>
        </w:rPr>
        <w:t>violation du principe d</w:t>
      </w:r>
      <w:r w:rsidR="00205A62">
        <w:rPr>
          <w:lang w:val="fr-FR"/>
        </w:rPr>
        <w:t>’</w:t>
      </w:r>
      <w:r w:rsidR="00594B80" w:rsidRPr="00174283">
        <w:rPr>
          <w:lang w:val="fr-FR"/>
        </w:rPr>
        <w:t xml:space="preserve">égalité des citoyens </w:t>
      </w:r>
      <w:r w:rsidR="00343598">
        <w:rPr>
          <w:lang w:val="fr-FR"/>
        </w:rPr>
        <w:t>(art.</w:t>
      </w:r>
      <w:r w:rsidR="00594B80" w:rsidRPr="00174283">
        <w:rPr>
          <w:lang w:val="fr-FR"/>
        </w:rPr>
        <w:t> 137)</w:t>
      </w:r>
      <w:r w:rsidR="00B6019A" w:rsidRPr="00174283">
        <w:rPr>
          <w:lang w:val="fr-FR"/>
        </w:rPr>
        <w:t>;</w:t>
      </w:r>
      <w:r w:rsidR="00594B80" w:rsidRPr="00174283">
        <w:rPr>
          <w:lang w:val="fr-FR"/>
        </w:rPr>
        <w:t xml:space="preserve"> </w:t>
      </w:r>
      <w:r w:rsidR="002820C0" w:rsidRPr="00174283">
        <w:rPr>
          <w:lang w:val="fr-FR"/>
        </w:rPr>
        <w:t>atteinte à</w:t>
      </w:r>
      <w:r w:rsidR="0046765D" w:rsidRPr="00174283">
        <w:rPr>
          <w:lang w:val="fr-FR"/>
        </w:rPr>
        <w:t xml:space="preserve"> la s</w:t>
      </w:r>
      <w:r w:rsidR="00594B80" w:rsidRPr="00174283">
        <w:rPr>
          <w:lang w:val="fr-FR"/>
        </w:rPr>
        <w:t xml:space="preserve">écurité </w:t>
      </w:r>
      <w:r w:rsidR="00343598">
        <w:rPr>
          <w:lang w:val="fr-FR"/>
        </w:rPr>
        <w:t>(art.</w:t>
      </w:r>
      <w:r w:rsidR="00594B80" w:rsidRPr="00174283">
        <w:rPr>
          <w:lang w:val="fr-FR"/>
        </w:rPr>
        <w:t> 144)</w:t>
      </w:r>
      <w:r w:rsidR="00B6019A" w:rsidRPr="00174283">
        <w:rPr>
          <w:lang w:val="fr-FR"/>
        </w:rPr>
        <w:t>;</w:t>
      </w:r>
      <w:r w:rsidR="00594B80" w:rsidRPr="00174283">
        <w:rPr>
          <w:lang w:val="fr-FR"/>
        </w:rPr>
        <w:t xml:space="preserve"> incitation à la haine</w:t>
      </w:r>
      <w:r w:rsidR="00F2113E" w:rsidRPr="00174283">
        <w:rPr>
          <w:lang w:val="fr-FR"/>
        </w:rPr>
        <w:t>,</w:t>
      </w:r>
      <w:r w:rsidR="002820C0" w:rsidRPr="00174283">
        <w:rPr>
          <w:lang w:val="fr-FR"/>
        </w:rPr>
        <w:t xml:space="preserve"> </w:t>
      </w:r>
      <w:r w:rsidR="00F2113E" w:rsidRPr="00174283">
        <w:rPr>
          <w:lang w:val="fr-FR"/>
        </w:rPr>
        <w:t>à la discorde ou à l</w:t>
      </w:r>
      <w:r w:rsidR="00205A62">
        <w:rPr>
          <w:lang w:val="fr-FR"/>
        </w:rPr>
        <w:t>’</w:t>
      </w:r>
      <w:r w:rsidR="00F2113E" w:rsidRPr="00174283">
        <w:rPr>
          <w:lang w:val="fr-FR"/>
        </w:rPr>
        <w:t xml:space="preserve">intolérance </w:t>
      </w:r>
      <w:r w:rsidR="002820C0" w:rsidRPr="00174283">
        <w:rPr>
          <w:lang w:val="fr-FR"/>
        </w:rPr>
        <w:t xml:space="preserve">nationale, raciale et religieuse </w:t>
      </w:r>
      <w:r w:rsidR="00343598">
        <w:rPr>
          <w:lang w:val="fr-FR"/>
        </w:rPr>
        <w:t>(art.</w:t>
      </w:r>
      <w:r w:rsidR="00594B80" w:rsidRPr="00174283">
        <w:rPr>
          <w:lang w:val="fr-FR"/>
        </w:rPr>
        <w:t> 139)</w:t>
      </w:r>
      <w:r w:rsidR="00B6019A" w:rsidRPr="00174283">
        <w:rPr>
          <w:lang w:val="fr-FR"/>
        </w:rPr>
        <w:t>;</w:t>
      </w:r>
      <w:r w:rsidR="00594B80" w:rsidRPr="00174283">
        <w:rPr>
          <w:lang w:val="fr-FR"/>
        </w:rPr>
        <w:t xml:space="preserve"> diffusion de </w:t>
      </w:r>
      <w:r w:rsidR="00F2113E" w:rsidRPr="00174283">
        <w:rPr>
          <w:lang w:val="fr-FR"/>
        </w:rPr>
        <w:t>contenus</w:t>
      </w:r>
      <w:r w:rsidR="000A41DB" w:rsidRPr="00174283">
        <w:rPr>
          <w:lang w:val="fr-FR"/>
        </w:rPr>
        <w:t xml:space="preserve"> raciste</w:t>
      </w:r>
      <w:r w:rsidR="00F2113E" w:rsidRPr="00174283">
        <w:rPr>
          <w:lang w:val="fr-FR"/>
        </w:rPr>
        <w:t>s</w:t>
      </w:r>
      <w:r w:rsidR="000A41DB" w:rsidRPr="00174283">
        <w:rPr>
          <w:lang w:val="fr-FR"/>
        </w:rPr>
        <w:t xml:space="preserve"> et xénophobe</w:t>
      </w:r>
      <w:r w:rsidR="00F2113E" w:rsidRPr="00174283">
        <w:rPr>
          <w:lang w:val="fr-FR"/>
        </w:rPr>
        <w:t>s</w:t>
      </w:r>
      <w:r w:rsidR="000A41DB" w:rsidRPr="00174283">
        <w:rPr>
          <w:lang w:val="fr-FR"/>
        </w:rPr>
        <w:t xml:space="preserve"> par le biais d</w:t>
      </w:r>
      <w:r w:rsidR="00205A62">
        <w:rPr>
          <w:lang w:val="fr-FR"/>
        </w:rPr>
        <w:t>’</w:t>
      </w:r>
      <w:r w:rsidR="000A41DB" w:rsidRPr="00174283">
        <w:rPr>
          <w:lang w:val="fr-FR"/>
        </w:rPr>
        <w:t>un système</w:t>
      </w:r>
      <w:r w:rsidR="00594B80" w:rsidRPr="00174283">
        <w:rPr>
          <w:lang w:val="fr-FR"/>
        </w:rPr>
        <w:t xml:space="preserve"> informatique</w:t>
      </w:r>
      <w:r w:rsidR="000A41DB" w:rsidRPr="00174283">
        <w:rPr>
          <w:lang w:val="fr-FR"/>
        </w:rPr>
        <w:t xml:space="preserve"> </w:t>
      </w:r>
      <w:r w:rsidR="00343598">
        <w:rPr>
          <w:lang w:val="fr-FR"/>
        </w:rPr>
        <w:t>(art.</w:t>
      </w:r>
      <w:r w:rsidR="00594B80" w:rsidRPr="00174283">
        <w:rPr>
          <w:lang w:val="fr-FR"/>
        </w:rPr>
        <w:t> </w:t>
      </w:r>
      <w:r w:rsidR="00490E24" w:rsidRPr="00174283">
        <w:rPr>
          <w:lang w:val="fr-FR"/>
        </w:rPr>
        <w:t>394-d</w:t>
      </w:r>
      <w:r w:rsidR="00594B80" w:rsidRPr="00174283">
        <w:rPr>
          <w:lang w:val="fr-FR"/>
        </w:rPr>
        <w:t xml:space="preserve">) et </w:t>
      </w:r>
      <w:r w:rsidR="0046765D" w:rsidRPr="00174283">
        <w:rPr>
          <w:lang w:val="fr-FR"/>
        </w:rPr>
        <w:t>d</w:t>
      </w:r>
      <w:r w:rsidR="00594B80" w:rsidRPr="00174283">
        <w:rPr>
          <w:lang w:val="fr-FR"/>
        </w:rPr>
        <w:t xml:space="preserve">iscrimination raciale </w:t>
      </w:r>
      <w:r w:rsidR="000A41DB" w:rsidRPr="00174283">
        <w:rPr>
          <w:lang w:val="fr-FR"/>
        </w:rPr>
        <w:t>et</w:t>
      </w:r>
      <w:r w:rsidR="00594B80" w:rsidRPr="00174283">
        <w:rPr>
          <w:lang w:val="fr-FR"/>
        </w:rPr>
        <w:t xml:space="preserve"> autre</w:t>
      </w:r>
      <w:r w:rsidR="000A41DB" w:rsidRPr="00174283">
        <w:rPr>
          <w:lang w:val="fr-FR"/>
        </w:rPr>
        <w:t>s</w:t>
      </w:r>
      <w:r w:rsidR="0046765D" w:rsidRPr="00174283">
        <w:rPr>
          <w:lang w:val="fr-FR"/>
        </w:rPr>
        <w:t xml:space="preserve"> </w:t>
      </w:r>
      <w:r w:rsidR="000A41DB" w:rsidRPr="00174283">
        <w:rPr>
          <w:lang w:val="fr-FR"/>
        </w:rPr>
        <w:t>types</w:t>
      </w:r>
      <w:r w:rsidR="0046765D" w:rsidRPr="00174283">
        <w:rPr>
          <w:lang w:val="fr-FR"/>
        </w:rPr>
        <w:t xml:space="preserve"> de discrimination</w:t>
      </w:r>
      <w:r w:rsidR="00594B80" w:rsidRPr="00174283">
        <w:rPr>
          <w:lang w:val="fr-FR"/>
        </w:rPr>
        <w:t xml:space="preserve"> </w:t>
      </w:r>
      <w:r w:rsidR="00343598">
        <w:rPr>
          <w:lang w:val="fr-FR"/>
        </w:rPr>
        <w:t>(art.</w:t>
      </w:r>
      <w:r w:rsidR="00594B80" w:rsidRPr="00174283">
        <w:rPr>
          <w:lang w:val="fr-FR"/>
        </w:rPr>
        <w:t xml:space="preserve"> 417) (voir annexe 1). </w:t>
      </w:r>
    </w:p>
    <w:p w:rsidR="00490E24" w:rsidRPr="00174283" w:rsidRDefault="00C80393" w:rsidP="00C80393">
      <w:pPr>
        <w:pStyle w:val="SingleTxtG"/>
        <w:rPr>
          <w:lang w:val="fr-FR"/>
        </w:rPr>
      </w:pPr>
      <w:r>
        <w:rPr>
          <w:lang w:val="fr-FR"/>
        </w:rPr>
        <w:t>28.</w:t>
      </w:r>
      <w:r>
        <w:rPr>
          <w:lang w:val="fr-FR"/>
        </w:rPr>
        <w:tab/>
      </w:r>
      <w:r w:rsidR="00594B80" w:rsidRPr="00174283">
        <w:rPr>
          <w:lang w:val="fr-FR"/>
        </w:rPr>
        <w:t xml:space="preserve">La loi </w:t>
      </w:r>
      <w:r w:rsidR="00AD0F6A" w:rsidRPr="00174283">
        <w:rPr>
          <w:lang w:val="fr-FR"/>
        </w:rPr>
        <w:t xml:space="preserve">sur les </w:t>
      </w:r>
      <w:r w:rsidR="00594B80" w:rsidRPr="00174283">
        <w:rPr>
          <w:lang w:val="fr-FR"/>
        </w:rPr>
        <w:t>a</w:t>
      </w:r>
      <w:r w:rsidR="00490E24" w:rsidRPr="00174283">
        <w:rPr>
          <w:lang w:val="fr-FR"/>
        </w:rPr>
        <w:t xml:space="preserve">ssociations </w:t>
      </w:r>
      <w:r w:rsidR="00594B80" w:rsidRPr="00174283">
        <w:rPr>
          <w:lang w:val="fr-FR"/>
        </w:rPr>
        <w:t xml:space="preserve">et </w:t>
      </w:r>
      <w:r w:rsidR="00AD0F6A" w:rsidRPr="00174283">
        <w:rPr>
          <w:lang w:val="fr-FR"/>
        </w:rPr>
        <w:t>les</w:t>
      </w:r>
      <w:r w:rsidR="00594B80" w:rsidRPr="00174283">
        <w:rPr>
          <w:lang w:val="fr-FR"/>
        </w:rPr>
        <w:t xml:space="preserve"> fondations (</w:t>
      </w:r>
      <w:r w:rsidR="00594B80" w:rsidRPr="006C4B2D">
        <w:rPr>
          <w:i/>
          <w:iCs/>
          <w:lang w:val="fr-FR"/>
        </w:rPr>
        <w:t>Journal officiel de la République de Macédoine</w:t>
      </w:r>
      <w:r w:rsidR="00594B80" w:rsidRPr="00174283">
        <w:rPr>
          <w:lang w:val="fr-FR"/>
        </w:rPr>
        <w:t xml:space="preserve"> n</w:t>
      </w:r>
      <w:r w:rsidR="00594B80" w:rsidRPr="00174283">
        <w:rPr>
          <w:vertAlign w:val="superscript"/>
          <w:lang w:val="fr-FR"/>
        </w:rPr>
        <w:t>os</w:t>
      </w:r>
      <w:r w:rsidR="00594B80" w:rsidRPr="00174283">
        <w:rPr>
          <w:lang w:val="fr-FR"/>
        </w:rPr>
        <w:t> </w:t>
      </w:r>
      <w:r w:rsidR="00490E24" w:rsidRPr="00174283">
        <w:rPr>
          <w:lang w:val="fr-FR"/>
        </w:rPr>
        <w:t xml:space="preserve">52/2010 </w:t>
      </w:r>
      <w:r w:rsidR="00594B80" w:rsidRPr="00174283">
        <w:rPr>
          <w:lang w:val="fr-FR"/>
        </w:rPr>
        <w:t>et</w:t>
      </w:r>
      <w:r w:rsidR="00490E24" w:rsidRPr="00174283">
        <w:rPr>
          <w:lang w:val="fr-FR"/>
        </w:rPr>
        <w:t xml:space="preserve"> 135/2011) </w:t>
      </w:r>
      <w:r w:rsidR="00594B80" w:rsidRPr="00174283">
        <w:rPr>
          <w:lang w:val="fr-FR"/>
        </w:rPr>
        <w:t xml:space="preserve">garantit </w:t>
      </w:r>
      <w:r w:rsidR="00365EBF">
        <w:rPr>
          <w:lang w:val="fr-FR"/>
        </w:rPr>
        <w:t>la liberté</w:t>
      </w:r>
      <w:r w:rsidR="00594B80" w:rsidRPr="00174283">
        <w:rPr>
          <w:lang w:val="fr-FR"/>
        </w:rPr>
        <w:t xml:space="preserve"> d</w:t>
      </w:r>
      <w:r w:rsidR="00205A62">
        <w:rPr>
          <w:lang w:val="fr-FR"/>
        </w:rPr>
        <w:t>’</w:t>
      </w:r>
      <w:r w:rsidR="00594B80" w:rsidRPr="00174283">
        <w:rPr>
          <w:lang w:val="fr-FR"/>
        </w:rPr>
        <w:t>association. L</w:t>
      </w:r>
      <w:r w:rsidR="00205A62">
        <w:rPr>
          <w:lang w:val="fr-FR"/>
        </w:rPr>
        <w:t>’</w:t>
      </w:r>
      <w:r w:rsidR="00594B80" w:rsidRPr="00174283">
        <w:rPr>
          <w:lang w:val="fr-FR"/>
        </w:rPr>
        <w:t>article 4 de cette loi précise notamment ce qui suit</w:t>
      </w:r>
      <w:r w:rsidR="002F51DC">
        <w:rPr>
          <w:lang w:val="fr-FR"/>
        </w:rPr>
        <w:t>:</w:t>
      </w:r>
    </w:p>
    <w:p w:rsidR="00490E24" w:rsidRPr="00174283" w:rsidRDefault="002F51DC" w:rsidP="00CB419C">
      <w:pPr>
        <w:pStyle w:val="SingleTxtG"/>
        <w:ind w:left="1701"/>
        <w:rPr>
          <w:lang w:val="fr-FR"/>
        </w:rPr>
      </w:pPr>
      <w:r>
        <w:rPr>
          <w:lang w:val="fr-FR"/>
        </w:rPr>
        <w:t>«</w:t>
      </w:r>
      <w:r w:rsidR="00490E24" w:rsidRPr="00174283">
        <w:rPr>
          <w:lang w:val="fr-FR"/>
        </w:rPr>
        <w:t>1)</w:t>
      </w:r>
      <w:r w:rsidR="00D16AD2" w:rsidRPr="00174283">
        <w:rPr>
          <w:lang w:val="fr-FR"/>
        </w:rPr>
        <w:tab/>
      </w:r>
      <w:r w:rsidR="00594B80" w:rsidRPr="00174283">
        <w:rPr>
          <w:lang w:val="fr-FR"/>
        </w:rPr>
        <w:t>Le droit à la liberté d</w:t>
      </w:r>
      <w:r w:rsidR="00205A62">
        <w:rPr>
          <w:lang w:val="fr-FR"/>
        </w:rPr>
        <w:t>’</w:t>
      </w:r>
      <w:r w:rsidR="00594B80" w:rsidRPr="00174283">
        <w:rPr>
          <w:lang w:val="fr-FR"/>
        </w:rPr>
        <w:t xml:space="preserve">association </w:t>
      </w:r>
      <w:r w:rsidR="00716740" w:rsidRPr="00174283">
        <w:rPr>
          <w:lang w:val="fr-FR"/>
        </w:rPr>
        <w:t>est</w:t>
      </w:r>
      <w:r w:rsidR="00594B80" w:rsidRPr="00174283">
        <w:rPr>
          <w:lang w:val="fr-FR"/>
        </w:rPr>
        <w:t xml:space="preserve"> exercé en adhérant à des associations, fondations, syndicats et organisations étrangères dans le but de réaliser les objectifs </w:t>
      </w:r>
      <w:r w:rsidR="00FF0A39" w:rsidRPr="00174283">
        <w:rPr>
          <w:lang w:val="fr-FR"/>
        </w:rPr>
        <w:t>et activités resp</w:t>
      </w:r>
      <w:r w:rsidR="00826868" w:rsidRPr="00174283">
        <w:rPr>
          <w:lang w:val="fr-FR"/>
        </w:rPr>
        <w:t>e</w:t>
      </w:r>
      <w:r w:rsidR="00FF0A39" w:rsidRPr="00174283">
        <w:rPr>
          <w:lang w:val="fr-FR"/>
        </w:rPr>
        <w:t xml:space="preserve">ctifs de ces organisations et </w:t>
      </w:r>
      <w:r w:rsidR="000845E1" w:rsidRPr="00174283">
        <w:rPr>
          <w:lang w:val="fr-FR"/>
        </w:rPr>
        <w:t xml:space="preserve">de </w:t>
      </w:r>
      <w:r w:rsidR="00FF0A39" w:rsidRPr="00174283">
        <w:rPr>
          <w:lang w:val="fr-FR"/>
        </w:rPr>
        <w:t xml:space="preserve">protéger les droits, intérêts et convictions </w:t>
      </w:r>
      <w:r w:rsidR="00794487">
        <w:rPr>
          <w:lang w:val="fr-FR"/>
        </w:rPr>
        <w:t xml:space="preserve">conformément à </w:t>
      </w:r>
      <w:r w:rsidR="00FF0A39" w:rsidRPr="00174283">
        <w:rPr>
          <w:lang w:val="fr-FR"/>
        </w:rPr>
        <w:t xml:space="preserve">la Constitution et </w:t>
      </w:r>
      <w:r w:rsidR="00794487">
        <w:rPr>
          <w:lang w:val="fr-FR"/>
        </w:rPr>
        <w:t xml:space="preserve">à </w:t>
      </w:r>
      <w:r w:rsidR="00FF0A39" w:rsidRPr="00174283">
        <w:rPr>
          <w:lang w:val="fr-FR"/>
        </w:rPr>
        <w:t xml:space="preserve">la loi. </w:t>
      </w:r>
    </w:p>
    <w:p w:rsidR="00490E24" w:rsidRPr="00174283" w:rsidRDefault="00490E24" w:rsidP="00CB419C">
      <w:pPr>
        <w:pStyle w:val="SingleTxtG"/>
        <w:ind w:left="1701"/>
        <w:rPr>
          <w:lang w:val="fr-FR"/>
        </w:rPr>
      </w:pPr>
      <w:r w:rsidRPr="00174283">
        <w:rPr>
          <w:lang w:val="fr-FR"/>
        </w:rPr>
        <w:t>2)</w:t>
      </w:r>
      <w:r w:rsidR="00D16AD2" w:rsidRPr="00174283">
        <w:rPr>
          <w:lang w:val="fr-FR"/>
        </w:rPr>
        <w:tab/>
      </w:r>
      <w:r w:rsidR="00D1253A" w:rsidRPr="00174283">
        <w:rPr>
          <w:lang w:val="fr-FR"/>
        </w:rPr>
        <w:t>Sera frappée d</w:t>
      </w:r>
      <w:r w:rsidR="00205A62">
        <w:rPr>
          <w:lang w:val="fr-FR"/>
        </w:rPr>
        <w:t>’</w:t>
      </w:r>
      <w:r w:rsidR="00D1253A" w:rsidRPr="00174283">
        <w:rPr>
          <w:lang w:val="fr-FR"/>
        </w:rPr>
        <w:t>interdiction t</w:t>
      </w:r>
      <w:r w:rsidR="00F1489E" w:rsidRPr="00174283">
        <w:rPr>
          <w:lang w:val="fr-FR"/>
        </w:rPr>
        <w:t>oute</w:t>
      </w:r>
      <w:r w:rsidR="00FF0A39" w:rsidRPr="00174283">
        <w:rPr>
          <w:lang w:val="fr-FR"/>
        </w:rPr>
        <w:t xml:space="preserve"> </w:t>
      </w:r>
      <w:r w:rsidR="00D1253A" w:rsidRPr="00174283">
        <w:rPr>
          <w:lang w:val="fr-FR"/>
        </w:rPr>
        <w:t>association qui, dans le cadre de ses activités,</w:t>
      </w:r>
      <w:r w:rsidR="00FF0A39" w:rsidRPr="00174283">
        <w:rPr>
          <w:lang w:val="fr-FR"/>
        </w:rPr>
        <w:t xml:space="preserve"> vise la destruction par la violence de l</w:t>
      </w:r>
      <w:r w:rsidR="00205A62">
        <w:rPr>
          <w:lang w:val="fr-FR"/>
        </w:rPr>
        <w:t>’</w:t>
      </w:r>
      <w:r w:rsidR="00FF0A39" w:rsidRPr="00174283">
        <w:rPr>
          <w:lang w:val="fr-FR"/>
        </w:rPr>
        <w:t xml:space="preserve">ordre constitutionnel de la République de Macédoine, </w:t>
      </w:r>
      <w:r w:rsidR="00FF431E" w:rsidRPr="00174283">
        <w:rPr>
          <w:lang w:val="fr-FR"/>
        </w:rPr>
        <w:t>fomente une agression militaire ou incite à y participer</w:t>
      </w:r>
      <w:r w:rsidR="0075736F" w:rsidRPr="00174283">
        <w:rPr>
          <w:lang w:val="fr-FR"/>
        </w:rPr>
        <w:t xml:space="preserve"> et</w:t>
      </w:r>
      <w:r w:rsidR="00F1489E" w:rsidRPr="00174283">
        <w:rPr>
          <w:lang w:val="fr-FR"/>
        </w:rPr>
        <w:t xml:space="preserve"> </w:t>
      </w:r>
      <w:r w:rsidR="0003036D" w:rsidRPr="00174283">
        <w:rPr>
          <w:lang w:val="fr-FR"/>
        </w:rPr>
        <w:t>attise</w:t>
      </w:r>
      <w:r w:rsidR="00F1489E" w:rsidRPr="00174283">
        <w:rPr>
          <w:lang w:val="fr-FR"/>
        </w:rPr>
        <w:t xml:space="preserve"> </w:t>
      </w:r>
      <w:r w:rsidR="00FF0A39" w:rsidRPr="00174283">
        <w:rPr>
          <w:lang w:val="fr-FR"/>
        </w:rPr>
        <w:t xml:space="preserve">la haine </w:t>
      </w:r>
      <w:r w:rsidR="00F1489E" w:rsidRPr="00174283">
        <w:rPr>
          <w:lang w:val="fr-FR"/>
        </w:rPr>
        <w:t>et</w:t>
      </w:r>
      <w:r w:rsidR="00FF0A39" w:rsidRPr="00174283">
        <w:rPr>
          <w:lang w:val="fr-FR"/>
        </w:rPr>
        <w:t xml:space="preserve"> l</w:t>
      </w:r>
      <w:r w:rsidR="00205A62">
        <w:rPr>
          <w:lang w:val="fr-FR"/>
        </w:rPr>
        <w:t>’</w:t>
      </w:r>
      <w:r w:rsidR="00FF0A39" w:rsidRPr="00174283">
        <w:rPr>
          <w:lang w:val="fr-FR"/>
        </w:rPr>
        <w:t xml:space="preserve">intolérance </w:t>
      </w:r>
      <w:r w:rsidR="00F1489E" w:rsidRPr="00174283">
        <w:rPr>
          <w:lang w:val="fr-FR"/>
        </w:rPr>
        <w:t>fondées sur l</w:t>
      </w:r>
      <w:r w:rsidR="00205A62">
        <w:rPr>
          <w:lang w:val="fr-FR"/>
        </w:rPr>
        <w:t>’</w:t>
      </w:r>
      <w:r w:rsidR="00F1489E" w:rsidRPr="00174283">
        <w:rPr>
          <w:lang w:val="fr-FR"/>
        </w:rPr>
        <w:t>appartenance ethnique, raciale ou religieuse</w:t>
      </w:r>
      <w:r w:rsidR="0075736F" w:rsidRPr="00174283">
        <w:rPr>
          <w:lang w:val="fr-FR"/>
        </w:rPr>
        <w:t>;</w:t>
      </w:r>
      <w:r w:rsidR="00FF0A39" w:rsidRPr="00174283">
        <w:rPr>
          <w:lang w:val="fr-FR"/>
        </w:rPr>
        <w:t xml:space="preserve"> </w:t>
      </w:r>
      <w:r w:rsidR="00C40AC0" w:rsidRPr="00174283">
        <w:rPr>
          <w:lang w:val="fr-FR"/>
        </w:rPr>
        <w:t xml:space="preserve">mène </w:t>
      </w:r>
      <w:r w:rsidR="00FF0A39" w:rsidRPr="00174283">
        <w:rPr>
          <w:lang w:val="fr-FR"/>
        </w:rPr>
        <w:t>des activités liées au terrorisme</w:t>
      </w:r>
      <w:r w:rsidR="00C40AC0" w:rsidRPr="00174283">
        <w:rPr>
          <w:lang w:val="fr-FR"/>
        </w:rPr>
        <w:t xml:space="preserve"> ou</w:t>
      </w:r>
      <w:r w:rsidR="00FF0A39" w:rsidRPr="00174283">
        <w:rPr>
          <w:lang w:val="fr-FR"/>
        </w:rPr>
        <w:t xml:space="preserve"> contraires à la Constitution ou à la loi ou </w:t>
      </w:r>
      <w:r w:rsidR="00D1253A" w:rsidRPr="00174283">
        <w:rPr>
          <w:lang w:val="fr-FR"/>
        </w:rPr>
        <w:t>porte atteinte aux droits et libertés d</w:t>
      </w:r>
      <w:r w:rsidR="00205A62">
        <w:rPr>
          <w:lang w:val="fr-FR"/>
        </w:rPr>
        <w:t>’</w:t>
      </w:r>
      <w:r w:rsidR="00D1253A" w:rsidRPr="00174283">
        <w:rPr>
          <w:lang w:val="fr-FR"/>
        </w:rPr>
        <w:t>autrui</w:t>
      </w:r>
      <w:r w:rsidR="00FF0A39" w:rsidRPr="00174283">
        <w:rPr>
          <w:lang w:val="fr-FR"/>
        </w:rPr>
        <w:t>.</w:t>
      </w:r>
      <w:r w:rsidR="002F51DC">
        <w:rPr>
          <w:lang w:val="fr-FR"/>
        </w:rPr>
        <w:t>»</w:t>
      </w:r>
    </w:p>
    <w:p w:rsidR="00490E24" w:rsidRPr="00174283" w:rsidRDefault="00C80393" w:rsidP="00C80393">
      <w:pPr>
        <w:pStyle w:val="SingleTxtG"/>
        <w:rPr>
          <w:lang w:val="fr-FR"/>
        </w:rPr>
      </w:pPr>
      <w:r>
        <w:rPr>
          <w:lang w:val="fr-FR"/>
        </w:rPr>
        <w:t>29.</w:t>
      </w:r>
      <w:r>
        <w:rPr>
          <w:lang w:val="fr-FR"/>
        </w:rPr>
        <w:tab/>
      </w:r>
      <w:r w:rsidR="00FF0A39" w:rsidRPr="00174283">
        <w:rPr>
          <w:lang w:val="fr-FR"/>
        </w:rPr>
        <w:t>En outre, conformément à l</w:t>
      </w:r>
      <w:r w:rsidR="00205A62">
        <w:rPr>
          <w:lang w:val="fr-FR"/>
        </w:rPr>
        <w:t>’</w:t>
      </w:r>
      <w:r w:rsidR="00FF0A39" w:rsidRPr="00174283">
        <w:rPr>
          <w:lang w:val="fr-FR"/>
        </w:rPr>
        <w:t>article 65 de cette loi</w:t>
      </w:r>
      <w:r w:rsidR="002F51DC">
        <w:rPr>
          <w:lang w:val="fr-FR"/>
        </w:rPr>
        <w:t>:</w:t>
      </w:r>
      <w:r w:rsidR="00FF0A39" w:rsidRPr="00174283">
        <w:rPr>
          <w:lang w:val="fr-FR"/>
        </w:rPr>
        <w:t xml:space="preserve"> </w:t>
      </w:r>
    </w:p>
    <w:p w:rsidR="00490E24" w:rsidRPr="00174283" w:rsidRDefault="002F51DC" w:rsidP="00CB419C">
      <w:pPr>
        <w:pStyle w:val="SingleTxtG"/>
        <w:ind w:left="1701"/>
        <w:rPr>
          <w:lang w:val="fr-FR"/>
        </w:rPr>
      </w:pPr>
      <w:r>
        <w:rPr>
          <w:lang w:val="fr-FR"/>
        </w:rPr>
        <w:t>«</w:t>
      </w:r>
      <w:r w:rsidR="00E402E8" w:rsidRPr="00174283">
        <w:rPr>
          <w:lang w:val="fr-FR"/>
        </w:rPr>
        <w:t>Sera frappée d</w:t>
      </w:r>
      <w:r w:rsidR="00205A62">
        <w:rPr>
          <w:lang w:val="fr-FR"/>
        </w:rPr>
        <w:t>’</w:t>
      </w:r>
      <w:r w:rsidR="00E402E8" w:rsidRPr="00174283">
        <w:rPr>
          <w:lang w:val="fr-FR"/>
        </w:rPr>
        <w:t>interdiction toute association qui, dans le cadre de ses activités</w:t>
      </w:r>
      <w:r w:rsidR="004E5CFF" w:rsidRPr="00174283">
        <w:rPr>
          <w:lang w:val="fr-FR"/>
        </w:rPr>
        <w:t xml:space="preserve">: </w:t>
      </w:r>
    </w:p>
    <w:p w:rsidR="00D16AD2" w:rsidRPr="00174283" w:rsidRDefault="00343598" w:rsidP="00490E24">
      <w:pPr>
        <w:pStyle w:val="Bullet1G"/>
        <w:ind w:left="1984"/>
        <w:rPr>
          <w:lang w:val="fr-FR"/>
        </w:rPr>
      </w:pPr>
      <w:r w:rsidRPr="00174283">
        <w:rPr>
          <w:lang w:val="fr-FR"/>
        </w:rPr>
        <w:t xml:space="preserve">Vise </w:t>
      </w:r>
      <w:r w:rsidR="008D3654" w:rsidRPr="00174283">
        <w:rPr>
          <w:lang w:val="fr-FR"/>
        </w:rPr>
        <w:t>l</w:t>
      </w:r>
      <w:r w:rsidR="004E5CFF" w:rsidRPr="00174283">
        <w:rPr>
          <w:lang w:val="fr-FR"/>
        </w:rPr>
        <w:t>a destruction par la violence de l</w:t>
      </w:r>
      <w:r w:rsidR="00205A62">
        <w:rPr>
          <w:lang w:val="fr-FR"/>
        </w:rPr>
        <w:t>’</w:t>
      </w:r>
      <w:r w:rsidR="004E5CFF" w:rsidRPr="00174283">
        <w:rPr>
          <w:lang w:val="fr-FR"/>
        </w:rPr>
        <w:t>ordre constitutionnel de la République de Macédoine</w:t>
      </w:r>
      <w:r w:rsidR="00B6019A" w:rsidRPr="00174283">
        <w:rPr>
          <w:lang w:val="fr-FR"/>
        </w:rPr>
        <w:t>;</w:t>
      </w:r>
      <w:r w:rsidR="004E5CFF" w:rsidRPr="00174283">
        <w:rPr>
          <w:lang w:val="fr-FR"/>
        </w:rPr>
        <w:t xml:space="preserve"> </w:t>
      </w:r>
    </w:p>
    <w:p w:rsidR="00D16AD2" w:rsidRPr="00174283" w:rsidRDefault="00343598" w:rsidP="00CB419C">
      <w:pPr>
        <w:pStyle w:val="Bullet1G"/>
        <w:ind w:left="1984"/>
        <w:rPr>
          <w:lang w:val="fr-FR"/>
        </w:rPr>
      </w:pPr>
      <w:r w:rsidRPr="00174283">
        <w:rPr>
          <w:lang w:val="fr-FR"/>
        </w:rPr>
        <w:t xml:space="preserve">Fomente </w:t>
      </w:r>
      <w:r w:rsidR="00FF431E" w:rsidRPr="00174283">
        <w:rPr>
          <w:lang w:val="fr-FR"/>
        </w:rPr>
        <w:t>une agression militaire ou incite à y participer</w:t>
      </w:r>
      <w:r w:rsidR="004E5CFF" w:rsidRPr="00174283">
        <w:rPr>
          <w:lang w:val="fr-FR"/>
        </w:rPr>
        <w:t xml:space="preserve"> et attise la haine </w:t>
      </w:r>
      <w:r w:rsidR="00E402E8" w:rsidRPr="00174283">
        <w:rPr>
          <w:lang w:val="fr-FR"/>
        </w:rPr>
        <w:t>et</w:t>
      </w:r>
      <w:r w:rsidR="004E5CFF" w:rsidRPr="00174283">
        <w:rPr>
          <w:lang w:val="fr-FR"/>
        </w:rPr>
        <w:t xml:space="preserve"> l</w:t>
      </w:r>
      <w:r w:rsidR="00205A62">
        <w:rPr>
          <w:lang w:val="fr-FR"/>
        </w:rPr>
        <w:t>’</w:t>
      </w:r>
      <w:r w:rsidR="004E5CFF" w:rsidRPr="00174283">
        <w:rPr>
          <w:lang w:val="fr-FR"/>
        </w:rPr>
        <w:t xml:space="preserve">intolérance </w:t>
      </w:r>
      <w:r w:rsidR="00E402E8" w:rsidRPr="00174283">
        <w:rPr>
          <w:lang w:val="fr-FR"/>
        </w:rPr>
        <w:t>fondées sur l</w:t>
      </w:r>
      <w:r w:rsidR="00205A62">
        <w:rPr>
          <w:lang w:val="fr-FR"/>
        </w:rPr>
        <w:t>’</w:t>
      </w:r>
      <w:r w:rsidR="00E402E8" w:rsidRPr="00174283">
        <w:rPr>
          <w:lang w:val="fr-FR"/>
        </w:rPr>
        <w:t>appartenance ethnique, raciale ou religieuse</w:t>
      </w:r>
      <w:r w:rsidR="00B6019A" w:rsidRPr="00174283">
        <w:rPr>
          <w:lang w:val="fr-FR"/>
        </w:rPr>
        <w:t>;</w:t>
      </w:r>
      <w:r w:rsidR="004E5CFF" w:rsidRPr="00174283">
        <w:rPr>
          <w:lang w:val="fr-FR"/>
        </w:rPr>
        <w:t xml:space="preserve"> </w:t>
      </w:r>
    </w:p>
    <w:p w:rsidR="00D16AD2" w:rsidRPr="00174283" w:rsidRDefault="00343598" w:rsidP="00490E24">
      <w:pPr>
        <w:pStyle w:val="Bullet1G"/>
        <w:ind w:left="1984"/>
        <w:rPr>
          <w:lang w:val="fr-FR"/>
        </w:rPr>
      </w:pPr>
      <w:r w:rsidRPr="00174283">
        <w:rPr>
          <w:lang w:val="fr-FR"/>
        </w:rPr>
        <w:t xml:space="preserve">Mène </w:t>
      </w:r>
      <w:r w:rsidR="0003036D" w:rsidRPr="00174283">
        <w:rPr>
          <w:lang w:val="fr-FR"/>
        </w:rPr>
        <w:t>des activités liées au</w:t>
      </w:r>
      <w:r w:rsidR="004E5CFF" w:rsidRPr="00174283">
        <w:rPr>
          <w:lang w:val="fr-FR"/>
        </w:rPr>
        <w:t xml:space="preserve"> terrorisme</w:t>
      </w:r>
      <w:r w:rsidR="00B6019A" w:rsidRPr="00174283">
        <w:rPr>
          <w:lang w:val="fr-FR"/>
        </w:rPr>
        <w:t>;</w:t>
      </w:r>
    </w:p>
    <w:p w:rsidR="00D16AD2" w:rsidRPr="00174283" w:rsidRDefault="00343598" w:rsidP="00490E24">
      <w:pPr>
        <w:pStyle w:val="Bullet1G"/>
        <w:ind w:left="1984"/>
        <w:rPr>
          <w:lang w:val="fr-FR"/>
        </w:rPr>
      </w:pPr>
      <w:r w:rsidRPr="00174283">
        <w:rPr>
          <w:lang w:val="fr-FR"/>
        </w:rPr>
        <w:t xml:space="preserve">Mène </w:t>
      </w:r>
      <w:r w:rsidR="0075736F" w:rsidRPr="00174283">
        <w:rPr>
          <w:lang w:val="fr-FR"/>
        </w:rPr>
        <w:t xml:space="preserve">des activités contraires </w:t>
      </w:r>
      <w:r w:rsidR="004E5CFF" w:rsidRPr="00174283">
        <w:rPr>
          <w:lang w:val="fr-FR"/>
        </w:rPr>
        <w:t>à la Constitution et à la loi</w:t>
      </w:r>
      <w:r w:rsidR="00B6019A" w:rsidRPr="00174283">
        <w:rPr>
          <w:lang w:val="fr-FR"/>
        </w:rPr>
        <w:t>;</w:t>
      </w:r>
      <w:r w:rsidR="004E5CFF" w:rsidRPr="00174283">
        <w:rPr>
          <w:lang w:val="fr-FR"/>
        </w:rPr>
        <w:t xml:space="preserve"> et</w:t>
      </w:r>
    </w:p>
    <w:p w:rsidR="00490E24" w:rsidRPr="00174283" w:rsidRDefault="00343598" w:rsidP="00490E24">
      <w:pPr>
        <w:pStyle w:val="Bullet1G"/>
        <w:ind w:left="1984"/>
        <w:rPr>
          <w:lang w:val="fr-FR"/>
        </w:rPr>
      </w:pPr>
      <w:r w:rsidRPr="00174283">
        <w:rPr>
          <w:lang w:val="fr-FR"/>
        </w:rPr>
        <w:t xml:space="preserve">Porte </w:t>
      </w:r>
      <w:r w:rsidR="00BD1A5D" w:rsidRPr="00174283">
        <w:rPr>
          <w:lang w:val="fr-FR"/>
        </w:rPr>
        <w:t xml:space="preserve">atteinte aux droits </w:t>
      </w:r>
      <w:r w:rsidR="0003036D" w:rsidRPr="00174283">
        <w:rPr>
          <w:lang w:val="fr-FR"/>
        </w:rPr>
        <w:t>et</w:t>
      </w:r>
      <w:r w:rsidR="00BD1A5D" w:rsidRPr="00174283">
        <w:rPr>
          <w:lang w:val="fr-FR"/>
        </w:rPr>
        <w:t xml:space="preserve"> libertés </w:t>
      </w:r>
      <w:r w:rsidR="0003036D" w:rsidRPr="00174283">
        <w:rPr>
          <w:lang w:val="fr-FR"/>
        </w:rPr>
        <w:t>d</w:t>
      </w:r>
      <w:r w:rsidR="00205A62">
        <w:rPr>
          <w:lang w:val="fr-FR"/>
        </w:rPr>
        <w:t>’</w:t>
      </w:r>
      <w:r w:rsidR="0003036D" w:rsidRPr="00174283">
        <w:rPr>
          <w:lang w:val="fr-FR"/>
        </w:rPr>
        <w:t>autrui</w:t>
      </w:r>
      <w:r w:rsidR="004E5CFF" w:rsidRPr="00174283">
        <w:rPr>
          <w:lang w:val="fr-FR"/>
        </w:rPr>
        <w:t>.</w:t>
      </w:r>
      <w:r w:rsidR="002F51DC">
        <w:rPr>
          <w:lang w:val="fr-FR"/>
        </w:rPr>
        <w:t>»</w:t>
      </w:r>
    </w:p>
    <w:p w:rsidR="00490E24" w:rsidRPr="00174283" w:rsidRDefault="00C80393" w:rsidP="00C80393">
      <w:pPr>
        <w:pStyle w:val="SingleTxtG"/>
        <w:rPr>
          <w:lang w:val="fr-FR"/>
        </w:rPr>
      </w:pPr>
      <w:r>
        <w:rPr>
          <w:lang w:val="fr-FR"/>
        </w:rPr>
        <w:t>30.</w:t>
      </w:r>
      <w:r>
        <w:rPr>
          <w:lang w:val="fr-FR"/>
        </w:rPr>
        <w:tab/>
      </w:r>
      <w:r w:rsidR="00A12A12" w:rsidRPr="00174283">
        <w:rPr>
          <w:lang w:val="fr-FR"/>
        </w:rPr>
        <w:t>S</w:t>
      </w:r>
      <w:r w:rsidR="001052DD" w:rsidRPr="00174283">
        <w:rPr>
          <w:lang w:val="fr-FR"/>
        </w:rPr>
        <w:t>uite aux recommandations préconisant de</w:t>
      </w:r>
      <w:r w:rsidR="00A12A12" w:rsidRPr="00174283">
        <w:rPr>
          <w:lang w:val="fr-FR"/>
        </w:rPr>
        <w:t xml:space="preserve"> considérer la discrimination raciale comme une circonstance aggravante dans la législation pénale et à l</w:t>
      </w:r>
      <w:r w:rsidR="00205A62">
        <w:rPr>
          <w:lang w:val="fr-FR"/>
        </w:rPr>
        <w:t>’</w:t>
      </w:r>
      <w:r w:rsidR="00A12A12" w:rsidRPr="00174283">
        <w:rPr>
          <w:lang w:val="fr-FR"/>
        </w:rPr>
        <w:t xml:space="preserve">adoption, en septembre 2009, de la loi modifiant et complétant le Code </w:t>
      </w:r>
      <w:r w:rsidR="008E7CD0" w:rsidRPr="00174283">
        <w:rPr>
          <w:lang w:val="fr-FR"/>
        </w:rPr>
        <w:t>pénal</w:t>
      </w:r>
      <w:r w:rsidR="00A12A12" w:rsidRPr="00174283">
        <w:rPr>
          <w:lang w:val="fr-FR"/>
        </w:rPr>
        <w:t xml:space="preserve"> (</w:t>
      </w:r>
      <w:r w:rsidR="008D3654" w:rsidRPr="006C4B2D">
        <w:rPr>
          <w:i/>
          <w:iCs/>
          <w:lang w:val="fr-FR"/>
        </w:rPr>
        <w:t>J</w:t>
      </w:r>
      <w:r w:rsidR="00A12A12" w:rsidRPr="006C4B2D">
        <w:rPr>
          <w:i/>
          <w:iCs/>
          <w:lang w:val="fr-FR"/>
        </w:rPr>
        <w:t>ournal officiel de la République de Macédoine</w:t>
      </w:r>
      <w:r w:rsidR="00A12A12" w:rsidRPr="00174283">
        <w:rPr>
          <w:lang w:val="fr-FR"/>
        </w:rPr>
        <w:t>, n</w:t>
      </w:r>
      <w:r w:rsidR="00A12A12" w:rsidRPr="00174283">
        <w:rPr>
          <w:vertAlign w:val="superscript"/>
          <w:lang w:val="fr-FR"/>
        </w:rPr>
        <w:t>o</w:t>
      </w:r>
      <w:r w:rsidR="004E5CFF" w:rsidRPr="00174283">
        <w:rPr>
          <w:lang w:val="fr-FR"/>
        </w:rPr>
        <w:t> </w:t>
      </w:r>
      <w:r w:rsidR="00A12A12" w:rsidRPr="00174283">
        <w:rPr>
          <w:lang w:val="fr-FR"/>
        </w:rPr>
        <w:t>114/2009),</w:t>
      </w:r>
      <w:r w:rsidR="001052DD" w:rsidRPr="00174283">
        <w:rPr>
          <w:lang w:val="fr-FR"/>
        </w:rPr>
        <w:t xml:space="preserve"> l</w:t>
      </w:r>
      <w:r w:rsidR="00205A62">
        <w:rPr>
          <w:lang w:val="fr-FR"/>
        </w:rPr>
        <w:t>’</w:t>
      </w:r>
      <w:r w:rsidR="001052DD" w:rsidRPr="00174283">
        <w:rPr>
          <w:lang w:val="fr-FR"/>
        </w:rPr>
        <w:t>article 39 du Code pénal, qui contient des dispositions relatives à la détermination des peines, a été complété par un nouveau sous-paragraphe 5, selon lequel: «Au moment de décider de la peine à infliger, le tribunal doit particulièrement déterminer si l</w:t>
      </w:r>
      <w:r w:rsidR="00205A62">
        <w:rPr>
          <w:lang w:val="fr-FR"/>
        </w:rPr>
        <w:t>’</w:t>
      </w:r>
      <w:r w:rsidR="001052DD" w:rsidRPr="00174283">
        <w:rPr>
          <w:lang w:val="fr-FR"/>
        </w:rPr>
        <w:t>infraction a été commise contre une personne ou un groupe de personnes, ou contre des biens, pour une raison directement ou indirectement liée à l</w:t>
      </w:r>
      <w:r w:rsidR="00205A62">
        <w:rPr>
          <w:lang w:val="fr-FR"/>
        </w:rPr>
        <w:t>’</w:t>
      </w:r>
      <w:r w:rsidR="001052DD" w:rsidRPr="00174283">
        <w:rPr>
          <w:lang w:val="fr-FR"/>
        </w:rPr>
        <w:t xml:space="preserve">origine nationale ou sociale, à </w:t>
      </w:r>
      <w:r w:rsidR="00794487">
        <w:rPr>
          <w:lang w:val="fr-FR"/>
        </w:rPr>
        <w:t>la</w:t>
      </w:r>
      <w:r w:rsidR="00794487" w:rsidRPr="00174283">
        <w:rPr>
          <w:lang w:val="fr-FR"/>
        </w:rPr>
        <w:t xml:space="preserve"> </w:t>
      </w:r>
      <w:r w:rsidR="001052DD" w:rsidRPr="00174283">
        <w:rPr>
          <w:lang w:val="fr-FR"/>
        </w:rPr>
        <w:t>conviction politique ou religieuse, à la situation économique ou sociale, au sexe, à la race ou à la couleur de la peau»</w:t>
      </w:r>
      <w:r w:rsidR="00794487">
        <w:rPr>
          <w:lang w:val="fr-FR"/>
        </w:rPr>
        <w:t>.</w:t>
      </w:r>
    </w:p>
    <w:p w:rsidR="00490E24" w:rsidRPr="00174283" w:rsidRDefault="00CB419C" w:rsidP="00CB419C">
      <w:pPr>
        <w:pStyle w:val="H23G"/>
        <w:rPr>
          <w:lang w:val="fr-FR"/>
        </w:rPr>
      </w:pPr>
      <w:r w:rsidRPr="00174283">
        <w:rPr>
          <w:lang w:val="fr-FR"/>
        </w:rPr>
        <w:tab/>
      </w:r>
      <w:r w:rsidRPr="00174283">
        <w:rPr>
          <w:lang w:val="fr-FR"/>
        </w:rPr>
        <w:tab/>
      </w:r>
      <w:r w:rsidR="004E5CFF" w:rsidRPr="00174283">
        <w:rPr>
          <w:lang w:val="fr-FR"/>
        </w:rPr>
        <w:t>Renseignements concernant les décisions des tribunaux nationaux et autres institutions d</w:t>
      </w:r>
      <w:r w:rsidR="00205A62">
        <w:rPr>
          <w:lang w:val="fr-FR"/>
        </w:rPr>
        <w:t>’</w:t>
      </w:r>
      <w:r w:rsidR="004E5CFF" w:rsidRPr="00174283">
        <w:rPr>
          <w:lang w:val="fr-FR"/>
        </w:rPr>
        <w:t xml:space="preserve">État </w:t>
      </w:r>
      <w:r w:rsidR="0022233B" w:rsidRPr="00174283">
        <w:rPr>
          <w:lang w:val="fr-FR"/>
        </w:rPr>
        <w:t>dans les</w:t>
      </w:r>
      <w:r w:rsidR="004E5CFF" w:rsidRPr="00174283">
        <w:rPr>
          <w:lang w:val="fr-FR"/>
        </w:rPr>
        <w:t xml:space="preserve"> </w:t>
      </w:r>
      <w:r w:rsidR="0022233B" w:rsidRPr="00174283">
        <w:rPr>
          <w:lang w:val="fr-FR"/>
        </w:rPr>
        <w:t>affaires</w:t>
      </w:r>
      <w:r w:rsidR="004E5CFF" w:rsidRPr="00174283">
        <w:rPr>
          <w:lang w:val="fr-FR"/>
        </w:rPr>
        <w:t xml:space="preserve"> de discrimination raciale</w:t>
      </w:r>
    </w:p>
    <w:p w:rsidR="0097037C" w:rsidRPr="00174283" w:rsidRDefault="00C80393" w:rsidP="00C80393">
      <w:pPr>
        <w:pStyle w:val="SingleTxtG"/>
        <w:rPr>
          <w:lang w:val="fr-FR"/>
        </w:rPr>
      </w:pPr>
      <w:r>
        <w:rPr>
          <w:lang w:val="fr-FR"/>
        </w:rPr>
        <w:t>31.</w:t>
      </w:r>
      <w:r>
        <w:rPr>
          <w:lang w:val="fr-FR"/>
        </w:rPr>
        <w:tab/>
      </w:r>
      <w:r w:rsidR="004E5CFF" w:rsidRPr="00174283">
        <w:rPr>
          <w:lang w:val="fr-FR"/>
        </w:rPr>
        <w:t>E</w:t>
      </w:r>
      <w:r w:rsidR="00490E24" w:rsidRPr="00174283">
        <w:rPr>
          <w:lang w:val="fr-FR"/>
        </w:rPr>
        <w:t xml:space="preserve">n 2011, </w:t>
      </w:r>
      <w:r w:rsidR="00405A3A" w:rsidRPr="00174283">
        <w:rPr>
          <w:lang w:val="fr-FR"/>
        </w:rPr>
        <w:t xml:space="preserve">la </w:t>
      </w:r>
      <w:r w:rsidR="00490E24" w:rsidRPr="00174283">
        <w:rPr>
          <w:lang w:val="fr-FR"/>
        </w:rPr>
        <w:t xml:space="preserve">Commission </w:t>
      </w:r>
      <w:r w:rsidR="00D743F7" w:rsidRPr="00174283">
        <w:rPr>
          <w:lang w:val="fr-FR"/>
        </w:rPr>
        <w:t>pour</w:t>
      </w:r>
      <w:r w:rsidR="00405A3A" w:rsidRPr="00174283">
        <w:rPr>
          <w:lang w:val="fr-FR"/>
        </w:rPr>
        <w:t xml:space="preserve"> la protection contre la discrimination </w:t>
      </w:r>
      <w:r w:rsidR="00D743F7" w:rsidRPr="00174283">
        <w:rPr>
          <w:lang w:val="fr-FR"/>
        </w:rPr>
        <w:t xml:space="preserve">a </w:t>
      </w:r>
      <w:r w:rsidR="00351B7C" w:rsidRPr="00174283">
        <w:rPr>
          <w:lang w:val="fr-FR"/>
        </w:rPr>
        <w:t>reçu un total</w:t>
      </w:r>
      <w:r w:rsidR="00D743F7" w:rsidRPr="00174283">
        <w:rPr>
          <w:lang w:val="fr-FR"/>
        </w:rPr>
        <w:t xml:space="preserve"> de</w:t>
      </w:r>
      <w:r w:rsidR="00405A3A" w:rsidRPr="00174283">
        <w:rPr>
          <w:lang w:val="fr-FR"/>
        </w:rPr>
        <w:t xml:space="preserve"> 63 plaintes. Dans 16 cas, aucune action n</w:t>
      </w:r>
      <w:r w:rsidR="00205A62">
        <w:rPr>
          <w:lang w:val="fr-FR"/>
        </w:rPr>
        <w:t>’</w:t>
      </w:r>
      <w:r w:rsidR="00405A3A" w:rsidRPr="00174283">
        <w:rPr>
          <w:lang w:val="fr-FR"/>
        </w:rPr>
        <w:t>a été entreprise, dans 4, la discrimination a été avérée, dans 2, une solution à l</w:t>
      </w:r>
      <w:r w:rsidR="00205A62">
        <w:rPr>
          <w:lang w:val="fr-FR"/>
        </w:rPr>
        <w:t>’</w:t>
      </w:r>
      <w:r w:rsidR="00405A3A" w:rsidRPr="00174283">
        <w:rPr>
          <w:lang w:val="fr-FR"/>
        </w:rPr>
        <w:t>amiable a été trouvée, dans 5, la procédure a été suspendue et dans 20, aucun acte de discrimination n</w:t>
      </w:r>
      <w:r w:rsidR="00205A62">
        <w:rPr>
          <w:lang w:val="fr-FR"/>
        </w:rPr>
        <w:t>’</w:t>
      </w:r>
      <w:r w:rsidR="00405A3A" w:rsidRPr="00174283">
        <w:rPr>
          <w:lang w:val="fr-FR"/>
        </w:rPr>
        <w:t>a été établi. En 2012, la Commission a été saisie de 74 affaires, parmi lesquelles 14 n</w:t>
      </w:r>
      <w:r w:rsidR="00205A62">
        <w:rPr>
          <w:lang w:val="fr-FR"/>
        </w:rPr>
        <w:t>’</w:t>
      </w:r>
      <w:r w:rsidR="00405A3A" w:rsidRPr="00174283">
        <w:rPr>
          <w:lang w:val="fr-FR"/>
        </w:rPr>
        <w:t>ont fait l</w:t>
      </w:r>
      <w:r w:rsidR="00205A62">
        <w:rPr>
          <w:lang w:val="fr-FR"/>
        </w:rPr>
        <w:t>’</w:t>
      </w:r>
      <w:r w:rsidR="00405A3A" w:rsidRPr="00174283">
        <w:rPr>
          <w:lang w:val="fr-FR"/>
        </w:rPr>
        <w:t>objet d</w:t>
      </w:r>
      <w:r w:rsidR="00205A62">
        <w:rPr>
          <w:lang w:val="fr-FR"/>
        </w:rPr>
        <w:t>’</w:t>
      </w:r>
      <w:r w:rsidR="00405A3A" w:rsidRPr="00174283">
        <w:rPr>
          <w:lang w:val="fr-FR"/>
        </w:rPr>
        <w:t>aucune mesure et 26 portaient sur des faits qui n</w:t>
      </w:r>
      <w:r w:rsidR="00205A62">
        <w:rPr>
          <w:lang w:val="fr-FR"/>
        </w:rPr>
        <w:t>’</w:t>
      </w:r>
      <w:r w:rsidR="00405A3A" w:rsidRPr="00174283">
        <w:rPr>
          <w:lang w:val="fr-FR"/>
        </w:rPr>
        <w:t xml:space="preserve">ont pas été reconnus comme des actes de discrimination. </w:t>
      </w:r>
    </w:p>
    <w:p w:rsidR="0097037C" w:rsidRPr="00174283" w:rsidRDefault="00C80393" w:rsidP="00C80393">
      <w:pPr>
        <w:pStyle w:val="SingleTxtG"/>
        <w:rPr>
          <w:lang w:val="fr-FR"/>
        </w:rPr>
      </w:pPr>
      <w:r>
        <w:rPr>
          <w:lang w:val="fr-FR"/>
        </w:rPr>
        <w:t>32.</w:t>
      </w:r>
      <w:r>
        <w:rPr>
          <w:lang w:val="fr-FR"/>
        </w:rPr>
        <w:tab/>
      </w:r>
      <w:r w:rsidR="00405A3A" w:rsidRPr="00174283">
        <w:rPr>
          <w:lang w:val="fr-FR"/>
        </w:rPr>
        <w:t xml:space="preserve">Selon les informations fournies par la Cour constitutionnelle, sur les 6 plaintes dont elle a été saisie </w:t>
      </w:r>
      <w:r w:rsidR="00B50211" w:rsidRPr="00174283">
        <w:rPr>
          <w:lang w:val="fr-FR"/>
        </w:rPr>
        <w:t xml:space="preserve">en 2008 </w:t>
      </w:r>
      <w:r w:rsidR="00405A3A" w:rsidRPr="00174283">
        <w:rPr>
          <w:lang w:val="fr-FR"/>
        </w:rPr>
        <w:t>concernant la protection des droits et liberté, 5 se rapportaient à des cas de discrimination. L</w:t>
      </w:r>
      <w:r w:rsidR="00205A62">
        <w:rPr>
          <w:lang w:val="fr-FR"/>
        </w:rPr>
        <w:t>’</w:t>
      </w:r>
      <w:r w:rsidR="00405A3A" w:rsidRPr="00174283">
        <w:rPr>
          <w:lang w:val="fr-FR"/>
        </w:rPr>
        <w:t>une d</w:t>
      </w:r>
      <w:r w:rsidR="00205A62">
        <w:rPr>
          <w:lang w:val="fr-FR"/>
        </w:rPr>
        <w:t>’</w:t>
      </w:r>
      <w:r w:rsidR="00405A3A" w:rsidRPr="00174283">
        <w:rPr>
          <w:lang w:val="fr-FR"/>
        </w:rPr>
        <w:t xml:space="preserve">entre elles a été rejetée faute de pouvoir établir un acte de discrimination, tandis que 4 ont été déclarées irrecevables. En 2009, sur un total de 14 plaintes, 9 se rapportaient à la discrimination et toutes ont été déclarées irrecevables. En 2010, sur les 6 plaintes liées à la protection des droits et libertés, 3 concernaient des actes de discrimination et toutes ont été déclarées irrecevables. </w:t>
      </w:r>
    </w:p>
    <w:p w:rsidR="0097037C" w:rsidRPr="00174283" w:rsidRDefault="00C80393" w:rsidP="00C80393">
      <w:pPr>
        <w:pStyle w:val="SingleTxtG"/>
        <w:rPr>
          <w:lang w:val="fr-FR"/>
        </w:rPr>
      </w:pPr>
      <w:r>
        <w:rPr>
          <w:lang w:val="fr-FR"/>
        </w:rPr>
        <w:t>33.</w:t>
      </w:r>
      <w:r>
        <w:rPr>
          <w:lang w:val="fr-FR"/>
        </w:rPr>
        <w:tab/>
      </w:r>
      <w:r w:rsidR="00405A3A" w:rsidRPr="00174283">
        <w:rPr>
          <w:lang w:val="fr-FR"/>
        </w:rPr>
        <w:t>Le tableau ci-dessous indique le nombre de plaintes reçues,</w:t>
      </w:r>
      <w:r w:rsidR="00FF6243" w:rsidRPr="00174283">
        <w:rPr>
          <w:lang w:val="fr-FR"/>
        </w:rPr>
        <w:t xml:space="preserve"> ainsi que le nombre</w:t>
      </w:r>
      <w:r w:rsidR="00405A3A" w:rsidRPr="00174283">
        <w:rPr>
          <w:lang w:val="fr-FR"/>
        </w:rPr>
        <w:t xml:space="preserve"> d</w:t>
      </w:r>
      <w:r w:rsidR="00205A62">
        <w:rPr>
          <w:lang w:val="fr-FR"/>
        </w:rPr>
        <w:t>’</w:t>
      </w:r>
      <w:r w:rsidR="00405A3A" w:rsidRPr="00174283">
        <w:rPr>
          <w:lang w:val="fr-FR"/>
        </w:rPr>
        <w:t xml:space="preserve">affaires </w:t>
      </w:r>
      <w:r w:rsidR="00FF6243" w:rsidRPr="00174283">
        <w:rPr>
          <w:lang w:val="fr-FR"/>
        </w:rPr>
        <w:t xml:space="preserve">ouvertes et </w:t>
      </w:r>
      <w:r w:rsidR="00405A3A" w:rsidRPr="00174283">
        <w:rPr>
          <w:lang w:val="fr-FR"/>
        </w:rPr>
        <w:t xml:space="preserve">traitées par le Bureau du </w:t>
      </w:r>
      <w:r w:rsidR="0053456D" w:rsidRPr="00174283">
        <w:rPr>
          <w:lang w:val="fr-FR"/>
        </w:rPr>
        <w:t>M</w:t>
      </w:r>
      <w:r w:rsidR="00405A3A" w:rsidRPr="00174283">
        <w:rPr>
          <w:lang w:val="fr-FR"/>
        </w:rPr>
        <w:t xml:space="preserve">édiateur </w:t>
      </w:r>
      <w:r w:rsidR="00FF6243" w:rsidRPr="00174283">
        <w:rPr>
          <w:lang w:val="fr-FR"/>
        </w:rPr>
        <w:t>au cours de la période</w:t>
      </w:r>
      <w:r w:rsidR="00405A3A" w:rsidRPr="00174283">
        <w:rPr>
          <w:lang w:val="fr-FR"/>
        </w:rPr>
        <w:t xml:space="preserve"> 2007</w:t>
      </w:r>
      <w:r w:rsidR="00FF6243" w:rsidRPr="00174283">
        <w:rPr>
          <w:lang w:val="fr-FR"/>
        </w:rPr>
        <w:t>-</w:t>
      </w:r>
      <w:r w:rsidR="00B50211" w:rsidRPr="00174283">
        <w:rPr>
          <w:lang w:val="fr-FR"/>
        </w:rPr>
        <w:t>2012</w:t>
      </w:r>
      <w:r w:rsidR="00FF6243" w:rsidRPr="00174283">
        <w:rPr>
          <w:lang w:val="fr-FR"/>
        </w:rPr>
        <w:t xml:space="preserve">. On y trouvera également </w:t>
      </w:r>
      <w:r w:rsidR="00405A3A" w:rsidRPr="00174283">
        <w:rPr>
          <w:lang w:val="fr-FR"/>
        </w:rPr>
        <w:t xml:space="preserve">le nombre total </w:t>
      </w:r>
      <w:r w:rsidR="00FF6243" w:rsidRPr="00174283">
        <w:rPr>
          <w:lang w:val="fr-FR"/>
        </w:rPr>
        <w:t>de procédures</w:t>
      </w:r>
      <w:r w:rsidR="00405A3A" w:rsidRPr="00174283">
        <w:rPr>
          <w:lang w:val="fr-FR"/>
        </w:rPr>
        <w:t xml:space="preserve"> </w:t>
      </w:r>
      <w:r w:rsidR="00FF6243" w:rsidRPr="00174283">
        <w:rPr>
          <w:lang w:val="fr-FR"/>
        </w:rPr>
        <w:t>menées à leur terme</w:t>
      </w:r>
      <w:r w:rsidR="00405A3A" w:rsidRPr="00174283">
        <w:rPr>
          <w:lang w:val="fr-FR"/>
        </w:rPr>
        <w:t xml:space="preserve"> </w:t>
      </w:r>
      <w:r w:rsidR="00B50211" w:rsidRPr="00174283">
        <w:rPr>
          <w:lang w:val="fr-FR"/>
        </w:rPr>
        <w:t>et</w:t>
      </w:r>
      <w:r w:rsidR="00405A3A" w:rsidRPr="00174283">
        <w:rPr>
          <w:lang w:val="fr-FR"/>
        </w:rPr>
        <w:t xml:space="preserve"> </w:t>
      </w:r>
      <w:r w:rsidR="00FF6243" w:rsidRPr="00174283">
        <w:rPr>
          <w:lang w:val="fr-FR"/>
        </w:rPr>
        <w:t xml:space="preserve">le nombre </w:t>
      </w:r>
      <w:r w:rsidR="00405A3A" w:rsidRPr="00174283">
        <w:rPr>
          <w:lang w:val="fr-FR"/>
        </w:rPr>
        <w:t>d</w:t>
      </w:r>
      <w:r w:rsidR="00205A62">
        <w:rPr>
          <w:lang w:val="fr-FR"/>
        </w:rPr>
        <w:t>’</w:t>
      </w:r>
      <w:r w:rsidR="00405A3A" w:rsidRPr="00174283">
        <w:rPr>
          <w:lang w:val="fr-FR"/>
        </w:rPr>
        <w:t xml:space="preserve">affaires </w:t>
      </w:r>
      <w:r w:rsidR="00FF6243" w:rsidRPr="00174283">
        <w:rPr>
          <w:lang w:val="fr-FR"/>
        </w:rPr>
        <w:t>dont le traitement a été reporté</w:t>
      </w:r>
      <w:r w:rsidR="00405A3A" w:rsidRPr="00174283">
        <w:rPr>
          <w:lang w:val="fr-FR"/>
        </w:rPr>
        <w:t xml:space="preserve"> à l</w:t>
      </w:r>
      <w:r w:rsidR="00205A62">
        <w:rPr>
          <w:lang w:val="fr-FR"/>
        </w:rPr>
        <w:t>’</w:t>
      </w:r>
      <w:r w:rsidR="00405A3A" w:rsidRPr="00174283">
        <w:rPr>
          <w:lang w:val="fr-FR"/>
        </w:rPr>
        <w:t xml:space="preserve">année suivante. </w:t>
      </w:r>
    </w:p>
    <w:p w:rsidR="0097037C" w:rsidRPr="00174283" w:rsidRDefault="00C80393" w:rsidP="00C80393">
      <w:pPr>
        <w:pStyle w:val="SingleTxtG"/>
        <w:rPr>
          <w:lang w:val="fr-FR"/>
        </w:rPr>
      </w:pPr>
      <w:r>
        <w:rPr>
          <w:lang w:val="fr-FR"/>
        </w:rPr>
        <w:t>34.</w:t>
      </w:r>
      <w:r>
        <w:rPr>
          <w:lang w:val="fr-FR"/>
        </w:rPr>
        <w:tab/>
      </w:r>
      <w:r w:rsidR="000409D8" w:rsidRPr="00174283">
        <w:rPr>
          <w:lang w:val="fr-FR"/>
        </w:rPr>
        <w:t xml:space="preserve">En 2009, le Bureau du Médiateur a mis en place un système électronique pour traiter les affaires relatives au principe de non-discrimination et de représentation </w:t>
      </w:r>
      <w:r w:rsidR="008E7CD0" w:rsidRPr="00174283">
        <w:rPr>
          <w:lang w:val="fr-FR"/>
        </w:rPr>
        <w:t>é</w:t>
      </w:r>
      <w:r w:rsidR="000409D8" w:rsidRPr="00174283">
        <w:rPr>
          <w:lang w:val="fr-FR"/>
        </w:rPr>
        <w:t>quitable. Avec ce système, les plaintes reçues, ou les affaires, sont répertoriées</w:t>
      </w:r>
      <w:r w:rsidR="00C91C1A" w:rsidRPr="00174283">
        <w:rPr>
          <w:lang w:val="fr-FR"/>
        </w:rPr>
        <w:t xml:space="preserve"> </w:t>
      </w:r>
      <w:r w:rsidR="009325F4" w:rsidRPr="00174283">
        <w:rPr>
          <w:lang w:val="fr-FR"/>
        </w:rPr>
        <w:t>ou</w:t>
      </w:r>
      <w:r w:rsidR="00C91C1A" w:rsidRPr="00174283">
        <w:rPr>
          <w:lang w:val="fr-FR"/>
        </w:rPr>
        <w:t xml:space="preserve"> </w:t>
      </w:r>
      <w:r w:rsidR="000409D8" w:rsidRPr="00174283">
        <w:rPr>
          <w:lang w:val="fr-FR"/>
        </w:rPr>
        <w:t>traitées par domaines conformément à la loi relative au Médiateur et au règlement concernant ses services</w:t>
      </w:r>
      <w:r w:rsidR="0053456D" w:rsidRPr="00174283">
        <w:rPr>
          <w:lang w:val="fr-FR"/>
        </w:rPr>
        <w:t xml:space="preserve">. </w:t>
      </w:r>
      <w:r w:rsidR="009325F4" w:rsidRPr="00174283">
        <w:rPr>
          <w:lang w:val="fr-FR"/>
        </w:rPr>
        <w:t>Ce système ayant été mis en place avant l</w:t>
      </w:r>
      <w:r w:rsidR="00205A62">
        <w:rPr>
          <w:lang w:val="fr-FR"/>
        </w:rPr>
        <w:t>’</w:t>
      </w:r>
      <w:r w:rsidR="009325F4" w:rsidRPr="00174283">
        <w:rPr>
          <w:lang w:val="fr-FR"/>
        </w:rPr>
        <w:t xml:space="preserve">adoption de </w:t>
      </w:r>
      <w:r w:rsidR="0053456D" w:rsidRPr="00174283">
        <w:rPr>
          <w:lang w:val="fr-FR"/>
        </w:rPr>
        <w:t xml:space="preserve">la loi sur la prévention de la discrimination et la </w:t>
      </w:r>
      <w:r w:rsidR="00204837">
        <w:rPr>
          <w:lang w:val="fr-FR"/>
        </w:rPr>
        <w:t>protection contre ce phénomène</w:t>
      </w:r>
      <w:r w:rsidR="0053456D" w:rsidRPr="00174283">
        <w:rPr>
          <w:lang w:val="fr-FR"/>
        </w:rPr>
        <w:t>, en 2010</w:t>
      </w:r>
      <w:r w:rsidR="009325F4" w:rsidRPr="00174283">
        <w:rPr>
          <w:lang w:val="fr-FR"/>
        </w:rPr>
        <w:t>,</w:t>
      </w:r>
      <w:r w:rsidR="009325F4" w:rsidRPr="00174283">
        <w:rPr>
          <w:rFonts w:ascii="Calibri" w:eastAsia="Calibri" w:hAnsi="Calibri"/>
          <w:sz w:val="22"/>
          <w:szCs w:val="22"/>
          <w:lang w:val="fr-FR"/>
        </w:rPr>
        <w:t xml:space="preserve"> </w:t>
      </w:r>
      <w:r w:rsidR="009325F4" w:rsidRPr="00174283">
        <w:rPr>
          <w:lang w:val="fr-FR"/>
        </w:rPr>
        <w:t>il convient de noter que les données statistiques ne correspondent pas parfaitement aux motifs de discrimination mentionnés dans cette loi</w:t>
      </w:r>
      <w:r w:rsidR="0053456D" w:rsidRPr="00174283">
        <w:rPr>
          <w:lang w:val="fr-FR"/>
        </w:rPr>
        <w:t xml:space="preserve">. </w:t>
      </w:r>
    </w:p>
    <w:p w:rsidR="00A050CA" w:rsidRPr="00174283" w:rsidRDefault="00C80393" w:rsidP="00C80393">
      <w:pPr>
        <w:pStyle w:val="SingleTxtG"/>
        <w:rPr>
          <w:lang w:val="fr-FR"/>
        </w:rPr>
      </w:pPr>
      <w:r>
        <w:rPr>
          <w:lang w:val="fr-FR"/>
        </w:rPr>
        <w:t>35.</w:t>
      </w:r>
      <w:r>
        <w:rPr>
          <w:lang w:val="fr-FR"/>
        </w:rPr>
        <w:tab/>
      </w:r>
      <w:r w:rsidR="0053456D" w:rsidRPr="00174283">
        <w:rPr>
          <w:lang w:val="fr-FR"/>
        </w:rPr>
        <w:t xml:space="preserve">Conformément </w:t>
      </w:r>
      <w:r w:rsidR="008E7CD0" w:rsidRPr="00174283">
        <w:rPr>
          <w:lang w:val="fr-FR"/>
        </w:rPr>
        <w:t>aux</w:t>
      </w:r>
      <w:r w:rsidR="0053456D" w:rsidRPr="00174283">
        <w:rPr>
          <w:lang w:val="fr-FR"/>
        </w:rPr>
        <w:t xml:space="preserve"> stati</w:t>
      </w:r>
      <w:r w:rsidR="005D607E" w:rsidRPr="00174283">
        <w:rPr>
          <w:lang w:val="fr-FR"/>
        </w:rPr>
        <w:t>stiques de l</w:t>
      </w:r>
      <w:r w:rsidR="00205A62">
        <w:rPr>
          <w:lang w:val="fr-FR"/>
        </w:rPr>
        <w:t>’</w:t>
      </w:r>
      <w:r w:rsidR="005D607E" w:rsidRPr="00174283">
        <w:rPr>
          <w:lang w:val="fr-FR"/>
        </w:rPr>
        <w:t>Office</w:t>
      </w:r>
      <w:r w:rsidR="0053456D" w:rsidRPr="00174283">
        <w:rPr>
          <w:lang w:val="fr-FR"/>
        </w:rPr>
        <w:t xml:space="preserve"> national de</w:t>
      </w:r>
      <w:r w:rsidR="005D607E" w:rsidRPr="00174283">
        <w:rPr>
          <w:lang w:val="fr-FR"/>
        </w:rPr>
        <w:t xml:space="preserve"> statistique</w:t>
      </w:r>
      <w:r w:rsidR="0053456D" w:rsidRPr="00174283">
        <w:rPr>
          <w:lang w:val="fr-FR"/>
        </w:rPr>
        <w:t>, aucune condamnation n</w:t>
      </w:r>
      <w:r w:rsidR="00205A62">
        <w:rPr>
          <w:lang w:val="fr-FR"/>
        </w:rPr>
        <w:t>’</w:t>
      </w:r>
      <w:r w:rsidR="0053456D" w:rsidRPr="00174283">
        <w:rPr>
          <w:lang w:val="fr-FR"/>
        </w:rPr>
        <w:t xml:space="preserve">a été prononcée pour ces délits en 2009 et 2010. </w:t>
      </w:r>
    </w:p>
    <w:p w:rsidR="00CB419C" w:rsidRPr="00174283" w:rsidRDefault="005F4C93" w:rsidP="00A050CA">
      <w:pPr>
        <w:pStyle w:val="SingleTxtG"/>
        <w:keepNext/>
        <w:ind w:left="0"/>
        <w:jc w:val="left"/>
        <w:rPr>
          <w:b/>
          <w:lang w:val="fr-FR"/>
        </w:rPr>
      </w:pPr>
      <w:r w:rsidRPr="00174283">
        <w:rPr>
          <w:lang w:val="fr-FR"/>
        </w:rPr>
        <w:t>Table</w:t>
      </w:r>
      <w:r w:rsidR="004C18ED" w:rsidRPr="00174283">
        <w:rPr>
          <w:lang w:val="fr-FR"/>
        </w:rPr>
        <w:t>au</w:t>
      </w:r>
      <w:r w:rsidRPr="00174283">
        <w:rPr>
          <w:lang w:val="fr-FR"/>
        </w:rPr>
        <w:t xml:space="preserve"> 1</w:t>
      </w:r>
      <w:r w:rsidRPr="00174283">
        <w:rPr>
          <w:b/>
          <w:lang w:val="fr-FR"/>
        </w:rPr>
        <w:br/>
      </w:r>
      <w:r w:rsidR="004C18ED" w:rsidRPr="00174283">
        <w:rPr>
          <w:b/>
          <w:lang w:val="fr-FR"/>
        </w:rPr>
        <w:t>Bilan des plaintes reçues et traitées, ainsi que de celles en attente de traitement, en vertu du principe de non-discrimination et de représentation équitable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9"/>
        <w:gridCol w:w="506"/>
        <w:gridCol w:w="500"/>
        <w:gridCol w:w="462"/>
        <w:gridCol w:w="507"/>
        <w:gridCol w:w="462"/>
        <w:gridCol w:w="462"/>
        <w:gridCol w:w="463"/>
        <w:gridCol w:w="462"/>
        <w:gridCol w:w="462"/>
        <w:gridCol w:w="520"/>
        <w:gridCol w:w="473"/>
        <w:gridCol w:w="508"/>
        <w:gridCol w:w="462"/>
        <w:gridCol w:w="462"/>
        <w:gridCol w:w="531"/>
        <w:gridCol w:w="486"/>
        <w:gridCol w:w="462"/>
      </w:tblGrid>
      <w:tr w:rsidR="00A050CA" w:rsidRPr="00174283" w:rsidTr="0078668F">
        <w:trPr>
          <w:cantSplit/>
          <w:trHeight w:val="283"/>
          <w:jc w:val="center"/>
        </w:trPr>
        <w:tc>
          <w:tcPr>
            <w:tcW w:w="1449" w:type="dxa"/>
            <w:vMerge w:val="restart"/>
            <w:tcBorders>
              <w:top w:val="single" w:sz="4" w:space="0" w:color="000000"/>
              <w:left w:val="nil"/>
              <w:bottom w:val="single" w:sz="12" w:space="0" w:color="000000"/>
              <w:right w:val="nil"/>
            </w:tcBorders>
            <w:vAlign w:val="bottom"/>
          </w:tcPr>
          <w:p w:rsidR="00A050CA" w:rsidRPr="00D06844" w:rsidRDefault="002F14EC" w:rsidP="00D06844">
            <w:pPr>
              <w:keepNext/>
              <w:keepLines/>
              <w:spacing w:before="80" w:after="80" w:line="240" w:lineRule="auto"/>
              <w:ind w:right="57"/>
              <w:rPr>
                <w:rFonts w:ascii="StobiSerif Regular" w:hAnsi="StobiSerif Regular" w:cs="Arial"/>
                <w:bCs/>
                <w:i/>
                <w:iCs/>
                <w:sz w:val="16"/>
                <w:szCs w:val="16"/>
                <w:lang w:val="fr-FR"/>
              </w:rPr>
            </w:pPr>
            <w:r w:rsidRPr="00D06844">
              <w:rPr>
                <w:rFonts w:ascii="StobiSerif Regular" w:hAnsi="StobiSerif Regular" w:cs="Arial"/>
                <w:bCs/>
                <w:i/>
                <w:iCs/>
                <w:sz w:val="16"/>
                <w:szCs w:val="16"/>
                <w:lang w:val="fr-FR"/>
              </w:rPr>
              <w:t xml:space="preserve">Domaine </w:t>
            </w:r>
          </w:p>
        </w:tc>
        <w:tc>
          <w:tcPr>
            <w:tcW w:w="506" w:type="dxa"/>
            <w:vMerge w:val="restart"/>
            <w:tcBorders>
              <w:top w:val="single" w:sz="4" w:space="0" w:color="000000"/>
              <w:left w:val="nil"/>
              <w:bottom w:val="single" w:sz="12" w:space="0" w:color="000000"/>
              <w:right w:val="nil"/>
            </w:tcBorders>
            <w:textDirection w:val="btLr"/>
            <w:vAlign w:val="bottom"/>
          </w:tcPr>
          <w:p w:rsidR="00A050CA" w:rsidRPr="003414B6" w:rsidRDefault="003E6E15" w:rsidP="00FC03F1">
            <w:pPr>
              <w:keepNext/>
              <w:keepLines/>
              <w:spacing w:before="80" w:after="40" w:line="18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Nombre de plaintes reçues par année</w:t>
            </w:r>
          </w:p>
        </w:tc>
        <w:tc>
          <w:tcPr>
            <w:tcW w:w="500" w:type="dxa"/>
            <w:vMerge w:val="restart"/>
            <w:tcBorders>
              <w:top w:val="single" w:sz="4" w:space="0" w:color="000000"/>
              <w:left w:val="nil"/>
              <w:bottom w:val="single" w:sz="12" w:space="0" w:color="000000"/>
              <w:right w:val="nil"/>
            </w:tcBorders>
            <w:textDirection w:val="btLr"/>
            <w:vAlign w:val="bottom"/>
          </w:tcPr>
          <w:p w:rsidR="00A050CA" w:rsidRPr="003414B6" w:rsidRDefault="003E6E15" w:rsidP="00FC03F1">
            <w:pPr>
              <w:keepNext/>
              <w:keepLines/>
              <w:spacing w:before="80" w:after="40" w:line="18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Nombre de plaignants</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3E6E15"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Plaintes dont le traitement a été reporté de l</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année précédente</w:t>
            </w:r>
          </w:p>
        </w:tc>
        <w:tc>
          <w:tcPr>
            <w:tcW w:w="507" w:type="dxa"/>
            <w:vMerge w:val="restart"/>
            <w:tcBorders>
              <w:top w:val="single" w:sz="4" w:space="0" w:color="000000"/>
              <w:left w:val="nil"/>
              <w:bottom w:val="single" w:sz="12" w:space="0" w:color="000000"/>
              <w:right w:val="nil"/>
            </w:tcBorders>
            <w:textDirection w:val="btLr"/>
            <w:vAlign w:val="bottom"/>
          </w:tcPr>
          <w:p w:rsidR="00A050CA" w:rsidRPr="003414B6" w:rsidRDefault="0079685F" w:rsidP="00FC03F1">
            <w:pPr>
              <w:keepNext/>
              <w:keepLines/>
              <w:spacing w:before="80" w:after="40" w:line="180" w:lineRule="exact"/>
              <w:ind w:left="113" w:right="113"/>
              <w:rPr>
                <w:rFonts w:ascii="StobiSerif Regular" w:hAnsi="StobiSerif Regular" w:cs="Arial"/>
                <w:i/>
                <w:iCs/>
                <w:sz w:val="14"/>
                <w:szCs w:val="14"/>
                <w:lang w:val="fr-FR"/>
              </w:rPr>
            </w:pPr>
            <w:r w:rsidRPr="003414B6">
              <w:rPr>
                <w:rFonts w:ascii="StobiSerif Regular" w:hAnsi="StobiSerif Regular" w:cs="Arial"/>
                <w:bCs/>
                <w:i/>
                <w:iCs/>
                <w:sz w:val="14"/>
                <w:szCs w:val="14"/>
                <w:lang w:val="fr-FR"/>
              </w:rPr>
              <w:t>Nombre total de plaintes traitées</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79685F" w:rsidP="00FC03F1">
            <w:pPr>
              <w:keepNext/>
              <w:keepLines/>
              <w:spacing w:before="80" w:after="40" w:line="18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Plaintes anonymes</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F02A3C" w:rsidP="00FC03F1">
            <w:pPr>
              <w:keepNext/>
              <w:keepLines/>
              <w:spacing w:before="80" w:after="40" w:line="18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Affaires ouvertes à l</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initiative du Médiateur</w:t>
            </w:r>
          </w:p>
        </w:tc>
        <w:tc>
          <w:tcPr>
            <w:tcW w:w="2888" w:type="dxa"/>
            <w:gridSpan w:val="6"/>
            <w:tcBorders>
              <w:top w:val="single" w:sz="4" w:space="0" w:color="000000"/>
              <w:left w:val="nil"/>
              <w:bottom w:val="single" w:sz="4" w:space="0" w:color="000000"/>
              <w:right w:val="nil"/>
            </w:tcBorders>
            <w:vAlign w:val="center"/>
          </w:tcPr>
          <w:p w:rsidR="00A050CA" w:rsidRPr="003414B6" w:rsidRDefault="003E6E15" w:rsidP="006C5505">
            <w:pPr>
              <w:keepNext/>
              <w:keepLines/>
              <w:spacing w:before="80" w:after="80" w:line="180" w:lineRule="exact"/>
              <w:ind w:left="57" w:right="57"/>
              <w:jc w:val="center"/>
              <w:rPr>
                <w:rFonts w:ascii="StobiSerif Regular" w:hAnsi="StobiSerif Regular" w:cs="Arial"/>
                <w:i/>
                <w:iCs/>
                <w:sz w:val="14"/>
                <w:szCs w:val="14"/>
                <w:lang w:val="fr-FR"/>
              </w:rPr>
            </w:pPr>
            <w:r w:rsidRPr="003414B6">
              <w:rPr>
                <w:rFonts w:ascii="StobiSerif Regular" w:hAnsi="StobiSerif Regular" w:cs="Arial"/>
                <w:i/>
                <w:iCs/>
                <w:sz w:val="14"/>
                <w:szCs w:val="14"/>
                <w:lang w:val="fr-FR"/>
              </w:rPr>
              <w:t>Manière de régler le litige</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2F14EC" w:rsidP="00FC03F1">
            <w:pPr>
              <w:keepNext/>
              <w:keepLines/>
              <w:spacing w:before="80" w:after="40" w:line="240" w:lineRule="auto"/>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Communication d</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informations à des ministères</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2F14EC" w:rsidP="00FC03F1">
            <w:pPr>
              <w:keepNext/>
              <w:keepLines/>
              <w:spacing w:before="80" w:after="40" w:line="240" w:lineRule="auto"/>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Communication d</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informations au Gouvernement</w:t>
            </w:r>
          </w:p>
        </w:tc>
        <w:tc>
          <w:tcPr>
            <w:tcW w:w="531" w:type="dxa"/>
            <w:vMerge w:val="restart"/>
            <w:tcBorders>
              <w:top w:val="single" w:sz="4" w:space="0" w:color="000000"/>
              <w:left w:val="nil"/>
              <w:bottom w:val="single" w:sz="12" w:space="0" w:color="000000"/>
              <w:right w:val="nil"/>
            </w:tcBorders>
            <w:textDirection w:val="btLr"/>
            <w:vAlign w:val="bottom"/>
          </w:tcPr>
          <w:p w:rsidR="00A050CA" w:rsidRPr="003414B6" w:rsidRDefault="002F14EC"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Communication d</w:t>
            </w:r>
            <w:r w:rsidR="00205A62">
              <w:rPr>
                <w:rFonts w:ascii="StobiSerif Regular" w:hAnsi="StobiSerif Regular" w:cs="Arial"/>
                <w:i/>
                <w:iCs/>
                <w:sz w:val="14"/>
                <w:szCs w:val="14"/>
                <w:lang w:val="fr-FR"/>
              </w:rPr>
              <w:t>’</w:t>
            </w:r>
            <w:r w:rsidR="00F940B5">
              <w:rPr>
                <w:rFonts w:ascii="StobiSerif Regular" w:hAnsi="StobiSerif Regular" w:cs="Arial"/>
                <w:i/>
                <w:iCs/>
                <w:sz w:val="14"/>
                <w:szCs w:val="14"/>
                <w:lang w:val="fr-FR"/>
              </w:rPr>
              <w:t>informations</w:t>
            </w:r>
            <w:r w:rsidRPr="003414B6">
              <w:rPr>
                <w:rFonts w:ascii="StobiSerif Regular" w:hAnsi="StobiSerif Regular" w:cs="Arial"/>
                <w:i/>
                <w:iCs/>
                <w:sz w:val="14"/>
                <w:szCs w:val="14"/>
                <w:lang w:val="fr-FR"/>
              </w:rPr>
              <w:t xml:space="preserve"> à d</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autres organes ou organisations investis de pouvoirs publics</w:t>
            </w:r>
          </w:p>
        </w:tc>
        <w:tc>
          <w:tcPr>
            <w:tcW w:w="486" w:type="dxa"/>
            <w:vMerge w:val="restart"/>
            <w:tcBorders>
              <w:top w:val="single" w:sz="4" w:space="0" w:color="000000"/>
              <w:left w:val="nil"/>
              <w:bottom w:val="single" w:sz="12" w:space="0" w:color="000000"/>
              <w:right w:val="nil"/>
            </w:tcBorders>
            <w:textDirection w:val="btLr"/>
            <w:vAlign w:val="bottom"/>
          </w:tcPr>
          <w:p w:rsidR="00A050CA" w:rsidRPr="003414B6" w:rsidRDefault="002F14EC" w:rsidP="00FC03F1">
            <w:pPr>
              <w:keepNext/>
              <w:keepLines/>
              <w:spacing w:before="80" w:after="40" w:line="240" w:lineRule="auto"/>
              <w:ind w:left="113" w:right="113"/>
              <w:rPr>
                <w:rFonts w:ascii="StobiSerif Regular" w:hAnsi="StobiSerif Regular" w:cs="Arial"/>
                <w:i/>
                <w:iCs/>
                <w:sz w:val="14"/>
                <w:szCs w:val="14"/>
                <w:lang w:val="fr-FR"/>
              </w:rPr>
            </w:pPr>
            <w:r w:rsidRPr="003414B6">
              <w:rPr>
                <w:rFonts w:ascii="StobiSerif Regular" w:hAnsi="StobiSerif Regular" w:cs="Arial"/>
                <w:b/>
                <w:i/>
                <w:iCs/>
                <w:sz w:val="14"/>
                <w:szCs w:val="14"/>
                <w:lang w:val="fr-FR"/>
              </w:rPr>
              <w:t>Nombre total de procédures menées à leur terme</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0B5D72" w:rsidP="00FC03F1">
            <w:pPr>
              <w:keepNext/>
              <w:keepLines/>
              <w:spacing w:before="80" w:after="40" w:line="240" w:lineRule="auto"/>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Affaires pendantes</w:t>
            </w:r>
          </w:p>
        </w:tc>
      </w:tr>
      <w:tr w:rsidR="00A050CA" w:rsidRPr="00174283" w:rsidTr="0078668F">
        <w:trPr>
          <w:cantSplit/>
          <w:trHeight w:val="298"/>
          <w:jc w:val="center"/>
        </w:trPr>
        <w:tc>
          <w:tcPr>
            <w:tcW w:w="1449" w:type="dxa"/>
            <w:vMerge/>
            <w:tcBorders>
              <w:top w:val="single" w:sz="4" w:space="0" w:color="000000"/>
              <w:left w:val="nil"/>
              <w:bottom w:val="single" w:sz="12" w:space="0" w:color="000000"/>
              <w:right w:val="nil"/>
            </w:tcBorders>
            <w:vAlign w:val="center"/>
          </w:tcPr>
          <w:p w:rsidR="00A050CA" w:rsidRPr="00D06844" w:rsidRDefault="00A050CA" w:rsidP="00A050CA">
            <w:pPr>
              <w:keepNext/>
              <w:keepLines/>
              <w:rPr>
                <w:rFonts w:ascii="StobiSerif Regular" w:hAnsi="StobiSerif Regular" w:cs="Arial"/>
                <w:bCs/>
                <w:sz w:val="16"/>
                <w:szCs w:val="16"/>
                <w:lang w:val="fr-FR"/>
              </w:rPr>
            </w:pPr>
          </w:p>
        </w:tc>
        <w:tc>
          <w:tcPr>
            <w:tcW w:w="506"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500"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507"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12"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3" w:type="dxa"/>
            <w:vMerge w:val="restart"/>
            <w:tcBorders>
              <w:top w:val="single" w:sz="4" w:space="0" w:color="000000"/>
              <w:left w:val="nil"/>
              <w:bottom w:val="single" w:sz="12" w:space="0" w:color="000000"/>
              <w:right w:val="nil"/>
            </w:tcBorders>
            <w:textDirection w:val="btLr"/>
            <w:vAlign w:val="bottom"/>
          </w:tcPr>
          <w:p w:rsidR="00A050CA" w:rsidRPr="003414B6" w:rsidRDefault="00D5483B"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Clôture ou classement de l</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affaire</w:t>
            </w:r>
          </w:p>
        </w:tc>
        <w:tc>
          <w:tcPr>
            <w:tcW w:w="462" w:type="dxa"/>
            <w:vMerge w:val="restart"/>
            <w:tcBorders>
              <w:top w:val="single" w:sz="4" w:space="0" w:color="000000"/>
              <w:left w:val="nil"/>
              <w:bottom w:val="single" w:sz="12" w:space="0" w:color="000000"/>
              <w:right w:val="nil"/>
            </w:tcBorders>
            <w:textDirection w:val="btLr"/>
            <w:vAlign w:val="bottom"/>
          </w:tcPr>
          <w:p w:rsidR="00A050CA" w:rsidRPr="003414B6" w:rsidRDefault="00D5483B"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Autre règlement</w:t>
            </w:r>
          </w:p>
        </w:tc>
        <w:tc>
          <w:tcPr>
            <w:tcW w:w="1963" w:type="dxa"/>
            <w:gridSpan w:val="4"/>
            <w:tcBorders>
              <w:top w:val="single" w:sz="4" w:space="0" w:color="000000"/>
              <w:left w:val="nil"/>
              <w:bottom w:val="single" w:sz="4" w:space="0" w:color="000000"/>
              <w:right w:val="nil"/>
            </w:tcBorders>
            <w:vAlign w:val="center"/>
          </w:tcPr>
          <w:p w:rsidR="00A050CA" w:rsidRPr="003414B6" w:rsidRDefault="003E6E15" w:rsidP="006C5505">
            <w:pPr>
              <w:keepNext/>
              <w:keepLines/>
              <w:spacing w:before="80" w:after="80" w:line="180" w:lineRule="exact"/>
              <w:ind w:left="57" w:right="57"/>
              <w:jc w:val="center"/>
              <w:rPr>
                <w:rFonts w:ascii="StobiSerif Regular" w:hAnsi="StobiSerif Regular" w:cs="Arial"/>
                <w:i/>
                <w:iCs/>
                <w:sz w:val="14"/>
                <w:szCs w:val="14"/>
                <w:lang w:val="fr-FR"/>
              </w:rPr>
            </w:pPr>
            <w:r w:rsidRPr="003414B6">
              <w:rPr>
                <w:rFonts w:ascii="StobiSerif Regular" w:hAnsi="StobiSerif Regular" w:cs="Arial"/>
                <w:i/>
                <w:iCs/>
                <w:sz w:val="14"/>
                <w:szCs w:val="14"/>
                <w:lang w:val="fr-FR"/>
              </w:rPr>
              <w:t>Violations avérées</w:t>
            </w: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531"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86"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r>
      <w:tr w:rsidR="00A050CA" w:rsidRPr="00174283" w:rsidTr="0078668F">
        <w:trPr>
          <w:cantSplit/>
          <w:trHeight w:val="2460"/>
          <w:jc w:val="center"/>
        </w:trPr>
        <w:tc>
          <w:tcPr>
            <w:tcW w:w="1449" w:type="dxa"/>
            <w:vMerge/>
            <w:tcBorders>
              <w:top w:val="single" w:sz="6" w:space="0" w:color="000000"/>
              <w:left w:val="nil"/>
              <w:bottom w:val="single" w:sz="12" w:space="0" w:color="000000"/>
              <w:right w:val="nil"/>
            </w:tcBorders>
            <w:vAlign w:val="center"/>
          </w:tcPr>
          <w:p w:rsidR="00A050CA" w:rsidRPr="00D06844" w:rsidRDefault="00A050CA" w:rsidP="00A050CA">
            <w:pPr>
              <w:keepNext/>
              <w:keepLines/>
              <w:rPr>
                <w:rFonts w:ascii="StobiSerif Regular" w:hAnsi="StobiSerif Regular" w:cs="Arial"/>
                <w:bCs/>
                <w:sz w:val="16"/>
                <w:szCs w:val="16"/>
                <w:lang w:val="fr-FR"/>
              </w:rPr>
            </w:pPr>
          </w:p>
        </w:tc>
        <w:tc>
          <w:tcPr>
            <w:tcW w:w="506"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500"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507"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2" w:type="dxa"/>
            <w:vMerge/>
            <w:tcBorders>
              <w:top w:val="single" w:sz="12"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rPr>
                <w:rFonts w:ascii="StobiSerif Regular" w:hAnsi="StobiSerif Regular" w:cs="Arial"/>
                <w:sz w:val="14"/>
                <w:szCs w:val="14"/>
                <w:lang w:val="fr-FR"/>
              </w:rPr>
            </w:pPr>
          </w:p>
        </w:tc>
        <w:tc>
          <w:tcPr>
            <w:tcW w:w="463"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ind w:left="57" w:right="57"/>
              <w:rPr>
                <w:rFonts w:ascii="StobiSerif Regular" w:hAnsi="StobiSerif Regular" w:cs="Arial"/>
                <w:sz w:val="14"/>
                <w:szCs w:val="14"/>
                <w:lang w:val="fr-FR"/>
              </w:rPr>
            </w:pPr>
          </w:p>
        </w:tc>
        <w:tc>
          <w:tcPr>
            <w:tcW w:w="462" w:type="dxa"/>
            <w:vMerge/>
            <w:tcBorders>
              <w:top w:val="single" w:sz="4" w:space="0" w:color="000000"/>
              <w:left w:val="nil"/>
              <w:bottom w:val="single" w:sz="12" w:space="0" w:color="000000"/>
              <w:right w:val="nil"/>
            </w:tcBorders>
            <w:vAlign w:val="center"/>
          </w:tcPr>
          <w:p w:rsidR="00A050CA" w:rsidRPr="003414B6" w:rsidRDefault="00A050CA" w:rsidP="00D07102">
            <w:pPr>
              <w:keepNext/>
              <w:keepLines/>
              <w:spacing w:before="40" w:after="40" w:line="180" w:lineRule="exact"/>
              <w:ind w:left="57" w:right="57"/>
              <w:rPr>
                <w:rFonts w:ascii="StobiSerif Regular" w:hAnsi="StobiSerif Regular" w:cs="Arial"/>
                <w:sz w:val="14"/>
                <w:szCs w:val="14"/>
                <w:lang w:val="fr-FR"/>
              </w:rPr>
            </w:pPr>
          </w:p>
        </w:tc>
        <w:tc>
          <w:tcPr>
            <w:tcW w:w="462" w:type="dxa"/>
            <w:tcBorders>
              <w:top w:val="single" w:sz="4" w:space="0" w:color="000000"/>
              <w:left w:val="nil"/>
              <w:bottom w:val="single" w:sz="12" w:space="0" w:color="000000"/>
              <w:right w:val="nil"/>
            </w:tcBorders>
            <w:textDirection w:val="btLr"/>
            <w:vAlign w:val="bottom"/>
          </w:tcPr>
          <w:p w:rsidR="00A050CA" w:rsidRPr="003414B6" w:rsidRDefault="00D5483B"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Formulation d</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avis, de suggestions, de recommandations</w:t>
            </w:r>
          </w:p>
        </w:tc>
        <w:tc>
          <w:tcPr>
            <w:tcW w:w="520" w:type="dxa"/>
            <w:tcBorders>
              <w:top w:val="single" w:sz="4" w:space="0" w:color="000000"/>
              <w:left w:val="nil"/>
              <w:bottom w:val="single" w:sz="12" w:space="0" w:color="000000"/>
              <w:right w:val="nil"/>
            </w:tcBorders>
            <w:textDirection w:val="btLr"/>
            <w:vAlign w:val="bottom"/>
          </w:tcPr>
          <w:p w:rsidR="00A050CA" w:rsidRPr="003414B6" w:rsidRDefault="007710DA"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Actions en justice intentées par le</w:t>
            </w:r>
            <w:r w:rsidR="008B486D" w:rsidRPr="003414B6">
              <w:rPr>
                <w:rFonts w:ascii="StobiSerif Regular" w:hAnsi="StobiSerif Regular" w:cs="Arial"/>
                <w:i/>
                <w:iCs/>
                <w:sz w:val="14"/>
                <w:szCs w:val="14"/>
                <w:lang w:val="fr-FR"/>
              </w:rPr>
              <w:t xml:space="preserve"> Bureau du Médiateur</w:t>
            </w:r>
          </w:p>
        </w:tc>
        <w:tc>
          <w:tcPr>
            <w:tcW w:w="473" w:type="dxa"/>
            <w:tcBorders>
              <w:top w:val="single" w:sz="4" w:space="0" w:color="000000"/>
              <w:left w:val="nil"/>
              <w:bottom w:val="single" w:sz="12" w:space="0" w:color="000000"/>
              <w:right w:val="nil"/>
            </w:tcBorders>
            <w:textDirection w:val="btLr"/>
            <w:vAlign w:val="bottom"/>
          </w:tcPr>
          <w:p w:rsidR="00A050CA" w:rsidRPr="003414B6" w:rsidRDefault="008B486D"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Engagement par le Médiateur de toutes les démarches juridiques nécessaires</w:t>
            </w:r>
          </w:p>
        </w:tc>
        <w:tc>
          <w:tcPr>
            <w:tcW w:w="508" w:type="dxa"/>
            <w:tcBorders>
              <w:top w:val="single" w:sz="4" w:space="0" w:color="000000"/>
              <w:left w:val="nil"/>
              <w:bottom w:val="single" w:sz="12" w:space="0" w:color="000000"/>
              <w:right w:val="nil"/>
            </w:tcBorders>
            <w:textDirection w:val="btLr"/>
            <w:vAlign w:val="bottom"/>
          </w:tcPr>
          <w:p w:rsidR="00A050CA" w:rsidRPr="003414B6" w:rsidRDefault="008B486D" w:rsidP="00FC03F1">
            <w:pPr>
              <w:keepNext/>
              <w:keepLines/>
              <w:spacing w:before="80" w:after="40" w:line="140" w:lineRule="exact"/>
              <w:ind w:left="113" w:right="113"/>
              <w:rPr>
                <w:rFonts w:ascii="StobiSerif Regular" w:hAnsi="StobiSerif Regular" w:cs="Arial"/>
                <w:i/>
                <w:iCs/>
                <w:sz w:val="14"/>
                <w:szCs w:val="14"/>
                <w:lang w:val="fr-FR"/>
              </w:rPr>
            </w:pPr>
            <w:r w:rsidRPr="003414B6">
              <w:rPr>
                <w:rFonts w:ascii="StobiSerif Regular" w:hAnsi="StobiSerif Regular" w:cs="Arial"/>
                <w:i/>
                <w:iCs/>
                <w:sz w:val="14"/>
                <w:szCs w:val="14"/>
                <w:lang w:val="fr-FR"/>
              </w:rPr>
              <w:t>Rejet de la demande du Médiateur pour qu</w:t>
            </w:r>
            <w:r w:rsidR="00205A62">
              <w:rPr>
                <w:rFonts w:ascii="StobiSerif Regular" w:hAnsi="StobiSerif Regular" w:cs="Arial"/>
                <w:i/>
                <w:iCs/>
                <w:sz w:val="14"/>
                <w:szCs w:val="14"/>
                <w:lang w:val="fr-FR"/>
              </w:rPr>
              <w:t>’</w:t>
            </w:r>
            <w:r w:rsidRPr="003414B6">
              <w:rPr>
                <w:rFonts w:ascii="StobiSerif Regular" w:hAnsi="StobiSerif Regular" w:cs="Arial"/>
                <w:i/>
                <w:iCs/>
                <w:sz w:val="14"/>
                <w:szCs w:val="14"/>
                <w:lang w:val="fr-FR"/>
              </w:rPr>
              <w:t>une action soit engagée</w:t>
            </w: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531"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86"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c>
          <w:tcPr>
            <w:tcW w:w="462" w:type="dxa"/>
            <w:vMerge/>
            <w:tcBorders>
              <w:top w:val="single" w:sz="4" w:space="0" w:color="000000"/>
              <w:left w:val="nil"/>
              <w:bottom w:val="single" w:sz="12" w:space="0" w:color="000000"/>
              <w:right w:val="nil"/>
            </w:tcBorders>
            <w:vAlign w:val="center"/>
          </w:tcPr>
          <w:p w:rsidR="00A050CA" w:rsidRPr="00174283" w:rsidRDefault="00A050CA" w:rsidP="00A050CA">
            <w:pPr>
              <w:keepNext/>
              <w:keepLines/>
              <w:rPr>
                <w:rFonts w:ascii="StobiSerif Regular" w:hAnsi="StobiSerif Regular" w:cs="Arial"/>
                <w:sz w:val="16"/>
                <w:szCs w:val="16"/>
                <w:lang w:val="fr-FR"/>
              </w:rPr>
            </w:pPr>
          </w:p>
        </w:tc>
      </w:tr>
      <w:tr w:rsidR="00A050CA" w:rsidRPr="00174283" w:rsidTr="0096703D">
        <w:trPr>
          <w:trHeight w:val="417"/>
          <w:jc w:val="center"/>
        </w:trPr>
        <w:tc>
          <w:tcPr>
            <w:tcW w:w="1449" w:type="dxa"/>
            <w:tcBorders>
              <w:top w:val="single" w:sz="12" w:space="0" w:color="000000"/>
              <w:left w:val="nil"/>
              <w:bottom w:val="nil"/>
              <w:right w:val="nil"/>
            </w:tcBorders>
          </w:tcPr>
          <w:p w:rsidR="00A050CA" w:rsidRPr="00D06844" w:rsidRDefault="00D06844" w:rsidP="003414B6">
            <w:pPr>
              <w:keepNext/>
              <w:keepLines/>
              <w:spacing w:before="40" w:after="40" w:line="220" w:lineRule="exact"/>
              <w:rPr>
                <w:rFonts w:ascii="StobiSerif Regular" w:hAnsi="StobiSerif Regular"/>
                <w:bCs/>
                <w:snapToGrid w:val="0"/>
                <w:sz w:val="18"/>
                <w:szCs w:val="18"/>
                <w:lang w:val="fr-FR"/>
              </w:rPr>
            </w:pPr>
            <w:r w:rsidRPr="00D06844">
              <w:rPr>
                <w:rFonts w:ascii="StobiSerif Regular" w:hAnsi="StobiSerif Regular"/>
                <w:bCs/>
                <w:snapToGrid w:val="0"/>
                <w:sz w:val="18"/>
                <w:szCs w:val="18"/>
                <w:lang w:val="fr-FR"/>
              </w:rPr>
              <w:t>2007 – Non-discrimination et représentation équitable</w:t>
            </w:r>
          </w:p>
        </w:tc>
        <w:tc>
          <w:tcPr>
            <w:tcW w:w="506"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6</w:t>
            </w:r>
          </w:p>
        </w:tc>
        <w:tc>
          <w:tcPr>
            <w:tcW w:w="500"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6</w:t>
            </w: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9</w:t>
            </w:r>
          </w:p>
        </w:tc>
        <w:tc>
          <w:tcPr>
            <w:tcW w:w="507"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15</w:t>
            </w: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3"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10</w:t>
            </w: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20"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73"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08"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31"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86"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10</w:t>
            </w:r>
          </w:p>
        </w:tc>
        <w:tc>
          <w:tcPr>
            <w:tcW w:w="462" w:type="dxa"/>
            <w:tcBorders>
              <w:top w:val="single" w:sz="12" w:space="0" w:color="000000"/>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5</w:t>
            </w:r>
          </w:p>
        </w:tc>
      </w:tr>
      <w:tr w:rsidR="00A050CA" w:rsidRPr="00174283" w:rsidTr="0096703D">
        <w:trPr>
          <w:trHeight w:val="417"/>
          <w:jc w:val="center"/>
        </w:trPr>
        <w:tc>
          <w:tcPr>
            <w:tcW w:w="1449" w:type="dxa"/>
            <w:tcBorders>
              <w:top w:val="nil"/>
              <w:left w:val="nil"/>
              <w:bottom w:val="nil"/>
              <w:right w:val="nil"/>
            </w:tcBorders>
          </w:tcPr>
          <w:p w:rsidR="00A050CA" w:rsidRPr="00D06844" w:rsidRDefault="00A050CA" w:rsidP="003414B6">
            <w:pPr>
              <w:keepNext/>
              <w:keepLines/>
              <w:spacing w:before="40" w:after="40" w:line="220" w:lineRule="exact"/>
              <w:rPr>
                <w:rFonts w:ascii="StobiSerif Regular" w:hAnsi="StobiSerif Regular"/>
                <w:bCs/>
                <w:snapToGrid w:val="0"/>
                <w:sz w:val="18"/>
                <w:szCs w:val="18"/>
                <w:lang w:val="fr-FR"/>
              </w:rPr>
            </w:pPr>
            <w:r w:rsidRPr="00D06844">
              <w:rPr>
                <w:rFonts w:ascii="StobiSerif Regular" w:hAnsi="StobiSerif Regular" w:cs="Arial"/>
                <w:bCs/>
                <w:snapToGrid w:val="0"/>
                <w:sz w:val="18"/>
                <w:szCs w:val="18"/>
                <w:lang w:val="fr-FR"/>
              </w:rPr>
              <w:t>2008</w:t>
            </w:r>
            <w:r w:rsidR="00340B74" w:rsidRPr="00D06844">
              <w:rPr>
                <w:rFonts w:ascii="StobiSerif Regular" w:hAnsi="StobiSerif Regular" w:cs="Arial"/>
                <w:bCs/>
                <w:snapToGrid w:val="0"/>
                <w:sz w:val="18"/>
                <w:szCs w:val="18"/>
                <w:lang w:val="fr-FR"/>
              </w:rPr>
              <w:t xml:space="preserve"> –</w:t>
            </w:r>
            <w:r w:rsidRPr="00D06844">
              <w:rPr>
                <w:rFonts w:ascii="StobiSerif Regular" w:hAnsi="StobiSerif Regular" w:cs="Arial"/>
                <w:bCs/>
                <w:snapToGrid w:val="0"/>
                <w:sz w:val="18"/>
                <w:szCs w:val="18"/>
                <w:lang w:val="fr-FR"/>
              </w:rPr>
              <w:t xml:space="preserve"> </w:t>
            </w:r>
            <w:r w:rsidR="002F14EC" w:rsidRPr="00D06844">
              <w:rPr>
                <w:rFonts w:ascii="StobiSerif Regular" w:hAnsi="StobiSerif Regular" w:cs="Arial"/>
                <w:bCs/>
                <w:snapToGrid w:val="0"/>
                <w:sz w:val="18"/>
                <w:szCs w:val="18"/>
                <w:lang w:val="fr-FR"/>
              </w:rPr>
              <w:t>Non-discrimination et représentation équitable</w:t>
            </w:r>
          </w:p>
        </w:tc>
        <w:tc>
          <w:tcPr>
            <w:tcW w:w="50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21</w:t>
            </w:r>
          </w:p>
        </w:tc>
        <w:tc>
          <w:tcPr>
            <w:tcW w:w="50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20</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5</w:t>
            </w:r>
          </w:p>
        </w:tc>
        <w:tc>
          <w:tcPr>
            <w:tcW w:w="507"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46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3</w:t>
            </w:r>
          </w:p>
        </w:tc>
        <w:tc>
          <w:tcPr>
            <w:tcW w:w="52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47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508"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31"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6</w:t>
            </w:r>
          </w:p>
        </w:tc>
        <w:tc>
          <w:tcPr>
            <w:tcW w:w="48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18</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8</w:t>
            </w:r>
          </w:p>
        </w:tc>
      </w:tr>
      <w:tr w:rsidR="00A050CA" w:rsidRPr="00174283" w:rsidTr="0096703D">
        <w:trPr>
          <w:trHeight w:val="417"/>
          <w:jc w:val="center"/>
        </w:trPr>
        <w:tc>
          <w:tcPr>
            <w:tcW w:w="1449" w:type="dxa"/>
            <w:tcBorders>
              <w:top w:val="nil"/>
              <w:left w:val="nil"/>
              <w:bottom w:val="nil"/>
              <w:right w:val="nil"/>
            </w:tcBorders>
          </w:tcPr>
          <w:p w:rsidR="00A050CA" w:rsidRPr="00D06844" w:rsidRDefault="00A050CA" w:rsidP="003414B6">
            <w:pPr>
              <w:keepNext/>
              <w:keepLines/>
              <w:spacing w:before="40" w:after="40" w:line="220" w:lineRule="exact"/>
              <w:rPr>
                <w:rFonts w:ascii="StobiSerif Regular" w:hAnsi="StobiSerif Regular" w:cs="Arial"/>
                <w:bCs/>
                <w:snapToGrid w:val="0"/>
                <w:sz w:val="18"/>
                <w:szCs w:val="18"/>
                <w:lang w:val="fr-FR"/>
              </w:rPr>
            </w:pPr>
            <w:r w:rsidRPr="00D06844">
              <w:rPr>
                <w:rFonts w:ascii="StobiSerif Regular" w:hAnsi="StobiSerif Regular" w:cs="Arial"/>
                <w:bCs/>
                <w:snapToGrid w:val="0"/>
                <w:sz w:val="18"/>
                <w:szCs w:val="18"/>
                <w:lang w:val="fr-FR"/>
              </w:rPr>
              <w:t>2009</w:t>
            </w:r>
            <w:r w:rsidR="0053456D" w:rsidRPr="00D06844">
              <w:rPr>
                <w:rFonts w:ascii="StobiSerif Regular" w:hAnsi="StobiSerif Regular" w:cs="Arial"/>
                <w:bCs/>
                <w:snapToGrid w:val="0"/>
                <w:sz w:val="18"/>
                <w:szCs w:val="18"/>
                <w:lang w:val="fr-FR"/>
              </w:rPr>
              <w:t xml:space="preserve"> –</w:t>
            </w:r>
            <w:r w:rsidR="00340B74" w:rsidRPr="00D06844">
              <w:rPr>
                <w:rFonts w:ascii="StobiSerif Regular" w:hAnsi="StobiSerif Regular" w:cs="Arial"/>
                <w:bCs/>
                <w:snapToGrid w:val="0"/>
                <w:sz w:val="18"/>
                <w:szCs w:val="18"/>
                <w:lang w:val="fr-FR"/>
              </w:rPr>
              <w:t xml:space="preserve"> </w:t>
            </w:r>
            <w:r w:rsidR="002F14EC" w:rsidRPr="00D06844">
              <w:rPr>
                <w:rFonts w:ascii="StobiSerif Regular" w:hAnsi="StobiSerif Regular" w:cs="Arial"/>
                <w:bCs/>
                <w:snapToGrid w:val="0"/>
                <w:sz w:val="18"/>
                <w:szCs w:val="18"/>
                <w:lang w:val="fr-FR"/>
              </w:rPr>
              <w:t>Non-discrimination et représentation équitable</w:t>
            </w:r>
          </w:p>
        </w:tc>
        <w:tc>
          <w:tcPr>
            <w:tcW w:w="50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20</w:t>
            </w:r>
          </w:p>
        </w:tc>
        <w:tc>
          <w:tcPr>
            <w:tcW w:w="50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20</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8</w:t>
            </w:r>
          </w:p>
        </w:tc>
        <w:tc>
          <w:tcPr>
            <w:tcW w:w="507"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28</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9</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9</w:t>
            </w:r>
          </w:p>
        </w:tc>
        <w:tc>
          <w:tcPr>
            <w:tcW w:w="52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4</w:t>
            </w:r>
          </w:p>
        </w:tc>
        <w:tc>
          <w:tcPr>
            <w:tcW w:w="47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3</w:t>
            </w:r>
          </w:p>
        </w:tc>
        <w:tc>
          <w:tcPr>
            <w:tcW w:w="508"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3</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31"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8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18</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10</w:t>
            </w:r>
          </w:p>
        </w:tc>
      </w:tr>
      <w:tr w:rsidR="00A050CA" w:rsidRPr="00174283" w:rsidTr="0096703D">
        <w:trPr>
          <w:trHeight w:val="417"/>
          <w:jc w:val="center"/>
        </w:trPr>
        <w:tc>
          <w:tcPr>
            <w:tcW w:w="1449" w:type="dxa"/>
            <w:tcBorders>
              <w:top w:val="nil"/>
              <w:left w:val="nil"/>
              <w:bottom w:val="nil"/>
              <w:right w:val="nil"/>
            </w:tcBorders>
          </w:tcPr>
          <w:p w:rsidR="00A050CA" w:rsidRPr="00D06844" w:rsidRDefault="00A050CA" w:rsidP="003414B6">
            <w:pPr>
              <w:keepNext/>
              <w:keepLines/>
              <w:spacing w:before="40" w:after="40" w:line="220" w:lineRule="exact"/>
              <w:rPr>
                <w:rFonts w:ascii="StobiSerif Regular" w:hAnsi="StobiSerif Regular"/>
                <w:bCs/>
                <w:snapToGrid w:val="0"/>
                <w:sz w:val="18"/>
                <w:szCs w:val="18"/>
                <w:lang w:val="fr-FR"/>
              </w:rPr>
            </w:pPr>
            <w:r w:rsidRPr="00D06844">
              <w:rPr>
                <w:rFonts w:ascii="StobiSerif Regular" w:hAnsi="StobiSerif Regular" w:cs="Arial"/>
                <w:bCs/>
                <w:snapToGrid w:val="0"/>
                <w:sz w:val="18"/>
                <w:szCs w:val="18"/>
                <w:lang w:val="fr-FR"/>
              </w:rPr>
              <w:t>2010</w:t>
            </w:r>
            <w:r w:rsidR="00340B74" w:rsidRPr="00D06844">
              <w:rPr>
                <w:rFonts w:ascii="StobiSerif Regular" w:hAnsi="StobiSerif Regular" w:cs="Arial"/>
                <w:bCs/>
                <w:snapToGrid w:val="0"/>
                <w:sz w:val="18"/>
                <w:szCs w:val="18"/>
                <w:lang w:val="fr-FR"/>
              </w:rPr>
              <w:t xml:space="preserve"> –</w:t>
            </w:r>
            <w:r w:rsidRPr="00D06844">
              <w:rPr>
                <w:rFonts w:ascii="StobiSerif Regular" w:hAnsi="StobiSerif Regular" w:cs="Arial"/>
                <w:bCs/>
                <w:snapToGrid w:val="0"/>
                <w:sz w:val="18"/>
                <w:szCs w:val="18"/>
                <w:lang w:val="fr-FR"/>
              </w:rPr>
              <w:t xml:space="preserve"> </w:t>
            </w:r>
            <w:r w:rsidR="002F14EC" w:rsidRPr="00D06844">
              <w:rPr>
                <w:rFonts w:ascii="StobiSerif Regular" w:hAnsi="StobiSerif Regular" w:cs="Arial"/>
                <w:bCs/>
                <w:snapToGrid w:val="0"/>
                <w:sz w:val="18"/>
                <w:szCs w:val="18"/>
                <w:lang w:val="fr-FR"/>
              </w:rPr>
              <w:t>Non-discrimination et représentation équitable</w:t>
            </w:r>
          </w:p>
        </w:tc>
        <w:tc>
          <w:tcPr>
            <w:tcW w:w="50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16</w:t>
            </w:r>
          </w:p>
        </w:tc>
        <w:tc>
          <w:tcPr>
            <w:tcW w:w="50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10</w:t>
            </w:r>
          </w:p>
        </w:tc>
        <w:tc>
          <w:tcPr>
            <w:tcW w:w="507"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4</w:t>
            </w:r>
          </w:p>
        </w:tc>
        <w:tc>
          <w:tcPr>
            <w:tcW w:w="52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3</w:t>
            </w:r>
          </w:p>
        </w:tc>
        <w:tc>
          <w:tcPr>
            <w:tcW w:w="47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508"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31"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8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18</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8</w:t>
            </w:r>
          </w:p>
        </w:tc>
      </w:tr>
      <w:tr w:rsidR="00A050CA" w:rsidRPr="00174283" w:rsidTr="0096703D">
        <w:trPr>
          <w:trHeight w:val="417"/>
          <w:jc w:val="center"/>
        </w:trPr>
        <w:tc>
          <w:tcPr>
            <w:tcW w:w="1449" w:type="dxa"/>
            <w:tcBorders>
              <w:top w:val="nil"/>
              <w:left w:val="nil"/>
              <w:bottom w:val="nil"/>
              <w:right w:val="nil"/>
            </w:tcBorders>
          </w:tcPr>
          <w:p w:rsidR="00A050CA" w:rsidRPr="00D06844" w:rsidRDefault="00A050CA" w:rsidP="003414B6">
            <w:pPr>
              <w:keepNext/>
              <w:keepLines/>
              <w:spacing w:before="40" w:after="40" w:line="220" w:lineRule="exact"/>
              <w:rPr>
                <w:rFonts w:ascii="StobiSerif Regular" w:hAnsi="StobiSerif Regular"/>
                <w:bCs/>
                <w:snapToGrid w:val="0"/>
                <w:sz w:val="18"/>
                <w:szCs w:val="18"/>
                <w:lang w:val="fr-FR"/>
              </w:rPr>
            </w:pPr>
            <w:r w:rsidRPr="00D06844">
              <w:rPr>
                <w:rFonts w:ascii="StobiSerif Regular" w:hAnsi="StobiSerif Regular" w:cs="Arial"/>
                <w:bCs/>
                <w:snapToGrid w:val="0"/>
                <w:sz w:val="18"/>
                <w:szCs w:val="18"/>
                <w:lang w:val="fr-FR"/>
              </w:rPr>
              <w:t>2011</w:t>
            </w:r>
            <w:r w:rsidR="00340B74" w:rsidRPr="00D06844">
              <w:rPr>
                <w:rFonts w:ascii="StobiSerif Regular" w:hAnsi="StobiSerif Regular" w:cs="Arial"/>
                <w:bCs/>
                <w:snapToGrid w:val="0"/>
                <w:sz w:val="18"/>
                <w:szCs w:val="18"/>
                <w:lang w:val="fr-FR"/>
              </w:rPr>
              <w:t xml:space="preserve"> –</w:t>
            </w:r>
            <w:r w:rsidRPr="00D06844">
              <w:rPr>
                <w:rFonts w:ascii="StobiSerif Regular" w:hAnsi="StobiSerif Regular" w:cs="Arial"/>
                <w:bCs/>
                <w:snapToGrid w:val="0"/>
                <w:sz w:val="18"/>
                <w:szCs w:val="18"/>
                <w:lang w:val="fr-FR"/>
              </w:rPr>
              <w:t xml:space="preserve"> </w:t>
            </w:r>
            <w:r w:rsidR="002F14EC" w:rsidRPr="00D06844">
              <w:rPr>
                <w:rFonts w:ascii="StobiSerif Regular" w:hAnsi="StobiSerif Regular" w:cs="Arial"/>
                <w:bCs/>
                <w:snapToGrid w:val="0"/>
                <w:sz w:val="18"/>
                <w:szCs w:val="18"/>
                <w:lang w:val="fr-FR"/>
              </w:rPr>
              <w:t>Non-discrimination et représentation équitable</w:t>
            </w:r>
          </w:p>
        </w:tc>
        <w:tc>
          <w:tcPr>
            <w:tcW w:w="50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42</w:t>
            </w:r>
          </w:p>
        </w:tc>
        <w:tc>
          <w:tcPr>
            <w:tcW w:w="50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53</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8</w:t>
            </w:r>
          </w:p>
        </w:tc>
        <w:tc>
          <w:tcPr>
            <w:tcW w:w="507"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50</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19</w:t>
            </w:r>
          </w:p>
        </w:tc>
        <w:tc>
          <w:tcPr>
            <w:tcW w:w="520"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11</w:t>
            </w:r>
          </w:p>
        </w:tc>
        <w:tc>
          <w:tcPr>
            <w:tcW w:w="473"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7</w:t>
            </w:r>
          </w:p>
        </w:tc>
        <w:tc>
          <w:tcPr>
            <w:tcW w:w="508"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w:t>
            </w:r>
          </w:p>
        </w:tc>
        <w:tc>
          <w:tcPr>
            <w:tcW w:w="531"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86"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36</w:t>
            </w:r>
          </w:p>
        </w:tc>
        <w:tc>
          <w:tcPr>
            <w:tcW w:w="462" w:type="dxa"/>
            <w:tcBorders>
              <w:top w:val="nil"/>
              <w:left w:val="nil"/>
              <w:bottom w:val="nil"/>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14</w:t>
            </w:r>
          </w:p>
        </w:tc>
      </w:tr>
      <w:tr w:rsidR="00A050CA" w:rsidRPr="00174283" w:rsidTr="00FF21CB">
        <w:trPr>
          <w:trHeight w:val="417"/>
          <w:jc w:val="center"/>
        </w:trPr>
        <w:tc>
          <w:tcPr>
            <w:tcW w:w="1449" w:type="dxa"/>
            <w:tcBorders>
              <w:top w:val="nil"/>
              <w:left w:val="nil"/>
              <w:bottom w:val="single" w:sz="4" w:space="0" w:color="000000"/>
              <w:right w:val="nil"/>
            </w:tcBorders>
          </w:tcPr>
          <w:p w:rsidR="00A050CA" w:rsidRPr="00D06844" w:rsidRDefault="00A050CA" w:rsidP="003414B6">
            <w:pPr>
              <w:keepNext/>
              <w:keepLines/>
              <w:spacing w:before="40" w:after="40" w:line="220" w:lineRule="exact"/>
              <w:rPr>
                <w:rFonts w:ascii="StobiSerif Regular" w:hAnsi="StobiSerif Regular"/>
                <w:bCs/>
                <w:snapToGrid w:val="0"/>
                <w:sz w:val="18"/>
                <w:szCs w:val="18"/>
                <w:lang w:val="fr-FR"/>
              </w:rPr>
            </w:pPr>
            <w:r w:rsidRPr="00D06844">
              <w:rPr>
                <w:rFonts w:ascii="StobiSerif Regular" w:hAnsi="StobiSerif Regular" w:cs="Arial"/>
                <w:bCs/>
                <w:snapToGrid w:val="0"/>
                <w:sz w:val="18"/>
                <w:szCs w:val="18"/>
                <w:lang w:val="fr-FR"/>
              </w:rPr>
              <w:t>2012</w:t>
            </w:r>
            <w:r w:rsidR="00340B74" w:rsidRPr="00D06844">
              <w:rPr>
                <w:rFonts w:ascii="StobiSerif Regular" w:hAnsi="StobiSerif Regular" w:cs="Arial"/>
                <w:bCs/>
                <w:snapToGrid w:val="0"/>
                <w:sz w:val="18"/>
                <w:szCs w:val="18"/>
                <w:lang w:val="fr-FR"/>
              </w:rPr>
              <w:t xml:space="preserve"> –</w:t>
            </w:r>
            <w:r w:rsidRPr="00D06844">
              <w:rPr>
                <w:rFonts w:ascii="StobiSerif Regular" w:hAnsi="StobiSerif Regular" w:cs="Arial"/>
                <w:bCs/>
                <w:snapToGrid w:val="0"/>
                <w:sz w:val="18"/>
                <w:szCs w:val="18"/>
                <w:lang w:val="fr-FR"/>
              </w:rPr>
              <w:t xml:space="preserve"> </w:t>
            </w:r>
            <w:r w:rsidR="002F14EC" w:rsidRPr="00D06844">
              <w:rPr>
                <w:rFonts w:ascii="StobiSerif Regular" w:hAnsi="StobiSerif Regular" w:cs="Arial"/>
                <w:bCs/>
                <w:snapToGrid w:val="0"/>
                <w:sz w:val="18"/>
                <w:szCs w:val="18"/>
                <w:lang w:val="fr-FR"/>
              </w:rPr>
              <w:t>Non-discrimination et représentation équitable</w:t>
            </w:r>
          </w:p>
        </w:tc>
        <w:tc>
          <w:tcPr>
            <w:tcW w:w="506"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26</w:t>
            </w:r>
          </w:p>
        </w:tc>
        <w:tc>
          <w:tcPr>
            <w:tcW w:w="500"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26</w:t>
            </w: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14</w:t>
            </w:r>
          </w:p>
        </w:tc>
        <w:tc>
          <w:tcPr>
            <w:tcW w:w="507"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40</w:t>
            </w: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3"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22</w:t>
            </w: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20"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7</w:t>
            </w:r>
          </w:p>
        </w:tc>
        <w:tc>
          <w:tcPr>
            <w:tcW w:w="473"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08"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531"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p>
        </w:tc>
        <w:tc>
          <w:tcPr>
            <w:tcW w:w="486"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b/>
                <w:sz w:val="18"/>
                <w:szCs w:val="18"/>
                <w:lang w:val="fr-FR"/>
              </w:rPr>
            </w:pPr>
            <w:r w:rsidRPr="00174283">
              <w:rPr>
                <w:rFonts w:ascii="StobiSerif Regular" w:hAnsi="StobiSerif Regular" w:cs="Arial"/>
                <w:b/>
                <w:sz w:val="18"/>
                <w:szCs w:val="18"/>
                <w:lang w:val="fr-FR"/>
              </w:rPr>
              <w:t>29</w:t>
            </w:r>
          </w:p>
        </w:tc>
        <w:tc>
          <w:tcPr>
            <w:tcW w:w="462" w:type="dxa"/>
            <w:tcBorders>
              <w:top w:val="nil"/>
              <w:left w:val="nil"/>
              <w:bottom w:val="single" w:sz="4" w:space="0" w:color="000000"/>
              <w:right w:val="nil"/>
            </w:tcBorders>
            <w:vAlign w:val="bottom"/>
          </w:tcPr>
          <w:p w:rsidR="00A050CA" w:rsidRPr="00174283" w:rsidRDefault="00A050CA" w:rsidP="0096703D">
            <w:pPr>
              <w:keepNext/>
              <w:keepLines/>
              <w:spacing w:before="40" w:after="40" w:line="220" w:lineRule="exact"/>
              <w:ind w:right="57"/>
              <w:jc w:val="right"/>
              <w:rPr>
                <w:rFonts w:ascii="StobiSerif Regular" w:hAnsi="StobiSerif Regular" w:cs="Arial"/>
                <w:sz w:val="18"/>
                <w:szCs w:val="18"/>
                <w:lang w:val="fr-FR"/>
              </w:rPr>
            </w:pPr>
            <w:r w:rsidRPr="00174283">
              <w:rPr>
                <w:rFonts w:ascii="StobiSerif Regular" w:hAnsi="StobiSerif Regular" w:cs="Arial"/>
                <w:sz w:val="18"/>
                <w:szCs w:val="18"/>
                <w:lang w:val="fr-FR"/>
              </w:rPr>
              <w:t>11</w:t>
            </w:r>
          </w:p>
        </w:tc>
      </w:tr>
      <w:tr w:rsidR="00A050CA" w:rsidRPr="00FF21CB" w:rsidTr="00FF21CB">
        <w:trPr>
          <w:trHeight w:val="417"/>
          <w:jc w:val="center"/>
        </w:trPr>
        <w:tc>
          <w:tcPr>
            <w:tcW w:w="1449" w:type="dxa"/>
            <w:tcBorders>
              <w:top w:val="single" w:sz="4" w:space="0" w:color="000000"/>
              <w:left w:val="nil"/>
              <w:bottom w:val="single" w:sz="12" w:space="0" w:color="000000"/>
              <w:right w:val="nil"/>
            </w:tcBorders>
            <w:vAlign w:val="bottom"/>
          </w:tcPr>
          <w:p w:rsidR="00A050CA" w:rsidRPr="00FF21CB" w:rsidRDefault="00A050CA" w:rsidP="00FF21CB">
            <w:pPr>
              <w:spacing w:before="80" w:after="80" w:line="220" w:lineRule="exact"/>
              <w:ind w:left="283"/>
              <w:rPr>
                <w:rFonts w:ascii="StobiSerif Regular" w:hAnsi="StobiSerif Regular"/>
                <w:b/>
                <w:sz w:val="18"/>
                <w:szCs w:val="18"/>
                <w:lang w:val="fr-FR"/>
              </w:rPr>
            </w:pPr>
            <w:r w:rsidRPr="00FF21CB">
              <w:rPr>
                <w:rFonts w:ascii="StobiSerif Regular" w:hAnsi="StobiSerif Regular" w:cs="Arial"/>
                <w:b/>
                <w:sz w:val="18"/>
                <w:szCs w:val="18"/>
                <w:lang w:val="fr-FR"/>
              </w:rPr>
              <w:t>Total</w:t>
            </w:r>
          </w:p>
        </w:tc>
        <w:tc>
          <w:tcPr>
            <w:tcW w:w="506"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131</w:t>
            </w:r>
          </w:p>
        </w:tc>
        <w:tc>
          <w:tcPr>
            <w:tcW w:w="500"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141</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54</w:t>
            </w:r>
          </w:p>
        </w:tc>
        <w:tc>
          <w:tcPr>
            <w:tcW w:w="507"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185</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w:t>
            </w:r>
          </w:p>
        </w:tc>
        <w:tc>
          <w:tcPr>
            <w:tcW w:w="463"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95</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6</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35</w:t>
            </w:r>
          </w:p>
        </w:tc>
        <w:tc>
          <w:tcPr>
            <w:tcW w:w="520"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26</w:t>
            </w:r>
          </w:p>
        </w:tc>
        <w:tc>
          <w:tcPr>
            <w:tcW w:w="473"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12</w:t>
            </w:r>
          </w:p>
        </w:tc>
        <w:tc>
          <w:tcPr>
            <w:tcW w:w="508"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4</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5</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w:t>
            </w:r>
          </w:p>
        </w:tc>
        <w:tc>
          <w:tcPr>
            <w:tcW w:w="531"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8</w:t>
            </w:r>
          </w:p>
        </w:tc>
        <w:tc>
          <w:tcPr>
            <w:tcW w:w="486"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129</w:t>
            </w:r>
          </w:p>
        </w:tc>
        <w:tc>
          <w:tcPr>
            <w:tcW w:w="462" w:type="dxa"/>
            <w:tcBorders>
              <w:top w:val="single" w:sz="4" w:space="0" w:color="000000"/>
              <w:left w:val="nil"/>
              <w:bottom w:val="single" w:sz="12" w:space="0" w:color="000000"/>
              <w:right w:val="nil"/>
            </w:tcBorders>
            <w:vAlign w:val="bottom"/>
          </w:tcPr>
          <w:p w:rsidR="00A050CA" w:rsidRPr="00FF21CB" w:rsidRDefault="00A050CA" w:rsidP="0096703D">
            <w:pPr>
              <w:keepNext/>
              <w:keepLines/>
              <w:spacing w:before="80" w:after="80" w:line="220" w:lineRule="exact"/>
              <w:ind w:right="57"/>
              <w:jc w:val="right"/>
              <w:rPr>
                <w:rFonts w:ascii="StobiSerif Regular" w:hAnsi="StobiSerif Regular" w:cs="Arial"/>
                <w:b/>
                <w:sz w:val="18"/>
                <w:szCs w:val="18"/>
                <w:lang w:val="fr-FR"/>
              </w:rPr>
            </w:pPr>
            <w:r w:rsidRPr="00FF21CB">
              <w:rPr>
                <w:rFonts w:ascii="StobiSerif Regular" w:hAnsi="StobiSerif Regular" w:cs="Arial"/>
                <w:b/>
                <w:sz w:val="18"/>
                <w:szCs w:val="18"/>
                <w:lang w:val="fr-FR"/>
              </w:rPr>
              <w:t>56</w:t>
            </w:r>
          </w:p>
        </w:tc>
      </w:tr>
    </w:tbl>
    <w:p w:rsidR="00DB6205" w:rsidRPr="00174283" w:rsidRDefault="00DB6205" w:rsidP="00DB6205">
      <w:pPr>
        <w:pStyle w:val="H1G"/>
        <w:rPr>
          <w:lang w:val="fr-FR"/>
        </w:rPr>
      </w:pPr>
      <w:r w:rsidRPr="00174283">
        <w:rPr>
          <w:lang w:val="fr-FR"/>
        </w:rPr>
        <w:tab/>
      </w:r>
      <w:r w:rsidRPr="00174283">
        <w:rPr>
          <w:lang w:val="fr-FR"/>
        </w:rPr>
        <w:tab/>
        <w:t>Article 5</w:t>
      </w:r>
      <w:r w:rsidR="00B60CC6" w:rsidRPr="00174283">
        <w:rPr>
          <w:lang w:val="fr-FR"/>
        </w:rPr>
        <w:br/>
        <w:t xml:space="preserve">Droits garantis par la </w:t>
      </w:r>
      <w:r w:rsidR="00FA7DBE" w:rsidRPr="00174283">
        <w:rPr>
          <w:lang w:val="fr-FR"/>
        </w:rPr>
        <w:t>C</w:t>
      </w:r>
      <w:r w:rsidRPr="00174283">
        <w:rPr>
          <w:lang w:val="fr-FR"/>
        </w:rPr>
        <w:t xml:space="preserve">onvention </w:t>
      </w:r>
    </w:p>
    <w:p w:rsidR="00DB6205" w:rsidRPr="00174283" w:rsidRDefault="00DB6205" w:rsidP="00DB6205">
      <w:pPr>
        <w:pStyle w:val="H23G"/>
        <w:rPr>
          <w:lang w:val="fr-FR"/>
        </w:rPr>
      </w:pPr>
      <w:r w:rsidRPr="00174283">
        <w:rPr>
          <w:lang w:val="fr-FR"/>
        </w:rPr>
        <w:tab/>
      </w:r>
      <w:r w:rsidR="005F4C93" w:rsidRPr="00174283">
        <w:rPr>
          <w:lang w:val="fr-FR"/>
        </w:rPr>
        <w:t>1</w:t>
      </w:r>
      <w:r w:rsidRPr="00174283">
        <w:rPr>
          <w:lang w:val="fr-FR"/>
        </w:rPr>
        <w:t>.</w:t>
      </w:r>
      <w:r w:rsidRPr="00174283">
        <w:rPr>
          <w:lang w:val="fr-FR"/>
        </w:rPr>
        <w:tab/>
      </w:r>
      <w:r w:rsidR="00930E6C" w:rsidRPr="00174283">
        <w:rPr>
          <w:lang w:val="fr-FR"/>
        </w:rPr>
        <w:t xml:space="preserve">Droit à un traitement égal devant les tribunaux et tout autre organe administrant la justice </w:t>
      </w:r>
    </w:p>
    <w:p w:rsidR="008C30F7" w:rsidRPr="00174283" w:rsidRDefault="00214531" w:rsidP="00214531">
      <w:pPr>
        <w:pStyle w:val="SingleTxtG"/>
        <w:rPr>
          <w:lang w:val="fr-FR"/>
        </w:rPr>
      </w:pPr>
      <w:r>
        <w:rPr>
          <w:lang w:val="fr-FR"/>
        </w:rPr>
        <w:t>36.</w:t>
      </w:r>
      <w:r>
        <w:rPr>
          <w:lang w:val="fr-FR"/>
        </w:rPr>
        <w:tab/>
      </w:r>
      <w:r w:rsidR="00B60CC6" w:rsidRPr="00174283">
        <w:rPr>
          <w:lang w:val="fr-FR"/>
        </w:rPr>
        <w:t>Cette question a été développée dans les quatrième</w:t>
      </w:r>
      <w:r w:rsidR="00F6080A" w:rsidRPr="00174283">
        <w:rPr>
          <w:lang w:val="fr-FR"/>
        </w:rPr>
        <w:t xml:space="preserve"> à</w:t>
      </w:r>
      <w:r w:rsidR="00B60CC6" w:rsidRPr="00174283">
        <w:rPr>
          <w:lang w:val="fr-FR"/>
        </w:rPr>
        <w:t xml:space="preserve"> septième rapports périodiques. </w:t>
      </w:r>
    </w:p>
    <w:p w:rsidR="00DB6205" w:rsidRPr="00174283" w:rsidRDefault="00214531" w:rsidP="00214531">
      <w:pPr>
        <w:pStyle w:val="SingleTxtG"/>
        <w:rPr>
          <w:lang w:val="fr-FR"/>
        </w:rPr>
      </w:pPr>
      <w:r>
        <w:rPr>
          <w:lang w:val="fr-FR"/>
        </w:rPr>
        <w:t>37.</w:t>
      </w:r>
      <w:r>
        <w:rPr>
          <w:lang w:val="fr-FR"/>
        </w:rPr>
        <w:tab/>
      </w:r>
      <w:r w:rsidR="006D7BA0" w:rsidRPr="00174283">
        <w:rPr>
          <w:lang w:val="fr-FR"/>
        </w:rPr>
        <w:t>La réponse à la recommandation fig</w:t>
      </w:r>
      <w:r w:rsidR="00F242A5" w:rsidRPr="00174283">
        <w:rPr>
          <w:lang w:val="fr-FR"/>
        </w:rPr>
        <w:t>urant au paragraphe 13 des o</w:t>
      </w:r>
      <w:r w:rsidR="006D7BA0" w:rsidRPr="00174283">
        <w:rPr>
          <w:lang w:val="fr-FR"/>
        </w:rPr>
        <w:t xml:space="preserve">bservations finales du Comité </w:t>
      </w:r>
      <w:r w:rsidR="00C301AB" w:rsidRPr="00174283">
        <w:rPr>
          <w:lang w:val="fr-FR"/>
        </w:rPr>
        <w:t>pour</w:t>
      </w:r>
      <w:r w:rsidR="006D7BA0" w:rsidRPr="00174283">
        <w:rPr>
          <w:lang w:val="fr-FR"/>
        </w:rPr>
        <w:t xml:space="preserve"> l</w:t>
      </w:r>
      <w:r w:rsidR="00205A62">
        <w:rPr>
          <w:lang w:val="fr-FR"/>
        </w:rPr>
        <w:t>’</w:t>
      </w:r>
      <w:r w:rsidR="006D7BA0" w:rsidRPr="00174283">
        <w:rPr>
          <w:lang w:val="fr-FR"/>
        </w:rPr>
        <w:t xml:space="preserve">élimination de la discrimination raciale </w:t>
      </w:r>
      <w:r w:rsidR="001206F9">
        <w:rPr>
          <w:lang w:val="fr-FR"/>
        </w:rPr>
        <w:t>est fournie</w:t>
      </w:r>
      <w:r w:rsidR="006D7BA0" w:rsidRPr="00174283">
        <w:rPr>
          <w:lang w:val="fr-FR"/>
        </w:rPr>
        <w:t xml:space="preserve"> à la fin du présent </w:t>
      </w:r>
      <w:r w:rsidR="00F242A5" w:rsidRPr="00174283">
        <w:rPr>
          <w:lang w:val="fr-FR"/>
        </w:rPr>
        <w:t>rapport</w:t>
      </w:r>
      <w:r w:rsidR="006D7BA0" w:rsidRPr="00174283">
        <w:rPr>
          <w:lang w:val="fr-FR"/>
        </w:rPr>
        <w:t xml:space="preserve">. </w:t>
      </w:r>
    </w:p>
    <w:p w:rsidR="00DB6205" w:rsidRPr="00174283" w:rsidRDefault="00DB6205" w:rsidP="00DB6205">
      <w:pPr>
        <w:pStyle w:val="H23G"/>
        <w:rPr>
          <w:lang w:val="fr-FR"/>
        </w:rPr>
      </w:pPr>
      <w:r w:rsidRPr="00174283">
        <w:rPr>
          <w:lang w:val="fr-FR"/>
        </w:rPr>
        <w:tab/>
      </w:r>
      <w:r w:rsidR="005F4C93" w:rsidRPr="00174283">
        <w:rPr>
          <w:lang w:val="fr-FR"/>
        </w:rPr>
        <w:t>2</w:t>
      </w:r>
      <w:r w:rsidRPr="00174283">
        <w:rPr>
          <w:lang w:val="fr-FR"/>
        </w:rPr>
        <w:t>.</w:t>
      </w:r>
      <w:r w:rsidRPr="00174283">
        <w:rPr>
          <w:lang w:val="fr-FR"/>
        </w:rPr>
        <w:tab/>
      </w:r>
      <w:r w:rsidR="00930E6C" w:rsidRPr="00174283">
        <w:rPr>
          <w:lang w:val="fr-FR"/>
        </w:rPr>
        <w:t>Droit à la sûreté de la personne et à la protection de l</w:t>
      </w:r>
      <w:r w:rsidR="00205A62">
        <w:rPr>
          <w:lang w:val="fr-FR"/>
        </w:rPr>
        <w:t>’</w:t>
      </w:r>
      <w:r w:rsidR="0010463A" w:rsidRPr="00174283">
        <w:rPr>
          <w:lang w:val="fr-FR"/>
        </w:rPr>
        <w:t>État</w:t>
      </w:r>
      <w:r w:rsidR="00930E6C" w:rsidRPr="00174283">
        <w:rPr>
          <w:lang w:val="fr-FR"/>
        </w:rPr>
        <w:t xml:space="preserve"> contre les voies de fait ou les sévices de la part soit de fonctionnaires du gouvernement, soit de tout individu, groupe ou institution</w:t>
      </w:r>
      <w:r w:rsidR="009E76ED" w:rsidRPr="00174283">
        <w:rPr>
          <w:lang w:val="fr-FR"/>
        </w:rPr>
        <w:t xml:space="preserve"> </w:t>
      </w:r>
    </w:p>
    <w:p w:rsidR="008C30F7" w:rsidRPr="00174283" w:rsidRDefault="00214531" w:rsidP="00214531">
      <w:pPr>
        <w:pStyle w:val="SingleTxtG"/>
        <w:rPr>
          <w:lang w:val="fr-FR"/>
        </w:rPr>
      </w:pPr>
      <w:r>
        <w:rPr>
          <w:lang w:val="fr-FR"/>
        </w:rPr>
        <w:t>38.</w:t>
      </w:r>
      <w:r>
        <w:rPr>
          <w:lang w:val="fr-FR"/>
        </w:rPr>
        <w:tab/>
      </w:r>
      <w:r w:rsidR="009E76ED" w:rsidRPr="00174283">
        <w:rPr>
          <w:lang w:val="fr-FR"/>
        </w:rPr>
        <w:t>Le Ministère de l</w:t>
      </w:r>
      <w:r w:rsidR="00205A62">
        <w:rPr>
          <w:lang w:val="fr-FR"/>
        </w:rPr>
        <w:t>’</w:t>
      </w:r>
      <w:r w:rsidR="009E76ED" w:rsidRPr="00174283">
        <w:rPr>
          <w:lang w:val="fr-FR"/>
        </w:rPr>
        <w:t>intérieur a créé une unité organisationnelle dénommée Département du contrôle interne et des normes professionnelles (le Département)</w:t>
      </w:r>
      <w:r w:rsidR="00C91C1A" w:rsidRPr="00174283">
        <w:rPr>
          <w:lang w:val="fr-FR"/>
        </w:rPr>
        <w:t>,</w:t>
      </w:r>
      <w:r w:rsidR="009E76ED" w:rsidRPr="00174283">
        <w:rPr>
          <w:lang w:val="fr-FR"/>
        </w:rPr>
        <w:t xml:space="preserve"> distinct des services de police</w:t>
      </w:r>
      <w:r w:rsidR="00C91C1A" w:rsidRPr="00174283">
        <w:rPr>
          <w:lang w:val="fr-FR"/>
        </w:rPr>
        <w:t>,</w:t>
      </w:r>
      <w:r w:rsidR="009E76ED" w:rsidRPr="00174283">
        <w:rPr>
          <w:lang w:val="fr-FR"/>
        </w:rPr>
        <w:t xml:space="preserve"> afin de surveiller la conduite des fonctionnaires du Ministère de l</w:t>
      </w:r>
      <w:r w:rsidR="00205A62">
        <w:rPr>
          <w:lang w:val="fr-FR"/>
        </w:rPr>
        <w:t>’</w:t>
      </w:r>
      <w:r w:rsidR="009E76ED" w:rsidRPr="00174283">
        <w:rPr>
          <w:lang w:val="fr-FR"/>
        </w:rPr>
        <w:t xml:space="preserve">intérieur et </w:t>
      </w:r>
      <w:r w:rsidR="00E86398" w:rsidRPr="00174283">
        <w:rPr>
          <w:lang w:val="fr-FR"/>
        </w:rPr>
        <w:t xml:space="preserve">de </w:t>
      </w:r>
      <w:r w:rsidR="009E76ED" w:rsidRPr="00174283">
        <w:rPr>
          <w:lang w:val="fr-FR"/>
        </w:rPr>
        <w:t xml:space="preserve">veiller </w:t>
      </w:r>
      <w:r w:rsidR="00746B8C" w:rsidRPr="00174283">
        <w:rPr>
          <w:lang w:val="fr-FR"/>
        </w:rPr>
        <w:t>au respect et à la protection des</w:t>
      </w:r>
      <w:r w:rsidR="009E76ED" w:rsidRPr="00174283">
        <w:rPr>
          <w:lang w:val="fr-FR"/>
        </w:rPr>
        <w:t xml:space="preserve"> droits de l</w:t>
      </w:r>
      <w:r w:rsidR="00205A62">
        <w:rPr>
          <w:lang w:val="fr-FR"/>
        </w:rPr>
        <w:t>’</w:t>
      </w:r>
      <w:r w:rsidR="009E76ED" w:rsidRPr="00174283">
        <w:rPr>
          <w:lang w:val="fr-FR"/>
        </w:rPr>
        <w:t xml:space="preserve">homme et </w:t>
      </w:r>
      <w:r w:rsidR="00746B8C" w:rsidRPr="00174283">
        <w:rPr>
          <w:lang w:val="fr-FR"/>
        </w:rPr>
        <w:t>d</w:t>
      </w:r>
      <w:r w:rsidR="009E76ED" w:rsidRPr="00174283">
        <w:rPr>
          <w:lang w:val="fr-FR"/>
        </w:rPr>
        <w:t xml:space="preserve">es libertés </w:t>
      </w:r>
      <w:r w:rsidR="00465E33" w:rsidRPr="00174283">
        <w:rPr>
          <w:lang w:val="fr-FR"/>
        </w:rPr>
        <w:t xml:space="preserve">fondamentales </w:t>
      </w:r>
      <w:r w:rsidR="009E76ED" w:rsidRPr="00174283">
        <w:rPr>
          <w:lang w:val="fr-FR"/>
        </w:rPr>
        <w:t>dans l</w:t>
      </w:r>
      <w:r w:rsidR="00205A62">
        <w:rPr>
          <w:lang w:val="fr-FR"/>
        </w:rPr>
        <w:t>’</w:t>
      </w:r>
      <w:r w:rsidR="009E76ED" w:rsidRPr="00174283">
        <w:rPr>
          <w:lang w:val="fr-FR"/>
        </w:rPr>
        <w:t xml:space="preserve">exercice des fonctions de la police. </w:t>
      </w:r>
    </w:p>
    <w:p w:rsidR="008C30F7" w:rsidRPr="00174283" w:rsidRDefault="00214531" w:rsidP="00214531">
      <w:pPr>
        <w:pStyle w:val="SingleTxtG"/>
        <w:rPr>
          <w:lang w:val="fr-FR"/>
        </w:rPr>
      </w:pPr>
      <w:r>
        <w:rPr>
          <w:lang w:val="fr-FR"/>
        </w:rPr>
        <w:t>39.</w:t>
      </w:r>
      <w:r>
        <w:rPr>
          <w:lang w:val="fr-FR"/>
        </w:rPr>
        <w:tab/>
      </w:r>
      <w:r w:rsidR="009E76ED" w:rsidRPr="00174283">
        <w:rPr>
          <w:lang w:val="fr-FR"/>
        </w:rPr>
        <w:t xml:space="preserve">Le Département </w:t>
      </w:r>
      <w:r w:rsidR="00380E3E" w:rsidRPr="00174283">
        <w:rPr>
          <w:lang w:val="fr-FR"/>
        </w:rPr>
        <w:t>met en place</w:t>
      </w:r>
      <w:r w:rsidR="009E76ED" w:rsidRPr="00174283">
        <w:rPr>
          <w:lang w:val="fr-FR"/>
        </w:rPr>
        <w:t xml:space="preserve"> des procédures </w:t>
      </w:r>
      <w:r w:rsidR="00380E3E" w:rsidRPr="00174283">
        <w:rPr>
          <w:lang w:val="fr-FR"/>
        </w:rPr>
        <w:t>pour enquêter</w:t>
      </w:r>
      <w:r w:rsidR="009E76ED" w:rsidRPr="00174283">
        <w:rPr>
          <w:lang w:val="fr-FR"/>
        </w:rPr>
        <w:t xml:space="preserve"> sur les informations et indications qu</w:t>
      </w:r>
      <w:r w:rsidR="00205A62">
        <w:rPr>
          <w:lang w:val="fr-FR"/>
        </w:rPr>
        <w:t>’</w:t>
      </w:r>
      <w:r w:rsidR="009E76ED" w:rsidRPr="00174283">
        <w:rPr>
          <w:lang w:val="fr-FR"/>
        </w:rPr>
        <w:t>il recueille</w:t>
      </w:r>
      <w:r w:rsidR="00380E3E" w:rsidRPr="00174283">
        <w:rPr>
          <w:lang w:val="fr-FR"/>
        </w:rPr>
        <w:t>, examine</w:t>
      </w:r>
      <w:r w:rsidR="009E76ED" w:rsidRPr="00174283">
        <w:rPr>
          <w:lang w:val="fr-FR"/>
        </w:rPr>
        <w:t xml:space="preserve"> les requêtes présentées par </w:t>
      </w:r>
      <w:r w:rsidR="00380E3E" w:rsidRPr="00174283">
        <w:rPr>
          <w:lang w:val="fr-FR"/>
        </w:rPr>
        <w:t>d</w:t>
      </w:r>
      <w:r w:rsidR="009E76ED" w:rsidRPr="00174283">
        <w:rPr>
          <w:lang w:val="fr-FR"/>
        </w:rPr>
        <w:t xml:space="preserve">es fonctionnaires du Ministère ou les plaintes </w:t>
      </w:r>
      <w:r w:rsidR="000C47D1" w:rsidRPr="00174283">
        <w:rPr>
          <w:lang w:val="fr-FR"/>
        </w:rPr>
        <w:t xml:space="preserve">et requêtes </w:t>
      </w:r>
      <w:r w:rsidR="009E76ED" w:rsidRPr="00174283">
        <w:rPr>
          <w:lang w:val="fr-FR"/>
        </w:rPr>
        <w:t xml:space="preserve">émanant de citoyens concernant un </w:t>
      </w:r>
      <w:r w:rsidR="00F242A5" w:rsidRPr="00174283">
        <w:rPr>
          <w:lang w:val="fr-FR"/>
        </w:rPr>
        <w:t>comportement</w:t>
      </w:r>
      <w:r w:rsidR="009E76ED" w:rsidRPr="00174283">
        <w:rPr>
          <w:lang w:val="fr-FR"/>
        </w:rPr>
        <w:t xml:space="preserve"> illégal ou contraire aux règles déontologiques de la part d</w:t>
      </w:r>
      <w:r w:rsidR="00205A62">
        <w:rPr>
          <w:lang w:val="fr-FR"/>
        </w:rPr>
        <w:t>’</w:t>
      </w:r>
      <w:r w:rsidR="009E76ED" w:rsidRPr="00174283">
        <w:rPr>
          <w:lang w:val="fr-FR"/>
        </w:rPr>
        <w:t xml:space="preserve">agents du </w:t>
      </w:r>
      <w:r w:rsidR="00F242A5" w:rsidRPr="00174283">
        <w:rPr>
          <w:lang w:val="fr-FR"/>
        </w:rPr>
        <w:t>Ministère</w:t>
      </w:r>
      <w:r w:rsidR="009E76ED" w:rsidRPr="00174283">
        <w:rPr>
          <w:lang w:val="fr-FR"/>
        </w:rPr>
        <w:t xml:space="preserve"> ou des forces de police, ou agit à la demande du Ministère. </w:t>
      </w:r>
    </w:p>
    <w:p w:rsidR="008C30F7" w:rsidRPr="00174283" w:rsidRDefault="00214531" w:rsidP="00214531">
      <w:pPr>
        <w:pStyle w:val="SingleTxtG"/>
        <w:rPr>
          <w:lang w:val="fr-FR"/>
        </w:rPr>
      </w:pPr>
      <w:r>
        <w:rPr>
          <w:lang w:val="fr-FR"/>
        </w:rPr>
        <w:t>40.</w:t>
      </w:r>
      <w:r>
        <w:rPr>
          <w:lang w:val="fr-FR"/>
        </w:rPr>
        <w:tab/>
      </w:r>
      <w:r w:rsidR="009E76ED" w:rsidRPr="00174283">
        <w:rPr>
          <w:lang w:val="fr-FR"/>
        </w:rPr>
        <w:t xml:space="preserve">Le Département du contrôle interne et des normes professionnelles se conforme au Règlement régissant </w:t>
      </w:r>
      <w:r w:rsidR="00465E33" w:rsidRPr="00174283">
        <w:rPr>
          <w:lang w:val="fr-FR"/>
        </w:rPr>
        <w:t>s</w:t>
      </w:r>
      <w:r w:rsidR="009E76ED" w:rsidRPr="00174283">
        <w:rPr>
          <w:lang w:val="fr-FR"/>
        </w:rPr>
        <w:t>es activités dont la dernière version a été adoptée en 2007 suite à la réforme d</w:t>
      </w:r>
      <w:r w:rsidR="006B3DB9" w:rsidRPr="00174283">
        <w:rPr>
          <w:lang w:val="fr-FR"/>
        </w:rPr>
        <w:t>u Ministère de l</w:t>
      </w:r>
      <w:r w:rsidR="00205A62">
        <w:rPr>
          <w:lang w:val="fr-FR"/>
        </w:rPr>
        <w:t>’</w:t>
      </w:r>
      <w:r w:rsidR="006B3DB9" w:rsidRPr="00174283">
        <w:rPr>
          <w:lang w:val="fr-FR"/>
        </w:rPr>
        <w:t>intérieur et à</w:t>
      </w:r>
      <w:r w:rsidR="009E76ED" w:rsidRPr="00174283">
        <w:rPr>
          <w:lang w:val="fr-FR"/>
        </w:rPr>
        <w:t xml:space="preserve"> l</w:t>
      </w:r>
      <w:r w:rsidR="00205A62">
        <w:rPr>
          <w:lang w:val="fr-FR"/>
        </w:rPr>
        <w:t>’</w:t>
      </w:r>
      <w:r w:rsidR="009E76ED" w:rsidRPr="00174283">
        <w:rPr>
          <w:lang w:val="fr-FR"/>
        </w:rPr>
        <w:t xml:space="preserve">adoption de la loi sur les forces de police. En janvier 2010, le </w:t>
      </w:r>
      <w:r w:rsidR="00F242A5" w:rsidRPr="00174283">
        <w:rPr>
          <w:lang w:val="fr-FR"/>
        </w:rPr>
        <w:t>Département</w:t>
      </w:r>
      <w:r w:rsidR="009E76ED" w:rsidRPr="00174283">
        <w:rPr>
          <w:lang w:val="fr-FR"/>
        </w:rPr>
        <w:t xml:space="preserve"> a modifié le Règlement régissant </w:t>
      </w:r>
      <w:r w:rsidR="00465E33" w:rsidRPr="00174283">
        <w:rPr>
          <w:lang w:val="fr-FR"/>
        </w:rPr>
        <w:t>s</w:t>
      </w:r>
      <w:r w:rsidR="009E76ED" w:rsidRPr="00174283">
        <w:rPr>
          <w:lang w:val="fr-FR"/>
        </w:rPr>
        <w:t xml:space="preserve">es activités et harmonisé la procédure de traitement des plaintes et des requêtes pour la rendre conforme à la loi sur le traitement des plaintes et requêtes. En novembre 2010, </w:t>
      </w:r>
      <w:r w:rsidR="00E86398" w:rsidRPr="00174283">
        <w:rPr>
          <w:lang w:val="fr-FR"/>
        </w:rPr>
        <w:t xml:space="preserve">une section permettant le dépôt des plaintes par voie électronique et de manière anonyme a été insérée </w:t>
      </w:r>
      <w:r w:rsidR="008E7CD0" w:rsidRPr="00174283">
        <w:rPr>
          <w:lang w:val="fr-FR"/>
        </w:rPr>
        <w:t>sur</w:t>
      </w:r>
      <w:r w:rsidR="00E86398" w:rsidRPr="00174283">
        <w:rPr>
          <w:lang w:val="fr-FR"/>
        </w:rPr>
        <w:t xml:space="preserve"> le site Internet du Ministère de l</w:t>
      </w:r>
      <w:r w:rsidR="00205A62">
        <w:rPr>
          <w:lang w:val="fr-FR"/>
        </w:rPr>
        <w:t>’</w:t>
      </w:r>
      <w:r w:rsidR="00E86398" w:rsidRPr="00174283">
        <w:rPr>
          <w:lang w:val="fr-FR"/>
        </w:rPr>
        <w:t>intérieur</w:t>
      </w:r>
      <w:r w:rsidR="00FE0C7D" w:rsidRPr="00174283">
        <w:rPr>
          <w:lang w:val="fr-FR"/>
        </w:rPr>
        <w:t xml:space="preserve">. </w:t>
      </w:r>
    </w:p>
    <w:p w:rsidR="008C30F7" w:rsidRPr="00174283" w:rsidRDefault="00214531" w:rsidP="00214531">
      <w:pPr>
        <w:pStyle w:val="SingleTxtG"/>
        <w:rPr>
          <w:lang w:val="fr-FR"/>
        </w:rPr>
      </w:pPr>
      <w:r>
        <w:rPr>
          <w:lang w:val="fr-FR"/>
        </w:rPr>
        <w:t>41.</w:t>
      </w:r>
      <w:r>
        <w:rPr>
          <w:lang w:val="fr-FR"/>
        </w:rPr>
        <w:tab/>
      </w:r>
      <w:r w:rsidR="00FE0C7D" w:rsidRPr="00174283">
        <w:rPr>
          <w:lang w:val="fr-FR"/>
        </w:rPr>
        <w:t xml:space="preserve">Chaque fois que le Département reçoit des informations sur des mauvais traitements ou des actes de discrimination </w:t>
      </w:r>
      <w:r w:rsidR="0053786A" w:rsidRPr="00174283">
        <w:rPr>
          <w:lang w:val="fr-FR"/>
        </w:rPr>
        <w:t xml:space="preserve">infligés ou commis </w:t>
      </w:r>
      <w:r w:rsidR="00FE0C7D" w:rsidRPr="00174283">
        <w:rPr>
          <w:lang w:val="fr-FR"/>
        </w:rPr>
        <w:t xml:space="preserve">par des </w:t>
      </w:r>
      <w:r w:rsidR="001D5FE0" w:rsidRPr="00174283">
        <w:rPr>
          <w:lang w:val="fr-FR"/>
        </w:rPr>
        <w:t>fonctionnaires</w:t>
      </w:r>
      <w:r w:rsidR="00FE0C7D" w:rsidRPr="00174283">
        <w:rPr>
          <w:lang w:val="fr-FR"/>
        </w:rPr>
        <w:t xml:space="preserve"> de police, il vérifie ces informations sans </w:t>
      </w:r>
      <w:r w:rsidR="00A11BF2" w:rsidRPr="00174283">
        <w:rPr>
          <w:lang w:val="fr-FR"/>
        </w:rPr>
        <w:t>aucun</w:t>
      </w:r>
      <w:r w:rsidR="000C47D1" w:rsidRPr="00174283">
        <w:rPr>
          <w:lang w:val="fr-FR"/>
        </w:rPr>
        <w:t>e</w:t>
      </w:r>
      <w:r w:rsidR="00A11BF2" w:rsidRPr="00174283">
        <w:rPr>
          <w:lang w:val="fr-FR"/>
        </w:rPr>
        <w:t xml:space="preserve"> </w:t>
      </w:r>
      <w:r w:rsidR="00FE0C7D" w:rsidRPr="00174283">
        <w:rPr>
          <w:lang w:val="fr-FR"/>
        </w:rPr>
        <w:t>exception</w:t>
      </w:r>
      <w:r w:rsidR="001D5FE0" w:rsidRPr="00174283">
        <w:rPr>
          <w:lang w:val="fr-FR"/>
        </w:rPr>
        <w:t>,</w:t>
      </w:r>
      <w:r w:rsidR="00FE0C7D" w:rsidRPr="00174283">
        <w:rPr>
          <w:lang w:val="fr-FR"/>
        </w:rPr>
        <w:t xml:space="preserve"> examine toutes les allégations figurant dans les plaintes</w:t>
      </w:r>
      <w:r w:rsidR="001D5FE0" w:rsidRPr="00174283">
        <w:rPr>
          <w:lang w:val="fr-FR"/>
        </w:rPr>
        <w:t>,</w:t>
      </w:r>
      <w:r w:rsidR="00FE0C7D" w:rsidRPr="00174283">
        <w:rPr>
          <w:lang w:val="fr-FR"/>
        </w:rPr>
        <w:t xml:space="preserve"> sans </w:t>
      </w:r>
      <w:r w:rsidR="00A11BF2" w:rsidRPr="00174283">
        <w:rPr>
          <w:lang w:val="fr-FR"/>
        </w:rPr>
        <w:t xml:space="preserve">exercer la moindre </w:t>
      </w:r>
      <w:r w:rsidR="00FE0C7D" w:rsidRPr="00174283">
        <w:rPr>
          <w:lang w:val="fr-FR"/>
        </w:rPr>
        <w:t>sélection</w:t>
      </w:r>
      <w:r w:rsidR="001D5FE0" w:rsidRPr="00174283">
        <w:rPr>
          <w:lang w:val="fr-FR"/>
        </w:rPr>
        <w:t>,</w:t>
      </w:r>
      <w:r w:rsidR="00FE0C7D" w:rsidRPr="00174283">
        <w:rPr>
          <w:lang w:val="fr-FR"/>
        </w:rPr>
        <w:t xml:space="preserve"> et traite sur un pied d</w:t>
      </w:r>
      <w:r w:rsidR="00205A62">
        <w:rPr>
          <w:lang w:val="fr-FR"/>
        </w:rPr>
        <w:t>’</w:t>
      </w:r>
      <w:r w:rsidR="00FE0C7D" w:rsidRPr="00174283">
        <w:rPr>
          <w:lang w:val="fr-FR"/>
        </w:rPr>
        <w:t>égalité tous les citoyens quel que soit leur origine ethnique, leur religion ou leur sexe ou toute autre caractéristique ou appartenance. Après les vérifications et examens d</w:t>
      </w:r>
      <w:r w:rsidR="00205A62">
        <w:rPr>
          <w:lang w:val="fr-FR"/>
        </w:rPr>
        <w:t>’</w:t>
      </w:r>
      <w:r w:rsidR="00FE0C7D" w:rsidRPr="00174283">
        <w:rPr>
          <w:lang w:val="fr-FR"/>
        </w:rPr>
        <w:t xml:space="preserve">usage, les réponses sont transmises dans les meilleurs délais aux </w:t>
      </w:r>
      <w:r w:rsidR="000C47D1" w:rsidRPr="00174283">
        <w:rPr>
          <w:lang w:val="fr-FR"/>
        </w:rPr>
        <w:t>intéressés</w:t>
      </w:r>
      <w:r w:rsidR="00FE0C7D" w:rsidRPr="00174283">
        <w:rPr>
          <w:lang w:val="fr-FR"/>
        </w:rPr>
        <w:t xml:space="preserve">. </w:t>
      </w:r>
    </w:p>
    <w:p w:rsidR="008C30F7" w:rsidRPr="00174283" w:rsidRDefault="00214531" w:rsidP="00214531">
      <w:pPr>
        <w:pStyle w:val="SingleTxtG"/>
        <w:rPr>
          <w:lang w:val="fr-FR"/>
        </w:rPr>
      </w:pPr>
      <w:r>
        <w:rPr>
          <w:lang w:val="fr-FR"/>
        </w:rPr>
        <w:t>42.</w:t>
      </w:r>
      <w:r>
        <w:rPr>
          <w:lang w:val="fr-FR"/>
        </w:rPr>
        <w:tab/>
      </w:r>
      <w:r w:rsidR="00FE0C7D" w:rsidRPr="00174283">
        <w:rPr>
          <w:lang w:val="fr-FR"/>
        </w:rPr>
        <w:t xml:space="preserve">Le </w:t>
      </w:r>
      <w:r w:rsidR="00F242A5" w:rsidRPr="00174283">
        <w:rPr>
          <w:lang w:val="fr-FR"/>
        </w:rPr>
        <w:t>Département</w:t>
      </w:r>
      <w:r w:rsidR="00FE0C7D" w:rsidRPr="00174283">
        <w:rPr>
          <w:lang w:val="fr-FR"/>
        </w:rPr>
        <w:t xml:space="preserve"> prend en permanence des mesures pour surveiller la situation des droits de l</w:t>
      </w:r>
      <w:r w:rsidR="00205A62">
        <w:rPr>
          <w:lang w:val="fr-FR"/>
        </w:rPr>
        <w:t>’</w:t>
      </w:r>
      <w:r w:rsidR="00FE0C7D" w:rsidRPr="00174283">
        <w:rPr>
          <w:lang w:val="fr-FR"/>
        </w:rPr>
        <w:t xml:space="preserve">homme et des libertés </w:t>
      </w:r>
      <w:r w:rsidR="001D5FE0" w:rsidRPr="00174283">
        <w:rPr>
          <w:lang w:val="fr-FR"/>
        </w:rPr>
        <w:t xml:space="preserve">fondamentales </w:t>
      </w:r>
      <w:r w:rsidR="00FE0C7D" w:rsidRPr="00174283">
        <w:rPr>
          <w:lang w:val="fr-FR"/>
        </w:rPr>
        <w:t xml:space="preserve">dans le but de </w:t>
      </w:r>
      <w:r w:rsidR="0053786A" w:rsidRPr="00174283">
        <w:rPr>
          <w:lang w:val="fr-FR"/>
        </w:rPr>
        <w:t>détecter les pratiques répréhensibles</w:t>
      </w:r>
      <w:r w:rsidR="001D5FE0" w:rsidRPr="00174283">
        <w:rPr>
          <w:lang w:val="fr-FR"/>
        </w:rPr>
        <w:t>,</w:t>
      </w:r>
      <w:r w:rsidR="00FE0C7D" w:rsidRPr="00174283">
        <w:rPr>
          <w:lang w:val="fr-FR"/>
        </w:rPr>
        <w:t xml:space="preserve"> </w:t>
      </w:r>
      <w:r w:rsidR="001D5FE0" w:rsidRPr="00174283">
        <w:rPr>
          <w:lang w:val="fr-FR"/>
        </w:rPr>
        <w:t>d</w:t>
      </w:r>
      <w:r w:rsidR="00205A62">
        <w:rPr>
          <w:lang w:val="fr-FR"/>
        </w:rPr>
        <w:t>’</w:t>
      </w:r>
      <w:r w:rsidR="00FE0C7D" w:rsidRPr="00174283">
        <w:rPr>
          <w:lang w:val="fr-FR"/>
        </w:rPr>
        <w:t xml:space="preserve">émettre des directives en vue de leur élimination et </w:t>
      </w:r>
      <w:r w:rsidR="001D5FE0" w:rsidRPr="00174283">
        <w:rPr>
          <w:lang w:val="fr-FR"/>
        </w:rPr>
        <w:t xml:space="preserve">de </w:t>
      </w:r>
      <w:r w:rsidR="009B4A8B" w:rsidRPr="00174283">
        <w:rPr>
          <w:lang w:val="fr-FR"/>
        </w:rPr>
        <w:t>rappeler à l</w:t>
      </w:r>
      <w:r w:rsidR="00205A62">
        <w:rPr>
          <w:lang w:val="fr-FR"/>
        </w:rPr>
        <w:t>’</w:t>
      </w:r>
      <w:r w:rsidR="009B4A8B" w:rsidRPr="00174283">
        <w:rPr>
          <w:lang w:val="fr-FR"/>
        </w:rPr>
        <w:t>ordre</w:t>
      </w:r>
      <w:r w:rsidR="001D5FE0" w:rsidRPr="00174283">
        <w:rPr>
          <w:lang w:val="fr-FR"/>
        </w:rPr>
        <w:t xml:space="preserve"> les fonctionnaire</w:t>
      </w:r>
      <w:r w:rsidR="00FE0C7D" w:rsidRPr="00174283">
        <w:rPr>
          <w:lang w:val="fr-FR"/>
        </w:rPr>
        <w:t xml:space="preserve">s de police qui ont abusé de leurs pouvoirs ou </w:t>
      </w:r>
      <w:r w:rsidR="0005285C" w:rsidRPr="00174283">
        <w:rPr>
          <w:lang w:val="fr-FR"/>
        </w:rPr>
        <w:t>porté atteinte aux</w:t>
      </w:r>
      <w:r w:rsidR="00FE0C7D" w:rsidRPr="00174283">
        <w:rPr>
          <w:lang w:val="fr-FR"/>
        </w:rPr>
        <w:t xml:space="preserve"> libertés </w:t>
      </w:r>
      <w:r w:rsidR="00A11BF2" w:rsidRPr="00174283">
        <w:rPr>
          <w:lang w:val="fr-FR"/>
        </w:rPr>
        <w:t xml:space="preserve">et droits </w:t>
      </w:r>
      <w:r w:rsidR="00FE0C7D" w:rsidRPr="00174283">
        <w:rPr>
          <w:lang w:val="fr-FR"/>
        </w:rPr>
        <w:t xml:space="preserve">fondamentaux dans </w:t>
      </w:r>
      <w:r w:rsidR="00B33058" w:rsidRPr="00174283">
        <w:rPr>
          <w:lang w:val="fr-FR"/>
        </w:rPr>
        <w:t>l</w:t>
      </w:r>
      <w:r w:rsidR="00205A62">
        <w:rPr>
          <w:lang w:val="fr-FR"/>
        </w:rPr>
        <w:t>’</w:t>
      </w:r>
      <w:r w:rsidR="00B33058" w:rsidRPr="00174283">
        <w:rPr>
          <w:lang w:val="fr-FR"/>
        </w:rPr>
        <w:t>exercice de leurs fonctions</w:t>
      </w:r>
      <w:r w:rsidR="00FE0C7D" w:rsidRPr="00174283">
        <w:rPr>
          <w:lang w:val="fr-FR"/>
        </w:rPr>
        <w:t xml:space="preserve">. À ce titre, le Département </w:t>
      </w:r>
      <w:r w:rsidR="00896269" w:rsidRPr="00174283">
        <w:rPr>
          <w:lang w:val="fr-FR"/>
        </w:rPr>
        <w:t>vérifie</w:t>
      </w:r>
      <w:r w:rsidR="00A11BF2" w:rsidRPr="00174283">
        <w:rPr>
          <w:lang w:val="fr-FR"/>
        </w:rPr>
        <w:t xml:space="preserve"> régulièrement le</w:t>
      </w:r>
      <w:r w:rsidR="00FE0C7D" w:rsidRPr="00174283">
        <w:rPr>
          <w:lang w:val="fr-FR"/>
        </w:rPr>
        <w:t xml:space="preserve"> registre </w:t>
      </w:r>
      <w:r w:rsidR="00A11BF2" w:rsidRPr="00174283">
        <w:rPr>
          <w:lang w:val="fr-FR"/>
        </w:rPr>
        <w:t>des</w:t>
      </w:r>
      <w:r w:rsidR="00FE0C7D" w:rsidRPr="00174283">
        <w:rPr>
          <w:lang w:val="fr-FR"/>
        </w:rPr>
        <w:t xml:space="preserve"> activités</w:t>
      </w:r>
      <w:r w:rsidR="00A11BF2" w:rsidRPr="00174283">
        <w:rPr>
          <w:lang w:val="fr-FR"/>
        </w:rPr>
        <w:t xml:space="preserve"> des postes de police</w:t>
      </w:r>
      <w:r w:rsidR="00FE0C7D" w:rsidRPr="00174283">
        <w:rPr>
          <w:lang w:val="fr-FR"/>
        </w:rPr>
        <w:t xml:space="preserve">, examine les documents concernant les personnes </w:t>
      </w:r>
      <w:r w:rsidR="0005285C" w:rsidRPr="00174283">
        <w:rPr>
          <w:lang w:val="fr-FR"/>
        </w:rPr>
        <w:t>interpell</w:t>
      </w:r>
      <w:r w:rsidR="00FE0C7D" w:rsidRPr="00174283">
        <w:rPr>
          <w:lang w:val="fr-FR"/>
        </w:rPr>
        <w:t>ées ou</w:t>
      </w:r>
      <w:r w:rsidR="0005285C" w:rsidRPr="00174283">
        <w:rPr>
          <w:lang w:val="fr-FR"/>
        </w:rPr>
        <w:t xml:space="preserve"> placées</w:t>
      </w:r>
      <w:r w:rsidR="00FE0C7D" w:rsidRPr="00174283">
        <w:rPr>
          <w:lang w:val="fr-FR"/>
        </w:rPr>
        <w:t xml:space="preserve"> en garde à vue et inspecte également les centres de détention. </w:t>
      </w:r>
    </w:p>
    <w:p w:rsidR="008C30F7" w:rsidRPr="00174283" w:rsidRDefault="00214531" w:rsidP="00214531">
      <w:pPr>
        <w:pStyle w:val="SingleTxtG"/>
        <w:rPr>
          <w:lang w:val="fr-FR"/>
        </w:rPr>
      </w:pPr>
      <w:r>
        <w:rPr>
          <w:lang w:val="fr-FR"/>
        </w:rPr>
        <w:t>43.</w:t>
      </w:r>
      <w:r>
        <w:rPr>
          <w:lang w:val="fr-FR"/>
        </w:rPr>
        <w:tab/>
      </w:r>
      <w:r w:rsidR="00FE0C7D" w:rsidRPr="00174283">
        <w:rPr>
          <w:lang w:val="fr-FR"/>
        </w:rPr>
        <w:t>Le Département s</w:t>
      </w:r>
      <w:r w:rsidR="00205A62">
        <w:rPr>
          <w:lang w:val="fr-FR"/>
        </w:rPr>
        <w:t>’</w:t>
      </w:r>
      <w:r w:rsidR="00FE0C7D" w:rsidRPr="00174283">
        <w:rPr>
          <w:lang w:val="fr-FR"/>
        </w:rPr>
        <w:t xml:space="preserve">efforce </w:t>
      </w:r>
      <w:r w:rsidR="009B4A8B" w:rsidRPr="00174283">
        <w:rPr>
          <w:lang w:val="fr-FR"/>
        </w:rPr>
        <w:t xml:space="preserve">constamment </w:t>
      </w:r>
      <w:r w:rsidR="00896269" w:rsidRPr="00174283">
        <w:rPr>
          <w:lang w:val="fr-FR"/>
        </w:rPr>
        <w:t>de</w:t>
      </w:r>
      <w:r w:rsidR="00FE0C7D" w:rsidRPr="00174283">
        <w:rPr>
          <w:lang w:val="fr-FR"/>
        </w:rPr>
        <w:t xml:space="preserve"> renforcer ses capacités pour </w:t>
      </w:r>
      <w:r w:rsidR="00F242A5" w:rsidRPr="00174283">
        <w:rPr>
          <w:lang w:val="fr-FR"/>
        </w:rPr>
        <w:t>accomplir</w:t>
      </w:r>
      <w:r w:rsidR="00FE0C7D" w:rsidRPr="00174283">
        <w:rPr>
          <w:lang w:val="fr-FR"/>
        </w:rPr>
        <w:t xml:space="preserve"> sa mission avec efficacité. Il a notamment modifié ses méthodes de travail </w:t>
      </w:r>
      <w:r w:rsidR="00B67D4C" w:rsidRPr="00174283">
        <w:rPr>
          <w:lang w:val="fr-FR"/>
        </w:rPr>
        <w:t xml:space="preserve">ainsi que les procédures de sélection et de </w:t>
      </w:r>
      <w:r w:rsidR="009B4A8B" w:rsidRPr="00174283">
        <w:rPr>
          <w:lang w:val="fr-FR"/>
        </w:rPr>
        <w:t>recrutement</w:t>
      </w:r>
      <w:r w:rsidR="00B67D4C" w:rsidRPr="00174283">
        <w:rPr>
          <w:lang w:val="fr-FR"/>
        </w:rPr>
        <w:t xml:space="preserve"> de</w:t>
      </w:r>
      <w:r w:rsidR="009B4A8B" w:rsidRPr="00174283">
        <w:rPr>
          <w:lang w:val="fr-FR"/>
        </w:rPr>
        <w:t xml:space="preserve"> se</w:t>
      </w:r>
      <w:r w:rsidR="00B67D4C" w:rsidRPr="00174283">
        <w:rPr>
          <w:lang w:val="fr-FR"/>
        </w:rPr>
        <w:t xml:space="preserve">s </w:t>
      </w:r>
      <w:r w:rsidR="009B4A8B" w:rsidRPr="00174283">
        <w:rPr>
          <w:lang w:val="fr-FR"/>
        </w:rPr>
        <w:t>agent</w:t>
      </w:r>
      <w:r w:rsidR="00B67D4C" w:rsidRPr="00174283">
        <w:rPr>
          <w:lang w:val="fr-FR"/>
        </w:rPr>
        <w:t xml:space="preserve">s. Par ailleurs, </w:t>
      </w:r>
      <w:r w:rsidR="004A6519" w:rsidRPr="00174283">
        <w:rPr>
          <w:lang w:val="fr-FR"/>
        </w:rPr>
        <w:t>les équipements techniques dont il dispose ont été modernisés. Au début de 2011, suite à l</w:t>
      </w:r>
      <w:r w:rsidR="00205A62">
        <w:rPr>
          <w:lang w:val="fr-FR"/>
        </w:rPr>
        <w:t>’</w:t>
      </w:r>
      <w:r w:rsidR="004A6519" w:rsidRPr="00174283">
        <w:rPr>
          <w:lang w:val="fr-FR"/>
        </w:rPr>
        <w:t>adoption d</w:t>
      </w:r>
      <w:r w:rsidR="00205A62">
        <w:rPr>
          <w:lang w:val="fr-FR"/>
        </w:rPr>
        <w:t>’</w:t>
      </w:r>
      <w:r w:rsidR="004A6519" w:rsidRPr="00174283">
        <w:rPr>
          <w:lang w:val="fr-FR"/>
        </w:rPr>
        <w:t>un nouveau sy</w:t>
      </w:r>
      <w:r w:rsidR="00D22FB0" w:rsidRPr="00174283">
        <w:rPr>
          <w:lang w:val="fr-FR"/>
        </w:rPr>
        <w:t>stème de définition des postes, le nombre d</w:t>
      </w:r>
      <w:r w:rsidR="00205A62">
        <w:rPr>
          <w:lang w:val="fr-FR"/>
        </w:rPr>
        <w:t>’</w:t>
      </w:r>
      <w:r w:rsidR="00D22FB0" w:rsidRPr="00174283">
        <w:rPr>
          <w:lang w:val="fr-FR"/>
        </w:rPr>
        <w:t>unités organisationnelles a été augmenté (</w:t>
      </w:r>
      <w:r w:rsidR="001B0EA0" w:rsidRPr="00174283">
        <w:rPr>
          <w:lang w:val="fr-FR"/>
        </w:rPr>
        <w:t xml:space="preserve">passant de trois à cinq) de même que le nombre de fonctionnaires (qui sont passés de 40 à 60). </w:t>
      </w:r>
      <w:r w:rsidR="00E02D0C" w:rsidRPr="00174283">
        <w:rPr>
          <w:lang w:val="fr-FR"/>
        </w:rPr>
        <w:t>D</w:t>
      </w:r>
      <w:r w:rsidR="001B0EA0" w:rsidRPr="00174283">
        <w:rPr>
          <w:lang w:val="fr-FR"/>
        </w:rPr>
        <w:t xml:space="preserve">ans le cadre </w:t>
      </w:r>
      <w:r w:rsidR="00014945" w:rsidRPr="00174283">
        <w:rPr>
          <w:lang w:val="fr-FR"/>
        </w:rPr>
        <w:t>de la nouvelle structure organisationnelle du Département</w:t>
      </w:r>
      <w:r w:rsidR="001B0EA0" w:rsidRPr="00174283">
        <w:rPr>
          <w:lang w:val="fr-FR"/>
        </w:rPr>
        <w:t>, l</w:t>
      </w:r>
      <w:r w:rsidR="00205A62">
        <w:rPr>
          <w:lang w:val="fr-FR"/>
        </w:rPr>
        <w:t>’</w:t>
      </w:r>
      <w:r w:rsidR="001B0EA0" w:rsidRPr="00174283">
        <w:rPr>
          <w:lang w:val="fr-FR"/>
        </w:rPr>
        <w:t xml:space="preserve">accent </w:t>
      </w:r>
      <w:r w:rsidR="00014945" w:rsidRPr="00174283">
        <w:rPr>
          <w:lang w:val="fr-FR"/>
        </w:rPr>
        <w:t>est mis</w:t>
      </w:r>
      <w:r w:rsidR="001B0EA0" w:rsidRPr="00174283">
        <w:rPr>
          <w:lang w:val="fr-FR"/>
        </w:rPr>
        <w:t xml:space="preserve"> sur les activités de prévention </w:t>
      </w:r>
      <w:r w:rsidR="00014945" w:rsidRPr="00174283">
        <w:rPr>
          <w:lang w:val="fr-FR"/>
        </w:rPr>
        <w:t>afin de détecter</w:t>
      </w:r>
      <w:r w:rsidR="001B0EA0" w:rsidRPr="00174283">
        <w:rPr>
          <w:lang w:val="fr-FR"/>
        </w:rPr>
        <w:t xml:space="preserve"> les situations pouvant entraîner un comportement illégal ou contraire aux règles déontologiques de la part d</w:t>
      </w:r>
      <w:r w:rsidR="00205A62">
        <w:rPr>
          <w:lang w:val="fr-FR"/>
        </w:rPr>
        <w:t>’</w:t>
      </w:r>
      <w:r w:rsidR="001B0EA0" w:rsidRPr="00174283">
        <w:rPr>
          <w:lang w:val="fr-FR"/>
        </w:rPr>
        <w:t xml:space="preserve">officiers de police, </w:t>
      </w:r>
      <w:r w:rsidR="0005285C" w:rsidRPr="00174283">
        <w:rPr>
          <w:lang w:val="fr-FR"/>
        </w:rPr>
        <w:t>et</w:t>
      </w:r>
      <w:r w:rsidR="001B0EA0" w:rsidRPr="00174283">
        <w:rPr>
          <w:lang w:val="fr-FR"/>
        </w:rPr>
        <w:t xml:space="preserve"> les éliminer. Le Département échange avec d</w:t>
      </w:r>
      <w:r w:rsidR="00205A62">
        <w:rPr>
          <w:lang w:val="fr-FR"/>
        </w:rPr>
        <w:t>’</w:t>
      </w:r>
      <w:r w:rsidR="001B0EA0" w:rsidRPr="00174283">
        <w:rPr>
          <w:lang w:val="fr-FR"/>
        </w:rPr>
        <w:t>autres services du contrôle interne au niveau régional</w:t>
      </w:r>
      <w:r w:rsidR="0005285C" w:rsidRPr="00174283">
        <w:rPr>
          <w:lang w:val="fr-FR"/>
        </w:rPr>
        <w:t xml:space="preserve"> et partage avec eux</w:t>
      </w:r>
      <w:r w:rsidR="001B0EA0" w:rsidRPr="00174283">
        <w:rPr>
          <w:lang w:val="fr-FR"/>
        </w:rPr>
        <w:t xml:space="preserve"> </w:t>
      </w:r>
      <w:r w:rsidR="00F242A5" w:rsidRPr="00174283">
        <w:rPr>
          <w:lang w:val="fr-FR"/>
        </w:rPr>
        <w:t>les expériences</w:t>
      </w:r>
      <w:r w:rsidR="001B0EA0" w:rsidRPr="00174283">
        <w:rPr>
          <w:lang w:val="fr-FR"/>
        </w:rPr>
        <w:t xml:space="preserve"> et </w:t>
      </w:r>
      <w:r w:rsidR="0005285C" w:rsidRPr="00174283">
        <w:rPr>
          <w:lang w:val="fr-FR"/>
        </w:rPr>
        <w:t>bonnes pratiques</w:t>
      </w:r>
      <w:r w:rsidR="001B0EA0" w:rsidRPr="00174283">
        <w:rPr>
          <w:lang w:val="fr-FR"/>
        </w:rPr>
        <w:t xml:space="preserve">. </w:t>
      </w:r>
      <w:r w:rsidR="0005285C" w:rsidRPr="00174283">
        <w:rPr>
          <w:lang w:val="fr-FR"/>
        </w:rPr>
        <w:t>D</w:t>
      </w:r>
      <w:r w:rsidR="001B0EA0" w:rsidRPr="00174283">
        <w:rPr>
          <w:lang w:val="fr-FR"/>
        </w:rPr>
        <w:t xml:space="preserve">ans le cadre du Programme </w:t>
      </w:r>
      <w:r w:rsidR="00DB6205" w:rsidRPr="00174283">
        <w:rPr>
          <w:lang w:val="fr-FR"/>
        </w:rPr>
        <w:t xml:space="preserve">TAIEX </w:t>
      </w:r>
      <w:r w:rsidR="001B0EA0" w:rsidRPr="00174283">
        <w:rPr>
          <w:lang w:val="fr-FR"/>
        </w:rPr>
        <w:t>de la Commission européenne</w:t>
      </w:r>
      <w:r w:rsidR="00E02D0C" w:rsidRPr="00174283">
        <w:rPr>
          <w:lang w:val="fr-FR"/>
        </w:rPr>
        <w:t xml:space="preserve"> (échange d</w:t>
      </w:r>
      <w:r w:rsidR="00205A62">
        <w:rPr>
          <w:lang w:val="fr-FR"/>
        </w:rPr>
        <w:t>’</w:t>
      </w:r>
      <w:r w:rsidR="00E02D0C" w:rsidRPr="00174283">
        <w:rPr>
          <w:lang w:val="fr-FR"/>
        </w:rPr>
        <w:t>informations sur l</w:t>
      </w:r>
      <w:r w:rsidR="00205A62">
        <w:rPr>
          <w:lang w:val="fr-FR"/>
        </w:rPr>
        <w:t>’</w:t>
      </w:r>
      <w:r w:rsidR="00E02D0C" w:rsidRPr="00174283">
        <w:rPr>
          <w:lang w:val="fr-FR"/>
        </w:rPr>
        <w:t>assistance technique)</w:t>
      </w:r>
      <w:r w:rsidR="001B0EA0" w:rsidRPr="00174283">
        <w:rPr>
          <w:lang w:val="fr-FR"/>
        </w:rPr>
        <w:t>, des représentants du Département o</w:t>
      </w:r>
      <w:r w:rsidR="001651E9" w:rsidRPr="00174283">
        <w:rPr>
          <w:lang w:val="fr-FR"/>
        </w:rPr>
        <w:t xml:space="preserve">nt </w:t>
      </w:r>
      <w:r w:rsidR="007F4953" w:rsidRPr="00174283">
        <w:rPr>
          <w:lang w:val="fr-FR"/>
        </w:rPr>
        <w:t xml:space="preserve">par ailleurs </w:t>
      </w:r>
      <w:r w:rsidR="001651E9" w:rsidRPr="00174283">
        <w:rPr>
          <w:lang w:val="fr-FR"/>
        </w:rPr>
        <w:t>effectué des visites d</w:t>
      </w:r>
      <w:r w:rsidR="00205A62">
        <w:rPr>
          <w:lang w:val="fr-FR"/>
        </w:rPr>
        <w:t>’</w:t>
      </w:r>
      <w:r w:rsidR="001651E9" w:rsidRPr="00174283">
        <w:rPr>
          <w:lang w:val="fr-FR"/>
        </w:rPr>
        <w:t>étude</w:t>
      </w:r>
      <w:r w:rsidR="001B0EA0" w:rsidRPr="00174283">
        <w:rPr>
          <w:lang w:val="fr-FR"/>
        </w:rPr>
        <w:t xml:space="preserve"> dans plusieurs pays européens pour apprendre à </w:t>
      </w:r>
      <w:r w:rsidR="00F242A5" w:rsidRPr="00174283">
        <w:rPr>
          <w:lang w:val="fr-FR"/>
        </w:rPr>
        <w:t>détecter</w:t>
      </w:r>
      <w:r w:rsidR="001B0EA0" w:rsidRPr="00174283">
        <w:rPr>
          <w:lang w:val="fr-FR"/>
        </w:rPr>
        <w:t xml:space="preserve"> les cas de torture policière et</w:t>
      </w:r>
      <w:r w:rsidR="00A84E9E" w:rsidRPr="00174283">
        <w:rPr>
          <w:lang w:val="fr-FR"/>
        </w:rPr>
        <w:t xml:space="preserve"> </w:t>
      </w:r>
      <w:r w:rsidR="001B0EA0" w:rsidRPr="00174283">
        <w:rPr>
          <w:lang w:val="fr-FR"/>
        </w:rPr>
        <w:t>à protéger les droits de l</w:t>
      </w:r>
      <w:r w:rsidR="00205A62">
        <w:rPr>
          <w:lang w:val="fr-FR"/>
        </w:rPr>
        <w:t>’</w:t>
      </w:r>
      <w:r w:rsidR="001B0EA0" w:rsidRPr="00174283">
        <w:rPr>
          <w:lang w:val="fr-FR"/>
        </w:rPr>
        <w:t xml:space="preserve">homme et les libertés </w:t>
      </w:r>
      <w:r w:rsidR="000C1BD1" w:rsidRPr="00174283">
        <w:rPr>
          <w:lang w:val="fr-FR"/>
        </w:rPr>
        <w:t>fondamenta</w:t>
      </w:r>
      <w:r w:rsidR="001B0EA0" w:rsidRPr="00174283">
        <w:rPr>
          <w:lang w:val="fr-FR"/>
        </w:rPr>
        <w:t>les dans l</w:t>
      </w:r>
      <w:r w:rsidR="00205A62">
        <w:rPr>
          <w:lang w:val="fr-FR"/>
        </w:rPr>
        <w:t>’</w:t>
      </w:r>
      <w:r w:rsidR="001B0EA0" w:rsidRPr="00174283">
        <w:rPr>
          <w:lang w:val="fr-FR"/>
        </w:rPr>
        <w:t xml:space="preserve">exercice des fonctions de la police, conformément aux normes internationales. </w:t>
      </w:r>
    </w:p>
    <w:p w:rsidR="00A053EB" w:rsidRPr="00174283" w:rsidRDefault="00214531" w:rsidP="00214531">
      <w:pPr>
        <w:pStyle w:val="SingleTxtG"/>
        <w:rPr>
          <w:lang w:val="fr-FR"/>
        </w:rPr>
      </w:pPr>
      <w:r>
        <w:rPr>
          <w:lang w:val="fr-FR"/>
        </w:rPr>
        <w:t>44.</w:t>
      </w:r>
      <w:r>
        <w:rPr>
          <w:lang w:val="fr-FR"/>
        </w:rPr>
        <w:tab/>
      </w:r>
      <w:r w:rsidR="001B0EA0" w:rsidRPr="00174283">
        <w:rPr>
          <w:lang w:val="fr-FR"/>
        </w:rPr>
        <w:t xml:space="preserve">Conformément à son programme de travail, le Département accorde une attention particulière </w:t>
      </w:r>
      <w:r w:rsidR="007F4953" w:rsidRPr="00174283">
        <w:rPr>
          <w:lang w:val="fr-FR"/>
        </w:rPr>
        <w:t>au perfectionnement</w:t>
      </w:r>
      <w:r w:rsidR="00A84E9E" w:rsidRPr="00174283">
        <w:rPr>
          <w:lang w:val="fr-FR"/>
        </w:rPr>
        <w:t xml:space="preserve"> professionnel des membres de son personnel. L</w:t>
      </w:r>
      <w:r w:rsidR="006D7E28" w:rsidRPr="00174283">
        <w:rPr>
          <w:lang w:val="fr-FR"/>
        </w:rPr>
        <w:t>es</w:t>
      </w:r>
      <w:r w:rsidR="00A84E9E" w:rsidRPr="00174283">
        <w:rPr>
          <w:lang w:val="fr-FR"/>
        </w:rPr>
        <w:t xml:space="preserve"> formation</w:t>
      </w:r>
      <w:r w:rsidR="006D7E28" w:rsidRPr="00174283">
        <w:rPr>
          <w:lang w:val="fr-FR"/>
        </w:rPr>
        <w:t xml:space="preserve">s proposées </w:t>
      </w:r>
      <w:r w:rsidR="00A84E9E" w:rsidRPr="00174283">
        <w:rPr>
          <w:lang w:val="fr-FR"/>
        </w:rPr>
        <w:t>à ce chapitre repose</w:t>
      </w:r>
      <w:r w:rsidR="006D7E28" w:rsidRPr="00174283">
        <w:rPr>
          <w:lang w:val="fr-FR"/>
        </w:rPr>
        <w:t>nt</w:t>
      </w:r>
      <w:r w:rsidR="00A84E9E" w:rsidRPr="00174283">
        <w:rPr>
          <w:lang w:val="fr-FR"/>
        </w:rPr>
        <w:t xml:space="preserve"> sur </w:t>
      </w:r>
      <w:r w:rsidR="00F242A5" w:rsidRPr="00174283">
        <w:rPr>
          <w:lang w:val="fr-FR"/>
        </w:rPr>
        <w:t>les valeurs</w:t>
      </w:r>
      <w:r w:rsidR="00A84E9E" w:rsidRPr="00174283">
        <w:rPr>
          <w:lang w:val="fr-FR"/>
        </w:rPr>
        <w:t xml:space="preserve"> fondamentales de la démocratie, l</w:t>
      </w:r>
      <w:r w:rsidR="00205A62">
        <w:rPr>
          <w:lang w:val="fr-FR"/>
        </w:rPr>
        <w:t>’</w:t>
      </w:r>
      <w:r w:rsidR="00A84E9E" w:rsidRPr="00174283">
        <w:rPr>
          <w:lang w:val="fr-FR"/>
        </w:rPr>
        <w:t>État de droit, la déontologie et la protection des droits de l</w:t>
      </w:r>
      <w:r w:rsidR="00205A62">
        <w:rPr>
          <w:lang w:val="fr-FR"/>
        </w:rPr>
        <w:t>’</w:t>
      </w:r>
      <w:r w:rsidR="00A84E9E" w:rsidRPr="00174283">
        <w:rPr>
          <w:lang w:val="fr-FR"/>
        </w:rPr>
        <w:t>homme et des libertés individuelles, conformément aux objectifs stratégiques du Ministère de l</w:t>
      </w:r>
      <w:r w:rsidR="00205A62">
        <w:rPr>
          <w:lang w:val="fr-FR"/>
        </w:rPr>
        <w:t>’</w:t>
      </w:r>
      <w:r w:rsidR="00A84E9E" w:rsidRPr="00174283">
        <w:rPr>
          <w:lang w:val="fr-FR"/>
        </w:rPr>
        <w:t>intérieur</w:t>
      </w:r>
      <w:r w:rsidR="0023490E" w:rsidRPr="00174283">
        <w:rPr>
          <w:lang w:val="fr-FR"/>
        </w:rPr>
        <w:t xml:space="preserve">. </w:t>
      </w:r>
      <w:r w:rsidR="00EF0229" w:rsidRPr="00174283">
        <w:rPr>
          <w:lang w:val="fr-FR"/>
        </w:rPr>
        <w:t xml:space="preserve">Ces formations </w:t>
      </w:r>
      <w:r w:rsidR="001C19AA" w:rsidRPr="00174283">
        <w:rPr>
          <w:lang w:val="fr-FR"/>
        </w:rPr>
        <w:t>sont organisées en</w:t>
      </w:r>
      <w:r w:rsidR="00A84E9E" w:rsidRPr="00174283">
        <w:rPr>
          <w:lang w:val="fr-FR"/>
        </w:rPr>
        <w:t xml:space="preserve"> coopération </w:t>
      </w:r>
      <w:r w:rsidR="001C19AA" w:rsidRPr="00174283">
        <w:rPr>
          <w:lang w:val="fr-FR"/>
        </w:rPr>
        <w:t>avec l</w:t>
      </w:r>
      <w:r w:rsidR="00205A62">
        <w:rPr>
          <w:lang w:val="fr-FR"/>
        </w:rPr>
        <w:t>’</w:t>
      </w:r>
      <w:r w:rsidR="001C19AA" w:rsidRPr="00174283">
        <w:rPr>
          <w:lang w:val="fr-FR"/>
        </w:rPr>
        <w:t xml:space="preserve">OSCE, </w:t>
      </w:r>
      <w:r w:rsidR="00A84E9E" w:rsidRPr="00174283">
        <w:rPr>
          <w:lang w:val="fr-FR"/>
        </w:rPr>
        <w:t>l</w:t>
      </w:r>
      <w:r w:rsidR="00205A62">
        <w:rPr>
          <w:lang w:val="fr-FR"/>
        </w:rPr>
        <w:t>’</w:t>
      </w:r>
      <w:r w:rsidR="00A84E9E" w:rsidRPr="00174283">
        <w:rPr>
          <w:lang w:val="fr-FR"/>
        </w:rPr>
        <w:t>International Criminal Investigative Training Assistance Program (ICITAP), le Centre de formation du Ministère de l</w:t>
      </w:r>
      <w:r w:rsidR="00205A62">
        <w:rPr>
          <w:lang w:val="fr-FR"/>
        </w:rPr>
        <w:t>’</w:t>
      </w:r>
      <w:r w:rsidR="00A84E9E" w:rsidRPr="00174283">
        <w:rPr>
          <w:lang w:val="fr-FR"/>
        </w:rPr>
        <w:t>intérieur et d</w:t>
      </w:r>
      <w:r w:rsidR="00205A62">
        <w:rPr>
          <w:lang w:val="fr-FR"/>
        </w:rPr>
        <w:t>’</w:t>
      </w:r>
      <w:r w:rsidR="00A84E9E" w:rsidRPr="00174283">
        <w:rPr>
          <w:lang w:val="fr-FR"/>
        </w:rPr>
        <w:t>autres institutions. Une attention particulière est également accordée à la coopération avec le Bureau du Médiateur et les ONG. Les officiers de police directement en contact avec des citoyens dans l</w:t>
      </w:r>
      <w:r w:rsidR="00205A62">
        <w:rPr>
          <w:lang w:val="fr-FR"/>
        </w:rPr>
        <w:t>’</w:t>
      </w:r>
      <w:r w:rsidR="00A84E9E" w:rsidRPr="00174283">
        <w:rPr>
          <w:lang w:val="fr-FR"/>
        </w:rPr>
        <w:t>exercice de leurs fonctions bénéficient pour leur part de r</w:t>
      </w:r>
      <w:r w:rsidR="009071B0" w:rsidRPr="00174283">
        <w:rPr>
          <w:lang w:val="fr-FR"/>
        </w:rPr>
        <w:t>encontre</w:t>
      </w:r>
      <w:r w:rsidR="00A84E9E" w:rsidRPr="00174283">
        <w:rPr>
          <w:lang w:val="fr-FR"/>
        </w:rPr>
        <w:t xml:space="preserve">s et de formations conjointes. </w:t>
      </w:r>
    </w:p>
    <w:p w:rsidR="00DB6205" w:rsidRPr="00174283" w:rsidRDefault="00214531" w:rsidP="00214531">
      <w:pPr>
        <w:pStyle w:val="SingleTxtG"/>
        <w:rPr>
          <w:lang w:val="fr-FR"/>
        </w:rPr>
      </w:pPr>
      <w:r>
        <w:rPr>
          <w:lang w:val="fr-FR"/>
        </w:rPr>
        <w:t>45.</w:t>
      </w:r>
      <w:r>
        <w:rPr>
          <w:lang w:val="fr-FR"/>
        </w:rPr>
        <w:tab/>
      </w:r>
      <w:r w:rsidR="006D23E6" w:rsidRPr="00174283">
        <w:rPr>
          <w:lang w:val="fr-FR"/>
        </w:rPr>
        <w:t>Lorsqu</w:t>
      </w:r>
      <w:r w:rsidR="00205A62">
        <w:rPr>
          <w:lang w:val="fr-FR"/>
        </w:rPr>
        <w:t>’</w:t>
      </w:r>
      <w:r w:rsidR="006D23E6" w:rsidRPr="00174283">
        <w:rPr>
          <w:lang w:val="fr-FR"/>
        </w:rPr>
        <w:t>il a été établi que des agents du Ministère de l</w:t>
      </w:r>
      <w:r w:rsidR="00205A62">
        <w:rPr>
          <w:lang w:val="fr-FR"/>
        </w:rPr>
        <w:t>’</w:t>
      </w:r>
      <w:r w:rsidR="006D23E6" w:rsidRPr="00174283">
        <w:rPr>
          <w:lang w:val="fr-FR"/>
        </w:rPr>
        <w:t>intérieur ont commis des irrégularités</w:t>
      </w:r>
      <w:r w:rsidR="00EF7E08" w:rsidRPr="00174283">
        <w:rPr>
          <w:lang w:val="fr-FR"/>
        </w:rPr>
        <w:t xml:space="preserve"> (comportement illégal ou contraire aux règles déontologiques)</w:t>
      </w:r>
      <w:r w:rsidR="006D23E6" w:rsidRPr="00174283">
        <w:rPr>
          <w:lang w:val="fr-FR"/>
        </w:rPr>
        <w:t xml:space="preserve"> dans</w:t>
      </w:r>
      <w:r w:rsidR="004B7151" w:rsidRPr="00174283">
        <w:rPr>
          <w:lang w:val="fr-FR"/>
        </w:rPr>
        <w:t xml:space="preserve"> </w:t>
      </w:r>
      <w:r w:rsidR="007C79C4" w:rsidRPr="00174283">
        <w:rPr>
          <w:lang w:val="fr-FR"/>
        </w:rPr>
        <w:t>l</w:t>
      </w:r>
      <w:r w:rsidR="00205A62">
        <w:rPr>
          <w:lang w:val="fr-FR"/>
        </w:rPr>
        <w:t>’</w:t>
      </w:r>
      <w:r w:rsidR="007C79C4" w:rsidRPr="00174283">
        <w:rPr>
          <w:lang w:val="fr-FR"/>
        </w:rPr>
        <w:t>exercice de</w:t>
      </w:r>
      <w:r w:rsidR="006D23E6" w:rsidRPr="00174283">
        <w:rPr>
          <w:lang w:val="fr-FR"/>
        </w:rPr>
        <w:t xml:space="preserve"> leur</w:t>
      </w:r>
      <w:r w:rsidR="007C79C4" w:rsidRPr="00174283">
        <w:rPr>
          <w:lang w:val="fr-FR"/>
        </w:rPr>
        <w:t xml:space="preserve">s fonctions, le Département du contrôle interne et des normes professionnelles </w:t>
      </w:r>
      <w:r w:rsidR="006D23E6" w:rsidRPr="00174283">
        <w:rPr>
          <w:lang w:val="fr-FR"/>
        </w:rPr>
        <w:t>ordonne aux</w:t>
      </w:r>
      <w:r w:rsidR="004B7151" w:rsidRPr="00174283">
        <w:rPr>
          <w:lang w:val="fr-FR"/>
        </w:rPr>
        <w:t xml:space="preserve"> </w:t>
      </w:r>
      <w:r w:rsidR="007C79C4" w:rsidRPr="00174283">
        <w:rPr>
          <w:lang w:val="fr-FR"/>
        </w:rPr>
        <w:t>chefs de</w:t>
      </w:r>
      <w:r w:rsidR="004B7151" w:rsidRPr="00174283">
        <w:rPr>
          <w:lang w:val="fr-FR"/>
        </w:rPr>
        <w:t>s</w:t>
      </w:r>
      <w:r w:rsidR="007C79C4" w:rsidRPr="00174283">
        <w:rPr>
          <w:lang w:val="fr-FR"/>
        </w:rPr>
        <w:t xml:space="preserve"> services </w:t>
      </w:r>
      <w:r w:rsidR="004B7151" w:rsidRPr="00174283">
        <w:rPr>
          <w:lang w:val="fr-FR"/>
        </w:rPr>
        <w:t xml:space="preserve">où </w:t>
      </w:r>
      <w:r w:rsidR="006D23E6" w:rsidRPr="00174283">
        <w:rPr>
          <w:lang w:val="fr-FR"/>
        </w:rPr>
        <w:t>opèrent c</w:t>
      </w:r>
      <w:r w:rsidR="007C79C4" w:rsidRPr="00174283">
        <w:rPr>
          <w:lang w:val="fr-FR"/>
        </w:rPr>
        <w:t xml:space="preserve">es agents </w:t>
      </w:r>
      <w:r w:rsidR="006D23E6" w:rsidRPr="00174283">
        <w:rPr>
          <w:lang w:val="fr-FR"/>
        </w:rPr>
        <w:t>de prendre les</w:t>
      </w:r>
      <w:r w:rsidR="007C79C4" w:rsidRPr="00174283">
        <w:rPr>
          <w:lang w:val="fr-FR"/>
        </w:rPr>
        <w:t xml:space="preserve"> </w:t>
      </w:r>
      <w:r w:rsidR="00EF7E08" w:rsidRPr="00174283">
        <w:rPr>
          <w:lang w:val="fr-FR"/>
        </w:rPr>
        <w:t>sanctions</w:t>
      </w:r>
      <w:r w:rsidR="007C79C4" w:rsidRPr="00174283">
        <w:rPr>
          <w:lang w:val="fr-FR"/>
        </w:rPr>
        <w:t xml:space="preserve"> disciplinaires </w:t>
      </w:r>
      <w:r w:rsidR="0052684E" w:rsidRPr="00174283">
        <w:rPr>
          <w:lang w:val="fr-FR"/>
        </w:rPr>
        <w:t>qui s</w:t>
      </w:r>
      <w:r w:rsidR="00205A62">
        <w:rPr>
          <w:lang w:val="fr-FR"/>
        </w:rPr>
        <w:t>’</w:t>
      </w:r>
      <w:r w:rsidR="006D23E6" w:rsidRPr="00174283">
        <w:rPr>
          <w:lang w:val="fr-FR"/>
        </w:rPr>
        <w:t>imposent</w:t>
      </w:r>
      <w:r w:rsidR="007C79C4" w:rsidRPr="00174283">
        <w:rPr>
          <w:lang w:val="fr-FR"/>
        </w:rPr>
        <w:t xml:space="preserve">, </w:t>
      </w:r>
      <w:r w:rsidR="004B7151" w:rsidRPr="00174283">
        <w:rPr>
          <w:lang w:val="fr-FR"/>
        </w:rPr>
        <w:t xml:space="preserve">conformément à la loi sur les affaires internes, </w:t>
      </w:r>
      <w:r w:rsidR="0052684E" w:rsidRPr="00174283">
        <w:rPr>
          <w:lang w:val="fr-FR"/>
        </w:rPr>
        <w:t>aux dispositions de</w:t>
      </w:r>
      <w:r w:rsidR="004B7151" w:rsidRPr="00174283">
        <w:rPr>
          <w:lang w:val="fr-FR"/>
        </w:rPr>
        <w:t xml:space="preserve"> la convention collective du Ministère de l</w:t>
      </w:r>
      <w:r w:rsidR="00205A62">
        <w:rPr>
          <w:lang w:val="fr-FR"/>
        </w:rPr>
        <w:t>’</w:t>
      </w:r>
      <w:r w:rsidR="004B7151" w:rsidRPr="00174283">
        <w:rPr>
          <w:lang w:val="fr-FR"/>
        </w:rPr>
        <w:t>i</w:t>
      </w:r>
      <w:r w:rsidR="0052684E" w:rsidRPr="00174283">
        <w:rPr>
          <w:lang w:val="fr-FR"/>
        </w:rPr>
        <w:t xml:space="preserve">ntérieur et </w:t>
      </w:r>
      <w:r w:rsidR="0023490E" w:rsidRPr="00174283">
        <w:rPr>
          <w:lang w:val="fr-FR"/>
        </w:rPr>
        <w:t xml:space="preserve">à </w:t>
      </w:r>
      <w:r w:rsidR="0052684E" w:rsidRPr="00174283">
        <w:rPr>
          <w:lang w:val="fr-FR"/>
        </w:rPr>
        <w:t>d</w:t>
      </w:r>
      <w:r w:rsidR="00205A62">
        <w:rPr>
          <w:lang w:val="fr-FR"/>
        </w:rPr>
        <w:t>’</w:t>
      </w:r>
      <w:r w:rsidR="0052684E" w:rsidRPr="00174283">
        <w:rPr>
          <w:lang w:val="fr-FR"/>
        </w:rPr>
        <w:t>autres règlements.</w:t>
      </w:r>
    </w:p>
    <w:p w:rsidR="00DB6205" w:rsidRPr="00174283" w:rsidRDefault="005F4C93" w:rsidP="00A053EB">
      <w:pPr>
        <w:pStyle w:val="SingleTxtG"/>
        <w:keepNext/>
        <w:jc w:val="left"/>
        <w:rPr>
          <w:b/>
          <w:lang w:val="fr-FR"/>
        </w:rPr>
      </w:pPr>
      <w:r w:rsidRPr="00174283">
        <w:rPr>
          <w:lang w:val="fr-FR"/>
        </w:rPr>
        <w:t>Table</w:t>
      </w:r>
      <w:r w:rsidR="007C79C4" w:rsidRPr="00174283">
        <w:rPr>
          <w:lang w:val="fr-FR"/>
        </w:rPr>
        <w:t>au</w:t>
      </w:r>
      <w:r w:rsidRPr="00174283">
        <w:rPr>
          <w:lang w:val="fr-FR"/>
        </w:rPr>
        <w:t xml:space="preserve"> 2</w:t>
      </w:r>
      <w:r w:rsidRPr="00174283">
        <w:rPr>
          <w:b/>
          <w:lang w:val="fr-FR"/>
        </w:rPr>
        <w:br/>
      </w:r>
      <w:r w:rsidR="00745B0C" w:rsidRPr="00174283">
        <w:rPr>
          <w:b/>
          <w:lang w:val="fr-FR"/>
        </w:rPr>
        <w:t>Nombre d</w:t>
      </w:r>
      <w:r w:rsidR="00205A62">
        <w:rPr>
          <w:b/>
          <w:lang w:val="fr-FR"/>
        </w:rPr>
        <w:t>’</w:t>
      </w:r>
      <w:r w:rsidR="00745B0C" w:rsidRPr="00174283">
        <w:rPr>
          <w:b/>
          <w:lang w:val="fr-FR"/>
        </w:rPr>
        <w:t>officiers</w:t>
      </w:r>
      <w:r w:rsidR="007C79C4" w:rsidRPr="00174283">
        <w:rPr>
          <w:b/>
          <w:lang w:val="fr-FR"/>
        </w:rPr>
        <w:t xml:space="preserve"> </w:t>
      </w:r>
      <w:r w:rsidR="00683895" w:rsidRPr="00174283">
        <w:rPr>
          <w:b/>
          <w:lang w:val="fr-FR"/>
        </w:rPr>
        <w:t xml:space="preserve">de police </w:t>
      </w:r>
      <w:r w:rsidR="00EF7E08" w:rsidRPr="00174283">
        <w:rPr>
          <w:b/>
          <w:lang w:val="fr-FR"/>
        </w:rPr>
        <w:t>san</w:t>
      </w:r>
      <w:r w:rsidR="008E18E4" w:rsidRPr="00174283">
        <w:rPr>
          <w:b/>
          <w:lang w:val="fr-FR"/>
        </w:rPr>
        <w:t>c</w:t>
      </w:r>
      <w:r w:rsidR="00EF7E08" w:rsidRPr="00174283">
        <w:rPr>
          <w:b/>
          <w:lang w:val="fr-FR"/>
        </w:rPr>
        <w:t>tionnés sur ordre du</w:t>
      </w:r>
      <w:r w:rsidR="007C79C4" w:rsidRPr="00174283">
        <w:rPr>
          <w:b/>
          <w:lang w:val="fr-FR"/>
        </w:rPr>
        <w:t xml:space="preserve"> Département du contrôle interne et des normes professionnelles, </w:t>
      </w:r>
      <w:r w:rsidR="00EF7E08" w:rsidRPr="00174283">
        <w:rPr>
          <w:b/>
          <w:lang w:val="fr-FR"/>
        </w:rPr>
        <w:t>pour tout</w:t>
      </w:r>
      <w:r w:rsidR="007C79C4" w:rsidRPr="00174283">
        <w:rPr>
          <w:b/>
          <w:lang w:val="fr-FR"/>
        </w:rPr>
        <w:t xml:space="preserve"> motif</w:t>
      </w:r>
      <w:r w:rsidR="00EF7E08" w:rsidRPr="00174283">
        <w:rPr>
          <w:b/>
          <w:lang w:val="fr-FR"/>
        </w:rPr>
        <w:t xml:space="preserve"> quel qu</w:t>
      </w:r>
      <w:r w:rsidR="00205A62">
        <w:rPr>
          <w:b/>
          <w:lang w:val="fr-FR"/>
        </w:rPr>
        <w:t>’</w:t>
      </w:r>
      <w:r w:rsidR="00EF7E08" w:rsidRPr="00174283">
        <w:rPr>
          <w:b/>
          <w:lang w:val="fr-FR"/>
        </w:rPr>
        <w:t>il soit</w:t>
      </w:r>
      <w:r w:rsidR="007C79C4" w:rsidRPr="00174283">
        <w:rPr>
          <w:b/>
          <w:lang w:val="fr-FR"/>
        </w:rPr>
        <w:t xml:space="preserve">, par </w:t>
      </w:r>
      <w:r w:rsidR="00EF7E08" w:rsidRPr="00174283">
        <w:rPr>
          <w:b/>
          <w:lang w:val="fr-FR"/>
        </w:rPr>
        <w:t>catégorie</w:t>
      </w:r>
      <w:r w:rsidR="007C79C4" w:rsidRPr="00174283">
        <w:rPr>
          <w:b/>
          <w:lang w:val="fr-FR"/>
        </w:rPr>
        <w:t xml:space="preserve"> </w:t>
      </w:r>
      <w:r w:rsidR="00AA1647">
        <w:rPr>
          <w:b/>
          <w:lang w:val="fr-FR"/>
        </w:rPr>
        <w:br/>
      </w:r>
      <w:r w:rsidR="00EF7E08" w:rsidRPr="00174283">
        <w:rPr>
          <w:b/>
          <w:lang w:val="fr-FR"/>
        </w:rPr>
        <w:t xml:space="preserve">de sanction </w:t>
      </w:r>
      <w:r w:rsidR="007C79C4" w:rsidRPr="00174283">
        <w:rPr>
          <w:b/>
          <w:lang w:val="fr-FR"/>
        </w:rPr>
        <w:t xml:space="preserve">et par année </w:t>
      </w:r>
    </w:p>
    <w:tbl>
      <w:tblPr>
        <w:tblW w:w="7371" w:type="dxa"/>
        <w:tblInd w:w="1134" w:type="dxa"/>
        <w:tblBorders>
          <w:top w:val="single" w:sz="4" w:space="0" w:color="auto"/>
        </w:tblBorders>
        <w:tblLayout w:type="fixed"/>
        <w:tblCellMar>
          <w:left w:w="0" w:type="dxa"/>
          <w:right w:w="0" w:type="dxa"/>
        </w:tblCellMar>
        <w:tblLook w:val="0000"/>
      </w:tblPr>
      <w:tblGrid>
        <w:gridCol w:w="569"/>
        <w:gridCol w:w="921"/>
        <w:gridCol w:w="918"/>
        <w:gridCol w:w="989"/>
        <w:gridCol w:w="951"/>
        <w:gridCol w:w="1077"/>
        <w:gridCol w:w="957"/>
        <w:gridCol w:w="989"/>
      </w:tblGrid>
      <w:tr w:rsidR="00DB6205" w:rsidRPr="00174283" w:rsidTr="00B54D69">
        <w:trPr>
          <w:tblHeader/>
        </w:trPr>
        <w:tc>
          <w:tcPr>
            <w:tcW w:w="568" w:type="dxa"/>
            <w:tcBorders>
              <w:top w:val="single" w:sz="4" w:space="0" w:color="auto"/>
              <w:bottom w:val="single" w:sz="12" w:space="0" w:color="auto"/>
            </w:tcBorders>
            <w:shd w:val="clear" w:color="auto" w:fill="auto"/>
            <w:vAlign w:val="bottom"/>
          </w:tcPr>
          <w:p w:rsidR="00DB6205" w:rsidRPr="00174283" w:rsidRDefault="00DB6205" w:rsidP="00B54D69">
            <w:pPr>
              <w:suppressAutoHyphens w:val="0"/>
              <w:snapToGrid w:val="0"/>
              <w:spacing w:before="80" w:after="80" w:line="200" w:lineRule="exact"/>
              <w:jc w:val="right"/>
              <w:rPr>
                <w:i/>
                <w:sz w:val="16"/>
                <w:lang w:val="fr-FR"/>
              </w:rPr>
            </w:pPr>
          </w:p>
        </w:tc>
        <w:tc>
          <w:tcPr>
            <w:tcW w:w="921" w:type="dxa"/>
            <w:tcBorders>
              <w:top w:val="single" w:sz="4" w:space="0" w:color="auto"/>
              <w:bottom w:val="single" w:sz="12" w:space="0" w:color="auto"/>
            </w:tcBorders>
            <w:shd w:val="clear" w:color="auto" w:fill="auto"/>
            <w:vAlign w:val="bottom"/>
          </w:tcPr>
          <w:p w:rsidR="00DB6205" w:rsidRPr="00B92E63" w:rsidRDefault="00111127" w:rsidP="00B92E63">
            <w:pPr>
              <w:suppressAutoHyphens w:val="0"/>
              <w:snapToGrid w:val="0"/>
              <w:spacing w:before="80" w:after="80" w:line="200" w:lineRule="exact"/>
              <w:ind w:left="57"/>
              <w:jc w:val="right"/>
              <w:rPr>
                <w:b/>
                <w:bCs/>
                <w:i/>
                <w:sz w:val="16"/>
                <w:lang w:val="fr-FR"/>
              </w:rPr>
            </w:pPr>
            <w:r w:rsidRPr="00B92E63">
              <w:rPr>
                <w:b/>
                <w:bCs/>
                <w:i/>
                <w:sz w:val="16"/>
                <w:lang w:val="fr-FR"/>
              </w:rPr>
              <w:t>Nombre total d</w:t>
            </w:r>
            <w:r w:rsidR="00205A62">
              <w:rPr>
                <w:b/>
                <w:bCs/>
                <w:i/>
                <w:sz w:val="16"/>
                <w:lang w:val="fr-FR"/>
              </w:rPr>
              <w:t>’</w:t>
            </w:r>
            <w:r w:rsidRPr="00B92E63">
              <w:rPr>
                <w:b/>
                <w:bCs/>
                <w:i/>
                <w:sz w:val="16"/>
                <w:lang w:val="fr-FR"/>
              </w:rPr>
              <w:t>affaires traitées</w:t>
            </w:r>
          </w:p>
        </w:tc>
        <w:tc>
          <w:tcPr>
            <w:tcW w:w="918" w:type="dxa"/>
            <w:tcBorders>
              <w:top w:val="single" w:sz="4" w:space="0" w:color="auto"/>
              <w:bottom w:val="single" w:sz="12" w:space="0" w:color="auto"/>
            </w:tcBorders>
            <w:shd w:val="clear" w:color="auto" w:fill="auto"/>
            <w:vAlign w:val="bottom"/>
          </w:tcPr>
          <w:p w:rsidR="00DB6205" w:rsidRPr="00174283" w:rsidRDefault="00EF7E08" w:rsidP="00B92E63">
            <w:pPr>
              <w:pStyle w:val="FootnoteText"/>
              <w:tabs>
                <w:tab w:val="clear" w:pos="1021"/>
              </w:tabs>
              <w:suppressAutoHyphens w:val="0"/>
              <w:snapToGrid w:val="0"/>
              <w:spacing w:before="80" w:after="80" w:line="200" w:lineRule="exact"/>
              <w:ind w:left="57" w:right="0" w:firstLine="0"/>
              <w:jc w:val="right"/>
              <w:rPr>
                <w:i/>
                <w:sz w:val="16"/>
                <w:lang w:val="fr-FR"/>
              </w:rPr>
            </w:pPr>
            <w:r w:rsidRPr="00174283">
              <w:rPr>
                <w:i/>
                <w:sz w:val="16"/>
                <w:lang w:val="fr-FR"/>
              </w:rPr>
              <w:t>Accus</w:t>
            </w:r>
            <w:r w:rsidR="007F4953" w:rsidRPr="00174283">
              <w:rPr>
                <w:i/>
                <w:sz w:val="16"/>
                <w:lang w:val="fr-FR"/>
              </w:rPr>
              <w:t xml:space="preserve">ations pour </w:t>
            </w:r>
            <w:r w:rsidR="00111127" w:rsidRPr="00174283">
              <w:rPr>
                <w:i/>
                <w:sz w:val="16"/>
                <w:lang w:val="fr-FR"/>
              </w:rPr>
              <w:t>infractions pénales</w:t>
            </w:r>
          </w:p>
        </w:tc>
        <w:tc>
          <w:tcPr>
            <w:tcW w:w="989" w:type="dxa"/>
            <w:tcBorders>
              <w:top w:val="single" w:sz="4" w:space="0" w:color="auto"/>
              <w:bottom w:val="single" w:sz="12" w:space="0" w:color="auto"/>
            </w:tcBorders>
            <w:shd w:val="clear" w:color="auto" w:fill="auto"/>
            <w:vAlign w:val="bottom"/>
          </w:tcPr>
          <w:p w:rsidR="00DB6205" w:rsidRPr="00174283" w:rsidRDefault="007F4953" w:rsidP="00B92E63">
            <w:pPr>
              <w:suppressAutoHyphens w:val="0"/>
              <w:spacing w:before="80" w:after="80" w:line="200" w:lineRule="exact"/>
              <w:ind w:left="57"/>
              <w:jc w:val="right"/>
              <w:rPr>
                <w:i/>
                <w:sz w:val="16"/>
                <w:lang w:val="fr-FR"/>
              </w:rPr>
            </w:pPr>
            <w:r w:rsidRPr="00174283">
              <w:rPr>
                <w:i/>
                <w:sz w:val="16"/>
                <w:lang w:val="fr-FR"/>
              </w:rPr>
              <w:t>S</w:t>
            </w:r>
            <w:r w:rsidR="00EF7E08" w:rsidRPr="00174283">
              <w:rPr>
                <w:i/>
                <w:sz w:val="16"/>
                <w:lang w:val="fr-FR"/>
              </w:rPr>
              <w:t>anction</w:t>
            </w:r>
            <w:r w:rsidR="00111127" w:rsidRPr="00174283">
              <w:rPr>
                <w:i/>
                <w:sz w:val="16"/>
                <w:lang w:val="fr-FR"/>
              </w:rPr>
              <w:t>s disciplinaires</w:t>
            </w:r>
            <w:r w:rsidR="00DB6205" w:rsidRPr="00174283">
              <w:rPr>
                <w:i/>
                <w:sz w:val="16"/>
                <w:lang w:val="fr-FR"/>
              </w:rPr>
              <w:t xml:space="preserve"> </w:t>
            </w:r>
          </w:p>
        </w:tc>
        <w:tc>
          <w:tcPr>
            <w:tcW w:w="951" w:type="dxa"/>
            <w:tcBorders>
              <w:top w:val="single" w:sz="4" w:space="0" w:color="auto"/>
              <w:bottom w:val="single" w:sz="12" w:space="0" w:color="auto"/>
            </w:tcBorders>
            <w:shd w:val="clear" w:color="auto" w:fill="auto"/>
            <w:vAlign w:val="bottom"/>
          </w:tcPr>
          <w:p w:rsidR="00DB6205" w:rsidRPr="00174283" w:rsidRDefault="00111127" w:rsidP="00B92E63">
            <w:pPr>
              <w:suppressAutoHyphens w:val="0"/>
              <w:spacing w:before="80" w:after="80" w:line="200" w:lineRule="exact"/>
              <w:ind w:left="57"/>
              <w:jc w:val="right"/>
              <w:rPr>
                <w:i/>
                <w:sz w:val="16"/>
                <w:lang w:val="fr-FR"/>
              </w:rPr>
            </w:pPr>
            <w:r w:rsidRPr="00174283">
              <w:rPr>
                <w:i/>
                <w:sz w:val="16"/>
                <w:lang w:val="fr-FR"/>
              </w:rPr>
              <w:t>Réprimande et mise en garde</w:t>
            </w:r>
          </w:p>
        </w:tc>
        <w:tc>
          <w:tcPr>
            <w:tcW w:w="1077" w:type="dxa"/>
            <w:tcBorders>
              <w:top w:val="single" w:sz="4" w:space="0" w:color="auto"/>
              <w:bottom w:val="single" w:sz="12" w:space="0" w:color="auto"/>
            </w:tcBorders>
            <w:shd w:val="clear" w:color="auto" w:fill="auto"/>
            <w:vAlign w:val="bottom"/>
          </w:tcPr>
          <w:p w:rsidR="00DB6205" w:rsidRPr="00174283" w:rsidRDefault="00F242A5" w:rsidP="00B92E63">
            <w:pPr>
              <w:suppressAutoHyphens w:val="0"/>
              <w:snapToGrid w:val="0"/>
              <w:spacing w:before="80" w:after="80" w:line="200" w:lineRule="exact"/>
              <w:ind w:left="57"/>
              <w:jc w:val="right"/>
              <w:rPr>
                <w:i/>
                <w:sz w:val="16"/>
                <w:lang w:val="fr-FR"/>
              </w:rPr>
            </w:pPr>
            <w:r w:rsidRPr="00174283">
              <w:rPr>
                <w:i/>
                <w:sz w:val="16"/>
                <w:lang w:val="fr-FR"/>
              </w:rPr>
              <w:t>Procédure</w:t>
            </w:r>
            <w:r w:rsidR="00B54D69" w:rsidRPr="00174283">
              <w:rPr>
                <w:i/>
                <w:sz w:val="16"/>
                <w:lang w:val="fr-FR"/>
              </w:rPr>
              <w:t xml:space="preserve"> </w:t>
            </w:r>
            <w:r w:rsidR="00111127" w:rsidRPr="00174283">
              <w:rPr>
                <w:i/>
                <w:sz w:val="16"/>
                <w:lang w:val="fr-FR"/>
              </w:rPr>
              <w:t>en dommages et intérêts</w:t>
            </w:r>
            <w:r w:rsidR="00DB6205" w:rsidRPr="00174283">
              <w:rPr>
                <w:i/>
                <w:sz w:val="16"/>
                <w:lang w:val="fr-FR"/>
              </w:rPr>
              <w:t xml:space="preserve"> </w:t>
            </w:r>
          </w:p>
        </w:tc>
        <w:tc>
          <w:tcPr>
            <w:tcW w:w="957" w:type="dxa"/>
            <w:tcBorders>
              <w:top w:val="single" w:sz="4" w:space="0" w:color="auto"/>
              <w:bottom w:val="single" w:sz="12" w:space="0" w:color="auto"/>
            </w:tcBorders>
            <w:shd w:val="clear" w:color="auto" w:fill="auto"/>
            <w:vAlign w:val="bottom"/>
          </w:tcPr>
          <w:p w:rsidR="00DB6205" w:rsidRPr="00174283" w:rsidRDefault="00DB6205" w:rsidP="00B92E63">
            <w:pPr>
              <w:suppressAutoHyphens w:val="0"/>
              <w:spacing w:before="80" w:after="80" w:line="200" w:lineRule="exact"/>
              <w:ind w:left="57"/>
              <w:jc w:val="right"/>
              <w:rPr>
                <w:i/>
                <w:sz w:val="16"/>
                <w:lang w:val="fr-FR"/>
              </w:rPr>
            </w:pPr>
            <w:r w:rsidRPr="00174283">
              <w:rPr>
                <w:i/>
                <w:sz w:val="16"/>
                <w:lang w:val="fr-FR"/>
              </w:rPr>
              <w:t>Suspension</w:t>
            </w:r>
          </w:p>
        </w:tc>
        <w:tc>
          <w:tcPr>
            <w:tcW w:w="989" w:type="dxa"/>
            <w:tcBorders>
              <w:top w:val="single" w:sz="4" w:space="0" w:color="auto"/>
              <w:bottom w:val="single" w:sz="12" w:space="0" w:color="auto"/>
            </w:tcBorders>
            <w:shd w:val="clear" w:color="auto" w:fill="auto"/>
            <w:vAlign w:val="bottom"/>
          </w:tcPr>
          <w:p w:rsidR="00DB6205" w:rsidRPr="00174283" w:rsidRDefault="00111127" w:rsidP="00B92E63">
            <w:pPr>
              <w:suppressAutoHyphens w:val="0"/>
              <w:snapToGrid w:val="0"/>
              <w:spacing w:before="80" w:after="80" w:line="200" w:lineRule="exact"/>
              <w:ind w:left="57"/>
              <w:jc w:val="right"/>
              <w:rPr>
                <w:i/>
                <w:sz w:val="16"/>
                <w:lang w:val="fr-FR"/>
              </w:rPr>
            </w:pPr>
            <w:r w:rsidRPr="00174283">
              <w:rPr>
                <w:i/>
                <w:sz w:val="16"/>
                <w:lang w:val="fr-FR"/>
              </w:rPr>
              <w:t xml:space="preserve">Renvoi sans </w:t>
            </w:r>
            <w:r w:rsidR="00C46936" w:rsidRPr="00174283">
              <w:rPr>
                <w:i/>
                <w:sz w:val="16"/>
                <w:lang w:val="fr-FR"/>
              </w:rPr>
              <w:t>sanction</w:t>
            </w:r>
            <w:r w:rsidRPr="00174283">
              <w:rPr>
                <w:i/>
                <w:sz w:val="16"/>
                <w:lang w:val="fr-FR"/>
              </w:rPr>
              <w:t xml:space="preserve"> disciplinaire antérieure</w:t>
            </w:r>
            <w:r w:rsidR="00DB6205" w:rsidRPr="00174283">
              <w:rPr>
                <w:i/>
                <w:sz w:val="16"/>
                <w:lang w:val="fr-FR"/>
              </w:rPr>
              <w:t xml:space="preserve"> </w:t>
            </w:r>
          </w:p>
        </w:tc>
      </w:tr>
      <w:tr w:rsidR="00DB6205" w:rsidRPr="00174283" w:rsidTr="000E5A6F">
        <w:tc>
          <w:tcPr>
            <w:tcW w:w="568" w:type="dxa"/>
            <w:tcBorders>
              <w:top w:val="single" w:sz="12" w:space="0" w:color="auto"/>
            </w:tcBorders>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 xml:space="preserve">2007 </w:t>
            </w:r>
          </w:p>
        </w:tc>
        <w:tc>
          <w:tcPr>
            <w:tcW w:w="921" w:type="dxa"/>
            <w:tcBorders>
              <w:top w:val="single" w:sz="12" w:space="0" w:color="auto"/>
            </w:tcBorders>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974</w:t>
            </w:r>
          </w:p>
        </w:tc>
        <w:tc>
          <w:tcPr>
            <w:tcW w:w="918"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106</w:t>
            </w:r>
          </w:p>
        </w:tc>
        <w:tc>
          <w:tcPr>
            <w:tcW w:w="989"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179</w:t>
            </w:r>
          </w:p>
        </w:tc>
        <w:tc>
          <w:tcPr>
            <w:tcW w:w="951"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149</w:t>
            </w:r>
          </w:p>
        </w:tc>
        <w:tc>
          <w:tcPr>
            <w:tcW w:w="1077"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 xml:space="preserve">3 </w:t>
            </w:r>
          </w:p>
        </w:tc>
        <w:tc>
          <w:tcPr>
            <w:tcW w:w="957"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84</w:t>
            </w:r>
          </w:p>
        </w:tc>
        <w:tc>
          <w:tcPr>
            <w:tcW w:w="989"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p>
        </w:tc>
      </w:tr>
      <w:tr w:rsidR="00DB6205" w:rsidRPr="00174283" w:rsidTr="000E5A6F">
        <w:tc>
          <w:tcPr>
            <w:tcW w:w="568" w:type="dxa"/>
            <w:shd w:val="clear" w:color="auto" w:fill="auto"/>
            <w:vAlign w:val="bottom"/>
          </w:tcPr>
          <w:p w:rsidR="00DB6205" w:rsidRPr="00174283" w:rsidRDefault="00DB6205" w:rsidP="000E5A6F">
            <w:pPr>
              <w:pStyle w:val="FootnoteText"/>
              <w:tabs>
                <w:tab w:val="clear" w:pos="1021"/>
              </w:tabs>
              <w:suppressAutoHyphens w:val="0"/>
              <w:snapToGrid w:val="0"/>
              <w:spacing w:before="40" w:after="40"/>
              <w:ind w:left="0" w:right="0" w:firstLine="0"/>
              <w:rPr>
                <w:lang w:val="fr-FR"/>
              </w:rPr>
            </w:pPr>
            <w:r w:rsidRPr="00174283">
              <w:rPr>
                <w:lang w:val="fr-FR"/>
              </w:rPr>
              <w:t xml:space="preserve">2008 </w:t>
            </w:r>
          </w:p>
        </w:tc>
        <w:tc>
          <w:tcPr>
            <w:tcW w:w="921"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1</w:t>
            </w:r>
            <w:r w:rsidR="00111127" w:rsidRPr="00B92E63">
              <w:rPr>
                <w:b/>
                <w:bCs/>
                <w:sz w:val="18"/>
                <w:lang w:val="fr-FR"/>
              </w:rPr>
              <w:t> </w:t>
            </w:r>
            <w:r w:rsidRPr="00B92E63">
              <w:rPr>
                <w:b/>
                <w:bCs/>
                <w:sz w:val="18"/>
                <w:lang w:val="fr-FR"/>
              </w:rPr>
              <w:t>148</w:t>
            </w:r>
          </w:p>
        </w:tc>
        <w:tc>
          <w:tcPr>
            <w:tcW w:w="91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 xml:space="preserve">75 </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173</w:t>
            </w:r>
          </w:p>
        </w:tc>
        <w:tc>
          <w:tcPr>
            <w:tcW w:w="95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 xml:space="preserve">122 </w:t>
            </w:r>
          </w:p>
        </w:tc>
        <w:tc>
          <w:tcPr>
            <w:tcW w:w="107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 xml:space="preserve">32 </w:t>
            </w:r>
          </w:p>
        </w:tc>
        <w:tc>
          <w:tcPr>
            <w:tcW w:w="95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 xml:space="preserve">39 </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p>
        </w:tc>
      </w:tr>
      <w:tr w:rsidR="00DB6205" w:rsidRPr="00174283" w:rsidTr="000E5A6F">
        <w:tc>
          <w:tcPr>
            <w:tcW w:w="568" w:type="dxa"/>
            <w:shd w:val="clear" w:color="auto" w:fill="auto"/>
            <w:vAlign w:val="bottom"/>
          </w:tcPr>
          <w:p w:rsidR="00DB6205" w:rsidRPr="00174283" w:rsidRDefault="00DB6205" w:rsidP="000E5A6F">
            <w:pPr>
              <w:pStyle w:val="FootnoteText"/>
              <w:tabs>
                <w:tab w:val="clear" w:pos="1021"/>
              </w:tabs>
              <w:suppressAutoHyphens w:val="0"/>
              <w:snapToGrid w:val="0"/>
              <w:spacing w:before="40" w:after="40"/>
              <w:ind w:left="0" w:right="0" w:firstLine="0"/>
              <w:rPr>
                <w:lang w:val="fr-FR"/>
              </w:rPr>
            </w:pPr>
            <w:r w:rsidRPr="00174283">
              <w:rPr>
                <w:lang w:val="fr-FR"/>
              </w:rPr>
              <w:t xml:space="preserve">2009 </w:t>
            </w:r>
          </w:p>
        </w:tc>
        <w:tc>
          <w:tcPr>
            <w:tcW w:w="921"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1</w:t>
            </w:r>
            <w:r w:rsidR="00111127" w:rsidRPr="00B92E63">
              <w:rPr>
                <w:b/>
                <w:bCs/>
                <w:sz w:val="18"/>
                <w:lang w:val="fr-FR"/>
              </w:rPr>
              <w:t> </w:t>
            </w:r>
            <w:r w:rsidRPr="00B92E63">
              <w:rPr>
                <w:b/>
                <w:bCs/>
                <w:sz w:val="18"/>
                <w:lang w:val="fr-FR"/>
              </w:rPr>
              <w:t>355</w:t>
            </w:r>
          </w:p>
        </w:tc>
        <w:tc>
          <w:tcPr>
            <w:tcW w:w="91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50</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201</w:t>
            </w:r>
          </w:p>
        </w:tc>
        <w:tc>
          <w:tcPr>
            <w:tcW w:w="95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193</w:t>
            </w:r>
          </w:p>
        </w:tc>
        <w:tc>
          <w:tcPr>
            <w:tcW w:w="107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84</w:t>
            </w:r>
          </w:p>
        </w:tc>
        <w:tc>
          <w:tcPr>
            <w:tcW w:w="95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28</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66</w:t>
            </w:r>
          </w:p>
        </w:tc>
      </w:tr>
      <w:tr w:rsidR="00DB6205" w:rsidRPr="00174283" w:rsidTr="000E5A6F">
        <w:tc>
          <w:tcPr>
            <w:tcW w:w="568" w:type="dxa"/>
            <w:shd w:val="clear" w:color="auto" w:fill="auto"/>
            <w:vAlign w:val="bottom"/>
          </w:tcPr>
          <w:p w:rsidR="00DB6205" w:rsidRPr="00174283" w:rsidRDefault="00DB6205" w:rsidP="000E5A6F">
            <w:pPr>
              <w:pStyle w:val="FootnoteText"/>
              <w:tabs>
                <w:tab w:val="clear" w:pos="1021"/>
              </w:tabs>
              <w:suppressAutoHyphens w:val="0"/>
              <w:snapToGrid w:val="0"/>
              <w:spacing w:before="40" w:after="40"/>
              <w:ind w:left="0" w:right="0" w:firstLine="0"/>
              <w:rPr>
                <w:lang w:val="fr-FR"/>
              </w:rPr>
            </w:pPr>
            <w:r w:rsidRPr="00174283">
              <w:rPr>
                <w:lang w:val="fr-FR"/>
              </w:rPr>
              <w:t xml:space="preserve">2010 </w:t>
            </w:r>
          </w:p>
        </w:tc>
        <w:tc>
          <w:tcPr>
            <w:tcW w:w="921"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1</w:t>
            </w:r>
            <w:r w:rsidR="00111127" w:rsidRPr="00B92E63">
              <w:rPr>
                <w:b/>
                <w:bCs/>
                <w:sz w:val="18"/>
                <w:lang w:val="fr-FR"/>
              </w:rPr>
              <w:t> </w:t>
            </w:r>
            <w:r w:rsidRPr="00B92E63">
              <w:rPr>
                <w:b/>
                <w:bCs/>
                <w:sz w:val="18"/>
                <w:lang w:val="fr-FR"/>
              </w:rPr>
              <w:t>261</w:t>
            </w:r>
          </w:p>
        </w:tc>
        <w:tc>
          <w:tcPr>
            <w:tcW w:w="91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29</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219</w:t>
            </w:r>
          </w:p>
        </w:tc>
        <w:tc>
          <w:tcPr>
            <w:tcW w:w="95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161</w:t>
            </w:r>
          </w:p>
        </w:tc>
        <w:tc>
          <w:tcPr>
            <w:tcW w:w="107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85</w:t>
            </w:r>
          </w:p>
        </w:tc>
        <w:tc>
          <w:tcPr>
            <w:tcW w:w="95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9</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14</w:t>
            </w:r>
          </w:p>
        </w:tc>
      </w:tr>
      <w:tr w:rsidR="00DB6205" w:rsidRPr="00174283" w:rsidTr="000E5A6F">
        <w:tc>
          <w:tcPr>
            <w:tcW w:w="568" w:type="dxa"/>
            <w:shd w:val="clear" w:color="auto" w:fill="auto"/>
            <w:vAlign w:val="bottom"/>
          </w:tcPr>
          <w:p w:rsidR="00DB6205" w:rsidRPr="00174283" w:rsidRDefault="00DB6205" w:rsidP="000E5A6F">
            <w:pPr>
              <w:pStyle w:val="FootnoteText"/>
              <w:tabs>
                <w:tab w:val="clear" w:pos="1021"/>
              </w:tabs>
              <w:suppressAutoHyphens w:val="0"/>
              <w:snapToGrid w:val="0"/>
              <w:spacing w:before="40" w:after="40"/>
              <w:ind w:left="0" w:right="0" w:firstLine="0"/>
              <w:rPr>
                <w:lang w:val="fr-FR"/>
              </w:rPr>
            </w:pPr>
            <w:r w:rsidRPr="00174283">
              <w:rPr>
                <w:lang w:val="fr-FR"/>
              </w:rPr>
              <w:t xml:space="preserve">2011 </w:t>
            </w:r>
          </w:p>
        </w:tc>
        <w:tc>
          <w:tcPr>
            <w:tcW w:w="921"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1</w:t>
            </w:r>
            <w:r w:rsidR="00111127" w:rsidRPr="00B92E63">
              <w:rPr>
                <w:b/>
                <w:bCs/>
                <w:sz w:val="18"/>
                <w:lang w:val="fr-FR"/>
              </w:rPr>
              <w:t> </w:t>
            </w:r>
            <w:r w:rsidRPr="00B92E63">
              <w:rPr>
                <w:b/>
                <w:bCs/>
                <w:sz w:val="18"/>
                <w:lang w:val="fr-FR"/>
              </w:rPr>
              <w:t xml:space="preserve">250 </w:t>
            </w:r>
          </w:p>
        </w:tc>
        <w:tc>
          <w:tcPr>
            <w:tcW w:w="91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30</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228</w:t>
            </w:r>
          </w:p>
        </w:tc>
        <w:tc>
          <w:tcPr>
            <w:tcW w:w="95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230</w:t>
            </w:r>
          </w:p>
        </w:tc>
        <w:tc>
          <w:tcPr>
            <w:tcW w:w="107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62</w:t>
            </w:r>
          </w:p>
        </w:tc>
        <w:tc>
          <w:tcPr>
            <w:tcW w:w="957"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9</w:t>
            </w:r>
          </w:p>
        </w:tc>
        <w:tc>
          <w:tcPr>
            <w:tcW w:w="98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29</w:t>
            </w:r>
          </w:p>
        </w:tc>
      </w:tr>
      <w:tr w:rsidR="00DB6205" w:rsidRPr="00174283" w:rsidTr="000E5A6F">
        <w:tc>
          <w:tcPr>
            <w:tcW w:w="568" w:type="dxa"/>
            <w:tcBorders>
              <w:bottom w:val="single" w:sz="12" w:space="0" w:color="auto"/>
            </w:tcBorders>
            <w:shd w:val="clear" w:color="auto" w:fill="auto"/>
            <w:vAlign w:val="bottom"/>
          </w:tcPr>
          <w:p w:rsidR="00DB6205" w:rsidRPr="00174283" w:rsidRDefault="00DB6205" w:rsidP="000E5A6F">
            <w:pPr>
              <w:pStyle w:val="FootnoteText"/>
              <w:tabs>
                <w:tab w:val="clear" w:pos="1021"/>
              </w:tabs>
              <w:suppressAutoHyphens w:val="0"/>
              <w:snapToGrid w:val="0"/>
              <w:spacing w:before="40" w:after="40"/>
              <w:ind w:left="0" w:right="0" w:firstLine="0"/>
              <w:rPr>
                <w:lang w:val="fr-FR"/>
              </w:rPr>
            </w:pPr>
            <w:r w:rsidRPr="00174283">
              <w:rPr>
                <w:lang w:val="fr-FR"/>
              </w:rPr>
              <w:t>2012</w:t>
            </w:r>
          </w:p>
        </w:tc>
        <w:tc>
          <w:tcPr>
            <w:tcW w:w="921" w:type="dxa"/>
            <w:tcBorders>
              <w:bottom w:val="single" w:sz="12" w:space="0" w:color="auto"/>
            </w:tcBorders>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1</w:t>
            </w:r>
            <w:r w:rsidR="00111127" w:rsidRPr="00B92E63">
              <w:rPr>
                <w:b/>
                <w:bCs/>
                <w:sz w:val="18"/>
                <w:lang w:val="fr-FR"/>
              </w:rPr>
              <w:t> </w:t>
            </w:r>
            <w:r w:rsidRPr="00B92E63">
              <w:rPr>
                <w:b/>
                <w:bCs/>
                <w:sz w:val="18"/>
                <w:lang w:val="fr-FR"/>
              </w:rPr>
              <w:t>644</w:t>
            </w:r>
          </w:p>
        </w:tc>
        <w:tc>
          <w:tcPr>
            <w:tcW w:w="918"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23</w:t>
            </w:r>
          </w:p>
        </w:tc>
        <w:tc>
          <w:tcPr>
            <w:tcW w:w="989"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347</w:t>
            </w:r>
          </w:p>
        </w:tc>
        <w:tc>
          <w:tcPr>
            <w:tcW w:w="951"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244</w:t>
            </w:r>
          </w:p>
        </w:tc>
        <w:tc>
          <w:tcPr>
            <w:tcW w:w="1077"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74</w:t>
            </w:r>
          </w:p>
        </w:tc>
        <w:tc>
          <w:tcPr>
            <w:tcW w:w="957"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11</w:t>
            </w:r>
          </w:p>
        </w:tc>
        <w:tc>
          <w:tcPr>
            <w:tcW w:w="989"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6</w:t>
            </w:r>
          </w:p>
        </w:tc>
      </w:tr>
    </w:tbl>
    <w:p w:rsidR="00DB6205" w:rsidRPr="00174283" w:rsidRDefault="005F4C93" w:rsidP="00A053EB">
      <w:pPr>
        <w:pStyle w:val="SingleTxtG"/>
        <w:keepNext/>
        <w:spacing w:before="240"/>
        <w:jc w:val="left"/>
        <w:rPr>
          <w:b/>
          <w:lang w:val="fr-FR"/>
        </w:rPr>
      </w:pPr>
      <w:r w:rsidRPr="00174283">
        <w:rPr>
          <w:lang w:val="fr-FR"/>
        </w:rPr>
        <w:t>Table</w:t>
      </w:r>
      <w:r w:rsidR="00582C17" w:rsidRPr="00174283">
        <w:rPr>
          <w:lang w:val="fr-FR"/>
        </w:rPr>
        <w:t>au</w:t>
      </w:r>
      <w:r w:rsidRPr="00174283">
        <w:rPr>
          <w:lang w:val="fr-FR"/>
        </w:rPr>
        <w:t xml:space="preserve"> 3</w:t>
      </w:r>
      <w:r w:rsidRPr="00174283">
        <w:rPr>
          <w:b/>
          <w:lang w:val="fr-FR"/>
        </w:rPr>
        <w:br/>
      </w:r>
      <w:r w:rsidR="00582C17" w:rsidRPr="00174283">
        <w:rPr>
          <w:b/>
          <w:lang w:val="fr-FR"/>
        </w:rPr>
        <w:t xml:space="preserve">Plaintes portées contre des </w:t>
      </w:r>
      <w:r w:rsidR="00C46936" w:rsidRPr="00174283">
        <w:rPr>
          <w:b/>
          <w:lang w:val="fr-FR"/>
        </w:rPr>
        <w:t>officier</w:t>
      </w:r>
      <w:r w:rsidR="00582C17" w:rsidRPr="00174283">
        <w:rPr>
          <w:b/>
          <w:lang w:val="fr-FR"/>
        </w:rPr>
        <w:t>s de police pour recours excessif à la force physique</w:t>
      </w:r>
    </w:p>
    <w:tbl>
      <w:tblPr>
        <w:tblW w:w="7371" w:type="dxa"/>
        <w:tblInd w:w="1134" w:type="dxa"/>
        <w:tblBorders>
          <w:top w:val="single" w:sz="4" w:space="0" w:color="auto"/>
        </w:tblBorders>
        <w:tblLayout w:type="fixed"/>
        <w:tblCellMar>
          <w:left w:w="0" w:type="dxa"/>
          <w:right w:w="0" w:type="dxa"/>
        </w:tblCellMar>
        <w:tblLook w:val="0000"/>
      </w:tblPr>
      <w:tblGrid>
        <w:gridCol w:w="1036"/>
        <w:gridCol w:w="1267"/>
        <w:gridCol w:w="1141"/>
        <w:gridCol w:w="1329"/>
        <w:gridCol w:w="1470"/>
        <w:gridCol w:w="1128"/>
      </w:tblGrid>
      <w:tr w:rsidR="00DB6205" w:rsidRPr="00174283" w:rsidTr="00B92E63">
        <w:trPr>
          <w:tblHeader/>
        </w:trPr>
        <w:tc>
          <w:tcPr>
            <w:tcW w:w="1036" w:type="dxa"/>
            <w:tcBorders>
              <w:top w:val="single" w:sz="4" w:space="0" w:color="auto"/>
              <w:bottom w:val="single" w:sz="12" w:space="0" w:color="auto"/>
            </w:tcBorders>
            <w:shd w:val="clear" w:color="auto" w:fill="auto"/>
            <w:vAlign w:val="bottom"/>
          </w:tcPr>
          <w:p w:rsidR="00DB6205" w:rsidRPr="00174283" w:rsidRDefault="00DB6205" w:rsidP="00B54D69">
            <w:pPr>
              <w:suppressAutoHyphens w:val="0"/>
              <w:snapToGrid w:val="0"/>
              <w:spacing w:before="80" w:after="80" w:line="200" w:lineRule="exact"/>
              <w:rPr>
                <w:i/>
                <w:sz w:val="16"/>
                <w:lang w:val="fr-FR"/>
              </w:rPr>
            </w:pPr>
          </w:p>
        </w:tc>
        <w:tc>
          <w:tcPr>
            <w:tcW w:w="1267" w:type="dxa"/>
            <w:tcBorders>
              <w:top w:val="single" w:sz="4" w:space="0" w:color="auto"/>
              <w:bottom w:val="single" w:sz="12" w:space="0" w:color="auto"/>
            </w:tcBorders>
            <w:shd w:val="clear" w:color="auto" w:fill="auto"/>
            <w:vAlign w:val="bottom"/>
          </w:tcPr>
          <w:p w:rsidR="00DB6205" w:rsidRPr="00B92E63" w:rsidRDefault="00582C17" w:rsidP="00B54D69">
            <w:pPr>
              <w:suppressAutoHyphens w:val="0"/>
              <w:snapToGrid w:val="0"/>
              <w:spacing w:before="80" w:after="80" w:line="200" w:lineRule="exact"/>
              <w:jc w:val="right"/>
              <w:rPr>
                <w:b/>
                <w:bCs/>
                <w:i/>
                <w:sz w:val="16"/>
                <w:lang w:val="fr-FR"/>
              </w:rPr>
            </w:pPr>
            <w:r w:rsidRPr="00B92E63">
              <w:rPr>
                <w:b/>
                <w:bCs/>
                <w:i/>
                <w:sz w:val="16"/>
                <w:lang w:val="fr-FR"/>
              </w:rPr>
              <w:t xml:space="preserve">Nombre total </w:t>
            </w:r>
            <w:r w:rsidR="00B92E63" w:rsidRPr="00B92E63">
              <w:rPr>
                <w:b/>
                <w:bCs/>
                <w:i/>
                <w:sz w:val="16"/>
                <w:lang w:val="fr-FR"/>
              </w:rPr>
              <w:br/>
            </w:r>
            <w:r w:rsidRPr="00B92E63">
              <w:rPr>
                <w:b/>
                <w:bCs/>
                <w:i/>
                <w:sz w:val="16"/>
                <w:lang w:val="fr-FR"/>
              </w:rPr>
              <w:t>de plaintes</w:t>
            </w:r>
          </w:p>
        </w:tc>
        <w:tc>
          <w:tcPr>
            <w:tcW w:w="1141" w:type="dxa"/>
            <w:tcBorders>
              <w:top w:val="single" w:sz="4" w:space="0" w:color="auto"/>
              <w:bottom w:val="single" w:sz="12" w:space="0" w:color="auto"/>
            </w:tcBorders>
            <w:shd w:val="clear" w:color="auto" w:fill="auto"/>
            <w:vAlign w:val="bottom"/>
          </w:tcPr>
          <w:p w:rsidR="00DB6205" w:rsidRPr="00174283" w:rsidRDefault="00582C17" w:rsidP="00B54D69">
            <w:pPr>
              <w:suppressAutoHyphens w:val="0"/>
              <w:snapToGrid w:val="0"/>
              <w:spacing w:before="80" w:after="80" w:line="200" w:lineRule="exact"/>
              <w:jc w:val="right"/>
              <w:rPr>
                <w:i/>
                <w:sz w:val="16"/>
                <w:lang w:val="fr-FR"/>
              </w:rPr>
            </w:pPr>
            <w:r w:rsidRPr="00174283">
              <w:rPr>
                <w:i/>
                <w:sz w:val="16"/>
                <w:lang w:val="fr-FR"/>
              </w:rPr>
              <w:t>Fondées</w:t>
            </w:r>
          </w:p>
        </w:tc>
        <w:tc>
          <w:tcPr>
            <w:tcW w:w="1329" w:type="dxa"/>
            <w:tcBorders>
              <w:top w:val="single" w:sz="4" w:space="0" w:color="auto"/>
              <w:bottom w:val="single" w:sz="12" w:space="0" w:color="auto"/>
            </w:tcBorders>
            <w:shd w:val="clear" w:color="auto" w:fill="auto"/>
            <w:vAlign w:val="bottom"/>
          </w:tcPr>
          <w:p w:rsidR="00DB6205" w:rsidRPr="00174283" w:rsidRDefault="00582C17" w:rsidP="00B54D69">
            <w:pPr>
              <w:suppressAutoHyphens w:val="0"/>
              <w:snapToGrid w:val="0"/>
              <w:spacing w:before="80" w:after="80" w:line="200" w:lineRule="exact"/>
              <w:jc w:val="right"/>
              <w:rPr>
                <w:i/>
                <w:sz w:val="16"/>
                <w:lang w:val="fr-FR"/>
              </w:rPr>
            </w:pPr>
            <w:r w:rsidRPr="00174283">
              <w:rPr>
                <w:i/>
                <w:sz w:val="16"/>
                <w:lang w:val="fr-FR"/>
              </w:rPr>
              <w:t>Non fondées</w:t>
            </w:r>
            <w:r w:rsidR="00DB6205" w:rsidRPr="00174283">
              <w:rPr>
                <w:i/>
                <w:sz w:val="16"/>
                <w:lang w:val="fr-FR"/>
              </w:rPr>
              <w:t xml:space="preserve"> </w:t>
            </w:r>
          </w:p>
        </w:tc>
        <w:tc>
          <w:tcPr>
            <w:tcW w:w="1470" w:type="dxa"/>
            <w:tcBorders>
              <w:top w:val="single" w:sz="4" w:space="0" w:color="auto"/>
              <w:bottom w:val="single" w:sz="12" w:space="0" w:color="auto"/>
            </w:tcBorders>
            <w:shd w:val="clear" w:color="auto" w:fill="auto"/>
            <w:vAlign w:val="bottom"/>
          </w:tcPr>
          <w:p w:rsidR="00DB6205" w:rsidRPr="00174283" w:rsidRDefault="00582C17" w:rsidP="00B54D69">
            <w:pPr>
              <w:suppressAutoHyphens w:val="0"/>
              <w:snapToGrid w:val="0"/>
              <w:spacing w:before="80" w:after="80" w:line="200" w:lineRule="exact"/>
              <w:jc w:val="right"/>
              <w:rPr>
                <w:i/>
                <w:sz w:val="16"/>
                <w:lang w:val="fr-FR"/>
              </w:rPr>
            </w:pPr>
            <w:r w:rsidRPr="00174283">
              <w:rPr>
                <w:i/>
                <w:sz w:val="16"/>
                <w:lang w:val="fr-FR"/>
              </w:rPr>
              <w:t>Absence de preuve</w:t>
            </w:r>
          </w:p>
        </w:tc>
        <w:tc>
          <w:tcPr>
            <w:tcW w:w="1128" w:type="dxa"/>
            <w:tcBorders>
              <w:top w:val="single" w:sz="4" w:space="0" w:color="auto"/>
              <w:bottom w:val="single" w:sz="12" w:space="0" w:color="auto"/>
            </w:tcBorders>
            <w:shd w:val="clear" w:color="auto" w:fill="auto"/>
            <w:vAlign w:val="bottom"/>
          </w:tcPr>
          <w:p w:rsidR="00DB6205" w:rsidRPr="00174283" w:rsidRDefault="00582C17" w:rsidP="00B54D69">
            <w:pPr>
              <w:suppressAutoHyphens w:val="0"/>
              <w:snapToGrid w:val="0"/>
              <w:spacing w:before="80" w:after="80" w:line="200" w:lineRule="exact"/>
              <w:jc w:val="right"/>
              <w:rPr>
                <w:i/>
                <w:sz w:val="16"/>
                <w:lang w:val="fr-FR"/>
              </w:rPr>
            </w:pPr>
            <w:r w:rsidRPr="00174283">
              <w:rPr>
                <w:i/>
                <w:sz w:val="16"/>
                <w:lang w:val="fr-FR"/>
              </w:rPr>
              <w:t xml:space="preserve">Partiellement </w:t>
            </w:r>
            <w:r w:rsidR="00B92E63">
              <w:rPr>
                <w:i/>
                <w:sz w:val="16"/>
                <w:lang w:val="fr-FR"/>
              </w:rPr>
              <w:br/>
            </w:r>
            <w:r w:rsidRPr="00174283">
              <w:rPr>
                <w:i/>
                <w:sz w:val="16"/>
                <w:lang w:val="fr-FR"/>
              </w:rPr>
              <w:t>fondées</w:t>
            </w:r>
          </w:p>
        </w:tc>
      </w:tr>
      <w:tr w:rsidR="00DB6205" w:rsidRPr="00174283" w:rsidTr="000E5A6F">
        <w:tc>
          <w:tcPr>
            <w:tcW w:w="1036" w:type="dxa"/>
            <w:tcBorders>
              <w:top w:val="single" w:sz="12" w:space="0" w:color="auto"/>
            </w:tcBorders>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2007</w:t>
            </w:r>
          </w:p>
        </w:tc>
        <w:tc>
          <w:tcPr>
            <w:tcW w:w="1267" w:type="dxa"/>
            <w:tcBorders>
              <w:top w:val="single" w:sz="12" w:space="0" w:color="auto"/>
            </w:tcBorders>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61</w:t>
            </w:r>
          </w:p>
        </w:tc>
        <w:tc>
          <w:tcPr>
            <w:tcW w:w="1141"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9</w:t>
            </w:r>
          </w:p>
        </w:tc>
        <w:tc>
          <w:tcPr>
            <w:tcW w:w="1329"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33</w:t>
            </w:r>
          </w:p>
        </w:tc>
        <w:tc>
          <w:tcPr>
            <w:tcW w:w="1470"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19</w:t>
            </w:r>
          </w:p>
        </w:tc>
        <w:tc>
          <w:tcPr>
            <w:tcW w:w="1128" w:type="dxa"/>
            <w:tcBorders>
              <w:top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w:t>
            </w:r>
          </w:p>
        </w:tc>
      </w:tr>
      <w:tr w:rsidR="00DB6205" w:rsidRPr="00174283" w:rsidTr="000E5A6F">
        <w:tc>
          <w:tcPr>
            <w:tcW w:w="1036" w:type="dxa"/>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2008</w:t>
            </w:r>
          </w:p>
        </w:tc>
        <w:tc>
          <w:tcPr>
            <w:tcW w:w="1267"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64</w:t>
            </w:r>
          </w:p>
        </w:tc>
        <w:tc>
          <w:tcPr>
            <w:tcW w:w="114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4</w:t>
            </w:r>
          </w:p>
        </w:tc>
        <w:tc>
          <w:tcPr>
            <w:tcW w:w="132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36</w:t>
            </w:r>
          </w:p>
        </w:tc>
        <w:tc>
          <w:tcPr>
            <w:tcW w:w="1470"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24</w:t>
            </w:r>
          </w:p>
        </w:tc>
        <w:tc>
          <w:tcPr>
            <w:tcW w:w="112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w:t>
            </w:r>
          </w:p>
        </w:tc>
      </w:tr>
      <w:tr w:rsidR="00DB6205" w:rsidRPr="00174283" w:rsidTr="000E5A6F">
        <w:tc>
          <w:tcPr>
            <w:tcW w:w="1036" w:type="dxa"/>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2009</w:t>
            </w:r>
          </w:p>
        </w:tc>
        <w:tc>
          <w:tcPr>
            <w:tcW w:w="1267"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79</w:t>
            </w:r>
          </w:p>
        </w:tc>
        <w:tc>
          <w:tcPr>
            <w:tcW w:w="114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6</w:t>
            </w:r>
          </w:p>
        </w:tc>
        <w:tc>
          <w:tcPr>
            <w:tcW w:w="132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37</w:t>
            </w:r>
          </w:p>
        </w:tc>
        <w:tc>
          <w:tcPr>
            <w:tcW w:w="1470"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36</w:t>
            </w:r>
          </w:p>
        </w:tc>
        <w:tc>
          <w:tcPr>
            <w:tcW w:w="112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w:t>
            </w:r>
          </w:p>
        </w:tc>
      </w:tr>
      <w:tr w:rsidR="00DB6205" w:rsidRPr="00174283" w:rsidTr="000E5A6F">
        <w:tc>
          <w:tcPr>
            <w:tcW w:w="1036" w:type="dxa"/>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2010</w:t>
            </w:r>
          </w:p>
        </w:tc>
        <w:tc>
          <w:tcPr>
            <w:tcW w:w="1267"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64</w:t>
            </w:r>
          </w:p>
        </w:tc>
        <w:tc>
          <w:tcPr>
            <w:tcW w:w="114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5</w:t>
            </w:r>
          </w:p>
        </w:tc>
        <w:tc>
          <w:tcPr>
            <w:tcW w:w="132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38</w:t>
            </w:r>
          </w:p>
        </w:tc>
        <w:tc>
          <w:tcPr>
            <w:tcW w:w="1470"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20</w:t>
            </w:r>
          </w:p>
        </w:tc>
        <w:tc>
          <w:tcPr>
            <w:tcW w:w="112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w:t>
            </w:r>
          </w:p>
        </w:tc>
      </w:tr>
      <w:tr w:rsidR="00DB6205" w:rsidRPr="00174283" w:rsidTr="000E5A6F">
        <w:tc>
          <w:tcPr>
            <w:tcW w:w="1036" w:type="dxa"/>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2011</w:t>
            </w:r>
          </w:p>
        </w:tc>
        <w:tc>
          <w:tcPr>
            <w:tcW w:w="1267" w:type="dxa"/>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63</w:t>
            </w:r>
          </w:p>
        </w:tc>
        <w:tc>
          <w:tcPr>
            <w:tcW w:w="1141"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8</w:t>
            </w:r>
          </w:p>
        </w:tc>
        <w:tc>
          <w:tcPr>
            <w:tcW w:w="1329"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44</w:t>
            </w:r>
          </w:p>
        </w:tc>
        <w:tc>
          <w:tcPr>
            <w:tcW w:w="1470"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11</w:t>
            </w:r>
          </w:p>
        </w:tc>
        <w:tc>
          <w:tcPr>
            <w:tcW w:w="1128" w:type="dxa"/>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w:t>
            </w:r>
          </w:p>
        </w:tc>
      </w:tr>
      <w:tr w:rsidR="00DB6205" w:rsidRPr="00174283" w:rsidTr="000E5A6F">
        <w:tc>
          <w:tcPr>
            <w:tcW w:w="1036" w:type="dxa"/>
            <w:tcBorders>
              <w:bottom w:val="single" w:sz="12" w:space="0" w:color="auto"/>
            </w:tcBorders>
            <w:shd w:val="clear" w:color="auto" w:fill="auto"/>
            <w:vAlign w:val="bottom"/>
          </w:tcPr>
          <w:p w:rsidR="00DB6205" w:rsidRPr="00174283" w:rsidRDefault="00DB6205" w:rsidP="000E5A6F">
            <w:pPr>
              <w:suppressAutoHyphens w:val="0"/>
              <w:snapToGrid w:val="0"/>
              <w:spacing w:before="40" w:after="40" w:line="220" w:lineRule="exact"/>
              <w:rPr>
                <w:sz w:val="18"/>
                <w:lang w:val="fr-FR"/>
              </w:rPr>
            </w:pPr>
            <w:r w:rsidRPr="00174283">
              <w:rPr>
                <w:sz w:val="18"/>
                <w:lang w:val="fr-FR"/>
              </w:rPr>
              <w:t>2012</w:t>
            </w:r>
          </w:p>
        </w:tc>
        <w:tc>
          <w:tcPr>
            <w:tcW w:w="1267" w:type="dxa"/>
            <w:tcBorders>
              <w:bottom w:val="single" w:sz="12" w:space="0" w:color="auto"/>
            </w:tcBorders>
            <w:shd w:val="clear" w:color="auto" w:fill="auto"/>
            <w:vAlign w:val="bottom"/>
          </w:tcPr>
          <w:p w:rsidR="00DB6205" w:rsidRPr="00B92E63" w:rsidRDefault="00DB6205" w:rsidP="00B54D69">
            <w:pPr>
              <w:suppressAutoHyphens w:val="0"/>
              <w:snapToGrid w:val="0"/>
              <w:spacing w:before="40" w:after="40" w:line="220" w:lineRule="exact"/>
              <w:jc w:val="right"/>
              <w:rPr>
                <w:b/>
                <w:bCs/>
                <w:sz w:val="18"/>
                <w:lang w:val="fr-FR"/>
              </w:rPr>
            </w:pPr>
            <w:r w:rsidRPr="00B92E63">
              <w:rPr>
                <w:b/>
                <w:bCs/>
                <w:sz w:val="18"/>
                <w:lang w:val="fr-FR"/>
              </w:rPr>
              <w:t>73</w:t>
            </w:r>
          </w:p>
        </w:tc>
        <w:tc>
          <w:tcPr>
            <w:tcW w:w="1141"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4</w:t>
            </w:r>
          </w:p>
        </w:tc>
        <w:tc>
          <w:tcPr>
            <w:tcW w:w="1329"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46</w:t>
            </w:r>
          </w:p>
        </w:tc>
        <w:tc>
          <w:tcPr>
            <w:tcW w:w="1470"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23</w:t>
            </w:r>
          </w:p>
        </w:tc>
        <w:tc>
          <w:tcPr>
            <w:tcW w:w="1128" w:type="dxa"/>
            <w:tcBorders>
              <w:bottom w:val="single" w:sz="12" w:space="0" w:color="auto"/>
            </w:tcBorders>
            <w:shd w:val="clear" w:color="auto" w:fill="auto"/>
            <w:vAlign w:val="bottom"/>
          </w:tcPr>
          <w:p w:rsidR="00DB6205" w:rsidRPr="00174283" w:rsidRDefault="00DB6205" w:rsidP="00B54D69">
            <w:pPr>
              <w:suppressAutoHyphens w:val="0"/>
              <w:snapToGrid w:val="0"/>
              <w:spacing w:before="40" w:after="40" w:line="220" w:lineRule="exact"/>
              <w:jc w:val="right"/>
              <w:rPr>
                <w:sz w:val="18"/>
                <w:lang w:val="fr-FR"/>
              </w:rPr>
            </w:pPr>
            <w:r w:rsidRPr="00174283">
              <w:rPr>
                <w:sz w:val="18"/>
                <w:lang w:val="fr-FR"/>
              </w:rPr>
              <w:t>/</w:t>
            </w:r>
          </w:p>
        </w:tc>
      </w:tr>
    </w:tbl>
    <w:p w:rsidR="00606574" w:rsidRPr="00174283" w:rsidRDefault="00214531" w:rsidP="00214531">
      <w:pPr>
        <w:pStyle w:val="SingleTxtG"/>
        <w:spacing w:before="240"/>
        <w:rPr>
          <w:lang w:val="fr-FR"/>
        </w:rPr>
      </w:pPr>
      <w:r>
        <w:rPr>
          <w:lang w:val="fr-FR"/>
        </w:rPr>
        <w:t>46.</w:t>
      </w:r>
      <w:r>
        <w:rPr>
          <w:lang w:val="fr-FR"/>
        </w:rPr>
        <w:tab/>
      </w:r>
      <w:r w:rsidR="00F14740" w:rsidRPr="00174283">
        <w:rPr>
          <w:lang w:val="fr-FR"/>
        </w:rPr>
        <w:t>En 2009, l</w:t>
      </w:r>
      <w:r w:rsidR="00571487" w:rsidRPr="00174283">
        <w:rPr>
          <w:lang w:val="fr-FR"/>
        </w:rPr>
        <w:t>e Département de la police et de la criminalistique, en collaboration avec plusieurs organis</w:t>
      </w:r>
      <w:r w:rsidR="00AF3595" w:rsidRPr="00174283">
        <w:rPr>
          <w:lang w:val="fr-FR"/>
        </w:rPr>
        <w:t>ations de la société civile, a</w:t>
      </w:r>
      <w:r w:rsidR="00571487" w:rsidRPr="00174283">
        <w:rPr>
          <w:lang w:val="fr-FR"/>
        </w:rPr>
        <w:t xml:space="preserve"> participé </w:t>
      </w:r>
      <w:r w:rsidR="002A7F09" w:rsidRPr="00174283">
        <w:rPr>
          <w:lang w:val="fr-FR"/>
        </w:rPr>
        <w:t>au</w:t>
      </w:r>
      <w:r w:rsidR="00571487" w:rsidRPr="00174283">
        <w:rPr>
          <w:lang w:val="fr-FR"/>
        </w:rPr>
        <w:t xml:space="preserve"> programme «La Macédoine sans discrimination», soutenu par la Commission européenne, dans le but de créer un cadre fonctionnel efficace permettant de promouvoir l</w:t>
      </w:r>
      <w:r w:rsidR="00205A62">
        <w:rPr>
          <w:lang w:val="fr-FR"/>
        </w:rPr>
        <w:t>’</w:t>
      </w:r>
      <w:r w:rsidR="00571487" w:rsidRPr="00174283">
        <w:rPr>
          <w:lang w:val="fr-FR"/>
        </w:rPr>
        <w:t>égalité des chances</w:t>
      </w:r>
      <w:r w:rsidR="00427E96" w:rsidRPr="00174283">
        <w:rPr>
          <w:lang w:val="fr-FR"/>
        </w:rPr>
        <w:t xml:space="preserve"> pour tous les citoyens</w:t>
      </w:r>
      <w:r w:rsidR="00571487" w:rsidRPr="00174283">
        <w:rPr>
          <w:lang w:val="fr-FR"/>
        </w:rPr>
        <w:t xml:space="preserve">. </w:t>
      </w:r>
    </w:p>
    <w:p w:rsidR="00606574" w:rsidRPr="00174283" w:rsidRDefault="00214531" w:rsidP="00214531">
      <w:pPr>
        <w:pStyle w:val="SingleTxtG"/>
        <w:rPr>
          <w:lang w:val="fr-FR"/>
        </w:rPr>
      </w:pPr>
      <w:r>
        <w:rPr>
          <w:lang w:val="fr-FR"/>
        </w:rPr>
        <w:t>47.</w:t>
      </w:r>
      <w:r>
        <w:rPr>
          <w:lang w:val="fr-FR"/>
        </w:rPr>
        <w:tab/>
      </w:r>
      <w:r w:rsidR="00571487" w:rsidRPr="00174283">
        <w:rPr>
          <w:lang w:val="fr-FR"/>
        </w:rPr>
        <w:t xml:space="preserve">Entre novembre et décembre 2009, deux journées de formation ont été proposées à 30 cadres de tous les </w:t>
      </w:r>
      <w:r w:rsidR="00F242A5" w:rsidRPr="00174283">
        <w:rPr>
          <w:lang w:val="fr-FR"/>
        </w:rPr>
        <w:t>départements</w:t>
      </w:r>
      <w:r w:rsidR="00571487" w:rsidRPr="00174283">
        <w:rPr>
          <w:lang w:val="fr-FR"/>
        </w:rPr>
        <w:t xml:space="preserve"> des affaires internes sur le thème «Égalité de</w:t>
      </w:r>
      <w:r w:rsidR="00F14740" w:rsidRPr="00174283">
        <w:rPr>
          <w:lang w:val="fr-FR"/>
        </w:rPr>
        <w:t>s chances et non-discrimination</w:t>
      </w:r>
      <w:r w:rsidR="00571487" w:rsidRPr="00174283">
        <w:rPr>
          <w:lang w:val="fr-FR"/>
        </w:rPr>
        <w:t xml:space="preserve">». </w:t>
      </w:r>
    </w:p>
    <w:p w:rsidR="00606574" w:rsidRPr="00174283" w:rsidRDefault="00214531" w:rsidP="00214531">
      <w:pPr>
        <w:pStyle w:val="SingleTxtG"/>
        <w:rPr>
          <w:lang w:val="fr-FR"/>
        </w:rPr>
      </w:pPr>
      <w:r>
        <w:rPr>
          <w:lang w:val="fr-FR"/>
        </w:rPr>
        <w:t>48.</w:t>
      </w:r>
      <w:r>
        <w:rPr>
          <w:lang w:val="fr-FR"/>
        </w:rPr>
        <w:tab/>
      </w:r>
      <w:r w:rsidR="00571487" w:rsidRPr="00174283">
        <w:rPr>
          <w:lang w:val="fr-FR"/>
        </w:rPr>
        <w:t>Le Département a participé à l</w:t>
      </w:r>
      <w:r w:rsidR="00205A62">
        <w:rPr>
          <w:lang w:val="fr-FR"/>
        </w:rPr>
        <w:t>’</w:t>
      </w:r>
      <w:r w:rsidR="00571487" w:rsidRPr="00174283">
        <w:rPr>
          <w:lang w:val="fr-FR"/>
        </w:rPr>
        <w:t xml:space="preserve">élaboration </w:t>
      </w:r>
      <w:r w:rsidR="00E72EE1" w:rsidRPr="00174283">
        <w:rPr>
          <w:lang w:val="fr-FR"/>
        </w:rPr>
        <w:t xml:space="preserve">de protocoles </w:t>
      </w:r>
      <w:r w:rsidR="00427E96" w:rsidRPr="00174283">
        <w:rPr>
          <w:lang w:val="fr-FR"/>
        </w:rPr>
        <w:t>relatifs au</w:t>
      </w:r>
      <w:r w:rsidR="00E72EE1" w:rsidRPr="00174283">
        <w:rPr>
          <w:lang w:val="fr-FR"/>
        </w:rPr>
        <w:t xml:space="preserve"> traitement des enfants des rues, dont la plupart sont issus de la communauté rom. </w:t>
      </w:r>
    </w:p>
    <w:p w:rsidR="00606574" w:rsidRPr="00174283" w:rsidRDefault="00214531" w:rsidP="00214531">
      <w:pPr>
        <w:pStyle w:val="SingleTxtG"/>
        <w:rPr>
          <w:lang w:val="fr-FR"/>
        </w:rPr>
      </w:pPr>
      <w:r>
        <w:rPr>
          <w:lang w:val="fr-FR"/>
        </w:rPr>
        <w:t>49.</w:t>
      </w:r>
      <w:r>
        <w:rPr>
          <w:lang w:val="fr-FR"/>
        </w:rPr>
        <w:tab/>
      </w:r>
      <w:r w:rsidR="00E72EE1" w:rsidRPr="00174283">
        <w:rPr>
          <w:lang w:val="fr-FR"/>
        </w:rPr>
        <w:t>Trois ateliers régionaux ont été organisés et ont permis d</w:t>
      </w:r>
      <w:r w:rsidR="00205A62">
        <w:rPr>
          <w:lang w:val="fr-FR"/>
        </w:rPr>
        <w:t>’</w:t>
      </w:r>
      <w:r w:rsidR="00E72EE1" w:rsidRPr="00174283">
        <w:rPr>
          <w:lang w:val="fr-FR"/>
        </w:rPr>
        <w:t xml:space="preserve">examiner les problèmes liés au traitement des enfants des rues et de formuler des propositions pour les surmonter. </w:t>
      </w:r>
    </w:p>
    <w:p w:rsidR="00606574" w:rsidRPr="00174283" w:rsidRDefault="00606574" w:rsidP="00B92E63">
      <w:pPr>
        <w:pStyle w:val="H23G"/>
        <w:rPr>
          <w:lang w:val="fr-FR"/>
        </w:rPr>
      </w:pPr>
      <w:r w:rsidRPr="00174283">
        <w:rPr>
          <w:lang w:val="fr-FR"/>
        </w:rPr>
        <w:tab/>
      </w:r>
      <w:r w:rsidR="005F4C93" w:rsidRPr="00174283">
        <w:rPr>
          <w:lang w:val="fr-FR"/>
        </w:rPr>
        <w:t>3</w:t>
      </w:r>
      <w:r w:rsidRPr="00174283">
        <w:rPr>
          <w:lang w:val="fr-FR"/>
        </w:rPr>
        <w:t>.</w:t>
      </w:r>
      <w:r w:rsidRPr="00174283">
        <w:rPr>
          <w:lang w:val="fr-FR"/>
        </w:rPr>
        <w:tab/>
      </w:r>
      <w:r w:rsidR="00F14740" w:rsidRPr="00174283">
        <w:rPr>
          <w:lang w:val="fr-FR"/>
        </w:rPr>
        <w:t xml:space="preserve">Droits politiques, notamment droit de participer aux élections </w:t>
      </w:r>
      <w:r w:rsidR="00D05F5F">
        <w:rPr>
          <w:lang w:val="fr-FR"/>
        </w:rPr>
        <w:t>–</w:t>
      </w:r>
      <w:r w:rsidR="00F14740" w:rsidRPr="00174283">
        <w:rPr>
          <w:lang w:val="fr-FR"/>
        </w:rPr>
        <w:t xml:space="preserve"> de voter et d</w:t>
      </w:r>
      <w:r w:rsidR="00205A62">
        <w:rPr>
          <w:lang w:val="fr-FR"/>
        </w:rPr>
        <w:t>’</w:t>
      </w:r>
      <w:r w:rsidR="00F14740" w:rsidRPr="00174283">
        <w:rPr>
          <w:lang w:val="fr-FR"/>
        </w:rPr>
        <w:t xml:space="preserve">être candidat </w:t>
      </w:r>
      <w:r w:rsidR="00B92E63">
        <w:rPr>
          <w:lang w:val="fr-FR"/>
        </w:rPr>
        <w:t>–</w:t>
      </w:r>
      <w:r w:rsidR="00F14740" w:rsidRPr="00174283">
        <w:rPr>
          <w:lang w:val="fr-FR"/>
        </w:rPr>
        <w:t xml:space="preserve"> selon le système du suffrage universel et égal, droit de prendre part au gouvernement ainsi qu</w:t>
      </w:r>
      <w:r w:rsidR="00205A62">
        <w:rPr>
          <w:lang w:val="fr-FR"/>
        </w:rPr>
        <w:t>’</w:t>
      </w:r>
      <w:r w:rsidR="00F14740" w:rsidRPr="00174283">
        <w:rPr>
          <w:lang w:val="fr-FR"/>
        </w:rPr>
        <w:t>à la direction des affaires publiques, à tous les échelons, et droit d</w:t>
      </w:r>
      <w:r w:rsidR="00205A62">
        <w:rPr>
          <w:lang w:val="fr-FR"/>
        </w:rPr>
        <w:t>’</w:t>
      </w:r>
      <w:r w:rsidR="00F14740" w:rsidRPr="00174283">
        <w:rPr>
          <w:lang w:val="fr-FR"/>
        </w:rPr>
        <w:t>accéder, dans des conditions d</w:t>
      </w:r>
      <w:r w:rsidR="00205A62">
        <w:rPr>
          <w:lang w:val="fr-FR"/>
        </w:rPr>
        <w:t>’</w:t>
      </w:r>
      <w:r w:rsidR="00F14740" w:rsidRPr="00174283">
        <w:rPr>
          <w:lang w:val="fr-FR"/>
        </w:rPr>
        <w:t>égalité, aux fonctions publiques</w:t>
      </w:r>
    </w:p>
    <w:p w:rsidR="00606574" w:rsidRPr="00174283" w:rsidRDefault="00214531" w:rsidP="00214531">
      <w:pPr>
        <w:pStyle w:val="SingleTxtG"/>
        <w:rPr>
          <w:lang w:val="fr-FR"/>
        </w:rPr>
      </w:pPr>
      <w:r>
        <w:rPr>
          <w:lang w:val="fr-FR"/>
        </w:rPr>
        <w:t>50.</w:t>
      </w:r>
      <w:r>
        <w:rPr>
          <w:lang w:val="fr-FR"/>
        </w:rPr>
        <w:tab/>
      </w:r>
      <w:r w:rsidR="00E72EE1" w:rsidRPr="00174283">
        <w:rPr>
          <w:lang w:val="fr-FR"/>
        </w:rPr>
        <w:t xml:space="preserve">En République de Macédoine, le droit de vote </w:t>
      </w:r>
      <w:r w:rsidR="008B6D87" w:rsidRPr="00174283">
        <w:rPr>
          <w:lang w:val="fr-FR"/>
        </w:rPr>
        <w:t xml:space="preserve">est un droit universel et individuel dont jouissent tous les citoyens </w:t>
      </w:r>
      <w:r w:rsidR="00F242A5" w:rsidRPr="00174283">
        <w:rPr>
          <w:lang w:val="fr-FR"/>
        </w:rPr>
        <w:t>dans</w:t>
      </w:r>
      <w:r w:rsidR="008B6D87" w:rsidRPr="00174283">
        <w:rPr>
          <w:lang w:val="fr-FR"/>
        </w:rPr>
        <w:t xml:space="preserve"> des conditions d</w:t>
      </w:r>
      <w:r w:rsidR="00205A62">
        <w:rPr>
          <w:lang w:val="fr-FR"/>
        </w:rPr>
        <w:t>’</w:t>
      </w:r>
      <w:r w:rsidR="008B6D87" w:rsidRPr="00174283">
        <w:rPr>
          <w:lang w:val="fr-FR"/>
        </w:rPr>
        <w:t xml:space="preserve">égalité. </w:t>
      </w:r>
      <w:r w:rsidR="006155A2" w:rsidRPr="00174283">
        <w:rPr>
          <w:lang w:val="fr-FR"/>
        </w:rPr>
        <w:t>L</w:t>
      </w:r>
      <w:r w:rsidR="00205A62">
        <w:rPr>
          <w:lang w:val="fr-FR"/>
        </w:rPr>
        <w:t>’</w:t>
      </w:r>
      <w:r w:rsidR="006155A2" w:rsidRPr="00174283">
        <w:rPr>
          <w:lang w:val="fr-FR"/>
        </w:rPr>
        <w:t xml:space="preserve">exercice du droit de vote est réservé aux </w:t>
      </w:r>
      <w:r w:rsidR="00026C54" w:rsidRPr="00174283">
        <w:rPr>
          <w:lang w:val="fr-FR"/>
        </w:rPr>
        <w:t>citoyens</w:t>
      </w:r>
      <w:r w:rsidR="006155A2" w:rsidRPr="00174283">
        <w:rPr>
          <w:lang w:val="fr-FR"/>
        </w:rPr>
        <w:t xml:space="preserve"> </w:t>
      </w:r>
      <w:r w:rsidR="00BA73E9" w:rsidRPr="00174283">
        <w:rPr>
          <w:lang w:val="fr-FR"/>
        </w:rPr>
        <w:t xml:space="preserve">macédoniens </w:t>
      </w:r>
      <w:r w:rsidR="006155A2" w:rsidRPr="00174283">
        <w:rPr>
          <w:lang w:val="fr-FR"/>
        </w:rPr>
        <w:t xml:space="preserve">inscrits sur les listes électorales, à savoir </w:t>
      </w:r>
      <w:r w:rsidR="00F242A5" w:rsidRPr="00174283">
        <w:rPr>
          <w:lang w:val="fr-FR"/>
        </w:rPr>
        <w:t>les personnes</w:t>
      </w:r>
      <w:r w:rsidR="006155A2" w:rsidRPr="00174283">
        <w:rPr>
          <w:lang w:val="fr-FR"/>
        </w:rPr>
        <w:t xml:space="preserve"> qui ont 18 ans révolus et </w:t>
      </w:r>
      <w:r w:rsidR="00C2276D" w:rsidRPr="00174283">
        <w:rPr>
          <w:lang w:val="fr-FR"/>
        </w:rPr>
        <w:t>réunissent</w:t>
      </w:r>
      <w:r w:rsidR="006155A2" w:rsidRPr="00174283">
        <w:rPr>
          <w:lang w:val="fr-FR"/>
        </w:rPr>
        <w:t xml:space="preserve"> les conditions de capacité juridique. Il n</w:t>
      </w:r>
      <w:r w:rsidR="00205A62">
        <w:rPr>
          <w:lang w:val="fr-FR"/>
        </w:rPr>
        <w:t>’</w:t>
      </w:r>
      <w:r w:rsidR="006155A2" w:rsidRPr="00174283">
        <w:rPr>
          <w:lang w:val="fr-FR"/>
        </w:rPr>
        <w:t>existe pas d</w:t>
      </w:r>
      <w:r w:rsidR="00205A62">
        <w:rPr>
          <w:lang w:val="fr-FR"/>
        </w:rPr>
        <w:t>’</w:t>
      </w:r>
      <w:r w:rsidR="006155A2" w:rsidRPr="00174283">
        <w:rPr>
          <w:lang w:val="fr-FR"/>
        </w:rPr>
        <w:t>autres restrictions au droit de vote ni d</w:t>
      </w:r>
      <w:r w:rsidR="00205A62">
        <w:rPr>
          <w:lang w:val="fr-FR"/>
        </w:rPr>
        <w:t>’</w:t>
      </w:r>
      <w:r w:rsidR="006155A2" w:rsidRPr="00174283">
        <w:rPr>
          <w:lang w:val="fr-FR"/>
        </w:rPr>
        <w:t>autres motifs juridiques empêchant un citoyen macédonien d</w:t>
      </w:r>
      <w:r w:rsidR="00205A62">
        <w:rPr>
          <w:lang w:val="fr-FR"/>
        </w:rPr>
        <w:t>’</w:t>
      </w:r>
      <w:r w:rsidR="006155A2" w:rsidRPr="00174283">
        <w:rPr>
          <w:lang w:val="fr-FR"/>
        </w:rPr>
        <w:t xml:space="preserve">exercer ce droit. </w:t>
      </w:r>
    </w:p>
    <w:p w:rsidR="00606574" w:rsidRPr="00174283" w:rsidRDefault="00214531" w:rsidP="00214531">
      <w:pPr>
        <w:pStyle w:val="SingleTxtG"/>
        <w:rPr>
          <w:lang w:val="fr-FR"/>
        </w:rPr>
      </w:pPr>
      <w:r>
        <w:rPr>
          <w:lang w:val="fr-FR"/>
        </w:rPr>
        <w:t>51.</w:t>
      </w:r>
      <w:r>
        <w:rPr>
          <w:lang w:val="fr-FR"/>
        </w:rPr>
        <w:tab/>
      </w:r>
      <w:r w:rsidR="006155A2" w:rsidRPr="00174283">
        <w:rPr>
          <w:lang w:val="fr-FR"/>
        </w:rPr>
        <w:t xml:space="preserve">La loi électorale a été </w:t>
      </w:r>
      <w:r w:rsidR="00F242A5" w:rsidRPr="00174283">
        <w:rPr>
          <w:lang w:val="fr-FR"/>
        </w:rPr>
        <w:t>codifiée</w:t>
      </w:r>
      <w:r w:rsidR="006155A2" w:rsidRPr="00174283">
        <w:rPr>
          <w:lang w:val="fr-FR"/>
        </w:rPr>
        <w:t xml:space="preserve"> après l</w:t>
      </w:r>
      <w:r w:rsidR="00205A62">
        <w:rPr>
          <w:lang w:val="fr-FR"/>
        </w:rPr>
        <w:t>’</w:t>
      </w:r>
      <w:r w:rsidR="006155A2" w:rsidRPr="00174283">
        <w:rPr>
          <w:lang w:val="fr-FR"/>
        </w:rPr>
        <w:t>adoption du Code électoral en 2006 (</w:t>
      </w:r>
      <w:r w:rsidR="006155A2" w:rsidRPr="006C4B2D">
        <w:rPr>
          <w:i/>
          <w:iCs/>
          <w:lang w:val="fr-FR"/>
        </w:rPr>
        <w:t>Journal officiel de la République de Macédoine</w:t>
      </w:r>
      <w:r w:rsidR="006155A2" w:rsidRPr="00174283">
        <w:rPr>
          <w:lang w:val="fr-FR"/>
        </w:rPr>
        <w:t xml:space="preserve"> n</w:t>
      </w:r>
      <w:r w:rsidR="006155A2" w:rsidRPr="00174283">
        <w:rPr>
          <w:vertAlign w:val="superscript"/>
          <w:lang w:val="fr-FR"/>
        </w:rPr>
        <w:t>o</w:t>
      </w:r>
      <w:r w:rsidR="006155A2" w:rsidRPr="00174283">
        <w:rPr>
          <w:lang w:val="fr-FR"/>
        </w:rPr>
        <w:t xml:space="preserve"> 40/60). Le Code électoral a été modifié et complété à plusieurs reprises, notamment en 2008, 2011 et 2012. </w:t>
      </w:r>
    </w:p>
    <w:p w:rsidR="00606574" w:rsidRPr="00174283" w:rsidRDefault="00214531" w:rsidP="00214531">
      <w:pPr>
        <w:pStyle w:val="SingleTxtG"/>
        <w:rPr>
          <w:lang w:val="fr-FR"/>
        </w:rPr>
      </w:pPr>
      <w:r>
        <w:rPr>
          <w:lang w:val="fr-FR"/>
        </w:rPr>
        <w:t>52.</w:t>
      </w:r>
      <w:r>
        <w:rPr>
          <w:lang w:val="fr-FR"/>
        </w:rPr>
        <w:tab/>
      </w:r>
      <w:r w:rsidR="0043652E" w:rsidRPr="00174283">
        <w:rPr>
          <w:lang w:val="fr-FR"/>
        </w:rPr>
        <w:t xml:space="preserve">Conformément </w:t>
      </w:r>
      <w:r w:rsidR="002A7F09" w:rsidRPr="00174283">
        <w:rPr>
          <w:lang w:val="fr-FR"/>
        </w:rPr>
        <w:t xml:space="preserve">au cinquième </w:t>
      </w:r>
      <w:r w:rsidR="0023490E" w:rsidRPr="00174283">
        <w:rPr>
          <w:lang w:val="fr-FR"/>
        </w:rPr>
        <w:t>amendement</w:t>
      </w:r>
      <w:r w:rsidR="0043652E" w:rsidRPr="00174283">
        <w:rPr>
          <w:lang w:val="fr-FR"/>
        </w:rPr>
        <w:t xml:space="preserve"> </w:t>
      </w:r>
      <w:r w:rsidR="0023490E" w:rsidRPr="00174283">
        <w:rPr>
          <w:lang w:val="fr-FR"/>
        </w:rPr>
        <w:t xml:space="preserve">de </w:t>
      </w:r>
      <w:r w:rsidR="0043652E" w:rsidRPr="00174283">
        <w:rPr>
          <w:lang w:val="fr-FR"/>
        </w:rPr>
        <w:t xml:space="preserve">la </w:t>
      </w:r>
      <w:r w:rsidR="00606574" w:rsidRPr="00174283">
        <w:rPr>
          <w:lang w:val="fr-FR"/>
        </w:rPr>
        <w:t xml:space="preserve">Constitution </w:t>
      </w:r>
      <w:r w:rsidR="0043652E" w:rsidRPr="00174283">
        <w:rPr>
          <w:lang w:val="fr-FR"/>
        </w:rPr>
        <w:t>de la République de Macédoine concernant l</w:t>
      </w:r>
      <w:r w:rsidR="00205A62">
        <w:rPr>
          <w:lang w:val="fr-FR"/>
        </w:rPr>
        <w:t>’</w:t>
      </w:r>
      <w:r w:rsidR="0043652E" w:rsidRPr="00174283">
        <w:rPr>
          <w:lang w:val="fr-FR"/>
        </w:rPr>
        <w:t>utilisation des langues des communautés, l</w:t>
      </w:r>
      <w:r w:rsidR="00205A62">
        <w:rPr>
          <w:lang w:val="fr-FR"/>
        </w:rPr>
        <w:t>’</w:t>
      </w:r>
      <w:r w:rsidR="0043652E" w:rsidRPr="00174283">
        <w:rPr>
          <w:lang w:val="fr-FR"/>
        </w:rPr>
        <w:t>article 93 du Code électoral précise les dispositions applicables à l</w:t>
      </w:r>
      <w:r w:rsidR="00205A62">
        <w:rPr>
          <w:lang w:val="fr-FR"/>
        </w:rPr>
        <w:t>’</w:t>
      </w:r>
      <w:r w:rsidR="00BC69E2" w:rsidRPr="00174283">
        <w:rPr>
          <w:lang w:val="fr-FR"/>
        </w:rPr>
        <w:t xml:space="preserve">usage </w:t>
      </w:r>
      <w:r w:rsidR="0043652E" w:rsidRPr="00174283">
        <w:rPr>
          <w:lang w:val="fr-FR"/>
        </w:rPr>
        <w:t xml:space="preserve">des langues des communautés sur les bulletins de vote. </w:t>
      </w:r>
    </w:p>
    <w:p w:rsidR="00606574" w:rsidRPr="00174283" w:rsidRDefault="00214531" w:rsidP="00214531">
      <w:pPr>
        <w:pStyle w:val="SingleTxtG"/>
        <w:rPr>
          <w:lang w:val="fr-FR"/>
        </w:rPr>
      </w:pPr>
      <w:r>
        <w:rPr>
          <w:lang w:val="fr-FR"/>
        </w:rPr>
        <w:t>53.</w:t>
      </w:r>
      <w:r>
        <w:rPr>
          <w:lang w:val="fr-FR"/>
        </w:rPr>
        <w:tab/>
      </w:r>
      <w:r w:rsidR="0043652E" w:rsidRPr="00174283">
        <w:rPr>
          <w:lang w:val="fr-FR"/>
        </w:rPr>
        <w:t>L</w:t>
      </w:r>
      <w:r w:rsidR="00205A62">
        <w:rPr>
          <w:lang w:val="fr-FR"/>
        </w:rPr>
        <w:t>’</w:t>
      </w:r>
      <w:r w:rsidR="0043652E" w:rsidRPr="00174283">
        <w:rPr>
          <w:lang w:val="fr-FR"/>
        </w:rPr>
        <w:t>artic</w:t>
      </w:r>
      <w:r w:rsidR="00F242A5" w:rsidRPr="00174283">
        <w:rPr>
          <w:lang w:val="fr-FR"/>
        </w:rPr>
        <w:t>l</w:t>
      </w:r>
      <w:r w:rsidR="0043652E" w:rsidRPr="00174283">
        <w:rPr>
          <w:lang w:val="fr-FR"/>
        </w:rPr>
        <w:t xml:space="preserve">e 93 </w:t>
      </w:r>
      <w:r w:rsidR="00AC34B5" w:rsidRPr="00174283">
        <w:rPr>
          <w:lang w:val="fr-FR"/>
        </w:rPr>
        <w:t>stipule</w:t>
      </w:r>
      <w:r w:rsidR="0043652E" w:rsidRPr="00174283">
        <w:rPr>
          <w:lang w:val="fr-FR"/>
        </w:rPr>
        <w:t xml:space="preserve"> en particulier ce qui suit</w:t>
      </w:r>
      <w:r w:rsidR="002F51DC">
        <w:rPr>
          <w:lang w:val="fr-FR"/>
        </w:rPr>
        <w:t>:</w:t>
      </w:r>
      <w:r w:rsidR="00606574" w:rsidRPr="00174283">
        <w:rPr>
          <w:lang w:val="fr-FR"/>
        </w:rPr>
        <w:t xml:space="preserve"> </w:t>
      </w:r>
    </w:p>
    <w:p w:rsidR="00606574" w:rsidRPr="00174283" w:rsidRDefault="002F51DC" w:rsidP="00B54D69">
      <w:pPr>
        <w:pStyle w:val="SingleTxtG"/>
        <w:ind w:left="1701"/>
        <w:rPr>
          <w:lang w:val="fr-FR"/>
        </w:rPr>
      </w:pPr>
      <w:r>
        <w:rPr>
          <w:lang w:val="fr-FR"/>
        </w:rPr>
        <w:t>«</w:t>
      </w:r>
      <w:r w:rsidR="00A053EB" w:rsidRPr="00174283">
        <w:rPr>
          <w:lang w:val="fr-FR"/>
        </w:rPr>
        <w:t>1)</w:t>
      </w:r>
      <w:r w:rsidR="00A053EB" w:rsidRPr="00174283">
        <w:rPr>
          <w:lang w:val="fr-FR"/>
        </w:rPr>
        <w:tab/>
      </w:r>
      <w:r w:rsidR="0043652E" w:rsidRPr="00174283">
        <w:rPr>
          <w:lang w:val="fr-FR"/>
        </w:rPr>
        <w:t xml:space="preserve">Le bulletin de vote doit être </w:t>
      </w:r>
      <w:r w:rsidR="00F242A5" w:rsidRPr="00174283">
        <w:rPr>
          <w:lang w:val="fr-FR"/>
        </w:rPr>
        <w:t>imprimé</w:t>
      </w:r>
      <w:r w:rsidR="0043652E" w:rsidRPr="00174283">
        <w:rPr>
          <w:lang w:val="fr-FR"/>
        </w:rPr>
        <w:t xml:space="preserve"> en macédonien et en alphabet cyrillique. </w:t>
      </w:r>
    </w:p>
    <w:p w:rsidR="00606574" w:rsidRPr="00174283" w:rsidRDefault="00606574" w:rsidP="00B54D69">
      <w:pPr>
        <w:pStyle w:val="SingleTxtG"/>
        <w:ind w:left="1701"/>
        <w:rPr>
          <w:lang w:val="fr-FR"/>
        </w:rPr>
      </w:pPr>
      <w:r w:rsidRPr="00174283">
        <w:rPr>
          <w:lang w:val="fr-FR"/>
        </w:rPr>
        <w:t>2)</w:t>
      </w:r>
      <w:r w:rsidR="00A053EB" w:rsidRPr="00174283">
        <w:rPr>
          <w:lang w:val="fr-FR"/>
        </w:rPr>
        <w:tab/>
      </w:r>
      <w:r w:rsidR="0043652E" w:rsidRPr="00174283">
        <w:rPr>
          <w:lang w:val="fr-FR"/>
        </w:rPr>
        <w:t xml:space="preserve">Le nom de la personne qui </w:t>
      </w:r>
      <w:r w:rsidR="00C02F92" w:rsidRPr="00174283">
        <w:rPr>
          <w:lang w:val="fr-FR"/>
        </w:rPr>
        <w:t>présente</w:t>
      </w:r>
      <w:r w:rsidR="0043652E" w:rsidRPr="00174283">
        <w:rPr>
          <w:lang w:val="fr-FR"/>
        </w:rPr>
        <w:t xml:space="preserve"> la liste, le nom et le prénom du candidat</w:t>
      </w:r>
      <w:r w:rsidR="006A6900" w:rsidRPr="00174283">
        <w:rPr>
          <w:lang w:val="fr-FR"/>
        </w:rPr>
        <w:t xml:space="preserve"> (</w:t>
      </w:r>
      <w:r w:rsidR="0043652E" w:rsidRPr="00174283">
        <w:rPr>
          <w:lang w:val="fr-FR"/>
        </w:rPr>
        <w:t>c</w:t>
      </w:r>
      <w:r w:rsidR="00205A62">
        <w:rPr>
          <w:lang w:val="fr-FR"/>
        </w:rPr>
        <w:t>’</w:t>
      </w:r>
      <w:r w:rsidR="0043652E" w:rsidRPr="00174283">
        <w:rPr>
          <w:lang w:val="fr-FR"/>
        </w:rPr>
        <w:t>est</w:t>
      </w:r>
      <w:r w:rsidR="004A336A">
        <w:rPr>
          <w:lang w:val="fr-FR"/>
        </w:rPr>
        <w:t>-</w:t>
      </w:r>
      <w:r w:rsidR="0043652E" w:rsidRPr="00174283">
        <w:rPr>
          <w:lang w:val="fr-FR"/>
        </w:rPr>
        <w:t>à</w:t>
      </w:r>
      <w:r w:rsidR="004A336A">
        <w:rPr>
          <w:lang w:val="fr-FR"/>
        </w:rPr>
        <w:t>-</w:t>
      </w:r>
      <w:r w:rsidR="0043652E" w:rsidRPr="00174283">
        <w:rPr>
          <w:lang w:val="fr-FR"/>
        </w:rPr>
        <w:t xml:space="preserve">dire </w:t>
      </w:r>
      <w:r w:rsidR="006A6900" w:rsidRPr="00174283">
        <w:rPr>
          <w:lang w:val="fr-FR"/>
        </w:rPr>
        <w:t>d</w:t>
      </w:r>
      <w:r w:rsidR="0043652E" w:rsidRPr="00174283">
        <w:rPr>
          <w:lang w:val="fr-FR"/>
        </w:rPr>
        <w:t>e</w:t>
      </w:r>
      <w:r w:rsidR="00C02F92" w:rsidRPr="00174283">
        <w:rPr>
          <w:lang w:val="fr-FR"/>
        </w:rPr>
        <w:t xml:space="preserve"> la</w:t>
      </w:r>
      <w:r w:rsidR="0043652E" w:rsidRPr="00174283">
        <w:rPr>
          <w:lang w:val="fr-FR"/>
        </w:rPr>
        <w:t xml:space="preserve"> tête de liste</w:t>
      </w:r>
      <w:r w:rsidR="006A6900" w:rsidRPr="00174283">
        <w:rPr>
          <w:lang w:val="fr-FR"/>
        </w:rPr>
        <w:t>)</w:t>
      </w:r>
      <w:r w:rsidR="00BA73E9" w:rsidRPr="00174283">
        <w:rPr>
          <w:lang w:val="fr-FR"/>
        </w:rPr>
        <w:t xml:space="preserve"> doivent être imprimés</w:t>
      </w:r>
      <w:r w:rsidR="0043652E" w:rsidRPr="00174283">
        <w:rPr>
          <w:lang w:val="fr-FR"/>
        </w:rPr>
        <w:t xml:space="preserve"> en macédonien et en alphabet cyrillique. </w:t>
      </w:r>
    </w:p>
    <w:p w:rsidR="00606574" w:rsidRPr="00174283" w:rsidRDefault="00606574" w:rsidP="00414A69">
      <w:pPr>
        <w:pStyle w:val="SingleTxtG"/>
        <w:ind w:left="1701"/>
        <w:rPr>
          <w:lang w:val="fr-FR"/>
        </w:rPr>
      </w:pPr>
      <w:r w:rsidRPr="00174283">
        <w:rPr>
          <w:lang w:val="fr-FR"/>
        </w:rPr>
        <w:t>3)</w:t>
      </w:r>
      <w:r w:rsidR="00A053EB" w:rsidRPr="00174283">
        <w:rPr>
          <w:lang w:val="fr-FR"/>
        </w:rPr>
        <w:tab/>
      </w:r>
      <w:r w:rsidR="0043652E" w:rsidRPr="00174283">
        <w:rPr>
          <w:lang w:val="fr-FR"/>
        </w:rPr>
        <w:t xml:space="preserve">Pour les personnes </w:t>
      </w:r>
      <w:r w:rsidR="00F242A5" w:rsidRPr="00174283">
        <w:rPr>
          <w:lang w:val="fr-FR"/>
        </w:rPr>
        <w:t>appartenant</w:t>
      </w:r>
      <w:r w:rsidR="00414A69" w:rsidRPr="00174283">
        <w:rPr>
          <w:lang w:val="fr-FR"/>
        </w:rPr>
        <w:t xml:space="preserve"> </w:t>
      </w:r>
      <w:r w:rsidR="007F42AD" w:rsidRPr="00174283">
        <w:rPr>
          <w:lang w:val="fr-FR"/>
        </w:rPr>
        <w:t xml:space="preserve">aux communautés, le nom de la personne qui </w:t>
      </w:r>
      <w:r w:rsidR="00C02F92" w:rsidRPr="00174283">
        <w:rPr>
          <w:lang w:val="fr-FR"/>
        </w:rPr>
        <w:t>présente</w:t>
      </w:r>
      <w:r w:rsidR="007F42AD" w:rsidRPr="00174283">
        <w:rPr>
          <w:lang w:val="fr-FR"/>
        </w:rPr>
        <w:t xml:space="preserve"> la liste, les nom et prénom du candidat</w:t>
      </w:r>
      <w:r w:rsidR="006A6900" w:rsidRPr="00174283">
        <w:rPr>
          <w:lang w:val="fr-FR"/>
        </w:rPr>
        <w:t xml:space="preserve"> (</w:t>
      </w:r>
      <w:r w:rsidR="007F42AD" w:rsidRPr="00174283">
        <w:rPr>
          <w:lang w:val="fr-FR"/>
        </w:rPr>
        <w:t>c</w:t>
      </w:r>
      <w:r w:rsidR="00205A62">
        <w:rPr>
          <w:lang w:val="fr-FR"/>
        </w:rPr>
        <w:t>’</w:t>
      </w:r>
      <w:r w:rsidR="007F42AD" w:rsidRPr="00174283">
        <w:rPr>
          <w:lang w:val="fr-FR"/>
        </w:rPr>
        <w:t>est</w:t>
      </w:r>
      <w:r w:rsidR="004A336A">
        <w:rPr>
          <w:lang w:val="fr-FR"/>
        </w:rPr>
        <w:t>-</w:t>
      </w:r>
      <w:r w:rsidR="007F42AD" w:rsidRPr="00174283">
        <w:rPr>
          <w:lang w:val="fr-FR"/>
        </w:rPr>
        <w:t>à</w:t>
      </w:r>
      <w:r w:rsidR="004A336A">
        <w:rPr>
          <w:lang w:val="fr-FR"/>
        </w:rPr>
        <w:t>-</w:t>
      </w:r>
      <w:r w:rsidR="007F42AD" w:rsidRPr="00174283">
        <w:rPr>
          <w:lang w:val="fr-FR"/>
        </w:rPr>
        <w:t>dire</w:t>
      </w:r>
      <w:r w:rsidR="00C02F92" w:rsidRPr="00174283">
        <w:rPr>
          <w:lang w:val="fr-FR"/>
        </w:rPr>
        <w:t xml:space="preserve"> de</w:t>
      </w:r>
      <w:r w:rsidR="007F42AD" w:rsidRPr="00174283">
        <w:rPr>
          <w:lang w:val="fr-FR"/>
        </w:rPr>
        <w:t xml:space="preserve"> la tête de liste</w:t>
      </w:r>
      <w:r w:rsidR="006A6900" w:rsidRPr="00174283">
        <w:rPr>
          <w:lang w:val="fr-FR"/>
        </w:rPr>
        <w:t>)</w:t>
      </w:r>
      <w:r w:rsidR="007F42AD" w:rsidRPr="00174283">
        <w:rPr>
          <w:lang w:val="fr-FR"/>
        </w:rPr>
        <w:t xml:space="preserve"> doivent être </w:t>
      </w:r>
      <w:r w:rsidR="006A6900" w:rsidRPr="00174283">
        <w:rPr>
          <w:lang w:val="fr-FR"/>
        </w:rPr>
        <w:t>imprimés</w:t>
      </w:r>
      <w:r w:rsidR="007F42AD" w:rsidRPr="00174283">
        <w:rPr>
          <w:lang w:val="fr-FR"/>
        </w:rPr>
        <w:t xml:space="preserve"> en macédonien et en alphabet cyrillique et dans la langue et l</w:t>
      </w:r>
      <w:r w:rsidR="00205A62">
        <w:rPr>
          <w:lang w:val="fr-FR"/>
        </w:rPr>
        <w:t>’</w:t>
      </w:r>
      <w:r w:rsidR="007F42AD" w:rsidRPr="00174283">
        <w:rPr>
          <w:lang w:val="fr-FR"/>
        </w:rPr>
        <w:t>alphabet de la communauté à laquelle elle</w:t>
      </w:r>
      <w:r w:rsidR="00691ED7" w:rsidRPr="00174283">
        <w:rPr>
          <w:lang w:val="fr-FR"/>
        </w:rPr>
        <w:t>s</w:t>
      </w:r>
      <w:r w:rsidR="007F42AD" w:rsidRPr="00174283">
        <w:rPr>
          <w:lang w:val="fr-FR"/>
        </w:rPr>
        <w:t xml:space="preserve"> appartien</w:t>
      </w:r>
      <w:r w:rsidR="00691ED7" w:rsidRPr="00174283">
        <w:rPr>
          <w:lang w:val="fr-FR"/>
        </w:rPr>
        <w:t>nen</w:t>
      </w:r>
      <w:r w:rsidR="007F42AD" w:rsidRPr="00174283">
        <w:rPr>
          <w:lang w:val="fr-FR"/>
        </w:rPr>
        <w:t xml:space="preserve">t. </w:t>
      </w:r>
    </w:p>
    <w:p w:rsidR="00606574" w:rsidRPr="00174283" w:rsidRDefault="00606574" w:rsidP="00B54D69">
      <w:pPr>
        <w:pStyle w:val="SingleTxtG"/>
        <w:ind w:left="1701"/>
        <w:rPr>
          <w:lang w:val="fr-FR"/>
        </w:rPr>
      </w:pPr>
      <w:r w:rsidRPr="00174283">
        <w:rPr>
          <w:lang w:val="fr-FR"/>
        </w:rPr>
        <w:t>4)</w:t>
      </w:r>
      <w:r w:rsidR="00A053EB" w:rsidRPr="00174283">
        <w:rPr>
          <w:lang w:val="fr-FR"/>
        </w:rPr>
        <w:tab/>
      </w:r>
      <w:r w:rsidR="007F42AD" w:rsidRPr="00174283">
        <w:rPr>
          <w:lang w:val="fr-FR"/>
        </w:rPr>
        <w:t>Dans les co</w:t>
      </w:r>
      <w:r w:rsidR="00AF3595" w:rsidRPr="00174283">
        <w:rPr>
          <w:lang w:val="fr-FR"/>
        </w:rPr>
        <w:t>llectivités locales autonomes où</w:t>
      </w:r>
      <w:r w:rsidR="007F42AD" w:rsidRPr="00174283">
        <w:rPr>
          <w:lang w:val="fr-FR"/>
        </w:rPr>
        <w:t xml:space="preserve"> au moins 20 % </w:t>
      </w:r>
      <w:r w:rsidR="00691ED7" w:rsidRPr="00174283">
        <w:rPr>
          <w:lang w:val="fr-FR"/>
        </w:rPr>
        <w:t>de la population</w:t>
      </w:r>
      <w:r w:rsidR="007F42AD" w:rsidRPr="00174283">
        <w:rPr>
          <w:lang w:val="fr-FR"/>
        </w:rPr>
        <w:t xml:space="preserve"> parlent une langue officielle autre que le macédonien, les bulletins de vote doivent également </w:t>
      </w:r>
      <w:r w:rsidR="00BA73E9" w:rsidRPr="00174283">
        <w:rPr>
          <w:lang w:val="fr-FR"/>
        </w:rPr>
        <w:t xml:space="preserve">être imprimés </w:t>
      </w:r>
      <w:r w:rsidR="007F42AD" w:rsidRPr="00174283">
        <w:rPr>
          <w:lang w:val="fr-FR"/>
        </w:rPr>
        <w:t xml:space="preserve">dans les langues et </w:t>
      </w:r>
      <w:r w:rsidR="00F242A5" w:rsidRPr="00174283">
        <w:rPr>
          <w:lang w:val="fr-FR"/>
        </w:rPr>
        <w:t>alphabets</w:t>
      </w:r>
      <w:r w:rsidR="007F42AD" w:rsidRPr="00174283">
        <w:rPr>
          <w:lang w:val="fr-FR"/>
        </w:rPr>
        <w:t xml:space="preserve"> officiels utilisés par les citoyens de ladite collectivité</w:t>
      </w:r>
      <w:r w:rsidR="00C02F92" w:rsidRPr="00174283">
        <w:rPr>
          <w:lang w:val="fr-FR"/>
        </w:rPr>
        <w:t>,</w:t>
      </w:r>
      <w:r w:rsidR="007F42AD" w:rsidRPr="00174283">
        <w:rPr>
          <w:lang w:val="fr-FR"/>
        </w:rPr>
        <w:t xml:space="preserve"> en plus du macédonien et de </w:t>
      </w:r>
      <w:r w:rsidR="00F242A5" w:rsidRPr="00174283">
        <w:rPr>
          <w:lang w:val="fr-FR"/>
        </w:rPr>
        <w:t>l</w:t>
      </w:r>
      <w:r w:rsidR="00205A62">
        <w:rPr>
          <w:lang w:val="fr-FR"/>
        </w:rPr>
        <w:t>’</w:t>
      </w:r>
      <w:r w:rsidR="00F242A5" w:rsidRPr="00174283">
        <w:rPr>
          <w:lang w:val="fr-FR"/>
        </w:rPr>
        <w:t>alphabet</w:t>
      </w:r>
      <w:r w:rsidR="007F42AD" w:rsidRPr="00174283">
        <w:rPr>
          <w:lang w:val="fr-FR"/>
        </w:rPr>
        <w:t xml:space="preserve"> cyrillique.</w:t>
      </w:r>
      <w:r w:rsidR="002F51DC">
        <w:rPr>
          <w:lang w:val="fr-FR"/>
        </w:rPr>
        <w:t>»</w:t>
      </w:r>
    </w:p>
    <w:p w:rsidR="00B54D69" w:rsidRPr="00174283" w:rsidRDefault="00B54D69" w:rsidP="00B54D69">
      <w:pPr>
        <w:pStyle w:val="H23G"/>
        <w:rPr>
          <w:lang w:val="fr-FR"/>
        </w:rPr>
      </w:pPr>
      <w:r w:rsidRPr="00174283">
        <w:rPr>
          <w:lang w:val="fr-FR"/>
        </w:rPr>
        <w:tab/>
      </w:r>
      <w:r w:rsidR="005F4C93" w:rsidRPr="00174283">
        <w:rPr>
          <w:lang w:val="fr-FR"/>
        </w:rPr>
        <w:t>4</w:t>
      </w:r>
      <w:r w:rsidR="00500CEA" w:rsidRPr="00174283">
        <w:rPr>
          <w:lang w:val="fr-FR"/>
        </w:rPr>
        <w:t>.</w:t>
      </w:r>
      <w:r w:rsidR="00500CEA" w:rsidRPr="00174283">
        <w:rPr>
          <w:lang w:val="fr-FR"/>
        </w:rPr>
        <w:tab/>
        <w:t>Autres droits civils</w:t>
      </w:r>
    </w:p>
    <w:p w:rsidR="00B54D69" w:rsidRPr="00174283" w:rsidRDefault="00B54D69" w:rsidP="005F4C93">
      <w:pPr>
        <w:pStyle w:val="H23G"/>
        <w:rPr>
          <w:lang w:val="fr-FR"/>
        </w:rPr>
      </w:pPr>
      <w:r w:rsidRPr="00174283">
        <w:rPr>
          <w:lang w:val="fr-FR"/>
        </w:rPr>
        <w:tab/>
      </w:r>
      <w:r w:rsidR="005F4C93" w:rsidRPr="00174283">
        <w:rPr>
          <w:lang w:val="fr-FR"/>
        </w:rPr>
        <w:t>a)</w:t>
      </w:r>
      <w:r w:rsidRPr="00174283">
        <w:rPr>
          <w:lang w:val="fr-FR"/>
        </w:rPr>
        <w:tab/>
      </w:r>
      <w:r w:rsidR="00375AB4" w:rsidRPr="00174283">
        <w:rPr>
          <w:iCs/>
          <w:lang w:val="fr-FR"/>
        </w:rPr>
        <w:t>Droit de circuler librement et de choisir sa résidence à l</w:t>
      </w:r>
      <w:r w:rsidR="00205A62">
        <w:rPr>
          <w:iCs/>
          <w:lang w:val="fr-FR"/>
        </w:rPr>
        <w:t>’</w:t>
      </w:r>
      <w:r w:rsidR="00375AB4" w:rsidRPr="00174283">
        <w:rPr>
          <w:iCs/>
          <w:lang w:val="fr-FR"/>
        </w:rPr>
        <w:t>intérieur d</w:t>
      </w:r>
      <w:r w:rsidR="00205A62">
        <w:rPr>
          <w:iCs/>
          <w:lang w:val="fr-FR"/>
        </w:rPr>
        <w:t>’</w:t>
      </w:r>
      <w:r w:rsidR="00375AB4" w:rsidRPr="00174283">
        <w:rPr>
          <w:iCs/>
          <w:lang w:val="fr-FR"/>
        </w:rPr>
        <w:t>un État</w:t>
      </w:r>
    </w:p>
    <w:p w:rsidR="00B54D69" w:rsidRPr="00174283" w:rsidRDefault="00214531" w:rsidP="00214531">
      <w:pPr>
        <w:pStyle w:val="SingleTxtG"/>
        <w:rPr>
          <w:lang w:val="fr-FR"/>
        </w:rPr>
      </w:pPr>
      <w:r>
        <w:rPr>
          <w:lang w:val="fr-FR"/>
        </w:rPr>
        <w:t>54.</w:t>
      </w:r>
      <w:r>
        <w:rPr>
          <w:lang w:val="fr-FR"/>
        </w:rPr>
        <w:tab/>
      </w:r>
      <w:r w:rsidR="00500CEA" w:rsidRPr="00174283">
        <w:rPr>
          <w:lang w:val="fr-FR"/>
        </w:rPr>
        <w:t>Cette question a été développée dans les quatrième</w:t>
      </w:r>
      <w:r w:rsidR="00BC69E2" w:rsidRPr="00174283">
        <w:rPr>
          <w:lang w:val="fr-FR"/>
        </w:rPr>
        <w:t xml:space="preserve"> à</w:t>
      </w:r>
      <w:r w:rsidR="00500CEA" w:rsidRPr="00174283">
        <w:rPr>
          <w:lang w:val="fr-FR"/>
        </w:rPr>
        <w:t xml:space="preserve"> septième rapports périodiques. </w:t>
      </w:r>
    </w:p>
    <w:p w:rsidR="00B54D69" w:rsidRPr="00174283" w:rsidRDefault="00214531" w:rsidP="00214531">
      <w:pPr>
        <w:pStyle w:val="SingleTxtG"/>
        <w:rPr>
          <w:lang w:val="fr-FR"/>
        </w:rPr>
      </w:pPr>
      <w:r>
        <w:rPr>
          <w:lang w:val="fr-FR"/>
        </w:rPr>
        <w:t>55.</w:t>
      </w:r>
      <w:r>
        <w:rPr>
          <w:lang w:val="fr-FR"/>
        </w:rPr>
        <w:tab/>
      </w:r>
      <w:r w:rsidR="00500CEA" w:rsidRPr="00174283">
        <w:rPr>
          <w:lang w:val="fr-FR"/>
        </w:rPr>
        <w:t>Il n</w:t>
      </w:r>
      <w:r w:rsidR="00205A62">
        <w:rPr>
          <w:lang w:val="fr-FR"/>
        </w:rPr>
        <w:t>’</w:t>
      </w:r>
      <w:r w:rsidR="00500CEA" w:rsidRPr="00174283">
        <w:rPr>
          <w:lang w:val="fr-FR"/>
        </w:rPr>
        <w:t>existe pas de restrictions à la liberté de déplacement sur le territoire de la République de Macédoine, sauf aux frontières où les déplacements sont réglementés par la loi relative au franchissement des frontières de l</w:t>
      </w:r>
      <w:r w:rsidR="00205A62">
        <w:rPr>
          <w:lang w:val="fr-FR"/>
        </w:rPr>
        <w:t>’</w:t>
      </w:r>
      <w:r w:rsidR="00500CEA" w:rsidRPr="00174283">
        <w:rPr>
          <w:lang w:val="fr-FR"/>
        </w:rPr>
        <w:t xml:space="preserve">État et aux déplacements frontaliers. </w:t>
      </w:r>
    </w:p>
    <w:p w:rsidR="00B54D69" w:rsidRPr="00174283" w:rsidRDefault="00B16DD4" w:rsidP="005F4C93">
      <w:pPr>
        <w:pStyle w:val="H23G"/>
        <w:rPr>
          <w:lang w:val="fr-FR"/>
        </w:rPr>
      </w:pPr>
      <w:r w:rsidRPr="00174283">
        <w:rPr>
          <w:lang w:val="fr-FR"/>
        </w:rPr>
        <w:tab/>
      </w:r>
      <w:r w:rsidR="005F4C93" w:rsidRPr="00174283">
        <w:rPr>
          <w:lang w:val="fr-FR"/>
        </w:rPr>
        <w:t>b)</w:t>
      </w:r>
      <w:r w:rsidRPr="00174283">
        <w:rPr>
          <w:lang w:val="fr-FR"/>
        </w:rPr>
        <w:tab/>
      </w:r>
      <w:r w:rsidR="00B05634" w:rsidRPr="00174283">
        <w:rPr>
          <w:lang w:val="fr-FR"/>
        </w:rPr>
        <w:t xml:space="preserve">Droit de quitter tout pays, y compris le sien, et de revenir dans son pays </w:t>
      </w:r>
    </w:p>
    <w:p w:rsidR="00B54D69" w:rsidRPr="00174283" w:rsidRDefault="00214531" w:rsidP="00214531">
      <w:pPr>
        <w:pStyle w:val="SingleTxtG"/>
        <w:rPr>
          <w:lang w:val="fr-FR"/>
        </w:rPr>
      </w:pPr>
      <w:r>
        <w:rPr>
          <w:lang w:val="fr-FR"/>
        </w:rPr>
        <w:t>56.</w:t>
      </w:r>
      <w:r>
        <w:rPr>
          <w:lang w:val="fr-FR"/>
        </w:rPr>
        <w:tab/>
      </w:r>
      <w:r w:rsidR="00500CEA" w:rsidRPr="00174283">
        <w:rPr>
          <w:lang w:val="fr-FR"/>
        </w:rPr>
        <w:t>Cette question a été développée dans les quatrième</w:t>
      </w:r>
      <w:r w:rsidR="00BC69E2" w:rsidRPr="00174283">
        <w:rPr>
          <w:lang w:val="fr-FR"/>
        </w:rPr>
        <w:t xml:space="preserve"> à</w:t>
      </w:r>
      <w:r w:rsidR="00500CEA" w:rsidRPr="00174283">
        <w:rPr>
          <w:lang w:val="fr-FR"/>
        </w:rPr>
        <w:t xml:space="preserve"> septième rapports périodiques.</w:t>
      </w:r>
      <w:r w:rsidR="00B54D69" w:rsidRPr="00174283">
        <w:rPr>
          <w:lang w:val="fr-FR"/>
        </w:rPr>
        <w:t xml:space="preserve"> </w:t>
      </w:r>
    </w:p>
    <w:p w:rsidR="00B54D69" w:rsidRPr="00174283" w:rsidRDefault="00214531" w:rsidP="00214531">
      <w:pPr>
        <w:pStyle w:val="SingleTxtG"/>
        <w:rPr>
          <w:lang w:val="fr-FR"/>
        </w:rPr>
      </w:pPr>
      <w:r>
        <w:rPr>
          <w:lang w:val="fr-FR"/>
        </w:rPr>
        <w:t>57.</w:t>
      </w:r>
      <w:r>
        <w:rPr>
          <w:lang w:val="fr-FR"/>
        </w:rPr>
        <w:tab/>
      </w:r>
      <w:r w:rsidR="00500CEA" w:rsidRPr="00174283">
        <w:rPr>
          <w:lang w:val="fr-FR"/>
        </w:rPr>
        <w:t>L</w:t>
      </w:r>
      <w:r w:rsidR="00205A62">
        <w:rPr>
          <w:lang w:val="fr-FR"/>
        </w:rPr>
        <w:t>’</w:t>
      </w:r>
      <w:r w:rsidR="00500CEA" w:rsidRPr="00174283">
        <w:rPr>
          <w:lang w:val="fr-FR"/>
        </w:rPr>
        <w:t>a</w:t>
      </w:r>
      <w:r w:rsidR="00B54D69" w:rsidRPr="00174283">
        <w:rPr>
          <w:lang w:val="fr-FR"/>
        </w:rPr>
        <w:t xml:space="preserve">rticle 37 </w:t>
      </w:r>
      <w:r w:rsidR="00500CEA" w:rsidRPr="00174283">
        <w:rPr>
          <w:lang w:val="fr-FR"/>
        </w:rPr>
        <w:t xml:space="preserve">de la loi sur </w:t>
      </w:r>
      <w:r w:rsidR="00F242A5" w:rsidRPr="00174283">
        <w:rPr>
          <w:lang w:val="fr-FR"/>
        </w:rPr>
        <w:t>les documents</w:t>
      </w:r>
      <w:r w:rsidR="00500CEA" w:rsidRPr="00174283">
        <w:rPr>
          <w:lang w:val="fr-FR"/>
        </w:rPr>
        <w:t xml:space="preserve"> de voyage contient des dispositions </w:t>
      </w:r>
      <w:r w:rsidR="00175769" w:rsidRPr="00174283">
        <w:rPr>
          <w:lang w:val="fr-FR"/>
        </w:rPr>
        <w:t xml:space="preserve">relatives au rejet des demandes de passeport. </w:t>
      </w:r>
      <w:r w:rsidR="00774952" w:rsidRPr="00174283">
        <w:rPr>
          <w:lang w:val="fr-FR"/>
        </w:rPr>
        <w:t>C</w:t>
      </w:r>
      <w:r w:rsidR="00175769" w:rsidRPr="00174283">
        <w:rPr>
          <w:lang w:val="fr-FR"/>
        </w:rPr>
        <w:t>onformément à cet article, lorsqu</w:t>
      </w:r>
      <w:r w:rsidR="00205A62">
        <w:rPr>
          <w:lang w:val="fr-FR"/>
        </w:rPr>
        <w:t>’</w:t>
      </w:r>
      <w:r w:rsidR="00175769" w:rsidRPr="00174283">
        <w:rPr>
          <w:lang w:val="fr-FR"/>
        </w:rPr>
        <w:t>une demande de passeport est rejetée, l</w:t>
      </w:r>
      <w:r w:rsidR="00205A62">
        <w:rPr>
          <w:lang w:val="fr-FR"/>
        </w:rPr>
        <w:t>’</w:t>
      </w:r>
      <w:r w:rsidR="00175769" w:rsidRPr="00174283">
        <w:rPr>
          <w:lang w:val="fr-FR"/>
        </w:rPr>
        <w:t xml:space="preserve">organe </w:t>
      </w:r>
      <w:r w:rsidR="00B93EC4" w:rsidRPr="00174283">
        <w:rPr>
          <w:lang w:val="fr-FR"/>
        </w:rPr>
        <w:t>compétent</w:t>
      </w:r>
      <w:r w:rsidR="00175769" w:rsidRPr="00174283">
        <w:rPr>
          <w:lang w:val="fr-FR"/>
        </w:rPr>
        <w:t xml:space="preserve"> </w:t>
      </w:r>
      <w:r w:rsidR="00774952" w:rsidRPr="00174283">
        <w:rPr>
          <w:lang w:val="fr-FR"/>
        </w:rPr>
        <w:t xml:space="preserve">doit préciser les raisons et les motifs ayant conduit </w:t>
      </w:r>
      <w:r w:rsidR="00175769" w:rsidRPr="00174283">
        <w:rPr>
          <w:lang w:val="fr-FR"/>
        </w:rPr>
        <w:t>à cette décision. L</w:t>
      </w:r>
      <w:r w:rsidR="00205A62">
        <w:rPr>
          <w:lang w:val="fr-FR"/>
        </w:rPr>
        <w:t>’</w:t>
      </w:r>
      <w:r w:rsidR="005E30AE" w:rsidRPr="00174283">
        <w:rPr>
          <w:lang w:val="fr-FR"/>
        </w:rPr>
        <w:t>intéressé</w:t>
      </w:r>
      <w:r w:rsidR="00175769" w:rsidRPr="00174283">
        <w:rPr>
          <w:lang w:val="fr-FR"/>
        </w:rPr>
        <w:t xml:space="preserve"> peut </w:t>
      </w:r>
      <w:r w:rsidR="00774952" w:rsidRPr="00174283">
        <w:rPr>
          <w:lang w:val="fr-FR"/>
        </w:rPr>
        <w:t>exercer un recours</w:t>
      </w:r>
      <w:r w:rsidR="00175769" w:rsidRPr="00174283">
        <w:rPr>
          <w:lang w:val="fr-FR"/>
        </w:rPr>
        <w:t xml:space="preserve"> auprès de la commission de deuxième instance. Si la commission de deuxième instance confirme la décision, l</w:t>
      </w:r>
      <w:r w:rsidR="00205A62">
        <w:rPr>
          <w:lang w:val="fr-FR"/>
        </w:rPr>
        <w:t>’</w:t>
      </w:r>
      <w:r w:rsidR="00175769" w:rsidRPr="00174283">
        <w:rPr>
          <w:lang w:val="fr-FR"/>
        </w:rPr>
        <w:t xml:space="preserve">intéressé peut </w:t>
      </w:r>
      <w:r w:rsidR="00B93EC4" w:rsidRPr="00174283">
        <w:rPr>
          <w:lang w:val="fr-FR"/>
        </w:rPr>
        <w:t xml:space="preserve">demander </w:t>
      </w:r>
      <w:r w:rsidR="00B93EC4" w:rsidRPr="00174283">
        <w:rPr>
          <w:rStyle w:val="Emphasis"/>
          <w:i w:val="0"/>
          <w:lang w:val="fr-FR"/>
        </w:rPr>
        <w:t>l</w:t>
      </w:r>
      <w:r w:rsidR="00205A62">
        <w:rPr>
          <w:rStyle w:val="Emphasis"/>
          <w:i w:val="0"/>
          <w:lang w:val="fr-FR"/>
        </w:rPr>
        <w:t>’</w:t>
      </w:r>
      <w:r w:rsidR="00B93EC4" w:rsidRPr="00174283">
        <w:rPr>
          <w:rStyle w:val="Emphasis"/>
          <w:i w:val="0"/>
          <w:lang w:val="fr-FR"/>
        </w:rPr>
        <w:t>ouverture d</w:t>
      </w:r>
      <w:r w:rsidR="00205A62">
        <w:rPr>
          <w:rStyle w:val="Emphasis"/>
          <w:i w:val="0"/>
          <w:lang w:val="fr-FR"/>
        </w:rPr>
        <w:t>’</w:t>
      </w:r>
      <w:r w:rsidR="00B93EC4" w:rsidRPr="00174283">
        <w:rPr>
          <w:rStyle w:val="Emphasis"/>
          <w:i w:val="0"/>
          <w:lang w:val="fr-FR"/>
        </w:rPr>
        <w:t>une mesure de protection judiciaire</w:t>
      </w:r>
      <w:r w:rsidR="00B93EC4" w:rsidRPr="00174283">
        <w:rPr>
          <w:i/>
          <w:lang w:val="fr-FR"/>
        </w:rPr>
        <w:t xml:space="preserve"> </w:t>
      </w:r>
      <w:r w:rsidR="00175769" w:rsidRPr="00174283">
        <w:rPr>
          <w:lang w:val="fr-FR"/>
        </w:rPr>
        <w:t xml:space="preserve">devant le Tribunal administratif. </w:t>
      </w:r>
    </w:p>
    <w:p w:rsidR="00B54D69" w:rsidRPr="00174283" w:rsidRDefault="00B16DD4" w:rsidP="005F4C93">
      <w:pPr>
        <w:pStyle w:val="H23G"/>
        <w:rPr>
          <w:lang w:val="fr-FR"/>
        </w:rPr>
      </w:pPr>
      <w:r w:rsidRPr="00174283">
        <w:rPr>
          <w:lang w:val="fr-FR"/>
        </w:rPr>
        <w:tab/>
      </w:r>
      <w:r w:rsidR="005F4C93" w:rsidRPr="00174283">
        <w:rPr>
          <w:lang w:val="fr-FR"/>
        </w:rPr>
        <w:t>c)</w:t>
      </w:r>
      <w:r w:rsidRPr="00174283">
        <w:rPr>
          <w:lang w:val="fr-FR"/>
        </w:rPr>
        <w:tab/>
      </w:r>
      <w:r w:rsidR="00175769" w:rsidRPr="00174283">
        <w:rPr>
          <w:lang w:val="fr-FR"/>
        </w:rPr>
        <w:t>Droit à une nationalité</w:t>
      </w:r>
    </w:p>
    <w:p w:rsidR="00B54D69" w:rsidRPr="00174283" w:rsidRDefault="00214531" w:rsidP="00214531">
      <w:pPr>
        <w:pStyle w:val="SingleTxtG"/>
        <w:rPr>
          <w:lang w:val="fr-FR"/>
        </w:rPr>
      </w:pPr>
      <w:r>
        <w:rPr>
          <w:lang w:val="fr-FR"/>
        </w:rPr>
        <w:t>58.</w:t>
      </w:r>
      <w:r>
        <w:rPr>
          <w:lang w:val="fr-FR"/>
        </w:rPr>
        <w:tab/>
      </w:r>
      <w:r w:rsidR="00175769" w:rsidRPr="00174283">
        <w:rPr>
          <w:lang w:val="fr-FR"/>
        </w:rPr>
        <w:t>Cette question a été développée dans les quatrième</w:t>
      </w:r>
      <w:r w:rsidR="00D81D60" w:rsidRPr="00174283">
        <w:rPr>
          <w:lang w:val="fr-FR"/>
        </w:rPr>
        <w:t xml:space="preserve"> à</w:t>
      </w:r>
      <w:r w:rsidR="00175769" w:rsidRPr="00174283">
        <w:rPr>
          <w:lang w:val="fr-FR"/>
        </w:rPr>
        <w:t xml:space="preserve"> septième rapports périodiques.</w:t>
      </w:r>
    </w:p>
    <w:p w:rsidR="00A053EB" w:rsidRPr="00174283" w:rsidRDefault="00214531" w:rsidP="00214531">
      <w:pPr>
        <w:pStyle w:val="SingleTxtG"/>
        <w:rPr>
          <w:lang w:val="fr-FR"/>
        </w:rPr>
      </w:pPr>
      <w:r>
        <w:rPr>
          <w:lang w:val="fr-FR"/>
        </w:rPr>
        <w:t>59.</w:t>
      </w:r>
      <w:r>
        <w:rPr>
          <w:lang w:val="fr-FR"/>
        </w:rPr>
        <w:tab/>
      </w:r>
      <w:r w:rsidR="00175769" w:rsidRPr="00174283">
        <w:rPr>
          <w:lang w:val="fr-FR"/>
        </w:rPr>
        <w:t>L</w:t>
      </w:r>
      <w:r w:rsidR="00205A62">
        <w:rPr>
          <w:lang w:val="fr-FR"/>
        </w:rPr>
        <w:t>’</w:t>
      </w:r>
      <w:r w:rsidR="00175769" w:rsidRPr="00174283">
        <w:rPr>
          <w:lang w:val="fr-FR"/>
        </w:rPr>
        <w:t>a</w:t>
      </w:r>
      <w:r w:rsidR="00B54D69" w:rsidRPr="00174283">
        <w:rPr>
          <w:lang w:val="fr-FR"/>
        </w:rPr>
        <w:t xml:space="preserve">rticle 1 </w:t>
      </w:r>
      <w:r w:rsidR="00175769" w:rsidRPr="00174283">
        <w:rPr>
          <w:lang w:val="fr-FR"/>
        </w:rPr>
        <w:t>de la loi sur la nationalité de la République de Macédoine (</w:t>
      </w:r>
      <w:r w:rsidR="00175769" w:rsidRPr="006C4B2D">
        <w:rPr>
          <w:i/>
          <w:iCs/>
          <w:lang w:val="fr-FR"/>
        </w:rPr>
        <w:t>Journal officiel de la République de Macédoine</w:t>
      </w:r>
      <w:r w:rsidR="00175769" w:rsidRPr="00174283">
        <w:rPr>
          <w:lang w:val="fr-FR"/>
        </w:rPr>
        <w:t xml:space="preserve"> n</w:t>
      </w:r>
      <w:r w:rsidR="00175769" w:rsidRPr="00174283">
        <w:rPr>
          <w:vertAlign w:val="superscript"/>
          <w:lang w:val="fr-FR"/>
        </w:rPr>
        <w:t>os</w:t>
      </w:r>
      <w:r w:rsidR="00175769" w:rsidRPr="00174283">
        <w:rPr>
          <w:lang w:val="fr-FR"/>
        </w:rPr>
        <w:t> </w:t>
      </w:r>
      <w:r w:rsidR="00B54D69" w:rsidRPr="00174283">
        <w:rPr>
          <w:lang w:val="fr-FR"/>
        </w:rPr>
        <w:t xml:space="preserve">67/92, 08/04, 98/08 </w:t>
      </w:r>
      <w:r w:rsidR="00175769" w:rsidRPr="00174283">
        <w:rPr>
          <w:lang w:val="fr-FR"/>
        </w:rPr>
        <w:t>et</w:t>
      </w:r>
      <w:r w:rsidR="00B54D69" w:rsidRPr="00174283">
        <w:rPr>
          <w:lang w:val="fr-FR"/>
        </w:rPr>
        <w:t xml:space="preserve"> 158/11)</w:t>
      </w:r>
      <w:r w:rsidR="00175769" w:rsidRPr="00174283">
        <w:rPr>
          <w:lang w:val="fr-FR"/>
        </w:rPr>
        <w:t xml:space="preserve"> </w:t>
      </w:r>
      <w:r w:rsidR="003B28F5" w:rsidRPr="00174283">
        <w:rPr>
          <w:lang w:val="fr-FR"/>
        </w:rPr>
        <w:t xml:space="preserve">reprend </w:t>
      </w:r>
      <w:r w:rsidR="00175769" w:rsidRPr="00174283">
        <w:rPr>
          <w:lang w:val="fr-FR"/>
        </w:rPr>
        <w:t xml:space="preserve">la définition de nationalité </w:t>
      </w:r>
      <w:r w:rsidR="003B28F5" w:rsidRPr="00174283">
        <w:rPr>
          <w:lang w:val="fr-FR"/>
        </w:rPr>
        <w:t>adoptée par</w:t>
      </w:r>
      <w:r w:rsidR="00175769" w:rsidRPr="00174283">
        <w:rPr>
          <w:lang w:val="fr-FR"/>
        </w:rPr>
        <w:t xml:space="preserve"> la Convention</w:t>
      </w:r>
      <w:r w:rsidR="003B28F5" w:rsidRPr="00174283">
        <w:rPr>
          <w:lang w:val="fr-FR"/>
        </w:rPr>
        <w:t xml:space="preserve"> européenne sur la nationalité selon laquelle </w:t>
      </w:r>
      <w:r w:rsidR="00175769" w:rsidRPr="00174283">
        <w:rPr>
          <w:lang w:val="fr-FR"/>
        </w:rPr>
        <w:t>la nationalité désigne le lien juridique entre une personne et un État et n</w:t>
      </w:r>
      <w:r w:rsidR="00205A62">
        <w:rPr>
          <w:lang w:val="fr-FR"/>
        </w:rPr>
        <w:t>’</w:t>
      </w:r>
      <w:r w:rsidR="00175769" w:rsidRPr="00174283">
        <w:rPr>
          <w:lang w:val="fr-FR"/>
        </w:rPr>
        <w:t>indique pas l</w:t>
      </w:r>
      <w:r w:rsidR="00205A62">
        <w:rPr>
          <w:lang w:val="fr-FR"/>
        </w:rPr>
        <w:t>’</w:t>
      </w:r>
      <w:r w:rsidR="00175769" w:rsidRPr="00174283">
        <w:rPr>
          <w:lang w:val="fr-FR"/>
        </w:rPr>
        <w:t xml:space="preserve">origine ethnique de la personne. </w:t>
      </w:r>
    </w:p>
    <w:p w:rsidR="00B54D69" w:rsidRPr="00174283" w:rsidRDefault="00214531" w:rsidP="00214531">
      <w:pPr>
        <w:pStyle w:val="SingleTxtG"/>
        <w:rPr>
          <w:lang w:val="fr-FR"/>
        </w:rPr>
      </w:pPr>
      <w:r>
        <w:rPr>
          <w:lang w:val="fr-FR"/>
        </w:rPr>
        <w:t>60.</w:t>
      </w:r>
      <w:r>
        <w:rPr>
          <w:lang w:val="fr-FR"/>
        </w:rPr>
        <w:tab/>
      </w:r>
      <w:r w:rsidR="00175769" w:rsidRPr="00174283">
        <w:rPr>
          <w:lang w:val="fr-FR"/>
        </w:rPr>
        <w:t xml:space="preserve">Le Gouvernement macédonien a </w:t>
      </w:r>
      <w:r w:rsidR="009B30BD" w:rsidRPr="00174283">
        <w:rPr>
          <w:lang w:val="fr-FR"/>
        </w:rPr>
        <w:t>réalisé des progrès importants en matière de prévention et de réduction de l</w:t>
      </w:r>
      <w:r w:rsidR="00205A62">
        <w:rPr>
          <w:lang w:val="fr-FR"/>
        </w:rPr>
        <w:t>’</w:t>
      </w:r>
      <w:r w:rsidR="009B30BD" w:rsidRPr="00174283">
        <w:rPr>
          <w:lang w:val="fr-FR"/>
        </w:rPr>
        <w:t>apatridie dans le but d</w:t>
      </w:r>
      <w:r w:rsidR="00205A62">
        <w:rPr>
          <w:lang w:val="fr-FR"/>
        </w:rPr>
        <w:t>’</w:t>
      </w:r>
      <w:r w:rsidR="009B30BD" w:rsidRPr="00174283">
        <w:rPr>
          <w:lang w:val="fr-FR"/>
        </w:rPr>
        <w:t xml:space="preserve">éliminer </w:t>
      </w:r>
      <w:r w:rsidR="00916077" w:rsidRPr="00174283">
        <w:rPr>
          <w:lang w:val="fr-FR"/>
        </w:rPr>
        <w:t xml:space="preserve">complètement </w:t>
      </w:r>
      <w:r w:rsidR="009B30BD" w:rsidRPr="00174283">
        <w:rPr>
          <w:lang w:val="fr-FR"/>
        </w:rPr>
        <w:t>le risque d</w:t>
      </w:r>
      <w:r w:rsidR="00205A62">
        <w:rPr>
          <w:lang w:val="fr-FR"/>
        </w:rPr>
        <w:t>’</w:t>
      </w:r>
      <w:r w:rsidR="009B30BD" w:rsidRPr="00174283">
        <w:rPr>
          <w:lang w:val="fr-FR"/>
        </w:rPr>
        <w:t xml:space="preserve">apatridie. Au total, 4 995 résidents de longue durée (la plupart Albanais, Serbes, Roms, Bosniaques, Turcs et Croates) ont été naturalisés, conformément aux dispositions transitoires de deux ans introduites par la loi nationale pertinente en 2004. </w:t>
      </w:r>
    </w:p>
    <w:p w:rsidR="00B54D69" w:rsidRPr="00174283" w:rsidRDefault="00B16DD4" w:rsidP="005F4C93">
      <w:pPr>
        <w:pStyle w:val="H23G"/>
        <w:rPr>
          <w:lang w:val="fr-FR"/>
        </w:rPr>
      </w:pPr>
      <w:r w:rsidRPr="00174283">
        <w:rPr>
          <w:lang w:val="fr-FR"/>
        </w:rPr>
        <w:tab/>
      </w:r>
      <w:r w:rsidR="005F4C93" w:rsidRPr="00174283">
        <w:rPr>
          <w:lang w:val="fr-FR"/>
        </w:rPr>
        <w:t>d)</w:t>
      </w:r>
      <w:r w:rsidRPr="00174283">
        <w:rPr>
          <w:lang w:val="fr-FR"/>
        </w:rPr>
        <w:tab/>
      </w:r>
      <w:r w:rsidR="009B30BD" w:rsidRPr="00174283">
        <w:rPr>
          <w:lang w:val="fr-FR"/>
        </w:rPr>
        <w:t>Droit de se marier et de choisir son conjoint</w:t>
      </w:r>
    </w:p>
    <w:p w:rsidR="00B54D69" w:rsidRPr="00174283" w:rsidRDefault="00214531" w:rsidP="00214531">
      <w:pPr>
        <w:pStyle w:val="SingleTxtG"/>
        <w:rPr>
          <w:lang w:val="fr-FR"/>
        </w:rPr>
      </w:pPr>
      <w:r>
        <w:rPr>
          <w:lang w:val="fr-FR"/>
        </w:rPr>
        <w:t>61.</w:t>
      </w:r>
      <w:r>
        <w:rPr>
          <w:lang w:val="fr-FR"/>
        </w:rPr>
        <w:tab/>
      </w:r>
      <w:r w:rsidR="009B30BD" w:rsidRPr="00174283">
        <w:rPr>
          <w:lang w:val="fr-FR"/>
        </w:rPr>
        <w:t xml:space="preserve">Cette question a été </w:t>
      </w:r>
      <w:r w:rsidR="00224900" w:rsidRPr="00174283">
        <w:rPr>
          <w:lang w:val="fr-FR"/>
        </w:rPr>
        <w:t>développée</w:t>
      </w:r>
      <w:r w:rsidR="009B30BD" w:rsidRPr="00174283">
        <w:rPr>
          <w:lang w:val="fr-FR"/>
        </w:rPr>
        <w:t xml:space="preserve"> dans les quatrième</w:t>
      </w:r>
      <w:r w:rsidR="00D81D60" w:rsidRPr="00174283">
        <w:rPr>
          <w:lang w:val="fr-FR"/>
        </w:rPr>
        <w:t xml:space="preserve"> à</w:t>
      </w:r>
      <w:r w:rsidR="009B30BD" w:rsidRPr="00174283">
        <w:rPr>
          <w:lang w:val="fr-FR"/>
        </w:rPr>
        <w:t xml:space="preserve"> septième rapports périodiques.</w:t>
      </w:r>
    </w:p>
    <w:p w:rsidR="00B54D69" w:rsidRPr="00174283" w:rsidRDefault="00B16DD4" w:rsidP="005F4C93">
      <w:pPr>
        <w:pStyle w:val="H23G"/>
        <w:rPr>
          <w:lang w:val="fr-FR"/>
        </w:rPr>
      </w:pPr>
      <w:r w:rsidRPr="00174283">
        <w:rPr>
          <w:lang w:val="fr-FR"/>
        </w:rPr>
        <w:tab/>
      </w:r>
      <w:r w:rsidR="005F4C93" w:rsidRPr="00174283">
        <w:rPr>
          <w:lang w:val="fr-FR"/>
        </w:rPr>
        <w:t>e)</w:t>
      </w:r>
      <w:r w:rsidRPr="00174283">
        <w:rPr>
          <w:lang w:val="fr-FR"/>
        </w:rPr>
        <w:tab/>
      </w:r>
      <w:r w:rsidR="009B30BD" w:rsidRPr="00174283">
        <w:rPr>
          <w:lang w:val="fr-FR"/>
        </w:rPr>
        <w:t xml:space="preserve">Droit </w:t>
      </w:r>
      <w:r w:rsidR="00224900" w:rsidRPr="00174283">
        <w:rPr>
          <w:lang w:val="fr-FR"/>
        </w:rPr>
        <w:t>à la propriété</w:t>
      </w:r>
    </w:p>
    <w:p w:rsidR="00B54D69" w:rsidRPr="00174283" w:rsidRDefault="00214531" w:rsidP="00214531">
      <w:pPr>
        <w:pStyle w:val="SingleTxtG"/>
        <w:rPr>
          <w:lang w:val="fr-FR"/>
        </w:rPr>
      </w:pPr>
      <w:r>
        <w:rPr>
          <w:lang w:val="fr-FR"/>
        </w:rPr>
        <w:t>62.</w:t>
      </w:r>
      <w:r>
        <w:rPr>
          <w:lang w:val="fr-FR"/>
        </w:rPr>
        <w:tab/>
      </w:r>
      <w:r w:rsidR="00224900" w:rsidRPr="00174283">
        <w:rPr>
          <w:lang w:val="fr-FR"/>
        </w:rPr>
        <w:t>Cette question a été développée dans les quatrième</w:t>
      </w:r>
      <w:r w:rsidR="00D81D60" w:rsidRPr="00174283">
        <w:rPr>
          <w:lang w:val="fr-FR"/>
        </w:rPr>
        <w:t xml:space="preserve"> à</w:t>
      </w:r>
      <w:r w:rsidR="00224900" w:rsidRPr="00174283">
        <w:rPr>
          <w:lang w:val="fr-FR"/>
        </w:rPr>
        <w:t xml:space="preserve"> septième rapports périodiques.</w:t>
      </w:r>
    </w:p>
    <w:p w:rsidR="00B54D69" w:rsidRPr="00174283" w:rsidRDefault="00B16DD4" w:rsidP="005F4C93">
      <w:pPr>
        <w:pStyle w:val="H23G"/>
        <w:rPr>
          <w:lang w:val="fr-FR"/>
        </w:rPr>
      </w:pPr>
      <w:r w:rsidRPr="00174283">
        <w:rPr>
          <w:lang w:val="fr-FR"/>
        </w:rPr>
        <w:tab/>
      </w:r>
      <w:r w:rsidR="005F4C93" w:rsidRPr="00174283">
        <w:rPr>
          <w:lang w:val="fr-FR"/>
        </w:rPr>
        <w:t>f)</w:t>
      </w:r>
      <w:r w:rsidRPr="00174283">
        <w:rPr>
          <w:lang w:val="fr-FR"/>
        </w:rPr>
        <w:tab/>
      </w:r>
      <w:r w:rsidR="00224900" w:rsidRPr="00174283">
        <w:rPr>
          <w:lang w:val="fr-FR"/>
        </w:rPr>
        <w:t>Droit d</w:t>
      </w:r>
      <w:r w:rsidR="00205A62">
        <w:rPr>
          <w:lang w:val="fr-FR"/>
        </w:rPr>
        <w:t>’</w:t>
      </w:r>
      <w:r w:rsidR="00224900" w:rsidRPr="00174283">
        <w:rPr>
          <w:lang w:val="fr-FR"/>
        </w:rPr>
        <w:t>hériter</w:t>
      </w:r>
    </w:p>
    <w:p w:rsidR="005246EF" w:rsidRPr="00174283" w:rsidRDefault="00214531" w:rsidP="00214531">
      <w:pPr>
        <w:pStyle w:val="SingleTxtG"/>
        <w:rPr>
          <w:lang w:val="fr-FR"/>
        </w:rPr>
      </w:pPr>
      <w:r>
        <w:rPr>
          <w:lang w:val="fr-FR"/>
        </w:rPr>
        <w:t>63.</w:t>
      </w:r>
      <w:r>
        <w:rPr>
          <w:lang w:val="fr-FR"/>
        </w:rPr>
        <w:tab/>
      </w:r>
      <w:r w:rsidR="00224900" w:rsidRPr="00174283">
        <w:rPr>
          <w:lang w:val="fr-FR"/>
        </w:rPr>
        <w:t>L</w:t>
      </w:r>
      <w:r w:rsidR="00205A62">
        <w:rPr>
          <w:lang w:val="fr-FR"/>
        </w:rPr>
        <w:t>’</w:t>
      </w:r>
      <w:r w:rsidR="00224900" w:rsidRPr="00174283">
        <w:rPr>
          <w:lang w:val="fr-FR"/>
        </w:rPr>
        <w:t>a</w:t>
      </w:r>
      <w:r w:rsidR="00B54D69" w:rsidRPr="00174283">
        <w:rPr>
          <w:lang w:val="fr-FR"/>
        </w:rPr>
        <w:t xml:space="preserve">rticle 3 </w:t>
      </w:r>
      <w:r w:rsidR="00224900" w:rsidRPr="00174283">
        <w:rPr>
          <w:lang w:val="fr-FR"/>
        </w:rPr>
        <w:t xml:space="preserve">de la loi </w:t>
      </w:r>
      <w:r w:rsidR="00396C45" w:rsidRPr="00174283">
        <w:rPr>
          <w:lang w:val="fr-FR"/>
        </w:rPr>
        <w:t>sur les</w:t>
      </w:r>
      <w:r w:rsidR="00224900" w:rsidRPr="00174283">
        <w:rPr>
          <w:lang w:val="fr-FR"/>
        </w:rPr>
        <w:t xml:space="preserve"> succession</w:t>
      </w:r>
      <w:r w:rsidR="00396C45" w:rsidRPr="00174283">
        <w:rPr>
          <w:lang w:val="fr-FR"/>
        </w:rPr>
        <w:t>s</w:t>
      </w:r>
      <w:r w:rsidR="00224900" w:rsidRPr="00174283">
        <w:rPr>
          <w:lang w:val="fr-FR"/>
        </w:rPr>
        <w:t xml:space="preserve"> prévoit que dans des conditions identiques, </w:t>
      </w:r>
      <w:r w:rsidR="00E135E6" w:rsidRPr="00174283">
        <w:rPr>
          <w:lang w:val="fr-FR"/>
        </w:rPr>
        <w:t>le droit d</w:t>
      </w:r>
      <w:r w:rsidR="00205A62">
        <w:rPr>
          <w:lang w:val="fr-FR"/>
        </w:rPr>
        <w:t>’</w:t>
      </w:r>
      <w:r w:rsidR="00E135E6" w:rsidRPr="00174283">
        <w:rPr>
          <w:lang w:val="fr-FR"/>
        </w:rPr>
        <w:t xml:space="preserve">hériter est un droit </w:t>
      </w:r>
      <w:r w:rsidR="00F242A5" w:rsidRPr="00174283">
        <w:rPr>
          <w:lang w:val="fr-FR"/>
        </w:rPr>
        <w:t>universel</w:t>
      </w:r>
      <w:r w:rsidR="00E135E6" w:rsidRPr="00174283">
        <w:rPr>
          <w:lang w:val="fr-FR"/>
        </w:rPr>
        <w:t xml:space="preserve"> dont jouissent tous les citoyens macédoniens dans des conditions d</w:t>
      </w:r>
      <w:r w:rsidR="00205A62">
        <w:rPr>
          <w:lang w:val="fr-FR"/>
        </w:rPr>
        <w:t>’</w:t>
      </w:r>
      <w:r w:rsidR="00E135E6" w:rsidRPr="00174283">
        <w:rPr>
          <w:lang w:val="fr-FR"/>
        </w:rPr>
        <w:t xml:space="preserve">égalité. </w:t>
      </w:r>
      <w:r w:rsidR="005246EF" w:rsidRPr="00174283">
        <w:rPr>
          <w:lang w:val="fr-FR"/>
        </w:rPr>
        <w:t>Les ressortissants étrangers résidant en République de Macédoine ont les mêmes droits en matière de succession que les ressortissants macédoniens, sous réserve de réciprocité</w:t>
      </w:r>
    </w:p>
    <w:p w:rsidR="00B54D69" w:rsidRPr="00174283" w:rsidRDefault="00B16DD4" w:rsidP="005F4C93">
      <w:pPr>
        <w:pStyle w:val="H23G"/>
        <w:rPr>
          <w:lang w:val="fr-FR"/>
        </w:rPr>
      </w:pPr>
      <w:r w:rsidRPr="00174283">
        <w:rPr>
          <w:lang w:val="fr-FR"/>
        </w:rPr>
        <w:tab/>
      </w:r>
      <w:r w:rsidR="005F4C93" w:rsidRPr="00174283">
        <w:rPr>
          <w:lang w:val="fr-FR"/>
        </w:rPr>
        <w:t>g)</w:t>
      </w:r>
      <w:r w:rsidRPr="00174283">
        <w:rPr>
          <w:lang w:val="fr-FR"/>
        </w:rPr>
        <w:tab/>
      </w:r>
      <w:r w:rsidR="00E135E6" w:rsidRPr="00174283">
        <w:rPr>
          <w:lang w:val="fr-FR"/>
        </w:rPr>
        <w:t xml:space="preserve">Droit à la liberté de pensée, de conscience et de </w:t>
      </w:r>
      <w:r w:rsidR="00B54D69" w:rsidRPr="00174283">
        <w:rPr>
          <w:lang w:val="fr-FR"/>
        </w:rPr>
        <w:t>religion</w:t>
      </w:r>
    </w:p>
    <w:p w:rsidR="00B54D69" w:rsidRPr="00174283" w:rsidRDefault="00214531" w:rsidP="00214531">
      <w:pPr>
        <w:pStyle w:val="SingleTxtG"/>
        <w:rPr>
          <w:lang w:val="fr-FR"/>
        </w:rPr>
      </w:pPr>
      <w:r>
        <w:rPr>
          <w:lang w:val="fr-FR"/>
        </w:rPr>
        <w:t>64.</w:t>
      </w:r>
      <w:r>
        <w:rPr>
          <w:lang w:val="fr-FR"/>
        </w:rPr>
        <w:tab/>
      </w:r>
      <w:r w:rsidR="00E135E6" w:rsidRPr="00174283">
        <w:rPr>
          <w:lang w:val="fr-FR"/>
        </w:rPr>
        <w:t>Cette question a été développée dans les quatrième</w:t>
      </w:r>
      <w:r w:rsidR="00D81D60" w:rsidRPr="00174283">
        <w:rPr>
          <w:lang w:val="fr-FR"/>
        </w:rPr>
        <w:t xml:space="preserve"> à</w:t>
      </w:r>
      <w:r w:rsidR="00E135E6" w:rsidRPr="00174283">
        <w:rPr>
          <w:lang w:val="fr-FR"/>
        </w:rPr>
        <w:t xml:space="preserve"> septième rapports périodiques.</w:t>
      </w:r>
    </w:p>
    <w:p w:rsidR="00B54D69" w:rsidRPr="00174283" w:rsidRDefault="00214531" w:rsidP="00214531">
      <w:pPr>
        <w:pStyle w:val="SingleTxtG"/>
        <w:rPr>
          <w:lang w:val="fr-FR"/>
        </w:rPr>
      </w:pPr>
      <w:r>
        <w:rPr>
          <w:lang w:val="fr-FR"/>
        </w:rPr>
        <w:t>65.</w:t>
      </w:r>
      <w:r>
        <w:rPr>
          <w:lang w:val="fr-FR"/>
        </w:rPr>
        <w:tab/>
      </w:r>
      <w:r w:rsidR="00E135E6" w:rsidRPr="00174283">
        <w:rPr>
          <w:lang w:val="fr-FR"/>
        </w:rPr>
        <w:t>La Macédoine est un État laïc. La liberté de religion est garanti</w:t>
      </w:r>
      <w:r w:rsidR="00B137A8" w:rsidRPr="00174283">
        <w:rPr>
          <w:lang w:val="fr-FR"/>
        </w:rPr>
        <w:t>e</w:t>
      </w:r>
      <w:r w:rsidR="00E135E6" w:rsidRPr="00174283">
        <w:rPr>
          <w:lang w:val="fr-FR"/>
        </w:rPr>
        <w:t xml:space="preserve"> par l</w:t>
      </w:r>
      <w:r w:rsidR="00205A62">
        <w:rPr>
          <w:lang w:val="fr-FR"/>
        </w:rPr>
        <w:t>’</w:t>
      </w:r>
      <w:r w:rsidR="00E135E6" w:rsidRPr="00174283">
        <w:rPr>
          <w:lang w:val="fr-FR"/>
        </w:rPr>
        <w:t>article 19 de la Constitution, lequel consacre la séparation de l</w:t>
      </w:r>
      <w:r w:rsidR="00205A62">
        <w:rPr>
          <w:lang w:val="fr-FR"/>
        </w:rPr>
        <w:t>’</w:t>
      </w:r>
      <w:r w:rsidR="00E135E6" w:rsidRPr="00174283">
        <w:rPr>
          <w:lang w:val="fr-FR"/>
        </w:rPr>
        <w:t>Église et de l</w:t>
      </w:r>
      <w:r w:rsidR="00205A62">
        <w:rPr>
          <w:lang w:val="fr-FR"/>
        </w:rPr>
        <w:t>’</w:t>
      </w:r>
      <w:r w:rsidR="00E135E6" w:rsidRPr="00174283">
        <w:rPr>
          <w:lang w:val="fr-FR"/>
        </w:rPr>
        <w:t>État et l</w:t>
      </w:r>
      <w:r w:rsidR="00205A62">
        <w:rPr>
          <w:lang w:val="fr-FR"/>
        </w:rPr>
        <w:t>’</w:t>
      </w:r>
      <w:r w:rsidR="00E135E6" w:rsidRPr="00174283">
        <w:rPr>
          <w:lang w:val="fr-FR"/>
        </w:rPr>
        <w:t>égalité devant la loi de l</w:t>
      </w:r>
      <w:r w:rsidR="00205A62">
        <w:rPr>
          <w:lang w:val="fr-FR"/>
        </w:rPr>
        <w:t>’</w:t>
      </w:r>
      <w:r w:rsidR="00E135E6" w:rsidRPr="00174283">
        <w:rPr>
          <w:lang w:val="fr-FR"/>
        </w:rPr>
        <w:t xml:space="preserve">Église orthodoxe macédonienne, de la </w:t>
      </w:r>
      <w:r w:rsidR="008B3468" w:rsidRPr="00174283">
        <w:rPr>
          <w:lang w:val="fr-FR"/>
        </w:rPr>
        <w:t>communauté islamique de Macédoine, de l</w:t>
      </w:r>
      <w:r w:rsidR="00205A62">
        <w:rPr>
          <w:lang w:val="fr-FR"/>
        </w:rPr>
        <w:t>’</w:t>
      </w:r>
      <w:r w:rsidR="008B3468" w:rsidRPr="00174283">
        <w:rPr>
          <w:lang w:val="fr-FR"/>
        </w:rPr>
        <w:t>Église catholique, de l</w:t>
      </w:r>
      <w:r w:rsidR="00205A62">
        <w:rPr>
          <w:lang w:val="fr-FR"/>
        </w:rPr>
        <w:t>’</w:t>
      </w:r>
      <w:r w:rsidR="008B3468" w:rsidRPr="00174283">
        <w:rPr>
          <w:lang w:val="fr-FR"/>
        </w:rPr>
        <w:t xml:space="preserve">Église méthodiste évangélique, de la communauté juive et des autres communautés et groupes religieux existant dans le pays. </w:t>
      </w:r>
    </w:p>
    <w:p w:rsidR="00B54D69" w:rsidRPr="00174283" w:rsidRDefault="00214531" w:rsidP="00214531">
      <w:pPr>
        <w:pStyle w:val="SingleTxtG"/>
        <w:rPr>
          <w:lang w:val="fr-FR"/>
        </w:rPr>
      </w:pPr>
      <w:r>
        <w:rPr>
          <w:lang w:val="fr-FR"/>
        </w:rPr>
        <w:t>66.</w:t>
      </w:r>
      <w:r>
        <w:rPr>
          <w:lang w:val="fr-FR"/>
        </w:rPr>
        <w:tab/>
      </w:r>
      <w:r w:rsidR="00817BD6" w:rsidRPr="00174283">
        <w:rPr>
          <w:lang w:val="fr-FR"/>
        </w:rPr>
        <w:t>L</w:t>
      </w:r>
      <w:r w:rsidR="00205A62">
        <w:rPr>
          <w:lang w:val="fr-FR"/>
        </w:rPr>
        <w:t>’</w:t>
      </w:r>
      <w:r w:rsidR="006B0193">
        <w:rPr>
          <w:lang w:val="fr-FR"/>
        </w:rPr>
        <w:t>Assemblée</w:t>
      </w:r>
      <w:r w:rsidR="008B3468" w:rsidRPr="00174283">
        <w:rPr>
          <w:lang w:val="fr-FR"/>
        </w:rPr>
        <w:t xml:space="preserve"> a adopté la loi sur le statut juridique des Églises, </w:t>
      </w:r>
      <w:r w:rsidR="00817BD6" w:rsidRPr="00174283">
        <w:rPr>
          <w:lang w:val="fr-FR"/>
        </w:rPr>
        <w:t xml:space="preserve">des </w:t>
      </w:r>
      <w:r w:rsidR="008B3468" w:rsidRPr="00174283">
        <w:rPr>
          <w:lang w:val="fr-FR"/>
        </w:rPr>
        <w:t xml:space="preserve">communautés </w:t>
      </w:r>
      <w:r w:rsidR="00817BD6" w:rsidRPr="00174283">
        <w:rPr>
          <w:lang w:val="fr-FR"/>
        </w:rPr>
        <w:t xml:space="preserve">religieuses et des </w:t>
      </w:r>
      <w:r w:rsidR="008B3468" w:rsidRPr="00174283">
        <w:rPr>
          <w:lang w:val="fr-FR"/>
        </w:rPr>
        <w:t>groupes religieux</w:t>
      </w:r>
      <w:r w:rsidR="00817BD6" w:rsidRPr="00174283">
        <w:rPr>
          <w:lang w:val="fr-FR"/>
        </w:rPr>
        <w:t xml:space="preserve"> en septembre 2007</w:t>
      </w:r>
      <w:r w:rsidR="008B3468" w:rsidRPr="00174283">
        <w:rPr>
          <w:lang w:val="fr-FR"/>
        </w:rPr>
        <w:t>. Cette loi réglemente l</w:t>
      </w:r>
      <w:r w:rsidR="00205A62">
        <w:rPr>
          <w:lang w:val="fr-FR"/>
        </w:rPr>
        <w:t>’</w:t>
      </w:r>
      <w:r w:rsidR="008B3468" w:rsidRPr="00174283">
        <w:rPr>
          <w:lang w:val="fr-FR"/>
        </w:rPr>
        <w:t>établissement et le statut juridique des Églises, communautés religieuses et groupes religieux</w:t>
      </w:r>
      <w:r w:rsidR="00173FAC" w:rsidRPr="00174283">
        <w:rPr>
          <w:lang w:val="fr-FR"/>
        </w:rPr>
        <w:t>, de même que</w:t>
      </w:r>
      <w:r w:rsidR="008B3468" w:rsidRPr="00174283">
        <w:rPr>
          <w:lang w:val="fr-FR"/>
        </w:rPr>
        <w:t xml:space="preserve"> les services religieux, </w:t>
      </w:r>
      <w:r w:rsidR="00173FAC" w:rsidRPr="00174283">
        <w:rPr>
          <w:lang w:val="fr-FR"/>
        </w:rPr>
        <w:t>les cultes</w:t>
      </w:r>
      <w:r w:rsidR="008B3468" w:rsidRPr="00174283">
        <w:rPr>
          <w:lang w:val="fr-FR"/>
        </w:rPr>
        <w:t xml:space="preserve"> et rites religieux, l</w:t>
      </w:r>
      <w:r w:rsidR="00205A62">
        <w:rPr>
          <w:lang w:val="fr-FR"/>
        </w:rPr>
        <w:t>’</w:t>
      </w:r>
      <w:r w:rsidR="008B3468" w:rsidRPr="00174283">
        <w:rPr>
          <w:lang w:val="fr-FR"/>
        </w:rPr>
        <w:t>enseignement religieux et les activités éducatives, le</w:t>
      </w:r>
      <w:r w:rsidR="00D81D60" w:rsidRPr="00174283">
        <w:rPr>
          <w:lang w:val="fr-FR"/>
        </w:rPr>
        <w:t>s sources de</w:t>
      </w:r>
      <w:r w:rsidR="008B3468" w:rsidRPr="00174283">
        <w:rPr>
          <w:lang w:val="fr-FR"/>
        </w:rPr>
        <w:t xml:space="preserve"> revenu ainsi que d</w:t>
      </w:r>
      <w:r w:rsidR="0012576B" w:rsidRPr="00174283">
        <w:rPr>
          <w:lang w:val="fr-FR"/>
        </w:rPr>
        <w:t xml:space="preserve">iverses </w:t>
      </w:r>
      <w:r w:rsidR="008B3468" w:rsidRPr="00174283">
        <w:rPr>
          <w:lang w:val="fr-FR"/>
        </w:rPr>
        <w:t>autres questions.</w:t>
      </w:r>
    </w:p>
    <w:p w:rsidR="00B54D69" w:rsidRPr="00174283" w:rsidRDefault="00403721" w:rsidP="00403721">
      <w:pPr>
        <w:pStyle w:val="SingleTxtG"/>
        <w:rPr>
          <w:lang w:val="fr-FR"/>
        </w:rPr>
      </w:pPr>
      <w:r>
        <w:rPr>
          <w:lang w:val="fr-FR"/>
        </w:rPr>
        <w:t>67.</w:t>
      </w:r>
      <w:r>
        <w:rPr>
          <w:lang w:val="fr-FR"/>
        </w:rPr>
        <w:tab/>
      </w:r>
      <w:r w:rsidR="008B3468" w:rsidRPr="00174283">
        <w:rPr>
          <w:lang w:val="fr-FR"/>
        </w:rPr>
        <w:t>Les Églises</w:t>
      </w:r>
      <w:r w:rsidR="005E4610" w:rsidRPr="00174283">
        <w:rPr>
          <w:lang w:val="fr-FR"/>
        </w:rPr>
        <w:t>,</w:t>
      </w:r>
      <w:r w:rsidR="008B3468" w:rsidRPr="00174283">
        <w:rPr>
          <w:lang w:val="fr-FR"/>
        </w:rPr>
        <w:t xml:space="preserve"> </w:t>
      </w:r>
      <w:r w:rsidR="00F242A5" w:rsidRPr="00174283">
        <w:rPr>
          <w:lang w:val="fr-FR"/>
        </w:rPr>
        <w:t>communautés</w:t>
      </w:r>
      <w:r w:rsidR="008B3468" w:rsidRPr="00174283">
        <w:rPr>
          <w:lang w:val="fr-FR"/>
        </w:rPr>
        <w:t xml:space="preserve"> </w:t>
      </w:r>
      <w:r w:rsidR="005E4610" w:rsidRPr="00174283">
        <w:rPr>
          <w:lang w:val="fr-FR"/>
        </w:rPr>
        <w:t xml:space="preserve">religieuses </w:t>
      </w:r>
      <w:r w:rsidR="008B3468" w:rsidRPr="00174283">
        <w:rPr>
          <w:lang w:val="fr-FR"/>
        </w:rPr>
        <w:t xml:space="preserve">et groupes religieux sont inscrits au Registre </w:t>
      </w:r>
      <w:r w:rsidR="0032362D" w:rsidRPr="00174283">
        <w:rPr>
          <w:lang w:val="fr-FR"/>
        </w:rPr>
        <w:t xml:space="preserve">central </w:t>
      </w:r>
      <w:r w:rsidR="00173FAC" w:rsidRPr="00174283">
        <w:rPr>
          <w:lang w:val="fr-FR"/>
        </w:rPr>
        <w:t>des</w:t>
      </w:r>
      <w:r w:rsidR="008B3468" w:rsidRPr="00174283">
        <w:rPr>
          <w:lang w:val="fr-FR"/>
        </w:rPr>
        <w:t xml:space="preserve"> Églises</w:t>
      </w:r>
      <w:r w:rsidR="00173FAC" w:rsidRPr="00174283">
        <w:rPr>
          <w:lang w:val="fr-FR"/>
        </w:rPr>
        <w:t>,</w:t>
      </w:r>
      <w:r w:rsidR="008B3468" w:rsidRPr="00174283">
        <w:rPr>
          <w:lang w:val="fr-FR"/>
        </w:rPr>
        <w:t xml:space="preserve"> communautés </w:t>
      </w:r>
      <w:r w:rsidR="005E4610" w:rsidRPr="00174283">
        <w:rPr>
          <w:lang w:val="fr-FR"/>
        </w:rPr>
        <w:t xml:space="preserve">religieuses </w:t>
      </w:r>
      <w:r w:rsidR="008B3468" w:rsidRPr="00174283">
        <w:rPr>
          <w:lang w:val="fr-FR"/>
        </w:rPr>
        <w:t>et groupes religieux et acquièrent ce faisant le statut d</w:t>
      </w:r>
      <w:r w:rsidR="00205A62">
        <w:rPr>
          <w:lang w:val="fr-FR"/>
        </w:rPr>
        <w:t>’</w:t>
      </w:r>
      <w:r w:rsidR="008B3468" w:rsidRPr="00174283">
        <w:rPr>
          <w:lang w:val="fr-FR"/>
        </w:rPr>
        <w:t>entité juridique. Organe public indépendant, la Commission des relations avec les c</w:t>
      </w:r>
      <w:r w:rsidR="009F5DC7" w:rsidRPr="00174283">
        <w:rPr>
          <w:lang w:val="fr-FR"/>
        </w:rPr>
        <w:t>ommunautés et groupes religieux</w:t>
      </w:r>
      <w:r w:rsidR="008B3468" w:rsidRPr="00174283">
        <w:rPr>
          <w:lang w:val="fr-FR"/>
        </w:rPr>
        <w:t xml:space="preserve"> </w:t>
      </w:r>
      <w:r w:rsidR="0032362D" w:rsidRPr="00174283">
        <w:rPr>
          <w:lang w:val="fr-FR"/>
        </w:rPr>
        <w:t>s</w:t>
      </w:r>
      <w:r w:rsidR="00205A62">
        <w:rPr>
          <w:lang w:val="fr-FR"/>
        </w:rPr>
        <w:t>’</w:t>
      </w:r>
      <w:r w:rsidR="0032362D" w:rsidRPr="00174283">
        <w:rPr>
          <w:lang w:val="fr-FR"/>
        </w:rPr>
        <w:t>occupe du</w:t>
      </w:r>
      <w:r w:rsidR="008B3468" w:rsidRPr="00174283">
        <w:rPr>
          <w:lang w:val="fr-FR"/>
        </w:rPr>
        <w:t xml:space="preserve"> statut juridique des Églises</w:t>
      </w:r>
      <w:r w:rsidR="005833E1" w:rsidRPr="00174283">
        <w:rPr>
          <w:lang w:val="fr-FR"/>
        </w:rPr>
        <w:t>,</w:t>
      </w:r>
      <w:r w:rsidR="008B3468" w:rsidRPr="00174283">
        <w:rPr>
          <w:lang w:val="fr-FR"/>
        </w:rPr>
        <w:t xml:space="preserve"> communautés et groupes religieux et </w:t>
      </w:r>
      <w:r w:rsidR="0032362D" w:rsidRPr="00174283">
        <w:rPr>
          <w:lang w:val="fr-FR"/>
        </w:rPr>
        <w:t>d</w:t>
      </w:r>
      <w:r w:rsidR="008B3468" w:rsidRPr="00174283">
        <w:rPr>
          <w:lang w:val="fr-FR"/>
        </w:rPr>
        <w:t xml:space="preserve">es relations </w:t>
      </w:r>
      <w:r w:rsidR="0032362D" w:rsidRPr="00174283">
        <w:rPr>
          <w:lang w:val="fr-FR"/>
        </w:rPr>
        <w:t>de ces groupes avec</w:t>
      </w:r>
      <w:r w:rsidR="008B3468" w:rsidRPr="00174283">
        <w:rPr>
          <w:lang w:val="fr-FR"/>
        </w:rPr>
        <w:t xml:space="preserve"> l</w:t>
      </w:r>
      <w:r w:rsidR="00205A62">
        <w:rPr>
          <w:lang w:val="fr-FR"/>
        </w:rPr>
        <w:t>’</w:t>
      </w:r>
      <w:r w:rsidR="008B3468" w:rsidRPr="00174283">
        <w:rPr>
          <w:lang w:val="fr-FR"/>
        </w:rPr>
        <w:t xml:space="preserve">État. </w:t>
      </w:r>
    </w:p>
    <w:p w:rsidR="00B54D69" w:rsidRPr="00174283" w:rsidRDefault="00403721" w:rsidP="00403721">
      <w:pPr>
        <w:pStyle w:val="SingleTxtG"/>
        <w:rPr>
          <w:lang w:val="fr-FR"/>
        </w:rPr>
      </w:pPr>
      <w:r>
        <w:rPr>
          <w:lang w:val="fr-FR"/>
        </w:rPr>
        <w:t>68.</w:t>
      </w:r>
      <w:r>
        <w:rPr>
          <w:lang w:val="fr-FR"/>
        </w:rPr>
        <w:tab/>
      </w:r>
      <w:r w:rsidR="0012576B" w:rsidRPr="00174283">
        <w:rPr>
          <w:lang w:val="fr-FR"/>
        </w:rPr>
        <w:t xml:space="preserve">À la fin </w:t>
      </w:r>
      <w:r w:rsidR="008B3468" w:rsidRPr="00174283">
        <w:rPr>
          <w:lang w:val="fr-FR"/>
        </w:rPr>
        <w:t xml:space="preserve">avril </w:t>
      </w:r>
      <w:r w:rsidR="00B54D69" w:rsidRPr="00174283">
        <w:rPr>
          <w:lang w:val="fr-FR"/>
        </w:rPr>
        <w:t xml:space="preserve">2013, </w:t>
      </w:r>
      <w:r w:rsidR="008258C2" w:rsidRPr="00174283">
        <w:rPr>
          <w:lang w:val="fr-FR"/>
        </w:rPr>
        <w:t>le nombre total d</w:t>
      </w:r>
      <w:r w:rsidR="00205A62">
        <w:rPr>
          <w:lang w:val="fr-FR"/>
        </w:rPr>
        <w:t>’</w:t>
      </w:r>
      <w:r w:rsidR="00F242A5" w:rsidRPr="00174283">
        <w:rPr>
          <w:lang w:val="fr-FR"/>
        </w:rPr>
        <w:t>Églises</w:t>
      </w:r>
      <w:r w:rsidR="008258C2" w:rsidRPr="00174283">
        <w:rPr>
          <w:lang w:val="fr-FR"/>
        </w:rPr>
        <w:t xml:space="preserve"> ainsi que de communautés et de groupes religieux enregistrés s</w:t>
      </w:r>
      <w:r w:rsidR="00205A62">
        <w:rPr>
          <w:lang w:val="fr-FR"/>
        </w:rPr>
        <w:t>’</w:t>
      </w:r>
      <w:r w:rsidR="008258C2" w:rsidRPr="00174283">
        <w:rPr>
          <w:lang w:val="fr-FR"/>
        </w:rPr>
        <w:t xml:space="preserve">établissait à 30, parmi lesquels 15 Églises, 7 communautés religieuses et 8 groupes religieux. </w:t>
      </w:r>
    </w:p>
    <w:p w:rsidR="00B54D69" w:rsidRPr="00174283" w:rsidRDefault="00403721" w:rsidP="00403721">
      <w:pPr>
        <w:pStyle w:val="SingleTxtG"/>
        <w:rPr>
          <w:lang w:val="fr-FR"/>
        </w:rPr>
      </w:pPr>
      <w:r>
        <w:rPr>
          <w:lang w:val="fr-FR"/>
        </w:rPr>
        <w:t>69.</w:t>
      </w:r>
      <w:r>
        <w:rPr>
          <w:lang w:val="fr-FR"/>
        </w:rPr>
        <w:tab/>
      </w:r>
      <w:r w:rsidR="008258C2" w:rsidRPr="00174283">
        <w:rPr>
          <w:lang w:val="fr-FR"/>
        </w:rPr>
        <w:t>E</w:t>
      </w:r>
      <w:r w:rsidR="00B54D69" w:rsidRPr="00174283">
        <w:rPr>
          <w:lang w:val="fr-FR"/>
        </w:rPr>
        <w:t xml:space="preserve">n 2008, </w:t>
      </w:r>
      <w:r w:rsidR="008258C2" w:rsidRPr="00174283">
        <w:rPr>
          <w:lang w:val="fr-FR"/>
        </w:rPr>
        <w:t>l</w:t>
      </w:r>
      <w:r w:rsidR="00205A62">
        <w:rPr>
          <w:lang w:val="fr-FR"/>
        </w:rPr>
        <w:t>’</w:t>
      </w:r>
      <w:r w:rsidR="008258C2" w:rsidRPr="00174283">
        <w:rPr>
          <w:lang w:val="fr-FR"/>
        </w:rPr>
        <w:t>instruction religieuse et l</w:t>
      </w:r>
      <w:r w:rsidR="00205A62">
        <w:rPr>
          <w:lang w:val="fr-FR"/>
        </w:rPr>
        <w:t>’</w:t>
      </w:r>
      <w:r w:rsidR="008258C2" w:rsidRPr="00174283">
        <w:rPr>
          <w:lang w:val="fr-FR"/>
        </w:rPr>
        <w:t xml:space="preserve">histoire des religions ont été </w:t>
      </w:r>
      <w:r w:rsidR="00253954" w:rsidRPr="00174283">
        <w:rPr>
          <w:lang w:val="fr-FR"/>
        </w:rPr>
        <w:t>ajoutées au</w:t>
      </w:r>
      <w:r w:rsidR="008258C2" w:rsidRPr="00174283">
        <w:rPr>
          <w:lang w:val="fr-FR"/>
        </w:rPr>
        <w:t xml:space="preserve"> programme d</w:t>
      </w:r>
      <w:r w:rsidR="00205A62">
        <w:rPr>
          <w:lang w:val="fr-FR"/>
        </w:rPr>
        <w:t>’</w:t>
      </w:r>
      <w:r w:rsidR="008258C2" w:rsidRPr="00174283">
        <w:rPr>
          <w:lang w:val="fr-FR"/>
        </w:rPr>
        <w:t>études de la V</w:t>
      </w:r>
      <w:r w:rsidR="008258C2" w:rsidRPr="00174283">
        <w:rPr>
          <w:vertAlign w:val="superscript"/>
          <w:lang w:val="fr-FR"/>
        </w:rPr>
        <w:t>e</w:t>
      </w:r>
      <w:r w:rsidR="008258C2" w:rsidRPr="00174283">
        <w:rPr>
          <w:lang w:val="fr-FR"/>
        </w:rPr>
        <w:t xml:space="preserve"> année du primaire, </w:t>
      </w:r>
      <w:r w:rsidR="005833E1" w:rsidRPr="00174283">
        <w:rPr>
          <w:lang w:val="fr-FR"/>
        </w:rPr>
        <w:t>comme matière facultative</w:t>
      </w:r>
      <w:r w:rsidR="008258C2" w:rsidRPr="00174283">
        <w:rPr>
          <w:lang w:val="fr-FR"/>
        </w:rPr>
        <w:t>. Dans sa décision n</w:t>
      </w:r>
      <w:r w:rsidR="008258C2" w:rsidRPr="00174283">
        <w:rPr>
          <w:vertAlign w:val="superscript"/>
          <w:lang w:val="fr-FR"/>
        </w:rPr>
        <w:t>o</w:t>
      </w:r>
      <w:r w:rsidR="008258C2" w:rsidRPr="00174283">
        <w:rPr>
          <w:lang w:val="fr-FR"/>
        </w:rPr>
        <w:t> </w:t>
      </w:r>
      <w:r w:rsidR="00B54D69" w:rsidRPr="00174283">
        <w:rPr>
          <w:lang w:val="fr-FR"/>
        </w:rPr>
        <w:t>U. 202/2008</w:t>
      </w:r>
      <w:r w:rsidR="008258C2" w:rsidRPr="00174283">
        <w:rPr>
          <w:lang w:val="fr-FR"/>
        </w:rPr>
        <w:t xml:space="preserve"> du 15 avril</w:t>
      </w:r>
      <w:r w:rsidR="00B54D69" w:rsidRPr="00174283">
        <w:rPr>
          <w:lang w:val="fr-FR"/>
        </w:rPr>
        <w:t xml:space="preserve"> 2009, </w:t>
      </w:r>
      <w:r w:rsidR="008258C2" w:rsidRPr="00174283">
        <w:rPr>
          <w:lang w:val="fr-FR"/>
        </w:rPr>
        <w:t>la Cour constitutionnelle a a</w:t>
      </w:r>
      <w:r w:rsidR="00632FC5" w:rsidRPr="00174283">
        <w:rPr>
          <w:lang w:val="fr-FR"/>
        </w:rPr>
        <w:t>brogé</w:t>
      </w:r>
      <w:r w:rsidR="008258C2" w:rsidRPr="00174283">
        <w:rPr>
          <w:lang w:val="fr-FR"/>
        </w:rPr>
        <w:t xml:space="preserve"> l</w:t>
      </w:r>
      <w:r w:rsidR="00205A62">
        <w:rPr>
          <w:lang w:val="fr-FR"/>
        </w:rPr>
        <w:t>’</w:t>
      </w:r>
      <w:r w:rsidR="008258C2" w:rsidRPr="00174283">
        <w:rPr>
          <w:lang w:val="fr-FR"/>
        </w:rPr>
        <w:t>article 26 de la loi sur l</w:t>
      </w:r>
      <w:r w:rsidR="00205A62">
        <w:rPr>
          <w:lang w:val="fr-FR"/>
        </w:rPr>
        <w:t>’</w:t>
      </w:r>
      <w:r w:rsidR="008258C2" w:rsidRPr="00174283">
        <w:rPr>
          <w:lang w:val="fr-FR"/>
        </w:rPr>
        <w:t xml:space="preserve">enseignement primaire qui introduisait cette </w:t>
      </w:r>
      <w:r w:rsidR="005833E1" w:rsidRPr="00174283">
        <w:rPr>
          <w:lang w:val="fr-FR"/>
        </w:rPr>
        <w:t>matière dans le cursus</w:t>
      </w:r>
      <w:r w:rsidR="008258C2" w:rsidRPr="00174283">
        <w:rPr>
          <w:lang w:val="fr-FR"/>
        </w:rPr>
        <w:t xml:space="preserve">. Dans sa décision, la Cour a </w:t>
      </w:r>
      <w:r w:rsidR="005833E1" w:rsidRPr="00174283">
        <w:rPr>
          <w:lang w:val="fr-FR"/>
        </w:rPr>
        <w:t>déclaré ce qui suit</w:t>
      </w:r>
      <w:r w:rsidR="002F51DC">
        <w:rPr>
          <w:lang w:val="fr-FR"/>
        </w:rPr>
        <w:t>:</w:t>
      </w:r>
      <w:r w:rsidR="008258C2" w:rsidRPr="00174283">
        <w:rPr>
          <w:lang w:val="fr-FR"/>
        </w:rPr>
        <w:t xml:space="preserve"> </w:t>
      </w:r>
      <w:r w:rsidR="002F51DC">
        <w:rPr>
          <w:lang w:val="fr-FR"/>
        </w:rPr>
        <w:t>«</w:t>
      </w:r>
      <w:r w:rsidR="008258C2" w:rsidRPr="00174283">
        <w:rPr>
          <w:lang w:val="fr-FR"/>
        </w:rPr>
        <w:t xml:space="preserve">La Cour a </w:t>
      </w:r>
      <w:r w:rsidR="00253954" w:rsidRPr="00174283">
        <w:rPr>
          <w:lang w:val="fr-FR"/>
        </w:rPr>
        <w:t>jug</w:t>
      </w:r>
      <w:r w:rsidR="008258C2" w:rsidRPr="00174283">
        <w:rPr>
          <w:lang w:val="fr-FR"/>
        </w:rPr>
        <w:t xml:space="preserve">é </w:t>
      </w:r>
      <w:r w:rsidR="00A87451" w:rsidRPr="00174283">
        <w:rPr>
          <w:lang w:val="fr-FR"/>
        </w:rPr>
        <w:t>que l</w:t>
      </w:r>
      <w:r w:rsidR="00205A62">
        <w:rPr>
          <w:lang w:val="fr-FR"/>
        </w:rPr>
        <w:t>’</w:t>
      </w:r>
      <w:r w:rsidR="00E651F1" w:rsidRPr="00174283">
        <w:rPr>
          <w:lang w:val="fr-FR"/>
        </w:rPr>
        <w:t xml:space="preserve">amendement </w:t>
      </w:r>
      <w:r w:rsidR="00A87451" w:rsidRPr="00174283">
        <w:rPr>
          <w:lang w:val="fr-FR"/>
        </w:rPr>
        <w:t xml:space="preserve">pertinent </w:t>
      </w:r>
      <w:r w:rsidR="00E651F1" w:rsidRPr="00174283">
        <w:rPr>
          <w:lang w:val="fr-FR"/>
        </w:rPr>
        <w:t>de</w:t>
      </w:r>
      <w:r w:rsidR="00BC763B" w:rsidRPr="00174283">
        <w:rPr>
          <w:lang w:val="fr-FR"/>
        </w:rPr>
        <w:t xml:space="preserve"> la </w:t>
      </w:r>
      <w:r w:rsidR="00961220" w:rsidRPr="00174283">
        <w:rPr>
          <w:lang w:val="fr-FR"/>
        </w:rPr>
        <w:t>C</w:t>
      </w:r>
      <w:r w:rsidR="00BC763B" w:rsidRPr="00174283">
        <w:rPr>
          <w:lang w:val="fr-FR"/>
        </w:rPr>
        <w:t xml:space="preserve">onstitution </w:t>
      </w:r>
      <w:r w:rsidR="00A87451" w:rsidRPr="00174283">
        <w:rPr>
          <w:lang w:val="fr-FR"/>
        </w:rPr>
        <w:t xml:space="preserve">réglemente </w:t>
      </w:r>
      <w:r w:rsidR="00BC763B" w:rsidRPr="00174283">
        <w:rPr>
          <w:lang w:val="fr-FR"/>
        </w:rPr>
        <w:t>en</w:t>
      </w:r>
      <w:r w:rsidR="00A87451" w:rsidRPr="00174283">
        <w:rPr>
          <w:lang w:val="fr-FR"/>
        </w:rPr>
        <w:t xml:space="preserve"> principe </w:t>
      </w:r>
      <w:r w:rsidR="00A43492" w:rsidRPr="00174283">
        <w:rPr>
          <w:lang w:val="fr-FR"/>
        </w:rPr>
        <w:t xml:space="preserve">la question de </w:t>
      </w:r>
      <w:r w:rsidR="00BC763B" w:rsidRPr="00174283">
        <w:rPr>
          <w:lang w:val="fr-FR"/>
        </w:rPr>
        <w:t>l</w:t>
      </w:r>
      <w:r w:rsidR="00205A62">
        <w:rPr>
          <w:lang w:val="fr-FR"/>
        </w:rPr>
        <w:t>’</w:t>
      </w:r>
      <w:r w:rsidR="00A87451" w:rsidRPr="00174283">
        <w:rPr>
          <w:lang w:val="fr-FR"/>
        </w:rPr>
        <w:t xml:space="preserve">éducation religieuse (instruction religieuse) qui </w:t>
      </w:r>
      <w:r w:rsidR="00E651F1" w:rsidRPr="00174283">
        <w:rPr>
          <w:lang w:val="fr-FR"/>
        </w:rPr>
        <w:t>est du ressort</w:t>
      </w:r>
      <w:r w:rsidR="00A87451" w:rsidRPr="00174283">
        <w:rPr>
          <w:lang w:val="fr-FR"/>
        </w:rPr>
        <w:t xml:space="preserve"> des c</w:t>
      </w:r>
      <w:r w:rsidR="007412CE" w:rsidRPr="00174283">
        <w:rPr>
          <w:lang w:val="fr-FR"/>
        </w:rPr>
        <w:t>ommunautés et groupes religieux</w:t>
      </w:r>
      <w:r w:rsidR="00A87451" w:rsidRPr="00174283">
        <w:rPr>
          <w:lang w:val="fr-FR"/>
        </w:rPr>
        <w:t xml:space="preserve">, </w:t>
      </w:r>
      <w:r w:rsidR="007412CE" w:rsidRPr="00174283">
        <w:rPr>
          <w:lang w:val="fr-FR"/>
        </w:rPr>
        <w:t>c</w:t>
      </w:r>
      <w:r w:rsidR="00205A62">
        <w:rPr>
          <w:lang w:val="fr-FR"/>
        </w:rPr>
        <w:t>’</w:t>
      </w:r>
      <w:r w:rsidR="007412CE" w:rsidRPr="00174283">
        <w:rPr>
          <w:lang w:val="fr-FR"/>
        </w:rPr>
        <w:t xml:space="preserve">est-à-dire </w:t>
      </w:r>
      <w:r w:rsidR="00A87451" w:rsidRPr="00174283">
        <w:rPr>
          <w:lang w:val="fr-FR"/>
        </w:rPr>
        <w:t>de leur liberté de créer des écoles religieuses à cet effet.</w:t>
      </w:r>
      <w:r w:rsidR="002F51DC">
        <w:rPr>
          <w:lang w:val="fr-FR"/>
        </w:rPr>
        <w:t>»</w:t>
      </w:r>
      <w:r w:rsidR="00A87451" w:rsidRPr="00174283">
        <w:rPr>
          <w:lang w:val="fr-FR"/>
        </w:rPr>
        <w:t xml:space="preserve"> </w:t>
      </w:r>
    </w:p>
    <w:p w:rsidR="00B54D69" w:rsidRPr="00174283" w:rsidRDefault="00403721" w:rsidP="00403721">
      <w:pPr>
        <w:pStyle w:val="SingleTxtG"/>
        <w:rPr>
          <w:lang w:val="fr-FR"/>
        </w:rPr>
      </w:pPr>
      <w:r>
        <w:rPr>
          <w:lang w:val="fr-FR"/>
        </w:rPr>
        <w:t>70.</w:t>
      </w:r>
      <w:r>
        <w:rPr>
          <w:lang w:val="fr-FR"/>
        </w:rPr>
        <w:tab/>
      </w:r>
      <w:r w:rsidR="007412CE" w:rsidRPr="00174283">
        <w:rPr>
          <w:lang w:val="fr-FR"/>
        </w:rPr>
        <w:t xml:space="preserve">Les matières </w:t>
      </w:r>
      <w:r w:rsidR="004A2B53" w:rsidRPr="00174283">
        <w:rPr>
          <w:lang w:val="fr-FR"/>
        </w:rPr>
        <w:t>optionnelles suivantes, dont une au moins doit obligatoirement être choisie,</w:t>
      </w:r>
      <w:r w:rsidR="00A87451" w:rsidRPr="00174283">
        <w:rPr>
          <w:lang w:val="fr-FR"/>
        </w:rPr>
        <w:t xml:space="preserve"> ont été </w:t>
      </w:r>
      <w:r w:rsidR="007412CE" w:rsidRPr="00174283">
        <w:rPr>
          <w:lang w:val="fr-FR"/>
        </w:rPr>
        <w:t>ajoutées au</w:t>
      </w:r>
      <w:r w:rsidR="00FE08BD" w:rsidRPr="00174283">
        <w:rPr>
          <w:lang w:val="fr-FR"/>
        </w:rPr>
        <w:t xml:space="preserve"> programme scolaire 2010/</w:t>
      </w:r>
      <w:r w:rsidR="004A2B53" w:rsidRPr="00174283">
        <w:rPr>
          <w:lang w:val="fr-FR"/>
        </w:rPr>
        <w:t>11</w:t>
      </w:r>
      <w:r w:rsidR="00A87451" w:rsidRPr="00174283">
        <w:rPr>
          <w:lang w:val="fr-FR"/>
        </w:rPr>
        <w:t>: éthique des religions</w:t>
      </w:r>
      <w:r w:rsidR="00F76F27" w:rsidRPr="00174283">
        <w:rPr>
          <w:lang w:val="fr-FR"/>
        </w:rPr>
        <w:t xml:space="preserve"> et</w:t>
      </w:r>
      <w:r w:rsidR="00A87451" w:rsidRPr="00174283">
        <w:rPr>
          <w:lang w:val="fr-FR"/>
        </w:rPr>
        <w:t xml:space="preserve"> histoire des religions et de la civilisation européenne. </w:t>
      </w:r>
    </w:p>
    <w:p w:rsidR="00B54D69" w:rsidRPr="00174283" w:rsidRDefault="00403721" w:rsidP="00403721">
      <w:pPr>
        <w:pStyle w:val="SingleTxtG"/>
        <w:rPr>
          <w:lang w:val="fr-FR"/>
        </w:rPr>
      </w:pPr>
      <w:r>
        <w:rPr>
          <w:lang w:val="fr-FR"/>
        </w:rPr>
        <w:t>71.</w:t>
      </w:r>
      <w:r>
        <w:rPr>
          <w:lang w:val="fr-FR"/>
        </w:rPr>
        <w:tab/>
      </w:r>
      <w:r w:rsidR="00A87451" w:rsidRPr="00174283">
        <w:rPr>
          <w:lang w:val="fr-FR"/>
        </w:rPr>
        <w:t xml:space="preserve">Il existe en Macédoine un organisme informel de chefs religieux dénommé Conseil national interreligieux qui étudie les questions </w:t>
      </w:r>
      <w:r w:rsidR="00A43492" w:rsidRPr="00174283">
        <w:rPr>
          <w:lang w:val="fr-FR"/>
        </w:rPr>
        <w:t>revêtant une importance particulière pour la vie religieuse et le</w:t>
      </w:r>
      <w:r w:rsidR="00A87451" w:rsidRPr="00174283">
        <w:rPr>
          <w:lang w:val="fr-FR"/>
        </w:rPr>
        <w:t xml:space="preserve"> dialogue </w:t>
      </w:r>
      <w:r w:rsidR="00A43492" w:rsidRPr="00174283">
        <w:rPr>
          <w:lang w:val="fr-FR"/>
        </w:rPr>
        <w:t>confessionnel</w:t>
      </w:r>
      <w:r w:rsidR="00A87451" w:rsidRPr="00174283">
        <w:rPr>
          <w:lang w:val="fr-FR"/>
        </w:rPr>
        <w:t xml:space="preserve">. Cet organe contribue à la promotion de la communication entre les différentes communautés, </w:t>
      </w:r>
      <w:r w:rsidR="00961220" w:rsidRPr="00174283">
        <w:rPr>
          <w:lang w:val="fr-FR"/>
        </w:rPr>
        <w:t>ainsi qu</w:t>
      </w:r>
      <w:r w:rsidR="00205A62">
        <w:rPr>
          <w:lang w:val="fr-FR"/>
        </w:rPr>
        <w:t>’</w:t>
      </w:r>
      <w:r w:rsidR="00A87451" w:rsidRPr="00174283">
        <w:rPr>
          <w:lang w:val="fr-FR"/>
        </w:rPr>
        <w:t xml:space="preserve">à la </w:t>
      </w:r>
      <w:r w:rsidR="00F76F27" w:rsidRPr="00174283">
        <w:rPr>
          <w:lang w:val="fr-FR"/>
        </w:rPr>
        <w:t>compréhension</w:t>
      </w:r>
      <w:r w:rsidR="00A87451" w:rsidRPr="00174283">
        <w:rPr>
          <w:lang w:val="fr-FR"/>
        </w:rPr>
        <w:t xml:space="preserve"> et au dialogue entre les personnes appartenant à différentes communautés religieuses.</w:t>
      </w:r>
    </w:p>
    <w:p w:rsidR="00B54D69" w:rsidRPr="00174283" w:rsidRDefault="00B16DD4" w:rsidP="005F4C93">
      <w:pPr>
        <w:pStyle w:val="H23G"/>
        <w:rPr>
          <w:lang w:val="fr-FR"/>
        </w:rPr>
      </w:pPr>
      <w:r w:rsidRPr="00174283">
        <w:rPr>
          <w:lang w:val="fr-FR"/>
        </w:rPr>
        <w:tab/>
      </w:r>
      <w:r w:rsidR="005F4C93" w:rsidRPr="00174283">
        <w:rPr>
          <w:lang w:val="fr-FR"/>
        </w:rPr>
        <w:t>h)</w:t>
      </w:r>
      <w:r w:rsidRPr="00174283">
        <w:rPr>
          <w:lang w:val="fr-FR"/>
        </w:rPr>
        <w:tab/>
      </w:r>
      <w:r w:rsidR="00A87451" w:rsidRPr="00174283">
        <w:rPr>
          <w:lang w:val="fr-FR"/>
        </w:rPr>
        <w:t>Droit à la liberté d</w:t>
      </w:r>
      <w:r w:rsidR="00205A62">
        <w:rPr>
          <w:lang w:val="fr-FR"/>
        </w:rPr>
        <w:t>’</w:t>
      </w:r>
      <w:r w:rsidR="00A87451" w:rsidRPr="00174283">
        <w:rPr>
          <w:lang w:val="fr-FR"/>
        </w:rPr>
        <w:t>opinion et d</w:t>
      </w:r>
      <w:r w:rsidR="00205A62">
        <w:rPr>
          <w:lang w:val="fr-FR"/>
        </w:rPr>
        <w:t>’</w:t>
      </w:r>
      <w:r w:rsidR="00A87451" w:rsidRPr="00174283">
        <w:rPr>
          <w:lang w:val="fr-FR"/>
        </w:rPr>
        <w:t>expression</w:t>
      </w:r>
    </w:p>
    <w:p w:rsidR="00B54D69" w:rsidRPr="00174283" w:rsidRDefault="00403721" w:rsidP="00403721">
      <w:pPr>
        <w:pStyle w:val="SingleTxtG"/>
        <w:rPr>
          <w:lang w:val="fr-FR"/>
        </w:rPr>
      </w:pPr>
      <w:r>
        <w:rPr>
          <w:lang w:val="fr-FR"/>
        </w:rPr>
        <w:t>72.</w:t>
      </w:r>
      <w:r>
        <w:rPr>
          <w:lang w:val="fr-FR"/>
        </w:rPr>
        <w:tab/>
      </w:r>
      <w:r w:rsidR="00A87451" w:rsidRPr="00174283">
        <w:rPr>
          <w:lang w:val="fr-FR"/>
        </w:rPr>
        <w:t>Les a</w:t>
      </w:r>
      <w:r w:rsidR="00B54D69" w:rsidRPr="00174283">
        <w:rPr>
          <w:lang w:val="fr-FR"/>
        </w:rPr>
        <w:t xml:space="preserve">rticles 41 </w:t>
      </w:r>
      <w:r w:rsidR="00A87451" w:rsidRPr="00174283">
        <w:rPr>
          <w:lang w:val="fr-FR"/>
        </w:rPr>
        <w:t>à</w:t>
      </w:r>
      <w:r w:rsidR="00B54D69" w:rsidRPr="00174283">
        <w:rPr>
          <w:lang w:val="fr-FR"/>
        </w:rPr>
        <w:t xml:space="preserve"> 67 </w:t>
      </w:r>
      <w:r w:rsidR="00A87451" w:rsidRPr="00174283">
        <w:rPr>
          <w:lang w:val="fr-FR"/>
        </w:rPr>
        <w:t xml:space="preserve">de la loi sur la radiodiffusion </w:t>
      </w:r>
      <w:r w:rsidR="00D97611" w:rsidRPr="00174283">
        <w:rPr>
          <w:lang w:val="fr-FR"/>
        </w:rPr>
        <w:t>réglementent le régime d</w:t>
      </w:r>
      <w:r w:rsidR="00205A62">
        <w:rPr>
          <w:lang w:val="fr-FR"/>
        </w:rPr>
        <w:t>’</w:t>
      </w:r>
      <w:r w:rsidR="00D97611" w:rsidRPr="00174283">
        <w:rPr>
          <w:lang w:val="fr-FR"/>
        </w:rPr>
        <w:t>attribution de</w:t>
      </w:r>
      <w:r w:rsidR="0083596D" w:rsidRPr="00174283">
        <w:rPr>
          <w:lang w:val="fr-FR"/>
        </w:rPr>
        <w:t>s</w:t>
      </w:r>
      <w:r w:rsidR="00D97611" w:rsidRPr="00174283">
        <w:rPr>
          <w:lang w:val="fr-FR"/>
        </w:rPr>
        <w:t xml:space="preserve"> </w:t>
      </w:r>
      <w:r w:rsidR="005B5981" w:rsidRPr="00174283">
        <w:rPr>
          <w:lang w:val="fr-FR"/>
        </w:rPr>
        <w:t>concessions</w:t>
      </w:r>
      <w:r w:rsidR="00D97611" w:rsidRPr="00174283">
        <w:rPr>
          <w:lang w:val="fr-FR"/>
        </w:rPr>
        <w:t xml:space="preserve"> de radiodiffusion. Ces </w:t>
      </w:r>
      <w:r w:rsidR="005B5981" w:rsidRPr="00174283">
        <w:rPr>
          <w:lang w:val="fr-FR"/>
        </w:rPr>
        <w:t xml:space="preserve">concessions </w:t>
      </w:r>
      <w:r w:rsidR="00D97611" w:rsidRPr="00174283">
        <w:rPr>
          <w:lang w:val="fr-FR"/>
        </w:rPr>
        <w:t xml:space="preserve">sont </w:t>
      </w:r>
      <w:r w:rsidR="005B5981" w:rsidRPr="00174283">
        <w:rPr>
          <w:lang w:val="fr-FR"/>
        </w:rPr>
        <w:t>attribuées sur</w:t>
      </w:r>
      <w:r w:rsidR="00D97611" w:rsidRPr="00174283">
        <w:rPr>
          <w:lang w:val="fr-FR"/>
        </w:rPr>
        <w:t xml:space="preserve"> concours </w:t>
      </w:r>
      <w:r w:rsidR="005B5981" w:rsidRPr="00174283">
        <w:rPr>
          <w:lang w:val="fr-FR"/>
        </w:rPr>
        <w:t>organisé</w:t>
      </w:r>
      <w:r w:rsidR="00D97611" w:rsidRPr="00174283">
        <w:rPr>
          <w:lang w:val="fr-FR"/>
        </w:rPr>
        <w:t xml:space="preserve"> par le Conseil de la radiodiffusion qui veille à ce que tou</w:t>
      </w:r>
      <w:r w:rsidR="0083596D" w:rsidRPr="00174283">
        <w:rPr>
          <w:lang w:val="fr-FR"/>
        </w:rPr>
        <w:t>te</w:t>
      </w:r>
      <w:r w:rsidR="00D97611" w:rsidRPr="00174283">
        <w:rPr>
          <w:lang w:val="fr-FR"/>
        </w:rPr>
        <w:t xml:space="preserve">s les </w:t>
      </w:r>
      <w:r w:rsidR="0083596D" w:rsidRPr="00174283">
        <w:rPr>
          <w:lang w:val="fr-FR"/>
        </w:rPr>
        <w:t>demandes fassent l</w:t>
      </w:r>
      <w:r w:rsidR="00205A62">
        <w:rPr>
          <w:lang w:val="fr-FR"/>
        </w:rPr>
        <w:t>’</w:t>
      </w:r>
      <w:r w:rsidR="0083596D" w:rsidRPr="00174283">
        <w:rPr>
          <w:lang w:val="fr-FR"/>
        </w:rPr>
        <w:t>objet</w:t>
      </w:r>
      <w:r w:rsidR="00D97611" w:rsidRPr="00174283">
        <w:rPr>
          <w:lang w:val="fr-FR"/>
        </w:rPr>
        <w:t xml:space="preserve"> d</w:t>
      </w:r>
      <w:r w:rsidR="00205A62">
        <w:rPr>
          <w:lang w:val="fr-FR"/>
        </w:rPr>
        <w:t>’</w:t>
      </w:r>
      <w:r w:rsidR="00D97611" w:rsidRPr="00174283">
        <w:rPr>
          <w:lang w:val="fr-FR"/>
        </w:rPr>
        <w:t xml:space="preserve">un traitement égal et non discriminatoire. Les </w:t>
      </w:r>
      <w:r w:rsidR="005B5981" w:rsidRPr="00174283">
        <w:rPr>
          <w:lang w:val="fr-FR"/>
        </w:rPr>
        <w:t>concessions</w:t>
      </w:r>
      <w:r w:rsidR="00D97611" w:rsidRPr="00174283">
        <w:rPr>
          <w:lang w:val="fr-FR"/>
        </w:rPr>
        <w:t xml:space="preserve"> de radiodiffusion sont délivré</w:t>
      </w:r>
      <w:r w:rsidR="005B5981" w:rsidRPr="00174283">
        <w:rPr>
          <w:lang w:val="fr-FR"/>
        </w:rPr>
        <w:t>e</w:t>
      </w:r>
      <w:r w:rsidR="00D97611" w:rsidRPr="00174283">
        <w:rPr>
          <w:lang w:val="fr-FR"/>
        </w:rPr>
        <w:t>s pour une période de neuf ans et ne peuvent être cédé</w:t>
      </w:r>
      <w:r w:rsidR="005B5981" w:rsidRPr="00174283">
        <w:rPr>
          <w:lang w:val="fr-FR"/>
        </w:rPr>
        <w:t>e</w:t>
      </w:r>
      <w:r w:rsidR="00D97611" w:rsidRPr="00174283">
        <w:rPr>
          <w:lang w:val="fr-FR"/>
        </w:rPr>
        <w:t xml:space="preserve">s à une autre entité. </w:t>
      </w:r>
    </w:p>
    <w:p w:rsidR="00B54D69" w:rsidRPr="00174283" w:rsidRDefault="00403721" w:rsidP="00403721">
      <w:pPr>
        <w:pStyle w:val="SingleTxtG"/>
        <w:rPr>
          <w:lang w:val="fr-FR"/>
        </w:rPr>
      </w:pPr>
      <w:r>
        <w:rPr>
          <w:lang w:val="fr-FR"/>
        </w:rPr>
        <w:t>73.</w:t>
      </w:r>
      <w:r>
        <w:rPr>
          <w:lang w:val="fr-FR"/>
        </w:rPr>
        <w:tab/>
      </w:r>
      <w:r w:rsidR="00D97611" w:rsidRPr="00174283">
        <w:rPr>
          <w:lang w:val="fr-FR"/>
        </w:rPr>
        <w:t>Dans le but de renforcer la liberté de la presse, l</w:t>
      </w:r>
      <w:r w:rsidR="00205A62">
        <w:rPr>
          <w:lang w:val="fr-FR"/>
        </w:rPr>
        <w:t>’</w:t>
      </w:r>
      <w:r w:rsidR="006B0193">
        <w:rPr>
          <w:lang w:val="fr-FR"/>
        </w:rPr>
        <w:t>Assemblée</w:t>
      </w:r>
      <w:r w:rsidR="00D97611" w:rsidRPr="00174283">
        <w:rPr>
          <w:lang w:val="fr-FR"/>
        </w:rPr>
        <w:t xml:space="preserve"> a adopté la loi sur la responsabilité civile en cas d</w:t>
      </w:r>
      <w:r w:rsidR="00205A62">
        <w:rPr>
          <w:lang w:val="fr-FR"/>
        </w:rPr>
        <w:t>’</w:t>
      </w:r>
      <w:r w:rsidR="00D97611" w:rsidRPr="00174283">
        <w:rPr>
          <w:lang w:val="fr-FR"/>
        </w:rPr>
        <w:t xml:space="preserve">injure et de diffamation et supprimé les peines prévues pour de tels actes dans le Code pénal. </w:t>
      </w:r>
    </w:p>
    <w:p w:rsidR="00B54D69" w:rsidRPr="00174283" w:rsidRDefault="00B16DD4" w:rsidP="005F4C93">
      <w:pPr>
        <w:pStyle w:val="H23G"/>
        <w:rPr>
          <w:lang w:val="fr-FR"/>
        </w:rPr>
      </w:pPr>
      <w:r w:rsidRPr="00174283">
        <w:rPr>
          <w:lang w:val="fr-FR"/>
        </w:rPr>
        <w:tab/>
      </w:r>
      <w:r w:rsidR="005F4C93" w:rsidRPr="00174283">
        <w:rPr>
          <w:lang w:val="fr-FR"/>
        </w:rPr>
        <w:t>i)</w:t>
      </w:r>
      <w:r w:rsidRPr="00174283">
        <w:rPr>
          <w:lang w:val="fr-FR"/>
        </w:rPr>
        <w:tab/>
      </w:r>
      <w:r w:rsidR="00D97611" w:rsidRPr="00174283">
        <w:rPr>
          <w:lang w:val="fr-FR"/>
        </w:rPr>
        <w:t xml:space="preserve">Droit </w:t>
      </w:r>
      <w:r w:rsidR="003B28F5" w:rsidRPr="00174283">
        <w:rPr>
          <w:iCs/>
          <w:lang w:val="fr-FR"/>
        </w:rPr>
        <w:t>à la liberté de réunion et d</w:t>
      </w:r>
      <w:r w:rsidR="00205A62">
        <w:rPr>
          <w:iCs/>
          <w:lang w:val="fr-FR"/>
        </w:rPr>
        <w:t>’</w:t>
      </w:r>
      <w:r w:rsidR="003B28F5" w:rsidRPr="00174283">
        <w:rPr>
          <w:iCs/>
          <w:lang w:val="fr-FR"/>
        </w:rPr>
        <w:t>association pacifiques</w:t>
      </w:r>
      <w:r w:rsidR="00B54D69" w:rsidRPr="00174283">
        <w:rPr>
          <w:lang w:val="fr-FR"/>
        </w:rPr>
        <w:t xml:space="preserve"> </w:t>
      </w:r>
    </w:p>
    <w:p w:rsidR="00B54D69" w:rsidRPr="00174283" w:rsidRDefault="00403721" w:rsidP="00403721">
      <w:pPr>
        <w:pStyle w:val="SingleTxtG"/>
        <w:rPr>
          <w:lang w:val="fr-FR"/>
        </w:rPr>
      </w:pPr>
      <w:r>
        <w:rPr>
          <w:lang w:val="fr-FR"/>
        </w:rPr>
        <w:t>74.</w:t>
      </w:r>
      <w:r>
        <w:rPr>
          <w:lang w:val="fr-FR"/>
        </w:rPr>
        <w:tab/>
      </w:r>
      <w:r w:rsidR="00D97611" w:rsidRPr="00174283">
        <w:rPr>
          <w:lang w:val="fr-FR"/>
        </w:rPr>
        <w:t>L</w:t>
      </w:r>
      <w:r w:rsidR="00205A62">
        <w:rPr>
          <w:lang w:val="fr-FR"/>
        </w:rPr>
        <w:t>’</w:t>
      </w:r>
      <w:r w:rsidR="00D97611" w:rsidRPr="00174283">
        <w:rPr>
          <w:lang w:val="fr-FR"/>
        </w:rPr>
        <w:t>a</w:t>
      </w:r>
      <w:r w:rsidR="00B54D69" w:rsidRPr="00174283">
        <w:rPr>
          <w:lang w:val="fr-FR"/>
        </w:rPr>
        <w:t xml:space="preserve">rticle 20 </w:t>
      </w:r>
      <w:r w:rsidR="00D97611" w:rsidRPr="00174283">
        <w:rPr>
          <w:lang w:val="fr-FR"/>
        </w:rPr>
        <w:t xml:space="preserve">de la </w:t>
      </w:r>
      <w:r w:rsidR="00B54D69" w:rsidRPr="00174283">
        <w:rPr>
          <w:lang w:val="fr-FR"/>
        </w:rPr>
        <w:t xml:space="preserve">Constitution </w:t>
      </w:r>
      <w:r w:rsidR="00D97611" w:rsidRPr="00174283">
        <w:rPr>
          <w:lang w:val="fr-FR"/>
        </w:rPr>
        <w:t>de la République de Macédoine garantit la liberté d</w:t>
      </w:r>
      <w:r w:rsidR="00205A62">
        <w:rPr>
          <w:lang w:val="fr-FR"/>
        </w:rPr>
        <w:t>’</w:t>
      </w:r>
      <w:r w:rsidR="00D97611" w:rsidRPr="00174283">
        <w:rPr>
          <w:lang w:val="fr-FR"/>
        </w:rPr>
        <w:t>association</w:t>
      </w:r>
      <w:r w:rsidR="002F51DC">
        <w:rPr>
          <w:lang w:val="fr-FR"/>
        </w:rPr>
        <w:t>:</w:t>
      </w:r>
    </w:p>
    <w:p w:rsidR="00B54D69" w:rsidRPr="00174283" w:rsidRDefault="002F51DC" w:rsidP="00B16DD4">
      <w:pPr>
        <w:pStyle w:val="SingleTxtG"/>
        <w:ind w:left="1701"/>
        <w:rPr>
          <w:lang w:val="fr-FR"/>
        </w:rPr>
      </w:pPr>
      <w:r>
        <w:rPr>
          <w:lang w:val="fr-FR"/>
        </w:rPr>
        <w:t>«</w:t>
      </w:r>
      <w:r w:rsidR="00D97611" w:rsidRPr="00174283">
        <w:rPr>
          <w:lang w:val="fr-FR"/>
        </w:rPr>
        <w:t xml:space="preserve">Les citoyens </w:t>
      </w:r>
      <w:r w:rsidR="005D7DE4" w:rsidRPr="00174283">
        <w:rPr>
          <w:lang w:val="fr-FR"/>
        </w:rPr>
        <w:t xml:space="preserve">peuvent librement se </w:t>
      </w:r>
      <w:r w:rsidR="005E30AE" w:rsidRPr="00174283">
        <w:rPr>
          <w:lang w:val="fr-FR"/>
        </w:rPr>
        <w:t>regrouper</w:t>
      </w:r>
      <w:r w:rsidR="005D7DE4" w:rsidRPr="00174283">
        <w:rPr>
          <w:lang w:val="fr-FR"/>
        </w:rPr>
        <w:t xml:space="preserve"> dans </w:t>
      </w:r>
      <w:r w:rsidR="00D97611" w:rsidRPr="00174283">
        <w:rPr>
          <w:lang w:val="fr-FR"/>
        </w:rPr>
        <w:t>des associations pour exercer et défendre leurs droits politiques, économiques, sociaux et culturels et d</w:t>
      </w:r>
      <w:r w:rsidR="00205A62">
        <w:rPr>
          <w:lang w:val="fr-FR"/>
        </w:rPr>
        <w:t>’</w:t>
      </w:r>
      <w:r w:rsidR="00D97611" w:rsidRPr="00174283">
        <w:rPr>
          <w:lang w:val="fr-FR"/>
        </w:rPr>
        <w:t xml:space="preserve">autres droits et </w:t>
      </w:r>
      <w:r w:rsidR="006646BD" w:rsidRPr="00174283">
        <w:rPr>
          <w:lang w:val="fr-FR"/>
        </w:rPr>
        <w:t>conviction</w:t>
      </w:r>
      <w:r w:rsidR="00D97611" w:rsidRPr="00174283">
        <w:rPr>
          <w:lang w:val="fr-FR"/>
        </w:rPr>
        <w:t xml:space="preserve">s. </w:t>
      </w:r>
    </w:p>
    <w:p w:rsidR="00B54D69" w:rsidRPr="00174283" w:rsidRDefault="00D97611" w:rsidP="00B16DD4">
      <w:pPr>
        <w:pStyle w:val="SingleTxtG"/>
        <w:ind w:left="1701"/>
        <w:rPr>
          <w:lang w:val="fr-FR"/>
        </w:rPr>
      </w:pPr>
      <w:r w:rsidRPr="00174283">
        <w:rPr>
          <w:lang w:val="fr-FR"/>
        </w:rPr>
        <w:t xml:space="preserve">Les citoyens </w:t>
      </w:r>
      <w:r w:rsidR="00B11744" w:rsidRPr="00174283">
        <w:rPr>
          <w:lang w:val="fr-FR"/>
        </w:rPr>
        <w:t>peuvent constituer librement</w:t>
      </w:r>
      <w:r w:rsidRPr="00174283">
        <w:rPr>
          <w:lang w:val="fr-FR"/>
        </w:rPr>
        <w:t xml:space="preserve"> des associations de citoyens et des partis politiques, y adhérer </w:t>
      </w:r>
      <w:r w:rsidR="00B11744" w:rsidRPr="00174283">
        <w:rPr>
          <w:lang w:val="fr-FR"/>
        </w:rPr>
        <w:t>et</w:t>
      </w:r>
      <w:r w:rsidRPr="00174283">
        <w:rPr>
          <w:lang w:val="fr-FR"/>
        </w:rPr>
        <w:t xml:space="preserve"> </w:t>
      </w:r>
      <w:r w:rsidR="00196D1A" w:rsidRPr="00174283">
        <w:rPr>
          <w:lang w:val="fr-FR"/>
        </w:rPr>
        <w:t>s</w:t>
      </w:r>
      <w:r w:rsidR="00205A62">
        <w:rPr>
          <w:lang w:val="fr-FR"/>
        </w:rPr>
        <w:t>’</w:t>
      </w:r>
      <w:r w:rsidR="00196D1A" w:rsidRPr="00174283">
        <w:rPr>
          <w:lang w:val="fr-FR"/>
        </w:rPr>
        <w:t>en retirer</w:t>
      </w:r>
      <w:r w:rsidRPr="00174283">
        <w:rPr>
          <w:lang w:val="fr-FR"/>
        </w:rPr>
        <w:t xml:space="preserve">. </w:t>
      </w:r>
    </w:p>
    <w:p w:rsidR="00B54D69" w:rsidRPr="00174283" w:rsidRDefault="00B11744" w:rsidP="00B11744">
      <w:pPr>
        <w:pStyle w:val="SingleTxtG"/>
        <w:ind w:left="1701"/>
        <w:rPr>
          <w:lang w:val="fr-FR"/>
        </w:rPr>
      </w:pPr>
      <w:r w:rsidRPr="00174283">
        <w:rPr>
          <w:lang w:val="fr-FR"/>
        </w:rPr>
        <w:t>Les programmes et les activités des partis politiques et autres associations de citoyens ne doivent pas viser la destruction par la violence de l</w:t>
      </w:r>
      <w:r w:rsidR="00205A62">
        <w:rPr>
          <w:lang w:val="fr-FR"/>
        </w:rPr>
        <w:t>’</w:t>
      </w:r>
      <w:r w:rsidRPr="00174283">
        <w:rPr>
          <w:lang w:val="fr-FR"/>
        </w:rPr>
        <w:t>ordre constitutionnel de la République</w:t>
      </w:r>
      <w:r w:rsidR="00FF431E" w:rsidRPr="00174283">
        <w:rPr>
          <w:lang w:val="fr-FR"/>
        </w:rPr>
        <w:t>,</w:t>
      </w:r>
      <w:r w:rsidRPr="00174283">
        <w:rPr>
          <w:lang w:val="fr-FR"/>
        </w:rPr>
        <w:t xml:space="preserve"> ni </w:t>
      </w:r>
      <w:r w:rsidR="00FF431E" w:rsidRPr="00174283">
        <w:rPr>
          <w:lang w:val="fr-FR"/>
        </w:rPr>
        <w:t>fomenter une agression militaire ou inciter à y participer, ni attiser</w:t>
      </w:r>
      <w:r w:rsidRPr="00174283">
        <w:rPr>
          <w:lang w:val="fr-FR"/>
        </w:rPr>
        <w:t xml:space="preserve"> la haine </w:t>
      </w:r>
      <w:r w:rsidR="00C24D58" w:rsidRPr="00174283">
        <w:rPr>
          <w:lang w:val="fr-FR"/>
        </w:rPr>
        <w:t>et</w:t>
      </w:r>
      <w:r w:rsidRPr="00174283">
        <w:rPr>
          <w:lang w:val="fr-FR"/>
        </w:rPr>
        <w:t xml:space="preserve"> l</w:t>
      </w:r>
      <w:r w:rsidR="00205A62">
        <w:rPr>
          <w:lang w:val="fr-FR"/>
        </w:rPr>
        <w:t>’</w:t>
      </w:r>
      <w:r w:rsidRPr="00174283">
        <w:rPr>
          <w:lang w:val="fr-FR"/>
        </w:rPr>
        <w:t xml:space="preserve">intolérance </w:t>
      </w:r>
      <w:r w:rsidR="00C24D58" w:rsidRPr="00174283">
        <w:rPr>
          <w:lang w:val="fr-FR"/>
        </w:rPr>
        <w:t>fondées sur l</w:t>
      </w:r>
      <w:r w:rsidR="00205A62">
        <w:rPr>
          <w:lang w:val="fr-FR"/>
        </w:rPr>
        <w:t>’</w:t>
      </w:r>
      <w:r w:rsidR="00C24D58" w:rsidRPr="00174283">
        <w:rPr>
          <w:lang w:val="fr-FR"/>
        </w:rPr>
        <w:t>appartenance ethnique, raciale ou religieuse</w:t>
      </w:r>
      <w:r w:rsidR="00D97611" w:rsidRPr="00174283">
        <w:rPr>
          <w:lang w:val="fr-FR"/>
        </w:rPr>
        <w:t>.</w:t>
      </w:r>
      <w:r w:rsidR="006646BD" w:rsidRPr="00174283">
        <w:rPr>
          <w:lang w:val="fr-FR"/>
        </w:rPr>
        <w:t>»</w:t>
      </w:r>
      <w:r w:rsidR="00D97611" w:rsidRPr="00174283">
        <w:rPr>
          <w:lang w:val="fr-FR"/>
        </w:rPr>
        <w:t xml:space="preserve"> </w:t>
      </w:r>
    </w:p>
    <w:p w:rsidR="00B54D69" w:rsidRPr="00174283" w:rsidRDefault="00403721" w:rsidP="00403721">
      <w:pPr>
        <w:pStyle w:val="SingleTxtG"/>
        <w:rPr>
          <w:lang w:val="fr-FR"/>
        </w:rPr>
      </w:pPr>
      <w:r>
        <w:rPr>
          <w:lang w:val="fr-FR"/>
        </w:rPr>
        <w:t>75.</w:t>
      </w:r>
      <w:r>
        <w:rPr>
          <w:lang w:val="fr-FR"/>
        </w:rPr>
        <w:tab/>
      </w:r>
      <w:r w:rsidR="00B11744" w:rsidRPr="00174283">
        <w:rPr>
          <w:lang w:val="fr-FR"/>
        </w:rPr>
        <w:t>L</w:t>
      </w:r>
      <w:r w:rsidR="00205A62">
        <w:rPr>
          <w:lang w:val="fr-FR"/>
        </w:rPr>
        <w:t>’</w:t>
      </w:r>
      <w:r w:rsidR="00196D1A" w:rsidRPr="00174283">
        <w:rPr>
          <w:lang w:val="fr-FR"/>
        </w:rPr>
        <w:t>article 21 de l</w:t>
      </w:r>
      <w:r w:rsidR="00B11744" w:rsidRPr="00174283">
        <w:rPr>
          <w:lang w:val="fr-FR"/>
        </w:rPr>
        <w:t>a C</w:t>
      </w:r>
      <w:r w:rsidR="009F5DC7" w:rsidRPr="00174283">
        <w:rPr>
          <w:lang w:val="fr-FR"/>
        </w:rPr>
        <w:t>onstitution</w:t>
      </w:r>
      <w:r w:rsidR="00B54D69" w:rsidRPr="00174283">
        <w:rPr>
          <w:lang w:val="fr-FR"/>
        </w:rPr>
        <w:t xml:space="preserve"> </w:t>
      </w:r>
      <w:r w:rsidR="00B11744" w:rsidRPr="00174283">
        <w:rPr>
          <w:lang w:val="fr-FR"/>
        </w:rPr>
        <w:t xml:space="preserve">garantit </w:t>
      </w:r>
      <w:r w:rsidR="00196D1A" w:rsidRPr="00174283">
        <w:rPr>
          <w:lang w:val="fr-FR"/>
        </w:rPr>
        <w:t>le droit de chacun de se réunir pacifiquement et de protester en public</w:t>
      </w:r>
      <w:r w:rsidR="004121FD" w:rsidRPr="00174283">
        <w:rPr>
          <w:lang w:val="fr-FR"/>
        </w:rPr>
        <w:t xml:space="preserve"> sans préavis ni autorisation préalable</w:t>
      </w:r>
      <w:r w:rsidR="004E1618" w:rsidRPr="00174283">
        <w:rPr>
          <w:lang w:val="fr-FR"/>
        </w:rPr>
        <w:t xml:space="preserve">. Les dispositions constitutionnelles liées au droit de réunion pacifique et </w:t>
      </w:r>
      <w:r w:rsidR="00EA1325" w:rsidRPr="00174283">
        <w:rPr>
          <w:lang w:val="fr-FR"/>
        </w:rPr>
        <w:t>d</w:t>
      </w:r>
      <w:r w:rsidR="00205A62">
        <w:rPr>
          <w:lang w:val="fr-FR"/>
        </w:rPr>
        <w:t>’</w:t>
      </w:r>
      <w:r w:rsidR="00EA1325" w:rsidRPr="00174283">
        <w:rPr>
          <w:lang w:val="fr-FR"/>
        </w:rPr>
        <w:t>expression publique de protestations</w:t>
      </w:r>
      <w:r w:rsidR="004E1618" w:rsidRPr="00174283">
        <w:rPr>
          <w:lang w:val="fr-FR"/>
        </w:rPr>
        <w:t xml:space="preserve"> sont </w:t>
      </w:r>
      <w:r w:rsidR="004121FD" w:rsidRPr="00174283">
        <w:rPr>
          <w:lang w:val="fr-FR"/>
        </w:rPr>
        <w:t>détaillées</w:t>
      </w:r>
      <w:r w:rsidR="004E1618" w:rsidRPr="00174283">
        <w:rPr>
          <w:lang w:val="fr-FR"/>
        </w:rPr>
        <w:t xml:space="preserve"> dans la loi sur les réunions publiques adoptée en </w:t>
      </w:r>
      <w:r w:rsidR="00B54D69" w:rsidRPr="00174283">
        <w:rPr>
          <w:lang w:val="fr-FR"/>
        </w:rPr>
        <w:t xml:space="preserve">1995, </w:t>
      </w:r>
      <w:r w:rsidR="004E1618" w:rsidRPr="00174283">
        <w:rPr>
          <w:lang w:val="fr-FR"/>
        </w:rPr>
        <w:t xml:space="preserve">puis modifiée en </w:t>
      </w:r>
      <w:r w:rsidR="00B54D69" w:rsidRPr="00174283">
        <w:rPr>
          <w:lang w:val="fr-FR"/>
        </w:rPr>
        <w:t xml:space="preserve">2006 </w:t>
      </w:r>
      <w:r w:rsidR="004E1618" w:rsidRPr="00174283">
        <w:rPr>
          <w:lang w:val="fr-FR"/>
        </w:rPr>
        <w:t>et</w:t>
      </w:r>
      <w:r w:rsidR="00B54D69" w:rsidRPr="00174283">
        <w:rPr>
          <w:lang w:val="fr-FR"/>
        </w:rPr>
        <w:t xml:space="preserve"> 2007. </w:t>
      </w:r>
    </w:p>
    <w:p w:rsidR="00B54D69" w:rsidRPr="00174283" w:rsidRDefault="00403721" w:rsidP="00403721">
      <w:pPr>
        <w:pStyle w:val="SingleTxtG"/>
        <w:rPr>
          <w:lang w:val="fr-FR"/>
        </w:rPr>
      </w:pPr>
      <w:r>
        <w:rPr>
          <w:lang w:val="fr-FR"/>
        </w:rPr>
        <w:t>76.</w:t>
      </w:r>
      <w:r>
        <w:rPr>
          <w:lang w:val="fr-FR"/>
        </w:rPr>
        <w:tab/>
      </w:r>
      <w:r w:rsidR="004E1618" w:rsidRPr="00174283">
        <w:rPr>
          <w:lang w:val="fr-FR"/>
        </w:rPr>
        <w:t xml:space="preserve">En octobre </w:t>
      </w:r>
      <w:r w:rsidR="00B54D69" w:rsidRPr="00174283">
        <w:rPr>
          <w:lang w:val="fr-FR"/>
        </w:rPr>
        <w:t xml:space="preserve">2004, </w:t>
      </w:r>
      <w:r w:rsidR="004E1618" w:rsidRPr="00174283">
        <w:rPr>
          <w:lang w:val="fr-FR"/>
        </w:rPr>
        <w:t>l</w:t>
      </w:r>
      <w:r w:rsidR="00205A62">
        <w:rPr>
          <w:lang w:val="fr-FR"/>
        </w:rPr>
        <w:t>’</w:t>
      </w:r>
      <w:r w:rsidR="006B0193">
        <w:rPr>
          <w:lang w:val="fr-FR"/>
        </w:rPr>
        <w:t xml:space="preserve">Assemblée </w:t>
      </w:r>
      <w:r w:rsidR="004E1618" w:rsidRPr="00174283">
        <w:rPr>
          <w:lang w:val="fr-FR"/>
        </w:rPr>
        <w:t>a adopté la loi sur les partis politiques (</w:t>
      </w:r>
      <w:r w:rsidR="004E1618" w:rsidRPr="006C4B2D">
        <w:rPr>
          <w:i/>
          <w:iCs/>
          <w:lang w:val="fr-FR"/>
        </w:rPr>
        <w:t>Journal officiel de la République de Macédoine</w:t>
      </w:r>
      <w:r w:rsidR="004E1618" w:rsidRPr="00174283">
        <w:rPr>
          <w:lang w:val="fr-FR"/>
        </w:rPr>
        <w:t xml:space="preserve"> n</w:t>
      </w:r>
      <w:r w:rsidR="004E1618" w:rsidRPr="00174283">
        <w:rPr>
          <w:vertAlign w:val="superscript"/>
          <w:lang w:val="fr-FR"/>
        </w:rPr>
        <w:t>os</w:t>
      </w:r>
      <w:r w:rsidR="004E1618" w:rsidRPr="00174283">
        <w:rPr>
          <w:lang w:val="fr-FR"/>
        </w:rPr>
        <w:t> </w:t>
      </w:r>
      <w:r w:rsidR="00B54D69" w:rsidRPr="00174283">
        <w:rPr>
          <w:lang w:val="fr-FR"/>
        </w:rPr>
        <w:t xml:space="preserve">76/2004, 5/2007, 8/2007 </w:t>
      </w:r>
      <w:r w:rsidR="004E1618" w:rsidRPr="00174283">
        <w:rPr>
          <w:lang w:val="fr-FR"/>
        </w:rPr>
        <w:t>et</w:t>
      </w:r>
      <w:r w:rsidR="00B54D69" w:rsidRPr="00174283">
        <w:rPr>
          <w:lang w:val="fr-FR"/>
        </w:rPr>
        <w:t xml:space="preserve"> 7/2008) </w:t>
      </w:r>
      <w:r w:rsidR="004E1618" w:rsidRPr="00174283">
        <w:rPr>
          <w:lang w:val="fr-FR"/>
        </w:rPr>
        <w:t xml:space="preserve">ainsi que la loi sur le financement des partis politiques </w:t>
      </w:r>
      <w:r w:rsidR="00B54D69" w:rsidRPr="00174283">
        <w:rPr>
          <w:lang w:val="fr-FR"/>
        </w:rPr>
        <w:t>(</w:t>
      </w:r>
      <w:r w:rsidR="004E1618" w:rsidRPr="006C4B2D">
        <w:rPr>
          <w:i/>
          <w:iCs/>
          <w:lang w:val="fr-FR"/>
        </w:rPr>
        <w:t>Journal officiel de la République de Macédoine</w:t>
      </w:r>
      <w:r w:rsidR="00B54D69" w:rsidRPr="00174283">
        <w:rPr>
          <w:lang w:val="fr-FR"/>
        </w:rPr>
        <w:t xml:space="preserve"> </w:t>
      </w:r>
      <w:r w:rsidR="004E1618" w:rsidRPr="00174283">
        <w:rPr>
          <w:lang w:val="fr-FR"/>
        </w:rPr>
        <w:t>n</w:t>
      </w:r>
      <w:r w:rsidR="004E1618" w:rsidRPr="00174283">
        <w:rPr>
          <w:vertAlign w:val="superscript"/>
          <w:lang w:val="fr-FR"/>
        </w:rPr>
        <w:t>os</w:t>
      </w:r>
      <w:r w:rsidR="004E1618" w:rsidRPr="00174283">
        <w:rPr>
          <w:lang w:val="fr-FR"/>
        </w:rPr>
        <w:t> </w:t>
      </w:r>
      <w:r w:rsidR="00B54D69" w:rsidRPr="00174283">
        <w:rPr>
          <w:lang w:val="fr-FR"/>
        </w:rPr>
        <w:t xml:space="preserve">76/2004, 86/2008, 161/2008, 96/2009 </w:t>
      </w:r>
      <w:r w:rsidR="004E1618" w:rsidRPr="00174283">
        <w:rPr>
          <w:lang w:val="fr-FR"/>
        </w:rPr>
        <w:t>et</w:t>
      </w:r>
      <w:r w:rsidR="00B54D69" w:rsidRPr="00174283">
        <w:rPr>
          <w:lang w:val="fr-FR"/>
        </w:rPr>
        <w:t xml:space="preserve"> 148/2011).</w:t>
      </w:r>
    </w:p>
    <w:p w:rsidR="00B54D69" w:rsidRPr="00174283" w:rsidRDefault="00403721" w:rsidP="00403721">
      <w:pPr>
        <w:pStyle w:val="SingleTxtG"/>
        <w:rPr>
          <w:lang w:val="fr-FR"/>
        </w:rPr>
      </w:pPr>
      <w:r>
        <w:rPr>
          <w:lang w:val="fr-FR"/>
        </w:rPr>
        <w:t>77.</w:t>
      </w:r>
      <w:r>
        <w:rPr>
          <w:lang w:val="fr-FR"/>
        </w:rPr>
        <w:tab/>
      </w:r>
      <w:r w:rsidR="004E1618" w:rsidRPr="00174283">
        <w:rPr>
          <w:lang w:val="fr-FR"/>
        </w:rPr>
        <w:t>La loi sur les partis politiques et les modifications qui lui ont été apportées en 2007 prévoient entre autres ce qui suit</w:t>
      </w:r>
      <w:r w:rsidR="002F51DC">
        <w:rPr>
          <w:lang w:val="fr-FR"/>
        </w:rPr>
        <w:t>:</w:t>
      </w:r>
    </w:p>
    <w:p w:rsidR="00B54D69" w:rsidRPr="00174283" w:rsidRDefault="004E1618" w:rsidP="00D43159">
      <w:pPr>
        <w:pStyle w:val="Bullet1G"/>
        <w:rPr>
          <w:lang w:val="fr-FR"/>
        </w:rPr>
      </w:pPr>
      <w:r w:rsidRPr="00174283">
        <w:rPr>
          <w:lang w:val="fr-FR"/>
        </w:rPr>
        <w:t>Égalité des sexes dans l</w:t>
      </w:r>
      <w:r w:rsidR="00205A62">
        <w:rPr>
          <w:lang w:val="fr-FR"/>
        </w:rPr>
        <w:t>’</w:t>
      </w:r>
      <w:r w:rsidRPr="00174283">
        <w:rPr>
          <w:lang w:val="fr-FR"/>
        </w:rPr>
        <w:t xml:space="preserve">accès aux postes </w:t>
      </w:r>
      <w:r w:rsidR="002734DD" w:rsidRPr="00174283">
        <w:rPr>
          <w:lang w:val="fr-FR"/>
        </w:rPr>
        <w:t>de responsabilité au sein</w:t>
      </w:r>
      <w:r w:rsidRPr="00174283">
        <w:rPr>
          <w:lang w:val="fr-FR"/>
        </w:rPr>
        <w:t xml:space="preserve"> des partis politiques et </w:t>
      </w:r>
      <w:r w:rsidR="00F242A5" w:rsidRPr="00174283">
        <w:rPr>
          <w:lang w:val="fr-FR"/>
        </w:rPr>
        <w:t>interdiction</w:t>
      </w:r>
      <w:r w:rsidRPr="00174283">
        <w:rPr>
          <w:lang w:val="fr-FR"/>
        </w:rPr>
        <w:t xml:space="preserve"> de la discrimination fondée sur l</w:t>
      </w:r>
      <w:r w:rsidR="00205A62">
        <w:rPr>
          <w:lang w:val="fr-FR"/>
        </w:rPr>
        <w:t>’</w:t>
      </w:r>
      <w:r w:rsidRPr="00174283">
        <w:rPr>
          <w:lang w:val="fr-FR"/>
        </w:rPr>
        <w:t xml:space="preserve">appartenance ou la non-appartenance à un parti politique </w:t>
      </w:r>
      <w:r w:rsidR="00343598">
        <w:rPr>
          <w:lang w:val="fr-FR"/>
        </w:rPr>
        <w:t>(art.</w:t>
      </w:r>
      <w:r w:rsidRPr="00174283">
        <w:rPr>
          <w:lang w:val="fr-FR"/>
        </w:rPr>
        <w:t xml:space="preserve"> 4 et 5). </w:t>
      </w:r>
    </w:p>
    <w:p w:rsidR="00B54D69" w:rsidRPr="00174283" w:rsidRDefault="00403721" w:rsidP="00403721">
      <w:pPr>
        <w:pStyle w:val="SingleTxtG"/>
        <w:rPr>
          <w:lang w:val="fr-FR"/>
        </w:rPr>
      </w:pPr>
      <w:r>
        <w:rPr>
          <w:lang w:val="fr-FR"/>
        </w:rPr>
        <w:t>78.</w:t>
      </w:r>
      <w:r>
        <w:rPr>
          <w:lang w:val="fr-FR"/>
        </w:rPr>
        <w:tab/>
      </w:r>
      <w:r w:rsidR="00071C43" w:rsidRPr="00174283">
        <w:rPr>
          <w:lang w:val="fr-FR"/>
        </w:rPr>
        <w:t xml:space="preserve">Étant donné que </w:t>
      </w:r>
      <w:r w:rsidR="002734DD" w:rsidRPr="00174283">
        <w:rPr>
          <w:lang w:val="fr-FR"/>
        </w:rPr>
        <w:t xml:space="preserve">la promotion </w:t>
      </w:r>
      <w:r w:rsidR="00071C43" w:rsidRPr="00174283">
        <w:rPr>
          <w:lang w:val="fr-FR"/>
        </w:rPr>
        <w:t>de la société civile revêt une importance particulière pour la démocratie et la mise en place d</w:t>
      </w:r>
      <w:r w:rsidR="00205A62">
        <w:rPr>
          <w:lang w:val="fr-FR"/>
        </w:rPr>
        <w:t>’</w:t>
      </w:r>
      <w:r w:rsidR="00071C43" w:rsidRPr="00174283">
        <w:rPr>
          <w:lang w:val="fr-FR"/>
        </w:rPr>
        <w:t xml:space="preserve">une société démocratique, le Gouvernement macédonien a adopté </w:t>
      </w:r>
      <w:r w:rsidR="004121FD" w:rsidRPr="00174283">
        <w:rPr>
          <w:lang w:val="fr-FR"/>
        </w:rPr>
        <w:t>une s</w:t>
      </w:r>
      <w:r w:rsidR="00BF4D6F" w:rsidRPr="00174283">
        <w:rPr>
          <w:lang w:val="fr-FR"/>
        </w:rPr>
        <w:t xml:space="preserve">tratégie de coopération entre le Gouvernement et la société civile </w:t>
      </w:r>
      <w:r w:rsidR="00B54D69" w:rsidRPr="00174283">
        <w:rPr>
          <w:lang w:val="fr-FR"/>
        </w:rPr>
        <w:t xml:space="preserve">(2007-2011), </w:t>
      </w:r>
      <w:r w:rsidR="00071C43" w:rsidRPr="00174283">
        <w:rPr>
          <w:lang w:val="fr-FR"/>
        </w:rPr>
        <w:t xml:space="preserve">qui </w:t>
      </w:r>
      <w:r w:rsidR="00BF4D6F" w:rsidRPr="00174283">
        <w:rPr>
          <w:lang w:val="fr-FR"/>
        </w:rPr>
        <w:t>précise le</w:t>
      </w:r>
      <w:r w:rsidR="00071C43" w:rsidRPr="00174283">
        <w:rPr>
          <w:lang w:val="fr-FR"/>
        </w:rPr>
        <w:t xml:space="preserve"> rôle important </w:t>
      </w:r>
      <w:r w:rsidR="00BF4D6F" w:rsidRPr="00174283">
        <w:rPr>
          <w:lang w:val="fr-FR"/>
        </w:rPr>
        <w:t xml:space="preserve">que joue la société civile </w:t>
      </w:r>
      <w:r w:rsidR="00071C43" w:rsidRPr="00174283">
        <w:rPr>
          <w:lang w:val="fr-FR"/>
        </w:rPr>
        <w:t>dans l</w:t>
      </w:r>
      <w:r w:rsidR="00205A62">
        <w:rPr>
          <w:lang w:val="fr-FR"/>
        </w:rPr>
        <w:t>’</w:t>
      </w:r>
      <w:r w:rsidR="00071C43" w:rsidRPr="00174283">
        <w:rPr>
          <w:lang w:val="fr-FR"/>
        </w:rPr>
        <w:t>édification d</w:t>
      </w:r>
      <w:r w:rsidR="00205A62">
        <w:rPr>
          <w:lang w:val="fr-FR"/>
        </w:rPr>
        <w:t>’</w:t>
      </w:r>
      <w:r w:rsidR="00071C43" w:rsidRPr="00174283">
        <w:rPr>
          <w:lang w:val="fr-FR"/>
        </w:rPr>
        <w:t>une société démocratique et est centrée sur la participation des citoyens à l</w:t>
      </w:r>
      <w:r w:rsidR="00205A62">
        <w:rPr>
          <w:lang w:val="fr-FR"/>
        </w:rPr>
        <w:t>’</w:t>
      </w:r>
      <w:r w:rsidR="00071C43" w:rsidRPr="00174283">
        <w:rPr>
          <w:lang w:val="fr-FR"/>
        </w:rPr>
        <w:t xml:space="preserve">évolution de la société. La nouvelle Stratégie pour la période 2012-2017 a été adoptée en juin 2012. La loi </w:t>
      </w:r>
      <w:r w:rsidR="00716740" w:rsidRPr="00174283">
        <w:rPr>
          <w:lang w:val="fr-FR"/>
        </w:rPr>
        <w:t>sur les</w:t>
      </w:r>
      <w:r w:rsidR="00071C43" w:rsidRPr="00174283">
        <w:rPr>
          <w:lang w:val="fr-FR"/>
        </w:rPr>
        <w:t xml:space="preserve"> associations </w:t>
      </w:r>
      <w:r w:rsidR="00E14D80" w:rsidRPr="00174283">
        <w:rPr>
          <w:lang w:val="fr-FR"/>
        </w:rPr>
        <w:t xml:space="preserve">et </w:t>
      </w:r>
      <w:r w:rsidR="00716740" w:rsidRPr="00174283">
        <w:rPr>
          <w:lang w:val="fr-FR"/>
        </w:rPr>
        <w:t>les</w:t>
      </w:r>
      <w:r w:rsidR="002028A8" w:rsidRPr="00174283">
        <w:rPr>
          <w:lang w:val="fr-FR"/>
        </w:rPr>
        <w:t xml:space="preserve"> </w:t>
      </w:r>
      <w:r w:rsidR="00E14D80" w:rsidRPr="00174283">
        <w:rPr>
          <w:lang w:val="fr-FR"/>
        </w:rPr>
        <w:t>fondations (</w:t>
      </w:r>
      <w:r w:rsidR="004E1618" w:rsidRPr="006C4B2D">
        <w:rPr>
          <w:i/>
          <w:iCs/>
          <w:lang w:val="fr-FR"/>
        </w:rPr>
        <w:t>Journal officiel de la République de Macédoine</w:t>
      </w:r>
      <w:r w:rsidR="00E14D80" w:rsidRPr="00174283">
        <w:rPr>
          <w:lang w:val="fr-FR"/>
        </w:rPr>
        <w:t xml:space="preserve"> n</w:t>
      </w:r>
      <w:r w:rsidR="00E14D80" w:rsidRPr="00174283">
        <w:rPr>
          <w:vertAlign w:val="superscript"/>
          <w:lang w:val="fr-FR"/>
        </w:rPr>
        <w:t>o</w:t>
      </w:r>
      <w:r w:rsidR="00E14D80" w:rsidRPr="00174283">
        <w:rPr>
          <w:lang w:val="fr-FR"/>
        </w:rPr>
        <w:t> </w:t>
      </w:r>
      <w:r w:rsidR="00B54D69" w:rsidRPr="00174283">
        <w:rPr>
          <w:lang w:val="fr-FR"/>
        </w:rPr>
        <w:t xml:space="preserve">51/2010) </w:t>
      </w:r>
      <w:r w:rsidR="00E14D80" w:rsidRPr="00174283">
        <w:rPr>
          <w:lang w:val="fr-FR"/>
        </w:rPr>
        <w:t xml:space="preserve">a été adoptée en </w:t>
      </w:r>
      <w:r w:rsidR="00B54D69" w:rsidRPr="00174283">
        <w:rPr>
          <w:lang w:val="fr-FR"/>
        </w:rPr>
        <w:t>2010.</w:t>
      </w:r>
      <w:r w:rsidR="00F104B6" w:rsidRPr="00174283">
        <w:rPr>
          <w:lang w:val="fr-FR"/>
        </w:rPr>
        <w:t xml:space="preserve"> </w:t>
      </w:r>
    </w:p>
    <w:p w:rsidR="00B54D69" w:rsidRPr="00174283" w:rsidRDefault="00403721" w:rsidP="00403721">
      <w:pPr>
        <w:pStyle w:val="SingleTxtG"/>
        <w:rPr>
          <w:lang w:val="fr-FR"/>
        </w:rPr>
      </w:pPr>
      <w:r>
        <w:rPr>
          <w:lang w:val="fr-FR"/>
        </w:rPr>
        <w:t>79.</w:t>
      </w:r>
      <w:r>
        <w:rPr>
          <w:lang w:val="fr-FR"/>
        </w:rPr>
        <w:tab/>
      </w:r>
      <w:r w:rsidR="00E14D80" w:rsidRPr="00174283">
        <w:rPr>
          <w:lang w:val="fr-FR"/>
        </w:rPr>
        <w:t>La loi garantit la liberté d</w:t>
      </w:r>
      <w:r w:rsidR="00205A62">
        <w:rPr>
          <w:lang w:val="fr-FR"/>
        </w:rPr>
        <w:t>’</w:t>
      </w:r>
      <w:r w:rsidR="00E14D80" w:rsidRPr="00174283">
        <w:rPr>
          <w:lang w:val="fr-FR"/>
        </w:rPr>
        <w:t xml:space="preserve">association, conformément </w:t>
      </w:r>
      <w:r w:rsidR="00C55662" w:rsidRPr="00174283">
        <w:rPr>
          <w:lang w:val="fr-FR"/>
        </w:rPr>
        <w:t xml:space="preserve">aux normes européennes. En conséquence, en plus des citoyens macédoniens, les étrangers, personnes juridiques et mineurs peuvent créer des associations et des fondations. Cette disposition est conforme à la Convention européenne </w:t>
      </w:r>
      <w:r w:rsidR="00BF4D6F" w:rsidRPr="00174283">
        <w:rPr>
          <w:lang w:val="fr-FR"/>
        </w:rPr>
        <w:t>d</w:t>
      </w:r>
      <w:r w:rsidR="00C55662" w:rsidRPr="00174283">
        <w:rPr>
          <w:lang w:val="fr-FR"/>
        </w:rPr>
        <w:t>es droits de l</w:t>
      </w:r>
      <w:r w:rsidR="00205A62">
        <w:rPr>
          <w:lang w:val="fr-FR"/>
        </w:rPr>
        <w:t>’</w:t>
      </w:r>
      <w:r w:rsidR="00C55662" w:rsidRPr="00174283">
        <w:rPr>
          <w:lang w:val="fr-FR"/>
        </w:rPr>
        <w:t>homme et à la jurisprudence de la Cour européenne des droits de l</w:t>
      </w:r>
      <w:r w:rsidR="00205A62">
        <w:rPr>
          <w:lang w:val="fr-FR"/>
        </w:rPr>
        <w:t>’</w:t>
      </w:r>
      <w:r w:rsidR="00C55662" w:rsidRPr="00174283">
        <w:rPr>
          <w:lang w:val="fr-FR"/>
        </w:rPr>
        <w:t>homme</w:t>
      </w:r>
      <w:r w:rsidR="00312D5C" w:rsidRPr="00174283">
        <w:rPr>
          <w:lang w:val="fr-FR"/>
        </w:rPr>
        <w:t>,</w:t>
      </w:r>
      <w:r w:rsidR="00C55662" w:rsidRPr="00174283">
        <w:rPr>
          <w:lang w:val="fr-FR"/>
        </w:rPr>
        <w:t xml:space="preserve"> ainsi qu</w:t>
      </w:r>
      <w:r w:rsidR="00205A62">
        <w:rPr>
          <w:lang w:val="fr-FR"/>
        </w:rPr>
        <w:t>’</w:t>
      </w:r>
      <w:r w:rsidR="00C55662" w:rsidRPr="00174283">
        <w:rPr>
          <w:lang w:val="fr-FR"/>
        </w:rPr>
        <w:t>à la Convention relative aux droits de l</w:t>
      </w:r>
      <w:r w:rsidR="00205A62">
        <w:rPr>
          <w:lang w:val="fr-FR"/>
        </w:rPr>
        <w:t>’</w:t>
      </w:r>
      <w:r w:rsidR="00C55662" w:rsidRPr="00174283">
        <w:rPr>
          <w:lang w:val="fr-FR"/>
        </w:rPr>
        <w:t>enfant et aux recommandations du Conseil de l</w:t>
      </w:r>
      <w:r w:rsidR="00205A62">
        <w:rPr>
          <w:lang w:val="fr-FR"/>
        </w:rPr>
        <w:t>’</w:t>
      </w:r>
      <w:r w:rsidR="00C55662" w:rsidRPr="00174283">
        <w:rPr>
          <w:lang w:val="fr-FR"/>
        </w:rPr>
        <w:t xml:space="preserve">Europe. </w:t>
      </w:r>
    </w:p>
    <w:p w:rsidR="00B54D69" w:rsidRPr="00174283" w:rsidRDefault="00B16DD4" w:rsidP="00B16DD4">
      <w:pPr>
        <w:pStyle w:val="H23G"/>
        <w:rPr>
          <w:lang w:val="fr-FR"/>
        </w:rPr>
      </w:pPr>
      <w:r w:rsidRPr="00174283">
        <w:rPr>
          <w:lang w:val="fr-FR"/>
        </w:rPr>
        <w:tab/>
      </w:r>
      <w:r w:rsidR="005F4C93" w:rsidRPr="00174283">
        <w:rPr>
          <w:lang w:val="fr-FR"/>
        </w:rPr>
        <w:t>5</w:t>
      </w:r>
      <w:r w:rsidR="00B54D69" w:rsidRPr="00174283">
        <w:rPr>
          <w:lang w:val="fr-FR"/>
        </w:rPr>
        <w:t>.</w:t>
      </w:r>
      <w:r w:rsidRPr="00174283">
        <w:rPr>
          <w:lang w:val="fr-FR"/>
        </w:rPr>
        <w:tab/>
      </w:r>
      <w:r w:rsidR="00C55662" w:rsidRPr="00174283">
        <w:rPr>
          <w:lang w:val="fr-FR"/>
        </w:rPr>
        <w:t>Droits économiques, sociaux et culturels</w:t>
      </w:r>
      <w:r w:rsidR="00B54D69" w:rsidRPr="00174283">
        <w:rPr>
          <w:lang w:val="fr-FR"/>
        </w:rPr>
        <w:t xml:space="preserve"> </w:t>
      </w:r>
    </w:p>
    <w:p w:rsidR="00B54D69" w:rsidRPr="00174283" w:rsidRDefault="00B16DD4" w:rsidP="005F4C93">
      <w:pPr>
        <w:pStyle w:val="H23G"/>
        <w:rPr>
          <w:lang w:val="fr-FR"/>
        </w:rPr>
      </w:pPr>
      <w:r w:rsidRPr="00174283">
        <w:rPr>
          <w:lang w:val="fr-FR"/>
        </w:rPr>
        <w:tab/>
      </w:r>
      <w:r w:rsidR="005F4C93" w:rsidRPr="00174283">
        <w:rPr>
          <w:lang w:val="fr-FR"/>
        </w:rPr>
        <w:t>a)</w:t>
      </w:r>
      <w:r w:rsidRPr="00174283">
        <w:rPr>
          <w:lang w:val="fr-FR"/>
        </w:rPr>
        <w:tab/>
      </w:r>
      <w:r w:rsidR="00C55662" w:rsidRPr="00174283">
        <w:rPr>
          <w:lang w:val="fr-FR"/>
        </w:rPr>
        <w:t>Droit au travail</w:t>
      </w:r>
    </w:p>
    <w:p w:rsidR="00B54D69" w:rsidRPr="00174283" w:rsidRDefault="00403721" w:rsidP="00403721">
      <w:pPr>
        <w:pStyle w:val="SingleTxtG"/>
        <w:rPr>
          <w:lang w:val="fr-FR"/>
        </w:rPr>
      </w:pPr>
      <w:r>
        <w:rPr>
          <w:lang w:val="fr-FR"/>
        </w:rPr>
        <w:t>80.</w:t>
      </w:r>
      <w:r>
        <w:rPr>
          <w:lang w:val="fr-FR"/>
        </w:rPr>
        <w:tab/>
      </w:r>
      <w:r w:rsidR="00C55662" w:rsidRPr="00174283">
        <w:rPr>
          <w:lang w:val="fr-FR"/>
        </w:rPr>
        <w:t xml:space="preserve">La </w:t>
      </w:r>
      <w:r w:rsidR="00F242A5" w:rsidRPr="00174283">
        <w:rPr>
          <w:lang w:val="fr-FR"/>
        </w:rPr>
        <w:t>réponse</w:t>
      </w:r>
      <w:r w:rsidR="00C55662" w:rsidRPr="00174283">
        <w:rPr>
          <w:lang w:val="fr-FR"/>
        </w:rPr>
        <w:t xml:space="preserve"> à la recommandation figurant </w:t>
      </w:r>
      <w:r w:rsidR="00266E30" w:rsidRPr="00174283">
        <w:rPr>
          <w:lang w:val="fr-FR"/>
        </w:rPr>
        <w:t>au paragraphe</w:t>
      </w:r>
      <w:r w:rsidR="00C55662" w:rsidRPr="00174283">
        <w:rPr>
          <w:lang w:val="fr-FR"/>
        </w:rPr>
        <w:t xml:space="preserve"> 15 des observations finales du Comité </w:t>
      </w:r>
      <w:r w:rsidR="00266E30" w:rsidRPr="00174283">
        <w:rPr>
          <w:lang w:val="fr-FR"/>
        </w:rPr>
        <w:t>po</w:t>
      </w:r>
      <w:r w:rsidR="00C55662" w:rsidRPr="00174283">
        <w:rPr>
          <w:lang w:val="fr-FR"/>
        </w:rPr>
        <w:t>ur l</w:t>
      </w:r>
      <w:r w:rsidR="00205A62">
        <w:rPr>
          <w:lang w:val="fr-FR"/>
        </w:rPr>
        <w:t>’</w:t>
      </w:r>
      <w:r w:rsidR="00C55662" w:rsidRPr="00174283">
        <w:rPr>
          <w:lang w:val="fr-FR"/>
        </w:rPr>
        <w:t xml:space="preserve">élimination de la discrimination raciale </w:t>
      </w:r>
      <w:r w:rsidR="007A3CBF">
        <w:rPr>
          <w:lang w:val="fr-FR"/>
        </w:rPr>
        <w:t xml:space="preserve">est fournie </w:t>
      </w:r>
      <w:r w:rsidR="00C55662" w:rsidRPr="00174283">
        <w:rPr>
          <w:lang w:val="fr-FR"/>
        </w:rPr>
        <w:t xml:space="preserve">à la fin du présent rapport. </w:t>
      </w:r>
    </w:p>
    <w:p w:rsidR="00B54D69" w:rsidRPr="00174283" w:rsidRDefault="00403721" w:rsidP="00403721">
      <w:pPr>
        <w:pStyle w:val="SingleTxtG"/>
        <w:rPr>
          <w:lang w:val="fr-FR"/>
        </w:rPr>
      </w:pPr>
      <w:r>
        <w:rPr>
          <w:lang w:val="fr-FR"/>
        </w:rPr>
        <w:t>81.</w:t>
      </w:r>
      <w:r>
        <w:rPr>
          <w:lang w:val="fr-FR"/>
        </w:rPr>
        <w:tab/>
      </w:r>
      <w:r w:rsidR="00453AF3" w:rsidRPr="00174283">
        <w:rPr>
          <w:lang w:val="fr-FR"/>
        </w:rPr>
        <w:t xml:space="preserve">Les </w:t>
      </w:r>
      <w:r w:rsidR="00F242A5" w:rsidRPr="00174283">
        <w:rPr>
          <w:lang w:val="fr-FR"/>
        </w:rPr>
        <w:t>modifications</w:t>
      </w:r>
      <w:r w:rsidR="00453AF3" w:rsidRPr="00174283">
        <w:rPr>
          <w:lang w:val="fr-FR"/>
        </w:rPr>
        <w:t xml:space="preserve"> apportées à la loi sur les relations </w:t>
      </w:r>
      <w:r w:rsidR="00F75B61" w:rsidRPr="00174283">
        <w:rPr>
          <w:lang w:val="fr-FR"/>
        </w:rPr>
        <w:t>professionnelles</w:t>
      </w:r>
      <w:r w:rsidR="00453AF3" w:rsidRPr="00174283">
        <w:rPr>
          <w:lang w:val="fr-FR"/>
        </w:rPr>
        <w:t xml:space="preserve"> de 2008 (</w:t>
      </w:r>
      <w:r w:rsidR="004E1618" w:rsidRPr="006C4B2D">
        <w:rPr>
          <w:i/>
          <w:iCs/>
          <w:lang w:val="fr-FR"/>
        </w:rPr>
        <w:t>Journal officiel de la République de Macédoine</w:t>
      </w:r>
      <w:r w:rsidR="00B54D69" w:rsidRPr="00174283">
        <w:rPr>
          <w:lang w:val="fr-FR"/>
        </w:rPr>
        <w:t xml:space="preserve"> </w:t>
      </w:r>
      <w:r w:rsidR="00453AF3" w:rsidRPr="00174283">
        <w:rPr>
          <w:lang w:val="fr-FR"/>
        </w:rPr>
        <w:t>n</w:t>
      </w:r>
      <w:r w:rsidR="00453AF3" w:rsidRPr="00174283">
        <w:rPr>
          <w:vertAlign w:val="superscript"/>
          <w:lang w:val="fr-FR"/>
        </w:rPr>
        <w:t>o</w:t>
      </w:r>
      <w:r w:rsidR="00453AF3" w:rsidRPr="00174283">
        <w:rPr>
          <w:lang w:val="fr-FR"/>
        </w:rPr>
        <w:t> </w:t>
      </w:r>
      <w:r w:rsidR="00B54D69" w:rsidRPr="00174283">
        <w:rPr>
          <w:lang w:val="fr-FR"/>
        </w:rPr>
        <w:t xml:space="preserve">106/2008) </w:t>
      </w:r>
      <w:r w:rsidR="00453AF3" w:rsidRPr="00174283">
        <w:rPr>
          <w:lang w:val="fr-FR"/>
        </w:rPr>
        <w:t>concernent l</w:t>
      </w:r>
      <w:r w:rsidR="00205A62">
        <w:rPr>
          <w:lang w:val="fr-FR"/>
        </w:rPr>
        <w:t>’</w:t>
      </w:r>
      <w:r w:rsidR="00453AF3" w:rsidRPr="00174283">
        <w:rPr>
          <w:lang w:val="fr-FR"/>
        </w:rPr>
        <w:t xml:space="preserve">article 10 qui prévoit le versement </w:t>
      </w:r>
      <w:r w:rsidR="00281A9E" w:rsidRPr="00174283">
        <w:rPr>
          <w:lang w:val="fr-FR"/>
        </w:rPr>
        <w:t>d</w:t>
      </w:r>
      <w:r w:rsidR="00205A62">
        <w:rPr>
          <w:lang w:val="fr-FR"/>
        </w:rPr>
        <w:t>’</w:t>
      </w:r>
      <w:r w:rsidR="00281A9E" w:rsidRPr="00174283">
        <w:rPr>
          <w:lang w:val="fr-FR"/>
        </w:rPr>
        <w:t>une indemnisation</w:t>
      </w:r>
      <w:r w:rsidR="00453AF3" w:rsidRPr="00174283">
        <w:rPr>
          <w:lang w:val="fr-FR"/>
        </w:rPr>
        <w:t xml:space="preserve"> </w:t>
      </w:r>
      <w:r w:rsidR="00281A9E" w:rsidRPr="00174283">
        <w:rPr>
          <w:lang w:val="fr-FR"/>
        </w:rPr>
        <w:t>d</w:t>
      </w:r>
      <w:r w:rsidR="00205A62">
        <w:rPr>
          <w:lang w:val="fr-FR"/>
        </w:rPr>
        <w:t>’</w:t>
      </w:r>
      <w:r w:rsidR="00281A9E" w:rsidRPr="00174283">
        <w:rPr>
          <w:lang w:val="fr-FR"/>
        </w:rPr>
        <w:t>un montant représentant</w:t>
      </w:r>
      <w:r w:rsidR="00453AF3" w:rsidRPr="00174283">
        <w:rPr>
          <w:lang w:val="fr-FR"/>
        </w:rPr>
        <w:t xml:space="preserve"> cinq </w:t>
      </w:r>
      <w:r w:rsidR="00281A9E" w:rsidRPr="00174283">
        <w:rPr>
          <w:lang w:val="fr-FR"/>
        </w:rPr>
        <w:t>f</w:t>
      </w:r>
      <w:r w:rsidR="00453AF3" w:rsidRPr="00174283">
        <w:rPr>
          <w:lang w:val="fr-FR"/>
        </w:rPr>
        <w:t xml:space="preserve">ois </w:t>
      </w:r>
      <w:r w:rsidR="00281A9E" w:rsidRPr="00174283">
        <w:rPr>
          <w:lang w:val="fr-FR"/>
        </w:rPr>
        <w:t>l</w:t>
      </w:r>
      <w:r w:rsidR="00453AF3" w:rsidRPr="00174283">
        <w:rPr>
          <w:lang w:val="fr-FR"/>
        </w:rPr>
        <w:t>e salaire moyen</w:t>
      </w:r>
      <w:r w:rsidR="0036240D" w:rsidRPr="00174283">
        <w:rPr>
          <w:lang w:val="fr-FR"/>
        </w:rPr>
        <w:t xml:space="preserve"> en cas de discrimination</w:t>
      </w:r>
      <w:r w:rsidR="00453AF3" w:rsidRPr="00174283">
        <w:rPr>
          <w:lang w:val="fr-FR"/>
        </w:rPr>
        <w:t xml:space="preserve">. Autrement dit, tout </w:t>
      </w:r>
      <w:r w:rsidR="00281A9E" w:rsidRPr="00174283">
        <w:rPr>
          <w:lang w:val="fr-FR"/>
        </w:rPr>
        <w:t>salarié</w:t>
      </w:r>
      <w:r w:rsidR="00453AF3" w:rsidRPr="00174283">
        <w:rPr>
          <w:lang w:val="fr-FR"/>
        </w:rPr>
        <w:t xml:space="preserve"> </w:t>
      </w:r>
      <w:r w:rsidR="00264C3D" w:rsidRPr="00174283">
        <w:rPr>
          <w:lang w:val="fr-FR"/>
        </w:rPr>
        <w:t>est en</w:t>
      </w:r>
      <w:r w:rsidR="00453AF3" w:rsidRPr="00174283">
        <w:rPr>
          <w:lang w:val="fr-FR"/>
        </w:rPr>
        <w:t xml:space="preserve"> droit de </w:t>
      </w:r>
      <w:r w:rsidR="00281A9E" w:rsidRPr="00174283">
        <w:rPr>
          <w:lang w:val="fr-FR"/>
        </w:rPr>
        <w:t xml:space="preserve">réclamer une indemnisation, </w:t>
      </w:r>
      <w:r w:rsidR="00453AF3" w:rsidRPr="00174283">
        <w:rPr>
          <w:lang w:val="fr-FR"/>
        </w:rPr>
        <w:t xml:space="preserve">conformément à la loi sur les </w:t>
      </w:r>
      <w:r w:rsidR="00C705D6" w:rsidRPr="00174283">
        <w:rPr>
          <w:lang w:val="fr-FR"/>
        </w:rPr>
        <w:t>contrats de travail</w:t>
      </w:r>
      <w:r w:rsidR="00453AF3" w:rsidRPr="00174283">
        <w:rPr>
          <w:lang w:val="fr-FR"/>
        </w:rPr>
        <w:t xml:space="preserve">. </w:t>
      </w:r>
    </w:p>
    <w:p w:rsidR="00B54D69" w:rsidRPr="00174283" w:rsidRDefault="00403721" w:rsidP="00403721">
      <w:pPr>
        <w:pStyle w:val="SingleTxtG"/>
        <w:rPr>
          <w:lang w:val="fr-FR"/>
        </w:rPr>
      </w:pPr>
      <w:r>
        <w:rPr>
          <w:lang w:val="fr-FR"/>
        </w:rPr>
        <w:t>82.</w:t>
      </w:r>
      <w:r>
        <w:rPr>
          <w:lang w:val="fr-FR"/>
        </w:rPr>
        <w:tab/>
      </w:r>
      <w:r w:rsidR="00264C3D" w:rsidRPr="00174283">
        <w:rPr>
          <w:lang w:val="fr-FR"/>
        </w:rPr>
        <w:t>Si, en cas de litige, le candidat au poste ou le salarié fait état d</w:t>
      </w:r>
      <w:r w:rsidR="00205A62">
        <w:rPr>
          <w:lang w:val="fr-FR"/>
        </w:rPr>
        <w:t>’</w:t>
      </w:r>
      <w:r w:rsidR="00264C3D" w:rsidRPr="00174283">
        <w:rPr>
          <w:lang w:val="fr-FR"/>
        </w:rPr>
        <w:t>actes commis par l</w:t>
      </w:r>
      <w:r w:rsidR="00205A62">
        <w:rPr>
          <w:lang w:val="fr-FR"/>
        </w:rPr>
        <w:t>’</w:t>
      </w:r>
      <w:r w:rsidR="00264C3D" w:rsidRPr="00174283">
        <w:rPr>
          <w:lang w:val="fr-FR"/>
        </w:rPr>
        <w:t>employeur qui constituent une infraction aux articles 6 et 9 de la loi, l</w:t>
      </w:r>
      <w:r w:rsidR="00205A62">
        <w:rPr>
          <w:lang w:val="fr-FR"/>
        </w:rPr>
        <w:t>’</w:t>
      </w:r>
      <w:r w:rsidR="00264C3D" w:rsidRPr="00174283">
        <w:rPr>
          <w:lang w:val="fr-FR"/>
        </w:rPr>
        <w:t>employeur est tenu de prouver qu</w:t>
      </w:r>
      <w:r w:rsidR="00205A62">
        <w:rPr>
          <w:lang w:val="fr-FR"/>
        </w:rPr>
        <w:t>’</w:t>
      </w:r>
      <w:r w:rsidR="00264C3D" w:rsidRPr="00174283">
        <w:rPr>
          <w:lang w:val="fr-FR"/>
        </w:rPr>
        <w:t>il n</w:t>
      </w:r>
      <w:r w:rsidR="00205A62">
        <w:rPr>
          <w:lang w:val="fr-FR"/>
        </w:rPr>
        <w:t>’</w:t>
      </w:r>
      <w:r w:rsidR="00264C3D" w:rsidRPr="00174283">
        <w:rPr>
          <w:lang w:val="fr-FR"/>
        </w:rPr>
        <w:t>y a pas eu discrimination, c</w:t>
      </w:r>
      <w:r w:rsidR="00205A62">
        <w:rPr>
          <w:lang w:val="fr-FR"/>
        </w:rPr>
        <w:t>’</w:t>
      </w:r>
      <w:r w:rsidR="00264C3D" w:rsidRPr="00174283">
        <w:rPr>
          <w:lang w:val="fr-FR"/>
        </w:rPr>
        <w:t>est-à-dire qu</w:t>
      </w:r>
      <w:r w:rsidR="00205A62">
        <w:rPr>
          <w:lang w:val="fr-FR"/>
        </w:rPr>
        <w:t>’</w:t>
      </w:r>
      <w:r w:rsidR="00264C3D" w:rsidRPr="00174283">
        <w:rPr>
          <w:lang w:val="fr-FR"/>
        </w:rPr>
        <w:t>il a agi dans le respect des prescriptions légales, sauf s</w:t>
      </w:r>
      <w:r w:rsidR="00205A62">
        <w:rPr>
          <w:lang w:val="fr-FR"/>
        </w:rPr>
        <w:t>’</w:t>
      </w:r>
      <w:r w:rsidR="00264C3D" w:rsidRPr="00174283">
        <w:rPr>
          <w:lang w:val="fr-FR"/>
        </w:rPr>
        <w:t>il prouve qu</w:t>
      </w:r>
      <w:r w:rsidR="00205A62">
        <w:rPr>
          <w:lang w:val="fr-FR"/>
        </w:rPr>
        <w:t>’</w:t>
      </w:r>
      <w:r w:rsidR="00264C3D" w:rsidRPr="00174283">
        <w:rPr>
          <w:lang w:val="fr-FR"/>
        </w:rPr>
        <w:t>il a eu recours à un traitement inégal en vertu des exceptions prévues à l</w:t>
      </w:r>
      <w:r w:rsidR="00205A62">
        <w:rPr>
          <w:lang w:val="fr-FR"/>
        </w:rPr>
        <w:t>’</w:t>
      </w:r>
      <w:r w:rsidR="00264C3D" w:rsidRPr="00174283">
        <w:rPr>
          <w:lang w:val="fr-FR"/>
        </w:rPr>
        <w:t>article 8 de la loi.</w:t>
      </w:r>
      <w:r w:rsidR="00453AF3" w:rsidRPr="00174283">
        <w:rPr>
          <w:lang w:val="fr-FR"/>
        </w:rPr>
        <w:t xml:space="preserve"> </w:t>
      </w:r>
    </w:p>
    <w:p w:rsidR="00D43159" w:rsidRPr="00174283" w:rsidRDefault="00403721" w:rsidP="00403721">
      <w:pPr>
        <w:pStyle w:val="SingleTxtG"/>
        <w:rPr>
          <w:lang w:val="fr-FR"/>
        </w:rPr>
      </w:pPr>
      <w:r>
        <w:rPr>
          <w:lang w:val="fr-FR"/>
        </w:rPr>
        <w:t>83.</w:t>
      </w:r>
      <w:r>
        <w:rPr>
          <w:lang w:val="fr-FR"/>
        </w:rPr>
        <w:tab/>
      </w:r>
      <w:r w:rsidR="00453AF3" w:rsidRPr="00174283">
        <w:rPr>
          <w:lang w:val="fr-FR"/>
        </w:rPr>
        <w:t xml:space="preserve">Au cours de la période visée par </w:t>
      </w:r>
      <w:r w:rsidR="009A193A" w:rsidRPr="00174283">
        <w:rPr>
          <w:lang w:val="fr-FR"/>
        </w:rPr>
        <w:t>l</w:t>
      </w:r>
      <w:r w:rsidR="00956284" w:rsidRPr="00174283">
        <w:rPr>
          <w:lang w:val="fr-FR"/>
        </w:rPr>
        <w:t xml:space="preserve">e </w:t>
      </w:r>
      <w:r w:rsidR="009A193A" w:rsidRPr="00174283">
        <w:rPr>
          <w:lang w:val="fr-FR"/>
        </w:rPr>
        <w:t xml:space="preserve">présent </w:t>
      </w:r>
      <w:r w:rsidR="00956284" w:rsidRPr="00174283">
        <w:rPr>
          <w:lang w:val="fr-FR"/>
        </w:rPr>
        <w:t>rapport, plusieurs mesures ont été prises pour harmoniser le cadre législatif avec l</w:t>
      </w:r>
      <w:r w:rsidR="00205A62">
        <w:rPr>
          <w:lang w:val="fr-FR"/>
        </w:rPr>
        <w:t>’</w:t>
      </w:r>
      <w:r w:rsidR="00956284" w:rsidRPr="00174283">
        <w:rPr>
          <w:lang w:val="fr-FR"/>
        </w:rPr>
        <w:t xml:space="preserve">acquis </w:t>
      </w:r>
      <w:r w:rsidR="0036240D" w:rsidRPr="00174283">
        <w:rPr>
          <w:lang w:val="fr-FR"/>
        </w:rPr>
        <w:t>communautaire</w:t>
      </w:r>
      <w:r w:rsidR="00956284" w:rsidRPr="00174283">
        <w:rPr>
          <w:lang w:val="fr-FR"/>
        </w:rPr>
        <w:t>, et notamment</w:t>
      </w:r>
      <w:r w:rsidR="0036240D" w:rsidRPr="00174283">
        <w:rPr>
          <w:lang w:val="fr-FR"/>
        </w:rPr>
        <w:t xml:space="preserve"> avec</w:t>
      </w:r>
      <w:r w:rsidR="00956284" w:rsidRPr="00174283">
        <w:rPr>
          <w:lang w:val="fr-FR"/>
        </w:rPr>
        <w:t xml:space="preserve"> les dispositions réglementant la discrimination. Cette question a été </w:t>
      </w:r>
      <w:r w:rsidR="008A183E" w:rsidRPr="00174283">
        <w:rPr>
          <w:lang w:val="fr-FR"/>
        </w:rPr>
        <w:t>examin</w:t>
      </w:r>
      <w:r w:rsidR="00FD1EED" w:rsidRPr="00174283">
        <w:rPr>
          <w:lang w:val="fr-FR"/>
        </w:rPr>
        <w:t>ée sous l</w:t>
      </w:r>
      <w:r w:rsidR="00205A62">
        <w:rPr>
          <w:lang w:val="fr-FR"/>
        </w:rPr>
        <w:t>’</w:t>
      </w:r>
      <w:r w:rsidR="00FD1EED" w:rsidRPr="00174283">
        <w:rPr>
          <w:lang w:val="fr-FR"/>
        </w:rPr>
        <w:t xml:space="preserve">angle des dispositions relatives à la discrimination </w:t>
      </w:r>
      <w:r w:rsidR="00956284" w:rsidRPr="00174283">
        <w:rPr>
          <w:lang w:val="fr-FR"/>
        </w:rPr>
        <w:t>et de l</w:t>
      </w:r>
      <w:r w:rsidR="00205A62">
        <w:rPr>
          <w:lang w:val="fr-FR"/>
        </w:rPr>
        <w:t>’</w:t>
      </w:r>
      <w:r w:rsidR="00956284" w:rsidRPr="00174283">
        <w:rPr>
          <w:lang w:val="fr-FR"/>
        </w:rPr>
        <w:t xml:space="preserve">harmonisation avec la législation européenne, </w:t>
      </w:r>
      <w:r w:rsidR="00FD1EED" w:rsidRPr="00174283">
        <w:rPr>
          <w:lang w:val="fr-FR"/>
        </w:rPr>
        <w:t>à savoir</w:t>
      </w:r>
      <w:r w:rsidR="00956284" w:rsidRPr="00174283">
        <w:rPr>
          <w:lang w:val="fr-FR"/>
        </w:rPr>
        <w:t xml:space="preserve"> les directives relatives à cette question. </w:t>
      </w:r>
      <w:r w:rsidR="00C705D6" w:rsidRPr="00174283">
        <w:rPr>
          <w:lang w:val="fr-FR"/>
        </w:rPr>
        <w:t>L</w:t>
      </w:r>
      <w:r w:rsidR="00956284" w:rsidRPr="00174283">
        <w:rPr>
          <w:lang w:val="fr-FR"/>
        </w:rPr>
        <w:t>e projet «Examen de la législation nationale sur le travail» financé par l</w:t>
      </w:r>
      <w:r w:rsidR="00205A62">
        <w:rPr>
          <w:lang w:val="fr-FR"/>
        </w:rPr>
        <w:t>’</w:t>
      </w:r>
      <w:r w:rsidR="00956284" w:rsidRPr="00174283">
        <w:rPr>
          <w:lang w:val="fr-FR"/>
        </w:rPr>
        <w:t>Union européenne a été déployé</w:t>
      </w:r>
      <w:r w:rsidR="00C705D6" w:rsidRPr="00174283">
        <w:rPr>
          <w:lang w:val="fr-FR"/>
        </w:rPr>
        <w:t xml:space="preserve"> dans ce contexte</w:t>
      </w:r>
      <w:r w:rsidR="00956284" w:rsidRPr="00174283">
        <w:rPr>
          <w:lang w:val="fr-FR"/>
        </w:rPr>
        <w:t xml:space="preserve"> entre mai 2008 et septembre 2009. </w:t>
      </w:r>
    </w:p>
    <w:p w:rsidR="00D43159" w:rsidRPr="00174283" w:rsidRDefault="00403721" w:rsidP="00403721">
      <w:pPr>
        <w:pStyle w:val="SingleTxtG"/>
        <w:rPr>
          <w:lang w:val="fr-FR"/>
        </w:rPr>
      </w:pPr>
      <w:r>
        <w:rPr>
          <w:lang w:val="fr-FR"/>
        </w:rPr>
        <w:t>84.</w:t>
      </w:r>
      <w:r>
        <w:rPr>
          <w:lang w:val="fr-FR"/>
        </w:rPr>
        <w:tab/>
      </w:r>
      <w:r w:rsidR="009910BA" w:rsidRPr="00174283">
        <w:rPr>
          <w:lang w:val="fr-FR"/>
        </w:rPr>
        <w:t>L</w:t>
      </w:r>
      <w:r w:rsidR="00205A62">
        <w:rPr>
          <w:lang w:val="fr-FR"/>
        </w:rPr>
        <w:t>’</w:t>
      </w:r>
      <w:r w:rsidR="009A193A" w:rsidRPr="00174283">
        <w:rPr>
          <w:lang w:val="fr-FR"/>
        </w:rPr>
        <w:t>examen de</w:t>
      </w:r>
      <w:r w:rsidR="009910BA" w:rsidRPr="00174283">
        <w:rPr>
          <w:lang w:val="fr-FR"/>
        </w:rPr>
        <w:t xml:space="preserve"> l</w:t>
      </w:r>
      <w:r w:rsidR="00205A62">
        <w:rPr>
          <w:lang w:val="fr-FR"/>
        </w:rPr>
        <w:t>’</w:t>
      </w:r>
      <w:r w:rsidR="009910BA" w:rsidRPr="00174283">
        <w:rPr>
          <w:lang w:val="fr-FR"/>
        </w:rPr>
        <w:t>harmonisation avec la législation européenne</w:t>
      </w:r>
      <w:r w:rsidR="00794714" w:rsidRPr="00174283">
        <w:rPr>
          <w:lang w:val="fr-FR"/>
        </w:rPr>
        <w:t>, qui</w:t>
      </w:r>
      <w:r w:rsidR="009910BA" w:rsidRPr="00174283">
        <w:rPr>
          <w:lang w:val="fr-FR"/>
        </w:rPr>
        <w:t xml:space="preserve"> a donné</w:t>
      </w:r>
      <w:r w:rsidR="009F5DC7" w:rsidRPr="00174283">
        <w:rPr>
          <w:lang w:val="fr-FR"/>
        </w:rPr>
        <w:t xml:space="preserve"> lieu </w:t>
      </w:r>
      <w:r w:rsidR="009910BA" w:rsidRPr="00174283">
        <w:rPr>
          <w:lang w:val="fr-FR"/>
        </w:rPr>
        <w:t>à la formulation de recommandations spécifiques</w:t>
      </w:r>
      <w:r w:rsidR="00794714" w:rsidRPr="00174283">
        <w:rPr>
          <w:lang w:val="fr-FR"/>
        </w:rPr>
        <w:t>, a porté</w:t>
      </w:r>
      <w:r w:rsidR="009910BA" w:rsidRPr="00174283">
        <w:rPr>
          <w:lang w:val="fr-FR"/>
        </w:rPr>
        <w:t xml:space="preserve"> </w:t>
      </w:r>
      <w:r w:rsidR="00165128" w:rsidRPr="00174283">
        <w:rPr>
          <w:lang w:val="fr-FR"/>
        </w:rPr>
        <w:t>non seulement</w:t>
      </w:r>
      <w:r w:rsidR="00794714" w:rsidRPr="00174283">
        <w:rPr>
          <w:lang w:val="fr-FR"/>
        </w:rPr>
        <w:t xml:space="preserve"> sur</w:t>
      </w:r>
      <w:r w:rsidR="00165128" w:rsidRPr="00174283">
        <w:rPr>
          <w:lang w:val="fr-FR"/>
        </w:rPr>
        <w:t xml:space="preserve"> </w:t>
      </w:r>
      <w:r w:rsidR="009910BA" w:rsidRPr="00174283">
        <w:rPr>
          <w:lang w:val="fr-FR"/>
        </w:rPr>
        <w:t xml:space="preserve">la loi sur les relations </w:t>
      </w:r>
      <w:r w:rsidR="008C7979" w:rsidRPr="00174283">
        <w:rPr>
          <w:lang w:val="fr-FR"/>
        </w:rPr>
        <w:t>professionnelles</w:t>
      </w:r>
      <w:r w:rsidR="009910BA" w:rsidRPr="00174283">
        <w:rPr>
          <w:lang w:val="fr-FR"/>
        </w:rPr>
        <w:t xml:space="preserve"> et la loi sur l</w:t>
      </w:r>
      <w:r w:rsidR="00205A62">
        <w:rPr>
          <w:lang w:val="fr-FR"/>
        </w:rPr>
        <w:t>’</w:t>
      </w:r>
      <w:r w:rsidR="009910BA" w:rsidRPr="00174283">
        <w:rPr>
          <w:lang w:val="fr-FR"/>
        </w:rPr>
        <w:t>emploi et l</w:t>
      </w:r>
      <w:r w:rsidR="00205A62">
        <w:rPr>
          <w:lang w:val="fr-FR"/>
        </w:rPr>
        <w:t>’</w:t>
      </w:r>
      <w:r w:rsidR="009910BA" w:rsidRPr="00174283">
        <w:rPr>
          <w:lang w:val="fr-FR"/>
        </w:rPr>
        <w:t xml:space="preserve">assurance-chômage, </w:t>
      </w:r>
      <w:r w:rsidR="00165128" w:rsidRPr="00174283">
        <w:rPr>
          <w:lang w:val="fr-FR"/>
        </w:rPr>
        <w:t>mais aussi</w:t>
      </w:r>
      <w:r w:rsidR="009910BA" w:rsidRPr="00174283">
        <w:rPr>
          <w:lang w:val="fr-FR"/>
        </w:rPr>
        <w:t xml:space="preserve"> </w:t>
      </w:r>
      <w:r w:rsidR="00794714" w:rsidRPr="00174283">
        <w:rPr>
          <w:lang w:val="fr-FR"/>
        </w:rPr>
        <w:t xml:space="preserve">sur </w:t>
      </w:r>
      <w:r w:rsidR="009910BA" w:rsidRPr="00174283">
        <w:rPr>
          <w:lang w:val="fr-FR"/>
        </w:rPr>
        <w:t xml:space="preserve">la loi </w:t>
      </w:r>
      <w:r w:rsidR="00794714" w:rsidRPr="00174283">
        <w:rPr>
          <w:lang w:val="fr-FR"/>
        </w:rPr>
        <w:t>relative à</w:t>
      </w:r>
      <w:r w:rsidR="009910BA" w:rsidRPr="00174283">
        <w:rPr>
          <w:lang w:val="fr-FR"/>
        </w:rPr>
        <w:t xml:space="preserve"> l</w:t>
      </w:r>
      <w:r w:rsidR="00205A62">
        <w:rPr>
          <w:lang w:val="fr-FR"/>
        </w:rPr>
        <w:t>’</w:t>
      </w:r>
      <w:r w:rsidR="009910BA" w:rsidRPr="00174283">
        <w:rPr>
          <w:lang w:val="fr-FR"/>
        </w:rPr>
        <w:t>emploi des personnes handicapées, la loi relative à l</w:t>
      </w:r>
      <w:r w:rsidR="00205A62">
        <w:rPr>
          <w:lang w:val="fr-FR"/>
        </w:rPr>
        <w:t>’</w:t>
      </w:r>
      <w:r w:rsidR="009910BA" w:rsidRPr="00174283">
        <w:rPr>
          <w:lang w:val="fr-FR"/>
        </w:rPr>
        <w:t xml:space="preserve">égalité des chances et la loi </w:t>
      </w:r>
      <w:r w:rsidR="00D619DB" w:rsidRPr="00174283">
        <w:rPr>
          <w:lang w:val="fr-FR"/>
        </w:rPr>
        <w:t>sur les entreprises de travail temporaire</w:t>
      </w:r>
      <w:r w:rsidR="009910BA" w:rsidRPr="00174283">
        <w:rPr>
          <w:lang w:val="fr-FR"/>
        </w:rPr>
        <w:t xml:space="preserve">. </w:t>
      </w:r>
    </w:p>
    <w:p w:rsidR="00D43159" w:rsidRPr="00174283" w:rsidRDefault="00403721" w:rsidP="00403721">
      <w:pPr>
        <w:pStyle w:val="SingleTxtG"/>
        <w:rPr>
          <w:lang w:val="fr-FR"/>
        </w:rPr>
      </w:pPr>
      <w:r>
        <w:rPr>
          <w:lang w:val="fr-FR"/>
        </w:rPr>
        <w:t>85.</w:t>
      </w:r>
      <w:r>
        <w:rPr>
          <w:lang w:val="fr-FR"/>
        </w:rPr>
        <w:tab/>
      </w:r>
      <w:r w:rsidR="009910BA" w:rsidRPr="00174283">
        <w:rPr>
          <w:lang w:val="fr-FR"/>
        </w:rPr>
        <w:t>Le Rapport final élaboré dans le cadre de ce projet a été adopté en septembre 200</w:t>
      </w:r>
      <w:r w:rsidR="00794714" w:rsidRPr="00174283">
        <w:rPr>
          <w:lang w:val="fr-FR"/>
        </w:rPr>
        <w:t>9</w:t>
      </w:r>
      <w:r w:rsidR="009910BA" w:rsidRPr="00174283">
        <w:rPr>
          <w:lang w:val="fr-FR"/>
        </w:rPr>
        <w:t xml:space="preserve"> et </w:t>
      </w:r>
      <w:r w:rsidR="00794714" w:rsidRPr="00174283">
        <w:rPr>
          <w:lang w:val="fr-FR"/>
        </w:rPr>
        <w:t>contient</w:t>
      </w:r>
      <w:r w:rsidR="009910BA" w:rsidRPr="00174283">
        <w:rPr>
          <w:lang w:val="fr-FR"/>
        </w:rPr>
        <w:t xml:space="preserve"> des recommandations en matière d</w:t>
      </w:r>
      <w:r w:rsidR="00205A62">
        <w:rPr>
          <w:lang w:val="fr-FR"/>
        </w:rPr>
        <w:t>’</w:t>
      </w:r>
      <w:r w:rsidR="009910BA" w:rsidRPr="00174283">
        <w:rPr>
          <w:lang w:val="fr-FR"/>
        </w:rPr>
        <w:t>harmonisation. La République de Macédoine doit continuer de renforcer ses capacités pour pouvoir remplir les obligations découlant de la mise en œuvre de l</w:t>
      </w:r>
      <w:r w:rsidR="00205A62">
        <w:rPr>
          <w:lang w:val="fr-FR"/>
        </w:rPr>
        <w:t>’</w:t>
      </w:r>
      <w:r w:rsidR="009910BA" w:rsidRPr="00174283">
        <w:rPr>
          <w:lang w:val="fr-FR"/>
        </w:rPr>
        <w:t xml:space="preserve">acquis </w:t>
      </w:r>
      <w:r w:rsidR="00794714" w:rsidRPr="00174283">
        <w:rPr>
          <w:lang w:val="fr-FR"/>
        </w:rPr>
        <w:t xml:space="preserve">communautaire </w:t>
      </w:r>
      <w:r w:rsidR="009910BA" w:rsidRPr="00174283">
        <w:rPr>
          <w:lang w:val="fr-FR"/>
        </w:rPr>
        <w:t xml:space="preserve">et des </w:t>
      </w:r>
      <w:r w:rsidR="00F242A5" w:rsidRPr="00174283">
        <w:rPr>
          <w:lang w:val="fr-FR"/>
        </w:rPr>
        <w:t>différentes</w:t>
      </w:r>
      <w:r w:rsidR="009910BA" w:rsidRPr="00174283">
        <w:rPr>
          <w:lang w:val="fr-FR"/>
        </w:rPr>
        <w:t xml:space="preserve"> directives de l</w:t>
      </w:r>
      <w:r w:rsidR="00205A62">
        <w:rPr>
          <w:lang w:val="fr-FR"/>
        </w:rPr>
        <w:t>’</w:t>
      </w:r>
      <w:r w:rsidR="009910BA" w:rsidRPr="00174283">
        <w:rPr>
          <w:lang w:val="fr-FR"/>
        </w:rPr>
        <w:t>Union européenne</w:t>
      </w:r>
      <w:r w:rsidR="00B8014D" w:rsidRPr="00174283">
        <w:rPr>
          <w:lang w:val="fr-FR"/>
        </w:rPr>
        <w:t xml:space="preserve"> dans </w:t>
      </w:r>
      <w:r w:rsidR="004C2920" w:rsidRPr="00174283">
        <w:rPr>
          <w:lang w:val="fr-FR"/>
        </w:rPr>
        <w:t>son</w:t>
      </w:r>
      <w:r w:rsidR="00B8014D" w:rsidRPr="00174283">
        <w:rPr>
          <w:lang w:val="fr-FR"/>
        </w:rPr>
        <w:t xml:space="preserve"> système législatif national</w:t>
      </w:r>
      <w:r w:rsidR="009910BA" w:rsidRPr="00174283">
        <w:rPr>
          <w:lang w:val="fr-FR"/>
        </w:rPr>
        <w:t xml:space="preserve">. La mise en œuvre des directives doit par conséquent être </w:t>
      </w:r>
      <w:r w:rsidR="00F242A5" w:rsidRPr="00174283">
        <w:rPr>
          <w:lang w:val="fr-FR"/>
        </w:rPr>
        <w:t>réalisée</w:t>
      </w:r>
      <w:r w:rsidR="009910BA" w:rsidRPr="00174283">
        <w:rPr>
          <w:lang w:val="fr-FR"/>
        </w:rPr>
        <w:t xml:space="preserve"> en plusieurs étapes. </w:t>
      </w:r>
    </w:p>
    <w:p w:rsidR="00B54D69" w:rsidRPr="00174283" w:rsidRDefault="00403721" w:rsidP="00403721">
      <w:pPr>
        <w:pStyle w:val="SingleTxtG"/>
        <w:rPr>
          <w:lang w:val="fr-FR"/>
        </w:rPr>
      </w:pPr>
      <w:r>
        <w:rPr>
          <w:lang w:val="fr-FR"/>
        </w:rPr>
        <w:t>86.</w:t>
      </w:r>
      <w:r>
        <w:rPr>
          <w:lang w:val="fr-FR"/>
        </w:rPr>
        <w:tab/>
      </w:r>
      <w:r w:rsidR="009910BA" w:rsidRPr="00174283">
        <w:rPr>
          <w:lang w:val="fr-FR"/>
        </w:rPr>
        <w:t xml:space="preserve">Suite aux recommandations formulées dans le cadre du projet de jumelage </w:t>
      </w:r>
      <w:r w:rsidR="008F3C31" w:rsidRPr="00174283">
        <w:rPr>
          <w:lang w:val="fr-FR"/>
        </w:rPr>
        <w:t>sur les</w:t>
      </w:r>
      <w:r w:rsidR="009910BA" w:rsidRPr="00174283">
        <w:rPr>
          <w:lang w:val="fr-FR"/>
        </w:rPr>
        <w:t xml:space="preserve"> modifications apportées </w:t>
      </w:r>
      <w:r w:rsidR="001842EF" w:rsidRPr="00174283">
        <w:rPr>
          <w:lang w:val="fr-FR"/>
        </w:rPr>
        <w:t>au paragraphe 2 de l</w:t>
      </w:r>
      <w:r w:rsidR="00205A62">
        <w:rPr>
          <w:lang w:val="fr-FR"/>
        </w:rPr>
        <w:t>’</w:t>
      </w:r>
      <w:r w:rsidR="009910BA" w:rsidRPr="00174283">
        <w:rPr>
          <w:lang w:val="fr-FR"/>
        </w:rPr>
        <w:t>article 6</w:t>
      </w:r>
      <w:r w:rsidR="001842EF" w:rsidRPr="00174283">
        <w:rPr>
          <w:lang w:val="fr-FR"/>
        </w:rPr>
        <w:t xml:space="preserve"> </w:t>
      </w:r>
      <w:r w:rsidR="009910BA" w:rsidRPr="00174283">
        <w:rPr>
          <w:lang w:val="fr-FR"/>
        </w:rPr>
        <w:t xml:space="preserve">de la loi sur les relations </w:t>
      </w:r>
      <w:r w:rsidR="00F75B61" w:rsidRPr="00174283">
        <w:rPr>
          <w:lang w:val="fr-FR"/>
        </w:rPr>
        <w:t>professionnelles</w:t>
      </w:r>
      <w:r w:rsidR="009910BA" w:rsidRPr="00174283">
        <w:rPr>
          <w:lang w:val="fr-FR"/>
        </w:rPr>
        <w:t xml:space="preserve"> </w:t>
      </w:r>
      <w:r w:rsidR="00B54D69" w:rsidRPr="00174283">
        <w:rPr>
          <w:lang w:val="fr-FR"/>
        </w:rPr>
        <w:t>(</w:t>
      </w:r>
      <w:r w:rsidR="004E1618" w:rsidRPr="006C4B2D">
        <w:rPr>
          <w:i/>
          <w:iCs/>
          <w:lang w:val="fr-FR"/>
        </w:rPr>
        <w:t>Journal officiel de la République de Macédoine</w:t>
      </w:r>
      <w:r w:rsidR="009910BA" w:rsidRPr="00174283">
        <w:rPr>
          <w:lang w:val="fr-FR"/>
        </w:rPr>
        <w:t xml:space="preserve"> n</w:t>
      </w:r>
      <w:r w:rsidR="009910BA" w:rsidRPr="00174283">
        <w:rPr>
          <w:vertAlign w:val="superscript"/>
          <w:lang w:val="fr-FR"/>
        </w:rPr>
        <w:t>o</w:t>
      </w:r>
      <w:r w:rsidR="009910BA" w:rsidRPr="00174283">
        <w:rPr>
          <w:lang w:val="fr-FR"/>
        </w:rPr>
        <w:t> </w:t>
      </w:r>
      <w:r w:rsidR="00B54D69" w:rsidRPr="00174283">
        <w:rPr>
          <w:lang w:val="fr-FR"/>
        </w:rPr>
        <w:t xml:space="preserve">124/2010), </w:t>
      </w:r>
      <w:r w:rsidR="009910BA" w:rsidRPr="00174283">
        <w:rPr>
          <w:lang w:val="fr-FR"/>
        </w:rPr>
        <w:t xml:space="preserve">cette loi a été harmonisée avec les </w:t>
      </w:r>
      <w:r w:rsidR="00B54D69" w:rsidRPr="00174283">
        <w:rPr>
          <w:lang w:val="fr-FR"/>
        </w:rPr>
        <w:t>Directives 2000/78/</w:t>
      </w:r>
      <w:r w:rsidR="009910BA" w:rsidRPr="00174283">
        <w:rPr>
          <w:lang w:val="fr-FR"/>
        </w:rPr>
        <w:t>C</w:t>
      </w:r>
      <w:r w:rsidR="00B54D69" w:rsidRPr="00174283">
        <w:rPr>
          <w:lang w:val="fr-FR"/>
        </w:rPr>
        <w:t>Е, 2000/43/</w:t>
      </w:r>
      <w:r w:rsidR="009910BA" w:rsidRPr="00174283">
        <w:rPr>
          <w:lang w:val="fr-FR"/>
        </w:rPr>
        <w:t>C</w:t>
      </w:r>
      <w:r w:rsidR="00B54D69" w:rsidRPr="00174283">
        <w:rPr>
          <w:lang w:val="fr-FR"/>
        </w:rPr>
        <w:t>Е, 2002/73/</w:t>
      </w:r>
      <w:r w:rsidR="009910BA" w:rsidRPr="00174283">
        <w:rPr>
          <w:lang w:val="fr-FR"/>
        </w:rPr>
        <w:t>C</w:t>
      </w:r>
      <w:r w:rsidR="00B54D69" w:rsidRPr="00174283">
        <w:rPr>
          <w:lang w:val="fr-FR"/>
        </w:rPr>
        <w:t>Е, 2006/54/</w:t>
      </w:r>
      <w:r w:rsidR="009910BA" w:rsidRPr="00174283">
        <w:rPr>
          <w:lang w:val="fr-FR"/>
        </w:rPr>
        <w:t>C</w:t>
      </w:r>
      <w:r w:rsidR="00B54D69" w:rsidRPr="00174283">
        <w:rPr>
          <w:lang w:val="fr-FR"/>
        </w:rPr>
        <w:t xml:space="preserve">Е </w:t>
      </w:r>
      <w:r w:rsidR="009910BA" w:rsidRPr="00174283">
        <w:rPr>
          <w:lang w:val="fr-FR"/>
        </w:rPr>
        <w:t>et</w:t>
      </w:r>
      <w:r w:rsidR="00B54D69" w:rsidRPr="00174283">
        <w:rPr>
          <w:lang w:val="fr-FR"/>
        </w:rPr>
        <w:t xml:space="preserve"> 97/80/</w:t>
      </w:r>
      <w:r w:rsidR="009910BA" w:rsidRPr="00174283">
        <w:rPr>
          <w:lang w:val="fr-FR"/>
        </w:rPr>
        <w:t>C</w:t>
      </w:r>
      <w:r w:rsidR="009F5DC7" w:rsidRPr="00174283">
        <w:rPr>
          <w:lang w:val="fr-FR"/>
        </w:rPr>
        <w:t>E</w:t>
      </w:r>
      <w:r w:rsidR="00B54D69" w:rsidRPr="00174283">
        <w:rPr>
          <w:lang w:val="fr-FR"/>
        </w:rPr>
        <w:t xml:space="preserve"> </w:t>
      </w:r>
      <w:r w:rsidR="008F3C31" w:rsidRPr="00174283">
        <w:rPr>
          <w:lang w:val="fr-FR"/>
        </w:rPr>
        <w:t xml:space="preserve">relatives à </w:t>
      </w:r>
      <w:r w:rsidR="009910BA" w:rsidRPr="00174283">
        <w:rPr>
          <w:lang w:val="fr-FR"/>
        </w:rPr>
        <w:t>l</w:t>
      </w:r>
      <w:r w:rsidR="00205A62">
        <w:rPr>
          <w:lang w:val="fr-FR"/>
        </w:rPr>
        <w:t>’</w:t>
      </w:r>
      <w:r w:rsidR="009910BA" w:rsidRPr="00174283">
        <w:rPr>
          <w:lang w:val="fr-FR"/>
        </w:rPr>
        <w:t>égalité de traitement et</w:t>
      </w:r>
      <w:r w:rsidR="008F3C31" w:rsidRPr="00174283">
        <w:rPr>
          <w:lang w:val="fr-FR"/>
        </w:rPr>
        <w:t xml:space="preserve"> à</w:t>
      </w:r>
      <w:r w:rsidR="009910BA" w:rsidRPr="00174283">
        <w:rPr>
          <w:lang w:val="fr-FR"/>
        </w:rPr>
        <w:t xml:space="preserve"> l</w:t>
      </w:r>
      <w:r w:rsidR="00205A62">
        <w:rPr>
          <w:lang w:val="fr-FR"/>
        </w:rPr>
        <w:t>’</w:t>
      </w:r>
      <w:r w:rsidR="009910BA" w:rsidRPr="00174283">
        <w:rPr>
          <w:lang w:val="fr-FR"/>
        </w:rPr>
        <w:t xml:space="preserve">égalité des chances. La loi a été modifiée et complétée </w:t>
      </w:r>
      <w:r w:rsidR="00F957F8" w:rsidRPr="00174283">
        <w:rPr>
          <w:lang w:val="fr-FR"/>
        </w:rPr>
        <w:t>et reprend les dispositions des</w:t>
      </w:r>
      <w:r w:rsidR="009910BA" w:rsidRPr="00174283">
        <w:rPr>
          <w:lang w:val="fr-FR"/>
        </w:rPr>
        <w:t xml:space="preserve"> directives précitées </w:t>
      </w:r>
      <w:r w:rsidR="00F957F8" w:rsidRPr="00174283">
        <w:rPr>
          <w:lang w:val="fr-FR"/>
        </w:rPr>
        <w:t>afin</w:t>
      </w:r>
      <w:r w:rsidR="009910BA" w:rsidRPr="00174283">
        <w:rPr>
          <w:lang w:val="fr-FR"/>
        </w:rPr>
        <w:t xml:space="preserve"> </w:t>
      </w:r>
      <w:r w:rsidR="00441F6C" w:rsidRPr="00174283">
        <w:rPr>
          <w:lang w:val="fr-FR"/>
        </w:rPr>
        <w:t xml:space="preserve">de </w:t>
      </w:r>
      <w:r w:rsidR="009910BA" w:rsidRPr="00174283">
        <w:rPr>
          <w:lang w:val="fr-FR"/>
        </w:rPr>
        <w:t>garantir le principe d</w:t>
      </w:r>
      <w:r w:rsidR="00441F6C" w:rsidRPr="00174283">
        <w:rPr>
          <w:lang w:val="fr-FR"/>
        </w:rPr>
        <w:t>e l</w:t>
      </w:r>
      <w:r w:rsidR="00205A62">
        <w:rPr>
          <w:lang w:val="fr-FR"/>
        </w:rPr>
        <w:t>’</w:t>
      </w:r>
      <w:r w:rsidR="009910BA" w:rsidRPr="00174283">
        <w:rPr>
          <w:lang w:val="fr-FR"/>
        </w:rPr>
        <w:t xml:space="preserve">égalité des chances et de traitement </w:t>
      </w:r>
      <w:r w:rsidR="00F64BB5" w:rsidRPr="00174283">
        <w:rPr>
          <w:lang w:val="fr-FR"/>
        </w:rPr>
        <w:t>sur le plan de l</w:t>
      </w:r>
      <w:r w:rsidR="00205A62">
        <w:rPr>
          <w:lang w:val="fr-FR"/>
        </w:rPr>
        <w:t>’</w:t>
      </w:r>
      <w:r w:rsidR="009910BA" w:rsidRPr="00174283">
        <w:rPr>
          <w:lang w:val="fr-FR"/>
        </w:rPr>
        <w:t>accès à l</w:t>
      </w:r>
      <w:r w:rsidR="00205A62">
        <w:rPr>
          <w:lang w:val="fr-FR"/>
        </w:rPr>
        <w:t>’</w:t>
      </w:r>
      <w:r w:rsidR="009910BA" w:rsidRPr="00174283">
        <w:rPr>
          <w:lang w:val="fr-FR"/>
        </w:rPr>
        <w:t xml:space="preserve">emploi, </w:t>
      </w:r>
      <w:r w:rsidR="00F64BB5" w:rsidRPr="00174283">
        <w:rPr>
          <w:lang w:val="fr-FR"/>
        </w:rPr>
        <w:t xml:space="preserve">de </w:t>
      </w:r>
      <w:r w:rsidR="00F957F8" w:rsidRPr="00174283">
        <w:rPr>
          <w:lang w:val="fr-FR"/>
        </w:rPr>
        <w:t xml:space="preserve">la promotion </w:t>
      </w:r>
      <w:r w:rsidR="009910BA" w:rsidRPr="00174283">
        <w:rPr>
          <w:lang w:val="fr-FR"/>
        </w:rPr>
        <w:t xml:space="preserve">et </w:t>
      </w:r>
      <w:r w:rsidR="00441F6C" w:rsidRPr="00174283">
        <w:rPr>
          <w:lang w:val="fr-FR"/>
        </w:rPr>
        <w:t>de</w:t>
      </w:r>
      <w:r w:rsidR="009910BA" w:rsidRPr="00174283">
        <w:rPr>
          <w:lang w:val="fr-FR"/>
        </w:rPr>
        <w:t xml:space="preserve"> </w:t>
      </w:r>
      <w:r w:rsidR="00F64BB5" w:rsidRPr="00174283">
        <w:rPr>
          <w:lang w:val="fr-FR"/>
        </w:rPr>
        <w:t xml:space="preserve">la </w:t>
      </w:r>
      <w:r w:rsidR="009910BA" w:rsidRPr="00174283">
        <w:rPr>
          <w:lang w:val="fr-FR"/>
        </w:rPr>
        <w:t>formation professionnelle</w:t>
      </w:r>
      <w:r w:rsidR="00F957F8" w:rsidRPr="00174283">
        <w:rPr>
          <w:lang w:val="fr-FR"/>
        </w:rPr>
        <w:t>s</w:t>
      </w:r>
      <w:r w:rsidR="009910BA" w:rsidRPr="00174283">
        <w:rPr>
          <w:lang w:val="fr-FR"/>
        </w:rPr>
        <w:t xml:space="preserve">, </w:t>
      </w:r>
      <w:r w:rsidR="00441F6C" w:rsidRPr="00174283">
        <w:rPr>
          <w:lang w:val="fr-FR"/>
        </w:rPr>
        <w:t>de</w:t>
      </w:r>
      <w:r w:rsidR="00F64BB5" w:rsidRPr="00174283">
        <w:rPr>
          <w:lang w:val="fr-FR"/>
        </w:rPr>
        <w:t>s</w:t>
      </w:r>
      <w:r w:rsidR="009910BA" w:rsidRPr="00174283">
        <w:rPr>
          <w:lang w:val="fr-FR"/>
        </w:rPr>
        <w:t xml:space="preserve"> conditions de travail, </w:t>
      </w:r>
      <w:r w:rsidR="00441F6C" w:rsidRPr="00174283">
        <w:rPr>
          <w:lang w:val="fr-FR"/>
        </w:rPr>
        <w:t>de</w:t>
      </w:r>
      <w:r w:rsidR="00F64BB5" w:rsidRPr="00174283">
        <w:rPr>
          <w:lang w:val="fr-FR"/>
        </w:rPr>
        <w:t xml:space="preserve"> la</w:t>
      </w:r>
      <w:r w:rsidR="009910BA" w:rsidRPr="00174283">
        <w:rPr>
          <w:lang w:val="fr-FR"/>
        </w:rPr>
        <w:t xml:space="preserve"> rémunération </w:t>
      </w:r>
      <w:r w:rsidR="00FD7E9D" w:rsidRPr="00174283">
        <w:rPr>
          <w:lang w:val="fr-FR"/>
        </w:rPr>
        <w:t>(</w:t>
      </w:r>
      <w:r w:rsidR="00641661" w:rsidRPr="00174283">
        <w:rPr>
          <w:lang w:val="fr-FR"/>
        </w:rPr>
        <w:t xml:space="preserve">égalité de </w:t>
      </w:r>
      <w:r w:rsidR="00FD7E9D" w:rsidRPr="00174283">
        <w:rPr>
          <w:lang w:val="fr-FR"/>
        </w:rPr>
        <w:t xml:space="preserve">rémunération </w:t>
      </w:r>
      <w:r w:rsidR="00641661" w:rsidRPr="00174283">
        <w:rPr>
          <w:lang w:val="fr-FR"/>
        </w:rPr>
        <w:t>pour un</w:t>
      </w:r>
      <w:r w:rsidR="009910BA" w:rsidRPr="00174283">
        <w:rPr>
          <w:lang w:val="fr-FR"/>
        </w:rPr>
        <w:t xml:space="preserve"> travail </w:t>
      </w:r>
      <w:r w:rsidR="00641661" w:rsidRPr="00174283">
        <w:rPr>
          <w:lang w:val="fr-FR"/>
        </w:rPr>
        <w:t xml:space="preserve">de valeur </w:t>
      </w:r>
      <w:r w:rsidR="009910BA" w:rsidRPr="00174283">
        <w:rPr>
          <w:lang w:val="fr-FR"/>
        </w:rPr>
        <w:t>égal</w:t>
      </w:r>
      <w:r w:rsidR="00641661" w:rsidRPr="00174283">
        <w:rPr>
          <w:lang w:val="fr-FR"/>
        </w:rPr>
        <w:t>e</w:t>
      </w:r>
      <w:r w:rsidR="00FD7E9D" w:rsidRPr="00174283">
        <w:rPr>
          <w:lang w:val="fr-FR"/>
        </w:rPr>
        <w:t>)</w:t>
      </w:r>
      <w:r w:rsidR="009910BA" w:rsidRPr="00174283">
        <w:rPr>
          <w:lang w:val="fr-FR"/>
        </w:rPr>
        <w:t xml:space="preserve">, de </w:t>
      </w:r>
      <w:r w:rsidR="00F64BB5" w:rsidRPr="00174283">
        <w:rPr>
          <w:lang w:val="fr-FR"/>
        </w:rPr>
        <w:t xml:space="preserve">la </w:t>
      </w:r>
      <w:r w:rsidR="009910BA" w:rsidRPr="00174283">
        <w:rPr>
          <w:lang w:val="fr-FR"/>
        </w:rPr>
        <w:t xml:space="preserve">protection sociale, </w:t>
      </w:r>
      <w:r w:rsidR="00FD7E9D" w:rsidRPr="00174283">
        <w:rPr>
          <w:lang w:val="fr-FR"/>
        </w:rPr>
        <w:t>de</w:t>
      </w:r>
      <w:r w:rsidR="00F64BB5" w:rsidRPr="00174283">
        <w:rPr>
          <w:lang w:val="fr-FR"/>
        </w:rPr>
        <w:t>s</w:t>
      </w:r>
      <w:r w:rsidR="00FD7E9D" w:rsidRPr="00174283">
        <w:rPr>
          <w:lang w:val="fr-FR"/>
        </w:rPr>
        <w:t xml:space="preserve"> </w:t>
      </w:r>
      <w:r w:rsidR="009910BA" w:rsidRPr="00174283">
        <w:rPr>
          <w:lang w:val="fr-FR"/>
        </w:rPr>
        <w:t xml:space="preserve">congés, </w:t>
      </w:r>
      <w:r w:rsidR="004070FC" w:rsidRPr="00174283">
        <w:rPr>
          <w:lang w:val="fr-FR"/>
        </w:rPr>
        <w:t>des horaires de</w:t>
      </w:r>
      <w:r w:rsidR="009910BA" w:rsidRPr="00174283">
        <w:rPr>
          <w:lang w:val="fr-FR"/>
        </w:rPr>
        <w:t xml:space="preserve"> travail et </w:t>
      </w:r>
      <w:r w:rsidR="00FD7E9D" w:rsidRPr="00174283">
        <w:rPr>
          <w:lang w:val="fr-FR"/>
        </w:rPr>
        <w:t>de</w:t>
      </w:r>
      <w:r w:rsidR="009910BA" w:rsidRPr="00174283">
        <w:rPr>
          <w:lang w:val="fr-FR"/>
        </w:rPr>
        <w:t xml:space="preserve"> </w:t>
      </w:r>
      <w:r w:rsidR="00F64BB5" w:rsidRPr="00174283">
        <w:rPr>
          <w:lang w:val="fr-FR"/>
        </w:rPr>
        <w:t xml:space="preserve">la </w:t>
      </w:r>
      <w:r w:rsidR="004070FC" w:rsidRPr="00174283">
        <w:rPr>
          <w:lang w:val="fr-FR"/>
        </w:rPr>
        <w:t>cessation</w:t>
      </w:r>
      <w:r w:rsidR="009910BA" w:rsidRPr="00174283">
        <w:rPr>
          <w:lang w:val="fr-FR"/>
        </w:rPr>
        <w:t xml:space="preserve"> des contrats </w:t>
      </w:r>
      <w:r w:rsidR="00441F6C" w:rsidRPr="00174283">
        <w:rPr>
          <w:lang w:val="fr-FR"/>
        </w:rPr>
        <w:t>de travail</w:t>
      </w:r>
      <w:r w:rsidR="009910BA" w:rsidRPr="00174283">
        <w:rPr>
          <w:lang w:val="fr-FR"/>
        </w:rPr>
        <w:t xml:space="preserve">. </w:t>
      </w:r>
    </w:p>
    <w:p w:rsidR="00B54D69" w:rsidRPr="00174283" w:rsidRDefault="00B16DD4" w:rsidP="005F4C93">
      <w:pPr>
        <w:pStyle w:val="H23G"/>
        <w:rPr>
          <w:lang w:val="fr-FR"/>
        </w:rPr>
      </w:pPr>
      <w:r w:rsidRPr="00174283">
        <w:rPr>
          <w:lang w:val="fr-FR"/>
        </w:rPr>
        <w:tab/>
      </w:r>
      <w:r w:rsidR="005F4C93" w:rsidRPr="00174283">
        <w:rPr>
          <w:lang w:val="fr-FR"/>
        </w:rPr>
        <w:t>b)</w:t>
      </w:r>
      <w:r w:rsidRPr="00174283">
        <w:rPr>
          <w:lang w:val="fr-FR"/>
        </w:rPr>
        <w:tab/>
      </w:r>
      <w:r w:rsidR="00DB7C98" w:rsidRPr="00174283">
        <w:rPr>
          <w:lang w:val="fr-FR"/>
        </w:rPr>
        <w:t>Droit de fonder des syndicats et de s</w:t>
      </w:r>
      <w:r w:rsidR="00205A62">
        <w:rPr>
          <w:lang w:val="fr-FR"/>
        </w:rPr>
        <w:t>’</w:t>
      </w:r>
      <w:r w:rsidR="00DB7C98" w:rsidRPr="00174283">
        <w:rPr>
          <w:lang w:val="fr-FR"/>
        </w:rPr>
        <w:t>affilier à des syndicats</w:t>
      </w:r>
    </w:p>
    <w:p w:rsidR="00B54D69" w:rsidRPr="00174283" w:rsidRDefault="00403721" w:rsidP="00403721">
      <w:pPr>
        <w:pStyle w:val="SingleTxtG"/>
        <w:rPr>
          <w:lang w:val="fr-FR"/>
        </w:rPr>
      </w:pPr>
      <w:r>
        <w:rPr>
          <w:lang w:val="fr-FR"/>
        </w:rPr>
        <w:t>87.</w:t>
      </w:r>
      <w:r>
        <w:rPr>
          <w:lang w:val="fr-FR"/>
        </w:rPr>
        <w:tab/>
      </w:r>
      <w:r w:rsidR="00DB7C98" w:rsidRPr="00174283">
        <w:rPr>
          <w:lang w:val="fr-FR"/>
        </w:rPr>
        <w:t>Le droit de grève et de fo</w:t>
      </w:r>
      <w:r w:rsidR="00537BAA" w:rsidRPr="00174283">
        <w:rPr>
          <w:lang w:val="fr-FR"/>
        </w:rPr>
        <w:t>nde</w:t>
      </w:r>
      <w:r w:rsidR="00DB7C98" w:rsidRPr="00174283">
        <w:rPr>
          <w:lang w:val="fr-FR"/>
        </w:rPr>
        <w:t xml:space="preserve">r des syndicats est </w:t>
      </w:r>
      <w:r w:rsidR="00F242A5" w:rsidRPr="00174283">
        <w:rPr>
          <w:lang w:val="fr-FR"/>
        </w:rPr>
        <w:t>réglementé</w:t>
      </w:r>
      <w:r w:rsidR="00DB7C98" w:rsidRPr="00174283">
        <w:rPr>
          <w:lang w:val="fr-FR"/>
        </w:rPr>
        <w:t xml:space="preserve"> par la loi sur les relations </w:t>
      </w:r>
      <w:r w:rsidR="00F75B61" w:rsidRPr="00174283">
        <w:rPr>
          <w:lang w:val="fr-FR"/>
        </w:rPr>
        <w:t>professionnelles</w:t>
      </w:r>
      <w:r w:rsidR="00DB7C98" w:rsidRPr="00174283">
        <w:rPr>
          <w:lang w:val="fr-FR"/>
        </w:rPr>
        <w:t>. L</w:t>
      </w:r>
      <w:r w:rsidR="00205A62">
        <w:rPr>
          <w:lang w:val="fr-FR"/>
        </w:rPr>
        <w:t>’</w:t>
      </w:r>
      <w:r w:rsidR="00DB7C98" w:rsidRPr="00174283">
        <w:rPr>
          <w:lang w:val="fr-FR"/>
        </w:rPr>
        <w:t>article 236 de cette loi garantit le droit des</w:t>
      </w:r>
      <w:r w:rsidR="004F37E0" w:rsidRPr="00174283">
        <w:rPr>
          <w:lang w:val="fr-FR"/>
        </w:rPr>
        <w:t xml:space="preserve"> </w:t>
      </w:r>
      <w:r w:rsidR="005C20D2" w:rsidRPr="00174283">
        <w:rPr>
          <w:lang w:val="fr-FR"/>
        </w:rPr>
        <w:t>syndicats</w:t>
      </w:r>
      <w:r w:rsidR="004F37E0" w:rsidRPr="00174283">
        <w:rPr>
          <w:lang w:val="fr-FR"/>
        </w:rPr>
        <w:t xml:space="preserve"> (c</w:t>
      </w:r>
      <w:r w:rsidR="00205A62">
        <w:rPr>
          <w:lang w:val="fr-FR"/>
        </w:rPr>
        <w:t>’</w:t>
      </w:r>
      <w:r w:rsidR="004F37E0" w:rsidRPr="00174283">
        <w:rPr>
          <w:lang w:val="fr-FR"/>
        </w:rPr>
        <w:t>est-à-dire des</w:t>
      </w:r>
      <w:r w:rsidR="005C20D2" w:rsidRPr="00174283">
        <w:rPr>
          <w:lang w:val="fr-FR"/>
        </w:rPr>
        <w:t xml:space="preserve"> f</w:t>
      </w:r>
      <w:r w:rsidR="00641661" w:rsidRPr="00174283">
        <w:rPr>
          <w:lang w:val="fr-FR"/>
        </w:rPr>
        <w:t>é</w:t>
      </w:r>
      <w:r w:rsidR="005C20D2" w:rsidRPr="00174283">
        <w:rPr>
          <w:lang w:val="fr-FR"/>
        </w:rPr>
        <w:t>d</w:t>
      </w:r>
      <w:r w:rsidR="00641661" w:rsidRPr="00174283">
        <w:rPr>
          <w:lang w:val="fr-FR"/>
        </w:rPr>
        <w:t>é</w:t>
      </w:r>
      <w:r w:rsidR="005C20D2" w:rsidRPr="00174283">
        <w:rPr>
          <w:lang w:val="fr-FR"/>
        </w:rPr>
        <w:t>rations syndicales regroupant plusieurs syndicats)</w:t>
      </w:r>
      <w:r w:rsidR="00DB7C98" w:rsidRPr="00174283">
        <w:rPr>
          <w:lang w:val="fr-FR"/>
        </w:rPr>
        <w:t xml:space="preserve"> de lancer un appel à la grève dans le but de protéger les droits économiques et sociaux et les droits en matière de relations de travail de leurs membres.</w:t>
      </w:r>
    </w:p>
    <w:p w:rsidR="00B54D69" w:rsidRPr="00174283" w:rsidRDefault="00403721" w:rsidP="00403721">
      <w:pPr>
        <w:pStyle w:val="SingleTxtG"/>
        <w:rPr>
          <w:lang w:val="fr-FR"/>
        </w:rPr>
      </w:pPr>
      <w:r>
        <w:rPr>
          <w:lang w:val="fr-FR"/>
        </w:rPr>
        <w:t>88.</w:t>
      </w:r>
      <w:r>
        <w:rPr>
          <w:lang w:val="fr-FR"/>
        </w:rPr>
        <w:tab/>
      </w:r>
      <w:r w:rsidR="00537BAA" w:rsidRPr="00174283">
        <w:rPr>
          <w:lang w:val="fr-FR"/>
        </w:rPr>
        <w:t>L</w:t>
      </w:r>
      <w:r w:rsidR="00DB7C98" w:rsidRPr="00174283">
        <w:rPr>
          <w:lang w:val="fr-FR"/>
        </w:rPr>
        <w:t>a loi garantit</w:t>
      </w:r>
      <w:r w:rsidR="00537BAA" w:rsidRPr="00174283">
        <w:rPr>
          <w:lang w:val="fr-FR"/>
        </w:rPr>
        <w:t xml:space="preserve"> en outre</w:t>
      </w:r>
      <w:r w:rsidR="00DB7C98" w:rsidRPr="00174283">
        <w:rPr>
          <w:lang w:val="fr-FR"/>
        </w:rPr>
        <w:t xml:space="preserve"> le droit des travailleurs de fonder des syndicats et de s</w:t>
      </w:r>
      <w:r w:rsidR="00205A62">
        <w:rPr>
          <w:lang w:val="fr-FR"/>
        </w:rPr>
        <w:t>’</w:t>
      </w:r>
      <w:r w:rsidR="00DB7C98" w:rsidRPr="00174283">
        <w:rPr>
          <w:lang w:val="fr-FR"/>
        </w:rPr>
        <w:t xml:space="preserve">y affilier. Les employeurs ont également le droit de créer des </w:t>
      </w:r>
      <w:r w:rsidR="00F242A5" w:rsidRPr="00174283">
        <w:rPr>
          <w:lang w:val="fr-FR"/>
        </w:rPr>
        <w:t>associations</w:t>
      </w:r>
      <w:r w:rsidR="00DB7C98" w:rsidRPr="00174283">
        <w:rPr>
          <w:lang w:val="fr-FR"/>
        </w:rPr>
        <w:t xml:space="preserve"> et de s</w:t>
      </w:r>
      <w:r w:rsidR="00205A62">
        <w:rPr>
          <w:lang w:val="fr-FR"/>
        </w:rPr>
        <w:t>’</w:t>
      </w:r>
      <w:r w:rsidR="00DB7C98" w:rsidRPr="00174283">
        <w:rPr>
          <w:lang w:val="fr-FR"/>
        </w:rPr>
        <w:t xml:space="preserve">y affilier. La loi interdit explicitement les activités qui </w:t>
      </w:r>
      <w:r w:rsidR="005C20D2" w:rsidRPr="00174283">
        <w:rPr>
          <w:lang w:val="fr-FR"/>
        </w:rPr>
        <w:t>plac</w:t>
      </w:r>
      <w:r w:rsidR="00DB7C98" w:rsidRPr="00174283">
        <w:rPr>
          <w:lang w:val="fr-FR"/>
        </w:rPr>
        <w:t xml:space="preserve">ent les personnes dans </w:t>
      </w:r>
      <w:r w:rsidR="00F63B00" w:rsidRPr="00174283">
        <w:rPr>
          <w:lang w:val="fr-FR"/>
        </w:rPr>
        <w:t>une situation</w:t>
      </w:r>
      <w:r w:rsidR="00DB7C98" w:rsidRPr="00174283">
        <w:rPr>
          <w:lang w:val="fr-FR"/>
        </w:rPr>
        <w:t xml:space="preserve"> défavorable en raison de leur </w:t>
      </w:r>
      <w:r w:rsidR="00F63B00" w:rsidRPr="00174283">
        <w:rPr>
          <w:lang w:val="fr-FR"/>
        </w:rPr>
        <w:t>affiliation ou non</w:t>
      </w:r>
      <w:r w:rsidR="00DB7C98" w:rsidRPr="00174283">
        <w:rPr>
          <w:lang w:val="fr-FR"/>
        </w:rPr>
        <w:t xml:space="preserve"> à un syndicat ou à une association d</w:t>
      </w:r>
      <w:r w:rsidR="00205A62">
        <w:rPr>
          <w:lang w:val="fr-FR"/>
        </w:rPr>
        <w:t>’</w:t>
      </w:r>
      <w:r w:rsidR="00DB7C98" w:rsidRPr="00174283">
        <w:rPr>
          <w:lang w:val="fr-FR"/>
        </w:rPr>
        <w:t xml:space="preserve">employeurs. </w:t>
      </w:r>
    </w:p>
    <w:p w:rsidR="00B54D69" w:rsidRPr="00174283" w:rsidRDefault="00403721" w:rsidP="00403721">
      <w:pPr>
        <w:pStyle w:val="SingleTxtG"/>
        <w:rPr>
          <w:lang w:val="fr-FR"/>
        </w:rPr>
      </w:pPr>
      <w:r>
        <w:rPr>
          <w:lang w:val="fr-FR"/>
        </w:rPr>
        <w:t>89.</w:t>
      </w:r>
      <w:r>
        <w:rPr>
          <w:lang w:val="fr-FR"/>
        </w:rPr>
        <w:tab/>
      </w:r>
      <w:r w:rsidR="00DB7C98" w:rsidRPr="00174283">
        <w:rPr>
          <w:lang w:val="fr-FR"/>
        </w:rPr>
        <w:t xml:space="preserve">Une </w:t>
      </w:r>
      <w:r w:rsidR="00B54D69" w:rsidRPr="00174283">
        <w:rPr>
          <w:lang w:val="fr-FR"/>
        </w:rPr>
        <w:t xml:space="preserve">protection </w:t>
      </w:r>
      <w:r w:rsidR="00DB7C98" w:rsidRPr="00174283">
        <w:rPr>
          <w:lang w:val="fr-FR"/>
        </w:rPr>
        <w:t xml:space="preserve">judiciaire est garantie contre toute violation des droits énoncés dans les statuts des syndicats ou </w:t>
      </w:r>
      <w:r w:rsidR="00C74AE4" w:rsidRPr="00174283">
        <w:rPr>
          <w:lang w:val="fr-FR"/>
        </w:rPr>
        <w:t xml:space="preserve">des </w:t>
      </w:r>
      <w:r w:rsidR="00DB7C98" w:rsidRPr="00174283">
        <w:rPr>
          <w:lang w:val="fr-FR"/>
        </w:rPr>
        <w:t>associations d</w:t>
      </w:r>
      <w:r w:rsidR="00205A62">
        <w:rPr>
          <w:lang w:val="fr-FR"/>
        </w:rPr>
        <w:t>’</w:t>
      </w:r>
      <w:r w:rsidR="00F242A5" w:rsidRPr="00174283">
        <w:rPr>
          <w:lang w:val="fr-FR"/>
        </w:rPr>
        <w:t>employ</w:t>
      </w:r>
      <w:r w:rsidR="00C74AE4" w:rsidRPr="00174283">
        <w:rPr>
          <w:lang w:val="fr-FR"/>
        </w:rPr>
        <w:t>eur</w:t>
      </w:r>
      <w:r w:rsidR="00F242A5" w:rsidRPr="00174283">
        <w:rPr>
          <w:lang w:val="fr-FR"/>
        </w:rPr>
        <w:t>s</w:t>
      </w:r>
      <w:r w:rsidR="00DB7C98" w:rsidRPr="00174283">
        <w:rPr>
          <w:lang w:val="fr-FR"/>
        </w:rPr>
        <w:t xml:space="preserve">. </w:t>
      </w:r>
    </w:p>
    <w:p w:rsidR="00B54D69" w:rsidRPr="00174283" w:rsidRDefault="00B16DD4" w:rsidP="005F4C93">
      <w:pPr>
        <w:pStyle w:val="H23G"/>
        <w:rPr>
          <w:lang w:val="fr-FR"/>
        </w:rPr>
      </w:pPr>
      <w:r w:rsidRPr="00174283">
        <w:rPr>
          <w:lang w:val="fr-FR"/>
        </w:rPr>
        <w:tab/>
      </w:r>
      <w:r w:rsidR="005F4C93" w:rsidRPr="00174283">
        <w:rPr>
          <w:lang w:val="fr-FR"/>
        </w:rPr>
        <w:t>c)</w:t>
      </w:r>
      <w:r w:rsidRPr="00174283">
        <w:rPr>
          <w:lang w:val="fr-FR"/>
        </w:rPr>
        <w:tab/>
      </w:r>
      <w:r w:rsidR="00DB7C98" w:rsidRPr="00174283">
        <w:rPr>
          <w:lang w:val="fr-FR"/>
        </w:rPr>
        <w:t>Droit au logement</w:t>
      </w:r>
      <w:r w:rsidR="00B54D69" w:rsidRPr="00174283">
        <w:rPr>
          <w:lang w:val="fr-FR"/>
        </w:rPr>
        <w:t xml:space="preserve"> </w:t>
      </w:r>
    </w:p>
    <w:p w:rsidR="00B54D69" w:rsidRPr="00174283" w:rsidRDefault="00403721" w:rsidP="00403721">
      <w:pPr>
        <w:pStyle w:val="SingleTxtG"/>
        <w:rPr>
          <w:lang w:val="fr-FR"/>
        </w:rPr>
      </w:pPr>
      <w:r>
        <w:rPr>
          <w:lang w:val="fr-FR"/>
        </w:rPr>
        <w:t>90.</w:t>
      </w:r>
      <w:r>
        <w:rPr>
          <w:lang w:val="fr-FR"/>
        </w:rPr>
        <w:tab/>
      </w:r>
      <w:r w:rsidR="00DB7C98" w:rsidRPr="00174283">
        <w:rPr>
          <w:lang w:val="fr-FR"/>
        </w:rPr>
        <w:t xml:space="preserve">La réponse à la recommandation figurant </w:t>
      </w:r>
      <w:r w:rsidR="00C74AE4" w:rsidRPr="00174283">
        <w:rPr>
          <w:lang w:val="fr-FR"/>
        </w:rPr>
        <w:t>au paragraphe</w:t>
      </w:r>
      <w:r w:rsidR="00DB7C98" w:rsidRPr="00174283">
        <w:rPr>
          <w:lang w:val="fr-FR"/>
        </w:rPr>
        <w:t xml:space="preserve"> 16 des observations finales du Comité sur l</w:t>
      </w:r>
      <w:r w:rsidR="00205A62">
        <w:rPr>
          <w:lang w:val="fr-FR"/>
        </w:rPr>
        <w:t>’</w:t>
      </w:r>
      <w:r w:rsidR="00DB7C98" w:rsidRPr="00174283">
        <w:rPr>
          <w:lang w:val="fr-FR"/>
        </w:rPr>
        <w:t xml:space="preserve">élimination de la discrimination raciale </w:t>
      </w:r>
      <w:r w:rsidR="001206F9">
        <w:rPr>
          <w:lang w:val="fr-FR"/>
        </w:rPr>
        <w:t>est fournie</w:t>
      </w:r>
      <w:r w:rsidR="00DB7C98" w:rsidRPr="00174283">
        <w:rPr>
          <w:lang w:val="fr-FR"/>
        </w:rPr>
        <w:t xml:space="preserve"> à la fin du présent rapport. </w:t>
      </w:r>
    </w:p>
    <w:p w:rsidR="00B54D69" w:rsidRPr="00174283" w:rsidRDefault="00B16DD4" w:rsidP="005F4C93">
      <w:pPr>
        <w:pStyle w:val="H23G"/>
        <w:rPr>
          <w:lang w:val="fr-FR"/>
        </w:rPr>
      </w:pPr>
      <w:r w:rsidRPr="00174283">
        <w:rPr>
          <w:lang w:val="fr-FR"/>
        </w:rPr>
        <w:tab/>
      </w:r>
      <w:r w:rsidR="005F4C93" w:rsidRPr="00174283">
        <w:rPr>
          <w:lang w:val="fr-FR"/>
        </w:rPr>
        <w:t>d)</w:t>
      </w:r>
      <w:r w:rsidRPr="00174283">
        <w:rPr>
          <w:lang w:val="fr-FR"/>
        </w:rPr>
        <w:tab/>
      </w:r>
      <w:r w:rsidR="00DB7C98" w:rsidRPr="00174283">
        <w:rPr>
          <w:lang w:val="fr-FR"/>
        </w:rPr>
        <w:t>Droit à la santé, aux soins médicaux, à la sécurité sociale et aux services sociaux</w:t>
      </w:r>
      <w:r w:rsidR="00F104B6" w:rsidRPr="00174283">
        <w:rPr>
          <w:lang w:val="fr-FR"/>
        </w:rPr>
        <w:t xml:space="preserve"> </w:t>
      </w:r>
    </w:p>
    <w:p w:rsidR="00B54D69" w:rsidRPr="00174283" w:rsidRDefault="00403721" w:rsidP="00403721">
      <w:pPr>
        <w:pStyle w:val="SingleTxtG"/>
        <w:rPr>
          <w:lang w:val="fr-FR"/>
        </w:rPr>
      </w:pPr>
      <w:r>
        <w:rPr>
          <w:lang w:val="fr-FR"/>
        </w:rPr>
        <w:t>91.</w:t>
      </w:r>
      <w:r>
        <w:rPr>
          <w:lang w:val="fr-FR"/>
        </w:rPr>
        <w:tab/>
      </w:r>
      <w:r w:rsidR="00DB7C98" w:rsidRPr="00174283">
        <w:rPr>
          <w:lang w:val="fr-FR"/>
        </w:rPr>
        <w:t xml:space="preserve">La </w:t>
      </w:r>
      <w:r w:rsidR="00B54D69" w:rsidRPr="00174283">
        <w:rPr>
          <w:lang w:val="fr-FR"/>
        </w:rPr>
        <w:t xml:space="preserve">Constitution </w:t>
      </w:r>
      <w:r w:rsidR="00DB7C98" w:rsidRPr="00174283">
        <w:rPr>
          <w:lang w:val="fr-FR"/>
        </w:rPr>
        <w:t>garantit l</w:t>
      </w:r>
      <w:r w:rsidR="00205A62">
        <w:rPr>
          <w:lang w:val="fr-FR"/>
        </w:rPr>
        <w:t>’</w:t>
      </w:r>
      <w:r w:rsidR="00DB7C98" w:rsidRPr="00174283">
        <w:rPr>
          <w:lang w:val="fr-FR"/>
        </w:rPr>
        <w:t xml:space="preserve">accès universel aux soins de santé à tous les citoyens de la République de Macédoine </w:t>
      </w:r>
    </w:p>
    <w:p w:rsidR="00B54D69" w:rsidRPr="00174283" w:rsidRDefault="00403721" w:rsidP="00403721">
      <w:pPr>
        <w:pStyle w:val="SingleTxtG"/>
        <w:rPr>
          <w:lang w:val="fr-FR"/>
        </w:rPr>
      </w:pPr>
      <w:r>
        <w:rPr>
          <w:lang w:val="fr-FR"/>
        </w:rPr>
        <w:t>92.</w:t>
      </w:r>
      <w:r>
        <w:rPr>
          <w:lang w:val="fr-FR"/>
        </w:rPr>
        <w:tab/>
      </w:r>
      <w:r w:rsidR="00DB7C98" w:rsidRPr="00174283">
        <w:rPr>
          <w:lang w:val="fr-FR"/>
        </w:rPr>
        <w:t>La loi sur les soins de santé et la loi sur l</w:t>
      </w:r>
      <w:r w:rsidR="00205A62">
        <w:rPr>
          <w:lang w:val="fr-FR"/>
        </w:rPr>
        <w:t>’</w:t>
      </w:r>
      <w:r w:rsidR="00DB7C98" w:rsidRPr="00174283">
        <w:rPr>
          <w:lang w:val="fr-FR"/>
        </w:rPr>
        <w:t>assurance</w:t>
      </w:r>
      <w:r w:rsidR="00D75934" w:rsidRPr="00174283">
        <w:rPr>
          <w:lang w:val="fr-FR"/>
        </w:rPr>
        <w:t xml:space="preserve"> </w:t>
      </w:r>
      <w:r w:rsidR="00DB7C98" w:rsidRPr="00174283">
        <w:rPr>
          <w:lang w:val="fr-FR"/>
        </w:rPr>
        <w:t xml:space="preserve">maladie </w:t>
      </w:r>
      <w:r w:rsidR="00625C28" w:rsidRPr="00174283">
        <w:rPr>
          <w:lang w:val="fr-FR"/>
        </w:rPr>
        <w:t>prévoit l</w:t>
      </w:r>
      <w:r w:rsidR="00205A62">
        <w:rPr>
          <w:lang w:val="fr-FR"/>
        </w:rPr>
        <w:t>’</w:t>
      </w:r>
      <w:r w:rsidR="00625C28" w:rsidRPr="00174283">
        <w:rPr>
          <w:lang w:val="fr-FR"/>
        </w:rPr>
        <w:t>égalité d</w:t>
      </w:r>
      <w:r w:rsidR="00205A62">
        <w:rPr>
          <w:lang w:val="fr-FR"/>
        </w:rPr>
        <w:t>’</w:t>
      </w:r>
      <w:r w:rsidR="00625C28" w:rsidRPr="00174283">
        <w:rPr>
          <w:lang w:val="fr-FR"/>
        </w:rPr>
        <w:t>accès aux établissements de santé tout en respectant le droit à l</w:t>
      </w:r>
      <w:r w:rsidR="00205A62">
        <w:rPr>
          <w:lang w:val="fr-FR"/>
        </w:rPr>
        <w:t>’</w:t>
      </w:r>
      <w:r w:rsidR="00625C28" w:rsidRPr="00174283">
        <w:rPr>
          <w:lang w:val="fr-FR"/>
        </w:rPr>
        <w:t>égalité de</w:t>
      </w:r>
      <w:r w:rsidR="002E417A" w:rsidRPr="00174283">
        <w:rPr>
          <w:lang w:val="fr-FR"/>
        </w:rPr>
        <w:t xml:space="preserve"> tous le</w:t>
      </w:r>
      <w:r w:rsidR="00625C28" w:rsidRPr="00174283">
        <w:rPr>
          <w:lang w:val="fr-FR"/>
        </w:rPr>
        <w:t xml:space="preserve">s citoyens de la République de Macédoine. </w:t>
      </w:r>
    </w:p>
    <w:p w:rsidR="00B54D69" w:rsidRPr="00174283" w:rsidRDefault="00403721" w:rsidP="00403721">
      <w:pPr>
        <w:pStyle w:val="SingleTxtG"/>
        <w:rPr>
          <w:lang w:val="fr-FR"/>
        </w:rPr>
      </w:pPr>
      <w:r>
        <w:rPr>
          <w:lang w:val="fr-FR"/>
        </w:rPr>
        <w:t>93.</w:t>
      </w:r>
      <w:r>
        <w:rPr>
          <w:lang w:val="fr-FR"/>
        </w:rPr>
        <w:tab/>
      </w:r>
      <w:r w:rsidR="00625C28" w:rsidRPr="00174283">
        <w:rPr>
          <w:lang w:val="fr-FR"/>
        </w:rPr>
        <w:t>Conformément à l</w:t>
      </w:r>
      <w:r w:rsidR="00205A62">
        <w:rPr>
          <w:lang w:val="fr-FR"/>
        </w:rPr>
        <w:t>’</w:t>
      </w:r>
      <w:r w:rsidR="00625C28" w:rsidRPr="00174283">
        <w:rPr>
          <w:lang w:val="fr-FR"/>
        </w:rPr>
        <w:t>article 5 de la loi sur l</w:t>
      </w:r>
      <w:r w:rsidR="00205A62">
        <w:rPr>
          <w:lang w:val="fr-FR"/>
        </w:rPr>
        <w:t>’</w:t>
      </w:r>
      <w:r w:rsidR="00625C28" w:rsidRPr="00174283">
        <w:rPr>
          <w:lang w:val="fr-FR"/>
        </w:rPr>
        <w:t>assurance</w:t>
      </w:r>
      <w:r w:rsidR="002E417A" w:rsidRPr="00174283">
        <w:rPr>
          <w:lang w:val="fr-FR"/>
        </w:rPr>
        <w:t xml:space="preserve"> </w:t>
      </w:r>
      <w:r w:rsidR="00625C28" w:rsidRPr="00174283">
        <w:rPr>
          <w:lang w:val="fr-FR"/>
        </w:rPr>
        <w:t xml:space="preserve">maladie </w:t>
      </w:r>
      <w:r w:rsidR="00B54D69" w:rsidRPr="00174283">
        <w:rPr>
          <w:lang w:val="fr-FR"/>
        </w:rPr>
        <w:t>(</w:t>
      </w:r>
      <w:r w:rsidR="004E1618" w:rsidRPr="006C4B2D">
        <w:rPr>
          <w:i/>
          <w:iCs/>
          <w:lang w:val="fr-FR"/>
        </w:rPr>
        <w:t>Journal officiel de la République de Macédoine</w:t>
      </w:r>
      <w:r w:rsidR="00625C28" w:rsidRPr="00174283">
        <w:rPr>
          <w:lang w:val="fr-FR"/>
        </w:rPr>
        <w:t xml:space="preserve"> n</w:t>
      </w:r>
      <w:r w:rsidR="00625C28" w:rsidRPr="00174283">
        <w:rPr>
          <w:vertAlign w:val="superscript"/>
          <w:lang w:val="fr-FR"/>
        </w:rPr>
        <w:t>o</w:t>
      </w:r>
      <w:r w:rsidR="00625C28" w:rsidRPr="00174283">
        <w:rPr>
          <w:lang w:val="fr-FR"/>
        </w:rPr>
        <w:t> </w:t>
      </w:r>
      <w:r w:rsidR="00B54D69" w:rsidRPr="00174283">
        <w:rPr>
          <w:lang w:val="fr-FR"/>
        </w:rPr>
        <w:t>65/12</w:t>
      </w:r>
      <w:r w:rsidR="002E417A" w:rsidRPr="00174283">
        <w:rPr>
          <w:lang w:val="fr-FR"/>
        </w:rPr>
        <w:t>,</w:t>
      </w:r>
      <w:r w:rsidR="00B54D69" w:rsidRPr="00174283">
        <w:rPr>
          <w:lang w:val="fr-FR"/>
        </w:rPr>
        <w:t xml:space="preserve"> </w:t>
      </w:r>
      <w:r w:rsidR="00625C28" w:rsidRPr="00174283">
        <w:rPr>
          <w:lang w:val="fr-FR"/>
        </w:rPr>
        <w:t>texte consolidé</w:t>
      </w:r>
      <w:r w:rsidR="00B54D69" w:rsidRPr="00174283">
        <w:rPr>
          <w:lang w:val="fr-FR"/>
        </w:rPr>
        <w:t xml:space="preserve">), </w:t>
      </w:r>
      <w:r w:rsidR="00625C28" w:rsidRPr="00174283">
        <w:rPr>
          <w:lang w:val="fr-FR"/>
        </w:rPr>
        <w:t xml:space="preserve">le droit aux soins de santé est garanti aux citoyens macédoniens et aux étrangers qui résident légalement et travaillent en Macédoine. </w:t>
      </w:r>
      <w:r w:rsidR="007E7F7A" w:rsidRPr="00174283">
        <w:rPr>
          <w:lang w:val="fr-FR"/>
        </w:rPr>
        <w:t>Autrement dit, l</w:t>
      </w:r>
      <w:r w:rsidR="00205A62">
        <w:rPr>
          <w:lang w:val="fr-FR"/>
        </w:rPr>
        <w:t>’</w:t>
      </w:r>
      <w:r w:rsidR="007E7F7A" w:rsidRPr="00174283">
        <w:rPr>
          <w:lang w:val="fr-FR"/>
        </w:rPr>
        <w:t xml:space="preserve">assurance </w:t>
      </w:r>
      <w:r w:rsidR="00F242A5" w:rsidRPr="00174283">
        <w:rPr>
          <w:lang w:val="fr-FR"/>
        </w:rPr>
        <w:t>maladie obligatoire est garantie à tous les étrangers employés sur le territoire de la République, qu</w:t>
      </w:r>
      <w:r w:rsidR="00205A62">
        <w:rPr>
          <w:lang w:val="fr-FR"/>
        </w:rPr>
        <w:t>’</w:t>
      </w:r>
      <w:r w:rsidR="00F242A5" w:rsidRPr="00174283">
        <w:rPr>
          <w:lang w:val="fr-FR"/>
        </w:rPr>
        <w:t>il s</w:t>
      </w:r>
      <w:r w:rsidR="00205A62">
        <w:rPr>
          <w:lang w:val="fr-FR"/>
        </w:rPr>
        <w:t>’</w:t>
      </w:r>
      <w:r w:rsidR="00F242A5" w:rsidRPr="00174283">
        <w:rPr>
          <w:lang w:val="fr-FR"/>
        </w:rPr>
        <w:t xml:space="preserve">agisse de personnes juridiques ou </w:t>
      </w:r>
      <w:r w:rsidR="00B545D2" w:rsidRPr="00174283">
        <w:rPr>
          <w:lang w:val="fr-FR"/>
        </w:rPr>
        <w:t>physiques</w:t>
      </w:r>
      <w:r w:rsidR="00F242A5" w:rsidRPr="00174283">
        <w:rPr>
          <w:lang w:val="fr-FR"/>
        </w:rPr>
        <w:t xml:space="preserve"> étrangères, d</w:t>
      </w:r>
      <w:r w:rsidR="00205A62">
        <w:rPr>
          <w:lang w:val="fr-FR"/>
        </w:rPr>
        <w:t>’</w:t>
      </w:r>
      <w:r w:rsidR="00F242A5" w:rsidRPr="00174283">
        <w:rPr>
          <w:lang w:val="fr-FR"/>
        </w:rPr>
        <w:t>organisations et d</w:t>
      </w:r>
      <w:r w:rsidR="00205A62">
        <w:rPr>
          <w:lang w:val="fr-FR"/>
        </w:rPr>
        <w:t>’</w:t>
      </w:r>
      <w:r w:rsidR="00F242A5" w:rsidRPr="00174283">
        <w:rPr>
          <w:lang w:val="fr-FR"/>
        </w:rPr>
        <w:t>institutions</w:t>
      </w:r>
      <w:r w:rsidR="007E3FAC" w:rsidRPr="00174283">
        <w:rPr>
          <w:lang w:val="fr-FR"/>
        </w:rPr>
        <w:t xml:space="preserve"> internationales</w:t>
      </w:r>
      <w:r w:rsidR="00F242A5" w:rsidRPr="00174283">
        <w:rPr>
          <w:lang w:val="fr-FR"/>
        </w:rPr>
        <w:t xml:space="preserve"> ou </w:t>
      </w:r>
      <w:r w:rsidR="007E3FAC" w:rsidRPr="00174283">
        <w:rPr>
          <w:lang w:val="fr-FR"/>
        </w:rPr>
        <w:t xml:space="preserve">de </w:t>
      </w:r>
      <w:r w:rsidR="00F242A5" w:rsidRPr="00174283">
        <w:rPr>
          <w:lang w:val="fr-FR"/>
        </w:rPr>
        <w:t xml:space="preserve">missions consulaires et diplomatiques, </w:t>
      </w:r>
      <w:r w:rsidR="00A67CE4" w:rsidRPr="00174283">
        <w:rPr>
          <w:lang w:val="fr-FR"/>
        </w:rPr>
        <w:t>sauf disposition contraire d</w:t>
      </w:r>
      <w:r w:rsidR="00205A62">
        <w:rPr>
          <w:lang w:val="fr-FR"/>
        </w:rPr>
        <w:t>’</w:t>
      </w:r>
      <w:r w:rsidR="00A67CE4" w:rsidRPr="00174283">
        <w:rPr>
          <w:lang w:val="fr-FR"/>
        </w:rPr>
        <w:t xml:space="preserve">un </w:t>
      </w:r>
      <w:r w:rsidR="00F242A5" w:rsidRPr="00174283">
        <w:rPr>
          <w:lang w:val="fr-FR"/>
        </w:rPr>
        <w:t xml:space="preserve">traité international. </w:t>
      </w:r>
      <w:r w:rsidR="00182613" w:rsidRPr="00174283">
        <w:rPr>
          <w:lang w:val="fr-FR"/>
        </w:rPr>
        <w:t>L</w:t>
      </w:r>
      <w:r w:rsidR="00205A62">
        <w:rPr>
          <w:lang w:val="fr-FR"/>
        </w:rPr>
        <w:t>’</w:t>
      </w:r>
      <w:r w:rsidR="00182613" w:rsidRPr="00174283">
        <w:rPr>
          <w:lang w:val="fr-FR"/>
        </w:rPr>
        <w:t xml:space="preserve">assurance </w:t>
      </w:r>
      <w:r w:rsidR="00625C28" w:rsidRPr="00174283">
        <w:rPr>
          <w:lang w:val="fr-FR"/>
        </w:rPr>
        <w:t>maladie obligatoire est également garantie à tous les étrangers qui séjournent en Macédoine pour leurs études ou leur formation professionnelle</w:t>
      </w:r>
      <w:r w:rsidR="00A67CE4" w:rsidRPr="00174283">
        <w:rPr>
          <w:lang w:val="fr-FR"/>
        </w:rPr>
        <w:t>,</w:t>
      </w:r>
      <w:r w:rsidR="00625C28" w:rsidRPr="00174283">
        <w:rPr>
          <w:lang w:val="fr-FR"/>
        </w:rPr>
        <w:t xml:space="preserve"> </w:t>
      </w:r>
      <w:r w:rsidR="00A67CE4" w:rsidRPr="00174283">
        <w:rPr>
          <w:lang w:val="fr-FR"/>
        </w:rPr>
        <w:t>sauf disposition contraire d</w:t>
      </w:r>
      <w:r w:rsidR="00205A62">
        <w:rPr>
          <w:lang w:val="fr-FR"/>
        </w:rPr>
        <w:t>’</w:t>
      </w:r>
      <w:r w:rsidR="00A67CE4" w:rsidRPr="00174283">
        <w:rPr>
          <w:lang w:val="fr-FR"/>
        </w:rPr>
        <w:t>un traité international</w:t>
      </w:r>
      <w:r w:rsidR="00625C28" w:rsidRPr="00174283">
        <w:rPr>
          <w:lang w:val="fr-FR"/>
        </w:rPr>
        <w:t xml:space="preserve">. </w:t>
      </w:r>
    </w:p>
    <w:p w:rsidR="00B54D69" w:rsidRPr="00174283" w:rsidRDefault="00403721" w:rsidP="00403721">
      <w:pPr>
        <w:pStyle w:val="SingleTxtG"/>
        <w:rPr>
          <w:lang w:val="fr-FR"/>
        </w:rPr>
      </w:pPr>
      <w:r>
        <w:rPr>
          <w:lang w:val="fr-FR"/>
        </w:rPr>
        <w:t>94.</w:t>
      </w:r>
      <w:r>
        <w:rPr>
          <w:lang w:val="fr-FR"/>
        </w:rPr>
        <w:tab/>
      </w:r>
      <w:r w:rsidR="00625C28" w:rsidRPr="00174283">
        <w:rPr>
          <w:lang w:val="fr-FR"/>
        </w:rPr>
        <w:t xml:space="preserve">À ce titre, </w:t>
      </w:r>
      <w:r w:rsidR="00A07637" w:rsidRPr="00174283">
        <w:rPr>
          <w:lang w:val="fr-FR"/>
        </w:rPr>
        <w:t>il est important de signaler le Cadre stratégique pour l</w:t>
      </w:r>
      <w:r w:rsidR="00205A62">
        <w:rPr>
          <w:lang w:val="fr-FR"/>
        </w:rPr>
        <w:t>’</w:t>
      </w:r>
      <w:r w:rsidR="00A07637" w:rsidRPr="00174283">
        <w:rPr>
          <w:lang w:val="fr-FR"/>
        </w:rPr>
        <w:t>amélioration des soins de santé et de la situation sociale des Roms</w:t>
      </w:r>
      <w:r w:rsidR="007E3FAC" w:rsidRPr="00174283">
        <w:rPr>
          <w:lang w:val="fr-FR"/>
        </w:rPr>
        <w:t xml:space="preserve"> (adopté en 2011)</w:t>
      </w:r>
      <w:r w:rsidR="00A07637" w:rsidRPr="00174283">
        <w:rPr>
          <w:lang w:val="fr-FR"/>
        </w:rPr>
        <w:t xml:space="preserve"> </w:t>
      </w:r>
      <w:r w:rsidR="00A67CE4" w:rsidRPr="00174283">
        <w:rPr>
          <w:lang w:val="fr-FR"/>
        </w:rPr>
        <w:t>qui a permis la mise en place de</w:t>
      </w:r>
      <w:r w:rsidR="00A07637" w:rsidRPr="00174283">
        <w:rPr>
          <w:lang w:val="fr-FR"/>
        </w:rPr>
        <w:t xml:space="preserve"> </w:t>
      </w:r>
      <w:r w:rsidR="006171EE" w:rsidRPr="00174283">
        <w:rPr>
          <w:lang w:val="fr-FR"/>
        </w:rPr>
        <w:t>médiateurs de santé pour les Roms</w:t>
      </w:r>
      <w:r w:rsidR="00A07637" w:rsidRPr="00174283">
        <w:rPr>
          <w:lang w:val="fr-FR"/>
        </w:rPr>
        <w:t xml:space="preserve">. </w:t>
      </w:r>
    </w:p>
    <w:p w:rsidR="00B54D69" w:rsidRPr="00174283" w:rsidRDefault="00B16DD4" w:rsidP="005F4C93">
      <w:pPr>
        <w:pStyle w:val="H23G"/>
        <w:rPr>
          <w:lang w:val="fr-FR"/>
        </w:rPr>
      </w:pPr>
      <w:r w:rsidRPr="00174283">
        <w:rPr>
          <w:lang w:val="fr-FR"/>
        </w:rPr>
        <w:tab/>
      </w:r>
      <w:r w:rsidR="005F4C93" w:rsidRPr="00174283">
        <w:rPr>
          <w:lang w:val="fr-FR"/>
        </w:rPr>
        <w:t>e)</w:t>
      </w:r>
      <w:r w:rsidRPr="00174283">
        <w:rPr>
          <w:lang w:val="fr-FR"/>
        </w:rPr>
        <w:tab/>
      </w:r>
      <w:r w:rsidR="00A07637" w:rsidRPr="00174283">
        <w:rPr>
          <w:lang w:val="fr-FR"/>
        </w:rPr>
        <w:t>Droit à l</w:t>
      </w:r>
      <w:r w:rsidR="00205A62">
        <w:rPr>
          <w:lang w:val="fr-FR"/>
        </w:rPr>
        <w:t>’</w:t>
      </w:r>
      <w:r w:rsidR="00A07637" w:rsidRPr="00174283">
        <w:rPr>
          <w:lang w:val="fr-FR"/>
        </w:rPr>
        <w:t>éducation et à la formation</w:t>
      </w:r>
      <w:r w:rsidR="004A2B8A" w:rsidRPr="00174283">
        <w:rPr>
          <w:lang w:val="fr-FR"/>
        </w:rPr>
        <w:t xml:space="preserve"> professionnelle</w:t>
      </w:r>
    </w:p>
    <w:p w:rsidR="00B54D69" w:rsidRPr="00174283" w:rsidRDefault="00403721" w:rsidP="00403721">
      <w:pPr>
        <w:pStyle w:val="SingleTxtG"/>
        <w:rPr>
          <w:lang w:val="fr-FR"/>
        </w:rPr>
      </w:pPr>
      <w:r>
        <w:rPr>
          <w:lang w:val="fr-FR"/>
        </w:rPr>
        <w:t>95.</w:t>
      </w:r>
      <w:r>
        <w:rPr>
          <w:lang w:val="fr-FR"/>
        </w:rPr>
        <w:tab/>
      </w:r>
      <w:r w:rsidR="00A07637" w:rsidRPr="00174283">
        <w:rPr>
          <w:lang w:val="fr-FR"/>
        </w:rPr>
        <w:t xml:space="preserve">Les réponses aux recommandations figurant aux </w:t>
      </w:r>
      <w:r w:rsidR="007E3FAC" w:rsidRPr="00174283">
        <w:rPr>
          <w:lang w:val="fr-FR"/>
        </w:rPr>
        <w:t>paragraphes</w:t>
      </w:r>
      <w:r w:rsidR="00A07637" w:rsidRPr="00174283">
        <w:rPr>
          <w:lang w:val="fr-FR"/>
        </w:rPr>
        <w:t xml:space="preserve"> 17 et 18 des observations finales du Comité figurent à la fin du présent rapport. </w:t>
      </w:r>
    </w:p>
    <w:p w:rsidR="00B54D69" w:rsidRPr="00174283" w:rsidRDefault="00B16DD4" w:rsidP="005F4C93">
      <w:pPr>
        <w:pStyle w:val="H23G"/>
        <w:rPr>
          <w:lang w:val="fr-FR"/>
        </w:rPr>
      </w:pPr>
      <w:r w:rsidRPr="00174283">
        <w:rPr>
          <w:lang w:val="fr-FR"/>
        </w:rPr>
        <w:tab/>
      </w:r>
      <w:r w:rsidR="005F4C93" w:rsidRPr="00174283">
        <w:rPr>
          <w:lang w:val="fr-FR"/>
        </w:rPr>
        <w:t>f)</w:t>
      </w:r>
      <w:r w:rsidRPr="00174283">
        <w:rPr>
          <w:lang w:val="fr-FR"/>
        </w:rPr>
        <w:tab/>
      </w:r>
      <w:r w:rsidR="00A07637" w:rsidRPr="00174283">
        <w:rPr>
          <w:lang w:val="fr-FR"/>
        </w:rPr>
        <w:t>Droit de prendre part, dans des conditions d</w:t>
      </w:r>
      <w:r w:rsidR="00205A62">
        <w:rPr>
          <w:lang w:val="fr-FR"/>
        </w:rPr>
        <w:t>’</w:t>
      </w:r>
      <w:r w:rsidR="00A07637" w:rsidRPr="00174283">
        <w:rPr>
          <w:lang w:val="fr-FR"/>
        </w:rPr>
        <w:t>égalité, aux activités culturelles</w:t>
      </w:r>
    </w:p>
    <w:p w:rsidR="00B54D69" w:rsidRPr="00174283" w:rsidRDefault="00403721" w:rsidP="00403721">
      <w:pPr>
        <w:pStyle w:val="SingleTxtG"/>
        <w:rPr>
          <w:lang w:val="fr-FR"/>
        </w:rPr>
      </w:pPr>
      <w:r>
        <w:rPr>
          <w:lang w:val="fr-FR"/>
        </w:rPr>
        <w:t>96.</w:t>
      </w:r>
      <w:r>
        <w:rPr>
          <w:lang w:val="fr-FR"/>
        </w:rPr>
        <w:tab/>
      </w:r>
      <w:r w:rsidR="007B70CD" w:rsidRPr="00174283">
        <w:rPr>
          <w:lang w:val="fr-FR"/>
        </w:rPr>
        <w:t>Cette question a été développée</w:t>
      </w:r>
      <w:r w:rsidR="00A07637" w:rsidRPr="00174283">
        <w:rPr>
          <w:lang w:val="fr-FR"/>
        </w:rPr>
        <w:t xml:space="preserve"> dans les quatrième</w:t>
      </w:r>
      <w:r w:rsidR="001B2C6D" w:rsidRPr="00174283">
        <w:rPr>
          <w:lang w:val="fr-FR"/>
        </w:rPr>
        <w:t xml:space="preserve"> à</w:t>
      </w:r>
      <w:r w:rsidR="00A07637" w:rsidRPr="00174283">
        <w:rPr>
          <w:lang w:val="fr-FR"/>
        </w:rPr>
        <w:t xml:space="preserve"> septième rapports périodiques.</w:t>
      </w:r>
    </w:p>
    <w:p w:rsidR="00BB19A5" w:rsidRPr="00174283" w:rsidRDefault="00BB19A5" w:rsidP="00BB19A5">
      <w:pPr>
        <w:pStyle w:val="H1G"/>
        <w:rPr>
          <w:sz w:val="20"/>
          <w:lang w:val="fr-FR"/>
        </w:rPr>
      </w:pPr>
      <w:r w:rsidRPr="00174283">
        <w:rPr>
          <w:lang w:val="fr-FR"/>
        </w:rPr>
        <w:tab/>
      </w:r>
      <w:r w:rsidRPr="00174283">
        <w:rPr>
          <w:lang w:val="fr-FR"/>
        </w:rPr>
        <w:tab/>
        <w:t>Article 6</w:t>
      </w:r>
      <w:r w:rsidRPr="00174283">
        <w:rPr>
          <w:lang w:val="fr-FR"/>
        </w:rPr>
        <w:br/>
        <w:t xml:space="preserve">Protection </w:t>
      </w:r>
      <w:r w:rsidR="0053654A" w:rsidRPr="00174283">
        <w:rPr>
          <w:lang w:val="fr-FR"/>
        </w:rPr>
        <w:t>contre tous actes de discrimination raciale</w:t>
      </w:r>
    </w:p>
    <w:p w:rsidR="00BB19A5" w:rsidRPr="00174283" w:rsidRDefault="00403721" w:rsidP="00403721">
      <w:pPr>
        <w:pStyle w:val="SingleTxtG"/>
        <w:rPr>
          <w:lang w:val="fr-FR"/>
        </w:rPr>
      </w:pPr>
      <w:r>
        <w:rPr>
          <w:lang w:val="fr-FR"/>
        </w:rPr>
        <w:t>97.</w:t>
      </w:r>
      <w:r>
        <w:rPr>
          <w:lang w:val="fr-FR"/>
        </w:rPr>
        <w:tab/>
      </w:r>
      <w:r w:rsidR="0053654A" w:rsidRPr="00174283">
        <w:rPr>
          <w:lang w:val="fr-FR"/>
        </w:rPr>
        <w:t xml:space="preserve">Le chapitre </w:t>
      </w:r>
      <w:r w:rsidR="00BB19A5" w:rsidRPr="00174283">
        <w:rPr>
          <w:lang w:val="fr-FR"/>
        </w:rPr>
        <w:t xml:space="preserve">VI </w:t>
      </w:r>
      <w:r w:rsidR="0053654A" w:rsidRPr="00174283">
        <w:rPr>
          <w:lang w:val="fr-FR"/>
        </w:rPr>
        <w:t xml:space="preserve">de la loi sur la prévention de la discrimination et la protection </w:t>
      </w:r>
      <w:r w:rsidR="007C7D60" w:rsidRPr="00174283">
        <w:rPr>
          <w:lang w:val="fr-FR"/>
        </w:rPr>
        <w:t>contre</w:t>
      </w:r>
      <w:r w:rsidR="0053654A" w:rsidRPr="00174283">
        <w:rPr>
          <w:lang w:val="fr-FR"/>
        </w:rPr>
        <w:t xml:space="preserve"> </w:t>
      </w:r>
      <w:r w:rsidR="00204837">
        <w:rPr>
          <w:lang w:val="fr-FR"/>
        </w:rPr>
        <w:t>ce phénomène</w:t>
      </w:r>
      <w:r w:rsidR="0053654A" w:rsidRPr="00174283">
        <w:rPr>
          <w:lang w:val="fr-FR"/>
        </w:rPr>
        <w:t xml:space="preserv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53654A" w:rsidRPr="00174283">
        <w:rPr>
          <w:lang w:val="fr-FR"/>
        </w:rPr>
        <w:t>n</w:t>
      </w:r>
      <w:r w:rsidR="0053654A" w:rsidRPr="00174283">
        <w:rPr>
          <w:vertAlign w:val="superscript"/>
          <w:lang w:val="fr-FR"/>
        </w:rPr>
        <w:t>o</w:t>
      </w:r>
      <w:r w:rsidR="0053654A" w:rsidRPr="00174283">
        <w:rPr>
          <w:lang w:val="fr-FR"/>
        </w:rPr>
        <w:t> </w:t>
      </w:r>
      <w:r w:rsidR="00BB19A5" w:rsidRPr="00174283">
        <w:rPr>
          <w:lang w:val="fr-FR"/>
        </w:rPr>
        <w:t xml:space="preserve">50/2010) </w:t>
      </w:r>
      <w:r w:rsidR="0053654A" w:rsidRPr="00174283">
        <w:rPr>
          <w:lang w:val="fr-FR"/>
        </w:rPr>
        <w:t xml:space="preserve">contient des dispositions sur la protection judiciaire. </w:t>
      </w:r>
    </w:p>
    <w:p w:rsidR="00BB19A5" w:rsidRPr="00174283" w:rsidRDefault="00403721" w:rsidP="00403721">
      <w:pPr>
        <w:pStyle w:val="SingleTxtG"/>
        <w:rPr>
          <w:lang w:val="fr-FR"/>
        </w:rPr>
      </w:pPr>
      <w:r>
        <w:rPr>
          <w:lang w:val="fr-FR"/>
        </w:rPr>
        <w:t>98.</w:t>
      </w:r>
      <w:r>
        <w:rPr>
          <w:lang w:val="fr-FR"/>
        </w:rPr>
        <w:tab/>
      </w:r>
      <w:r w:rsidR="0053654A" w:rsidRPr="00174283">
        <w:rPr>
          <w:lang w:val="fr-FR"/>
        </w:rPr>
        <w:t>Ainsi, conformément à l</w:t>
      </w:r>
      <w:r w:rsidR="00205A62">
        <w:rPr>
          <w:lang w:val="fr-FR"/>
        </w:rPr>
        <w:t>’</w:t>
      </w:r>
      <w:r w:rsidR="0053654A" w:rsidRPr="00174283">
        <w:rPr>
          <w:lang w:val="fr-FR"/>
        </w:rPr>
        <w:t>article 34</w:t>
      </w:r>
      <w:r w:rsidR="002F51DC">
        <w:rPr>
          <w:lang w:val="fr-FR"/>
        </w:rPr>
        <w:t>:</w:t>
      </w:r>
    </w:p>
    <w:p w:rsidR="00BB19A5" w:rsidRPr="00174283" w:rsidRDefault="00BB19A5" w:rsidP="00D31D49">
      <w:pPr>
        <w:pStyle w:val="SingleTxtG"/>
        <w:ind w:left="1701"/>
        <w:rPr>
          <w:lang w:val="fr-FR"/>
        </w:rPr>
      </w:pPr>
      <w:r w:rsidRPr="00174283">
        <w:rPr>
          <w:lang w:val="fr-FR"/>
        </w:rPr>
        <w:t>1)</w:t>
      </w:r>
      <w:r w:rsidRPr="00174283">
        <w:rPr>
          <w:lang w:val="fr-FR"/>
        </w:rPr>
        <w:tab/>
      </w:r>
      <w:r w:rsidR="0053654A" w:rsidRPr="00174283">
        <w:rPr>
          <w:lang w:val="fr-FR"/>
        </w:rPr>
        <w:t xml:space="preserve">Toute personne </w:t>
      </w:r>
      <w:r w:rsidR="00E0094F" w:rsidRPr="00174283">
        <w:rPr>
          <w:lang w:val="fr-FR"/>
        </w:rPr>
        <w:t xml:space="preserve">estimant que certains de ses droits ont été bafoués en raison de motifs discriminatoires </w:t>
      </w:r>
      <w:r w:rsidR="00B34F4C" w:rsidRPr="00174283">
        <w:rPr>
          <w:lang w:val="fr-FR"/>
        </w:rPr>
        <w:t>peut</w:t>
      </w:r>
      <w:r w:rsidR="00E0094F" w:rsidRPr="00174283">
        <w:rPr>
          <w:lang w:val="fr-FR"/>
        </w:rPr>
        <w:t xml:space="preserve"> déposer plainte auprès de la juridiction compétente.</w:t>
      </w:r>
    </w:p>
    <w:p w:rsidR="00BB19A5" w:rsidRPr="00174283" w:rsidRDefault="00BB19A5" w:rsidP="00D31D49">
      <w:pPr>
        <w:pStyle w:val="SingleTxtG"/>
        <w:ind w:left="1701"/>
        <w:rPr>
          <w:lang w:val="fr-FR"/>
        </w:rPr>
      </w:pPr>
      <w:r w:rsidRPr="00174283">
        <w:rPr>
          <w:lang w:val="fr-FR"/>
        </w:rPr>
        <w:t>2)</w:t>
      </w:r>
      <w:r w:rsidRPr="00174283">
        <w:rPr>
          <w:lang w:val="fr-FR"/>
        </w:rPr>
        <w:tab/>
      </w:r>
      <w:r w:rsidR="0053654A" w:rsidRPr="00174283">
        <w:rPr>
          <w:lang w:val="fr-FR"/>
        </w:rPr>
        <w:t>Les dispositions de la loi relative à la procédure civile s</w:t>
      </w:r>
      <w:r w:rsidR="00205A62">
        <w:rPr>
          <w:lang w:val="fr-FR"/>
        </w:rPr>
        <w:t>’</w:t>
      </w:r>
      <w:r w:rsidR="007C7D60" w:rsidRPr="00174283">
        <w:rPr>
          <w:lang w:val="fr-FR"/>
        </w:rPr>
        <w:t>appliquent</w:t>
      </w:r>
      <w:r w:rsidR="0053654A" w:rsidRPr="00174283">
        <w:rPr>
          <w:lang w:val="fr-FR"/>
        </w:rPr>
        <w:t xml:space="preserve"> à cette procédure. </w:t>
      </w:r>
    </w:p>
    <w:p w:rsidR="00E0094F" w:rsidRPr="00174283" w:rsidRDefault="00403721" w:rsidP="00403721">
      <w:pPr>
        <w:pStyle w:val="SingleTxtG"/>
        <w:rPr>
          <w:lang w:val="fr-FR"/>
        </w:rPr>
      </w:pPr>
      <w:r>
        <w:rPr>
          <w:lang w:val="fr-FR"/>
        </w:rPr>
        <w:t>99.</w:t>
      </w:r>
      <w:r>
        <w:rPr>
          <w:lang w:val="fr-FR"/>
        </w:rPr>
        <w:tab/>
      </w:r>
      <w:r w:rsidR="0053654A" w:rsidRPr="00174283">
        <w:rPr>
          <w:lang w:val="fr-FR"/>
        </w:rPr>
        <w:t xml:space="preserve">En cas de </w:t>
      </w:r>
      <w:r w:rsidR="00464B65" w:rsidRPr="00174283">
        <w:rPr>
          <w:lang w:val="fr-FR"/>
        </w:rPr>
        <w:t>recours</w:t>
      </w:r>
      <w:r w:rsidR="0053654A" w:rsidRPr="00174283">
        <w:rPr>
          <w:lang w:val="fr-FR"/>
        </w:rPr>
        <w:t xml:space="preserve"> devant un tribun</w:t>
      </w:r>
      <w:r w:rsidR="00E60A2A">
        <w:rPr>
          <w:lang w:val="fr-FR"/>
        </w:rPr>
        <w:t xml:space="preserve">al, conformément au paragraphe </w:t>
      </w:r>
      <w:r w:rsidR="0053654A" w:rsidRPr="00174283">
        <w:rPr>
          <w:lang w:val="fr-FR"/>
        </w:rPr>
        <w:t>1) de l</w:t>
      </w:r>
      <w:r w:rsidR="00205A62">
        <w:rPr>
          <w:lang w:val="fr-FR"/>
        </w:rPr>
        <w:t>’</w:t>
      </w:r>
      <w:r w:rsidR="0053654A" w:rsidRPr="00174283">
        <w:rPr>
          <w:lang w:val="fr-FR"/>
        </w:rPr>
        <w:t>article 34 de ladite loi</w:t>
      </w:r>
      <w:r w:rsidR="006659E4" w:rsidRPr="00174283">
        <w:rPr>
          <w:lang w:val="fr-FR"/>
        </w:rPr>
        <w:t xml:space="preserve">, </w:t>
      </w:r>
      <w:r w:rsidR="00E0094F" w:rsidRPr="00174283">
        <w:rPr>
          <w:lang w:val="fr-FR"/>
        </w:rPr>
        <w:t>la personne en questi</w:t>
      </w:r>
      <w:r w:rsidR="00EB218F" w:rsidRPr="00174283">
        <w:rPr>
          <w:lang w:val="fr-FR"/>
        </w:rPr>
        <w:t>on peut demander au tribunal</w:t>
      </w:r>
      <w:r w:rsidR="002F51DC">
        <w:rPr>
          <w:lang w:val="fr-FR"/>
        </w:rPr>
        <w:t>:</w:t>
      </w:r>
    </w:p>
    <w:p w:rsidR="00BB19A5" w:rsidRPr="00174283" w:rsidRDefault="00BB19A5" w:rsidP="00D31D49">
      <w:pPr>
        <w:pStyle w:val="SingleTxtG"/>
        <w:ind w:left="1701"/>
        <w:rPr>
          <w:lang w:val="fr-FR"/>
        </w:rPr>
      </w:pPr>
      <w:r w:rsidRPr="00174283">
        <w:rPr>
          <w:lang w:val="fr-FR"/>
        </w:rPr>
        <w:t>1)</w:t>
      </w:r>
      <w:r w:rsidRPr="00174283">
        <w:rPr>
          <w:lang w:val="fr-FR"/>
        </w:rPr>
        <w:tab/>
      </w:r>
      <w:r w:rsidR="00FE1321" w:rsidRPr="00174283">
        <w:rPr>
          <w:lang w:val="fr-FR"/>
        </w:rPr>
        <w:t xml:space="preserve">De </w:t>
      </w:r>
      <w:r w:rsidR="00EB218F" w:rsidRPr="00174283">
        <w:rPr>
          <w:lang w:val="fr-FR"/>
        </w:rPr>
        <w:t>déterminer si le défendeur a violé le droit du demandeur à un traitement égal, c</w:t>
      </w:r>
      <w:r w:rsidR="00205A62">
        <w:rPr>
          <w:lang w:val="fr-FR"/>
        </w:rPr>
        <w:t>’</w:t>
      </w:r>
      <w:r w:rsidR="00EB218F" w:rsidRPr="00174283">
        <w:rPr>
          <w:lang w:val="fr-FR"/>
        </w:rPr>
        <w:t>est-à-dire d</w:t>
      </w:r>
      <w:r w:rsidR="00205A62">
        <w:rPr>
          <w:lang w:val="fr-FR"/>
        </w:rPr>
        <w:t>’</w:t>
      </w:r>
      <w:r w:rsidR="00EB218F" w:rsidRPr="00174283">
        <w:rPr>
          <w:lang w:val="fr-FR"/>
        </w:rPr>
        <w:t>examiner si l</w:t>
      </w:r>
      <w:r w:rsidR="00205A62">
        <w:rPr>
          <w:lang w:val="fr-FR"/>
        </w:rPr>
        <w:t>’</w:t>
      </w:r>
      <w:r w:rsidR="00EB218F" w:rsidRPr="00174283">
        <w:rPr>
          <w:lang w:val="fr-FR"/>
        </w:rPr>
        <w:t>acte ou la négligence que le défendeur a commis peut être directement à l</w:t>
      </w:r>
      <w:r w:rsidR="00205A62">
        <w:rPr>
          <w:lang w:val="fr-FR"/>
        </w:rPr>
        <w:t>’</w:t>
      </w:r>
      <w:r w:rsidR="00EB218F" w:rsidRPr="00174283">
        <w:rPr>
          <w:lang w:val="fr-FR"/>
        </w:rPr>
        <w:t>origine d</w:t>
      </w:r>
      <w:r w:rsidR="00205A62">
        <w:rPr>
          <w:lang w:val="fr-FR"/>
        </w:rPr>
        <w:t>’</w:t>
      </w:r>
      <w:r w:rsidR="00EB218F" w:rsidRPr="00174283">
        <w:rPr>
          <w:lang w:val="fr-FR"/>
        </w:rPr>
        <w:t>une violation du droit à un traitement égal</w:t>
      </w:r>
      <w:r w:rsidR="00B6019A" w:rsidRPr="00174283">
        <w:rPr>
          <w:lang w:val="fr-FR"/>
        </w:rPr>
        <w:t>;</w:t>
      </w:r>
      <w:r w:rsidR="0053654A" w:rsidRPr="00174283">
        <w:rPr>
          <w:lang w:val="fr-FR"/>
        </w:rPr>
        <w:t xml:space="preserve"> </w:t>
      </w:r>
    </w:p>
    <w:p w:rsidR="0025062C" w:rsidRPr="00174283" w:rsidRDefault="00BB19A5" w:rsidP="00D31D49">
      <w:pPr>
        <w:pStyle w:val="SingleTxtG"/>
        <w:ind w:left="1701"/>
        <w:rPr>
          <w:lang w:val="fr-FR"/>
        </w:rPr>
      </w:pPr>
      <w:r w:rsidRPr="00174283">
        <w:rPr>
          <w:lang w:val="fr-FR"/>
        </w:rPr>
        <w:t>2)</w:t>
      </w:r>
      <w:r w:rsidRPr="00174283">
        <w:rPr>
          <w:lang w:val="fr-FR"/>
        </w:rPr>
        <w:tab/>
      </w:r>
      <w:r w:rsidR="00FE1321" w:rsidRPr="00174283">
        <w:rPr>
          <w:lang w:val="fr-FR"/>
        </w:rPr>
        <w:t>D</w:t>
      </w:r>
      <w:r w:rsidR="00205A62">
        <w:rPr>
          <w:lang w:val="fr-FR"/>
        </w:rPr>
        <w:t>’</w:t>
      </w:r>
      <w:r w:rsidR="0025062C" w:rsidRPr="00174283">
        <w:rPr>
          <w:lang w:val="fr-FR"/>
        </w:rPr>
        <w:t>interdire l</w:t>
      </w:r>
      <w:r w:rsidR="00205A62">
        <w:rPr>
          <w:lang w:val="fr-FR"/>
        </w:rPr>
        <w:t>’</w:t>
      </w:r>
      <w:r w:rsidR="0025062C" w:rsidRPr="00174283">
        <w:rPr>
          <w:lang w:val="fr-FR"/>
        </w:rPr>
        <w:t>exécution d</w:t>
      </w:r>
      <w:r w:rsidR="00205A62">
        <w:rPr>
          <w:lang w:val="fr-FR"/>
        </w:rPr>
        <w:t>’</w:t>
      </w:r>
      <w:r w:rsidR="0025062C" w:rsidRPr="00174283">
        <w:rPr>
          <w:lang w:val="fr-FR"/>
        </w:rPr>
        <w:t>actes qui portent atteinte ou peuvent porter atteinte au droit du demandeur à l</w:t>
      </w:r>
      <w:r w:rsidR="00205A62">
        <w:rPr>
          <w:lang w:val="fr-FR"/>
        </w:rPr>
        <w:t>’</w:t>
      </w:r>
      <w:r w:rsidR="0025062C" w:rsidRPr="00174283">
        <w:rPr>
          <w:lang w:val="fr-FR"/>
        </w:rPr>
        <w:t>égalité de traitement, c</w:t>
      </w:r>
      <w:r w:rsidR="00205A62">
        <w:rPr>
          <w:lang w:val="fr-FR"/>
        </w:rPr>
        <w:t>’</w:t>
      </w:r>
      <w:r w:rsidR="0025062C" w:rsidRPr="00174283">
        <w:rPr>
          <w:lang w:val="fr-FR"/>
        </w:rPr>
        <w:t>est-à-dire d</w:t>
      </w:r>
      <w:r w:rsidR="00205A62">
        <w:rPr>
          <w:lang w:val="fr-FR"/>
        </w:rPr>
        <w:t>’</w:t>
      </w:r>
      <w:r w:rsidR="0025062C" w:rsidRPr="00174283">
        <w:rPr>
          <w:lang w:val="fr-FR"/>
        </w:rPr>
        <w:t>ordonner l</w:t>
      </w:r>
      <w:r w:rsidR="00205A62">
        <w:rPr>
          <w:lang w:val="fr-FR"/>
        </w:rPr>
        <w:t>’</w:t>
      </w:r>
      <w:r w:rsidR="0025062C" w:rsidRPr="00174283">
        <w:rPr>
          <w:lang w:val="fr-FR"/>
        </w:rPr>
        <w:t>adoption de mesures qui mettent fin aux actes de discrimination ou à leurs conséquences;</w:t>
      </w:r>
    </w:p>
    <w:p w:rsidR="0025062C" w:rsidRPr="00174283" w:rsidRDefault="00BB19A5" w:rsidP="00D31D49">
      <w:pPr>
        <w:pStyle w:val="SingleTxtG"/>
        <w:ind w:left="1701"/>
        <w:rPr>
          <w:lang w:val="fr-FR"/>
        </w:rPr>
      </w:pPr>
      <w:r w:rsidRPr="00174283">
        <w:rPr>
          <w:lang w:val="fr-FR"/>
        </w:rPr>
        <w:t>3)</w:t>
      </w:r>
      <w:r w:rsidRPr="00174283">
        <w:rPr>
          <w:lang w:val="fr-FR"/>
        </w:rPr>
        <w:tab/>
      </w:r>
      <w:r w:rsidR="00FE1321" w:rsidRPr="00174283">
        <w:rPr>
          <w:lang w:val="fr-FR"/>
        </w:rPr>
        <w:t>D</w:t>
      </w:r>
      <w:r w:rsidR="00205A62">
        <w:rPr>
          <w:lang w:val="fr-FR"/>
        </w:rPr>
        <w:t>’</w:t>
      </w:r>
      <w:r w:rsidR="0025062C" w:rsidRPr="00174283">
        <w:rPr>
          <w:lang w:val="fr-FR"/>
        </w:rPr>
        <w:t>ordonner la réparation du préjudice matériel ou non matériel causé par la violation des droits protégés par la loi;</w:t>
      </w:r>
    </w:p>
    <w:p w:rsidR="0025062C" w:rsidRPr="00174283" w:rsidRDefault="00BB19A5" w:rsidP="00D31D49">
      <w:pPr>
        <w:pStyle w:val="SingleTxtG"/>
        <w:ind w:left="1701"/>
        <w:rPr>
          <w:lang w:val="fr-FR"/>
        </w:rPr>
      </w:pPr>
      <w:r w:rsidRPr="00174283">
        <w:rPr>
          <w:lang w:val="fr-FR"/>
        </w:rPr>
        <w:t>4)</w:t>
      </w:r>
      <w:r w:rsidRPr="00174283">
        <w:rPr>
          <w:lang w:val="fr-FR"/>
        </w:rPr>
        <w:tab/>
      </w:r>
      <w:r w:rsidR="00FE1321" w:rsidRPr="00174283">
        <w:rPr>
          <w:lang w:val="fr-FR"/>
        </w:rPr>
        <w:t xml:space="preserve">De </w:t>
      </w:r>
      <w:r w:rsidR="0025062C" w:rsidRPr="00174283">
        <w:rPr>
          <w:lang w:val="fr-FR"/>
        </w:rPr>
        <w:t>demander que la décision établissant la violation du droit à l</w:t>
      </w:r>
      <w:r w:rsidR="00205A62">
        <w:rPr>
          <w:lang w:val="fr-FR"/>
        </w:rPr>
        <w:t>’</w:t>
      </w:r>
      <w:r w:rsidR="0025062C" w:rsidRPr="00174283">
        <w:rPr>
          <w:lang w:val="fr-FR"/>
        </w:rPr>
        <w:t>égalité de traitement soit publiée dans les médias aux frais du défendeur.</w:t>
      </w:r>
    </w:p>
    <w:p w:rsidR="00BB19A5" w:rsidRPr="00174283" w:rsidRDefault="00403721" w:rsidP="00403721">
      <w:pPr>
        <w:pStyle w:val="SingleTxtG"/>
        <w:rPr>
          <w:lang w:val="fr-FR"/>
        </w:rPr>
      </w:pPr>
      <w:r>
        <w:rPr>
          <w:lang w:val="fr-FR"/>
        </w:rPr>
        <w:t>100.</w:t>
      </w:r>
      <w:r>
        <w:rPr>
          <w:lang w:val="fr-FR"/>
        </w:rPr>
        <w:tab/>
      </w:r>
      <w:r w:rsidR="0053654A" w:rsidRPr="00174283">
        <w:rPr>
          <w:lang w:val="fr-FR"/>
        </w:rPr>
        <w:t>L</w:t>
      </w:r>
      <w:r w:rsidR="00205A62">
        <w:rPr>
          <w:lang w:val="fr-FR"/>
        </w:rPr>
        <w:t>’</w:t>
      </w:r>
      <w:r w:rsidR="0053654A" w:rsidRPr="00174283">
        <w:rPr>
          <w:lang w:val="fr-FR"/>
        </w:rPr>
        <w:t>a</w:t>
      </w:r>
      <w:r w:rsidR="00BB19A5" w:rsidRPr="00174283">
        <w:rPr>
          <w:lang w:val="fr-FR"/>
        </w:rPr>
        <w:t xml:space="preserve">rticle 38 </w:t>
      </w:r>
      <w:r w:rsidR="0053654A" w:rsidRPr="00174283">
        <w:rPr>
          <w:lang w:val="fr-FR"/>
        </w:rPr>
        <w:t xml:space="preserve">de la loi porte sur </w:t>
      </w:r>
      <w:r w:rsidR="004A4BAD" w:rsidRPr="00174283">
        <w:rPr>
          <w:lang w:val="fr-FR"/>
        </w:rPr>
        <w:t>la charge</w:t>
      </w:r>
      <w:r w:rsidR="0053654A" w:rsidRPr="00174283">
        <w:rPr>
          <w:lang w:val="fr-FR"/>
        </w:rPr>
        <w:t xml:space="preserve"> de la preuve</w:t>
      </w:r>
      <w:r w:rsidR="00930EBD" w:rsidRPr="00174283">
        <w:rPr>
          <w:lang w:val="fr-FR"/>
        </w:rPr>
        <w:t>, à savoir</w:t>
      </w:r>
      <w:r w:rsidR="002F51DC">
        <w:rPr>
          <w:lang w:val="fr-FR"/>
        </w:rPr>
        <w:t>:</w:t>
      </w:r>
      <w:r w:rsidR="006C4B2D">
        <w:rPr>
          <w:lang w:val="fr-FR"/>
        </w:rPr>
        <w:t xml:space="preserve"> 1</w:t>
      </w:r>
      <w:r w:rsidR="00714E3D" w:rsidRPr="00174283">
        <w:rPr>
          <w:lang w:val="fr-FR"/>
        </w:rPr>
        <w:t>) </w:t>
      </w:r>
      <w:r w:rsidR="00D40F0E" w:rsidRPr="00174283">
        <w:rPr>
          <w:lang w:val="fr-FR"/>
        </w:rPr>
        <w:t>si une partie à la procédure judiciaire prétend que son droit à l</w:t>
      </w:r>
      <w:r w:rsidR="00205A62">
        <w:rPr>
          <w:lang w:val="fr-FR"/>
        </w:rPr>
        <w:t>’</w:t>
      </w:r>
      <w:r w:rsidR="00D40F0E" w:rsidRPr="00174283">
        <w:rPr>
          <w:lang w:val="fr-FR"/>
        </w:rPr>
        <w:t>égalité de traitement, garanti par la loi, a été bafoué, ladite partie est dans l</w:t>
      </w:r>
      <w:r w:rsidR="00205A62">
        <w:rPr>
          <w:lang w:val="fr-FR"/>
        </w:rPr>
        <w:t>’</w:t>
      </w:r>
      <w:r w:rsidR="00D40F0E" w:rsidRPr="00174283">
        <w:rPr>
          <w:lang w:val="fr-FR"/>
        </w:rPr>
        <w:t>obligation d</w:t>
      </w:r>
      <w:r w:rsidR="00205A62">
        <w:rPr>
          <w:lang w:val="fr-FR"/>
        </w:rPr>
        <w:t>’</w:t>
      </w:r>
      <w:r w:rsidR="00D40F0E" w:rsidRPr="00174283">
        <w:rPr>
          <w:lang w:val="fr-FR"/>
        </w:rPr>
        <w:t>exposer tous les faits et toutes les preuves à l</w:t>
      </w:r>
      <w:r w:rsidR="00205A62">
        <w:rPr>
          <w:lang w:val="fr-FR"/>
        </w:rPr>
        <w:t>’</w:t>
      </w:r>
      <w:r w:rsidR="00D40F0E" w:rsidRPr="00174283">
        <w:rPr>
          <w:lang w:val="fr-FR"/>
        </w:rPr>
        <w:t>origine de sa plainte</w:t>
      </w:r>
      <w:r w:rsidR="0053654A" w:rsidRPr="00174283">
        <w:rPr>
          <w:lang w:val="fr-FR"/>
        </w:rPr>
        <w:t xml:space="preserve">. </w:t>
      </w:r>
      <w:r w:rsidR="00D40F0E" w:rsidRPr="00174283">
        <w:rPr>
          <w:lang w:val="fr-FR"/>
        </w:rPr>
        <w:t>La partie défenderesse est tenue de présenter des éléments prouvant qu</w:t>
      </w:r>
      <w:r w:rsidR="00205A62">
        <w:rPr>
          <w:lang w:val="fr-FR"/>
        </w:rPr>
        <w:t>’</w:t>
      </w:r>
      <w:r w:rsidR="00D40F0E" w:rsidRPr="00174283">
        <w:rPr>
          <w:lang w:val="fr-FR"/>
        </w:rPr>
        <w:t>il n</w:t>
      </w:r>
      <w:r w:rsidR="00205A62">
        <w:rPr>
          <w:lang w:val="fr-FR"/>
        </w:rPr>
        <w:t>’</w:t>
      </w:r>
      <w:r w:rsidR="00D40F0E" w:rsidRPr="00174283">
        <w:rPr>
          <w:lang w:val="fr-FR"/>
        </w:rPr>
        <w:t>y a pas eu discrimination</w:t>
      </w:r>
      <w:r w:rsidR="006C4B2D">
        <w:rPr>
          <w:lang w:val="fr-FR"/>
        </w:rPr>
        <w:t>. 2</w:t>
      </w:r>
      <w:r w:rsidR="0053654A" w:rsidRPr="00174283">
        <w:rPr>
          <w:lang w:val="fr-FR"/>
        </w:rPr>
        <w:t>) </w:t>
      </w:r>
      <w:r w:rsidR="00D31D49">
        <w:rPr>
          <w:lang w:val="fr-FR"/>
        </w:rPr>
        <w:t xml:space="preserve">Les dispositions du paragraphe </w:t>
      </w:r>
      <w:r w:rsidR="0053654A" w:rsidRPr="00174283">
        <w:rPr>
          <w:lang w:val="fr-FR"/>
        </w:rPr>
        <w:t>1) de l</w:t>
      </w:r>
      <w:r w:rsidR="00205A62">
        <w:rPr>
          <w:lang w:val="fr-FR"/>
        </w:rPr>
        <w:t>’</w:t>
      </w:r>
      <w:r w:rsidR="0053654A" w:rsidRPr="00174283">
        <w:rPr>
          <w:lang w:val="fr-FR"/>
        </w:rPr>
        <w:t>article ne s</w:t>
      </w:r>
      <w:r w:rsidR="00205A62">
        <w:rPr>
          <w:lang w:val="fr-FR"/>
        </w:rPr>
        <w:t>’</w:t>
      </w:r>
      <w:r w:rsidR="0053654A" w:rsidRPr="00174283">
        <w:rPr>
          <w:lang w:val="fr-FR"/>
        </w:rPr>
        <w:t>appliquent pas en cas d</w:t>
      </w:r>
      <w:r w:rsidR="00205A62">
        <w:rPr>
          <w:lang w:val="fr-FR"/>
        </w:rPr>
        <w:t>’</w:t>
      </w:r>
      <w:r w:rsidR="0053654A" w:rsidRPr="00174283">
        <w:rPr>
          <w:lang w:val="fr-FR"/>
        </w:rPr>
        <w:t xml:space="preserve">infraction mineure et de procédures pénales. </w:t>
      </w:r>
    </w:p>
    <w:p w:rsidR="00BB19A5" w:rsidRPr="00174283" w:rsidRDefault="00BB19A5" w:rsidP="00A956DC">
      <w:pPr>
        <w:pStyle w:val="H1G"/>
        <w:rPr>
          <w:sz w:val="20"/>
          <w:lang w:val="fr-FR"/>
        </w:rPr>
      </w:pPr>
      <w:r w:rsidRPr="00174283">
        <w:rPr>
          <w:lang w:val="fr-FR"/>
        </w:rPr>
        <w:tab/>
      </w:r>
      <w:r w:rsidRPr="00174283">
        <w:rPr>
          <w:lang w:val="fr-FR"/>
        </w:rPr>
        <w:tab/>
        <w:t>Article 7</w:t>
      </w:r>
      <w:r w:rsidRPr="00174283">
        <w:rPr>
          <w:lang w:val="fr-FR"/>
        </w:rPr>
        <w:br/>
        <w:t>Me</w:t>
      </w:r>
      <w:r w:rsidR="0053654A" w:rsidRPr="00174283">
        <w:rPr>
          <w:lang w:val="fr-FR"/>
        </w:rPr>
        <w:t>sures mises en œuvre dans les domaines de l</w:t>
      </w:r>
      <w:r w:rsidR="00205A62">
        <w:rPr>
          <w:lang w:val="fr-FR"/>
        </w:rPr>
        <w:t>’</w:t>
      </w:r>
      <w:r w:rsidR="0053654A" w:rsidRPr="00174283">
        <w:rPr>
          <w:lang w:val="fr-FR"/>
        </w:rPr>
        <w:t>enseignement, de</w:t>
      </w:r>
      <w:r w:rsidR="00A956DC">
        <w:rPr>
          <w:lang w:val="fr-FR"/>
        </w:rPr>
        <w:t> </w:t>
      </w:r>
      <w:r w:rsidR="0053654A" w:rsidRPr="00174283">
        <w:rPr>
          <w:lang w:val="fr-FR"/>
        </w:rPr>
        <w:t>l</w:t>
      </w:r>
      <w:r w:rsidR="00205A62">
        <w:rPr>
          <w:lang w:val="fr-FR"/>
        </w:rPr>
        <w:t>’</w:t>
      </w:r>
      <w:r w:rsidR="0053654A" w:rsidRPr="00174283">
        <w:rPr>
          <w:lang w:val="fr-FR"/>
        </w:rPr>
        <w:t>éducation, de la culture et de l</w:t>
      </w:r>
      <w:r w:rsidR="00205A62">
        <w:rPr>
          <w:lang w:val="fr-FR"/>
        </w:rPr>
        <w:t>’</w:t>
      </w:r>
      <w:r w:rsidR="0053654A" w:rsidRPr="00174283">
        <w:rPr>
          <w:lang w:val="fr-FR"/>
        </w:rPr>
        <w:t xml:space="preserve">information </w:t>
      </w:r>
      <w:r w:rsidR="00930EBD" w:rsidRPr="00174283">
        <w:rPr>
          <w:lang w:val="fr-FR"/>
        </w:rPr>
        <w:t>pour lutter contre les</w:t>
      </w:r>
      <w:r w:rsidR="00A956DC">
        <w:rPr>
          <w:lang w:val="fr-FR"/>
        </w:rPr>
        <w:t> </w:t>
      </w:r>
      <w:r w:rsidR="00930EBD" w:rsidRPr="00174283">
        <w:rPr>
          <w:lang w:val="fr-FR"/>
        </w:rPr>
        <w:t>préjugés conduisant à la discrimination</w:t>
      </w:r>
      <w:r w:rsidR="0053654A" w:rsidRPr="00174283">
        <w:rPr>
          <w:lang w:val="fr-FR"/>
        </w:rPr>
        <w:t xml:space="preserve"> raciale</w:t>
      </w:r>
    </w:p>
    <w:p w:rsidR="00BB19A5" w:rsidRPr="00174283" w:rsidRDefault="00BB19A5" w:rsidP="00BB19A5">
      <w:pPr>
        <w:pStyle w:val="H23G"/>
        <w:rPr>
          <w:lang w:val="fr-FR"/>
        </w:rPr>
      </w:pPr>
      <w:r w:rsidRPr="00174283">
        <w:rPr>
          <w:lang w:val="fr-FR"/>
        </w:rPr>
        <w:tab/>
      </w:r>
      <w:r w:rsidR="005F4C93" w:rsidRPr="00174283">
        <w:rPr>
          <w:lang w:val="fr-FR"/>
        </w:rPr>
        <w:t>1</w:t>
      </w:r>
      <w:r w:rsidR="0053654A" w:rsidRPr="00174283">
        <w:rPr>
          <w:lang w:val="fr-FR"/>
        </w:rPr>
        <w:t>.</w:t>
      </w:r>
      <w:r w:rsidR="0053654A" w:rsidRPr="00174283">
        <w:rPr>
          <w:lang w:val="fr-FR"/>
        </w:rPr>
        <w:tab/>
      </w:r>
      <w:r w:rsidR="003771ED" w:rsidRPr="00174283">
        <w:rPr>
          <w:lang w:val="fr-FR"/>
        </w:rPr>
        <w:t>Éducation et instruction</w:t>
      </w:r>
      <w:r w:rsidR="005F4C93" w:rsidRPr="00174283">
        <w:rPr>
          <w:lang w:val="fr-FR"/>
        </w:rPr>
        <w:t xml:space="preserve"> </w:t>
      </w:r>
    </w:p>
    <w:p w:rsidR="00BB19A5" w:rsidRPr="00174283" w:rsidRDefault="00403721" w:rsidP="00403721">
      <w:pPr>
        <w:pStyle w:val="SingleTxtG"/>
        <w:rPr>
          <w:lang w:val="fr-FR"/>
        </w:rPr>
      </w:pPr>
      <w:r>
        <w:rPr>
          <w:lang w:val="fr-FR"/>
        </w:rPr>
        <w:t>101.</w:t>
      </w:r>
      <w:r>
        <w:rPr>
          <w:lang w:val="fr-FR"/>
        </w:rPr>
        <w:tab/>
      </w:r>
      <w:r w:rsidR="00BD0119" w:rsidRPr="00174283">
        <w:rPr>
          <w:lang w:val="fr-FR"/>
        </w:rPr>
        <w:t xml:space="preserve">Plusieurs </w:t>
      </w:r>
      <w:r w:rsidR="0053654A" w:rsidRPr="00174283">
        <w:rPr>
          <w:lang w:val="fr-FR"/>
        </w:rPr>
        <w:t>activités et mesures ont été mises en œuvre pour décentraliser l</w:t>
      </w:r>
      <w:r w:rsidR="00205A62">
        <w:rPr>
          <w:lang w:val="fr-FR"/>
        </w:rPr>
        <w:t>’</w:t>
      </w:r>
      <w:r w:rsidR="0053654A" w:rsidRPr="00174283">
        <w:rPr>
          <w:lang w:val="fr-FR"/>
        </w:rPr>
        <w:t>éducation, relever sa qualité et</w:t>
      </w:r>
      <w:r w:rsidR="00BD0119" w:rsidRPr="00174283">
        <w:rPr>
          <w:lang w:val="fr-FR"/>
        </w:rPr>
        <w:t xml:space="preserve"> assurer</w:t>
      </w:r>
      <w:r w:rsidR="0053654A" w:rsidRPr="00174283">
        <w:rPr>
          <w:lang w:val="fr-FR"/>
        </w:rPr>
        <w:t xml:space="preserve"> </w:t>
      </w:r>
      <w:r w:rsidR="00BD0119" w:rsidRPr="00174283">
        <w:rPr>
          <w:rStyle w:val="Emphasis"/>
          <w:i w:val="0"/>
          <w:lang w:val="fr-FR"/>
        </w:rPr>
        <w:t>l</w:t>
      </w:r>
      <w:r w:rsidR="00205A62">
        <w:rPr>
          <w:rStyle w:val="Emphasis"/>
          <w:i w:val="0"/>
          <w:lang w:val="fr-FR"/>
        </w:rPr>
        <w:t>’</w:t>
      </w:r>
      <w:r w:rsidR="00BD0119" w:rsidRPr="00174283">
        <w:rPr>
          <w:rStyle w:val="Emphasis"/>
          <w:i w:val="0"/>
          <w:lang w:val="fr-FR"/>
        </w:rPr>
        <w:t>accès</w:t>
      </w:r>
      <w:r w:rsidR="00BD0119" w:rsidRPr="00174283">
        <w:rPr>
          <w:rStyle w:val="st"/>
          <w:i/>
          <w:lang w:val="fr-FR"/>
        </w:rPr>
        <w:t xml:space="preserve"> </w:t>
      </w:r>
      <w:r w:rsidR="00BD0119" w:rsidRPr="00174283">
        <w:rPr>
          <w:rStyle w:val="st"/>
          <w:lang w:val="fr-FR"/>
        </w:rPr>
        <w:t>égal à</w:t>
      </w:r>
      <w:r w:rsidR="00BD0119" w:rsidRPr="00174283">
        <w:rPr>
          <w:rStyle w:val="st"/>
          <w:i/>
          <w:lang w:val="fr-FR"/>
        </w:rPr>
        <w:t xml:space="preserve"> </w:t>
      </w:r>
      <w:r w:rsidR="00BD0119" w:rsidRPr="00174283">
        <w:rPr>
          <w:rStyle w:val="Emphasis"/>
          <w:i w:val="0"/>
          <w:lang w:val="fr-FR"/>
        </w:rPr>
        <w:t>l</w:t>
      </w:r>
      <w:r w:rsidR="00205A62">
        <w:rPr>
          <w:rStyle w:val="Emphasis"/>
          <w:i w:val="0"/>
          <w:lang w:val="fr-FR"/>
        </w:rPr>
        <w:t>’</w:t>
      </w:r>
      <w:r w:rsidR="00BD0119" w:rsidRPr="00174283">
        <w:rPr>
          <w:rStyle w:val="Emphasis"/>
          <w:i w:val="0"/>
          <w:lang w:val="fr-FR"/>
        </w:rPr>
        <w:t>éducation</w:t>
      </w:r>
      <w:r w:rsidR="00BD0119" w:rsidRPr="00174283">
        <w:rPr>
          <w:lang w:val="fr-FR"/>
        </w:rPr>
        <w:t xml:space="preserve"> afin de</w:t>
      </w:r>
      <w:r w:rsidR="0053654A" w:rsidRPr="00174283">
        <w:rPr>
          <w:lang w:val="fr-FR"/>
        </w:rPr>
        <w:t xml:space="preserve"> réaliser les priorités stratégiques </w:t>
      </w:r>
      <w:r w:rsidR="00930EBD" w:rsidRPr="00174283">
        <w:rPr>
          <w:lang w:val="fr-FR"/>
        </w:rPr>
        <w:t>que le</w:t>
      </w:r>
      <w:r w:rsidR="0053654A" w:rsidRPr="00174283">
        <w:rPr>
          <w:lang w:val="fr-FR"/>
        </w:rPr>
        <w:t xml:space="preserve"> Gouvernement macédonien</w:t>
      </w:r>
      <w:r w:rsidR="00930EBD" w:rsidRPr="00174283">
        <w:rPr>
          <w:lang w:val="fr-FR"/>
        </w:rPr>
        <w:t xml:space="preserve"> s</w:t>
      </w:r>
      <w:r w:rsidR="00205A62">
        <w:rPr>
          <w:lang w:val="fr-FR"/>
        </w:rPr>
        <w:t>’</w:t>
      </w:r>
      <w:r w:rsidR="00930EBD" w:rsidRPr="00174283">
        <w:rPr>
          <w:lang w:val="fr-FR"/>
        </w:rPr>
        <w:t>est fixées en 2011</w:t>
      </w:r>
      <w:r w:rsidR="0053654A" w:rsidRPr="00174283">
        <w:rPr>
          <w:lang w:val="fr-FR"/>
        </w:rPr>
        <w:t xml:space="preserv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53654A" w:rsidRPr="00174283">
        <w:rPr>
          <w:lang w:val="fr-FR"/>
        </w:rPr>
        <w:t>n</w:t>
      </w:r>
      <w:r w:rsidR="0053654A" w:rsidRPr="00174283">
        <w:rPr>
          <w:vertAlign w:val="superscript"/>
          <w:lang w:val="fr-FR"/>
        </w:rPr>
        <w:t>o</w:t>
      </w:r>
      <w:r w:rsidR="0053654A" w:rsidRPr="00174283">
        <w:rPr>
          <w:lang w:val="fr-FR"/>
        </w:rPr>
        <w:t> </w:t>
      </w:r>
      <w:r w:rsidR="00BB19A5" w:rsidRPr="00174283">
        <w:rPr>
          <w:lang w:val="fr-FR"/>
        </w:rPr>
        <w:t>58/2010)</w:t>
      </w:r>
      <w:r w:rsidR="0053654A" w:rsidRPr="00174283">
        <w:rPr>
          <w:lang w:val="fr-FR"/>
        </w:rPr>
        <w:t>.</w:t>
      </w:r>
    </w:p>
    <w:p w:rsidR="00BB19A5" w:rsidRPr="00174283" w:rsidRDefault="00403721" w:rsidP="00403721">
      <w:pPr>
        <w:pStyle w:val="SingleTxtG"/>
        <w:rPr>
          <w:lang w:val="fr-FR"/>
        </w:rPr>
      </w:pPr>
      <w:r>
        <w:rPr>
          <w:lang w:val="fr-FR"/>
        </w:rPr>
        <w:t>102.</w:t>
      </w:r>
      <w:r>
        <w:rPr>
          <w:lang w:val="fr-FR"/>
        </w:rPr>
        <w:tab/>
      </w:r>
      <w:r w:rsidR="00810D06" w:rsidRPr="00174283">
        <w:rPr>
          <w:lang w:val="fr-FR"/>
        </w:rPr>
        <w:t xml:space="preserve">Les réformes </w:t>
      </w:r>
      <w:r w:rsidR="005F3BA2" w:rsidRPr="00174283">
        <w:rPr>
          <w:lang w:val="fr-FR"/>
        </w:rPr>
        <w:t xml:space="preserve">réalisées </w:t>
      </w:r>
      <w:r w:rsidR="00810D06" w:rsidRPr="00174283">
        <w:rPr>
          <w:lang w:val="fr-FR"/>
        </w:rPr>
        <w:t>dans le domaine de l</w:t>
      </w:r>
      <w:r w:rsidR="00205A62">
        <w:rPr>
          <w:lang w:val="fr-FR"/>
        </w:rPr>
        <w:t>’</w:t>
      </w:r>
      <w:r w:rsidR="00810D06" w:rsidRPr="00174283">
        <w:rPr>
          <w:lang w:val="fr-FR"/>
        </w:rPr>
        <w:t xml:space="preserve">éducation </w:t>
      </w:r>
      <w:r w:rsidR="005F3BA2" w:rsidRPr="00174283">
        <w:rPr>
          <w:lang w:val="fr-FR"/>
        </w:rPr>
        <w:t>se sont concentrées</w:t>
      </w:r>
      <w:r w:rsidR="00810D06" w:rsidRPr="00174283">
        <w:rPr>
          <w:lang w:val="fr-FR"/>
        </w:rPr>
        <w:t xml:space="preserve"> sur les aspects suivants</w:t>
      </w:r>
      <w:r w:rsidR="002F51DC">
        <w:rPr>
          <w:lang w:val="fr-FR"/>
        </w:rPr>
        <w:t>:</w:t>
      </w:r>
      <w:r w:rsidR="00810D06" w:rsidRPr="00174283">
        <w:rPr>
          <w:lang w:val="fr-FR"/>
        </w:rPr>
        <w:t xml:space="preserve"> amélioration des infrastructures et équipement</w:t>
      </w:r>
      <w:r w:rsidR="00714E3D" w:rsidRPr="00174283">
        <w:rPr>
          <w:lang w:val="fr-FR"/>
        </w:rPr>
        <w:t>s</w:t>
      </w:r>
      <w:r w:rsidR="00810D06" w:rsidRPr="00174283">
        <w:rPr>
          <w:lang w:val="fr-FR"/>
        </w:rPr>
        <w:t xml:space="preserve"> technique</w:t>
      </w:r>
      <w:r w:rsidR="00714E3D" w:rsidRPr="00174283">
        <w:rPr>
          <w:lang w:val="fr-FR"/>
        </w:rPr>
        <w:t>s</w:t>
      </w:r>
      <w:r w:rsidR="00810D06" w:rsidRPr="00174283">
        <w:rPr>
          <w:lang w:val="fr-FR"/>
        </w:rPr>
        <w:t xml:space="preserve"> des établissements scolaires</w:t>
      </w:r>
      <w:r w:rsidR="008F154D" w:rsidRPr="00174283">
        <w:rPr>
          <w:lang w:val="fr-FR"/>
        </w:rPr>
        <w:t>;</w:t>
      </w:r>
      <w:r w:rsidR="00810D06" w:rsidRPr="00174283">
        <w:rPr>
          <w:lang w:val="fr-FR"/>
        </w:rPr>
        <w:t xml:space="preserve"> formation du personnel enseignant, des directeurs et </w:t>
      </w:r>
      <w:r w:rsidR="00CB7199" w:rsidRPr="00174283">
        <w:rPr>
          <w:lang w:val="fr-FR"/>
        </w:rPr>
        <w:t xml:space="preserve">des membres des </w:t>
      </w:r>
      <w:r w:rsidR="00810D06" w:rsidRPr="00174283">
        <w:rPr>
          <w:lang w:val="fr-FR"/>
        </w:rPr>
        <w:t xml:space="preserve">conseils </w:t>
      </w:r>
      <w:r w:rsidR="00CB7199" w:rsidRPr="00174283">
        <w:rPr>
          <w:lang w:val="fr-FR"/>
        </w:rPr>
        <w:t>scolaires</w:t>
      </w:r>
      <w:r w:rsidR="008F154D" w:rsidRPr="00174283">
        <w:rPr>
          <w:lang w:val="fr-FR"/>
        </w:rPr>
        <w:t>;</w:t>
      </w:r>
      <w:r w:rsidR="00810D06" w:rsidRPr="00174283">
        <w:rPr>
          <w:lang w:val="fr-FR"/>
        </w:rPr>
        <w:t xml:space="preserve"> participation active des élèves</w:t>
      </w:r>
      <w:r w:rsidR="00CB7199" w:rsidRPr="00174283">
        <w:rPr>
          <w:lang w:val="fr-FR"/>
        </w:rPr>
        <w:t>,</w:t>
      </w:r>
      <w:r w:rsidR="00810D06" w:rsidRPr="00174283">
        <w:rPr>
          <w:lang w:val="fr-FR"/>
        </w:rPr>
        <w:t xml:space="preserve"> </w:t>
      </w:r>
      <w:r w:rsidR="00CB7199" w:rsidRPr="00174283">
        <w:rPr>
          <w:lang w:val="fr-FR"/>
        </w:rPr>
        <w:t xml:space="preserve">des </w:t>
      </w:r>
      <w:r w:rsidR="00810D06" w:rsidRPr="00174283">
        <w:rPr>
          <w:lang w:val="fr-FR"/>
        </w:rPr>
        <w:t xml:space="preserve">étudiants, </w:t>
      </w:r>
      <w:r w:rsidR="00CB7199" w:rsidRPr="00174283">
        <w:rPr>
          <w:lang w:val="fr-FR"/>
        </w:rPr>
        <w:t xml:space="preserve">des </w:t>
      </w:r>
      <w:r w:rsidR="00810D06" w:rsidRPr="00174283">
        <w:rPr>
          <w:lang w:val="fr-FR"/>
        </w:rPr>
        <w:t xml:space="preserve">parents et </w:t>
      </w:r>
      <w:r w:rsidR="00CB7199" w:rsidRPr="00174283">
        <w:rPr>
          <w:lang w:val="fr-FR"/>
        </w:rPr>
        <w:t>d</w:t>
      </w:r>
      <w:r w:rsidR="00863CE8" w:rsidRPr="00174283">
        <w:rPr>
          <w:lang w:val="fr-FR"/>
        </w:rPr>
        <w:t>e</w:t>
      </w:r>
      <w:r w:rsidR="00CB7199" w:rsidRPr="00174283">
        <w:rPr>
          <w:lang w:val="fr-FR"/>
        </w:rPr>
        <w:t xml:space="preserve">s </w:t>
      </w:r>
      <w:r w:rsidR="00810D06" w:rsidRPr="00174283">
        <w:rPr>
          <w:lang w:val="fr-FR"/>
        </w:rPr>
        <w:t>représentants de la communauté</w:t>
      </w:r>
      <w:r w:rsidR="008F154D" w:rsidRPr="00174283">
        <w:rPr>
          <w:lang w:val="fr-FR"/>
        </w:rPr>
        <w:t>;</w:t>
      </w:r>
      <w:r w:rsidR="00810D06" w:rsidRPr="00174283">
        <w:rPr>
          <w:lang w:val="fr-FR"/>
        </w:rPr>
        <w:t xml:space="preserve"> amélioration de la situation matérielle des élèves et étudiants au moyen de </w:t>
      </w:r>
      <w:r w:rsidR="00DC1F17" w:rsidRPr="00174283">
        <w:rPr>
          <w:lang w:val="fr-FR"/>
        </w:rPr>
        <w:t>subventions conditionnelles en espèces</w:t>
      </w:r>
      <w:r w:rsidR="00603636" w:rsidRPr="00174283">
        <w:rPr>
          <w:lang w:val="fr-FR"/>
        </w:rPr>
        <w:t xml:space="preserve"> et</w:t>
      </w:r>
      <w:r w:rsidR="00810D06" w:rsidRPr="00174283">
        <w:rPr>
          <w:lang w:val="fr-FR"/>
        </w:rPr>
        <w:t xml:space="preserve"> de bourses d</w:t>
      </w:r>
      <w:r w:rsidR="00205A62">
        <w:rPr>
          <w:lang w:val="fr-FR"/>
        </w:rPr>
        <w:t>’</w:t>
      </w:r>
      <w:r w:rsidR="00810D06" w:rsidRPr="00174283">
        <w:rPr>
          <w:lang w:val="fr-FR"/>
        </w:rPr>
        <w:t>études</w:t>
      </w:r>
      <w:r w:rsidR="008F154D" w:rsidRPr="00174283">
        <w:rPr>
          <w:lang w:val="fr-FR"/>
        </w:rPr>
        <w:t xml:space="preserve"> et</w:t>
      </w:r>
      <w:r w:rsidR="00863CE8" w:rsidRPr="00174283">
        <w:rPr>
          <w:lang w:val="fr-FR"/>
        </w:rPr>
        <w:t xml:space="preserve"> </w:t>
      </w:r>
      <w:r w:rsidR="00603636" w:rsidRPr="00174283">
        <w:rPr>
          <w:lang w:val="fr-FR"/>
        </w:rPr>
        <w:t>par la</w:t>
      </w:r>
      <w:r w:rsidR="00810D06" w:rsidRPr="00174283">
        <w:rPr>
          <w:lang w:val="fr-FR"/>
        </w:rPr>
        <w:t xml:space="preserve"> </w:t>
      </w:r>
      <w:r w:rsidR="00DC1F17" w:rsidRPr="00174283">
        <w:rPr>
          <w:lang w:val="fr-FR"/>
        </w:rPr>
        <w:t>gratuité des</w:t>
      </w:r>
      <w:r w:rsidR="00810D06" w:rsidRPr="00174283">
        <w:rPr>
          <w:lang w:val="fr-FR"/>
        </w:rPr>
        <w:t xml:space="preserve"> manuels, </w:t>
      </w:r>
      <w:r w:rsidR="00DC1F17" w:rsidRPr="00174283">
        <w:rPr>
          <w:lang w:val="fr-FR"/>
        </w:rPr>
        <w:t xml:space="preserve">du </w:t>
      </w:r>
      <w:r w:rsidR="00810D06" w:rsidRPr="00174283">
        <w:rPr>
          <w:lang w:val="fr-FR"/>
        </w:rPr>
        <w:t xml:space="preserve">transport et </w:t>
      </w:r>
      <w:r w:rsidR="00DC1F17" w:rsidRPr="00174283">
        <w:rPr>
          <w:lang w:val="fr-FR"/>
        </w:rPr>
        <w:t xml:space="preserve">du </w:t>
      </w:r>
      <w:r w:rsidR="00810D06" w:rsidRPr="00174283">
        <w:rPr>
          <w:lang w:val="fr-FR"/>
        </w:rPr>
        <w:t xml:space="preserve">logement pour les élèves et étudiants inscrits dans des </w:t>
      </w:r>
      <w:r w:rsidR="00DC1F17" w:rsidRPr="00174283">
        <w:rPr>
          <w:lang w:val="fr-FR"/>
        </w:rPr>
        <w:t>établissements éloignés</w:t>
      </w:r>
      <w:r w:rsidR="00810D06" w:rsidRPr="00174283">
        <w:rPr>
          <w:lang w:val="fr-FR"/>
        </w:rPr>
        <w:t xml:space="preserve"> de leur domicile. </w:t>
      </w:r>
    </w:p>
    <w:p w:rsidR="00BB19A5" w:rsidRPr="00174283" w:rsidRDefault="00403721" w:rsidP="00403721">
      <w:pPr>
        <w:pStyle w:val="SingleTxtG"/>
        <w:rPr>
          <w:lang w:val="fr-FR"/>
        </w:rPr>
      </w:pPr>
      <w:r>
        <w:rPr>
          <w:lang w:val="fr-FR"/>
        </w:rPr>
        <w:t>103.</w:t>
      </w:r>
      <w:r>
        <w:rPr>
          <w:lang w:val="fr-FR"/>
        </w:rPr>
        <w:tab/>
      </w:r>
      <w:r w:rsidR="009527F3" w:rsidRPr="00174283">
        <w:rPr>
          <w:lang w:val="fr-FR"/>
        </w:rPr>
        <w:t>Des progrès importants ont été accomplis dans la promotion du droit constitutionnel à l</w:t>
      </w:r>
      <w:r w:rsidR="00205A62">
        <w:rPr>
          <w:lang w:val="fr-FR"/>
        </w:rPr>
        <w:t>’</w:t>
      </w:r>
      <w:r w:rsidR="007C7D60" w:rsidRPr="00174283">
        <w:rPr>
          <w:lang w:val="fr-FR"/>
        </w:rPr>
        <w:t>éducation</w:t>
      </w:r>
      <w:r w:rsidR="009527F3" w:rsidRPr="00174283">
        <w:rPr>
          <w:lang w:val="fr-FR"/>
        </w:rPr>
        <w:t xml:space="preserve"> dans la langue maternelle de personnes appartenant </w:t>
      </w:r>
      <w:r w:rsidR="002541EA" w:rsidRPr="00174283">
        <w:rPr>
          <w:lang w:val="fr-FR"/>
        </w:rPr>
        <w:t>aux</w:t>
      </w:r>
      <w:r w:rsidR="009527F3" w:rsidRPr="00174283">
        <w:rPr>
          <w:lang w:val="fr-FR"/>
        </w:rPr>
        <w:t xml:space="preserve"> différentes communautés ethniques. </w:t>
      </w:r>
    </w:p>
    <w:p w:rsidR="00BB19A5" w:rsidRPr="00174283" w:rsidRDefault="00403721" w:rsidP="00403721">
      <w:pPr>
        <w:pStyle w:val="SingleTxtG"/>
        <w:rPr>
          <w:lang w:val="fr-FR"/>
        </w:rPr>
      </w:pPr>
      <w:r>
        <w:rPr>
          <w:lang w:val="fr-FR"/>
        </w:rPr>
        <w:t>104.</w:t>
      </w:r>
      <w:r>
        <w:rPr>
          <w:lang w:val="fr-FR"/>
        </w:rPr>
        <w:tab/>
      </w:r>
      <w:r w:rsidR="009527F3" w:rsidRPr="00174283">
        <w:rPr>
          <w:lang w:val="fr-FR"/>
        </w:rPr>
        <w:t>La création d</w:t>
      </w:r>
      <w:r w:rsidR="00205A62">
        <w:rPr>
          <w:lang w:val="fr-FR"/>
        </w:rPr>
        <w:t>’</w:t>
      </w:r>
      <w:r w:rsidR="009527F3" w:rsidRPr="00174283">
        <w:rPr>
          <w:lang w:val="fr-FR"/>
        </w:rPr>
        <w:t xml:space="preserve">une base de données dans ce domaine ainsi que </w:t>
      </w:r>
      <w:r w:rsidR="00603636" w:rsidRPr="00174283">
        <w:rPr>
          <w:lang w:val="fr-FR"/>
        </w:rPr>
        <w:t xml:space="preserve">la mise en place </w:t>
      </w:r>
      <w:r w:rsidR="00D94855" w:rsidRPr="00174283">
        <w:rPr>
          <w:lang w:val="fr-FR"/>
        </w:rPr>
        <w:t xml:space="preserve">du </w:t>
      </w:r>
      <w:r w:rsidR="009527F3" w:rsidRPr="00174283">
        <w:rPr>
          <w:lang w:val="fr-FR"/>
        </w:rPr>
        <w:t>Système d</w:t>
      </w:r>
      <w:r w:rsidR="00205A62">
        <w:rPr>
          <w:lang w:val="fr-FR"/>
        </w:rPr>
        <w:t>’</w:t>
      </w:r>
      <w:r w:rsidR="009527F3" w:rsidRPr="00174283">
        <w:rPr>
          <w:lang w:val="fr-FR"/>
        </w:rPr>
        <w:t>information sur la gestion d</w:t>
      </w:r>
      <w:r w:rsidR="00D94855" w:rsidRPr="00174283">
        <w:rPr>
          <w:lang w:val="fr-FR"/>
        </w:rPr>
        <w:t>e l</w:t>
      </w:r>
      <w:r w:rsidR="00205A62">
        <w:rPr>
          <w:lang w:val="fr-FR"/>
        </w:rPr>
        <w:t>’</w:t>
      </w:r>
      <w:r w:rsidR="00D94855" w:rsidRPr="00174283">
        <w:rPr>
          <w:lang w:val="fr-FR"/>
        </w:rPr>
        <w:t>éducation (EMIS) permettr</w:t>
      </w:r>
      <w:r w:rsidR="00603636" w:rsidRPr="00174283">
        <w:rPr>
          <w:lang w:val="fr-FR"/>
        </w:rPr>
        <w:t>ont</w:t>
      </w:r>
      <w:r w:rsidR="009527F3" w:rsidRPr="00174283">
        <w:rPr>
          <w:lang w:val="fr-FR"/>
        </w:rPr>
        <w:t xml:space="preserve"> de suivre </w:t>
      </w:r>
      <w:r w:rsidR="00D94855" w:rsidRPr="00174283">
        <w:rPr>
          <w:lang w:val="fr-FR"/>
        </w:rPr>
        <w:t>l</w:t>
      </w:r>
      <w:r w:rsidR="00205A62">
        <w:rPr>
          <w:lang w:val="fr-FR"/>
        </w:rPr>
        <w:t>’</w:t>
      </w:r>
      <w:r w:rsidR="00D94855" w:rsidRPr="00174283">
        <w:rPr>
          <w:lang w:val="fr-FR"/>
        </w:rPr>
        <w:t>évolution de</w:t>
      </w:r>
      <w:r w:rsidR="00454097" w:rsidRPr="00174283">
        <w:rPr>
          <w:lang w:val="fr-FR"/>
        </w:rPr>
        <w:t>s</w:t>
      </w:r>
      <w:r w:rsidR="00D94855" w:rsidRPr="00174283">
        <w:rPr>
          <w:lang w:val="fr-FR"/>
        </w:rPr>
        <w:t xml:space="preserve"> réforme</w:t>
      </w:r>
      <w:r w:rsidR="00454097" w:rsidRPr="00174283">
        <w:rPr>
          <w:lang w:val="fr-FR"/>
        </w:rPr>
        <w:t>s</w:t>
      </w:r>
      <w:r w:rsidR="00D94855" w:rsidRPr="00174283">
        <w:rPr>
          <w:lang w:val="fr-FR"/>
        </w:rPr>
        <w:t xml:space="preserve"> de l</w:t>
      </w:r>
      <w:r w:rsidR="00205A62">
        <w:rPr>
          <w:lang w:val="fr-FR"/>
        </w:rPr>
        <w:t>’</w:t>
      </w:r>
      <w:r w:rsidR="00D94855" w:rsidRPr="00174283">
        <w:rPr>
          <w:lang w:val="fr-FR"/>
        </w:rPr>
        <w:t xml:space="preserve">éducation ainsi que le processus décisionnel et, partant, de concevoir des initiatives en faveur des élèves qui abandonnent </w:t>
      </w:r>
      <w:r w:rsidR="00454097" w:rsidRPr="00174283">
        <w:rPr>
          <w:lang w:val="fr-FR"/>
        </w:rPr>
        <w:t>prématurément leur scolarité</w:t>
      </w:r>
      <w:r w:rsidR="00D94855" w:rsidRPr="00174283">
        <w:rPr>
          <w:lang w:val="fr-FR"/>
        </w:rPr>
        <w:t xml:space="preserve">, notamment ceux appartenant aux communautés ethniques. </w:t>
      </w:r>
      <w:r w:rsidR="008F154D" w:rsidRPr="00174283">
        <w:rPr>
          <w:lang w:val="fr-FR"/>
        </w:rPr>
        <w:t>C</w:t>
      </w:r>
      <w:r w:rsidR="00454097" w:rsidRPr="00174283">
        <w:rPr>
          <w:lang w:val="fr-FR"/>
        </w:rPr>
        <w:t>es</w:t>
      </w:r>
      <w:r w:rsidR="00D94855" w:rsidRPr="00174283">
        <w:rPr>
          <w:lang w:val="fr-FR"/>
        </w:rPr>
        <w:t xml:space="preserve"> réforme</w:t>
      </w:r>
      <w:r w:rsidR="00454097" w:rsidRPr="00174283">
        <w:rPr>
          <w:lang w:val="fr-FR"/>
        </w:rPr>
        <w:t>s</w:t>
      </w:r>
      <w:r w:rsidR="00D94855" w:rsidRPr="00174283">
        <w:rPr>
          <w:lang w:val="fr-FR"/>
        </w:rPr>
        <w:t xml:space="preserve"> </w:t>
      </w:r>
      <w:r w:rsidR="00454097" w:rsidRPr="00174283">
        <w:rPr>
          <w:lang w:val="fr-FR"/>
        </w:rPr>
        <w:t>ont</w:t>
      </w:r>
      <w:r w:rsidR="00D94855" w:rsidRPr="00174283">
        <w:rPr>
          <w:lang w:val="fr-FR"/>
        </w:rPr>
        <w:t xml:space="preserve"> contribué à promouvoir et </w:t>
      </w:r>
      <w:r w:rsidR="00454097" w:rsidRPr="00174283">
        <w:rPr>
          <w:lang w:val="fr-FR"/>
        </w:rPr>
        <w:t xml:space="preserve">à </w:t>
      </w:r>
      <w:r w:rsidR="00D94855" w:rsidRPr="00174283">
        <w:rPr>
          <w:lang w:val="fr-FR"/>
        </w:rPr>
        <w:t>améliorer l</w:t>
      </w:r>
      <w:r w:rsidR="00205A62">
        <w:rPr>
          <w:lang w:val="fr-FR"/>
        </w:rPr>
        <w:t>’</w:t>
      </w:r>
      <w:r w:rsidR="00D94855" w:rsidRPr="00174283">
        <w:rPr>
          <w:lang w:val="fr-FR"/>
        </w:rPr>
        <w:t>accès à l</w:t>
      </w:r>
      <w:r w:rsidR="00205A62">
        <w:rPr>
          <w:lang w:val="fr-FR"/>
        </w:rPr>
        <w:t>’</w:t>
      </w:r>
      <w:r w:rsidR="00D94855" w:rsidRPr="00174283">
        <w:rPr>
          <w:lang w:val="fr-FR"/>
        </w:rPr>
        <w:t xml:space="preserve">enseignement primaire et secondaire et à réduire le taux </w:t>
      </w:r>
      <w:r w:rsidR="007C3FBD" w:rsidRPr="00174283">
        <w:rPr>
          <w:lang w:val="fr-FR"/>
        </w:rPr>
        <w:t>de déscolarisation prématurée</w:t>
      </w:r>
      <w:r w:rsidR="00D94855" w:rsidRPr="00174283">
        <w:rPr>
          <w:lang w:val="fr-FR"/>
        </w:rPr>
        <w:t xml:space="preserve">. </w:t>
      </w:r>
    </w:p>
    <w:p w:rsidR="00BB19A5" w:rsidRPr="00174283" w:rsidRDefault="00403721" w:rsidP="00403721">
      <w:pPr>
        <w:pStyle w:val="SingleTxtG"/>
        <w:rPr>
          <w:lang w:val="fr-FR"/>
        </w:rPr>
      </w:pPr>
      <w:r>
        <w:rPr>
          <w:lang w:val="fr-FR"/>
        </w:rPr>
        <w:t>105.</w:t>
      </w:r>
      <w:r>
        <w:rPr>
          <w:lang w:val="fr-FR"/>
        </w:rPr>
        <w:tab/>
      </w:r>
      <w:r w:rsidR="00D94855" w:rsidRPr="00174283">
        <w:rPr>
          <w:lang w:val="fr-FR"/>
        </w:rPr>
        <w:t>Conformément à la loi sur l</w:t>
      </w:r>
      <w:r w:rsidR="00205A62">
        <w:rPr>
          <w:lang w:val="fr-FR"/>
        </w:rPr>
        <w:t>’</w:t>
      </w:r>
      <w:r w:rsidR="00D94855" w:rsidRPr="00174283">
        <w:rPr>
          <w:lang w:val="fr-FR"/>
        </w:rPr>
        <w:t xml:space="preserve">enseignement primaire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D94855" w:rsidRPr="00174283">
        <w:rPr>
          <w:lang w:val="fr-FR"/>
        </w:rPr>
        <w:t>n</w:t>
      </w:r>
      <w:r w:rsidR="00D94855" w:rsidRPr="00174283">
        <w:rPr>
          <w:vertAlign w:val="superscript"/>
          <w:lang w:val="fr-FR"/>
        </w:rPr>
        <w:t>os</w:t>
      </w:r>
      <w:r w:rsidR="004A336A">
        <w:rPr>
          <w:lang w:val="fr-FR"/>
        </w:rPr>
        <w:t> </w:t>
      </w:r>
      <w:r w:rsidR="00BB19A5" w:rsidRPr="00174283">
        <w:rPr>
          <w:lang w:val="fr-FR"/>
        </w:rPr>
        <w:t xml:space="preserve">103/08, 33/10, 116/10, 156/10, 18/11, 51/11, 6/12 </w:t>
      </w:r>
      <w:r w:rsidR="00D94855" w:rsidRPr="00174283">
        <w:rPr>
          <w:lang w:val="fr-FR"/>
        </w:rPr>
        <w:t>et 100/12), tous les enfants ont droit à un enseignement primaire. La loi interdit la discrimination fondée sur le sexe, la race, la couleur</w:t>
      </w:r>
      <w:r w:rsidR="00B012C4" w:rsidRPr="00174283">
        <w:rPr>
          <w:lang w:val="fr-FR"/>
        </w:rPr>
        <w:t xml:space="preserve"> de la peau</w:t>
      </w:r>
      <w:r w:rsidR="00D94855" w:rsidRPr="00174283">
        <w:rPr>
          <w:lang w:val="fr-FR"/>
        </w:rPr>
        <w:t>, l</w:t>
      </w:r>
      <w:r w:rsidR="00205A62">
        <w:rPr>
          <w:lang w:val="fr-FR"/>
        </w:rPr>
        <w:t>’</w:t>
      </w:r>
      <w:r w:rsidR="00D94855" w:rsidRPr="00174283">
        <w:rPr>
          <w:lang w:val="fr-FR"/>
        </w:rPr>
        <w:t>origine nationale</w:t>
      </w:r>
      <w:r w:rsidR="00B012C4" w:rsidRPr="00174283">
        <w:rPr>
          <w:lang w:val="fr-FR"/>
        </w:rPr>
        <w:t xml:space="preserve"> ou</w:t>
      </w:r>
      <w:r w:rsidR="00D94855" w:rsidRPr="00174283">
        <w:rPr>
          <w:lang w:val="fr-FR"/>
        </w:rPr>
        <w:t xml:space="preserve"> sociale, l</w:t>
      </w:r>
      <w:r w:rsidR="00205A62">
        <w:rPr>
          <w:lang w:val="fr-FR"/>
        </w:rPr>
        <w:t>’</w:t>
      </w:r>
      <w:r w:rsidR="00D94855" w:rsidRPr="00174283">
        <w:rPr>
          <w:lang w:val="fr-FR"/>
        </w:rPr>
        <w:t xml:space="preserve">appartenance politique ou religieuse, la </w:t>
      </w:r>
      <w:r w:rsidR="007C3FBD" w:rsidRPr="00174283">
        <w:rPr>
          <w:lang w:val="fr-FR"/>
        </w:rPr>
        <w:t>fortune</w:t>
      </w:r>
      <w:r w:rsidR="00D94855" w:rsidRPr="00174283">
        <w:rPr>
          <w:lang w:val="fr-FR"/>
        </w:rPr>
        <w:t xml:space="preserve"> ou </w:t>
      </w:r>
      <w:r w:rsidR="007C3FBD" w:rsidRPr="00174283">
        <w:rPr>
          <w:lang w:val="fr-FR"/>
        </w:rPr>
        <w:t>la situation</w:t>
      </w:r>
      <w:r w:rsidR="00D94855" w:rsidRPr="00174283">
        <w:rPr>
          <w:lang w:val="fr-FR"/>
        </w:rPr>
        <w:t xml:space="preserve"> social</w:t>
      </w:r>
      <w:r w:rsidR="007C3FBD" w:rsidRPr="00174283">
        <w:rPr>
          <w:lang w:val="fr-FR"/>
        </w:rPr>
        <w:t>e</w:t>
      </w:r>
      <w:r w:rsidR="00D94855" w:rsidRPr="00174283">
        <w:rPr>
          <w:lang w:val="fr-FR"/>
        </w:rPr>
        <w:t xml:space="preserve"> dans l</w:t>
      </w:r>
      <w:r w:rsidR="00205A62">
        <w:rPr>
          <w:lang w:val="fr-FR"/>
        </w:rPr>
        <w:t>’</w:t>
      </w:r>
      <w:r w:rsidR="00D94855" w:rsidRPr="00174283">
        <w:rPr>
          <w:lang w:val="fr-FR"/>
        </w:rPr>
        <w:t>exercice du droit à l</w:t>
      </w:r>
      <w:r w:rsidR="00205A62">
        <w:rPr>
          <w:lang w:val="fr-FR"/>
        </w:rPr>
        <w:t>’</w:t>
      </w:r>
      <w:r w:rsidR="00D94855" w:rsidRPr="00174283">
        <w:rPr>
          <w:lang w:val="fr-FR"/>
        </w:rPr>
        <w:t>enseignement primaire. L</w:t>
      </w:r>
      <w:r w:rsidR="00205A62">
        <w:rPr>
          <w:lang w:val="fr-FR"/>
        </w:rPr>
        <w:t>’</w:t>
      </w:r>
      <w:r w:rsidR="00D94855" w:rsidRPr="00174283">
        <w:rPr>
          <w:lang w:val="fr-FR"/>
        </w:rPr>
        <w:t xml:space="preserve">un des objectifs de la réforme </w:t>
      </w:r>
      <w:r w:rsidR="00D2098F" w:rsidRPr="00174283">
        <w:rPr>
          <w:lang w:val="fr-FR"/>
        </w:rPr>
        <w:t>de l</w:t>
      </w:r>
      <w:r w:rsidR="00205A62">
        <w:rPr>
          <w:lang w:val="fr-FR"/>
        </w:rPr>
        <w:t>’</w:t>
      </w:r>
      <w:r w:rsidR="00D2098F" w:rsidRPr="00174283">
        <w:rPr>
          <w:lang w:val="fr-FR"/>
        </w:rPr>
        <w:t>éducation est d</w:t>
      </w:r>
      <w:r w:rsidR="00205A62">
        <w:rPr>
          <w:lang w:val="fr-FR"/>
        </w:rPr>
        <w:t>’</w:t>
      </w:r>
      <w:r w:rsidR="00D2098F" w:rsidRPr="00174283">
        <w:rPr>
          <w:lang w:val="fr-FR"/>
        </w:rPr>
        <w:t>améliorer le taux d</w:t>
      </w:r>
      <w:r w:rsidR="00205A62">
        <w:rPr>
          <w:lang w:val="fr-FR"/>
        </w:rPr>
        <w:t>’</w:t>
      </w:r>
      <w:r w:rsidR="00D2098F" w:rsidRPr="00174283">
        <w:rPr>
          <w:lang w:val="fr-FR"/>
        </w:rPr>
        <w:t xml:space="preserve">alphabétisation ainsi que la capacité des élèves à comprendre, parler et écrire le macédonien et </w:t>
      </w:r>
      <w:r w:rsidR="00B012C4" w:rsidRPr="00174283">
        <w:rPr>
          <w:lang w:val="fr-FR"/>
        </w:rPr>
        <w:t>l</w:t>
      </w:r>
      <w:r w:rsidR="00205A62">
        <w:rPr>
          <w:lang w:val="fr-FR"/>
        </w:rPr>
        <w:t>’</w:t>
      </w:r>
      <w:r w:rsidR="00D2098F" w:rsidRPr="00174283">
        <w:rPr>
          <w:lang w:val="fr-FR"/>
        </w:rPr>
        <w:t>alphabet cyrillique</w:t>
      </w:r>
      <w:r w:rsidR="00863CE8" w:rsidRPr="00174283">
        <w:rPr>
          <w:lang w:val="fr-FR"/>
        </w:rPr>
        <w:t>,</w:t>
      </w:r>
      <w:r w:rsidR="00D2098F" w:rsidRPr="00174283">
        <w:rPr>
          <w:lang w:val="fr-FR"/>
        </w:rPr>
        <w:t xml:space="preserve"> </w:t>
      </w:r>
      <w:r w:rsidR="008F154D" w:rsidRPr="00174283">
        <w:rPr>
          <w:lang w:val="fr-FR"/>
        </w:rPr>
        <w:t>de même</w:t>
      </w:r>
      <w:r w:rsidR="00D2098F" w:rsidRPr="00174283">
        <w:rPr>
          <w:lang w:val="fr-FR"/>
        </w:rPr>
        <w:t xml:space="preserve"> que les langues et alphabets des communautés qui parlent une</w:t>
      </w:r>
      <w:r w:rsidR="00D406CE" w:rsidRPr="00174283">
        <w:rPr>
          <w:lang w:val="fr-FR"/>
        </w:rPr>
        <w:t xml:space="preserve"> autre</w:t>
      </w:r>
      <w:r w:rsidR="00D2098F" w:rsidRPr="00174283">
        <w:rPr>
          <w:lang w:val="fr-FR"/>
        </w:rPr>
        <w:t xml:space="preserve"> langue </w:t>
      </w:r>
      <w:r w:rsidR="00D406CE" w:rsidRPr="00174283">
        <w:rPr>
          <w:lang w:val="fr-FR"/>
        </w:rPr>
        <w:t>que le</w:t>
      </w:r>
      <w:r w:rsidR="00D2098F" w:rsidRPr="00174283">
        <w:rPr>
          <w:lang w:val="fr-FR"/>
        </w:rPr>
        <w:t xml:space="preserve"> macédonien. </w:t>
      </w:r>
    </w:p>
    <w:p w:rsidR="00BB19A5" w:rsidRPr="00174283" w:rsidRDefault="00403721" w:rsidP="00403721">
      <w:pPr>
        <w:pStyle w:val="SingleTxtG"/>
        <w:rPr>
          <w:lang w:val="fr-FR"/>
        </w:rPr>
      </w:pPr>
      <w:r>
        <w:rPr>
          <w:lang w:val="fr-FR"/>
        </w:rPr>
        <w:t>106.</w:t>
      </w:r>
      <w:r>
        <w:rPr>
          <w:lang w:val="fr-FR"/>
        </w:rPr>
        <w:tab/>
      </w:r>
      <w:r w:rsidR="00D2098F" w:rsidRPr="00174283">
        <w:rPr>
          <w:lang w:val="fr-FR"/>
        </w:rPr>
        <w:t xml:space="preserve">Les écoles </w:t>
      </w:r>
      <w:r w:rsidR="000717D3" w:rsidRPr="00174283">
        <w:rPr>
          <w:lang w:val="fr-FR"/>
        </w:rPr>
        <w:t>primaires sont tenues d</w:t>
      </w:r>
      <w:r w:rsidR="00205A62">
        <w:rPr>
          <w:lang w:val="fr-FR"/>
        </w:rPr>
        <w:t>’</w:t>
      </w:r>
      <w:r w:rsidR="000717D3" w:rsidRPr="00174283">
        <w:rPr>
          <w:lang w:val="fr-FR"/>
        </w:rPr>
        <w:t>aider les enfants de</w:t>
      </w:r>
      <w:r w:rsidR="00AF64BF" w:rsidRPr="00174283">
        <w:rPr>
          <w:lang w:val="fr-FR"/>
        </w:rPr>
        <w:t>s</w:t>
      </w:r>
      <w:r w:rsidR="000717D3" w:rsidRPr="00174283">
        <w:rPr>
          <w:lang w:val="fr-FR"/>
        </w:rPr>
        <w:t xml:space="preserve"> citoyens ayant séjourné longtemps à l</w:t>
      </w:r>
      <w:r w:rsidR="00205A62">
        <w:rPr>
          <w:lang w:val="fr-FR"/>
        </w:rPr>
        <w:t>’</w:t>
      </w:r>
      <w:r w:rsidR="000717D3" w:rsidRPr="00174283">
        <w:rPr>
          <w:lang w:val="fr-FR"/>
        </w:rPr>
        <w:t xml:space="preserve">étranger </w:t>
      </w:r>
      <w:r w:rsidR="00B012C4" w:rsidRPr="00174283">
        <w:rPr>
          <w:lang w:val="fr-FR"/>
        </w:rPr>
        <w:t xml:space="preserve">et qui sont </w:t>
      </w:r>
      <w:r w:rsidR="000717D3" w:rsidRPr="00174283">
        <w:rPr>
          <w:lang w:val="fr-FR"/>
        </w:rPr>
        <w:t xml:space="preserve">de retour en Macédoine </w:t>
      </w:r>
      <w:r w:rsidR="00B012C4" w:rsidRPr="00174283">
        <w:rPr>
          <w:lang w:val="fr-FR"/>
        </w:rPr>
        <w:t>à apprendre le macédonien</w:t>
      </w:r>
      <w:r w:rsidR="00AF64BF" w:rsidRPr="00174283">
        <w:rPr>
          <w:lang w:val="fr-FR"/>
        </w:rPr>
        <w:t xml:space="preserve"> pour poursuivre leur scolarité primaire</w:t>
      </w:r>
      <w:r w:rsidR="000717D3" w:rsidRPr="00174283">
        <w:rPr>
          <w:lang w:val="fr-FR"/>
        </w:rPr>
        <w:t xml:space="preserve">. </w:t>
      </w:r>
    </w:p>
    <w:p w:rsidR="00BB19A5" w:rsidRPr="00174283" w:rsidRDefault="00403721" w:rsidP="00403721">
      <w:pPr>
        <w:pStyle w:val="SingleTxtG"/>
        <w:rPr>
          <w:lang w:val="fr-FR"/>
        </w:rPr>
      </w:pPr>
      <w:r>
        <w:rPr>
          <w:lang w:val="fr-FR"/>
        </w:rPr>
        <w:t>107.</w:t>
      </w:r>
      <w:r>
        <w:rPr>
          <w:lang w:val="fr-FR"/>
        </w:rPr>
        <w:tab/>
      </w:r>
      <w:r w:rsidR="000717D3" w:rsidRPr="00174283">
        <w:rPr>
          <w:lang w:val="fr-FR"/>
        </w:rPr>
        <w:t>Le cursus primaire prévoit l</w:t>
      </w:r>
      <w:r w:rsidR="00205A62">
        <w:rPr>
          <w:lang w:val="fr-FR"/>
        </w:rPr>
        <w:t>’</w:t>
      </w:r>
      <w:r w:rsidR="000717D3" w:rsidRPr="00174283">
        <w:rPr>
          <w:lang w:val="fr-FR"/>
        </w:rPr>
        <w:t>apprentissage du macédonien dans le cadre de la mise en œuvre de la loi sur l</w:t>
      </w:r>
      <w:r w:rsidR="00205A62">
        <w:rPr>
          <w:lang w:val="fr-FR"/>
        </w:rPr>
        <w:t>’</w:t>
      </w:r>
      <w:r w:rsidR="000717D3" w:rsidRPr="00174283">
        <w:rPr>
          <w:lang w:val="fr-FR"/>
        </w:rPr>
        <w:t xml:space="preserve">apprentissage obligatoire du macédonien </w:t>
      </w:r>
      <w:r w:rsidR="00863CE8" w:rsidRPr="00174283">
        <w:rPr>
          <w:lang w:val="fr-FR"/>
        </w:rPr>
        <w:t>d</w:t>
      </w:r>
      <w:r w:rsidR="000717D3" w:rsidRPr="00174283">
        <w:rPr>
          <w:lang w:val="fr-FR"/>
        </w:rPr>
        <w:t xml:space="preserve">es personnes appartenant aux communautés. </w:t>
      </w:r>
    </w:p>
    <w:p w:rsidR="00BB19A5" w:rsidRPr="00174283" w:rsidRDefault="00403721" w:rsidP="00403721">
      <w:pPr>
        <w:pStyle w:val="SingleTxtG"/>
        <w:rPr>
          <w:lang w:val="fr-FR"/>
        </w:rPr>
      </w:pPr>
      <w:r>
        <w:rPr>
          <w:lang w:val="fr-FR"/>
        </w:rPr>
        <w:t>108.</w:t>
      </w:r>
      <w:r>
        <w:rPr>
          <w:lang w:val="fr-FR"/>
        </w:rPr>
        <w:tab/>
      </w:r>
      <w:r w:rsidR="000717D3" w:rsidRPr="00174283">
        <w:rPr>
          <w:lang w:val="fr-FR"/>
        </w:rPr>
        <w:t>Conformément à la loi sur l</w:t>
      </w:r>
      <w:r w:rsidR="00205A62">
        <w:rPr>
          <w:lang w:val="fr-FR"/>
        </w:rPr>
        <w:t>’</w:t>
      </w:r>
      <w:r w:rsidR="000717D3" w:rsidRPr="00174283">
        <w:rPr>
          <w:lang w:val="fr-FR"/>
        </w:rPr>
        <w:t xml:space="preserve">enseignement secondaire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0717D3" w:rsidRPr="00174283">
        <w:rPr>
          <w:lang w:val="fr-FR"/>
        </w:rPr>
        <w:t>n</w:t>
      </w:r>
      <w:r w:rsidR="000717D3" w:rsidRPr="00174283">
        <w:rPr>
          <w:vertAlign w:val="superscript"/>
          <w:lang w:val="fr-FR"/>
        </w:rPr>
        <w:t>os</w:t>
      </w:r>
      <w:r w:rsidR="004A336A">
        <w:rPr>
          <w:lang w:val="fr-FR"/>
        </w:rPr>
        <w:t> </w:t>
      </w:r>
      <w:r w:rsidR="00BB19A5" w:rsidRPr="00174283">
        <w:rPr>
          <w:lang w:val="fr-FR"/>
        </w:rPr>
        <w:t>44/95, 24/96, 34/96, 35/97, 82/99, 29/02, 40/03, 42/03, 67/04, 55/05, 113/05, 35/06, 30/07, 49/07, 81/08, 92/08, 33/10, 116/10, 156/10, 18/11, 51/11, 6/12</w:t>
      </w:r>
      <w:r w:rsidR="00F104B6" w:rsidRPr="00174283">
        <w:rPr>
          <w:lang w:val="fr-FR"/>
        </w:rPr>
        <w:t xml:space="preserve"> </w:t>
      </w:r>
      <w:r w:rsidR="000717D3" w:rsidRPr="00174283">
        <w:rPr>
          <w:lang w:val="fr-FR"/>
        </w:rPr>
        <w:t>et 100/12), l</w:t>
      </w:r>
      <w:r w:rsidR="00205A62">
        <w:rPr>
          <w:lang w:val="fr-FR"/>
        </w:rPr>
        <w:t>’</w:t>
      </w:r>
      <w:r w:rsidR="000717D3" w:rsidRPr="00174283">
        <w:rPr>
          <w:lang w:val="fr-FR"/>
        </w:rPr>
        <w:t xml:space="preserve">enseignement </w:t>
      </w:r>
      <w:r w:rsidR="00DC013C" w:rsidRPr="00174283">
        <w:rPr>
          <w:lang w:val="fr-FR"/>
        </w:rPr>
        <w:t xml:space="preserve">secondaire est obligatoire pour tous les citoyens macédoniens dans </w:t>
      </w:r>
      <w:r w:rsidR="002541EA" w:rsidRPr="00174283">
        <w:rPr>
          <w:lang w:val="fr-FR"/>
        </w:rPr>
        <w:t>l</w:t>
      </w:r>
      <w:r w:rsidR="00DC013C" w:rsidRPr="00174283">
        <w:rPr>
          <w:lang w:val="fr-FR"/>
        </w:rPr>
        <w:t>es conditions d</w:t>
      </w:r>
      <w:r w:rsidR="00205A62">
        <w:rPr>
          <w:lang w:val="fr-FR"/>
        </w:rPr>
        <w:t>’</w:t>
      </w:r>
      <w:r w:rsidR="00DC013C" w:rsidRPr="00174283">
        <w:rPr>
          <w:lang w:val="fr-FR"/>
        </w:rPr>
        <w:t>égalité prescrites par la loi. L</w:t>
      </w:r>
      <w:r w:rsidR="00205A62">
        <w:rPr>
          <w:lang w:val="fr-FR"/>
        </w:rPr>
        <w:t>’</w:t>
      </w:r>
      <w:r w:rsidR="00DC013C" w:rsidRPr="00174283">
        <w:rPr>
          <w:lang w:val="fr-FR"/>
        </w:rPr>
        <w:t xml:space="preserve">enseignement secondaire est gratuit. La discrimination fondée sur </w:t>
      </w:r>
      <w:r w:rsidR="00430FCD" w:rsidRPr="00174283">
        <w:rPr>
          <w:lang w:val="fr-FR"/>
        </w:rPr>
        <w:t>le sexe, la race, la couleur de la peau, l</w:t>
      </w:r>
      <w:r w:rsidR="00205A62">
        <w:rPr>
          <w:lang w:val="fr-FR"/>
        </w:rPr>
        <w:t>’</w:t>
      </w:r>
      <w:r w:rsidR="00430FCD" w:rsidRPr="00174283">
        <w:rPr>
          <w:lang w:val="fr-FR"/>
        </w:rPr>
        <w:t>origine nationale ou sociale, l</w:t>
      </w:r>
      <w:r w:rsidR="00205A62">
        <w:rPr>
          <w:lang w:val="fr-FR"/>
        </w:rPr>
        <w:t>’</w:t>
      </w:r>
      <w:r w:rsidR="00430FCD" w:rsidRPr="00174283">
        <w:rPr>
          <w:lang w:val="fr-FR"/>
        </w:rPr>
        <w:t>appartenance politique ou religieuse, la fortune ou la situation sociale</w:t>
      </w:r>
      <w:r w:rsidR="00BB19A5" w:rsidRPr="00174283">
        <w:rPr>
          <w:lang w:val="fr-FR"/>
        </w:rPr>
        <w:t xml:space="preserve"> </w:t>
      </w:r>
      <w:r w:rsidR="00DC013C" w:rsidRPr="00174283">
        <w:rPr>
          <w:lang w:val="fr-FR"/>
        </w:rPr>
        <w:t>est interdite. Les personnes qui appartiennent à des communautés parlant une autre langue que le macédonien et utilisant un autre alphabet que l</w:t>
      </w:r>
      <w:r w:rsidR="00205A62">
        <w:rPr>
          <w:lang w:val="fr-FR"/>
        </w:rPr>
        <w:t>’</w:t>
      </w:r>
      <w:r w:rsidR="00DC013C" w:rsidRPr="00174283">
        <w:rPr>
          <w:lang w:val="fr-FR"/>
        </w:rPr>
        <w:t xml:space="preserve">alphabet cyrillique sont scolarisées dans des établissements secondaires publics </w:t>
      </w:r>
      <w:r w:rsidR="0087532B" w:rsidRPr="00174283">
        <w:rPr>
          <w:lang w:val="fr-FR"/>
        </w:rPr>
        <w:t>où l</w:t>
      </w:r>
      <w:r w:rsidR="00205A62">
        <w:rPr>
          <w:lang w:val="fr-FR"/>
        </w:rPr>
        <w:t>’</w:t>
      </w:r>
      <w:r w:rsidR="0087532B" w:rsidRPr="00174283">
        <w:rPr>
          <w:lang w:val="fr-FR"/>
        </w:rPr>
        <w:t xml:space="preserve">enseignement est dispensé </w:t>
      </w:r>
      <w:r w:rsidR="00DC013C" w:rsidRPr="00174283">
        <w:rPr>
          <w:lang w:val="fr-FR"/>
        </w:rPr>
        <w:t>dans la langue et l</w:t>
      </w:r>
      <w:r w:rsidR="00205A62">
        <w:rPr>
          <w:lang w:val="fr-FR"/>
        </w:rPr>
        <w:t>’</w:t>
      </w:r>
      <w:r w:rsidR="00DC013C" w:rsidRPr="00174283">
        <w:rPr>
          <w:lang w:val="fr-FR"/>
        </w:rPr>
        <w:t xml:space="preserve">alphabet de leur </w:t>
      </w:r>
      <w:r w:rsidR="007C7D60" w:rsidRPr="00174283">
        <w:rPr>
          <w:lang w:val="fr-FR"/>
        </w:rPr>
        <w:t>communauté</w:t>
      </w:r>
      <w:r w:rsidR="00DC013C" w:rsidRPr="00174283">
        <w:rPr>
          <w:lang w:val="fr-FR"/>
        </w:rPr>
        <w:t xml:space="preserve">, de la manière et dans les conditions fixées par la loi. </w:t>
      </w:r>
    </w:p>
    <w:p w:rsidR="00BB19A5" w:rsidRPr="00174283" w:rsidRDefault="00403721" w:rsidP="00403721">
      <w:pPr>
        <w:pStyle w:val="SingleTxtG"/>
        <w:rPr>
          <w:lang w:val="fr-FR"/>
        </w:rPr>
      </w:pPr>
      <w:r>
        <w:rPr>
          <w:lang w:val="fr-FR"/>
        </w:rPr>
        <w:t>109.</w:t>
      </w:r>
      <w:r>
        <w:rPr>
          <w:lang w:val="fr-FR"/>
        </w:rPr>
        <w:tab/>
      </w:r>
      <w:r w:rsidR="00DC013C" w:rsidRPr="00174283">
        <w:rPr>
          <w:lang w:val="fr-FR"/>
        </w:rPr>
        <w:t>Un Manuel pour l</w:t>
      </w:r>
      <w:r w:rsidR="00205A62">
        <w:rPr>
          <w:lang w:val="fr-FR"/>
        </w:rPr>
        <w:t>’</w:t>
      </w:r>
      <w:r w:rsidR="00DC013C" w:rsidRPr="00174283">
        <w:rPr>
          <w:lang w:val="fr-FR"/>
        </w:rPr>
        <w:t xml:space="preserve">enseignement des langues secondes a été élaboré en collaboration avec le </w:t>
      </w:r>
      <w:r w:rsidR="00BB19A5" w:rsidRPr="00174283">
        <w:rPr>
          <w:lang w:val="fr-FR"/>
        </w:rPr>
        <w:t xml:space="preserve">British Council, </w:t>
      </w:r>
      <w:r w:rsidR="00DC013C" w:rsidRPr="00174283">
        <w:rPr>
          <w:lang w:val="fr-FR"/>
        </w:rPr>
        <w:t xml:space="preserve">le </w:t>
      </w:r>
      <w:r w:rsidR="00BB19A5" w:rsidRPr="00174283">
        <w:rPr>
          <w:lang w:val="fr-FR"/>
        </w:rPr>
        <w:t xml:space="preserve">Bureau </w:t>
      </w:r>
      <w:r w:rsidR="00DC013C" w:rsidRPr="00174283">
        <w:rPr>
          <w:lang w:val="fr-FR"/>
        </w:rPr>
        <w:t>du développement de l</w:t>
      </w:r>
      <w:r w:rsidR="00205A62">
        <w:rPr>
          <w:lang w:val="fr-FR"/>
        </w:rPr>
        <w:t>’</w:t>
      </w:r>
      <w:r w:rsidR="00DC013C" w:rsidRPr="00174283">
        <w:rPr>
          <w:lang w:val="fr-FR"/>
        </w:rPr>
        <w:t>éducation et le Ministère de l</w:t>
      </w:r>
      <w:r w:rsidR="00205A62">
        <w:rPr>
          <w:lang w:val="fr-FR"/>
        </w:rPr>
        <w:t>’</w:t>
      </w:r>
      <w:r w:rsidR="00DC013C" w:rsidRPr="00174283">
        <w:rPr>
          <w:lang w:val="fr-FR"/>
        </w:rPr>
        <w:t>éducation et de la science, pour améliorer la qualité de l</w:t>
      </w:r>
      <w:r w:rsidR="00205A62">
        <w:rPr>
          <w:lang w:val="fr-FR"/>
        </w:rPr>
        <w:t>’</w:t>
      </w:r>
      <w:r w:rsidR="00DC013C" w:rsidRPr="00174283">
        <w:rPr>
          <w:lang w:val="fr-FR"/>
        </w:rPr>
        <w:t>enseignement des langues étrangères. Ce manuel s</w:t>
      </w:r>
      <w:r w:rsidR="00205A62">
        <w:rPr>
          <w:lang w:val="fr-FR"/>
        </w:rPr>
        <w:t>’</w:t>
      </w:r>
      <w:r w:rsidR="00DC013C" w:rsidRPr="00174283">
        <w:rPr>
          <w:lang w:val="fr-FR"/>
        </w:rPr>
        <w:t>adresse aux enseignants des établissements primaires, secondaires et supérieurs et tient compte des résultats des recherches scientifiques sur l</w:t>
      </w:r>
      <w:r w:rsidR="00205A62">
        <w:rPr>
          <w:lang w:val="fr-FR"/>
        </w:rPr>
        <w:t>’</w:t>
      </w:r>
      <w:r w:rsidR="007C7D60" w:rsidRPr="00174283">
        <w:rPr>
          <w:lang w:val="fr-FR"/>
        </w:rPr>
        <w:t>acquisition</w:t>
      </w:r>
      <w:r w:rsidR="00DC013C" w:rsidRPr="00174283">
        <w:rPr>
          <w:lang w:val="fr-FR"/>
        </w:rPr>
        <w:t xml:space="preserve"> des langues secondes, </w:t>
      </w:r>
      <w:r w:rsidR="00430FCD" w:rsidRPr="00174283">
        <w:rPr>
          <w:lang w:val="fr-FR"/>
        </w:rPr>
        <w:t>ainsi que</w:t>
      </w:r>
      <w:r w:rsidR="00DC013C" w:rsidRPr="00174283">
        <w:rPr>
          <w:lang w:val="fr-FR"/>
        </w:rPr>
        <w:t xml:space="preserve"> du contexte spécifique des langues locales. </w:t>
      </w:r>
    </w:p>
    <w:p w:rsidR="00BB19A5" w:rsidRPr="00174283" w:rsidRDefault="00403721" w:rsidP="00403721">
      <w:pPr>
        <w:pStyle w:val="SingleTxtG"/>
        <w:rPr>
          <w:lang w:val="fr-FR"/>
        </w:rPr>
      </w:pPr>
      <w:r>
        <w:rPr>
          <w:lang w:val="fr-FR"/>
        </w:rPr>
        <w:t>110.</w:t>
      </w:r>
      <w:r>
        <w:rPr>
          <w:lang w:val="fr-FR"/>
        </w:rPr>
        <w:tab/>
      </w:r>
      <w:r w:rsidR="00DC013C" w:rsidRPr="00174283">
        <w:rPr>
          <w:lang w:val="fr-FR"/>
        </w:rPr>
        <w:t xml:space="preserve">Suite </w:t>
      </w:r>
      <w:r w:rsidR="00FD63F5" w:rsidRPr="00174283">
        <w:rPr>
          <w:lang w:val="fr-FR"/>
        </w:rPr>
        <w:t>à l</w:t>
      </w:r>
      <w:r w:rsidR="00205A62">
        <w:rPr>
          <w:lang w:val="fr-FR"/>
        </w:rPr>
        <w:t>’</w:t>
      </w:r>
      <w:r w:rsidR="00FD63F5" w:rsidRPr="00174283">
        <w:rPr>
          <w:lang w:val="fr-FR"/>
        </w:rPr>
        <w:t>adoption</w:t>
      </w:r>
      <w:r w:rsidR="00430FCD" w:rsidRPr="00174283">
        <w:rPr>
          <w:lang w:val="fr-FR"/>
        </w:rPr>
        <w:t>, en</w:t>
      </w:r>
      <w:r w:rsidR="009C6BB7" w:rsidRPr="00174283">
        <w:rPr>
          <w:lang w:val="fr-FR"/>
        </w:rPr>
        <w:t xml:space="preserve"> octobre</w:t>
      </w:r>
      <w:r w:rsidR="00430FCD" w:rsidRPr="00174283">
        <w:rPr>
          <w:lang w:val="fr-FR"/>
        </w:rPr>
        <w:t xml:space="preserve"> 2010,</w:t>
      </w:r>
      <w:r w:rsidR="00FD63F5" w:rsidRPr="00174283">
        <w:rPr>
          <w:lang w:val="fr-FR"/>
        </w:rPr>
        <w:t xml:space="preserve"> </w:t>
      </w:r>
      <w:r w:rsidR="003559EC" w:rsidRPr="00174283">
        <w:rPr>
          <w:lang w:val="fr-FR"/>
        </w:rPr>
        <w:t>de la Stratégie de l</w:t>
      </w:r>
      <w:r w:rsidR="00205A62">
        <w:rPr>
          <w:lang w:val="fr-FR"/>
        </w:rPr>
        <w:t>’</w:t>
      </w:r>
      <w:r w:rsidR="003559EC" w:rsidRPr="00174283">
        <w:rPr>
          <w:lang w:val="fr-FR"/>
        </w:rPr>
        <w:t>éducation intégrée, le Gouvernement a entrepris une réforme de l</w:t>
      </w:r>
      <w:r w:rsidR="00205A62">
        <w:rPr>
          <w:lang w:val="fr-FR"/>
        </w:rPr>
        <w:t>’</w:t>
      </w:r>
      <w:r w:rsidR="003559EC" w:rsidRPr="00174283">
        <w:rPr>
          <w:lang w:val="fr-FR"/>
        </w:rPr>
        <w:t xml:space="preserve">éducation pour </w:t>
      </w:r>
      <w:r w:rsidR="0087532B" w:rsidRPr="00174283">
        <w:rPr>
          <w:lang w:val="fr-FR"/>
        </w:rPr>
        <w:t>mettre</w:t>
      </w:r>
      <w:r w:rsidR="003559EC" w:rsidRPr="00174283">
        <w:rPr>
          <w:lang w:val="fr-FR"/>
        </w:rPr>
        <w:t xml:space="preserve"> en place</w:t>
      </w:r>
      <w:r w:rsidR="0087532B" w:rsidRPr="00174283">
        <w:rPr>
          <w:lang w:val="fr-FR"/>
        </w:rPr>
        <w:t xml:space="preserve"> </w:t>
      </w:r>
      <w:r w:rsidR="003559EC" w:rsidRPr="00174283">
        <w:rPr>
          <w:lang w:val="fr-FR"/>
        </w:rPr>
        <w:t xml:space="preserve">un cadre permettant de </w:t>
      </w:r>
      <w:r w:rsidR="009C6BB7" w:rsidRPr="00174283">
        <w:rPr>
          <w:lang w:val="fr-FR"/>
        </w:rPr>
        <w:t>renforcer l</w:t>
      </w:r>
      <w:r w:rsidR="00205A62">
        <w:rPr>
          <w:lang w:val="fr-FR"/>
        </w:rPr>
        <w:t>’</w:t>
      </w:r>
      <w:r w:rsidR="003559EC" w:rsidRPr="00174283">
        <w:rPr>
          <w:lang w:val="fr-FR"/>
        </w:rPr>
        <w:t>intégration des personnes appartenant aux communautés dans et par l</w:t>
      </w:r>
      <w:r w:rsidR="00205A62">
        <w:rPr>
          <w:lang w:val="fr-FR"/>
        </w:rPr>
        <w:t>’</w:t>
      </w:r>
      <w:r w:rsidR="003559EC" w:rsidRPr="00174283">
        <w:rPr>
          <w:lang w:val="fr-FR"/>
        </w:rPr>
        <w:t>éducation. L</w:t>
      </w:r>
      <w:r w:rsidR="00205A62">
        <w:rPr>
          <w:lang w:val="fr-FR"/>
        </w:rPr>
        <w:t>’</w:t>
      </w:r>
      <w:r w:rsidR="003559EC" w:rsidRPr="00174283">
        <w:rPr>
          <w:lang w:val="fr-FR"/>
        </w:rPr>
        <w:t>un des principaux éléments de la réforme de l</w:t>
      </w:r>
      <w:r w:rsidR="00205A62">
        <w:rPr>
          <w:lang w:val="fr-FR"/>
        </w:rPr>
        <w:t>’</w:t>
      </w:r>
      <w:r w:rsidR="003559EC" w:rsidRPr="00174283">
        <w:rPr>
          <w:lang w:val="fr-FR"/>
        </w:rPr>
        <w:t>éducation proposés dans la Stratégie est l</w:t>
      </w:r>
      <w:r w:rsidR="00205A62">
        <w:rPr>
          <w:lang w:val="fr-FR"/>
        </w:rPr>
        <w:t>’</w:t>
      </w:r>
      <w:r w:rsidR="003559EC" w:rsidRPr="00174283">
        <w:rPr>
          <w:lang w:val="fr-FR"/>
        </w:rPr>
        <w:t>acquisition de la langue. En plus d</w:t>
      </w:r>
      <w:r w:rsidR="00205A62">
        <w:rPr>
          <w:lang w:val="fr-FR"/>
        </w:rPr>
        <w:t>’</w:t>
      </w:r>
      <w:r w:rsidR="003559EC" w:rsidRPr="00174283">
        <w:rPr>
          <w:lang w:val="fr-FR"/>
        </w:rPr>
        <w:t>autres activités visant à améliorer la communication, cette stratégie prévoit l</w:t>
      </w:r>
      <w:r w:rsidR="00205A62">
        <w:rPr>
          <w:lang w:val="fr-FR"/>
        </w:rPr>
        <w:t>’</w:t>
      </w:r>
      <w:r w:rsidR="003559EC" w:rsidRPr="00174283">
        <w:rPr>
          <w:lang w:val="fr-FR"/>
        </w:rPr>
        <w:t xml:space="preserve">enseignement du macédonien entre la </w:t>
      </w:r>
      <w:r w:rsidR="000739B7" w:rsidRPr="00174283">
        <w:rPr>
          <w:lang w:val="fr-FR"/>
        </w:rPr>
        <w:t>première et la troisième</w:t>
      </w:r>
      <w:r w:rsidR="009E0D5D" w:rsidRPr="00174283">
        <w:rPr>
          <w:lang w:val="fr-FR"/>
        </w:rPr>
        <w:t xml:space="preserve"> année du primaire. </w:t>
      </w:r>
    </w:p>
    <w:p w:rsidR="00BB19A5" w:rsidRPr="00174283" w:rsidRDefault="00403721" w:rsidP="00403721">
      <w:pPr>
        <w:pStyle w:val="SingleTxtG"/>
        <w:rPr>
          <w:lang w:val="fr-FR"/>
        </w:rPr>
      </w:pPr>
      <w:r>
        <w:rPr>
          <w:lang w:val="fr-FR"/>
        </w:rPr>
        <w:t>111.</w:t>
      </w:r>
      <w:r>
        <w:rPr>
          <w:lang w:val="fr-FR"/>
        </w:rPr>
        <w:tab/>
      </w:r>
      <w:r w:rsidR="00A92BD0" w:rsidRPr="00174283">
        <w:rPr>
          <w:lang w:val="fr-FR"/>
        </w:rPr>
        <w:t>Conformément à la loi sur les manuels de l</w:t>
      </w:r>
      <w:r w:rsidR="00205A62">
        <w:rPr>
          <w:lang w:val="fr-FR"/>
        </w:rPr>
        <w:t>’</w:t>
      </w:r>
      <w:r w:rsidR="00A92BD0" w:rsidRPr="00174283">
        <w:rPr>
          <w:lang w:val="fr-FR"/>
        </w:rPr>
        <w:t xml:space="preserve">enseignement primaire et secondaire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A92BD0" w:rsidRPr="00174283">
        <w:rPr>
          <w:lang w:val="fr-FR"/>
        </w:rPr>
        <w:t>n</w:t>
      </w:r>
      <w:r w:rsidR="00BB19A5" w:rsidRPr="00174283">
        <w:rPr>
          <w:vertAlign w:val="superscript"/>
          <w:lang w:val="fr-FR"/>
        </w:rPr>
        <w:t>o</w:t>
      </w:r>
      <w:r w:rsidR="00975FD1" w:rsidRPr="00174283">
        <w:rPr>
          <w:vertAlign w:val="superscript"/>
          <w:lang w:val="fr-FR"/>
        </w:rPr>
        <w:t>s</w:t>
      </w:r>
      <w:r w:rsidR="004A336A">
        <w:rPr>
          <w:lang w:val="fr-FR"/>
        </w:rPr>
        <w:t> </w:t>
      </w:r>
      <w:r w:rsidR="00BB19A5" w:rsidRPr="00174283">
        <w:rPr>
          <w:lang w:val="fr-FR"/>
        </w:rPr>
        <w:t xml:space="preserve">98/08, 99/09, 83/10, 36/11, 135/11 </w:t>
      </w:r>
      <w:r w:rsidR="00A92BD0" w:rsidRPr="00174283">
        <w:rPr>
          <w:lang w:val="fr-FR"/>
        </w:rPr>
        <w:t>et</w:t>
      </w:r>
      <w:r w:rsidR="00395B46" w:rsidRPr="00174283">
        <w:rPr>
          <w:lang w:val="fr-FR"/>
        </w:rPr>
        <w:t xml:space="preserve"> </w:t>
      </w:r>
      <w:r w:rsidR="00BB19A5" w:rsidRPr="00174283">
        <w:rPr>
          <w:lang w:val="fr-FR"/>
        </w:rPr>
        <w:t>46/12)</w:t>
      </w:r>
      <w:r w:rsidR="002A2F9C" w:rsidRPr="00174283">
        <w:rPr>
          <w:lang w:val="fr-FR"/>
        </w:rPr>
        <w:t xml:space="preserve"> selon laquelle</w:t>
      </w:r>
      <w:r w:rsidR="00A92BD0" w:rsidRPr="00174283">
        <w:rPr>
          <w:lang w:val="fr-FR"/>
        </w:rPr>
        <w:t xml:space="preserve"> des manuels dans la langue des personnes appartenant aux communautés </w:t>
      </w:r>
      <w:r w:rsidR="002A2F9C" w:rsidRPr="00174283">
        <w:rPr>
          <w:lang w:val="fr-FR"/>
        </w:rPr>
        <w:t>doivent être</w:t>
      </w:r>
      <w:r w:rsidR="00A92BD0" w:rsidRPr="00174283">
        <w:rPr>
          <w:lang w:val="fr-FR"/>
        </w:rPr>
        <w:t xml:space="preserve"> mis à la disposition des élèves, des manuels ont été publiés dans les langues d</w:t>
      </w:r>
      <w:r w:rsidR="00205A62">
        <w:rPr>
          <w:lang w:val="fr-FR"/>
        </w:rPr>
        <w:t>’</w:t>
      </w:r>
      <w:r w:rsidR="00A92BD0" w:rsidRPr="00174283">
        <w:rPr>
          <w:lang w:val="fr-FR"/>
        </w:rPr>
        <w:t>enseignement (autrement dit, ils ont été traduits dans les langues dans lesquelles l</w:t>
      </w:r>
      <w:r w:rsidR="00205A62">
        <w:rPr>
          <w:lang w:val="fr-FR"/>
        </w:rPr>
        <w:t>’</w:t>
      </w:r>
      <w:r w:rsidR="00A92BD0" w:rsidRPr="00174283">
        <w:rPr>
          <w:lang w:val="fr-FR"/>
        </w:rPr>
        <w:t xml:space="preserve">enseignement est dispensé). </w:t>
      </w:r>
    </w:p>
    <w:p w:rsidR="00BB19A5" w:rsidRPr="00174283" w:rsidRDefault="00BB19A5" w:rsidP="00BB19A5">
      <w:pPr>
        <w:pStyle w:val="H23G"/>
        <w:rPr>
          <w:lang w:val="fr-FR"/>
        </w:rPr>
      </w:pPr>
      <w:r w:rsidRPr="00174283">
        <w:rPr>
          <w:lang w:val="fr-FR"/>
        </w:rPr>
        <w:tab/>
      </w:r>
      <w:r w:rsidR="005F4C93" w:rsidRPr="00174283">
        <w:rPr>
          <w:lang w:val="fr-FR"/>
        </w:rPr>
        <w:t>2</w:t>
      </w:r>
      <w:r w:rsidRPr="00174283">
        <w:rPr>
          <w:lang w:val="fr-FR"/>
        </w:rPr>
        <w:t>.</w:t>
      </w:r>
      <w:r w:rsidRPr="00174283">
        <w:rPr>
          <w:lang w:val="fr-FR"/>
        </w:rPr>
        <w:tab/>
        <w:t>Culture</w:t>
      </w:r>
    </w:p>
    <w:p w:rsidR="00BB19A5" w:rsidRPr="00174283" w:rsidRDefault="00403721" w:rsidP="00403721">
      <w:pPr>
        <w:pStyle w:val="SingleTxtG"/>
        <w:rPr>
          <w:lang w:val="fr-FR"/>
        </w:rPr>
      </w:pPr>
      <w:r>
        <w:rPr>
          <w:lang w:val="fr-FR"/>
        </w:rPr>
        <w:t>112.</w:t>
      </w:r>
      <w:r>
        <w:rPr>
          <w:lang w:val="fr-FR"/>
        </w:rPr>
        <w:tab/>
      </w:r>
      <w:r w:rsidR="00C03A9B" w:rsidRPr="00174283">
        <w:rPr>
          <w:lang w:val="fr-FR"/>
        </w:rPr>
        <w:t>La loi sur la c</w:t>
      </w:r>
      <w:r w:rsidR="00BB19A5" w:rsidRPr="00174283">
        <w:rPr>
          <w:lang w:val="fr-FR"/>
        </w:rPr>
        <w:t>ulture (</w:t>
      </w:r>
      <w:r w:rsidR="004E1618" w:rsidRPr="006C4B2D">
        <w:rPr>
          <w:i/>
          <w:iCs/>
          <w:lang w:val="fr-FR"/>
        </w:rPr>
        <w:t>Journal officiel de la République de Macédoine</w:t>
      </w:r>
      <w:r w:rsidR="00BB19A5" w:rsidRPr="00174283">
        <w:rPr>
          <w:lang w:val="fr-FR"/>
        </w:rPr>
        <w:t xml:space="preserve"> </w:t>
      </w:r>
      <w:r w:rsidR="00C03A9B" w:rsidRPr="00174283">
        <w:rPr>
          <w:lang w:val="fr-FR"/>
        </w:rPr>
        <w:t>n</w:t>
      </w:r>
      <w:r w:rsidR="00BB19A5" w:rsidRPr="00174283">
        <w:rPr>
          <w:vertAlign w:val="superscript"/>
          <w:lang w:val="fr-FR"/>
        </w:rPr>
        <w:t>o</w:t>
      </w:r>
      <w:r w:rsidR="00C03A9B" w:rsidRPr="00174283">
        <w:rPr>
          <w:vertAlign w:val="superscript"/>
          <w:lang w:val="fr-FR"/>
        </w:rPr>
        <w:t>s</w:t>
      </w:r>
      <w:r w:rsidR="00975FD1" w:rsidRPr="00174283">
        <w:rPr>
          <w:lang w:val="fr-FR"/>
        </w:rPr>
        <w:t> </w:t>
      </w:r>
      <w:r w:rsidR="005D11AF" w:rsidRPr="00174283">
        <w:rPr>
          <w:lang w:val="fr-FR"/>
        </w:rPr>
        <w:t>1/98, 49/03, 82/05,</w:t>
      </w:r>
      <w:r w:rsidR="00BB19A5" w:rsidRPr="00174283">
        <w:rPr>
          <w:lang w:val="fr-FR"/>
        </w:rPr>
        <w:t xml:space="preserve"> 24/07</w:t>
      </w:r>
      <w:r w:rsidR="005D11AF" w:rsidRPr="00174283">
        <w:rPr>
          <w:lang w:val="fr-FR"/>
        </w:rPr>
        <w:t>,</w:t>
      </w:r>
      <w:r w:rsidR="00BB19A5" w:rsidRPr="00174283">
        <w:rPr>
          <w:lang w:val="fr-FR"/>
        </w:rPr>
        <w:t xml:space="preserve"> 116/10</w:t>
      </w:r>
      <w:r w:rsidR="005D11AF" w:rsidRPr="00174283">
        <w:rPr>
          <w:lang w:val="fr-FR"/>
        </w:rPr>
        <w:t>,</w:t>
      </w:r>
      <w:r w:rsidR="00BB19A5" w:rsidRPr="00174283">
        <w:rPr>
          <w:lang w:val="fr-FR"/>
        </w:rPr>
        <w:t xml:space="preserve"> 47/2011, 51/11 </w:t>
      </w:r>
      <w:r w:rsidR="00C03A9B" w:rsidRPr="00174283">
        <w:rPr>
          <w:lang w:val="fr-FR"/>
        </w:rPr>
        <w:t>et</w:t>
      </w:r>
      <w:r w:rsidR="00BB19A5" w:rsidRPr="00174283">
        <w:rPr>
          <w:lang w:val="fr-FR"/>
        </w:rPr>
        <w:t xml:space="preserve"> 136/12) </w:t>
      </w:r>
      <w:r w:rsidR="00C03A9B" w:rsidRPr="00174283">
        <w:rPr>
          <w:lang w:val="fr-FR"/>
        </w:rPr>
        <w:t xml:space="preserve">est le principal texte de loi dans le domaine de la culture et elle est fondée sur la </w:t>
      </w:r>
      <w:r w:rsidR="00BB19A5" w:rsidRPr="00174283">
        <w:rPr>
          <w:lang w:val="fr-FR"/>
        </w:rPr>
        <w:t xml:space="preserve">Constitution </w:t>
      </w:r>
      <w:r w:rsidR="00C03A9B" w:rsidRPr="00174283">
        <w:rPr>
          <w:lang w:val="fr-FR"/>
        </w:rPr>
        <w:t>et d</w:t>
      </w:r>
      <w:r w:rsidR="00205A62">
        <w:rPr>
          <w:lang w:val="fr-FR"/>
        </w:rPr>
        <w:t>’</w:t>
      </w:r>
      <w:r w:rsidR="00C03A9B" w:rsidRPr="00174283">
        <w:rPr>
          <w:lang w:val="fr-FR"/>
        </w:rPr>
        <w:t>autres instruments internationaux ratifiés par la République de Macédoine</w:t>
      </w:r>
      <w:r w:rsidR="00BB19A5" w:rsidRPr="00174283">
        <w:rPr>
          <w:lang w:val="fr-FR"/>
        </w:rPr>
        <w:t xml:space="preserve">. </w:t>
      </w:r>
    </w:p>
    <w:p w:rsidR="00BB19A5" w:rsidRPr="00174283" w:rsidRDefault="00403721" w:rsidP="00403721">
      <w:pPr>
        <w:pStyle w:val="SingleTxtG"/>
        <w:rPr>
          <w:lang w:val="fr-FR"/>
        </w:rPr>
      </w:pPr>
      <w:r>
        <w:rPr>
          <w:lang w:val="fr-FR"/>
        </w:rPr>
        <w:t>113.</w:t>
      </w:r>
      <w:r>
        <w:rPr>
          <w:lang w:val="fr-FR"/>
        </w:rPr>
        <w:tab/>
      </w:r>
      <w:r w:rsidR="00C03A9B" w:rsidRPr="00174283">
        <w:rPr>
          <w:lang w:val="fr-FR"/>
        </w:rPr>
        <w:t>La loi prévoit que l</w:t>
      </w:r>
      <w:r w:rsidR="00205A62">
        <w:rPr>
          <w:lang w:val="fr-FR"/>
        </w:rPr>
        <w:t>’</w:t>
      </w:r>
      <w:r w:rsidR="00C03A9B" w:rsidRPr="00174283">
        <w:rPr>
          <w:lang w:val="fr-FR"/>
        </w:rPr>
        <w:t xml:space="preserve">État encourage et soutienne les activités culturelles </w:t>
      </w:r>
      <w:r w:rsidR="00A748F7" w:rsidRPr="00174283">
        <w:rPr>
          <w:lang w:val="fr-FR"/>
        </w:rPr>
        <w:t>dans des conditions d</w:t>
      </w:r>
      <w:r w:rsidR="00205A62">
        <w:rPr>
          <w:lang w:val="fr-FR"/>
        </w:rPr>
        <w:t>’</w:t>
      </w:r>
      <w:r w:rsidR="00A748F7" w:rsidRPr="00174283">
        <w:rPr>
          <w:lang w:val="fr-FR"/>
        </w:rPr>
        <w:t>égalité</w:t>
      </w:r>
      <w:r w:rsidR="00D349A9" w:rsidRPr="00174283">
        <w:rPr>
          <w:lang w:val="fr-FR"/>
        </w:rPr>
        <w:t>,</w:t>
      </w:r>
      <w:r w:rsidR="00A748F7" w:rsidRPr="00174283">
        <w:rPr>
          <w:lang w:val="fr-FR"/>
        </w:rPr>
        <w:t xml:space="preserve"> de manière à </w:t>
      </w:r>
      <w:r w:rsidR="00C03A9B" w:rsidRPr="00174283">
        <w:rPr>
          <w:lang w:val="fr-FR"/>
        </w:rPr>
        <w:t>favoris</w:t>
      </w:r>
      <w:r w:rsidR="00A748F7" w:rsidRPr="00174283">
        <w:rPr>
          <w:lang w:val="fr-FR"/>
        </w:rPr>
        <w:t>er</w:t>
      </w:r>
      <w:r w:rsidR="00C03A9B" w:rsidRPr="00174283">
        <w:rPr>
          <w:lang w:val="fr-FR"/>
        </w:rPr>
        <w:t xml:space="preserve"> et promouv</w:t>
      </w:r>
      <w:r w:rsidR="00A748F7" w:rsidRPr="00174283">
        <w:rPr>
          <w:lang w:val="fr-FR"/>
        </w:rPr>
        <w:t>oir l</w:t>
      </w:r>
      <w:r w:rsidR="00205A62">
        <w:rPr>
          <w:lang w:val="fr-FR"/>
        </w:rPr>
        <w:t>’</w:t>
      </w:r>
      <w:r w:rsidR="00A748F7" w:rsidRPr="00174283">
        <w:rPr>
          <w:lang w:val="fr-FR"/>
        </w:rPr>
        <w:t>expression de</w:t>
      </w:r>
      <w:r w:rsidR="00C03A9B" w:rsidRPr="00174283">
        <w:rPr>
          <w:lang w:val="fr-FR"/>
        </w:rPr>
        <w:t xml:space="preserve"> l</w:t>
      </w:r>
      <w:r w:rsidR="00205A62">
        <w:rPr>
          <w:lang w:val="fr-FR"/>
        </w:rPr>
        <w:t>’</w:t>
      </w:r>
      <w:r w:rsidR="00C03A9B" w:rsidRPr="00174283">
        <w:rPr>
          <w:lang w:val="fr-FR"/>
        </w:rPr>
        <w:t>identité culturelle de l</w:t>
      </w:r>
      <w:r w:rsidR="00205A62">
        <w:rPr>
          <w:lang w:val="fr-FR"/>
        </w:rPr>
        <w:t>’</w:t>
      </w:r>
      <w:r w:rsidR="00C03A9B" w:rsidRPr="00174283">
        <w:rPr>
          <w:lang w:val="fr-FR"/>
        </w:rPr>
        <w:t xml:space="preserve">ensemble des communautés. </w:t>
      </w:r>
    </w:p>
    <w:p w:rsidR="00BB19A5" w:rsidRPr="00174283" w:rsidRDefault="00403721" w:rsidP="00403721">
      <w:pPr>
        <w:pStyle w:val="SingleTxtG"/>
        <w:rPr>
          <w:lang w:val="fr-FR"/>
        </w:rPr>
      </w:pPr>
      <w:r>
        <w:rPr>
          <w:lang w:val="fr-FR"/>
        </w:rPr>
        <w:t>114.</w:t>
      </w:r>
      <w:r>
        <w:rPr>
          <w:lang w:val="fr-FR"/>
        </w:rPr>
        <w:tab/>
      </w:r>
      <w:r w:rsidR="00C03A9B" w:rsidRPr="00174283">
        <w:rPr>
          <w:lang w:val="fr-FR"/>
        </w:rPr>
        <w:t xml:space="preserve">Conformément </w:t>
      </w:r>
      <w:r w:rsidR="00E66DE4" w:rsidRPr="00174283">
        <w:rPr>
          <w:lang w:val="fr-FR"/>
        </w:rPr>
        <w:t>à la loi, les activités culturelles et valeurs d</w:t>
      </w:r>
      <w:r w:rsidR="00205A62">
        <w:rPr>
          <w:lang w:val="fr-FR"/>
        </w:rPr>
        <w:t>’</w:t>
      </w:r>
      <w:r w:rsidR="00E66DE4" w:rsidRPr="00174283">
        <w:rPr>
          <w:lang w:val="fr-FR"/>
        </w:rPr>
        <w:t>intérêt public pour l</w:t>
      </w:r>
      <w:r w:rsidR="00205A62">
        <w:rPr>
          <w:lang w:val="fr-FR"/>
        </w:rPr>
        <w:t>’</w:t>
      </w:r>
      <w:r w:rsidR="00E66DE4" w:rsidRPr="00174283">
        <w:rPr>
          <w:lang w:val="fr-FR"/>
        </w:rPr>
        <w:t xml:space="preserve">ensemble des citoyens macédoniens constituent une priorité nationale. </w:t>
      </w:r>
      <w:r w:rsidR="00370B76" w:rsidRPr="00174283">
        <w:rPr>
          <w:lang w:val="fr-FR"/>
        </w:rPr>
        <w:t>Elles doivent par conséquent être encouragées et être accessibles à tous sur un pied d</w:t>
      </w:r>
      <w:r w:rsidR="00205A62">
        <w:rPr>
          <w:lang w:val="fr-FR"/>
        </w:rPr>
        <w:t>’</w:t>
      </w:r>
      <w:r w:rsidR="00370B76" w:rsidRPr="00174283">
        <w:rPr>
          <w:lang w:val="fr-FR"/>
        </w:rPr>
        <w:t>égalité. L</w:t>
      </w:r>
      <w:r w:rsidR="00205A62">
        <w:rPr>
          <w:lang w:val="fr-FR"/>
        </w:rPr>
        <w:t>’</w:t>
      </w:r>
      <w:r w:rsidR="00370B76" w:rsidRPr="00174283">
        <w:rPr>
          <w:lang w:val="fr-FR"/>
        </w:rPr>
        <w:t>un</w:t>
      </w:r>
      <w:r w:rsidR="008D169A" w:rsidRPr="00174283">
        <w:rPr>
          <w:lang w:val="fr-FR"/>
        </w:rPr>
        <w:t>e</w:t>
      </w:r>
      <w:r w:rsidR="00370B76" w:rsidRPr="00174283">
        <w:rPr>
          <w:lang w:val="fr-FR"/>
        </w:rPr>
        <w:t xml:space="preserve"> des </w:t>
      </w:r>
      <w:r w:rsidR="008D169A" w:rsidRPr="00174283">
        <w:rPr>
          <w:lang w:val="fr-FR"/>
        </w:rPr>
        <w:t>priorités de l</w:t>
      </w:r>
      <w:r w:rsidR="00205A62">
        <w:rPr>
          <w:lang w:val="fr-FR"/>
        </w:rPr>
        <w:t>’</w:t>
      </w:r>
      <w:r w:rsidR="008D169A" w:rsidRPr="00174283">
        <w:rPr>
          <w:lang w:val="fr-FR"/>
        </w:rPr>
        <w:t>action culturelle</w:t>
      </w:r>
      <w:r w:rsidR="00370B76" w:rsidRPr="00174283">
        <w:rPr>
          <w:lang w:val="fr-FR"/>
        </w:rPr>
        <w:t xml:space="preserve"> est de garantir </w:t>
      </w:r>
      <w:r w:rsidR="00AE63CF" w:rsidRPr="00174283">
        <w:rPr>
          <w:lang w:val="fr-FR"/>
        </w:rPr>
        <w:t>plusieurs</w:t>
      </w:r>
      <w:r w:rsidR="00370B76" w:rsidRPr="00174283">
        <w:rPr>
          <w:lang w:val="fr-FR"/>
        </w:rPr>
        <w:t xml:space="preserve"> principe</w:t>
      </w:r>
      <w:r w:rsidR="0010545A" w:rsidRPr="00174283">
        <w:rPr>
          <w:lang w:val="fr-FR"/>
        </w:rPr>
        <w:t xml:space="preserve">s </w:t>
      </w:r>
      <w:r w:rsidR="00AE63CF" w:rsidRPr="00174283">
        <w:rPr>
          <w:lang w:val="fr-FR"/>
        </w:rPr>
        <w:t>fondamentaux</w:t>
      </w:r>
      <w:r w:rsidR="0010545A" w:rsidRPr="00174283">
        <w:rPr>
          <w:lang w:val="fr-FR"/>
        </w:rPr>
        <w:t xml:space="preserve"> </w:t>
      </w:r>
      <w:r w:rsidR="00C13F37" w:rsidRPr="00174283">
        <w:rPr>
          <w:lang w:val="fr-FR"/>
        </w:rPr>
        <w:t>à l</w:t>
      </w:r>
      <w:r w:rsidR="00205A62">
        <w:rPr>
          <w:lang w:val="fr-FR"/>
        </w:rPr>
        <w:t>’</w:t>
      </w:r>
      <w:r w:rsidR="00C13F37" w:rsidRPr="00174283">
        <w:rPr>
          <w:lang w:val="fr-FR"/>
        </w:rPr>
        <w:t>exercice des</w:t>
      </w:r>
      <w:r w:rsidR="00370B76" w:rsidRPr="00174283">
        <w:rPr>
          <w:lang w:val="fr-FR"/>
        </w:rPr>
        <w:t xml:space="preserve"> droits culturels</w:t>
      </w:r>
      <w:r w:rsidR="00C13F37" w:rsidRPr="00174283">
        <w:rPr>
          <w:lang w:val="fr-FR"/>
        </w:rPr>
        <w:t xml:space="preserve"> des communautés</w:t>
      </w:r>
      <w:r w:rsidR="00370B76" w:rsidRPr="00174283">
        <w:rPr>
          <w:lang w:val="fr-FR"/>
        </w:rPr>
        <w:t>, à savoir</w:t>
      </w:r>
      <w:r w:rsidR="002F51DC">
        <w:rPr>
          <w:lang w:val="fr-FR"/>
        </w:rPr>
        <w:t>:</w:t>
      </w:r>
      <w:r w:rsidR="00370B76" w:rsidRPr="00174283">
        <w:rPr>
          <w:lang w:val="fr-FR"/>
        </w:rPr>
        <w:t xml:space="preserve"> </w:t>
      </w:r>
    </w:p>
    <w:p w:rsidR="00BB19A5" w:rsidRPr="00174283" w:rsidRDefault="004A336A" w:rsidP="00BB19A5">
      <w:pPr>
        <w:pStyle w:val="Bullet1G"/>
        <w:rPr>
          <w:lang w:val="fr-FR"/>
        </w:rPr>
      </w:pPr>
      <w:r w:rsidRPr="00174283">
        <w:rPr>
          <w:lang w:val="fr-FR"/>
        </w:rPr>
        <w:t xml:space="preserve">Encourager </w:t>
      </w:r>
      <w:r w:rsidR="00370B76" w:rsidRPr="00174283">
        <w:rPr>
          <w:lang w:val="fr-FR"/>
        </w:rPr>
        <w:t>la diversité culturelle</w:t>
      </w:r>
      <w:r w:rsidR="00B6019A" w:rsidRPr="00174283">
        <w:rPr>
          <w:lang w:val="fr-FR"/>
        </w:rPr>
        <w:t>;</w:t>
      </w:r>
      <w:r w:rsidR="00BB19A5" w:rsidRPr="00174283">
        <w:rPr>
          <w:lang w:val="fr-FR"/>
        </w:rPr>
        <w:t xml:space="preserve"> </w:t>
      </w:r>
    </w:p>
    <w:p w:rsidR="00BB19A5" w:rsidRPr="00174283" w:rsidRDefault="004A336A" w:rsidP="00BB19A5">
      <w:pPr>
        <w:pStyle w:val="Bullet1G"/>
        <w:rPr>
          <w:lang w:val="fr-FR"/>
        </w:rPr>
      </w:pPr>
      <w:r w:rsidRPr="00174283">
        <w:rPr>
          <w:lang w:val="fr-FR"/>
        </w:rPr>
        <w:t xml:space="preserve">Assurer </w:t>
      </w:r>
      <w:r w:rsidR="00370B76" w:rsidRPr="00174283">
        <w:rPr>
          <w:lang w:val="fr-FR"/>
        </w:rPr>
        <w:t>les conditions nécessaires à l</w:t>
      </w:r>
      <w:r w:rsidR="00205A62">
        <w:rPr>
          <w:lang w:val="fr-FR"/>
        </w:rPr>
        <w:t>’</w:t>
      </w:r>
      <w:r w:rsidR="00370B76" w:rsidRPr="00174283">
        <w:rPr>
          <w:lang w:val="fr-FR"/>
        </w:rPr>
        <w:t>expression et à la protection de l</w:t>
      </w:r>
      <w:r w:rsidR="00205A62">
        <w:rPr>
          <w:lang w:val="fr-FR"/>
        </w:rPr>
        <w:t>’</w:t>
      </w:r>
      <w:r w:rsidR="00370B76" w:rsidRPr="00174283">
        <w:rPr>
          <w:lang w:val="fr-FR"/>
        </w:rPr>
        <w:t>identité culturelle des communautés de la République de Macédoine</w:t>
      </w:r>
      <w:r w:rsidR="00B6019A" w:rsidRPr="00174283">
        <w:rPr>
          <w:lang w:val="fr-FR"/>
        </w:rPr>
        <w:t>;</w:t>
      </w:r>
      <w:r w:rsidR="00370B76" w:rsidRPr="00174283">
        <w:rPr>
          <w:lang w:val="fr-FR"/>
        </w:rPr>
        <w:t xml:space="preserve"> </w:t>
      </w:r>
    </w:p>
    <w:p w:rsidR="00BB19A5" w:rsidRPr="00174283" w:rsidRDefault="004A336A" w:rsidP="00BB19A5">
      <w:pPr>
        <w:pStyle w:val="Bullet1G"/>
        <w:rPr>
          <w:lang w:val="fr-FR"/>
        </w:rPr>
      </w:pPr>
      <w:r w:rsidRPr="00174283">
        <w:rPr>
          <w:lang w:val="fr-FR"/>
        </w:rPr>
        <w:t xml:space="preserve">Veiller </w:t>
      </w:r>
      <w:r w:rsidR="00370B76" w:rsidRPr="00174283">
        <w:rPr>
          <w:lang w:val="fr-FR"/>
        </w:rPr>
        <w:t>au développement culturel et à l</w:t>
      </w:r>
      <w:r w:rsidR="00205A62">
        <w:rPr>
          <w:lang w:val="fr-FR"/>
        </w:rPr>
        <w:t>’</w:t>
      </w:r>
      <w:r w:rsidR="00370B76" w:rsidRPr="00174283">
        <w:rPr>
          <w:lang w:val="fr-FR"/>
        </w:rPr>
        <w:t xml:space="preserve">exercice des droits culturels </w:t>
      </w:r>
      <w:r w:rsidR="00317B1F" w:rsidRPr="00174283">
        <w:rPr>
          <w:lang w:val="fr-FR"/>
        </w:rPr>
        <w:t>des Macédoniens</w:t>
      </w:r>
      <w:r w:rsidR="00370B76" w:rsidRPr="00174283">
        <w:rPr>
          <w:lang w:val="fr-FR"/>
        </w:rPr>
        <w:t xml:space="preserve"> </w:t>
      </w:r>
      <w:r w:rsidR="001C1FD7" w:rsidRPr="00174283">
        <w:rPr>
          <w:lang w:val="fr-FR"/>
        </w:rPr>
        <w:t>de</w:t>
      </w:r>
      <w:r w:rsidR="00317B1F" w:rsidRPr="00174283">
        <w:rPr>
          <w:lang w:val="fr-FR"/>
        </w:rPr>
        <w:t xml:space="preserve"> l</w:t>
      </w:r>
      <w:r w:rsidR="00205A62">
        <w:rPr>
          <w:lang w:val="fr-FR"/>
        </w:rPr>
        <w:t>’</w:t>
      </w:r>
      <w:r w:rsidR="00317B1F" w:rsidRPr="00174283">
        <w:rPr>
          <w:lang w:val="fr-FR"/>
        </w:rPr>
        <w:t>étranger</w:t>
      </w:r>
      <w:r w:rsidR="004252B1" w:rsidRPr="00174283">
        <w:rPr>
          <w:lang w:val="fr-FR"/>
        </w:rPr>
        <w:t xml:space="preserve"> </w:t>
      </w:r>
      <w:r w:rsidR="001C1FD7" w:rsidRPr="00174283">
        <w:rPr>
          <w:lang w:val="fr-FR"/>
        </w:rPr>
        <w:t xml:space="preserve">qui travaillent </w:t>
      </w:r>
      <w:r w:rsidR="001A3959" w:rsidRPr="00174283">
        <w:rPr>
          <w:lang w:val="fr-FR"/>
        </w:rPr>
        <w:t>temporairement</w:t>
      </w:r>
      <w:r w:rsidR="001C1FD7" w:rsidRPr="00174283">
        <w:rPr>
          <w:lang w:val="fr-FR"/>
        </w:rPr>
        <w:t xml:space="preserve"> à l</w:t>
      </w:r>
      <w:r w:rsidR="00205A62">
        <w:rPr>
          <w:lang w:val="fr-FR"/>
        </w:rPr>
        <w:t>’</w:t>
      </w:r>
      <w:r w:rsidR="001C1FD7" w:rsidRPr="00174283">
        <w:rPr>
          <w:lang w:val="fr-FR"/>
        </w:rPr>
        <w:t>étranger ou qui ont émigré,</w:t>
      </w:r>
      <w:r w:rsidR="00370B76" w:rsidRPr="00174283">
        <w:rPr>
          <w:lang w:val="fr-FR"/>
        </w:rPr>
        <w:t xml:space="preserve"> quelle que soit leur appartenance ethnique</w:t>
      </w:r>
      <w:r w:rsidR="00B6019A" w:rsidRPr="00174283">
        <w:rPr>
          <w:lang w:val="fr-FR"/>
        </w:rPr>
        <w:t>;</w:t>
      </w:r>
      <w:r w:rsidR="00370B76" w:rsidRPr="00174283">
        <w:rPr>
          <w:lang w:val="fr-FR"/>
        </w:rPr>
        <w:t xml:space="preserve"> </w:t>
      </w:r>
    </w:p>
    <w:p w:rsidR="00BB19A5" w:rsidRPr="00174283" w:rsidRDefault="004A336A" w:rsidP="00BB19A5">
      <w:pPr>
        <w:pStyle w:val="Bullet1G"/>
        <w:rPr>
          <w:lang w:val="fr-FR"/>
        </w:rPr>
      </w:pPr>
      <w:r w:rsidRPr="00174283">
        <w:rPr>
          <w:lang w:val="fr-FR"/>
        </w:rPr>
        <w:t xml:space="preserve">Créer </w:t>
      </w:r>
      <w:r w:rsidR="00A347CE" w:rsidRPr="00174283">
        <w:rPr>
          <w:lang w:val="fr-FR"/>
        </w:rPr>
        <w:t>de</w:t>
      </w:r>
      <w:r w:rsidR="00370B76" w:rsidRPr="00174283">
        <w:rPr>
          <w:lang w:val="fr-FR"/>
        </w:rPr>
        <w:t xml:space="preserve">s </w:t>
      </w:r>
      <w:r w:rsidR="00BB19A5" w:rsidRPr="00174283">
        <w:rPr>
          <w:lang w:val="fr-FR"/>
        </w:rPr>
        <w:t xml:space="preserve">conditions </w:t>
      </w:r>
      <w:r w:rsidR="00A347CE" w:rsidRPr="00174283">
        <w:rPr>
          <w:lang w:val="fr-FR"/>
        </w:rPr>
        <w:t>propices</w:t>
      </w:r>
      <w:r w:rsidR="00370B76" w:rsidRPr="00174283">
        <w:rPr>
          <w:lang w:val="fr-FR"/>
        </w:rPr>
        <w:t xml:space="preserve"> au développement culturel</w:t>
      </w:r>
      <w:r w:rsidR="008A1530" w:rsidRPr="00174283">
        <w:rPr>
          <w:lang w:val="fr-FR"/>
        </w:rPr>
        <w:t>, dans des conditions</w:t>
      </w:r>
      <w:r w:rsidR="00370B76" w:rsidRPr="00174283">
        <w:rPr>
          <w:lang w:val="fr-FR"/>
        </w:rPr>
        <w:t xml:space="preserve"> d</w:t>
      </w:r>
      <w:r w:rsidR="00205A62">
        <w:rPr>
          <w:lang w:val="fr-FR"/>
        </w:rPr>
        <w:t>’</w:t>
      </w:r>
      <w:r w:rsidR="00370B76" w:rsidRPr="00174283">
        <w:rPr>
          <w:lang w:val="fr-FR"/>
        </w:rPr>
        <w:t xml:space="preserve">égalité sur </w:t>
      </w:r>
      <w:r w:rsidR="008A1530" w:rsidRPr="00174283">
        <w:rPr>
          <w:lang w:val="fr-FR"/>
        </w:rPr>
        <w:t xml:space="preserve">tout </w:t>
      </w:r>
      <w:r w:rsidR="00370B76" w:rsidRPr="00174283">
        <w:rPr>
          <w:lang w:val="fr-FR"/>
        </w:rPr>
        <w:t xml:space="preserve">le territoire </w:t>
      </w:r>
      <w:r w:rsidR="007C7D60" w:rsidRPr="00174283">
        <w:rPr>
          <w:lang w:val="fr-FR"/>
        </w:rPr>
        <w:t>national</w:t>
      </w:r>
      <w:r w:rsidR="00B6019A" w:rsidRPr="00174283">
        <w:rPr>
          <w:lang w:val="fr-FR"/>
        </w:rPr>
        <w:t>;</w:t>
      </w:r>
      <w:r w:rsidR="00370B76" w:rsidRPr="00174283">
        <w:rPr>
          <w:lang w:val="fr-FR"/>
        </w:rPr>
        <w:t xml:space="preserve"> et</w:t>
      </w:r>
    </w:p>
    <w:p w:rsidR="00BB19A5" w:rsidRPr="00174283" w:rsidRDefault="004A336A" w:rsidP="00BB19A5">
      <w:pPr>
        <w:pStyle w:val="Bullet1G"/>
        <w:rPr>
          <w:lang w:val="fr-FR"/>
        </w:rPr>
      </w:pPr>
      <w:r w:rsidRPr="00174283">
        <w:rPr>
          <w:lang w:val="fr-FR"/>
        </w:rPr>
        <w:t xml:space="preserve">Promouvoir </w:t>
      </w:r>
      <w:r w:rsidR="00370B76" w:rsidRPr="00174283">
        <w:rPr>
          <w:lang w:val="fr-FR"/>
        </w:rPr>
        <w:t>la culture et la diversité culturelle du pays à l</w:t>
      </w:r>
      <w:r w:rsidR="00205A62">
        <w:rPr>
          <w:lang w:val="fr-FR"/>
        </w:rPr>
        <w:t>’</w:t>
      </w:r>
      <w:r w:rsidR="00370B76" w:rsidRPr="00174283">
        <w:rPr>
          <w:lang w:val="fr-FR"/>
        </w:rPr>
        <w:t>étranger</w:t>
      </w:r>
      <w:r w:rsidR="00BB19A5" w:rsidRPr="00174283">
        <w:rPr>
          <w:lang w:val="fr-FR"/>
        </w:rPr>
        <w:t>.</w:t>
      </w:r>
    </w:p>
    <w:p w:rsidR="00BB19A5" w:rsidRPr="00174283" w:rsidRDefault="00403721" w:rsidP="00403721">
      <w:pPr>
        <w:pStyle w:val="SingleTxtG"/>
      </w:pPr>
      <w:r>
        <w:t>115.</w:t>
      </w:r>
      <w:r>
        <w:tab/>
      </w:r>
      <w:r w:rsidR="00884089" w:rsidRPr="00174283">
        <w:t xml:space="preserve">Le développement </w:t>
      </w:r>
      <w:r w:rsidR="00B26DEA" w:rsidRPr="00174283">
        <w:t>culturel</w:t>
      </w:r>
      <w:r w:rsidR="00ED0283" w:rsidRPr="00174283">
        <w:t xml:space="preserve"> à l</w:t>
      </w:r>
      <w:r w:rsidR="00205A62">
        <w:t>’</w:t>
      </w:r>
      <w:r w:rsidR="00ED0283" w:rsidRPr="00174283">
        <w:t>échelle locale</w:t>
      </w:r>
      <w:r w:rsidR="00884089" w:rsidRPr="00174283">
        <w:t xml:space="preserve"> et les compétences des municipalités dans le domaine de la culture sont régis par la loi sur la culture et la loi </w:t>
      </w:r>
      <w:r w:rsidR="005F10CF" w:rsidRPr="00174283">
        <w:t>relative à l</w:t>
      </w:r>
      <w:r w:rsidR="00205A62">
        <w:t>’</w:t>
      </w:r>
      <w:r w:rsidR="005F10CF" w:rsidRPr="00174283">
        <w:t>autonomie locale</w:t>
      </w:r>
      <w:r w:rsidR="00884089" w:rsidRPr="00174283">
        <w:t xml:space="preserve"> </w:t>
      </w:r>
      <w:r w:rsidR="00BB19A5" w:rsidRPr="00174283">
        <w:t>(</w:t>
      </w:r>
      <w:r w:rsidR="004E1618" w:rsidRPr="006C4B2D">
        <w:rPr>
          <w:i/>
          <w:iCs/>
        </w:rPr>
        <w:t>Journal officiel de la République de Macédoine</w:t>
      </w:r>
      <w:r w:rsidR="00884089" w:rsidRPr="00174283">
        <w:t xml:space="preserve"> n</w:t>
      </w:r>
      <w:r w:rsidR="00884089" w:rsidRPr="00174283">
        <w:rPr>
          <w:vertAlign w:val="superscript"/>
        </w:rPr>
        <w:t>o</w:t>
      </w:r>
      <w:r w:rsidR="00136CAB" w:rsidRPr="00174283">
        <w:t> </w:t>
      </w:r>
      <w:r w:rsidR="00BB19A5" w:rsidRPr="00174283">
        <w:t xml:space="preserve">5/2002). </w:t>
      </w:r>
      <w:r w:rsidR="00884089" w:rsidRPr="00174283">
        <w:t>Dans le domaine de la culture,</w:t>
      </w:r>
      <w:r w:rsidR="00810ACC" w:rsidRPr="00174283">
        <w:t xml:space="preserve"> </w:t>
      </w:r>
      <w:r w:rsidR="00E97529" w:rsidRPr="00174283">
        <w:t xml:space="preserve">les municipalités ont des compétences en matière de </w:t>
      </w:r>
      <w:r w:rsidR="00810ACC" w:rsidRPr="00174283">
        <w:t xml:space="preserve">soutien institutionnel et financier </w:t>
      </w:r>
      <w:r w:rsidR="00884089" w:rsidRPr="00174283">
        <w:t xml:space="preserve">aux institutions et projets culturels, </w:t>
      </w:r>
      <w:r w:rsidR="00E97529" w:rsidRPr="00174283">
        <w:t>de</w:t>
      </w:r>
      <w:r w:rsidR="00884089" w:rsidRPr="00174283">
        <w:t xml:space="preserve"> préservation du folklore, des coutumes</w:t>
      </w:r>
      <w:r w:rsidR="002A2F9C" w:rsidRPr="00174283">
        <w:t>, des</w:t>
      </w:r>
      <w:r w:rsidR="00884089" w:rsidRPr="00174283">
        <w:t xml:space="preserve"> traditions artisanales et </w:t>
      </w:r>
      <w:r w:rsidR="00A14FC1" w:rsidRPr="00174283">
        <w:t>d</w:t>
      </w:r>
      <w:r w:rsidR="00205A62">
        <w:t>’</w:t>
      </w:r>
      <w:r w:rsidR="00884089" w:rsidRPr="00174283">
        <w:t>autres valeurs culturelles</w:t>
      </w:r>
      <w:r w:rsidR="00875A59" w:rsidRPr="00174283">
        <w:t>,</w:t>
      </w:r>
      <w:r w:rsidR="00884089" w:rsidRPr="00174283">
        <w:t xml:space="preserve"> ainsi que </w:t>
      </w:r>
      <w:r w:rsidR="00E97529" w:rsidRPr="00174283">
        <w:t>d</w:t>
      </w:r>
      <w:r w:rsidR="00205A62">
        <w:t>’</w:t>
      </w:r>
      <w:r w:rsidR="00884089" w:rsidRPr="00174283">
        <w:t xml:space="preserve">organisation de manifestations culturelles et </w:t>
      </w:r>
      <w:r w:rsidR="00E97529" w:rsidRPr="00174283">
        <w:t xml:space="preserve">de </w:t>
      </w:r>
      <w:r w:rsidR="00884089" w:rsidRPr="00174283">
        <w:t>promotion de différentes formes de créati</w:t>
      </w:r>
      <w:r w:rsidR="00B26DEA" w:rsidRPr="00174283">
        <w:t>on</w:t>
      </w:r>
      <w:r w:rsidR="00884089" w:rsidRPr="00174283">
        <w:t xml:space="preserve">. </w:t>
      </w:r>
    </w:p>
    <w:p w:rsidR="00BB19A5" w:rsidRPr="00174283" w:rsidRDefault="00403721" w:rsidP="00403721">
      <w:pPr>
        <w:pStyle w:val="SingleTxtG"/>
        <w:rPr>
          <w:lang w:val="fr-FR"/>
        </w:rPr>
      </w:pPr>
      <w:r>
        <w:rPr>
          <w:lang w:val="fr-FR"/>
        </w:rPr>
        <w:t>116.</w:t>
      </w:r>
      <w:r>
        <w:rPr>
          <w:lang w:val="fr-FR"/>
        </w:rPr>
        <w:tab/>
      </w:r>
      <w:r w:rsidR="006765AE" w:rsidRPr="00174283">
        <w:rPr>
          <w:lang w:val="fr-FR"/>
        </w:rPr>
        <w:t xml:space="preserve">En pratique, </w:t>
      </w:r>
      <w:r w:rsidR="00025D5B" w:rsidRPr="00174283">
        <w:rPr>
          <w:lang w:val="fr-FR"/>
        </w:rPr>
        <w:t xml:space="preserve">le processus de décentralisation et de </w:t>
      </w:r>
      <w:r w:rsidR="007C7D60" w:rsidRPr="00174283">
        <w:rPr>
          <w:lang w:val="fr-FR"/>
        </w:rPr>
        <w:t>transfert</w:t>
      </w:r>
      <w:r w:rsidR="00025D5B" w:rsidRPr="00174283">
        <w:rPr>
          <w:lang w:val="fr-FR"/>
        </w:rPr>
        <w:t xml:space="preserve"> de compétences dans le domaine de la culture, conformément à la </w:t>
      </w:r>
      <w:r w:rsidR="007C7D60" w:rsidRPr="00174283">
        <w:rPr>
          <w:lang w:val="fr-FR"/>
        </w:rPr>
        <w:t>législation</w:t>
      </w:r>
      <w:r w:rsidR="00025D5B" w:rsidRPr="00174283">
        <w:rPr>
          <w:lang w:val="fr-FR"/>
        </w:rPr>
        <w:t xml:space="preserve"> pertinente, a déjà </w:t>
      </w:r>
      <w:r w:rsidR="004B370E" w:rsidRPr="00174283">
        <w:rPr>
          <w:lang w:val="fr-FR"/>
        </w:rPr>
        <w:t>débuté</w:t>
      </w:r>
      <w:r w:rsidR="00025D5B" w:rsidRPr="00174283">
        <w:rPr>
          <w:lang w:val="fr-FR"/>
        </w:rPr>
        <w:t xml:space="preserve">. </w:t>
      </w:r>
      <w:r w:rsidR="00A14FC1" w:rsidRPr="00174283">
        <w:rPr>
          <w:lang w:val="fr-FR"/>
        </w:rPr>
        <w:t>Autrement dit</w:t>
      </w:r>
      <w:r w:rsidR="00025D5B" w:rsidRPr="00174283">
        <w:rPr>
          <w:lang w:val="fr-FR"/>
        </w:rPr>
        <w:t>, l</w:t>
      </w:r>
      <w:r w:rsidR="00205A62">
        <w:rPr>
          <w:lang w:val="fr-FR"/>
        </w:rPr>
        <w:t>’</w:t>
      </w:r>
      <w:r w:rsidR="00025D5B" w:rsidRPr="00174283">
        <w:rPr>
          <w:lang w:val="fr-FR"/>
        </w:rPr>
        <w:t>exercice, la promotion et le respect de la diversité et des traditions culturelles de l</w:t>
      </w:r>
      <w:r w:rsidR="00205A62">
        <w:rPr>
          <w:lang w:val="fr-FR"/>
        </w:rPr>
        <w:t>’</w:t>
      </w:r>
      <w:r w:rsidR="00025D5B" w:rsidRPr="00174283">
        <w:rPr>
          <w:lang w:val="fr-FR"/>
        </w:rPr>
        <w:t>ensemble des communautés de la République de Macédoine sont</w:t>
      </w:r>
      <w:r w:rsidR="00B91234" w:rsidRPr="00174283">
        <w:rPr>
          <w:lang w:val="fr-FR"/>
        </w:rPr>
        <w:t xml:space="preserve"> aujourd</w:t>
      </w:r>
      <w:r w:rsidR="00205A62">
        <w:rPr>
          <w:lang w:val="fr-FR"/>
        </w:rPr>
        <w:t>’</w:t>
      </w:r>
      <w:r w:rsidR="00B91234" w:rsidRPr="00174283">
        <w:rPr>
          <w:lang w:val="fr-FR"/>
        </w:rPr>
        <w:t xml:space="preserve">hui </w:t>
      </w:r>
      <w:r w:rsidR="00025D5B" w:rsidRPr="00174283">
        <w:rPr>
          <w:lang w:val="fr-FR"/>
        </w:rPr>
        <w:t xml:space="preserve">du ressort à la fois des organes nationaux et des autorités locales. </w:t>
      </w:r>
    </w:p>
    <w:p w:rsidR="00BB19A5" w:rsidRPr="00174283" w:rsidRDefault="00403721" w:rsidP="00403721">
      <w:pPr>
        <w:pStyle w:val="SingleTxtG"/>
        <w:rPr>
          <w:lang w:val="fr-FR"/>
        </w:rPr>
      </w:pPr>
      <w:r>
        <w:rPr>
          <w:lang w:val="fr-FR"/>
        </w:rPr>
        <w:t>117.</w:t>
      </w:r>
      <w:r>
        <w:rPr>
          <w:lang w:val="fr-FR"/>
        </w:rPr>
        <w:tab/>
      </w:r>
      <w:r w:rsidR="004D0EE8" w:rsidRPr="00174283">
        <w:rPr>
          <w:lang w:val="fr-FR"/>
        </w:rPr>
        <w:t>S</w:t>
      </w:r>
      <w:r w:rsidR="00205A62">
        <w:rPr>
          <w:lang w:val="fr-FR"/>
        </w:rPr>
        <w:t>’</w:t>
      </w:r>
      <w:r w:rsidR="004D0EE8" w:rsidRPr="00174283">
        <w:rPr>
          <w:lang w:val="fr-FR"/>
        </w:rPr>
        <w:t>agissant de la promotion, de la protection</w:t>
      </w:r>
      <w:r w:rsidR="00E843AD" w:rsidRPr="00174283">
        <w:rPr>
          <w:lang w:val="fr-FR"/>
        </w:rPr>
        <w:t xml:space="preserve"> efficace </w:t>
      </w:r>
      <w:r w:rsidR="004D0EE8" w:rsidRPr="00174283">
        <w:rPr>
          <w:lang w:val="fr-FR"/>
        </w:rPr>
        <w:t>et du développement des traditions et du patrimoine culturel matériel des différentes communautés, l</w:t>
      </w:r>
      <w:r w:rsidR="00025D5B" w:rsidRPr="00174283">
        <w:rPr>
          <w:lang w:val="fr-FR"/>
        </w:rPr>
        <w:t xml:space="preserve">a loi sur la culture </w:t>
      </w:r>
      <w:r w:rsidR="0043784E" w:rsidRPr="00174283">
        <w:rPr>
          <w:lang w:val="fr-FR"/>
        </w:rPr>
        <w:t>prévoit</w:t>
      </w:r>
      <w:r w:rsidR="00025D5B" w:rsidRPr="00174283">
        <w:rPr>
          <w:lang w:val="fr-FR"/>
        </w:rPr>
        <w:t xml:space="preserve"> que la protection et l</w:t>
      </w:r>
      <w:r w:rsidR="00205A62">
        <w:rPr>
          <w:lang w:val="fr-FR"/>
        </w:rPr>
        <w:t>’</w:t>
      </w:r>
      <w:r w:rsidR="00025D5B" w:rsidRPr="00174283">
        <w:rPr>
          <w:lang w:val="fr-FR"/>
        </w:rPr>
        <w:t xml:space="preserve">utilisation des créations </w:t>
      </w:r>
      <w:r w:rsidR="007C7D60" w:rsidRPr="00174283">
        <w:rPr>
          <w:lang w:val="fr-FR"/>
        </w:rPr>
        <w:t>matérielles</w:t>
      </w:r>
      <w:r w:rsidR="00025D5B" w:rsidRPr="00174283">
        <w:rPr>
          <w:lang w:val="fr-FR"/>
        </w:rPr>
        <w:t xml:space="preserve"> et immatérielles </w:t>
      </w:r>
      <w:r w:rsidR="00A968B1" w:rsidRPr="00174283">
        <w:rPr>
          <w:lang w:val="fr-FR"/>
        </w:rPr>
        <w:t xml:space="preserve">faisant partie du patrimoine </w:t>
      </w:r>
      <w:r w:rsidR="00025D5B" w:rsidRPr="00174283">
        <w:rPr>
          <w:lang w:val="fr-FR"/>
        </w:rPr>
        <w:t>culture</w:t>
      </w:r>
      <w:r w:rsidR="00136CAB" w:rsidRPr="00174283">
        <w:rPr>
          <w:lang w:val="fr-FR"/>
        </w:rPr>
        <w:t>l</w:t>
      </w:r>
      <w:r w:rsidR="00025D5B" w:rsidRPr="00174283">
        <w:rPr>
          <w:lang w:val="fr-FR"/>
        </w:rPr>
        <w:t xml:space="preserve"> commun </w:t>
      </w:r>
      <w:r w:rsidR="009353FB" w:rsidRPr="00174283">
        <w:rPr>
          <w:lang w:val="fr-FR"/>
        </w:rPr>
        <w:t xml:space="preserve">à </w:t>
      </w:r>
      <w:r w:rsidR="00025D5B" w:rsidRPr="00174283">
        <w:rPr>
          <w:lang w:val="fr-FR"/>
        </w:rPr>
        <w:t>l</w:t>
      </w:r>
      <w:r w:rsidR="00205A62">
        <w:rPr>
          <w:lang w:val="fr-FR"/>
        </w:rPr>
        <w:t>’</w:t>
      </w:r>
      <w:r w:rsidR="00025D5B" w:rsidRPr="00174283">
        <w:rPr>
          <w:lang w:val="fr-FR"/>
        </w:rPr>
        <w:t>ensemble des citoyens de la République de Macédoine so</w:t>
      </w:r>
      <w:r w:rsidR="00A968B1" w:rsidRPr="00174283">
        <w:rPr>
          <w:lang w:val="fr-FR"/>
        </w:rPr>
        <w:t>ie</w:t>
      </w:r>
      <w:r w:rsidR="00025D5B" w:rsidRPr="00174283">
        <w:rPr>
          <w:lang w:val="fr-FR"/>
        </w:rPr>
        <w:t xml:space="preserve">nt régies par </w:t>
      </w:r>
      <w:r w:rsidR="00EB312B" w:rsidRPr="00174283">
        <w:rPr>
          <w:lang w:val="fr-FR"/>
        </w:rPr>
        <w:t>plusieurs textes</w:t>
      </w:r>
      <w:r w:rsidR="00025D5B" w:rsidRPr="00174283">
        <w:rPr>
          <w:lang w:val="fr-FR"/>
        </w:rPr>
        <w:t xml:space="preserve"> règlement</w:t>
      </w:r>
      <w:r w:rsidR="00EB312B" w:rsidRPr="00174283">
        <w:rPr>
          <w:lang w:val="fr-FR"/>
        </w:rPr>
        <w:t>aire</w:t>
      </w:r>
      <w:r w:rsidR="00025D5B" w:rsidRPr="00174283">
        <w:rPr>
          <w:lang w:val="fr-FR"/>
        </w:rPr>
        <w:t xml:space="preserve">s </w:t>
      </w:r>
      <w:r w:rsidR="00145ECA" w:rsidRPr="00174283">
        <w:rPr>
          <w:lang w:val="fr-FR"/>
        </w:rPr>
        <w:t>applicables</w:t>
      </w:r>
      <w:r w:rsidR="00EB312B" w:rsidRPr="00174283">
        <w:rPr>
          <w:lang w:val="fr-FR"/>
        </w:rPr>
        <w:t xml:space="preserve"> à différents domaines</w:t>
      </w:r>
      <w:r w:rsidR="00FA4AAA" w:rsidRPr="00174283">
        <w:rPr>
          <w:lang w:val="fr-FR"/>
        </w:rPr>
        <w:t xml:space="preserve">. </w:t>
      </w:r>
    </w:p>
    <w:p w:rsidR="00BB19A5" w:rsidRPr="00174283" w:rsidRDefault="00403721" w:rsidP="00403721">
      <w:pPr>
        <w:pStyle w:val="SingleTxtG"/>
        <w:rPr>
          <w:lang w:val="fr-FR"/>
        </w:rPr>
      </w:pPr>
      <w:r>
        <w:rPr>
          <w:lang w:val="fr-FR"/>
        </w:rPr>
        <w:t>118.</w:t>
      </w:r>
      <w:r>
        <w:rPr>
          <w:lang w:val="fr-FR"/>
        </w:rPr>
        <w:tab/>
      </w:r>
      <w:r w:rsidR="00FA4AAA" w:rsidRPr="00174283">
        <w:rPr>
          <w:lang w:val="fr-FR"/>
        </w:rPr>
        <w:t>La loi sur la p</w:t>
      </w:r>
      <w:r w:rsidR="00BB19A5" w:rsidRPr="00174283">
        <w:rPr>
          <w:lang w:val="fr-FR"/>
        </w:rPr>
        <w:t xml:space="preserve">rotection </w:t>
      </w:r>
      <w:r w:rsidR="00FA4AAA" w:rsidRPr="00174283">
        <w:rPr>
          <w:lang w:val="fr-FR"/>
        </w:rPr>
        <w:t xml:space="preserve">du patrimoine culturel </w:t>
      </w:r>
      <w:r w:rsidR="00BB19A5" w:rsidRPr="00174283">
        <w:rPr>
          <w:lang w:val="fr-FR"/>
        </w:rPr>
        <w:t>(</w:t>
      </w:r>
      <w:r w:rsidR="004E1618" w:rsidRPr="006C4B2D">
        <w:rPr>
          <w:i/>
          <w:iCs/>
          <w:lang w:val="fr-FR"/>
        </w:rPr>
        <w:t>Journal officiel de la République de Macédoine</w:t>
      </w:r>
      <w:r w:rsidR="00F104B6" w:rsidRPr="00174283">
        <w:rPr>
          <w:lang w:val="fr-FR"/>
        </w:rPr>
        <w:t xml:space="preserve"> </w:t>
      </w:r>
      <w:r w:rsidR="00FA4AAA" w:rsidRPr="00174283">
        <w:rPr>
          <w:lang w:val="fr-FR"/>
        </w:rPr>
        <w:t>n</w:t>
      </w:r>
      <w:r w:rsidR="00BB19A5" w:rsidRPr="00174283">
        <w:rPr>
          <w:vertAlign w:val="superscript"/>
          <w:lang w:val="fr-FR"/>
        </w:rPr>
        <w:t>o</w:t>
      </w:r>
      <w:r w:rsidR="00395B46" w:rsidRPr="00174283">
        <w:rPr>
          <w:vertAlign w:val="superscript"/>
          <w:lang w:val="fr-FR"/>
        </w:rPr>
        <w:t>s</w:t>
      </w:r>
      <w:r w:rsidR="000061A8" w:rsidRPr="00174283">
        <w:rPr>
          <w:lang w:val="fr-FR"/>
        </w:rPr>
        <w:t> </w:t>
      </w:r>
      <w:r w:rsidR="005D11AF" w:rsidRPr="00174283">
        <w:rPr>
          <w:lang w:val="fr-FR"/>
        </w:rPr>
        <w:t>20/04,</w:t>
      </w:r>
      <w:r w:rsidR="00BB19A5" w:rsidRPr="00174283">
        <w:rPr>
          <w:lang w:val="fr-FR"/>
        </w:rPr>
        <w:t xml:space="preserve"> 115/07, 18/</w:t>
      </w:r>
      <w:r w:rsidR="00FA4AAA" w:rsidRPr="00174283">
        <w:rPr>
          <w:lang w:val="fr-FR"/>
        </w:rPr>
        <w:t xml:space="preserve">11 et 148/11) </w:t>
      </w:r>
      <w:r w:rsidR="00C9573A" w:rsidRPr="00174283">
        <w:rPr>
          <w:lang w:val="fr-FR"/>
        </w:rPr>
        <w:t xml:space="preserve">consacre les principes fondamentaux de la protection du patrimoine culturel et </w:t>
      </w:r>
      <w:r w:rsidR="00FA4AAA" w:rsidRPr="00174283">
        <w:rPr>
          <w:lang w:val="fr-FR"/>
        </w:rPr>
        <w:t xml:space="preserve">régit les questions </w:t>
      </w:r>
      <w:r w:rsidR="00C9573A" w:rsidRPr="00174283">
        <w:rPr>
          <w:lang w:val="fr-FR"/>
        </w:rPr>
        <w:t>qui revêtent de l</w:t>
      </w:r>
      <w:r w:rsidR="00205A62">
        <w:rPr>
          <w:lang w:val="fr-FR"/>
        </w:rPr>
        <w:t>’</w:t>
      </w:r>
      <w:r w:rsidR="00C9573A" w:rsidRPr="00174283">
        <w:rPr>
          <w:lang w:val="fr-FR"/>
        </w:rPr>
        <w:t>importance pour</w:t>
      </w:r>
      <w:r w:rsidR="00FA4AAA" w:rsidRPr="00174283">
        <w:rPr>
          <w:lang w:val="fr-FR"/>
        </w:rPr>
        <w:t xml:space="preserve"> l</w:t>
      </w:r>
      <w:r w:rsidR="00205A62">
        <w:rPr>
          <w:lang w:val="fr-FR"/>
        </w:rPr>
        <w:t>’</w:t>
      </w:r>
      <w:r w:rsidR="00FA4AAA" w:rsidRPr="00174283">
        <w:rPr>
          <w:lang w:val="fr-FR"/>
        </w:rPr>
        <w:t xml:space="preserve">unité du </w:t>
      </w:r>
      <w:r w:rsidR="00C9573A" w:rsidRPr="00174283">
        <w:rPr>
          <w:lang w:val="fr-FR"/>
        </w:rPr>
        <w:t>dispositif</w:t>
      </w:r>
      <w:r w:rsidR="00FA4AAA" w:rsidRPr="00174283">
        <w:rPr>
          <w:lang w:val="fr-FR"/>
        </w:rPr>
        <w:t xml:space="preserve"> </w:t>
      </w:r>
      <w:r w:rsidR="00727DED" w:rsidRPr="00174283">
        <w:rPr>
          <w:lang w:val="fr-FR"/>
        </w:rPr>
        <w:t>correspondant</w:t>
      </w:r>
      <w:r w:rsidR="00FA4AAA" w:rsidRPr="00174283">
        <w:rPr>
          <w:lang w:val="fr-FR"/>
        </w:rPr>
        <w:t xml:space="preserve">. </w:t>
      </w:r>
      <w:r w:rsidR="00C9573A" w:rsidRPr="00174283">
        <w:rPr>
          <w:lang w:val="fr-FR"/>
        </w:rPr>
        <w:t>Cependant, l</w:t>
      </w:r>
      <w:r w:rsidR="00FA4AAA" w:rsidRPr="00174283">
        <w:rPr>
          <w:lang w:val="fr-FR"/>
        </w:rPr>
        <w:t>a protection du patrimoine culturel immatériel et matériel est</w:t>
      </w:r>
      <w:r w:rsidR="00C9573A" w:rsidRPr="00174283">
        <w:rPr>
          <w:lang w:val="fr-FR"/>
        </w:rPr>
        <w:t xml:space="preserve"> également</w:t>
      </w:r>
      <w:r w:rsidR="00FA4AAA" w:rsidRPr="00174283">
        <w:rPr>
          <w:lang w:val="fr-FR"/>
        </w:rPr>
        <w:t xml:space="preserve"> du ressort d</w:t>
      </w:r>
      <w:r w:rsidR="00205A62">
        <w:rPr>
          <w:lang w:val="fr-FR"/>
        </w:rPr>
        <w:t>’</w:t>
      </w:r>
      <w:r w:rsidR="00FA4AAA" w:rsidRPr="00174283">
        <w:rPr>
          <w:lang w:val="fr-FR"/>
        </w:rPr>
        <w:t xml:space="preserve">autres lois régissant certaines activités </w:t>
      </w:r>
      <w:r w:rsidR="00145ECA" w:rsidRPr="00174283">
        <w:rPr>
          <w:lang w:val="fr-FR"/>
        </w:rPr>
        <w:t xml:space="preserve">relatives </w:t>
      </w:r>
      <w:r w:rsidR="00C839B1" w:rsidRPr="00174283">
        <w:rPr>
          <w:lang w:val="fr-FR"/>
        </w:rPr>
        <w:t>à</w:t>
      </w:r>
      <w:r w:rsidR="00FA4AAA" w:rsidRPr="00174283">
        <w:rPr>
          <w:lang w:val="fr-FR"/>
        </w:rPr>
        <w:t xml:space="preserve"> la protection </w:t>
      </w:r>
      <w:r w:rsidR="00727DED" w:rsidRPr="00174283">
        <w:rPr>
          <w:lang w:val="fr-FR"/>
        </w:rPr>
        <w:t>des biens</w:t>
      </w:r>
      <w:r w:rsidR="00C839B1" w:rsidRPr="00174283">
        <w:rPr>
          <w:bCs/>
          <w:lang w:val="fr-FR"/>
        </w:rPr>
        <w:t xml:space="preserve"> culturel</w:t>
      </w:r>
      <w:r w:rsidR="00727DED" w:rsidRPr="00174283">
        <w:rPr>
          <w:bCs/>
          <w:lang w:val="fr-FR"/>
        </w:rPr>
        <w:t>s</w:t>
      </w:r>
      <w:r w:rsidR="00C839B1" w:rsidRPr="00174283">
        <w:rPr>
          <w:bCs/>
          <w:lang w:val="fr-FR"/>
        </w:rPr>
        <w:t xml:space="preserve"> mobilier</w:t>
      </w:r>
      <w:r w:rsidR="00727DED" w:rsidRPr="00174283">
        <w:rPr>
          <w:bCs/>
          <w:lang w:val="fr-FR"/>
        </w:rPr>
        <w:t>s</w:t>
      </w:r>
      <w:r w:rsidR="00C839B1" w:rsidRPr="00174283">
        <w:rPr>
          <w:lang w:val="fr-FR"/>
        </w:rPr>
        <w:t xml:space="preserve"> </w:t>
      </w:r>
      <w:r w:rsidR="00FA4AAA" w:rsidRPr="00174283">
        <w:rPr>
          <w:lang w:val="fr-FR"/>
        </w:rPr>
        <w:t xml:space="preserve">en fonction de </w:t>
      </w:r>
      <w:r w:rsidR="00727DED" w:rsidRPr="00174283">
        <w:rPr>
          <w:lang w:val="fr-FR"/>
        </w:rPr>
        <w:t xml:space="preserve">la </w:t>
      </w:r>
      <w:r w:rsidR="00FA4AAA" w:rsidRPr="00174283">
        <w:rPr>
          <w:lang w:val="fr-FR"/>
        </w:rPr>
        <w:t>catégorie</w:t>
      </w:r>
      <w:r w:rsidR="00727DED" w:rsidRPr="00174283">
        <w:rPr>
          <w:lang w:val="fr-FR"/>
        </w:rPr>
        <w:t xml:space="preserve"> à laquelle</w:t>
      </w:r>
      <w:r w:rsidR="002F51DC">
        <w:rPr>
          <w:lang w:val="fr-FR"/>
        </w:rPr>
        <w:t xml:space="preserve"> </w:t>
      </w:r>
      <w:r w:rsidR="00727DED" w:rsidRPr="00174283">
        <w:rPr>
          <w:lang w:val="fr-FR"/>
        </w:rPr>
        <w:t xml:space="preserve">ils appartiennent </w:t>
      </w:r>
      <w:r w:rsidR="00FA4AAA" w:rsidRPr="00174283">
        <w:rPr>
          <w:lang w:val="fr-FR"/>
        </w:rPr>
        <w:t>(musée</w:t>
      </w:r>
      <w:r w:rsidR="00EB312B" w:rsidRPr="00174283">
        <w:rPr>
          <w:lang w:val="fr-FR"/>
        </w:rPr>
        <w:t>s</w:t>
      </w:r>
      <w:r w:rsidR="00FA4AAA" w:rsidRPr="00174283">
        <w:rPr>
          <w:lang w:val="fr-FR"/>
        </w:rPr>
        <w:t>, bibliothèque</w:t>
      </w:r>
      <w:r w:rsidR="00EB312B" w:rsidRPr="00174283">
        <w:rPr>
          <w:lang w:val="fr-FR"/>
        </w:rPr>
        <w:t>s, archives</w:t>
      </w:r>
      <w:r w:rsidR="00FA4AAA" w:rsidRPr="00174283">
        <w:rPr>
          <w:lang w:val="fr-FR"/>
        </w:rPr>
        <w:t xml:space="preserve"> </w:t>
      </w:r>
      <w:r w:rsidR="007C7D60" w:rsidRPr="00174283">
        <w:rPr>
          <w:lang w:val="fr-FR"/>
        </w:rPr>
        <w:t>audiovisuel</w:t>
      </w:r>
      <w:r w:rsidR="00EB312B" w:rsidRPr="00174283">
        <w:rPr>
          <w:lang w:val="fr-FR"/>
        </w:rPr>
        <w:t>le</w:t>
      </w:r>
      <w:r w:rsidR="007C7D60" w:rsidRPr="00174283">
        <w:rPr>
          <w:lang w:val="fr-FR"/>
        </w:rPr>
        <w:t>s</w:t>
      </w:r>
      <w:r w:rsidR="00FA4AAA" w:rsidRPr="00174283">
        <w:rPr>
          <w:lang w:val="fr-FR"/>
        </w:rPr>
        <w:t>)</w:t>
      </w:r>
      <w:r w:rsidR="00572677" w:rsidRPr="00174283">
        <w:rPr>
          <w:lang w:val="fr-FR"/>
        </w:rPr>
        <w:t>,</w:t>
      </w:r>
      <w:r w:rsidR="00FA4AAA" w:rsidRPr="00174283">
        <w:rPr>
          <w:lang w:val="fr-FR"/>
        </w:rPr>
        <w:t xml:space="preserve"> qui sont conformes aux accords internationaux pertinents. </w:t>
      </w:r>
    </w:p>
    <w:p w:rsidR="00BB19A5" w:rsidRPr="00174283" w:rsidRDefault="00403721" w:rsidP="00403721">
      <w:pPr>
        <w:pStyle w:val="SingleTxtG"/>
        <w:rPr>
          <w:lang w:val="fr-FR"/>
        </w:rPr>
      </w:pPr>
      <w:r>
        <w:rPr>
          <w:lang w:val="fr-FR"/>
        </w:rPr>
        <w:t>119.</w:t>
      </w:r>
      <w:r>
        <w:rPr>
          <w:lang w:val="fr-FR"/>
        </w:rPr>
        <w:tab/>
      </w:r>
      <w:r w:rsidR="009353FB" w:rsidRPr="00174283">
        <w:rPr>
          <w:lang w:val="fr-FR"/>
        </w:rPr>
        <w:t>En vertu de</w:t>
      </w:r>
      <w:r w:rsidR="00FA4AAA" w:rsidRPr="00174283">
        <w:rPr>
          <w:lang w:val="fr-FR"/>
        </w:rPr>
        <w:t xml:space="preserve"> la loi sur la protection du patrimoine culturel, le patrimoine culturel est une valeur fondamentale de la République de Macédoine</w:t>
      </w:r>
      <w:r w:rsidR="00875A59" w:rsidRPr="00174283">
        <w:rPr>
          <w:lang w:val="fr-FR"/>
        </w:rPr>
        <w:t>;</w:t>
      </w:r>
      <w:r w:rsidR="00FA4AAA" w:rsidRPr="00174283">
        <w:rPr>
          <w:lang w:val="fr-FR"/>
        </w:rPr>
        <w:t xml:space="preserve"> sa protection est d</w:t>
      </w:r>
      <w:r w:rsidR="00205A62">
        <w:rPr>
          <w:lang w:val="fr-FR"/>
        </w:rPr>
        <w:t>’</w:t>
      </w:r>
      <w:r w:rsidR="00FA4AAA" w:rsidRPr="00174283">
        <w:rPr>
          <w:lang w:val="fr-FR"/>
        </w:rPr>
        <w:t xml:space="preserve">intérêt public et </w:t>
      </w:r>
      <w:r w:rsidR="00875A59" w:rsidRPr="00174283">
        <w:rPr>
          <w:lang w:val="fr-FR"/>
        </w:rPr>
        <w:t>elle est assurée</w:t>
      </w:r>
      <w:r w:rsidR="00FA4AAA" w:rsidRPr="00174283">
        <w:rPr>
          <w:lang w:val="fr-FR"/>
        </w:rPr>
        <w:t xml:space="preserve"> </w:t>
      </w:r>
      <w:r w:rsidR="004152C5" w:rsidRPr="00174283">
        <w:rPr>
          <w:lang w:val="fr-FR"/>
        </w:rPr>
        <w:t>en fonction de sa valeur, de son importance, des risques auxquels il est exposé, indépendamment de l</w:t>
      </w:r>
      <w:r w:rsidR="00205A62">
        <w:rPr>
          <w:lang w:val="fr-FR"/>
        </w:rPr>
        <w:t>’</w:t>
      </w:r>
      <w:r w:rsidR="004152C5" w:rsidRPr="00174283">
        <w:rPr>
          <w:lang w:val="fr-FR"/>
        </w:rPr>
        <w:t>époque à laquelle il appartient et du lieu où il se trouve, quels que soient le mode d</w:t>
      </w:r>
      <w:r w:rsidR="00205A62">
        <w:rPr>
          <w:lang w:val="fr-FR"/>
        </w:rPr>
        <w:t>’</w:t>
      </w:r>
      <w:r w:rsidR="004152C5" w:rsidRPr="00174283">
        <w:rPr>
          <w:lang w:val="fr-FR"/>
        </w:rPr>
        <w:t xml:space="preserve">établissement, de création, de propriété, </w:t>
      </w:r>
      <w:r w:rsidR="00625A66" w:rsidRPr="00174283">
        <w:rPr>
          <w:lang w:val="fr-FR"/>
        </w:rPr>
        <w:t xml:space="preserve">de </w:t>
      </w:r>
      <w:r w:rsidR="004152C5" w:rsidRPr="00174283">
        <w:rPr>
          <w:lang w:val="fr-FR"/>
        </w:rPr>
        <w:t>l</w:t>
      </w:r>
      <w:r w:rsidR="00205A62">
        <w:rPr>
          <w:lang w:val="fr-FR"/>
        </w:rPr>
        <w:t>’</w:t>
      </w:r>
      <w:r w:rsidR="004152C5" w:rsidRPr="00174283">
        <w:rPr>
          <w:lang w:val="fr-FR"/>
        </w:rPr>
        <w:t xml:space="preserve">usage qui </w:t>
      </w:r>
      <w:r w:rsidR="00572677" w:rsidRPr="00174283">
        <w:rPr>
          <w:lang w:val="fr-FR"/>
        </w:rPr>
        <w:t xml:space="preserve">en </w:t>
      </w:r>
      <w:r w:rsidR="004152C5" w:rsidRPr="00174283">
        <w:rPr>
          <w:lang w:val="fr-FR"/>
        </w:rPr>
        <w:t>est fait, indépendamment de son caractère laïque ou religieux (et, dans ce cas, de la religion concernée).</w:t>
      </w:r>
    </w:p>
    <w:p w:rsidR="00BB19A5" w:rsidRPr="00174283" w:rsidRDefault="00403721" w:rsidP="00403721">
      <w:pPr>
        <w:pStyle w:val="SingleTxtG"/>
        <w:rPr>
          <w:lang w:val="fr-FR"/>
        </w:rPr>
      </w:pPr>
      <w:r>
        <w:rPr>
          <w:lang w:val="fr-FR"/>
        </w:rPr>
        <w:t>120.</w:t>
      </w:r>
      <w:r>
        <w:rPr>
          <w:lang w:val="fr-FR"/>
        </w:rPr>
        <w:tab/>
      </w:r>
      <w:r w:rsidR="007C7D60" w:rsidRPr="00174283">
        <w:rPr>
          <w:lang w:val="fr-FR"/>
        </w:rPr>
        <w:t xml:space="preserve">La loi sur les bibliothèques, la loi sur les musées, la loi sur les œuvres audiovisuelles, la loi relative aux monuments et monuments commémoratifs et la loi sur la protection du patrimoine culturel constituent la base juridique </w:t>
      </w:r>
      <w:r w:rsidR="00875A59" w:rsidRPr="00174283">
        <w:rPr>
          <w:lang w:val="fr-FR"/>
        </w:rPr>
        <w:t>de</w:t>
      </w:r>
      <w:r w:rsidR="007C7D60" w:rsidRPr="00174283">
        <w:rPr>
          <w:lang w:val="fr-FR"/>
        </w:rPr>
        <w:t xml:space="preserve"> la promotion de la culture à l</w:t>
      </w:r>
      <w:r w:rsidR="00205A62">
        <w:rPr>
          <w:lang w:val="fr-FR"/>
        </w:rPr>
        <w:t>’</w:t>
      </w:r>
      <w:r w:rsidR="007C7D60" w:rsidRPr="00174283">
        <w:rPr>
          <w:lang w:val="fr-FR"/>
        </w:rPr>
        <w:t xml:space="preserve">échelle locale et </w:t>
      </w:r>
      <w:r w:rsidR="00875A59" w:rsidRPr="00174283">
        <w:rPr>
          <w:lang w:val="fr-FR"/>
        </w:rPr>
        <w:t>du</w:t>
      </w:r>
      <w:r w:rsidR="007C7D60" w:rsidRPr="00174283">
        <w:rPr>
          <w:lang w:val="fr-FR"/>
        </w:rPr>
        <w:t xml:space="preserve"> développement plus efficace de la culture et des traditions de l</w:t>
      </w:r>
      <w:r w:rsidR="00205A62">
        <w:rPr>
          <w:lang w:val="fr-FR"/>
        </w:rPr>
        <w:t>’</w:t>
      </w:r>
      <w:r w:rsidR="007C7D60" w:rsidRPr="00174283">
        <w:rPr>
          <w:lang w:val="fr-FR"/>
        </w:rPr>
        <w:t xml:space="preserve">ensemble des communautés de la République de Macédoine. </w:t>
      </w:r>
    </w:p>
    <w:p w:rsidR="00BB19A5" w:rsidRPr="00174283" w:rsidRDefault="00403721" w:rsidP="00403721">
      <w:pPr>
        <w:pStyle w:val="SingleTxtG"/>
        <w:rPr>
          <w:lang w:val="fr-FR"/>
        </w:rPr>
      </w:pPr>
      <w:r>
        <w:rPr>
          <w:lang w:val="fr-FR"/>
        </w:rPr>
        <w:t>121.</w:t>
      </w:r>
      <w:r>
        <w:rPr>
          <w:lang w:val="fr-FR"/>
        </w:rPr>
        <w:tab/>
      </w:r>
      <w:r w:rsidR="00B36C5E" w:rsidRPr="00174283">
        <w:rPr>
          <w:lang w:val="fr-FR"/>
        </w:rPr>
        <w:t>Conformément à la loi sur la culture,</w:t>
      </w:r>
      <w:r w:rsidR="00E63501" w:rsidRPr="00174283">
        <w:rPr>
          <w:lang w:val="fr-FR"/>
        </w:rPr>
        <w:t xml:space="preserve"> </w:t>
      </w:r>
      <w:r w:rsidR="00624DC8" w:rsidRPr="00174283">
        <w:rPr>
          <w:lang w:val="fr-FR"/>
        </w:rPr>
        <w:t>le</w:t>
      </w:r>
      <w:r w:rsidR="00B26F7D" w:rsidRPr="00174283">
        <w:rPr>
          <w:lang w:val="fr-FR"/>
        </w:rPr>
        <w:t xml:space="preserve"> Ministère de la culture assure</w:t>
      </w:r>
      <w:r w:rsidR="00C80EBE" w:rsidRPr="00174283">
        <w:rPr>
          <w:lang w:val="fr-FR"/>
        </w:rPr>
        <w:t>,</w:t>
      </w:r>
      <w:r w:rsidR="00B26F7D" w:rsidRPr="00174283">
        <w:rPr>
          <w:lang w:val="fr-FR"/>
        </w:rPr>
        <w:t xml:space="preserve"> </w:t>
      </w:r>
      <w:r w:rsidR="00624DC8" w:rsidRPr="00174283">
        <w:rPr>
          <w:lang w:val="fr-FR"/>
        </w:rPr>
        <w:t>à même le budget de l</w:t>
      </w:r>
      <w:r w:rsidR="00205A62">
        <w:rPr>
          <w:lang w:val="fr-FR"/>
        </w:rPr>
        <w:t>’</w:t>
      </w:r>
      <w:r w:rsidR="00624DC8" w:rsidRPr="00174283">
        <w:rPr>
          <w:lang w:val="fr-FR"/>
        </w:rPr>
        <w:t>État</w:t>
      </w:r>
      <w:r w:rsidR="00C80EBE" w:rsidRPr="00174283">
        <w:rPr>
          <w:lang w:val="fr-FR"/>
        </w:rPr>
        <w:t>,</w:t>
      </w:r>
      <w:r w:rsidR="00624DC8" w:rsidRPr="00174283">
        <w:rPr>
          <w:lang w:val="fr-FR"/>
        </w:rPr>
        <w:t xml:space="preserve"> </w:t>
      </w:r>
      <w:r w:rsidR="0089660E" w:rsidRPr="00174283">
        <w:rPr>
          <w:lang w:val="fr-FR"/>
        </w:rPr>
        <w:t xml:space="preserve">le financement </w:t>
      </w:r>
      <w:r w:rsidR="00B26F7D" w:rsidRPr="00174283">
        <w:rPr>
          <w:lang w:val="fr-FR"/>
        </w:rPr>
        <w:t>des</w:t>
      </w:r>
      <w:r w:rsidR="00B36C5E" w:rsidRPr="00174283">
        <w:rPr>
          <w:lang w:val="fr-FR"/>
        </w:rPr>
        <w:t xml:space="preserve"> projets culturels et la protection du patrimoine culturel de</w:t>
      </w:r>
      <w:r w:rsidR="00B26F7D" w:rsidRPr="00174283">
        <w:rPr>
          <w:lang w:val="fr-FR"/>
        </w:rPr>
        <w:t>s</w:t>
      </w:r>
      <w:r w:rsidR="00B36C5E" w:rsidRPr="00174283">
        <w:rPr>
          <w:lang w:val="fr-FR"/>
        </w:rPr>
        <w:t xml:space="preserve"> différentes communautés </w:t>
      </w:r>
      <w:r w:rsidR="00DB2D27" w:rsidRPr="00174283">
        <w:rPr>
          <w:lang w:val="fr-FR"/>
        </w:rPr>
        <w:t>dans le cadre</w:t>
      </w:r>
      <w:r w:rsidR="00B36C5E" w:rsidRPr="00174283">
        <w:rPr>
          <w:lang w:val="fr-FR"/>
        </w:rPr>
        <w:t xml:space="preserve"> d</w:t>
      </w:r>
      <w:r w:rsidR="00205A62">
        <w:rPr>
          <w:lang w:val="fr-FR"/>
        </w:rPr>
        <w:t>’</w:t>
      </w:r>
      <w:r w:rsidR="00624DC8" w:rsidRPr="00174283">
        <w:rPr>
          <w:lang w:val="fr-FR"/>
        </w:rPr>
        <w:t>un dispositif d</w:t>
      </w:r>
      <w:r w:rsidR="00B36C5E" w:rsidRPr="00174283">
        <w:rPr>
          <w:lang w:val="fr-FR"/>
        </w:rPr>
        <w:t xml:space="preserve">e </w:t>
      </w:r>
      <w:r w:rsidR="007C7D60" w:rsidRPr="00174283">
        <w:rPr>
          <w:lang w:val="fr-FR"/>
        </w:rPr>
        <w:t>programmes</w:t>
      </w:r>
      <w:r w:rsidR="00B36C5E" w:rsidRPr="00174283">
        <w:rPr>
          <w:lang w:val="fr-FR"/>
        </w:rPr>
        <w:t xml:space="preserve"> </w:t>
      </w:r>
      <w:r w:rsidR="00DB2D27" w:rsidRPr="00174283">
        <w:rPr>
          <w:lang w:val="fr-FR"/>
        </w:rPr>
        <w:t>et</w:t>
      </w:r>
      <w:r w:rsidR="00B36C5E" w:rsidRPr="00174283">
        <w:rPr>
          <w:lang w:val="fr-FR"/>
        </w:rPr>
        <w:t xml:space="preserve"> </w:t>
      </w:r>
      <w:r w:rsidR="00624DC8" w:rsidRPr="00174283">
        <w:rPr>
          <w:lang w:val="fr-FR"/>
        </w:rPr>
        <w:t xml:space="preserve">de </w:t>
      </w:r>
      <w:r w:rsidR="00B36C5E" w:rsidRPr="00174283">
        <w:rPr>
          <w:lang w:val="fr-FR"/>
        </w:rPr>
        <w:t>projets d</w:t>
      </w:r>
      <w:r w:rsidR="00205A62">
        <w:rPr>
          <w:lang w:val="fr-FR"/>
        </w:rPr>
        <w:t>’</w:t>
      </w:r>
      <w:r w:rsidR="00B36C5E" w:rsidRPr="00174283">
        <w:rPr>
          <w:lang w:val="fr-FR"/>
        </w:rPr>
        <w:t xml:space="preserve">intérêt national. </w:t>
      </w:r>
      <w:r w:rsidR="003A00E9" w:rsidRPr="00174283">
        <w:rPr>
          <w:lang w:val="fr-FR"/>
        </w:rPr>
        <w:t>Le</w:t>
      </w:r>
      <w:r w:rsidR="00B36C5E" w:rsidRPr="00174283">
        <w:rPr>
          <w:lang w:val="fr-FR"/>
        </w:rPr>
        <w:t xml:space="preserve"> Ministère </w:t>
      </w:r>
      <w:r w:rsidR="003A00E9" w:rsidRPr="00174283">
        <w:rPr>
          <w:lang w:val="fr-FR"/>
        </w:rPr>
        <w:t>organise un concours annuel</w:t>
      </w:r>
      <w:r w:rsidR="00B36C5E" w:rsidRPr="00174283">
        <w:rPr>
          <w:lang w:val="fr-FR"/>
        </w:rPr>
        <w:t xml:space="preserve"> </w:t>
      </w:r>
      <w:r w:rsidR="00A95ABB" w:rsidRPr="00174283">
        <w:rPr>
          <w:lang w:val="fr-FR"/>
        </w:rPr>
        <w:t>permettant aux</w:t>
      </w:r>
      <w:r w:rsidR="003A00E9" w:rsidRPr="00174283">
        <w:rPr>
          <w:lang w:val="fr-FR"/>
        </w:rPr>
        <w:t xml:space="preserve"> entités publiques </w:t>
      </w:r>
      <w:r w:rsidR="00B36C5E" w:rsidRPr="00174283">
        <w:rPr>
          <w:lang w:val="fr-FR"/>
        </w:rPr>
        <w:t>(nationale</w:t>
      </w:r>
      <w:r w:rsidR="003A00E9" w:rsidRPr="00174283">
        <w:rPr>
          <w:lang w:val="fr-FR"/>
        </w:rPr>
        <w:t>s</w:t>
      </w:r>
      <w:r w:rsidR="00B36C5E" w:rsidRPr="00174283">
        <w:rPr>
          <w:lang w:val="fr-FR"/>
        </w:rPr>
        <w:t xml:space="preserve"> et locale</w:t>
      </w:r>
      <w:r w:rsidR="003A00E9" w:rsidRPr="00174283">
        <w:rPr>
          <w:lang w:val="fr-FR"/>
        </w:rPr>
        <w:t>s</w:t>
      </w:r>
      <w:r w:rsidR="00B36C5E" w:rsidRPr="00174283">
        <w:rPr>
          <w:lang w:val="fr-FR"/>
        </w:rPr>
        <w:t xml:space="preserve">) </w:t>
      </w:r>
      <w:r w:rsidR="003A00E9" w:rsidRPr="00174283">
        <w:rPr>
          <w:lang w:val="fr-FR"/>
        </w:rPr>
        <w:t>et</w:t>
      </w:r>
      <w:r w:rsidR="00B36C5E" w:rsidRPr="00174283">
        <w:rPr>
          <w:lang w:val="fr-FR"/>
        </w:rPr>
        <w:t xml:space="preserve"> privée</w:t>
      </w:r>
      <w:r w:rsidR="003A00E9" w:rsidRPr="00174283">
        <w:rPr>
          <w:lang w:val="fr-FR"/>
        </w:rPr>
        <w:t>s</w:t>
      </w:r>
      <w:r w:rsidR="00B36C5E" w:rsidRPr="00174283">
        <w:rPr>
          <w:lang w:val="fr-FR"/>
        </w:rPr>
        <w:t xml:space="preserve"> (institution</w:t>
      </w:r>
      <w:r w:rsidR="003A00E9" w:rsidRPr="00174283">
        <w:rPr>
          <w:lang w:val="fr-FR"/>
        </w:rPr>
        <w:t>s</w:t>
      </w:r>
      <w:r w:rsidR="00B36C5E" w:rsidRPr="00174283">
        <w:rPr>
          <w:lang w:val="fr-FR"/>
        </w:rPr>
        <w:t xml:space="preserve"> privée</w:t>
      </w:r>
      <w:r w:rsidR="003A00E9" w:rsidRPr="00174283">
        <w:rPr>
          <w:lang w:val="fr-FR"/>
        </w:rPr>
        <w:t>s</w:t>
      </w:r>
      <w:r w:rsidR="00B36C5E" w:rsidRPr="00174283">
        <w:rPr>
          <w:lang w:val="fr-FR"/>
        </w:rPr>
        <w:t>, artiste</w:t>
      </w:r>
      <w:r w:rsidR="003A00E9" w:rsidRPr="00174283">
        <w:rPr>
          <w:lang w:val="fr-FR"/>
        </w:rPr>
        <w:t>s</w:t>
      </w:r>
      <w:r w:rsidR="00B36C5E" w:rsidRPr="00174283">
        <w:rPr>
          <w:lang w:val="fr-FR"/>
        </w:rPr>
        <w:t xml:space="preserve">, ONG, etc.) </w:t>
      </w:r>
      <w:r w:rsidR="003A00E9" w:rsidRPr="00174283">
        <w:rPr>
          <w:lang w:val="fr-FR"/>
        </w:rPr>
        <w:t>qui travaillent dans le domaine de</w:t>
      </w:r>
      <w:r w:rsidR="00B36C5E" w:rsidRPr="00174283">
        <w:rPr>
          <w:lang w:val="fr-FR"/>
        </w:rPr>
        <w:t xml:space="preserve"> la culture</w:t>
      </w:r>
      <w:r w:rsidR="003A00E9" w:rsidRPr="00174283">
        <w:rPr>
          <w:lang w:val="fr-FR"/>
        </w:rPr>
        <w:t xml:space="preserve"> </w:t>
      </w:r>
      <w:r w:rsidR="00A95ABB" w:rsidRPr="00174283">
        <w:rPr>
          <w:lang w:val="fr-FR"/>
        </w:rPr>
        <w:t>de</w:t>
      </w:r>
      <w:r w:rsidR="003A00E9" w:rsidRPr="00174283">
        <w:rPr>
          <w:lang w:val="fr-FR"/>
        </w:rPr>
        <w:t xml:space="preserve"> de</w:t>
      </w:r>
      <w:r w:rsidR="00C80EBE" w:rsidRPr="00174283">
        <w:rPr>
          <w:lang w:val="fr-FR"/>
        </w:rPr>
        <w:t>m</w:t>
      </w:r>
      <w:r w:rsidR="003A00E9" w:rsidRPr="00174283">
        <w:rPr>
          <w:lang w:val="fr-FR"/>
        </w:rPr>
        <w:t>ander le financement de leur projet ou programme</w:t>
      </w:r>
      <w:r w:rsidR="00B36C5E" w:rsidRPr="00174283">
        <w:rPr>
          <w:lang w:val="fr-FR"/>
        </w:rPr>
        <w:t xml:space="preserve">. </w:t>
      </w:r>
      <w:r w:rsidR="00C80EBE" w:rsidRPr="00174283">
        <w:rPr>
          <w:lang w:val="fr-FR"/>
        </w:rPr>
        <w:t>D</w:t>
      </w:r>
      <w:r w:rsidR="00B36C5E" w:rsidRPr="00174283">
        <w:rPr>
          <w:lang w:val="fr-FR"/>
        </w:rPr>
        <w:t xml:space="preserve">es </w:t>
      </w:r>
      <w:r w:rsidR="007C7D60" w:rsidRPr="00174283">
        <w:rPr>
          <w:lang w:val="fr-FR"/>
        </w:rPr>
        <w:t>commissions</w:t>
      </w:r>
      <w:r w:rsidR="00B36C5E" w:rsidRPr="00174283">
        <w:rPr>
          <w:lang w:val="fr-FR"/>
        </w:rPr>
        <w:t xml:space="preserve"> spécialisées évaluent les projets soumis en fonction de</w:t>
      </w:r>
      <w:r w:rsidR="00E02151" w:rsidRPr="00174283">
        <w:rPr>
          <w:lang w:val="fr-FR"/>
        </w:rPr>
        <w:t>s</w:t>
      </w:r>
      <w:r w:rsidR="00B36C5E" w:rsidRPr="00174283">
        <w:rPr>
          <w:lang w:val="fr-FR"/>
        </w:rPr>
        <w:t xml:space="preserve"> critères </w:t>
      </w:r>
      <w:r w:rsidR="00E02151" w:rsidRPr="00174283">
        <w:rPr>
          <w:lang w:val="fr-FR"/>
        </w:rPr>
        <w:t>définis dans</w:t>
      </w:r>
      <w:r w:rsidR="00B36C5E" w:rsidRPr="00174283">
        <w:rPr>
          <w:lang w:val="fr-FR"/>
        </w:rPr>
        <w:t xml:space="preserve"> le Règlement sur les critères de financement </w:t>
      </w:r>
      <w:r w:rsidR="00C80EBE" w:rsidRPr="00174283">
        <w:rPr>
          <w:lang w:val="fr-FR"/>
        </w:rPr>
        <w:t xml:space="preserve">des programmes </w:t>
      </w:r>
      <w:r w:rsidR="00B27BC8" w:rsidRPr="00174283">
        <w:rPr>
          <w:lang w:val="fr-FR"/>
        </w:rPr>
        <w:t>et projets culture</w:t>
      </w:r>
      <w:r w:rsidR="00E02151" w:rsidRPr="00174283">
        <w:rPr>
          <w:lang w:val="fr-FR"/>
        </w:rPr>
        <w:t>ls,</w:t>
      </w:r>
      <w:r w:rsidR="00B27BC8" w:rsidRPr="00174283">
        <w:rPr>
          <w:lang w:val="fr-FR"/>
        </w:rPr>
        <w:t xml:space="preserve"> sans discrimination fondée sur l</w:t>
      </w:r>
      <w:r w:rsidR="00205A62">
        <w:rPr>
          <w:lang w:val="fr-FR"/>
        </w:rPr>
        <w:t>’</w:t>
      </w:r>
      <w:r w:rsidR="00B27BC8" w:rsidRPr="00174283">
        <w:rPr>
          <w:lang w:val="fr-FR"/>
        </w:rPr>
        <w:t>appartenance ethnique, le statut, l</w:t>
      </w:r>
      <w:r w:rsidR="00205A62">
        <w:rPr>
          <w:lang w:val="fr-FR"/>
        </w:rPr>
        <w:t>’</w:t>
      </w:r>
      <w:r w:rsidR="00B27BC8" w:rsidRPr="00174283">
        <w:rPr>
          <w:lang w:val="fr-FR"/>
        </w:rPr>
        <w:t>âge, l</w:t>
      </w:r>
      <w:r w:rsidR="00205A62">
        <w:rPr>
          <w:lang w:val="fr-FR"/>
        </w:rPr>
        <w:t>’</w:t>
      </w:r>
      <w:r w:rsidR="00B27BC8" w:rsidRPr="00174283">
        <w:rPr>
          <w:lang w:val="fr-FR"/>
        </w:rPr>
        <w:t>éducation, la religion, l</w:t>
      </w:r>
      <w:r w:rsidR="00205A62">
        <w:rPr>
          <w:lang w:val="fr-FR"/>
        </w:rPr>
        <w:t>’</w:t>
      </w:r>
      <w:r w:rsidR="00B27BC8" w:rsidRPr="00174283">
        <w:rPr>
          <w:lang w:val="fr-FR"/>
        </w:rPr>
        <w:t>appartenance politique ou toute autre caractéristique des candidats</w:t>
      </w:r>
      <w:r w:rsidR="00F9244A" w:rsidRPr="00174283">
        <w:rPr>
          <w:lang w:val="fr-FR"/>
        </w:rPr>
        <w:t>,</w:t>
      </w:r>
      <w:r w:rsidR="00B27BC8" w:rsidRPr="00174283">
        <w:rPr>
          <w:lang w:val="fr-FR"/>
        </w:rPr>
        <w:t xml:space="preserve"> et proposent </w:t>
      </w:r>
      <w:r w:rsidR="00E02151" w:rsidRPr="00174283">
        <w:rPr>
          <w:lang w:val="fr-FR"/>
        </w:rPr>
        <w:t xml:space="preserve">ensuite </w:t>
      </w:r>
      <w:r w:rsidR="00B27BC8" w:rsidRPr="00174283">
        <w:rPr>
          <w:lang w:val="fr-FR"/>
        </w:rPr>
        <w:t xml:space="preserve">au Ministère de la culture </w:t>
      </w:r>
      <w:r w:rsidR="00E02151" w:rsidRPr="00174283">
        <w:rPr>
          <w:lang w:val="fr-FR"/>
        </w:rPr>
        <w:t>la</w:t>
      </w:r>
      <w:r w:rsidR="00B27BC8" w:rsidRPr="00174283">
        <w:rPr>
          <w:lang w:val="fr-FR"/>
        </w:rPr>
        <w:t xml:space="preserve"> liste de projets à financer. Le Programme annuel</w:t>
      </w:r>
      <w:r w:rsidR="00E02151" w:rsidRPr="00174283">
        <w:rPr>
          <w:lang w:val="fr-FR"/>
        </w:rPr>
        <w:t xml:space="preserve"> de financement </w:t>
      </w:r>
      <w:r w:rsidR="00B27BC8" w:rsidRPr="00174283">
        <w:rPr>
          <w:lang w:val="fr-FR"/>
        </w:rPr>
        <w:t>est publié, en macédonien et en albanais, dans un souci d</w:t>
      </w:r>
      <w:r w:rsidR="00205A62">
        <w:rPr>
          <w:lang w:val="fr-FR"/>
        </w:rPr>
        <w:t>’</w:t>
      </w:r>
      <w:r w:rsidR="00B27BC8" w:rsidRPr="00174283">
        <w:rPr>
          <w:lang w:val="fr-FR"/>
        </w:rPr>
        <w:t xml:space="preserve">information et de transparence sur la répartition des crédits alloués à la culture. Les autorités locales financent également </w:t>
      </w:r>
      <w:r w:rsidR="00A95ABB" w:rsidRPr="00174283">
        <w:rPr>
          <w:lang w:val="fr-FR"/>
        </w:rPr>
        <w:t>d</w:t>
      </w:r>
      <w:r w:rsidR="00B27BC8" w:rsidRPr="00174283">
        <w:rPr>
          <w:lang w:val="fr-FR"/>
        </w:rPr>
        <w:t>es projets et programmes culturels d</w:t>
      </w:r>
      <w:r w:rsidR="00205A62">
        <w:rPr>
          <w:lang w:val="fr-FR"/>
        </w:rPr>
        <w:t>’</w:t>
      </w:r>
      <w:r w:rsidR="00B27BC8" w:rsidRPr="00174283">
        <w:rPr>
          <w:lang w:val="fr-FR"/>
        </w:rPr>
        <w:t>i</w:t>
      </w:r>
      <w:r w:rsidR="00097530" w:rsidRPr="00174283">
        <w:rPr>
          <w:lang w:val="fr-FR"/>
        </w:rPr>
        <w:t>ntérêt</w:t>
      </w:r>
      <w:r w:rsidR="00B27BC8" w:rsidRPr="00174283">
        <w:rPr>
          <w:lang w:val="fr-FR"/>
        </w:rPr>
        <w:t xml:space="preserve"> </w:t>
      </w:r>
      <w:r w:rsidR="00097530" w:rsidRPr="00174283">
        <w:rPr>
          <w:lang w:val="fr-FR"/>
        </w:rPr>
        <w:t>local</w:t>
      </w:r>
      <w:r w:rsidR="00B27BC8" w:rsidRPr="00174283">
        <w:rPr>
          <w:lang w:val="fr-FR"/>
        </w:rPr>
        <w:t xml:space="preserve">, </w:t>
      </w:r>
      <w:r w:rsidR="00097530" w:rsidRPr="00174283">
        <w:rPr>
          <w:lang w:val="fr-FR"/>
        </w:rPr>
        <w:t xml:space="preserve">indépendamment de </w:t>
      </w:r>
      <w:r w:rsidR="00B27BC8" w:rsidRPr="00174283">
        <w:rPr>
          <w:lang w:val="fr-FR"/>
        </w:rPr>
        <w:t>l</w:t>
      </w:r>
      <w:r w:rsidR="00205A62">
        <w:rPr>
          <w:lang w:val="fr-FR"/>
        </w:rPr>
        <w:t>’</w:t>
      </w:r>
      <w:r w:rsidR="00B27BC8" w:rsidRPr="00174283">
        <w:rPr>
          <w:lang w:val="fr-FR"/>
        </w:rPr>
        <w:t xml:space="preserve">appartenance ethnique ou </w:t>
      </w:r>
      <w:r w:rsidR="00097530" w:rsidRPr="00174283">
        <w:rPr>
          <w:lang w:val="fr-FR"/>
        </w:rPr>
        <w:t xml:space="preserve">de </w:t>
      </w:r>
      <w:r w:rsidR="00B27BC8" w:rsidRPr="00174283">
        <w:rPr>
          <w:lang w:val="fr-FR"/>
        </w:rPr>
        <w:t>tout</w:t>
      </w:r>
      <w:r w:rsidR="00097530" w:rsidRPr="00174283">
        <w:rPr>
          <w:lang w:val="fr-FR"/>
        </w:rPr>
        <w:t>e</w:t>
      </w:r>
      <w:r w:rsidR="00B27BC8" w:rsidRPr="00174283">
        <w:rPr>
          <w:lang w:val="fr-FR"/>
        </w:rPr>
        <w:t xml:space="preserve"> autre </w:t>
      </w:r>
      <w:r w:rsidR="00097530" w:rsidRPr="00174283">
        <w:rPr>
          <w:lang w:val="fr-FR"/>
        </w:rPr>
        <w:t>c</w:t>
      </w:r>
      <w:r w:rsidR="0059594E" w:rsidRPr="00174283">
        <w:rPr>
          <w:lang w:val="fr-FR"/>
        </w:rPr>
        <w:t>onsidération</w:t>
      </w:r>
      <w:r w:rsidR="00B27BC8" w:rsidRPr="00174283">
        <w:rPr>
          <w:lang w:val="fr-FR"/>
        </w:rPr>
        <w:t>.</w:t>
      </w:r>
    </w:p>
    <w:p w:rsidR="00BB19A5" w:rsidRPr="00174283" w:rsidRDefault="00BB19A5" w:rsidP="00BB19A5">
      <w:pPr>
        <w:pStyle w:val="H23G"/>
        <w:rPr>
          <w:lang w:val="fr-FR"/>
        </w:rPr>
      </w:pPr>
      <w:r w:rsidRPr="00174283">
        <w:rPr>
          <w:lang w:val="fr-FR"/>
        </w:rPr>
        <w:tab/>
      </w:r>
      <w:r w:rsidR="005F4C93" w:rsidRPr="00174283">
        <w:rPr>
          <w:lang w:val="fr-FR"/>
        </w:rPr>
        <w:t>3</w:t>
      </w:r>
      <w:r w:rsidR="00B27BC8" w:rsidRPr="00174283">
        <w:rPr>
          <w:lang w:val="fr-FR"/>
        </w:rPr>
        <w:t>.</w:t>
      </w:r>
      <w:r w:rsidR="00B27BC8" w:rsidRPr="00174283">
        <w:rPr>
          <w:lang w:val="fr-FR"/>
        </w:rPr>
        <w:tab/>
        <w:t>Information</w:t>
      </w:r>
    </w:p>
    <w:p w:rsidR="00606574" w:rsidRPr="00174283" w:rsidRDefault="00403721" w:rsidP="00403721">
      <w:pPr>
        <w:pStyle w:val="SingleTxtG"/>
        <w:rPr>
          <w:lang w:val="fr-FR"/>
        </w:rPr>
      </w:pPr>
      <w:r>
        <w:rPr>
          <w:lang w:val="fr-FR"/>
        </w:rPr>
        <w:t>122.</w:t>
      </w:r>
      <w:r>
        <w:rPr>
          <w:lang w:val="fr-FR"/>
        </w:rPr>
        <w:tab/>
      </w:r>
      <w:r w:rsidR="00820A89" w:rsidRPr="00174283">
        <w:rPr>
          <w:lang w:val="fr-FR"/>
        </w:rPr>
        <w:t xml:space="preserve">Cette </w:t>
      </w:r>
      <w:r w:rsidR="007C7D60" w:rsidRPr="00174283">
        <w:rPr>
          <w:lang w:val="fr-FR"/>
        </w:rPr>
        <w:t>question</w:t>
      </w:r>
      <w:r w:rsidR="00820A89" w:rsidRPr="00174283">
        <w:rPr>
          <w:lang w:val="fr-FR"/>
        </w:rPr>
        <w:t xml:space="preserve"> a été développée dans les quatrième</w:t>
      </w:r>
      <w:r w:rsidR="0034508B" w:rsidRPr="00174283">
        <w:rPr>
          <w:lang w:val="fr-FR"/>
        </w:rPr>
        <w:t xml:space="preserve"> à</w:t>
      </w:r>
      <w:r w:rsidR="00820A89" w:rsidRPr="00174283">
        <w:rPr>
          <w:lang w:val="fr-FR"/>
        </w:rPr>
        <w:t xml:space="preserve"> septième rapports périodiques ainsi que dans la version actualisée du Document de base à la partie E – Cadre de la promotion des droits de l</w:t>
      </w:r>
      <w:r w:rsidR="00205A62">
        <w:rPr>
          <w:lang w:val="fr-FR"/>
        </w:rPr>
        <w:t>’</w:t>
      </w:r>
      <w:r w:rsidR="00820A89" w:rsidRPr="00174283">
        <w:rPr>
          <w:lang w:val="fr-FR"/>
        </w:rPr>
        <w:t xml:space="preserve">homme au niveau national. </w:t>
      </w:r>
    </w:p>
    <w:p w:rsidR="00BB19A5" w:rsidRPr="00174283" w:rsidRDefault="00BB19A5" w:rsidP="00BB19A5">
      <w:pPr>
        <w:pStyle w:val="HChG"/>
        <w:rPr>
          <w:lang w:val="fr-FR"/>
        </w:rPr>
      </w:pPr>
      <w:r w:rsidRPr="00174283">
        <w:rPr>
          <w:lang w:val="fr-FR"/>
        </w:rPr>
        <w:tab/>
      </w:r>
      <w:r w:rsidR="005F4C93" w:rsidRPr="00174283">
        <w:rPr>
          <w:lang w:val="fr-FR"/>
        </w:rPr>
        <w:t>III.</w:t>
      </w:r>
      <w:r w:rsidRPr="00174283">
        <w:rPr>
          <w:lang w:val="fr-FR"/>
        </w:rPr>
        <w:tab/>
        <w:t>R</w:t>
      </w:r>
      <w:r w:rsidR="008D16C0" w:rsidRPr="00174283">
        <w:rPr>
          <w:lang w:val="fr-FR"/>
        </w:rPr>
        <w:t>éponses aux observations finales du Comité pour l</w:t>
      </w:r>
      <w:r w:rsidR="00205A62">
        <w:rPr>
          <w:lang w:val="fr-FR"/>
        </w:rPr>
        <w:t>’</w:t>
      </w:r>
      <w:r w:rsidR="008D16C0" w:rsidRPr="00174283">
        <w:rPr>
          <w:lang w:val="fr-FR"/>
        </w:rPr>
        <w:t>élimination de la discrimination raciale</w:t>
      </w:r>
    </w:p>
    <w:p w:rsidR="009865C2" w:rsidRPr="00174283" w:rsidRDefault="009865C2" w:rsidP="009865C2">
      <w:pPr>
        <w:pStyle w:val="H1G"/>
        <w:rPr>
          <w:lang w:val="fr-FR"/>
        </w:rPr>
      </w:pPr>
      <w:r w:rsidRPr="00174283">
        <w:rPr>
          <w:lang w:val="fr-FR"/>
        </w:rPr>
        <w:tab/>
      </w:r>
      <w:r w:rsidRPr="00174283">
        <w:rPr>
          <w:lang w:val="fr-FR"/>
        </w:rPr>
        <w:tab/>
        <w:t>R</w:t>
      </w:r>
      <w:r w:rsidR="008D16C0" w:rsidRPr="00174283">
        <w:rPr>
          <w:lang w:val="fr-FR"/>
        </w:rPr>
        <w:t xml:space="preserve">éponse aux recommandations figurant </w:t>
      </w:r>
      <w:r w:rsidR="005C37B4" w:rsidRPr="00174283">
        <w:rPr>
          <w:lang w:val="fr-FR"/>
        </w:rPr>
        <w:t>au paragraphe</w:t>
      </w:r>
      <w:r w:rsidR="000061A8" w:rsidRPr="00174283">
        <w:rPr>
          <w:lang w:val="fr-FR"/>
        </w:rPr>
        <w:t xml:space="preserve"> </w:t>
      </w:r>
      <w:r w:rsidR="008D16C0" w:rsidRPr="00174283">
        <w:rPr>
          <w:lang w:val="fr-FR"/>
        </w:rPr>
        <w:t xml:space="preserve">9 des observations finales du Comité </w:t>
      </w:r>
      <w:r w:rsidRPr="00174283">
        <w:rPr>
          <w:lang w:val="fr-FR"/>
        </w:rPr>
        <w:t>(CERD/C/MKD/CO/7)</w:t>
      </w:r>
    </w:p>
    <w:p w:rsidR="00BB19A5" w:rsidRPr="00174283" w:rsidRDefault="00403721" w:rsidP="00403721">
      <w:pPr>
        <w:pStyle w:val="SingleTxtG"/>
        <w:rPr>
          <w:lang w:val="fr-FR"/>
        </w:rPr>
      </w:pPr>
      <w:r>
        <w:rPr>
          <w:lang w:val="fr-FR"/>
        </w:rPr>
        <w:t>123.</w:t>
      </w:r>
      <w:r>
        <w:rPr>
          <w:lang w:val="fr-FR"/>
        </w:rPr>
        <w:tab/>
      </w:r>
      <w:r w:rsidR="008D16C0" w:rsidRPr="00174283">
        <w:rPr>
          <w:lang w:val="fr-FR"/>
        </w:rPr>
        <w:t xml:space="preserve">Selon les données statistiques, aucun </w:t>
      </w:r>
      <w:r w:rsidR="002A0DC3" w:rsidRPr="00174283">
        <w:rPr>
          <w:lang w:val="fr-FR"/>
        </w:rPr>
        <w:t>journaliste</w:t>
      </w:r>
      <w:r w:rsidR="008D16C0" w:rsidRPr="00174283">
        <w:rPr>
          <w:lang w:val="fr-FR"/>
        </w:rPr>
        <w:t xml:space="preserve"> </w:t>
      </w:r>
      <w:r w:rsidR="002A0DC3" w:rsidRPr="00174283">
        <w:rPr>
          <w:lang w:val="fr-FR"/>
        </w:rPr>
        <w:t>n</w:t>
      </w:r>
      <w:r w:rsidR="00205A62">
        <w:rPr>
          <w:lang w:val="fr-FR"/>
        </w:rPr>
        <w:t>’</w:t>
      </w:r>
      <w:r w:rsidR="002A0DC3" w:rsidRPr="00174283">
        <w:rPr>
          <w:lang w:val="fr-FR"/>
        </w:rPr>
        <w:t>a été accusé d</w:t>
      </w:r>
      <w:r w:rsidR="00205A62">
        <w:rPr>
          <w:lang w:val="fr-FR"/>
        </w:rPr>
        <w:t>’</w:t>
      </w:r>
      <w:r w:rsidR="002A0DC3" w:rsidRPr="00174283">
        <w:rPr>
          <w:lang w:val="fr-FR"/>
        </w:rPr>
        <w:t>avoir commis</w:t>
      </w:r>
      <w:r w:rsidR="008D16C0" w:rsidRPr="00174283">
        <w:rPr>
          <w:lang w:val="fr-FR"/>
        </w:rPr>
        <w:t xml:space="preserve"> un délit visé à l</w:t>
      </w:r>
      <w:r w:rsidR="00205A62">
        <w:rPr>
          <w:lang w:val="fr-FR"/>
        </w:rPr>
        <w:t>’</w:t>
      </w:r>
      <w:r w:rsidR="008D16C0" w:rsidRPr="00174283">
        <w:rPr>
          <w:lang w:val="fr-FR"/>
        </w:rPr>
        <w:t xml:space="preserve">article 319 du Code pénal ou </w:t>
      </w:r>
      <w:r w:rsidR="00CC2743" w:rsidRPr="00174283">
        <w:rPr>
          <w:lang w:val="fr-FR"/>
        </w:rPr>
        <w:t>n</w:t>
      </w:r>
      <w:r w:rsidR="00205A62">
        <w:rPr>
          <w:lang w:val="fr-FR"/>
        </w:rPr>
        <w:t>’</w:t>
      </w:r>
      <w:r w:rsidR="00CC2743" w:rsidRPr="00174283">
        <w:rPr>
          <w:lang w:val="fr-FR"/>
        </w:rPr>
        <w:t xml:space="preserve">a été </w:t>
      </w:r>
      <w:r w:rsidR="008D16C0" w:rsidRPr="00174283">
        <w:rPr>
          <w:lang w:val="fr-FR"/>
        </w:rPr>
        <w:t xml:space="preserve">condamné pour ce type de délit. </w:t>
      </w:r>
    </w:p>
    <w:p w:rsidR="009865C2" w:rsidRPr="00174283" w:rsidRDefault="007C7A56" w:rsidP="009865C2">
      <w:pPr>
        <w:pStyle w:val="H1G"/>
        <w:rPr>
          <w:lang w:val="fr-FR"/>
        </w:rPr>
      </w:pPr>
      <w:r w:rsidRPr="00174283">
        <w:rPr>
          <w:lang w:val="fr-FR"/>
        </w:rPr>
        <w:tab/>
      </w:r>
      <w:r w:rsidRPr="00174283">
        <w:rPr>
          <w:lang w:val="fr-FR"/>
        </w:rPr>
        <w:tab/>
        <w:t xml:space="preserve">Réponse aux </w:t>
      </w:r>
      <w:r w:rsidR="008D16C0" w:rsidRPr="00174283">
        <w:rPr>
          <w:lang w:val="fr-FR"/>
        </w:rPr>
        <w:t>recommandation</w:t>
      </w:r>
      <w:r w:rsidRPr="00174283">
        <w:rPr>
          <w:lang w:val="fr-FR"/>
        </w:rPr>
        <w:t>s</w:t>
      </w:r>
      <w:r w:rsidR="008D16C0" w:rsidRPr="00174283">
        <w:rPr>
          <w:lang w:val="fr-FR"/>
        </w:rPr>
        <w:t xml:space="preserve"> figurant </w:t>
      </w:r>
      <w:r w:rsidR="0089660E" w:rsidRPr="00174283">
        <w:rPr>
          <w:lang w:val="fr-FR"/>
        </w:rPr>
        <w:t>au paragraphe</w:t>
      </w:r>
      <w:r w:rsidR="0034508B" w:rsidRPr="00174283">
        <w:rPr>
          <w:lang w:val="fr-FR"/>
        </w:rPr>
        <w:t xml:space="preserve"> </w:t>
      </w:r>
      <w:r w:rsidR="008D16C0" w:rsidRPr="00174283">
        <w:rPr>
          <w:lang w:val="fr-FR"/>
        </w:rPr>
        <w:t>10 des observations finales du Comité</w:t>
      </w:r>
    </w:p>
    <w:p w:rsidR="00BB19A5" w:rsidRPr="00174283" w:rsidRDefault="00403721" w:rsidP="00403721">
      <w:pPr>
        <w:pStyle w:val="SingleTxtG"/>
        <w:rPr>
          <w:lang w:val="fr-FR"/>
        </w:rPr>
      </w:pPr>
      <w:r>
        <w:rPr>
          <w:lang w:val="fr-FR"/>
        </w:rPr>
        <w:t>124.</w:t>
      </w:r>
      <w:r>
        <w:rPr>
          <w:lang w:val="fr-FR"/>
        </w:rPr>
        <w:tab/>
      </w:r>
      <w:r w:rsidR="007C7A56" w:rsidRPr="00174283">
        <w:rPr>
          <w:lang w:val="fr-FR"/>
        </w:rPr>
        <w:t>Le paragraphe 7 de l</w:t>
      </w:r>
      <w:r w:rsidR="00205A62">
        <w:rPr>
          <w:lang w:val="fr-FR"/>
        </w:rPr>
        <w:t>’</w:t>
      </w:r>
      <w:r w:rsidR="007C7A56" w:rsidRPr="00174283">
        <w:rPr>
          <w:lang w:val="fr-FR"/>
        </w:rPr>
        <w:t>article 4 de la loi sur l</w:t>
      </w:r>
      <w:r w:rsidR="00205A62">
        <w:rPr>
          <w:lang w:val="fr-FR"/>
        </w:rPr>
        <w:t>’</w:t>
      </w:r>
      <w:r w:rsidR="007C7A56" w:rsidRPr="00174283">
        <w:rPr>
          <w:lang w:val="fr-FR"/>
        </w:rPr>
        <w:t xml:space="preserve">emploi et le travail des étrangers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7C7A56" w:rsidRPr="00174283">
        <w:rPr>
          <w:lang w:val="fr-FR"/>
        </w:rPr>
        <w:t>n</w:t>
      </w:r>
      <w:r w:rsidR="007C7A56" w:rsidRPr="00174283">
        <w:rPr>
          <w:vertAlign w:val="superscript"/>
          <w:lang w:val="fr-FR"/>
        </w:rPr>
        <w:t>os</w:t>
      </w:r>
      <w:r w:rsidR="004A336A">
        <w:rPr>
          <w:lang w:val="fr-FR"/>
        </w:rPr>
        <w:t> </w:t>
      </w:r>
      <w:r w:rsidR="00BB19A5" w:rsidRPr="00174283">
        <w:rPr>
          <w:lang w:val="fr-FR"/>
        </w:rPr>
        <w:t xml:space="preserve">70/2007, 5/2009, 35/2010, 148/2011 </w:t>
      </w:r>
      <w:r w:rsidR="007C7A56" w:rsidRPr="00174283">
        <w:rPr>
          <w:lang w:val="fr-FR"/>
        </w:rPr>
        <w:t xml:space="preserve">et </w:t>
      </w:r>
      <w:r w:rsidR="00BB19A5" w:rsidRPr="00174283">
        <w:rPr>
          <w:lang w:val="fr-FR"/>
        </w:rPr>
        <w:t xml:space="preserve">84/2012) </w:t>
      </w:r>
      <w:r w:rsidR="007C7A56" w:rsidRPr="00174283">
        <w:rPr>
          <w:lang w:val="fr-FR"/>
        </w:rPr>
        <w:t>se lit comme suit</w:t>
      </w:r>
      <w:r w:rsidR="002F51DC">
        <w:rPr>
          <w:lang w:val="fr-FR"/>
        </w:rPr>
        <w:t>:</w:t>
      </w:r>
    </w:p>
    <w:p w:rsidR="00BB19A5" w:rsidRPr="00174283" w:rsidRDefault="002F51DC" w:rsidP="00BB19A5">
      <w:pPr>
        <w:pStyle w:val="SingleTxtG"/>
        <w:ind w:left="1701"/>
        <w:rPr>
          <w:lang w:val="fr-FR"/>
        </w:rPr>
      </w:pPr>
      <w:r>
        <w:rPr>
          <w:lang w:val="fr-FR"/>
        </w:rPr>
        <w:t>«</w:t>
      </w:r>
      <w:r w:rsidR="00803120" w:rsidRPr="00174283">
        <w:rPr>
          <w:lang w:val="fr-FR"/>
        </w:rPr>
        <w:t>T</w:t>
      </w:r>
      <w:r w:rsidR="007638FB" w:rsidRPr="00174283">
        <w:rPr>
          <w:lang w:val="fr-FR"/>
        </w:rPr>
        <w:t>oute discrimination de la part de l</w:t>
      </w:r>
      <w:r w:rsidR="00205A62">
        <w:rPr>
          <w:lang w:val="fr-FR"/>
        </w:rPr>
        <w:t>’</w:t>
      </w:r>
      <w:r w:rsidR="007C7A56" w:rsidRPr="00174283">
        <w:rPr>
          <w:lang w:val="fr-FR"/>
        </w:rPr>
        <w:t xml:space="preserve">employeur </w:t>
      </w:r>
      <w:r w:rsidR="007638FB" w:rsidRPr="00174283">
        <w:rPr>
          <w:lang w:val="fr-FR"/>
        </w:rPr>
        <w:t>visant à défavoriser un</w:t>
      </w:r>
      <w:r w:rsidR="007C7A56" w:rsidRPr="00174283">
        <w:rPr>
          <w:lang w:val="fr-FR"/>
        </w:rPr>
        <w:t xml:space="preserve"> étranger</w:t>
      </w:r>
      <w:r w:rsidR="00A2668F" w:rsidRPr="00174283">
        <w:rPr>
          <w:lang w:val="fr-FR"/>
        </w:rPr>
        <w:t xml:space="preserve"> </w:t>
      </w:r>
      <w:r w:rsidR="007638FB" w:rsidRPr="00174283">
        <w:rPr>
          <w:lang w:val="fr-FR"/>
        </w:rPr>
        <w:t xml:space="preserve">candidat à un emploi ou salarié </w:t>
      </w:r>
      <w:r w:rsidR="007C7A56" w:rsidRPr="00174283">
        <w:rPr>
          <w:lang w:val="fr-FR"/>
        </w:rPr>
        <w:t xml:space="preserve">en raison de sa race, de la couleur de sa peau, de son sexe, de son âge, de son état de santé ou de son handicap, de ses convictions religieuses, politiques ou autres, de son </w:t>
      </w:r>
      <w:r w:rsidR="00803120" w:rsidRPr="00174283">
        <w:rPr>
          <w:lang w:val="fr-FR"/>
        </w:rPr>
        <w:t xml:space="preserve">appartenance </w:t>
      </w:r>
      <w:r w:rsidR="007C7A56" w:rsidRPr="00174283">
        <w:rPr>
          <w:lang w:val="fr-FR"/>
        </w:rPr>
        <w:t xml:space="preserve">à un syndicat, de son origine nationale ou sociale, de </w:t>
      </w:r>
      <w:r w:rsidR="00803120" w:rsidRPr="00174283">
        <w:rPr>
          <w:lang w:val="fr-FR"/>
        </w:rPr>
        <w:t>son état civil</w:t>
      </w:r>
      <w:r w:rsidR="007C7A56" w:rsidRPr="00174283">
        <w:rPr>
          <w:lang w:val="fr-FR"/>
        </w:rPr>
        <w:t xml:space="preserve">, de sa situation patrimoniale, de son orientation sexuelle ou de tout autre </w:t>
      </w:r>
      <w:r w:rsidR="00803120" w:rsidRPr="00174283">
        <w:rPr>
          <w:lang w:val="fr-FR"/>
        </w:rPr>
        <w:t>circonstance individuelle est interdite</w:t>
      </w:r>
      <w:r w:rsidR="007C7A56" w:rsidRPr="00174283">
        <w:rPr>
          <w:lang w:val="fr-FR"/>
        </w:rPr>
        <w:t>. L</w:t>
      </w:r>
      <w:r w:rsidR="00205A62">
        <w:rPr>
          <w:lang w:val="fr-FR"/>
        </w:rPr>
        <w:t>’</w:t>
      </w:r>
      <w:r w:rsidR="007C7A56" w:rsidRPr="00174283">
        <w:rPr>
          <w:lang w:val="fr-FR"/>
        </w:rPr>
        <w:t>interdiction de la discrimination directe ou indirecte s</w:t>
      </w:r>
      <w:r w:rsidR="00205A62">
        <w:rPr>
          <w:lang w:val="fr-FR"/>
        </w:rPr>
        <w:t>’</w:t>
      </w:r>
      <w:r w:rsidR="007C7A56" w:rsidRPr="00174283">
        <w:rPr>
          <w:lang w:val="fr-FR"/>
        </w:rPr>
        <w:t xml:space="preserve">applique </w:t>
      </w:r>
      <w:r w:rsidR="0016666D" w:rsidRPr="00174283">
        <w:rPr>
          <w:lang w:val="fr-FR"/>
        </w:rPr>
        <w:t xml:space="preserve">dans tous ces cas </w:t>
      </w:r>
      <w:r w:rsidR="007C7A56" w:rsidRPr="00174283">
        <w:rPr>
          <w:lang w:val="fr-FR"/>
        </w:rPr>
        <w:t>au candidat</w:t>
      </w:r>
      <w:r w:rsidR="00E87488" w:rsidRPr="00174283">
        <w:rPr>
          <w:lang w:val="fr-FR"/>
        </w:rPr>
        <w:t xml:space="preserve"> à l</w:t>
      </w:r>
      <w:r w:rsidR="00205A62">
        <w:rPr>
          <w:lang w:val="fr-FR"/>
        </w:rPr>
        <w:t>’</w:t>
      </w:r>
      <w:r w:rsidR="00E87488" w:rsidRPr="00174283">
        <w:rPr>
          <w:lang w:val="fr-FR"/>
        </w:rPr>
        <w:t>emploi</w:t>
      </w:r>
      <w:r w:rsidR="007C7A56" w:rsidRPr="00174283">
        <w:rPr>
          <w:lang w:val="fr-FR"/>
        </w:rPr>
        <w:t xml:space="preserve"> ou </w:t>
      </w:r>
      <w:r w:rsidR="007638FB" w:rsidRPr="00174283">
        <w:rPr>
          <w:lang w:val="fr-FR"/>
        </w:rPr>
        <w:t>au salarié</w:t>
      </w:r>
      <w:r w:rsidR="007C7A56" w:rsidRPr="00174283">
        <w:rPr>
          <w:lang w:val="fr-FR"/>
        </w:rPr>
        <w:t xml:space="preserve">, conformément à la loi sur les relations </w:t>
      </w:r>
      <w:r w:rsidR="007638FB" w:rsidRPr="00174283">
        <w:rPr>
          <w:lang w:val="fr-FR"/>
        </w:rPr>
        <w:t>professionnelles</w:t>
      </w:r>
      <w:r w:rsidR="007C7A56" w:rsidRPr="00174283">
        <w:rPr>
          <w:lang w:val="fr-FR"/>
        </w:rPr>
        <w:t>.</w:t>
      </w:r>
      <w:r>
        <w:rPr>
          <w:lang w:val="fr-FR"/>
        </w:rPr>
        <w:t>»</w:t>
      </w:r>
      <w:r w:rsidR="007C7A56" w:rsidRPr="00174283">
        <w:rPr>
          <w:lang w:val="fr-FR"/>
        </w:rPr>
        <w:t xml:space="preserve"> </w:t>
      </w:r>
    </w:p>
    <w:p w:rsidR="00BB19A5" w:rsidRPr="00174283" w:rsidRDefault="00403721" w:rsidP="00403721">
      <w:pPr>
        <w:pStyle w:val="SingleTxtG"/>
        <w:rPr>
          <w:lang w:val="fr-FR"/>
        </w:rPr>
      </w:pPr>
      <w:r>
        <w:rPr>
          <w:lang w:val="fr-FR"/>
        </w:rPr>
        <w:t>125.</w:t>
      </w:r>
      <w:r>
        <w:rPr>
          <w:lang w:val="fr-FR"/>
        </w:rPr>
        <w:tab/>
      </w:r>
      <w:r w:rsidR="007C7A56" w:rsidRPr="00174283">
        <w:rPr>
          <w:lang w:val="fr-FR"/>
        </w:rPr>
        <w:t>Conformément au paragraphe 1 de l</w:t>
      </w:r>
      <w:r w:rsidR="00205A62">
        <w:rPr>
          <w:lang w:val="fr-FR"/>
        </w:rPr>
        <w:t>’</w:t>
      </w:r>
      <w:r w:rsidR="007C7A56" w:rsidRPr="00174283">
        <w:rPr>
          <w:lang w:val="fr-FR"/>
        </w:rPr>
        <w:t>article</w:t>
      </w:r>
      <w:r w:rsidR="000061A8" w:rsidRPr="00174283">
        <w:rPr>
          <w:lang w:val="fr-FR"/>
        </w:rPr>
        <w:t xml:space="preserve"> 4 de la loi sur les étrangers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7C7A56" w:rsidRPr="00174283">
        <w:rPr>
          <w:lang w:val="fr-FR"/>
        </w:rPr>
        <w:t>n</w:t>
      </w:r>
      <w:r w:rsidR="007C7A56" w:rsidRPr="00174283">
        <w:rPr>
          <w:vertAlign w:val="superscript"/>
          <w:lang w:val="fr-FR"/>
        </w:rPr>
        <w:t>os</w:t>
      </w:r>
      <w:r w:rsidR="004A336A">
        <w:rPr>
          <w:lang w:val="fr-FR"/>
        </w:rPr>
        <w:t> </w:t>
      </w:r>
      <w:r w:rsidR="00BB19A5" w:rsidRPr="00174283">
        <w:rPr>
          <w:lang w:val="fr-FR"/>
        </w:rPr>
        <w:t xml:space="preserve">35/2006, 66/2007, 117/2008, 92/2009, 156/2010, 158/2011, 84/2012 </w:t>
      </w:r>
      <w:r w:rsidR="007C7A56" w:rsidRPr="00174283">
        <w:rPr>
          <w:lang w:val="fr-FR"/>
        </w:rPr>
        <w:t>et</w:t>
      </w:r>
      <w:r w:rsidR="00BB19A5" w:rsidRPr="00174283">
        <w:rPr>
          <w:lang w:val="fr-FR"/>
        </w:rPr>
        <w:t xml:space="preserve"> 13/2013), </w:t>
      </w:r>
      <w:r w:rsidR="007C7A56" w:rsidRPr="00174283">
        <w:rPr>
          <w:lang w:val="fr-FR"/>
        </w:rPr>
        <w:t xml:space="preserve">les étrangers </w:t>
      </w:r>
      <w:r w:rsidR="00A63323" w:rsidRPr="00174283">
        <w:rPr>
          <w:lang w:val="fr-FR"/>
        </w:rPr>
        <w:t>bénéficie</w:t>
      </w:r>
      <w:r w:rsidR="00A2668F" w:rsidRPr="00174283">
        <w:rPr>
          <w:lang w:val="fr-FR"/>
        </w:rPr>
        <w:t>nt</w:t>
      </w:r>
      <w:r w:rsidR="007C7A56" w:rsidRPr="00174283">
        <w:rPr>
          <w:lang w:val="fr-FR"/>
        </w:rPr>
        <w:t xml:space="preserve"> </w:t>
      </w:r>
      <w:r w:rsidR="00A63323" w:rsidRPr="00174283">
        <w:rPr>
          <w:lang w:val="fr-FR"/>
        </w:rPr>
        <w:t>d</w:t>
      </w:r>
      <w:r w:rsidR="007C7A56" w:rsidRPr="00174283">
        <w:rPr>
          <w:lang w:val="fr-FR"/>
        </w:rPr>
        <w:t>es mêmes droits et</w:t>
      </w:r>
      <w:r w:rsidR="00A63323" w:rsidRPr="00174283">
        <w:rPr>
          <w:lang w:val="fr-FR"/>
        </w:rPr>
        <w:t xml:space="preserve"> ont les mêmes</w:t>
      </w:r>
      <w:r w:rsidR="007C7A56" w:rsidRPr="00174283">
        <w:rPr>
          <w:lang w:val="fr-FR"/>
        </w:rPr>
        <w:t xml:space="preserve"> obligations que les citoyens macédoniens</w:t>
      </w:r>
      <w:r w:rsidR="002F51DC">
        <w:rPr>
          <w:lang w:val="fr-FR"/>
        </w:rPr>
        <w:t xml:space="preserve"> </w:t>
      </w:r>
      <w:r w:rsidR="00015F11" w:rsidRPr="00174283">
        <w:rPr>
          <w:lang w:val="fr-FR"/>
        </w:rPr>
        <w:t>pendant la durée de leur séjour légal en Macédoine,</w:t>
      </w:r>
      <w:r w:rsidR="007C7A56" w:rsidRPr="00174283">
        <w:rPr>
          <w:lang w:val="fr-FR"/>
        </w:rPr>
        <w:t xml:space="preserve"> sauf si la loi en dispose autrement. </w:t>
      </w:r>
    </w:p>
    <w:p w:rsidR="009865C2" w:rsidRPr="00174283" w:rsidRDefault="00403721" w:rsidP="00403721">
      <w:pPr>
        <w:pStyle w:val="SingleTxtG"/>
        <w:rPr>
          <w:lang w:val="fr-FR"/>
        </w:rPr>
      </w:pPr>
      <w:r>
        <w:rPr>
          <w:lang w:val="fr-FR"/>
        </w:rPr>
        <w:t>126.</w:t>
      </w:r>
      <w:r>
        <w:rPr>
          <w:lang w:val="fr-FR"/>
        </w:rPr>
        <w:tab/>
      </w:r>
      <w:r w:rsidR="007C7A56" w:rsidRPr="00174283">
        <w:rPr>
          <w:lang w:val="fr-FR"/>
        </w:rPr>
        <w:t>L</w:t>
      </w:r>
      <w:r w:rsidR="00205A62">
        <w:rPr>
          <w:lang w:val="fr-FR"/>
        </w:rPr>
        <w:t>’</w:t>
      </w:r>
      <w:r w:rsidR="007C7A56" w:rsidRPr="00174283">
        <w:rPr>
          <w:lang w:val="fr-FR"/>
        </w:rPr>
        <w:t>a</w:t>
      </w:r>
      <w:r w:rsidR="00BB19A5" w:rsidRPr="00174283">
        <w:rPr>
          <w:lang w:val="fr-FR"/>
        </w:rPr>
        <w:t xml:space="preserve">rticle 5 </w:t>
      </w:r>
      <w:r w:rsidR="007C7A56" w:rsidRPr="00174283">
        <w:rPr>
          <w:lang w:val="fr-FR"/>
        </w:rPr>
        <w:t>de la même loi se lit comme suit</w:t>
      </w:r>
      <w:r w:rsidR="002F51DC">
        <w:rPr>
          <w:lang w:val="fr-FR"/>
        </w:rPr>
        <w:t>:</w:t>
      </w:r>
      <w:r w:rsidR="007C7A56" w:rsidRPr="00174283">
        <w:rPr>
          <w:lang w:val="fr-FR"/>
        </w:rPr>
        <w:t xml:space="preserve"> </w:t>
      </w:r>
      <w:r w:rsidR="002F51DC">
        <w:rPr>
          <w:lang w:val="fr-FR"/>
        </w:rPr>
        <w:t>«</w:t>
      </w:r>
      <w:r w:rsidR="00425367" w:rsidRPr="00174283">
        <w:rPr>
          <w:lang w:val="fr-FR"/>
        </w:rPr>
        <w:t>L</w:t>
      </w:r>
      <w:r w:rsidR="00205A62">
        <w:rPr>
          <w:lang w:val="fr-FR"/>
        </w:rPr>
        <w:t>’</w:t>
      </w:r>
      <w:r w:rsidR="00425367" w:rsidRPr="00174283">
        <w:rPr>
          <w:lang w:val="fr-FR"/>
        </w:rPr>
        <w:t>application des dispositions prévues par la</w:t>
      </w:r>
      <w:r w:rsidR="006670AD" w:rsidRPr="00174283">
        <w:rPr>
          <w:lang w:val="fr-FR"/>
        </w:rPr>
        <w:t xml:space="preserve"> présente</w:t>
      </w:r>
      <w:r w:rsidR="00425367" w:rsidRPr="00174283">
        <w:rPr>
          <w:lang w:val="fr-FR"/>
        </w:rPr>
        <w:t xml:space="preserve"> loi doit se faire dans le respect des instruments internationaux ratifiés </w:t>
      </w:r>
      <w:r w:rsidR="007C7A56" w:rsidRPr="00174283">
        <w:rPr>
          <w:lang w:val="fr-FR"/>
        </w:rPr>
        <w:t>par la République de Macédoine</w:t>
      </w:r>
      <w:r w:rsidR="00015F11" w:rsidRPr="00174283">
        <w:rPr>
          <w:lang w:val="fr-FR"/>
        </w:rPr>
        <w:t xml:space="preserve"> conformément à la Constitution</w:t>
      </w:r>
      <w:r w:rsidR="00425367" w:rsidRPr="00174283">
        <w:rPr>
          <w:lang w:val="fr-FR"/>
        </w:rPr>
        <w:t xml:space="preserve"> </w:t>
      </w:r>
      <w:r w:rsidR="007C7A56" w:rsidRPr="00174283">
        <w:rPr>
          <w:lang w:val="fr-FR"/>
        </w:rPr>
        <w:t xml:space="preserve">qui accordent </w:t>
      </w:r>
      <w:r w:rsidR="00425367" w:rsidRPr="00174283">
        <w:rPr>
          <w:lang w:val="fr-FR"/>
        </w:rPr>
        <w:t>un traitement plus favorable aux ressortissants d</w:t>
      </w:r>
      <w:r w:rsidR="00205A62">
        <w:rPr>
          <w:lang w:val="fr-FR"/>
        </w:rPr>
        <w:t>’</w:t>
      </w:r>
      <w:r w:rsidR="00425367" w:rsidRPr="00174283">
        <w:rPr>
          <w:lang w:val="fr-FR"/>
        </w:rPr>
        <w:t>un pays étranger</w:t>
      </w:r>
      <w:r w:rsidR="007C7A56" w:rsidRPr="00174283">
        <w:rPr>
          <w:lang w:val="fr-FR"/>
        </w:rPr>
        <w:t>.</w:t>
      </w:r>
      <w:r w:rsidR="002F51DC">
        <w:rPr>
          <w:lang w:val="fr-FR"/>
        </w:rPr>
        <w:t>»</w:t>
      </w:r>
      <w:r w:rsidR="007C7A56" w:rsidRPr="00174283">
        <w:rPr>
          <w:lang w:val="fr-FR"/>
        </w:rPr>
        <w:t xml:space="preserve"> </w:t>
      </w:r>
    </w:p>
    <w:p w:rsidR="00BB19A5" w:rsidRPr="00174283" w:rsidRDefault="007C7A56" w:rsidP="009865C2">
      <w:pPr>
        <w:pStyle w:val="H1G"/>
        <w:rPr>
          <w:lang w:val="fr-FR"/>
        </w:rPr>
      </w:pPr>
      <w:r w:rsidRPr="00174283">
        <w:rPr>
          <w:lang w:val="fr-FR"/>
        </w:rPr>
        <w:tab/>
      </w:r>
      <w:r w:rsidRPr="00174283">
        <w:rPr>
          <w:lang w:val="fr-FR"/>
        </w:rPr>
        <w:tab/>
        <w:t xml:space="preserve">Réponse aux recommandations figurant </w:t>
      </w:r>
      <w:r w:rsidR="0089660E" w:rsidRPr="00174283">
        <w:rPr>
          <w:lang w:val="fr-FR"/>
        </w:rPr>
        <w:t>au paragraphe</w:t>
      </w:r>
      <w:r w:rsidR="004A336A">
        <w:rPr>
          <w:lang w:val="fr-FR"/>
        </w:rPr>
        <w:t xml:space="preserve"> </w:t>
      </w:r>
      <w:r w:rsidRPr="00174283">
        <w:rPr>
          <w:lang w:val="fr-FR"/>
        </w:rPr>
        <w:t>11 des observations finales du Comité</w:t>
      </w:r>
    </w:p>
    <w:p w:rsidR="00BB19A5" w:rsidRPr="00174283" w:rsidRDefault="009E1A92" w:rsidP="009E1A92">
      <w:pPr>
        <w:pStyle w:val="SingleTxtG"/>
        <w:rPr>
          <w:lang w:val="fr-FR"/>
        </w:rPr>
      </w:pPr>
      <w:r>
        <w:rPr>
          <w:lang w:val="fr-FR"/>
        </w:rPr>
        <w:t>127.</w:t>
      </w:r>
      <w:r>
        <w:rPr>
          <w:lang w:val="fr-FR"/>
        </w:rPr>
        <w:tab/>
      </w:r>
      <w:r w:rsidR="007C7A56" w:rsidRPr="00174283">
        <w:rPr>
          <w:lang w:val="fr-FR"/>
        </w:rPr>
        <w:t>Les motifs du rejet des demandes d</w:t>
      </w:r>
      <w:r w:rsidR="00205A62">
        <w:rPr>
          <w:lang w:val="fr-FR"/>
        </w:rPr>
        <w:t>’</w:t>
      </w:r>
      <w:r w:rsidR="007C7A56" w:rsidRPr="00174283">
        <w:rPr>
          <w:lang w:val="fr-FR"/>
        </w:rPr>
        <w:t xml:space="preserve">asile </w:t>
      </w:r>
      <w:r w:rsidR="005B2E8A">
        <w:rPr>
          <w:lang w:val="fr-FR"/>
        </w:rPr>
        <w:t>ne sont pas liés à des</w:t>
      </w:r>
      <w:r w:rsidR="007C7A56" w:rsidRPr="00174283">
        <w:rPr>
          <w:lang w:val="fr-FR"/>
        </w:rPr>
        <w:t xml:space="preserve"> </w:t>
      </w:r>
      <w:r w:rsidR="00723EB4" w:rsidRPr="00174283">
        <w:rPr>
          <w:lang w:val="fr-FR"/>
        </w:rPr>
        <w:t>dysfonctionnements</w:t>
      </w:r>
      <w:r w:rsidR="007C7A56" w:rsidRPr="00174283">
        <w:rPr>
          <w:lang w:val="fr-FR"/>
        </w:rPr>
        <w:t xml:space="preserve"> de la loi sur l</w:t>
      </w:r>
      <w:r w:rsidR="00205A62">
        <w:rPr>
          <w:lang w:val="fr-FR"/>
        </w:rPr>
        <w:t>’</w:t>
      </w:r>
      <w:r w:rsidR="007C7A56" w:rsidRPr="00174283">
        <w:rPr>
          <w:lang w:val="fr-FR"/>
        </w:rPr>
        <w:t xml:space="preserve">asile et la protection temporaire </w:t>
      </w:r>
      <w:r w:rsidR="00BB19A5" w:rsidRPr="00174283">
        <w:rPr>
          <w:lang w:val="fr-FR"/>
        </w:rPr>
        <w:t>(</w:t>
      </w:r>
      <w:r w:rsidR="004E1618" w:rsidRPr="006C4B2D">
        <w:rPr>
          <w:i/>
          <w:iCs/>
          <w:lang w:val="fr-FR"/>
        </w:rPr>
        <w:t>Journal officiel de la République de Macédoine</w:t>
      </w:r>
      <w:r w:rsidR="00BB19A5" w:rsidRPr="00174283">
        <w:rPr>
          <w:lang w:val="fr-FR"/>
        </w:rPr>
        <w:t xml:space="preserve"> </w:t>
      </w:r>
      <w:r w:rsidR="007C7A56" w:rsidRPr="00174283">
        <w:rPr>
          <w:lang w:val="fr-FR"/>
        </w:rPr>
        <w:t>n</w:t>
      </w:r>
      <w:r w:rsidR="00BB19A5" w:rsidRPr="00174283">
        <w:rPr>
          <w:vertAlign w:val="superscript"/>
          <w:lang w:val="fr-FR"/>
        </w:rPr>
        <w:t>o</w:t>
      </w:r>
      <w:r w:rsidR="00395B46" w:rsidRPr="00174283">
        <w:rPr>
          <w:vertAlign w:val="superscript"/>
          <w:lang w:val="fr-FR"/>
        </w:rPr>
        <w:t>s</w:t>
      </w:r>
      <w:r w:rsidR="004A336A">
        <w:rPr>
          <w:lang w:val="fr-FR"/>
        </w:rPr>
        <w:t> </w:t>
      </w:r>
      <w:r w:rsidR="00BB19A5" w:rsidRPr="00174283">
        <w:rPr>
          <w:lang w:val="fr-FR"/>
        </w:rPr>
        <w:t xml:space="preserve">49/03, 66/07, 142/08, 146/09 </w:t>
      </w:r>
      <w:r w:rsidR="007C7A56" w:rsidRPr="00174283">
        <w:rPr>
          <w:lang w:val="fr-FR"/>
        </w:rPr>
        <w:t>et 166/2012)</w:t>
      </w:r>
      <w:r w:rsidR="00BB19A5" w:rsidRPr="00174283">
        <w:rPr>
          <w:lang w:val="fr-FR"/>
        </w:rPr>
        <w:t xml:space="preserve"> </w:t>
      </w:r>
      <w:r w:rsidR="00FC1A86" w:rsidRPr="00174283">
        <w:rPr>
          <w:lang w:val="fr-FR"/>
        </w:rPr>
        <w:t>ou</w:t>
      </w:r>
      <w:r w:rsidR="007C7A56" w:rsidRPr="00174283">
        <w:rPr>
          <w:lang w:val="fr-FR"/>
        </w:rPr>
        <w:t xml:space="preserve"> </w:t>
      </w:r>
      <w:r w:rsidR="005B2E8A">
        <w:rPr>
          <w:lang w:val="fr-FR"/>
        </w:rPr>
        <w:t>à</w:t>
      </w:r>
      <w:r w:rsidR="005B2E8A" w:rsidRPr="00174283">
        <w:rPr>
          <w:lang w:val="fr-FR"/>
        </w:rPr>
        <w:t xml:space="preserve"> </w:t>
      </w:r>
      <w:r w:rsidR="007C7A56" w:rsidRPr="00174283">
        <w:rPr>
          <w:lang w:val="fr-FR"/>
        </w:rPr>
        <w:t>l</w:t>
      </w:r>
      <w:r w:rsidR="00205A62">
        <w:rPr>
          <w:lang w:val="fr-FR"/>
        </w:rPr>
        <w:t>’</w:t>
      </w:r>
      <w:r w:rsidR="007C7A56" w:rsidRPr="00174283">
        <w:rPr>
          <w:lang w:val="fr-FR"/>
        </w:rPr>
        <w:t xml:space="preserve">application des procédures de détermination du </w:t>
      </w:r>
      <w:r w:rsidR="00723EB4" w:rsidRPr="00174283">
        <w:rPr>
          <w:lang w:val="fr-FR"/>
        </w:rPr>
        <w:t>statut</w:t>
      </w:r>
      <w:r w:rsidR="007C7A56" w:rsidRPr="00174283">
        <w:rPr>
          <w:lang w:val="fr-FR"/>
        </w:rPr>
        <w:t xml:space="preserve"> de réfugié, mais tiennent au fait que les demandeurs d</w:t>
      </w:r>
      <w:r w:rsidR="00205A62">
        <w:rPr>
          <w:lang w:val="fr-FR"/>
        </w:rPr>
        <w:t>’</w:t>
      </w:r>
      <w:r w:rsidR="007C7A56" w:rsidRPr="00174283">
        <w:rPr>
          <w:lang w:val="fr-FR"/>
        </w:rPr>
        <w:t>asile provenant de zones de crise comme l</w:t>
      </w:r>
      <w:r w:rsidR="00205A62">
        <w:rPr>
          <w:lang w:val="fr-FR"/>
        </w:rPr>
        <w:t>’</w:t>
      </w:r>
      <w:r w:rsidR="00BB19A5" w:rsidRPr="00174283">
        <w:rPr>
          <w:lang w:val="fr-FR"/>
        </w:rPr>
        <w:t xml:space="preserve">Afghanistan, </w:t>
      </w:r>
      <w:r w:rsidR="007C7A56" w:rsidRPr="00174283">
        <w:rPr>
          <w:lang w:val="fr-FR"/>
        </w:rPr>
        <w:t xml:space="preserve">le </w:t>
      </w:r>
      <w:r w:rsidR="00BB19A5" w:rsidRPr="00174283">
        <w:rPr>
          <w:lang w:val="fr-FR"/>
        </w:rPr>
        <w:t xml:space="preserve">Pakistan, </w:t>
      </w:r>
      <w:r w:rsidR="007C7A56" w:rsidRPr="00174283">
        <w:rPr>
          <w:lang w:val="fr-FR"/>
        </w:rPr>
        <w:t>la Somalie</w:t>
      </w:r>
      <w:r w:rsidR="00395B46" w:rsidRPr="00174283">
        <w:rPr>
          <w:lang w:val="fr-FR"/>
        </w:rPr>
        <w:t>,</w:t>
      </w:r>
      <w:r w:rsidR="00BB19A5" w:rsidRPr="00174283">
        <w:rPr>
          <w:lang w:val="fr-FR"/>
        </w:rPr>
        <w:t xml:space="preserve"> etc., </w:t>
      </w:r>
      <w:r w:rsidR="007C7A56" w:rsidRPr="00174283">
        <w:rPr>
          <w:lang w:val="fr-FR"/>
        </w:rPr>
        <w:t>quittent le Centre d</w:t>
      </w:r>
      <w:r w:rsidR="00205A62">
        <w:rPr>
          <w:lang w:val="fr-FR"/>
        </w:rPr>
        <w:t>’</w:t>
      </w:r>
      <w:r w:rsidR="007C7A56" w:rsidRPr="00174283">
        <w:rPr>
          <w:lang w:val="fr-FR"/>
        </w:rPr>
        <w:t>accueil des demandeurs d</w:t>
      </w:r>
      <w:r w:rsidR="00205A62">
        <w:rPr>
          <w:lang w:val="fr-FR"/>
        </w:rPr>
        <w:t>’</w:t>
      </w:r>
      <w:r w:rsidR="007C7A56" w:rsidRPr="00174283">
        <w:rPr>
          <w:lang w:val="fr-FR"/>
        </w:rPr>
        <w:t xml:space="preserve">asile de </w:t>
      </w:r>
      <w:r w:rsidR="00BB19A5" w:rsidRPr="00174283">
        <w:rPr>
          <w:lang w:val="fr-FR"/>
        </w:rPr>
        <w:t xml:space="preserve">Vizbegovo </w:t>
      </w:r>
      <w:r w:rsidR="007C7A56" w:rsidRPr="00174283">
        <w:rPr>
          <w:lang w:val="fr-FR"/>
        </w:rPr>
        <w:t xml:space="preserve">et le territoire macédonien au cours de la procédure. </w:t>
      </w:r>
    </w:p>
    <w:p w:rsidR="00BB19A5" w:rsidRPr="00174283" w:rsidRDefault="009E1A92" w:rsidP="009E1A92">
      <w:pPr>
        <w:pStyle w:val="SingleTxtG"/>
        <w:rPr>
          <w:lang w:val="fr-FR"/>
        </w:rPr>
      </w:pPr>
      <w:r>
        <w:rPr>
          <w:lang w:val="fr-FR"/>
        </w:rPr>
        <w:t>128.</w:t>
      </w:r>
      <w:r>
        <w:rPr>
          <w:lang w:val="fr-FR"/>
        </w:rPr>
        <w:tab/>
      </w:r>
      <w:r w:rsidR="00723EB4" w:rsidRPr="00174283">
        <w:rPr>
          <w:lang w:val="fr-FR"/>
        </w:rPr>
        <w:t>La Macédoine est confrontée à une pénurie d</w:t>
      </w:r>
      <w:r w:rsidR="00205A62">
        <w:rPr>
          <w:lang w:val="fr-FR"/>
        </w:rPr>
        <w:t>’</w:t>
      </w:r>
      <w:r w:rsidR="00723EB4" w:rsidRPr="00174283">
        <w:rPr>
          <w:lang w:val="fr-FR"/>
        </w:rPr>
        <w:t xml:space="preserve">interprètes dans les langues parlées </w:t>
      </w:r>
      <w:r w:rsidR="00FE4C89" w:rsidRPr="00174283">
        <w:rPr>
          <w:lang w:val="fr-FR"/>
        </w:rPr>
        <w:t>par les demandeurs d</w:t>
      </w:r>
      <w:r w:rsidR="00205A62">
        <w:rPr>
          <w:lang w:val="fr-FR"/>
        </w:rPr>
        <w:t>’</w:t>
      </w:r>
      <w:r w:rsidR="00FE4C89" w:rsidRPr="00174283">
        <w:rPr>
          <w:lang w:val="fr-FR"/>
        </w:rPr>
        <w:t xml:space="preserve">asile </w:t>
      </w:r>
      <w:r w:rsidR="002A6AB9" w:rsidRPr="00174283">
        <w:rPr>
          <w:lang w:val="fr-FR"/>
        </w:rPr>
        <w:t>en provenance de</w:t>
      </w:r>
      <w:r w:rsidR="00723EB4" w:rsidRPr="00174283">
        <w:rPr>
          <w:lang w:val="fr-FR"/>
        </w:rPr>
        <w:t xml:space="preserve"> ces pay</w:t>
      </w:r>
      <w:r w:rsidR="00C2024C" w:rsidRPr="00174283">
        <w:rPr>
          <w:lang w:val="fr-FR"/>
        </w:rPr>
        <w:t>s (pachto</w:t>
      </w:r>
      <w:r w:rsidR="00723EB4" w:rsidRPr="00174283">
        <w:rPr>
          <w:lang w:val="fr-FR"/>
        </w:rPr>
        <w:t>, farsi, duru)</w:t>
      </w:r>
      <w:r w:rsidR="004F1815" w:rsidRPr="00174283">
        <w:rPr>
          <w:lang w:val="fr-FR"/>
        </w:rPr>
        <w:t>. Cependant</w:t>
      </w:r>
      <w:r w:rsidR="00723EB4" w:rsidRPr="00174283">
        <w:rPr>
          <w:lang w:val="fr-FR"/>
        </w:rPr>
        <w:t xml:space="preserve">, le fait </w:t>
      </w:r>
      <w:r w:rsidR="00CC7535" w:rsidRPr="00174283">
        <w:rPr>
          <w:lang w:val="fr-FR"/>
        </w:rPr>
        <w:t>que ceux-ci insistent</w:t>
      </w:r>
      <w:r w:rsidR="00723EB4" w:rsidRPr="00174283">
        <w:rPr>
          <w:lang w:val="fr-FR"/>
        </w:rPr>
        <w:t xml:space="preserve"> </w:t>
      </w:r>
      <w:r w:rsidR="005B2E8A">
        <w:rPr>
          <w:lang w:val="fr-FR"/>
        </w:rPr>
        <w:t>pour que leurs</w:t>
      </w:r>
      <w:r w:rsidR="00723EB4" w:rsidRPr="00174283">
        <w:rPr>
          <w:lang w:val="fr-FR"/>
        </w:rPr>
        <w:t xml:space="preserve"> entretiens </w:t>
      </w:r>
      <w:r w:rsidR="005B2E8A">
        <w:rPr>
          <w:lang w:val="fr-FR"/>
        </w:rPr>
        <w:t xml:space="preserve">aient lieu </w:t>
      </w:r>
      <w:r w:rsidR="00723EB4" w:rsidRPr="00174283">
        <w:rPr>
          <w:lang w:val="fr-FR"/>
        </w:rPr>
        <w:t xml:space="preserve">exclusivement dans leur langue </w:t>
      </w:r>
      <w:r w:rsidR="00FC1A86" w:rsidRPr="00174283">
        <w:rPr>
          <w:lang w:val="fr-FR"/>
        </w:rPr>
        <w:t xml:space="preserve">maternelle </w:t>
      </w:r>
      <w:r w:rsidR="002A6AB9" w:rsidRPr="00174283">
        <w:rPr>
          <w:lang w:val="fr-FR"/>
        </w:rPr>
        <w:t>s</w:t>
      </w:r>
      <w:r w:rsidR="00205A62">
        <w:rPr>
          <w:lang w:val="fr-FR"/>
        </w:rPr>
        <w:t>’</w:t>
      </w:r>
      <w:r w:rsidR="002A6AB9" w:rsidRPr="00174283">
        <w:rPr>
          <w:lang w:val="fr-FR"/>
        </w:rPr>
        <w:t>apparente à</w:t>
      </w:r>
      <w:r w:rsidR="00723EB4" w:rsidRPr="00174283">
        <w:rPr>
          <w:lang w:val="fr-FR"/>
        </w:rPr>
        <w:t xml:space="preserve"> un abus de procédure de l</w:t>
      </w:r>
      <w:r w:rsidR="004F1815" w:rsidRPr="00174283">
        <w:rPr>
          <w:lang w:val="fr-FR"/>
        </w:rPr>
        <w:t>eur part, sachant que leur</w:t>
      </w:r>
      <w:r w:rsidR="00723EB4" w:rsidRPr="00174283">
        <w:rPr>
          <w:lang w:val="fr-FR"/>
        </w:rPr>
        <w:t xml:space="preserve"> principal objectif est d</w:t>
      </w:r>
      <w:r w:rsidR="00205A62">
        <w:rPr>
          <w:lang w:val="fr-FR"/>
        </w:rPr>
        <w:t>’</w:t>
      </w:r>
      <w:r w:rsidR="00723EB4" w:rsidRPr="00174283">
        <w:rPr>
          <w:lang w:val="fr-FR"/>
        </w:rPr>
        <w:t>obtenir le droit d</w:t>
      </w:r>
      <w:r w:rsidR="00205A62">
        <w:rPr>
          <w:lang w:val="fr-FR"/>
        </w:rPr>
        <w:t>’</w:t>
      </w:r>
      <w:r w:rsidR="00723EB4" w:rsidRPr="00174283">
        <w:rPr>
          <w:lang w:val="fr-FR"/>
        </w:rPr>
        <w:t>asile non pas en République de Macédoine mais dans d</w:t>
      </w:r>
      <w:r w:rsidR="00205A62">
        <w:rPr>
          <w:lang w:val="fr-FR"/>
        </w:rPr>
        <w:t>’</w:t>
      </w:r>
      <w:r w:rsidR="00723EB4" w:rsidRPr="00174283">
        <w:rPr>
          <w:lang w:val="fr-FR"/>
        </w:rPr>
        <w:t>autres pays d</w:t>
      </w:r>
      <w:r w:rsidR="00205A62">
        <w:rPr>
          <w:lang w:val="fr-FR"/>
        </w:rPr>
        <w:t>’</w:t>
      </w:r>
      <w:r w:rsidR="00723EB4" w:rsidRPr="00174283">
        <w:rPr>
          <w:lang w:val="fr-FR"/>
        </w:rPr>
        <w:t xml:space="preserve">Europe occidentale. </w:t>
      </w:r>
    </w:p>
    <w:p w:rsidR="00BB19A5" w:rsidRPr="00174283" w:rsidRDefault="009E1A92" w:rsidP="009E1A92">
      <w:pPr>
        <w:pStyle w:val="SingleTxtG"/>
        <w:rPr>
          <w:lang w:val="fr-FR"/>
        </w:rPr>
      </w:pPr>
      <w:r>
        <w:rPr>
          <w:lang w:val="fr-FR"/>
        </w:rPr>
        <w:t>129.</w:t>
      </w:r>
      <w:r>
        <w:rPr>
          <w:lang w:val="fr-FR"/>
        </w:rPr>
        <w:tab/>
      </w:r>
      <w:r w:rsidR="007C7A56" w:rsidRPr="00174283">
        <w:rPr>
          <w:lang w:val="fr-FR"/>
        </w:rPr>
        <w:t>La loi sur l</w:t>
      </w:r>
      <w:r w:rsidR="00205A62">
        <w:rPr>
          <w:lang w:val="fr-FR"/>
        </w:rPr>
        <w:t>’</w:t>
      </w:r>
      <w:r w:rsidR="007C7A56" w:rsidRPr="00174283">
        <w:rPr>
          <w:lang w:val="fr-FR"/>
        </w:rPr>
        <w:t>asile et la protection temporaire a été revue, conformément à la recommandation du Comité</w:t>
      </w:r>
      <w:r w:rsidR="00FC1A86" w:rsidRPr="00174283">
        <w:rPr>
          <w:lang w:val="fr-FR"/>
        </w:rPr>
        <w:t>,</w:t>
      </w:r>
      <w:r w:rsidR="007C7A56" w:rsidRPr="00174283">
        <w:rPr>
          <w:lang w:val="fr-FR"/>
        </w:rPr>
        <w:t xml:space="preserve"> et des </w:t>
      </w:r>
      <w:r w:rsidR="00723EB4" w:rsidRPr="00174283">
        <w:rPr>
          <w:lang w:val="fr-FR"/>
        </w:rPr>
        <w:t>modifications</w:t>
      </w:r>
      <w:r w:rsidR="007C7A56" w:rsidRPr="00174283">
        <w:rPr>
          <w:lang w:val="fr-FR"/>
        </w:rPr>
        <w:t xml:space="preserve"> à celle-ci ont été élaborées. </w:t>
      </w:r>
    </w:p>
    <w:p w:rsidR="00BB19A5" w:rsidRPr="00174283" w:rsidRDefault="009E1A92" w:rsidP="009E1A92">
      <w:pPr>
        <w:pStyle w:val="SingleTxtG"/>
        <w:rPr>
          <w:lang w:val="fr-FR"/>
        </w:rPr>
      </w:pPr>
      <w:r>
        <w:rPr>
          <w:lang w:val="fr-FR"/>
        </w:rPr>
        <w:t>130.</w:t>
      </w:r>
      <w:r>
        <w:rPr>
          <w:lang w:val="fr-FR"/>
        </w:rPr>
        <w:tab/>
      </w:r>
      <w:r w:rsidR="007C7A56" w:rsidRPr="00174283">
        <w:rPr>
          <w:lang w:val="fr-FR"/>
        </w:rPr>
        <w:t xml:space="preserve">La loi de </w:t>
      </w:r>
      <w:r w:rsidR="00BB19A5" w:rsidRPr="00174283">
        <w:rPr>
          <w:lang w:val="fr-FR"/>
        </w:rPr>
        <w:t xml:space="preserve">2012 </w:t>
      </w:r>
      <w:r w:rsidR="00D40116" w:rsidRPr="00174283">
        <w:rPr>
          <w:lang w:val="fr-FR"/>
        </w:rPr>
        <w:t>modifiant</w:t>
      </w:r>
      <w:r w:rsidR="007C7A56" w:rsidRPr="00174283">
        <w:rPr>
          <w:lang w:val="fr-FR"/>
        </w:rPr>
        <w:t xml:space="preserve"> la loi sur l</w:t>
      </w:r>
      <w:r w:rsidR="00205A62">
        <w:rPr>
          <w:lang w:val="fr-FR"/>
        </w:rPr>
        <w:t>’</w:t>
      </w:r>
      <w:r w:rsidR="007C7A56" w:rsidRPr="00174283">
        <w:rPr>
          <w:lang w:val="fr-FR"/>
        </w:rPr>
        <w:t xml:space="preserve">asile et la protection temporaire est entrée en vigueur en décembre 2012. </w:t>
      </w:r>
      <w:r w:rsidR="00723EB4" w:rsidRPr="00174283">
        <w:rPr>
          <w:lang w:val="fr-FR"/>
        </w:rPr>
        <w:t>Celle-ci</w:t>
      </w:r>
      <w:r w:rsidR="007C7A56" w:rsidRPr="00174283">
        <w:rPr>
          <w:lang w:val="fr-FR"/>
        </w:rPr>
        <w:t xml:space="preserve"> intègre désormais les dispositions de la Directive </w:t>
      </w:r>
      <w:r w:rsidR="00BB19A5" w:rsidRPr="00174283">
        <w:rPr>
          <w:lang w:val="fr-FR"/>
        </w:rPr>
        <w:t>2003/9/</w:t>
      </w:r>
      <w:r w:rsidR="007C7A56" w:rsidRPr="00174283">
        <w:rPr>
          <w:lang w:val="fr-FR"/>
        </w:rPr>
        <w:t>C</w:t>
      </w:r>
      <w:r w:rsidR="00BB19A5" w:rsidRPr="00174283">
        <w:rPr>
          <w:lang w:val="fr-FR"/>
        </w:rPr>
        <w:t xml:space="preserve">E </w:t>
      </w:r>
      <w:r w:rsidR="007C7A56" w:rsidRPr="00174283">
        <w:rPr>
          <w:lang w:val="fr-FR"/>
        </w:rPr>
        <w:t>du Conseil du 27 janvier 2003 relative à des normes minimales pour l</w:t>
      </w:r>
      <w:r w:rsidR="00205A62">
        <w:rPr>
          <w:lang w:val="fr-FR"/>
        </w:rPr>
        <w:t>’</w:t>
      </w:r>
      <w:r w:rsidR="007C7A56" w:rsidRPr="00174283">
        <w:rPr>
          <w:lang w:val="fr-FR"/>
        </w:rPr>
        <w:t xml:space="preserve">accueil de </w:t>
      </w:r>
      <w:r w:rsidR="00723EB4" w:rsidRPr="00174283">
        <w:rPr>
          <w:lang w:val="fr-FR"/>
        </w:rPr>
        <w:t>demandeurs</w:t>
      </w:r>
      <w:r w:rsidR="007C7A56" w:rsidRPr="00174283">
        <w:rPr>
          <w:lang w:val="fr-FR"/>
        </w:rPr>
        <w:t xml:space="preserve"> d</w:t>
      </w:r>
      <w:r w:rsidR="00205A62">
        <w:rPr>
          <w:lang w:val="fr-FR"/>
        </w:rPr>
        <w:t>’</w:t>
      </w:r>
      <w:r w:rsidR="007C7A56" w:rsidRPr="00174283">
        <w:rPr>
          <w:lang w:val="fr-FR"/>
        </w:rPr>
        <w:t>asile dans les États membres, de la Directive</w:t>
      </w:r>
      <w:r w:rsidR="00BB19A5" w:rsidRPr="00174283">
        <w:rPr>
          <w:lang w:val="fr-FR"/>
        </w:rPr>
        <w:t xml:space="preserve"> 2004/83/</w:t>
      </w:r>
      <w:r w:rsidR="007C7A56" w:rsidRPr="00174283">
        <w:rPr>
          <w:lang w:val="fr-FR"/>
        </w:rPr>
        <w:t>C</w:t>
      </w:r>
      <w:r w:rsidR="00BB19A5" w:rsidRPr="00174283">
        <w:rPr>
          <w:lang w:val="fr-FR"/>
        </w:rPr>
        <w:t xml:space="preserve">E </w:t>
      </w:r>
      <w:r w:rsidR="007C7A56" w:rsidRPr="00174283">
        <w:rPr>
          <w:lang w:val="fr-FR"/>
        </w:rPr>
        <w:t xml:space="preserve">du Conseil du 29 avril </w:t>
      </w:r>
      <w:r w:rsidR="00BB19A5" w:rsidRPr="00174283">
        <w:rPr>
          <w:lang w:val="fr-FR"/>
        </w:rPr>
        <w:t xml:space="preserve">2004 </w:t>
      </w:r>
      <w:r w:rsidR="007C7A56" w:rsidRPr="00174283">
        <w:rPr>
          <w:lang w:val="fr-FR"/>
        </w:rPr>
        <w:t xml:space="preserve">concernant les normes minimales relatives aux </w:t>
      </w:r>
      <w:r w:rsidR="00723EB4" w:rsidRPr="00174283">
        <w:rPr>
          <w:lang w:val="fr-FR"/>
        </w:rPr>
        <w:t>conditions</w:t>
      </w:r>
      <w:r w:rsidR="007C7A56" w:rsidRPr="00174283">
        <w:rPr>
          <w:lang w:val="fr-FR"/>
        </w:rPr>
        <w:t xml:space="preserve"> que doivent </w:t>
      </w:r>
      <w:r w:rsidR="00723EB4" w:rsidRPr="00174283">
        <w:rPr>
          <w:lang w:val="fr-FR"/>
        </w:rPr>
        <w:t>remplir</w:t>
      </w:r>
      <w:r w:rsidR="007C7A56" w:rsidRPr="00174283">
        <w:rPr>
          <w:lang w:val="fr-FR"/>
        </w:rPr>
        <w:t xml:space="preserve"> les ressortissants des pays tiers ou les apatrides pour pouvoir prétendre au statut de réfugié ou les personnes qui, pour d</w:t>
      </w:r>
      <w:r w:rsidR="00205A62">
        <w:rPr>
          <w:lang w:val="fr-FR"/>
        </w:rPr>
        <w:t>’</w:t>
      </w:r>
      <w:r w:rsidR="007C7A56" w:rsidRPr="00174283">
        <w:rPr>
          <w:lang w:val="fr-FR"/>
        </w:rPr>
        <w:t>autres raisons, ont besoin d</w:t>
      </w:r>
      <w:r w:rsidR="00205A62">
        <w:rPr>
          <w:lang w:val="fr-FR"/>
        </w:rPr>
        <w:t>’</w:t>
      </w:r>
      <w:r w:rsidR="007C7A56" w:rsidRPr="00174283">
        <w:rPr>
          <w:lang w:val="fr-FR"/>
        </w:rPr>
        <w:t>une protection internationale, et relatives</w:t>
      </w:r>
      <w:r w:rsidR="00D569EC" w:rsidRPr="00174283">
        <w:rPr>
          <w:lang w:val="fr-FR"/>
        </w:rPr>
        <w:t xml:space="preserve"> au contenu de ces statuts et </w:t>
      </w:r>
      <w:r w:rsidR="0062383A" w:rsidRPr="00174283">
        <w:rPr>
          <w:lang w:val="fr-FR"/>
        </w:rPr>
        <w:t>de</w:t>
      </w:r>
      <w:r w:rsidR="00D569EC" w:rsidRPr="00174283">
        <w:rPr>
          <w:lang w:val="fr-FR"/>
        </w:rPr>
        <w:t xml:space="preserve"> la Directive </w:t>
      </w:r>
      <w:r w:rsidR="00BB19A5" w:rsidRPr="00174283">
        <w:rPr>
          <w:lang w:val="fr-FR"/>
        </w:rPr>
        <w:t>2005/85/</w:t>
      </w:r>
      <w:r w:rsidR="00D569EC" w:rsidRPr="00174283">
        <w:rPr>
          <w:lang w:val="fr-FR"/>
        </w:rPr>
        <w:t>C</w:t>
      </w:r>
      <w:r w:rsidR="00BB19A5" w:rsidRPr="00174283">
        <w:rPr>
          <w:lang w:val="fr-FR"/>
        </w:rPr>
        <w:t xml:space="preserve">E </w:t>
      </w:r>
      <w:r w:rsidR="00D569EC" w:rsidRPr="00174283">
        <w:rPr>
          <w:lang w:val="fr-FR"/>
        </w:rPr>
        <w:t>du Conseil du 1</w:t>
      </w:r>
      <w:r w:rsidR="00D569EC" w:rsidRPr="00174283">
        <w:rPr>
          <w:vertAlign w:val="superscript"/>
          <w:lang w:val="fr-FR"/>
        </w:rPr>
        <w:t>er</w:t>
      </w:r>
      <w:r w:rsidR="00D569EC" w:rsidRPr="00174283">
        <w:rPr>
          <w:lang w:val="fr-FR"/>
        </w:rPr>
        <w:t xml:space="preserve"> décembre </w:t>
      </w:r>
      <w:r w:rsidR="00BB19A5" w:rsidRPr="00174283">
        <w:rPr>
          <w:lang w:val="fr-FR"/>
        </w:rPr>
        <w:t xml:space="preserve">2005 </w:t>
      </w:r>
      <w:r w:rsidR="00D569EC" w:rsidRPr="00174283">
        <w:rPr>
          <w:lang w:val="fr-FR"/>
        </w:rPr>
        <w:t>relative à des normes minimales concernant la procédure d</w:t>
      </w:r>
      <w:r w:rsidR="00205A62">
        <w:rPr>
          <w:lang w:val="fr-FR"/>
        </w:rPr>
        <w:t>’</w:t>
      </w:r>
      <w:r w:rsidR="00723EB4" w:rsidRPr="00174283">
        <w:rPr>
          <w:lang w:val="fr-FR"/>
        </w:rPr>
        <w:t>octroi</w:t>
      </w:r>
      <w:r w:rsidR="00D569EC" w:rsidRPr="00174283">
        <w:rPr>
          <w:lang w:val="fr-FR"/>
        </w:rPr>
        <w:t xml:space="preserve"> et de retrait du statut de réfugié dans les États membres. </w:t>
      </w:r>
    </w:p>
    <w:p w:rsidR="00BB19A5" w:rsidRPr="00174283" w:rsidRDefault="009E1A92" w:rsidP="009E1A92">
      <w:pPr>
        <w:pStyle w:val="SingleTxtG"/>
        <w:rPr>
          <w:lang w:val="fr-FR"/>
        </w:rPr>
      </w:pPr>
      <w:r>
        <w:rPr>
          <w:lang w:val="fr-FR"/>
        </w:rPr>
        <w:t>131.</w:t>
      </w:r>
      <w:r>
        <w:rPr>
          <w:lang w:val="fr-FR"/>
        </w:rPr>
        <w:tab/>
      </w:r>
      <w:r w:rsidR="00D569EC" w:rsidRPr="00174283">
        <w:rPr>
          <w:lang w:val="fr-FR"/>
        </w:rPr>
        <w:t xml:space="preserve">La loi apporte des solutions à certaines questions et </w:t>
      </w:r>
      <w:r w:rsidR="00723EB4" w:rsidRPr="00174283">
        <w:rPr>
          <w:lang w:val="fr-FR"/>
        </w:rPr>
        <w:t>améliore</w:t>
      </w:r>
      <w:r w:rsidR="00D569EC" w:rsidRPr="00174283">
        <w:rPr>
          <w:lang w:val="fr-FR"/>
        </w:rPr>
        <w:t xml:space="preserve"> les procédures </w:t>
      </w:r>
      <w:r w:rsidR="0062383A" w:rsidRPr="00174283">
        <w:rPr>
          <w:lang w:val="fr-FR"/>
        </w:rPr>
        <w:t xml:space="preserve">de demande </w:t>
      </w:r>
      <w:r w:rsidR="00D569EC" w:rsidRPr="00174283">
        <w:rPr>
          <w:lang w:val="fr-FR"/>
        </w:rPr>
        <w:t>d</w:t>
      </w:r>
      <w:r w:rsidR="00205A62">
        <w:rPr>
          <w:lang w:val="fr-FR"/>
        </w:rPr>
        <w:t>’</w:t>
      </w:r>
      <w:r w:rsidR="00D569EC" w:rsidRPr="00174283">
        <w:rPr>
          <w:lang w:val="fr-FR"/>
        </w:rPr>
        <w:t>asile</w:t>
      </w:r>
      <w:r w:rsidR="00264AB2" w:rsidRPr="00174283">
        <w:rPr>
          <w:lang w:val="fr-FR"/>
        </w:rPr>
        <w:t xml:space="preserve">, </w:t>
      </w:r>
      <w:r w:rsidR="0062383A" w:rsidRPr="00174283">
        <w:rPr>
          <w:lang w:val="fr-FR"/>
        </w:rPr>
        <w:t>le processus de décision</w:t>
      </w:r>
      <w:r w:rsidR="00D569EC" w:rsidRPr="00174283">
        <w:rPr>
          <w:lang w:val="fr-FR"/>
        </w:rPr>
        <w:t xml:space="preserve"> de </w:t>
      </w:r>
      <w:r w:rsidR="00723EB4" w:rsidRPr="00174283">
        <w:rPr>
          <w:lang w:val="fr-FR"/>
        </w:rPr>
        <w:t>première</w:t>
      </w:r>
      <w:r w:rsidR="00D569EC" w:rsidRPr="00174283">
        <w:rPr>
          <w:lang w:val="fr-FR"/>
        </w:rPr>
        <w:t xml:space="preserve"> instance </w:t>
      </w:r>
      <w:r w:rsidR="00264AB2" w:rsidRPr="00174283">
        <w:rPr>
          <w:lang w:val="fr-FR"/>
        </w:rPr>
        <w:t>et</w:t>
      </w:r>
      <w:r w:rsidR="00D569EC" w:rsidRPr="00174283">
        <w:rPr>
          <w:lang w:val="fr-FR"/>
        </w:rPr>
        <w:t xml:space="preserve"> les procédures de détermination du statut de réfugié. </w:t>
      </w:r>
    </w:p>
    <w:p w:rsidR="00BB19A5" w:rsidRPr="00174283" w:rsidRDefault="009E1A92" w:rsidP="009E1A92">
      <w:pPr>
        <w:pStyle w:val="SingleTxtG"/>
        <w:rPr>
          <w:lang w:val="fr-FR"/>
        </w:rPr>
      </w:pPr>
      <w:r>
        <w:rPr>
          <w:lang w:val="fr-FR"/>
        </w:rPr>
        <w:t>132.</w:t>
      </w:r>
      <w:r>
        <w:rPr>
          <w:lang w:val="fr-FR"/>
        </w:rPr>
        <w:tab/>
      </w:r>
      <w:r w:rsidR="00D569EC" w:rsidRPr="00174283">
        <w:rPr>
          <w:lang w:val="fr-FR"/>
        </w:rPr>
        <w:t>Conformément à ladite loi, le Ministère du travail et de la politique sociale</w:t>
      </w:r>
      <w:r w:rsidR="001A0758" w:rsidRPr="00174283">
        <w:rPr>
          <w:lang w:val="fr-FR"/>
        </w:rPr>
        <w:t xml:space="preserve"> informe les demandeurs d</w:t>
      </w:r>
      <w:r w:rsidR="00205A62">
        <w:rPr>
          <w:lang w:val="fr-FR"/>
        </w:rPr>
        <w:t>’</w:t>
      </w:r>
      <w:r w:rsidR="001A0758" w:rsidRPr="00174283">
        <w:rPr>
          <w:lang w:val="fr-FR"/>
        </w:rPr>
        <w:t>asile par écrit</w:t>
      </w:r>
      <w:r w:rsidR="00264AB2" w:rsidRPr="00174283">
        <w:rPr>
          <w:lang w:val="fr-FR"/>
        </w:rPr>
        <w:t>,</w:t>
      </w:r>
      <w:r w:rsidR="001A0758" w:rsidRPr="00174283">
        <w:rPr>
          <w:lang w:val="fr-FR"/>
        </w:rPr>
        <w:t xml:space="preserve"> dans une langue dont on peut raisonnablement supposer qu</w:t>
      </w:r>
      <w:r w:rsidR="00205A62">
        <w:rPr>
          <w:lang w:val="fr-FR"/>
        </w:rPr>
        <w:t>’</w:t>
      </w:r>
      <w:r w:rsidR="001A0758" w:rsidRPr="00174283">
        <w:rPr>
          <w:lang w:val="fr-FR"/>
        </w:rPr>
        <w:t xml:space="preserve">ils </w:t>
      </w:r>
      <w:r w:rsidR="00BA46A2" w:rsidRPr="00174283">
        <w:rPr>
          <w:lang w:val="fr-FR"/>
        </w:rPr>
        <w:t xml:space="preserve">la </w:t>
      </w:r>
      <w:r w:rsidR="001A0758" w:rsidRPr="00174283">
        <w:rPr>
          <w:lang w:val="fr-FR"/>
        </w:rPr>
        <w:t>comprennent</w:t>
      </w:r>
      <w:r w:rsidR="00BA46A2" w:rsidRPr="00174283">
        <w:rPr>
          <w:lang w:val="fr-FR"/>
        </w:rPr>
        <w:t>,</w:t>
      </w:r>
      <w:r w:rsidR="001A0758" w:rsidRPr="00174283">
        <w:rPr>
          <w:lang w:val="fr-FR"/>
        </w:rPr>
        <w:t xml:space="preserve"> ou oralement grâce à un interprète, </w:t>
      </w:r>
      <w:r w:rsidR="00BA46A2" w:rsidRPr="00174283">
        <w:rPr>
          <w:lang w:val="fr-FR"/>
        </w:rPr>
        <w:t>des</w:t>
      </w:r>
      <w:r w:rsidR="001A0758" w:rsidRPr="00174283">
        <w:rPr>
          <w:lang w:val="fr-FR"/>
        </w:rPr>
        <w:t xml:space="preserve"> droits que leur confère cette loi. Celle-ci définit les obligations des demandeurs d</w:t>
      </w:r>
      <w:r w:rsidR="00205A62">
        <w:rPr>
          <w:lang w:val="fr-FR"/>
        </w:rPr>
        <w:t>’</w:t>
      </w:r>
      <w:r w:rsidR="001A0758" w:rsidRPr="00174283">
        <w:rPr>
          <w:lang w:val="fr-FR"/>
        </w:rPr>
        <w:t xml:space="preserve">asile, précise les données personnelles qui sont saisies dans la Base de données intégrée sur les étrangers, </w:t>
      </w:r>
      <w:r w:rsidR="00BA46A2" w:rsidRPr="00174283">
        <w:rPr>
          <w:lang w:val="fr-FR"/>
        </w:rPr>
        <w:t xml:space="preserve">notamment </w:t>
      </w:r>
      <w:r w:rsidR="001A0758" w:rsidRPr="00174283">
        <w:rPr>
          <w:lang w:val="fr-FR"/>
        </w:rPr>
        <w:t xml:space="preserve">les données </w:t>
      </w:r>
      <w:r w:rsidR="00BA46A2" w:rsidRPr="00174283">
        <w:rPr>
          <w:lang w:val="fr-FR"/>
        </w:rPr>
        <w:t>sur l</w:t>
      </w:r>
      <w:r w:rsidR="00205A62">
        <w:rPr>
          <w:lang w:val="fr-FR"/>
        </w:rPr>
        <w:t>’</w:t>
      </w:r>
      <w:r w:rsidR="001A0758" w:rsidRPr="00174283">
        <w:rPr>
          <w:lang w:val="fr-FR"/>
        </w:rPr>
        <w:t>asile, l</w:t>
      </w:r>
      <w:r w:rsidR="00BA46A2" w:rsidRPr="00174283">
        <w:rPr>
          <w:lang w:val="fr-FR"/>
        </w:rPr>
        <w:t>es</w:t>
      </w:r>
      <w:r w:rsidR="001A0758" w:rsidRPr="00174283">
        <w:rPr>
          <w:lang w:val="fr-FR"/>
        </w:rPr>
        <w:t xml:space="preserve"> migration</w:t>
      </w:r>
      <w:r w:rsidR="00BA46A2" w:rsidRPr="00174283">
        <w:rPr>
          <w:lang w:val="fr-FR"/>
        </w:rPr>
        <w:t>s</w:t>
      </w:r>
      <w:r w:rsidR="001A0758" w:rsidRPr="00174283">
        <w:rPr>
          <w:lang w:val="fr-FR"/>
        </w:rPr>
        <w:t xml:space="preserve"> et le</w:t>
      </w:r>
      <w:r w:rsidR="00BA46A2" w:rsidRPr="00174283">
        <w:rPr>
          <w:lang w:val="fr-FR"/>
        </w:rPr>
        <w:t>s</w:t>
      </w:r>
      <w:r w:rsidR="001A0758" w:rsidRPr="00174283">
        <w:rPr>
          <w:lang w:val="fr-FR"/>
        </w:rPr>
        <w:t xml:space="preserve"> visa</w:t>
      </w:r>
      <w:r w:rsidR="00BA46A2" w:rsidRPr="00174283">
        <w:rPr>
          <w:lang w:val="fr-FR"/>
        </w:rPr>
        <w:t>s</w:t>
      </w:r>
      <w:r w:rsidR="001A0758" w:rsidRPr="00174283">
        <w:rPr>
          <w:lang w:val="fr-FR"/>
        </w:rPr>
        <w:t xml:space="preserve"> </w:t>
      </w:r>
      <w:r w:rsidR="00723EB4" w:rsidRPr="00174283">
        <w:rPr>
          <w:lang w:val="fr-FR"/>
        </w:rPr>
        <w:t>traitées</w:t>
      </w:r>
      <w:r w:rsidR="001A0758" w:rsidRPr="00174283">
        <w:rPr>
          <w:lang w:val="fr-FR"/>
        </w:rPr>
        <w:t xml:space="preserve"> par l</w:t>
      </w:r>
      <w:r w:rsidR="00205A62">
        <w:rPr>
          <w:lang w:val="fr-FR"/>
        </w:rPr>
        <w:t>’</w:t>
      </w:r>
      <w:r w:rsidR="001A0758" w:rsidRPr="00174283">
        <w:rPr>
          <w:lang w:val="fr-FR"/>
        </w:rPr>
        <w:t>Unité chargée des demandes d</w:t>
      </w:r>
      <w:r w:rsidR="00205A62">
        <w:rPr>
          <w:lang w:val="fr-FR"/>
        </w:rPr>
        <w:t>’</w:t>
      </w:r>
      <w:r w:rsidR="001A0758" w:rsidRPr="00174283">
        <w:rPr>
          <w:lang w:val="fr-FR"/>
        </w:rPr>
        <w:t>asile</w:t>
      </w:r>
      <w:r w:rsidR="00BA46A2" w:rsidRPr="00174283">
        <w:rPr>
          <w:lang w:val="fr-FR"/>
        </w:rPr>
        <w:t>,</w:t>
      </w:r>
      <w:r w:rsidR="001A0758" w:rsidRPr="00174283">
        <w:rPr>
          <w:lang w:val="fr-FR"/>
        </w:rPr>
        <w:t xml:space="preserve"> et fixe la durée de conservation des données. </w:t>
      </w:r>
    </w:p>
    <w:p w:rsidR="00BB19A5" w:rsidRPr="00174283" w:rsidRDefault="009E1A92" w:rsidP="009E1A92">
      <w:pPr>
        <w:pStyle w:val="SingleTxtG"/>
        <w:rPr>
          <w:lang w:val="fr-FR"/>
        </w:rPr>
      </w:pPr>
      <w:r>
        <w:rPr>
          <w:lang w:val="fr-FR"/>
        </w:rPr>
        <w:t>133.</w:t>
      </w:r>
      <w:r>
        <w:rPr>
          <w:lang w:val="fr-FR"/>
        </w:rPr>
        <w:tab/>
      </w:r>
      <w:r w:rsidR="001A0758" w:rsidRPr="00174283">
        <w:rPr>
          <w:lang w:val="fr-FR"/>
        </w:rPr>
        <w:t xml:space="preserve">Outre la loi </w:t>
      </w:r>
      <w:r w:rsidR="007A166C" w:rsidRPr="00174283">
        <w:rPr>
          <w:lang w:val="fr-FR"/>
        </w:rPr>
        <w:t>modifiée</w:t>
      </w:r>
      <w:r w:rsidR="001A0758" w:rsidRPr="00174283">
        <w:rPr>
          <w:lang w:val="fr-FR"/>
        </w:rPr>
        <w:t xml:space="preserve"> </w:t>
      </w:r>
      <w:r w:rsidR="007A166C" w:rsidRPr="00174283">
        <w:rPr>
          <w:lang w:val="fr-FR"/>
        </w:rPr>
        <w:t xml:space="preserve">de 2012 </w:t>
      </w:r>
      <w:r w:rsidR="001A0758" w:rsidRPr="00174283">
        <w:rPr>
          <w:lang w:val="fr-FR"/>
        </w:rPr>
        <w:t>sur l</w:t>
      </w:r>
      <w:r w:rsidR="00205A62">
        <w:rPr>
          <w:lang w:val="fr-FR"/>
        </w:rPr>
        <w:t>’</w:t>
      </w:r>
      <w:r w:rsidR="001A0758" w:rsidRPr="00174283">
        <w:rPr>
          <w:lang w:val="fr-FR"/>
        </w:rPr>
        <w:t xml:space="preserve">asile et la protection temporaire, </w:t>
      </w:r>
      <w:r w:rsidR="00AA29F8" w:rsidRPr="00174283">
        <w:rPr>
          <w:lang w:val="fr-FR"/>
        </w:rPr>
        <w:t>le Gouvernement</w:t>
      </w:r>
      <w:r w:rsidR="001A0758" w:rsidRPr="00174283">
        <w:rPr>
          <w:lang w:val="fr-FR"/>
        </w:rPr>
        <w:t xml:space="preserve"> a également élaboré une </w:t>
      </w:r>
      <w:r w:rsidR="00AA29F8" w:rsidRPr="00174283">
        <w:rPr>
          <w:lang w:val="fr-FR"/>
        </w:rPr>
        <w:t>S</w:t>
      </w:r>
      <w:r w:rsidR="001A0758" w:rsidRPr="00174283">
        <w:rPr>
          <w:lang w:val="fr-FR"/>
        </w:rPr>
        <w:t>tratégie pour l</w:t>
      </w:r>
      <w:r w:rsidR="00205A62">
        <w:rPr>
          <w:lang w:val="fr-FR"/>
        </w:rPr>
        <w:t>’</w:t>
      </w:r>
      <w:r w:rsidR="001A0758" w:rsidRPr="00174283">
        <w:rPr>
          <w:lang w:val="fr-FR"/>
        </w:rPr>
        <w:t xml:space="preserve">intégration des réfugiés </w:t>
      </w:r>
      <w:r w:rsidR="002963AE" w:rsidRPr="00174283">
        <w:rPr>
          <w:lang w:val="fr-FR"/>
        </w:rPr>
        <w:t xml:space="preserve">et des </w:t>
      </w:r>
      <w:r w:rsidR="001A0758" w:rsidRPr="00174283">
        <w:rPr>
          <w:lang w:val="fr-FR"/>
        </w:rPr>
        <w:t>étrangers et un Plan national d</w:t>
      </w:r>
      <w:r w:rsidR="00205A62">
        <w:rPr>
          <w:lang w:val="fr-FR"/>
        </w:rPr>
        <w:t>’</w:t>
      </w:r>
      <w:r w:rsidR="001A0758" w:rsidRPr="00174283">
        <w:rPr>
          <w:lang w:val="fr-FR"/>
        </w:rPr>
        <w:t>action pour la mise en œuvre du processus d</w:t>
      </w:r>
      <w:r w:rsidR="00205A62">
        <w:rPr>
          <w:lang w:val="fr-FR"/>
        </w:rPr>
        <w:t>’</w:t>
      </w:r>
      <w:r w:rsidR="001A0758" w:rsidRPr="00174283">
        <w:rPr>
          <w:lang w:val="fr-FR"/>
        </w:rPr>
        <w:t xml:space="preserve">intégration des réfugiés. Ce plan précise les mesures nécessaires à la mise en œuvre de la Stratégie pour la période 2008-2015, notamment </w:t>
      </w:r>
      <w:r w:rsidR="00FB7787" w:rsidRPr="00174283">
        <w:rPr>
          <w:lang w:val="fr-FR"/>
        </w:rPr>
        <w:t>dans les domaines du</w:t>
      </w:r>
      <w:r w:rsidR="001A0758" w:rsidRPr="00174283">
        <w:rPr>
          <w:lang w:val="fr-FR"/>
        </w:rPr>
        <w:t xml:space="preserve"> logement, </w:t>
      </w:r>
      <w:r w:rsidR="00FB7787" w:rsidRPr="00174283">
        <w:rPr>
          <w:lang w:val="fr-FR"/>
        </w:rPr>
        <w:t xml:space="preserve">de </w:t>
      </w:r>
      <w:r w:rsidR="001A0758" w:rsidRPr="00174283">
        <w:rPr>
          <w:lang w:val="fr-FR"/>
        </w:rPr>
        <w:t>l</w:t>
      </w:r>
      <w:r w:rsidR="00205A62">
        <w:rPr>
          <w:lang w:val="fr-FR"/>
        </w:rPr>
        <w:t>’</w:t>
      </w:r>
      <w:r w:rsidR="001A0758" w:rsidRPr="00174283">
        <w:rPr>
          <w:lang w:val="fr-FR"/>
        </w:rPr>
        <w:t xml:space="preserve">éducation, </w:t>
      </w:r>
      <w:r w:rsidR="00FB7787" w:rsidRPr="00174283">
        <w:rPr>
          <w:lang w:val="fr-FR"/>
        </w:rPr>
        <w:t>d</w:t>
      </w:r>
      <w:r w:rsidR="001A0758" w:rsidRPr="00174283">
        <w:rPr>
          <w:lang w:val="fr-FR"/>
        </w:rPr>
        <w:t xml:space="preserve">es soins de santé, </w:t>
      </w:r>
      <w:r w:rsidR="00FB7787" w:rsidRPr="00174283">
        <w:rPr>
          <w:lang w:val="fr-FR"/>
        </w:rPr>
        <w:t xml:space="preserve">de </w:t>
      </w:r>
      <w:r w:rsidR="001A0758" w:rsidRPr="00174283">
        <w:rPr>
          <w:lang w:val="fr-FR"/>
        </w:rPr>
        <w:t>l</w:t>
      </w:r>
      <w:r w:rsidR="00205A62">
        <w:rPr>
          <w:lang w:val="fr-FR"/>
        </w:rPr>
        <w:t>’</w:t>
      </w:r>
      <w:r w:rsidR="001A0758" w:rsidRPr="00174283">
        <w:rPr>
          <w:lang w:val="fr-FR"/>
        </w:rPr>
        <w:t xml:space="preserve">emploi, </w:t>
      </w:r>
      <w:r w:rsidR="00FB7787" w:rsidRPr="00174283">
        <w:rPr>
          <w:lang w:val="fr-FR"/>
        </w:rPr>
        <w:t xml:space="preserve">de </w:t>
      </w:r>
      <w:r w:rsidR="001A0758" w:rsidRPr="00174283">
        <w:rPr>
          <w:lang w:val="fr-FR"/>
        </w:rPr>
        <w:t>la protection sociale, etc.</w:t>
      </w:r>
      <w:r w:rsidR="00BB19A5" w:rsidRPr="00174283">
        <w:rPr>
          <w:lang w:val="fr-FR"/>
        </w:rPr>
        <w:t xml:space="preserve"> </w:t>
      </w:r>
    </w:p>
    <w:p w:rsidR="00BB19A5" w:rsidRPr="00174283" w:rsidRDefault="009E1A92" w:rsidP="009E1A92">
      <w:pPr>
        <w:pStyle w:val="SingleTxtG"/>
        <w:rPr>
          <w:lang w:val="fr-FR"/>
        </w:rPr>
      </w:pPr>
      <w:r>
        <w:rPr>
          <w:lang w:val="fr-FR"/>
        </w:rPr>
        <w:t>134.</w:t>
      </w:r>
      <w:r>
        <w:rPr>
          <w:lang w:val="fr-FR"/>
        </w:rPr>
        <w:tab/>
      </w:r>
      <w:r w:rsidR="00263B8A" w:rsidRPr="00174283">
        <w:rPr>
          <w:lang w:val="fr-FR"/>
        </w:rPr>
        <w:t xml:space="preserve">En février </w:t>
      </w:r>
      <w:r w:rsidR="00BB19A5" w:rsidRPr="00174283">
        <w:rPr>
          <w:lang w:val="fr-FR"/>
        </w:rPr>
        <w:t xml:space="preserve">201З, </w:t>
      </w:r>
      <w:r w:rsidR="00263B8A" w:rsidRPr="00174283">
        <w:rPr>
          <w:lang w:val="fr-FR"/>
        </w:rPr>
        <w:t>il y avait 16 réfugiés officiellement reconnus comme tels en Macédoine et 587 personnes bénéficiant d</w:t>
      </w:r>
      <w:r w:rsidR="00205A62">
        <w:rPr>
          <w:lang w:val="fr-FR"/>
        </w:rPr>
        <w:t>’</w:t>
      </w:r>
      <w:r w:rsidR="00263B8A" w:rsidRPr="00174283">
        <w:rPr>
          <w:lang w:val="fr-FR"/>
        </w:rPr>
        <w:t>une protection subsidiaire. La majorité d</w:t>
      </w:r>
      <w:r w:rsidR="00205A62">
        <w:rPr>
          <w:lang w:val="fr-FR"/>
        </w:rPr>
        <w:t>’</w:t>
      </w:r>
      <w:r w:rsidR="00263B8A" w:rsidRPr="00174283">
        <w:rPr>
          <w:lang w:val="fr-FR"/>
        </w:rPr>
        <w:t xml:space="preserve">entre </w:t>
      </w:r>
      <w:r w:rsidR="006719B9" w:rsidRPr="00174283">
        <w:rPr>
          <w:lang w:val="fr-FR"/>
        </w:rPr>
        <w:t>elles</w:t>
      </w:r>
      <w:r w:rsidR="00263B8A" w:rsidRPr="00174283">
        <w:rPr>
          <w:lang w:val="fr-FR"/>
        </w:rPr>
        <w:t xml:space="preserve"> avaient demandé une protection internationale suite au conflit au </w:t>
      </w:r>
      <w:r w:rsidR="00BB19A5" w:rsidRPr="00174283">
        <w:rPr>
          <w:lang w:val="fr-FR"/>
        </w:rPr>
        <w:t xml:space="preserve">Kosovo </w:t>
      </w:r>
      <w:r w:rsidR="00263B8A" w:rsidRPr="00174283">
        <w:rPr>
          <w:lang w:val="fr-FR"/>
        </w:rPr>
        <w:t xml:space="preserve">en </w:t>
      </w:r>
      <w:r w:rsidR="00BB19A5" w:rsidRPr="00174283">
        <w:rPr>
          <w:lang w:val="fr-FR"/>
        </w:rPr>
        <w:t xml:space="preserve">1999 </w:t>
      </w:r>
      <w:r w:rsidR="00263B8A" w:rsidRPr="00174283">
        <w:rPr>
          <w:lang w:val="fr-FR"/>
        </w:rPr>
        <w:t xml:space="preserve">et </w:t>
      </w:r>
      <w:r w:rsidR="006719B9" w:rsidRPr="00174283">
        <w:rPr>
          <w:lang w:val="fr-FR"/>
        </w:rPr>
        <w:t>sont issues des</w:t>
      </w:r>
      <w:r w:rsidR="00263B8A" w:rsidRPr="00174283">
        <w:rPr>
          <w:lang w:val="fr-FR"/>
        </w:rPr>
        <w:t xml:space="preserve"> communautés rom</w:t>
      </w:r>
      <w:r w:rsidR="00FF3F01" w:rsidRPr="00174283">
        <w:rPr>
          <w:lang w:val="fr-FR"/>
        </w:rPr>
        <w:t>, ashkali et égyptienne</w:t>
      </w:r>
      <w:r w:rsidR="00263B8A" w:rsidRPr="00174283">
        <w:rPr>
          <w:lang w:val="fr-FR"/>
        </w:rPr>
        <w:t>. Les personnes déplacées étaient au nombre de 296, soit 81 familles enregistrées dans le pays. Pour l</w:t>
      </w:r>
      <w:r w:rsidR="00205A62">
        <w:rPr>
          <w:lang w:val="fr-FR"/>
        </w:rPr>
        <w:t>’</w:t>
      </w:r>
      <w:r w:rsidR="00263B8A" w:rsidRPr="00174283">
        <w:rPr>
          <w:lang w:val="fr-FR"/>
        </w:rPr>
        <w:t>heure, elles sont accueillies dans six centres collectifs (</w:t>
      </w:r>
      <w:r w:rsidR="00395B46" w:rsidRPr="00174283">
        <w:rPr>
          <w:lang w:val="fr-FR"/>
        </w:rPr>
        <w:t>78 </w:t>
      </w:r>
      <w:r w:rsidR="00BB19A5" w:rsidRPr="00174283">
        <w:rPr>
          <w:lang w:val="fr-FR"/>
        </w:rPr>
        <w:t>person</w:t>
      </w:r>
      <w:r w:rsidR="00263B8A" w:rsidRPr="00174283">
        <w:rPr>
          <w:lang w:val="fr-FR"/>
        </w:rPr>
        <w:t>ne</w:t>
      </w:r>
      <w:r w:rsidR="00BB19A5" w:rsidRPr="00174283">
        <w:rPr>
          <w:lang w:val="fr-FR"/>
        </w:rPr>
        <w:t xml:space="preserve">s, </w:t>
      </w:r>
      <w:r w:rsidR="00263B8A" w:rsidRPr="00174283">
        <w:rPr>
          <w:lang w:val="fr-FR"/>
        </w:rPr>
        <w:t>familles de deux personnes</w:t>
      </w:r>
      <w:r w:rsidR="00BB19A5" w:rsidRPr="00174283">
        <w:rPr>
          <w:lang w:val="fr-FR"/>
        </w:rPr>
        <w:t xml:space="preserve">) </w:t>
      </w:r>
      <w:r w:rsidR="00263B8A" w:rsidRPr="00174283">
        <w:rPr>
          <w:lang w:val="fr-FR"/>
        </w:rPr>
        <w:t xml:space="preserve">et </w:t>
      </w:r>
      <w:r w:rsidR="006719B9" w:rsidRPr="00174283">
        <w:rPr>
          <w:lang w:val="fr-FR"/>
        </w:rPr>
        <w:t xml:space="preserve">chez des particuliers </w:t>
      </w:r>
      <w:r w:rsidR="00263B8A" w:rsidRPr="00174283">
        <w:rPr>
          <w:lang w:val="fr-FR"/>
        </w:rPr>
        <w:t>auxquels les autorités versent un loyer mensuel. Pour résoudre l</w:t>
      </w:r>
      <w:r w:rsidR="00205A62">
        <w:rPr>
          <w:lang w:val="fr-FR"/>
        </w:rPr>
        <w:t>’</w:t>
      </w:r>
      <w:r w:rsidR="00263B8A" w:rsidRPr="00174283">
        <w:rPr>
          <w:lang w:val="fr-FR"/>
        </w:rPr>
        <w:t>un des problèmes les plus importants de ces personnes, à savoir le logement, deux projets sont en cours</w:t>
      </w:r>
      <w:r w:rsidR="002F51DC">
        <w:rPr>
          <w:lang w:val="fr-FR"/>
        </w:rPr>
        <w:t>:</w:t>
      </w:r>
      <w:r w:rsidR="00263B8A" w:rsidRPr="00174283">
        <w:rPr>
          <w:lang w:val="fr-FR"/>
        </w:rPr>
        <w:t xml:space="preserve"> l</w:t>
      </w:r>
      <w:r w:rsidR="00205A62">
        <w:rPr>
          <w:lang w:val="fr-FR"/>
        </w:rPr>
        <w:t>’</w:t>
      </w:r>
      <w:r w:rsidR="00263B8A" w:rsidRPr="00174283">
        <w:rPr>
          <w:lang w:val="fr-FR"/>
        </w:rPr>
        <w:t xml:space="preserve">un soutenu par le Haut-Commissariat des Nations Unies pour les réfugiés (HCR) portant sur la </w:t>
      </w:r>
      <w:r w:rsidR="00723EB4" w:rsidRPr="00174283">
        <w:rPr>
          <w:lang w:val="fr-FR"/>
        </w:rPr>
        <w:t>construction</w:t>
      </w:r>
      <w:r w:rsidR="00263B8A" w:rsidRPr="00174283">
        <w:rPr>
          <w:lang w:val="fr-FR"/>
        </w:rPr>
        <w:t xml:space="preserve"> de 20 logements pour </w:t>
      </w:r>
      <w:r w:rsidR="006719B9" w:rsidRPr="00174283">
        <w:rPr>
          <w:lang w:val="fr-FR"/>
        </w:rPr>
        <w:t>d</w:t>
      </w:r>
      <w:r w:rsidR="00263B8A" w:rsidRPr="00174283">
        <w:rPr>
          <w:lang w:val="fr-FR"/>
        </w:rPr>
        <w:t>es réfugiés et l</w:t>
      </w:r>
      <w:r w:rsidR="00205A62">
        <w:rPr>
          <w:lang w:val="fr-FR"/>
        </w:rPr>
        <w:t>’</w:t>
      </w:r>
      <w:r w:rsidR="00263B8A" w:rsidRPr="00174283">
        <w:rPr>
          <w:lang w:val="fr-FR"/>
        </w:rPr>
        <w:t>autre financé par le volet 1 de l</w:t>
      </w:r>
      <w:r w:rsidR="00205A62">
        <w:rPr>
          <w:lang w:val="fr-FR"/>
        </w:rPr>
        <w:t>’</w:t>
      </w:r>
      <w:r w:rsidR="00263B8A" w:rsidRPr="00174283">
        <w:rPr>
          <w:lang w:val="fr-FR"/>
        </w:rPr>
        <w:t>instrument d</w:t>
      </w:r>
      <w:r w:rsidR="00205A62">
        <w:rPr>
          <w:lang w:val="fr-FR"/>
        </w:rPr>
        <w:t>’</w:t>
      </w:r>
      <w:r w:rsidR="00263B8A" w:rsidRPr="00174283">
        <w:rPr>
          <w:lang w:val="fr-FR"/>
        </w:rPr>
        <w:t>aide de pr</w:t>
      </w:r>
      <w:r w:rsidR="00ED4183">
        <w:rPr>
          <w:lang w:val="fr-FR"/>
        </w:rPr>
        <w:t>é</w:t>
      </w:r>
      <w:r w:rsidR="00263B8A" w:rsidRPr="00174283">
        <w:rPr>
          <w:lang w:val="fr-FR"/>
        </w:rPr>
        <w:t>adhésion (IAP)</w:t>
      </w:r>
      <w:r w:rsidR="000F55F3" w:rsidRPr="00174283">
        <w:rPr>
          <w:lang w:val="fr-FR"/>
        </w:rPr>
        <w:t>,</w:t>
      </w:r>
      <w:r w:rsidR="00263B8A" w:rsidRPr="00174283">
        <w:rPr>
          <w:lang w:val="fr-FR"/>
        </w:rPr>
        <w:t xml:space="preserve"> qui</w:t>
      </w:r>
      <w:r w:rsidR="004A336A">
        <w:rPr>
          <w:lang w:val="fr-FR"/>
        </w:rPr>
        <w:t xml:space="preserve"> prévoit la construction de 100 </w:t>
      </w:r>
      <w:r w:rsidR="00263B8A" w:rsidRPr="00174283">
        <w:rPr>
          <w:lang w:val="fr-FR"/>
        </w:rPr>
        <w:t xml:space="preserve">logements pour </w:t>
      </w:r>
      <w:r w:rsidR="000F55F3" w:rsidRPr="00174283">
        <w:rPr>
          <w:lang w:val="fr-FR"/>
        </w:rPr>
        <w:t>d</w:t>
      </w:r>
      <w:r w:rsidR="00263B8A" w:rsidRPr="00174283">
        <w:rPr>
          <w:lang w:val="fr-FR"/>
        </w:rPr>
        <w:t xml:space="preserve">es réfugiés et personnes déplacées. </w:t>
      </w:r>
    </w:p>
    <w:p w:rsidR="00BB19A5" w:rsidRPr="00174283" w:rsidRDefault="009E1A92" w:rsidP="009E1A92">
      <w:pPr>
        <w:pStyle w:val="SingleTxtG"/>
        <w:rPr>
          <w:lang w:val="fr-FR"/>
        </w:rPr>
      </w:pPr>
      <w:r>
        <w:rPr>
          <w:lang w:val="fr-FR"/>
        </w:rPr>
        <w:t>135.</w:t>
      </w:r>
      <w:r>
        <w:rPr>
          <w:lang w:val="fr-FR"/>
        </w:rPr>
        <w:tab/>
      </w:r>
      <w:r w:rsidR="00652155" w:rsidRPr="00174283">
        <w:rPr>
          <w:lang w:val="fr-FR"/>
        </w:rPr>
        <w:t>Il convient de noter qu</w:t>
      </w:r>
      <w:r w:rsidR="00205A62">
        <w:rPr>
          <w:lang w:val="fr-FR"/>
        </w:rPr>
        <w:t>’</w:t>
      </w:r>
      <w:r w:rsidR="00652155" w:rsidRPr="00174283">
        <w:rPr>
          <w:lang w:val="fr-FR"/>
        </w:rPr>
        <w:t>un programme pour l</w:t>
      </w:r>
      <w:r w:rsidR="00205A62">
        <w:rPr>
          <w:lang w:val="fr-FR"/>
        </w:rPr>
        <w:t>’</w:t>
      </w:r>
      <w:r w:rsidR="00652155" w:rsidRPr="00174283">
        <w:rPr>
          <w:lang w:val="fr-FR"/>
        </w:rPr>
        <w:t>intégration des personnes ayant obtenu le droit d</w:t>
      </w:r>
      <w:r w:rsidR="00205A62">
        <w:rPr>
          <w:lang w:val="fr-FR"/>
        </w:rPr>
        <w:t>’</w:t>
      </w:r>
      <w:r w:rsidR="00652155" w:rsidRPr="00174283">
        <w:rPr>
          <w:lang w:val="fr-FR"/>
        </w:rPr>
        <w:t xml:space="preserve">asile a été adopté pour la première fois en 2011. Ce programme incite les bénéficiaires à jouer un rôle actif dans les </w:t>
      </w:r>
      <w:r w:rsidR="000F55F3" w:rsidRPr="00174283">
        <w:rPr>
          <w:lang w:val="fr-FR"/>
        </w:rPr>
        <w:t xml:space="preserve">activités visant à promouvoir leur </w:t>
      </w:r>
      <w:r w:rsidR="00652155" w:rsidRPr="00174283">
        <w:rPr>
          <w:lang w:val="fr-FR"/>
        </w:rPr>
        <w:t>intégration locale, principalement par l</w:t>
      </w:r>
      <w:r w:rsidR="00205A62">
        <w:rPr>
          <w:lang w:val="fr-FR"/>
        </w:rPr>
        <w:t>’</w:t>
      </w:r>
      <w:r w:rsidR="00652155" w:rsidRPr="00174283">
        <w:rPr>
          <w:lang w:val="fr-FR"/>
        </w:rPr>
        <w:t>emploi et l</w:t>
      </w:r>
      <w:r w:rsidR="00205A62">
        <w:rPr>
          <w:lang w:val="fr-FR"/>
        </w:rPr>
        <w:t>’</w:t>
      </w:r>
      <w:r w:rsidR="00652155" w:rsidRPr="00174283">
        <w:rPr>
          <w:lang w:val="fr-FR"/>
        </w:rPr>
        <w:t>éducation. Le Ministère du travail et de la politique sociale élabore ce programme au début de chaque année et le met en œuvre en collaboration avec le Centre d</w:t>
      </w:r>
      <w:r w:rsidR="00205A62">
        <w:rPr>
          <w:lang w:val="fr-FR"/>
        </w:rPr>
        <w:t>’</w:t>
      </w:r>
      <w:r w:rsidR="00652155" w:rsidRPr="00174283">
        <w:rPr>
          <w:lang w:val="fr-FR"/>
        </w:rPr>
        <w:t xml:space="preserve">intégration des réfugiés et </w:t>
      </w:r>
      <w:r w:rsidR="000F55F3" w:rsidRPr="00174283">
        <w:rPr>
          <w:lang w:val="fr-FR"/>
        </w:rPr>
        <w:t xml:space="preserve">des </w:t>
      </w:r>
      <w:r w:rsidR="00652155" w:rsidRPr="00174283">
        <w:rPr>
          <w:lang w:val="fr-FR"/>
        </w:rPr>
        <w:t>étrangers et les Centres de service</w:t>
      </w:r>
      <w:r w:rsidR="000F55F3" w:rsidRPr="00174283">
        <w:rPr>
          <w:lang w:val="fr-FR"/>
        </w:rPr>
        <w:t>s</w:t>
      </w:r>
      <w:r w:rsidR="00652155" w:rsidRPr="00174283">
        <w:rPr>
          <w:lang w:val="fr-FR"/>
        </w:rPr>
        <w:t xml:space="preserve"> socia</w:t>
      </w:r>
      <w:r w:rsidR="000F55F3" w:rsidRPr="00174283">
        <w:rPr>
          <w:lang w:val="fr-FR"/>
        </w:rPr>
        <w:t>ux</w:t>
      </w:r>
      <w:r w:rsidR="00652155" w:rsidRPr="00174283">
        <w:rPr>
          <w:lang w:val="fr-FR"/>
        </w:rPr>
        <w:t xml:space="preserve">. Un programme identique a été adopté en 2013. </w:t>
      </w:r>
    </w:p>
    <w:p w:rsidR="00BB19A5" w:rsidRPr="00174283" w:rsidRDefault="009E1A92" w:rsidP="009E1A92">
      <w:pPr>
        <w:pStyle w:val="SingleTxtG"/>
        <w:rPr>
          <w:lang w:val="fr-FR"/>
        </w:rPr>
      </w:pPr>
      <w:r>
        <w:rPr>
          <w:lang w:val="fr-FR"/>
        </w:rPr>
        <w:t>136.</w:t>
      </w:r>
      <w:r>
        <w:rPr>
          <w:lang w:val="fr-FR"/>
        </w:rPr>
        <w:tab/>
      </w:r>
      <w:r w:rsidR="00C667FE" w:rsidRPr="00174283">
        <w:rPr>
          <w:lang w:val="fr-FR"/>
        </w:rPr>
        <w:t>Reconnaissant le caractère social et humanitaire du problème des réfugiés</w:t>
      </w:r>
      <w:r w:rsidR="00CF7920" w:rsidRPr="00174283">
        <w:rPr>
          <w:lang w:val="fr-FR"/>
        </w:rPr>
        <w:t xml:space="preserve">, </w:t>
      </w:r>
      <w:r w:rsidR="00C667FE" w:rsidRPr="00174283">
        <w:rPr>
          <w:lang w:val="fr-FR"/>
        </w:rPr>
        <w:t>la loi</w:t>
      </w:r>
      <w:r w:rsidR="0051565D" w:rsidRPr="00174283">
        <w:rPr>
          <w:lang w:val="fr-FR"/>
        </w:rPr>
        <w:t xml:space="preserve"> intègre les normes </w:t>
      </w:r>
      <w:r w:rsidR="00723EB4" w:rsidRPr="00174283">
        <w:rPr>
          <w:lang w:val="fr-FR"/>
        </w:rPr>
        <w:t>européennes</w:t>
      </w:r>
      <w:r w:rsidR="00AB5752" w:rsidRPr="00174283">
        <w:rPr>
          <w:lang w:val="fr-FR"/>
        </w:rPr>
        <w:t>,</w:t>
      </w:r>
      <w:r w:rsidR="0051565D" w:rsidRPr="00174283">
        <w:rPr>
          <w:lang w:val="fr-FR"/>
        </w:rPr>
        <w:t xml:space="preserve"> </w:t>
      </w:r>
      <w:r w:rsidR="00CF7920" w:rsidRPr="00174283">
        <w:rPr>
          <w:lang w:val="fr-FR"/>
        </w:rPr>
        <w:t xml:space="preserve">tient compte des </w:t>
      </w:r>
      <w:r w:rsidR="0051565D" w:rsidRPr="00174283">
        <w:rPr>
          <w:lang w:val="fr-FR"/>
        </w:rPr>
        <w:t xml:space="preserve">expériences comparatives </w:t>
      </w:r>
      <w:r w:rsidR="00AB5752" w:rsidRPr="00174283">
        <w:rPr>
          <w:lang w:val="fr-FR"/>
        </w:rPr>
        <w:t>et respecte</w:t>
      </w:r>
      <w:r w:rsidR="0051565D" w:rsidRPr="00174283">
        <w:rPr>
          <w:lang w:val="fr-FR"/>
        </w:rPr>
        <w:t xml:space="preserve"> les garanties de procédure </w:t>
      </w:r>
      <w:r w:rsidR="00CC779B" w:rsidRPr="00174283">
        <w:rPr>
          <w:lang w:val="fr-FR"/>
        </w:rPr>
        <w:t>du droit d</w:t>
      </w:r>
      <w:r w:rsidR="00205A62">
        <w:rPr>
          <w:lang w:val="fr-FR"/>
        </w:rPr>
        <w:t>’</w:t>
      </w:r>
      <w:r w:rsidR="00CC779B" w:rsidRPr="00174283">
        <w:rPr>
          <w:lang w:val="fr-FR"/>
        </w:rPr>
        <w:t>asile</w:t>
      </w:r>
      <w:r w:rsidR="0051565D" w:rsidRPr="00174283">
        <w:rPr>
          <w:lang w:val="fr-FR"/>
        </w:rPr>
        <w:t xml:space="preserve"> en Macédoine, conformément aux intérêts, </w:t>
      </w:r>
      <w:r w:rsidR="00CB2CAE" w:rsidRPr="00174283">
        <w:rPr>
          <w:lang w:val="fr-FR"/>
        </w:rPr>
        <w:t xml:space="preserve">aux </w:t>
      </w:r>
      <w:r w:rsidR="0051565D" w:rsidRPr="00174283">
        <w:rPr>
          <w:lang w:val="fr-FR"/>
        </w:rPr>
        <w:t xml:space="preserve">débouchés </w:t>
      </w:r>
      <w:r w:rsidR="00723EB4" w:rsidRPr="00174283">
        <w:rPr>
          <w:lang w:val="fr-FR"/>
        </w:rPr>
        <w:t>économiques</w:t>
      </w:r>
      <w:r w:rsidR="0051565D" w:rsidRPr="00174283">
        <w:rPr>
          <w:lang w:val="fr-FR"/>
        </w:rPr>
        <w:t xml:space="preserve"> et au système juridique et politique du pays. </w:t>
      </w:r>
    </w:p>
    <w:p w:rsidR="009865C2" w:rsidRPr="00174283" w:rsidRDefault="009865C2" w:rsidP="009865C2">
      <w:pPr>
        <w:pStyle w:val="H1G"/>
        <w:rPr>
          <w:lang w:val="fr-FR"/>
        </w:rPr>
      </w:pPr>
      <w:r w:rsidRPr="00174283">
        <w:rPr>
          <w:lang w:val="fr-FR"/>
        </w:rPr>
        <w:tab/>
      </w:r>
      <w:r w:rsidRPr="00174283">
        <w:rPr>
          <w:lang w:val="fr-FR"/>
        </w:rPr>
        <w:tab/>
        <w:t>R</w:t>
      </w:r>
      <w:r w:rsidR="0051565D" w:rsidRPr="00174283">
        <w:rPr>
          <w:lang w:val="fr-FR"/>
        </w:rPr>
        <w:t xml:space="preserve">éponse aux recommandations figurant </w:t>
      </w:r>
      <w:r w:rsidR="0089660E" w:rsidRPr="00174283">
        <w:rPr>
          <w:lang w:val="fr-FR"/>
        </w:rPr>
        <w:t>au paragraphe</w:t>
      </w:r>
      <w:r w:rsidR="0051565D" w:rsidRPr="00174283">
        <w:rPr>
          <w:lang w:val="fr-FR"/>
        </w:rPr>
        <w:t xml:space="preserve"> 12 des observations finales du Comité</w:t>
      </w:r>
    </w:p>
    <w:p w:rsidR="00BB19A5" w:rsidRPr="00174283" w:rsidRDefault="009E1A92" w:rsidP="009E1A92">
      <w:pPr>
        <w:pStyle w:val="SingleTxtG"/>
        <w:rPr>
          <w:lang w:val="fr-FR"/>
        </w:rPr>
      </w:pPr>
      <w:r>
        <w:rPr>
          <w:lang w:val="fr-FR"/>
        </w:rPr>
        <w:t>137.</w:t>
      </w:r>
      <w:r>
        <w:rPr>
          <w:lang w:val="fr-FR"/>
        </w:rPr>
        <w:tab/>
      </w:r>
      <w:r w:rsidR="00EF5C44" w:rsidRPr="00174283">
        <w:rPr>
          <w:lang w:val="fr-FR"/>
        </w:rPr>
        <w:t>Le 13 décembre 2012, la Cour européenne des droits de l</w:t>
      </w:r>
      <w:r w:rsidR="00205A62">
        <w:rPr>
          <w:lang w:val="fr-FR"/>
        </w:rPr>
        <w:t>’</w:t>
      </w:r>
      <w:r w:rsidR="00EF5C44" w:rsidRPr="00174283">
        <w:rPr>
          <w:lang w:val="fr-FR"/>
        </w:rPr>
        <w:t xml:space="preserve">homme a </w:t>
      </w:r>
      <w:r w:rsidR="000E4704" w:rsidRPr="00174283">
        <w:rPr>
          <w:lang w:val="fr-FR"/>
        </w:rPr>
        <w:t xml:space="preserve">rendu un arrêt faisant droit aux demandes de </w:t>
      </w:r>
      <w:r w:rsidR="00EF5C44" w:rsidRPr="00174283">
        <w:rPr>
          <w:lang w:val="fr-FR"/>
        </w:rPr>
        <w:t>M. El</w:t>
      </w:r>
      <w:r w:rsidR="004A336A">
        <w:rPr>
          <w:lang w:val="fr-FR"/>
        </w:rPr>
        <w:t>-</w:t>
      </w:r>
      <w:r w:rsidR="00EF5C44" w:rsidRPr="00174283">
        <w:rPr>
          <w:lang w:val="fr-FR"/>
        </w:rPr>
        <w:t>Masri. La Cour a en effet statué qu</w:t>
      </w:r>
      <w:r w:rsidR="00205A62">
        <w:rPr>
          <w:lang w:val="fr-FR"/>
        </w:rPr>
        <w:t>’</w:t>
      </w:r>
      <w:r w:rsidR="00EF5C44" w:rsidRPr="00174283">
        <w:rPr>
          <w:lang w:val="fr-FR"/>
        </w:rPr>
        <w:t xml:space="preserve">il y avait eu violation des articles 3 (Interdiction de la torture et </w:t>
      </w:r>
      <w:r w:rsidR="001D1946" w:rsidRPr="00174283">
        <w:rPr>
          <w:lang w:val="fr-FR"/>
        </w:rPr>
        <w:t>des peines ou traitements inhumains ou dégradants</w:t>
      </w:r>
      <w:r w:rsidR="00EF5C44" w:rsidRPr="00174283">
        <w:rPr>
          <w:lang w:val="fr-FR"/>
        </w:rPr>
        <w:t>), 5 (Droit à la liberté et à la s</w:t>
      </w:r>
      <w:r w:rsidR="001D1946" w:rsidRPr="00174283">
        <w:rPr>
          <w:lang w:val="fr-FR"/>
        </w:rPr>
        <w:t>ûreté</w:t>
      </w:r>
      <w:r w:rsidR="00EF5C44" w:rsidRPr="00174283">
        <w:rPr>
          <w:lang w:val="fr-FR"/>
        </w:rPr>
        <w:t>), 8 (Droit au respect de la vie privée et familiale) et 13 (Droit à un recours eff</w:t>
      </w:r>
      <w:r w:rsidR="001D1946" w:rsidRPr="00174283">
        <w:rPr>
          <w:lang w:val="fr-FR"/>
        </w:rPr>
        <w:t>ectif</w:t>
      </w:r>
      <w:r w:rsidR="00EF5C44" w:rsidRPr="00174283">
        <w:rPr>
          <w:lang w:val="fr-FR"/>
        </w:rPr>
        <w:t xml:space="preserve">) et ordonné le versement de 60 000 euros </w:t>
      </w:r>
      <w:r w:rsidR="000E4704" w:rsidRPr="00174283">
        <w:rPr>
          <w:lang w:val="fr-FR"/>
        </w:rPr>
        <w:t>pour dommage moral</w:t>
      </w:r>
      <w:r w:rsidR="00EF5C44" w:rsidRPr="00174283">
        <w:rPr>
          <w:lang w:val="fr-FR"/>
        </w:rPr>
        <w:t xml:space="preserve">. </w:t>
      </w:r>
    </w:p>
    <w:p w:rsidR="00BB19A5" w:rsidRPr="00174283" w:rsidRDefault="009E1A92" w:rsidP="009E1A92">
      <w:pPr>
        <w:pStyle w:val="SingleTxtG"/>
        <w:rPr>
          <w:lang w:val="fr-FR"/>
        </w:rPr>
      </w:pPr>
      <w:r>
        <w:rPr>
          <w:lang w:val="fr-FR"/>
        </w:rPr>
        <w:t>138.</w:t>
      </w:r>
      <w:r>
        <w:rPr>
          <w:lang w:val="fr-FR"/>
        </w:rPr>
        <w:tab/>
      </w:r>
      <w:r w:rsidR="00261E25" w:rsidRPr="00174283">
        <w:rPr>
          <w:lang w:val="fr-FR"/>
        </w:rPr>
        <w:t>Le jugement a été traduit en macédonien et distribué à tous les organes concernés par cette affaire ainsi qu</w:t>
      </w:r>
      <w:r w:rsidR="00205A62">
        <w:rPr>
          <w:lang w:val="fr-FR"/>
        </w:rPr>
        <w:t>’</w:t>
      </w:r>
      <w:r w:rsidR="00261E25" w:rsidRPr="00174283">
        <w:rPr>
          <w:lang w:val="fr-FR"/>
        </w:rPr>
        <w:t>à d</w:t>
      </w:r>
      <w:r w:rsidR="00205A62">
        <w:rPr>
          <w:lang w:val="fr-FR"/>
        </w:rPr>
        <w:t>’</w:t>
      </w:r>
      <w:r w:rsidR="00261E25" w:rsidRPr="00174283">
        <w:rPr>
          <w:lang w:val="fr-FR"/>
        </w:rPr>
        <w:t>autres organismes que l</w:t>
      </w:r>
      <w:r w:rsidR="00205A62">
        <w:rPr>
          <w:lang w:val="fr-FR"/>
        </w:rPr>
        <w:t>’</w:t>
      </w:r>
      <w:r w:rsidR="00261E25" w:rsidRPr="00174283">
        <w:rPr>
          <w:lang w:val="fr-FR"/>
        </w:rPr>
        <w:t>État a jugé bon d</w:t>
      </w:r>
      <w:r w:rsidR="00205A62">
        <w:rPr>
          <w:lang w:val="fr-FR"/>
        </w:rPr>
        <w:t>’</w:t>
      </w:r>
      <w:r w:rsidR="00261E25" w:rsidRPr="00174283">
        <w:rPr>
          <w:lang w:val="fr-FR"/>
        </w:rPr>
        <w:t xml:space="preserve">informer. </w:t>
      </w:r>
    </w:p>
    <w:p w:rsidR="00BB19A5" w:rsidRPr="00174283" w:rsidRDefault="009E1A92" w:rsidP="009E1A92">
      <w:pPr>
        <w:pStyle w:val="SingleTxtG"/>
        <w:rPr>
          <w:lang w:val="fr-FR"/>
        </w:rPr>
      </w:pPr>
      <w:r>
        <w:rPr>
          <w:lang w:val="fr-FR"/>
        </w:rPr>
        <w:t>139.</w:t>
      </w:r>
      <w:r>
        <w:rPr>
          <w:lang w:val="fr-FR"/>
        </w:rPr>
        <w:tab/>
      </w:r>
      <w:r w:rsidR="00261E25" w:rsidRPr="00174283">
        <w:rPr>
          <w:lang w:val="fr-FR"/>
        </w:rPr>
        <w:t xml:space="preserve">La République de Macédoine </w:t>
      </w:r>
      <w:r w:rsidR="00E962DB" w:rsidRPr="00174283">
        <w:rPr>
          <w:lang w:val="fr-FR"/>
        </w:rPr>
        <w:t>exécutera le</w:t>
      </w:r>
      <w:r w:rsidR="002F51DC">
        <w:rPr>
          <w:lang w:val="fr-FR"/>
        </w:rPr>
        <w:t xml:space="preserve"> </w:t>
      </w:r>
      <w:r w:rsidR="00D42911" w:rsidRPr="00174283">
        <w:rPr>
          <w:lang w:val="fr-FR"/>
        </w:rPr>
        <w:t xml:space="preserve">jugement de la Cour, conformément à la loi </w:t>
      </w:r>
      <w:r w:rsidR="000E4704" w:rsidRPr="00174283">
        <w:rPr>
          <w:lang w:val="fr-FR"/>
        </w:rPr>
        <w:t>relative à</w:t>
      </w:r>
      <w:r w:rsidR="00D42911" w:rsidRPr="00174283">
        <w:rPr>
          <w:lang w:val="fr-FR"/>
        </w:rPr>
        <w:t xml:space="preserve"> l</w:t>
      </w:r>
      <w:r w:rsidR="00205A62">
        <w:rPr>
          <w:lang w:val="fr-FR"/>
        </w:rPr>
        <w:t>’</w:t>
      </w:r>
      <w:r w:rsidR="00D42911" w:rsidRPr="00174283">
        <w:rPr>
          <w:lang w:val="fr-FR"/>
        </w:rPr>
        <w:t>exécution des jugements de la Cour européenne des droits de l</w:t>
      </w:r>
      <w:r w:rsidR="00205A62">
        <w:rPr>
          <w:lang w:val="fr-FR"/>
        </w:rPr>
        <w:t>’</w:t>
      </w:r>
      <w:r w:rsidR="00D42911" w:rsidRPr="00174283">
        <w:rPr>
          <w:lang w:val="fr-FR"/>
        </w:rPr>
        <w:t xml:space="preserve">homme </w:t>
      </w:r>
      <w:r w:rsidR="00BB19A5" w:rsidRPr="00174283">
        <w:rPr>
          <w:lang w:val="fr-FR"/>
        </w:rPr>
        <w:t>(</w:t>
      </w:r>
      <w:r w:rsidR="004E1618" w:rsidRPr="006C4B2D">
        <w:rPr>
          <w:i/>
          <w:iCs/>
          <w:lang w:val="fr-FR"/>
        </w:rPr>
        <w:t>Journal officiel de la République de Macédoine</w:t>
      </w:r>
      <w:r w:rsidR="00D42911" w:rsidRPr="00174283">
        <w:rPr>
          <w:lang w:val="fr-FR"/>
        </w:rPr>
        <w:t xml:space="preserve"> n</w:t>
      </w:r>
      <w:r w:rsidR="00BB19A5" w:rsidRPr="00174283">
        <w:rPr>
          <w:vertAlign w:val="superscript"/>
          <w:lang w:val="fr-FR"/>
        </w:rPr>
        <w:t>o</w:t>
      </w:r>
      <w:r w:rsidR="004E50E7">
        <w:rPr>
          <w:lang w:val="fr-FR"/>
        </w:rPr>
        <w:t> </w:t>
      </w:r>
      <w:r w:rsidR="00BB19A5" w:rsidRPr="00174283">
        <w:rPr>
          <w:lang w:val="fr-FR"/>
        </w:rPr>
        <w:t xml:space="preserve">67/09), </w:t>
      </w:r>
      <w:r w:rsidR="00D42911" w:rsidRPr="00174283">
        <w:rPr>
          <w:lang w:val="fr-FR"/>
        </w:rPr>
        <w:t>selon laquelle</w:t>
      </w:r>
      <w:r w:rsidR="002F51DC">
        <w:rPr>
          <w:lang w:val="fr-FR"/>
        </w:rPr>
        <w:t>:</w:t>
      </w:r>
    </w:p>
    <w:p w:rsidR="007516FF" w:rsidRPr="00174283" w:rsidRDefault="007516FF" w:rsidP="003A3379">
      <w:pPr>
        <w:pStyle w:val="SingleTxtG"/>
        <w:ind w:left="1701"/>
        <w:rPr>
          <w:lang w:val="fr-FR"/>
        </w:rPr>
      </w:pPr>
      <w:r w:rsidRPr="00174283">
        <w:rPr>
          <w:lang w:val="fr-FR"/>
        </w:rPr>
        <w:t xml:space="preserve">Article 3 </w:t>
      </w:r>
    </w:p>
    <w:p w:rsidR="007516FF" w:rsidRPr="00174283" w:rsidRDefault="00D42911" w:rsidP="001877DC">
      <w:pPr>
        <w:pStyle w:val="SingleTxtG"/>
        <w:ind w:left="1701"/>
        <w:rPr>
          <w:lang w:val="fr-FR"/>
        </w:rPr>
      </w:pPr>
      <w:r w:rsidRPr="00174283">
        <w:rPr>
          <w:lang w:val="fr-FR"/>
        </w:rPr>
        <w:t>Conformément à la Convention européenne de sauvegarde des droits de l</w:t>
      </w:r>
      <w:r w:rsidR="00205A62">
        <w:rPr>
          <w:lang w:val="fr-FR"/>
        </w:rPr>
        <w:t>’</w:t>
      </w:r>
      <w:r w:rsidRPr="00174283">
        <w:rPr>
          <w:lang w:val="fr-FR"/>
        </w:rPr>
        <w:t>homme et des libertés fondamentales, l</w:t>
      </w:r>
      <w:r w:rsidR="00205A62">
        <w:rPr>
          <w:lang w:val="fr-FR"/>
        </w:rPr>
        <w:t>’</w:t>
      </w:r>
      <w:r w:rsidRPr="00174283">
        <w:rPr>
          <w:lang w:val="fr-FR"/>
        </w:rPr>
        <w:t xml:space="preserve">exécution des jugements </w:t>
      </w:r>
      <w:r w:rsidR="00E962DB" w:rsidRPr="00174283">
        <w:rPr>
          <w:lang w:val="fr-FR"/>
        </w:rPr>
        <w:t>prononcés par</w:t>
      </w:r>
      <w:r w:rsidRPr="00174283">
        <w:rPr>
          <w:lang w:val="fr-FR"/>
        </w:rPr>
        <w:t xml:space="preserve"> la Cour est obligatoire pour la République de Macédoine. </w:t>
      </w:r>
    </w:p>
    <w:p w:rsidR="007516FF" w:rsidRPr="00174283" w:rsidRDefault="007516FF" w:rsidP="003A3379">
      <w:pPr>
        <w:pStyle w:val="SingleTxtG"/>
        <w:ind w:left="1701"/>
        <w:rPr>
          <w:lang w:val="fr-FR"/>
        </w:rPr>
      </w:pPr>
      <w:r w:rsidRPr="00174283">
        <w:rPr>
          <w:lang w:val="fr-FR"/>
        </w:rPr>
        <w:t>Article 6</w:t>
      </w:r>
    </w:p>
    <w:p w:rsidR="007516FF" w:rsidRPr="00174283" w:rsidRDefault="00D42911" w:rsidP="001877DC">
      <w:pPr>
        <w:pStyle w:val="SingleTxtG"/>
        <w:ind w:left="1701"/>
        <w:rPr>
          <w:lang w:val="fr-FR"/>
        </w:rPr>
      </w:pPr>
      <w:r w:rsidRPr="00174283">
        <w:rPr>
          <w:lang w:val="fr-FR"/>
        </w:rPr>
        <w:t xml:space="preserve">Une Commission interministérielle </w:t>
      </w:r>
      <w:r w:rsidR="007D16AB" w:rsidRPr="00174283">
        <w:rPr>
          <w:lang w:val="fr-FR"/>
        </w:rPr>
        <w:t>chargée de</w:t>
      </w:r>
      <w:r w:rsidRPr="00174283">
        <w:rPr>
          <w:lang w:val="fr-FR"/>
        </w:rPr>
        <w:t xml:space="preserve"> l</w:t>
      </w:r>
      <w:r w:rsidR="00205A62">
        <w:rPr>
          <w:lang w:val="fr-FR"/>
        </w:rPr>
        <w:t>’</w:t>
      </w:r>
      <w:r w:rsidRPr="00174283">
        <w:rPr>
          <w:lang w:val="fr-FR"/>
        </w:rPr>
        <w:t>exécution des jugements de la Cour européenne des droits de l</w:t>
      </w:r>
      <w:r w:rsidR="00205A62">
        <w:rPr>
          <w:lang w:val="fr-FR"/>
        </w:rPr>
        <w:t>’</w:t>
      </w:r>
      <w:r w:rsidRPr="00174283">
        <w:rPr>
          <w:lang w:val="fr-FR"/>
        </w:rPr>
        <w:t xml:space="preserve">homme doit être </w:t>
      </w:r>
      <w:r w:rsidR="00671F08" w:rsidRPr="00174283">
        <w:rPr>
          <w:lang w:val="fr-FR"/>
        </w:rPr>
        <w:t>mise en place</w:t>
      </w:r>
      <w:r w:rsidRPr="00174283">
        <w:rPr>
          <w:lang w:val="fr-FR"/>
        </w:rPr>
        <w:t xml:space="preserve"> pour encadrer l</w:t>
      </w:r>
      <w:r w:rsidR="00205A62">
        <w:rPr>
          <w:lang w:val="fr-FR"/>
        </w:rPr>
        <w:t>’</w:t>
      </w:r>
      <w:r w:rsidRPr="00174283">
        <w:rPr>
          <w:lang w:val="fr-FR"/>
        </w:rPr>
        <w:t xml:space="preserve">exécution des jugements </w:t>
      </w:r>
      <w:r w:rsidR="00E962DB" w:rsidRPr="00174283">
        <w:rPr>
          <w:lang w:val="fr-FR"/>
        </w:rPr>
        <w:t>prononcés par</w:t>
      </w:r>
      <w:r w:rsidRPr="00174283">
        <w:rPr>
          <w:lang w:val="fr-FR"/>
        </w:rPr>
        <w:t xml:space="preserve"> la Cour. </w:t>
      </w:r>
    </w:p>
    <w:p w:rsidR="009865C2" w:rsidRPr="00174283" w:rsidRDefault="009865C2" w:rsidP="009865C2">
      <w:pPr>
        <w:pStyle w:val="H1G"/>
        <w:rPr>
          <w:lang w:val="fr-FR"/>
        </w:rPr>
      </w:pPr>
      <w:r w:rsidRPr="00174283">
        <w:rPr>
          <w:lang w:val="fr-FR"/>
        </w:rPr>
        <w:tab/>
      </w:r>
      <w:r w:rsidRPr="00174283">
        <w:rPr>
          <w:lang w:val="fr-FR"/>
        </w:rPr>
        <w:tab/>
        <w:t>R</w:t>
      </w:r>
      <w:r w:rsidR="00D42911" w:rsidRPr="00174283">
        <w:rPr>
          <w:lang w:val="fr-FR"/>
        </w:rPr>
        <w:t xml:space="preserve">éponse aux recommandations figurant </w:t>
      </w:r>
      <w:r w:rsidR="0089660E" w:rsidRPr="00174283">
        <w:rPr>
          <w:lang w:val="fr-FR"/>
        </w:rPr>
        <w:t>au paragraphe</w:t>
      </w:r>
      <w:r w:rsidR="00D42911" w:rsidRPr="00174283">
        <w:rPr>
          <w:lang w:val="fr-FR"/>
        </w:rPr>
        <w:t xml:space="preserve"> 13 des observations finales du Comité</w:t>
      </w:r>
    </w:p>
    <w:p w:rsidR="007516FF" w:rsidRPr="00174283" w:rsidRDefault="009E1A92" w:rsidP="009E1A92">
      <w:pPr>
        <w:pStyle w:val="SingleTxtG"/>
        <w:rPr>
          <w:lang w:val="fr-FR"/>
        </w:rPr>
      </w:pPr>
      <w:r>
        <w:rPr>
          <w:lang w:val="fr-FR"/>
        </w:rPr>
        <w:t>140.</w:t>
      </w:r>
      <w:r>
        <w:rPr>
          <w:lang w:val="fr-FR"/>
        </w:rPr>
        <w:tab/>
      </w:r>
      <w:r w:rsidR="00D42911" w:rsidRPr="00174283">
        <w:rPr>
          <w:lang w:val="fr-FR"/>
        </w:rPr>
        <w:t>Vingt-huit traducteurs ont été recrutés par des tribunaux de première instance afin d</w:t>
      </w:r>
      <w:r w:rsidR="00205A62">
        <w:rPr>
          <w:lang w:val="fr-FR"/>
        </w:rPr>
        <w:t>’</w:t>
      </w:r>
      <w:r w:rsidR="00D42911" w:rsidRPr="00174283">
        <w:rPr>
          <w:lang w:val="fr-FR"/>
        </w:rPr>
        <w:t xml:space="preserve">appliquer les dispositions </w:t>
      </w:r>
      <w:r w:rsidR="00C3669F" w:rsidRPr="00174283">
        <w:rPr>
          <w:lang w:val="fr-FR"/>
        </w:rPr>
        <w:t>des</w:t>
      </w:r>
      <w:r w:rsidR="00D42911" w:rsidRPr="00174283">
        <w:rPr>
          <w:lang w:val="fr-FR"/>
        </w:rPr>
        <w:t xml:space="preserve"> </w:t>
      </w:r>
      <w:r w:rsidR="009737A4" w:rsidRPr="00174283">
        <w:rPr>
          <w:iCs/>
          <w:lang w:val="fr-FR"/>
        </w:rPr>
        <w:t>loi</w:t>
      </w:r>
      <w:r w:rsidR="00C3669F" w:rsidRPr="00174283">
        <w:rPr>
          <w:iCs/>
          <w:lang w:val="fr-FR"/>
        </w:rPr>
        <w:t xml:space="preserve">s relative à </w:t>
      </w:r>
      <w:r w:rsidR="009737A4" w:rsidRPr="00174283">
        <w:rPr>
          <w:lang w:val="fr-FR"/>
        </w:rPr>
        <w:t>l</w:t>
      </w:r>
      <w:r w:rsidR="00205A62">
        <w:rPr>
          <w:lang w:val="fr-FR"/>
        </w:rPr>
        <w:t>’</w:t>
      </w:r>
      <w:r w:rsidR="009737A4" w:rsidRPr="00174283">
        <w:rPr>
          <w:lang w:val="fr-FR"/>
        </w:rPr>
        <w:t xml:space="preserve">usage des </w:t>
      </w:r>
      <w:r w:rsidR="009737A4" w:rsidRPr="00174283">
        <w:rPr>
          <w:iCs/>
          <w:lang w:val="fr-FR"/>
        </w:rPr>
        <w:t>langues des communautés</w:t>
      </w:r>
      <w:r w:rsidR="009737A4" w:rsidRPr="00174283">
        <w:rPr>
          <w:lang w:val="fr-FR"/>
        </w:rPr>
        <w:t xml:space="preserve"> </w:t>
      </w:r>
      <w:r w:rsidR="00D42911" w:rsidRPr="00174283">
        <w:rPr>
          <w:lang w:val="fr-FR"/>
        </w:rPr>
        <w:t xml:space="preserve">dans les procédures judiciaires, dont 22 en 2006, 6 en 2007 et 2 en 2008. </w:t>
      </w:r>
    </w:p>
    <w:p w:rsidR="007516FF" w:rsidRPr="00174283" w:rsidRDefault="00D42911" w:rsidP="007516FF">
      <w:pPr>
        <w:pStyle w:val="Bullet1G"/>
        <w:rPr>
          <w:lang w:val="fr-FR"/>
        </w:rPr>
      </w:pPr>
      <w:r w:rsidRPr="00174283">
        <w:rPr>
          <w:lang w:val="fr-FR"/>
        </w:rPr>
        <w:t>Quatre traducteurs ont été recrutés par les cours d</w:t>
      </w:r>
      <w:r w:rsidR="00205A62">
        <w:rPr>
          <w:lang w:val="fr-FR"/>
        </w:rPr>
        <w:t>’</w:t>
      </w:r>
      <w:r w:rsidRPr="00174283">
        <w:rPr>
          <w:lang w:val="fr-FR"/>
        </w:rPr>
        <w:t xml:space="preserve">appel de </w:t>
      </w:r>
      <w:r w:rsidR="007516FF" w:rsidRPr="00174283">
        <w:rPr>
          <w:lang w:val="fr-FR"/>
        </w:rPr>
        <w:t xml:space="preserve">Gostivar, Skopje </w:t>
      </w:r>
      <w:r w:rsidRPr="00174283">
        <w:rPr>
          <w:lang w:val="fr-FR"/>
        </w:rPr>
        <w:t>et Bitola, dont un en 2006, un en 2007 et un en 2008</w:t>
      </w:r>
      <w:r w:rsidR="00B6019A" w:rsidRPr="00174283">
        <w:rPr>
          <w:lang w:val="fr-FR"/>
        </w:rPr>
        <w:t>;</w:t>
      </w:r>
      <w:r w:rsidRPr="00174283">
        <w:rPr>
          <w:lang w:val="fr-FR"/>
        </w:rPr>
        <w:t xml:space="preserve"> et</w:t>
      </w:r>
    </w:p>
    <w:p w:rsidR="007516FF" w:rsidRPr="00174283" w:rsidRDefault="00D42911" w:rsidP="007516FF">
      <w:pPr>
        <w:pStyle w:val="Bullet1G"/>
        <w:rPr>
          <w:lang w:val="fr-FR"/>
        </w:rPr>
      </w:pPr>
      <w:r w:rsidRPr="00174283">
        <w:rPr>
          <w:lang w:val="fr-FR"/>
        </w:rPr>
        <w:t xml:space="preserve">Un traducteur a été recruté par la Cour suprême de la République de Macédoine en </w:t>
      </w:r>
      <w:r w:rsidR="007516FF" w:rsidRPr="00174283">
        <w:rPr>
          <w:lang w:val="fr-FR"/>
        </w:rPr>
        <w:t>2006.</w:t>
      </w:r>
    </w:p>
    <w:p w:rsidR="007516FF" w:rsidRPr="00174283" w:rsidRDefault="009E1A92" w:rsidP="009E1A92">
      <w:pPr>
        <w:pStyle w:val="SingleTxtG"/>
        <w:rPr>
          <w:lang w:val="fr-FR"/>
        </w:rPr>
      </w:pPr>
      <w:r>
        <w:rPr>
          <w:lang w:val="fr-FR"/>
        </w:rPr>
        <w:t>141.</w:t>
      </w:r>
      <w:r>
        <w:rPr>
          <w:lang w:val="fr-FR"/>
        </w:rPr>
        <w:tab/>
      </w:r>
      <w:r w:rsidR="00D42911" w:rsidRPr="00174283">
        <w:rPr>
          <w:lang w:val="fr-FR"/>
        </w:rPr>
        <w:t>S</w:t>
      </w:r>
      <w:r w:rsidR="00205A62">
        <w:rPr>
          <w:lang w:val="fr-FR"/>
        </w:rPr>
        <w:t>’</w:t>
      </w:r>
      <w:r w:rsidR="00D42911" w:rsidRPr="00174283">
        <w:rPr>
          <w:lang w:val="fr-FR"/>
        </w:rPr>
        <w:t xml:space="preserve">agissant des activités de formation, les données montrent que les </w:t>
      </w:r>
      <w:r w:rsidR="00723EB4" w:rsidRPr="00174283">
        <w:rPr>
          <w:lang w:val="fr-FR"/>
        </w:rPr>
        <w:t>traducteurs</w:t>
      </w:r>
      <w:r w:rsidR="00D42911" w:rsidRPr="00174283">
        <w:rPr>
          <w:lang w:val="fr-FR"/>
        </w:rPr>
        <w:t xml:space="preserve"> de la Cour suprême et du Tribunal de </w:t>
      </w:r>
      <w:r w:rsidR="00723EB4" w:rsidRPr="00174283">
        <w:rPr>
          <w:lang w:val="fr-FR"/>
        </w:rPr>
        <w:t>première</w:t>
      </w:r>
      <w:r w:rsidR="00D42911" w:rsidRPr="00174283">
        <w:rPr>
          <w:lang w:val="fr-FR"/>
        </w:rPr>
        <w:t xml:space="preserve"> instance de Skopje </w:t>
      </w:r>
      <w:r w:rsidR="007516FF" w:rsidRPr="00174283">
        <w:rPr>
          <w:lang w:val="fr-FR"/>
        </w:rPr>
        <w:t xml:space="preserve">II </w:t>
      </w:r>
      <w:r w:rsidR="00D42911" w:rsidRPr="00174283">
        <w:rPr>
          <w:lang w:val="fr-FR"/>
        </w:rPr>
        <w:t xml:space="preserve">(tribunal civil) avaient suivi une formation de neuf mois, alors que le </w:t>
      </w:r>
      <w:r w:rsidR="00723EB4" w:rsidRPr="00174283">
        <w:rPr>
          <w:lang w:val="fr-FR"/>
        </w:rPr>
        <w:t>traducteur</w:t>
      </w:r>
      <w:r w:rsidR="00D42911" w:rsidRPr="00174283">
        <w:rPr>
          <w:lang w:val="fr-FR"/>
        </w:rPr>
        <w:t xml:space="preserve"> recruté par le Tribunal de première instance de </w:t>
      </w:r>
      <w:r w:rsidR="007516FF" w:rsidRPr="00174283">
        <w:rPr>
          <w:lang w:val="fr-FR"/>
        </w:rPr>
        <w:t xml:space="preserve">Resen </w:t>
      </w:r>
      <w:r w:rsidR="00D42911" w:rsidRPr="00174283">
        <w:rPr>
          <w:lang w:val="fr-FR"/>
        </w:rPr>
        <w:t xml:space="preserve">avait pris part à quatre séminaires de formation. </w:t>
      </w:r>
    </w:p>
    <w:p w:rsidR="009865C2" w:rsidRPr="00174283" w:rsidRDefault="009865C2" w:rsidP="009865C2">
      <w:pPr>
        <w:pStyle w:val="H1G"/>
        <w:rPr>
          <w:lang w:val="fr-FR"/>
        </w:rPr>
      </w:pPr>
      <w:r w:rsidRPr="00174283">
        <w:rPr>
          <w:lang w:val="fr-FR"/>
        </w:rPr>
        <w:tab/>
      </w:r>
      <w:r w:rsidRPr="00174283">
        <w:rPr>
          <w:lang w:val="fr-FR"/>
        </w:rPr>
        <w:tab/>
        <w:t>R</w:t>
      </w:r>
      <w:r w:rsidR="005C37B4" w:rsidRPr="00174283">
        <w:rPr>
          <w:lang w:val="fr-FR"/>
        </w:rPr>
        <w:t>éponse aux</w:t>
      </w:r>
      <w:r w:rsidRPr="00174283">
        <w:rPr>
          <w:lang w:val="fr-FR"/>
        </w:rPr>
        <w:t xml:space="preserve"> </w:t>
      </w:r>
      <w:r w:rsidR="005C37B4" w:rsidRPr="00174283">
        <w:rPr>
          <w:lang w:val="fr-FR"/>
        </w:rPr>
        <w:t>recommandations figurant au paragraphe 14 des observations finales du Comité</w:t>
      </w:r>
    </w:p>
    <w:p w:rsidR="007516FF" w:rsidRPr="00174283" w:rsidRDefault="009E1A92" w:rsidP="009E1A92">
      <w:pPr>
        <w:pStyle w:val="SingleTxtG"/>
        <w:rPr>
          <w:lang w:val="fr-FR"/>
        </w:rPr>
      </w:pPr>
      <w:r>
        <w:rPr>
          <w:lang w:val="fr-FR"/>
        </w:rPr>
        <w:t>142.</w:t>
      </w:r>
      <w:r>
        <w:rPr>
          <w:lang w:val="fr-FR"/>
        </w:rPr>
        <w:tab/>
      </w:r>
      <w:r w:rsidR="005C37B4" w:rsidRPr="00174283">
        <w:rPr>
          <w:lang w:val="fr-FR"/>
        </w:rPr>
        <w:t xml:space="preserve">Conformément à la loi portant modification </w:t>
      </w:r>
      <w:r w:rsidR="00EB445F" w:rsidRPr="00174283">
        <w:rPr>
          <w:lang w:val="fr-FR"/>
        </w:rPr>
        <w:t>de</w:t>
      </w:r>
      <w:r w:rsidR="005C37B4" w:rsidRPr="00174283">
        <w:rPr>
          <w:lang w:val="fr-FR"/>
        </w:rPr>
        <w:t xml:space="preserve"> la loi sur l</w:t>
      </w:r>
      <w:r w:rsidR="00205A62">
        <w:rPr>
          <w:lang w:val="fr-FR"/>
        </w:rPr>
        <w:t>’</w:t>
      </w:r>
      <w:r w:rsidR="005C37B4" w:rsidRPr="00174283">
        <w:rPr>
          <w:lang w:val="fr-FR"/>
        </w:rPr>
        <w:t xml:space="preserve">état civil </w:t>
      </w:r>
      <w:r w:rsidR="007516FF" w:rsidRPr="00174283">
        <w:rPr>
          <w:lang w:val="fr-FR"/>
        </w:rPr>
        <w:t>(</w:t>
      </w:r>
      <w:r w:rsidR="004E1618" w:rsidRPr="006C4B2D">
        <w:rPr>
          <w:i/>
          <w:iCs/>
          <w:lang w:val="fr-FR"/>
        </w:rPr>
        <w:t>Journal officiel de la République de Macédoine</w:t>
      </w:r>
      <w:r w:rsidR="005C37B4" w:rsidRPr="00174283">
        <w:rPr>
          <w:lang w:val="fr-FR"/>
        </w:rPr>
        <w:t xml:space="preserve"> n</w:t>
      </w:r>
      <w:r w:rsidR="005C37B4" w:rsidRPr="00174283">
        <w:rPr>
          <w:vertAlign w:val="superscript"/>
          <w:lang w:val="fr-FR"/>
        </w:rPr>
        <w:t>os</w:t>
      </w:r>
      <w:r w:rsidR="00395B46" w:rsidRPr="00174283">
        <w:rPr>
          <w:lang w:val="fr-FR"/>
        </w:rPr>
        <w:t> </w:t>
      </w:r>
      <w:r w:rsidR="007516FF" w:rsidRPr="00174283">
        <w:rPr>
          <w:lang w:val="fr-FR"/>
        </w:rPr>
        <w:t xml:space="preserve">98/08 </w:t>
      </w:r>
      <w:r w:rsidR="005C37B4" w:rsidRPr="00174283">
        <w:rPr>
          <w:lang w:val="fr-FR"/>
        </w:rPr>
        <w:t>et</w:t>
      </w:r>
      <w:r w:rsidR="007516FF" w:rsidRPr="00174283">
        <w:rPr>
          <w:lang w:val="fr-FR"/>
        </w:rPr>
        <w:t xml:space="preserve"> 67/09),</w:t>
      </w:r>
      <w:r w:rsidR="00872A83" w:rsidRPr="00174283">
        <w:rPr>
          <w:lang w:val="fr-FR"/>
        </w:rPr>
        <w:t xml:space="preserve"> le Ministère de l</w:t>
      </w:r>
      <w:r w:rsidR="00205A62">
        <w:rPr>
          <w:lang w:val="fr-FR"/>
        </w:rPr>
        <w:t>’</w:t>
      </w:r>
      <w:r w:rsidR="00872A83" w:rsidRPr="00174283">
        <w:rPr>
          <w:lang w:val="fr-FR"/>
        </w:rPr>
        <w:t>intérieur a transféré</w:t>
      </w:r>
      <w:r w:rsidR="007516FF" w:rsidRPr="00174283">
        <w:rPr>
          <w:lang w:val="fr-FR"/>
        </w:rPr>
        <w:t xml:space="preserve"> </w:t>
      </w:r>
      <w:r w:rsidR="005C37B4" w:rsidRPr="00174283">
        <w:rPr>
          <w:lang w:val="fr-FR"/>
        </w:rPr>
        <w:t xml:space="preserve">la tenue des </w:t>
      </w:r>
      <w:r w:rsidR="00085EE9" w:rsidRPr="00174283">
        <w:rPr>
          <w:lang w:val="fr-FR"/>
        </w:rPr>
        <w:t>r</w:t>
      </w:r>
      <w:r w:rsidR="005C37B4" w:rsidRPr="00174283">
        <w:rPr>
          <w:lang w:val="fr-FR"/>
        </w:rPr>
        <w:t>egistres d</w:t>
      </w:r>
      <w:r w:rsidR="00205A62">
        <w:rPr>
          <w:lang w:val="fr-FR"/>
        </w:rPr>
        <w:t>’</w:t>
      </w:r>
      <w:r w:rsidR="005C37B4" w:rsidRPr="00174283">
        <w:rPr>
          <w:lang w:val="fr-FR"/>
        </w:rPr>
        <w:t>état civil à la Direction de l</w:t>
      </w:r>
      <w:r w:rsidR="00205A62">
        <w:rPr>
          <w:lang w:val="fr-FR"/>
        </w:rPr>
        <w:t>’</w:t>
      </w:r>
      <w:r w:rsidR="005C37B4" w:rsidRPr="00174283">
        <w:rPr>
          <w:lang w:val="fr-FR"/>
        </w:rPr>
        <w:t>état civil du Ministère de la justice</w:t>
      </w:r>
      <w:r w:rsidR="00872A83" w:rsidRPr="00174283">
        <w:rPr>
          <w:lang w:val="fr-FR"/>
        </w:rPr>
        <w:t xml:space="preserve"> le 1</w:t>
      </w:r>
      <w:r w:rsidR="00872A83" w:rsidRPr="00174283">
        <w:rPr>
          <w:vertAlign w:val="superscript"/>
          <w:lang w:val="fr-FR"/>
        </w:rPr>
        <w:t>er</w:t>
      </w:r>
      <w:r w:rsidR="00872A83" w:rsidRPr="00174283">
        <w:rPr>
          <w:lang w:val="fr-FR"/>
        </w:rPr>
        <w:t> janvier 2010</w:t>
      </w:r>
      <w:r w:rsidR="005C37B4" w:rsidRPr="00174283">
        <w:rPr>
          <w:lang w:val="fr-FR"/>
        </w:rPr>
        <w:t xml:space="preserve">. </w:t>
      </w:r>
    </w:p>
    <w:p w:rsidR="007516FF" w:rsidRPr="00174283" w:rsidRDefault="009E1A92" w:rsidP="009E1A92">
      <w:pPr>
        <w:pStyle w:val="SingleTxtG"/>
        <w:rPr>
          <w:lang w:val="fr-FR"/>
        </w:rPr>
      </w:pPr>
      <w:r>
        <w:rPr>
          <w:lang w:val="fr-FR"/>
        </w:rPr>
        <w:t>143.</w:t>
      </w:r>
      <w:r>
        <w:rPr>
          <w:lang w:val="fr-FR"/>
        </w:rPr>
        <w:tab/>
      </w:r>
      <w:r w:rsidR="005C37B4" w:rsidRPr="00174283">
        <w:rPr>
          <w:lang w:val="fr-FR"/>
        </w:rPr>
        <w:t>En dépit de ces changements, le Ministère de l</w:t>
      </w:r>
      <w:r w:rsidR="00205A62">
        <w:rPr>
          <w:lang w:val="fr-FR"/>
        </w:rPr>
        <w:t>’</w:t>
      </w:r>
      <w:r w:rsidR="005C37B4" w:rsidRPr="00174283">
        <w:rPr>
          <w:lang w:val="fr-FR"/>
        </w:rPr>
        <w:t>intérieur, en collaboration avec d</w:t>
      </w:r>
      <w:r w:rsidR="00205A62">
        <w:rPr>
          <w:lang w:val="fr-FR"/>
        </w:rPr>
        <w:t>’</w:t>
      </w:r>
      <w:r w:rsidR="005C37B4" w:rsidRPr="00174283">
        <w:rPr>
          <w:lang w:val="fr-FR"/>
        </w:rPr>
        <w:t>autres ministères</w:t>
      </w:r>
      <w:r w:rsidR="00AE4BFF" w:rsidRPr="00174283">
        <w:rPr>
          <w:lang w:val="fr-FR"/>
        </w:rPr>
        <w:t>,</w:t>
      </w:r>
      <w:r w:rsidR="005C37B4" w:rsidRPr="00174283">
        <w:rPr>
          <w:lang w:val="fr-FR"/>
        </w:rPr>
        <w:t xml:space="preserve"> </w:t>
      </w:r>
      <w:r w:rsidR="00AE4BFF" w:rsidRPr="00174283">
        <w:rPr>
          <w:lang w:val="fr-FR"/>
        </w:rPr>
        <w:t xml:space="preserve">en particulier </w:t>
      </w:r>
      <w:r w:rsidR="005C37B4" w:rsidRPr="00174283">
        <w:rPr>
          <w:lang w:val="fr-FR"/>
        </w:rPr>
        <w:t>la Direction de l</w:t>
      </w:r>
      <w:r w:rsidR="00205A62">
        <w:rPr>
          <w:lang w:val="fr-FR"/>
        </w:rPr>
        <w:t>’</w:t>
      </w:r>
      <w:r w:rsidR="005C37B4" w:rsidRPr="00174283">
        <w:rPr>
          <w:lang w:val="fr-FR"/>
        </w:rPr>
        <w:t xml:space="preserve">état civil du Ministère de la justice et </w:t>
      </w:r>
      <w:r w:rsidR="00872A83" w:rsidRPr="00174283">
        <w:rPr>
          <w:lang w:val="fr-FR"/>
        </w:rPr>
        <w:t>le</w:t>
      </w:r>
      <w:r w:rsidR="005C37B4" w:rsidRPr="00174283">
        <w:rPr>
          <w:lang w:val="fr-FR"/>
        </w:rPr>
        <w:t xml:space="preserve"> Ministère du travail et de la politique sociale,</w:t>
      </w:r>
      <w:r w:rsidR="00AE4BFF" w:rsidRPr="00174283">
        <w:rPr>
          <w:lang w:val="fr-FR"/>
        </w:rPr>
        <w:t xml:space="preserve"> et</w:t>
      </w:r>
      <w:r w:rsidR="007803BC" w:rsidRPr="00174283">
        <w:rPr>
          <w:lang w:val="fr-FR"/>
        </w:rPr>
        <w:t xml:space="preserve"> avec</w:t>
      </w:r>
      <w:r w:rsidR="005C37B4" w:rsidRPr="00174283">
        <w:rPr>
          <w:lang w:val="fr-FR"/>
        </w:rPr>
        <w:t xml:space="preserve"> le Bureau du HCR à Skopje, le Conseil de l</w:t>
      </w:r>
      <w:r w:rsidR="00205A62">
        <w:rPr>
          <w:lang w:val="fr-FR"/>
        </w:rPr>
        <w:t>’</w:t>
      </w:r>
      <w:r w:rsidR="005C37B4" w:rsidRPr="00174283">
        <w:rPr>
          <w:lang w:val="fr-FR"/>
        </w:rPr>
        <w:t>Europe, l</w:t>
      </w:r>
      <w:r w:rsidR="00205A62">
        <w:rPr>
          <w:lang w:val="fr-FR"/>
        </w:rPr>
        <w:t>’</w:t>
      </w:r>
      <w:r w:rsidR="005C37B4" w:rsidRPr="00174283">
        <w:rPr>
          <w:lang w:val="fr-FR"/>
        </w:rPr>
        <w:t>OSCE, l</w:t>
      </w:r>
      <w:r w:rsidR="00205A62">
        <w:rPr>
          <w:lang w:val="fr-FR"/>
        </w:rPr>
        <w:t>’</w:t>
      </w:r>
      <w:r w:rsidR="005C37B4" w:rsidRPr="00174283">
        <w:rPr>
          <w:lang w:val="fr-FR"/>
        </w:rPr>
        <w:t xml:space="preserve">UNICEF et le réseau des ONG ont participé activement, dans le cadre de leurs compétences respectives, à la résolution des difficultés que rencontrent les membres de la communauté rom concernant </w:t>
      </w:r>
      <w:r w:rsidR="00B356D6" w:rsidRPr="00174283">
        <w:rPr>
          <w:lang w:val="fr-FR"/>
        </w:rPr>
        <w:t>les procédures</w:t>
      </w:r>
      <w:r w:rsidR="005C37B4" w:rsidRPr="00174283">
        <w:rPr>
          <w:lang w:val="fr-FR"/>
        </w:rPr>
        <w:t xml:space="preserve"> relatives à l</w:t>
      </w:r>
      <w:r w:rsidR="00205A62">
        <w:rPr>
          <w:lang w:val="fr-FR"/>
        </w:rPr>
        <w:t>’</w:t>
      </w:r>
      <w:r w:rsidR="005C37B4" w:rsidRPr="00174283">
        <w:rPr>
          <w:lang w:val="fr-FR"/>
        </w:rPr>
        <w:t>enregistrement des naissances et à l</w:t>
      </w:r>
      <w:r w:rsidR="00205A62">
        <w:rPr>
          <w:lang w:val="fr-FR"/>
        </w:rPr>
        <w:t>’</w:t>
      </w:r>
      <w:r w:rsidR="005C37B4" w:rsidRPr="00174283">
        <w:rPr>
          <w:lang w:val="fr-FR"/>
        </w:rPr>
        <w:t>obtention de documents d</w:t>
      </w:r>
      <w:r w:rsidR="00205A62">
        <w:rPr>
          <w:lang w:val="fr-FR"/>
        </w:rPr>
        <w:t>’</w:t>
      </w:r>
      <w:r w:rsidR="005C37B4" w:rsidRPr="00174283">
        <w:rPr>
          <w:lang w:val="fr-FR"/>
        </w:rPr>
        <w:t xml:space="preserve">identification personnelle. </w:t>
      </w:r>
    </w:p>
    <w:p w:rsidR="007516FF" w:rsidRPr="00174283" w:rsidRDefault="009E1A92" w:rsidP="009E1A92">
      <w:pPr>
        <w:pStyle w:val="SingleTxtG"/>
        <w:rPr>
          <w:lang w:val="fr-FR"/>
        </w:rPr>
      </w:pPr>
      <w:r>
        <w:rPr>
          <w:lang w:val="fr-FR"/>
        </w:rPr>
        <w:t>144.</w:t>
      </w:r>
      <w:r>
        <w:rPr>
          <w:lang w:val="fr-FR"/>
        </w:rPr>
        <w:tab/>
      </w:r>
      <w:r w:rsidR="005C37B4" w:rsidRPr="00174283">
        <w:rPr>
          <w:lang w:val="fr-FR"/>
        </w:rPr>
        <w:t xml:space="preserve">En ce qui concerne les documents </w:t>
      </w:r>
      <w:r w:rsidR="00ED11C7" w:rsidRPr="00174283">
        <w:rPr>
          <w:lang w:val="fr-FR"/>
        </w:rPr>
        <w:t>d</w:t>
      </w:r>
      <w:r w:rsidR="00205A62">
        <w:rPr>
          <w:lang w:val="fr-FR"/>
        </w:rPr>
        <w:t>’</w:t>
      </w:r>
      <w:r w:rsidR="00ED11C7" w:rsidRPr="00174283">
        <w:rPr>
          <w:lang w:val="fr-FR"/>
        </w:rPr>
        <w:t xml:space="preserve">identification </w:t>
      </w:r>
      <w:r w:rsidR="005C37B4" w:rsidRPr="00174283">
        <w:rPr>
          <w:lang w:val="fr-FR"/>
        </w:rPr>
        <w:t>personnel</w:t>
      </w:r>
      <w:r w:rsidR="00ED11C7" w:rsidRPr="00174283">
        <w:rPr>
          <w:lang w:val="fr-FR"/>
        </w:rPr>
        <w:t>le</w:t>
      </w:r>
      <w:r w:rsidR="005C37B4" w:rsidRPr="00174283">
        <w:rPr>
          <w:lang w:val="fr-FR"/>
        </w:rPr>
        <w:t xml:space="preserve"> dont la délivrance est de son ressort, le Ministère de l</w:t>
      </w:r>
      <w:r w:rsidR="00205A62">
        <w:rPr>
          <w:lang w:val="fr-FR"/>
        </w:rPr>
        <w:t>’</w:t>
      </w:r>
      <w:r w:rsidR="005C37B4" w:rsidRPr="00174283">
        <w:rPr>
          <w:lang w:val="fr-FR"/>
        </w:rPr>
        <w:t xml:space="preserve">intérieur </w:t>
      </w:r>
      <w:r w:rsidR="007322BF" w:rsidRPr="00174283">
        <w:rPr>
          <w:lang w:val="fr-FR"/>
        </w:rPr>
        <w:t>se conforme</w:t>
      </w:r>
      <w:r w:rsidR="005C37B4" w:rsidRPr="00174283">
        <w:rPr>
          <w:lang w:val="fr-FR"/>
        </w:rPr>
        <w:t xml:space="preserve"> systématiquement </w:t>
      </w:r>
      <w:r w:rsidR="007322BF" w:rsidRPr="00174283">
        <w:rPr>
          <w:lang w:val="fr-FR"/>
        </w:rPr>
        <w:t>à</w:t>
      </w:r>
      <w:r w:rsidR="005C37B4" w:rsidRPr="00174283">
        <w:rPr>
          <w:lang w:val="fr-FR"/>
        </w:rPr>
        <w:t xml:space="preserve"> la législation en vigueur</w:t>
      </w:r>
      <w:r w:rsidR="00ED11C7" w:rsidRPr="00174283">
        <w:rPr>
          <w:lang w:val="fr-FR"/>
        </w:rPr>
        <w:t>, sans</w:t>
      </w:r>
      <w:r w:rsidR="00C15A17" w:rsidRPr="00174283">
        <w:rPr>
          <w:lang w:val="fr-FR"/>
        </w:rPr>
        <w:t xml:space="preserve"> exercer de</w:t>
      </w:r>
      <w:r w:rsidR="005C37B4" w:rsidRPr="00174283">
        <w:rPr>
          <w:lang w:val="fr-FR"/>
        </w:rPr>
        <w:t xml:space="preserve"> discrimination</w:t>
      </w:r>
      <w:r w:rsidR="00C15A17" w:rsidRPr="00174283">
        <w:rPr>
          <w:lang w:val="fr-FR"/>
        </w:rPr>
        <w:t xml:space="preserve"> (</w:t>
      </w:r>
      <w:r w:rsidR="00AB246E" w:rsidRPr="00174283">
        <w:rPr>
          <w:lang w:val="fr-FR"/>
        </w:rPr>
        <w:t xml:space="preserve">y compris </w:t>
      </w:r>
      <w:r w:rsidR="00C15A17" w:rsidRPr="00174283">
        <w:rPr>
          <w:lang w:val="fr-FR"/>
        </w:rPr>
        <w:t>celle fondée sur</w:t>
      </w:r>
      <w:r w:rsidR="00ED11C7" w:rsidRPr="00174283">
        <w:rPr>
          <w:lang w:val="fr-FR"/>
        </w:rPr>
        <w:t xml:space="preserve"> l</w:t>
      </w:r>
      <w:r w:rsidR="00205A62">
        <w:rPr>
          <w:lang w:val="fr-FR"/>
        </w:rPr>
        <w:t>’</w:t>
      </w:r>
      <w:r w:rsidR="00AB246E" w:rsidRPr="00174283">
        <w:rPr>
          <w:lang w:val="fr-FR"/>
        </w:rPr>
        <w:t>appartenance ethnique</w:t>
      </w:r>
      <w:r w:rsidR="002A0A23" w:rsidRPr="00174283">
        <w:rPr>
          <w:lang w:val="fr-FR"/>
        </w:rPr>
        <w:t>)</w:t>
      </w:r>
      <w:r w:rsidR="00AB246E" w:rsidRPr="00174283">
        <w:rPr>
          <w:lang w:val="fr-FR"/>
        </w:rPr>
        <w:t xml:space="preserve">. </w:t>
      </w:r>
    </w:p>
    <w:p w:rsidR="007516FF" w:rsidRPr="00174283" w:rsidRDefault="009E1A92" w:rsidP="009E1A92">
      <w:pPr>
        <w:pStyle w:val="SingleTxtG"/>
        <w:rPr>
          <w:lang w:val="fr-FR"/>
        </w:rPr>
      </w:pPr>
      <w:r>
        <w:rPr>
          <w:lang w:val="fr-FR"/>
        </w:rPr>
        <w:t>145.</w:t>
      </w:r>
      <w:r>
        <w:rPr>
          <w:lang w:val="fr-FR"/>
        </w:rPr>
        <w:tab/>
      </w:r>
      <w:r w:rsidR="00AA1DA0" w:rsidRPr="00174283">
        <w:rPr>
          <w:lang w:val="fr-FR"/>
        </w:rPr>
        <w:t>Depuis le lancement du</w:t>
      </w:r>
      <w:r w:rsidR="0072011E" w:rsidRPr="00174283">
        <w:rPr>
          <w:lang w:val="fr-FR"/>
        </w:rPr>
        <w:t xml:space="preserve"> projet «</w:t>
      </w:r>
      <w:r w:rsidR="00AB246E" w:rsidRPr="00174283">
        <w:rPr>
          <w:lang w:val="fr-FR"/>
        </w:rPr>
        <w:t>Nouveaux documents personnels»</w:t>
      </w:r>
      <w:r w:rsidR="00AA1DA0" w:rsidRPr="00174283">
        <w:rPr>
          <w:lang w:val="fr-FR"/>
        </w:rPr>
        <w:t xml:space="preserve"> le 2 avril 2007,</w:t>
      </w:r>
      <w:r w:rsidR="002F51DC">
        <w:rPr>
          <w:lang w:val="fr-FR"/>
        </w:rPr>
        <w:t xml:space="preserve"> </w:t>
      </w:r>
      <w:r w:rsidR="00C15A17" w:rsidRPr="00174283">
        <w:rPr>
          <w:lang w:val="fr-FR"/>
        </w:rPr>
        <w:t>l</w:t>
      </w:r>
      <w:r w:rsidR="00AB246E" w:rsidRPr="00174283">
        <w:rPr>
          <w:lang w:val="fr-FR"/>
        </w:rPr>
        <w:t>es documents d</w:t>
      </w:r>
      <w:r w:rsidR="00205A62">
        <w:rPr>
          <w:lang w:val="fr-FR"/>
        </w:rPr>
        <w:t>’</w:t>
      </w:r>
      <w:r w:rsidR="00AB246E" w:rsidRPr="00174283">
        <w:rPr>
          <w:lang w:val="fr-FR"/>
        </w:rPr>
        <w:t xml:space="preserve">identification personnelle </w:t>
      </w:r>
      <w:r w:rsidR="00AA1DA0" w:rsidRPr="00174283">
        <w:rPr>
          <w:lang w:val="fr-FR"/>
        </w:rPr>
        <w:t xml:space="preserve">sont désormais biométriques et les passeports </w:t>
      </w:r>
      <w:r w:rsidR="00AB246E" w:rsidRPr="00174283">
        <w:rPr>
          <w:lang w:val="fr-FR"/>
        </w:rPr>
        <w:t xml:space="preserve">conformes aux normes européennes. </w:t>
      </w:r>
    </w:p>
    <w:p w:rsidR="007516FF" w:rsidRPr="00174283" w:rsidRDefault="009E1A92" w:rsidP="009E1A92">
      <w:pPr>
        <w:pStyle w:val="SingleTxtG"/>
        <w:rPr>
          <w:lang w:val="fr-FR"/>
        </w:rPr>
      </w:pPr>
      <w:r>
        <w:rPr>
          <w:lang w:val="fr-FR"/>
        </w:rPr>
        <w:t>146.</w:t>
      </w:r>
      <w:r>
        <w:rPr>
          <w:lang w:val="fr-FR"/>
        </w:rPr>
        <w:tab/>
      </w:r>
      <w:r w:rsidR="00D3209B" w:rsidRPr="00174283">
        <w:rPr>
          <w:lang w:val="fr-FR"/>
        </w:rPr>
        <w:t xml:space="preserve">En vertu de </w:t>
      </w:r>
      <w:r w:rsidR="00AB246E" w:rsidRPr="00174283">
        <w:rPr>
          <w:lang w:val="fr-FR"/>
        </w:rPr>
        <w:t>la loi</w:t>
      </w:r>
      <w:r w:rsidR="00A547CC" w:rsidRPr="00174283">
        <w:rPr>
          <w:lang w:val="fr-FR"/>
        </w:rPr>
        <w:t xml:space="preserve"> sur les documents de voyage des citoyens de la République de Macédoine</w:t>
      </w:r>
      <w:r w:rsidR="00AB246E" w:rsidRPr="00174283">
        <w:rPr>
          <w:lang w:val="fr-FR"/>
        </w:rPr>
        <w:t>, les documents de voyage sont délivrés conformément à une procédure définie</w:t>
      </w:r>
      <w:r w:rsidR="007322BF" w:rsidRPr="00174283">
        <w:rPr>
          <w:lang w:val="fr-FR"/>
        </w:rPr>
        <w:t xml:space="preserve"> par la loi et</w:t>
      </w:r>
      <w:r w:rsidR="00AB246E" w:rsidRPr="00174283">
        <w:rPr>
          <w:lang w:val="fr-FR"/>
        </w:rPr>
        <w:t xml:space="preserve"> conforme à la législation primaire et secondaire, à tout citoyen macédonien qui réunit les conditions de délivrance de passeport, quelle que soit son appartenance </w:t>
      </w:r>
      <w:r w:rsidR="00B356D6" w:rsidRPr="00174283">
        <w:rPr>
          <w:lang w:val="fr-FR"/>
        </w:rPr>
        <w:t>ethnique</w:t>
      </w:r>
      <w:r w:rsidR="00AB246E" w:rsidRPr="00174283">
        <w:rPr>
          <w:lang w:val="fr-FR"/>
        </w:rPr>
        <w:t xml:space="preserve">. </w:t>
      </w:r>
    </w:p>
    <w:p w:rsidR="007516FF" w:rsidRPr="00174283" w:rsidRDefault="009E1A92" w:rsidP="009E1A92">
      <w:pPr>
        <w:pStyle w:val="SingleTxtG"/>
        <w:rPr>
          <w:lang w:val="fr-FR"/>
        </w:rPr>
      </w:pPr>
      <w:r>
        <w:rPr>
          <w:lang w:val="fr-FR"/>
        </w:rPr>
        <w:t>147.</w:t>
      </w:r>
      <w:r>
        <w:rPr>
          <w:lang w:val="fr-FR"/>
        </w:rPr>
        <w:tab/>
      </w:r>
      <w:r w:rsidR="00AB246E" w:rsidRPr="00174283">
        <w:rPr>
          <w:lang w:val="fr-FR"/>
        </w:rPr>
        <w:t xml:space="preserve">La deuxième </w:t>
      </w:r>
      <w:r w:rsidR="00A547CC" w:rsidRPr="00174283">
        <w:rPr>
          <w:lang w:val="fr-FR"/>
        </w:rPr>
        <w:t>phas</w:t>
      </w:r>
      <w:r w:rsidR="00AB246E" w:rsidRPr="00174283">
        <w:rPr>
          <w:lang w:val="fr-FR"/>
        </w:rPr>
        <w:t>e du projet «Nouveaux documents personnels» a débuté le 1</w:t>
      </w:r>
      <w:r w:rsidR="00AB246E" w:rsidRPr="00174283">
        <w:rPr>
          <w:vertAlign w:val="superscript"/>
          <w:lang w:val="fr-FR"/>
        </w:rPr>
        <w:t>er</w:t>
      </w:r>
      <w:r w:rsidR="00AB246E" w:rsidRPr="00174283">
        <w:rPr>
          <w:lang w:val="fr-FR"/>
        </w:rPr>
        <w:t> octobre 2007 avec la délivrance de cartes d</w:t>
      </w:r>
      <w:r w:rsidR="00205A62">
        <w:rPr>
          <w:lang w:val="fr-FR"/>
        </w:rPr>
        <w:t>’</w:t>
      </w:r>
      <w:r w:rsidR="00AB246E" w:rsidRPr="00174283">
        <w:rPr>
          <w:lang w:val="fr-FR"/>
        </w:rPr>
        <w:t xml:space="preserve">identité et permis de </w:t>
      </w:r>
      <w:r w:rsidR="00B356D6" w:rsidRPr="00174283">
        <w:rPr>
          <w:lang w:val="fr-FR"/>
        </w:rPr>
        <w:t>conduire</w:t>
      </w:r>
      <w:r w:rsidR="00AB246E" w:rsidRPr="00174283">
        <w:rPr>
          <w:lang w:val="fr-FR"/>
        </w:rPr>
        <w:t xml:space="preserve"> </w:t>
      </w:r>
      <w:r w:rsidR="00B356D6" w:rsidRPr="00174283">
        <w:rPr>
          <w:lang w:val="fr-FR"/>
        </w:rPr>
        <w:t>biométriques.</w:t>
      </w:r>
      <w:r w:rsidR="00AB246E" w:rsidRPr="00174283">
        <w:rPr>
          <w:lang w:val="fr-FR"/>
        </w:rPr>
        <w:t xml:space="preserve"> </w:t>
      </w:r>
    </w:p>
    <w:p w:rsidR="007516FF" w:rsidRPr="00174283" w:rsidRDefault="009E1A92" w:rsidP="009E1A92">
      <w:pPr>
        <w:pStyle w:val="SingleTxtG"/>
        <w:rPr>
          <w:lang w:val="fr-FR"/>
        </w:rPr>
      </w:pPr>
      <w:r>
        <w:rPr>
          <w:lang w:val="fr-FR"/>
        </w:rPr>
        <w:t>148.</w:t>
      </w:r>
      <w:r>
        <w:rPr>
          <w:lang w:val="fr-FR"/>
        </w:rPr>
        <w:tab/>
      </w:r>
      <w:r w:rsidR="00AB246E" w:rsidRPr="00174283">
        <w:rPr>
          <w:lang w:val="fr-FR"/>
        </w:rPr>
        <w:t xml:space="preserve">En octobre </w:t>
      </w:r>
      <w:r w:rsidR="007516FF" w:rsidRPr="00174283">
        <w:rPr>
          <w:lang w:val="fr-FR"/>
        </w:rPr>
        <w:t xml:space="preserve">2011, </w:t>
      </w:r>
      <w:r w:rsidR="00AB246E" w:rsidRPr="00174283">
        <w:rPr>
          <w:lang w:val="fr-FR"/>
        </w:rPr>
        <w:t>le Ministère du travail et de la politique sociale, en collaboration avec le Ministère de l</w:t>
      </w:r>
      <w:r w:rsidR="00205A62">
        <w:rPr>
          <w:lang w:val="fr-FR"/>
        </w:rPr>
        <w:t>’</w:t>
      </w:r>
      <w:r w:rsidR="00AB246E" w:rsidRPr="00174283">
        <w:rPr>
          <w:lang w:val="fr-FR"/>
        </w:rPr>
        <w:t>intérieur, la Direction de l</w:t>
      </w:r>
      <w:r w:rsidR="00205A62">
        <w:rPr>
          <w:lang w:val="fr-FR"/>
        </w:rPr>
        <w:t>’</w:t>
      </w:r>
      <w:r w:rsidR="00AB246E" w:rsidRPr="00174283">
        <w:rPr>
          <w:lang w:val="fr-FR"/>
        </w:rPr>
        <w:t xml:space="preserve">état civil, le HCR et des ONG roms, a lancé une campagne </w:t>
      </w:r>
      <w:r w:rsidR="00767CC3" w:rsidRPr="00174283">
        <w:rPr>
          <w:lang w:val="fr-FR"/>
        </w:rPr>
        <w:t>sur le terrain</w:t>
      </w:r>
      <w:r w:rsidR="00E406D5" w:rsidRPr="00174283">
        <w:rPr>
          <w:lang w:val="fr-FR"/>
        </w:rPr>
        <w:t xml:space="preserve"> visant à rechercher et recenser</w:t>
      </w:r>
      <w:r w:rsidR="00767CC3" w:rsidRPr="00174283">
        <w:rPr>
          <w:lang w:val="fr-FR"/>
        </w:rPr>
        <w:t xml:space="preserve"> les personnes non inscrites sur les registres d</w:t>
      </w:r>
      <w:r w:rsidR="00205A62">
        <w:rPr>
          <w:lang w:val="fr-FR"/>
        </w:rPr>
        <w:t>’</w:t>
      </w:r>
      <w:r w:rsidR="00767CC3" w:rsidRPr="00174283">
        <w:rPr>
          <w:lang w:val="fr-FR"/>
        </w:rPr>
        <w:t>état civil</w:t>
      </w:r>
      <w:r w:rsidR="00AB246E" w:rsidRPr="00174283">
        <w:rPr>
          <w:lang w:val="fr-FR"/>
        </w:rPr>
        <w:t>. Cette campagne comportait également des analyses d</w:t>
      </w:r>
      <w:r w:rsidR="00420547" w:rsidRPr="00174283">
        <w:rPr>
          <w:lang w:val="fr-FR"/>
        </w:rPr>
        <w:t>e l</w:t>
      </w:r>
      <w:r w:rsidR="00205A62">
        <w:rPr>
          <w:lang w:val="fr-FR"/>
        </w:rPr>
        <w:t>’</w:t>
      </w:r>
      <w:r w:rsidR="00AB246E" w:rsidRPr="00174283">
        <w:rPr>
          <w:lang w:val="fr-FR"/>
        </w:rPr>
        <w:t xml:space="preserve">ADN </w:t>
      </w:r>
      <w:r w:rsidR="00420547" w:rsidRPr="00174283">
        <w:rPr>
          <w:lang w:val="fr-FR"/>
        </w:rPr>
        <w:t>des personnes démunies de documents d</w:t>
      </w:r>
      <w:r w:rsidR="00205A62">
        <w:rPr>
          <w:lang w:val="fr-FR"/>
        </w:rPr>
        <w:t>’</w:t>
      </w:r>
      <w:r w:rsidR="00420547" w:rsidRPr="00174283">
        <w:rPr>
          <w:lang w:val="fr-FR"/>
        </w:rPr>
        <w:t>identité personnels (</w:t>
      </w:r>
      <w:r w:rsidR="00AB246E" w:rsidRPr="00174283">
        <w:rPr>
          <w:lang w:val="fr-FR"/>
        </w:rPr>
        <w:t>32</w:t>
      </w:r>
      <w:r w:rsidR="00420547" w:rsidRPr="00174283">
        <w:rPr>
          <w:lang w:val="fr-FR"/>
        </w:rPr>
        <w:t xml:space="preserve"> au total)</w:t>
      </w:r>
      <w:r w:rsidR="00AB246E" w:rsidRPr="00174283">
        <w:rPr>
          <w:lang w:val="fr-FR"/>
        </w:rPr>
        <w:t>. La campagne d</w:t>
      </w:r>
      <w:r w:rsidR="00205A62">
        <w:rPr>
          <w:lang w:val="fr-FR"/>
        </w:rPr>
        <w:t>’</w:t>
      </w:r>
      <w:r w:rsidR="00AB246E" w:rsidRPr="00174283">
        <w:rPr>
          <w:lang w:val="fr-FR"/>
        </w:rPr>
        <w:t>enregistrement des personnes dont la naissance n</w:t>
      </w:r>
      <w:r w:rsidR="00205A62">
        <w:rPr>
          <w:lang w:val="fr-FR"/>
        </w:rPr>
        <w:t>’</w:t>
      </w:r>
      <w:r w:rsidR="00AB246E" w:rsidRPr="00174283">
        <w:rPr>
          <w:lang w:val="fr-FR"/>
        </w:rPr>
        <w:t xml:space="preserve">avait pas été déclarée et le porte-à-porte effectué </w:t>
      </w:r>
      <w:r w:rsidR="00E570BC" w:rsidRPr="00174283">
        <w:rPr>
          <w:lang w:val="fr-FR"/>
        </w:rPr>
        <w:t>pour recenser les</w:t>
      </w:r>
      <w:r w:rsidR="00AB246E" w:rsidRPr="00174283">
        <w:rPr>
          <w:lang w:val="fr-FR"/>
        </w:rPr>
        <w:t xml:space="preserve"> personnes non </w:t>
      </w:r>
      <w:r w:rsidR="00A547CC" w:rsidRPr="00174283">
        <w:rPr>
          <w:lang w:val="fr-FR"/>
        </w:rPr>
        <w:t xml:space="preserve">inscrites </w:t>
      </w:r>
      <w:r w:rsidR="00E570BC" w:rsidRPr="00174283">
        <w:rPr>
          <w:lang w:val="fr-FR"/>
        </w:rPr>
        <w:t>sur les r</w:t>
      </w:r>
      <w:r w:rsidR="00AB246E" w:rsidRPr="00174283">
        <w:rPr>
          <w:lang w:val="fr-FR"/>
        </w:rPr>
        <w:t>egistre</w:t>
      </w:r>
      <w:r w:rsidR="00E570BC" w:rsidRPr="00174283">
        <w:rPr>
          <w:lang w:val="fr-FR"/>
        </w:rPr>
        <w:t>s d</w:t>
      </w:r>
      <w:r w:rsidR="00205A62">
        <w:rPr>
          <w:lang w:val="fr-FR"/>
        </w:rPr>
        <w:t>’</w:t>
      </w:r>
      <w:r w:rsidR="00E570BC" w:rsidRPr="00174283">
        <w:rPr>
          <w:lang w:val="fr-FR"/>
        </w:rPr>
        <w:t>état civil (registre</w:t>
      </w:r>
      <w:r w:rsidR="00AB246E" w:rsidRPr="00174283">
        <w:rPr>
          <w:lang w:val="fr-FR"/>
        </w:rPr>
        <w:t xml:space="preserve"> des naissances</w:t>
      </w:r>
      <w:r w:rsidR="00E570BC" w:rsidRPr="00174283">
        <w:rPr>
          <w:lang w:val="fr-FR"/>
        </w:rPr>
        <w:t>)</w:t>
      </w:r>
      <w:r w:rsidR="00AB246E" w:rsidRPr="00174283">
        <w:rPr>
          <w:lang w:val="fr-FR"/>
        </w:rPr>
        <w:t xml:space="preserve">, qui a débuté en octobre 2011, est entrée dans sa phase finale. </w:t>
      </w:r>
    </w:p>
    <w:p w:rsidR="007516FF" w:rsidRPr="00174283" w:rsidRDefault="009E1A92" w:rsidP="009E1A92">
      <w:pPr>
        <w:pStyle w:val="SingleTxtG"/>
        <w:rPr>
          <w:lang w:val="fr-FR"/>
        </w:rPr>
      </w:pPr>
      <w:r>
        <w:rPr>
          <w:lang w:val="fr-FR"/>
        </w:rPr>
        <w:t>149.</w:t>
      </w:r>
      <w:r>
        <w:rPr>
          <w:lang w:val="fr-FR"/>
        </w:rPr>
        <w:tab/>
      </w:r>
      <w:r w:rsidR="00A14B80" w:rsidRPr="00174283">
        <w:rPr>
          <w:lang w:val="fr-FR"/>
        </w:rPr>
        <w:t>Plusieurs groupes de travail interministériels ont été mis en place pour la conduite de projets visant à</w:t>
      </w:r>
      <w:r w:rsidR="00085EE9" w:rsidRPr="00174283">
        <w:rPr>
          <w:lang w:val="fr-FR"/>
        </w:rPr>
        <w:t xml:space="preserve"> familiariser les Roms </w:t>
      </w:r>
      <w:r w:rsidR="00A14B80" w:rsidRPr="00174283">
        <w:rPr>
          <w:lang w:val="fr-FR"/>
        </w:rPr>
        <w:t>avec les</w:t>
      </w:r>
      <w:r w:rsidR="00085EE9" w:rsidRPr="00174283">
        <w:rPr>
          <w:lang w:val="fr-FR"/>
        </w:rPr>
        <w:t xml:space="preserve"> recours juridiques qui leur </w:t>
      </w:r>
      <w:r w:rsidR="00B356D6" w:rsidRPr="00174283">
        <w:rPr>
          <w:lang w:val="fr-FR"/>
        </w:rPr>
        <w:t>permett</w:t>
      </w:r>
      <w:r w:rsidR="00A14B80" w:rsidRPr="00174283">
        <w:rPr>
          <w:lang w:val="fr-FR"/>
        </w:rPr>
        <w:t>ro</w:t>
      </w:r>
      <w:r w:rsidR="00B356D6" w:rsidRPr="00174283">
        <w:rPr>
          <w:lang w:val="fr-FR"/>
        </w:rPr>
        <w:t>nt</w:t>
      </w:r>
      <w:r w:rsidR="00085EE9" w:rsidRPr="00174283">
        <w:rPr>
          <w:lang w:val="fr-FR"/>
        </w:rPr>
        <w:t xml:space="preserve"> de résoudre </w:t>
      </w:r>
      <w:r w:rsidR="00B356D6" w:rsidRPr="00174283">
        <w:rPr>
          <w:lang w:val="fr-FR"/>
        </w:rPr>
        <w:t>complètement</w:t>
      </w:r>
      <w:r w:rsidR="00085EE9" w:rsidRPr="00174283">
        <w:rPr>
          <w:lang w:val="fr-FR"/>
        </w:rPr>
        <w:t xml:space="preserve"> </w:t>
      </w:r>
      <w:r w:rsidR="00A14B80" w:rsidRPr="00174283">
        <w:rPr>
          <w:lang w:val="fr-FR"/>
        </w:rPr>
        <w:t xml:space="preserve">et adéquatement </w:t>
      </w:r>
      <w:r w:rsidR="00085EE9" w:rsidRPr="00174283">
        <w:rPr>
          <w:lang w:val="fr-FR"/>
        </w:rPr>
        <w:t>les difficultés qu</w:t>
      </w:r>
      <w:r w:rsidR="00205A62">
        <w:rPr>
          <w:lang w:val="fr-FR"/>
        </w:rPr>
        <w:t>’</w:t>
      </w:r>
      <w:r w:rsidR="00085EE9" w:rsidRPr="00174283">
        <w:rPr>
          <w:lang w:val="fr-FR"/>
        </w:rPr>
        <w:t xml:space="preserve">ils rencontrent pour obtenir des documents </w:t>
      </w:r>
      <w:r w:rsidR="00E406D5" w:rsidRPr="00174283">
        <w:rPr>
          <w:lang w:val="fr-FR"/>
        </w:rPr>
        <w:t>d</w:t>
      </w:r>
      <w:r w:rsidR="00205A62">
        <w:rPr>
          <w:lang w:val="fr-FR"/>
        </w:rPr>
        <w:t>’</w:t>
      </w:r>
      <w:r w:rsidR="00E406D5" w:rsidRPr="00174283">
        <w:rPr>
          <w:lang w:val="fr-FR"/>
        </w:rPr>
        <w:t>identité</w:t>
      </w:r>
      <w:r w:rsidR="00085EE9" w:rsidRPr="00174283">
        <w:rPr>
          <w:lang w:val="fr-FR"/>
        </w:rPr>
        <w:t xml:space="preserve">. </w:t>
      </w:r>
    </w:p>
    <w:p w:rsidR="007516FF" w:rsidRPr="00174283" w:rsidRDefault="009E1A92" w:rsidP="009E1A92">
      <w:pPr>
        <w:pStyle w:val="SingleTxtG"/>
        <w:rPr>
          <w:lang w:val="fr-FR"/>
        </w:rPr>
      </w:pPr>
      <w:r>
        <w:rPr>
          <w:lang w:val="fr-FR"/>
        </w:rPr>
        <w:t>150.</w:t>
      </w:r>
      <w:r>
        <w:rPr>
          <w:lang w:val="fr-FR"/>
        </w:rPr>
        <w:tab/>
      </w:r>
      <w:r w:rsidR="0011284D" w:rsidRPr="00174283">
        <w:rPr>
          <w:lang w:val="fr-FR"/>
        </w:rPr>
        <w:t>Le</w:t>
      </w:r>
      <w:r w:rsidR="00A51C5D" w:rsidRPr="00174283">
        <w:rPr>
          <w:lang w:val="fr-FR"/>
        </w:rPr>
        <w:t>s procédures du</w:t>
      </w:r>
      <w:r w:rsidR="0011284D" w:rsidRPr="00174283">
        <w:rPr>
          <w:lang w:val="fr-FR"/>
        </w:rPr>
        <w:t xml:space="preserve"> Ministère de l</w:t>
      </w:r>
      <w:r w:rsidR="00205A62">
        <w:rPr>
          <w:lang w:val="fr-FR"/>
        </w:rPr>
        <w:t>’</w:t>
      </w:r>
      <w:r w:rsidR="0011284D" w:rsidRPr="00174283">
        <w:rPr>
          <w:lang w:val="fr-FR"/>
        </w:rPr>
        <w:t xml:space="preserve">intérieur </w:t>
      </w:r>
      <w:r w:rsidR="00AB30A2" w:rsidRPr="00174283">
        <w:rPr>
          <w:lang w:val="fr-FR"/>
        </w:rPr>
        <w:t>relatives aux</w:t>
      </w:r>
      <w:r w:rsidR="009855D9" w:rsidRPr="00174283">
        <w:rPr>
          <w:lang w:val="fr-FR"/>
        </w:rPr>
        <w:t xml:space="preserve"> documents personnels et publics</w:t>
      </w:r>
      <w:r w:rsidR="00AB30A2" w:rsidRPr="00174283">
        <w:rPr>
          <w:lang w:val="fr-FR"/>
        </w:rPr>
        <w:t xml:space="preserve"> et</w:t>
      </w:r>
      <w:r w:rsidR="00E666D8" w:rsidRPr="00174283">
        <w:rPr>
          <w:lang w:val="fr-FR"/>
        </w:rPr>
        <w:t xml:space="preserve"> </w:t>
      </w:r>
      <w:r w:rsidR="00AB30A2" w:rsidRPr="00174283">
        <w:rPr>
          <w:lang w:val="fr-FR"/>
        </w:rPr>
        <w:t>à l</w:t>
      </w:r>
      <w:r w:rsidR="00205A62">
        <w:rPr>
          <w:lang w:val="fr-FR"/>
        </w:rPr>
        <w:t>’</w:t>
      </w:r>
      <w:r w:rsidR="00AB30A2" w:rsidRPr="00174283">
        <w:rPr>
          <w:lang w:val="fr-FR"/>
        </w:rPr>
        <w:t>obtention de</w:t>
      </w:r>
      <w:r w:rsidR="002328D5" w:rsidRPr="00174283">
        <w:rPr>
          <w:lang w:val="fr-FR"/>
        </w:rPr>
        <w:t xml:space="preserve"> la nationalité macédonienne</w:t>
      </w:r>
      <w:r w:rsidR="00AB30A2" w:rsidRPr="00174283">
        <w:rPr>
          <w:lang w:val="fr-FR"/>
        </w:rPr>
        <w:t>, de même que</w:t>
      </w:r>
      <w:r w:rsidR="0011284D" w:rsidRPr="00174283">
        <w:rPr>
          <w:lang w:val="fr-FR"/>
        </w:rPr>
        <w:t xml:space="preserve"> toutes les autres procédures relevant de ses comp</w:t>
      </w:r>
      <w:r w:rsidR="00AB30A2" w:rsidRPr="00174283">
        <w:rPr>
          <w:lang w:val="fr-FR"/>
        </w:rPr>
        <w:t>é</w:t>
      </w:r>
      <w:r w:rsidR="0011284D" w:rsidRPr="00174283">
        <w:rPr>
          <w:lang w:val="fr-FR"/>
        </w:rPr>
        <w:t>tences</w:t>
      </w:r>
      <w:r w:rsidR="00AB30A2" w:rsidRPr="00174283">
        <w:rPr>
          <w:lang w:val="fr-FR"/>
        </w:rPr>
        <w:t>,</w:t>
      </w:r>
      <w:r w:rsidR="002F51DC">
        <w:rPr>
          <w:lang w:val="fr-FR"/>
        </w:rPr>
        <w:t xml:space="preserve"> </w:t>
      </w:r>
      <w:r w:rsidR="00AB30A2" w:rsidRPr="00174283">
        <w:rPr>
          <w:lang w:val="fr-FR"/>
        </w:rPr>
        <w:t>sont en tous points conformes à la législation</w:t>
      </w:r>
      <w:r w:rsidR="00425327" w:rsidRPr="00174283">
        <w:rPr>
          <w:lang w:val="fr-FR"/>
        </w:rPr>
        <w:t xml:space="preserve"> </w:t>
      </w:r>
      <w:r w:rsidR="002328D5" w:rsidRPr="00174283">
        <w:rPr>
          <w:lang w:val="fr-FR"/>
        </w:rPr>
        <w:t>en vigueur et excluent tout motif de discrimination, y compris en matière d</w:t>
      </w:r>
      <w:r w:rsidR="00205A62">
        <w:rPr>
          <w:lang w:val="fr-FR"/>
        </w:rPr>
        <w:t>’</w:t>
      </w:r>
      <w:r w:rsidR="002328D5" w:rsidRPr="00174283">
        <w:rPr>
          <w:lang w:val="fr-FR"/>
        </w:rPr>
        <w:t xml:space="preserve">appartenance ethnique. </w:t>
      </w:r>
    </w:p>
    <w:p w:rsidR="007516FF" w:rsidRPr="00174283" w:rsidRDefault="009E1A92" w:rsidP="009E1A92">
      <w:pPr>
        <w:pStyle w:val="SingleTxtG"/>
        <w:rPr>
          <w:lang w:val="fr-FR"/>
        </w:rPr>
      </w:pPr>
      <w:r>
        <w:rPr>
          <w:lang w:val="fr-FR"/>
        </w:rPr>
        <w:t>151.</w:t>
      </w:r>
      <w:r>
        <w:rPr>
          <w:lang w:val="fr-FR"/>
        </w:rPr>
        <w:tab/>
      </w:r>
      <w:r w:rsidR="004D08B1" w:rsidRPr="00174283">
        <w:rPr>
          <w:lang w:val="fr-FR"/>
        </w:rPr>
        <w:t>La législation pertinente et le</w:t>
      </w:r>
      <w:r w:rsidR="000F66DD" w:rsidRPr="00174283">
        <w:rPr>
          <w:lang w:val="fr-FR"/>
        </w:rPr>
        <w:t xml:space="preserve"> droit </w:t>
      </w:r>
      <w:r w:rsidR="00812239" w:rsidRPr="00174283">
        <w:rPr>
          <w:lang w:val="fr-FR"/>
        </w:rPr>
        <w:t>des</w:t>
      </w:r>
      <w:r w:rsidR="000F66DD" w:rsidRPr="00174283">
        <w:rPr>
          <w:lang w:val="fr-FR"/>
        </w:rPr>
        <w:t xml:space="preserve"> personnes parlant une langue officielle autre que le macédonien</w:t>
      </w:r>
      <w:r w:rsidR="00812239" w:rsidRPr="00174283">
        <w:rPr>
          <w:lang w:val="fr-FR"/>
        </w:rPr>
        <w:t xml:space="preserve"> d</w:t>
      </w:r>
      <w:r w:rsidR="00205A62">
        <w:rPr>
          <w:lang w:val="fr-FR"/>
        </w:rPr>
        <w:t>’</w:t>
      </w:r>
      <w:r w:rsidR="00812239" w:rsidRPr="00174283">
        <w:rPr>
          <w:lang w:val="fr-FR"/>
        </w:rPr>
        <w:t>utiliser leur langue et leur alphabet</w:t>
      </w:r>
      <w:r w:rsidR="000F66DD" w:rsidRPr="00174283">
        <w:rPr>
          <w:lang w:val="fr-FR"/>
        </w:rPr>
        <w:t>, prévues par différents textes, sont entièrement respectées</w:t>
      </w:r>
      <w:r w:rsidR="004D08B1" w:rsidRPr="00174283">
        <w:rPr>
          <w:lang w:val="fr-FR"/>
        </w:rPr>
        <w:t xml:space="preserve"> dans le cadre de la procédure de délivrance des documents de voyage, depuis l</w:t>
      </w:r>
      <w:r w:rsidR="00205A62">
        <w:rPr>
          <w:lang w:val="fr-FR"/>
        </w:rPr>
        <w:t>’</w:t>
      </w:r>
      <w:r w:rsidR="004D08B1" w:rsidRPr="00174283">
        <w:rPr>
          <w:lang w:val="fr-FR"/>
        </w:rPr>
        <w:t>introduction de la demande jusqu</w:t>
      </w:r>
      <w:r w:rsidR="00205A62">
        <w:rPr>
          <w:lang w:val="fr-FR"/>
        </w:rPr>
        <w:t>’</w:t>
      </w:r>
      <w:r w:rsidR="004D08B1" w:rsidRPr="00174283">
        <w:rPr>
          <w:lang w:val="fr-FR"/>
        </w:rPr>
        <w:t>à leur délivrance effective</w:t>
      </w:r>
      <w:r w:rsidR="000F66DD" w:rsidRPr="00174283">
        <w:rPr>
          <w:lang w:val="fr-FR"/>
        </w:rPr>
        <w:t>.</w:t>
      </w:r>
      <w:r w:rsidR="002328D5" w:rsidRPr="00174283">
        <w:rPr>
          <w:lang w:val="fr-FR"/>
        </w:rPr>
        <w:t xml:space="preserve"> </w:t>
      </w:r>
      <w:r w:rsidR="00144868" w:rsidRPr="00174283">
        <w:rPr>
          <w:lang w:val="fr-FR"/>
        </w:rPr>
        <w:t>De plus</w:t>
      </w:r>
      <w:r w:rsidR="002328D5" w:rsidRPr="00174283">
        <w:rPr>
          <w:lang w:val="fr-FR"/>
        </w:rPr>
        <w:t xml:space="preserve">, </w:t>
      </w:r>
      <w:r w:rsidR="00144868" w:rsidRPr="00174283">
        <w:rPr>
          <w:lang w:val="fr-FR"/>
        </w:rPr>
        <w:t xml:space="preserve">les citoyens parlant une autre langue </w:t>
      </w:r>
      <w:r w:rsidR="00544FFA" w:rsidRPr="00174283">
        <w:rPr>
          <w:lang w:val="fr-FR"/>
        </w:rPr>
        <w:t xml:space="preserve">que </w:t>
      </w:r>
      <w:r w:rsidR="00150998" w:rsidRPr="00174283">
        <w:rPr>
          <w:lang w:val="fr-FR"/>
        </w:rPr>
        <w:t>la langue officielle</w:t>
      </w:r>
      <w:r w:rsidR="00544FFA" w:rsidRPr="00174283">
        <w:rPr>
          <w:lang w:val="fr-FR"/>
        </w:rPr>
        <w:t xml:space="preserve"> </w:t>
      </w:r>
      <w:r w:rsidR="004D08B1" w:rsidRPr="00174283">
        <w:rPr>
          <w:lang w:val="fr-FR"/>
        </w:rPr>
        <w:t xml:space="preserve">(romani, serbe, bosniaque, turc, valaque) </w:t>
      </w:r>
      <w:r w:rsidR="00144868" w:rsidRPr="00174283">
        <w:rPr>
          <w:lang w:val="fr-FR"/>
        </w:rPr>
        <w:t>peuvent également demander à ce que leurs noms et prénoms soient inscrits dans leur langue</w:t>
      </w:r>
      <w:r w:rsidR="00565133" w:rsidRPr="00174283">
        <w:rPr>
          <w:lang w:val="fr-FR"/>
        </w:rPr>
        <w:t>,</w:t>
      </w:r>
      <w:r w:rsidR="00144868" w:rsidRPr="00174283">
        <w:rPr>
          <w:lang w:val="fr-FR"/>
        </w:rPr>
        <w:t xml:space="preserve"> dans leur passeport</w:t>
      </w:r>
      <w:r w:rsidR="002328D5" w:rsidRPr="00174283">
        <w:rPr>
          <w:lang w:val="fr-FR"/>
        </w:rPr>
        <w:t xml:space="preserve">. </w:t>
      </w:r>
      <w:r w:rsidR="00544FFA" w:rsidRPr="00174283">
        <w:rPr>
          <w:lang w:val="fr-FR"/>
        </w:rPr>
        <w:t>Entre</w:t>
      </w:r>
      <w:r w:rsidR="002328D5" w:rsidRPr="00174283">
        <w:rPr>
          <w:lang w:val="fr-FR"/>
        </w:rPr>
        <w:t xml:space="preserve"> le 2 avril 2007, début de la délivrance de </w:t>
      </w:r>
      <w:r w:rsidR="00544FFA" w:rsidRPr="00174283">
        <w:rPr>
          <w:lang w:val="fr-FR"/>
        </w:rPr>
        <w:t>passeports</w:t>
      </w:r>
      <w:r w:rsidR="002328D5" w:rsidRPr="00174283">
        <w:rPr>
          <w:lang w:val="fr-FR"/>
        </w:rPr>
        <w:t xml:space="preserve"> biométriques, </w:t>
      </w:r>
      <w:r w:rsidR="00544FFA" w:rsidRPr="00174283">
        <w:rPr>
          <w:lang w:val="fr-FR"/>
        </w:rPr>
        <w:t>et</w:t>
      </w:r>
      <w:r w:rsidR="002328D5" w:rsidRPr="00174283">
        <w:rPr>
          <w:lang w:val="fr-FR"/>
        </w:rPr>
        <w:t xml:space="preserve"> février 2013, 4 158 </w:t>
      </w:r>
      <w:r w:rsidR="00544FFA" w:rsidRPr="00174283">
        <w:rPr>
          <w:lang w:val="fr-FR"/>
        </w:rPr>
        <w:t>passeports</w:t>
      </w:r>
      <w:r w:rsidR="002328D5" w:rsidRPr="00174283">
        <w:rPr>
          <w:lang w:val="fr-FR"/>
        </w:rPr>
        <w:t xml:space="preserve"> </w:t>
      </w:r>
      <w:r w:rsidR="00734AF0" w:rsidRPr="00174283">
        <w:rPr>
          <w:lang w:val="fr-FR"/>
        </w:rPr>
        <w:t>avec</w:t>
      </w:r>
      <w:r w:rsidR="002328D5" w:rsidRPr="00174283">
        <w:rPr>
          <w:lang w:val="fr-FR"/>
        </w:rPr>
        <w:t xml:space="preserve"> le nom</w:t>
      </w:r>
      <w:r w:rsidR="00544FFA" w:rsidRPr="00174283">
        <w:rPr>
          <w:lang w:val="fr-FR"/>
        </w:rPr>
        <w:t xml:space="preserve"> du </w:t>
      </w:r>
      <w:r w:rsidR="00506159" w:rsidRPr="00174283">
        <w:rPr>
          <w:lang w:val="fr-FR"/>
        </w:rPr>
        <w:t>titulaire</w:t>
      </w:r>
      <w:r w:rsidR="002328D5" w:rsidRPr="00174283">
        <w:rPr>
          <w:lang w:val="fr-FR"/>
        </w:rPr>
        <w:t xml:space="preserve"> en romani ont été délivrés. </w:t>
      </w:r>
    </w:p>
    <w:p w:rsidR="007516FF" w:rsidRPr="00174283" w:rsidRDefault="009E1A92" w:rsidP="009E1A92">
      <w:pPr>
        <w:pStyle w:val="SingleTxtG"/>
        <w:rPr>
          <w:lang w:val="fr-FR"/>
        </w:rPr>
      </w:pPr>
      <w:r>
        <w:rPr>
          <w:lang w:val="fr-FR"/>
        </w:rPr>
        <w:t>152.</w:t>
      </w:r>
      <w:r>
        <w:rPr>
          <w:lang w:val="fr-FR"/>
        </w:rPr>
        <w:tab/>
      </w:r>
      <w:r w:rsidR="00BC16D7" w:rsidRPr="00174283">
        <w:rPr>
          <w:lang w:val="fr-FR"/>
        </w:rPr>
        <w:t xml:space="preserve">Les mêmes dispositions </w:t>
      </w:r>
      <w:r w:rsidR="00150998" w:rsidRPr="00174283">
        <w:rPr>
          <w:lang w:val="fr-FR"/>
        </w:rPr>
        <w:t>légal</w:t>
      </w:r>
      <w:r w:rsidR="00BC16D7" w:rsidRPr="00174283">
        <w:rPr>
          <w:lang w:val="fr-FR"/>
        </w:rPr>
        <w:t>es s</w:t>
      </w:r>
      <w:r w:rsidR="00205A62">
        <w:rPr>
          <w:lang w:val="fr-FR"/>
        </w:rPr>
        <w:t>’</w:t>
      </w:r>
      <w:r w:rsidR="00BC16D7" w:rsidRPr="00174283">
        <w:rPr>
          <w:lang w:val="fr-FR"/>
        </w:rPr>
        <w:t>appliquent à la délivrance de</w:t>
      </w:r>
      <w:r w:rsidR="00544FFA" w:rsidRPr="00174283">
        <w:rPr>
          <w:lang w:val="fr-FR"/>
        </w:rPr>
        <w:t>s</w:t>
      </w:r>
      <w:r w:rsidR="00BC16D7" w:rsidRPr="00174283">
        <w:rPr>
          <w:lang w:val="fr-FR"/>
        </w:rPr>
        <w:t xml:space="preserve"> cartes d</w:t>
      </w:r>
      <w:r w:rsidR="00205A62">
        <w:rPr>
          <w:lang w:val="fr-FR"/>
        </w:rPr>
        <w:t>’</w:t>
      </w:r>
      <w:r w:rsidR="00BC16D7" w:rsidRPr="00174283">
        <w:rPr>
          <w:lang w:val="fr-FR"/>
        </w:rPr>
        <w:t>identité. Entre le 1</w:t>
      </w:r>
      <w:r w:rsidR="00BC16D7" w:rsidRPr="00174283">
        <w:rPr>
          <w:vertAlign w:val="superscript"/>
          <w:lang w:val="fr-FR"/>
        </w:rPr>
        <w:t>er</w:t>
      </w:r>
      <w:r w:rsidR="00BC16D7" w:rsidRPr="00174283">
        <w:rPr>
          <w:lang w:val="fr-FR"/>
        </w:rPr>
        <w:t xml:space="preserve"> octobre 2007 et février 2013, 1 897 cartes d</w:t>
      </w:r>
      <w:r w:rsidR="00205A62">
        <w:rPr>
          <w:lang w:val="fr-FR"/>
        </w:rPr>
        <w:t>’</w:t>
      </w:r>
      <w:r w:rsidR="00BC16D7" w:rsidRPr="00174283">
        <w:rPr>
          <w:lang w:val="fr-FR"/>
        </w:rPr>
        <w:t xml:space="preserve">identité </w:t>
      </w:r>
      <w:r w:rsidR="00734AF0" w:rsidRPr="00174283">
        <w:rPr>
          <w:lang w:val="fr-FR"/>
        </w:rPr>
        <w:t>avec</w:t>
      </w:r>
      <w:r w:rsidR="00BC16D7" w:rsidRPr="00174283">
        <w:rPr>
          <w:lang w:val="fr-FR"/>
        </w:rPr>
        <w:t xml:space="preserve"> le nom du </w:t>
      </w:r>
      <w:r w:rsidR="00506159" w:rsidRPr="00174283">
        <w:rPr>
          <w:lang w:val="fr-FR"/>
        </w:rPr>
        <w:t xml:space="preserve">titulaire </w:t>
      </w:r>
      <w:r w:rsidR="00BC16D7" w:rsidRPr="00174283">
        <w:rPr>
          <w:lang w:val="fr-FR"/>
        </w:rPr>
        <w:t>en romani ont été délivrées.</w:t>
      </w:r>
      <w:r w:rsidR="007516FF" w:rsidRPr="00174283">
        <w:rPr>
          <w:lang w:val="fr-FR"/>
        </w:rPr>
        <w:t xml:space="preserve"> </w:t>
      </w:r>
    </w:p>
    <w:p w:rsidR="007516FF" w:rsidRPr="00174283" w:rsidRDefault="009E1A92" w:rsidP="009E1A92">
      <w:pPr>
        <w:pStyle w:val="SingleTxtG"/>
        <w:rPr>
          <w:lang w:val="fr-FR"/>
        </w:rPr>
      </w:pPr>
      <w:r>
        <w:rPr>
          <w:lang w:val="fr-FR"/>
        </w:rPr>
        <w:t>153.</w:t>
      </w:r>
      <w:r>
        <w:rPr>
          <w:lang w:val="fr-FR"/>
        </w:rPr>
        <w:tab/>
      </w:r>
      <w:r w:rsidR="00145886" w:rsidRPr="00174283">
        <w:rPr>
          <w:lang w:val="fr-FR"/>
        </w:rPr>
        <w:t>Le Ministère de l</w:t>
      </w:r>
      <w:r w:rsidR="00205A62">
        <w:rPr>
          <w:lang w:val="fr-FR"/>
        </w:rPr>
        <w:t>’</w:t>
      </w:r>
      <w:r w:rsidR="00145886" w:rsidRPr="00174283">
        <w:rPr>
          <w:lang w:val="fr-FR"/>
        </w:rPr>
        <w:t>intérieur, en collaboration avec le Bureau du HCR en Macédoine, a pris une part active, dans le cadre de ses compétences, au projet régional de la Commission européenne intitulé «</w:t>
      </w:r>
      <w:r w:rsidR="000D0535" w:rsidRPr="00174283">
        <w:rPr>
          <w:lang w:val="fr-FR"/>
        </w:rPr>
        <w:t>Intégration</w:t>
      </w:r>
      <w:r w:rsidR="00145886" w:rsidRPr="00174283">
        <w:rPr>
          <w:lang w:val="fr-FR"/>
        </w:rPr>
        <w:t xml:space="preserve"> sociale et accès aux droits de l</w:t>
      </w:r>
      <w:r w:rsidR="00205A62">
        <w:rPr>
          <w:lang w:val="fr-FR"/>
        </w:rPr>
        <w:t>’</w:t>
      </w:r>
      <w:r w:rsidR="00145886" w:rsidRPr="00174283">
        <w:rPr>
          <w:lang w:val="fr-FR"/>
        </w:rPr>
        <w:t>homme pour les communautés de Roms, d</w:t>
      </w:r>
      <w:r w:rsidR="00205A62">
        <w:rPr>
          <w:lang w:val="fr-FR"/>
        </w:rPr>
        <w:t>’</w:t>
      </w:r>
      <w:r w:rsidR="007516FF" w:rsidRPr="00174283">
        <w:rPr>
          <w:lang w:val="fr-FR"/>
        </w:rPr>
        <w:t>Ashkali</w:t>
      </w:r>
      <w:r w:rsidR="00145886" w:rsidRPr="00174283">
        <w:rPr>
          <w:lang w:val="fr-FR"/>
        </w:rPr>
        <w:t>s et d</w:t>
      </w:r>
      <w:r w:rsidR="00205A62">
        <w:rPr>
          <w:lang w:val="fr-FR"/>
        </w:rPr>
        <w:t>’</w:t>
      </w:r>
      <w:r w:rsidR="00145886" w:rsidRPr="00174283">
        <w:rPr>
          <w:lang w:val="fr-FR"/>
        </w:rPr>
        <w:t>Égypti</w:t>
      </w:r>
      <w:r w:rsidR="007217B7" w:rsidRPr="00174283">
        <w:rPr>
          <w:lang w:val="fr-FR"/>
        </w:rPr>
        <w:t>ens dans les Balkans de l</w:t>
      </w:r>
      <w:r w:rsidR="00205A62">
        <w:rPr>
          <w:lang w:val="fr-FR"/>
        </w:rPr>
        <w:t>’</w:t>
      </w:r>
      <w:r w:rsidR="007217B7" w:rsidRPr="00174283">
        <w:rPr>
          <w:lang w:val="fr-FR"/>
        </w:rPr>
        <w:t>Ouest</w:t>
      </w:r>
      <w:r w:rsidR="00145886" w:rsidRPr="00174283">
        <w:rPr>
          <w:lang w:val="fr-FR"/>
        </w:rPr>
        <w:t xml:space="preserve">», lancé en février 2008 et dont la première étape a été menée </w:t>
      </w:r>
      <w:r w:rsidR="00150998" w:rsidRPr="00174283">
        <w:rPr>
          <w:lang w:val="fr-FR"/>
        </w:rPr>
        <w:t xml:space="preserve">à bien </w:t>
      </w:r>
      <w:r w:rsidR="00145886" w:rsidRPr="00174283">
        <w:rPr>
          <w:lang w:val="fr-FR"/>
        </w:rPr>
        <w:t xml:space="preserve">avec succès en Macédoine au même </w:t>
      </w:r>
      <w:r w:rsidR="007217B7" w:rsidRPr="00174283">
        <w:rPr>
          <w:lang w:val="fr-FR"/>
        </w:rPr>
        <w:t>titre que la deuxième étape «</w:t>
      </w:r>
      <w:r w:rsidR="000D0535" w:rsidRPr="00174283">
        <w:rPr>
          <w:lang w:val="fr-FR"/>
        </w:rPr>
        <w:t>Intégration</w:t>
      </w:r>
      <w:r w:rsidR="00145886" w:rsidRPr="00174283">
        <w:rPr>
          <w:lang w:val="fr-FR"/>
        </w:rPr>
        <w:t xml:space="preserve"> sociale</w:t>
      </w:r>
      <w:r w:rsidR="002F51DC">
        <w:rPr>
          <w:lang w:val="fr-FR"/>
        </w:rPr>
        <w:t>:</w:t>
      </w:r>
      <w:r w:rsidR="00145886" w:rsidRPr="00174283">
        <w:rPr>
          <w:lang w:val="fr-FR"/>
        </w:rPr>
        <w:t xml:space="preserve"> Soutien régiona</w:t>
      </w:r>
      <w:r w:rsidR="007217B7" w:rsidRPr="00174283">
        <w:rPr>
          <w:lang w:val="fr-FR"/>
        </w:rPr>
        <w:t>l aux communautés marginalisées</w:t>
      </w:r>
      <w:r w:rsidR="00145886" w:rsidRPr="00174283">
        <w:rPr>
          <w:lang w:val="fr-FR"/>
        </w:rPr>
        <w:t xml:space="preserve">» qui a pris fin le 31 octobre 2011. </w:t>
      </w:r>
    </w:p>
    <w:p w:rsidR="009865C2" w:rsidRPr="00174283" w:rsidRDefault="009865C2" w:rsidP="009865C2">
      <w:pPr>
        <w:pStyle w:val="H1G"/>
        <w:rPr>
          <w:lang w:val="fr-FR"/>
        </w:rPr>
      </w:pPr>
      <w:r w:rsidRPr="00174283">
        <w:rPr>
          <w:lang w:val="fr-FR"/>
        </w:rPr>
        <w:tab/>
      </w:r>
      <w:r w:rsidRPr="00174283">
        <w:rPr>
          <w:lang w:val="fr-FR"/>
        </w:rPr>
        <w:tab/>
      </w:r>
      <w:r w:rsidR="00145886" w:rsidRPr="00174283">
        <w:rPr>
          <w:lang w:val="fr-FR"/>
        </w:rPr>
        <w:t xml:space="preserve">Réponse aux recommandations figurant au </w:t>
      </w:r>
      <w:r w:rsidR="00B356D6" w:rsidRPr="00174283">
        <w:rPr>
          <w:lang w:val="fr-FR"/>
        </w:rPr>
        <w:t>paragraphe</w:t>
      </w:r>
      <w:r w:rsidR="00145886" w:rsidRPr="00174283">
        <w:rPr>
          <w:lang w:val="fr-FR"/>
        </w:rPr>
        <w:t xml:space="preserve"> 15 des observations finales du Comité</w:t>
      </w:r>
    </w:p>
    <w:p w:rsidR="007516FF" w:rsidRPr="00174283" w:rsidRDefault="009E1A92" w:rsidP="009E1A92">
      <w:pPr>
        <w:pStyle w:val="SingleTxtG"/>
        <w:rPr>
          <w:lang w:val="fr-FR"/>
        </w:rPr>
      </w:pPr>
      <w:r>
        <w:rPr>
          <w:lang w:val="fr-FR"/>
        </w:rPr>
        <w:t>154.</w:t>
      </w:r>
      <w:r>
        <w:rPr>
          <w:lang w:val="fr-FR"/>
        </w:rPr>
        <w:tab/>
      </w:r>
      <w:r w:rsidR="00BF04C2" w:rsidRPr="00174283">
        <w:rPr>
          <w:lang w:val="fr-FR"/>
        </w:rPr>
        <w:t>C</w:t>
      </w:r>
      <w:r w:rsidR="00145886" w:rsidRPr="00174283">
        <w:rPr>
          <w:lang w:val="fr-FR"/>
        </w:rPr>
        <w:t xml:space="preserve">onformément aux objectifs de son </w:t>
      </w:r>
      <w:r w:rsidR="00BF04C2" w:rsidRPr="00174283">
        <w:rPr>
          <w:lang w:val="fr-FR"/>
        </w:rPr>
        <w:t>mandat</w:t>
      </w:r>
      <w:r w:rsidR="00145886" w:rsidRPr="00174283">
        <w:rPr>
          <w:lang w:val="fr-FR"/>
        </w:rPr>
        <w:t>,</w:t>
      </w:r>
      <w:r w:rsidR="00BF04C2" w:rsidRPr="00174283">
        <w:rPr>
          <w:lang w:val="fr-FR"/>
        </w:rPr>
        <w:t xml:space="preserve"> l</w:t>
      </w:r>
      <w:r w:rsidR="00205A62">
        <w:rPr>
          <w:lang w:val="fr-FR"/>
        </w:rPr>
        <w:t>’</w:t>
      </w:r>
      <w:r w:rsidR="00BF04C2" w:rsidRPr="00174283">
        <w:rPr>
          <w:lang w:val="fr-FR"/>
        </w:rPr>
        <w:t>Agence pour l</w:t>
      </w:r>
      <w:r w:rsidR="00205A62">
        <w:rPr>
          <w:lang w:val="fr-FR"/>
        </w:rPr>
        <w:t>’</w:t>
      </w:r>
      <w:r w:rsidR="00BF04C2" w:rsidRPr="00174283">
        <w:rPr>
          <w:lang w:val="fr-FR"/>
        </w:rPr>
        <w:t>emploi se concentre sur</w:t>
      </w:r>
      <w:r w:rsidR="00145886" w:rsidRPr="00174283">
        <w:rPr>
          <w:lang w:val="fr-FR"/>
        </w:rPr>
        <w:t xml:space="preserve"> la préparation à l</w:t>
      </w:r>
      <w:r w:rsidR="00205A62">
        <w:rPr>
          <w:lang w:val="fr-FR"/>
        </w:rPr>
        <w:t>’</w:t>
      </w:r>
      <w:r w:rsidR="00145886" w:rsidRPr="00174283">
        <w:rPr>
          <w:lang w:val="fr-FR"/>
        </w:rPr>
        <w:t xml:space="preserve">emploi des </w:t>
      </w:r>
      <w:r w:rsidR="00BF04C2" w:rsidRPr="00174283">
        <w:rPr>
          <w:lang w:val="fr-FR"/>
        </w:rPr>
        <w:t>personnes sans emploi</w:t>
      </w:r>
      <w:r w:rsidR="007C3F6B" w:rsidRPr="00174283">
        <w:rPr>
          <w:lang w:val="fr-FR"/>
        </w:rPr>
        <w:t xml:space="preserve"> et</w:t>
      </w:r>
      <w:r w:rsidR="00150998" w:rsidRPr="00174283">
        <w:rPr>
          <w:lang w:val="fr-FR"/>
        </w:rPr>
        <w:t xml:space="preserve"> sur leur participation à des</w:t>
      </w:r>
      <w:r w:rsidR="004E675B" w:rsidRPr="00174283">
        <w:rPr>
          <w:lang w:val="fr-FR"/>
        </w:rPr>
        <w:t xml:space="preserve"> mesures actives pour l</w:t>
      </w:r>
      <w:r w:rsidR="00205A62">
        <w:rPr>
          <w:lang w:val="fr-FR"/>
        </w:rPr>
        <w:t>’</w:t>
      </w:r>
      <w:r w:rsidR="004E675B" w:rsidRPr="00174283">
        <w:rPr>
          <w:lang w:val="fr-FR"/>
        </w:rPr>
        <w:t>emploi,</w:t>
      </w:r>
      <w:r w:rsidR="00BF04C2" w:rsidRPr="00174283">
        <w:rPr>
          <w:lang w:val="fr-FR"/>
        </w:rPr>
        <w:t xml:space="preserve"> </w:t>
      </w:r>
      <w:r w:rsidR="00145886" w:rsidRPr="00174283">
        <w:rPr>
          <w:lang w:val="fr-FR"/>
        </w:rPr>
        <w:t xml:space="preserve">et </w:t>
      </w:r>
      <w:r w:rsidR="00734AF0" w:rsidRPr="00174283">
        <w:rPr>
          <w:lang w:val="fr-FR"/>
        </w:rPr>
        <w:t>offre des services de</w:t>
      </w:r>
      <w:r w:rsidR="00145886" w:rsidRPr="00174283">
        <w:rPr>
          <w:lang w:val="fr-FR"/>
        </w:rPr>
        <w:t xml:space="preserve"> médiation dans le domaine de l</w:t>
      </w:r>
      <w:r w:rsidR="00205A62">
        <w:rPr>
          <w:lang w:val="fr-FR"/>
        </w:rPr>
        <w:t>’</w:t>
      </w:r>
      <w:r w:rsidR="00145886" w:rsidRPr="00174283">
        <w:rPr>
          <w:lang w:val="fr-FR"/>
        </w:rPr>
        <w:t xml:space="preserve">emploi. </w:t>
      </w:r>
    </w:p>
    <w:p w:rsidR="007516FF" w:rsidRPr="00174283" w:rsidRDefault="007516FF" w:rsidP="00F914DB">
      <w:pPr>
        <w:pStyle w:val="H23G"/>
        <w:rPr>
          <w:lang w:val="fr-FR"/>
        </w:rPr>
      </w:pPr>
      <w:r w:rsidRPr="00174283">
        <w:rPr>
          <w:lang w:val="fr-FR"/>
        </w:rPr>
        <w:tab/>
      </w:r>
      <w:r w:rsidR="00F914DB" w:rsidRPr="00174283">
        <w:rPr>
          <w:lang w:val="fr-FR"/>
        </w:rPr>
        <w:t>1.</w:t>
      </w:r>
      <w:r w:rsidRPr="00174283">
        <w:rPr>
          <w:lang w:val="fr-FR"/>
        </w:rPr>
        <w:tab/>
      </w:r>
      <w:r w:rsidR="00145886" w:rsidRPr="00174283">
        <w:rPr>
          <w:lang w:val="fr-FR"/>
        </w:rPr>
        <w:t xml:space="preserve">Mesures </w:t>
      </w:r>
      <w:r w:rsidR="004F6583" w:rsidRPr="00174283">
        <w:rPr>
          <w:lang w:val="fr-FR"/>
        </w:rPr>
        <w:t>actives pour</w:t>
      </w:r>
      <w:r w:rsidR="00145886" w:rsidRPr="00174283">
        <w:rPr>
          <w:lang w:val="fr-FR"/>
        </w:rPr>
        <w:t xml:space="preserve"> l</w:t>
      </w:r>
      <w:r w:rsidR="00205A62">
        <w:rPr>
          <w:lang w:val="fr-FR"/>
        </w:rPr>
        <w:t>’</w:t>
      </w:r>
      <w:r w:rsidR="00145886" w:rsidRPr="00174283">
        <w:rPr>
          <w:lang w:val="fr-FR"/>
        </w:rPr>
        <w:t>emploi</w:t>
      </w:r>
    </w:p>
    <w:p w:rsidR="007516FF" w:rsidRPr="00174283" w:rsidRDefault="009E1A92" w:rsidP="009E1A92">
      <w:pPr>
        <w:pStyle w:val="SingleTxtG"/>
        <w:rPr>
          <w:lang w:val="fr-FR"/>
        </w:rPr>
      </w:pPr>
      <w:r>
        <w:rPr>
          <w:lang w:val="fr-FR"/>
        </w:rPr>
        <w:t>155.</w:t>
      </w:r>
      <w:r>
        <w:rPr>
          <w:lang w:val="fr-FR"/>
        </w:rPr>
        <w:tab/>
      </w:r>
      <w:r w:rsidR="007C3F6B" w:rsidRPr="00174283">
        <w:rPr>
          <w:lang w:val="fr-FR"/>
        </w:rPr>
        <w:t>L</w:t>
      </w:r>
      <w:r w:rsidR="00205A62">
        <w:rPr>
          <w:lang w:val="fr-FR"/>
        </w:rPr>
        <w:t>’</w:t>
      </w:r>
      <w:r w:rsidR="004F6583" w:rsidRPr="00174283">
        <w:rPr>
          <w:lang w:val="fr-FR"/>
        </w:rPr>
        <w:t>Agence pour l</w:t>
      </w:r>
      <w:r w:rsidR="00205A62">
        <w:rPr>
          <w:lang w:val="fr-FR"/>
        </w:rPr>
        <w:t>’</w:t>
      </w:r>
      <w:r w:rsidR="004F6583" w:rsidRPr="00174283">
        <w:rPr>
          <w:lang w:val="fr-FR"/>
        </w:rPr>
        <w:t>emploi met en œuvre, en application du Plan opérationnel 2011 de</w:t>
      </w:r>
      <w:r w:rsidR="00420547" w:rsidRPr="00174283">
        <w:rPr>
          <w:lang w:val="fr-FR"/>
        </w:rPr>
        <w:t>s</w:t>
      </w:r>
      <w:r w:rsidR="004F6583" w:rsidRPr="00174283">
        <w:rPr>
          <w:lang w:val="fr-FR"/>
        </w:rPr>
        <w:t xml:space="preserve"> programmes et mesures acti</w:t>
      </w:r>
      <w:r w:rsidR="00420547" w:rsidRPr="00174283">
        <w:rPr>
          <w:lang w:val="fr-FR"/>
        </w:rPr>
        <w:t>ve</w:t>
      </w:r>
      <w:r w:rsidR="004F6583" w:rsidRPr="00174283">
        <w:rPr>
          <w:lang w:val="fr-FR"/>
        </w:rPr>
        <w:t>s pour l</w:t>
      </w:r>
      <w:r w:rsidR="00205A62">
        <w:rPr>
          <w:lang w:val="fr-FR"/>
        </w:rPr>
        <w:t>’</w:t>
      </w:r>
      <w:r w:rsidR="004F6583" w:rsidRPr="00174283">
        <w:rPr>
          <w:lang w:val="fr-FR"/>
        </w:rPr>
        <w:t xml:space="preserve">emploi, différents programmes et mesures concernant les employeurs, les Roms sans </w:t>
      </w:r>
      <w:r w:rsidR="00B97B5A" w:rsidRPr="00174283">
        <w:rPr>
          <w:lang w:val="fr-FR"/>
        </w:rPr>
        <w:t>emplo</w:t>
      </w:r>
      <w:r w:rsidR="00525BAA" w:rsidRPr="00174283">
        <w:rPr>
          <w:lang w:val="fr-FR"/>
        </w:rPr>
        <w:t>i</w:t>
      </w:r>
      <w:r w:rsidR="00B97B5A" w:rsidRPr="00174283">
        <w:rPr>
          <w:lang w:val="fr-FR"/>
        </w:rPr>
        <w:t>,</w:t>
      </w:r>
      <w:r w:rsidR="004F6583" w:rsidRPr="00174283">
        <w:rPr>
          <w:lang w:val="fr-FR"/>
        </w:rPr>
        <w:t xml:space="preserve"> ainsi que d</w:t>
      </w:r>
      <w:r w:rsidR="00205A62">
        <w:rPr>
          <w:lang w:val="fr-FR"/>
        </w:rPr>
        <w:t>’</w:t>
      </w:r>
      <w:r w:rsidR="004F6583" w:rsidRPr="00174283">
        <w:rPr>
          <w:lang w:val="fr-FR"/>
        </w:rPr>
        <w:t>autres personnes inscrites au chômage auprès de l</w:t>
      </w:r>
      <w:r w:rsidR="00205A62">
        <w:rPr>
          <w:lang w:val="fr-FR"/>
        </w:rPr>
        <w:t>’</w:t>
      </w:r>
      <w:r w:rsidR="004F6583" w:rsidRPr="00174283">
        <w:rPr>
          <w:lang w:val="fr-FR"/>
        </w:rPr>
        <w:t>Agence pour l</w:t>
      </w:r>
      <w:r w:rsidR="00205A62">
        <w:rPr>
          <w:lang w:val="fr-FR"/>
        </w:rPr>
        <w:t>’</w:t>
      </w:r>
      <w:r w:rsidR="004F6583" w:rsidRPr="00174283">
        <w:rPr>
          <w:lang w:val="fr-FR"/>
        </w:rPr>
        <w:t>emploi</w:t>
      </w:r>
      <w:r w:rsidR="00145886" w:rsidRPr="00174283">
        <w:rPr>
          <w:lang w:val="fr-FR"/>
        </w:rPr>
        <w:t xml:space="preserve">. </w:t>
      </w:r>
    </w:p>
    <w:p w:rsidR="007516FF" w:rsidRPr="00174283" w:rsidRDefault="009E1A92" w:rsidP="009E1A92">
      <w:pPr>
        <w:pStyle w:val="SingleTxtG"/>
        <w:rPr>
          <w:lang w:val="fr-FR"/>
        </w:rPr>
      </w:pPr>
      <w:r>
        <w:rPr>
          <w:lang w:val="fr-FR"/>
        </w:rPr>
        <w:t>156.</w:t>
      </w:r>
      <w:r>
        <w:rPr>
          <w:lang w:val="fr-FR"/>
        </w:rPr>
        <w:tab/>
      </w:r>
      <w:r w:rsidR="00B356D6" w:rsidRPr="00174283">
        <w:rPr>
          <w:lang w:val="fr-FR"/>
        </w:rPr>
        <w:t xml:space="preserve">Le Plan opérationnel de 2011 comporte plusieurs programmes et mesures </w:t>
      </w:r>
      <w:r w:rsidR="00B97B5A" w:rsidRPr="00174283">
        <w:rPr>
          <w:lang w:val="fr-FR"/>
        </w:rPr>
        <w:t>actives pour</w:t>
      </w:r>
      <w:r w:rsidR="00B356D6" w:rsidRPr="00174283">
        <w:rPr>
          <w:lang w:val="fr-FR"/>
        </w:rPr>
        <w:t xml:space="preserve"> l</w:t>
      </w:r>
      <w:r w:rsidR="00205A62">
        <w:rPr>
          <w:lang w:val="fr-FR"/>
        </w:rPr>
        <w:t>’</w:t>
      </w:r>
      <w:r w:rsidR="00B356D6" w:rsidRPr="00174283">
        <w:rPr>
          <w:lang w:val="fr-FR"/>
        </w:rPr>
        <w:t>emploi</w:t>
      </w:r>
      <w:r w:rsidR="0042215C" w:rsidRPr="00174283">
        <w:rPr>
          <w:lang w:val="fr-FR"/>
        </w:rPr>
        <w:t>; deux de ces programmes</w:t>
      </w:r>
      <w:r w:rsidR="00B356D6" w:rsidRPr="00174283">
        <w:rPr>
          <w:lang w:val="fr-FR"/>
        </w:rPr>
        <w:t xml:space="preserve"> visent tout particulièrement à améliorer la situation de l</w:t>
      </w:r>
      <w:r w:rsidR="00205A62">
        <w:rPr>
          <w:lang w:val="fr-FR"/>
        </w:rPr>
        <w:t>’</w:t>
      </w:r>
      <w:r w:rsidR="00B356D6" w:rsidRPr="00174283">
        <w:rPr>
          <w:lang w:val="fr-FR"/>
        </w:rPr>
        <w:t xml:space="preserve">emploi parmi les Roms. </w:t>
      </w:r>
    </w:p>
    <w:p w:rsidR="007516FF" w:rsidRPr="00174283" w:rsidRDefault="007516FF" w:rsidP="00F914DB">
      <w:pPr>
        <w:pStyle w:val="H23G"/>
        <w:rPr>
          <w:lang w:val="fr-FR"/>
        </w:rPr>
      </w:pPr>
      <w:r w:rsidRPr="00174283">
        <w:rPr>
          <w:lang w:val="fr-FR"/>
        </w:rPr>
        <w:tab/>
      </w:r>
      <w:r w:rsidR="00F914DB" w:rsidRPr="00174283">
        <w:rPr>
          <w:lang w:val="fr-FR"/>
        </w:rPr>
        <w:t>2.</w:t>
      </w:r>
      <w:r w:rsidRPr="00174283">
        <w:rPr>
          <w:lang w:val="fr-FR"/>
        </w:rPr>
        <w:tab/>
        <w:t>Program</w:t>
      </w:r>
      <w:r w:rsidR="00145886" w:rsidRPr="00174283">
        <w:rPr>
          <w:lang w:val="fr-FR"/>
        </w:rPr>
        <w:t xml:space="preserve">me </w:t>
      </w:r>
      <w:r w:rsidR="005D3B72" w:rsidRPr="00174283">
        <w:rPr>
          <w:lang w:val="fr-FR"/>
        </w:rPr>
        <w:t>pour l</w:t>
      </w:r>
      <w:r w:rsidR="00205A62">
        <w:rPr>
          <w:lang w:val="fr-FR"/>
        </w:rPr>
        <w:t>’</w:t>
      </w:r>
      <w:r w:rsidR="005D3B72" w:rsidRPr="00174283">
        <w:rPr>
          <w:lang w:val="fr-FR"/>
        </w:rPr>
        <w:t>emploi</w:t>
      </w:r>
      <w:r w:rsidR="00145886" w:rsidRPr="00174283">
        <w:rPr>
          <w:lang w:val="fr-FR"/>
        </w:rPr>
        <w:t xml:space="preserve"> indépendant visant en particulier les Roms sans emploi</w:t>
      </w:r>
    </w:p>
    <w:p w:rsidR="007516FF" w:rsidRPr="00174283" w:rsidRDefault="009E1A92" w:rsidP="009E1A92">
      <w:pPr>
        <w:pStyle w:val="SingleTxtG"/>
        <w:rPr>
          <w:lang w:val="fr-FR"/>
        </w:rPr>
      </w:pPr>
      <w:r>
        <w:rPr>
          <w:lang w:val="fr-FR"/>
        </w:rPr>
        <w:t>157.</w:t>
      </w:r>
      <w:r>
        <w:rPr>
          <w:lang w:val="fr-FR"/>
        </w:rPr>
        <w:tab/>
      </w:r>
      <w:r w:rsidR="005D3B72" w:rsidRPr="00174283">
        <w:rPr>
          <w:lang w:val="fr-FR"/>
        </w:rPr>
        <w:t>Le Programme pour l</w:t>
      </w:r>
      <w:r w:rsidR="00205A62">
        <w:rPr>
          <w:lang w:val="fr-FR"/>
        </w:rPr>
        <w:t>’</w:t>
      </w:r>
      <w:r w:rsidR="005D3B72" w:rsidRPr="00174283">
        <w:rPr>
          <w:lang w:val="fr-FR"/>
        </w:rPr>
        <w:t>emploi indépendant prévoit la formation des personnes sans emploi intéressées par l</w:t>
      </w:r>
      <w:r w:rsidR="00205A62">
        <w:rPr>
          <w:lang w:val="fr-FR"/>
        </w:rPr>
        <w:t>’</w:t>
      </w:r>
      <w:r w:rsidR="005D3B72" w:rsidRPr="00174283">
        <w:rPr>
          <w:lang w:val="fr-FR"/>
        </w:rPr>
        <w:t>entreprenariat, l</w:t>
      </w:r>
      <w:r w:rsidR="00205A62">
        <w:rPr>
          <w:lang w:val="fr-FR"/>
        </w:rPr>
        <w:t>’</w:t>
      </w:r>
      <w:r w:rsidR="005D3B72" w:rsidRPr="00174283">
        <w:rPr>
          <w:lang w:val="fr-FR"/>
        </w:rPr>
        <w:t>élaboration de plans d</w:t>
      </w:r>
      <w:r w:rsidR="00205A62">
        <w:rPr>
          <w:lang w:val="fr-FR"/>
        </w:rPr>
        <w:t>’</w:t>
      </w:r>
      <w:r w:rsidR="005D3B72" w:rsidRPr="00174283">
        <w:rPr>
          <w:lang w:val="fr-FR"/>
        </w:rPr>
        <w:t>activité solides et viables et l</w:t>
      </w:r>
      <w:r w:rsidR="00205A62">
        <w:rPr>
          <w:lang w:val="fr-FR"/>
        </w:rPr>
        <w:t>’</w:t>
      </w:r>
      <w:r w:rsidR="005D3B72" w:rsidRPr="00174283">
        <w:rPr>
          <w:lang w:val="fr-FR"/>
        </w:rPr>
        <w:t>offre d</w:t>
      </w:r>
      <w:r w:rsidR="00205A62">
        <w:rPr>
          <w:lang w:val="fr-FR"/>
        </w:rPr>
        <w:t>’</w:t>
      </w:r>
      <w:r w:rsidR="005D3B72" w:rsidRPr="00174283">
        <w:rPr>
          <w:lang w:val="fr-FR"/>
        </w:rPr>
        <w:t>une aide pour l</w:t>
      </w:r>
      <w:r w:rsidR="00205A62">
        <w:rPr>
          <w:lang w:val="fr-FR"/>
        </w:rPr>
        <w:t>’</w:t>
      </w:r>
      <w:r w:rsidR="00B97B5A" w:rsidRPr="00174283">
        <w:rPr>
          <w:lang w:val="fr-FR"/>
        </w:rPr>
        <w:t>immatriculation</w:t>
      </w:r>
      <w:r w:rsidR="005D3B72" w:rsidRPr="00174283">
        <w:rPr>
          <w:lang w:val="fr-FR"/>
        </w:rPr>
        <w:t xml:space="preserve"> de </w:t>
      </w:r>
      <w:r w:rsidR="00661090" w:rsidRPr="00174283">
        <w:rPr>
          <w:lang w:val="fr-FR"/>
        </w:rPr>
        <w:t>l</w:t>
      </w:r>
      <w:r w:rsidR="00205A62">
        <w:rPr>
          <w:lang w:val="fr-FR"/>
        </w:rPr>
        <w:t>’</w:t>
      </w:r>
      <w:r w:rsidR="005D3B72" w:rsidRPr="00174283">
        <w:rPr>
          <w:lang w:val="fr-FR"/>
        </w:rPr>
        <w:t>activité et l</w:t>
      </w:r>
      <w:r w:rsidR="00205A62">
        <w:rPr>
          <w:lang w:val="fr-FR"/>
        </w:rPr>
        <w:t>’</w:t>
      </w:r>
      <w:r w:rsidR="005D3B72" w:rsidRPr="00174283">
        <w:rPr>
          <w:lang w:val="fr-FR"/>
        </w:rPr>
        <w:t>obtention de subventions de démarrage</w:t>
      </w:r>
      <w:r w:rsidR="00314E67" w:rsidRPr="00174283">
        <w:rPr>
          <w:lang w:val="fr-FR"/>
        </w:rPr>
        <w:t xml:space="preserve">. </w:t>
      </w:r>
    </w:p>
    <w:p w:rsidR="007516FF" w:rsidRPr="00174283" w:rsidRDefault="009E1A92" w:rsidP="009E1A92">
      <w:pPr>
        <w:pStyle w:val="SingleTxtG"/>
        <w:rPr>
          <w:lang w:val="fr-FR"/>
        </w:rPr>
      </w:pPr>
      <w:r>
        <w:rPr>
          <w:lang w:val="fr-FR"/>
        </w:rPr>
        <w:t>158.</w:t>
      </w:r>
      <w:r>
        <w:rPr>
          <w:lang w:val="fr-FR"/>
        </w:rPr>
        <w:tab/>
      </w:r>
      <w:r w:rsidR="00314E67" w:rsidRPr="00174283">
        <w:rPr>
          <w:lang w:val="fr-FR"/>
        </w:rPr>
        <w:t xml:space="preserve">Chaque projet </w:t>
      </w:r>
      <w:r w:rsidR="005D3B72" w:rsidRPr="00174283">
        <w:rPr>
          <w:lang w:val="fr-FR"/>
        </w:rPr>
        <w:t>est subventionné à hauteur de</w:t>
      </w:r>
      <w:r w:rsidR="004E1A43" w:rsidRPr="00174283">
        <w:rPr>
          <w:lang w:val="fr-FR"/>
        </w:rPr>
        <w:t xml:space="preserve"> 201 897 </w:t>
      </w:r>
      <w:r w:rsidR="00CE0D09" w:rsidRPr="00174283">
        <w:rPr>
          <w:lang w:val="fr-FR"/>
        </w:rPr>
        <w:t>dinars</w:t>
      </w:r>
      <w:r w:rsidR="005D3B72" w:rsidRPr="00174283">
        <w:rPr>
          <w:lang w:val="fr-FR"/>
        </w:rPr>
        <w:t xml:space="preserve"> macédoniens</w:t>
      </w:r>
      <w:r w:rsidR="004E1A43" w:rsidRPr="00174283">
        <w:rPr>
          <w:lang w:val="fr-FR"/>
        </w:rPr>
        <w:t>, dont 185</w:t>
      </w:r>
      <w:r w:rsidR="007B3F63" w:rsidRPr="00174283">
        <w:rPr>
          <w:lang w:val="fr-FR"/>
        </w:rPr>
        <w:t> </w:t>
      </w:r>
      <w:r w:rsidR="004E1A43" w:rsidRPr="00174283">
        <w:rPr>
          <w:lang w:val="fr-FR"/>
        </w:rPr>
        <w:t>000</w:t>
      </w:r>
      <w:r w:rsidR="007B3F63" w:rsidRPr="00174283">
        <w:rPr>
          <w:lang w:val="fr-FR"/>
        </w:rPr>
        <w:t xml:space="preserve"> dinars</w:t>
      </w:r>
      <w:r w:rsidR="004E1A43" w:rsidRPr="00174283">
        <w:rPr>
          <w:lang w:val="fr-FR"/>
        </w:rPr>
        <w:t xml:space="preserve"> </w:t>
      </w:r>
      <w:r w:rsidR="00661090" w:rsidRPr="00174283">
        <w:rPr>
          <w:lang w:val="fr-FR"/>
        </w:rPr>
        <w:t>pour</w:t>
      </w:r>
      <w:r w:rsidR="004E1A43" w:rsidRPr="00174283">
        <w:rPr>
          <w:lang w:val="fr-FR"/>
        </w:rPr>
        <w:t xml:space="preserve"> l</w:t>
      </w:r>
      <w:r w:rsidR="00205A62">
        <w:rPr>
          <w:lang w:val="fr-FR"/>
        </w:rPr>
        <w:t>’</w:t>
      </w:r>
      <w:r w:rsidR="004E1A43" w:rsidRPr="00174283">
        <w:rPr>
          <w:lang w:val="fr-FR"/>
        </w:rPr>
        <w:t>achat d</w:t>
      </w:r>
      <w:r w:rsidR="00205A62">
        <w:rPr>
          <w:lang w:val="fr-FR"/>
        </w:rPr>
        <w:t>’</w:t>
      </w:r>
      <w:r w:rsidR="004E1A43" w:rsidRPr="00174283">
        <w:rPr>
          <w:lang w:val="fr-FR"/>
        </w:rPr>
        <w:t xml:space="preserve">équipement et de matières premières et </w:t>
      </w:r>
      <w:r w:rsidR="007516FF" w:rsidRPr="00174283">
        <w:rPr>
          <w:lang w:val="fr-FR"/>
        </w:rPr>
        <w:t>16</w:t>
      </w:r>
      <w:r w:rsidR="004E1A43" w:rsidRPr="00174283">
        <w:rPr>
          <w:lang w:val="fr-FR"/>
        </w:rPr>
        <w:t> 897 </w:t>
      </w:r>
      <w:r w:rsidR="00CE0D09" w:rsidRPr="00174283">
        <w:rPr>
          <w:lang w:val="fr-FR"/>
        </w:rPr>
        <w:t>dinars</w:t>
      </w:r>
      <w:r w:rsidR="007516FF" w:rsidRPr="00174283">
        <w:rPr>
          <w:lang w:val="fr-FR"/>
        </w:rPr>
        <w:t xml:space="preserve"> </w:t>
      </w:r>
      <w:r w:rsidR="00661090" w:rsidRPr="00174283">
        <w:rPr>
          <w:lang w:val="fr-FR"/>
        </w:rPr>
        <w:t>pour</w:t>
      </w:r>
      <w:r w:rsidR="004E1A43" w:rsidRPr="00174283">
        <w:rPr>
          <w:lang w:val="fr-FR"/>
        </w:rPr>
        <w:t xml:space="preserve"> </w:t>
      </w:r>
      <w:r w:rsidR="00661090" w:rsidRPr="00174283">
        <w:rPr>
          <w:lang w:val="fr-FR"/>
        </w:rPr>
        <w:t xml:space="preserve">une </w:t>
      </w:r>
      <w:r w:rsidR="004E1A43" w:rsidRPr="00174283">
        <w:rPr>
          <w:lang w:val="fr-FR"/>
        </w:rPr>
        <w:t>aide indirecte</w:t>
      </w:r>
      <w:r w:rsidR="00661090" w:rsidRPr="00174283">
        <w:rPr>
          <w:lang w:val="fr-FR"/>
        </w:rPr>
        <w:t>,</w:t>
      </w:r>
      <w:r w:rsidR="004E1A43" w:rsidRPr="00174283">
        <w:rPr>
          <w:lang w:val="fr-FR"/>
        </w:rPr>
        <w:t xml:space="preserve"> sous la forme d</w:t>
      </w:r>
      <w:r w:rsidR="00205A62">
        <w:rPr>
          <w:lang w:val="fr-FR"/>
        </w:rPr>
        <w:t>’</w:t>
      </w:r>
      <w:r w:rsidR="004E1A43" w:rsidRPr="00174283">
        <w:rPr>
          <w:lang w:val="fr-FR"/>
        </w:rPr>
        <w:t>une formation de base en gestion, de bons pour la préparation d</w:t>
      </w:r>
      <w:r w:rsidR="00FA39AA" w:rsidRPr="00174283">
        <w:rPr>
          <w:lang w:val="fr-FR"/>
        </w:rPr>
        <w:t>es</w:t>
      </w:r>
      <w:r w:rsidR="004E1A43" w:rsidRPr="00174283">
        <w:rPr>
          <w:lang w:val="fr-FR"/>
        </w:rPr>
        <w:t xml:space="preserve"> plan</w:t>
      </w:r>
      <w:r w:rsidR="00FA39AA" w:rsidRPr="00174283">
        <w:rPr>
          <w:lang w:val="fr-FR"/>
        </w:rPr>
        <w:t>s</w:t>
      </w:r>
      <w:r w:rsidR="004E1A43" w:rsidRPr="00174283">
        <w:rPr>
          <w:lang w:val="fr-FR"/>
        </w:rPr>
        <w:t xml:space="preserve"> d</w:t>
      </w:r>
      <w:r w:rsidR="00205A62">
        <w:rPr>
          <w:lang w:val="fr-FR"/>
        </w:rPr>
        <w:t>’</w:t>
      </w:r>
      <w:r w:rsidR="004E1A43" w:rsidRPr="00174283">
        <w:rPr>
          <w:lang w:val="fr-FR"/>
        </w:rPr>
        <w:t xml:space="preserve">activité et </w:t>
      </w:r>
      <w:r w:rsidR="001A69B1" w:rsidRPr="00174283">
        <w:rPr>
          <w:lang w:val="fr-FR"/>
        </w:rPr>
        <w:t>d</w:t>
      </w:r>
      <w:r w:rsidR="00205A62">
        <w:rPr>
          <w:lang w:val="fr-FR"/>
        </w:rPr>
        <w:t>’</w:t>
      </w:r>
      <w:r w:rsidR="003D4D42" w:rsidRPr="00174283">
        <w:rPr>
          <w:lang w:val="fr-FR"/>
        </w:rPr>
        <w:t xml:space="preserve">aide à </w:t>
      </w:r>
      <w:r w:rsidR="004E1A43" w:rsidRPr="00174283">
        <w:rPr>
          <w:lang w:val="fr-FR"/>
        </w:rPr>
        <w:t>l</w:t>
      </w:r>
      <w:r w:rsidR="00205A62">
        <w:rPr>
          <w:lang w:val="fr-FR"/>
        </w:rPr>
        <w:t>’</w:t>
      </w:r>
      <w:r w:rsidR="001A69B1" w:rsidRPr="00174283">
        <w:rPr>
          <w:lang w:val="fr-FR"/>
        </w:rPr>
        <w:t>immatriculation de</w:t>
      </w:r>
      <w:r w:rsidR="00661090" w:rsidRPr="00174283">
        <w:rPr>
          <w:lang w:val="fr-FR"/>
        </w:rPr>
        <w:t xml:space="preserve"> l</w:t>
      </w:r>
      <w:r w:rsidR="00205A62">
        <w:rPr>
          <w:lang w:val="fr-FR"/>
        </w:rPr>
        <w:t>’</w:t>
      </w:r>
      <w:r w:rsidR="00661090" w:rsidRPr="00174283">
        <w:rPr>
          <w:lang w:val="fr-FR"/>
        </w:rPr>
        <w:t>activité</w:t>
      </w:r>
      <w:r w:rsidR="004E1A43" w:rsidRPr="00174283">
        <w:rPr>
          <w:lang w:val="fr-FR"/>
        </w:rPr>
        <w:t xml:space="preserve">. </w:t>
      </w:r>
    </w:p>
    <w:p w:rsidR="007516FF" w:rsidRPr="00174283" w:rsidRDefault="009E1A92" w:rsidP="009E1A92">
      <w:pPr>
        <w:pStyle w:val="SingleTxtG"/>
        <w:rPr>
          <w:lang w:val="fr-FR"/>
        </w:rPr>
      </w:pPr>
      <w:r>
        <w:rPr>
          <w:lang w:val="fr-FR"/>
        </w:rPr>
        <w:t>159.</w:t>
      </w:r>
      <w:r>
        <w:rPr>
          <w:lang w:val="fr-FR"/>
        </w:rPr>
        <w:tab/>
      </w:r>
      <w:r w:rsidR="004E1A43" w:rsidRPr="00174283">
        <w:rPr>
          <w:lang w:val="fr-FR"/>
        </w:rPr>
        <w:t>Au 29 septembre 2011, 51 Roms s</w:t>
      </w:r>
      <w:r w:rsidR="00205A62">
        <w:rPr>
          <w:lang w:val="fr-FR"/>
        </w:rPr>
        <w:t>’</w:t>
      </w:r>
      <w:r w:rsidR="004E1A43" w:rsidRPr="00174283">
        <w:rPr>
          <w:lang w:val="fr-FR"/>
        </w:rPr>
        <w:t xml:space="preserve">étaient porté candidats à ce programme et 8 au Programme </w:t>
      </w:r>
      <w:r w:rsidR="007B3F63" w:rsidRPr="00174283">
        <w:rPr>
          <w:lang w:val="fr-FR"/>
        </w:rPr>
        <w:t>d</w:t>
      </w:r>
      <w:r w:rsidR="00205A62">
        <w:rPr>
          <w:lang w:val="fr-FR"/>
        </w:rPr>
        <w:t>’</w:t>
      </w:r>
      <w:r w:rsidR="007B3F63" w:rsidRPr="00174283">
        <w:rPr>
          <w:lang w:val="fr-FR"/>
        </w:rPr>
        <w:t>officialisation des entreprises existantes</w:t>
      </w:r>
      <w:r w:rsidR="004E1A43" w:rsidRPr="00174283">
        <w:rPr>
          <w:lang w:val="fr-FR"/>
        </w:rPr>
        <w:t>. L</w:t>
      </w:r>
      <w:r w:rsidR="00205A62">
        <w:rPr>
          <w:lang w:val="fr-FR"/>
        </w:rPr>
        <w:t>’</w:t>
      </w:r>
      <w:r w:rsidR="001A69B1" w:rsidRPr="00174283">
        <w:rPr>
          <w:lang w:val="fr-FR"/>
        </w:rPr>
        <w:t>immatriculation</w:t>
      </w:r>
      <w:r w:rsidR="004E1A43" w:rsidRPr="00174283">
        <w:rPr>
          <w:lang w:val="fr-FR"/>
        </w:rPr>
        <w:t xml:space="preserve"> des </w:t>
      </w:r>
      <w:r w:rsidR="003D4D42" w:rsidRPr="00174283">
        <w:rPr>
          <w:lang w:val="fr-FR"/>
        </w:rPr>
        <w:t>activités</w:t>
      </w:r>
      <w:r w:rsidR="004E1A43" w:rsidRPr="00174283">
        <w:rPr>
          <w:lang w:val="fr-FR"/>
        </w:rPr>
        <w:t xml:space="preserve"> dans le cadre de ces programmes se poursuit si bien qu</w:t>
      </w:r>
      <w:r w:rsidR="00205A62">
        <w:rPr>
          <w:lang w:val="fr-FR"/>
        </w:rPr>
        <w:t>’</w:t>
      </w:r>
      <w:r w:rsidR="004E1A43" w:rsidRPr="00174283">
        <w:rPr>
          <w:lang w:val="fr-FR"/>
        </w:rPr>
        <w:t>aucun chiffre définitif n</w:t>
      </w:r>
      <w:r w:rsidR="00205A62">
        <w:rPr>
          <w:lang w:val="fr-FR"/>
        </w:rPr>
        <w:t>’</w:t>
      </w:r>
      <w:r w:rsidR="004E1A43" w:rsidRPr="00174283">
        <w:rPr>
          <w:lang w:val="fr-FR"/>
        </w:rPr>
        <w:t xml:space="preserve">est </w:t>
      </w:r>
      <w:r w:rsidR="00B356D6" w:rsidRPr="00174283">
        <w:rPr>
          <w:lang w:val="fr-FR"/>
        </w:rPr>
        <w:t>disp</w:t>
      </w:r>
      <w:r w:rsidR="004E1A43" w:rsidRPr="00174283">
        <w:rPr>
          <w:lang w:val="fr-FR"/>
        </w:rPr>
        <w:t xml:space="preserve">onible à ce jour. Les chiffres définitifs </w:t>
      </w:r>
      <w:r w:rsidR="0028749E" w:rsidRPr="00174283">
        <w:rPr>
          <w:lang w:val="fr-FR"/>
        </w:rPr>
        <w:t xml:space="preserve">seront connus </w:t>
      </w:r>
      <w:r w:rsidR="00B356D6" w:rsidRPr="00174283">
        <w:rPr>
          <w:lang w:val="fr-FR"/>
        </w:rPr>
        <w:t>lorsque</w:t>
      </w:r>
      <w:r w:rsidR="0028749E" w:rsidRPr="00174283">
        <w:rPr>
          <w:lang w:val="fr-FR"/>
        </w:rPr>
        <w:t xml:space="preserve"> ces programmes </w:t>
      </w:r>
      <w:r w:rsidR="003D4D42" w:rsidRPr="00174283">
        <w:rPr>
          <w:lang w:val="fr-FR"/>
        </w:rPr>
        <w:t xml:space="preserve">seront parvenus </w:t>
      </w:r>
      <w:r w:rsidR="0028749E" w:rsidRPr="00174283">
        <w:rPr>
          <w:lang w:val="fr-FR"/>
        </w:rPr>
        <w:t xml:space="preserve">à échéance. </w:t>
      </w:r>
    </w:p>
    <w:p w:rsidR="007516FF" w:rsidRPr="00174283" w:rsidRDefault="007516FF" w:rsidP="00F914DB">
      <w:pPr>
        <w:pStyle w:val="H23G"/>
        <w:rPr>
          <w:lang w:val="fr-FR"/>
        </w:rPr>
      </w:pPr>
      <w:r w:rsidRPr="00174283">
        <w:rPr>
          <w:lang w:val="fr-FR"/>
        </w:rPr>
        <w:tab/>
      </w:r>
      <w:r w:rsidR="00F914DB" w:rsidRPr="00174283">
        <w:rPr>
          <w:lang w:val="fr-FR"/>
        </w:rPr>
        <w:t>3.</w:t>
      </w:r>
      <w:r w:rsidRPr="00174283">
        <w:rPr>
          <w:lang w:val="fr-FR"/>
        </w:rPr>
        <w:tab/>
      </w:r>
      <w:r w:rsidR="0028749E" w:rsidRPr="00174283">
        <w:rPr>
          <w:lang w:val="fr-FR"/>
        </w:rPr>
        <w:t>Programme d</w:t>
      </w:r>
      <w:r w:rsidR="00205A62">
        <w:rPr>
          <w:lang w:val="fr-FR"/>
        </w:rPr>
        <w:t>’</w:t>
      </w:r>
      <w:r w:rsidR="0028749E" w:rsidRPr="00174283">
        <w:rPr>
          <w:lang w:val="fr-FR"/>
        </w:rPr>
        <w:t>appui aux Roms</w:t>
      </w:r>
      <w:r w:rsidRPr="00174283">
        <w:rPr>
          <w:lang w:val="fr-FR"/>
        </w:rPr>
        <w:t xml:space="preserve"> </w:t>
      </w:r>
    </w:p>
    <w:p w:rsidR="007516FF" w:rsidRPr="00174283" w:rsidRDefault="009E1A92" w:rsidP="009E1A92">
      <w:pPr>
        <w:pStyle w:val="SingleTxtG"/>
        <w:rPr>
          <w:lang w:val="fr-FR"/>
        </w:rPr>
      </w:pPr>
      <w:r>
        <w:rPr>
          <w:lang w:val="fr-FR"/>
        </w:rPr>
        <w:t>160.</w:t>
      </w:r>
      <w:r>
        <w:rPr>
          <w:lang w:val="fr-FR"/>
        </w:rPr>
        <w:tab/>
      </w:r>
      <w:r w:rsidR="005D26E2" w:rsidRPr="00174283">
        <w:rPr>
          <w:lang w:val="fr-FR"/>
        </w:rPr>
        <w:t>L</w:t>
      </w:r>
      <w:r w:rsidR="0028749E" w:rsidRPr="00174283">
        <w:rPr>
          <w:lang w:val="fr-FR"/>
        </w:rPr>
        <w:t xml:space="preserve">e </w:t>
      </w:r>
      <w:r w:rsidR="005D26E2" w:rsidRPr="00174283">
        <w:rPr>
          <w:lang w:val="fr-FR"/>
        </w:rPr>
        <w:t>Programme d</w:t>
      </w:r>
      <w:r w:rsidR="00205A62">
        <w:rPr>
          <w:lang w:val="fr-FR"/>
        </w:rPr>
        <w:t>’</w:t>
      </w:r>
      <w:r w:rsidR="005D26E2" w:rsidRPr="00174283">
        <w:rPr>
          <w:lang w:val="fr-FR"/>
        </w:rPr>
        <w:t>appui aux Roms met l</w:t>
      </w:r>
      <w:r w:rsidR="00205A62">
        <w:rPr>
          <w:lang w:val="fr-FR"/>
        </w:rPr>
        <w:t>’</w:t>
      </w:r>
      <w:r w:rsidR="005D26E2" w:rsidRPr="00174283">
        <w:rPr>
          <w:lang w:val="fr-FR"/>
        </w:rPr>
        <w:t>accent sur l</w:t>
      </w:r>
      <w:r w:rsidR="00205A62">
        <w:rPr>
          <w:lang w:val="fr-FR"/>
        </w:rPr>
        <w:t>’</w:t>
      </w:r>
      <w:r w:rsidR="005D26E2" w:rsidRPr="00174283">
        <w:rPr>
          <w:lang w:val="fr-FR"/>
        </w:rPr>
        <w:t>offre d</w:t>
      </w:r>
      <w:r w:rsidR="00FA39AA" w:rsidRPr="00174283">
        <w:rPr>
          <w:lang w:val="fr-FR"/>
        </w:rPr>
        <w:t xml:space="preserve">e </w:t>
      </w:r>
      <w:r w:rsidR="005D26E2" w:rsidRPr="00174283">
        <w:rPr>
          <w:lang w:val="fr-FR"/>
        </w:rPr>
        <w:t>formation</w:t>
      </w:r>
      <w:r w:rsidR="00FA39AA" w:rsidRPr="00174283">
        <w:rPr>
          <w:lang w:val="fr-FR"/>
        </w:rPr>
        <w:t>s</w:t>
      </w:r>
      <w:r w:rsidR="005D26E2" w:rsidRPr="00174283">
        <w:rPr>
          <w:lang w:val="fr-FR"/>
        </w:rPr>
        <w:t xml:space="preserve"> dans les professions recherchées sur le marché du travail d</w:t>
      </w:r>
      <w:r w:rsidR="00205A62">
        <w:rPr>
          <w:lang w:val="fr-FR"/>
        </w:rPr>
        <w:t>’</w:t>
      </w:r>
      <w:r w:rsidR="005D26E2" w:rsidRPr="00174283">
        <w:rPr>
          <w:lang w:val="fr-FR"/>
        </w:rPr>
        <w:t>après les résultats d</w:t>
      </w:r>
      <w:r w:rsidR="00205A62">
        <w:rPr>
          <w:lang w:val="fr-FR"/>
        </w:rPr>
        <w:t>’</w:t>
      </w:r>
      <w:r w:rsidR="005D26E2" w:rsidRPr="00174283">
        <w:rPr>
          <w:lang w:val="fr-FR"/>
        </w:rPr>
        <w:t>une analyse effectuée à ce sujet, les données des services professionnels de l</w:t>
      </w:r>
      <w:r w:rsidR="00205A62">
        <w:rPr>
          <w:lang w:val="fr-FR"/>
        </w:rPr>
        <w:t>’</w:t>
      </w:r>
      <w:r w:rsidR="005D26E2" w:rsidRPr="00174283">
        <w:rPr>
          <w:lang w:val="fr-FR"/>
        </w:rPr>
        <w:t>Agence pour l</w:t>
      </w:r>
      <w:r w:rsidR="00205A62">
        <w:rPr>
          <w:lang w:val="fr-FR"/>
        </w:rPr>
        <w:t>’</w:t>
      </w:r>
      <w:r w:rsidR="005D26E2" w:rsidRPr="00174283">
        <w:rPr>
          <w:lang w:val="fr-FR"/>
        </w:rPr>
        <w:t>emploi</w:t>
      </w:r>
      <w:r w:rsidR="002D66AF" w:rsidRPr="00174283">
        <w:rPr>
          <w:lang w:val="fr-FR"/>
        </w:rPr>
        <w:t xml:space="preserve"> et</w:t>
      </w:r>
      <w:r w:rsidR="005D26E2" w:rsidRPr="00174283">
        <w:rPr>
          <w:lang w:val="fr-FR"/>
        </w:rPr>
        <w:t xml:space="preserve"> </w:t>
      </w:r>
      <w:r w:rsidR="002D66AF" w:rsidRPr="00174283">
        <w:rPr>
          <w:lang w:val="fr-FR"/>
        </w:rPr>
        <w:t>l</w:t>
      </w:r>
      <w:r w:rsidR="00205A62">
        <w:rPr>
          <w:lang w:val="fr-FR"/>
        </w:rPr>
        <w:t>’</w:t>
      </w:r>
      <w:r w:rsidR="002D66AF" w:rsidRPr="00174283">
        <w:rPr>
          <w:lang w:val="fr-FR"/>
        </w:rPr>
        <w:t xml:space="preserve">examen </w:t>
      </w:r>
      <w:r w:rsidR="00B4074C" w:rsidRPr="00174283">
        <w:rPr>
          <w:lang w:val="fr-FR"/>
        </w:rPr>
        <w:t>des offres d</w:t>
      </w:r>
      <w:r w:rsidR="00205A62">
        <w:rPr>
          <w:lang w:val="fr-FR"/>
        </w:rPr>
        <w:t>’</w:t>
      </w:r>
      <w:r w:rsidR="00B4074C" w:rsidRPr="00174283">
        <w:rPr>
          <w:lang w:val="fr-FR"/>
        </w:rPr>
        <w:t>emploi</w:t>
      </w:r>
      <w:r w:rsidR="002D66AF" w:rsidRPr="00174283">
        <w:rPr>
          <w:lang w:val="fr-FR"/>
        </w:rPr>
        <w:t xml:space="preserve">, et </w:t>
      </w:r>
      <w:r w:rsidR="00174283" w:rsidRPr="00174283">
        <w:rPr>
          <w:lang w:val="fr-FR"/>
        </w:rPr>
        <w:t>repose</w:t>
      </w:r>
      <w:r w:rsidR="002D66AF" w:rsidRPr="00174283">
        <w:rPr>
          <w:lang w:val="fr-FR"/>
        </w:rPr>
        <w:t xml:space="preserve"> sur les</w:t>
      </w:r>
      <w:r w:rsidR="00B4074C" w:rsidRPr="00174283">
        <w:rPr>
          <w:lang w:val="fr-FR"/>
        </w:rPr>
        <w:t xml:space="preserve"> ressources disponibles </w:t>
      </w:r>
      <w:r w:rsidR="003D4D42" w:rsidRPr="00174283">
        <w:rPr>
          <w:lang w:val="fr-FR"/>
        </w:rPr>
        <w:t xml:space="preserve">en vue de </w:t>
      </w:r>
      <w:r w:rsidR="00B4074C" w:rsidRPr="00174283">
        <w:rPr>
          <w:lang w:val="fr-FR"/>
        </w:rPr>
        <w:t>l</w:t>
      </w:r>
      <w:r w:rsidR="00205A62">
        <w:rPr>
          <w:lang w:val="fr-FR"/>
        </w:rPr>
        <w:t>’</w:t>
      </w:r>
      <w:r w:rsidR="00B4074C" w:rsidRPr="00174283">
        <w:rPr>
          <w:lang w:val="fr-FR"/>
        </w:rPr>
        <w:t>organisation de formations</w:t>
      </w:r>
      <w:r w:rsidR="003D4D42" w:rsidRPr="00174283">
        <w:rPr>
          <w:lang w:val="fr-FR"/>
        </w:rPr>
        <w:t>,</w:t>
      </w:r>
      <w:r w:rsidR="00B4074C" w:rsidRPr="00174283">
        <w:rPr>
          <w:lang w:val="fr-FR"/>
        </w:rPr>
        <w:t xml:space="preserve"> ainsi que </w:t>
      </w:r>
      <w:r w:rsidR="002D66AF" w:rsidRPr="00174283">
        <w:rPr>
          <w:lang w:val="fr-FR"/>
        </w:rPr>
        <w:t xml:space="preserve">sur </w:t>
      </w:r>
      <w:r w:rsidR="00B4074C" w:rsidRPr="00174283">
        <w:rPr>
          <w:lang w:val="fr-FR"/>
        </w:rPr>
        <w:t>le Protocole d</w:t>
      </w:r>
      <w:r w:rsidR="00205A62">
        <w:rPr>
          <w:lang w:val="fr-FR"/>
        </w:rPr>
        <w:t>’</w:t>
      </w:r>
      <w:r w:rsidR="00B4074C" w:rsidRPr="00174283">
        <w:rPr>
          <w:lang w:val="fr-FR"/>
        </w:rPr>
        <w:t>entente signé entre l</w:t>
      </w:r>
      <w:r w:rsidR="00205A62">
        <w:rPr>
          <w:lang w:val="fr-FR"/>
        </w:rPr>
        <w:t>’</w:t>
      </w:r>
      <w:r w:rsidR="00B4074C" w:rsidRPr="00174283">
        <w:rPr>
          <w:lang w:val="fr-FR"/>
        </w:rPr>
        <w:t>Agence pour l</w:t>
      </w:r>
      <w:r w:rsidR="00205A62">
        <w:rPr>
          <w:lang w:val="fr-FR"/>
        </w:rPr>
        <w:t>’</w:t>
      </w:r>
      <w:r w:rsidR="00B4074C" w:rsidRPr="00174283">
        <w:rPr>
          <w:lang w:val="fr-FR"/>
        </w:rPr>
        <w:t>emploi et</w:t>
      </w:r>
      <w:r w:rsidR="00381272" w:rsidRPr="00174283">
        <w:rPr>
          <w:lang w:val="fr-FR"/>
        </w:rPr>
        <w:t xml:space="preserve"> </w:t>
      </w:r>
      <w:r w:rsidR="00B4074C" w:rsidRPr="00174283">
        <w:rPr>
          <w:lang w:val="fr-FR"/>
        </w:rPr>
        <w:t>le Centre d</w:t>
      </w:r>
      <w:r w:rsidR="00205A62">
        <w:rPr>
          <w:lang w:val="fr-FR"/>
        </w:rPr>
        <w:t>’</w:t>
      </w:r>
      <w:r w:rsidR="00B4074C" w:rsidRPr="00174283">
        <w:rPr>
          <w:lang w:val="fr-FR"/>
        </w:rPr>
        <w:t>éducation et de formation professionnelle</w:t>
      </w:r>
      <w:r w:rsidR="00381272" w:rsidRPr="00174283">
        <w:rPr>
          <w:lang w:val="fr-FR"/>
        </w:rPr>
        <w:t>, d</w:t>
      </w:r>
      <w:r w:rsidR="00205A62">
        <w:rPr>
          <w:lang w:val="fr-FR"/>
        </w:rPr>
        <w:t>’</w:t>
      </w:r>
      <w:r w:rsidR="00381272" w:rsidRPr="00174283">
        <w:rPr>
          <w:lang w:val="fr-FR"/>
        </w:rPr>
        <w:t>une part,</w:t>
      </w:r>
      <w:r w:rsidR="002F51DC">
        <w:rPr>
          <w:lang w:val="fr-FR"/>
        </w:rPr>
        <w:t xml:space="preserve"> </w:t>
      </w:r>
      <w:r w:rsidR="00B4074C" w:rsidRPr="00174283">
        <w:rPr>
          <w:lang w:val="fr-FR"/>
        </w:rPr>
        <w:t xml:space="preserve">et le Centre </w:t>
      </w:r>
      <w:r w:rsidR="008965E5" w:rsidRPr="00174283">
        <w:rPr>
          <w:lang w:val="fr-FR"/>
        </w:rPr>
        <w:t>d</w:t>
      </w:r>
      <w:r w:rsidR="00205A62">
        <w:rPr>
          <w:lang w:val="fr-FR"/>
        </w:rPr>
        <w:t>’</w:t>
      </w:r>
      <w:r w:rsidR="008965E5" w:rsidRPr="00174283">
        <w:rPr>
          <w:lang w:val="fr-FR"/>
        </w:rPr>
        <w:t>éducation</w:t>
      </w:r>
      <w:r w:rsidR="00B4074C" w:rsidRPr="00174283">
        <w:rPr>
          <w:lang w:val="fr-FR"/>
        </w:rPr>
        <w:t xml:space="preserve"> pour adultes</w:t>
      </w:r>
      <w:r w:rsidR="003D4D42" w:rsidRPr="00174283">
        <w:rPr>
          <w:lang w:val="fr-FR"/>
        </w:rPr>
        <w:t>, d</w:t>
      </w:r>
      <w:r w:rsidR="00205A62">
        <w:rPr>
          <w:lang w:val="fr-FR"/>
        </w:rPr>
        <w:t>’</w:t>
      </w:r>
      <w:r w:rsidR="003D4D42" w:rsidRPr="00174283">
        <w:rPr>
          <w:lang w:val="fr-FR"/>
        </w:rPr>
        <w:t>autre part</w:t>
      </w:r>
      <w:r w:rsidR="00B4074C" w:rsidRPr="00174283">
        <w:rPr>
          <w:lang w:val="fr-FR"/>
        </w:rPr>
        <w:t xml:space="preserve">. </w:t>
      </w:r>
    </w:p>
    <w:p w:rsidR="007516FF" w:rsidRPr="00174283" w:rsidRDefault="009E1A92" w:rsidP="009E1A92">
      <w:pPr>
        <w:pStyle w:val="SingleTxtG"/>
        <w:rPr>
          <w:lang w:val="fr-FR"/>
        </w:rPr>
      </w:pPr>
      <w:r>
        <w:rPr>
          <w:lang w:val="fr-FR"/>
        </w:rPr>
        <w:t>161.</w:t>
      </w:r>
      <w:r>
        <w:rPr>
          <w:lang w:val="fr-FR"/>
        </w:rPr>
        <w:tab/>
      </w:r>
      <w:r w:rsidR="00B4074C" w:rsidRPr="00174283">
        <w:rPr>
          <w:lang w:val="fr-FR"/>
        </w:rPr>
        <w:t xml:space="preserve">Les personnes qui participent à ces formations reçoivent un montant </w:t>
      </w:r>
      <w:r w:rsidR="001B598F" w:rsidRPr="00174283">
        <w:rPr>
          <w:lang w:val="fr-FR"/>
        </w:rPr>
        <w:t xml:space="preserve">mensuel </w:t>
      </w:r>
      <w:r w:rsidR="00B4074C" w:rsidRPr="00174283">
        <w:rPr>
          <w:lang w:val="fr-FR"/>
        </w:rPr>
        <w:t>de 4 700 </w:t>
      </w:r>
      <w:r w:rsidR="00CE0D09" w:rsidRPr="00174283">
        <w:rPr>
          <w:lang w:val="fr-FR"/>
        </w:rPr>
        <w:t>dinars</w:t>
      </w:r>
      <w:r w:rsidR="00B4074C" w:rsidRPr="00174283">
        <w:rPr>
          <w:lang w:val="fr-FR"/>
        </w:rPr>
        <w:t xml:space="preserve"> macédoniens pour leurs repas et leurs frais de transport. Ce montant couvre l</w:t>
      </w:r>
      <w:r w:rsidR="00205A62">
        <w:rPr>
          <w:lang w:val="fr-FR"/>
        </w:rPr>
        <w:t>’</w:t>
      </w:r>
      <w:r w:rsidR="00B4074C" w:rsidRPr="00174283">
        <w:rPr>
          <w:lang w:val="fr-FR"/>
        </w:rPr>
        <w:t>impôt sur le revenu et l</w:t>
      </w:r>
      <w:r w:rsidR="00205A62">
        <w:rPr>
          <w:lang w:val="fr-FR"/>
        </w:rPr>
        <w:t>’</w:t>
      </w:r>
      <w:r w:rsidR="00B4074C" w:rsidRPr="00174283">
        <w:rPr>
          <w:lang w:val="fr-FR"/>
        </w:rPr>
        <w:t>assurance en cas d</w:t>
      </w:r>
      <w:r w:rsidR="00205A62">
        <w:rPr>
          <w:lang w:val="fr-FR"/>
        </w:rPr>
        <w:t>’</w:t>
      </w:r>
      <w:r w:rsidR="00B4074C" w:rsidRPr="00174283">
        <w:rPr>
          <w:lang w:val="fr-FR"/>
        </w:rPr>
        <w:t xml:space="preserve">accident de travail ou de maladie professionnelle. Les personnes inscrites au chômage qui ne </w:t>
      </w:r>
      <w:r w:rsidR="00B356D6" w:rsidRPr="00174283">
        <w:rPr>
          <w:lang w:val="fr-FR"/>
        </w:rPr>
        <w:t>bénéficient</w:t>
      </w:r>
      <w:r w:rsidR="00B4074C" w:rsidRPr="00174283">
        <w:rPr>
          <w:lang w:val="fr-FR"/>
        </w:rPr>
        <w:t xml:space="preserve"> pas du programme de préparation à l</w:t>
      </w:r>
      <w:r w:rsidR="00205A62">
        <w:rPr>
          <w:lang w:val="fr-FR"/>
        </w:rPr>
        <w:t>’</w:t>
      </w:r>
      <w:r w:rsidR="00B4074C" w:rsidRPr="00174283">
        <w:rPr>
          <w:lang w:val="fr-FR"/>
        </w:rPr>
        <w:t>emploi, dans le cadre des formations dans les professions recherch</w:t>
      </w:r>
      <w:r w:rsidR="007B5B43" w:rsidRPr="00174283">
        <w:rPr>
          <w:lang w:val="fr-FR"/>
        </w:rPr>
        <w:t>é</w:t>
      </w:r>
      <w:r w:rsidR="00B4074C" w:rsidRPr="00174283">
        <w:rPr>
          <w:lang w:val="fr-FR"/>
        </w:rPr>
        <w:t xml:space="preserve">es sur le marché du travail, peuvent prétendre </w:t>
      </w:r>
      <w:r w:rsidR="007B5B43" w:rsidRPr="00174283">
        <w:rPr>
          <w:lang w:val="fr-FR"/>
        </w:rPr>
        <w:t xml:space="preserve">à ce programme. </w:t>
      </w:r>
    </w:p>
    <w:p w:rsidR="007516FF" w:rsidRPr="00174283" w:rsidRDefault="009E1A92" w:rsidP="009E1A92">
      <w:pPr>
        <w:pStyle w:val="SingleTxtG"/>
        <w:rPr>
          <w:lang w:val="fr-FR"/>
        </w:rPr>
      </w:pPr>
      <w:r>
        <w:rPr>
          <w:lang w:val="fr-FR"/>
        </w:rPr>
        <w:t>162.</w:t>
      </w:r>
      <w:r>
        <w:rPr>
          <w:lang w:val="fr-FR"/>
        </w:rPr>
        <w:tab/>
      </w:r>
      <w:r w:rsidR="007B5B43" w:rsidRPr="00174283">
        <w:rPr>
          <w:lang w:val="fr-FR"/>
        </w:rPr>
        <w:t>C</w:t>
      </w:r>
      <w:r w:rsidR="002C7914" w:rsidRPr="00174283">
        <w:rPr>
          <w:lang w:val="fr-FR"/>
        </w:rPr>
        <w:t>es</w:t>
      </w:r>
      <w:r w:rsidR="007B5B43" w:rsidRPr="00174283">
        <w:rPr>
          <w:lang w:val="fr-FR"/>
        </w:rPr>
        <w:t xml:space="preserve"> formation</w:t>
      </w:r>
      <w:r w:rsidR="002C7914" w:rsidRPr="00174283">
        <w:rPr>
          <w:lang w:val="fr-FR"/>
        </w:rPr>
        <w:t>s</w:t>
      </w:r>
      <w:r w:rsidR="007B5B43" w:rsidRPr="00174283">
        <w:rPr>
          <w:lang w:val="fr-FR"/>
        </w:rPr>
        <w:t xml:space="preserve"> se déroule</w:t>
      </w:r>
      <w:r w:rsidR="002C7914" w:rsidRPr="00174283">
        <w:rPr>
          <w:lang w:val="fr-FR"/>
        </w:rPr>
        <w:t>nt</w:t>
      </w:r>
      <w:r w:rsidR="007B5B43" w:rsidRPr="00174283">
        <w:rPr>
          <w:lang w:val="fr-FR"/>
        </w:rPr>
        <w:t xml:space="preserve"> pendant trois mois dans des établissements</w:t>
      </w:r>
      <w:r w:rsidR="005B335A" w:rsidRPr="00174283">
        <w:rPr>
          <w:lang w:val="fr-FR"/>
        </w:rPr>
        <w:t xml:space="preserve"> d</w:t>
      </w:r>
      <w:r w:rsidR="00205A62">
        <w:rPr>
          <w:lang w:val="fr-FR"/>
        </w:rPr>
        <w:t>’</w:t>
      </w:r>
      <w:r w:rsidR="005B335A" w:rsidRPr="00174283">
        <w:rPr>
          <w:lang w:val="fr-FR"/>
        </w:rPr>
        <w:t>enseignement</w:t>
      </w:r>
      <w:r w:rsidR="007B5B43" w:rsidRPr="00174283">
        <w:rPr>
          <w:lang w:val="fr-FR"/>
        </w:rPr>
        <w:t xml:space="preserve"> ou </w:t>
      </w:r>
      <w:r w:rsidR="00E16EF0" w:rsidRPr="00174283">
        <w:rPr>
          <w:lang w:val="fr-FR"/>
        </w:rPr>
        <w:t>d</w:t>
      </w:r>
      <w:r w:rsidR="007B5B43" w:rsidRPr="00174283">
        <w:rPr>
          <w:lang w:val="fr-FR"/>
        </w:rPr>
        <w:t>es agences pour l</w:t>
      </w:r>
      <w:r w:rsidR="00205A62">
        <w:rPr>
          <w:lang w:val="fr-FR"/>
        </w:rPr>
        <w:t>’</w:t>
      </w:r>
      <w:r w:rsidR="007B5B43" w:rsidRPr="00174283">
        <w:rPr>
          <w:lang w:val="fr-FR"/>
        </w:rPr>
        <w:t xml:space="preserve">emploi. </w:t>
      </w:r>
      <w:r w:rsidR="00CD5474" w:rsidRPr="00174283">
        <w:rPr>
          <w:lang w:val="fr-FR"/>
        </w:rPr>
        <w:t>L</w:t>
      </w:r>
      <w:r w:rsidR="007B5B43" w:rsidRPr="00174283">
        <w:rPr>
          <w:lang w:val="fr-FR"/>
        </w:rPr>
        <w:t xml:space="preserve">es candidats </w:t>
      </w:r>
      <w:r w:rsidR="00CD5474" w:rsidRPr="00174283">
        <w:rPr>
          <w:lang w:val="fr-FR"/>
        </w:rPr>
        <w:t>effectuen</w:t>
      </w:r>
      <w:r w:rsidR="007B5B43" w:rsidRPr="00174283">
        <w:rPr>
          <w:lang w:val="fr-FR"/>
        </w:rPr>
        <w:t xml:space="preserve">t </w:t>
      </w:r>
      <w:r w:rsidR="00CD5474" w:rsidRPr="00174283">
        <w:rPr>
          <w:lang w:val="fr-FR"/>
        </w:rPr>
        <w:t xml:space="preserve">ensuite </w:t>
      </w:r>
      <w:r w:rsidR="007B5B43" w:rsidRPr="00174283">
        <w:rPr>
          <w:lang w:val="fr-FR"/>
        </w:rPr>
        <w:t>un stage pratique</w:t>
      </w:r>
      <w:r w:rsidR="00CD5474" w:rsidRPr="00174283">
        <w:rPr>
          <w:lang w:val="fr-FR"/>
        </w:rPr>
        <w:t xml:space="preserve"> </w:t>
      </w:r>
      <w:r w:rsidR="00381272" w:rsidRPr="00174283">
        <w:rPr>
          <w:lang w:val="fr-FR"/>
        </w:rPr>
        <w:t>d</w:t>
      </w:r>
      <w:r w:rsidR="00205A62">
        <w:rPr>
          <w:lang w:val="fr-FR"/>
        </w:rPr>
        <w:t>’</w:t>
      </w:r>
      <w:r w:rsidR="00381272" w:rsidRPr="00174283">
        <w:rPr>
          <w:lang w:val="fr-FR"/>
        </w:rPr>
        <w:t xml:space="preserve">un mois </w:t>
      </w:r>
      <w:r w:rsidR="00CD5474" w:rsidRPr="00174283">
        <w:rPr>
          <w:lang w:val="fr-FR"/>
        </w:rPr>
        <w:t>dans une entreprise</w:t>
      </w:r>
      <w:r w:rsidR="00381272" w:rsidRPr="00174283">
        <w:rPr>
          <w:lang w:val="fr-FR"/>
        </w:rPr>
        <w:t xml:space="preserve">, </w:t>
      </w:r>
      <w:r w:rsidR="007B5B43" w:rsidRPr="00174283">
        <w:rPr>
          <w:lang w:val="fr-FR"/>
        </w:rPr>
        <w:t xml:space="preserve">au terme </w:t>
      </w:r>
      <w:r w:rsidR="00B356D6" w:rsidRPr="00174283">
        <w:rPr>
          <w:lang w:val="fr-FR"/>
        </w:rPr>
        <w:t>duquel</w:t>
      </w:r>
      <w:r w:rsidR="007B5B43" w:rsidRPr="00174283">
        <w:rPr>
          <w:lang w:val="fr-FR"/>
        </w:rPr>
        <w:t xml:space="preserve"> ils </w:t>
      </w:r>
      <w:r w:rsidR="00B356D6" w:rsidRPr="00174283">
        <w:rPr>
          <w:lang w:val="fr-FR"/>
        </w:rPr>
        <w:t>obtiennent</w:t>
      </w:r>
      <w:r w:rsidR="007B5B43" w:rsidRPr="00174283">
        <w:rPr>
          <w:lang w:val="fr-FR"/>
        </w:rPr>
        <w:t xml:space="preserve"> un certificat de fin de stage. </w:t>
      </w:r>
    </w:p>
    <w:p w:rsidR="007516FF" w:rsidRPr="00174283" w:rsidRDefault="009E1A92" w:rsidP="009E1A92">
      <w:pPr>
        <w:pStyle w:val="SingleTxtG"/>
        <w:rPr>
          <w:lang w:val="fr-FR"/>
        </w:rPr>
      </w:pPr>
      <w:r>
        <w:rPr>
          <w:lang w:val="fr-FR"/>
        </w:rPr>
        <w:t>163.</w:t>
      </w:r>
      <w:r>
        <w:rPr>
          <w:lang w:val="fr-FR"/>
        </w:rPr>
        <w:tab/>
      </w:r>
      <w:r w:rsidR="007B5B43" w:rsidRPr="00174283">
        <w:rPr>
          <w:lang w:val="fr-FR"/>
        </w:rPr>
        <w:t xml:space="preserve">Les chômeurs qui réussissent </w:t>
      </w:r>
      <w:r w:rsidR="006B1897" w:rsidRPr="00174283">
        <w:rPr>
          <w:lang w:val="fr-FR"/>
        </w:rPr>
        <w:t>à l</w:t>
      </w:r>
      <w:r w:rsidR="00205A62">
        <w:rPr>
          <w:lang w:val="fr-FR"/>
        </w:rPr>
        <w:t>’</w:t>
      </w:r>
      <w:r w:rsidR="006B1897" w:rsidRPr="00174283">
        <w:rPr>
          <w:lang w:val="fr-FR"/>
        </w:rPr>
        <w:t xml:space="preserve">examen </w:t>
      </w:r>
      <w:r w:rsidR="00CD5474" w:rsidRPr="00174283">
        <w:rPr>
          <w:lang w:val="fr-FR"/>
        </w:rPr>
        <w:t>obtiennent</w:t>
      </w:r>
      <w:r w:rsidR="006B1897" w:rsidRPr="00174283">
        <w:rPr>
          <w:lang w:val="fr-FR"/>
        </w:rPr>
        <w:t xml:space="preserve"> un certificat de qualification professionnelle.</w:t>
      </w:r>
      <w:r w:rsidR="007516FF" w:rsidRPr="00174283">
        <w:rPr>
          <w:lang w:val="fr-FR"/>
        </w:rPr>
        <w:t xml:space="preserve"> </w:t>
      </w:r>
    </w:p>
    <w:p w:rsidR="007516FF" w:rsidRPr="00174283" w:rsidRDefault="009E1A92" w:rsidP="009E1A92">
      <w:pPr>
        <w:pStyle w:val="SingleTxtG"/>
        <w:rPr>
          <w:lang w:val="fr-FR"/>
        </w:rPr>
      </w:pPr>
      <w:r>
        <w:rPr>
          <w:lang w:val="fr-FR"/>
        </w:rPr>
        <w:t>164.</w:t>
      </w:r>
      <w:r>
        <w:rPr>
          <w:lang w:val="fr-FR"/>
        </w:rPr>
        <w:tab/>
      </w:r>
      <w:r w:rsidR="00F37869" w:rsidRPr="00174283">
        <w:rPr>
          <w:lang w:val="fr-FR"/>
        </w:rPr>
        <w:t>Outre l</w:t>
      </w:r>
      <w:r w:rsidR="006B1897" w:rsidRPr="00174283">
        <w:rPr>
          <w:lang w:val="fr-FR"/>
        </w:rPr>
        <w:t>es mesures actives pour l</w:t>
      </w:r>
      <w:r w:rsidR="00205A62">
        <w:rPr>
          <w:lang w:val="fr-FR"/>
        </w:rPr>
        <w:t>’</w:t>
      </w:r>
      <w:r w:rsidR="006B1897" w:rsidRPr="00174283">
        <w:rPr>
          <w:lang w:val="fr-FR"/>
        </w:rPr>
        <w:t>emploi, les centres pour l</w:t>
      </w:r>
      <w:r w:rsidR="00205A62">
        <w:rPr>
          <w:lang w:val="fr-FR"/>
        </w:rPr>
        <w:t>’</w:t>
      </w:r>
      <w:r w:rsidR="006B1897" w:rsidRPr="00174283">
        <w:rPr>
          <w:lang w:val="fr-FR"/>
        </w:rPr>
        <w:t xml:space="preserve">emploi offrent </w:t>
      </w:r>
      <w:r w:rsidR="00525BAA" w:rsidRPr="00174283">
        <w:rPr>
          <w:lang w:val="fr-FR"/>
        </w:rPr>
        <w:t>régulièrement</w:t>
      </w:r>
      <w:r w:rsidR="006B1897" w:rsidRPr="00174283">
        <w:rPr>
          <w:lang w:val="fr-FR"/>
        </w:rPr>
        <w:t xml:space="preserve"> aux chômeurs roms d</w:t>
      </w:r>
      <w:r w:rsidR="00205A62">
        <w:rPr>
          <w:lang w:val="fr-FR"/>
        </w:rPr>
        <w:t>’</w:t>
      </w:r>
      <w:r w:rsidR="006B1897" w:rsidRPr="00174283">
        <w:rPr>
          <w:lang w:val="fr-FR"/>
        </w:rPr>
        <w:t xml:space="preserve">autres </w:t>
      </w:r>
      <w:r w:rsidR="00B356D6" w:rsidRPr="00174283">
        <w:rPr>
          <w:lang w:val="fr-FR"/>
        </w:rPr>
        <w:t>types</w:t>
      </w:r>
      <w:r w:rsidR="006B1897" w:rsidRPr="00174283">
        <w:rPr>
          <w:lang w:val="fr-FR"/>
        </w:rPr>
        <w:t xml:space="preserve"> de services, tels que des services de médiation</w:t>
      </w:r>
      <w:r w:rsidR="007A5987" w:rsidRPr="00174283">
        <w:rPr>
          <w:lang w:val="fr-FR"/>
        </w:rPr>
        <w:t xml:space="preserve"> et</w:t>
      </w:r>
      <w:r w:rsidR="006B1897" w:rsidRPr="00174283">
        <w:rPr>
          <w:lang w:val="fr-FR"/>
        </w:rPr>
        <w:t xml:space="preserve"> des services pour des clubs de travailleurs (information, conseil, différents types de formations), etc. L</w:t>
      </w:r>
      <w:r w:rsidR="00205A62">
        <w:rPr>
          <w:lang w:val="fr-FR"/>
        </w:rPr>
        <w:t>’</w:t>
      </w:r>
      <w:r w:rsidR="006B1897" w:rsidRPr="00174283">
        <w:rPr>
          <w:lang w:val="fr-FR"/>
        </w:rPr>
        <w:t xml:space="preserve">objectif de ces clubs est de promouvoir les initiatives et de développer les capacités des personnes à la recherche </w:t>
      </w:r>
      <w:r w:rsidR="00304C89" w:rsidRPr="00174283">
        <w:rPr>
          <w:lang w:val="fr-FR"/>
        </w:rPr>
        <w:t>d</w:t>
      </w:r>
      <w:r w:rsidR="00205A62">
        <w:rPr>
          <w:lang w:val="fr-FR"/>
        </w:rPr>
        <w:t>’</w:t>
      </w:r>
      <w:r w:rsidR="00304C89" w:rsidRPr="00174283">
        <w:rPr>
          <w:lang w:val="fr-FR"/>
        </w:rPr>
        <w:t xml:space="preserve">un </w:t>
      </w:r>
      <w:r w:rsidR="00B356D6" w:rsidRPr="00174283">
        <w:rPr>
          <w:lang w:val="fr-FR"/>
        </w:rPr>
        <w:t>emploi</w:t>
      </w:r>
      <w:r w:rsidR="00304C89" w:rsidRPr="00174283">
        <w:rPr>
          <w:lang w:val="fr-FR"/>
        </w:rPr>
        <w:t xml:space="preserve"> de sorte qu</w:t>
      </w:r>
      <w:r w:rsidR="00205A62">
        <w:rPr>
          <w:lang w:val="fr-FR"/>
        </w:rPr>
        <w:t>’</w:t>
      </w:r>
      <w:r w:rsidR="00304C89" w:rsidRPr="00174283">
        <w:rPr>
          <w:lang w:val="fr-FR"/>
        </w:rPr>
        <w:t xml:space="preserve">elles puissent intégrer avec succès le marché </w:t>
      </w:r>
      <w:r w:rsidR="007A5987" w:rsidRPr="00174283">
        <w:rPr>
          <w:lang w:val="fr-FR"/>
        </w:rPr>
        <w:t>du travail</w:t>
      </w:r>
      <w:r w:rsidR="00304C89" w:rsidRPr="00174283">
        <w:rPr>
          <w:lang w:val="fr-FR"/>
        </w:rPr>
        <w:t xml:space="preserve"> et rechercher activement un emploi. </w:t>
      </w:r>
    </w:p>
    <w:p w:rsidR="007516FF" w:rsidRPr="00174283" w:rsidRDefault="009E1A92" w:rsidP="009E1A92">
      <w:pPr>
        <w:pStyle w:val="SingleTxtG"/>
        <w:rPr>
          <w:lang w:val="fr-FR"/>
        </w:rPr>
      </w:pPr>
      <w:r>
        <w:rPr>
          <w:lang w:val="fr-FR"/>
        </w:rPr>
        <w:t>165.</w:t>
      </w:r>
      <w:r>
        <w:rPr>
          <w:lang w:val="fr-FR"/>
        </w:rPr>
        <w:tab/>
      </w:r>
      <w:r w:rsidR="00304C89" w:rsidRPr="00174283">
        <w:rPr>
          <w:lang w:val="fr-FR"/>
        </w:rPr>
        <w:t>Les centres pour l</w:t>
      </w:r>
      <w:r w:rsidR="00205A62">
        <w:rPr>
          <w:lang w:val="fr-FR"/>
        </w:rPr>
        <w:t>’</w:t>
      </w:r>
      <w:r w:rsidR="00304C89" w:rsidRPr="00174283">
        <w:rPr>
          <w:lang w:val="fr-FR"/>
        </w:rPr>
        <w:t xml:space="preserve">emploi collaborent avec les employeurs afin de les tenir au courant </w:t>
      </w:r>
      <w:r w:rsidR="009307A4" w:rsidRPr="00174283">
        <w:rPr>
          <w:lang w:val="fr-FR"/>
        </w:rPr>
        <w:t>de l</w:t>
      </w:r>
      <w:r w:rsidR="00205A62">
        <w:rPr>
          <w:lang w:val="fr-FR"/>
        </w:rPr>
        <w:t>’</w:t>
      </w:r>
      <w:r w:rsidR="009307A4" w:rsidRPr="00174283">
        <w:rPr>
          <w:lang w:val="fr-FR"/>
        </w:rPr>
        <w:t>évolution du marché du travail et de la législation du travail ainsi que des possibilités</w:t>
      </w:r>
      <w:r w:rsidR="00325962" w:rsidRPr="00174283">
        <w:rPr>
          <w:lang w:val="fr-FR"/>
        </w:rPr>
        <w:t xml:space="preserve"> en matière de recrutement de chômeurs et des</w:t>
      </w:r>
      <w:r w:rsidR="009307A4" w:rsidRPr="00174283">
        <w:rPr>
          <w:lang w:val="fr-FR"/>
        </w:rPr>
        <w:t xml:space="preserve"> conditions et avantages </w:t>
      </w:r>
      <w:r w:rsidR="00325962" w:rsidRPr="00174283">
        <w:rPr>
          <w:lang w:val="fr-FR"/>
        </w:rPr>
        <w:t>qui s</w:t>
      </w:r>
      <w:r w:rsidR="00205A62">
        <w:rPr>
          <w:lang w:val="fr-FR"/>
        </w:rPr>
        <w:t>’</w:t>
      </w:r>
      <w:r w:rsidR="00325962" w:rsidRPr="00174283">
        <w:rPr>
          <w:lang w:val="fr-FR"/>
        </w:rPr>
        <w:t>y rattachent</w:t>
      </w:r>
      <w:r w:rsidR="009307A4" w:rsidRPr="00174283">
        <w:rPr>
          <w:lang w:val="fr-FR"/>
        </w:rPr>
        <w:t>. Les employeurs ont également accès à des services pour l</w:t>
      </w:r>
      <w:r w:rsidR="00205A62">
        <w:rPr>
          <w:lang w:val="fr-FR"/>
        </w:rPr>
        <w:t>’</w:t>
      </w:r>
      <w:r w:rsidR="009307A4" w:rsidRPr="00174283">
        <w:rPr>
          <w:lang w:val="fr-FR"/>
        </w:rPr>
        <w:t>organisation de formation</w:t>
      </w:r>
      <w:r w:rsidR="00325962" w:rsidRPr="00174283">
        <w:rPr>
          <w:lang w:val="fr-FR"/>
        </w:rPr>
        <w:t xml:space="preserve">s ou </w:t>
      </w:r>
      <w:r w:rsidR="009307A4" w:rsidRPr="00174283">
        <w:rPr>
          <w:lang w:val="fr-FR"/>
        </w:rPr>
        <w:t>de</w:t>
      </w:r>
      <w:r w:rsidR="00325962" w:rsidRPr="00174283">
        <w:rPr>
          <w:lang w:val="fr-FR"/>
        </w:rPr>
        <w:t xml:space="preserve"> stages de</w:t>
      </w:r>
      <w:r w:rsidR="009307A4" w:rsidRPr="00174283">
        <w:rPr>
          <w:lang w:val="fr-FR"/>
        </w:rPr>
        <w:t xml:space="preserve"> reconversion professionnelle </w:t>
      </w:r>
      <w:r w:rsidR="00325962" w:rsidRPr="00174283">
        <w:rPr>
          <w:lang w:val="fr-FR"/>
        </w:rPr>
        <w:t xml:space="preserve">pour </w:t>
      </w:r>
      <w:r w:rsidR="009302D9" w:rsidRPr="00174283">
        <w:rPr>
          <w:lang w:val="fr-FR"/>
        </w:rPr>
        <w:t>les sans-emploi</w:t>
      </w:r>
      <w:r w:rsidR="009307A4" w:rsidRPr="00174283">
        <w:rPr>
          <w:lang w:val="fr-FR"/>
        </w:rPr>
        <w:t xml:space="preserve"> </w:t>
      </w:r>
      <w:r w:rsidR="009302D9" w:rsidRPr="00174283">
        <w:rPr>
          <w:lang w:val="fr-FR"/>
        </w:rPr>
        <w:t xml:space="preserve">adaptés </w:t>
      </w:r>
      <w:r w:rsidR="00102802" w:rsidRPr="00174283">
        <w:rPr>
          <w:lang w:val="fr-FR"/>
        </w:rPr>
        <w:t>à leurs besoins</w:t>
      </w:r>
      <w:r w:rsidR="009307A4" w:rsidRPr="00174283">
        <w:rPr>
          <w:lang w:val="fr-FR"/>
        </w:rPr>
        <w:t>, de même qu</w:t>
      </w:r>
      <w:r w:rsidR="00205A62">
        <w:rPr>
          <w:lang w:val="fr-FR"/>
        </w:rPr>
        <w:t>’</w:t>
      </w:r>
      <w:r w:rsidR="00525BAA" w:rsidRPr="00174283">
        <w:rPr>
          <w:lang w:val="fr-FR"/>
        </w:rPr>
        <w:t>à</w:t>
      </w:r>
      <w:r w:rsidR="009307A4" w:rsidRPr="00174283">
        <w:rPr>
          <w:lang w:val="fr-FR"/>
        </w:rPr>
        <w:t xml:space="preserve"> des services d</w:t>
      </w:r>
      <w:r w:rsidR="00205A62">
        <w:rPr>
          <w:lang w:val="fr-FR"/>
        </w:rPr>
        <w:t>’</w:t>
      </w:r>
      <w:r w:rsidR="009307A4" w:rsidRPr="00174283">
        <w:rPr>
          <w:lang w:val="fr-FR"/>
        </w:rPr>
        <w:t>accès à de la main-d</w:t>
      </w:r>
      <w:r w:rsidR="00205A62">
        <w:rPr>
          <w:lang w:val="fr-FR"/>
        </w:rPr>
        <w:t>’</w:t>
      </w:r>
      <w:r w:rsidR="009307A4" w:rsidRPr="00174283">
        <w:rPr>
          <w:lang w:val="fr-FR"/>
        </w:rPr>
        <w:t xml:space="preserve">œuvre qualifiée, de </w:t>
      </w:r>
      <w:r w:rsidR="00B356D6" w:rsidRPr="00174283">
        <w:rPr>
          <w:lang w:val="fr-FR"/>
        </w:rPr>
        <w:t>médiation</w:t>
      </w:r>
      <w:r w:rsidR="009307A4" w:rsidRPr="00174283">
        <w:rPr>
          <w:lang w:val="fr-FR"/>
        </w:rPr>
        <w:t xml:space="preserve">, etc. </w:t>
      </w:r>
    </w:p>
    <w:p w:rsidR="007516FF" w:rsidRPr="00174283" w:rsidRDefault="009E1A92" w:rsidP="009E1A92">
      <w:pPr>
        <w:pStyle w:val="SingleTxtG"/>
        <w:rPr>
          <w:lang w:val="fr-FR"/>
        </w:rPr>
      </w:pPr>
      <w:r>
        <w:rPr>
          <w:lang w:val="fr-FR"/>
        </w:rPr>
        <w:t>166.</w:t>
      </w:r>
      <w:r>
        <w:rPr>
          <w:lang w:val="fr-FR"/>
        </w:rPr>
        <w:tab/>
      </w:r>
      <w:r w:rsidR="009307A4" w:rsidRPr="00174283">
        <w:rPr>
          <w:lang w:val="fr-FR"/>
        </w:rPr>
        <w:t>L</w:t>
      </w:r>
      <w:r w:rsidR="00205A62">
        <w:rPr>
          <w:lang w:val="fr-FR"/>
        </w:rPr>
        <w:t>’</w:t>
      </w:r>
      <w:r w:rsidR="009307A4" w:rsidRPr="00174283">
        <w:rPr>
          <w:lang w:val="fr-FR"/>
        </w:rPr>
        <w:t>Agence a confié à des agents le soin de coopérer avec les centres d</w:t>
      </w:r>
      <w:r w:rsidR="00205A62">
        <w:rPr>
          <w:lang w:val="fr-FR"/>
        </w:rPr>
        <w:t>’</w:t>
      </w:r>
      <w:r w:rsidR="009307A4" w:rsidRPr="00174283">
        <w:rPr>
          <w:lang w:val="fr-FR"/>
        </w:rPr>
        <w:t xml:space="preserve">information roms dans les centres </w:t>
      </w:r>
      <w:r w:rsidR="00810DB4" w:rsidRPr="00174283">
        <w:rPr>
          <w:lang w:val="fr-FR"/>
        </w:rPr>
        <w:t>pour l</w:t>
      </w:r>
      <w:r w:rsidR="00205A62">
        <w:rPr>
          <w:lang w:val="fr-FR"/>
        </w:rPr>
        <w:t>’</w:t>
      </w:r>
      <w:r w:rsidR="009307A4" w:rsidRPr="00174283">
        <w:rPr>
          <w:lang w:val="fr-FR"/>
        </w:rPr>
        <w:t>emploi de</w:t>
      </w:r>
      <w:r w:rsidR="00810DB4" w:rsidRPr="00174283">
        <w:rPr>
          <w:lang w:val="fr-FR"/>
        </w:rPr>
        <w:t>s</w:t>
      </w:r>
      <w:r w:rsidR="009307A4" w:rsidRPr="00174283">
        <w:rPr>
          <w:lang w:val="fr-FR"/>
        </w:rPr>
        <w:t xml:space="preserve"> villes où de tels centres ont été ouverts. </w:t>
      </w:r>
    </w:p>
    <w:p w:rsidR="007516FF" w:rsidRPr="00174283" w:rsidRDefault="009E1A92" w:rsidP="009E1A92">
      <w:pPr>
        <w:pStyle w:val="SingleTxtG"/>
        <w:rPr>
          <w:lang w:val="fr-FR"/>
        </w:rPr>
      </w:pPr>
      <w:r>
        <w:rPr>
          <w:lang w:val="fr-FR"/>
        </w:rPr>
        <w:t>167.</w:t>
      </w:r>
      <w:r>
        <w:rPr>
          <w:lang w:val="fr-FR"/>
        </w:rPr>
        <w:tab/>
      </w:r>
      <w:r w:rsidR="009307A4" w:rsidRPr="00174283">
        <w:rPr>
          <w:lang w:val="fr-FR"/>
        </w:rPr>
        <w:t>Les activités de l</w:t>
      </w:r>
      <w:r w:rsidR="00205A62">
        <w:rPr>
          <w:lang w:val="fr-FR"/>
        </w:rPr>
        <w:t>’</w:t>
      </w:r>
      <w:r w:rsidR="009307A4" w:rsidRPr="00174283">
        <w:rPr>
          <w:lang w:val="fr-FR"/>
        </w:rPr>
        <w:t>Agence pour l</w:t>
      </w:r>
      <w:r w:rsidR="00205A62">
        <w:rPr>
          <w:lang w:val="fr-FR"/>
        </w:rPr>
        <w:t>’</w:t>
      </w:r>
      <w:r w:rsidR="009307A4" w:rsidRPr="00174283">
        <w:rPr>
          <w:lang w:val="fr-FR"/>
        </w:rPr>
        <w:t xml:space="preserve">emploi qui seront mises en œuvre </w:t>
      </w:r>
      <w:r w:rsidR="009302D9" w:rsidRPr="00174283">
        <w:rPr>
          <w:lang w:val="fr-FR"/>
        </w:rPr>
        <w:t xml:space="preserve">pendant la prochaine période </w:t>
      </w:r>
      <w:r w:rsidR="009307A4" w:rsidRPr="00174283">
        <w:rPr>
          <w:lang w:val="fr-FR"/>
        </w:rPr>
        <w:t xml:space="preserve">dans le cadre des </w:t>
      </w:r>
      <w:r w:rsidR="00810DB4" w:rsidRPr="00174283">
        <w:rPr>
          <w:lang w:val="fr-FR"/>
        </w:rPr>
        <w:t>p</w:t>
      </w:r>
      <w:r w:rsidR="009307A4" w:rsidRPr="00174283">
        <w:rPr>
          <w:lang w:val="fr-FR"/>
        </w:rPr>
        <w:t>lans d</w:t>
      </w:r>
      <w:r w:rsidR="00205A62">
        <w:rPr>
          <w:lang w:val="fr-FR"/>
        </w:rPr>
        <w:t>’</w:t>
      </w:r>
      <w:r w:rsidR="009307A4" w:rsidRPr="00174283">
        <w:rPr>
          <w:lang w:val="fr-FR"/>
        </w:rPr>
        <w:t xml:space="preserve">action et </w:t>
      </w:r>
      <w:r w:rsidR="009302D9" w:rsidRPr="00174283">
        <w:rPr>
          <w:lang w:val="fr-FR"/>
        </w:rPr>
        <w:t xml:space="preserve">des plans </w:t>
      </w:r>
      <w:r w:rsidR="009307A4" w:rsidRPr="00174283">
        <w:rPr>
          <w:lang w:val="fr-FR"/>
        </w:rPr>
        <w:t>opérationnel</w:t>
      </w:r>
      <w:r w:rsidR="009302D9" w:rsidRPr="00174283">
        <w:rPr>
          <w:lang w:val="fr-FR"/>
        </w:rPr>
        <w:t>s</w:t>
      </w:r>
      <w:r w:rsidR="009307A4" w:rsidRPr="00174283">
        <w:rPr>
          <w:lang w:val="fr-FR"/>
        </w:rPr>
        <w:t xml:space="preserve"> </w:t>
      </w:r>
      <w:r w:rsidR="00810DB4" w:rsidRPr="00174283">
        <w:rPr>
          <w:lang w:val="fr-FR"/>
        </w:rPr>
        <w:t>de</w:t>
      </w:r>
      <w:r w:rsidR="009307A4" w:rsidRPr="00174283">
        <w:rPr>
          <w:lang w:val="fr-FR"/>
        </w:rPr>
        <w:t xml:space="preserve"> la </w:t>
      </w:r>
      <w:r w:rsidR="003429EF" w:rsidRPr="00174283">
        <w:rPr>
          <w:lang w:val="fr-FR"/>
        </w:rPr>
        <w:t>D</w:t>
      </w:r>
      <w:r w:rsidR="009307A4" w:rsidRPr="00174283">
        <w:rPr>
          <w:lang w:val="fr-FR"/>
        </w:rPr>
        <w:t xml:space="preserve">écennie </w:t>
      </w:r>
      <w:r w:rsidR="00102DB0" w:rsidRPr="00174283">
        <w:rPr>
          <w:lang w:val="fr-FR"/>
        </w:rPr>
        <w:t xml:space="preserve">pour </w:t>
      </w:r>
      <w:r w:rsidR="009307A4" w:rsidRPr="00174283">
        <w:rPr>
          <w:lang w:val="fr-FR"/>
        </w:rPr>
        <w:t>l</w:t>
      </w:r>
      <w:r w:rsidR="00205A62">
        <w:rPr>
          <w:lang w:val="fr-FR"/>
        </w:rPr>
        <w:t>’</w:t>
      </w:r>
      <w:r w:rsidR="000D0535" w:rsidRPr="00174283">
        <w:rPr>
          <w:lang w:val="fr-FR"/>
        </w:rPr>
        <w:t>intégration</w:t>
      </w:r>
      <w:r w:rsidR="009307A4" w:rsidRPr="00174283">
        <w:rPr>
          <w:lang w:val="fr-FR"/>
        </w:rPr>
        <w:t xml:space="preserve"> des Roms 2005-2015 et </w:t>
      </w:r>
      <w:r w:rsidR="00810DB4" w:rsidRPr="00174283">
        <w:rPr>
          <w:lang w:val="fr-FR"/>
        </w:rPr>
        <w:t xml:space="preserve">de </w:t>
      </w:r>
      <w:r w:rsidR="009307A4" w:rsidRPr="00174283">
        <w:rPr>
          <w:lang w:val="fr-FR"/>
        </w:rPr>
        <w:t xml:space="preserve">la Stratégie </w:t>
      </w:r>
      <w:r w:rsidR="00810DB4" w:rsidRPr="00174283">
        <w:rPr>
          <w:lang w:val="fr-FR"/>
        </w:rPr>
        <w:t>pour les</w:t>
      </w:r>
      <w:r w:rsidR="009307A4" w:rsidRPr="00174283">
        <w:rPr>
          <w:lang w:val="fr-FR"/>
        </w:rPr>
        <w:t xml:space="preserve"> Roms seront </w:t>
      </w:r>
      <w:r w:rsidR="00B356D6" w:rsidRPr="00174283">
        <w:rPr>
          <w:lang w:val="fr-FR"/>
        </w:rPr>
        <w:t>régulièrement</w:t>
      </w:r>
      <w:r w:rsidR="009307A4" w:rsidRPr="00174283">
        <w:rPr>
          <w:lang w:val="fr-FR"/>
        </w:rPr>
        <w:t xml:space="preserve"> adaptées aux besoins et priorités de ce groupe cible. </w:t>
      </w:r>
    </w:p>
    <w:p w:rsidR="007516FF" w:rsidRPr="00174283" w:rsidRDefault="009E1A92" w:rsidP="009E1A92">
      <w:pPr>
        <w:pStyle w:val="SingleTxtG"/>
        <w:rPr>
          <w:lang w:val="fr-FR"/>
        </w:rPr>
      </w:pPr>
      <w:r>
        <w:rPr>
          <w:lang w:val="fr-FR"/>
        </w:rPr>
        <w:t>168.</w:t>
      </w:r>
      <w:r>
        <w:rPr>
          <w:lang w:val="fr-FR"/>
        </w:rPr>
        <w:tab/>
      </w:r>
      <w:r w:rsidR="00810DB4" w:rsidRPr="00174283">
        <w:rPr>
          <w:lang w:val="fr-FR"/>
        </w:rPr>
        <w:t xml:space="preserve">En vertu de </w:t>
      </w:r>
      <w:r w:rsidR="009307A4" w:rsidRPr="00174283">
        <w:rPr>
          <w:lang w:val="fr-FR"/>
        </w:rPr>
        <w:t>la Stratégie nationale pour l</w:t>
      </w:r>
      <w:r w:rsidR="00205A62">
        <w:rPr>
          <w:lang w:val="fr-FR"/>
        </w:rPr>
        <w:t>’</w:t>
      </w:r>
      <w:r w:rsidR="009307A4" w:rsidRPr="00174283">
        <w:rPr>
          <w:lang w:val="fr-FR"/>
        </w:rPr>
        <w:t xml:space="preserve">emploi 2015, les </w:t>
      </w:r>
      <w:r w:rsidR="00B356D6" w:rsidRPr="00174283">
        <w:rPr>
          <w:lang w:val="fr-FR"/>
        </w:rPr>
        <w:t>priorités</w:t>
      </w:r>
      <w:r w:rsidR="009307A4" w:rsidRPr="00174283">
        <w:rPr>
          <w:lang w:val="fr-FR"/>
        </w:rPr>
        <w:t xml:space="preserve"> des politiques du marché du travail </w:t>
      </w:r>
      <w:r w:rsidR="00A305EB" w:rsidRPr="00174283">
        <w:rPr>
          <w:lang w:val="fr-FR"/>
        </w:rPr>
        <w:t>visent à</w:t>
      </w:r>
      <w:r w:rsidR="009307A4" w:rsidRPr="00174283">
        <w:rPr>
          <w:lang w:val="fr-FR"/>
        </w:rPr>
        <w:t xml:space="preserve"> </w:t>
      </w:r>
      <w:r w:rsidR="00B356D6" w:rsidRPr="00174283">
        <w:rPr>
          <w:lang w:val="fr-FR"/>
        </w:rPr>
        <w:t>créer</w:t>
      </w:r>
      <w:r w:rsidR="009307A4" w:rsidRPr="00174283">
        <w:rPr>
          <w:lang w:val="fr-FR"/>
        </w:rPr>
        <w:t xml:space="preserve"> des conditions </w:t>
      </w:r>
      <w:r w:rsidR="00810DB4" w:rsidRPr="00174283">
        <w:rPr>
          <w:lang w:val="fr-FR"/>
        </w:rPr>
        <w:t xml:space="preserve">propices à la promotion de </w:t>
      </w:r>
      <w:r w:rsidR="009307A4" w:rsidRPr="00174283">
        <w:rPr>
          <w:lang w:val="fr-FR"/>
        </w:rPr>
        <w:t>la participation</w:t>
      </w:r>
      <w:r w:rsidR="00867447" w:rsidRPr="00174283">
        <w:rPr>
          <w:lang w:val="fr-FR"/>
        </w:rPr>
        <w:t xml:space="preserve"> et de l</w:t>
      </w:r>
      <w:r w:rsidR="00205A62">
        <w:rPr>
          <w:lang w:val="fr-FR"/>
        </w:rPr>
        <w:t>’</w:t>
      </w:r>
      <w:r w:rsidR="00867447" w:rsidRPr="00174283">
        <w:rPr>
          <w:lang w:val="fr-FR"/>
        </w:rPr>
        <w:t>accès au marché du travail, ainsi qu</w:t>
      </w:r>
      <w:r w:rsidR="00205A62">
        <w:rPr>
          <w:lang w:val="fr-FR"/>
        </w:rPr>
        <w:t>’</w:t>
      </w:r>
      <w:r w:rsidR="00867447" w:rsidRPr="00174283">
        <w:rPr>
          <w:lang w:val="fr-FR"/>
        </w:rPr>
        <w:t xml:space="preserve">à </w:t>
      </w:r>
      <w:r w:rsidR="009307A4" w:rsidRPr="00174283">
        <w:rPr>
          <w:lang w:val="fr-FR"/>
        </w:rPr>
        <w:t>la création d</w:t>
      </w:r>
      <w:r w:rsidR="00205A62">
        <w:rPr>
          <w:lang w:val="fr-FR"/>
        </w:rPr>
        <w:t>’</w:t>
      </w:r>
      <w:r w:rsidR="009307A4" w:rsidRPr="00174283">
        <w:rPr>
          <w:lang w:val="fr-FR"/>
        </w:rPr>
        <w:t>emploi</w:t>
      </w:r>
      <w:r w:rsidR="00F37869" w:rsidRPr="00174283">
        <w:rPr>
          <w:lang w:val="fr-FR"/>
        </w:rPr>
        <w:t>s</w:t>
      </w:r>
      <w:r w:rsidR="00A305EB" w:rsidRPr="00174283">
        <w:rPr>
          <w:lang w:val="fr-FR"/>
        </w:rPr>
        <w:t>.</w:t>
      </w:r>
    </w:p>
    <w:p w:rsidR="007516FF" w:rsidRPr="00174283" w:rsidRDefault="009E1A92" w:rsidP="009E1A92">
      <w:pPr>
        <w:pStyle w:val="SingleTxtG"/>
        <w:rPr>
          <w:lang w:val="fr-FR"/>
        </w:rPr>
      </w:pPr>
      <w:r>
        <w:rPr>
          <w:lang w:val="fr-FR"/>
        </w:rPr>
        <w:t>169.</w:t>
      </w:r>
      <w:r>
        <w:rPr>
          <w:lang w:val="fr-FR"/>
        </w:rPr>
        <w:tab/>
      </w:r>
      <w:r w:rsidR="009307A4" w:rsidRPr="00174283">
        <w:rPr>
          <w:lang w:val="fr-FR"/>
        </w:rPr>
        <w:t>Les projets menés à ce jour en matière d</w:t>
      </w:r>
      <w:r w:rsidR="00205A62">
        <w:rPr>
          <w:lang w:val="fr-FR"/>
        </w:rPr>
        <w:t>’</w:t>
      </w:r>
      <w:r w:rsidR="009307A4" w:rsidRPr="00174283">
        <w:rPr>
          <w:lang w:val="fr-FR"/>
        </w:rPr>
        <w:t>égalité des chances, de non-discrimination et de droits de l</w:t>
      </w:r>
      <w:r w:rsidR="00205A62">
        <w:rPr>
          <w:lang w:val="fr-FR"/>
        </w:rPr>
        <w:t>’</w:t>
      </w:r>
      <w:r w:rsidR="009307A4" w:rsidRPr="00174283">
        <w:rPr>
          <w:lang w:val="fr-FR"/>
        </w:rPr>
        <w:t>homme</w:t>
      </w:r>
      <w:r w:rsidR="00A305EB" w:rsidRPr="00174283">
        <w:rPr>
          <w:lang w:val="fr-FR"/>
        </w:rPr>
        <w:t>, de même que</w:t>
      </w:r>
      <w:r w:rsidR="009307A4" w:rsidRPr="00174283">
        <w:rPr>
          <w:lang w:val="fr-FR"/>
        </w:rPr>
        <w:t xml:space="preserve"> les projets en cours, </w:t>
      </w:r>
      <w:r w:rsidR="00A305EB" w:rsidRPr="00174283">
        <w:rPr>
          <w:lang w:val="fr-FR"/>
        </w:rPr>
        <w:t>comme</w:t>
      </w:r>
      <w:r w:rsidR="009307A4" w:rsidRPr="00174283">
        <w:rPr>
          <w:lang w:val="fr-FR"/>
        </w:rPr>
        <w:t xml:space="preserve"> le pro</w:t>
      </w:r>
      <w:r w:rsidR="000C1739" w:rsidRPr="00174283">
        <w:rPr>
          <w:lang w:val="fr-FR"/>
        </w:rPr>
        <w:t>gramme d</w:t>
      </w:r>
      <w:r w:rsidR="00205A62">
        <w:rPr>
          <w:lang w:val="fr-FR"/>
        </w:rPr>
        <w:t>’</w:t>
      </w:r>
      <w:r w:rsidR="000C1739" w:rsidRPr="00174283">
        <w:rPr>
          <w:lang w:val="fr-FR"/>
        </w:rPr>
        <w:t>aide directe</w:t>
      </w:r>
      <w:r w:rsidR="009307A4" w:rsidRPr="00174283">
        <w:rPr>
          <w:lang w:val="fr-FR"/>
        </w:rPr>
        <w:t xml:space="preserve"> à l</w:t>
      </w:r>
      <w:r w:rsidR="00205A62">
        <w:rPr>
          <w:lang w:val="fr-FR"/>
        </w:rPr>
        <w:t>’</w:t>
      </w:r>
      <w:r w:rsidR="009307A4" w:rsidRPr="00174283">
        <w:rPr>
          <w:lang w:val="fr-FR"/>
        </w:rPr>
        <w:t xml:space="preserve">emploi des jeunes et des </w:t>
      </w:r>
      <w:r w:rsidR="00B356D6" w:rsidRPr="00174283">
        <w:rPr>
          <w:lang w:val="fr-FR"/>
        </w:rPr>
        <w:t>chômeurs</w:t>
      </w:r>
      <w:r w:rsidR="009307A4" w:rsidRPr="00174283">
        <w:rPr>
          <w:lang w:val="fr-FR"/>
        </w:rPr>
        <w:t xml:space="preserve"> de longue durée et des femmes</w:t>
      </w:r>
      <w:r w:rsidR="002F51DC">
        <w:rPr>
          <w:lang w:val="fr-FR"/>
        </w:rPr>
        <w:t xml:space="preserve"> </w:t>
      </w:r>
      <w:r w:rsidR="000C1739" w:rsidRPr="00174283">
        <w:rPr>
          <w:lang w:val="fr-FR"/>
        </w:rPr>
        <w:t>et</w:t>
      </w:r>
      <w:r w:rsidR="009307A4" w:rsidRPr="00174283">
        <w:rPr>
          <w:lang w:val="fr-FR"/>
        </w:rPr>
        <w:t xml:space="preserve"> le</w:t>
      </w:r>
      <w:r w:rsidR="000C1739" w:rsidRPr="00174283">
        <w:rPr>
          <w:lang w:val="fr-FR"/>
        </w:rPr>
        <w:t xml:space="preserve"> projet de</w:t>
      </w:r>
      <w:r w:rsidR="009307A4" w:rsidRPr="00174283">
        <w:rPr>
          <w:lang w:val="fr-FR"/>
        </w:rPr>
        <w:t xml:space="preserve"> programme de subvention</w:t>
      </w:r>
      <w:r w:rsidR="00A305EB" w:rsidRPr="00174283">
        <w:rPr>
          <w:lang w:val="fr-FR"/>
        </w:rPr>
        <w:t>s</w:t>
      </w:r>
      <w:r w:rsidR="00102802" w:rsidRPr="00174283">
        <w:rPr>
          <w:lang w:val="fr-FR"/>
        </w:rPr>
        <w:t xml:space="preserve"> «</w:t>
      </w:r>
      <w:r w:rsidR="00B356D6" w:rsidRPr="00174283">
        <w:rPr>
          <w:lang w:val="fr-FR"/>
        </w:rPr>
        <w:t>Intégration</w:t>
      </w:r>
      <w:r w:rsidR="007516FF" w:rsidRPr="00174283">
        <w:rPr>
          <w:lang w:val="fr-FR"/>
        </w:rPr>
        <w:t xml:space="preserve"> </w:t>
      </w:r>
      <w:r w:rsidR="009307A4" w:rsidRPr="00174283">
        <w:rPr>
          <w:lang w:val="fr-FR"/>
        </w:rPr>
        <w:t xml:space="preserve">des femmes des communautés </w:t>
      </w:r>
      <w:r w:rsidR="00B356D6" w:rsidRPr="00174283">
        <w:rPr>
          <w:lang w:val="fr-FR"/>
        </w:rPr>
        <w:t>ethniques</w:t>
      </w:r>
      <w:r w:rsidR="00102802" w:rsidRPr="00174283">
        <w:rPr>
          <w:lang w:val="fr-FR"/>
        </w:rPr>
        <w:t xml:space="preserve"> sur le marché du travail</w:t>
      </w:r>
      <w:r w:rsidR="009307A4" w:rsidRPr="00174283">
        <w:rPr>
          <w:lang w:val="fr-FR"/>
        </w:rPr>
        <w:t xml:space="preserve">», contribuent à </w:t>
      </w:r>
      <w:r w:rsidR="00966769" w:rsidRPr="00174283">
        <w:rPr>
          <w:lang w:val="fr-FR"/>
        </w:rPr>
        <w:t xml:space="preserve">renforcer les moyens dont disposent les institutions </w:t>
      </w:r>
      <w:r w:rsidR="009307A4" w:rsidRPr="00174283">
        <w:rPr>
          <w:lang w:val="fr-FR"/>
        </w:rPr>
        <w:t xml:space="preserve">et </w:t>
      </w:r>
      <w:r w:rsidR="00966769" w:rsidRPr="00174283">
        <w:rPr>
          <w:lang w:val="fr-FR"/>
        </w:rPr>
        <w:t xml:space="preserve">les capacités </w:t>
      </w:r>
      <w:r w:rsidR="00102802" w:rsidRPr="00174283">
        <w:rPr>
          <w:lang w:val="fr-FR"/>
        </w:rPr>
        <w:t>en matière d</w:t>
      </w:r>
      <w:r w:rsidR="00205A62">
        <w:rPr>
          <w:lang w:val="fr-FR"/>
        </w:rPr>
        <w:t>’</w:t>
      </w:r>
      <w:r w:rsidR="00102802" w:rsidRPr="00174283">
        <w:rPr>
          <w:lang w:val="fr-FR"/>
        </w:rPr>
        <w:t>emploi et à</w:t>
      </w:r>
      <w:r w:rsidR="009307A4" w:rsidRPr="00174283">
        <w:rPr>
          <w:lang w:val="fr-FR"/>
        </w:rPr>
        <w:t xml:space="preserve"> créer un marché du travail diversifié pour mieux préparer le pays à </w:t>
      </w:r>
      <w:r w:rsidR="00B356D6" w:rsidRPr="00174283">
        <w:rPr>
          <w:lang w:val="fr-FR"/>
        </w:rPr>
        <w:t>réaliser</w:t>
      </w:r>
      <w:r w:rsidR="009307A4" w:rsidRPr="00174283">
        <w:rPr>
          <w:lang w:val="fr-FR"/>
        </w:rPr>
        <w:t xml:space="preserve"> les objectifs de la Stratégie européenne pour l</w:t>
      </w:r>
      <w:r w:rsidR="00205A62">
        <w:rPr>
          <w:lang w:val="fr-FR"/>
        </w:rPr>
        <w:t>’</w:t>
      </w:r>
      <w:r w:rsidR="009307A4" w:rsidRPr="00174283">
        <w:rPr>
          <w:lang w:val="fr-FR"/>
        </w:rPr>
        <w:t>emploi et l</w:t>
      </w:r>
      <w:r w:rsidR="00205A62">
        <w:rPr>
          <w:lang w:val="fr-FR"/>
        </w:rPr>
        <w:t>’</w:t>
      </w:r>
      <w:r w:rsidR="000D0535" w:rsidRPr="00174283">
        <w:rPr>
          <w:lang w:val="fr-FR"/>
        </w:rPr>
        <w:t>intégration</w:t>
      </w:r>
      <w:r w:rsidR="009307A4" w:rsidRPr="00174283">
        <w:rPr>
          <w:lang w:val="fr-FR"/>
        </w:rPr>
        <w:t xml:space="preserve"> sociale. </w:t>
      </w:r>
    </w:p>
    <w:p w:rsidR="007516FF" w:rsidRPr="00174283" w:rsidRDefault="009E1A92" w:rsidP="009E1A92">
      <w:pPr>
        <w:pStyle w:val="SingleTxtG"/>
        <w:rPr>
          <w:lang w:val="fr-FR"/>
        </w:rPr>
      </w:pPr>
      <w:r>
        <w:rPr>
          <w:lang w:val="fr-FR"/>
        </w:rPr>
        <w:t>170.</w:t>
      </w:r>
      <w:r>
        <w:rPr>
          <w:lang w:val="fr-FR"/>
        </w:rPr>
        <w:tab/>
      </w:r>
      <w:r w:rsidR="00102802" w:rsidRPr="00174283">
        <w:rPr>
          <w:lang w:val="fr-FR"/>
        </w:rPr>
        <w:t>Le projet «</w:t>
      </w:r>
      <w:r w:rsidR="009307A4" w:rsidRPr="00174283">
        <w:rPr>
          <w:lang w:val="fr-FR"/>
        </w:rPr>
        <w:t>Renforcer les capacités pour l</w:t>
      </w:r>
      <w:r w:rsidR="00205A62">
        <w:rPr>
          <w:lang w:val="fr-FR"/>
        </w:rPr>
        <w:t>’</w:t>
      </w:r>
      <w:r w:rsidR="009307A4" w:rsidRPr="00174283">
        <w:rPr>
          <w:lang w:val="fr-FR"/>
        </w:rPr>
        <w:t xml:space="preserve">intégration des femmes marginalisées sur le marché du travail, et en particulier des femmes issues des communautés ethniques </w:t>
      </w:r>
      <w:r w:rsidR="00F37869" w:rsidRPr="00174283">
        <w:rPr>
          <w:lang w:val="fr-FR"/>
        </w:rPr>
        <w:t>2012</w:t>
      </w:r>
      <w:r w:rsidR="004A336A">
        <w:rPr>
          <w:lang w:val="fr-FR"/>
        </w:rPr>
        <w:t>-</w:t>
      </w:r>
      <w:r w:rsidR="00102802" w:rsidRPr="00174283">
        <w:rPr>
          <w:lang w:val="fr-FR"/>
        </w:rPr>
        <w:t>2013</w:t>
      </w:r>
      <w:r w:rsidR="009307A4" w:rsidRPr="00174283">
        <w:rPr>
          <w:lang w:val="fr-FR"/>
        </w:rPr>
        <w:t xml:space="preserve">» </w:t>
      </w:r>
      <w:r w:rsidR="00346CE3" w:rsidRPr="00174283">
        <w:rPr>
          <w:lang w:val="fr-FR"/>
        </w:rPr>
        <w:t>a pour but d</w:t>
      </w:r>
      <w:r w:rsidR="00205A62">
        <w:rPr>
          <w:lang w:val="fr-FR"/>
        </w:rPr>
        <w:t>’</w:t>
      </w:r>
      <w:r w:rsidR="009307A4" w:rsidRPr="00174283">
        <w:rPr>
          <w:lang w:val="fr-FR"/>
        </w:rPr>
        <w:t xml:space="preserve">améliorer les </w:t>
      </w:r>
      <w:r w:rsidR="00972306" w:rsidRPr="00174283">
        <w:rPr>
          <w:lang w:val="fr-FR"/>
        </w:rPr>
        <w:t>moyens dont disposent les institutions n</w:t>
      </w:r>
      <w:r w:rsidR="009307A4" w:rsidRPr="00174283">
        <w:rPr>
          <w:lang w:val="fr-FR"/>
        </w:rPr>
        <w:t xml:space="preserve">ationales </w:t>
      </w:r>
      <w:r w:rsidR="00972306" w:rsidRPr="00174283">
        <w:rPr>
          <w:lang w:val="fr-FR"/>
        </w:rPr>
        <w:t xml:space="preserve">pour mettre </w:t>
      </w:r>
      <w:r w:rsidR="009307A4" w:rsidRPr="00174283">
        <w:rPr>
          <w:lang w:val="fr-FR"/>
        </w:rPr>
        <w:t xml:space="preserve">en œuvre </w:t>
      </w:r>
      <w:r w:rsidR="00972306" w:rsidRPr="00174283">
        <w:rPr>
          <w:lang w:val="fr-FR"/>
        </w:rPr>
        <w:t xml:space="preserve">et mener </w:t>
      </w:r>
      <w:r w:rsidR="009307A4" w:rsidRPr="00174283">
        <w:rPr>
          <w:lang w:val="fr-FR"/>
        </w:rPr>
        <w:t xml:space="preserve">des politiques </w:t>
      </w:r>
      <w:r w:rsidR="00197CEF" w:rsidRPr="00174283">
        <w:rPr>
          <w:lang w:val="fr-FR"/>
        </w:rPr>
        <w:t>en faveur de</w:t>
      </w:r>
      <w:r w:rsidR="009307A4" w:rsidRPr="00174283">
        <w:rPr>
          <w:lang w:val="fr-FR"/>
        </w:rPr>
        <w:t xml:space="preserve"> l</w:t>
      </w:r>
      <w:r w:rsidR="00205A62">
        <w:rPr>
          <w:lang w:val="fr-FR"/>
        </w:rPr>
        <w:t>’</w:t>
      </w:r>
      <w:r w:rsidR="009307A4" w:rsidRPr="00174283">
        <w:rPr>
          <w:lang w:val="fr-FR"/>
        </w:rPr>
        <w:t xml:space="preserve">emploi et </w:t>
      </w:r>
      <w:r w:rsidR="00197CEF" w:rsidRPr="00174283">
        <w:rPr>
          <w:lang w:val="fr-FR"/>
        </w:rPr>
        <w:t xml:space="preserve">de </w:t>
      </w:r>
      <w:r w:rsidR="009307A4" w:rsidRPr="00174283">
        <w:rPr>
          <w:lang w:val="fr-FR"/>
        </w:rPr>
        <w:t>l</w:t>
      </w:r>
      <w:r w:rsidR="00205A62">
        <w:rPr>
          <w:lang w:val="fr-FR"/>
        </w:rPr>
        <w:t>’</w:t>
      </w:r>
      <w:r w:rsidR="000D0535" w:rsidRPr="00174283">
        <w:rPr>
          <w:lang w:val="fr-FR"/>
        </w:rPr>
        <w:t>intégration</w:t>
      </w:r>
      <w:r w:rsidR="009307A4" w:rsidRPr="00174283">
        <w:rPr>
          <w:lang w:val="fr-FR"/>
        </w:rPr>
        <w:t xml:space="preserve"> sociale et </w:t>
      </w:r>
      <w:r w:rsidR="00346CE3" w:rsidRPr="00174283">
        <w:rPr>
          <w:lang w:val="fr-FR"/>
        </w:rPr>
        <w:t xml:space="preserve">de </w:t>
      </w:r>
      <w:r w:rsidR="00972306" w:rsidRPr="00174283">
        <w:rPr>
          <w:lang w:val="fr-FR"/>
        </w:rPr>
        <w:t>nouer des</w:t>
      </w:r>
      <w:r w:rsidR="009307A4" w:rsidRPr="00174283">
        <w:rPr>
          <w:lang w:val="fr-FR"/>
        </w:rPr>
        <w:t xml:space="preserve"> partenariat</w:t>
      </w:r>
      <w:r w:rsidR="00972306" w:rsidRPr="00174283">
        <w:rPr>
          <w:lang w:val="fr-FR"/>
        </w:rPr>
        <w:t>s</w:t>
      </w:r>
      <w:r w:rsidR="009307A4" w:rsidRPr="00174283">
        <w:rPr>
          <w:lang w:val="fr-FR"/>
        </w:rPr>
        <w:t xml:space="preserve"> efficace</w:t>
      </w:r>
      <w:r w:rsidR="00972306" w:rsidRPr="00174283">
        <w:rPr>
          <w:lang w:val="fr-FR"/>
        </w:rPr>
        <w:t>s</w:t>
      </w:r>
      <w:r w:rsidR="002744FC" w:rsidRPr="00174283">
        <w:rPr>
          <w:lang w:val="fr-FR"/>
        </w:rPr>
        <w:t xml:space="preserve"> avec</w:t>
      </w:r>
      <w:r w:rsidR="009307A4" w:rsidRPr="00174283">
        <w:rPr>
          <w:lang w:val="fr-FR"/>
        </w:rPr>
        <w:t xml:space="preserve"> les institutions et </w:t>
      </w:r>
      <w:r w:rsidR="00B356D6" w:rsidRPr="00174283">
        <w:rPr>
          <w:lang w:val="fr-FR"/>
        </w:rPr>
        <w:t>organisations</w:t>
      </w:r>
      <w:r w:rsidR="009307A4" w:rsidRPr="00174283">
        <w:rPr>
          <w:lang w:val="fr-FR"/>
        </w:rPr>
        <w:t xml:space="preserve"> </w:t>
      </w:r>
      <w:r w:rsidR="00197CEF" w:rsidRPr="00174283">
        <w:rPr>
          <w:lang w:val="fr-FR"/>
        </w:rPr>
        <w:t>aptes à</w:t>
      </w:r>
      <w:r w:rsidR="009307A4" w:rsidRPr="00174283">
        <w:rPr>
          <w:lang w:val="fr-FR"/>
        </w:rPr>
        <w:t xml:space="preserve"> promouvoir l</w:t>
      </w:r>
      <w:r w:rsidR="00205A62">
        <w:rPr>
          <w:lang w:val="fr-FR"/>
        </w:rPr>
        <w:t>’</w:t>
      </w:r>
      <w:r w:rsidR="009307A4" w:rsidRPr="00174283">
        <w:rPr>
          <w:lang w:val="fr-FR"/>
        </w:rPr>
        <w:t xml:space="preserve">intégration des femmes sur le marché du travail et </w:t>
      </w:r>
      <w:r w:rsidR="00346CE3" w:rsidRPr="00174283">
        <w:rPr>
          <w:lang w:val="fr-FR"/>
        </w:rPr>
        <w:t>en particulier</w:t>
      </w:r>
      <w:r w:rsidR="009307A4" w:rsidRPr="00174283">
        <w:rPr>
          <w:lang w:val="fr-FR"/>
        </w:rPr>
        <w:t xml:space="preserve"> les femmes issues des </w:t>
      </w:r>
      <w:r w:rsidR="00B356D6" w:rsidRPr="00174283">
        <w:rPr>
          <w:lang w:val="fr-FR"/>
        </w:rPr>
        <w:t>différentes</w:t>
      </w:r>
      <w:r w:rsidR="009307A4" w:rsidRPr="00174283">
        <w:rPr>
          <w:lang w:val="fr-FR"/>
        </w:rPr>
        <w:t xml:space="preserve"> communautés ethniques. Les activités </w:t>
      </w:r>
      <w:r w:rsidR="00446F12" w:rsidRPr="00174283">
        <w:rPr>
          <w:lang w:val="fr-FR"/>
        </w:rPr>
        <w:t xml:space="preserve">prévues dans le cadre de ce projet visent à améliorer la situation des femmes </w:t>
      </w:r>
      <w:r w:rsidR="00F57556" w:rsidRPr="00174283">
        <w:rPr>
          <w:lang w:val="fr-FR"/>
        </w:rPr>
        <w:t>marginalisées sur le marché du travail grâce à une approche analytique, au développement de</w:t>
      </w:r>
      <w:r w:rsidR="000D0338" w:rsidRPr="00174283">
        <w:rPr>
          <w:lang w:val="fr-FR"/>
        </w:rPr>
        <w:t>s</w:t>
      </w:r>
      <w:r w:rsidR="00F57556" w:rsidRPr="00174283">
        <w:rPr>
          <w:lang w:val="fr-FR"/>
        </w:rPr>
        <w:t xml:space="preserve"> compétences, qualifications et connaissances des </w:t>
      </w:r>
      <w:r w:rsidR="00197CEF" w:rsidRPr="00174283">
        <w:rPr>
          <w:lang w:val="fr-FR"/>
        </w:rPr>
        <w:t>fonctionnaires</w:t>
      </w:r>
      <w:r w:rsidR="00F57556" w:rsidRPr="00174283">
        <w:rPr>
          <w:lang w:val="fr-FR"/>
        </w:rPr>
        <w:t xml:space="preserve"> du Ministère du travail et de la politique sociale</w:t>
      </w:r>
      <w:r w:rsidR="00337788" w:rsidRPr="00174283">
        <w:rPr>
          <w:lang w:val="fr-FR"/>
        </w:rPr>
        <w:t>,</w:t>
      </w:r>
      <w:r w:rsidR="00197CEF" w:rsidRPr="00174283">
        <w:rPr>
          <w:lang w:val="fr-FR"/>
        </w:rPr>
        <w:t xml:space="preserve"> des agents</w:t>
      </w:r>
      <w:r w:rsidR="00F57556" w:rsidRPr="00174283">
        <w:rPr>
          <w:lang w:val="fr-FR"/>
        </w:rPr>
        <w:t xml:space="preserve"> de l</w:t>
      </w:r>
      <w:r w:rsidR="00205A62">
        <w:rPr>
          <w:lang w:val="fr-FR"/>
        </w:rPr>
        <w:t>’</w:t>
      </w:r>
      <w:r w:rsidR="00F57556" w:rsidRPr="00174283">
        <w:rPr>
          <w:lang w:val="fr-FR"/>
        </w:rPr>
        <w:t>Agence pour l</w:t>
      </w:r>
      <w:r w:rsidR="00205A62">
        <w:rPr>
          <w:lang w:val="fr-FR"/>
        </w:rPr>
        <w:t>’</w:t>
      </w:r>
      <w:r w:rsidR="00F57556" w:rsidRPr="00174283">
        <w:rPr>
          <w:lang w:val="fr-FR"/>
        </w:rPr>
        <w:t>emploi et d</w:t>
      </w:r>
      <w:r w:rsidR="00205A62">
        <w:rPr>
          <w:lang w:val="fr-FR"/>
        </w:rPr>
        <w:t>’</w:t>
      </w:r>
      <w:r w:rsidR="00F57556" w:rsidRPr="00174283">
        <w:rPr>
          <w:lang w:val="fr-FR"/>
        </w:rPr>
        <w:t xml:space="preserve">autres institutions et organisations </w:t>
      </w:r>
      <w:r w:rsidR="002744FC" w:rsidRPr="00174283">
        <w:rPr>
          <w:lang w:val="fr-FR"/>
        </w:rPr>
        <w:t>agissant dans le domaine de</w:t>
      </w:r>
      <w:r w:rsidR="00F57556" w:rsidRPr="00174283">
        <w:rPr>
          <w:lang w:val="fr-FR"/>
        </w:rPr>
        <w:t xml:space="preserve"> la protection sociale et aptes à fournir une aide et des services pour</w:t>
      </w:r>
      <w:r w:rsidR="000D0338" w:rsidRPr="00174283">
        <w:rPr>
          <w:lang w:val="fr-FR"/>
        </w:rPr>
        <w:t xml:space="preserve"> </w:t>
      </w:r>
      <w:r w:rsidR="00337788" w:rsidRPr="00174283">
        <w:rPr>
          <w:lang w:val="fr-FR"/>
        </w:rPr>
        <w:t>réaliser les objectifs de ce projet</w:t>
      </w:r>
      <w:r w:rsidR="00197CEF" w:rsidRPr="00174283">
        <w:rPr>
          <w:lang w:val="fr-FR"/>
        </w:rPr>
        <w:t>. Elles ont aussi pour but de</w:t>
      </w:r>
      <w:r w:rsidR="00F57556" w:rsidRPr="00174283">
        <w:rPr>
          <w:lang w:val="fr-FR"/>
        </w:rPr>
        <w:t xml:space="preserve"> </w:t>
      </w:r>
      <w:r w:rsidR="009327E7" w:rsidRPr="00174283">
        <w:rPr>
          <w:lang w:val="fr-FR"/>
        </w:rPr>
        <w:t xml:space="preserve">promouvoir </w:t>
      </w:r>
      <w:r w:rsidR="00F57556" w:rsidRPr="00174283">
        <w:rPr>
          <w:lang w:val="fr-FR"/>
        </w:rPr>
        <w:t xml:space="preserve">la coopération interministérielle, </w:t>
      </w:r>
      <w:r w:rsidR="000D0338" w:rsidRPr="00174283">
        <w:rPr>
          <w:lang w:val="fr-FR"/>
        </w:rPr>
        <w:t>la diffusion des</w:t>
      </w:r>
      <w:r w:rsidR="00F57556" w:rsidRPr="00174283">
        <w:rPr>
          <w:lang w:val="fr-FR"/>
        </w:rPr>
        <w:t xml:space="preserve"> résultats obtenus et </w:t>
      </w:r>
      <w:r w:rsidR="000D0338" w:rsidRPr="00174283">
        <w:rPr>
          <w:lang w:val="fr-FR"/>
        </w:rPr>
        <w:t>l</w:t>
      </w:r>
      <w:r w:rsidR="00205A62">
        <w:rPr>
          <w:lang w:val="fr-FR"/>
        </w:rPr>
        <w:t>’</w:t>
      </w:r>
      <w:r w:rsidR="00F57556" w:rsidRPr="00174283">
        <w:rPr>
          <w:lang w:val="fr-FR"/>
        </w:rPr>
        <w:t xml:space="preserve">adoption de bonnes pratiques </w:t>
      </w:r>
      <w:r w:rsidR="00F55B93" w:rsidRPr="00174283">
        <w:rPr>
          <w:lang w:val="fr-FR"/>
        </w:rPr>
        <w:t>à l</w:t>
      </w:r>
      <w:r w:rsidR="00205A62">
        <w:rPr>
          <w:lang w:val="fr-FR"/>
        </w:rPr>
        <w:t>’</w:t>
      </w:r>
      <w:r w:rsidR="00F55B93" w:rsidRPr="00174283">
        <w:rPr>
          <w:lang w:val="fr-FR"/>
        </w:rPr>
        <w:t xml:space="preserve">échelle nationale </w:t>
      </w:r>
      <w:r w:rsidR="00F57556" w:rsidRPr="00174283">
        <w:rPr>
          <w:lang w:val="fr-FR"/>
        </w:rPr>
        <w:t xml:space="preserve">pour </w:t>
      </w:r>
      <w:r w:rsidR="00337788" w:rsidRPr="00174283">
        <w:rPr>
          <w:lang w:val="fr-FR"/>
        </w:rPr>
        <w:t xml:space="preserve">promouvoir </w:t>
      </w:r>
      <w:r w:rsidR="00F57556" w:rsidRPr="00174283">
        <w:rPr>
          <w:lang w:val="fr-FR"/>
        </w:rPr>
        <w:t>l</w:t>
      </w:r>
      <w:r w:rsidR="00205A62">
        <w:rPr>
          <w:lang w:val="fr-FR"/>
        </w:rPr>
        <w:t>’</w:t>
      </w:r>
      <w:r w:rsidR="00F57556" w:rsidRPr="00174283">
        <w:rPr>
          <w:lang w:val="fr-FR"/>
        </w:rPr>
        <w:t>intégration des femmes de</w:t>
      </w:r>
      <w:r w:rsidR="00F55B93" w:rsidRPr="00174283">
        <w:rPr>
          <w:lang w:val="fr-FR"/>
        </w:rPr>
        <w:t>s</w:t>
      </w:r>
      <w:r w:rsidR="00F57556" w:rsidRPr="00174283">
        <w:rPr>
          <w:lang w:val="fr-FR"/>
        </w:rPr>
        <w:t xml:space="preserve"> différents groupes ethniques. Ce projet et les programmes de formation qui l</w:t>
      </w:r>
      <w:r w:rsidR="00205A62">
        <w:rPr>
          <w:lang w:val="fr-FR"/>
        </w:rPr>
        <w:t>’</w:t>
      </w:r>
      <w:r w:rsidR="00F57556" w:rsidRPr="00174283">
        <w:rPr>
          <w:lang w:val="fr-FR"/>
        </w:rPr>
        <w:t>accompagnent, de même que les méthode</w:t>
      </w:r>
      <w:r w:rsidR="00F37869" w:rsidRPr="00174283">
        <w:rPr>
          <w:lang w:val="fr-FR"/>
        </w:rPr>
        <w:t>s</w:t>
      </w:r>
      <w:r w:rsidR="00F57556" w:rsidRPr="00174283">
        <w:rPr>
          <w:lang w:val="fr-FR"/>
        </w:rPr>
        <w:t xml:space="preserve"> et </w:t>
      </w:r>
      <w:r w:rsidR="008209FC" w:rsidRPr="00174283">
        <w:rPr>
          <w:lang w:val="fr-FR"/>
        </w:rPr>
        <w:t xml:space="preserve">modalités sur lesquelles reposent </w:t>
      </w:r>
      <w:r w:rsidR="00F57556" w:rsidRPr="00174283">
        <w:rPr>
          <w:lang w:val="fr-FR"/>
        </w:rPr>
        <w:t>les partenariats mis en place</w:t>
      </w:r>
      <w:r w:rsidR="00F55B93" w:rsidRPr="00174283">
        <w:rPr>
          <w:lang w:val="fr-FR"/>
        </w:rPr>
        <w:t>,</w:t>
      </w:r>
      <w:r w:rsidR="00F57556" w:rsidRPr="00174283">
        <w:rPr>
          <w:lang w:val="fr-FR"/>
        </w:rPr>
        <w:t xml:space="preserve"> devraient permettre de </w:t>
      </w:r>
      <w:r w:rsidR="00337788" w:rsidRPr="00174283">
        <w:rPr>
          <w:lang w:val="fr-FR"/>
        </w:rPr>
        <w:t>favoriser</w:t>
      </w:r>
      <w:r w:rsidR="008209FC" w:rsidRPr="00174283">
        <w:rPr>
          <w:lang w:val="fr-FR"/>
        </w:rPr>
        <w:t xml:space="preserve"> de manière uniforme </w:t>
      </w:r>
      <w:r w:rsidR="00F57556" w:rsidRPr="00174283">
        <w:rPr>
          <w:lang w:val="fr-FR"/>
        </w:rPr>
        <w:t>l</w:t>
      </w:r>
      <w:r w:rsidR="00205A62">
        <w:rPr>
          <w:lang w:val="fr-FR"/>
        </w:rPr>
        <w:t>’</w:t>
      </w:r>
      <w:r w:rsidR="000D0535" w:rsidRPr="00174283">
        <w:rPr>
          <w:lang w:val="fr-FR"/>
        </w:rPr>
        <w:t>intégration</w:t>
      </w:r>
      <w:r w:rsidR="00F57556" w:rsidRPr="00174283">
        <w:rPr>
          <w:lang w:val="fr-FR"/>
        </w:rPr>
        <w:t xml:space="preserve"> s</w:t>
      </w:r>
      <w:r w:rsidR="008209FC" w:rsidRPr="00174283">
        <w:rPr>
          <w:lang w:val="fr-FR"/>
        </w:rPr>
        <w:t>ociale sur le marché du travail, conformément aux</w:t>
      </w:r>
      <w:r w:rsidR="00F57556" w:rsidRPr="00174283">
        <w:rPr>
          <w:lang w:val="fr-FR"/>
        </w:rPr>
        <w:t xml:space="preserve"> expériences et bonnes pratiques de l</w:t>
      </w:r>
      <w:r w:rsidR="00205A62">
        <w:rPr>
          <w:lang w:val="fr-FR"/>
        </w:rPr>
        <w:t>’</w:t>
      </w:r>
      <w:r w:rsidR="00F57556" w:rsidRPr="00174283">
        <w:rPr>
          <w:lang w:val="fr-FR"/>
        </w:rPr>
        <w:t xml:space="preserve">Union européenne </w:t>
      </w:r>
      <w:r w:rsidR="008209FC" w:rsidRPr="00174283">
        <w:rPr>
          <w:lang w:val="fr-FR"/>
        </w:rPr>
        <w:t>en la matière,</w:t>
      </w:r>
      <w:r w:rsidR="00F57556" w:rsidRPr="00174283">
        <w:rPr>
          <w:lang w:val="fr-FR"/>
        </w:rPr>
        <w:t xml:space="preserve"> et </w:t>
      </w:r>
      <w:r w:rsidR="008209FC" w:rsidRPr="00174283">
        <w:rPr>
          <w:lang w:val="fr-FR"/>
        </w:rPr>
        <w:t>d</w:t>
      </w:r>
      <w:r w:rsidR="00205A62">
        <w:rPr>
          <w:lang w:val="fr-FR"/>
        </w:rPr>
        <w:t>’</w:t>
      </w:r>
      <w:r w:rsidR="00F57556" w:rsidRPr="00174283">
        <w:rPr>
          <w:lang w:val="fr-FR"/>
        </w:rPr>
        <w:t>améliorer la situation</w:t>
      </w:r>
      <w:r w:rsidR="00F55B93" w:rsidRPr="00174283">
        <w:rPr>
          <w:lang w:val="fr-FR"/>
        </w:rPr>
        <w:t xml:space="preserve"> des femmes des différentes communautés ethniques sur le marché du travail, de même que leur compétitivité et leurs</w:t>
      </w:r>
      <w:r w:rsidR="00F57556" w:rsidRPr="00174283">
        <w:rPr>
          <w:lang w:val="fr-FR"/>
        </w:rPr>
        <w:t xml:space="preserve"> possibilités d</w:t>
      </w:r>
      <w:r w:rsidR="00205A62">
        <w:rPr>
          <w:lang w:val="fr-FR"/>
        </w:rPr>
        <w:t>’</w:t>
      </w:r>
      <w:r w:rsidR="00F57556" w:rsidRPr="00174283">
        <w:rPr>
          <w:lang w:val="fr-FR"/>
        </w:rPr>
        <w:t xml:space="preserve">emploi. </w:t>
      </w:r>
    </w:p>
    <w:p w:rsidR="007516FF" w:rsidRPr="00174283" w:rsidRDefault="009E1A92" w:rsidP="009E1A92">
      <w:pPr>
        <w:pStyle w:val="SingleTxtG"/>
        <w:rPr>
          <w:lang w:val="fr-FR"/>
        </w:rPr>
      </w:pPr>
      <w:r>
        <w:rPr>
          <w:lang w:val="fr-FR"/>
        </w:rPr>
        <w:t>171.</w:t>
      </w:r>
      <w:r>
        <w:rPr>
          <w:lang w:val="fr-FR"/>
        </w:rPr>
        <w:tab/>
      </w:r>
      <w:r w:rsidR="00F57556" w:rsidRPr="00174283">
        <w:rPr>
          <w:lang w:val="fr-FR"/>
        </w:rPr>
        <w:t xml:space="preserve">Selon </w:t>
      </w:r>
      <w:r w:rsidR="00B356D6" w:rsidRPr="00174283">
        <w:rPr>
          <w:lang w:val="fr-FR"/>
        </w:rPr>
        <w:t>les données</w:t>
      </w:r>
      <w:r w:rsidR="00F57556" w:rsidRPr="00174283">
        <w:rPr>
          <w:lang w:val="fr-FR"/>
        </w:rPr>
        <w:t xml:space="preserve"> de l</w:t>
      </w:r>
      <w:r w:rsidR="00205A62">
        <w:rPr>
          <w:lang w:val="fr-FR"/>
        </w:rPr>
        <w:t>’</w:t>
      </w:r>
      <w:r w:rsidR="00F57556" w:rsidRPr="00174283">
        <w:rPr>
          <w:lang w:val="fr-FR"/>
        </w:rPr>
        <w:t>Agence pour l</w:t>
      </w:r>
      <w:r w:rsidR="00205A62">
        <w:rPr>
          <w:lang w:val="fr-FR"/>
        </w:rPr>
        <w:t>’</w:t>
      </w:r>
      <w:r w:rsidR="00F57556" w:rsidRPr="00174283">
        <w:rPr>
          <w:lang w:val="fr-FR"/>
        </w:rPr>
        <w:t>emploi, les femmes roms sont régulièrement visées par ces mesures. Ainsi, en 2012, 44 réunions d</w:t>
      </w:r>
      <w:r w:rsidR="00205A62">
        <w:rPr>
          <w:lang w:val="fr-FR"/>
        </w:rPr>
        <w:t>’</w:t>
      </w:r>
      <w:r w:rsidR="00F57556" w:rsidRPr="00174283">
        <w:rPr>
          <w:lang w:val="fr-FR"/>
        </w:rPr>
        <w:t>information ont été organisées sur les mesures en faveur de l</w:t>
      </w:r>
      <w:r w:rsidR="00205A62">
        <w:rPr>
          <w:lang w:val="fr-FR"/>
        </w:rPr>
        <w:t>’</w:t>
      </w:r>
      <w:r w:rsidR="00F57556" w:rsidRPr="00174283">
        <w:rPr>
          <w:lang w:val="fr-FR"/>
        </w:rPr>
        <w:t>emploi dans 10 villes où vit une importante population rom. Soixante ateliers ont également été organisés pour la préparation de plans d</w:t>
      </w:r>
      <w:r w:rsidR="00205A62">
        <w:rPr>
          <w:lang w:val="fr-FR"/>
        </w:rPr>
        <w:t>’</w:t>
      </w:r>
      <w:r w:rsidR="00F57556" w:rsidRPr="00174283">
        <w:rPr>
          <w:lang w:val="fr-FR"/>
        </w:rPr>
        <w:t>activité</w:t>
      </w:r>
      <w:r w:rsidR="007806A3" w:rsidRPr="00174283">
        <w:rPr>
          <w:lang w:val="fr-FR"/>
        </w:rPr>
        <w:t>.</w:t>
      </w:r>
      <w:r w:rsidR="00F57556" w:rsidRPr="00174283">
        <w:rPr>
          <w:lang w:val="fr-FR"/>
        </w:rPr>
        <w:t xml:space="preserve"> Parmi les participants, trois femmes roms ont réussi à </w:t>
      </w:r>
      <w:r w:rsidR="00253E4B" w:rsidRPr="00174283">
        <w:rPr>
          <w:lang w:val="fr-FR"/>
        </w:rPr>
        <w:t>créer une activité</w:t>
      </w:r>
      <w:r w:rsidR="00F57556" w:rsidRPr="00174283">
        <w:rPr>
          <w:lang w:val="fr-FR"/>
        </w:rPr>
        <w:t xml:space="preserve"> et sont devenues travailleurs indépendants. Trente et une femmes roms ont sollicité des crédits d</w:t>
      </w:r>
      <w:r w:rsidR="00205A62">
        <w:rPr>
          <w:lang w:val="fr-FR"/>
        </w:rPr>
        <w:t>’</w:t>
      </w:r>
      <w:r w:rsidR="00F57556" w:rsidRPr="00174283">
        <w:rPr>
          <w:lang w:val="fr-FR"/>
        </w:rPr>
        <w:t xml:space="preserve">auto-entrepreneur et deux </w:t>
      </w:r>
      <w:r w:rsidR="00DD3BF5" w:rsidRPr="00174283">
        <w:rPr>
          <w:lang w:val="fr-FR"/>
        </w:rPr>
        <w:t>d</w:t>
      </w:r>
      <w:r w:rsidR="00205A62">
        <w:rPr>
          <w:lang w:val="fr-FR"/>
        </w:rPr>
        <w:t>’</w:t>
      </w:r>
      <w:r w:rsidR="00DD3BF5" w:rsidRPr="00174283">
        <w:rPr>
          <w:lang w:val="fr-FR"/>
        </w:rPr>
        <w:t xml:space="preserve">entre elles </w:t>
      </w:r>
      <w:r w:rsidR="00F57556" w:rsidRPr="00174283">
        <w:rPr>
          <w:lang w:val="fr-FR"/>
        </w:rPr>
        <w:t xml:space="preserve">en ont obtenu. Six femmes roms et quatre femmes handicapées ont été embauchées dans le cadre du programme de subvention. Par ailleurs, </w:t>
      </w:r>
      <w:r w:rsidR="00DD3BF5" w:rsidRPr="00174283">
        <w:rPr>
          <w:lang w:val="fr-FR"/>
        </w:rPr>
        <w:t>plus de 22 femmes</w:t>
      </w:r>
      <w:r w:rsidR="00F57556" w:rsidRPr="00174283">
        <w:rPr>
          <w:lang w:val="fr-FR"/>
        </w:rPr>
        <w:t xml:space="preserve"> roms ont </w:t>
      </w:r>
      <w:r w:rsidR="00DD3BF5" w:rsidRPr="00174283">
        <w:rPr>
          <w:lang w:val="fr-FR"/>
        </w:rPr>
        <w:t>pris part</w:t>
      </w:r>
      <w:r w:rsidR="00F57556" w:rsidRPr="00174283">
        <w:rPr>
          <w:lang w:val="fr-FR"/>
        </w:rPr>
        <w:t xml:space="preserve"> au programme pour les services publics. </w:t>
      </w:r>
    </w:p>
    <w:p w:rsidR="00F914DB" w:rsidRPr="00174283" w:rsidRDefault="00F914DB" w:rsidP="00F914DB">
      <w:pPr>
        <w:pStyle w:val="H1G"/>
        <w:rPr>
          <w:lang w:val="fr-FR"/>
        </w:rPr>
      </w:pPr>
      <w:r w:rsidRPr="00174283">
        <w:rPr>
          <w:lang w:val="fr-FR"/>
        </w:rPr>
        <w:tab/>
      </w:r>
      <w:r w:rsidRPr="00174283">
        <w:rPr>
          <w:lang w:val="fr-FR"/>
        </w:rPr>
        <w:tab/>
      </w:r>
      <w:r w:rsidR="00B356D6" w:rsidRPr="00174283">
        <w:rPr>
          <w:lang w:val="fr-FR"/>
        </w:rPr>
        <w:t>Réponse aux recommandations figurant au paragraphe 16 des observations finales du Comité</w:t>
      </w:r>
    </w:p>
    <w:p w:rsidR="007516FF" w:rsidRPr="00174283" w:rsidRDefault="009E1A92" w:rsidP="009E1A92">
      <w:pPr>
        <w:pStyle w:val="SingleTxtG"/>
        <w:rPr>
          <w:lang w:val="fr-FR"/>
        </w:rPr>
      </w:pPr>
      <w:r>
        <w:rPr>
          <w:lang w:val="fr-FR"/>
        </w:rPr>
        <w:t>172.</w:t>
      </w:r>
      <w:r>
        <w:rPr>
          <w:lang w:val="fr-FR"/>
        </w:rPr>
        <w:tab/>
      </w:r>
      <w:r w:rsidR="00F57556" w:rsidRPr="00174283">
        <w:rPr>
          <w:lang w:val="fr-FR"/>
        </w:rPr>
        <w:t xml:space="preserve">En </w:t>
      </w:r>
      <w:r w:rsidR="00D41818" w:rsidRPr="00174283">
        <w:rPr>
          <w:lang w:val="fr-FR"/>
        </w:rPr>
        <w:t xml:space="preserve">ce qui concerne le logement, on </w:t>
      </w:r>
      <w:r w:rsidR="00B356D6" w:rsidRPr="00174283">
        <w:rPr>
          <w:lang w:val="fr-FR"/>
        </w:rPr>
        <w:t>considère</w:t>
      </w:r>
      <w:r w:rsidR="00D41818" w:rsidRPr="00174283">
        <w:rPr>
          <w:lang w:val="fr-FR"/>
        </w:rPr>
        <w:t xml:space="preserve"> généralement que les conditions d</w:t>
      </w:r>
      <w:r w:rsidR="00205A62">
        <w:rPr>
          <w:lang w:val="fr-FR"/>
        </w:rPr>
        <w:t>’</w:t>
      </w:r>
      <w:r w:rsidR="00D41818" w:rsidRPr="00174283">
        <w:rPr>
          <w:lang w:val="fr-FR"/>
        </w:rPr>
        <w:t xml:space="preserve">existence des Roms sont très mauvaises, souvent en dessous des normes reconnues en matière de logement décent. Conscient de la situation, le Cabinet du Ministre sans </w:t>
      </w:r>
      <w:r w:rsidR="00B356D6" w:rsidRPr="00174283">
        <w:rPr>
          <w:lang w:val="fr-FR"/>
        </w:rPr>
        <w:t>portefeuille</w:t>
      </w:r>
      <w:r w:rsidR="00D41818" w:rsidRPr="00174283">
        <w:rPr>
          <w:lang w:val="fr-FR"/>
        </w:rPr>
        <w:t xml:space="preserve"> </w:t>
      </w:r>
      <w:r w:rsidR="007516FF" w:rsidRPr="00174283">
        <w:rPr>
          <w:lang w:val="fr-FR"/>
        </w:rPr>
        <w:t xml:space="preserve">Nezdet Mustafa, </w:t>
      </w:r>
      <w:r w:rsidR="00D41818" w:rsidRPr="00174283">
        <w:rPr>
          <w:lang w:val="fr-FR"/>
        </w:rPr>
        <w:t xml:space="preserve">Coordonnateur national de la Décennie </w:t>
      </w:r>
      <w:r w:rsidR="00102DB0" w:rsidRPr="00174283">
        <w:rPr>
          <w:lang w:val="fr-FR"/>
        </w:rPr>
        <w:t>pour l</w:t>
      </w:r>
      <w:r w:rsidR="00205A62">
        <w:rPr>
          <w:lang w:val="fr-FR"/>
        </w:rPr>
        <w:t>’</w:t>
      </w:r>
      <w:r w:rsidR="000D0535" w:rsidRPr="00174283">
        <w:rPr>
          <w:lang w:val="fr-FR"/>
        </w:rPr>
        <w:t>intégration</w:t>
      </w:r>
      <w:r w:rsidR="00102DB0" w:rsidRPr="00174283">
        <w:rPr>
          <w:lang w:val="fr-FR"/>
        </w:rPr>
        <w:t xml:space="preserve"> des Roms </w:t>
      </w:r>
      <w:r w:rsidR="00D41818" w:rsidRPr="00174283">
        <w:rPr>
          <w:lang w:val="fr-FR"/>
        </w:rPr>
        <w:t>et de la Stratégie pour les Roms, a signé en 2010 des mémorandums de coopération avec 19 municipalités afin d</w:t>
      </w:r>
      <w:r w:rsidR="00205A62">
        <w:rPr>
          <w:lang w:val="fr-FR"/>
        </w:rPr>
        <w:t>’</w:t>
      </w:r>
      <w:r w:rsidR="00D41818" w:rsidRPr="00174283">
        <w:rPr>
          <w:lang w:val="fr-FR"/>
        </w:rPr>
        <w:t>apporter des solutions aux problèmes des Roms et de mobiliser des ressources budgétaires pour financer certaines activités en</w:t>
      </w:r>
      <w:r w:rsidR="00103770" w:rsidRPr="00174283">
        <w:rPr>
          <w:lang w:val="fr-FR"/>
        </w:rPr>
        <w:t xml:space="preserve"> leur</w:t>
      </w:r>
      <w:r w:rsidR="00D41818" w:rsidRPr="00174283">
        <w:rPr>
          <w:lang w:val="fr-FR"/>
        </w:rPr>
        <w:t xml:space="preserve"> faveur au niveau local. </w:t>
      </w:r>
    </w:p>
    <w:p w:rsidR="003429EF" w:rsidRPr="00174283" w:rsidRDefault="009E1A92" w:rsidP="009E1A92">
      <w:pPr>
        <w:pStyle w:val="SingleTxtG"/>
        <w:rPr>
          <w:lang w:val="fr-FR"/>
        </w:rPr>
      </w:pPr>
      <w:r>
        <w:rPr>
          <w:lang w:val="fr-FR"/>
        </w:rPr>
        <w:t>173.</w:t>
      </w:r>
      <w:r>
        <w:rPr>
          <w:lang w:val="fr-FR"/>
        </w:rPr>
        <w:tab/>
      </w:r>
      <w:r w:rsidR="00D41818" w:rsidRPr="00174283">
        <w:rPr>
          <w:lang w:val="fr-FR"/>
        </w:rPr>
        <w:t xml:space="preserve">Suite à la conclusion de ces mémorandums de </w:t>
      </w:r>
      <w:r w:rsidR="00B356D6" w:rsidRPr="00174283">
        <w:rPr>
          <w:lang w:val="fr-FR"/>
        </w:rPr>
        <w:t>coopération</w:t>
      </w:r>
      <w:r w:rsidR="00D41818" w:rsidRPr="00174283">
        <w:rPr>
          <w:lang w:val="fr-FR"/>
        </w:rPr>
        <w:t>, un montant de 10 986 000 </w:t>
      </w:r>
      <w:r w:rsidR="00CE0D09" w:rsidRPr="00174283">
        <w:rPr>
          <w:lang w:val="fr-FR"/>
        </w:rPr>
        <w:t>dinars</w:t>
      </w:r>
      <w:r w:rsidR="00D41818" w:rsidRPr="00174283">
        <w:rPr>
          <w:lang w:val="fr-FR"/>
        </w:rPr>
        <w:t xml:space="preserve"> macédoniens a été alloué sur le Budget 2011</w:t>
      </w:r>
      <w:r w:rsidR="00115E46" w:rsidRPr="00174283">
        <w:rPr>
          <w:lang w:val="fr-FR"/>
        </w:rPr>
        <w:t xml:space="preserve"> de la République de Macédoine (</w:t>
      </w:r>
      <w:r w:rsidR="00115E46" w:rsidRPr="006C4B2D">
        <w:rPr>
          <w:i/>
          <w:iCs/>
          <w:lang w:val="fr-FR"/>
        </w:rPr>
        <w:t>Journal officiel de la République de Macédoine</w:t>
      </w:r>
      <w:r w:rsidR="00115E46" w:rsidRPr="00174283">
        <w:rPr>
          <w:lang w:val="fr-FR"/>
        </w:rPr>
        <w:t xml:space="preserve"> n</w:t>
      </w:r>
      <w:r w:rsidR="00115E46" w:rsidRPr="00174283">
        <w:rPr>
          <w:vertAlign w:val="superscript"/>
          <w:lang w:val="fr-FR"/>
        </w:rPr>
        <w:t>o</w:t>
      </w:r>
      <w:r w:rsidR="00115E46" w:rsidRPr="00174283">
        <w:rPr>
          <w:lang w:val="fr-FR"/>
        </w:rPr>
        <w:t> 161/2010)</w:t>
      </w:r>
      <w:r w:rsidR="00D41818" w:rsidRPr="00174283">
        <w:rPr>
          <w:lang w:val="fr-FR"/>
        </w:rPr>
        <w:t xml:space="preserve"> au titre de la mise en œuvre de projets relevant de la Décennie</w:t>
      </w:r>
      <w:r w:rsidR="00102DB0" w:rsidRPr="00174283">
        <w:rPr>
          <w:lang w:val="fr-FR"/>
        </w:rPr>
        <w:t xml:space="preserve"> pour l</w:t>
      </w:r>
      <w:r w:rsidR="00205A62">
        <w:rPr>
          <w:lang w:val="fr-FR"/>
        </w:rPr>
        <w:t>’</w:t>
      </w:r>
      <w:r w:rsidR="000D0535" w:rsidRPr="00174283">
        <w:rPr>
          <w:lang w:val="fr-FR"/>
        </w:rPr>
        <w:t>intégration</w:t>
      </w:r>
      <w:r w:rsidR="00102DB0" w:rsidRPr="00174283">
        <w:rPr>
          <w:lang w:val="fr-FR"/>
        </w:rPr>
        <w:t xml:space="preserve"> des Roms</w:t>
      </w:r>
      <w:r w:rsidR="007C02E7" w:rsidRPr="00174283">
        <w:rPr>
          <w:lang w:val="fr-FR"/>
        </w:rPr>
        <w:t>,</w:t>
      </w:r>
      <w:r w:rsidR="00D41818" w:rsidRPr="00174283">
        <w:rPr>
          <w:lang w:val="fr-FR"/>
        </w:rPr>
        <w:t xml:space="preserve"> de la Stratégie pour les Roms et du Plan d</w:t>
      </w:r>
      <w:r w:rsidR="00205A62">
        <w:rPr>
          <w:lang w:val="fr-FR"/>
        </w:rPr>
        <w:t>’</w:t>
      </w:r>
      <w:r w:rsidR="00D41818" w:rsidRPr="00174283">
        <w:rPr>
          <w:lang w:val="fr-FR"/>
        </w:rPr>
        <w:t xml:space="preserve">action pour le </w:t>
      </w:r>
      <w:r w:rsidR="00B356D6" w:rsidRPr="00174283">
        <w:rPr>
          <w:lang w:val="fr-FR"/>
        </w:rPr>
        <w:t>logement</w:t>
      </w:r>
      <w:r w:rsidR="00D41818" w:rsidRPr="00174283">
        <w:rPr>
          <w:lang w:val="fr-FR"/>
        </w:rPr>
        <w:t xml:space="preserve"> [</w:t>
      </w:r>
      <w:r w:rsidR="007516FF" w:rsidRPr="00174283">
        <w:rPr>
          <w:lang w:val="fr-FR"/>
        </w:rPr>
        <w:t>Section 130.01 (</w:t>
      </w:r>
      <w:r w:rsidR="00D41818" w:rsidRPr="00174283">
        <w:rPr>
          <w:lang w:val="fr-FR"/>
        </w:rPr>
        <w:t>Ministère des transports et de la communication), p</w:t>
      </w:r>
      <w:r w:rsidR="007516FF" w:rsidRPr="00174283">
        <w:rPr>
          <w:lang w:val="fr-FR"/>
        </w:rPr>
        <w:t>rogram</w:t>
      </w:r>
      <w:r w:rsidR="00D41818" w:rsidRPr="00174283">
        <w:rPr>
          <w:lang w:val="fr-FR"/>
        </w:rPr>
        <w:t>me </w:t>
      </w:r>
      <w:r w:rsidR="007516FF" w:rsidRPr="00174283">
        <w:rPr>
          <w:lang w:val="fr-FR"/>
        </w:rPr>
        <w:t xml:space="preserve">1 (Administration), </w:t>
      </w:r>
      <w:r w:rsidR="00D41818" w:rsidRPr="00174283">
        <w:rPr>
          <w:lang w:val="fr-FR"/>
        </w:rPr>
        <w:t>sous-programme</w:t>
      </w:r>
      <w:r w:rsidR="007516FF" w:rsidRPr="00174283">
        <w:rPr>
          <w:lang w:val="fr-FR"/>
        </w:rPr>
        <w:t xml:space="preserve"> 11 (</w:t>
      </w:r>
      <w:r w:rsidR="00D41818" w:rsidRPr="00174283">
        <w:rPr>
          <w:lang w:val="fr-FR"/>
        </w:rPr>
        <w:t xml:space="preserve">Aide à la mise en œuvre de la Décennie et de la </w:t>
      </w:r>
      <w:r w:rsidR="007D2E3D" w:rsidRPr="00174283">
        <w:rPr>
          <w:lang w:val="fr-FR"/>
        </w:rPr>
        <w:t>Stratégie pour l</w:t>
      </w:r>
      <w:r w:rsidR="00205A62">
        <w:rPr>
          <w:lang w:val="fr-FR"/>
        </w:rPr>
        <w:t>’</w:t>
      </w:r>
      <w:r w:rsidR="000D0535" w:rsidRPr="00174283">
        <w:rPr>
          <w:lang w:val="fr-FR"/>
        </w:rPr>
        <w:t>intégration</w:t>
      </w:r>
      <w:r w:rsidR="00102DB0" w:rsidRPr="00174283">
        <w:rPr>
          <w:lang w:val="fr-FR"/>
        </w:rPr>
        <w:t xml:space="preserve"> d</w:t>
      </w:r>
      <w:r w:rsidR="007D2E3D" w:rsidRPr="00174283">
        <w:rPr>
          <w:lang w:val="fr-FR"/>
        </w:rPr>
        <w:t xml:space="preserve">es Roms), poste </w:t>
      </w:r>
      <w:r w:rsidR="007516FF" w:rsidRPr="00174283">
        <w:rPr>
          <w:lang w:val="fr-FR"/>
        </w:rPr>
        <w:t>488 (</w:t>
      </w:r>
      <w:r w:rsidR="00D41818" w:rsidRPr="00174283">
        <w:rPr>
          <w:lang w:val="fr-FR"/>
        </w:rPr>
        <w:t xml:space="preserve">Investissements pour les collectivités autonomes locales), sous-poste </w:t>
      </w:r>
      <w:r w:rsidR="007516FF" w:rsidRPr="00174283">
        <w:rPr>
          <w:lang w:val="fr-FR"/>
        </w:rPr>
        <w:t>488190-11 (</w:t>
      </w:r>
      <w:r w:rsidR="00D41818" w:rsidRPr="00174283">
        <w:rPr>
          <w:lang w:val="fr-FR"/>
        </w:rPr>
        <w:t>Autres investissements</w:t>
      </w:r>
      <w:r w:rsidR="007516FF" w:rsidRPr="00174283">
        <w:rPr>
          <w:lang w:val="fr-FR"/>
        </w:rPr>
        <w:t>)</w:t>
      </w:r>
      <w:r w:rsidR="007D2E3D" w:rsidRPr="00174283">
        <w:rPr>
          <w:lang w:val="fr-FR"/>
        </w:rPr>
        <w:t>]</w:t>
      </w:r>
      <w:r w:rsidR="00D41818" w:rsidRPr="00174283">
        <w:rPr>
          <w:lang w:val="fr-FR"/>
        </w:rPr>
        <w:t>. Divers projets ont ainsi été mis en œuvre</w:t>
      </w:r>
      <w:r w:rsidR="002F51DC">
        <w:rPr>
          <w:lang w:val="fr-FR"/>
        </w:rPr>
        <w:t>:</w:t>
      </w:r>
    </w:p>
    <w:p w:rsidR="00366919" w:rsidRPr="00174283" w:rsidRDefault="001877DC" w:rsidP="001877DC">
      <w:pPr>
        <w:pStyle w:val="SingleTxtG"/>
        <w:ind w:left="1701"/>
        <w:rPr>
          <w:lang w:val="fr-FR"/>
        </w:rPr>
      </w:pPr>
      <w:r w:rsidRPr="00174283">
        <w:rPr>
          <w:lang w:val="fr-FR"/>
        </w:rPr>
        <w:t>1.</w:t>
      </w:r>
      <w:r w:rsidR="003429EF" w:rsidRPr="00174283">
        <w:rPr>
          <w:lang w:val="fr-FR"/>
        </w:rPr>
        <w:tab/>
        <w:t xml:space="preserve">Municipalité de </w:t>
      </w:r>
      <w:r w:rsidR="00366919" w:rsidRPr="00174283">
        <w:rPr>
          <w:lang w:val="fr-FR"/>
        </w:rPr>
        <w:t>Bitola</w:t>
      </w:r>
      <w:r w:rsidR="002F51DC">
        <w:rPr>
          <w:lang w:val="fr-FR"/>
        </w:rPr>
        <w:t>:</w:t>
      </w:r>
      <w:r w:rsidR="00366919" w:rsidRPr="00174283">
        <w:rPr>
          <w:lang w:val="fr-FR"/>
        </w:rPr>
        <w:t xml:space="preserve"> 2</w:t>
      </w:r>
      <w:r w:rsidR="003429EF" w:rsidRPr="00174283">
        <w:rPr>
          <w:lang w:val="fr-FR"/>
        </w:rPr>
        <w:t> </w:t>
      </w:r>
      <w:r w:rsidR="00366919" w:rsidRPr="00174283">
        <w:rPr>
          <w:lang w:val="fr-FR"/>
        </w:rPr>
        <w:t>086</w:t>
      </w:r>
      <w:r w:rsidR="003429EF" w:rsidRPr="00174283">
        <w:rPr>
          <w:lang w:val="fr-FR"/>
        </w:rPr>
        <w:t> </w:t>
      </w:r>
      <w:r w:rsidR="00366919" w:rsidRPr="00174283">
        <w:rPr>
          <w:lang w:val="fr-FR"/>
        </w:rPr>
        <w:t>000</w:t>
      </w:r>
      <w:r w:rsidR="003429EF" w:rsidRPr="00174283">
        <w:rPr>
          <w:lang w:val="fr-FR"/>
        </w:rPr>
        <w:t xml:space="preserve"> </w:t>
      </w:r>
      <w:r w:rsidR="00CE0D09" w:rsidRPr="00174283">
        <w:rPr>
          <w:lang w:val="fr-FR"/>
        </w:rPr>
        <w:t>dinars</w:t>
      </w:r>
      <w:r w:rsidR="00366919" w:rsidRPr="00174283">
        <w:rPr>
          <w:lang w:val="fr-FR"/>
        </w:rPr>
        <w:t xml:space="preserve"> </w:t>
      </w:r>
      <w:r w:rsidR="003429EF" w:rsidRPr="00174283">
        <w:rPr>
          <w:lang w:val="fr-FR"/>
        </w:rPr>
        <w:t xml:space="preserve">macédoniens pour le projet de </w:t>
      </w:r>
      <w:r w:rsidR="00ED1794" w:rsidRPr="00174283">
        <w:rPr>
          <w:lang w:val="fr-FR"/>
        </w:rPr>
        <w:t>réfection</w:t>
      </w:r>
      <w:r w:rsidR="003429EF" w:rsidRPr="00174283">
        <w:rPr>
          <w:lang w:val="fr-FR"/>
        </w:rPr>
        <w:t xml:space="preserve"> de la chaussée</w:t>
      </w:r>
      <w:r w:rsidR="004C66D1" w:rsidRPr="00174283">
        <w:rPr>
          <w:lang w:val="fr-FR"/>
        </w:rPr>
        <w:t xml:space="preserve"> des</w:t>
      </w:r>
      <w:r w:rsidR="00366919" w:rsidRPr="00174283">
        <w:rPr>
          <w:lang w:val="fr-FR"/>
        </w:rPr>
        <w:t xml:space="preserve"> </w:t>
      </w:r>
      <w:r w:rsidR="003429EF" w:rsidRPr="00174283">
        <w:rPr>
          <w:lang w:val="fr-FR"/>
        </w:rPr>
        <w:t>s</w:t>
      </w:r>
      <w:r w:rsidR="00366919" w:rsidRPr="00174283">
        <w:rPr>
          <w:lang w:val="fr-FR"/>
        </w:rPr>
        <w:t>ections 1, 2, 3</w:t>
      </w:r>
      <w:r w:rsidR="004C66D1" w:rsidRPr="00174283">
        <w:rPr>
          <w:lang w:val="fr-FR"/>
        </w:rPr>
        <w:t xml:space="preserve"> de la rue Ljubojno,</w:t>
      </w:r>
      <w:r w:rsidR="003429EF" w:rsidRPr="00174283">
        <w:rPr>
          <w:lang w:val="fr-FR"/>
        </w:rPr>
        <w:t xml:space="preserve"> localité de </w:t>
      </w:r>
      <w:r w:rsidR="00366919" w:rsidRPr="00174283">
        <w:rPr>
          <w:lang w:val="fr-FR"/>
        </w:rPr>
        <w:t xml:space="preserve">Bair; </w:t>
      </w:r>
    </w:p>
    <w:p w:rsidR="00366919" w:rsidRPr="00174283" w:rsidRDefault="001877DC" w:rsidP="001877DC">
      <w:pPr>
        <w:pStyle w:val="SingleTxtG"/>
        <w:ind w:left="1701"/>
        <w:rPr>
          <w:lang w:val="fr-FR"/>
        </w:rPr>
      </w:pPr>
      <w:r w:rsidRPr="00174283">
        <w:rPr>
          <w:lang w:val="fr-FR"/>
        </w:rPr>
        <w:t>2.</w:t>
      </w:r>
      <w:r w:rsidR="003429EF" w:rsidRPr="00174283">
        <w:rPr>
          <w:lang w:val="fr-FR"/>
        </w:rPr>
        <w:tab/>
        <w:t xml:space="preserve">Municipalité de </w:t>
      </w:r>
      <w:r w:rsidR="00366919" w:rsidRPr="00174283">
        <w:rPr>
          <w:lang w:val="fr-FR"/>
        </w:rPr>
        <w:t>Cair</w:t>
      </w:r>
      <w:r w:rsidR="002F51DC">
        <w:rPr>
          <w:lang w:val="fr-FR"/>
        </w:rPr>
        <w:t>:</w:t>
      </w:r>
      <w:r w:rsidR="00366919" w:rsidRPr="00174283">
        <w:rPr>
          <w:lang w:val="fr-FR"/>
        </w:rPr>
        <w:t xml:space="preserve"> 1</w:t>
      </w:r>
      <w:r w:rsidR="003429EF" w:rsidRPr="00174283">
        <w:rPr>
          <w:lang w:val="fr-FR"/>
        </w:rPr>
        <w:t> </w:t>
      </w:r>
      <w:r w:rsidR="00366919" w:rsidRPr="00174283">
        <w:rPr>
          <w:lang w:val="fr-FR"/>
        </w:rPr>
        <w:t>700</w:t>
      </w:r>
      <w:r w:rsidR="003429EF" w:rsidRPr="00174283">
        <w:rPr>
          <w:lang w:val="fr-FR"/>
        </w:rPr>
        <w:t xml:space="preserve"> 000 </w:t>
      </w:r>
      <w:r w:rsidR="00CE0D09" w:rsidRPr="00174283">
        <w:rPr>
          <w:lang w:val="fr-FR"/>
        </w:rPr>
        <w:t>dinars</w:t>
      </w:r>
      <w:r w:rsidR="00366919" w:rsidRPr="00174283">
        <w:rPr>
          <w:lang w:val="fr-FR"/>
        </w:rPr>
        <w:t xml:space="preserve"> </w:t>
      </w:r>
      <w:r w:rsidR="003429EF" w:rsidRPr="00174283">
        <w:rPr>
          <w:lang w:val="fr-FR"/>
        </w:rPr>
        <w:t>macédoniens pour la r</w:t>
      </w:r>
      <w:r w:rsidR="00ED1794" w:rsidRPr="00174283">
        <w:rPr>
          <w:lang w:val="fr-FR"/>
        </w:rPr>
        <w:t xml:space="preserve">éfection </w:t>
      </w:r>
      <w:r w:rsidR="003429EF" w:rsidRPr="00174283">
        <w:rPr>
          <w:lang w:val="fr-FR"/>
        </w:rPr>
        <w:t xml:space="preserve">des rues </w:t>
      </w:r>
      <w:r w:rsidR="00366919" w:rsidRPr="00174283">
        <w:rPr>
          <w:lang w:val="fr-FR"/>
        </w:rPr>
        <w:t xml:space="preserve">376/1 </w:t>
      </w:r>
      <w:r w:rsidR="003429EF" w:rsidRPr="00174283">
        <w:rPr>
          <w:lang w:val="fr-FR"/>
        </w:rPr>
        <w:t>et</w:t>
      </w:r>
      <w:r w:rsidR="00366919" w:rsidRPr="00174283">
        <w:rPr>
          <w:lang w:val="fr-FR"/>
        </w:rPr>
        <w:t xml:space="preserve"> 376/2 </w:t>
      </w:r>
      <w:r w:rsidR="003429EF" w:rsidRPr="00174283">
        <w:rPr>
          <w:lang w:val="fr-FR"/>
        </w:rPr>
        <w:t>de la localité de</w:t>
      </w:r>
      <w:r w:rsidR="00366919" w:rsidRPr="00174283">
        <w:rPr>
          <w:lang w:val="fr-FR"/>
        </w:rPr>
        <w:t xml:space="preserve"> Stara Topana; </w:t>
      </w:r>
    </w:p>
    <w:p w:rsidR="00366919" w:rsidRPr="00174283" w:rsidRDefault="001877DC" w:rsidP="001877DC">
      <w:pPr>
        <w:pStyle w:val="SingleTxtG"/>
        <w:ind w:left="1701"/>
        <w:rPr>
          <w:lang w:val="fr-FR"/>
        </w:rPr>
      </w:pPr>
      <w:r w:rsidRPr="00174283">
        <w:rPr>
          <w:lang w:val="fr-FR"/>
        </w:rPr>
        <w:t>3.</w:t>
      </w:r>
      <w:r w:rsidR="003429EF" w:rsidRPr="00174283">
        <w:rPr>
          <w:lang w:val="fr-FR"/>
        </w:rPr>
        <w:tab/>
        <w:t>Municipalité de</w:t>
      </w:r>
      <w:r w:rsidR="00366919" w:rsidRPr="00174283">
        <w:rPr>
          <w:lang w:val="fr-FR"/>
        </w:rPr>
        <w:t xml:space="preserve"> Gazi Baba</w:t>
      </w:r>
      <w:r w:rsidR="002F51DC">
        <w:rPr>
          <w:lang w:val="fr-FR"/>
        </w:rPr>
        <w:t>:</w:t>
      </w:r>
      <w:r w:rsidR="00366919" w:rsidRPr="00174283">
        <w:rPr>
          <w:lang w:val="fr-FR"/>
        </w:rPr>
        <w:t xml:space="preserve"> </w:t>
      </w:r>
      <w:r w:rsidR="003429EF" w:rsidRPr="00174283">
        <w:rPr>
          <w:lang w:val="fr-FR"/>
        </w:rPr>
        <w:t>1 </w:t>
      </w:r>
      <w:r w:rsidR="00366919" w:rsidRPr="00174283">
        <w:rPr>
          <w:lang w:val="fr-FR"/>
        </w:rPr>
        <w:t>500</w:t>
      </w:r>
      <w:r w:rsidR="003429EF" w:rsidRPr="00174283">
        <w:rPr>
          <w:lang w:val="fr-FR"/>
        </w:rPr>
        <w:t xml:space="preserve"> 000 </w:t>
      </w:r>
      <w:r w:rsidR="00CE0D09" w:rsidRPr="00174283">
        <w:rPr>
          <w:lang w:val="fr-FR"/>
        </w:rPr>
        <w:t>dinars</w:t>
      </w:r>
      <w:r w:rsidR="00366919" w:rsidRPr="00174283">
        <w:rPr>
          <w:lang w:val="fr-FR"/>
        </w:rPr>
        <w:t xml:space="preserve"> </w:t>
      </w:r>
      <w:r w:rsidR="003429EF" w:rsidRPr="00174283">
        <w:rPr>
          <w:lang w:val="fr-FR"/>
        </w:rPr>
        <w:t>macédoniens pour le projet de construction d</w:t>
      </w:r>
      <w:r w:rsidR="00205A62">
        <w:rPr>
          <w:lang w:val="fr-FR"/>
        </w:rPr>
        <w:t>’</w:t>
      </w:r>
      <w:r w:rsidR="003429EF" w:rsidRPr="00174283">
        <w:rPr>
          <w:lang w:val="fr-FR"/>
        </w:rPr>
        <w:t>égouts dans la 12</w:t>
      </w:r>
      <w:r w:rsidR="003429EF" w:rsidRPr="00174283">
        <w:rPr>
          <w:vertAlign w:val="superscript"/>
          <w:lang w:val="fr-FR"/>
        </w:rPr>
        <w:t>e</w:t>
      </w:r>
      <w:r w:rsidR="003429EF" w:rsidRPr="00174283">
        <w:rPr>
          <w:lang w:val="fr-FR"/>
        </w:rPr>
        <w:t xml:space="preserve"> rue du village de </w:t>
      </w:r>
      <w:r w:rsidR="00865301" w:rsidRPr="00174283">
        <w:rPr>
          <w:lang w:val="fr-FR"/>
        </w:rPr>
        <w:t>Jurumleri;</w:t>
      </w:r>
    </w:p>
    <w:p w:rsidR="00366919" w:rsidRPr="00174283" w:rsidRDefault="001877DC" w:rsidP="001877DC">
      <w:pPr>
        <w:pStyle w:val="SingleTxtG"/>
        <w:ind w:left="1701"/>
        <w:rPr>
          <w:lang w:val="fr-FR"/>
        </w:rPr>
      </w:pPr>
      <w:r w:rsidRPr="00174283">
        <w:rPr>
          <w:lang w:val="fr-FR"/>
        </w:rPr>
        <w:t>4.</w:t>
      </w:r>
      <w:r w:rsidR="001C34BF" w:rsidRPr="00174283">
        <w:rPr>
          <w:lang w:val="fr-FR"/>
        </w:rPr>
        <w:tab/>
        <w:t>Municipalité de</w:t>
      </w:r>
      <w:r w:rsidR="00366919" w:rsidRPr="00174283">
        <w:rPr>
          <w:lang w:val="fr-FR"/>
        </w:rPr>
        <w:t xml:space="preserve"> Kocani</w:t>
      </w:r>
      <w:r w:rsidR="002F51DC">
        <w:rPr>
          <w:lang w:val="fr-FR"/>
        </w:rPr>
        <w:t>:</w:t>
      </w:r>
      <w:r w:rsidR="00366919" w:rsidRPr="00174283">
        <w:rPr>
          <w:lang w:val="fr-FR"/>
        </w:rPr>
        <w:t xml:space="preserve"> 1</w:t>
      </w:r>
      <w:r w:rsidR="001C34BF" w:rsidRPr="00174283">
        <w:rPr>
          <w:lang w:val="fr-FR"/>
        </w:rPr>
        <w:t> </w:t>
      </w:r>
      <w:r w:rsidR="00366919" w:rsidRPr="00174283">
        <w:rPr>
          <w:lang w:val="fr-FR"/>
        </w:rPr>
        <w:t>000</w:t>
      </w:r>
      <w:r w:rsidR="001C34BF" w:rsidRPr="00174283">
        <w:rPr>
          <w:lang w:val="fr-FR"/>
        </w:rPr>
        <w:t> 000 </w:t>
      </w:r>
      <w:r w:rsidR="00CE0D09" w:rsidRPr="00174283">
        <w:rPr>
          <w:lang w:val="fr-FR"/>
        </w:rPr>
        <w:t>dinars</w:t>
      </w:r>
      <w:r w:rsidR="001C34BF" w:rsidRPr="00174283">
        <w:rPr>
          <w:lang w:val="fr-FR"/>
        </w:rPr>
        <w:t xml:space="preserve"> macédoniens pour le projet de construction d</w:t>
      </w:r>
      <w:r w:rsidR="00205A62">
        <w:rPr>
          <w:lang w:val="fr-FR"/>
        </w:rPr>
        <w:t>’</w:t>
      </w:r>
      <w:r w:rsidR="001C34BF" w:rsidRPr="00174283">
        <w:rPr>
          <w:lang w:val="fr-FR"/>
        </w:rPr>
        <w:t>u</w:t>
      </w:r>
      <w:r w:rsidR="004F31B3" w:rsidRPr="00174283">
        <w:rPr>
          <w:lang w:val="fr-FR"/>
        </w:rPr>
        <w:t>n</w:t>
      </w:r>
      <w:r w:rsidR="001C34BF" w:rsidRPr="00174283">
        <w:rPr>
          <w:lang w:val="fr-FR"/>
        </w:rPr>
        <w:t xml:space="preserve"> mur de sout</w:t>
      </w:r>
      <w:r w:rsidR="00ED1794" w:rsidRPr="00174283">
        <w:rPr>
          <w:lang w:val="fr-FR"/>
        </w:rPr>
        <w:t xml:space="preserve">ènement </w:t>
      </w:r>
      <w:r w:rsidR="001C34BF" w:rsidRPr="00174283">
        <w:rPr>
          <w:lang w:val="fr-FR"/>
        </w:rPr>
        <w:t xml:space="preserve">dans la rue </w:t>
      </w:r>
      <w:r w:rsidR="00366919" w:rsidRPr="00174283">
        <w:rPr>
          <w:lang w:val="fr-FR"/>
        </w:rPr>
        <w:t xml:space="preserve">Stamen Manov, </w:t>
      </w:r>
      <w:r w:rsidR="001C34BF" w:rsidRPr="00174283">
        <w:rPr>
          <w:lang w:val="fr-FR"/>
        </w:rPr>
        <w:t>section </w:t>
      </w:r>
      <w:r w:rsidR="00366919" w:rsidRPr="00174283">
        <w:rPr>
          <w:lang w:val="fr-FR"/>
        </w:rPr>
        <w:t>2;</w:t>
      </w:r>
    </w:p>
    <w:p w:rsidR="00366919" w:rsidRPr="00174283" w:rsidRDefault="001877DC" w:rsidP="001877DC">
      <w:pPr>
        <w:pStyle w:val="SingleTxtG"/>
        <w:ind w:left="1701"/>
        <w:rPr>
          <w:lang w:val="fr-FR"/>
        </w:rPr>
      </w:pPr>
      <w:r w:rsidRPr="00174283">
        <w:rPr>
          <w:lang w:val="fr-FR"/>
        </w:rPr>
        <w:t>5.</w:t>
      </w:r>
      <w:r w:rsidR="00366919" w:rsidRPr="00174283">
        <w:rPr>
          <w:lang w:val="fr-FR"/>
        </w:rPr>
        <w:tab/>
        <w:t>Municipali</w:t>
      </w:r>
      <w:r w:rsidR="001C34BF" w:rsidRPr="00174283">
        <w:rPr>
          <w:lang w:val="fr-FR"/>
        </w:rPr>
        <w:t>té de</w:t>
      </w:r>
      <w:r w:rsidR="00366919" w:rsidRPr="00174283">
        <w:rPr>
          <w:lang w:val="fr-FR"/>
        </w:rPr>
        <w:t xml:space="preserve"> Kicevo</w:t>
      </w:r>
      <w:r w:rsidR="002F51DC">
        <w:rPr>
          <w:lang w:val="fr-FR"/>
        </w:rPr>
        <w:t>:</w:t>
      </w:r>
      <w:r w:rsidR="00366919" w:rsidRPr="00174283">
        <w:rPr>
          <w:lang w:val="fr-FR"/>
        </w:rPr>
        <w:t xml:space="preserve"> 1</w:t>
      </w:r>
      <w:r w:rsidR="001C34BF" w:rsidRPr="00174283">
        <w:rPr>
          <w:lang w:val="fr-FR"/>
        </w:rPr>
        <w:t> </w:t>
      </w:r>
      <w:r w:rsidR="00366919" w:rsidRPr="00174283">
        <w:rPr>
          <w:lang w:val="fr-FR"/>
        </w:rPr>
        <w:t>000</w:t>
      </w:r>
      <w:r w:rsidR="001C34BF" w:rsidRPr="00174283">
        <w:rPr>
          <w:lang w:val="fr-FR"/>
        </w:rPr>
        <w:t> </w:t>
      </w:r>
      <w:r w:rsidR="00366919" w:rsidRPr="00174283">
        <w:rPr>
          <w:lang w:val="fr-FR"/>
        </w:rPr>
        <w:t>000</w:t>
      </w:r>
      <w:r w:rsidR="001C34BF" w:rsidRPr="00174283">
        <w:rPr>
          <w:lang w:val="fr-FR"/>
        </w:rPr>
        <w:t xml:space="preserve"> </w:t>
      </w:r>
      <w:r w:rsidR="00CE0D09" w:rsidRPr="00174283">
        <w:rPr>
          <w:lang w:val="fr-FR"/>
        </w:rPr>
        <w:t>dinars</w:t>
      </w:r>
      <w:r w:rsidR="00366919" w:rsidRPr="00174283">
        <w:rPr>
          <w:lang w:val="fr-FR"/>
        </w:rPr>
        <w:t xml:space="preserve"> </w:t>
      </w:r>
      <w:r w:rsidR="001C34BF" w:rsidRPr="00174283">
        <w:rPr>
          <w:lang w:val="fr-FR"/>
        </w:rPr>
        <w:t>macédoniens pour le projet de r</w:t>
      </w:r>
      <w:r w:rsidR="00ED1794" w:rsidRPr="00174283">
        <w:rPr>
          <w:lang w:val="fr-FR"/>
        </w:rPr>
        <w:t>éfection</w:t>
      </w:r>
      <w:r w:rsidR="001C34BF" w:rsidRPr="00174283">
        <w:rPr>
          <w:lang w:val="fr-FR"/>
        </w:rPr>
        <w:t xml:space="preserve"> des rives et des rues; </w:t>
      </w:r>
    </w:p>
    <w:p w:rsidR="00366919" w:rsidRPr="00174283" w:rsidRDefault="001877DC" w:rsidP="001877DC">
      <w:pPr>
        <w:pStyle w:val="SingleTxtG"/>
        <w:ind w:left="1701"/>
        <w:rPr>
          <w:lang w:val="fr-FR"/>
        </w:rPr>
      </w:pPr>
      <w:r w:rsidRPr="00174283">
        <w:rPr>
          <w:lang w:val="fr-FR"/>
        </w:rPr>
        <w:t>6.</w:t>
      </w:r>
      <w:r w:rsidR="001C34BF" w:rsidRPr="00174283">
        <w:rPr>
          <w:lang w:val="fr-FR"/>
        </w:rPr>
        <w:tab/>
        <w:t>Municipalité</w:t>
      </w:r>
      <w:r w:rsidR="00366919" w:rsidRPr="00174283">
        <w:rPr>
          <w:lang w:val="fr-FR"/>
        </w:rPr>
        <w:t xml:space="preserve"> </w:t>
      </w:r>
      <w:r w:rsidR="001C34BF" w:rsidRPr="00174283">
        <w:rPr>
          <w:lang w:val="fr-FR"/>
        </w:rPr>
        <w:t>de</w:t>
      </w:r>
      <w:r w:rsidR="00366919" w:rsidRPr="00174283">
        <w:rPr>
          <w:lang w:val="fr-FR"/>
        </w:rPr>
        <w:t xml:space="preserve"> Prilep</w:t>
      </w:r>
      <w:r w:rsidR="002F51DC">
        <w:rPr>
          <w:lang w:val="fr-FR"/>
        </w:rPr>
        <w:t>:</w:t>
      </w:r>
      <w:r w:rsidR="00366919" w:rsidRPr="00174283">
        <w:rPr>
          <w:lang w:val="fr-FR"/>
        </w:rPr>
        <w:t xml:space="preserve"> 900</w:t>
      </w:r>
      <w:r w:rsidR="004F31B3" w:rsidRPr="00174283">
        <w:rPr>
          <w:lang w:val="fr-FR"/>
        </w:rPr>
        <w:t> </w:t>
      </w:r>
      <w:r w:rsidR="00366919" w:rsidRPr="00174283">
        <w:rPr>
          <w:lang w:val="fr-FR"/>
        </w:rPr>
        <w:t>000</w:t>
      </w:r>
      <w:r w:rsidR="004F31B3" w:rsidRPr="00174283">
        <w:rPr>
          <w:lang w:val="fr-FR"/>
        </w:rPr>
        <w:t xml:space="preserve"> </w:t>
      </w:r>
      <w:r w:rsidR="00CE0D09" w:rsidRPr="00174283">
        <w:rPr>
          <w:lang w:val="fr-FR"/>
        </w:rPr>
        <w:t>dinars</w:t>
      </w:r>
      <w:r w:rsidR="00366919" w:rsidRPr="00174283">
        <w:rPr>
          <w:lang w:val="fr-FR"/>
        </w:rPr>
        <w:t xml:space="preserve"> </w:t>
      </w:r>
      <w:r w:rsidR="001C34BF" w:rsidRPr="00174283">
        <w:rPr>
          <w:lang w:val="fr-FR"/>
        </w:rPr>
        <w:t>macédoniens pour le projet de construction d</w:t>
      </w:r>
      <w:r w:rsidR="00205A62">
        <w:rPr>
          <w:lang w:val="fr-FR"/>
        </w:rPr>
        <w:t>’</w:t>
      </w:r>
      <w:r w:rsidR="001C34BF" w:rsidRPr="00174283">
        <w:rPr>
          <w:lang w:val="fr-FR"/>
        </w:rPr>
        <w:t xml:space="preserve">égouts dans une portion de la rue </w:t>
      </w:r>
      <w:r w:rsidR="00366919" w:rsidRPr="00174283">
        <w:rPr>
          <w:lang w:val="fr-FR"/>
        </w:rPr>
        <w:t>Berovska;</w:t>
      </w:r>
      <w:r w:rsidR="00F104B6" w:rsidRPr="00174283">
        <w:rPr>
          <w:lang w:val="fr-FR"/>
        </w:rPr>
        <w:t xml:space="preserve"> </w:t>
      </w:r>
    </w:p>
    <w:p w:rsidR="00366919" w:rsidRPr="00174283" w:rsidRDefault="001877DC" w:rsidP="001877DC">
      <w:pPr>
        <w:pStyle w:val="SingleTxtG"/>
        <w:ind w:left="1701"/>
        <w:rPr>
          <w:lang w:val="fr-FR"/>
        </w:rPr>
      </w:pPr>
      <w:r w:rsidRPr="00174283">
        <w:rPr>
          <w:lang w:val="fr-FR"/>
        </w:rPr>
        <w:t>7.</w:t>
      </w:r>
      <w:r w:rsidR="001C34BF" w:rsidRPr="00174283">
        <w:rPr>
          <w:lang w:val="fr-FR"/>
        </w:rPr>
        <w:tab/>
        <w:t>Municipalité</w:t>
      </w:r>
      <w:r w:rsidR="00366919" w:rsidRPr="00174283">
        <w:rPr>
          <w:lang w:val="fr-FR"/>
        </w:rPr>
        <w:t xml:space="preserve"> </w:t>
      </w:r>
      <w:r w:rsidR="001C34BF" w:rsidRPr="00174283">
        <w:rPr>
          <w:lang w:val="fr-FR"/>
        </w:rPr>
        <w:t>de</w:t>
      </w:r>
      <w:r w:rsidR="00366919" w:rsidRPr="00174283">
        <w:rPr>
          <w:lang w:val="fr-FR"/>
        </w:rPr>
        <w:t xml:space="preserve"> Delcevo</w:t>
      </w:r>
      <w:r w:rsidR="002F51DC">
        <w:rPr>
          <w:lang w:val="fr-FR"/>
        </w:rPr>
        <w:t>:</w:t>
      </w:r>
      <w:r w:rsidR="00366919" w:rsidRPr="00174283">
        <w:rPr>
          <w:lang w:val="fr-FR"/>
        </w:rPr>
        <w:t xml:space="preserve"> 800</w:t>
      </w:r>
      <w:r w:rsidR="001C34BF" w:rsidRPr="00174283">
        <w:rPr>
          <w:lang w:val="fr-FR"/>
        </w:rPr>
        <w:t xml:space="preserve"> 000 </w:t>
      </w:r>
      <w:r w:rsidR="00CE0D09" w:rsidRPr="00174283">
        <w:rPr>
          <w:lang w:val="fr-FR"/>
        </w:rPr>
        <w:t>dinars</w:t>
      </w:r>
      <w:r w:rsidR="00366919" w:rsidRPr="00174283">
        <w:rPr>
          <w:lang w:val="fr-FR"/>
        </w:rPr>
        <w:t xml:space="preserve"> </w:t>
      </w:r>
      <w:r w:rsidR="001C34BF" w:rsidRPr="00174283">
        <w:rPr>
          <w:lang w:val="fr-FR"/>
        </w:rPr>
        <w:t>macédoniens pour le projet de reconstruction d</w:t>
      </w:r>
      <w:r w:rsidR="00205A62">
        <w:rPr>
          <w:lang w:val="fr-FR"/>
        </w:rPr>
        <w:t>’</w:t>
      </w:r>
      <w:r w:rsidR="001C34BF" w:rsidRPr="00174283">
        <w:rPr>
          <w:lang w:val="fr-FR"/>
        </w:rPr>
        <w:t>une partie du réseau d</w:t>
      </w:r>
      <w:r w:rsidR="00205A62">
        <w:rPr>
          <w:lang w:val="fr-FR"/>
        </w:rPr>
        <w:t>’</w:t>
      </w:r>
      <w:r w:rsidR="001C34BF" w:rsidRPr="00174283">
        <w:rPr>
          <w:lang w:val="fr-FR"/>
        </w:rPr>
        <w:t xml:space="preserve">approvisionnement de la ville de </w:t>
      </w:r>
      <w:r w:rsidR="00366919" w:rsidRPr="00174283">
        <w:rPr>
          <w:lang w:val="fr-FR"/>
        </w:rPr>
        <w:t>Delcevo, Zone</w:t>
      </w:r>
      <w:r w:rsidR="002F51DC">
        <w:rPr>
          <w:lang w:val="fr-FR"/>
        </w:rPr>
        <w:t>:</w:t>
      </w:r>
      <w:r w:rsidR="00366919" w:rsidRPr="00174283">
        <w:rPr>
          <w:lang w:val="fr-FR"/>
        </w:rPr>
        <w:t xml:space="preserve"> </w:t>
      </w:r>
      <w:r w:rsidR="001C34BF" w:rsidRPr="00174283">
        <w:rPr>
          <w:lang w:val="fr-FR"/>
        </w:rPr>
        <w:t xml:space="preserve">Canalisation, section 2, chaînage </w:t>
      </w:r>
      <w:r w:rsidR="00366919" w:rsidRPr="00174283">
        <w:rPr>
          <w:lang w:val="fr-FR"/>
        </w:rPr>
        <w:t xml:space="preserve">1+596.60 </w:t>
      </w:r>
      <w:r w:rsidR="00340B74" w:rsidRPr="00174283">
        <w:rPr>
          <w:lang w:val="fr-FR"/>
        </w:rPr>
        <w:t>–</w:t>
      </w:r>
      <w:r w:rsidR="001C34BF" w:rsidRPr="00174283">
        <w:rPr>
          <w:lang w:val="fr-FR"/>
        </w:rPr>
        <w:t xml:space="preserve"> 1+929.94</w:t>
      </w:r>
      <w:r w:rsidR="00366919" w:rsidRPr="00174283">
        <w:rPr>
          <w:lang w:val="fr-FR"/>
        </w:rPr>
        <w:t xml:space="preserve">. </w:t>
      </w:r>
    </w:p>
    <w:p w:rsidR="00366919" w:rsidRPr="00174283" w:rsidRDefault="009E1A92" w:rsidP="009E1A92">
      <w:pPr>
        <w:pStyle w:val="SingleTxtG"/>
        <w:rPr>
          <w:lang w:val="fr-FR"/>
        </w:rPr>
      </w:pPr>
      <w:r>
        <w:rPr>
          <w:lang w:val="fr-FR"/>
        </w:rPr>
        <w:t>174.</w:t>
      </w:r>
      <w:r>
        <w:rPr>
          <w:lang w:val="fr-FR"/>
        </w:rPr>
        <w:tab/>
      </w:r>
      <w:r w:rsidR="001C34BF" w:rsidRPr="00174283">
        <w:rPr>
          <w:lang w:val="fr-FR"/>
        </w:rPr>
        <w:t>Par ailleurs, compte tenu de l</w:t>
      </w:r>
      <w:r w:rsidR="00205A62">
        <w:rPr>
          <w:lang w:val="fr-FR"/>
        </w:rPr>
        <w:t>’</w:t>
      </w:r>
      <w:r w:rsidR="001C34BF" w:rsidRPr="00174283">
        <w:rPr>
          <w:lang w:val="fr-FR"/>
        </w:rPr>
        <w:t xml:space="preserve">avis publié en 2009 pour </w:t>
      </w:r>
      <w:r w:rsidR="002A177D" w:rsidRPr="00174283">
        <w:rPr>
          <w:lang w:val="fr-FR"/>
        </w:rPr>
        <w:t>l</w:t>
      </w:r>
      <w:r w:rsidR="00205A62">
        <w:rPr>
          <w:lang w:val="fr-FR"/>
        </w:rPr>
        <w:t>’</w:t>
      </w:r>
      <w:r w:rsidR="002A177D" w:rsidRPr="00174283">
        <w:rPr>
          <w:lang w:val="fr-FR"/>
        </w:rPr>
        <w:t>attribution d</w:t>
      </w:r>
      <w:r w:rsidR="00205A62">
        <w:rPr>
          <w:lang w:val="fr-FR"/>
        </w:rPr>
        <w:t>’</w:t>
      </w:r>
      <w:r w:rsidR="002A177D" w:rsidRPr="00174283">
        <w:rPr>
          <w:lang w:val="fr-FR"/>
        </w:rPr>
        <w:t xml:space="preserve">appartements construits dans le cadre du projet pour la fourniture de </w:t>
      </w:r>
      <w:r w:rsidR="00B356D6" w:rsidRPr="00174283">
        <w:rPr>
          <w:lang w:val="fr-FR"/>
        </w:rPr>
        <w:t>logements</w:t>
      </w:r>
      <w:r w:rsidR="002A177D" w:rsidRPr="00174283">
        <w:rPr>
          <w:lang w:val="fr-FR"/>
        </w:rPr>
        <w:t xml:space="preserve"> aux groupes socialement vulnérables – </w:t>
      </w:r>
      <w:r w:rsidR="00366919" w:rsidRPr="00174283">
        <w:rPr>
          <w:lang w:val="fr-FR"/>
        </w:rPr>
        <w:t>F/P 1674</w:t>
      </w:r>
      <w:r w:rsidR="002A177D" w:rsidRPr="00174283">
        <w:rPr>
          <w:lang w:val="fr-FR"/>
        </w:rPr>
        <w:t xml:space="preserve"> – qui a été partiellement financé par un </w:t>
      </w:r>
      <w:r w:rsidR="00B356D6" w:rsidRPr="00174283">
        <w:rPr>
          <w:lang w:val="fr-FR"/>
        </w:rPr>
        <w:t>prêt</w:t>
      </w:r>
      <w:r w:rsidR="002A177D" w:rsidRPr="00174283">
        <w:rPr>
          <w:lang w:val="fr-FR"/>
        </w:rPr>
        <w:t xml:space="preserve"> de 25 350 000 euros de la Banque de développement du Conseil de l</w:t>
      </w:r>
      <w:r w:rsidR="00205A62">
        <w:rPr>
          <w:lang w:val="fr-FR"/>
        </w:rPr>
        <w:t>’</w:t>
      </w:r>
      <w:r w:rsidR="002A177D" w:rsidRPr="00174283">
        <w:rPr>
          <w:lang w:val="fr-FR"/>
        </w:rPr>
        <w:t>Europe (Accord de prêt F/P </w:t>
      </w:r>
      <w:r w:rsidR="00366919" w:rsidRPr="00174283">
        <w:rPr>
          <w:lang w:val="fr-FR"/>
        </w:rPr>
        <w:t>1674 (2009)</w:t>
      </w:r>
      <w:r w:rsidR="002A177D" w:rsidRPr="00174283">
        <w:rPr>
          <w:lang w:val="fr-FR"/>
        </w:rPr>
        <w:t xml:space="preserve">) et par un crédit de </w:t>
      </w:r>
      <w:r w:rsidR="00366919" w:rsidRPr="00174283">
        <w:rPr>
          <w:lang w:val="fr-FR"/>
        </w:rPr>
        <w:t>25</w:t>
      </w:r>
      <w:r w:rsidR="002A177D" w:rsidRPr="00174283">
        <w:rPr>
          <w:lang w:val="fr-FR"/>
        </w:rPr>
        <w:t> </w:t>
      </w:r>
      <w:r w:rsidR="00366919" w:rsidRPr="00174283">
        <w:rPr>
          <w:lang w:val="fr-FR"/>
        </w:rPr>
        <w:t>350</w:t>
      </w:r>
      <w:r w:rsidR="002A177D" w:rsidRPr="00174283">
        <w:rPr>
          <w:lang w:val="fr-FR"/>
        </w:rPr>
        <w:t> 000 </w:t>
      </w:r>
      <w:r w:rsidR="00366919" w:rsidRPr="00174283">
        <w:rPr>
          <w:lang w:val="fr-FR"/>
        </w:rPr>
        <w:t xml:space="preserve">euros </w:t>
      </w:r>
      <w:r w:rsidR="002A177D" w:rsidRPr="00174283">
        <w:rPr>
          <w:lang w:val="fr-FR"/>
        </w:rPr>
        <w:t>imputé au Budget de l</w:t>
      </w:r>
      <w:r w:rsidR="00205A62">
        <w:rPr>
          <w:lang w:val="fr-FR"/>
        </w:rPr>
        <w:t>’</w:t>
      </w:r>
      <w:r w:rsidR="002A177D" w:rsidRPr="00174283">
        <w:rPr>
          <w:lang w:val="fr-FR"/>
        </w:rPr>
        <w:t>État, 30 appartements ont été attribués en 2011 à des membres de la communauté rom</w:t>
      </w:r>
      <w:r w:rsidR="002F51DC">
        <w:rPr>
          <w:lang w:val="fr-FR"/>
        </w:rPr>
        <w:t>:</w:t>
      </w:r>
      <w:r w:rsidR="002A177D" w:rsidRPr="00174283">
        <w:rPr>
          <w:lang w:val="fr-FR"/>
        </w:rPr>
        <w:t xml:space="preserve"> 10 familles à </w:t>
      </w:r>
      <w:r w:rsidR="00010F00" w:rsidRPr="00174283">
        <w:rPr>
          <w:lang w:val="fr-FR"/>
        </w:rPr>
        <w:t>Ohrid, 4 </w:t>
      </w:r>
      <w:r w:rsidR="002A177D" w:rsidRPr="00174283">
        <w:rPr>
          <w:lang w:val="fr-FR"/>
        </w:rPr>
        <w:t xml:space="preserve">familles à </w:t>
      </w:r>
      <w:r w:rsidR="00366919" w:rsidRPr="00174283">
        <w:rPr>
          <w:lang w:val="fr-FR"/>
        </w:rPr>
        <w:t xml:space="preserve">Kicevo, 9 </w:t>
      </w:r>
      <w:r w:rsidR="00B356D6" w:rsidRPr="00174283">
        <w:rPr>
          <w:lang w:val="fr-FR"/>
        </w:rPr>
        <w:t>familles</w:t>
      </w:r>
      <w:r w:rsidR="002A177D" w:rsidRPr="00174283">
        <w:rPr>
          <w:lang w:val="fr-FR"/>
        </w:rPr>
        <w:t xml:space="preserve"> à </w:t>
      </w:r>
      <w:r w:rsidR="00366919" w:rsidRPr="00174283">
        <w:rPr>
          <w:lang w:val="fr-FR"/>
        </w:rPr>
        <w:t xml:space="preserve">Kavadarci </w:t>
      </w:r>
      <w:r w:rsidR="002A177D" w:rsidRPr="00174283">
        <w:rPr>
          <w:lang w:val="fr-FR"/>
        </w:rPr>
        <w:t xml:space="preserve">et </w:t>
      </w:r>
      <w:r w:rsidR="00366919" w:rsidRPr="00174283">
        <w:rPr>
          <w:lang w:val="fr-FR"/>
        </w:rPr>
        <w:t xml:space="preserve">7 </w:t>
      </w:r>
      <w:r w:rsidR="002A177D" w:rsidRPr="00174283">
        <w:rPr>
          <w:lang w:val="fr-FR"/>
        </w:rPr>
        <w:t xml:space="preserve">familles à </w:t>
      </w:r>
      <w:r w:rsidR="00366919" w:rsidRPr="00174283">
        <w:rPr>
          <w:lang w:val="fr-FR"/>
        </w:rPr>
        <w:t>Kocani.</w:t>
      </w:r>
    </w:p>
    <w:p w:rsidR="00366919" w:rsidRPr="00174283" w:rsidRDefault="009E1A92" w:rsidP="009E1A92">
      <w:pPr>
        <w:pStyle w:val="SingleTxtG"/>
        <w:rPr>
          <w:lang w:val="fr-FR"/>
        </w:rPr>
      </w:pPr>
      <w:r>
        <w:rPr>
          <w:lang w:val="fr-FR"/>
        </w:rPr>
        <w:t>175.</w:t>
      </w:r>
      <w:r>
        <w:rPr>
          <w:lang w:val="fr-FR"/>
        </w:rPr>
        <w:tab/>
      </w:r>
      <w:r w:rsidR="002A177D" w:rsidRPr="00174283">
        <w:rPr>
          <w:lang w:val="fr-FR"/>
        </w:rPr>
        <w:t>Selon certaines estimations</w:t>
      </w:r>
      <w:r w:rsidR="008E336C" w:rsidRPr="00174283">
        <w:rPr>
          <w:lang w:val="fr-FR"/>
        </w:rPr>
        <w:t xml:space="preserve">, près de 70 % des Roms ne possèdent pas de titres de </w:t>
      </w:r>
      <w:r w:rsidR="00B356D6" w:rsidRPr="00174283">
        <w:rPr>
          <w:lang w:val="fr-FR"/>
        </w:rPr>
        <w:t>propriété</w:t>
      </w:r>
      <w:r w:rsidR="008E336C" w:rsidRPr="00174283">
        <w:rPr>
          <w:lang w:val="fr-FR"/>
        </w:rPr>
        <w:t xml:space="preserve"> pour leur logement</w:t>
      </w:r>
      <w:r w:rsidR="001B2B02" w:rsidRPr="00174283">
        <w:rPr>
          <w:lang w:val="fr-FR"/>
        </w:rPr>
        <w:t>, c</w:t>
      </w:r>
      <w:r w:rsidR="00205A62">
        <w:rPr>
          <w:lang w:val="fr-FR"/>
        </w:rPr>
        <w:t>’</w:t>
      </w:r>
      <w:r w:rsidR="001B2B02" w:rsidRPr="00174283">
        <w:rPr>
          <w:lang w:val="fr-FR"/>
        </w:rPr>
        <w:t>est</w:t>
      </w:r>
      <w:r w:rsidR="004A336A">
        <w:rPr>
          <w:lang w:val="fr-FR"/>
        </w:rPr>
        <w:t>-</w:t>
      </w:r>
      <w:r w:rsidR="001B2B02" w:rsidRPr="00174283">
        <w:rPr>
          <w:lang w:val="fr-FR"/>
        </w:rPr>
        <w:t>à</w:t>
      </w:r>
      <w:r w:rsidR="004A336A">
        <w:rPr>
          <w:lang w:val="fr-FR"/>
        </w:rPr>
        <w:t>-</w:t>
      </w:r>
      <w:r w:rsidR="001B2B02" w:rsidRPr="00174283">
        <w:rPr>
          <w:lang w:val="fr-FR"/>
        </w:rPr>
        <w:t>dire qu</w:t>
      </w:r>
      <w:r w:rsidR="00205A62">
        <w:rPr>
          <w:lang w:val="fr-FR"/>
        </w:rPr>
        <w:t>’</w:t>
      </w:r>
      <w:r w:rsidR="001B2B02" w:rsidRPr="00174283">
        <w:rPr>
          <w:lang w:val="fr-FR"/>
        </w:rPr>
        <w:t xml:space="preserve">ils vivent dans des </w:t>
      </w:r>
      <w:r w:rsidR="00B356D6" w:rsidRPr="00174283">
        <w:rPr>
          <w:lang w:val="fr-FR"/>
        </w:rPr>
        <w:t>habitations</w:t>
      </w:r>
      <w:r w:rsidR="001B2B02" w:rsidRPr="00174283">
        <w:rPr>
          <w:lang w:val="fr-FR"/>
        </w:rPr>
        <w:t xml:space="preserve"> construites illégalement et que la situation de leurs biens au regard de la loi n</w:t>
      </w:r>
      <w:r w:rsidR="00205A62">
        <w:rPr>
          <w:lang w:val="fr-FR"/>
        </w:rPr>
        <w:t>’</w:t>
      </w:r>
      <w:r w:rsidR="001B2B02" w:rsidRPr="00174283">
        <w:rPr>
          <w:lang w:val="fr-FR"/>
        </w:rPr>
        <w:t xml:space="preserve">a pas été réglée. </w:t>
      </w:r>
      <w:r w:rsidR="00AD1405" w:rsidRPr="00174283">
        <w:rPr>
          <w:lang w:val="fr-FR"/>
        </w:rPr>
        <w:t xml:space="preserve">Afin de trouver une solution à ces problèmes, </w:t>
      </w:r>
      <w:r w:rsidR="007C02E7" w:rsidRPr="00174283">
        <w:rPr>
          <w:lang w:val="fr-FR"/>
        </w:rPr>
        <w:t>non</w:t>
      </w:r>
      <w:r w:rsidR="00AD1405" w:rsidRPr="00174283">
        <w:rPr>
          <w:lang w:val="fr-FR"/>
        </w:rPr>
        <w:t xml:space="preserve"> seulement pour la population rom mais </w:t>
      </w:r>
      <w:r w:rsidR="007C02E7" w:rsidRPr="00174283">
        <w:rPr>
          <w:lang w:val="fr-FR"/>
        </w:rPr>
        <w:t xml:space="preserve">aussi </w:t>
      </w:r>
      <w:r w:rsidR="00AD1405" w:rsidRPr="00174283">
        <w:rPr>
          <w:lang w:val="fr-FR"/>
        </w:rPr>
        <w:t>pour l</w:t>
      </w:r>
      <w:r w:rsidR="00205A62">
        <w:rPr>
          <w:lang w:val="fr-FR"/>
        </w:rPr>
        <w:t>’</w:t>
      </w:r>
      <w:r w:rsidR="00AD1405" w:rsidRPr="00174283">
        <w:rPr>
          <w:lang w:val="fr-FR"/>
        </w:rPr>
        <w:t xml:space="preserve">ensemble de la </w:t>
      </w:r>
      <w:r w:rsidR="00B356D6" w:rsidRPr="00174283">
        <w:rPr>
          <w:lang w:val="fr-FR"/>
        </w:rPr>
        <w:t>population</w:t>
      </w:r>
      <w:r w:rsidR="00AD1405" w:rsidRPr="00174283">
        <w:rPr>
          <w:lang w:val="fr-FR"/>
        </w:rPr>
        <w:t xml:space="preserve">, le Gouvernement a </w:t>
      </w:r>
      <w:r w:rsidR="00B356D6" w:rsidRPr="00174283">
        <w:rPr>
          <w:lang w:val="fr-FR"/>
        </w:rPr>
        <w:t>adopté</w:t>
      </w:r>
      <w:r w:rsidR="00AD1405" w:rsidRPr="00174283">
        <w:rPr>
          <w:lang w:val="fr-FR"/>
        </w:rPr>
        <w:t xml:space="preserve"> en 2011 une loi sur la </w:t>
      </w:r>
      <w:r w:rsidR="00B356D6" w:rsidRPr="00174283">
        <w:rPr>
          <w:lang w:val="fr-FR"/>
        </w:rPr>
        <w:t>régularisation</w:t>
      </w:r>
      <w:r w:rsidR="00AD1405" w:rsidRPr="00174283">
        <w:rPr>
          <w:lang w:val="fr-FR"/>
        </w:rPr>
        <w:t xml:space="preserve"> des bâtiments construits illégalement. Les frais de régularisation s</w:t>
      </w:r>
      <w:r w:rsidR="00205A62">
        <w:rPr>
          <w:lang w:val="fr-FR"/>
        </w:rPr>
        <w:t>’</w:t>
      </w:r>
      <w:r w:rsidR="00AD1405" w:rsidRPr="00174283">
        <w:rPr>
          <w:lang w:val="fr-FR"/>
        </w:rPr>
        <w:t>élèvent à 1 euro par m</w:t>
      </w:r>
      <w:r w:rsidR="00AD1405" w:rsidRPr="00174283">
        <w:rPr>
          <w:vertAlign w:val="superscript"/>
          <w:lang w:val="fr-FR"/>
        </w:rPr>
        <w:t>2</w:t>
      </w:r>
      <w:r w:rsidR="00AD1405" w:rsidRPr="00174283">
        <w:rPr>
          <w:lang w:val="fr-FR"/>
        </w:rPr>
        <w:t xml:space="preserve">. Cette loi sera tout à fait bénéfique pour les Roms. </w:t>
      </w:r>
    </w:p>
    <w:p w:rsidR="00F914DB" w:rsidRPr="00174283" w:rsidRDefault="00F914DB" w:rsidP="00F914DB">
      <w:pPr>
        <w:pStyle w:val="H1G"/>
        <w:rPr>
          <w:lang w:val="fr-FR"/>
        </w:rPr>
      </w:pPr>
      <w:r w:rsidRPr="00174283">
        <w:rPr>
          <w:lang w:val="fr-FR"/>
        </w:rPr>
        <w:tab/>
      </w:r>
      <w:r w:rsidRPr="00174283">
        <w:rPr>
          <w:lang w:val="fr-FR"/>
        </w:rPr>
        <w:tab/>
        <w:t>R</w:t>
      </w:r>
      <w:r w:rsidR="00107359" w:rsidRPr="00174283">
        <w:rPr>
          <w:lang w:val="fr-FR"/>
        </w:rPr>
        <w:t xml:space="preserve">éponse aux recommandations figurant aux paragraphes 17 et 18 des observations finales du Comité </w:t>
      </w:r>
    </w:p>
    <w:p w:rsidR="00366919" w:rsidRPr="00174283" w:rsidRDefault="009E1A92" w:rsidP="009E1A92">
      <w:pPr>
        <w:pStyle w:val="SingleTxtG"/>
        <w:rPr>
          <w:lang w:val="fr-FR"/>
        </w:rPr>
      </w:pPr>
      <w:r>
        <w:rPr>
          <w:lang w:val="fr-FR"/>
        </w:rPr>
        <w:t>176.</w:t>
      </w:r>
      <w:r>
        <w:rPr>
          <w:lang w:val="fr-FR"/>
        </w:rPr>
        <w:tab/>
      </w:r>
      <w:r w:rsidR="00424382" w:rsidRPr="00174283">
        <w:rPr>
          <w:lang w:val="fr-FR"/>
        </w:rPr>
        <w:t>L</w:t>
      </w:r>
      <w:r w:rsidR="00205A62">
        <w:rPr>
          <w:lang w:val="fr-FR"/>
        </w:rPr>
        <w:t>’</w:t>
      </w:r>
      <w:r w:rsidR="00424382" w:rsidRPr="00174283">
        <w:rPr>
          <w:lang w:val="fr-FR"/>
        </w:rPr>
        <w:t>enseignement secondaire est devenu obligatoire en Macédoin</w:t>
      </w:r>
      <w:r w:rsidR="00CB206A" w:rsidRPr="00174283">
        <w:rPr>
          <w:lang w:val="fr-FR"/>
        </w:rPr>
        <w:t>e pendant l</w:t>
      </w:r>
      <w:r w:rsidR="00205A62">
        <w:rPr>
          <w:lang w:val="fr-FR"/>
        </w:rPr>
        <w:t>’</w:t>
      </w:r>
      <w:r w:rsidR="00CB206A" w:rsidRPr="00174283">
        <w:rPr>
          <w:lang w:val="fr-FR"/>
        </w:rPr>
        <w:t>année scolaire 2008/</w:t>
      </w:r>
      <w:r w:rsidR="00424382" w:rsidRPr="00174283">
        <w:rPr>
          <w:lang w:val="fr-FR"/>
        </w:rPr>
        <w:t>09. Le transport gratuit est fourni à tous les élèves du primaire et du secondaire dont le domicile est situé respectivement à 2 km et 2,5 km de leur établissement scolaire. Dans les lieux où aucun</w:t>
      </w:r>
      <w:r w:rsidR="00111B68" w:rsidRPr="00174283">
        <w:rPr>
          <w:lang w:val="fr-FR"/>
        </w:rPr>
        <w:t xml:space="preserve"> service de</w:t>
      </w:r>
      <w:r w:rsidR="00424382" w:rsidRPr="00174283">
        <w:rPr>
          <w:lang w:val="fr-FR"/>
        </w:rPr>
        <w:t xml:space="preserve"> </w:t>
      </w:r>
      <w:r w:rsidR="00B356D6" w:rsidRPr="00174283">
        <w:rPr>
          <w:lang w:val="fr-FR"/>
        </w:rPr>
        <w:t>transport</w:t>
      </w:r>
      <w:r w:rsidR="00424382" w:rsidRPr="00174283">
        <w:rPr>
          <w:lang w:val="fr-FR"/>
        </w:rPr>
        <w:t xml:space="preserve"> n</w:t>
      </w:r>
      <w:r w:rsidR="00205A62">
        <w:rPr>
          <w:lang w:val="fr-FR"/>
        </w:rPr>
        <w:t>’</w:t>
      </w:r>
      <w:r w:rsidR="00424382" w:rsidRPr="00174283">
        <w:rPr>
          <w:lang w:val="fr-FR"/>
        </w:rPr>
        <w:t xml:space="preserve">est organisé, </w:t>
      </w:r>
      <w:r w:rsidR="002A6753" w:rsidRPr="00174283">
        <w:rPr>
          <w:lang w:val="fr-FR"/>
        </w:rPr>
        <w:t xml:space="preserve">les élèves ont accès à des internats et à des manuels gratuits. Le projet de subvention conditionnelle en espèces permet </w:t>
      </w:r>
      <w:r w:rsidR="00111B68" w:rsidRPr="00174283">
        <w:rPr>
          <w:lang w:val="fr-FR"/>
        </w:rPr>
        <w:t>d</w:t>
      </w:r>
      <w:r w:rsidR="00205A62">
        <w:rPr>
          <w:lang w:val="fr-FR"/>
        </w:rPr>
        <w:t>’</w:t>
      </w:r>
      <w:r w:rsidR="00111B68" w:rsidRPr="00174283">
        <w:rPr>
          <w:lang w:val="fr-FR"/>
        </w:rPr>
        <w:t>apporter une</w:t>
      </w:r>
      <w:r w:rsidR="002A6753" w:rsidRPr="00174283">
        <w:rPr>
          <w:lang w:val="fr-FR"/>
        </w:rPr>
        <w:t xml:space="preserve"> aide </w:t>
      </w:r>
      <w:r w:rsidR="00B356D6" w:rsidRPr="00174283">
        <w:rPr>
          <w:lang w:val="fr-FR"/>
        </w:rPr>
        <w:t>financière</w:t>
      </w:r>
      <w:r w:rsidR="002A6753" w:rsidRPr="00174283">
        <w:rPr>
          <w:lang w:val="fr-FR"/>
        </w:rPr>
        <w:t xml:space="preserve"> aux élèves inscrits dans des établissements d</w:t>
      </w:r>
      <w:r w:rsidR="00205A62">
        <w:rPr>
          <w:lang w:val="fr-FR"/>
        </w:rPr>
        <w:t>’</w:t>
      </w:r>
      <w:r w:rsidR="002A6753" w:rsidRPr="00174283">
        <w:rPr>
          <w:lang w:val="fr-FR"/>
        </w:rPr>
        <w:t xml:space="preserve">enseignement secondaire dont les parents reçoivent des </w:t>
      </w:r>
      <w:r w:rsidR="00B356D6" w:rsidRPr="00174283">
        <w:rPr>
          <w:lang w:val="fr-FR"/>
        </w:rPr>
        <w:t>prestations</w:t>
      </w:r>
      <w:r w:rsidR="002A6753" w:rsidRPr="00174283">
        <w:rPr>
          <w:lang w:val="fr-FR"/>
        </w:rPr>
        <w:t xml:space="preserve"> d</w:t>
      </w:r>
      <w:r w:rsidR="00205A62">
        <w:rPr>
          <w:lang w:val="fr-FR"/>
        </w:rPr>
        <w:t>’</w:t>
      </w:r>
      <w:r w:rsidR="002A6753" w:rsidRPr="00174283">
        <w:rPr>
          <w:lang w:val="fr-FR"/>
        </w:rPr>
        <w:t>aide sociale, sou</w:t>
      </w:r>
      <w:r w:rsidR="00571219" w:rsidRPr="00174283">
        <w:rPr>
          <w:lang w:val="fr-FR"/>
        </w:rPr>
        <w:t>s</w:t>
      </w:r>
      <w:r w:rsidR="002A6753" w:rsidRPr="00174283">
        <w:rPr>
          <w:lang w:val="fr-FR"/>
        </w:rPr>
        <w:t xml:space="preserve"> réserve d</w:t>
      </w:r>
      <w:r w:rsidR="00205A62">
        <w:rPr>
          <w:lang w:val="fr-FR"/>
        </w:rPr>
        <w:t>’</w:t>
      </w:r>
      <w:r w:rsidR="002A6753" w:rsidRPr="00174283">
        <w:rPr>
          <w:lang w:val="fr-FR"/>
        </w:rPr>
        <w:t xml:space="preserve">une fréquentation scolaire régulière. </w:t>
      </w:r>
    </w:p>
    <w:p w:rsidR="00366919" w:rsidRPr="00174283" w:rsidRDefault="009E1A92" w:rsidP="009E1A92">
      <w:pPr>
        <w:pStyle w:val="SingleTxtG"/>
        <w:rPr>
          <w:lang w:val="fr-FR"/>
        </w:rPr>
      </w:pPr>
      <w:r>
        <w:rPr>
          <w:lang w:val="fr-FR"/>
        </w:rPr>
        <w:t>177.</w:t>
      </w:r>
      <w:r>
        <w:rPr>
          <w:lang w:val="fr-FR"/>
        </w:rPr>
        <w:tab/>
      </w:r>
      <w:r w:rsidR="002A6753" w:rsidRPr="00174283">
        <w:rPr>
          <w:lang w:val="fr-FR"/>
        </w:rPr>
        <w:t>La population rom est confrontée à un problème par</w:t>
      </w:r>
      <w:r w:rsidR="00B301D2" w:rsidRPr="00174283">
        <w:rPr>
          <w:lang w:val="fr-FR"/>
        </w:rPr>
        <w:t>ticulier en matière d</w:t>
      </w:r>
      <w:r w:rsidR="00205A62">
        <w:rPr>
          <w:lang w:val="fr-FR"/>
        </w:rPr>
        <w:t>’</w:t>
      </w:r>
      <w:r w:rsidR="00B301D2" w:rsidRPr="00174283">
        <w:rPr>
          <w:lang w:val="fr-FR"/>
        </w:rPr>
        <w:t>éducation dans la mesure où un grand nombre d</w:t>
      </w:r>
      <w:r w:rsidR="00205A62">
        <w:rPr>
          <w:lang w:val="fr-FR"/>
        </w:rPr>
        <w:t>’</w:t>
      </w:r>
      <w:r w:rsidR="00B301D2" w:rsidRPr="00174283">
        <w:rPr>
          <w:lang w:val="fr-FR"/>
        </w:rPr>
        <w:t xml:space="preserve">enfants </w:t>
      </w:r>
      <w:r w:rsidR="00B356D6" w:rsidRPr="00174283">
        <w:rPr>
          <w:lang w:val="fr-FR"/>
        </w:rPr>
        <w:t>roms</w:t>
      </w:r>
      <w:r w:rsidR="00B301D2" w:rsidRPr="00174283">
        <w:rPr>
          <w:lang w:val="fr-FR"/>
        </w:rPr>
        <w:t xml:space="preserve"> abandonnent leur scolarité. Par conséquent, au cours des six dernières années, le Ministère du travail et de la politique sociale, en collaboration avec le Fonds d</w:t>
      </w:r>
      <w:r w:rsidR="00205A62">
        <w:rPr>
          <w:lang w:val="fr-FR"/>
        </w:rPr>
        <w:t>’</w:t>
      </w:r>
      <w:r w:rsidR="00B301D2" w:rsidRPr="00174283">
        <w:rPr>
          <w:lang w:val="fr-FR"/>
        </w:rPr>
        <w:t>éducation rom et 18 collectivités territoriales autonomes, a mis en œuvre un projet d</w:t>
      </w:r>
      <w:r w:rsidR="00205A62">
        <w:rPr>
          <w:lang w:val="fr-FR"/>
        </w:rPr>
        <w:t>’</w:t>
      </w:r>
      <w:r w:rsidR="000D0535" w:rsidRPr="00174283">
        <w:rPr>
          <w:lang w:val="fr-FR"/>
        </w:rPr>
        <w:t>intégration</w:t>
      </w:r>
      <w:r w:rsidR="00B301D2" w:rsidRPr="00174283">
        <w:rPr>
          <w:lang w:val="fr-FR"/>
        </w:rPr>
        <w:t xml:space="preserve"> des enfants roms dans l</w:t>
      </w:r>
      <w:r w:rsidR="00205A62">
        <w:rPr>
          <w:lang w:val="fr-FR"/>
        </w:rPr>
        <w:t>’</w:t>
      </w:r>
      <w:r w:rsidR="00B301D2" w:rsidRPr="00174283">
        <w:rPr>
          <w:lang w:val="fr-FR"/>
        </w:rPr>
        <w:t>éducation préscolaire, dont le principal objectif est d</w:t>
      </w:r>
      <w:r w:rsidR="00205A62">
        <w:rPr>
          <w:lang w:val="fr-FR"/>
        </w:rPr>
        <w:t>’</w:t>
      </w:r>
      <w:r w:rsidR="00B301D2" w:rsidRPr="00174283">
        <w:rPr>
          <w:lang w:val="fr-FR"/>
        </w:rPr>
        <w:t>améliorer et de soutenir l</w:t>
      </w:r>
      <w:r w:rsidR="00205A62">
        <w:rPr>
          <w:lang w:val="fr-FR"/>
        </w:rPr>
        <w:t>’</w:t>
      </w:r>
      <w:r w:rsidR="00B301D2" w:rsidRPr="00174283">
        <w:rPr>
          <w:lang w:val="fr-FR"/>
        </w:rPr>
        <w:t xml:space="preserve">intégration des enfants roms </w:t>
      </w:r>
      <w:r w:rsidR="00E00A43" w:rsidRPr="00174283">
        <w:rPr>
          <w:lang w:val="fr-FR"/>
        </w:rPr>
        <w:t xml:space="preserve">en encourageant leur </w:t>
      </w:r>
      <w:r w:rsidR="00B356D6" w:rsidRPr="00174283">
        <w:rPr>
          <w:lang w:val="fr-FR"/>
        </w:rPr>
        <w:t>inscription</w:t>
      </w:r>
      <w:r w:rsidR="00E00A43" w:rsidRPr="00174283">
        <w:rPr>
          <w:lang w:val="fr-FR"/>
        </w:rPr>
        <w:t xml:space="preserve"> dans des établissements préscolaires un an avant le début du cycle primaire. En 2012-2013, ce projet a </w:t>
      </w:r>
      <w:r w:rsidR="00B356D6" w:rsidRPr="00174283">
        <w:rPr>
          <w:lang w:val="fr-FR"/>
        </w:rPr>
        <w:t>concerné</w:t>
      </w:r>
      <w:r w:rsidR="00E00A43" w:rsidRPr="00174283">
        <w:rPr>
          <w:lang w:val="fr-FR"/>
        </w:rPr>
        <w:t xml:space="preserve"> </w:t>
      </w:r>
      <w:r w:rsidR="00366919" w:rsidRPr="00174283">
        <w:rPr>
          <w:lang w:val="fr-FR"/>
        </w:rPr>
        <w:t xml:space="preserve">459 </w:t>
      </w:r>
      <w:r w:rsidR="00E00A43" w:rsidRPr="00174283">
        <w:rPr>
          <w:lang w:val="fr-FR"/>
        </w:rPr>
        <w:t>enfants roms</w:t>
      </w:r>
      <w:r w:rsidR="00366919" w:rsidRPr="00174283">
        <w:rPr>
          <w:lang w:val="fr-FR"/>
        </w:rPr>
        <w:t>.</w:t>
      </w:r>
    </w:p>
    <w:p w:rsidR="00366919" w:rsidRPr="00174283" w:rsidRDefault="009E1A92" w:rsidP="009E1A92">
      <w:pPr>
        <w:pStyle w:val="SingleTxtG"/>
        <w:rPr>
          <w:lang w:val="fr-FR"/>
        </w:rPr>
      </w:pPr>
      <w:r>
        <w:rPr>
          <w:lang w:val="fr-FR"/>
        </w:rPr>
        <w:t>178.</w:t>
      </w:r>
      <w:r>
        <w:rPr>
          <w:lang w:val="fr-FR"/>
        </w:rPr>
        <w:tab/>
      </w:r>
      <w:r w:rsidR="00AA077A" w:rsidRPr="00174283">
        <w:rPr>
          <w:lang w:val="fr-FR"/>
        </w:rPr>
        <w:t>Le Projet de bourses</w:t>
      </w:r>
      <w:r w:rsidR="00E92124" w:rsidRPr="00174283">
        <w:rPr>
          <w:lang w:val="fr-FR"/>
        </w:rPr>
        <w:t xml:space="preserve"> et d</w:t>
      </w:r>
      <w:r w:rsidR="00205A62">
        <w:rPr>
          <w:lang w:val="fr-FR"/>
        </w:rPr>
        <w:t>’</w:t>
      </w:r>
      <w:r w:rsidR="00E92124" w:rsidRPr="00174283">
        <w:rPr>
          <w:lang w:val="fr-FR"/>
        </w:rPr>
        <w:t>encadrement</w:t>
      </w:r>
      <w:r w:rsidR="00AA077A" w:rsidRPr="00174283">
        <w:rPr>
          <w:lang w:val="fr-FR"/>
        </w:rPr>
        <w:t xml:space="preserve"> </w:t>
      </w:r>
      <w:r w:rsidR="00111B68" w:rsidRPr="00174283">
        <w:rPr>
          <w:lang w:val="fr-FR"/>
        </w:rPr>
        <w:t xml:space="preserve">pédagogique </w:t>
      </w:r>
      <w:r w:rsidR="00AA077A" w:rsidRPr="00174283">
        <w:rPr>
          <w:lang w:val="fr-FR"/>
        </w:rPr>
        <w:t>pour les élèves roms</w:t>
      </w:r>
      <w:r w:rsidR="00E92124" w:rsidRPr="00174283">
        <w:rPr>
          <w:lang w:val="fr-FR"/>
        </w:rPr>
        <w:t xml:space="preserve"> inscrits dans des établissements d</w:t>
      </w:r>
      <w:r w:rsidR="00205A62">
        <w:rPr>
          <w:lang w:val="fr-FR"/>
        </w:rPr>
        <w:t>’</w:t>
      </w:r>
      <w:r w:rsidR="00E92124" w:rsidRPr="00174283">
        <w:rPr>
          <w:lang w:val="fr-FR"/>
        </w:rPr>
        <w:t>enseignement secondaire</w:t>
      </w:r>
      <w:r w:rsidR="00AA077A" w:rsidRPr="00174283">
        <w:rPr>
          <w:lang w:val="fr-FR"/>
        </w:rPr>
        <w:t xml:space="preserve"> est en place depuis novembre 2009. Ce projet a été mis en œuvre par </w:t>
      </w:r>
      <w:r w:rsidR="0053761B" w:rsidRPr="00174283">
        <w:rPr>
          <w:lang w:val="fr-FR"/>
        </w:rPr>
        <w:t xml:space="preserve">le Département </w:t>
      </w:r>
      <w:r w:rsidR="005F43D5" w:rsidRPr="00174283">
        <w:rPr>
          <w:lang w:val="fr-FR"/>
        </w:rPr>
        <w:t xml:space="preserve">pour la promotion et le </w:t>
      </w:r>
      <w:r w:rsidR="00AA077A" w:rsidRPr="00174283">
        <w:rPr>
          <w:lang w:val="fr-FR"/>
        </w:rPr>
        <w:t>développement de l</w:t>
      </w:r>
      <w:r w:rsidR="00205A62">
        <w:rPr>
          <w:lang w:val="fr-FR"/>
        </w:rPr>
        <w:t>’</w:t>
      </w:r>
      <w:r w:rsidR="00AA077A" w:rsidRPr="00174283">
        <w:rPr>
          <w:lang w:val="fr-FR"/>
        </w:rPr>
        <w:t xml:space="preserve">éducation des </w:t>
      </w:r>
      <w:r w:rsidR="00140D5D" w:rsidRPr="00174283">
        <w:rPr>
          <w:lang w:val="fr-FR"/>
        </w:rPr>
        <w:t xml:space="preserve">personnes appartenant aux </w:t>
      </w:r>
      <w:r w:rsidR="00AA077A" w:rsidRPr="00174283">
        <w:rPr>
          <w:lang w:val="fr-FR"/>
        </w:rPr>
        <w:t>communautés du Ministère de l</w:t>
      </w:r>
      <w:r w:rsidR="00205A62">
        <w:rPr>
          <w:lang w:val="fr-FR"/>
        </w:rPr>
        <w:t>’</w:t>
      </w:r>
      <w:r w:rsidR="00AA077A" w:rsidRPr="00174283">
        <w:rPr>
          <w:lang w:val="fr-FR"/>
        </w:rPr>
        <w:t xml:space="preserve">éducation et de la science et concerne 84 écoles et 25 </w:t>
      </w:r>
      <w:r w:rsidR="00B356D6" w:rsidRPr="00174283">
        <w:rPr>
          <w:lang w:val="fr-FR"/>
        </w:rPr>
        <w:t>municipalités</w:t>
      </w:r>
      <w:r w:rsidR="00AA077A" w:rsidRPr="00174283">
        <w:rPr>
          <w:lang w:val="fr-FR"/>
        </w:rPr>
        <w:t xml:space="preserve"> de Macédoine. </w:t>
      </w:r>
    </w:p>
    <w:p w:rsidR="00366919" w:rsidRPr="00174283" w:rsidRDefault="009E1A92" w:rsidP="009E1A92">
      <w:pPr>
        <w:pStyle w:val="SingleTxtG"/>
        <w:rPr>
          <w:lang w:val="fr-FR"/>
        </w:rPr>
      </w:pPr>
      <w:r>
        <w:rPr>
          <w:lang w:val="fr-FR"/>
        </w:rPr>
        <w:t>179.</w:t>
      </w:r>
      <w:r>
        <w:rPr>
          <w:lang w:val="fr-FR"/>
        </w:rPr>
        <w:tab/>
      </w:r>
      <w:r w:rsidR="00AA077A" w:rsidRPr="00174283">
        <w:rPr>
          <w:lang w:val="fr-FR"/>
        </w:rPr>
        <w:t>Dans le cadre de la Stratégie nationale pour les Roms et du Plan d</w:t>
      </w:r>
      <w:r w:rsidR="00205A62">
        <w:rPr>
          <w:lang w:val="fr-FR"/>
        </w:rPr>
        <w:t>’</w:t>
      </w:r>
      <w:r w:rsidR="00AA077A" w:rsidRPr="00174283">
        <w:rPr>
          <w:lang w:val="fr-FR"/>
        </w:rPr>
        <w:t>action pour l</w:t>
      </w:r>
      <w:r w:rsidR="00205A62">
        <w:rPr>
          <w:lang w:val="fr-FR"/>
        </w:rPr>
        <w:t>’</w:t>
      </w:r>
      <w:r w:rsidR="00AA077A" w:rsidRPr="00174283">
        <w:rPr>
          <w:lang w:val="fr-FR"/>
        </w:rPr>
        <w:t>éducation, le Ministère de l</w:t>
      </w:r>
      <w:r w:rsidR="00205A62">
        <w:rPr>
          <w:lang w:val="fr-FR"/>
        </w:rPr>
        <w:t>’</w:t>
      </w:r>
      <w:r w:rsidR="00AA077A" w:rsidRPr="00174283">
        <w:rPr>
          <w:lang w:val="fr-FR"/>
        </w:rPr>
        <w:t xml:space="preserve">éducation et de la science a </w:t>
      </w:r>
      <w:r w:rsidR="00B356D6" w:rsidRPr="00174283">
        <w:rPr>
          <w:lang w:val="fr-FR"/>
        </w:rPr>
        <w:t>décerné</w:t>
      </w:r>
      <w:r w:rsidR="00AA077A" w:rsidRPr="00174283">
        <w:rPr>
          <w:lang w:val="fr-FR"/>
        </w:rPr>
        <w:t xml:space="preserve"> 650 bourses</w:t>
      </w:r>
      <w:r w:rsidR="00D75ABB" w:rsidRPr="00174283">
        <w:rPr>
          <w:lang w:val="fr-FR"/>
        </w:rPr>
        <w:t xml:space="preserve"> pendant l</w:t>
      </w:r>
      <w:r w:rsidR="00205A62">
        <w:rPr>
          <w:lang w:val="fr-FR"/>
        </w:rPr>
        <w:t>’</w:t>
      </w:r>
      <w:r w:rsidR="00D75ABB" w:rsidRPr="00174283">
        <w:rPr>
          <w:lang w:val="fr-FR"/>
        </w:rPr>
        <w:t xml:space="preserve">année scolaire 2008/09 </w:t>
      </w:r>
      <w:r w:rsidR="00B93ED0" w:rsidRPr="00174283">
        <w:rPr>
          <w:lang w:val="fr-FR"/>
        </w:rPr>
        <w:t>à</w:t>
      </w:r>
      <w:r w:rsidR="00AA077A" w:rsidRPr="00174283">
        <w:rPr>
          <w:lang w:val="fr-FR"/>
        </w:rPr>
        <w:t xml:space="preserve"> des </w:t>
      </w:r>
      <w:r w:rsidR="00D75ABB" w:rsidRPr="00174283">
        <w:rPr>
          <w:lang w:val="fr-FR"/>
        </w:rPr>
        <w:t xml:space="preserve">élèves </w:t>
      </w:r>
      <w:r w:rsidR="00AA077A" w:rsidRPr="00174283">
        <w:rPr>
          <w:lang w:val="fr-FR"/>
        </w:rPr>
        <w:t xml:space="preserve">roms </w:t>
      </w:r>
      <w:r w:rsidR="00B93ED0" w:rsidRPr="00174283">
        <w:rPr>
          <w:lang w:val="fr-FR"/>
        </w:rPr>
        <w:t xml:space="preserve">inscrits </w:t>
      </w:r>
      <w:r w:rsidR="00AA077A" w:rsidRPr="00174283">
        <w:rPr>
          <w:lang w:val="fr-FR"/>
        </w:rPr>
        <w:t xml:space="preserve">en première année du </w:t>
      </w:r>
      <w:r w:rsidR="00B93ED0" w:rsidRPr="00174283">
        <w:rPr>
          <w:lang w:val="fr-FR"/>
        </w:rPr>
        <w:t xml:space="preserve">cycle </w:t>
      </w:r>
      <w:r w:rsidR="00B356D6" w:rsidRPr="00174283">
        <w:rPr>
          <w:lang w:val="fr-FR"/>
        </w:rPr>
        <w:t>secondaire</w:t>
      </w:r>
      <w:r w:rsidR="00AA077A" w:rsidRPr="00174283">
        <w:rPr>
          <w:lang w:val="fr-FR"/>
        </w:rPr>
        <w:t xml:space="preserve">, afin de les inciter à poursuivre et terminer leur </w:t>
      </w:r>
      <w:r w:rsidR="00B93ED0" w:rsidRPr="00174283">
        <w:rPr>
          <w:lang w:val="fr-FR"/>
        </w:rPr>
        <w:t>scolarité</w:t>
      </w:r>
      <w:r w:rsidR="00AA077A" w:rsidRPr="00174283">
        <w:rPr>
          <w:lang w:val="fr-FR"/>
        </w:rPr>
        <w:t xml:space="preserve">. </w:t>
      </w:r>
    </w:p>
    <w:p w:rsidR="00366919" w:rsidRPr="00174283" w:rsidRDefault="009E1A92" w:rsidP="009E1A92">
      <w:pPr>
        <w:pStyle w:val="SingleTxtG"/>
        <w:rPr>
          <w:lang w:val="fr-FR"/>
        </w:rPr>
      </w:pPr>
      <w:r>
        <w:rPr>
          <w:lang w:val="fr-FR"/>
        </w:rPr>
        <w:t>180.</w:t>
      </w:r>
      <w:r>
        <w:rPr>
          <w:lang w:val="fr-FR"/>
        </w:rPr>
        <w:tab/>
      </w:r>
      <w:r w:rsidR="00AA077A" w:rsidRPr="00174283">
        <w:rPr>
          <w:lang w:val="fr-FR"/>
        </w:rPr>
        <w:t>S</w:t>
      </w:r>
      <w:r w:rsidR="00205A62">
        <w:rPr>
          <w:lang w:val="fr-FR"/>
        </w:rPr>
        <w:t>’</w:t>
      </w:r>
      <w:r w:rsidR="00AA077A" w:rsidRPr="00174283">
        <w:rPr>
          <w:lang w:val="fr-FR"/>
        </w:rPr>
        <w:t xml:space="preserve">appuyant sur les </w:t>
      </w:r>
      <w:r w:rsidR="00D75ABB" w:rsidRPr="00174283">
        <w:rPr>
          <w:lang w:val="fr-FR"/>
        </w:rPr>
        <w:t>résultats</w:t>
      </w:r>
      <w:r w:rsidR="00AA077A" w:rsidRPr="00174283">
        <w:rPr>
          <w:lang w:val="fr-FR"/>
        </w:rPr>
        <w:t xml:space="preserve"> positi</w:t>
      </w:r>
      <w:r w:rsidR="00D75ABB" w:rsidRPr="00174283">
        <w:rPr>
          <w:lang w:val="fr-FR"/>
        </w:rPr>
        <w:t>f</w:t>
      </w:r>
      <w:r w:rsidR="00AA077A" w:rsidRPr="00174283">
        <w:rPr>
          <w:lang w:val="fr-FR"/>
        </w:rPr>
        <w:t xml:space="preserve">s de ces programmes, le </w:t>
      </w:r>
      <w:r w:rsidR="00B356D6" w:rsidRPr="00174283">
        <w:rPr>
          <w:lang w:val="fr-FR"/>
        </w:rPr>
        <w:t>Ministère</w:t>
      </w:r>
      <w:r w:rsidR="00AA077A" w:rsidRPr="00174283">
        <w:rPr>
          <w:lang w:val="fr-FR"/>
        </w:rPr>
        <w:t xml:space="preserve"> </w:t>
      </w:r>
      <w:r w:rsidR="00484483" w:rsidRPr="00174283">
        <w:rPr>
          <w:lang w:val="fr-FR"/>
        </w:rPr>
        <w:t>de l</w:t>
      </w:r>
      <w:r w:rsidR="00205A62">
        <w:rPr>
          <w:lang w:val="fr-FR"/>
        </w:rPr>
        <w:t>’</w:t>
      </w:r>
      <w:r w:rsidR="00484483" w:rsidRPr="00174283">
        <w:rPr>
          <w:lang w:val="fr-FR"/>
        </w:rPr>
        <w:t>éducation et de la science, en collaboration avec le Fonds d</w:t>
      </w:r>
      <w:r w:rsidR="00205A62">
        <w:rPr>
          <w:lang w:val="fr-FR"/>
        </w:rPr>
        <w:t>’</w:t>
      </w:r>
      <w:r w:rsidR="00484483" w:rsidRPr="00174283">
        <w:rPr>
          <w:lang w:val="fr-FR"/>
        </w:rPr>
        <w:t>éducation pour les Roms, a lancé pendant l</w:t>
      </w:r>
      <w:r w:rsidR="00205A62">
        <w:rPr>
          <w:lang w:val="fr-FR"/>
        </w:rPr>
        <w:t>’</w:t>
      </w:r>
      <w:r w:rsidR="00484483" w:rsidRPr="00174283">
        <w:rPr>
          <w:lang w:val="fr-FR"/>
        </w:rPr>
        <w:t>année scolaire 2009</w:t>
      </w:r>
      <w:r w:rsidR="00CB206A" w:rsidRPr="00174283">
        <w:rPr>
          <w:lang w:val="fr-FR"/>
        </w:rPr>
        <w:t>/</w:t>
      </w:r>
      <w:r w:rsidR="00484483" w:rsidRPr="00174283">
        <w:rPr>
          <w:lang w:val="fr-FR"/>
        </w:rPr>
        <w:t>10 un Projet de bourses et d</w:t>
      </w:r>
      <w:r w:rsidR="00205A62">
        <w:rPr>
          <w:lang w:val="fr-FR"/>
        </w:rPr>
        <w:t>’</w:t>
      </w:r>
      <w:r w:rsidR="005F43D5" w:rsidRPr="00174283">
        <w:rPr>
          <w:lang w:val="fr-FR"/>
        </w:rPr>
        <w:t>encadrement</w:t>
      </w:r>
      <w:r w:rsidR="00484483" w:rsidRPr="00174283">
        <w:rPr>
          <w:lang w:val="fr-FR"/>
        </w:rPr>
        <w:t xml:space="preserve"> pour 800 élèves roms et un Projet de </w:t>
      </w:r>
      <w:r w:rsidR="0042185F" w:rsidRPr="00174283">
        <w:rPr>
          <w:lang w:val="fr-FR"/>
        </w:rPr>
        <w:t>ment</w:t>
      </w:r>
      <w:r w:rsidR="00484483" w:rsidRPr="00174283">
        <w:rPr>
          <w:lang w:val="fr-FR"/>
        </w:rPr>
        <w:t>orat pour l</w:t>
      </w:r>
      <w:r w:rsidR="00205A62">
        <w:rPr>
          <w:lang w:val="fr-FR"/>
        </w:rPr>
        <w:t>’</w:t>
      </w:r>
      <w:r w:rsidR="00484483" w:rsidRPr="00174283">
        <w:rPr>
          <w:lang w:val="fr-FR"/>
        </w:rPr>
        <w:t>ensemble des élèves roms du secondaire (1 606 au total) afin de les aider à obtenir de meilleurs résultats. Des bourses ont été décernées à 450 élèves du secondaire (dont 258 filles) et ceux-ci ont obten</w:t>
      </w:r>
      <w:r w:rsidR="008B7BCB" w:rsidRPr="00174283">
        <w:rPr>
          <w:lang w:val="fr-FR"/>
        </w:rPr>
        <w:t>u une bonne moyenne générale (3.</w:t>
      </w:r>
      <w:r w:rsidR="00484483" w:rsidRPr="00174283">
        <w:rPr>
          <w:lang w:val="fr-FR"/>
        </w:rPr>
        <w:t xml:space="preserve">00). </w:t>
      </w:r>
    </w:p>
    <w:p w:rsidR="00366919" w:rsidRPr="00174283" w:rsidRDefault="009E1A92" w:rsidP="009E1A92">
      <w:pPr>
        <w:pStyle w:val="SingleTxtG"/>
        <w:rPr>
          <w:lang w:val="fr-FR"/>
        </w:rPr>
      </w:pPr>
      <w:r>
        <w:rPr>
          <w:lang w:val="fr-FR"/>
        </w:rPr>
        <w:t>181.</w:t>
      </w:r>
      <w:r>
        <w:rPr>
          <w:lang w:val="fr-FR"/>
        </w:rPr>
        <w:tab/>
      </w:r>
      <w:r w:rsidR="00484483" w:rsidRPr="00174283">
        <w:rPr>
          <w:lang w:val="fr-FR"/>
        </w:rPr>
        <w:t>Toutes ces mesures ont eu un effet très positif et ont permis d</w:t>
      </w:r>
      <w:r w:rsidR="00205A62">
        <w:rPr>
          <w:lang w:val="fr-FR"/>
        </w:rPr>
        <w:t>’</w:t>
      </w:r>
      <w:r w:rsidR="00484483" w:rsidRPr="00174283">
        <w:rPr>
          <w:lang w:val="fr-FR"/>
        </w:rPr>
        <w:t>augmenter le taux d</w:t>
      </w:r>
      <w:r w:rsidR="00205A62">
        <w:rPr>
          <w:lang w:val="fr-FR"/>
        </w:rPr>
        <w:t>’</w:t>
      </w:r>
      <w:r w:rsidR="00484483" w:rsidRPr="00174283">
        <w:rPr>
          <w:lang w:val="fr-FR"/>
        </w:rPr>
        <w:t xml:space="preserve">inscription des élèves roms. </w:t>
      </w:r>
    </w:p>
    <w:p w:rsidR="00366919" w:rsidRPr="00174283" w:rsidRDefault="009E1A92" w:rsidP="009E1A92">
      <w:pPr>
        <w:pStyle w:val="SingleTxtG"/>
        <w:rPr>
          <w:lang w:val="fr-FR"/>
        </w:rPr>
      </w:pPr>
      <w:r>
        <w:rPr>
          <w:lang w:val="fr-FR"/>
        </w:rPr>
        <w:t>182.</w:t>
      </w:r>
      <w:r>
        <w:rPr>
          <w:lang w:val="fr-FR"/>
        </w:rPr>
        <w:tab/>
      </w:r>
      <w:r w:rsidR="00484483" w:rsidRPr="00174283">
        <w:rPr>
          <w:lang w:val="fr-FR"/>
        </w:rPr>
        <w:t xml:space="preserve">Au cours des dernières années, le nombre </w:t>
      </w:r>
      <w:r w:rsidR="005D194E" w:rsidRPr="00174283">
        <w:rPr>
          <w:lang w:val="fr-FR"/>
        </w:rPr>
        <w:t>de filles</w:t>
      </w:r>
      <w:r w:rsidR="00484483" w:rsidRPr="00174283">
        <w:rPr>
          <w:lang w:val="fr-FR"/>
        </w:rPr>
        <w:t xml:space="preserve"> issu</w:t>
      </w:r>
      <w:r w:rsidR="005D194E" w:rsidRPr="00174283">
        <w:rPr>
          <w:lang w:val="fr-FR"/>
        </w:rPr>
        <w:t>e</w:t>
      </w:r>
      <w:r w:rsidR="00484483" w:rsidRPr="00174283">
        <w:rPr>
          <w:lang w:val="fr-FR"/>
        </w:rPr>
        <w:t>s d</w:t>
      </w:r>
      <w:r w:rsidR="0018179D" w:rsidRPr="00174283">
        <w:rPr>
          <w:lang w:val="fr-FR"/>
        </w:rPr>
        <w:t xml:space="preserve">es </w:t>
      </w:r>
      <w:r w:rsidR="00484483" w:rsidRPr="00174283">
        <w:rPr>
          <w:lang w:val="fr-FR"/>
        </w:rPr>
        <w:t xml:space="preserve">autres communautés ethniques </w:t>
      </w:r>
      <w:r w:rsidR="005D194E" w:rsidRPr="00174283">
        <w:rPr>
          <w:lang w:val="fr-FR"/>
        </w:rPr>
        <w:t>inscrites dans un établissement d</w:t>
      </w:r>
      <w:r w:rsidR="00205A62">
        <w:rPr>
          <w:lang w:val="fr-FR"/>
        </w:rPr>
        <w:t>’</w:t>
      </w:r>
      <w:r w:rsidR="005D194E" w:rsidRPr="00174283">
        <w:rPr>
          <w:lang w:val="fr-FR"/>
        </w:rPr>
        <w:t xml:space="preserve">enseignement secondaire </w:t>
      </w:r>
      <w:r w:rsidR="00484483" w:rsidRPr="00174283">
        <w:rPr>
          <w:lang w:val="fr-FR"/>
        </w:rPr>
        <w:t>a également augmenté</w:t>
      </w:r>
      <w:r w:rsidR="002F51DC">
        <w:rPr>
          <w:lang w:val="fr-FR"/>
        </w:rPr>
        <w:t>:</w:t>
      </w:r>
    </w:p>
    <w:tbl>
      <w:tblPr>
        <w:tblW w:w="7371" w:type="dxa"/>
        <w:tblInd w:w="1134" w:type="dxa"/>
        <w:tblBorders>
          <w:top w:val="single" w:sz="4" w:space="0" w:color="auto"/>
        </w:tblBorders>
        <w:tblLayout w:type="fixed"/>
        <w:tblCellMar>
          <w:left w:w="0" w:type="dxa"/>
          <w:right w:w="0" w:type="dxa"/>
        </w:tblCellMar>
        <w:tblLook w:val="01E0"/>
      </w:tblPr>
      <w:tblGrid>
        <w:gridCol w:w="1947"/>
        <w:gridCol w:w="1857"/>
        <w:gridCol w:w="1769"/>
        <w:gridCol w:w="1798"/>
      </w:tblGrid>
      <w:tr w:rsidR="00BE10C5" w:rsidRPr="00174283" w:rsidTr="00BE10C5">
        <w:trPr>
          <w:tblHeader/>
        </w:trPr>
        <w:tc>
          <w:tcPr>
            <w:tcW w:w="1947" w:type="dxa"/>
            <w:tcBorders>
              <w:top w:val="single" w:sz="4" w:space="0" w:color="auto"/>
              <w:bottom w:val="single" w:sz="12" w:space="0" w:color="auto"/>
            </w:tcBorders>
            <w:shd w:val="clear" w:color="auto" w:fill="auto"/>
            <w:vAlign w:val="bottom"/>
          </w:tcPr>
          <w:p w:rsidR="00BE10C5" w:rsidRPr="00174283" w:rsidRDefault="00484483" w:rsidP="00EC3159">
            <w:pPr>
              <w:pStyle w:val="SingleTxtG"/>
              <w:suppressAutoHyphens w:val="0"/>
              <w:spacing w:before="80" w:after="80" w:line="200" w:lineRule="exact"/>
              <w:ind w:left="0" w:right="0"/>
              <w:jc w:val="left"/>
              <w:rPr>
                <w:i/>
                <w:sz w:val="16"/>
                <w:lang w:val="fr-FR"/>
              </w:rPr>
            </w:pPr>
            <w:r w:rsidRPr="00174283">
              <w:rPr>
                <w:i/>
                <w:sz w:val="16"/>
                <w:lang w:val="fr-FR"/>
              </w:rPr>
              <w:t>Année scolaire</w:t>
            </w:r>
          </w:p>
        </w:tc>
        <w:tc>
          <w:tcPr>
            <w:tcW w:w="1857" w:type="dxa"/>
            <w:tcBorders>
              <w:top w:val="single" w:sz="4" w:space="0" w:color="auto"/>
              <w:bottom w:val="single" w:sz="12" w:space="0" w:color="auto"/>
            </w:tcBorders>
            <w:shd w:val="clear" w:color="auto" w:fill="auto"/>
            <w:vAlign w:val="bottom"/>
          </w:tcPr>
          <w:p w:rsidR="00BE10C5" w:rsidRPr="00174283" w:rsidRDefault="00484483" w:rsidP="00EC3159">
            <w:pPr>
              <w:pStyle w:val="SingleTxtG"/>
              <w:suppressAutoHyphens w:val="0"/>
              <w:spacing w:before="80" w:after="80" w:line="200" w:lineRule="exact"/>
              <w:ind w:left="0" w:right="0"/>
              <w:jc w:val="right"/>
              <w:rPr>
                <w:i/>
                <w:sz w:val="16"/>
                <w:lang w:val="fr-FR"/>
              </w:rPr>
            </w:pPr>
            <w:r w:rsidRPr="00174283">
              <w:rPr>
                <w:i/>
                <w:sz w:val="16"/>
                <w:lang w:val="fr-FR"/>
              </w:rPr>
              <w:t>Albanais</w:t>
            </w:r>
          </w:p>
        </w:tc>
        <w:tc>
          <w:tcPr>
            <w:tcW w:w="1769" w:type="dxa"/>
            <w:tcBorders>
              <w:top w:val="single" w:sz="4" w:space="0" w:color="auto"/>
              <w:bottom w:val="single" w:sz="12" w:space="0" w:color="auto"/>
            </w:tcBorders>
            <w:shd w:val="clear" w:color="auto" w:fill="auto"/>
            <w:vAlign w:val="bottom"/>
          </w:tcPr>
          <w:p w:rsidR="00BE10C5" w:rsidRPr="00174283" w:rsidRDefault="00BE10C5" w:rsidP="00EC3159">
            <w:pPr>
              <w:pStyle w:val="SingleTxtG"/>
              <w:suppressAutoHyphens w:val="0"/>
              <w:spacing w:before="80" w:after="80" w:line="200" w:lineRule="exact"/>
              <w:ind w:left="0" w:right="0"/>
              <w:jc w:val="right"/>
              <w:rPr>
                <w:i/>
                <w:sz w:val="16"/>
                <w:lang w:val="fr-FR"/>
              </w:rPr>
            </w:pPr>
            <w:r w:rsidRPr="00174283">
              <w:rPr>
                <w:i/>
                <w:sz w:val="16"/>
                <w:lang w:val="fr-FR"/>
              </w:rPr>
              <w:t>Tur</w:t>
            </w:r>
            <w:r w:rsidR="00484483" w:rsidRPr="00174283">
              <w:rPr>
                <w:i/>
                <w:sz w:val="16"/>
                <w:lang w:val="fr-FR"/>
              </w:rPr>
              <w:t>c</w:t>
            </w:r>
            <w:r w:rsidR="00CB206A" w:rsidRPr="00174283">
              <w:rPr>
                <w:i/>
                <w:sz w:val="16"/>
                <w:lang w:val="fr-FR"/>
              </w:rPr>
              <w:t>s</w:t>
            </w:r>
          </w:p>
        </w:tc>
        <w:tc>
          <w:tcPr>
            <w:tcW w:w="1798" w:type="dxa"/>
            <w:tcBorders>
              <w:top w:val="single" w:sz="4" w:space="0" w:color="auto"/>
              <w:bottom w:val="single" w:sz="12" w:space="0" w:color="auto"/>
            </w:tcBorders>
            <w:shd w:val="clear" w:color="auto" w:fill="auto"/>
            <w:vAlign w:val="bottom"/>
          </w:tcPr>
          <w:p w:rsidR="00BE10C5" w:rsidRPr="00174283" w:rsidRDefault="00484483" w:rsidP="00EC3159">
            <w:pPr>
              <w:pStyle w:val="SingleTxtG"/>
              <w:suppressAutoHyphens w:val="0"/>
              <w:spacing w:before="80" w:after="80" w:line="200" w:lineRule="exact"/>
              <w:ind w:left="0" w:right="0"/>
              <w:jc w:val="right"/>
              <w:rPr>
                <w:i/>
                <w:sz w:val="16"/>
                <w:lang w:val="fr-FR"/>
              </w:rPr>
            </w:pPr>
            <w:r w:rsidRPr="00174283">
              <w:rPr>
                <w:i/>
                <w:sz w:val="16"/>
                <w:lang w:val="fr-FR"/>
              </w:rPr>
              <w:t>Bosniaques</w:t>
            </w:r>
          </w:p>
        </w:tc>
      </w:tr>
      <w:tr w:rsidR="00BE10C5" w:rsidRPr="00174283" w:rsidTr="000E5A6F">
        <w:tc>
          <w:tcPr>
            <w:tcW w:w="1947" w:type="dxa"/>
            <w:tcBorders>
              <w:top w:val="single" w:sz="12" w:space="0" w:color="auto"/>
            </w:tcBorders>
            <w:shd w:val="clear" w:color="auto" w:fill="auto"/>
            <w:vAlign w:val="bottom"/>
          </w:tcPr>
          <w:p w:rsidR="00BE10C5" w:rsidRPr="00174283" w:rsidRDefault="00010F00" w:rsidP="000E5A6F">
            <w:pPr>
              <w:pStyle w:val="SingleTxtG"/>
              <w:suppressAutoHyphens w:val="0"/>
              <w:spacing w:before="40" w:after="40" w:line="220" w:lineRule="exact"/>
              <w:ind w:left="0" w:right="0"/>
              <w:jc w:val="left"/>
              <w:rPr>
                <w:sz w:val="18"/>
                <w:lang w:val="fr-FR"/>
              </w:rPr>
            </w:pPr>
            <w:r w:rsidRPr="00174283">
              <w:rPr>
                <w:sz w:val="18"/>
                <w:lang w:val="fr-FR"/>
              </w:rPr>
              <w:t>2006/</w:t>
            </w:r>
            <w:r w:rsidR="00BE10C5" w:rsidRPr="00174283">
              <w:rPr>
                <w:sz w:val="18"/>
                <w:lang w:val="fr-FR"/>
              </w:rPr>
              <w:t>07</w:t>
            </w:r>
          </w:p>
        </w:tc>
        <w:tc>
          <w:tcPr>
            <w:tcW w:w="1857" w:type="dxa"/>
            <w:tcBorders>
              <w:top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9</w:t>
            </w:r>
            <w:r w:rsidR="00010F00" w:rsidRPr="00174283">
              <w:rPr>
                <w:sz w:val="18"/>
                <w:lang w:val="fr-FR"/>
              </w:rPr>
              <w:t xml:space="preserve"> </w:t>
            </w:r>
            <w:r w:rsidRPr="00174283">
              <w:rPr>
                <w:sz w:val="18"/>
                <w:lang w:val="fr-FR"/>
              </w:rPr>
              <w:t>791</w:t>
            </w:r>
          </w:p>
        </w:tc>
        <w:tc>
          <w:tcPr>
            <w:tcW w:w="1769" w:type="dxa"/>
            <w:tcBorders>
              <w:top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1</w:t>
            </w:r>
            <w:r w:rsidR="00010F00" w:rsidRPr="00174283">
              <w:rPr>
                <w:sz w:val="18"/>
                <w:lang w:val="fr-FR"/>
              </w:rPr>
              <w:t xml:space="preserve"> </w:t>
            </w:r>
            <w:r w:rsidRPr="00174283">
              <w:rPr>
                <w:sz w:val="18"/>
                <w:lang w:val="fr-FR"/>
              </w:rPr>
              <w:t>072</w:t>
            </w:r>
          </w:p>
        </w:tc>
        <w:tc>
          <w:tcPr>
            <w:tcW w:w="1798" w:type="dxa"/>
            <w:tcBorders>
              <w:top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283</w:t>
            </w:r>
          </w:p>
        </w:tc>
      </w:tr>
      <w:tr w:rsidR="00BE10C5" w:rsidRPr="00174283" w:rsidTr="000E5A6F">
        <w:tc>
          <w:tcPr>
            <w:tcW w:w="1947" w:type="dxa"/>
            <w:shd w:val="clear" w:color="auto" w:fill="auto"/>
            <w:vAlign w:val="bottom"/>
          </w:tcPr>
          <w:p w:rsidR="00BE10C5" w:rsidRPr="00174283" w:rsidRDefault="00BE10C5" w:rsidP="000E5A6F">
            <w:pPr>
              <w:pStyle w:val="SingleTxtG"/>
              <w:suppressAutoHyphens w:val="0"/>
              <w:spacing w:before="40" w:after="40" w:line="220" w:lineRule="exact"/>
              <w:ind w:left="0" w:right="0"/>
              <w:jc w:val="left"/>
              <w:rPr>
                <w:sz w:val="18"/>
                <w:lang w:val="fr-FR"/>
              </w:rPr>
            </w:pPr>
            <w:r w:rsidRPr="00174283">
              <w:rPr>
                <w:sz w:val="18"/>
                <w:lang w:val="fr-FR"/>
              </w:rPr>
              <w:t>2007/08</w:t>
            </w:r>
          </w:p>
        </w:tc>
        <w:tc>
          <w:tcPr>
            <w:tcW w:w="1857" w:type="dxa"/>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10</w:t>
            </w:r>
            <w:r w:rsidR="00010F00" w:rsidRPr="00174283">
              <w:rPr>
                <w:sz w:val="18"/>
                <w:lang w:val="fr-FR"/>
              </w:rPr>
              <w:t xml:space="preserve"> </w:t>
            </w:r>
            <w:r w:rsidRPr="00174283">
              <w:rPr>
                <w:sz w:val="18"/>
                <w:lang w:val="fr-FR"/>
              </w:rPr>
              <w:t>731</w:t>
            </w:r>
          </w:p>
        </w:tc>
        <w:tc>
          <w:tcPr>
            <w:tcW w:w="1769" w:type="dxa"/>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1</w:t>
            </w:r>
            <w:r w:rsidR="00010F00" w:rsidRPr="00174283">
              <w:rPr>
                <w:sz w:val="18"/>
                <w:lang w:val="fr-FR"/>
              </w:rPr>
              <w:t xml:space="preserve"> </w:t>
            </w:r>
            <w:r w:rsidRPr="00174283">
              <w:rPr>
                <w:sz w:val="18"/>
                <w:lang w:val="fr-FR"/>
              </w:rPr>
              <w:t>172</w:t>
            </w:r>
          </w:p>
        </w:tc>
        <w:tc>
          <w:tcPr>
            <w:tcW w:w="1798" w:type="dxa"/>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317</w:t>
            </w:r>
          </w:p>
        </w:tc>
      </w:tr>
      <w:tr w:rsidR="00BE10C5" w:rsidRPr="00174283" w:rsidTr="000E5A6F">
        <w:tc>
          <w:tcPr>
            <w:tcW w:w="1947" w:type="dxa"/>
            <w:tcBorders>
              <w:bottom w:val="single" w:sz="12" w:space="0" w:color="auto"/>
            </w:tcBorders>
            <w:shd w:val="clear" w:color="auto" w:fill="auto"/>
            <w:vAlign w:val="bottom"/>
          </w:tcPr>
          <w:p w:rsidR="00BE10C5" w:rsidRPr="00174283" w:rsidRDefault="00BE10C5" w:rsidP="000E5A6F">
            <w:pPr>
              <w:pStyle w:val="SingleTxtG"/>
              <w:suppressAutoHyphens w:val="0"/>
              <w:spacing w:before="40" w:after="40" w:line="220" w:lineRule="exact"/>
              <w:ind w:left="0" w:right="0"/>
              <w:jc w:val="left"/>
              <w:rPr>
                <w:sz w:val="18"/>
                <w:lang w:val="fr-FR"/>
              </w:rPr>
            </w:pPr>
            <w:r w:rsidRPr="00174283">
              <w:rPr>
                <w:sz w:val="18"/>
                <w:lang w:val="fr-FR"/>
              </w:rPr>
              <w:t>2008/09</w:t>
            </w:r>
          </w:p>
        </w:tc>
        <w:tc>
          <w:tcPr>
            <w:tcW w:w="1857" w:type="dxa"/>
            <w:tcBorders>
              <w:bottom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11</w:t>
            </w:r>
            <w:r w:rsidR="00010F00" w:rsidRPr="00174283">
              <w:rPr>
                <w:sz w:val="18"/>
                <w:lang w:val="fr-FR"/>
              </w:rPr>
              <w:t xml:space="preserve"> </w:t>
            </w:r>
            <w:r w:rsidRPr="00174283">
              <w:rPr>
                <w:sz w:val="18"/>
                <w:lang w:val="fr-FR"/>
              </w:rPr>
              <w:t>380</w:t>
            </w:r>
          </w:p>
        </w:tc>
        <w:tc>
          <w:tcPr>
            <w:tcW w:w="1769" w:type="dxa"/>
            <w:tcBorders>
              <w:bottom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1</w:t>
            </w:r>
            <w:r w:rsidR="00010F00" w:rsidRPr="00174283">
              <w:rPr>
                <w:sz w:val="18"/>
                <w:lang w:val="fr-FR"/>
              </w:rPr>
              <w:t xml:space="preserve"> </w:t>
            </w:r>
            <w:r w:rsidRPr="00174283">
              <w:rPr>
                <w:sz w:val="18"/>
                <w:lang w:val="fr-FR"/>
              </w:rPr>
              <w:t>220</w:t>
            </w:r>
          </w:p>
        </w:tc>
        <w:tc>
          <w:tcPr>
            <w:tcW w:w="1798" w:type="dxa"/>
            <w:tcBorders>
              <w:bottom w:val="single" w:sz="12" w:space="0" w:color="auto"/>
            </w:tcBorders>
            <w:shd w:val="clear" w:color="auto" w:fill="auto"/>
            <w:vAlign w:val="bottom"/>
          </w:tcPr>
          <w:p w:rsidR="00BE10C5" w:rsidRPr="00174283" w:rsidRDefault="00BE10C5" w:rsidP="00EC3159">
            <w:pPr>
              <w:pStyle w:val="SingleTxtG"/>
              <w:suppressAutoHyphens w:val="0"/>
              <w:spacing w:before="40" w:after="40" w:line="220" w:lineRule="exact"/>
              <w:ind w:left="0" w:right="0"/>
              <w:jc w:val="right"/>
              <w:rPr>
                <w:sz w:val="18"/>
                <w:lang w:val="fr-FR"/>
              </w:rPr>
            </w:pPr>
            <w:r w:rsidRPr="00174283">
              <w:rPr>
                <w:sz w:val="18"/>
                <w:lang w:val="fr-FR"/>
              </w:rPr>
              <w:t>333</w:t>
            </w:r>
          </w:p>
        </w:tc>
      </w:tr>
    </w:tbl>
    <w:p w:rsidR="00BE10C5" w:rsidRPr="00174283" w:rsidRDefault="009E1A92" w:rsidP="009E1A92">
      <w:pPr>
        <w:pStyle w:val="SingleTxtG"/>
        <w:spacing w:before="240"/>
        <w:rPr>
          <w:lang w:val="fr-FR"/>
        </w:rPr>
      </w:pPr>
      <w:r>
        <w:rPr>
          <w:lang w:val="fr-FR"/>
        </w:rPr>
        <w:t>183.</w:t>
      </w:r>
      <w:r>
        <w:rPr>
          <w:lang w:val="fr-FR"/>
        </w:rPr>
        <w:tab/>
      </w:r>
      <w:r w:rsidR="005F43D5" w:rsidRPr="00174283">
        <w:rPr>
          <w:lang w:val="fr-FR"/>
        </w:rPr>
        <w:t>D</w:t>
      </w:r>
      <w:r w:rsidR="00484483" w:rsidRPr="00174283">
        <w:rPr>
          <w:lang w:val="fr-FR"/>
        </w:rPr>
        <w:t>es écoles secondaire</w:t>
      </w:r>
      <w:r w:rsidR="00CB206A" w:rsidRPr="00174283">
        <w:rPr>
          <w:lang w:val="fr-FR"/>
        </w:rPr>
        <w:t>s</w:t>
      </w:r>
      <w:r w:rsidR="00484483" w:rsidRPr="00174283">
        <w:rPr>
          <w:lang w:val="fr-FR"/>
        </w:rPr>
        <w:t xml:space="preserve"> et plusieurs classes </w:t>
      </w:r>
      <w:r w:rsidR="005F43D5" w:rsidRPr="00174283">
        <w:rPr>
          <w:lang w:val="fr-FR"/>
        </w:rPr>
        <w:t xml:space="preserve">ont été ouvertes </w:t>
      </w:r>
      <w:r w:rsidR="00484483" w:rsidRPr="00174283">
        <w:rPr>
          <w:lang w:val="fr-FR"/>
        </w:rPr>
        <w:t xml:space="preserve">dans </w:t>
      </w:r>
      <w:r w:rsidR="005F43D5" w:rsidRPr="00174283">
        <w:rPr>
          <w:lang w:val="fr-FR"/>
        </w:rPr>
        <w:t>l</w:t>
      </w:r>
      <w:r w:rsidR="00484483" w:rsidRPr="00174283">
        <w:rPr>
          <w:lang w:val="fr-FR"/>
        </w:rPr>
        <w:t>es zones rurales pour faciliter l</w:t>
      </w:r>
      <w:r w:rsidR="00205A62">
        <w:rPr>
          <w:lang w:val="fr-FR"/>
        </w:rPr>
        <w:t>’</w:t>
      </w:r>
      <w:r w:rsidR="00484483" w:rsidRPr="00174283">
        <w:rPr>
          <w:lang w:val="fr-FR"/>
        </w:rPr>
        <w:t>accès à l</w:t>
      </w:r>
      <w:r w:rsidR="00205A62">
        <w:rPr>
          <w:lang w:val="fr-FR"/>
        </w:rPr>
        <w:t>’</w:t>
      </w:r>
      <w:r w:rsidR="00484483" w:rsidRPr="00174283">
        <w:rPr>
          <w:lang w:val="fr-FR"/>
        </w:rPr>
        <w:t xml:space="preserve">éducation des enfants des zones rurales. </w:t>
      </w:r>
      <w:r w:rsidR="00CA2D54" w:rsidRPr="00174283">
        <w:rPr>
          <w:lang w:val="fr-FR"/>
        </w:rPr>
        <w:t xml:space="preserve">Des </w:t>
      </w:r>
      <w:r w:rsidR="00484483" w:rsidRPr="00174283">
        <w:rPr>
          <w:lang w:val="fr-FR"/>
        </w:rPr>
        <w:t xml:space="preserve">écoles secondaires </w:t>
      </w:r>
      <w:r w:rsidR="00CA2D54" w:rsidRPr="00174283">
        <w:rPr>
          <w:lang w:val="fr-FR"/>
        </w:rPr>
        <w:t xml:space="preserve">ont été ouvertes </w:t>
      </w:r>
      <w:r w:rsidR="00484483" w:rsidRPr="00174283">
        <w:rPr>
          <w:lang w:val="fr-FR"/>
        </w:rPr>
        <w:t xml:space="preserve">dans les municipalités de </w:t>
      </w:r>
      <w:r w:rsidR="00BE10C5" w:rsidRPr="00174283">
        <w:rPr>
          <w:lang w:val="fr-FR"/>
        </w:rPr>
        <w:t xml:space="preserve">Lipkovo </w:t>
      </w:r>
      <w:r w:rsidR="00484483" w:rsidRPr="00174283">
        <w:rPr>
          <w:lang w:val="fr-FR"/>
        </w:rPr>
        <w:t xml:space="preserve">et de </w:t>
      </w:r>
      <w:r w:rsidR="00BE10C5" w:rsidRPr="00174283">
        <w:rPr>
          <w:lang w:val="fr-FR"/>
        </w:rPr>
        <w:t xml:space="preserve">Centar Zupa </w:t>
      </w:r>
      <w:r w:rsidR="00484483" w:rsidRPr="00174283">
        <w:rPr>
          <w:lang w:val="fr-FR"/>
        </w:rPr>
        <w:t>et de</w:t>
      </w:r>
      <w:r w:rsidR="00CA2D54" w:rsidRPr="00174283">
        <w:rPr>
          <w:lang w:val="fr-FR"/>
        </w:rPr>
        <w:t>s</w:t>
      </w:r>
      <w:r w:rsidR="00484483" w:rsidRPr="00174283">
        <w:rPr>
          <w:lang w:val="fr-FR"/>
        </w:rPr>
        <w:t xml:space="preserve"> classes dans les municipalités de </w:t>
      </w:r>
      <w:r w:rsidR="00BE10C5" w:rsidRPr="00174283">
        <w:rPr>
          <w:lang w:val="fr-FR"/>
        </w:rPr>
        <w:t xml:space="preserve">Mavrovo </w:t>
      </w:r>
      <w:r w:rsidR="00484483" w:rsidRPr="00174283">
        <w:rPr>
          <w:lang w:val="fr-FR"/>
        </w:rPr>
        <w:t xml:space="preserve">et de </w:t>
      </w:r>
      <w:r w:rsidR="00BE10C5" w:rsidRPr="00174283">
        <w:rPr>
          <w:lang w:val="fr-FR"/>
        </w:rPr>
        <w:t>Rostuse, Vrapciste</w:t>
      </w:r>
      <w:r w:rsidR="00010F00" w:rsidRPr="00174283">
        <w:rPr>
          <w:lang w:val="fr-FR"/>
        </w:rPr>
        <w:t>,</w:t>
      </w:r>
      <w:r w:rsidR="00BE10C5" w:rsidRPr="00174283">
        <w:rPr>
          <w:lang w:val="fr-FR"/>
        </w:rPr>
        <w:t xml:space="preserve"> etc. </w:t>
      </w:r>
    </w:p>
    <w:p w:rsidR="00BE10C5" w:rsidRPr="00174283" w:rsidRDefault="009E1A92" w:rsidP="009E1A92">
      <w:pPr>
        <w:pStyle w:val="SingleTxtG"/>
        <w:rPr>
          <w:lang w:val="fr-FR"/>
        </w:rPr>
      </w:pPr>
      <w:r>
        <w:rPr>
          <w:lang w:val="fr-FR"/>
        </w:rPr>
        <w:t>184.</w:t>
      </w:r>
      <w:r>
        <w:rPr>
          <w:lang w:val="fr-FR"/>
        </w:rPr>
        <w:tab/>
      </w:r>
      <w:r w:rsidR="00C16F14" w:rsidRPr="00174283">
        <w:rPr>
          <w:lang w:val="fr-FR"/>
        </w:rPr>
        <w:t>Pour sensibiliser le public</w:t>
      </w:r>
      <w:r w:rsidR="00CA2D54" w:rsidRPr="00174283">
        <w:rPr>
          <w:lang w:val="fr-FR"/>
        </w:rPr>
        <w:t xml:space="preserve">, </w:t>
      </w:r>
      <w:r w:rsidR="00C16F14" w:rsidRPr="00174283">
        <w:rPr>
          <w:lang w:val="fr-FR"/>
        </w:rPr>
        <w:t xml:space="preserve">augmenter </w:t>
      </w:r>
      <w:r w:rsidR="00CA2D54" w:rsidRPr="00174283">
        <w:rPr>
          <w:lang w:val="fr-FR"/>
        </w:rPr>
        <w:t>l</w:t>
      </w:r>
      <w:r w:rsidR="00205A62">
        <w:rPr>
          <w:lang w:val="fr-FR"/>
        </w:rPr>
        <w:t>’</w:t>
      </w:r>
      <w:r w:rsidR="00CA2D54" w:rsidRPr="00174283">
        <w:rPr>
          <w:lang w:val="fr-FR"/>
        </w:rPr>
        <w:t>inscription des</w:t>
      </w:r>
      <w:r w:rsidR="00C16F14" w:rsidRPr="00174283">
        <w:rPr>
          <w:lang w:val="fr-FR"/>
        </w:rPr>
        <w:t xml:space="preserve"> filles issues des communautés ethniques et des zones rurales </w:t>
      </w:r>
      <w:r w:rsidR="00CA2D54" w:rsidRPr="00174283">
        <w:rPr>
          <w:lang w:val="fr-FR"/>
        </w:rPr>
        <w:t>à l</w:t>
      </w:r>
      <w:r w:rsidR="00205A62">
        <w:rPr>
          <w:lang w:val="fr-FR"/>
        </w:rPr>
        <w:t>’</w:t>
      </w:r>
      <w:r w:rsidR="00C16F14" w:rsidRPr="00174283">
        <w:rPr>
          <w:lang w:val="fr-FR"/>
        </w:rPr>
        <w:t>école et réduire le taux d</w:t>
      </w:r>
      <w:r w:rsidR="00205A62">
        <w:rPr>
          <w:lang w:val="fr-FR"/>
        </w:rPr>
        <w:t>’</w:t>
      </w:r>
      <w:r w:rsidR="00C16F14" w:rsidRPr="00174283">
        <w:rPr>
          <w:lang w:val="fr-FR"/>
        </w:rPr>
        <w:t xml:space="preserve">abandon </w:t>
      </w:r>
      <w:r w:rsidR="00B356D6" w:rsidRPr="00174283">
        <w:rPr>
          <w:lang w:val="fr-FR"/>
        </w:rPr>
        <w:t>scolaire</w:t>
      </w:r>
      <w:r w:rsidR="00C16F14" w:rsidRPr="00174283">
        <w:rPr>
          <w:lang w:val="fr-FR"/>
        </w:rPr>
        <w:t xml:space="preserve">, un grand </w:t>
      </w:r>
      <w:r w:rsidR="00B356D6" w:rsidRPr="00174283">
        <w:rPr>
          <w:lang w:val="fr-FR"/>
        </w:rPr>
        <w:t>nombre</w:t>
      </w:r>
      <w:r w:rsidR="00C16F14" w:rsidRPr="00174283">
        <w:rPr>
          <w:lang w:val="fr-FR"/>
        </w:rPr>
        <w:t xml:space="preserve"> de campagnes et d</w:t>
      </w:r>
      <w:r w:rsidR="00205A62">
        <w:rPr>
          <w:lang w:val="fr-FR"/>
        </w:rPr>
        <w:t>’</w:t>
      </w:r>
      <w:r w:rsidR="00C16F14" w:rsidRPr="00174283">
        <w:rPr>
          <w:lang w:val="fr-FR"/>
        </w:rPr>
        <w:t>activités ont été déployées, notamment</w:t>
      </w:r>
      <w:r w:rsidR="002F51DC">
        <w:rPr>
          <w:lang w:val="fr-FR"/>
        </w:rPr>
        <w:t>:</w:t>
      </w:r>
    </w:p>
    <w:p w:rsidR="00BE10C5" w:rsidRPr="00174283" w:rsidRDefault="00C16F14" w:rsidP="00BE10C5">
      <w:pPr>
        <w:pStyle w:val="Bullet1G"/>
        <w:rPr>
          <w:lang w:val="fr-FR"/>
        </w:rPr>
      </w:pPr>
      <w:r w:rsidRPr="00174283">
        <w:rPr>
          <w:lang w:val="fr-FR"/>
        </w:rPr>
        <w:t>Une campagne dans les médias sur l</w:t>
      </w:r>
      <w:r w:rsidR="00205A62">
        <w:rPr>
          <w:lang w:val="fr-FR"/>
        </w:rPr>
        <w:t>’</w:t>
      </w:r>
      <w:r w:rsidRPr="00174283">
        <w:rPr>
          <w:lang w:val="fr-FR"/>
        </w:rPr>
        <w:t>enseignement secondaire obligatoire</w:t>
      </w:r>
      <w:r w:rsidR="00794E66">
        <w:rPr>
          <w:lang w:val="fr-FR"/>
        </w:rPr>
        <w:t>;</w:t>
      </w:r>
    </w:p>
    <w:p w:rsidR="00BE10C5" w:rsidRPr="00174283" w:rsidRDefault="00B356D6" w:rsidP="00BE10C5">
      <w:pPr>
        <w:pStyle w:val="Bullet1G"/>
        <w:rPr>
          <w:lang w:val="fr-FR"/>
        </w:rPr>
      </w:pPr>
      <w:r w:rsidRPr="00174283">
        <w:rPr>
          <w:lang w:val="fr-FR"/>
        </w:rPr>
        <w:t>La campagne intitulée «La clé est entre nos mains» soutenue par le Fonds d</w:t>
      </w:r>
      <w:r w:rsidR="00205A62">
        <w:rPr>
          <w:lang w:val="fr-FR"/>
        </w:rPr>
        <w:t>’</w:t>
      </w:r>
      <w:r w:rsidRPr="00174283">
        <w:rPr>
          <w:lang w:val="fr-FR"/>
        </w:rPr>
        <w:t>éducation pour les Roms et pilotée par l</w:t>
      </w:r>
      <w:r w:rsidR="00205A62">
        <w:rPr>
          <w:lang w:val="fr-FR"/>
        </w:rPr>
        <w:t>’</w:t>
      </w:r>
      <w:r w:rsidRPr="00174283">
        <w:rPr>
          <w:lang w:val="fr-FR"/>
        </w:rPr>
        <w:t>ONG Centre national rom</w:t>
      </w:r>
      <w:r w:rsidR="00930C8B" w:rsidRPr="00174283">
        <w:rPr>
          <w:lang w:val="fr-FR"/>
        </w:rPr>
        <w:t>,</w:t>
      </w:r>
      <w:r w:rsidRPr="00174283">
        <w:rPr>
          <w:lang w:val="fr-FR"/>
        </w:rPr>
        <w:t xml:space="preserve"> en collaboration avec </w:t>
      </w:r>
      <w:r w:rsidR="0053761B" w:rsidRPr="00174283">
        <w:rPr>
          <w:lang w:val="fr-FR"/>
        </w:rPr>
        <w:t>le Département</w:t>
      </w:r>
      <w:r w:rsidRPr="00174283">
        <w:rPr>
          <w:lang w:val="fr-FR"/>
        </w:rPr>
        <w:t xml:space="preserve"> pour le développement et l</w:t>
      </w:r>
      <w:r w:rsidR="0053761B" w:rsidRPr="00174283">
        <w:rPr>
          <w:lang w:val="fr-FR"/>
        </w:rPr>
        <w:t>a promotion de l</w:t>
      </w:r>
      <w:r w:rsidR="00205A62">
        <w:rPr>
          <w:lang w:val="fr-FR"/>
        </w:rPr>
        <w:t>’</w:t>
      </w:r>
      <w:r w:rsidR="0053761B" w:rsidRPr="00174283">
        <w:rPr>
          <w:lang w:val="fr-FR"/>
        </w:rPr>
        <w:t>enseignement</w:t>
      </w:r>
      <w:r w:rsidR="002F51DC">
        <w:rPr>
          <w:lang w:val="fr-FR"/>
        </w:rPr>
        <w:t xml:space="preserve"> </w:t>
      </w:r>
      <w:r w:rsidRPr="00174283">
        <w:rPr>
          <w:lang w:val="fr-FR"/>
        </w:rPr>
        <w:t>dans les langues des communauté</w:t>
      </w:r>
      <w:r w:rsidR="005F43D5" w:rsidRPr="00174283">
        <w:rPr>
          <w:lang w:val="fr-FR"/>
        </w:rPr>
        <w:t>s et le Département pour la promotion</w:t>
      </w:r>
      <w:r w:rsidR="002F51DC">
        <w:rPr>
          <w:lang w:val="fr-FR"/>
        </w:rPr>
        <w:t xml:space="preserve"> </w:t>
      </w:r>
      <w:r w:rsidRPr="00174283">
        <w:rPr>
          <w:lang w:val="fr-FR"/>
        </w:rPr>
        <w:t>de l</w:t>
      </w:r>
      <w:r w:rsidR="00205A62">
        <w:rPr>
          <w:lang w:val="fr-FR"/>
        </w:rPr>
        <w:t>’</w:t>
      </w:r>
      <w:r w:rsidRPr="00174283">
        <w:rPr>
          <w:lang w:val="fr-FR"/>
        </w:rPr>
        <w:t xml:space="preserve">enseignement primaire et secondaire. </w:t>
      </w:r>
      <w:r w:rsidR="00D86758" w:rsidRPr="00174283">
        <w:rPr>
          <w:lang w:val="fr-FR"/>
        </w:rPr>
        <w:t xml:space="preserve">Cette campagne a débuté en 2006 et se poursuit </w:t>
      </w:r>
      <w:r w:rsidR="00930C8B" w:rsidRPr="00174283">
        <w:rPr>
          <w:lang w:val="fr-FR"/>
        </w:rPr>
        <w:t xml:space="preserve">encore </w:t>
      </w:r>
      <w:r w:rsidR="00D86758" w:rsidRPr="00174283">
        <w:rPr>
          <w:lang w:val="fr-FR"/>
        </w:rPr>
        <w:t>à ce jour. Elle incite les parents roms à inscrire leur enfant à l</w:t>
      </w:r>
      <w:r w:rsidR="00205A62">
        <w:rPr>
          <w:lang w:val="fr-FR"/>
        </w:rPr>
        <w:t>’</w:t>
      </w:r>
      <w:r w:rsidR="00D86758" w:rsidRPr="00174283">
        <w:rPr>
          <w:lang w:val="fr-FR"/>
        </w:rPr>
        <w:t xml:space="preserve">école et à </w:t>
      </w:r>
      <w:r w:rsidR="0018179D" w:rsidRPr="00174283">
        <w:rPr>
          <w:lang w:val="fr-FR"/>
        </w:rPr>
        <w:t>lutter</w:t>
      </w:r>
      <w:r w:rsidR="00D86758" w:rsidRPr="00174283">
        <w:rPr>
          <w:lang w:val="fr-FR"/>
        </w:rPr>
        <w:t xml:space="preserve"> contre </w:t>
      </w:r>
      <w:r w:rsidR="00140D5D" w:rsidRPr="00174283">
        <w:rPr>
          <w:lang w:val="fr-FR"/>
        </w:rPr>
        <w:t>le décrochage</w:t>
      </w:r>
      <w:r w:rsidR="00D86758" w:rsidRPr="00174283">
        <w:rPr>
          <w:lang w:val="fr-FR"/>
        </w:rPr>
        <w:t xml:space="preserve"> scolaire. Un manuel sur la prévention </w:t>
      </w:r>
      <w:r w:rsidR="003917ED" w:rsidRPr="00174283">
        <w:rPr>
          <w:lang w:val="fr-FR"/>
        </w:rPr>
        <w:t>de la discrimination et la protection contre ce phénomène dans l</w:t>
      </w:r>
      <w:r w:rsidR="00205A62">
        <w:rPr>
          <w:lang w:val="fr-FR"/>
        </w:rPr>
        <w:t>’</w:t>
      </w:r>
      <w:r w:rsidR="003917ED" w:rsidRPr="00174283">
        <w:rPr>
          <w:lang w:val="fr-FR"/>
        </w:rPr>
        <w:t xml:space="preserve">éducation a également été publié dans le cadre de cette campagne. </w:t>
      </w:r>
    </w:p>
    <w:p w:rsidR="00366919" w:rsidRPr="00174283" w:rsidRDefault="009E1A92" w:rsidP="009E1A92">
      <w:pPr>
        <w:pStyle w:val="SingleTxtG"/>
        <w:rPr>
          <w:lang w:val="fr-FR"/>
        </w:rPr>
      </w:pPr>
      <w:r>
        <w:rPr>
          <w:lang w:val="fr-FR"/>
        </w:rPr>
        <w:t>185.</w:t>
      </w:r>
      <w:r>
        <w:rPr>
          <w:lang w:val="fr-FR"/>
        </w:rPr>
        <w:tab/>
      </w:r>
      <w:r w:rsidR="00814B68" w:rsidRPr="00174283">
        <w:rPr>
          <w:lang w:val="fr-FR"/>
        </w:rPr>
        <w:t>L</w:t>
      </w:r>
      <w:r w:rsidR="00205A62">
        <w:rPr>
          <w:lang w:val="fr-FR"/>
        </w:rPr>
        <w:t>’</w:t>
      </w:r>
      <w:r w:rsidR="00814B68" w:rsidRPr="00174283">
        <w:rPr>
          <w:lang w:val="fr-FR"/>
        </w:rPr>
        <w:t>augmentation tendancielle du nombre d</w:t>
      </w:r>
      <w:r w:rsidR="00205A62">
        <w:rPr>
          <w:lang w:val="fr-FR"/>
        </w:rPr>
        <w:t>’</w:t>
      </w:r>
      <w:r w:rsidR="00814B68" w:rsidRPr="00174283">
        <w:rPr>
          <w:lang w:val="fr-FR"/>
        </w:rPr>
        <w:t xml:space="preserve">étudiants </w:t>
      </w:r>
      <w:r w:rsidR="00D75ABB" w:rsidRPr="00174283">
        <w:rPr>
          <w:lang w:val="fr-FR"/>
        </w:rPr>
        <w:t>inscrits dans des établissements d</w:t>
      </w:r>
      <w:r w:rsidR="00205A62">
        <w:rPr>
          <w:lang w:val="fr-FR"/>
        </w:rPr>
        <w:t>’</w:t>
      </w:r>
      <w:r w:rsidR="00814B68" w:rsidRPr="00174283">
        <w:rPr>
          <w:lang w:val="fr-FR"/>
        </w:rPr>
        <w:t>enseignement supérieur est similaire à celle que l</w:t>
      </w:r>
      <w:r w:rsidR="00205A62">
        <w:rPr>
          <w:lang w:val="fr-FR"/>
        </w:rPr>
        <w:t>’</w:t>
      </w:r>
      <w:r w:rsidR="00814B68" w:rsidRPr="00174283">
        <w:rPr>
          <w:lang w:val="fr-FR"/>
        </w:rPr>
        <w:t xml:space="preserve">on </w:t>
      </w:r>
      <w:r w:rsidR="00B356D6" w:rsidRPr="00174283">
        <w:rPr>
          <w:lang w:val="fr-FR"/>
        </w:rPr>
        <w:t>observe</w:t>
      </w:r>
      <w:r w:rsidR="00814B68" w:rsidRPr="00174283">
        <w:rPr>
          <w:lang w:val="fr-FR"/>
        </w:rPr>
        <w:t xml:space="preserve"> dans l</w:t>
      </w:r>
      <w:r w:rsidR="00205A62">
        <w:rPr>
          <w:lang w:val="fr-FR"/>
        </w:rPr>
        <w:t>’</w:t>
      </w:r>
      <w:r w:rsidR="00814B68" w:rsidRPr="00174283">
        <w:rPr>
          <w:lang w:val="fr-FR"/>
        </w:rPr>
        <w:t>enseignement secondaire. L</w:t>
      </w:r>
      <w:r w:rsidR="00205A62">
        <w:rPr>
          <w:lang w:val="fr-FR"/>
        </w:rPr>
        <w:t>’</w:t>
      </w:r>
      <w:r w:rsidR="00814B68" w:rsidRPr="00174283">
        <w:rPr>
          <w:lang w:val="fr-FR"/>
        </w:rPr>
        <w:t>existence d</w:t>
      </w:r>
      <w:r w:rsidR="00205A62">
        <w:rPr>
          <w:lang w:val="fr-FR"/>
        </w:rPr>
        <w:t>’</w:t>
      </w:r>
      <w:r w:rsidR="00814B68" w:rsidRPr="00174283">
        <w:rPr>
          <w:lang w:val="fr-FR"/>
        </w:rPr>
        <w:t>un nombre important d</w:t>
      </w:r>
      <w:r w:rsidR="00205A62">
        <w:rPr>
          <w:lang w:val="fr-FR"/>
        </w:rPr>
        <w:t>’</w:t>
      </w:r>
      <w:r w:rsidR="00814B68" w:rsidRPr="00174283">
        <w:rPr>
          <w:lang w:val="fr-FR"/>
        </w:rPr>
        <w:t>institutions d</w:t>
      </w:r>
      <w:r w:rsidR="00205A62">
        <w:rPr>
          <w:lang w:val="fr-FR"/>
        </w:rPr>
        <w:t>’</w:t>
      </w:r>
      <w:r w:rsidR="00814B68" w:rsidRPr="00174283">
        <w:rPr>
          <w:lang w:val="fr-FR"/>
        </w:rPr>
        <w:t>enseignement supérieur, publiques comme privées, a joué un rôle important dans l</w:t>
      </w:r>
      <w:r w:rsidR="00205A62">
        <w:rPr>
          <w:lang w:val="fr-FR"/>
        </w:rPr>
        <w:t>’</w:t>
      </w:r>
      <w:r w:rsidR="00814B68" w:rsidRPr="00174283">
        <w:rPr>
          <w:lang w:val="fr-FR"/>
        </w:rPr>
        <w:t>accès et le choix</w:t>
      </w:r>
      <w:r w:rsidR="005D194E" w:rsidRPr="00174283">
        <w:rPr>
          <w:lang w:val="fr-FR"/>
        </w:rPr>
        <w:t xml:space="preserve"> pendant l</w:t>
      </w:r>
      <w:r w:rsidR="00205A62">
        <w:rPr>
          <w:lang w:val="fr-FR"/>
        </w:rPr>
        <w:t>’</w:t>
      </w:r>
      <w:r w:rsidR="005D194E" w:rsidRPr="00174283">
        <w:rPr>
          <w:lang w:val="fr-FR"/>
        </w:rPr>
        <w:t>année scolaire 2008/09</w:t>
      </w:r>
      <w:r w:rsidR="00814B68" w:rsidRPr="00174283">
        <w:rPr>
          <w:lang w:val="fr-FR"/>
        </w:rPr>
        <w:t>. L</w:t>
      </w:r>
      <w:r w:rsidR="0018179D" w:rsidRPr="00174283">
        <w:rPr>
          <w:lang w:val="fr-FR"/>
        </w:rPr>
        <w:t>a création</w:t>
      </w:r>
      <w:r w:rsidR="00814B68" w:rsidRPr="00174283">
        <w:rPr>
          <w:lang w:val="fr-FR"/>
        </w:rPr>
        <w:t xml:space="preserve"> de 46 programmes d</w:t>
      </w:r>
      <w:r w:rsidR="00205A62">
        <w:rPr>
          <w:lang w:val="fr-FR"/>
        </w:rPr>
        <w:t>’</w:t>
      </w:r>
      <w:r w:rsidR="00814B68" w:rsidRPr="00174283">
        <w:rPr>
          <w:lang w:val="fr-FR"/>
        </w:rPr>
        <w:t>études dans 15 villes (</w:t>
      </w:r>
      <w:r w:rsidR="00BE10C5" w:rsidRPr="00174283">
        <w:rPr>
          <w:lang w:val="fr-FR"/>
        </w:rPr>
        <w:t xml:space="preserve">Skopje, Bitola, Stip, Tetovo, Kavadarci, Debar, Veles, Struga, Kriva Palanka, Kicevo, Prilep, Gevgelija, Sveti Nikole, Berovo </w:t>
      </w:r>
      <w:r w:rsidR="00814B68" w:rsidRPr="00174283">
        <w:rPr>
          <w:lang w:val="fr-FR"/>
        </w:rPr>
        <w:t>et</w:t>
      </w:r>
      <w:r w:rsidR="00BE10C5" w:rsidRPr="00174283">
        <w:rPr>
          <w:lang w:val="fr-FR"/>
        </w:rPr>
        <w:t xml:space="preserve"> Probistip) </w:t>
      </w:r>
      <w:r w:rsidR="00814B68" w:rsidRPr="00174283">
        <w:rPr>
          <w:lang w:val="fr-FR"/>
        </w:rPr>
        <w:t>a permis de réduire les frais de scolarité et d</w:t>
      </w:r>
      <w:r w:rsidR="00205A62">
        <w:rPr>
          <w:lang w:val="fr-FR"/>
        </w:rPr>
        <w:t>’</w:t>
      </w:r>
      <w:r w:rsidR="00814B68" w:rsidRPr="00174283">
        <w:rPr>
          <w:lang w:val="fr-FR"/>
        </w:rPr>
        <w:t>augmenter le nombre de filles inscrites dans des établissements d</w:t>
      </w:r>
      <w:r w:rsidR="00205A62">
        <w:rPr>
          <w:lang w:val="fr-FR"/>
        </w:rPr>
        <w:t>’</w:t>
      </w:r>
      <w:r w:rsidR="00814B68" w:rsidRPr="00174283">
        <w:rPr>
          <w:lang w:val="fr-FR"/>
        </w:rPr>
        <w:t xml:space="preserve">enseignement supérieur. La campagne en </w:t>
      </w:r>
      <w:r w:rsidR="00B356D6" w:rsidRPr="00174283">
        <w:rPr>
          <w:lang w:val="fr-FR"/>
        </w:rPr>
        <w:t>faveur</w:t>
      </w:r>
      <w:r w:rsidR="00814B68" w:rsidRPr="00174283">
        <w:rPr>
          <w:lang w:val="fr-FR"/>
        </w:rPr>
        <w:t xml:space="preserve"> de l</w:t>
      </w:r>
      <w:r w:rsidR="00205A62">
        <w:rPr>
          <w:lang w:val="fr-FR"/>
        </w:rPr>
        <w:t>’</w:t>
      </w:r>
      <w:r w:rsidR="00814B68" w:rsidRPr="00174283">
        <w:rPr>
          <w:lang w:val="fr-FR"/>
        </w:rPr>
        <w:t>enseignement supérieur a permis de sensibiliser le public sur la nécessité de l</w:t>
      </w:r>
      <w:r w:rsidR="00205A62">
        <w:rPr>
          <w:lang w:val="fr-FR"/>
        </w:rPr>
        <w:t>’</w:t>
      </w:r>
      <w:r w:rsidR="00814B68" w:rsidRPr="00174283">
        <w:rPr>
          <w:lang w:val="fr-FR"/>
        </w:rPr>
        <w:t xml:space="preserve">enseignement supérieur. </w:t>
      </w:r>
    </w:p>
    <w:p w:rsidR="00BE10C5" w:rsidRPr="00174283" w:rsidRDefault="00BE10C5" w:rsidP="00F914DB">
      <w:pPr>
        <w:pStyle w:val="H23G"/>
        <w:rPr>
          <w:lang w:val="fr-FR"/>
        </w:rPr>
      </w:pPr>
      <w:r w:rsidRPr="00174283">
        <w:rPr>
          <w:lang w:val="fr-FR"/>
        </w:rPr>
        <w:tab/>
      </w:r>
      <w:r w:rsidR="003237C4" w:rsidRPr="00174283">
        <w:rPr>
          <w:lang w:val="fr-FR"/>
        </w:rPr>
        <w:t>1</w:t>
      </w:r>
      <w:r w:rsidR="00F914DB" w:rsidRPr="00174283">
        <w:rPr>
          <w:lang w:val="fr-FR"/>
        </w:rPr>
        <w:t>.</w:t>
      </w:r>
      <w:r w:rsidRPr="00174283">
        <w:rPr>
          <w:lang w:val="fr-FR"/>
        </w:rPr>
        <w:tab/>
      </w:r>
      <w:r w:rsidR="00FE08BD" w:rsidRPr="00174283">
        <w:rPr>
          <w:lang w:val="fr-FR"/>
        </w:rPr>
        <w:t>Enseignement primaire</w:t>
      </w:r>
      <w:r w:rsidR="002F51DC">
        <w:rPr>
          <w:lang w:val="fr-FR"/>
        </w:rPr>
        <w:t>:</w:t>
      </w:r>
      <w:r w:rsidR="00FE08BD" w:rsidRPr="00174283">
        <w:rPr>
          <w:lang w:val="fr-FR"/>
        </w:rPr>
        <w:t xml:space="preserve"> projets et activités</w:t>
      </w:r>
    </w:p>
    <w:p w:rsidR="00BE10C5" w:rsidRPr="00174283" w:rsidRDefault="00BE10C5" w:rsidP="00BE10C5">
      <w:pPr>
        <w:pStyle w:val="H23G"/>
        <w:rPr>
          <w:lang w:val="fr-FR"/>
        </w:rPr>
      </w:pPr>
      <w:r w:rsidRPr="00174283">
        <w:rPr>
          <w:lang w:val="fr-FR"/>
        </w:rPr>
        <w:tab/>
      </w:r>
      <w:r w:rsidR="00F914DB" w:rsidRPr="00174283">
        <w:rPr>
          <w:lang w:val="fr-FR"/>
        </w:rPr>
        <w:t>a)</w:t>
      </w:r>
      <w:r w:rsidRPr="00174283">
        <w:rPr>
          <w:lang w:val="fr-FR"/>
        </w:rPr>
        <w:tab/>
        <w:t xml:space="preserve">Exemption </w:t>
      </w:r>
      <w:r w:rsidR="00FE08BD" w:rsidRPr="00174283">
        <w:rPr>
          <w:lang w:val="fr-FR"/>
        </w:rPr>
        <w:t>du paiement des frais administratifs pour la délivrance de certificat de vaccination</w:t>
      </w:r>
      <w:r w:rsidRPr="00174283">
        <w:rPr>
          <w:lang w:val="fr-FR"/>
        </w:rPr>
        <w:t xml:space="preserve"> </w:t>
      </w:r>
    </w:p>
    <w:p w:rsidR="00BE10C5" w:rsidRPr="00174283" w:rsidRDefault="009E1A92" w:rsidP="009E1A92">
      <w:pPr>
        <w:pStyle w:val="SingleTxtG"/>
        <w:rPr>
          <w:lang w:val="fr-FR"/>
        </w:rPr>
      </w:pPr>
      <w:r>
        <w:rPr>
          <w:lang w:val="fr-FR"/>
        </w:rPr>
        <w:t>186.</w:t>
      </w:r>
      <w:r>
        <w:rPr>
          <w:lang w:val="fr-FR"/>
        </w:rPr>
        <w:tab/>
      </w:r>
      <w:r w:rsidR="00B57C2D" w:rsidRPr="00174283">
        <w:rPr>
          <w:lang w:val="fr-FR"/>
        </w:rPr>
        <w:t>Depuis</w:t>
      </w:r>
      <w:r w:rsidR="005416C1" w:rsidRPr="00174283">
        <w:rPr>
          <w:lang w:val="fr-FR"/>
        </w:rPr>
        <w:t xml:space="preserve"> l</w:t>
      </w:r>
      <w:r w:rsidR="00205A62">
        <w:rPr>
          <w:lang w:val="fr-FR"/>
        </w:rPr>
        <w:t>’</w:t>
      </w:r>
      <w:r w:rsidR="005416C1" w:rsidRPr="00174283">
        <w:rPr>
          <w:lang w:val="fr-FR"/>
        </w:rPr>
        <w:t>année scolaire 2009/</w:t>
      </w:r>
      <w:r w:rsidR="00FE08BD" w:rsidRPr="00174283">
        <w:rPr>
          <w:lang w:val="fr-FR"/>
        </w:rPr>
        <w:t>10, l</w:t>
      </w:r>
      <w:r w:rsidR="001F3107" w:rsidRPr="00174283">
        <w:rPr>
          <w:lang w:val="fr-FR"/>
        </w:rPr>
        <w:t>e</w:t>
      </w:r>
      <w:r w:rsidR="002B4AC6" w:rsidRPr="00174283">
        <w:rPr>
          <w:lang w:val="fr-FR"/>
        </w:rPr>
        <w:t xml:space="preserve"> </w:t>
      </w:r>
      <w:r w:rsidR="001F3107" w:rsidRPr="00174283">
        <w:rPr>
          <w:lang w:val="fr-FR"/>
        </w:rPr>
        <w:t>Département pour la promotion</w:t>
      </w:r>
      <w:r w:rsidR="002F51DC">
        <w:rPr>
          <w:lang w:val="fr-FR"/>
        </w:rPr>
        <w:t xml:space="preserve"> </w:t>
      </w:r>
      <w:r w:rsidR="001F3107" w:rsidRPr="00174283">
        <w:rPr>
          <w:lang w:val="fr-FR"/>
        </w:rPr>
        <w:t>de l</w:t>
      </w:r>
      <w:r w:rsidR="00205A62">
        <w:rPr>
          <w:lang w:val="fr-FR"/>
        </w:rPr>
        <w:t>’</w:t>
      </w:r>
      <w:r w:rsidR="001F3107" w:rsidRPr="00174283">
        <w:rPr>
          <w:lang w:val="fr-FR"/>
        </w:rPr>
        <w:t>enseignement primaire et secondaire</w:t>
      </w:r>
      <w:r w:rsidR="00FE08BD" w:rsidRPr="00174283">
        <w:rPr>
          <w:lang w:val="fr-FR"/>
        </w:rPr>
        <w:t xml:space="preserve"> et </w:t>
      </w:r>
      <w:r w:rsidR="00115C2B" w:rsidRPr="00174283">
        <w:rPr>
          <w:lang w:val="fr-FR"/>
        </w:rPr>
        <w:t>le Département</w:t>
      </w:r>
      <w:r w:rsidR="00FE08BD" w:rsidRPr="00174283">
        <w:rPr>
          <w:lang w:val="fr-FR"/>
        </w:rPr>
        <w:t xml:space="preserve"> </w:t>
      </w:r>
      <w:r w:rsidR="00E8091A" w:rsidRPr="00174283">
        <w:rPr>
          <w:lang w:val="fr-FR"/>
        </w:rPr>
        <w:t>pour le</w:t>
      </w:r>
      <w:r w:rsidR="00FE08BD" w:rsidRPr="00174283">
        <w:rPr>
          <w:lang w:val="fr-FR"/>
        </w:rPr>
        <w:t xml:space="preserve"> développement et la promotion de l</w:t>
      </w:r>
      <w:r w:rsidR="00205A62">
        <w:rPr>
          <w:lang w:val="fr-FR"/>
        </w:rPr>
        <w:t>’</w:t>
      </w:r>
      <w:r w:rsidR="00E8091A" w:rsidRPr="00174283">
        <w:rPr>
          <w:lang w:val="fr-FR"/>
        </w:rPr>
        <w:t>enseignement</w:t>
      </w:r>
      <w:r w:rsidR="00FE08BD" w:rsidRPr="00174283">
        <w:rPr>
          <w:lang w:val="fr-FR"/>
        </w:rPr>
        <w:t xml:space="preserve"> dans les langues des communautés du Ministère de l</w:t>
      </w:r>
      <w:r w:rsidR="00205A62">
        <w:rPr>
          <w:lang w:val="fr-FR"/>
        </w:rPr>
        <w:t>’</w:t>
      </w:r>
      <w:r w:rsidR="00FE08BD" w:rsidRPr="00174283">
        <w:rPr>
          <w:lang w:val="fr-FR"/>
        </w:rPr>
        <w:t xml:space="preserve">éducation et de la science, en collaboration avec le Ministère </w:t>
      </w:r>
      <w:r w:rsidR="001E5012" w:rsidRPr="00174283">
        <w:rPr>
          <w:lang w:val="fr-FR"/>
        </w:rPr>
        <w:t>de</w:t>
      </w:r>
      <w:r w:rsidR="00FE08BD" w:rsidRPr="00174283">
        <w:rPr>
          <w:lang w:val="fr-FR"/>
        </w:rPr>
        <w:t xml:space="preserve"> la santé, exempte </w:t>
      </w:r>
      <w:r w:rsidR="003A2821" w:rsidRPr="00174283">
        <w:rPr>
          <w:lang w:val="fr-FR"/>
        </w:rPr>
        <w:t xml:space="preserve">les </w:t>
      </w:r>
      <w:r w:rsidR="00FE08BD" w:rsidRPr="00174283">
        <w:rPr>
          <w:lang w:val="fr-FR"/>
        </w:rPr>
        <w:t>parents dont les enfants doivent s</w:t>
      </w:r>
      <w:r w:rsidR="00205A62">
        <w:rPr>
          <w:lang w:val="fr-FR"/>
        </w:rPr>
        <w:t>’</w:t>
      </w:r>
      <w:r w:rsidR="00FE08BD" w:rsidRPr="00174283">
        <w:rPr>
          <w:lang w:val="fr-FR"/>
        </w:rPr>
        <w:t>inscrire en première année du primaire du paiement des frais administratifs pour la délivrance de certificat de vaccination, obligatoire pour toute inscription à l</w:t>
      </w:r>
      <w:r w:rsidR="00205A62">
        <w:rPr>
          <w:lang w:val="fr-FR"/>
        </w:rPr>
        <w:t>’</w:t>
      </w:r>
      <w:r w:rsidR="00FE08BD" w:rsidRPr="00174283">
        <w:rPr>
          <w:lang w:val="fr-FR"/>
        </w:rPr>
        <w:t xml:space="preserve">école. </w:t>
      </w:r>
      <w:r w:rsidR="004345A0" w:rsidRPr="00174283">
        <w:rPr>
          <w:lang w:val="fr-FR"/>
        </w:rPr>
        <w:t xml:space="preserve">Cette exemption a été très bénéfique aux familles roms pour lesquelles ces frais constituent un sérieux obstacle à la scolarisation de leurs enfants. </w:t>
      </w:r>
    </w:p>
    <w:p w:rsidR="00BE10C5" w:rsidRPr="00174283" w:rsidRDefault="00BE10C5" w:rsidP="00BE10C5">
      <w:pPr>
        <w:pStyle w:val="H23G"/>
        <w:rPr>
          <w:lang w:val="fr-FR"/>
        </w:rPr>
      </w:pPr>
      <w:r w:rsidRPr="00174283">
        <w:rPr>
          <w:lang w:val="fr-FR"/>
        </w:rPr>
        <w:tab/>
      </w:r>
      <w:r w:rsidR="00F914DB" w:rsidRPr="00174283">
        <w:rPr>
          <w:lang w:val="fr-FR"/>
        </w:rPr>
        <w:t>b)</w:t>
      </w:r>
      <w:r w:rsidRPr="00174283">
        <w:rPr>
          <w:lang w:val="fr-FR"/>
        </w:rPr>
        <w:tab/>
      </w:r>
      <w:r w:rsidR="00B57C2D" w:rsidRPr="00174283">
        <w:rPr>
          <w:lang w:val="fr-FR"/>
        </w:rPr>
        <w:t>Guide</w:t>
      </w:r>
      <w:r w:rsidR="004345A0" w:rsidRPr="00174283">
        <w:rPr>
          <w:lang w:val="fr-FR"/>
        </w:rPr>
        <w:t xml:space="preserve"> sur la non-discrimination dans le système éducatif</w:t>
      </w:r>
    </w:p>
    <w:p w:rsidR="00BE10C5" w:rsidRPr="00174283" w:rsidRDefault="009E1A92" w:rsidP="009E1A92">
      <w:pPr>
        <w:pStyle w:val="SingleTxtG"/>
        <w:rPr>
          <w:lang w:val="fr-FR"/>
        </w:rPr>
      </w:pPr>
      <w:r>
        <w:rPr>
          <w:lang w:val="fr-FR"/>
        </w:rPr>
        <w:t>187.</w:t>
      </w:r>
      <w:r>
        <w:rPr>
          <w:lang w:val="fr-FR"/>
        </w:rPr>
        <w:tab/>
      </w:r>
      <w:r w:rsidR="004345A0" w:rsidRPr="00174283">
        <w:rPr>
          <w:lang w:val="fr-FR"/>
        </w:rPr>
        <w:t>L</w:t>
      </w:r>
      <w:r w:rsidR="00115C2B" w:rsidRPr="00174283">
        <w:rPr>
          <w:lang w:val="fr-FR"/>
        </w:rPr>
        <w:t>e</w:t>
      </w:r>
      <w:r w:rsidR="004345A0" w:rsidRPr="00174283">
        <w:rPr>
          <w:lang w:val="fr-FR"/>
        </w:rPr>
        <w:t xml:space="preserve"> </w:t>
      </w:r>
      <w:r w:rsidR="00115C2B" w:rsidRPr="00174283">
        <w:rPr>
          <w:lang w:val="fr-FR"/>
        </w:rPr>
        <w:t>Département pour le développement et la promotion de l</w:t>
      </w:r>
      <w:r w:rsidR="00205A62">
        <w:rPr>
          <w:lang w:val="fr-FR"/>
        </w:rPr>
        <w:t>’</w:t>
      </w:r>
      <w:r w:rsidR="00115C2B" w:rsidRPr="00174283">
        <w:rPr>
          <w:lang w:val="fr-FR"/>
        </w:rPr>
        <w:t>enseignement dans les langues des communautés</w:t>
      </w:r>
      <w:r w:rsidR="004345A0" w:rsidRPr="00174283">
        <w:rPr>
          <w:lang w:val="fr-FR"/>
        </w:rPr>
        <w:t>, en collaboration avec l</w:t>
      </w:r>
      <w:r w:rsidR="00205A62">
        <w:rPr>
          <w:lang w:val="fr-FR"/>
        </w:rPr>
        <w:t>’</w:t>
      </w:r>
      <w:r w:rsidR="004345A0" w:rsidRPr="00174283">
        <w:rPr>
          <w:lang w:val="fr-FR"/>
        </w:rPr>
        <w:t xml:space="preserve">organisation non gouvernementale Centre national des Roms de </w:t>
      </w:r>
      <w:r w:rsidR="00BE10C5" w:rsidRPr="00174283">
        <w:rPr>
          <w:lang w:val="fr-FR"/>
        </w:rPr>
        <w:t xml:space="preserve">Kumanovo </w:t>
      </w:r>
      <w:r w:rsidR="004345A0" w:rsidRPr="00174283">
        <w:rPr>
          <w:lang w:val="fr-FR"/>
        </w:rPr>
        <w:t>et d</w:t>
      </w:r>
      <w:r w:rsidR="00205A62">
        <w:rPr>
          <w:lang w:val="fr-FR"/>
        </w:rPr>
        <w:t>’</w:t>
      </w:r>
      <w:r w:rsidR="004345A0" w:rsidRPr="00174283">
        <w:rPr>
          <w:lang w:val="fr-FR"/>
        </w:rPr>
        <w:t xml:space="preserve">autres </w:t>
      </w:r>
      <w:r w:rsidR="002B4AC6" w:rsidRPr="00174283">
        <w:rPr>
          <w:lang w:val="fr-FR"/>
        </w:rPr>
        <w:t>départements</w:t>
      </w:r>
      <w:r w:rsidR="004345A0" w:rsidRPr="00174283">
        <w:rPr>
          <w:lang w:val="fr-FR"/>
        </w:rPr>
        <w:t xml:space="preserve"> du Ministère de l</w:t>
      </w:r>
      <w:r w:rsidR="00205A62">
        <w:rPr>
          <w:lang w:val="fr-FR"/>
        </w:rPr>
        <w:t>’</w:t>
      </w:r>
      <w:r w:rsidR="004345A0" w:rsidRPr="00174283">
        <w:rPr>
          <w:lang w:val="fr-FR"/>
        </w:rPr>
        <w:t xml:space="preserve">éducation et de la science, a élaboré un </w:t>
      </w:r>
      <w:r w:rsidR="00B57C2D" w:rsidRPr="00174283">
        <w:rPr>
          <w:lang w:val="fr-FR"/>
        </w:rPr>
        <w:t>guide</w:t>
      </w:r>
      <w:r w:rsidR="004345A0" w:rsidRPr="00174283">
        <w:rPr>
          <w:lang w:val="fr-FR"/>
        </w:rPr>
        <w:t xml:space="preserve"> sur la non-discrimination dans le système éducatif macédonien. </w:t>
      </w:r>
    </w:p>
    <w:p w:rsidR="00BE10C5" w:rsidRPr="00174283" w:rsidRDefault="009E1A92" w:rsidP="009E1A92">
      <w:pPr>
        <w:pStyle w:val="SingleTxtG"/>
        <w:rPr>
          <w:lang w:val="fr-FR"/>
        </w:rPr>
      </w:pPr>
      <w:r>
        <w:rPr>
          <w:lang w:val="fr-FR"/>
        </w:rPr>
        <w:t>188.</w:t>
      </w:r>
      <w:r>
        <w:rPr>
          <w:lang w:val="fr-FR"/>
        </w:rPr>
        <w:tab/>
      </w:r>
      <w:r w:rsidR="004345A0" w:rsidRPr="00174283">
        <w:rPr>
          <w:lang w:val="fr-FR"/>
        </w:rPr>
        <w:t xml:space="preserve">Le principal objectif de ce </w:t>
      </w:r>
      <w:r w:rsidR="00B57C2D" w:rsidRPr="00174283">
        <w:rPr>
          <w:lang w:val="fr-FR"/>
        </w:rPr>
        <w:t>guide</w:t>
      </w:r>
      <w:r w:rsidR="004345A0" w:rsidRPr="00174283">
        <w:rPr>
          <w:lang w:val="fr-FR"/>
        </w:rPr>
        <w:t xml:space="preserve"> est d</w:t>
      </w:r>
      <w:r w:rsidR="00205A62">
        <w:rPr>
          <w:lang w:val="fr-FR"/>
        </w:rPr>
        <w:t>’</w:t>
      </w:r>
      <w:r w:rsidR="004345A0" w:rsidRPr="00174283">
        <w:rPr>
          <w:lang w:val="fr-FR"/>
        </w:rPr>
        <w:t>établir un dispositif de coopération et de coordination entre toutes les institutions</w:t>
      </w:r>
      <w:r w:rsidR="00831A88" w:rsidRPr="00174283">
        <w:rPr>
          <w:lang w:val="fr-FR"/>
        </w:rPr>
        <w:t xml:space="preserve"> et personnes compétent</w:t>
      </w:r>
      <w:r w:rsidR="004345A0" w:rsidRPr="00174283">
        <w:rPr>
          <w:lang w:val="fr-FR"/>
        </w:rPr>
        <w:t>es du système éducatif afin d</w:t>
      </w:r>
      <w:r w:rsidR="00205A62">
        <w:rPr>
          <w:lang w:val="fr-FR"/>
        </w:rPr>
        <w:t>’</w:t>
      </w:r>
      <w:r w:rsidR="004345A0" w:rsidRPr="00174283">
        <w:rPr>
          <w:lang w:val="fr-FR"/>
        </w:rPr>
        <w:t>offrir des conditions d</w:t>
      </w:r>
      <w:r w:rsidR="00205A62">
        <w:rPr>
          <w:lang w:val="fr-FR"/>
        </w:rPr>
        <w:t>’</w:t>
      </w:r>
      <w:r w:rsidR="004345A0" w:rsidRPr="00174283">
        <w:rPr>
          <w:lang w:val="fr-FR"/>
        </w:rPr>
        <w:t>accès à une éducation de qualité à tous les enfants</w:t>
      </w:r>
      <w:r w:rsidR="002B4AC6" w:rsidRPr="00174283">
        <w:rPr>
          <w:lang w:val="fr-FR"/>
        </w:rPr>
        <w:t>,</w:t>
      </w:r>
      <w:r w:rsidR="004345A0" w:rsidRPr="00174283">
        <w:rPr>
          <w:lang w:val="fr-FR"/>
        </w:rPr>
        <w:t xml:space="preserve"> sur un pied d</w:t>
      </w:r>
      <w:r w:rsidR="00205A62">
        <w:rPr>
          <w:lang w:val="fr-FR"/>
        </w:rPr>
        <w:t>’</w:t>
      </w:r>
      <w:r w:rsidR="004345A0" w:rsidRPr="00174283">
        <w:rPr>
          <w:lang w:val="fr-FR"/>
        </w:rPr>
        <w:t xml:space="preserve">égalité, quelle que soit leur religion, leur nationalité ou toute </w:t>
      </w:r>
      <w:r w:rsidR="001E5012" w:rsidRPr="00174283">
        <w:rPr>
          <w:lang w:val="fr-FR"/>
        </w:rPr>
        <w:t>autre</w:t>
      </w:r>
      <w:r w:rsidR="004345A0" w:rsidRPr="00174283">
        <w:rPr>
          <w:lang w:val="fr-FR"/>
        </w:rPr>
        <w:t xml:space="preserve"> caractéristique</w:t>
      </w:r>
      <w:r w:rsidR="001F3107" w:rsidRPr="00174283">
        <w:rPr>
          <w:lang w:val="fr-FR"/>
        </w:rPr>
        <w:t>. Il vise aussi à é</w:t>
      </w:r>
      <w:r w:rsidR="004345A0" w:rsidRPr="00174283">
        <w:rPr>
          <w:lang w:val="fr-FR"/>
        </w:rPr>
        <w:t xml:space="preserve">tablir un système de surveillance permettant de garantir une instruction de qualité à tous </w:t>
      </w:r>
      <w:r w:rsidR="001E5012" w:rsidRPr="00174283">
        <w:rPr>
          <w:lang w:val="fr-FR"/>
        </w:rPr>
        <w:t>les enfants</w:t>
      </w:r>
      <w:r w:rsidR="004345A0" w:rsidRPr="00174283">
        <w:rPr>
          <w:lang w:val="fr-FR"/>
        </w:rPr>
        <w:t xml:space="preserve"> grâce à la coopération et à la participation de t</w:t>
      </w:r>
      <w:r w:rsidR="00831A88" w:rsidRPr="00174283">
        <w:rPr>
          <w:lang w:val="fr-FR"/>
        </w:rPr>
        <w:t>outes les parties concernées. Ce</w:t>
      </w:r>
      <w:r w:rsidR="004345A0" w:rsidRPr="00174283">
        <w:rPr>
          <w:lang w:val="fr-FR"/>
        </w:rPr>
        <w:t xml:space="preserve"> </w:t>
      </w:r>
      <w:r w:rsidR="00B57C2D" w:rsidRPr="00174283">
        <w:rPr>
          <w:lang w:val="fr-FR"/>
        </w:rPr>
        <w:t>guide</w:t>
      </w:r>
      <w:r w:rsidR="004345A0" w:rsidRPr="00174283">
        <w:rPr>
          <w:lang w:val="fr-FR"/>
        </w:rPr>
        <w:t xml:space="preserve"> a été publié en macédonien, en albanais, </w:t>
      </w:r>
      <w:r w:rsidR="00C37988" w:rsidRPr="00174283">
        <w:rPr>
          <w:lang w:val="fr-FR"/>
        </w:rPr>
        <w:t>en bosniaque, en v</w:t>
      </w:r>
      <w:r w:rsidR="00B57C2D" w:rsidRPr="00174283">
        <w:rPr>
          <w:lang w:val="fr-FR"/>
        </w:rPr>
        <w:t>a</w:t>
      </w:r>
      <w:r w:rsidR="00BE10C5" w:rsidRPr="00174283">
        <w:rPr>
          <w:lang w:val="fr-FR"/>
        </w:rPr>
        <w:t>la</w:t>
      </w:r>
      <w:r w:rsidR="00B57C2D" w:rsidRPr="00174283">
        <w:rPr>
          <w:lang w:val="fr-FR"/>
        </w:rPr>
        <w:t>que</w:t>
      </w:r>
      <w:r w:rsidR="00BE10C5" w:rsidRPr="00174283">
        <w:rPr>
          <w:lang w:val="fr-FR"/>
        </w:rPr>
        <w:t xml:space="preserve">, </w:t>
      </w:r>
      <w:r w:rsidR="00C37988" w:rsidRPr="00174283">
        <w:rPr>
          <w:lang w:val="fr-FR"/>
        </w:rPr>
        <w:t>en rom, en serbe et en turc et distribué dans toutes les écoles primaires et secondaires. Des sessions de formation ont été organisées à l</w:t>
      </w:r>
      <w:r w:rsidR="00205A62">
        <w:rPr>
          <w:lang w:val="fr-FR"/>
        </w:rPr>
        <w:t>’</w:t>
      </w:r>
      <w:r w:rsidR="00C37988" w:rsidRPr="00174283">
        <w:rPr>
          <w:lang w:val="fr-FR"/>
        </w:rPr>
        <w:t>intention des inspecteurs agréés de l</w:t>
      </w:r>
      <w:r w:rsidR="00205A62">
        <w:rPr>
          <w:lang w:val="fr-FR"/>
        </w:rPr>
        <w:t>’</w:t>
      </w:r>
      <w:r w:rsidR="00C37988" w:rsidRPr="00174283">
        <w:rPr>
          <w:lang w:val="fr-FR"/>
        </w:rPr>
        <w:t>enseignement public et des collectivités locales pour assurer le suivi de l</w:t>
      </w:r>
      <w:r w:rsidR="00205A62">
        <w:rPr>
          <w:lang w:val="fr-FR"/>
        </w:rPr>
        <w:t>’</w:t>
      </w:r>
      <w:r w:rsidR="00C37988" w:rsidRPr="00174283">
        <w:rPr>
          <w:lang w:val="fr-FR"/>
        </w:rPr>
        <w:t xml:space="preserve">application des recommandations formulées dans ce </w:t>
      </w:r>
      <w:r w:rsidR="00B57C2D" w:rsidRPr="00174283">
        <w:rPr>
          <w:lang w:val="fr-FR"/>
        </w:rPr>
        <w:t>guide</w:t>
      </w:r>
      <w:r w:rsidR="00C37988" w:rsidRPr="00174283">
        <w:rPr>
          <w:lang w:val="fr-FR"/>
        </w:rPr>
        <w:t>. Celui-ci accorde une attention particulière aux élèves roms, considérés comme constituant l</w:t>
      </w:r>
      <w:r w:rsidR="00205A62">
        <w:rPr>
          <w:lang w:val="fr-FR"/>
        </w:rPr>
        <w:t>’</w:t>
      </w:r>
      <w:r w:rsidR="00C37988" w:rsidRPr="00174283">
        <w:rPr>
          <w:lang w:val="fr-FR"/>
        </w:rPr>
        <w:t>une des catégories les plus vulnérables. Ce projet a été intégralement financé par le Fonds pour l</w:t>
      </w:r>
      <w:r w:rsidR="00205A62">
        <w:rPr>
          <w:lang w:val="fr-FR"/>
        </w:rPr>
        <w:t>’</w:t>
      </w:r>
      <w:r w:rsidR="00C37988" w:rsidRPr="00174283">
        <w:rPr>
          <w:lang w:val="fr-FR"/>
        </w:rPr>
        <w:t xml:space="preserve">éducation des Roms de </w:t>
      </w:r>
      <w:r w:rsidR="00BE10C5" w:rsidRPr="00174283">
        <w:rPr>
          <w:lang w:val="fr-FR"/>
        </w:rPr>
        <w:t>Budapest</w:t>
      </w:r>
      <w:r w:rsidR="00C37988" w:rsidRPr="00174283">
        <w:rPr>
          <w:lang w:val="fr-FR"/>
        </w:rPr>
        <w:t xml:space="preserve"> (Hongrie). </w:t>
      </w:r>
    </w:p>
    <w:p w:rsidR="00BE10C5" w:rsidRPr="00174283" w:rsidRDefault="00BE10C5" w:rsidP="00BE10C5">
      <w:pPr>
        <w:pStyle w:val="H23G"/>
        <w:rPr>
          <w:lang w:val="fr-FR"/>
        </w:rPr>
      </w:pPr>
      <w:r w:rsidRPr="00174283">
        <w:rPr>
          <w:lang w:val="fr-FR"/>
        </w:rPr>
        <w:tab/>
      </w:r>
      <w:r w:rsidR="00F914DB" w:rsidRPr="00174283">
        <w:rPr>
          <w:lang w:val="fr-FR"/>
        </w:rPr>
        <w:t>c)</w:t>
      </w:r>
      <w:r w:rsidRPr="00174283">
        <w:rPr>
          <w:lang w:val="fr-FR"/>
        </w:rPr>
        <w:tab/>
      </w:r>
      <w:r w:rsidR="00C37988" w:rsidRPr="00174283">
        <w:rPr>
          <w:lang w:val="fr-FR"/>
        </w:rPr>
        <w:t>Manuel d</w:t>
      </w:r>
      <w:r w:rsidR="00205A62">
        <w:rPr>
          <w:lang w:val="fr-FR"/>
        </w:rPr>
        <w:t>’</w:t>
      </w:r>
      <w:r w:rsidR="00C37988" w:rsidRPr="00174283">
        <w:rPr>
          <w:lang w:val="fr-FR"/>
        </w:rPr>
        <w:t>apprentissage de la langue et de la culture roms (matière</w:t>
      </w:r>
      <w:r w:rsidR="00831A88" w:rsidRPr="00174283">
        <w:rPr>
          <w:lang w:val="fr-FR"/>
        </w:rPr>
        <w:t xml:space="preserve"> facultative</w:t>
      </w:r>
      <w:r w:rsidR="00C37988" w:rsidRPr="00174283">
        <w:rPr>
          <w:lang w:val="fr-FR"/>
        </w:rPr>
        <w:t>)</w:t>
      </w:r>
    </w:p>
    <w:p w:rsidR="00BE10C5" w:rsidRPr="00174283" w:rsidRDefault="009E1A92" w:rsidP="009E1A92">
      <w:pPr>
        <w:pStyle w:val="SingleTxtG"/>
        <w:rPr>
          <w:lang w:val="fr-FR"/>
        </w:rPr>
      </w:pPr>
      <w:r>
        <w:rPr>
          <w:lang w:val="fr-FR"/>
        </w:rPr>
        <w:t>189.</w:t>
      </w:r>
      <w:r>
        <w:rPr>
          <w:lang w:val="fr-FR"/>
        </w:rPr>
        <w:tab/>
      </w:r>
      <w:r w:rsidR="00582276" w:rsidRPr="00174283">
        <w:rPr>
          <w:lang w:val="fr-FR"/>
        </w:rPr>
        <w:t>Durant l</w:t>
      </w:r>
      <w:r w:rsidR="00205A62">
        <w:rPr>
          <w:lang w:val="fr-FR"/>
        </w:rPr>
        <w:t>’</w:t>
      </w:r>
      <w:r w:rsidR="00582276" w:rsidRPr="00174283">
        <w:rPr>
          <w:lang w:val="fr-FR"/>
        </w:rPr>
        <w:t>année scolaire 2010/11, dans le cadre du projet de gratuité des manuels scolaires pour tous, le Ministère de l</w:t>
      </w:r>
      <w:r w:rsidR="00205A62">
        <w:rPr>
          <w:lang w:val="fr-FR"/>
        </w:rPr>
        <w:t>’</w:t>
      </w:r>
      <w:r w:rsidR="00582276" w:rsidRPr="00174283">
        <w:rPr>
          <w:lang w:val="fr-FR"/>
        </w:rPr>
        <w:t>éducation et de la science a ainsi pu, pour la première fois, distribuer gratuitement aux élèves des classes de troisième, quatrième et cinquième un manuel d</w:t>
      </w:r>
      <w:r w:rsidR="00205A62">
        <w:rPr>
          <w:lang w:val="fr-FR"/>
        </w:rPr>
        <w:t>’</w:t>
      </w:r>
      <w:r w:rsidR="00582276" w:rsidRPr="00174283">
        <w:rPr>
          <w:lang w:val="fr-FR"/>
        </w:rPr>
        <w:t>apprentissage de la langue et de la culture roms, qui constitue une matière facultative</w:t>
      </w:r>
      <w:r w:rsidR="00C37988" w:rsidRPr="00174283">
        <w:rPr>
          <w:lang w:val="fr-FR"/>
        </w:rPr>
        <w:t xml:space="preserve">. Ce manuel a été diffusé à 1 300 exemplaires. </w:t>
      </w:r>
    </w:p>
    <w:p w:rsidR="00BE10C5" w:rsidRPr="00174283" w:rsidRDefault="00BE10C5" w:rsidP="00F914DB">
      <w:pPr>
        <w:pStyle w:val="H23G"/>
        <w:rPr>
          <w:lang w:val="fr-FR"/>
        </w:rPr>
      </w:pPr>
      <w:r w:rsidRPr="00174283">
        <w:rPr>
          <w:lang w:val="fr-FR"/>
        </w:rPr>
        <w:tab/>
      </w:r>
      <w:r w:rsidR="003237C4" w:rsidRPr="00174283">
        <w:rPr>
          <w:lang w:val="fr-FR"/>
        </w:rPr>
        <w:t>2</w:t>
      </w:r>
      <w:r w:rsidR="00F914DB" w:rsidRPr="00174283">
        <w:rPr>
          <w:lang w:val="fr-FR"/>
        </w:rPr>
        <w:t>.</w:t>
      </w:r>
      <w:r w:rsidRPr="00174283">
        <w:rPr>
          <w:lang w:val="fr-FR"/>
        </w:rPr>
        <w:tab/>
      </w:r>
      <w:r w:rsidR="00C37988" w:rsidRPr="00174283">
        <w:rPr>
          <w:lang w:val="fr-FR"/>
        </w:rPr>
        <w:t>Enseignement secondaire</w:t>
      </w:r>
      <w:r w:rsidR="002F51DC">
        <w:rPr>
          <w:lang w:val="fr-FR"/>
        </w:rPr>
        <w:t>:</w:t>
      </w:r>
      <w:r w:rsidR="00C37988" w:rsidRPr="00174283">
        <w:rPr>
          <w:lang w:val="fr-FR"/>
        </w:rPr>
        <w:t xml:space="preserve"> projets et activités</w:t>
      </w:r>
    </w:p>
    <w:p w:rsidR="00BE10C5" w:rsidRPr="00174283" w:rsidRDefault="00BE10C5" w:rsidP="00BE10C5">
      <w:pPr>
        <w:pStyle w:val="H23G"/>
        <w:rPr>
          <w:lang w:val="fr-FR"/>
        </w:rPr>
      </w:pPr>
      <w:r w:rsidRPr="00174283">
        <w:rPr>
          <w:lang w:val="fr-FR"/>
        </w:rPr>
        <w:tab/>
      </w:r>
      <w:r w:rsidR="00F914DB" w:rsidRPr="00174283">
        <w:rPr>
          <w:lang w:val="fr-FR"/>
        </w:rPr>
        <w:t>a)</w:t>
      </w:r>
      <w:r w:rsidRPr="00174283">
        <w:rPr>
          <w:lang w:val="fr-FR"/>
        </w:rPr>
        <w:tab/>
      </w:r>
      <w:r w:rsidR="00C37988" w:rsidRPr="00174283">
        <w:rPr>
          <w:lang w:val="fr-FR"/>
        </w:rPr>
        <w:t>Projet de bourses et d</w:t>
      </w:r>
      <w:r w:rsidR="00205A62">
        <w:rPr>
          <w:lang w:val="fr-FR"/>
        </w:rPr>
        <w:t>’</w:t>
      </w:r>
      <w:r w:rsidR="00C37988" w:rsidRPr="00174283">
        <w:rPr>
          <w:lang w:val="fr-FR"/>
        </w:rPr>
        <w:t>encadrement pour les élèves roms de l</w:t>
      </w:r>
      <w:r w:rsidR="00205A62">
        <w:rPr>
          <w:lang w:val="fr-FR"/>
        </w:rPr>
        <w:t>’</w:t>
      </w:r>
      <w:r w:rsidR="00C37988" w:rsidRPr="00174283">
        <w:rPr>
          <w:lang w:val="fr-FR"/>
        </w:rPr>
        <w:t>enseignement secondaire</w:t>
      </w:r>
    </w:p>
    <w:p w:rsidR="00BE10C5" w:rsidRPr="00174283" w:rsidRDefault="009E1A92" w:rsidP="009E1A92">
      <w:pPr>
        <w:pStyle w:val="SingleTxtG"/>
        <w:rPr>
          <w:lang w:val="fr-FR"/>
        </w:rPr>
      </w:pPr>
      <w:r>
        <w:rPr>
          <w:lang w:val="fr-FR"/>
        </w:rPr>
        <w:t>190.</w:t>
      </w:r>
      <w:r>
        <w:rPr>
          <w:lang w:val="fr-FR"/>
        </w:rPr>
        <w:tab/>
      </w:r>
      <w:r w:rsidR="00C37988" w:rsidRPr="00174283">
        <w:rPr>
          <w:lang w:val="fr-FR"/>
        </w:rPr>
        <w:t>Le principal objectif de ce projet est d</w:t>
      </w:r>
      <w:r w:rsidR="00205A62">
        <w:rPr>
          <w:lang w:val="fr-FR"/>
        </w:rPr>
        <w:t>’</w:t>
      </w:r>
      <w:r w:rsidR="00C37988" w:rsidRPr="00174283">
        <w:rPr>
          <w:lang w:val="fr-FR"/>
        </w:rPr>
        <w:t>augmenter, grâce à des interventions positives, le nombre d</w:t>
      </w:r>
      <w:r w:rsidR="00205A62">
        <w:rPr>
          <w:lang w:val="fr-FR"/>
        </w:rPr>
        <w:t>’</w:t>
      </w:r>
      <w:r w:rsidR="00C37988" w:rsidRPr="00174283">
        <w:rPr>
          <w:lang w:val="fr-FR"/>
        </w:rPr>
        <w:t xml:space="preserve">élèves roms inscrits en première, deuxième et troisième années </w:t>
      </w:r>
      <w:r w:rsidR="006C38EA" w:rsidRPr="00174283">
        <w:rPr>
          <w:lang w:val="fr-FR"/>
        </w:rPr>
        <w:t>du cycle</w:t>
      </w:r>
      <w:r w:rsidR="00F51B9D" w:rsidRPr="00174283">
        <w:rPr>
          <w:lang w:val="fr-FR"/>
        </w:rPr>
        <w:t xml:space="preserve"> </w:t>
      </w:r>
      <w:r w:rsidR="00C37988" w:rsidRPr="00174283">
        <w:rPr>
          <w:lang w:val="fr-FR"/>
        </w:rPr>
        <w:t>secondaire</w:t>
      </w:r>
      <w:r w:rsidR="006C38EA" w:rsidRPr="00174283">
        <w:rPr>
          <w:lang w:val="fr-FR"/>
        </w:rPr>
        <w:t>, dans des établissements</w:t>
      </w:r>
      <w:r w:rsidR="00C37988" w:rsidRPr="00174283">
        <w:rPr>
          <w:lang w:val="fr-FR"/>
        </w:rPr>
        <w:t xml:space="preserve"> publics et privés</w:t>
      </w:r>
      <w:r w:rsidR="006C38EA" w:rsidRPr="00174283">
        <w:rPr>
          <w:lang w:val="fr-FR"/>
        </w:rPr>
        <w:t>,</w:t>
      </w:r>
      <w:r w:rsidR="00C37988" w:rsidRPr="00174283">
        <w:rPr>
          <w:lang w:val="fr-FR"/>
        </w:rPr>
        <w:t xml:space="preserve"> qui réussissent leur scolarité et </w:t>
      </w:r>
      <w:r w:rsidR="001E5012" w:rsidRPr="00174283">
        <w:rPr>
          <w:lang w:val="fr-FR"/>
        </w:rPr>
        <w:t>passent</w:t>
      </w:r>
      <w:r w:rsidR="00C37988" w:rsidRPr="00174283">
        <w:rPr>
          <w:lang w:val="fr-FR"/>
        </w:rPr>
        <w:t xml:space="preserve"> dans la classe supérieure</w:t>
      </w:r>
      <w:r w:rsidR="00F51B9D" w:rsidRPr="00174283">
        <w:rPr>
          <w:lang w:val="fr-FR"/>
        </w:rPr>
        <w:t>,</w:t>
      </w:r>
      <w:r w:rsidR="00C37988" w:rsidRPr="00174283">
        <w:rPr>
          <w:lang w:val="fr-FR"/>
        </w:rPr>
        <w:t xml:space="preserve"> et améliorer leur taux de réussite. </w:t>
      </w:r>
    </w:p>
    <w:p w:rsidR="00722DF9" w:rsidRPr="00174283" w:rsidRDefault="009E1A92" w:rsidP="009E1A92">
      <w:pPr>
        <w:pStyle w:val="SingleTxtG"/>
        <w:rPr>
          <w:lang w:val="fr-FR"/>
        </w:rPr>
      </w:pPr>
      <w:r>
        <w:rPr>
          <w:lang w:val="fr-FR"/>
        </w:rPr>
        <w:t>191.</w:t>
      </w:r>
      <w:r>
        <w:rPr>
          <w:lang w:val="fr-FR"/>
        </w:rPr>
        <w:tab/>
      </w:r>
      <w:r w:rsidR="00C37988" w:rsidRPr="00174283">
        <w:rPr>
          <w:lang w:val="fr-FR"/>
        </w:rPr>
        <w:t xml:space="preserve">Ce projet </w:t>
      </w:r>
      <w:r w:rsidR="005416C1" w:rsidRPr="00174283">
        <w:rPr>
          <w:lang w:val="fr-FR"/>
        </w:rPr>
        <w:t xml:space="preserve">a concerné 444 </w:t>
      </w:r>
      <w:r w:rsidR="00582276" w:rsidRPr="00174283">
        <w:rPr>
          <w:lang w:val="fr-FR"/>
        </w:rPr>
        <w:t>élèves</w:t>
      </w:r>
      <w:r w:rsidR="005416C1" w:rsidRPr="00174283">
        <w:rPr>
          <w:lang w:val="fr-FR"/>
        </w:rPr>
        <w:t xml:space="preserve"> boursiers du secondaire, 80 écoles et 28 municipalités</w:t>
      </w:r>
      <w:r w:rsidR="002F51DC">
        <w:rPr>
          <w:lang w:val="fr-FR"/>
        </w:rPr>
        <w:t>:</w:t>
      </w:r>
    </w:p>
    <w:tbl>
      <w:tblPr>
        <w:tblW w:w="7370" w:type="dxa"/>
        <w:tblInd w:w="1134" w:type="dxa"/>
        <w:tblBorders>
          <w:top w:val="single" w:sz="4" w:space="0" w:color="auto"/>
        </w:tblBorders>
        <w:tblCellMar>
          <w:left w:w="0" w:type="dxa"/>
          <w:right w:w="0" w:type="dxa"/>
        </w:tblCellMar>
        <w:tblLook w:val="04A0"/>
      </w:tblPr>
      <w:tblGrid>
        <w:gridCol w:w="1116"/>
        <w:gridCol w:w="450"/>
        <w:gridCol w:w="630"/>
        <w:gridCol w:w="450"/>
        <w:gridCol w:w="450"/>
        <w:gridCol w:w="630"/>
        <w:gridCol w:w="540"/>
        <w:gridCol w:w="450"/>
        <w:gridCol w:w="630"/>
        <w:gridCol w:w="532"/>
        <w:gridCol w:w="404"/>
        <w:gridCol w:w="675"/>
        <w:gridCol w:w="413"/>
      </w:tblGrid>
      <w:tr w:rsidR="005416C1" w:rsidRPr="00174283" w:rsidTr="005416C1">
        <w:trPr>
          <w:trHeight w:val="240"/>
          <w:tblHeader/>
        </w:trPr>
        <w:tc>
          <w:tcPr>
            <w:tcW w:w="1116" w:type="dxa"/>
            <w:vMerge w:val="restart"/>
            <w:tcBorders>
              <w:top w:val="single" w:sz="4" w:space="0" w:color="auto"/>
            </w:tcBorders>
            <w:shd w:val="clear" w:color="auto" w:fill="auto"/>
            <w:vAlign w:val="bottom"/>
          </w:tcPr>
          <w:p w:rsidR="005F6214" w:rsidRPr="00174283" w:rsidRDefault="005416C1" w:rsidP="0010148C">
            <w:pPr>
              <w:pStyle w:val="SingleTxtG"/>
              <w:suppressAutoHyphens w:val="0"/>
              <w:spacing w:before="80" w:after="80" w:line="200" w:lineRule="exact"/>
              <w:ind w:left="0" w:right="0"/>
              <w:jc w:val="left"/>
              <w:rPr>
                <w:i/>
                <w:sz w:val="16"/>
                <w:lang w:val="fr-FR"/>
              </w:rPr>
            </w:pPr>
            <w:r w:rsidRPr="00174283">
              <w:rPr>
                <w:i/>
                <w:sz w:val="16"/>
                <w:lang w:val="fr-FR"/>
              </w:rPr>
              <w:t>Année scolaire</w:t>
            </w:r>
            <w:r w:rsidR="005F6214" w:rsidRPr="00174283">
              <w:rPr>
                <w:i/>
                <w:sz w:val="16"/>
                <w:lang w:val="fr-FR"/>
              </w:rPr>
              <w:t xml:space="preserve"> 2009/10</w:t>
            </w:r>
          </w:p>
        </w:tc>
        <w:tc>
          <w:tcPr>
            <w:tcW w:w="1530" w:type="dxa"/>
            <w:gridSpan w:val="3"/>
            <w:tcBorders>
              <w:top w:val="single" w:sz="4" w:space="0" w:color="auto"/>
              <w:bottom w:val="single" w:sz="4" w:space="0" w:color="auto"/>
              <w:right w:val="single" w:sz="24" w:space="0" w:color="FFFFFF"/>
            </w:tcBorders>
            <w:shd w:val="clear" w:color="auto" w:fill="auto"/>
            <w:vAlign w:val="bottom"/>
          </w:tcPr>
          <w:p w:rsidR="005F6214" w:rsidRPr="00174283" w:rsidRDefault="005416C1" w:rsidP="0010148C">
            <w:pPr>
              <w:pStyle w:val="SingleTxtG"/>
              <w:suppressAutoHyphens w:val="0"/>
              <w:spacing w:before="80" w:after="80" w:line="200" w:lineRule="exact"/>
              <w:ind w:left="113" w:right="0"/>
              <w:jc w:val="center"/>
              <w:rPr>
                <w:i/>
                <w:sz w:val="16"/>
                <w:lang w:val="fr-FR"/>
              </w:rPr>
            </w:pPr>
            <w:r w:rsidRPr="00174283">
              <w:rPr>
                <w:i/>
                <w:sz w:val="16"/>
                <w:lang w:val="fr-FR"/>
              </w:rPr>
              <w:t>1</w:t>
            </w:r>
            <w:r w:rsidRPr="00174283">
              <w:rPr>
                <w:i/>
                <w:sz w:val="16"/>
                <w:vertAlign w:val="superscript"/>
                <w:lang w:val="fr-FR"/>
              </w:rPr>
              <w:t>re</w:t>
            </w:r>
            <w:r w:rsidRPr="00174283">
              <w:rPr>
                <w:i/>
                <w:sz w:val="16"/>
                <w:lang w:val="fr-FR"/>
              </w:rPr>
              <w:t xml:space="preserve"> année</w:t>
            </w:r>
          </w:p>
        </w:tc>
        <w:tc>
          <w:tcPr>
            <w:tcW w:w="162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5F6214" w:rsidRPr="00174283" w:rsidRDefault="005416C1" w:rsidP="0010148C">
            <w:pPr>
              <w:pStyle w:val="SingleTxtG"/>
              <w:suppressAutoHyphens w:val="0"/>
              <w:spacing w:before="80" w:after="80" w:line="200" w:lineRule="exact"/>
              <w:ind w:left="113" w:right="0"/>
              <w:jc w:val="center"/>
              <w:rPr>
                <w:i/>
                <w:sz w:val="16"/>
                <w:lang w:val="fr-FR"/>
              </w:rPr>
            </w:pPr>
            <w:r w:rsidRPr="00174283">
              <w:rPr>
                <w:i/>
                <w:sz w:val="16"/>
                <w:lang w:val="fr-FR"/>
              </w:rPr>
              <w:t>2</w:t>
            </w:r>
            <w:r w:rsidRPr="00174283">
              <w:rPr>
                <w:i/>
                <w:sz w:val="16"/>
                <w:vertAlign w:val="superscript"/>
                <w:lang w:val="fr-FR"/>
              </w:rPr>
              <w:t>e</w:t>
            </w:r>
            <w:r w:rsidRPr="00174283">
              <w:rPr>
                <w:i/>
                <w:sz w:val="16"/>
                <w:lang w:val="fr-FR"/>
              </w:rPr>
              <w:t xml:space="preserve"> année</w:t>
            </w:r>
          </w:p>
        </w:tc>
        <w:tc>
          <w:tcPr>
            <w:tcW w:w="161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5F6214" w:rsidRPr="00174283" w:rsidRDefault="005416C1" w:rsidP="0010148C">
            <w:pPr>
              <w:pStyle w:val="SingleTxtG"/>
              <w:suppressAutoHyphens w:val="0"/>
              <w:spacing w:before="80" w:after="80" w:line="200" w:lineRule="exact"/>
              <w:ind w:left="113" w:right="0"/>
              <w:jc w:val="center"/>
              <w:rPr>
                <w:i/>
                <w:sz w:val="16"/>
                <w:lang w:val="fr-FR"/>
              </w:rPr>
            </w:pPr>
            <w:r w:rsidRPr="00174283">
              <w:rPr>
                <w:i/>
                <w:sz w:val="16"/>
                <w:lang w:val="fr-FR"/>
              </w:rPr>
              <w:t>3</w:t>
            </w:r>
            <w:r w:rsidRPr="00174283">
              <w:rPr>
                <w:i/>
                <w:sz w:val="16"/>
                <w:vertAlign w:val="superscript"/>
                <w:lang w:val="fr-FR"/>
              </w:rPr>
              <w:t>e</w:t>
            </w:r>
            <w:r w:rsidRPr="00174283">
              <w:rPr>
                <w:i/>
                <w:sz w:val="16"/>
                <w:lang w:val="fr-FR"/>
              </w:rPr>
              <w:t xml:space="preserve"> année</w:t>
            </w:r>
          </w:p>
        </w:tc>
        <w:tc>
          <w:tcPr>
            <w:tcW w:w="1492" w:type="dxa"/>
            <w:gridSpan w:val="3"/>
            <w:tcBorders>
              <w:top w:val="single" w:sz="4" w:space="0" w:color="auto"/>
              <w:left w:val="single" w:sz="24" w:space="0" w:color="FFFFFF"/>
              <w:bottom w:val="single" w:sz="4" w:space="0" w:color="auto"/>
            </w:tcBorders>
            <w:shd w:val="clear" w:color="auto" w:fill="auto"/>
            <w:vAlign w:val="bottom"/>
          </w:tcPr>
          <w:p w:rsidR="005F6214" w:rsidRPr="00174283" w:rsidRDefault="005F6214" w:rsidP="0010148C">
            <w:pPr>
              <w:pStyle w:val="SingleTxtG"/>
              <w:suppressAutoHyphens w:val="0"/>
              <w:spacing w:before="80" w:after="80" w:line="200" w:lineRule="exact"/>
              <w:ind w:left="113" w:right="0"/>
              <w:jc w:val="center"/>
              <w:rPr>
                <w:i/>
                <w:sz w:val="16"/>
                <w:lang w:val="fr-FR"/>
              </w:rPr>
            </w:pPr>
            <w:r w:rsidRPr="00174283">
              <w:rPr>
                <w:i/>
                <w:sz w:val="16"/>
                <w:lang w:val="fr-FR"/>
              </w:rPr>
              <w:t>Total</w:t>
            </w:r>
          </w:p>
        </w:tc>
      </w:tr>
      <w:tr w:rsidR="005416C1" w:rsidRPr="00174283" w:rsidTr="00125E8E">
        <w:trPr>
          <w:trHeight w:val="240"/>
        </w:trPr>
        <w:tc>
          <w:tcPr>
            <w:tcW w:w="1116" w:type="dxa"/>
            <w:vMerge/>
            <w:tcBorders>
              <w:bottom w:val="single" w:sz="12" w:space="0" w:color="auto"/>
            </w:tcBorders>
            <w:shd w:val="clear" w:color="auto" w:fill="auto"/>
          </w:tcPr>
          <w:p w:rsidR="005416C1" w:rsidRPr="00174283" w:rsidRDefault="005416C1" w:rsidP="0010148C">
            <w:pPr>
              <w:pStyle w:val="SingleTxtG"/>
              <w:suppressAutoHyphens w:val="0"/>
              <w:spacing w:before="40" w:after="40" w:line="220" w:lineRule="exact"/>
              <w:ind w:left="0" w:right="0"/>
              <w:jc w:val="left"/>
              <w:rPr>
                <w:i/>
                <w:sz w:val="16"/>
                <w:szCs w:val="16"/>
                <w:lang w:val="fr-FR"/>
              </w:rPr>
            </w:pPr>
          </w:p>
        </w:tc>
        <w:tc>
          <w:tcPr>
            <w:tcW w:w="450" w:type="dxa"/>
            <w:tcBorders>
              <w:top w:val="single" w:sz="4" w:space="0" w:color="auto"/>
              <w:bottom w:val="single" w:sz="12" w:space="0" w:color="auto"/>
            </w:tcBorders>
            <w:shd w:val="clear" w:color="auto" w:fill="auto"/>
            <w:vAlign w:val="bottom"/>
          </w:tcPr>
          <w:p w:rsidR="005416C1" w:rsidRPr="00794E66" w:rsidRDefault="005416C1" w:rsidP="005416C1">
            <w:pPr>
              <w:pStyle w:val="SingleTxtG"/>
              <w:suppressAutoHyphens w:val="0"/>
              <w:spacing w:before="40" w:after="40" w:line="220" w:lineRule="exact"/>
              <w:ind w:left="0" w:right="0"/>
              <w:jc w:val="right"/>
              <w:rPr>
                <w:b/>
                <w:bCs/>
                <w:i/>
                <w:sz w:val="16"/>
                <w:szCs w:val="16"/>
                <w:lang w:val="fr-FR"/>
              </w:rPr>
            </w:pPr>
            <w:r w:rsidRPr="00794E66">
              <w:rPr>
                <w:b/>
                <w:bCs/>
                <w:i/>
                <w:sz w:val="16"/>
                <w:szCs w:val="16"/>
                <w:lang w:val="fr-FR"/>
              </w:rPr>
              <w:t>Total</w:t>
            </w:r>
          </w:p>
        </w:tc>
        <w:tc>
          <w:tcPr>
            <w:tcW w:w="630" w:type="dxa"/>
            <w:tcBorders>
              <w:top w:val="single" w:sz="4" w:space="0" w:color="auto"/>
              <w:bottom w:val="single" w:sz="12" w:space="0" w:color="auto"/>
            </w:tcBorders>
            <w:shd w:val="clear" w:color="auto" w:fill="auto"/>
            <w:vAlign w:val="bottom"/>
          </w:tcPr>
          <w:p w:rsidR="005416C1" w:rsidRPr="00174283" w:rsidRDefault="005416C1" w:rsidP="005416C1">
            <w:pPr>
              <w:pStyle w:val="SingleTxtG"/>
              <w:suppressAutoHyphens w:val="0"/>
              <w:spacing w:before="40" w:after="40" w:line="220" w:lineRule="exact"/>
              <w:ind w:left="0" w:right="0"/>
              <w:jc w:val="right"/>
              <w:rPr>
                <w:i/>
                <w:sz w:val="16"/>
                <w:szCs w:val="16"/>
                <w:lang w:val="fr-FR"/>
              </w:rPr>
            </w:pPr>
            <w:r w:rsidRPr="00174283">
              <w:rPr>
                <w:i/>
                <w:sz w:val="16"/>
                <w:szCs w:val="16"/>
                <w:lang w:val="fr-FR"/>
              </w:rPr>
              <w:t>Garçons</w:t>
            </w:r>
          </w:p>
        </w:tc>
        <w:tc>
          <w:tcPr>
            <w:tcW w:w="450" w:type="dxa"/>
            <w:tcBorders>
              <w:top w:val="single" w:sz="4" w:space="0" w:color="auto"/>
              <w:bottom w:val="single" w:sz="12" w:space="0" w:color="auto"/>
              <w:right w:val="single" w:sz="24" w:space="0" w:color="FFFFFF"/>
            </w:tcBorders>
            <w:shd w:val="clear" w:color="auto" w:fill="auto"/>
            <w:vAlign w:val="bottom"/>
          </w:tcPr>
          <w:p w:rsidR="005416C1" w:rsidRPr="00174283" w:rsidRDefault="005416C1" w:rsidP="005416C1">
            <w:pPr>
              <w:pStyle w:val="SingleTxtG"/>
              <w:suppressAutoHyphens w:val="0"/>
              <w:spacing w:before="40" w:after="40" w:line="220" w:lineRule="exact"/>
              <w:ind w:left="0" w:right="0"/>
              <w:jc w:val="right"/>
              <w:rPr>
                <w:i/>
                <w:sz w:val="16"/>
                <w:szCs w:val="16"/>
                <w:lang w:val="fr-FR"/>
              </w:rPr>
            </w:pPr>
            <w:r w:rsidRPr="00174283">
              <w:rPr>
                <w:i/>
                <w:sz w:val="16"/>
                <w:szCs w:val="16"/>
                <w:lang w:val="fr-FR"/>
              </w:rPr>
              <w:t>Filles</w:t>
            </w:r>
          </w:p>
        </w:tc>
        <w:tc>
          <w:tcPr>
            <w:tcW w:w="450" w:type="dxa"/>
            <w:tcBorders>
              <w:top w:val="single" w:sz="4" w:space="0" w:color="auto"/>
              <w:left w:val="single" w:sz="24" w:space="0" w:color="FFFFFF"/>
              <w:bottom w:val="single" w:sz="12" w:space="0" w:color="auto"/>
            </w:tcBorders>
            <w:shd w:val="clear" w:color="auto" w:fill="auto"/>
            <w:vAlign w:val="bottom"/>
          </w:tcPr>
          <w:p w:rsidR="005416C1" w:rsidRPr="00794E66" w:rsidRDefault="005416C1" w:rsidP="005416C1">
            <w:pPr>
              <w:pStyle w:val="SingleTxtG"/>
              <w:suppressAutoHyphens w:val="0"/>
              <w:spacing w:before="40" w:after="40" w:line="220" w:lineRule="exact"/>
              <w:ind w:left="0" w:right="0"/>
              <w:jc w:val="right"/>
              <w:rPr>
                <w:b/>
                <w:bCs/>
                <w:i/>
                <w:sz w:val="16"/>
                <w:szCs w:val="16"/>
                <w:lang w:val="fr-FR"/>
              </w:rPr>
            </w:pPr>
            <w:r w:rsidRPr="00794E66">
              <w:rPr>
                <w:b/>
                <w:bCs/>
                <w:i/>
                <w:sz w:val="16"/>
                <w:szCs w:val="16"/>
                <w:lang w:val="fr-FR"/>
              </w:rPr>
              <w:t>Total</w:t>
            </w:r>
          </w:p>
        </w:tc>
        <w:tc>
          <w:tcPr>
            <w:tcW w:w="630" w:type="dxa"/>
            <w:tcBorders>
              <w:top w:val="single" w:sz="4" w:space="0" w:color="auto"/>
              <w:bottom w:val="single" w:sz="12" w:space="0" w:color="auto"/>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Garçons</w:t>
            </w:r>
          </w:p>
        </w:tc>
        <w:tc>
          <w:tcPr>
            <w:tcW w:w="540" w:type="dxa"/>
            <w:tcBorders>
              <w:top w:val="single" w:sz="4" w:space="0" w:color="auto"/>
              <w:bottom w:val="single" w:sz="12" w:space="0" w:color="auto"/>
              <w:right w:val="single" w:sz="24" w:space="0" w:color="FFFFFF"/>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Filles</w:t>
            </w:r>
          </w:p>
        </w:tc>
        <w:tc>
          <w:tcPr>
            <w:tcW w:w="450" w:type="dxa"/>
            <w:tcBorders>
              <w:top w:val="single" w:sz="4" w:space="0" w:color="auto"/>
              <w:left w:val="single" w:sz="24" w:space="0" w:color="FFFFFF"/>
              <w:bottom w:val="single" w:sz="12" w:space="0" w:color="auto"/>
            </w:tcBorders>
            <w:shd w:val="clear" w:color="auto" w:fill="auto"/>
            <w:vAlign w:val="bottom"/>
          </w:tcPr>
          <w:p w:rsidR="005416C1" w:rsidRPr="00794E66" w:rsidRDefault="005416C1" w:rsidP="005416C1">
            <w:pPr>
              <w:pStyle w:val="SingleTxtG"/>
              <w:suppressAutoHyphens w:val="0"/>
              <w:spacing w:before="40" w:after="40" w:line="220" w:lineRule="exact"/>
              <w:ind w:left="0" w:right="0"/>
              <w:jc w:val="right"/>
              <w:rPr>
                <w:b/>
                <w:bCs/>
                <w:i/>
                <w:sz w:val="16"/>
                <w:szCs w:val="16"/>
                <w:lang w:val="fr-FR"/>
              </w:rPr>
            </w:pPr>
            <w:r w:rsidRPr="00794E66">
              <w:rPr>
                <w:b/>
                <w:bCs/>
                <w:i/>
                <w:sz w:val="16"/>
                <w:szCs w:val="16"/>
                <w:lang w:val="fr-FR"/>
              </w:rPr>
              <w:t>Total</w:t>
            </w:r>
          </w:p>
        </w:tc>
        <w:tc>
          <w:tcPr>
            <w:tcW w:w="630" w:type="dxa"/>
            <w:tcBorders>
              <w:top w:val="single" w:sz="4" w:space="0" w:color="auto"/>
              <w:bottom w:val="single" w:sz="12" w:space="0" w:color="auto"/>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Garçons</w:t>
            </w:r>
          </w:p>
        </w:tc>
        <w:tc>
          <w:tcPr>
            <w:tcW w:w="532" w:type="dxa"/>
            <w:tcBorders>
              <w:top w:val="single" w:sz="4" w:space="0" w:color="auto"/>
              <w:bottom w:val="single" w:sz="12" w:space="0" w:color="auto"/>
              <w:right w:val="single" w:sz="24" w:space="0" w:color="FFFFFF"/>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Filles</w:t>
            </w:r>
          </w:p>
        </w:tc>
        <w:tc>
          <w:tcPr>
            <w:tcW w:w="404" w:type="dxa"/>
            <w:tcBorders>
              <w:top w:val="single" w:sz="4" w:space="0" w:color="auto"/>
              <w:left w:val="single" w:sz="24" w:space="0" w:color="FFFFFF"/>
              <w:bottom w:val="single" w:sz="12" w:space="0" w:color="auto"/>
            </w:tcBorders>
            <w:shd w:val="clear" w:color="auto" w:fill="auto"/>
            <w:vAlign w:val="bottom"/>
          </w:tcPr>
          <w:p w:rsidR="005416C1" w:rsidRPr="00794E66" w:rsidRDefault="005416C1" w:rsidP="005416C1">
            <w:pPr>
              <w:pStyle w:val="SingleTxtG"/>
              <w:suppressAutoHyphens w:val="0"/>
              <w:spacing w:before="40" w:after="40" w:line="220" w:lineRule="exact"/>
              <w:ind w:left="0" w:right="0"/>
              <w:jc w:val="right"/>
              <w:rPr>
                <w:b/>
                <w:bCs/>
                <w:i/>
                <w:sz w:val="16"/>
                <w:szCs w:val="16"/>
                <w:lang w:val="fr-FR"/>
              </w:rPr>
            </w:pPr>
            <w:r w:rsidRPr="00794E66">
              <w:rPr>
                <w:b/>
                <w:bCs/>
                <w:i/>
                <w:sz w:val="16"/>
                <w:szCs w:val="16"/>
                <w:lang w:val="fr-FR"/>
              </w:rPr>
              <w:t>Total</w:t>
            </w:r>
          </w:p>
        </w:tc>
        <w:tc>
          <w:tcPr>
            <w:tcW w:w="675" w:type="dxa"/>
            <w:tcBorders>
              <w:top w:val="single" w:sz="4" w:space="0" w:color="auto"/>
              <w:bottom w:val="single" w:sz="12" w:space="0" w:color="auto"/>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Garçons</w:t>
            </w:r>
          </w:p>
        </w:tc>
        <w:tc>
          <w:tcPr>
            <w:tcW w:w="413" w:type="dxa"/>
            <w:tcBorders>
              <w:top w:val="single" w:sz="4" w:space="0" w:color="auto"/>
              <w:bottom w:val="single" w:sz="12" w:space="0" w:color="auto"/>
            </w:tcBorders>
            <w:shd w:val="clear" w:color="auto" w:fill="auto"/>
            <w:vAlign w:val="bottom"/>
          </w:tcPr>
          <w:p w:rsidR="005416C1" w:rsidRPr="00174283" w:rsidRDefault="005416C1" w:rsidP="00EC69AB">
            <w:pPr>
              <w:pStyle w:val="SingleTxtG"/>
              <w:suppressAutoHyphens w:val="0"/>
              <w:spacing w:before="40" w:after="40" w:line="220" w:lineRule="exact"/>
              <w:ind w:left="0" w:right="0"/>
              <w:jc w:val="right"/>
              <w:rPr>
                <w:i/>
                <w:sz w:val="16"/>
                <w:szCs w:val="16"/>
                <w:lang w:val="fr-FR"/>
              </w:rPr>
            </w:pPr>
            <w:r w:rsidRPr="00174283">
              <w:rPr>
                <w:i/>
                <w:sz w:val="16"/>
                <w:szCs w:val="16"/>
                <w:lang w:val="fr-FR"/>
              </w:rPr>
              <w:t>Filles</w:t>
            </w:r>
          </w:p>
        </w:tc>
      </w:tr>
      <w:tr w:rsidR="005416C1" w:rsidRPr="00174283" w:rsidTr="006044F8">
        <w:trPr>
          <w:trHeight w:val="240"/>
        </w:trPr>
        <w:tc>
          <w:tcPr>
            <w:tcW w:w="1116" w:type="dxa"/>
            <w:tcBorders>
              <w:top w:val="single" w:sz="12" w:space="0" w:color="auto"/>
              <w:bottom w:val="single" w:sz="12" w:space="0" w:color="auto"/>
            </w:tcBorders>
            <w:shd w:val="clear" w:color="auto" w:fill="auto"/>
          </w:tcPr>
          <w:p w:rsidR="005F6214" w:rsidRPr="00174283" w:rsidRDefault="005416C1" w:rsidP="0010148C">
            <w:pPr>
              <w:pStyle w:val="SingleTxtG"/>
              <w:suppressAutoHyphens w:val="0"/>
              <w:spacing w:before="40" w:after="40" w:line="220" w:lineRule="exact"/>
              <w:ind w:left="0" w:right="0"/>
              <w:jc w:val="left"/>
              <w:rPr>
                <w:sz w:val="18"/>
                <w:lang w:val="fr-FR"/>
              </w:rPr>
            </w:pPr>
            <w:r w:rsidRPr="00174283">
              <w:rPr>
                <w:sz w:val="18"/>
                <w:lang w:val="fr-FR"/>
              </w:rPr>
              <w:t>Nombre de candidats sélectionnés</w:t>
            </w:r>
          </w:p>
        </w:tc>
        <w:tc>
          <w:tcPr>
            <w:tcW w:w="450" w:type="dxa"/>
            <w:tcBorders>
              <w:top w:val="single" w:sz="12" w:space="0" w:color="auto"/>
              <w:bottom w:val="single" w:sz="12" w:space="0" w:color="auto"/>
            </w:tcBorders>
            <w:shd w:val="clear" w:color="auto" w:fill="auto"/>
            <w:vAlign w:val="bottom"/>
          </w:tcPr>
          <w:p w:rsidR="005F6214" w:rsidRPr="00794E66" w:rsidRDefault="005F6214" w:rsidP="006044F8">
            <w:pPr>
              <w:suppressAutoHyphens w:val="0"/>
              <w:spacing w:before="40" w:after="40" w:line="220" w:lineRule="exact"/>
              <w:ind w:left="113"/>
              <w:jc w:val="right"/>
              <w:rPr>
                <w:b/>
                <w:bCs/>
                <w:sz w:val="18"/>
                <w:lang w:val="fr-FR"/>
              </w:rPr>
            </w:pPr>
            <w:r w:rsidRPr="00794E66">
              <w:rPr>
                <w:b/>
                <w:bCs/>
                <w:sz w:val="18"/>
                <w:lang w:val="fr-FR"/>
              </w:rPr>
              <w:t>250</w:t>
            </w:r>
          </w:p>
        </w:tc>
        <w:tc>
          <w:tcPr>
            <w:tcW w:w="630"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106</w:t>
            </w:r>
          </w:p>
        </w:tc>
        <w:tc>
          <w:tcPr>
            <w:tcW w:w="450"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144</w:t>
            </w:r>
          </w:p>
        </w:tc>
        <w:tc>
          <w:tcPr>
            <w:tcW w:w="450" w:type="dxa"/>
            <w:tcBorders>
              <w:top w:val="single" w:sz="12" w:space="0" w:color="auto"/>
              <w:bottom w:val="single" w:sz="12" w:space="0" w:color="auto"/>
            </w:tcBorders>
            <w:shd w:val="clear" w:color="auto" w:fill="auto"/>
            <w:vAlign w:val="bottom"/>
          </w:tcPr>
          <w:p w:rsidR="005F6214" w:rsidRPr="00794E66" w:rsidRDefault="005F6214" w:rsidP="006044F8">
            <w:pPr>
              <w:suppressAutoHyphens w:val="0"/>
              <w:spacing w:before="40" w:after="40" w:line="220" w:lineRule="exact"/>
              <w:ind w:left="113"/>
              <w:jc w:val="right"/>
              <w:rPr>
                <w:b/>
                <w:bCs/>
                <w:sz w:val="18"/>
                <w:lang w:val="fr-FR"/>
              </w:rPr>
            </w:pPr>
            <w:r w:rsidRPr="00794E66">
              <w:rPr>
                <w:b/>
                <w:bCs/>
                <w:sz w:val="18"/>
                <w:lang w:val="fr-FR"/>
              </w:rPr>
              <w:t>106</w:t>
            </w:r>
          </w:p>
        </w:tc>
        <w:tc>
          <w:tcPr>
            <w:tcW w:w="630"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58</w:t>
            </w:r>
          </w:p>
        </w:tc>
        <w:tc>
          <w:tcPr>
            <w:tcW w:w="540"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48</w:t>
            </w:r>
          </w:p>
        </w:tc>
        <w:tc>
          <w:tcPr>
            <w:tcW w:w="450" w:type="dxa"/>
            <w:tcBorders>
              <w:top w:val="single" w:sz="12" w:space="0" w:color="auto"/>
              <w:bottom w:val="single" w:sz="12" w:space="0" w:color="auto"/>
            </w:tcBorders>
            <w:shd w:val="clear" w:color="auto" w:fill="auto"/>
            <w:vAlign w:val="bottom"/>
          </w:tcPr>
          <w:p w:rsidR="005F6214" w:rsidRPr="00794E66" w:rsidRDefault="005F6214" w:rsidP="006044F8">
            <w:pPr>
              <w:suppressAutoHyphens w:val="0"/>
              <w:spacing w:before="40" w:after="40" w:line="220" w:lineRule="exact"/>
              <w:ind w:left="113"/>
              <w:jc w:val="right"/>
              <w:rPr>
                <w:b/>
                <w:bCs/>
                <w:sz w:val="18"/>
                <w:lang w:val="fr-FR"/>
              </w:rPr>
            </w:pPr>
            <w:r w:rsidRPr="00794E66">
              <w:rPr>
                <w:b/>
                <w:bCs/>
                <w:sz w:val="18"/>
                <w:lang w:val="fr-FR"/>
              </w:rPr>
              <w:t>88</w:t>
            </w:r>
          </w:p>
        </w:tc>
        <w:tc>
          <w:tcPr>
            <w:tcW w:w="630"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35</w:t>
            </w:r>
          </w:p>
        </w:tc>
        <w:tc>
          <w:tcPr>
            <w:tcW w:w="532"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53</w:t>
            </w:r>
          </w:p>
        </w:tc>
        <w:tc>
          <w:tcPr>
            <w:tcW w:w="404" w:type="dxa"/>
            <w:tcBorders>
              <w:top w:val="single" w:sz="12" w:space="0" w:color="auto"/>
              <w:bottom w:val="single" w:sz="12" w:space="0" w:color="auto"/>
            </w:tcBorders>
            <w:shd w:val="clear" w:color="auto" w:fill="auto"/>
            <w:vAlign w:val="bottom"/>
          </w:tcPr>
          <w:p w:rsidR="005F6214" w:rsidRPr="00794E66" w:rsidRDefault="005F6214" w:rsidP="006044F8">
            <w:pPr>
              <w:suppressAutoHyphens w:val="0"/>
              <w:spacing w:before="40" w:after="40" w:line="220" w:lineRule="exact"/>
              <w:ind w:left="113"/>
              <w:jc w:val="right"/>
              <w:rPr>
                <w:b/>
                <w:bCs/>
                <w:sz w:val="18"/>
                <w:lang w:val="fr-FR"/>
              </w:rPr>
            </w:pPr>
            <w:r w:rsidRPr="00794E66">
              <w:rPr>
                <w:b/>
                <w:bCs/>
                <w:sz w:val="18"/>
                <w:lang w:val="fr-FR"/>
              </w:rPr>
              <w:t>444</w:t>
            </w:r>
          </w:p>
        </w:tc>
        <w:tc>
          <w:tcPr>
            <w:tcW w:w="675"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199</w:t>
            </w:r>
          </w:p>
        </w:tc>
        <w:tc>
          <w:tcPr>
            <w:tcW w:w="413" w:type="dxa"/>
            <w:tcBorders>
              <w:top w:val="single" w:sz="12" w:space="0" w:color="auto"/>
              <w:bottom w:val="single" w:sz="12" w:space="0" w:color="auto"/>
            </w:tcBorders>
            <w:shd w:val="clear" w:color="auto" w:fill="auto"/>
            <w:vAlign w:val="bottom"/>
          </w:tcPr>
          <w:p w:rsidR="005F6214" w:rsidRPr="00174283" w:rsidRDefault="005F6214" w:rsidP="006044F8">
            <w:pPr>
              <w:suppressAutoHyphens w:val="0"/>
              <w:spacing w:before="40" w:after="40" w:line="220" w:lineRule="exact"/>
              <w:ind w:left="113"/>
              <w:jc w:val="right"/>
              <w:rPr>
                <w:sz w:val="18"/>
                <w:lang w:val="fr-FR"/>
              </w:rPr>
            </w:pPr>
            <w:r w:rsidRPr="00174283">
              <w:rPr>
                <w:sz w:val="18"/>
                <w:lang w:val="fr-FR"/>
              </w:rPr>
              <w:t>245</w:t>
            </w:r>
          </w:p>
        </w:tc>
      </w:tr>
    </w:tbl>
    <w:p w:rsidR="00722DF9" w:rsidRPr="00174283" w:rsidRDefault="009E1A92" w:rsidP="009E1A92">
      <w:pPr>
        <w:pStyle w:val="SingleTxtG"/>
        <w:keepNext/>
        <w:spacing w:before="240"/>
        <w:rPr>
          <w:lang w:val="fr-FR"/>
        </w:rPr>
      </w:pPr>
      <w:r>
        <w:rPr>
          <w:lang w:val="fr-FR"/>
        </w:rPr>
        <w:t>192.</w:t>
      </w:r>
      <w:r>
        <w:rPr>
          <w:lang w:val="fr-FR"/>
        </w:rPr>
        <w:tab/>
      </w:r>
      <w:r w:rsidR="008B7BCB" w:rsidRPr="00174283">
        <w:rPr>
          <w:lang w:val="fr-FR"/>
        </w:rPr>
        <w:t>Ce projet se divise en trois parties</w:t>
      </w:r>
      <w:r w:rsidR="002F51DC">
        <w:rPr>
          <w:lang w:val="fr-FR"/>
        </w:rPr>
        <w:t>:</w:t>
      </w:r>
    </w:p>
    <w:p w:rsidR="00722DF9" w:rsidRPr="00174283" w:rsidRDefault="00722DF9" w:rsidP="00D462C7">
      <w:pPr>
        <w:pStyle w:val="SingleTxtG"/>
        <w:ind w:left="1701"/>
        <w:rPr>
          <w:lang w:val="fr-FR"/>
        </w:rPr>
      </w:pPr>
      <w:r w:rsidRPr="00174283">
        <w:rPr>
          <w:lang w:val="fr-FR"/>
        </w:rPr>
        <w:t>1.</w:t>
      </w:r>
      <w:r w:rsidRPr="00174283">
        <w:rPr>
          <w:lang w:val="fr-FR"/>
        </w:rPr>
        <w:tab/>
      </w:r>
      <w:r w:rsidR="008B7BCB" w:rsidRPr="00174283">
        <w:rPr>
          <w:lang w:val="fr-FR"/>
        </w:rPr>
        <w:t>Bourses</w:t>
      </w:r>
      <w:r w:rsidR="002F51DC">
        <w:rPr>
          <w:lang w:val="fr-FR"/>
        </w:rPr>
        <w:t>:</w:t>
      </w:r>
      <w:r w:rsidR="008B7BCB" w:rsidRPr="00174283">
        <w:rPr>
          <w:lang w:val="fr-FR"/>
        </w:rPr>
        <w:t xml:space="preserve"> Aide financière de 2 200 </w:t>
      </w:r>
      <w:r w:rsidR="00CE0D09" w:rsidRPr="00174283">
        <w:rPr>
          <w:lang w:val="fr-FR"/>
        </w:rPr>
        <w:t>dinars</w:t>
      </w:r>
      <w:r w:rsidR="008B7BCB" w:rsidRPr="00174283">
        <w:rPr>
          <w:lang w:val="fr-FR"/>
        </w:rPr>
        <w:t xml:space="preserve"> macédoniens pendant neuf mois pour 444 élèves roms du secondaire </w:t>
      </w:r>
      <w:r w:rsidR="00F51B9D" w:rsidRPr="00174283">
        <w:rPr>
          <w:lang w:val="fr-FR"/>
        </w:rPr>
        <w:t>ayant obtenu</w:t>
      </w:r>
      <w:r w:rsidR="008B7BCB" w:rsidRPr="00174283">
        <w:rPr>
          <w:lang w:val="fr-FR"/>
        </w:rPr>
        <w:t xml:space="preserve"> une moyenne générale d</w:t>
      </w:r>
      <w:r w:rsidR="00205A62">
        <w:rPr>
          <w:lang w:val="fr-FR"/>
        </w:rPr>
        <w:t>’</w:t>
      </w:r>
      <w:r w:rsidR="008B7BCB" w:rsidRPr="00174283">
        <w:rPr>
          <w:lang w:val="fr-FR"/>
        </w:rPr>
        <w:t>au moins 3.00 p</w:t>
      </w:r>
      <w:r w:rsidR="00F51B9D" w:rsidRPr="00174283">
        <w:rPr>
          <w:lang w:val="fr-FR"/>
        </w:rPr>
        <w:t>endant</w:t>
      </w:r>
      <w:r w:rsidR="008B7BCB" w:rsidRPr="00174283">
        <w:rPr>
          <w:lang w:val="fr-FR"/>
        </w:rPr>
        <w:t xml:space="preserve"> l</w:t>
      </w:r>
      <w:r w:rsidR="00205A62">
        <w:rPr>
          <w:lang w:val="fr-FR"/>
        </w:rPr>
        <w:t>’</w:t>
      </w:r>
      <w:r w:rsidR="008B7BCB" w:rsidRPr="00174283">
        <w:rPr>
          <w:lang w:val="fr-FR"/>
        </w:rPr>
        <w:t xml:space="preserve">année scolaire </w:t>
      </w:r>
      <w:r w:rsidR="00D462C7" w:rsidRPr="00174283">
        <w:rPr>
          <w:lang w:val="fr-FR"/>
        </w:rPr>
        <w:t>2009/10</w:t>
      </w:r>
      <w:r w:rsidRPr="00174283">
        <w:rPr>
          <w:lang w:val="fr-FR"/>
        </w:rPr>
        <w:t xml:space="preserve">. </w:t>
      </w:r>
    </w:p>
    <w:p w:rsidR="00722DF9" w:rsidRPr="00174283" w:rsidRDefault="00722DF9" w:rsidP="00D462C7">
      <w:pPr>
        <w:pStyle w:val="SingleTxtG"/>
        <w:ind w:left="1701"/>
        <w:rPr>
          <w:lang w:val="fr-FR"/>
        </w:rPr>
      </w:pPr>
      <w:r w:rsidRPr="00174283">
        <w:rPr>
          <w:lang w:val="fr-FR"/>
        </w:rPr>
        <w:t>2.</w:t>
      </w:r>
      <w:r w:rsidRPr="00174283">
        <w:rPr>
          <w:lang w:val="fr-FR"/>
        </w:rPr>
        <w:tab/>
      </w:r>
      <w:r w:rsidR="001E5012" w:rsidRPr="00174283">
        <w:rPr>
          <w:lang w:val="fr-FR"/>
        </w:rPr>
        <w:t>Encadrement</w:t>
      </w:r>
      <w:r w:rsidR="00495C97" w:rsidRPr="00174283">
        <w:rPr>
          <w:lang w:val="fr-FR"/>
        </w:rPr>
        <w:t xml:space="preserve"> sous forme de mentorat</w:t>
      </w:r>
      <w:r w:rsidR="002F51DC">
        <w:rPr>
          <w:lang w:val="fr-FR"/>
        </w:rPr>
        <w:t>:</w:t>
      </w:r>
      <w:r w:rsidRPr="00174283">
        <w:rPr>
          <w:lang w:val="fr-FR"/>
        </w:rPr>
        <w:t xml:space="preserve"> 93 </w:t>
      </w:r>
      <w:r w:rsidR="000C37B3" w:rsidRPr="00174283">
        <w:rPr>
          <w:lang w:val="fr-FR"/>
        </w:rPr>
        <w:t xml:space="preserve">enseignants de mathématiques du secondaire ont été </w:t>
      </w:r>
      <w:r w:rsidR="002D0356" w:rsidRPr="00174283">
        <w:rPr>
          <w:lang w:val="fr-FR"/>
        </w:rPr>
        <w:t>chargés d</w:t>
      </w:r>
      <w:r w:rsidR="00205A62">
        <w:rPr>
          <w:lang w:val="fr-FR"/>
        </w:rPr>
        <w:t>’</w:t>
      </w:r>
      <w:r w:rsidR="002D0356" w:rsidRPr="00174283">
        <w:rPr>
          <w:lang w:val="fr-FR"/>
        </w:rPr>
        <w:t>encadrer des élèves boursiers roms du secondaire et tous les autres élèves roms non boursiers mais admissibles à un soutien sous forme de mentorat. Pour les aider à maîtriser cette disci</w:t>
      </w:r>
      <w:r w:rsidR="00AB6F2F">
        <w:rPr>
          <w:lang w:val="fr-FR"/>
        </w:rPr>
        <w:t>pline, chaque mentor propose 16 </w:t>
      </w:r>
      <w:r w:rsidR="002D0356" w:rsidRPr="00174283">
        <w:rPr>
          <w:lang w:val="fr-FR"/>
        </w:rPr>
        <w:t xml:space="preserve">cours </w:t>
      </w:r>
      <w:r w:rsidR="00A21C44" w:rsidRPr="00174283">
        <w:rPr>
          <w:lang w:val="fr-FR"/>
        </w:rPr>
        <w:t xml:space="preserve">supplémentaires </w:t>
      </w:r>
      <w:r w:rsidR="002D0356" w:rsidRPr="00174283">
        <w:rPr>
          <w:lang w:val="fr-FR"/>
        </w:rPr>
        <w:t xml:space="preserve">à un </w:t>
      </w:r>
      <w:r w:rsidR="001E5012" w:rsidRPr="00174283">
        <w:rPr>
          <w:lang w:val="fr-FR"/>
        </w:rPr>
        <w:t>groupe</w:t>
      </w:r>
      <w:r w:rsidR="002D0356" w:rsidRPr="00174283">
        <w:rPr>
          <w:lang w:val="fr-FR"/>
        </w:rPr>
        <w:t xml:space="preserve"> de 15-20 élèves, suit leurs progrès et</w:t>
      </w:r>
      <w:r w:rsidR="004A0693" w:rsidRPr="00174283">
        <w:rPr>
          <w:lang w:val="fr-FR"/>
        </w:rPr>
        <w:t xml:space="preserve"> leur</w:t>
      </w:r>
      <w:r w:rsidR="002D0356" w:rsidRPr="00174283">
        <w:rPr>
          <w:lang w:val="fr-FR"/>
        </w:rPr>
        <w:t xml:space="preserve"> assiduité, </w:t>
      </w:r>
      <w:r w:rsidR="00A21C44" w:rsidRPr="00174283">
        <w:rPr>
          <w:lang w:val="fr-FR"/>
        </w:rPr>
        <w:t>leur inculque des</w:t>
      </w:r>
      <w:r w:rsidR="002D0356" w:rsidRPr="00174283">
        <w:rPr>
          <w:lang w:val="fr-FR"/>
        </w:rPr>
        <w:t xml:space="preserve"> méthodes </w:t>
      </w:r>
      <w:r w:rsidR="00A21C44" w:rsidRPr="00174283">
        <w:rPr>
          <w:lang w:val="fr-FR"/>
        </w:rPr>
        <w:t>de travail</w:t>
      </w:r>
      <w:r w:rsidR="000638D7" w:rsidRPr="00174283">
        <w:rPr>
          <w:lang w:val="fr-FR"/>
        </w:rPr>
        <w:t>,</w:t>
      </w:r>
      <w:r w:rsidR="002D0356" w:rsidRPr="00174283">
        <w:rPr>
          <w:lang w:val="fr-FR"/>
        </w:rPr>
        <w:t xml:space="preserve"> </w:t>
      </w:r>
      <w:r w:rsidR="00A21C44" w:rsidRPr="00174283">
        <w:rPr>
          <w:lang w:val="fr-FR"/>
        </w:rPr>
        <w:t>les informe sur les</w:t>
      </w:r>
      <w:r w:rsidR="002D0356" w:rsidRPr="00174283">
        <w:rPr>
          <w:lang w:val="fr-FR"/>
        </w:rPr>
        <w:t xml:space="preserve"> activités parascolaires et les services </w:t>
      </w:r>
      <w:r w:rsidR="00A21C44" w:rsidRPr="00174283">
        <w:rPr>
          <w:lang w:val="fr-FR"/>
        </w:rPr>
        <w:t xml:space="preserve">dont ils peuvent se prévaloir à </w:t>
      </w:r>
      <w:r w:rsidR="002D0356" w:rsidRPr="00174283">
        <w:rPr>
          <w:lang w:val="fr-FR"/>
        </w:rPr>
        <w:t>l</w:t>
      </w:r>
      <w:r w:rsidR="00205A62">
        <w:rPr>
          <w:lang w:val="fr-FR"/>
        </w:rPr>
        <w:t>’</w:t>
      </w:r>
      <w:r w:rsidR="002D0356" w:rsidRPr="00174283">
        <w:rPr>
          <w:lang w:val="fr-FR"/>
        </w:rPr>
        <w:t>école</w:t>
      </w:r>
      <w:r w:rsidR="006E325A" w:rsidRPr="00174283">
        <w:rPr>
          <w:lang w:val="fr-FR"/>
        </w:rPr>
        <w:t>, communique avec</w:t>
      </w:r>
      <w:r w:rsidR="002D0356" w:rsidRPr="00174283">
        <w:rPr>
          <w:lang w:val="fr-FR"/>
        </w:rPr>
        <w:t xml:space="preserve"> le</w:t>
      </w:r>
      <w:r w:rsidR="00A21C44" w:rsidRPr="00174283">
        <w:rPr>
          <w:lang w:val="fr-FR"/>
        </w:rPr>
        <w:t>ur</w:t>
      </w:r>
      <w:r w:rsidR="002D0356" w:rsidRPr="00174283">
        <w:rPr>
          <w:lang w:val="fr-FR"/>
        </w:rPr>
        <w:t xml:space="preserve">s parents </w:t>
      </w:r>
      <w:r w:rsidR="00A21C44" w:rsidRPr="00174283">
        <w:rPr>
          <w:lang w:val="fr-FR"/>
        </w:rPr>
        <w:t xml:space="preserve">et </w:t>
      </w:r>
      <w:r w:rsidR="006E325A" w:rsidRPr="00174283">
        <w:rPr>
          <w:lang w:val="fr-FR"/>
        </w:rPr>
        <w:t xml:space="preserve">rend compte de leurs progrès </w:t>
      </w:r>
      <w:r w:rsidR="002D0356" w:rsidRPr="00174283">
        <w:rPr>
          <w:lang w:val="fr-FR"/>
        </w:rPr>
        <w:t>à l</w:t>
      </w:r>
      <w:r w:rsidR="00205A62">
        <w:rPr>
          <w:lang w:val="fr-FR"/>
        </w:rPr>
        <w:t>’</w:t>
      </w:r>
      <w:r w:rsidR="002D0356" w:rsidRPr="00174283">
        <w:rPr>
          <w:lang w:val="fr-FR"/>
        </w:rPr>
        <w:t xml:space="preserve">équipe </w:t>
      </w:r>
      <w:r w:rsidR="004A0693" w:rsidRPr="00174283">
        <w:rPr>
          <w:lang w:val="fr-FR"/>
        </w:rPr>
        <w:t>chargée du</w:t>
      </w:r>
      <w:r w:rsidR="002D0356" w:rsidRPr="00174283">
        <w:rPr>
          <w:lang w:val="fr-FR"/>
        </w:rPr>
        <w:t xml:space="preserve"> projet. </w:t>
      </w:r>
    </w:p>
    <w:p w:rsidR="00722DF9" w:rsidRPr="00174283" w:rsidRDefault="00722DF9" w:rsidP="00D462C7">
      <w:pPr>
        <w:pStyle w:val="SingleTxtG"/>
        <w:ind w:left="1701"/>
        <w:rPr>
          <w:lang w:val="fr-FR"/>
        </w:rPr>
      </w:pPr>
      <w:r w:rsidRPr="00174283">
        <w:rPr>
          <w:lang w:val="fr-FR"/>
        </w:rPr>
        <w:t>3.</w:t>
      </w:r>
      <w:r w:rsidRPr="00174283">
        <w:rPr>
          <w:lang w:val="fr-FR"/>
        </w:rPr>
        <w:tab/>
      </w:r>
      <w:r w:rsidR="004A0693" w:rsidRPr="00174283">
        <w:rPr>
          <w:lang w:val="fr-FR"/>
        </w:rPr>
        <w:t>Soutien</w:t>
      </w:r>
      <w:r w:rsidR="006C38EA" w:rsidRPr="00174283">
        <w:rPr>
          <w:lang w:val="fr-FR"/>
        </w:rPr>
        <w:t xml:space="preserve"> pédagogique</w:t>
      </w:r>
      <w:r w:rsidR="002F51DC">
        <w:rPr>
          <w:lang w:val="fr-FR"/>
        </w:rPr>
        <w:t>:</w:t>
      </w:r>
      <w:r w:rsidRPr="00174283">
        <w:rPr>
          <w:lang w:val="fr-FR"/>
        </w:rPr>
        <w:t xml:space="preserve"> 68 </w:t>
      </w:r>
      <w:r w:rsidR="00390695" w:rsidRPr="00174283">
        <w:rPr>
          <w:lang w:val="fr-FR"/>
        </w:rPr>
        <w:t xml:space="preserve">enseignants de différentes disciplines </w:t>
      </w:r>
      <w:r w:rsidR="000638D7" w:rsidRPr="00174283">
        <w:rPr>
          <w:lang w:val="fr-FR"/>
        </w:rPr>
        <w:t>(</w:t>
      </w:r>
      <w:r w:rsidR="00390695" w:rsidRPr="00174283">
        <w:rPr>
          <w:lang w:val="fr-FR"/>
        </w:rPr>
        <w:t xml:space="preserve">professionnelles et </w:t>
      </w:r>
      <w:r w:rsidR="006E325A" w:rsidRPr="00174283">
        <w:rPr>
          <w:lang w:val="fr-FR"/>
        </w:rPr>
        <w:t xml:space="preserve">sciences </w:t>
      </w:r>
      <w:r w:rsidR="00390695" w:rsidRPr="00174283">
        <w:rPr>
          <w:lang w:val="fr-FR"/>
        </w:rPr>
        <w:t>sociales</w:t>
      </w:r>
      <w:r w:rsidR="000638D7" w:rsidRPr="00174283">
        <w:rPr>
          <w:lang w:val="fr-FR"/>
        </w:rPr>
        <w:t>)</w:t>
      </w:r>
      <w:r w:rsidR="00390695" w:rsidRPr="00174283">
        <w:rPr>
          <w:lang w:val="fr-FR"/>
        </w:rPr>
        <w:t xml:space="preserve"> dans lesquelles des élèves roms </w:t>
      </w:r>
      <w:r w:rsidR="001E5012" w:rsidRPr="00174283">
        <w:rPr>
          <w:lang w:val="fr-FR"/>
        </w:rPr>
        <w:t>avaient</w:t>
      </w:r>
      <w:r w:rsidR="00390695" w:rsidRPr="00174283">
        <w:rPr>
          <w:lang w:val="fr-FR"/>
        </w:rPr>
        <w:t xml:space="preserve"> déclaré avoir besoin d</w:t>
      </w:r>
      <w:r w:rsidR="00205A62">
        <w:rPr>
          <w:lang w:val="fr-FR"/>
        </w:rPr>
        <w:t>’</w:t>
      </w:r>
      <w:r w:rsidR="00390695" w:rsidRPr="00174283">
        <w:rPr>
          <w:lang w:val="fr-FR"/>
        </w:rPr>
        <w:t xml:space="preserve">aide ont été recrutés. </w:t>
      </w:r>
    </w:p>
    <w:p w:rsidR="00F914DB" w:rsidRPr="00174283" w:rsidRDefault="009E1A92" w:rsidP="009E1A92">
      <w:pPr>
        <w:pStyle w:val="SingleTxtG"/>
        <w:rPr>
          <w:lang w:val="fr-FR"/>
        </w:rPr>
      </w:pPr>
      <w:r>
        <w:rPr>
          <w:lang w:val="fr-FR"/>
        </w:rPr>
        <w:t>193.</w:t>
      </w:r>
      <w:r>
        <w:rPr>
          <w:lang w:val="fr-FR"/>
        </w:rPr>
        <w:tab/>
      </w:r>
      <w:r w:rsidR="00390695" w:rsidRPr="00174283">
        <w:rPr>
          <w:lang w:val="fr-FR"/>
        </w:rPr>
        <w:t xml:space="preserve">Tous les élèves roms du secondaire ont </w:t>
      </w:r>
      <w:r w:rsidR="00392A95" w:rsidRPr="00174283">
        <w:rPr>
          <w:lang w:val="fr-FR"/>
        </w:rPr>
        <w:t xml:space="preserve">le </w:t>
      </w:r>
      <w:r w:rsidR="00390695" w:rsidRPr="00174283">
        <w:rPr>
          <w:lang w:val="fr-FR"/>
        </w:rPr>
        <w:t xml:space="preserve">droit </w:t>
      </w:r>
      <w:r w:rsidR="00392A95" w:rsidRPr="00174283">
        <w:rPr>
          <w:lang w:val="fr-FR"/>
        </w:rPr>
        <w:t>de</w:t>
      </w:r>
      <w:r w:rsidR="00390695" w:rsidRPr="00174283">
        <w:rPr>
          <w:lang w:val="fr-FR"/>
        </w:rPr>
        <w:t xml:space="preserve"> bénéficier d</w:t>
      </w:r>
      <w:r w:rsidR="00205A62">
        <w:rPr>
          <w:lang w:val="fr-FR"/>
        </w:rPr>
        <w:t>’</w:t>
      </w:r>
      <w:r w:rsidR="00390695" w:rsidRPr="00174283">
        <w:rPr>
          <w:lang w:val="fr-FR"/>
        </w:rPr>
        <w:t xml:space="preserve">un </w:t>
      </w:r>
      <w:r w:rsidR="000638D7" w:rsidRPr="00174283">
        <w:rPr>
          <w:lang w:val="fr-FR"/>
        </w:rPr>
        <w:t>mentorat ou d</w:t>
      </w:r>
      <w:r w:rsidR="00205A62">
        <w:rPr>
          <w:lang w:val="fr-FR"/>
        </w:rPr>
        <w:t>’</w:t>
      </w:r>
      <w:r w:rsidR="000638D7" w:rsidRPr="00174283">
        <w:rPr>
          <w:lang w:val="fr-FR"/>
        </w:rPr>
        <w:t xml:space="preserve">un </w:t>
      </w:r>
      <w:r w:rsidR="00390695" w:rsidRPr="00174283">
        <w:rPr>
          <w:lang w:val="fr-FR"/>
        </w:rPr>
        <w:t xml:space="preserve">soutien </w:t>
      </w:r>
      <w:r w:rsidR="000638D7" w:rsidRPr="00174283">
        <w:rPr>
          <w:lang w:val="fr-FR"/>
        </w:rPr>
        <w:t>pédagogique</w:t>
      </w:r>
      <w:r w:rsidR="00390695" w:rsidRPr="00174283">
        <w:rPr>
          <w:lang w:val="fr-FR"/>
        </w:rPr>
        <w:t>, qu</w:t>
      </w:r>
      <w:r w:rsidR="00205A62">
        <w:rPr>
          <w:lang w:val="fr-FR"/>
        </w:rPr>
        <w:t>’</w:t>
      </w:r>
      <w:r w:rsidR="00390695" w:rsidRPr="00174283">
        <w:rPr>
          <w:lang w:val="fr-FR"/>
        </w:rPr>
        <w:t xml:space="preserve">ils </w:t>
      </w:r>
      <w:r w:rsidR="00392A95" w:rsidRPr="00174283">
        <w:rPr>
          <w:lang w:val="fr-FR"/>
        </w:rPr>
        <w:t>soient ou non boursiers</w:t>
      </w:r>
      <w:r w:rsidR="00390695" w:rsidRPr="00174283">
        <w:rPr>
          <w:lang w:val="fr-FR"/>
        </w:rPr>
        <w:t xml:space="preserve">. </w:t>
      </w:r>
    </w:p>
    <w:p w:rsidR="00722DF9" w:rsidRPr="00174283" w:rsidRDefault="00B22785" w:rsidP="00C80393">
      <w:pPr>
        <w:pStyle w:val="H4G"/>
      </w:pPr>
      <w:r w:rsidRPr="00174283">
        <w:rPr>
          <w:lang w:val="fr-FR"/>
        </w:rPr>
        <w:tab/>
      </w:r>
      <w:r w:rsidRPr="00174283">
        <w:t>i)</w:t>
      </w:r>
      <w:r w:rsidRPr="00174283">
        <w:tab/>
      </w:r>
      <w:r w:rsidR="00390695" w:rsidRPr="00174283">
        <w:t xml:space="preserve">Résultats du </w:t>
      </w:r>
      <w:r w:rsidR="00CF3C7B" w:rsidRPr="00174283">
        <w:t>P</w:t>
      </w:r>
      <w:r w:rsidR="00390695" w:rsidRPr="00174283">
        <w:t>rojet pour l</w:t>
      </w:r>
      <w:r w:rsidR="00205A62">
        <w:t>’</w:t>
      </w:r>
      <w:r w:rsidR="00390695" w:rsidRPr="00174283">
        <w:t xml:space="preserve">année scolaire </w:t>
      </w:r>
      <w:r w:rsidR="00722DF9" w:rsidRPr="00174283">
        <w:t>2009/10</w:t>
      </w:r>
      <w:r w:rsidR="002F51DC">
        <w:t>:</w:t>
      </w:r>
    </w:p>
    <w:p w:rsidR="00722DF9" w:rsidRPr="00174283" w:rsidRDefault="00722DF9" w:rsidP="00D462C7">
      <w:pPr>
        <w:pStyle w:val="SingleTxtG"/>
        <w:ind w:left="1701"/>
        <w:rPr>
          <w:lang w:val="fr-FR"/>
        </w:rPr>
      </w:pPr>
      <w:r w:rsidRPr="00174283">
        <w:rPr>
          <w:lang w:val="fr-FR"/>
        </w:rPr>
        <w:t>1.</w:t>
      </w:r>
      <w:r w:rsidRPr="00174283">
        <w:rPr>
          <w:lang w:val="fr-FR"/>
        </w:rPr>
        <w:tab/>
      </w:r>
      <w:r w:rsidR="00390695" w:rsidRPr="00174283">
        <w:rPr>
          <w:lang w:val="fr-FR"/>
        </w:rPr>
        <w:t xml:space="preserve">Grâce aux bourses, </w:t>
      </w:r>
      <w:r w:rsidR="000638D7" w:rsidRPr="00174283">
        <w:rPr>
          <w:lang w:val="fr-FR"/>
        </w:rPr>
        <w:t>437</w:t>
      </w:r>
      <w:r w:rsidR="00390695" w:rsidRPr="00174283">
        <w:rPr>
          <w:lang w:val="fr-FR"/>
        </w:rPr>
        <w:t xml:space="preserve"> élèves boursiers du secondaire</w:t>
      </w:r>
      <w:r w:rsidR="00943D3A" w:rsidRPr="00174283">
        <w:rPr>
          <w:lang w:val="fr-FR"/>
        </w:rPr>
        <w:t xml:space="preserve"> sur 444 </w:t>
      </w:r>
      <w:r w:rsidR="00390695" w:rsidRPr="00174283">
        <w:rPr>
          <w:lang w:val="fr-FR"/>
        </w:rPr>
        <w:t xml:space="preserve">ont </w:t>
      </w:r>
      <w:r w:rsidR="00EA3AD3" w:rsidRPr="00174283">
        <w:rPr>
          <w:lang w:val="fr-FR"/>
        </w:rPr>
        <w:t>été admis dans</w:t>
      </w:r>
      <w:r w:rsidR="00390695" w:rsidRPr="00174283">
        <w:rPr>
          <w:lang w:val="fr-FR"/>
        </w:rPr>
        <w:t xml:space="preserve"> l</w:t>
      </w:r>
      <w:r w:rsidR="00205A62">
        <w:rPr>
          <w:lang w:val="fr-FR"/>
        </w:rPr>
        <w:t>’</w:t>
      </w:r>
      <w:r w:rsidR="00390695" w:rsidRPr="00174283">
        <w:rPr>
          <w:lang w:val="fr-FR"/>
        </w:rPr>
        <w:t xml:space="preserve">année supérieure. </w:t>
      </w:r>
    </w:p>
    <w:p w:rsidR="00722DF9" w:rsidRPr="00174283" w:rsidRDefault="00722DF9" w:rsidP="000E5A6F">
      <w:pPr>
        <w:pStyle w:val="Bullet2G"/>
        <w:rPr>
          <w:lang w:val="fr-FR"/>
        </w:rPr>
      </w:pPr>
      <w:r w:rsidRPr="00174283">
        <w:rPr>
          <w:lang w:val="fr-FR"/>
        </w:rPr>
        <w:t xml:space="preserve">5 </w:t>
      </w:r>
      <w:r w:rsidR="00390695" w:rsidRPr="00174283">
        <w:rPr>
          <w:lang w:val="fr-FR"/>
        </w:rPr>
        <w:t xml:space="preserve">élèves ont </w:t>
      </w:r>
      <w:r w:rsidR="00EA3AD3" w:rsidRPr="00174283">
        <w:rPr>
          <w:lang w:val="fr-FR"/>
        </w:rPr>
        <w:t>dû</w:t>
      </w:r>
      <w:r w:rsidR="00390695" w:rsidRPr="00174283">
        <w:rPr>
          <w:lang w:val="fr-FR"/>
        </w:rPr>
        <w:t xml:space="preserve"> redoubler</w:t>
      </w:r>
      <w:r w:rsidR="00AB6F2F">
        <w:rPr>
          <w:lang w:val="fr-FR"/>
        </w:rPr>
        <w:t>;</w:t>
      </w:r>
    </w:p>
    <w:p w:rsidR="00722DF9" w:rsidRPr="00174283" w:rsidRDefault="00722DF9" w:rsidP="000E5A6F">
      <w:pPr>
        <w:pStyle w:val="Bullet2G"/>
        <w:rPr>
          <w:lang w:val="fr-FR"/>
        </w:rPr>
      </w:pPr>
      <w:r w:rsidRPr="00174283">
        <w:rPr>
          <w:lang w:val="fr-FR"/>
        </w:rPr>
        <w:t xml:space="preserve">2 </w:t>
      </w:r>
      <w:r w:rsidR="00390695" w:rsidRPr="00174283">
        <w:rPr>
          <w:lang w:val="fr-FR"/>
        </w:rPr>
        <w:t>élèves ont abandonné leur scolarité</w:t>
      </w:r>
      <w:r w:rsidR="00255B58" w:rsidRPr="00174283">
        <w:rPr>
          <w:lang w:val="fr-FR"/>
        </w:rPr>
        <w:t>.</w:t>
      </w:r>
      <w:r w:rsidRPr="00174283">
        <w:rPr>
          <w:lang w:val="fr-FR"/>
        </w:rPr>
        <w:t xml:space="preserve"> </w:t>
      </w:r>
    </w:p>
    <w:p w:rsidR="00722DF9" w:rsidRPr="00174283" w:rsidRDefault="00722DF9" w:rsidP="00D462C7">
      <w:pPr>
        <w:pStyle w:val="SingleTxtG"/>
        <w:ind w:left="1701"/>
        <w:rPr>
          <w:lang w:val="fr-FR"/>
        </w:rPr>
      </w:pPr>
      <w:r w:rsidRPr="00174283">
        <w:rPr>
          <w:lang w:val="fr-FR"/>
        </w:rPr>
        <w:t>2.</w:t>
      </w:r>
      <w:r w:rsidRPr="00174283">
        <w:rPr>
          <w:lang w:val="fr-FR"/>
        </w:rPr>
        <w:tab/>
      </w:r>
      <w:r w:rsidR="00390695" w:rsidRPr="00174283">
        <w:rPr>
          <w:lang w:val="fr-FR"/>
        </w:rPr>
        <w:t>Grâce au dispositif de soutien scolaire (mentorat), 349 élèves sur 444 ont réussi leur année avec une moyenne générale d</w:t>
      </w:r>
      <w:r w:rsidR="00205A62">
        <w:rPr>
          <w:lang w:val="fr-FR"/>
        </w:rPr>
        <w:t>’</w:t>
      </w:r>
      <w:r w:rsidR="00390695" w:rsidRPr="00174283">
        <w:rPr>
          <w:lang w:val="fr-FR"/>
        </w:rPr>
        <w:t xml:space="preserve">au moins 3.00, tandis que la moyenne générale de 88 élèves boursiers a baissé. </w:t>
      </w:r>
    </w:p>
    <w:p w:rsidR="00722DF9" w:rsidRPr="00174283" w:rsidRDefault="00722DF9" w:rsidP="00D462C7">
      <w:pPr>
        <w:pStyle w:val="SingleTxtG"/>
        <w:ind w:left="1701"/>
        <w:rPr>
          <w:lang w:val="fr-FR"/>
        </w:rPr>
      </w:pPr>
      <w:r w:rsidRPr="00174283">
        <w:rPr>
          <w:lang w:val="fr-FR"/>
        </w:rPr>
        <w:t>3.</w:t>
      </w:r>
      <w:r w:rsidRPr="00174283">
        <w:rPr>
          <w:lang w:val="fr-FR"/>
        </w:rPr>
        <w:tab/>
      </w:r>
      <w:r w:rsidR="00390695" w:rsidRPr="00174283">
        <w:rPr>
          <w:lang w:val="fr-FR"/>
        </w:rPr>
        <w:t xml:space="preserve">Dix élèves qui ne faisaient pas partie du programme pour cause de redoublement </w:t>
      </w:r>
      <w:r w:rsidR="00EA3AD3" w:rsidRPr="00174283">
        <w:rPr>
          <w:lang w:val="fr-FR"/>
        </w:rPr>
        <w:t>mais qui avaient</w:t>
      </w:r>
      <w:r w:rsidR="00390695" w:rsidRPr="00174283">
        <w:rPr>
          <w:lang w:val="fr-FR"/>
        </w:rPr>
        <w:t xml:space="preserve"> bénéficié d</w:t>
      </w:r>
      <w:r w:rsidR="00205A62">
        <w:rPr>
          <w:lang w:val="fr-FR"/>
        </w:rPr>
        <w:t>’</w:t>
      </w:r>
      <w:r w:rsidR="00EA3AD3" w:rsidRPr="00174283">
        <w:rPr>
          <w:lang w:val="fr-FR"/>
        </w:rPr>
        <w:t>un</w:t>
      </w:r>
      <w:r w:rsidR="00390695" w:rsidRPr="00174283">
        <w:rPr>
          <w:lang w:val="fr-FR"/>
        </w:rPr>
        <w:t xml:space="preserve"> soutien scolaire ont réussi leur année avec d</w:t>
      </w:r>
      <w:r w:rsidR="00205A62">
        <w:rPr>
          <w:lang w:val="fr-FR"/>
        </w:rPr>
        <w:t>’</w:t>
      </w:r>
      <w:r w:rsidR="00390695" w:rsidRPr="00174283">
        <w:rPr>
          <w:lang w:val="fr-FR"/>
        </w:rPr>
        <w:t>excellents résultats et une moyenne générale qui dans certains cas s</w:t>
      </w:r>
      <w:r w:rsidR="00205A62">
        <w:rPr>
          <w:lang w:val="fr-FR"/>
        </w:rPr>
        <w:t>’</w:t>
      </w:r>
      <w:r w:rsidR="00390695" w:rsidRPr="00174283">
        <w:rPr>
          <w:lang w:val="fr-FR"/>
        </w:rPr>
        <w:t xml:space="preserve">est établie à 5.00. </w:t>
      </w:r>
    </w:p>
    <w:p w:rsidR="00722DF9" w:rsidRPr="00174283" w:rsidRDefault="00722DF9" w:rsidP="00751AC5">
      <w:pPr>
        <w:pStyle w:val="H56G"/>
        <w:rPr>
          <w:lang w:val="fr-FR"/>
        </w:rPr>
      </w:pPr>
      <w:r w:rsidRPr="00174283">
        <w:rPr>
          <w:lang w:val="fr-FR"/>
        </w:rPr>
        <w:tab/>
      </w:r>
      <w:r w:rsidRPr="00174283">
        <w:rPr>
          <w:lang w:val="fr-FR"/>
        </w:rPr>
        <w:tab/>
      </w:r>
      <w:r w:rsidR="00390695" w:rsidRPr="00174283">
        <w:rPr>
          <w:lang w:val="fr-FR"/>
        </w:rPr>
        <w:t>Projet de bourses et d</w:t>
      </w:r>
      <w:r w:rsidR="00205A62">
        <w:rPr>
          <w:lang w:val="fr-FR"/>
        </w:rPr>
        <w:t>’</w:t>
      </w:r>
      <w:r w:rsidR="00390695" w:rsidRPr="00174283">
        <w:rPr>
          <w:lang w:val="fr-FR"/>
        </w:rPr>
        <w:t xml:space="preserve">encadrement pour les élèves roms de première, deuxième, troisième et quatrième années en </w:t>
      </w:r>
      <w:r w:rsidR="00010F00" w:rsidRPr="00174283">
        <w:rPr>
          <w:lang w:val="fr-FR"/>
        </w:rPr>
        <w:t>2010/</w:t>
      </w:r>
      <w:r w:rsidRPr="00174283">
        <w:rPr>
          <w:lang w:val="fr-FR"/>
        </w:rPr>
        <w:t>11</w:t>
      </w:r>
    </w:p>
    <w:p w:rsidR="00722DF9" w:rsidRPr="00174283" w:rsidRDefault="009E1A92" w:rsidP="009E1A92">
      <w:pPr>
        <w:pStyle w:val="SingleTxtG"/>
        <w:rPr>
          <w:lang w:val="fr-FR"/>
        </w:rPr>
      </w:pPr>
      <w:r>
        <w:rPr>
          <w:lang w:val="fr-FR"/>
        </w:rPr>
        <w:t>194.</w:t>
      </w:r>
      <w:r>
        <w:rPr>
          <w:lang w:val="fr-FR"/>
        </w:rPr>
        <w:tab/>
      </w:r>
      <w:r w:rsidR="00E33117" w:rsidRPr="00174283">
        <w:rPr>
          <w:lang w:val="fr-FR"/>
        </w:rPr>
        <w:t xml:space="preserve">Le </w:t>
      </w:r>
      <w:r w:rsidR="00CF3C7B" w:rsidRPr="00174283">
        <w:rPr>
          <w:lang w:val="fr-FR"/>
        </w:rPr>
        <w:t>P</w:t>
      </w:r>
      <w:r w:rsidR="00F17756" w:rsidRPr="00174283">
        <w:rPr>
          <w:lang w:val="fr-FR"/>
        </w:rPr>
        <w:t xml:space="preserve">rojet a été immédiatement </w:t>
      </w:r>
      <w:r w:rsidR="00EA3AD3" w:rsidRPr="00174283">
        <w:rPr>
          <w:lang w:val="fr-FR"/>
        </w:rPr>
        <w:t xml:space="preserve">reconduit </w:t>
      </w:r>
      <w:r w:rsidR="00F17756" w:rsidRPr="00174283">
        <w:rPr>
          <w:lang w:val="fr-FR"/>
        </w:rPr>
        <w:t>à la fin de sa première étape, c</w:t>
      </w:r>
      <w:r w:rsidR="00205A62">
        <w:rPr>
          <w:lang w:val="fr-FR"/>
        </w:rPr>
        <w:t>’</w:t>
      </w:r>
      <w:r w:rsidR="00F17756" w:rsidRPr="00174283">
        <w:rPr>
          <w:lang w:val="fr-FR"/>
        </w:rPr>
        <w:t>est</w:t>
      </w:r>
      <w:r w:rsidR="004A336A">
        <w:rPr>
          <w:lang w:val="fr-FR"/>
        </w:rPr>
        <w:t>-</w:t>
      </w:r>
      <w:r w:rsidR="00F17756" w:rsidRPr="00174283">
        <w:rPr>
          <w:lang w:val="fr-FR"/>
        </w:rPr>
        <w:t>à</w:t>
      </w:r>
      <w:r w:rsidR="004A336A">
        <w:rPr>
          <w:lang w:val="fr-FR"/>
        </w:rPr>
        <w:t>-</w:t>
      </w:r>
      <w:r w:rsidR="00F17756" w:rsidRPr="00174283">
        <w:rPr>
          <w:lang w:val="fr-FR"/>
        </w:rPr>
        <w:t>dire le 1</w:t>
      </w:r>
      <w:r w:rsidR="00F17756" w:rsidRPr="00174283">
        <w:rPr>
          <w:vertAlign w:val="superscript"/>
          <w:lang w:val="fr-FR"/>
        </w:rPr>
        <w:t>er</w:t>
      </w:r>
      <w:r w:rsidR="00F17756" w:rsidRPr="00174283">
        <w:rPr>
          <w:lang w:val="fr-FR"/>
        </w:rPr>
        <w:t xml:space="preserve"> novembre 2010. </w:t>
      </w:r>
    </w:p>
    <w:p w:rsidR="00722DF9" w:rsidRPr="00174283" w:rsidRDefault="009E1A92" w:rsidP="009E1A92">
      <w:pPr>
        <w:pStyle w:val="SingleTxtG"/>
        <w:rPr>
          <w:lang w:val="fr-FR"/>
        </w:rPr>
      </w:pPr>
      <w:r>
        <w:rPr>
          <w:lang w:val="fr-FR"/>
        </w:rPr>
        <w:t>195.</w:t>
      </w:r>
      <w:r>
        <w:rPr>
          <w:lang w:val="fr-FR"/>
        </w:rPr>
        <w:tab/>
      </w:r>
      <w:r w:rsidR="00F17756" w:rsidRPr="00174283">
        <w:rPr>
          <w:lang w:val="fr-FR"/>
        </w:rPr>
        <w:t xml:space="preserve">Les élèves roms du secondaire ont eu la possibilité </w:t>
      </w:r>
      <w:r w:rsidR="00CF3C7B" w:rsidRPr="00174283">
        <w:rPr>
          <w:lang w:val="fr-FR"/>
        </w:rPr>
        <w:t>de solliciter deux nouvelles catégories de bourses décernées par le Ministère de l</w:t>
      </w:r>
      <w:r w:rsidR="00205A62">
        <w:rPr>
          <w:lang w:val="fr-FR"/>
        </w:rPr>
        <w:t>’</w:t>
      </w:r>
      <w:r w:rsidR="00CF3C7B" w:rsidRPr="00174283">
        <w:rPr>
          <w:lang w:val="fr-FR"/>
        </w:rPr>
        <w:t xml:space="preserve">éducation et de la science dans le cadre du Projet de bourses pour </w:t>
      </w:r>
      <w:r w:rsidR="001E5012" w:rsidRPr="00174283">
        <w:rPr>
          <w:lang w:val="fr-FR"/>
        </w:rPr>
        <w:t>les élèves</w:t>
      </w:r>
      <w:r w:rsidR="00CF3C7B" w:rsidRPr="00174283">
        <w:rPr>
          <w:lang w:val="fr-FR"/>
        </w:rPr>
        <w:t xml:space="preserve"> du secondaire. </w:t>
      </w:r>
    </w:p>
    <w:p w:rsidR="00ED433F" w:rsidRPr="00174283" w:rsidRDefault="009E1A92" w:rsidP="009E1A92">
      <w:pPr>
        <w:pStyle w:val="SingleTxtG"/>
        <w:rPr>
          <w:lang w:val="fr-FR"/>
        </w:rPr>
      </w:pPr>
      <w:r>
        <w:rPr>
          <w:lang w:val="fr-FR"/>
        </w:rPr>
        <w:t>196.</w:t>
      </w:r>
      <w:r>
        <w:rPr>
          <w:lang w:val="fr-FR"/>
        </w:rPr>
        <w:tab/>
      </w:r>
      <w:r w:rsidR="00CF3C7B" w:rsidRPr="00174283">
        <w:rPr>
          <w:lang w:val="fr-FR"/>
        </w:rPr>
        <w:t xml:space="preserve">La </w:t>
      </w:r>
      <w:r w:rsidR="001E5012" w:rsidRPr="00174283">
        <w:rPr>
          <w:lang w:val="fr-FR"/>
        </w:rPr>
        <w:t>première</w:t>
      </w:r>
      <w:r w:rsidR="00CF3C7B" w:rsidRPr="00174283">
        <w:rPr>
          <w:lang w:val="fr-FR"/>
        </w:rPr>
        <w:t xml:space="preserve"> catégorie de bourses s</w:t>
      </w:r>
      <w:r w:rsidR="00205A62">
        <w:rPr>
          <w:lang w:val="fr-FR"/>
        </w:rPr>
        <w:t>’</w:t>
      </w:r>
      <w:r w:rsidR="00CF3C7B" w:rsidRPr="00174283">
        <w:rPr>
          <w:lang w:val="fr-FR"/>
        </w:rPr>
        <w:t>adress</w:t>
      </w:r>
      <w:r w:rsidR="00EA3AD3" w:rsidRPr="00174283">
        <w:rPr>
          <w:lang w:val="fr-FR"/>
        </w:rPr>
        <w:t>ait</w:t>
      </w:r>
      <w:r w:rsidR="00CF3C7B" w:rsidRPr="00174283">
        <w:rPr>
          <w:lang w:val="fr-FR"/>
        </w:rPr>
        <w:t xml:space="preserve"> aux </w:t>
      </w:r>
      <w:r w:rsidR="001E5012" w:rsidRPr="00174283">
        <w:rPr>
          <w:lang w:val="fr-FR"/>
        </w:rPr>
        <w:t>élèves</w:t>
      </w:r>
      <w:r w:rsidR="00CF3C7B" w:rsidRPr="00174283">
        <w:rPr>
          <w:lang w:val="fr-FR"/>
        </w:rPr>
        <w:t xml:space="preserve"> du secondaire </w:t>
      </w:r>
      <w:r w:rsidR="00EA3AD3" w:rsidRPr="00174283">
        <w:rPr>
          <w:lang w:val="fr-FR"/>
        </w:rPr>
        <w:t>ayant</w:t>
      </w:r>
      <w:r w:rsidR="00CF3C7B" w:rsidRPr="00174283">
        <w:rPr>
          <w:lang w:val="fr-FR"/>
        </w:rPr>
        <w:t xml:space="preserve"> obtenu une moyenne générale de 3.50 à 5.00 et s</w:t>
      </w:r>
      <w:r w:rsidR="00205A62">
        <w:rPr>
          <w:lang w:val="fr-FR"/>
        </w:rPr>
        <w:t>’</w:t>
      </w:r>
      <w:r w:rsidR="00CF3C7B" w:rsidRPr="00174283">
        <w:rPr>
          <w:lang w:val="fr-FR"/>
        </w:rPr>
        <w:t xml:space="preserve">établissait à 2 200 </w:t>
      </w:r>
      <w:r w:rsidR="00CE0D09" w:rsidRPr="00174283">
        <w:rPr>
          <w:lang w:val="fr-FR"/>
        </w:rPr>
        <w:t>dinars</w:t>
      </w:r>
      <w:r w:rsidR="00CF3C7B" w:rsidRPr="00174283">
        <w:rPr>
          <w:lang w:val="fr-FR"/>
        </w:rPr>
        <w:t xml:space="preserve"> macédoniens par mois </w:t>
      </w:r>
      <w:r w:rsidR="00F36DA6" w:rsidRPr="00174283">
        <w:rPr>
          <w:lang w:val="fr-FR"/>
        </w:rPr>
        <w:t xml:space="preserve">pendant </w:t>
      </w:r>
      <w:r w:rsidR="00CF3C7B" w:rsidRPr="00174283">
        <w:rPr>
          <w:lang w:val="fr-FR"/>
        </w:rPr>
        <w:t xml:space="preserve">neuf mois. </w:t>
      </w:r>
    </w:p>
    <w:p w:rsidR="00ED433F" w:rsidRPr="00174283" w:rsidRDefault="009E1A92" w:rsidP="009E1A92">
      <w:pPr>
        <w:pStyle w:val="SingleTxtG"/>
        <w:rPr>
          <w:lang w:val="fr-FR"/>
        </w:rPr>
      </w:pPr>
      <w:r>
        <w:rPr>
          <w:lang w:val="fr-FR"/>
        </w:rPr>
        <w:t>197.</w:t>
      </w:r>
      <w:r>
        <w:rPr>
          <w:lang w:val="fr-FR"/>
        </w:rPr>
        <w:tab/>
      </w:r>
      <w:r w:rsidR="00CF3C7B" w:rsidRPr="00174283">
        <w:rPr>
          <w:lang w:val="fr-FR"/>
        </w:rPr>
        <w:t>La deuxième catégorie de bourses s</w:t>
      </w:r>
      <w:r w:rsidR="00205A62">
        <w:rPr>
          <w:lang w:val="fr-FR"/>
        </w:rPr>
        <w:t>’</w:t>
      </w:r>
      <w:r w:rsidR="001E5012" w:rsidRPr="00174283">
        <w:rPr>
          <w:lang w:val="fr-FR"/>
        </w:rPr>
        <w:t>adressait</w:t>
      </w:r>
      <w:r w:rsidR="00CF3C7B" w:rsidRPr="00174283">
        <w:rPr>
          <w:lang w:val="fr-FR"/>
        </w:rPr>
        <w:t xml:space="preserve"> aux élèves du secondaire ayant obtenu une </w:t>
      </w:r>
      <w:r w:rsidR="001E5012" w:rsidRPr="00174283">
        <w:rPr>
          <w:lang w:val="fr-FR"/>
        </w:rPr>
        <w:t>moyenne</w:t>
      </w:r>
      <w:r w:rsidR="00CF3C7B" w:rsidRPr="00174283">
        <w:rPr>
          <w:lang w:val="fr-FR"/>
        </w:rPr>
        <w:t xml:space="preserve"> comprise entre 3.00 et 3.49 et s</w:t>
      </w:r>
      <w:r w:rsidR="00205A62">
        <w:rPr>
          <w:lang w:val="fr-FR"/>
        </w:rPr>
        <w:t>’</w:t>
      </w:r>
      <w:r w:rsidR="00CF3C7B" w:rsidRPr="00174283">
        <w:rPr>
          <w:lang w:val="fr-FR"/>
        </w:rPr>
        <w:t xml:space="preserve">établissait à 1 500 </w:t>
      </w:r>
      <w:r w:rsidR="00CE0D09" w:rsidRPr="00174283">
        <w:rPr>
          <w:lang w:val="fr-FR"/>
        </w:rPr>
        <w:t>dinars</w:t>
      </w:r>
      <w:r w:rsidR="00CF3C7B" w:rsidRPr="00174283">
        <w:rPr>
          <w:lang w:val="fr-FR"/>
        </w:rPr>
        <w:t xml:space="preserve"> macédoniens par mois </w:t>
      </w:r>
      <w:r w:rsidR="00F36DA6" w:rsidRPr="00174283">
        <w:rPr>
          <w:lang w:val="fr-FR"/>
        </w:rPr>
        <w:t>pendant</w:t>
      </w:r>
      <w:r w:rsidR="00CF3C7B" w:rsidRPr="00174283">
        <w:rPr>
          <w:lang w:val="fr-FR"/>
        </w:rPr>
        <w:t xml:space="preserve"> neuf mois. </w:t>
      </w:r>
    </w:p>
    <w:p w:rsidR="00722DF9" w:rsidRPr="00174283" w:rsidRDefault="009E1A92" w:rsidP="009E1A92">
      <w:pPr>
        <w:pStyle w:val="SingleTxtG"/>
        <w:rPr>
          <w:lang w:val="fr-FR"/>
        </w:rPr>
      </w:pPr>
      <w:r>
        <w:rPr>
          <w:lang w:val="fr-FR"/>
        </w:rPr>
        <w:t>198.</w:t>
      </w:r>
      <w:r>
        <w:rPr>
          <w:lang w:val="fr-FR"/>
        </w:rPr>
        <w:tab/>
      </w:r>
      <w:r w:rsidR="00CF3C7B" w:rsidRPr="00174283">
        <w:rPr>
          <w:lang w:val="fr-FR"/>
        </w:rPr>
        <w:t>Le Projet de bourses et d</w:t>
      </w:r>
      <w:r w:rsidR="00205A62">
        <w:rPr>
          <w:lang w:val="fr-FR"/>
        </w:rPr>
        <w:t>’</w:t>
      </w:r>
      <w:r w:rsidR="00CF3C7B" w:rsidRPr="00174283">
        <w:rPr>
          <w:lang w:val="fr-FR"/>
        </w:rPr>
        <w:t xml:space="preserve">encadrement pour les élèves roms du secondaire en </w:t>
      </w:r>
      <w:r w:rsidR="00722DF9" w:rsidRPr="00174283">
        <w:rPr>
          <w:lang w:val="fr-FR"/>
        </w:rPr>
        <w:t xml:space="preserve">2010/11 </w:t>
      </w:r>
      <w:r w:rsidR="00CF3C7B" w:rsidRPr="00174283">
        <w:rPr>
          <w:lang w:val="fr-FR"/>
        </w:rPr>
        <w:t>se divisait en trois parties</w:t>
      </w:r>
      <w:r w:rsidR="002F51DC">
        <w:rPr>
          <w:lang w:val="fr-FR"/>
        </w:rPr>
        <w:t>:</w:t>
      </w:r>
    </w:p>
    <w:p w:rsidR="00722DF9" w:rsidRPr="00174283" w:rsidRDefault="00722DF9" w:rsidP="00ED433F">
      <w:pPr>
        <w:pStyle w:val="SingleTxtG"/>
        <w:ind w:left="1701"/>
        <w:rPr>
          <w:lang w:val="fr-FR"/>
        </w:rPr>
      </w:pPr>
      <w:r w:rsidRPr="00174283">
        <w:rPr>
          <w:lang w:val="fr-FR"/>
        </w:rPr>
        <w:t>1.</w:t>
      </w:r>
      <w:r w:rsidRPr="00174283">
        <w:rPr>
          <w:lang w:val="fr-FR"/>
        </w:rPr>
        <w:tab/>
      </w:r>
      <w:r w:rsidR="00CF3C7B" w:rsidRPr="00174283">
        <w:rPr>
          <w:lang w:val="fr-FR"/>
        </w:rPr>
        <w:t>Bourses</w:t>
      </w:r>
      <w:r w:rsidR="002F51DC">
        <w:rPr>
          <w:lang w:val="fr-FR"/>
        </w:rPr>
        <w:t>:</w:t>
      </w:r>
      <w:r w:rsidR="00CF3C7B" w:rsidRPr="00174283">
        <w:rPr>
          <w:lang w:val="fr-FR"/>
        </w:rPr>
        <w:t xml:space="preserve"> Aide financière accordée à 613 élèves pour l</w:t>
      </w:r>
      <w:r w:rsidR="00205A62">
        <w:rPr>
          <w:lang w:val="fr-FR"/>
        </w:rPr>
        <w:t>’</w:t>
      </w:r>
      <w:r w:rsidR="00CF3C7B" w:rsidRPr="00174283">
        <w:rPr>
          <w:lang w:val="fr-FR"/>
        </w:rPr>
        <w:t xml:space="preserve">année scolaire </w:t>
      </w:r>
      <w:r w:rsidRPr="00174283">
        <w:rPr>
          <w:lang w:val="fr-FR"/>
        </w:rPr>
        <w:t xml:space="preserve">2010/11, </w:t>
      </w:r>
      <w:r w:rsidR="00CF3C7B" w:rsidRPr="00174283">
        <w:rPr>
          <w:lang w:val="fr-FR"/>
        </w:rPr>
        <w:t xml:space="preserve">dont </w:t>
      </w:r>
      <w:r w:rsidRPr="00174283">
        <w:rPr>
          <w:lang w:val="fr-FR"/>
        </w:rPr>
        <w:t xml:space="preserve">412 </w:t>
      </w:r>
      <w:r w:rsidR="001E5012" w:rsidRPr="00174283">
        <w:rPr>
          <w:lang w:val="fr-FR"/>
        </w:rPr>
        <w:t>bourses</w:t>
      </w:r>
      <w:r w:rsidR="00CF3C7B" w:rsidRPr="00174283">
        <w:rPr>
          <w:lang w:val="fr-FR"/>
        </w:rPr>
        <w:t xml:space="preserve"> de première catégorie et 20</w:t>
      </w:r>
      <w:r w:rsidR="00AB6F2F">
        <w:rPr>
          <w:lang w:val="fr-FR"/>
        </w:rPr>
        <w:t>1 bourses de deuxième catégorie.</w:t>
      </w:r>
    </w:p>
    <w:p w:rsidR="00722DF9" w:rsidRPr="00174283" w:rsidRDefault="00CF3C7B" w:rsidP="00ED433F">
      <w:pPr>
        <w:pStyle w:val="SingleTxtG"/>
        <w:ind w:left="1701"/>
        <w:rPr>
          <w:lang w:val="fr-FR"/>
        </w:rPr>
      </w:pPr>
      <w:r w:rsidRPr="00174283">
        <w:rPr>
          <w:lang w:val="fr-FR"/>
        </w:rPr>
        <w:t>2.</w:t>
      </w:r>
      <w:r w:rsidRPr="00174283">
        <w:rPr>
          <w:lang w:val="fr-FR"/>
        </w:rPr>
        <w:tab/>
        <w:t>Encadrement (</w:t>
      </w:r>
      <w:r w:rsidR="00F36DA6" w:rsidRPr="00174283">
        <w:rPr>
          <w:lang w:val="fr-FR"/>
        </w:rPr>
        <w:t>men</w:t>
      </w:r>
      <w:r w:rsidRPr="00174283">
        <w:rPr>
          <w:lang w:val="fr-FR"/>
        </w:rPr>
        <w:t>torat)</w:t>
      </w:r>
      <w:r w:rsidR="002F51DC">
        <w:rPr>
          <w:lang w:val="fr-FR"/>
        </w:rPr>
        <w:t>:</w:t>
      </w:r>
      <w:r w:rsidR="00722DF9" w:rsidRPr="00174283">
        <w:rPr>
          <w:lang w:val="fr-FR"/>
        </w:rPr>
        <w:t xml:space="preserve"> </w:t>
      </w:r>
      <w:r w:rsidR="00F36DA6" w:rsidRPr="00174283">
        <w:rPr>
          <w:lang w:val="fr-FR"/>
        </w:rPr>
        <w:t>Une commission de 160 professeurs a été mise sur pied au sein du Ministère de l</w:t>
      </w:r>
      <w:r w:rsidR="00205A62">
        <w:rPr>
          <w:lang w:val="fr-FR"/>
        </w:rPr>
        <w:t>’</w:t>
      </w:r>
      <w:r w:rsidR="00F36DA6" w:rsidRPr="00174283">
        <w:rPr>
          <w:lang w:val="fr-FR"/>
        </w:rPr>
        <w:t>éducation et de la science pour aider les élèves roms ayant besoin d</w:t>
      </w:r>
      <w:r w:rsidR="00205A62">
        <w:rPr>
          <w:lang w:val="fr-FR"/>
        </w:rPr>
        <w:t>’</w:t>
      </w:r>
      <w:r w:rsidR="00F36DA6" w:rsidRPr="00174283">
        <w:rPr>
          <w:lang w:val="fr-FR"/>
        </w:rPr>
        <w:t xml:space="preserve">aide dans plusieurs matières </w:t>
      </w:r>
      <w:r w:rsidR="0036331F" w:rsidRPr="00174283">
        <w:rPr>
          <w:lang w:val="fr-FR"/>
        </w:rPr>
        <w:t xml:space="preserve">(disciplines </w:t>
      </w:r>
      <w:r w:rsidRPr="00174283">
        <w:rPr>
          <w:lang w:val="fr-FR"/>
        </w:rPr>
        <w:t xml:space="preserve">professionnelles et </w:t>
      </w:r>
      <w:r w:rsidR="0036331F" w:rsidRPr="00174283">
        <w:rPr>
          <w:lang w:val="fr-FR"/>
        </w:rPr>
        <w:t xml:space="preserve">sciences </w:t>
      </w:r>
      <w:r w:rsidRPr="00174283">
        <w:rPr>
          <w:lang w:val="fr-FR"/>
        </w:rPr>
        <w:t>sociales</w:t>
      </w:r>
      <w:r w:rsidR="0036331F" w:rsidRPr="00174283">
        <w:rPr>
          <w:lang w:val="fr-FR"/>
        </w:rPr>
        <w:t>)</w:t>
      </w:r>
      <w:r w:rsidRPr="00174283">
        <w:rPr>
          <w:lang w:val="fr-FR"/>
        </w:rPr>
        <w:t xml:space="preserve">. </w:t>
      </w:r>
    </w:p>
    <w:p w:rsidR="00722DF9" w:rsidRPr="00174283" w:rsidRDefault="00722DF9" w:rsidP="00ED433F">
      <w:pPr>
        <w:pStyle w:val="SingleTxtG"/>
        <w:ind w:left="1701"/>
        <w:rPr>
          <w:lang w:val="fr-FR"/>
        </w:rPr>
      </w:pPr>
      <w:r w:rsidRPr="00174283">
        <w:rPr>
          <w:lang w:val="fr-FR"/>
        </w:rPr>
        <w:t>3.</w:t>
      </w:r>
      <w:r w:rsidRPr="00174283">
        <w:rPr>
          <w:lang w:val="fr-FR"/>
        </w:rPr>
        <w:tab/>
        <w:t>A</w:t>
      </w:r>
      <w:r w:rsidR="00CF3C7B" w:rsidRPr="00174283">
        <w:rPr>
          <w:lang w:val="fr-FR"/>
        </w:rPr>
        <w:t>ide à la préparation de l</w:t>
      </w:r>
      <w:r w:rsidR="00205A62">
        <w:rPr>
          <w:lang w:val="fr-FR"/>
        </w:rPr>
        <w:t>’</w:t>
      </w:r>
      <w:r w:rsidR="00CF3C7B" w:rsidRPr="00174283">
        <w:rPr>
          <w:lang w:val="fr-FR"/>
        </w:rPr>
        <w:t xml:space="preserve">examen </w:t>
      </w:r>
      <w:r w:rsidR="0036331F" w:rsidRPr="00174283">
        <w:rPr>
          <w:lang w:val="fr-FR"/>
        </w:rPr>
        <w:t xml:space="preserve">national </w:t>
      </w:r>
      <w:r w:rsidR="00CF3C7B" w:rsidRPr="00174283">
        <w:rPr>
          <w:lang w:val="fr-FR"/>
        </w:rPr>
        <w:t>de fin d</w:t>
      </w:r>
      <w:r w:rsidR="00205A62">
        <w:rPr>
          <w:lang w:val="fr-FR"/>
        </w:rPr>
        <w:t>’</w:t>
      </w:r>
      <w:r w:rsidR="00CF3C7B" w:rsidRPr="00174283">
        <w:rPr>
          <w:lang w:val="fr-FR"/>
        </w:rPr>
        <w:t>études secondaires pour les élèves de quatrième année de l</w:t>
      </w:r>
      <w:r w:rsidR="00205A62">
        <w:rPr>
          <w:lang w:val="fr-FR"/>
        </w:rPr>
        <w:t>’</w:t>
      </w:r>
      <w:r w:rsidR="00CF3C7B" w:rsidRPr="00174283">
        <w:rPr>
          <w:lang w:val="fr-FR"/>
        </w:rPr>
        <w:t>enseignement secondaire.</w:t>
      </w:r>
    </w:p>
    <w:p w:rsidR="00722DF9" w:rsidRPr="00174283" w:rsidRDefault="00722DF9" w:rsidP="00B22785">
      <w:pPr>
        <w:pStyle w:val="H4G"/>
        <w:rPr>
          <w:lang w:val="fr-FR"/>
        </w:rPr>
      </w:pPr>
      <w:r w:rsidRPr="00174283">
        <w:rPr>
          <w:lang w:val="fr-FR"/>
        </w:rPr>
        <w:tab/>
      </w:r>
      <w:r w:rsidR="00B22785" w:rsidRPr="00C80393">
        <w:t>ii)</w:t>
      </w:r>
      <w:r w:rsidRPr="00C80393">
        <w:tab/>
        <w:t>R</w:t>
      </w:r>
      <w:r w:rsidR="00CF3C7B" w:rsidRPr="00C80393">
        <w:t>ésultat</w:t>
      </w:r>
      <w:r w:rsidR="00CF3C7B" w:rsidRPr="00174283">
        <w:rPr>
          <w:lang w:val="fr-FR"/>
        </w:rPr>
        <w:t>s du Projet pour l</w:t>
      </w:r>
      <w:r w:rsidR="00205A62">
        <w:rPr>
          <w:lang w:val="fr-FR"/>
        </w:rPr>
        <w:t>’</w:t>
      </w:r>
      <w:r w:rsidR="00CF3C7B" w:rsidRPr="00174283">
        <w:rPr>
          <w:lang w:val="fr-FR"/>
        </w:rPr>
        <w:t xml:space="preserve">année scolaire </w:t>
      </w:r>
      <w:r w:rsidRPr="00174283">
        <w:rPr>
          <w:lang w:val="fr-FR"/>
        </w:rPr>
        <w:t>2010/11</w:t>
      </w:r>
      <w:r w:rsidR="002F51DC">
        <w:rPr>
          <w:lang w:val="fr-FR"/>
        </w:rPr>
        <w:t>:</w:t>
      </w:r>
    </w:p>
    <w:p w:rsidR="00722DF9" w:rsidRPr="00174283" w:rsidRDefault="009E1A92" w:rsidP="009E1A92">
      <w:pPr>
        <w:pStyle w:val="SingleTxtG"/>
        <w:rPr>
          <w:lang w:val="fr-FR"/>
        </w:rPr>
      </w:pPr>
      <w:r>
        <w:rPr>
          <w:lang w:val="fr-FR"/>
        </w:rPr>
        <w:t>199.</w:t>
      </w:r>
      <w:r>
        <w:rPr>
          <w:lang w:val="fr-FR"/>
        </w:rPr>
        <w:tab/>
      </w:r>
      <w:r w:rsidR="00255B58" w:rsidRPr="00174283">
        <w:rPr>
          <w:lang w:val="fr-FR"/>
        </w:rPr>
        <w:t xml:space="preserve">Grâce aux bourses, 597 élèves boursiers du secondaire sur 611 ont réussi leur année et </w:t>
      </w:r>
      <w:r w:rsidR="00E3471B" w:rsidRPr="00174283">
        <w:rPr>
          <w:lang w:val="fr-FR"/>
        </w:rPr>
        <w:t xml:space="preserve">ont </w:t>
      </w:r>
      <w:r w:rsidR="00255B58" w:rsidRPr="00174283">
        <w:rPr>
          <w:lang w:val="fr-FR"/>
        </w:rPr>
        <w:t xml:space="preserve">été admis dans la classe supérieure. </w:t>
      </w:r>
    </w:p>
    <w:p w:rsidR="00722DF9" w:rsidRPr="00174283" w:rsidRDefault="00722DF9" w:rsidP="00722DF9">
      <w:pPr>
        <w:pStyle w:val="Bullet1G"/>
        <w:rPr>
          <w:lang w:val="fr-FR"/>
        </w:rPr>
      </w:pPr>
      <w:r w:rsidRPr="00174283">
        <w:rPr>
          <w:lang w:val="fr-FR"/>
        </w:rPr>
        <w:t xml:space="preserve">12 </w:t>
      </w:r>
      <w:r w:rsidR="00255B58" w:rsidRPr="00174283">
        <w:rPr>
          <w:lang w:val="fr-FR"/>
        </w:rPr>
        <w:t>élève</w:t>
      </w:r>
      <w:r w:rsidR="00AB6F2F">
        <w:rPr>
          <w:lang w:val="fr-FR"/>
        </w:rPr>
        <w:t>s ont abandonné leur scolarité;</w:t>
      </w:r>
    </w:p>
    <w:p w:rsidR="00722DF9" w:rsidRPr="00174283" w:rsidRDefault="00722DF9" w:rsidP="00722DF9">
      <w:pPr>
        <w:pStyle w:val="Bullet1G"/>
        <w:rPr>
          <w:lang w:val="fr-FR"/>
        </w:rPr>
      </w:pPr>
      <w:r w:rsidRPr="00174283">
        <w:rPr>
          <w:lang w:val="fr-FR"/>
        </w:rPr>
        <w:t xml:space="preserve">2 </w:t>
      </w:r>
      <w:r w:rsidR="00255B58" w:rsidRPr="00174283">
        <w:rPr>
          <w:lang w:val="fr-FR"/>
        </w:rPr>
        <w:t>élèves ont redoublé</w:t>
      </w:r>
      <w:r w:rsidRPr="00174283">
        <w:rPr>
          <w:lang w:val="fr-FR"/>
        </w:rPr>
        <w:t>.</w:t>
      </w:r>
    </w:p>
    <w:p w:rsidR="00722DF9" w:rsidRPr="00174283" w:rsidRDefault="009E1A92" w:rsidP="009E1A92">
      <w:pPr>
        <w:pStyle w:val="SingleTxtG"/>
        <w:rPr>
          <w:lang w:val="fr-FR"/>
        </w:rPr>
      </w:pPr>
      <w:r>
        <w:rPr>
          <w:lang w:val="fr-FR"/>
        </w:rPr>
        <w:t>200.</w:t>
      </w:r>
      <w:r>
        <w:rPr>
          <w:lang w:val="fr-FR"/>
        </w:rPr>
        <w:tab/>
      </w:r>
      <w:r w:rsidR="00255B58" w:rsidRPr="00174283">
        <w:rPr>
          <w:lang w:val="fr-FR"/>
        </w:rPr>
        <w:t xml:space="preserve">Sur les </w:t>
      </w:r>
      <w:r w:rsidR="00722DF9" w:rsidRPr="00174283">
        <w:rPr>
          <w:lang w:val="fr-FR"/>
        </w:rPr>
        <w:t xml:space="preserve">99 </w:t>
      </w:r>
      <w:r w:rsidR="00255B58" w:rsidRPr="00174283">
        <w:rPr>
          <w:lang w:val="fr-FR"/>
        </w:rPr>
        <w:t>élèves roms non boursiers ayant bénéficié d</w:t>
      </w:r>
      <w:r w:rsidR="00205A62">
        <w:rPr>
          <w:lang w:val="fr-FR"/>
        </w:rPr>
        <w:t>’</w:t>
      </w:r>
      <w:r w:rsidR="00255B58" w:rsidRPr="00174283">
        <w:rPr>
          <w:lang w:val="fr-FR"/>
        </w:rPr>
        <w:t>un soutien scolaire et qui ont été suivi</w:t>
      </w:r>
      <w:r w:rsidR="00F30C4A" w:rsidRPr="00174283">
        <w:rPr>
          <w:lang w:val="fr-FR"/>
        </w:rPr>
        <w:t>s</w:t>
      </w:r>
      <w:r w:rsidR="00255B58" w:rsidRPr="00174283">
        <w:rPr>
          <w:lang w:val="fr-FR"/>
        </w:rPr>
        <w:t xml:space="preserve"> par l</w:t>
      </w:r>
      <w:r w:rsidR="00205A62">
        <w:rPr>
          <w:lang w:val="fr-FR"/>
        </w:rPr>
        <w:t>’</w:t>
      </w:r>
      <w:r w:rsidR="00255B58" w:rsidRPr="00174283">
        <w:rPr>
          <w:lang w:val="fr-FR"/>
        </w:rPr>
        <w:t>équipe de projet, 46 ont obtenu une moyenne générale d</w:t>
      </w:r>
      <w:r w:rsidR="00205A62">
        <w:rPr>
          <w:lang w:val="fr-FR"/>
        </w:rPr>
        <w:t>’</w:t>
      </w:r>
      <w:r w:rsidR="00255B58" w:rsidRPr="00174283">
        <w:rPr>
          <w:lang w:val="fr-FR"/>
        </w:rPr>
        <w:t xml:space="preserve">au moins 3.00, ce qui témoigne du succès de ce programme. Ces élèves </w:t>
      </w:r>
      <w:r w:rsidR="00F36DA6" w:rsidRPr="00174283">
        <w:rPr>
          <w:lang w:val="fr-FR"/>
        </w:rPr>
        <w:t xml:space="preserve">peuvent </w:t>
      </w:r>
      <w:r w:rsidR="005E30AE" w:rsidRPr="00174283">
        <w:rPr>
          <w:lang w:val="fr-FR"/>
        </w:rPr>
        <w:t>désormais</w:t>
      </w:r>
      <w:r w:rsidR="005D6C36" w:rsidRPr="00174283">
        <w:rPr>
          <w:lang w:val="fr-FR"/>
        </w:rPr>
        <w:t xml:space="preserve"> </w:t>
      </w:r>
      <w:r w:rsidR="00F36DA6" w:rsidRPr="00174283">
        <w:rPr>
          <w:lang w:val="fr-FR"/>
        </w:rPr>
        <w:t>prétendre à des bourses</w:t>
      </w:r>
      <w:r w:rsidR="00255B58" w:rsidRPr="00174283">
        <w:rPr>
          <w:lang w:val="fr-FR"/>
        </w:rPr>
        <w:t xml:space="preserve">. Les 53 autres élèves </w:t>
      </w:r>
      <w:r w:rsidR="00F52E4B" w:rsidRPr="00174283">
        <w:rPr>
          <w:lang w:val="fr-FR"/>
        </w:rPr>
        <w:t>ont été admis</w:t>
      </w:r>
      <w:r w:rsidR="00255B58" w:rsidRPr="00174283">
        <w:rPr>
          <w:lang w:val="fr-FR"/>
        </w:rPr>
        <w:t xml:space="preserve"> dans la classe supérieure. </w:t>
      </w:r>
    </w:p>
    <w:p w:rsidR="00722DF9" w:rsidRPr="00174283" w:rsidRDefault="009E1A92" w:rsidP="009E1A92">
      <w:pPr>
        <w:pStyle w:val="SingleTxtG"/>
        <w:rPr>
          <w:lang w:val="fr-FR"/>
        </w:rPr>
      </w:pPr>
      <w:r>
        <w:rPr>
          <w:lang w:val="fr-FR"/>
        </w:rPr>
        <w:t>201.</w:t>
      </w:r>
      <w:r>
        <w:rPr>
          <w:lang w:val="fr-FR"/>
        </w:rPr>
        <w:tab/>
      </w:r>
      <w:r w:rsidR="00255B58" w:rsidRPr="00174283">
        <w:rPr>
          <w:lang w:val="fr-FR"/>
        </w:rPr>
        <w:t>Sur le</w:t>
      </w:r>
      <w:r w:rsidR="00F52E4B" w:rsidRPr="00174283">
        <w:rPr>
          <w:lang w:val="fr-FR"/>
        </w:rPr>
        <w:t>s</w:t>
      </w:r>
      <w:r w:rsidR="00255B58" w:rsidRPr="00174283">
        <w:rPr>
          <w:lang w:val="fr-FR"/>
        </w:rPr>
        <w:t xml:space="preserve"> 90 é</w:t>
      </w:r>
      <w:r w:rsidR="00F52E4B" w:rsidRPr="00174283">
        <w:rPr>
          <w:lang w:val="fr-FR"/>
        </w:rPr>
        <w:t>lèves</w:t>
      </w:r>
      <w:r w:rsidR="00255B58" w:rsidRPr="00174283">
        <w:rPr>
          <w:lang w:val="fr-FR"/>
        </w:rPr>
        <w:t xml:space="preserve"> de dernière année (</w:t>
      </w:r>
      <w:r w:rsidR="00722DF9" w:rsidRPr="00174283">
        <w:rPr>
          <w:lang w:val="fr-FR"/>
        </w:rPr>
        <w:t xml:space="preserve">18 </w:t>
      </w:r>
      <w:r w:rsidR="00255B58" w:rsidRPr="00174283">
        <w:rPr>
          <w:lang w:val="fr-FR"/>
        </w:rPr>
        <w:t xml:space="preserve">élèves de </w:t>
      </w:r>
      <w:r w:rsidR="001E5012" w:rsidRPr="00174283">
        <w:rPr>
          <w:lang w:val="fr-FR"/>
        </w:rPr>
        <w:t>troisième</w:t>
      </w:r>
      <w:r w:rsidR="00255B58" w:rsidRPr="00174283">
        <w:rPr>
          <w:lang w:val="fr-FR"/>
        </w:rPr>
        <w:t xml:space="preserve"> année et 72 de </w:t>
      </w:r>
      <w:r w:rsidR="001E5012" w:rsidRPr="00174283">
        <w:rPr>
          <w:lang w:val="fr-FR"/>
        </w:rPr>
        <w:t>quatrième</w:t>
      </w:r>
      <w:r w:rsidR="00255B58" w:rsidRPr="00174283">
        <w:rPr>
          <w:lang w:val="fr-FR"/>
        </w:rPr>
        <w:t xml:space="preserve"> année), 22 élèves boursiers et 1 élève non boursier ont bénéficié d</w:t>
      </w:r>
      <w:r w:rsidR="00205A62">
        <w:rPr>
          <w:lang w:val="fr-FR"/>
        </w:rPr>
        <w:t>’</w:t>
      </w:r>
      <w:r w:rsidR="00255B58" w:rsidRPr="00174283">
        <w:rPr>
          <w:lang w:val="fr-FR"/>
        </w:rPr>
        <w:t>un soutien supplémentaire pour préparer l</w:t>
      </w:r>
      <w:r w:rsidR="00205A62">
        <w:rPr>
          <w:lang w:val="fr-FR"/>
        </w:rPr>
        <w:t>’</w:t>
      </w:r>
      <w:r w:rsidR="00255B58" w:rsidRPr="00174283">
        <w:rPr>
          <w:lang w:val="fr-FR"/>
        </w:rPr>
        <w:t xml:space="preserve">examen </w:t>
      </w:r>
      <w:r w:rsidR="00F52E4B" w:rsidRPr="00174283">
        <w:rPr>
          <w:lang w:val="fr-FR"/>
        </w:rPr>
        <w:t xml:space="preserve">national </w:t>
      </w:r>
      <w:r w:rsidR="00255B58" w:rsidRPr="00174283">
        <w:rPr>
          <w:lang w:val="fr-FR"/>
        </w:rPr>
        <w:t>de fin d</w:t>
      </w:r>
      <w:r w:rsidR="00205A62">
        <w:rPr>
          <w:lang w:val="fr-FR"/>
        </w:rPr>
        <w:t>’</w:t>
      </w:r>
      <w:r w:rsidR="00255B58" w:rsidRPr="00174283">
        <w:rPr>
          <w:lang w:val="fr-FR"/>
        </w:rPr>
        <w:t xml:space="preserve">études secondaires (16 élèves) et les examens finals (7 élèves). Tous ont réussi leur examen. </w:t>
      </w:r>
    </w:p>
    <w:p w:rsidR="00722DF9" w:rsidRPr="00174283" w:rsidRDefault="009E1A92" w:rsidP="009E1A92">
      <w:pPr>
        <w:pStyle w:val="SingleTxtG"/>
        <w:rPr>
          <w:lang w:val="fr-FR"/>
        </w:rPr>
      </w:pPr>
      <w:r>
        <w:rPr>
          <w:lang w:val="fr-FR"/>
        </w:rPr>
        <w:t>202.</w:t>
      </w:r>
      <w:r>
        <w:rPr>
          <w:lang w:val="fr-FR"/>
        </w:rPr>
        <w:tab/>
      </w:r>
      <w:r w:rsidR="00255B58" w:rsidRPr="00174283">
        <w:rPr>
          <w:lang w:val="fr-FR"/>
        </w:rPr>
        <w:t xml:space="preserve">Vingt élèves ayant des besoins particuliers qui faisaient partie du programme ont également réussi leur examen final </w:t>
      </w:r>
      <w:r w:rsidR="00F52E4B" w:rsidRPr="00174283">
        <w:rPr>
          <w:lang w:val="fr-FR"/>
        </w:rPr>
        <w:t>(</w:t>
      </w:r>
      <w:r w:rsidR="00255B58" w:rsidRPr="00174283">
        <w:rPr>
          <w:lang w:val="fr-FR"/>
        </w:rPr>
        <w:t xml:space="preserve">écoles </w:t>
      </w:r>
      <w:r w:rsidR="00722DF9" w:rsidRPr="00174283">
        <w:rPr>
          <w:lang w:val="fr-FR"/>
        </w:rPr>
        <w:t xml:space="preserve">Partenie Zografski </w:t>
      </w:r>
      <w:r w:rsidR="00255B58" w:rsidRPr="00174283">
        <w:rPr>
          <w:lang w:val="fr-FR"/>
        </w:rPr>
        <w:t>et</w:t>
      </w:r>
      <w:r w:rsidR="00722DF9" w:rsidRPr="00174283">
        <w:rPr>
          <w:lang w:val="fr-FR"/>
        </w:rPr>
        <w:t xml:space="preserve"> Sveti Naum Ohridski </w:t>
      </w:r>
      <w:r w:rsidR="00255B58" w:rsidRPr="00174283">
        <w:rPr>
          <w:lang w:val="fr-FR"/>
        </w:rPr>
        <w:t xml:space="preserve">de </w:t>
      </w:r>
      <w:r w:rsidR="00722DF9" w:rsidRPr="00174283">
        <w:rPr>
          <w:lang w:val="fr-FR"/>
        </w:rPr>
        <w:t xml:space="preserve">Skopje </w:t>
      </w:r>
      <w:r w:rsidR="00255B58" w:rsidRPr="00174283">
        <w:rPr>
          <w:lang w:val="fr-FR"/>
        </w:rPr>
        <w:t xml:space="preserve">et école </w:t>
      </w:r>
      <w:r w:rsidR="00722DF9" w:rsidRPr="00174283">
        <w:rPr>
          <w:lang w:val="fr-FR"/>
        </w:rPr>
        <w:t xml:space="preserve">Iskra </w:t>
      </w:r>
      <w:r w:rsidR="00255B58" w:rsidRPr="00174283">
        <w:rPr>
          <w:lang w:val="fr-FR"/>
        </w:rPr>
        <w:t>de</w:t>
      </w:r>
      <w:r w:rsidR="00722DF9" w:rsidRPr="00174283">
        <w:rPr>
          <w:lang w:val="fr-FR"/>
        </w:rPr>
        <w:t xml:space="preserve"> Stip</w:t>
      </w:r>
      <w:r w:rsidR="00F52E4B" w:rsidRPr="00174283">
        <w:rPr>
          <w:lang w:val="fr-FR"/>
        </w:rPr>
        <w:t>)</w:t>
      </w:r>
      <w:r w:rsidR="00722DF9" w:rsidRPr="00174283">
        <w:rPr>
          <w:lang w:val="fr-FR"/>
        </w:rPr>
        <w:t>.</w:t>
      </w:r>
    </w:p>
    <w:p w:rsidR="00722DF9" w:rsidRPr="00174283" w:rsidRDefault="009E1A92" w:rsidP="009E1A92">
      <w:pPr>
        <w:pStyle w:val="SingleTxtG"/>
        <w:rPr>
          <w:lang w:val="fr-FR"/>
        </w:rPr>
      </w:pPr>
      <w:r>
        <w:rPr>
          <w:lang w:val="fr-FR"/>
        </w:rPr>
        <w:t>203.</w:t>
      </w:r>
      <w:r>
        <w:rPr>
          <w:lang w:val="fr-FR"/>
        </w:rPr>
        <w:tab/>
      </w:r>
      <w:r w:rsidR="00255B58" w:rsidRPr="00174283">
        <w:rPr>
          <w:lang w:val="fr-FR"/>
        </w:rPr>
        <w:t>En plus d</w:t>
      </w:r>
      <w:r w:rsidR="00205A62">
        <w:rPr>
          <w:lang w:val="fr-FR"/>
        </w:rPr>
        <w:t>’</w:t>
      </w:r>
      <w:r w:rsidR="00255B58" w:rsidRPr="00174283">
        <w:rPr>
          <w:lang w:val="fr-FR"/>
        </w:rPr>
        <w:t>une augmentation du nombre d</w:t>
      </w:r>
      <w:r w:rsidR="00205A62">
        <w:rPr>
          <w:lang w:val="fr-FR"/>
        </w:rPr>
        <w:t>’</w:t>
      </w:r>
      <w:r w:rsidR="00255B58" w:rsidRPr="00174283">
        <w:rPr>
          <w:lang w:val="fr-FR"/>
        </w:rPr>
        <w:t xml:space="preserve">élèves ayant réussi </w:t>
      </w:r>
      <w:r w:rsidR="007254C8" w:rsidRPr="00174283">
        <w:rPr>
          <w:lang w:val="fr-FR"/>
        </w:rPr>
        <w:t xml:space="preserve">leur année scolaire, augmenté leur moyenne générale et amélioré leur maîtrise de </w:t>
      </w:r>
      <w:r w:rsidR="00950792" w:rsidRPr="00174283">
        <w:rPr>
          <w:lang w:val="fr-FR"/>
        </w:rPr>
        <w:t>différentes matières</w:t>
      </w:r>
      <w:r w:rsidR="007254C8" w:rsidRPr="00174283">
        <w:rPr>
          <w:lang w:val="fr-FR"/>
        </w:rPr>
        <w:t>, le Projet a également permis d</w:t>
      </w:r>
      <w:r w:rsidR="00205A62">
        <w:rPr>
          <w:lang w:val="fr-FR"/>
        </w:rPr>
        <w:t>’</w:t>
      </w:r>
      <w:r w:rsidR="007254C8" w:rsidRPr="00174283">
        <w:rPr>
          <w:lang w:val="fr-FR"/>
        </w:rPr>
        <w:t xml:space="preserve">obtenir les résultats </w:t>
      </w:r>
      <w:r w:rsidR="001E5012" w:rsidRPr="00174283">
        <w:rPr>
          <w:lang w:val="fr-FR"/>
        </w:rPr>
        <w:t>suivants</w:t>
      </w:r>
      <w:r w:rsidR="002F51DC">
        <w:rPr>
          <w:lang w:val="fr-FR"/>
        </w:rPr>
        <w:t>:</w:t>
      </w:r>
    </w:p>
    <w:p w:rsidR="00722DF9" w:rsidRPr="00174283" w:rsidRDefault="007254C8" w:rsidP="00722DF9">
      <w:pPr>
        <w:pStyle w:val="Bullet1G"/>
        <w:rPr>
          <w:lang w:val="fr-FR"/>
        </w:rPr>
      </w:pPr>
      <w:r w:rsidRPr="00174283">
        <w:rPr>
          <w:lang w:val="fr-FR"/>
        </w:rPr>
        <w:t xml:space="preserve">Amélioration </w:t>
      </w:r>
      <w:r w:rsidR="001A5BA0" w:rsidRPr="00174283">
        <w:rPr>
          <w:lang w:val="fr-FR"/>
        </w:rPr>
        <w:t>de l</w:t>
      </w:r>
      <w:r w:rsidR="00205A62">
        <w:rPr>
          <w:lang w:val="fr-FR"/>
        </w:rPr>
        <w:t>’</w:t>
      </w:r>
      <w:r w:rsidR="001A5BA0" w:rsidRPr="00174283">
        <w:rPr>
          <w:lang w:val="fr-FR"/>
        </w:rPr>
        <w:t>assiduité (moins de cas d</w:t>
      </w:r>
      <w:r w:rsidR="00205A62">
        <w:rPr>
          <w:lang w:val="fr-FR"/>
        </w:rPr>
        <w:t>’</w:t>
      </w:r>
      <w:r w:rsidR="001A5BA0" w:rsidRPr="00174283">
        <w:rPr>
          <w:lang w:val="fr-FR"/>
        </w:rPr>
        <w:t>école buissonnière)</w:t>
      </w:r>
      <w:r w:rsidR="00B6019A" w:rsidRPr="00174283">
        <w:rPr>
          <w:lang w:val="fr-FR"/>
        </w:rPr>
        <w:t>;</w:t>
      </w:r>
    </w:p>
    <w:p w:rsidR="00722DF9" w:rsidRPr="00174283" w:rsidRDefault="001A5BA0" w:rsidP="00722DF9">
      <w:pPr>
        <w:pStyle w:val="Bullet1G"/>
        <w:rPr>
          <w:lang w:val="fr-FR"/>
        </w:rPr>
      </w:pPr>
      <w:r w:rsidRPr="00174283">
        <w:rPr>
          <w:lang w:val="fr-FR"/>
        </w:rPr>
        <w:t xml:space="preserve">Amélioration de la </w:t>
      </w:r>
      <w:r w:rsidR="00722DF9" w:rsidRPr="00174283">
        <w:rPr>
          <w:lang w:val="fr-FR"/>
        </w:rPr>
        <w:t xml:space="preserve">communication </w:t>
      </w:r>
      <w:r w:rsidRPr="00174283">
        <w:rPr>
          <w:lang w:val="fr-FR"/>
        </w:rPr>
        <w:t>entre écoles, parents et enfants</w:t>
      </w:r>
      <w:r w:rsidR="00B6019A" w:rsidRPr="00174283">
        <w:rPr>
          <w:lang w:val="fr-FR"/>
        </w:rPr>
        <w:t>;</w:t>
      </w:r>
    </w:p>
    <w:p w:rsidR="00722DF9" w:rsidRPr="00174283" w:rsidRDefault="001A5BA0" w:rsidP="00722DF9">
      <w:pPr>
        <w:pStyle w:val="Bullet1G"/>
        <w:rPr>
          <w:lang w:val="fr-FR"/>
        </w:rPr>
      </w:pPr>
      <w:r w:rsidRPr="00174283">
        <w:rPr>
          <w:lang w:val="fr-FR"/>
        </w:rPr>
        <w:t xml:space="preserve">Amélioration de la socialisation et de la </w:t>
      </w:r>
      <w:r w:rsidR="00722DF9" w:rsidRPr="00174283">
        <w:rPr>
          <w:lang w:val="fr-FR"/>
        </w:rPr>
        <w:t xml:space="preserve">participation </w:t>
      </w:r>
      <w:r w:rsidRPr="00174283">
        <w:rPr>
          <w:lang w:val="fr-FR"/>
        </w:rPr>
        <w:t>aux activités parascolaires</w:t>
      </w:r>
      <w:r w:rsidR="00B6019A" w:rsidRPr="00174283">
        <w:rPr>
          <w:lang w:val="fr-FR"/>
        </w:rPr>
        <w:t>;</w:t>
      </w:r>
    </w:p>
    <w:p w:rsidR="00722DF9" w:rsidRPr="00174283" w:rsidRDefault="001A5BA0" w:rsidP="00722DF9">
      <w:pPr>
        <w:pStyle w:val="Bullet1G"/>
        <w:rPr>
          <w:lang w:val="fr-FR"/>
        </w:rPr>
      </w:pPr>
      <w:r w:rsidRPr="00174283">
        <w:rPr>
          <w:lang w:val="fr-FR"/>
        </w:rPr>
        <w:t xml:space="preserve">Meilleur accès aux manuels, au transport et autres fournitures scolaires. </w:t>
      </w:r>
    </w:p>
    <w:p w:rsidR="00722DF9" w:rsidRPr="00174283" w:rsidRDefault="00722DF9" w:rsidP="00722DF9">
      <w:pPr>
        <w:pStyle w:val="H23G"/>
        <w:rPr>
          <w:lang w:val="fr-FR"/>
        </w:rPr>
      </w:pPr>
      <w:r w:rsidRPr="00174283">
        <w:rPr>
          <w:lang w:val="fr-FR"/>
        </w:rPr>
        <w:tab/>
      </w:r>
      <w:r w:rsidR="00B22785" w:rsidRPr="00174283">
        <w:rPr>
          <w:lang w:val="fr-FR"/>
        </w:rPr>
        <w:t>b)</w:t>
      </w:r>
      <w:r w:rsidRPr="00174283">
        <w:rPr>
          <w:lang w:val="fr-FR"/>
        </w:rPr>
        <w:tab/>
      </w:r>
      <w:r w:rsidR="001A5BA0" w:rsidRPr="00174283">
        <w:rPr>
          <w:lang w:val="fr-FR"/>
        </w:rPr>
        <w:t>Assouplissement des conditions d</w:t>
      </w:r>
      <w:r w:rsidR="00205A62">
        <w:rPr>
          <w:lang w:val="fr-FR"/>
        </w:rPr>
        <w:t>’</w:t>
      </w:r>
      <w:r w:rsidR="001A5BA0" w:rsidRPr="00174283">
        <w:rPr>
          <w:lang w:val="fr-FR"/>
        </w:rPr>
        <w:t>inscription des élèves roms dans les établissements d</w:t>
      </w:r>
      <w:r w:rsidR="00205A62">
        <w:rPr>
          <w:lang w:val="fr-FR"/>
        </w:rPr>
        <w:t>’</w:t>
      </w:r>
      <w:r w:rsidR="001A5BA0" w:rsidRPr="00174283">
        <w:rPr>
          <w:lang w:val="fr-FR"/>
        </w:rPr>
        <w:t>enseignement secondaire</w:t>
      </w:r>
    </w:p>
    <w:p w:rsidR="00722DF9" w:rsidRPr="00174283" w:rsidRDefault="009E1A92" w:rsidP="009E1A92">
      <w:pPr>
        <w:pStyle w:val="SingleTxtG"/>
        <w:rPr>
          <w:lang w:val="fr-FR"/>
        </w:rPr>
      </w:pPr>
      <w:r>
        <w:rPr>
          <w:lang w:val="fr-FR"/>
        </w:rPr>
        <w:t>204.</w:t>
      </w:r>
      <w:r>
        <w:rPr>
          <w:lang w:val="fr-FR"/>
        </w:rPr>
        <w:tab/>
      </w:r>
      <w:r w:rsidR="001A5BA0" w:rsidRPr="00174283">
        <w:rPr>
          <w:lang w:val="fr-FR"/>
        </w:rPr>
        <w:t>Conformément à la Stratégie nationale pour les Roms et au Plan d</w:t>
      </w:r>
      <w:r w:rsidR="00205A62">
        <w:rPr>
          <w:lang w:val="fr-FR"/>
        </w:rPr>
        <w:t>’</w:t>
      </w:r>
      <w:r w:rsidR="001A5BA0" w:rsidRPr="00174283">
        <w:rPr>
          <w:lang w:val="fr-FR"/>
        </w:rPr>
        <w:t>action en faveur de l</w:t>
      </w:r>
      <w:r w:rsidR="00205A62">
        <w:rPr>
          <w:lang w:val="fr-FR"/>
        </w:rPr>
        <w:t>’</w:t>
      </w:r>
      <w:r w:rsidR="001A5BA0" w:rsidRPr="00174283">
        <w:rPr>
          <w:lang w:val="fr-FR"/>
        </w:rPr>
        <w:t>éducation, les conditions d</w:t>
      </w:r>
      <w:r w:rsidR="00205A62">
        <w:rPr>
          <w:lang w:val="fr-FR"/>
        </w:rPr>
        <w:t>’</w:t>
      </w:r>
      <w:r w:rsidR="001A5BA0" w:rsidRPr="00174283">
        <w:rPr>
          <w:lang w:val="fr-FR"/>
        </w:rPr>
        <w:t>inscription des élèves roms dans les établissements d</w:t>
      </w:r>
      <w:r w:rsidR="00205A62">
        <w:rPr>
          <w:lang w:val="fr-FR"/>
        </w:rPr>
        <w:t>’</w:t>
      </w:r>
      <w:r w:rsidR="001A5BA0" w:rsidRPr="00174283">
        <w:rPr>
          <w:lang w:val="fr-FR"/>
        </w:rPr>
        <w:t>enseignement secondaire publics ont été assouplies à partir de l</w:t>
      </w:r>
      <w:r w:rsidR="00205A62">
        <w:rPr>
          <w:lang w:val="fr-FR"/>
        </w:rPr>
        <w:t>’</w:t>
      </w:r>
      <w:r w:rsidR="001A5BA0" w:rsidRPr="00174283">
        <w:rPr>
          <w:lang w:val="fr-FR"/>
        </w:rPr>
        <w:t>année scolaire 2009/10. Les élèves roms peuvent s</w:t>
      </w:r>
      <w:r w:rsidR="00205A62">
        <w:rPr>
          <w:lang w:val="fr-FR"/>
        </w:rPr>
        <w:t>’</w:t>
      </w:r>
      <w:r w:rsidR="001A5BA0" w:rsidRPr="00174283">
        <w:rPr>
          <w:lang w:val="fr-FR"/>
        </w:rPr>
        <w:t>inscrire dans un établissement secondaire m</w:t>
      </w:r>
      <w:r w:rsidR="001F01BE" w:rsidRPr="00174283">
        <w:rPr>
          <w:lang w:val="fr-FR"/>
        </w:rPr>
        <w:t>ême si leur note</w:t>
      </w:r>
      <w:r w:rsidR="001A5BA0" w:rsidRPr="00174283">
        <w:rPr>
          <w:lang w:val="fr-FR"/>
        </w:rPr>
        <w:t xml:space="preserve"> au concours d</w:t>
      </w:r>
      <w:r w:rsidR="00205A62">
        <w:rPr>
          <w:lang w:val="fr-FR"/>
        </w:rPr>
        <w:t>’</w:t>
      </w:r>
      <w:r w:rsidR="001A5BA0" w:rsidRPr="00174283">
        <w:rPr>
          <w:lang w:val="fr-FR"/>
        </w:rPr>
        <w:t>entrée dans le secondaire est de 10 %</w:t>
      </w:r>
      <w:r w:rsidR="001F01BE" w:rsidRPr="00174283">
        <w:rPr>
          <w:lang w:val="fr-FR"/>
        </w:rPr>
        <w:t xml:space="preserve"> inférieure à la note exigée à condition de </w:t>
      </w:r>
      <w:r w:rsidR="001E5012" w:rsidRPr="00174283">
        <w:rPr>
          <w:lang w:val="fr-FR"/>
        </w:rPr>
        <w:t>posséder</w:t>
      </w:r>
      <w:r w:rsidR="001F01BE" w:rsidRPr="00174283">
        <w:rPr>
          <w:lang w:val="fr-FR"/>
        </w:rPr>
        <w:t xml:space="preserve"> les compétences et les qualifications requises pour être admis dans l</w:t>
      </w:r>
      <w:r w:rsidR="00205A62">
        <w:rPr>
          <w:lang w:val="fr-FR"/>
        </w:rPr>
        <w:t>’</w:t>
      </w:r>
      <w:r w:rsidR="001E5012" w:rsidRPr="00174283">
        <w:rPr>
          <w:lang w:val="fr-FR"/>
        </w:rPr>
        <w:t>établissement</w:t>
      </w:r>
      <w:r w:rsidR="001F01BE" w:rsidRPr="00174283">
        <w:rPr>
          <w:lang w:val="fr-FR"/>
        </w:rPr>
        <w:t xml:space="preserve"> en question. </w:t>
      </w:r>
    </w:p>
    <w:p w:rsidR="00722DF9" w:rsidRPr="00174283" w:rsidRDefault="009E1A92" w:rsidP="009E1A92">
      <w:pPr>
        <w:pStyle w:val="SingleTxtG"/>
        <w:rPr>
          <w:lang w:val="fr-FR"/>
        </w:rPr>
      </w:pPr>
      <w:r>
        <w:rPr>
          <w:lang w:val="fr-FR"/>
        </w:rPr>
        <w:t>205.</w:t>
      </w:r>
      <w:r>
        <w:rPr>
          <w:lang w:val="fr-FR"/>
        </w:rPr>
        <w:tab/>
      </w:r>
      <w:r w:rsidR="001F01BE" w:rsidRPr="00174283">
        <w:rPr>
          <w:lang w:val="fr-FR"/>
        </w:rPr>
        <w:t>Cette mesure vise à motiver les élèves roms à poursuivre leur scolarité et à leur donner la possibilité d</w:t>
      </w:r>
      <w:r w:rsidR="00205A62">
        <w:rPr>
          <w:lang w:val="fr-FR"/>
        </w:rPr>
        <w:t>’</w:t>
      </w:r>
      <w:r w:rsidR="001F01BE" w:rsidRPr="00174283">
        <w:rPr>
          <w:lang w:val="fr-FR"/>
        </w:rPr>
        <w:t>intégrer le réseau</w:t>
      </w:r>
      <w:r w:rsidR="00950792" w:rsidRPr="00174283">
        <w:rPr>
          <w:lang w:val="fr-FR"/>
        </w:rPr>
        <w:t xml:space="preserve"> macédonien</w:t>
      </w:r>
      <w:r w:rsidR="001F01BE" w:rsidRPr="00174283">
        <w:rPr>
          <w:lang w:val="fr-FR"/>
        </w:rPr>
        <w:t xml:space="preserve"> d</w:t>
      </w:r>
      <w:r w:rsidR="00205A62">
        <w:rPr>
          <w:lang w:val="fr-FR"/>
        </w:rPr>
        <w:t>’</w:t>
      </w:r>
      <w:r w:rsidR="001F01BE" w:rsidRPr="00174283">
        <w:rPr>
          <w:lang w:val="fr-FR"/>
        </w:rPr>
        <w:t>écoles secondaires publiques</w:t>
      </w:r>
      <w:r w:rsidR="0012704E" w:rsidRPr="00174283">
        <w:rPr>
          <w:lang w:val="fr-FR"/>
        </w:rPr>
        <w:t>, plus attractif</w:t>
      </w:r>
      <w:r w:rsidR="001F01BE" w:rsidRPr="00174283">
        <w:rPr>
          <w:lang w:val="fr-FR"/>
        </w:rPr>
        <w:t xml:space="preserve">. </w:t>
      </w:r>
    </w:p>
    <w:p w:rsidR="00722DF9" w:rsidRPr="00174283" w:rsidRDefault="00722DF9" w:rsidP="00722DF9">
      <w:pPr>
        <w:pStyle w:val="H23G"/>
        <w:rPr>
          <w:lang w:val="fr-FR"/>
        </w:rPr>
      </w:pPr>
      <w:r w:rsidRPr="00174283">
        <w:rPr>
          <w:lang w:val="fr-FR"/>
        </w:rPr>
        <w:tab/>
      </w:r>
      <w:r w:rsidR="003237C4" w:rsidRPr="00174283">
        <w:rPr>
          <w:lang w:val="fr-FR"/>
        </w:rPr>
        <w:t>c</w:t>
      </w:r>
      <w:r w:rsidR="00B22785" w:rsidRPr="00174283">
        <w:rPr>
          <w:lang w:val="fr-FR"/>
        </w:rPr>
        <w:t>)</w:t>
      </w:r>
      <w:r w:rsidRPr="00174283">
        <w:rPr>
          <w:lang w:val="fr-FR"/>
        </w:rPr>
        <w:tab/>
        <w:t xml:space="preserve">Construction </w:t>
      </w:r>
      <w:r w:rsidR="00C002ED" w:rsidRPr="00174283">
        <w:rPr>
          <w:lang w:val="fr-FR"/>
        </w:rPr>
        <w:t>d</w:t>
      </w:r>
      <w:r w:rsidR="00205A62">
        <w:rPr>
          <w:lang w:val="fr-FR"/>
        </w:rPr>
        <w:t>’</w:t>
      </w:r>
      <w:r w:rsidR="00C002ED" w:rsidRPr="00174283">
        <w:rPr>
          <w:lang w:val="fr-FR"/>
        </w:rPr>
        <w:t xml:space="preserve">une école </w:t>
      </w:r>
      <w:r w:rsidR="001E5012" w:rsidRPr="00174283">
        <w:rPr>
          <w:lang w:val="fr-FR"/>
        </w:rPr>
        <w:t>secondaire</w:t>
      </w:r>
      <w:r w:rsidR="00C002ED" w:rsidRPr="00174283">
        <w:rPr>
          <w:lang w:val="fr-FR"/>
        </w:rPr>
        <w:t xml:space="preserve"> dans la municipalité de </w:t>
      </w:r>
      <w:r w:rsidRPr="00174283">
        <w:rPr>
          <w:lang w:val="fr-FR"/>
        </w:rPr>
        <w:t>Suto Orizari</w:t>
      </w:r>
    </w:p>
    <w:p w:rsidR="00722DF9" w:rsidRPr="00174283" w:rsidRDefault="009E1A92" w:rsidP="009E1A92">
      <w:pPr>
        <w:pStyle w:val="SingleTxtG"/>
        <w:rPr>
          <w:lang w:val="fr-FR"/>
        </w:rPr>
      </w:pPr>
      <w:r>
        <w:rPr>
          <w:lang w:val="fr-FR"/>
        </w:rPr>
        <w:t>206.</w:t>
      </w:r>
      <w:r>
        <w:rPr>
          <w:lang w:val="fr-FR"/>
        </w:rPr>
        <w:tab/>
      </w:r>
      <w:r w:rsidR="00C002ED" w:rsidRPr="00174283">
        <w:rPr>
          <w:lang w:val="fr-FR"/>
        </w:rPr>
        <w:t xml:space="preserve">Un établissement combinant enseignement secondaire général et formation professionnelle est en cours de construction dans la municipalité de </w:t>
      </w:r>
      <w:r w:rsidR="00722DF9" w:rsidRPr="00174283">
        <w:rPr>
          <w:lang w:val="fr-FR"/>
        </w:rPr>
        <w:t xml:space="preserve">Suto Orizari, </w:t>
      </w:r>
      <w:r w:rsidR="00C002ED" w:rsidRPr="00174283">
        <w:rPr>
          <w:lang w:val="fr-FR"/>
        </w:rPr>
        <w:t>où la majorité de la population appartient à la communauté rom</w:t>
      </w:r>
      <w:r w:rsidR="00722DF9" w:rsidRPr="00174283">
        <w:rPr>
          <w:lang w:val="fr-FR"/>
        </w:rPr>
        <w:t>.</w:t>
      </w:r>
    </w:p>
    <w:p w:rsidR="0038670D" w:rsidRPr="00174283" w:rsidRDefault="0038670D" w:rsidP="00B22785">
      <w:pPr>
        <w:pStyle w:val="H23G"/>
        <w:rPr>
          <w:lang w:val="fr-FR"/>
        </w:rPr>
      </w:pPr>
      <w:r w:rsidRPr="00174283">
        <w:rPr>
          <w:lang w:val="fr-FR"/>
        </w:rPr>
        <w:tab/>
      </w:r>
      <w:r w:rsidR="003237C4" w:rsidRPr="00174283">
        <w:rPr>
          <w:lang w:val="fr-FR"/>
        </w:rPr>
        <w:t>3</w:t>
      </w:r>
      <w:r w:rsidR="00B22785" w:rsidRPr="00174283">
        <w:rPr>
          <w:lang w:val="fr-FR"/>
        </w:rPr>
        <w:t>.</w:t>
      </w:r>
      <w:r w:rsidRPr="00174283">
        <w:rPr>
          <w:lang w:val="fr-FR"/>
        </w:rPr>
        <w:tab/>
      </w:r>
      <w:r w:rsidR="00C002ED" w:rsidRPr="00174283">
        <w:rPr>
          <w:lang w:val="fr-FR"/>
        </w:rPr>
        <w:t>Enseignement supérieur</w:t>
      </w:r>
      <w:r w:rsidR="002F51DC">
        <w:rPr>
          <w:lang w:val="fr-FR"/>
        </w:rPr>
        <w:t>:</w:t>
      </w:r>
      <w:r w:rsidR="00C002ED" w:rsidRPr="00174283">
        <w:rPr>
          <w:lang w:val="fr-FR"/>
        </w:rPr>
        <w:t xml:space="preserve"> projets et activités</w:t>
      </w:r>
    </w:p>
    <w:p w:rsidR="0038670D" w:rsidRPr="00174283" w:rsidRDefault="0038670D" w:rsidP="0038670D">
      <w:pPr>
        <w:pStyle w:val="H23G"/>
        <w:rPr>
          <w:lang w:val="fr-FR"/>
        </w:rPr>
      </w:pPr>
      <w:r w:rsidRPr="00174283">
        <w:rPr>
          <w:lang w:val="fr-FR"/>
        </w:rPr>
        <w:tab/>
      </w:r>
      <w:r w:rsidR="00B22785" w:rsidRPr="00174283">
        <w:rPr>
          <w:lang w:val="fr-FR"/>
        </w:rPr>
        <w:t>a)</w:t>
      </w:r>
      <w:r w:rsidRPr="00174283">
        <w:rPr>
          <w:lang w:val="fr-FR"/>
        </w:rPr>
        <w:tab/>
        <w:t xml:space="preserve">Quotas </w:t>
      </w:r>
      <w:r w:rsidR="00C002ED" w:rsidRPr="00174283">
        <w:rPr>
          <w:lang w:val="fr-FR"/>
        </w:rPr>
        <w:t>d</w:t>
      </w:r>
      <w:r w:rsidR="00205A62">
        <w:rPr>
          <w:lang w:val="fr-FR"/>
        </w:rPr>
        <w:t>’</w:t>
      </w:r>
      <w:r w:rsidR="00C002ED" w:rsidRPr="00174283">
        <w:rPr>
          <w:lang w:val="fr-FR"/>
        </w:rPr>
        <w:t xml:space="preserve">inscription des étudiants </w:t>
      </w:r>
      <w:r w:rsidR="000E39E8" w:rsidRPr="00174283">
        <w:rPr>
          <w:lang w:val="fr-FR"/>
        </w:rPr>
        <w:t>roms dans les établissements d</w:t>
      </w:r>
      <w:r w:rsidR="00205A62">
        <w:rPr>
          <w:lang w:val="fr-FR"/>
        </w:rPr>
        <w:t>’</w:t>
      </w:r>
      <w:r w:rsidR="000E39E8" w:rsidRPr="00174283">
        <w:rPr>
          <w:lang w:val="fr-FR"/>
        </w:rPr>
        <w:t>enseignement supérieur</w:t>
      </w:r>
    </w:p>
    <w:p w:rsidR="0038670D" w:rsidRPr="00174283" w:rsidRDefault="009E1A92" w:rsidP="009E1A92">
      <w:pPr>
        <w:pStyle w:val="SingleTxtG"/>
        <w:rPr>
          <w:lang w:val="fr-FR"/>
        </w:rPr>
      </w:pPr>
      <w:r>
        <w:rPr>
          <w:lang w:val="fr-FR"/>
        </w:rPr>
        <w:t>207.</w:t>
      </w:r>
      <w:r>
        <w:rPr>
          <w:lang w:val="fr-FR"/>
        </w:rPr>
        <w:tab/>
      </w:r>
      <w:r w:rsidR="0012704E" w:rsidRPr="00174283">
        <w:rPr>
          <w:lang w:val="fr-FR"/>
        </w:rPr>
        <w:t>La</w:t>
      </w:r>
      <w:r w:rsidR="000E39E8" w:rsidRPr="00174283">
        <w:rPr>
          <w:lang w:val="fr-FR"/>
        </w:rPr>
        <w:t xml:space="preserve"> pratique </w:t>
      </w:r>
      <w:r w:rsidR="0012704E" w:rsidRPr="00174283">
        <w:rPr>
          <w:lang w:val="fr-FR"/>
        </w:rPr>
        <w:t xml:space="preserve">des quotas </w:t>
      </w:r>
      <w:r w:rsidR="000E39E8" w:rsidRPr="00174283">
        <w:rPr>
          <w:lang w:val="fr-FR"/>
        </w:rPr>
        <w:t>est observée depuis plusieurs années dans le cadre d</w:t>
      </w:r>
      <w:r w:rsidR="00205A62">
        <w:rPr>
          <w:lang w:val="fr-FR"/>
        </w:rPr>
        <w:t>’</w:t>
      </w:r>
      <w:r w:rsidR="000E39E8" w:rsidRPr="00174283">
        <w:rPr>
          <w:lang w:val="fr-FR"/>
        </w:rPr>
        <w:t>un dispositif d</w:t>
      </w:r>
      <w:r w:rsidR="00205A62">
        <w:rPr>
          <w:lang w:val="fr-FR"/>
        </w:rPr>
        <w:t>’</w:t>
      </w:r>
      <w:r w:rsidR="000E39E8" w:rsidRPr="00174283">
        <w:rPr>
          <w:lang w:val="fr-FR"/>
        </w:rPr>
        <w:t>action affirmative pour faciliter l</w:t>
      </w:r>
      <w:r w:rsidR="00205A62">
        <w:rPr>
          <w:lang w:val="fr-FR"/>
        </w:rPr>
        <w:t>’</w:t>
      </w:r>
      <w:r w:rsidR="000E39E8" w:rsidRPr="00174283">
        <w:rPr>
          <w:lang w:val="fr-FR"/>
        </w:rPr>
        <w:t>accès des étudiant</w:t>
      </w:r>
      <w:r w:rsidR="00DE06F8" w:rsidRPr="00174283">
        <w:rPr>
          <w:lang w:val="fr-FR"/>
        </w:rPr>
        <w:t>s</w:t>
      </w:r>
      <w:r w:rsidR="000E39E8" w:rsidRPr="00174283">
        <w:rPr>
          <w:lang w:val="fr-FR"/>
        </w:rPr>
        <w:t xml:space="preserve"> roms aux établissements d</w:t>
      </w:r>
      <w:r w:rsidR="00205A62">
        <w:rPr>
          <w:lang w:val="fr-FR"/>
        </w:rPr>
        <w:t>’</w:t>
      </w:r>
      <w:r w:rsidR="000E39E8" w:rsidRPr="00174283">
        <w:rPr>
          <w:lang w:val="fr-FR"/>
        </w:rPr>
        <w:t xml:space="preserve">enseignement supérieur. </w:t>
      </w:r>
    </w:p>
    <w:p w:rsidR="0038670D" w:rsidRPr="00174283" w:rsidRDefault="0038670D" w:rsidP="0038670D">
      <w:pPr>
        <w:pStyle w:val="H23G"/>
        <w:rPr>
          <w:lang w:val="fr-FR"/>
        </w:rPr>
      </w:pPr>
      <w:r w:rsidRPr="00174283">
        <w:rPr>
          <w:lang w:val="fr-FR"/>
        </w:rPr>
        <w:tab/>
      </w:r>
      <w:r w:rsidR="00B22785" w:rsidRPr="00174283">
        <w:rPr>
          <w:lang w:val="fr-FR"/>
        </w:rPr>
        <w:t>b)</w:t>
      </w:r>
      <w:r w:rsidRPr="00174283">
        <w:rPr>
          <w:lang w:val="fr-FR"/>
        </w:rPr>
        <w:tab/>
      </w:r>
      <w:r w:rsidR="000E39E8" w:rsidRPr="00174283">
        <w:rPr>
          <w:lang w:val="fr-FR"/>
        </w:rPr>
        <w:t xml:space="preserve">Enseignement </w:t>
      </w:r>
      <w:r w:rsidR="0012704E" w:rsidRPr="00174283">
        <w:rPr>
          <w:lang w:val="fr-FR"/>
        </w:rPr>
        <w:t xml:space="preserve">optionnel </w:t>
      </w:r>
      <w:r w:rsidR="000E39E8" w:rsidRPr="00174283">
        <w:rPr>
          <w:lang w:val="fr-FR"/>
        </w:rPr>
        <w:t>du romani dans l</w:t>
      </w:r>
      <w:r w:rsidR="00205A62">
        <w:rPr>
          <w:lang w:val="fr-FR"/>
        </w:rPr>
        <w:t>’</w:t>
      </w:r>
      <w:r w:rsidR="000E39E8" w:rsidRPr="00174283">
        <w:rPr>
          <w:lang w:val="fr-FR"/>
        </w:rPr>
        <w:t xml:space="preserve">enseignement </w:t>
      </w:r>
      <w:r w:rsidR="001E5012" w:rsidRPr="00174283">
        <w:rPr>
          <w:lang w:val="fr-FR"/>
        </w:rPr>
        <w:t>supérieur</w:t>
      </w:r>
      <w:r w:rsidR="000E39E8" w:rsidRPr="00174283">
        <w:rPr>
          <w:lang w:val="fr-FR"/>
        </w:rPr>
        <w:t xml:space="preserve"> </w:t>
      </w:r>
    </w:p>
    <w:p w:rsidR="0038670D" w:rsidRPr="00174283" w:rsidRDefault="009E1A92" w:rsidP="009E1A92">
      <w:pPr>
        <w:pStyle w:val="SingleTxtG"/>
        <w:rPr>
          <w:lang w:val="fr-FR"/>
        </w:rPr>
      </w:pPr>
      <w:r>
        <w:rPr>
          <w:lang w:val="fr-FR"/>
        </w:rPr>
        <w:t>208.</w:t>
      </w:r>
      <w:r>
        <w:rPr>
          <w:lang w:val="fr-FR"/>
        </w:rPr>
        <w:tab/>
      </w:r>
      <w:r w:rsidR="000E39E8" w:rsidRPr="00174283">
        <w:rPr>
          <w:lang w:val="fr-FR"/>
        </w:rPr>
        <w:t>L</w:t>
      </w:r>
      <w:r w:rsidR="00205A62">
        <w:rPr>
          <w:lang w:val="fr-FR"/>
        </w:rPr>
        <w:t>’</w:t>
      </w:r>
      <w:r w:rsidR="000E39E8" w:rsidRPr="00174283">
        <w:rPr>
          <w:lang w:val="fr-FR"/>
        </w:rPr>
        <w:t xml:space="preserve">enseignement de la langue et de la culture roms </w:t>
      </w:r>
      <w:r w:rsidR="00950792" w:rsidRPr="00174283">
        <w:rPr>
          <w:lang w:val="fr-FR"/>
        </w:rPr>
        <w:t>fait partie des</w:t>
      </w:r>
      <w:r w:rsidR="000E39E8" w:rsidRPr="00174283">
        <w:rPr>
          <w:lang w:val="fr-FR"/>
        </w:rPr>
        <w:t xml:space="preserve"> matière</w:t>
      </w:r>
      <w:r w:rsidR="00950792" w:rsidRPr="00174283">
        <w:rPr>
          <w:lang w:val="fr-FR"/>
        </w:rPr>
        <w:t>s</w:t>
      </w:r>
      <w:r w:rsidR="000E39E8" w:rsidRPr="00174283">
        <w:rPr>
          <w:lang w:val="fr-FR"/>
        </w:rPr>
        <w:t xml:space="preserve"> </w:t>
      </w:r>
      <w:r w:rsidR="00950792" w:rsidRPr="00174283">
        <w:rPr>
          <w:lang w:val="fr-FR"/>
        </w:rPr>
        <w:t>optionnelles</w:t>
      </w:r>
      <w:r w:rsidR="000E39E8" w:rsidRPr="00174283">
        <w:rPr>
          <w:lang w:val="fr-FR"/>
        </w:rPr>
        <w:t xml:space="preserve"> </w:t>
      </w:r>
      <w:r w:rsidR="00950792" w:rsidRPr="00174283">
        <w:rPr>
          <w:lang w:val="fr-FR"/>
        </w:rPr>
        <w:t>de</w:t>
      </w:r>
      <w:r w:rsidR="000E39E8" w:rsidRPr="00174283">
        <w:rPr>
          <w:lang w:val="fr-FR"/>
        </w:rPr>
        <w:t xml:space="preserve"> la Faculté de philologie de Skopje </w:t>
      </w:r>
      <w:r w:rsidR="00950792" w:rsidRPr="00174283">
        <w:rPr>
          <w:lang w:val="fr-FR"/>
        </w:rPr>
        <w:t>depuis</w:t>
      </w:r>
      <w:r w:rsidR="000E39E8" w:rsidRPr="00174283">
        <w:rPr>
          <w:lang w:val="fr-FR"/>
        </w:rPr>
        <w:t xml:space="preserve"> l</w:t>
      </w:r>
      <w:r w:rsidR="00205A62">
        <w:rPr>
          <w:lang w:val="fr-FR"/>
        </w:rPr>
        <w:t>’</w:t>
      </w:r>
      <w:r w:rsidR="000E39E8" w:rsidRPr="00174283">
        <w:rPr>
          <w:lang w:val="fr-FR"/>
        </w:rPr>
        <w:t xml:space="preserve">année universitaire </w:t>
      </w:r>
      <w:r w:rsidR="0038670D" w:rsidRPr="00174283">
        <w:rPr>
          <w:lang w:val="fr-FR"/>
        </w:rPr>
        <w:t>2010/11.</w:t>
      </w:r>
    </w:p>
    <w:p w:rsidR="00722DF9" w:rsidRPr="00174283" w:rsidRDefault="00B22785" w:rsidP="0038670D">
      <w:pPr>
        <w:pStyle w:val="SingleTxtG"/>
        <w:keepNext/>
        <w:jc w:val="left"/>
        <w:rPr>
          <w:b/>
          <w:lang w:val="fr-FR"/>
        </w:rPr>
      </w:pPr>
      <w:r w:rsidRPr="00174283">
        <w:rPr>
          <w:lang w:val="fr-FR"/>
        </w:rPr>
        <w:t>Table</w:t>
      </w:r>
      <w:r w:rsidR="000E39E8" w:rsidRPr="00174283">
        <w:rPr>
          <w:lang w:val="fr-FR"/>
        </w:rPr>
        <w:t>au</w:t>
      </w:r>
      <w:r w:rsidRPr="00174283">
        <w:rPr>
          <w:lang w:val="fr-FR"/>
        </w:rPr>
        <w:t xml:space="preserve"> 4</w:t>
      </w:r>
      <w:r w:rsidRPr="00174283">
        <w:rPr>
          <w:b/>
          <w:lang w:val="fr-FR"/>
        </w:rPr>
        <w:br/>
      </w:r>
      <w:r w:rsidR="000E39E8" w:rsidRPr="00174283">
        <w:rPr>
          <w:b/>
          <w:lang w:val="fr-FR"/>
        </w:rPr>
        <w:t>Écoles où la langue et la culture roms sont enseignées comme matière facultative</w:t>
      </w:r>
    </w:p>
    <w:tbl>
      <w:tblPr>
        <w:tblW w:w="7371" w:type="dxa"/>
        <w:tblInd w:w="1134" w:type="dxa"/>
        <w:tblBorders>
          <w:top w:val="single" w:sz="4" w:space="0" w:color="auto"/>
        </w:tblBorders>
        <w:tblLayout w:type="fixed"/>
        <w:tblCellMar>
          <w:left w:w="0" w:type="dxa"/>
          <w:right w:w="29" w:type="dxa"/>
        </w:tblCellMar>
        <w:tblLook w:val="04A0"/>
      </w:tblPr>
      <w:tblGrid>
        <w:gridCol w:w="756"/>
        <w:gridCol w:w="804"/>
        <w:gridCol w:w="1701"/>
        <w:gridCol w:w="1134"/>
        <w:gridCol w:w="2211"/>
        <w:gridCol w:w="765"/>
      </w:tblGrid>
      <w:tr w:rsidR="0038670D" w:rsidRPr="00174283" w:rsidTr="000E39E8">
        <w:trPr>
          <w:tblHeader/>
        </w:trPr>
        <w:tc>
          <w:tcPr>
            <w:tcW w:w="7371" w:type="dxa"/>
            <w:gridSpan w:val="6"/>
            <w:tcBorders>
              <w:top w:val="single" w:sz="4" w:space="0" w:color="auto"/>
              <w:bottom w:val="single" w:sz="4" w:space="0" w:color="auto"/>
            </w:tcBorders>
            <w:shd w:val="clear" w:color="auto" w:fill="auto"/>
            <w:vAlign w:val="bottom"/>
          </w:tcPr>
          <w:p w:rsidR="0038670D" w:rsidRPr="00174283" w:rsidRDefault="000E39E8" w:rsidP="0010148C">
            <w:pPr>
              <w:pStyle w:val="SingleTxtG"/>
              <w:suppressAutoHyphens w:val="0"/>
              <w:spacing w:before="80" w:after="80" w:line="200" w:lineRule="exact"/>
              <w:ind w:left="0" w:right="0"/>
              <w:jc w:val="center"/>
              <w:rPr>
                <w:i/>
                <w:sz w:val="16"/>
                <w:lang w:val="fr-FR"/>
              </w:rPr>
            </w:pPr>
            <w:r w:rsidRPr="00174283">
              <w:rPr>
                <w:i/>
                <w:sz w:val="16"/>
                <w:lang w:val="fr-FR"/>
              </w:rPr>
              <w:t>Écoles primaires où sont enseignées la langue et la culture roms comme matière facultative</w:t>
            </w:r>
          </w:p>
        </w:tc>
      </w:tr>
      <w:tr w:rsidR="00810139" w:rsidRPr="00174283" w:rsidTr="00900FF9">
        <w:trPr>
          <w:tblHeader/>
        </w:trPr>
        <w:tc>
          <w:tcPr>
            <w:tcW w:w="756" w:type="dxa"/>
            <w:tcBorders>
              <w:top w:val="single" w:sz="4" w:space="0" w:color="auto"/>
              <w:bottom w:val="single" w:sz="12" w:space="0" w:color="auto"/>
            </w:tcBorders>
            <w:shd w:val="clear" w:color="auto" w:fill="auto"/>
            <w:vAlign w:val="bottom"/>
          </w:tcPr>
          <w:p w:rsidR="0038670D" w:rsidRPr="00174283" w:rsidRDefault="0038670D" w:rsidP="0010148C">
            <w:pPr>
              <w:pStyle w:val="SingleTxtG"/>
              <w:suppressAutoHyphens w:val="0"/>
              <w:spacing w:before="80" w:after="80" w:line="200" w:lineRule="exact"/>
              <w:ind w:left="0" w:right="0"/>
              <w:jc w:val="left"/>
              <w:rPr>
                <w:i/>
                <w:sz w:val="16"/>
                <w:lang w:val="fr-FR"/>
              </w:rPr>
            </w:pPr>
            <w:r w:rsidRPr="00174283">
              <w:rPr>
                <w:i/>
                <w:sz w:val="16"/>
                <w:lang w:val="fr-FR"/>
              </w:rPr>
              <w:t>N</w:t>
            </w:r>
            <w:r w:rsidR="000E39E8" w:rsidRPr="00174283">
              <w:rPr>
                <w:i/>
                <w:sz w:val="16"/>
                <w:vertAlign w:val="superscript"/>
                <w:lang w:val="fr-FR"/>
              </w:rPr>
              <w:t>o</w:t>
            </w:r>
          </w:p>
        </w:tc>
        <w:tc>
          <w:tcPr>
            <w:tcW w:w="804" w:type="dxa"/>
            <w:tcBorders>
              <w:top w:val="single" w:sz="4" w:space="0" w:color="auto"/>
              <w:bottom w:val="single" w:sz="12" w:space="0" w:color="auto"/>
            </w:tcBorders>
            <w:shd w:val="clear" w:color="auto" w:fill="auto"/>
            <w:vAlign w:val="bottom"/>
          </w:tcPr>
          <w:p w:rsidR="0038670D" w:rsidRPr="00174283" w:rsidRDefault="000E39E8" w:rsidP="00C80393">
            <w:pPr>
              <w:pStyle w:val="SingleTxtG"/>
              <w:suppressAutoHyphens w:val="0"/>
              <w:spacing w:before="80" w:after="80" w:line="200" w:lineRule="exact"/>
              <w:ind w:left="0" w:right="0"/>
              <w:jc w:val="right"/>
              <w:rPr>
                <w:i/>
                <w:sz w:val="16"/>
                <w:lang w:val="fr-FR"/>
              </w:rPr>
            </w:pPr>
            <w:r w:rsidRPr="00174283">
              <w:rPr>
                <w:i/>
                <w:sz w:val="16"/>
                <w:lang w:val="fr-FR"/>
              </w:rPr>
              <w:t>Ville</w:t>
            </w:r>
          </w:p>
        </w:tc>
        <w:tc>
          <w:tcPr>
            <w:tcW w:w="1701" w:type="dxa"/>
            <w:tcBorders>
              <w:top w:val="single" w:sz="4" w:space="0" w:color="auto"/>
              <w:bottom w:val="single" w:sz="12" w:space="0" w:color="auto"/>
            </w:tcBorders>
            <w:shd w:val="clear" w:color="auto" w:fill="auto"/>
            <w:vAlign w:val="bottom"/>
          </w:tcPr>
          <w:p w:rsidR="0038670D" w:rsidRPr="00174283" w:rsidRDefault="000E39E8" w:rsidP="00C80393">
            <w:pPr>
              <w:pStyle w:val="SingleTxtG"/>
              <w:suppressAutoHyphens w:val="0"/>
              <w:spacing w:before="80" w:after="80" w:line="200" w:lineRule="exact"/>
              <w:ind w:left="0" w:right="0"/>
              <w:jc w:val="right"/>
              <w:rPr>
                <w:i/>
                <w:sz w:val="16"/>
                <w:lang w:val="fr-FR"/>
              </w:rPr>
            </w:pPr>
            <w:r w:rsidRPr="00174283">
              <w:rPr>
                <w:i/>
                <w:sz w:val="16"/>
                <w:lang w:val="fr-FR"/>
              </w:rPr>
              <w:t>École</w:t>
            </w:r>
          </w:p>
        </w:tc>
        <w:tc>
          <w:tcPr>
            <w:tcW w:w="1134" w:type="dxa"/>
            <w:tcBorders>
              <w:top w:val="single" w:sz="4" w:space="0" w:color="auto"/>
              <w:bottom w:val="single" w:sz="12" w:space="0" w:color="auto"/>
            </w:tcBorders>
            <w:shd w:val="clear" w:color="auto" w:fill="auto"/>
            <w:vAlign w:val="bottom"/>
          </w:tcPr>
          <w:p w:rsidR="0038670D" w:rsidRPr="00900FF9" w:rsidRDefault="000E39E8" w:rsidP="0010148C">
            <w:pPr>
              <w:pStyle w:val="SingleTxtG"/>
              <w:suppressAutoHyphens w:val="0"/>
              <w:spacing w:before="80" w:after="80" w:line="200" w:lineRule="exact"/>
              <w:ind w:left="0" w:right="0"/>
              <w:jc w:val="right"/>
              <w:rPr>
                <w:b/>
                <w:bCs/>
                <w:i/>
                <w:sz w:val="16"/>
                <w:lang w:val="fr-FR"/>
              </w:rPr>
            </w:pPr>
            <w:r w:rsidRPr="00900FF9">
              <w:rPr>
                <w:b/>
                <w:bCs/>
                <w:i/>
                <w:sz w:val="16"/>
                <w:lang w:val="fr-FR"/>
              </w:rPr>
              <w:t>Nombre total d</w:t>
            </w:r>
            <w:r w:rsidR="00205A62">
              <w:rPr>
                <w:b/>
                <w:bCs/>
                <w:i/>
                <w:sz w:val="16"/>
                <w:lang w:val="fr-FR"/>
              </w:rPr>
              <w:t>’</w:t>
            </w:r>
            <w:r w:rsidRPr="00900FF9">
              <w:rPr>
                <w:b/>
                <w:bCs/>
                <w:i/>
                <w:sz w:val="16"/>
                <w:lang w:val="fr-FR"/>
              </w:rPr>
              <w:t>élèves roms</w:t>
            </w:r>
          </w:p>
        </w:tc>
        <w:tc>
          <w:tcPr>
            <w:tcW w:w="2211" w:type="dxa"/>
            <w:tcBorders>
              <w:top w:val="single" w:sz="4" w:space="0" w:color="auto"/>
              <w:bottom w:val="single" w:sz="12" w:space="0" w:color="auto"/>
            </w:tcBorders>
            <w:shd w:val="clear" w:color="auto" w:fill="auto"/>
            <w:vAlign w:val="bottom"/>
          </w:tcPr>
          <w:p w:rsidR="0038670D" w:rsidRPr="00174283" w:rsidRDefault="000E39E8" w:rsidP="0010148C">
            <w:pPr>
              <w:pStyle w:val="SingleTxtG"/>
              <w:suppressAutoHyphens w:val="0"/>
              <w:spacing w:before="80" w:after="80" w:line="200" w:lineRule="exact"/>
              <w:ind w:left="0" w:right="0"/>
              <w:jc w:val="right"/>
              <w:rPr>
                <w:i/>
                <w:sz w:val="16"/>
                <w:lang w:val="fr-FR"/>
              </w:rPr>
            </w:pPr>
            <w:r w:rsidRPr="00174283">
              <w:rPr>
                <w:i/>
                <w:sz w:val="16"/>
                <w:lang w:val="fr-FR"/>
              </w:rPr>
              <w:t>Nombre d</w:t>
            </w:r>
            <w:r w:rsidR="00205A62">
              <w:rPr>
                <w:i/>
                <w:sz w:val="16"/>
                <w:lang w:val="fr-FR"/>
              </w:rPr>
              <w:t>’</w:t>
            </w:r>
            <w:r w:rsidRPr="00174283">
              <w:rPr>
                <w:i/>
                <w:sz w:val="16"/>
                <w:lang w:val="fr-FR"/>
              </w:rPr>
              <w:t>élèves roms suivant l</w:t>
            </w:r>
            <w:r w:rsidR="00205A62">
              <w:rPr>
                <w:i/>
                <w:sz w:val="16"/>
                <w:lang w:val="fr-FR"/>
              </w:rPr>
              <w:t>’</w:t>
            </w:r>
            <w:r w:rsidRPr="00174283">
              <w:rPr>
                <w:i/>
                <w:sz w:val="16"/>
                <w:lang w:val="fr-FR"/>
              </w:rPr>
              <w:t xml:space="preserve">enseignement facultatif </w:t>
            </w:r>
          </w:p>
        </w:tc>
        <w:tc>
          <w:tcPr>
            <w:tcW w:w="765" w:type="dxa"/>
            <w:tcBorders>
              <w:top w:val="single" w:sz="4" w:space="0" w:color="auto"/>
              <w:bottom w:val="single" w:sz="12" w:space="0" w:color="auto"/>
            </w:tcBorders>
            <w:shd w:val="clear" w:color="auto" w:fill="auto"/>
            <w:vAlign w:val="bottom"/>
          </w:tcPr>
          <w:p w:rsidR="0038670D" w:rsidRPr="00174283" w:rsidRDefault="0038670D" w:rsidP="0010148C">
            <w:pPr>
              <w:pStyle w:val="SingleTxtG"/>
              <w:suppressAutoHyphens w:val="0"/>
              <w:spacing w:before="80" w:after="80" w:line="200" w:lineRule="exact"/>
              <w:ind w:left="0" w:right="0"/>
              <w:jc w:val="right"/>
              <w:rPr>
                <w:i/>
                <w:sz w:val="16"/>
                <w:lang w:val="fr-FR"/>
              </w:rPr>
            </w:pPr>
            <w:r w:rsidRPr="00174283">
              <w:rPr>
                <w:i/>
                <w:sz w:val="16"/>
                <w:lang w:val="fr-FR"/>
              </w:rPr>
              <w:t>%</w:t>
            </w:r>
          </w:p>
        </w:tc>
      </w:tr>
      <w:tr w:rsidR="0038670D" w:rsidRPr="00174283" w:rsidTr="002471A5">
        <w:tc>
          <w:tcPr>
            <w:tcW w:w="756" w:type="dxa"/>
            <w:tcBorders>
              <w:top w:val="single" w:sz="12" w:space="0" w:color="auto"/>
            </w:tcBorders>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1</w:t>
            </w:r>
          </w:p>
        </w:tc>
        <w:tc>
          <w:tcPr>
            <w:tcW w:w="804" w:type="dxa"/>
            <w:tcBorders>
              <w:top w:val="single" w:sz="12" w:space="0" w:color="auto"/>
            </w:tcBorders>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Tetovo</w:t>
            </w:r>
          </w:p>
        </w:tc>
        <w:tc>
          <w:tcPr>
            <w:tcW w:w="1701" w:type="dxa"/>
            <w:tcBorders>
              <w:top w:val="single" w:sz="12" w:space="0" w:color="auto"/>
            </w:tcBorders>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Goce Delcev</w:t>
            </w:r>
          </w:p>
        </w:tc>
        <w:tc>
          <w:tcPr>
            <w:tcW w:w="1134" w:type="dxa"/>
            <w:tcBorders>
              <w:top w:val="single" w:sz="12" w:space="0" w:color="auto"/>
            </w:tcBorders>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121</w:t>
            </w:r>
          </w:p>
        </w:tc>
        <w:tc>
          <w:tcPr>
            <w:tcW w:w="2211" w:type="dxa"/>
            <w:tcBorders>
              <w:top w:val="single" w:sz="12" w:space="0" w:color="auto"/>
            </w:tcBorders>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50</w:t>
            </w:r>
          </w:p>
        </w:tc>
        <w:tc>
          <w:tcPr>
            <w:tcW w:w="765" w:type="dxa"/>
            <w:tcBorders>
              <w:top w:val="single" w:sz="12" w:space="0" w:color="auto"/>
            </w:tcBorders>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41,</w:t>
            </w:r>
            <w:r w:rsidR="0038670D" w:rsidRPr="00174283">
              <w:rPr>
                <w:sz w:val="18"/>
                <w:lang w:val="fr-FR"/>
              </w:rPr>
              <w:t>3</w:t>
            </w:r>
          </w:p>
        </w:tc>
      </w:tr>
      <w:tr w:rsidR="0038670D" w:rsidRPr="00174283" w:rsidTr="002471A5">
        <w:tc>
          <w:tcPr>
            <w:tcW w:w="756" w:type="dxa"/>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2</w:t>
            </w:r>
          </w:p>
        </w:tc>
        <w:tc>
          <w:tcPr>
            <w:tcW w:w="804"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Kicevo</w:t>
            </w:r>
          </w:p>
        </w:tc>
        <w:tc>
          <w:tcPr>
            <w:tcW w:w="1701"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Sande Steriovski</w:t>
            </w:r>
          </w:p>
        </w:tc>
        <w:tc>
          <w:tcPr>
            <w:tcW w:w="1134" w:type="dxa"/>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354</w:t>
            </w:r>
          </w:p>
        </w:tc>
        <w:tc>
          <w:tcPr>
            <w:tcW w:w="2211" w:type="dxa"/>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107</w:t>
            </w:r>
          </w:p>
        </w:tc>
        <w:tc>
          <w:tcPr>
            <w:tcW w:w="765" w:type="dxa"/>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30,</w:t>
            </w:r>
            <w:r w:rsidR="0038670D" w:rsidRPr="00174283">
              <w:rPr>
                <w:sz w:val="18"/>
                <w:lang w:val="fr-FR"/>
              </w:rPr>
              <w:t>2</w:t>
            </w:r>
          </w:p>
        </w:tc>
      </w:tr>
      <w:tr w:rsidR="0038670D" w:rsidRPr="00174283" w:rsidTr="002471A5">
        <w:tc>
          <w:tcPr>
            <w:tcW w:w="756" w:type="dxa"/>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3</w:t>
            </w:r>
          </w:p>
        </w:tc>
        <w:tc>
          <w:tcPr>
            <w:tcW w:w="804"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Skopje</w:t>
            </w:r>
          </w:p>
        </w:tc>
        <w:tc>
          <w:tcPr>
            <w:tcW w:w="1701"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 xml:space="preserve">B. Ramiz </w:t>
            </w:r>
            <w:r w:rsidR="005817A6" w:rsidRPr="00174283">
              <w:rPr>
                <w:sz w:val="18"/>
                <w:lang w:val="fr-FR"/>
              </w:rPr>
              <w:t xml:space="preserve">et </w:t>
            </w:r>
            <w:r w:rsidRPr="00174283">
              <w:rPr>
                <w:sz w:val="18"/>
                <w:lang w:val="fr-FR"/>
              </w:rPr>
              <w:t>Hamid</w:t>
            </w:r>
          </w:p>
        </w:tc>
        <w:tc>
          <w:tcPr>
            <w:tcW w:w="1134" w:type="dxa"/>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2</w:t>
            </w:r>
            <w:r w:rsidR="003D6065" w:rsidRPr="00900FF9">
              <w:rPr>
                <w:b/>
                <w:bCs/>
                <w:sz w:val="18"/>
                <w:lang w:val="fr-FR"/>
              </w:rPr>
              <w:t xml:space="preserve"> </w:t>
            </w:r>
            <w:r w:rsidRPr="00900FF9">
              <w:rPr>
                <w:b/>
                <w:bCs/>
                <w:sz w:val="18"/>
                <w:lang w:val="fr-FR"/>
              </w:rPr>
              <w:t>126</w:t>
            </w:r>
          </w:p>
        </w:tc>
        <w:tc>
          <w:tcPr>
            <w:tcW w:w="2211" w:type="dxa"/>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1</w:t>
            </w:r>
            <w:r w:rsidR="003D6065" w:rsidRPr="00174283">
              <w:rPr>
                <w:sz w:val="18"/>
                <w:lang w:val="fr-FR"/>
              </w:rPr>
              <w:t xml:space="preserve"> </w:t>
            </w:r>
            <w:r w:rsidRPr="00174283">
              <w:rPr>
                <w:sz w:val="18"/>
                <w:lang w:val="fr-FR"/>
              </w:rPr>
              <w:t>595</w:t>
            </w:r>
          </w:p>
        </w:tc>
        <w:tc>
          <w:tcPr>
            <w:tcW w:w="765" w:type="dxa"/>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75,</w:t>
            </w:r>
            <w:r w:rsidR="0038670D" w:rsidRPr="00174283">
              <w:rPr>
                <w:sz w:val="18"/>
                <w:lang w:val="fr-FR"/>
              </w:rPr>
              <w:t>0</w:t>
            </w:r>
          </w:p>
        </w:tc>
      </w:tr>
      <w:tr w:rsidR="0038670D" w:rsidRPr="00174283" w:rsidTr="002471A5">
        <w:tc>
          <w:tcPr>
            <w:tcW w:w="756" w:type="dxa"/>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4</w:t>
            </w:r>
          </w:p>
        </w:tc>
        <w:tc>
          <w:tcPr>
            <w:tcW w:w="804"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Skopje</w:t>
            </w:r>
          </w:p>
        </w:tc>
        <w:tc>
          <w:tcPr>
            <w:tcW w:w="1701"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26 July</w:t>
            </w:r>
          </w:p>
        </w:tc>
        <w:tc>
          <w:tcPr>
            <w:tcW w:w="1134" w:type="dxa"/>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476</w:t>
            </w:r>
          </w:p>
        </w:tc>
        <w:tc>
          <w:tcPr>
            <w:tcW w:w="2211" w:type="dxa"/>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345</w:t>
            </w:r>
          </w:p>
        </w:tc>
        <w:tc>
          <w:tcPr>
            <w:tcW w:w="765" w:type="dxa"/>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72,</w:t>
            </w:r>
            <w:r w:rsidR="0038670D" w:rsidRPr="00174283">
              <w:rPr>
                <w:sz w:val="18"/>
                <w:lang w:val="fr-FR"/>
              </w:rPr>
              <w:t>4</w:t>
            </w:r>
          </w:p>
        </w:tc>
      </w:tr>
      <w:tr w:rsidR="0038670D" w:rsidRPr="00174283" w:rsidTr="002471A5">
        <w:tc>
          <w:tcPr>
            <w:tcW w:w="756" w:type="dxa"/>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5</w:t>
            </w:r>
          </w:p>
        </w:tc>
        <w:tc>
          <w:tcPr>
            <w:tcW w:w="804"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Stip</w:t>
            </w:r>
          </w:p>
        </w:tc>
        <w:tc>
          <w:tcPr>
            <w:tcW w:w="1701" w:type="dxa"/>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Dimitar Vlahov</w:t>
            </w:r>
          </w:p>
        </w:tc>
        <w:tc>
          <w:tcPr>
            <w:tcW w:w="1134" w:type="dxa"/>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118</w:t>
            </w:r>
          </w:p>
        </w:tc>
        <w:tc>
          <w:tcPr>
            <w:tcW w:w="2211" w:type="dxa"/>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73</w:t>
            </w:r>
          </w:p>
        </w:tc>
        <w:tc>
          <w:tcPr>
            <w:tcW w:w="765" w:type="dxa"/>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61,</w:t>
            </w:r>
            <w:r w:rsidR="0038670D" w:rsidRPr="00174283">
              <w:rPr>
                <w:sz w:val="18"/>
                <w:lang w:val="fr-FR"/>
              </w:rPr>
              <w:t>8</w:t>
            </w:r>
          </w:p>
        </w:tc>
      </w:tr>
      <w:tr w:rsidR="0038670D" w:rsidRPr="00174283" w:rsidTr="002471A5">
        <w:tc>
          <w:tcPr>
            <w:tcW w:w="756" w:type="dxa"/>
            <w:tcBorders>
              <w:bottom w:val="single" w:sz="4" w:space="0" w:color="auto"/>
            </w:tcBorders>
            <w:shd w:val="clear" w:color="auto" w:fill="auto"/>
            <w:vAlign w:val="bottom"/>
          </w:tcPr>
          <w:p w:rsidR="0038670D" w:rsidRPr="00174283" w:rsidRDefault="0038670D" w:rsidP="002471A5">
            <w:pPr>
              <w:pStyle w:val="SingleTxtG"/>
              <w:suppressAutoHyphens w:val="0"/>
              <w:spacing w:before="40" w:after="40" w:line="220" w:lineRule="exact"/>
              <w:ind w:left="0" w:right="0"/>
              <w:jc w:val="left"/>
              <w:rPr>
                <w:sz w:val="18"/>
                <w:lang w:val="fr-FR"/>
              </w:rPr>
            </w:pPr>
            <w:r w:rsidRPr="00174283">
              <w:rPr>
                <w:sz w:val="18"/>
                <w:lang w:val="fr-FR"/>
              </w:rPr>
              <w:t>6</w:t>
            </w:r>
          </w:p>
        </w:tc>
        <w:tc>
          <w:tcPr>
            <w:tcW w:w="804" w:type="dxa"/>
            <w:tcBorders>
              <w:bottom w:val="single" w:sz="4" w:space="0" w:color="auto"/>
            </w:tcBorders>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Stip</w:t>
            </w:r>
          </w:p>
        </w:tc>
        <w:tc>
          <w:tcPr>
            <w:tcW w:w="1701" w:type="dxa"/>
            <w:tcBorders>
              <w:bottom w:val="single" w:sz="4" w:space="0" w:color="auto"/>
            </w:tcBorders>
            <w:shd w:val="clear" w:color="auto" w:fill="auto"/>
            <w:vAlign w:val="bottom"/>
          </w:tcPr>
          <w:p w:rsidR="0038670D" w:rsidRPr="00174283" w:rsidRDefault="0038670D" w:rsidP="00C80393">
            <w:pPr>
              <w:suppressAutoHyphens w:val="0"/>
              <w:spacing w:before="40" w:after="40" w:line="220" w:lineRule="exact"/>
              <w:jc w:val="right"/>
              <w:rPr>
                <w:sz w:val="18"/>
                <w:lang w:val="fr-FR"/>
              </w:rPr>
            </w:pPr>
            <w:r w:rsidRPr="00174283">
              <w:rPr>
                <w:sz w:val="18"/>
                <w:lang w:val="fr-FR"/>
              </w:rPr>
              <w:t>Goce Delcev</w:t>
            </w:r>
          </w:p>
        </w:tc>
        <w:tc>
          <w:tcPr>
            <w:tcW w:w="1134" w:type="dxa"/>
            <w:tcBorders>
              <w:bottom w:val="single" w:sz="4" w:space="0" w:color="auto"/>
            </w:tcBorders>
            <w:shd w:val="clear" w:color="auto" w:fill="auto"/>
            <w:vAlign w:val="bottom"/>
          </w:tcPr>
          <w:p w:rsidR="0038670D" w:rsidRPr="00900FF9" w:rsidRDefault="0038670D" w:rsidP="0010148C">
            <w:pPr>
              <w:suppressAutoHyphens w:val="0"/>
              <w:spacing w:before="40" w:after="40" w:line="220" w:lineRule="exact"/>
              <w:jc w:val="right"/>
              <w:rPr>
                <w:b/>
                <w:bCs/>
                <w:sz w:val="18"/>
                <w:lang w:val="fr-FR"/>
              </w:rPr>
            </w:pPr>
            <w:r w:rsidRPr="00900FF9">
              <w:rPr>
                <w:b/>
                <w:bCs/>
                <w:sz w:val="18"/>
                <w:lang w:val="fr-FR"/>
              </w:rPr>
              <w:t>198</w:t>
            </w:r>
          </w:p>
        </w:tc>
        <w:tc>
          <w:tcPr>
            <w:tcW w:w="2211" w:type="dxa"/>
            <w:tcBorders>
              <w:bottom w:val="single" w:sz="4" w:space="0" w:color="auto"/>
            </w:tcBorders>
            <w:shd w:val="clear" w:color="auto" w:fill="auto"/>
            <w:vAlign w:val="bottom"/>
          </w:tcPr>
          <w:p w:rsidR="0038670D" w:rsidRPr="00174283" w:rsidRDefault="0038670D" w:rsidP="0010148C">
            <w:pPr>
              <w:suppressAutoHyphens w:val="0"/>
              <w:spacing w:before="40" w:after="40" w:line="220" w:lineRule="exact"/>
              <w:jc w:val="right"/>
              <w:rPr>
                <w:sz w:val="18"/>
                <w:lang w:val="fr-FR"/>
              </w:rPr>
            </w:pPr>
            <w:r w:rsidRPr="00174283">
              <w:rPr>
                <w:sz w:val="18"/>
                <w:lang w:val="fr-FR"/>
              </w:rPr>
              <w:t>21</w:t>
            </w:r>
          </w:p>
        </w:tc>
        <w:tc>
          <w:tcPr>
            <w:tcW w:w="765" w:type="dxa"/>
            <w:tcBorders>
              <w:bottom w:val="single" w:sz="4" w:space="0" w:color="auto"/>
            </w:tcBorders>
            <w:shd w:val="clear" w:color="auto" w:fill="auto"/>
            <w:vAlign w:val="bottom"/>
          </w:tcPr>
          <w:p w:rsidR="0038670D" w:rsidRPr="00174283" w:rsidRDefault="000E39E8" w:rsidP="0010148C">
            <w:pPr>
              <w:suppressAutoHyphens w:val="0"/>
              <w:spacing w:before="40" w:after="40" w:line="220" w:lineRule="exact"/>
              <w:jc w:val="right"/>
              <w:rPr>
                <w:sz w:val="18"/>
                <w:lang w:val="fr-FR"/>
              </w:rPr>
            </w:pPr>
            <w:r w:rsidRPr="00174283">
              <w:rPr>
                <w:sz w:val="18"/>
                <w:lang w:val="fr-FR"/>
              </w:rPr>
              <w:t>10,</w:t>
            </w:r>
            <w:r w:rsidR="0038670D" w:rsidRPr="00174283">
              <w:rPr>
                <w:sz w:val="18"/>
                <w:lang w:val="fr-FR"/>
              </w:rPr>
              <w:t>6</w:t>
            </w:r>
          </w:p>
        </w:tc>
      </w:tr>
      <w:tr w:rsidR="0038670D" w:rsidRPr="00174283" w:rsidTr="00900FF9">
        <w:tc>
          <w:tcPr>
            <w:tcW w:w="756" w:type="dxa"/>
            <w:tcBorders>
              <w:top w:val="single" w:sz="4" w:space="0" w:color="auto"/>
              <w:bottom w:val="single" w:sz="12" w:space="0" w:color="auto"/>
            </w:tcBorders>
            <w:shd w:val="clear" w:color="auto" w:fill="auto"/>
          </w:tcPr>
          <w:p w:rsidR="0038670D" w:rsidRPr="00174283" w:rsidRDefault="0038670D" w:rsidP="0010148C">
            <w:pPr>
              <w:pStyle w:val="SingleTxtG"/>
              <w:tabs>
                <w:tab w:val="left" w:pos="284"/>
              </w:tabs>
              <w:suppressAutoHyphens w:val="0"/>
              <w:spacing w:before="80" w:after="80" w:line="220" w:lineRule="exact"/>
              <w:ind w:left="0" w:right="0"/>
              <w:jc w:val="left"/>
              <w:rPr>
                <w:b/>
                <w:sz w:val="18"/>
                <w:lang w:val="fr-FR"/>
              </w:rPr>
            </w:pPr>
            <w:r w:rsidRPr="00174283">
              <w:rPr>
                <w:b/>
                <w:sz w:val="18"/>
                <w:lang w:val="fr-FR"/>
              </w:rPr>
              <w:tab/>
              <w:t>Total</w:t>
            </w:r>
          </w:p>
        </w:tc>
        <w:tc>
          <w:tcPr>
            <w:tcW w:w="804" w:type="dxa"/>
            <w:tcBorders>
              <w:top w:val="single" w:sz="4" w:space="0" w:color="auto"/>
              <w:bottom w:val="single" w:sz="12" w:space="0" w:color="auto"/>
            </w:tcBorders>
            <w:shd w:val="clear" w:color="auto" w:fill="auto"/>
            <w:vAlign w:val="center"/>
          </w:tcPr>
          <w:p w:rsidR="0038670D" w:rsidRPr="00174283" w:rsidRDefault="0038670D" w:rsidP="00C80393">
            <w:pPr>
              <w:suppressAutoHyphens w:val="0"/>
              <w:spacing w:before="80" w:after="80" w:line="220" w:lineRule="exact"/>
              <w:jc w:val="right"/>
              <w:rPr>
                <w:b/>
                <w:sz w:val="18"/>
                <w:lang w:val="fr-FR"/>
              </w:rPr>
            </w:pPr>
            <w:r w:rsidRPr="00174283">
              <w:rPr>
                <w:b/>
                <w:sz w:val="18"/>
                <w:lang w:val="fr-FR"/>
              </w:rPr>
              <w:t>4</w:t>
            </w:r>
          </w:p>
        </w:tc>
        <w:tc>
          <w:tcPr>
            <w:tcW w:w="1701" w:type="dxa"/>
            <w:tcBorders>
              <w:top w:val="single" w:sz="4" w:space="0" w:color="auto"/>
              <w:bottom w:val="single" w:sz="12" w:space="0" w:color="auto"/>
            </w:tcBorders>
            <w:shd w:val="clear" w:color="auto" w:fill="auto"/>
            <w:vAlign w:val="center"/>
          </w:tcPr>
          <w:p w:rsidR="0038670D" w:rsidRPr="00174283" w:rsidRDefault="0038670D" w:rsidP="00C80393">
            <w:pPr>
              <w:suppressAutoHyphens w:val="0"/>
              <w:spacing w:before="80" w:after="80" w:line="220" w:lineRule="exact"/>
              <w:jc w:val="right"/>
              <w:rPr>
                <w:b/>
                <w:sz w:val="18"/>
                <w:lang w:val="fr-FR"/>
              </w:rPr>
            </w:pPr>
            <w:r w:rsidRPr="00174283">
              <w:rPr>
                <w:b/>
                <w:sz w:val="18"/>
                <w:lang w:val="fr-FR"/>
              </w:rPr>
              <w:t>6</w:t>
            </w:r>
          </w:p>
        </w:tc>
        <w:tc>
          <w:tcPr>
            <w:tcW w:w="1134" w:type="dxa"/>
            <w:tcBorders>
              <w:top w:val="single" w:sz="4" w:space="0" w:color="auto"/>
              <w:bottom w:val="single" w:sz="12" w:space="0" w:color="auto"/>
            </w:tcBorders>
            <w:shd w:val="clear" w:color="auto" w:fill="auto"/>
            <w:vAlign w:val="bottom"/>
          </w:tcPr>
          <w:p w:rsidR="0038670D" w:rsidRPr="00174283" w:rsidRDefault="0038670D" w:rsidP="0010148C">
            <w:pPr>
              <w:suppressAutoHyphens w:val="0"/>
              <w:spacing w:before="80" w:after="80" w:line="220" w:lineRule="exact"/>
              <w:jc w:val="right"/>
              <w:rPr>
                <w:b/>
                <w:sz w:val="18"/>
                <w:lang w:val="fr-FR"/>
              </w:rPr>
            </w:pPr>
            <w:r w:rsidRPr="00174283">
              <w:rPr>
                <w:b/>
                <w:sz w:val="18"/>
                <w:lang w:val="fr-FR"/>
              </w:rPr>
              <w:t>2</w:t>
            </w:r>
            <w:r w:rsidR="003D6065" w:rsidRPr="00174283">
              <w:rPr>
                <w:b/>
                <w:sz w:val="18"/>
                <w:lang w:val="fr-FR"/>
              </w:rPr>
              <w:t xml:space="preserve"> </w:t>
            </w:r>
            <w:r w:rsidRPr="00174283">
              <w:rPr>
                <w:b/>
                <w:sz w:val="18"/>
                <w:lang w:val="fr-FR"/>
              </w:rPr>
              <w:t>761</w:t>
            </w:r>
          </w:p>
        </w:tc>
        <w:tc>
          <w:tcPr>
            <w:tcW w:w="2211" w:type="dxa"/>
            <w:tcBorders>
              <w:top w:val="single" w:sz="4" w:space="0" w:color="auto"/>
              <w:bottom w:val="single" w:sz="12" w:space="0" w:color="auto"/>
            </w:tcBorders>
            <w:shd w:val="clear" w:color="auto" w:fill="auto"/>
            <w:vAlign w:val="bottom"/>
          </w:tcPr>
          <w:p w:rsidR="0038670D" w:rsidRPr="00174283" w:rsidRDefault="0038670D" w:rsidP="0010148C">
            <w:pPr>
              <w:suppressAutoHyphens w:val="0"/>
              <w:spacing w:before="80" w:after="80" w:line="220" w:lineRule="exact"/>
              <w:jc w:val="right"/>
              <w:rPr>
                <w:b/>
                <w:sz w:val="18"/>
                <w:lang w:val="fr-FR"/>
              </w:rPr>
            </w:pPr>
            <w:r w:rsidRPr="00174283">
              <w:rPr>
                <w:b/>
                <w:sz w:val="18"/>
                <w:lang w:val="fr-FR"/>
              </w:rPr>
              <w:t>2</w:t>
            </w:r>
            <w:r w:rsidR="00C80393">
              <w:rPr>
                <w:b/>
                <w:sz w:val="18"/>
                <w:lang w:val="fr-FR"/>
              </w:rPr>
              <w:t xml:space="preserve"> </w:t>
            </w:r>
            <w:r w:rsidRPr="00174283">
              <w:rPr>
                <w:b/>
                <w:sz w:val="18"/>
                <w:lang w:val="fr-FR"/>
              </w:rPr>
              <w:t>191</w:t>
            </w:r>
          </w:p>
        </w:tc>
        <w:tc>
          <w:tcPr>
            <w:tcW w:w="765" w:type="dxa"/>
            <w:tcBorders>
              <w:top w:val="single" w:sz="4" w:space="0" w:color="auto"/>
              <w:bottom w:val="single" w:sz="12" w:space="0" w:color="auto"/>
            </w:tcBorders>
            <w:shd w:val="clear" w:color="auto" w:fill="auto"/>
            <w:vAlign w:val="bottom"/>
          </w:tcPr>
          <w:p w:rsidR="0038670D" w:rsidRPr="00174283" w:rsidRDefault="00C80393" w:rsidP="0010148C">
            <w:pPr>
              <w:suppressAutoHyphens w:val="0"/>
              <w:spacing w:before="80" w:after="80" w:line="220" w:lineRule="exact"/>
              <w:jc w:val="right"/>
              <w:rPr>
                <w:b/>
                <w:sz w:val="18"/>
                <w:lang w:val="fr-FR"/>
              </w:rPr>
            </w:pPr>
            <w:r>
              <w:rPr>
                <w:b/>
                <w:sz w:val="18"/>
                <w:lang w:val="fr-FR"/>
              </w:rPr>
              <w:t>79,</w:t>
            </w:r>
            <w:r w:rsidR="0038670D" w:rsidRPr="00174283">
              <w:rPr>
                <w:b/>
                <w:sz w:val="18"/>
                <w:lang w:val="fr-FR"/>
              </w:rPr>
              <w:t>3</w:t>
            </w:r>
            <w:r w:rsidR="002471A5">
              <w:rPr>
                <w:b/>
                <w:sz w:val="18"/>
                <w:lang w:val="fr-FR"/>
              </w:rPr>
              <w:t> </w:t>
            </w:r>
            <w:r w:rsidR="0038670D" w:rsidRPr="00174283">
              <w:rPr>
                <w:b/>
                <w:sz w:val="18"/>
                <w:lang w:val="fr-FR"/>
              </w:rPr>
              <w:t>%</w:t>
            </w:r>
          </w:p>
        </w:tc>
      </w:tr>
    </w:tbl>
    <w:p w:rsidR="0038670D" w:rsidRPr="00174283" w:rsidRDefault="000D7743" w:rsidP="00B22785">
      <w:pPr>
        <w:pStyle w:val="H23G"/>
        <w:rPr>
          <w:lang w:val="fr-FR"/>
        </w:rPr>
      </w:pPr>
      <w:r w:rsidRPr="00174283">
        <w:rPr>
          <w:lang w:val="fr-FR"/>
        </w:rPr>
        <w:tab/>
      </w:r>
      <w:r w:rsidR="003237C4" w:rsidRPr="00174283">
        <w:rPr>
          <w:lang w:val="fr-FR"/>
        </w:rPr>
        <w:t>4</w:t>
      </w:r>
      <w:r w:rsidR="00B22785" w:rsidRPr="00174283">
        <w:rPr>
          <w:lang w:val="fr-FR"/>
        </w:rPr>
        <w:t>.</w:t>
      </w:r>
      <w:r w:rsidRPr="00174283">
        <w:rPr>
          <w:lang w:val="fr-FR"/>
        </w:rPr>
        <w:tab/>
      </w:r>
      <w:r w:rsidR="000173E5" w:rsidRPr="00174283">
        <w:rPr>
          <w:lang w:val="fr-FR"/>
        </w:rPr>
        <w:t>Données statistiques</w:t>
      </w:r>
    </w:p>
    <w:p w:rsidR="00B9080E" w:rsidRPr="00174283" w:rsidRDefault="000D7743" w:rsidP="00C80393">
      <w:pPr>
        <w:pStyle w:val="SingleTxtG"/>
        <w:keepNext/>
        <w:jc w:val="left"/>
        <w:rPr>
          <w:b/>
          <w:lang w:val="fr-FR"/>
        </w:rPr>
      </w:pPr>
      <w:r w:rsidRPr="00174283">
        <w:rPr>
          <w:lang w:val="fr-FR"/>
        </w:rPr>
        <w:t>Table</w:t>
      </w:r>
      <w:r w:rsidR="000173E5" w:rsidRPr="00174283">
        <w:rPr>
          <w:lang w:val="fr-FR"/>
        </w:rPr>
        <w:t>au</w:t>
      </w:r>
      <w:r w:rsidRPr="00174283">
        <w:rPr>
          <w:lang w:val="fr-FR"/>
        </w:rPr>
        <w:t xml:space="preserve"> </w:t>
      </w:r>
      <w:r w:rsidR="00F612CD" w:rsidRPr="00174283">
        <w:rPr>
          <w:lang w:val="fr-FR"/>
        </w:rPr>
        <w:t>5</w:t>
      </w:r>
      <w:r w:rsidRPr="00174283">
        <w:rPr>
          <w:b/>
          <w:lang w:val="fr-FR"/>
        </w:rPr>
        <w:br/>
      </w:r>
      <w:r w:rsidR="000173E5" w:rsidRPr="00174283">
        <w:rPr>
          <w:b/>
          <w:lang w:val="fr-FR"/>
        </w:rPr>
        <w:t xml:space="preserve">Élèves roms </w:t>
      </w:r>
      <w:r w:rsidR="00234B76" w:rsidRPr="00174283">
        <w:rPr>
          <w:b/>
          <w:lang w:val="fr-FR"/>
        </w:rPr>
        <w:t>inscrits en</w:t>
      </w:r>
      <w:r w:rsidR="000173E5" w:rsidRPr="00174283">
        <w:rPr>
          <w:b/>
          <w:lang w:val="fr-FR"/>
        </w:rPr>
        <w:t xml:space="preserve"> première année </w:t>
      </w:r>
      <w:r w:rsidR="00A762BD" w:rsidRPr="00174283">
        <w:rPr>
          <w:b/>
          <w:lang w:val="fr-FR"/>
        </w:rPr>
        <w:t xml:space="preserve">du primaire </w:t>
      </w:r>
      <w:r w:rsidR="002721B1" w:rsidRPr="00174283">
        <w:rPr>
          <w:b/>
          <w:lang w:val="fr-FR"/>
        </w:rPr>
        <w:t xml:space="preserve">– Années scolaires </w:t>
      </w:r>
      <w:r w:rsidR="00B9080E" w:rsidRPr="00174283">
        <w:rPr>
          <w:b/>
          <w:lang w:val="fr-FR"/>
        </w:rPr>
        <w:t>2005/06</w:t>
      </w:r>
      <w:r w:rsidR="002721B1" w:rsidRPr="00174283">
        <w:rPr>
          <w:b/>
          <w:lang w:val="fr-FR"/>
        </w:rPr>
        <w:t xml:space="preserve"> à</w:t>
      </w:r>
      <w:r w:rsidR="00C80393">
        <w:rPr>
          <w:b/>
          <w:lang w:val="fr-FR"/>
        </w:rPr>
        <w:t> </w:t>
      </w:r>
      <w:r w:rsidR="00B9080E" w:rsidRPr="00174283">
        <w:rPr>
          <w:b/>
          <w:lang w:val="fr-FR"/>
        </w:rPr>
        <w:t>2010/</w:t>
      </w:r>
      <w:r w:rsidR="000173E5" w:rsidRPr="00174283">
        <w:rPr>
          <w:b/>
          <w:lang w:val="fr-FR"/>
        </w:rPr>
        <w:t>11</w:t>
      </w:r>
    </w:p>
    <w:tbl>
      <w:tblPr>
        <w:tblW w:w="7371" w:type="dxa"/>
        <w:tblInd w:w="1134" w:type="dxa"/>
        <w:tblBorders>
          <w:top w:val="single" w:sz="4" w:space="0" w:color="auto"/>
        </w:tblBorders>
        <w:tblLayout w:type="fixed"/>
        <w:tblCellMar>
          <w:left w:w="0" w:type="dxa"/>
          <w:right w:w="0" w:type="dxa"/>
        </w:tblCellMar>
        <w:tblLook w:val="04A0"/>
      </w:tblPr>
      <w:tblGrid>
        <w:gridCol w:w="852"/>
        <w:gridCol w:w="1417"/>
        <w:gridCol w:w="1418"/>
        <w:gridCol w:w="1559"/>
        <w:gridCol w:w="2125"/>
      </w:tblGrid>
      <w:tr w:rsidR="005F0530" w:rsidRPr="00174283" w:rsidTr="0010148C">
        <w:trPr>
          <w:tblHeader/>
        </w:trPr>
        <w:tc>
          <w:tcPr>
            <w:tcW w:w="852" w:type="dxa"/>
            <w:tcBorders>
              <w:top w:val="single" w:sz="4" w:space="0" w:color="auto"/>
              <w:bottom w:val="single" w:sz="12" w:space="0" w:color="auto"/>
            </w:tcBorders>
            <w:shd w:val="clear" w:color="auto" w:fill="auto"/>
            <w:vAlign w:val="bottom"/>
          </w:tcPr>
          <w:p w:rsidR="005F0530" w:rsidRPr="00174283" w:rsidRDefault="000173E5" w:rsidP="0010148C">
            <w:pPr>
              <w:pStyle w:val="SingleTxtG"/>
              <w:suppressAutoHyphens w:val="0"/>
              <w:spacing w:before="80" w:after="80" w:line="200" w:lineRule="exact"/>
              <w:ind w:left="0" w:right="0"/>
              <w:jc w:val="left"/>
              <w:rPr>
                <w:i/>
                <w:sz w:val="16"/>
                <w:lang w:val="fr-FR"/>
              </w:rPr>
            </w:pPr>
            <w:r w:rsidRPr="00174283">
              <w:rPr>
                <w:i/>
                <w:sz w:val="16"/>
                <w:lang w:val="fr-FR"/>
              </w:rPr>
              <w:t>N</w:t>
            </w:r>
            <w:r w:rsidRPr="00174283">
              <w:rPr>
                <w:i/>
                <w:sz w:val="16"/>
                <w:vertAlign w:val="superscript"/>
                <w:lang w:val="fr-FR"/>
              </w:rPr>
              <w:t>o</w:t>
            </w:r>
          </w:p>
        </w:tc>
        <w:tc>
          <w:tcPr>
            <w:tcW w:w="1417" w:type="dxa"/>
            <w:tcBorders>
              <w:top w:val="single" w:sz="4" w:space="0" w:color="auto"/>
              <w:bottom w:val="single" w:sz="12" w:space="0" w:color="auto"/>
            </w:tcBorders>
            <w:shd w:val="clear" w:color="auto" w:fill="auto"/>
            <w:vAlign w:val="bottom"/>
          </w:tcPr>
          <w:p w:rsidR="005F0530" w:rsidRPr="00174283" w:rsidRDefault="000173E5" w:rsidP="0010148C">
            <w:pPr>
              <w:pStyle w:val="SingleTxtG"/>
              <w:suppressAutoHyphens w:val="0"/>
              <w:spacing w:before="80" w:after="80" w:line="200" w:lineRule="exact"/>
              <w:ind w:left="0" w:right="0"/>
              <w:jc w:val="right"/>
              <w:rPr>
                <w:i/>
                <w:sz w:val="16"/>
                <w:lang w:val="fr-FR"/>
              </w:rPr>
            </w:pPr>
            <w:r w:rsidRPr="00174283">
              <w:rPr>
                <w:i/>
                <w:sz w:val="16"/>
                <w:lang w:val="fr-FR"/>
              </w:rPr>
              <w:t>Année scolaire</w:t>
            </w:r>
          </w:p>
        </w:tc>
        <w:tc>
          <w:tcPr>
            <w:tcW w:w="1418" w:type="dxa"/>
            <w:tcBorders>
              <w:top w:val="single" w:sz="4" w:space="0" w:color="auto"/>
              <w:bottom w:val="single" w:sz="12" w:space="0" w:color="auto"/>
            </w:tcBorders>
            <w:shd w:val="clear" w:color="auto" w:fill="auto"/>
            <w:vAlign w:val="bottom"/>
          </w:tcPr>
          <w:p w:rsidR="005F0530" w:rsidRPr="00174283" w:rsidRDefault="001E5012" w:rsidP="0010148C">
            <w:pPr>
              <w:pStyle w:val="SingleTxtG"/>
              <w:suppressAutoHyphens w:val="0"/>
              <w:spacing w:before="80" w:after="80" w:line="200" w:lineRule="exact"/>
              <w:ind w:left="0" w:right="0"/>
              <w:jc w:val="right"/>
              <w:rPr>
                <w:i/>
                <w:sz w:val="16"/>
                <w:lang w:val="fr-FR"/>
              </w:rPr>
            </w:pPr>
            <w:r w:rsidRPr="00174283">
              <w:rPr>
                <w:i/>
                <w:sz w:val="16"/>
                <w:lang w:val="fr-FR"/>
              </w:rPr>
              <w:t>Garçons</w:t>
            </w:r>
          </w:p>
        </w:tc>
        <w:tc>
          <w:tcPr>
            <w:tcW w:w="1559" w:type="dxa"/>
            <w:tcBorders>
              <w:top w:val="single" w:sz="4" w:space="0" w:color="auto"/>
              <w:bottom w:val="single" w:sz="12" w:space="0" w:color="auto"/>
            </w:tcBorders>
            <w:shd w:val="clear" w:color="auto" w:fill="auto"/>
            <w:vAlign w:val="bottom"/>
          </w:tcPr>
          <w:p w:rsidR="005F0530" w:rsidRPr="00174283" w:rsidRDefault="000173E5" w:rsidP="0010148C">
            <w:pPr>
              <w:pStyle w:val="SingleTxtG"/>
              <w:suppressAutoHyphens w:val="0"/>
              <w:spacing w:before="80" w:after="80" w:line="200" w:lineRule="exact"/>
              <w:ind w:left="0" w:right="0"/>
              <w:jc w:val="right"/>
              <w:rPr>
                <w:i/>
                <w:sz w:val="16"/>
                <w:lang w:val="fr-FR"/>
              </w:rPr>
            </w:pPr>
            <w:r w:rsidRPr="00174283">
              <w:rPr>
                <w:i/>
                <w:sz w:val="16"/>
                <w:lang w:val="fr-FR"/>
              </w:rPr>
              <w:t>Filles</w:t>
            </w:r>
          </w:p>
        </w:tc>
        <w:tc>
          <w:tcPr>
            <w:tcW w:w="2125" w:type="dxa"/>
            <w:tcBorders>
              <w:top w:val="single" w:sz="4" w:space="0" w:color="auto"/>
              <w:bottom w:val="single" w:sz="12" w:space="0" w:color="auto"/>
            </w:tcBorders>
            <w:shd w:val="clear" w:color="auto" w:fill="auto"/>
            <w:vAlign w:val="bottom"/>
          </w:tcPr>
          <w:p w:rsidR="005F0530" w:rsidRPr="00900FF9" w:rsidRDefault="000173E5" w:rsidP="0010148C">
            <w:pPr>
              <w:pStyle w:val="SingleTxtG"/>
              <w:suppressAutoHyphens w:val="0"/>
              <w:spacing w:before="80" w:after="80" w:line="200" w:lineRule="exact"/>
              <w:ind w:left="0" w:right="0"/>
              <w:jc w:val="right"/>
              <w:rPr>
                <w:b/>
                <w:bCs/>
                <w:i/>
                <w:sz w:val="16"/>
                <w:lang w:val="fr-FR"/>
              </w:rPr>
            </w:pPr>
            <w:r w:rsidRPr="00900FF9">
              <w:rPr>
                <w:b/>
                <w:bCs/>
                <w:i/>
                <w:sz w:val="16"/>
                <w:lang w:val="fr-FR"/>
              </w:rPr>
              <w:t xml:space="preserve">Nombre total </w:t>
            </w:r>
            <w:r w:rsidR="00D439B3" w:rsidRPr="00900FF9">
              <w:rPr>
                <w:b/>
                <w:bCs/>
                <w:i/>
                <w:sz w:val="16"/>
                <w:lang w:val="fr-FR"/>
              </w:rPr>
              <w:t>d</w:t>
            </w:r>
            <w:r w:rsidR="00205A62">
              <w:rPr>
                <w:b/>
                <w:bCs/>
                <w:i/>
                <w:sz w:val="16"/>
                <w:lang w:val="fr-FR"/>
              </w:rPr>
              <w:t>’</w:t>
            </w:r>
            <w:r w:rsidR="00D439B3" w:rsidRPr="00900FF9">
              <w:rPr>
                <w:b/>
                <w:bCs/>
                <w:i/>
                <w:sz w:val="16"/>
                <w:lang w:val="fr-FR"/>
              </w:rPr>
              <w:t>élèves de première année</w:t>
            </w:r>
          </w:p>
        </w:tc>
      </w:tr>
      <w:tr w:rsidR="005F0530" w:rsidRPr="00174283" w:rsidTr="002471A5">
        <w:tc>
          <w:tcPr>
            <w:tcW w:w="852" w:type="dxa"/>
            <w:tcBorders>
              <w:top w:val="single" w:sz="12" w:space="0" w:color="auto"/>
            </w:tcBorders>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1</w:t>
            </w:r>
          </w:p>
        </w:tc>
        <w:tc>
          <w:tcPr>
            <w:tcW w:w="1417" w:type="dxa"/>
            <w:tcBorders>
              <w:top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2005/06</w:t>
            </w:r>
          </w:p>
        </w:tc>
        <w:tc>
          <w:tcPr>
            <w:tcW w:w="1418" w:type="dxa"/>
            <w:tcBorders>
              <w:top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685</w:t>
            </w:r>
          </w:p>
        </w:tc>
        <w:tc>
          <w:tcPr>
            <w:tcW w:w="1559" w:type="dxa"/>
            <w:tcBorders>
              <w:top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671</w:t>
            </w:r>
          </w:p>
        </w:tc>
        <w:tc>
          <w:tcPr>
            <w:tcW w:w="2125" w:type="dxa"/>
            <w:tcBorders>
              <w:top w:val="single" w:sz="12" w:space="0" w:color="auto"/>
            </w:tcBorders>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356</w:t>
            </w:r>
          </w:p>
        </w:tc>
      </w:tr>
      <w:tr w:rsidR="005F0530" w:rsidRPr="00174283" w:rsidTr="002471A5">
        <w:tc>
          <w:tcPr>
            <w:tcW w:w="852"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2</w:t>
            </w:r>
          </w:p>
        </w:tc>
        <w:tc>
          <w:tcPr>
            <w:tcW w:w="1417"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2006/07</w:t>
            </w:r>
          </w:p>
        </w:tc>
        <w:tc>
          <w:tcPr>
            <w:tcW w:w="1418"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715</w:t>
            </w:r>
          </w:p>
        </w:tc>
        <w:tc>
          <w:tcPr>
            <w:tcW w:w="1559"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654</w:t>
            </w:r>
          </w:p>
        </w:tc>
        <w:tc>
          <w:tcPr>
            <w:tcW w:w="2125" w:type="dxa"/>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369</w:t>
            </w:r>
          </w:p>
        </w:tc>
      </w:tr>
      <w:tr w:rsidR="005F0530" w:rsidRPr="00174283" w:rsidTr="002471A5">
        <w:tc>
          <w:tcPr>
            <w:tcW w:w="852"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3</w:t>
            </w:r>
          </w:p>
        </w:tc>
        <w:tc>
          <w:tcPr>
            <w:tcW w:w="1417"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2007/08</w:t>
            </w:r>
          </w:p>
        </w:tc>
        <w:tc>
          <w:tcPr>
            <w:tcW w:w="1418"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782</w:t>
            </w:r>
          </w:p>
        </w:tc>
        <w:tc>
          <w:tcPr>
            <w:tcW w:w="1559"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699</w:t>
            </w:r>
          </w:p>
        </w:tc>
        <w:tc>
          <w:tcPr>
            <w:tcW w:w="2125" w:type="dxa"/>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481</w:t>
            </w:r>
          </w:p>
        </w:tc>
      </w:tr>
      <w:tr w:rsidR="005F0530" w:rsidRPr="00174283" w:rsidTr="002471A5">
        <w:tc>
          <w:tcPr>
            <w:tcW w:w="852"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4</w:t>
            </w:r>
          </w:p>
        </w:tc>
        <w:tc>
          <w:tcPr>
            <w:tcW w:w="1417"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2008/09</w:t>
            </w:r>
          </w:p>
        </w:tc>
        <w:tc>
          <w:tcPr>
            <w:tcW w:w="1418"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839</w:t>
            </w:r>
          </w:p>
        </w:tc>
        <w:tc>
          <w:tcPr>
            <w:tcW w:w="1559"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833</w:t>
            </w:r>
          </w:p>
        </w:tc>
        <w:tc>
          <w:tcPr>
            <w:tcW w:w="2125" w:type="dxa"/>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672</w:t>
            </w:r>
          </w:p>
        </w:tc>
      </w:tr>
      <w:tr w:rsidR="005F0530" w:rsidRPr="00174283" w:rsidTr="002471A5">
        <w:tc>
          <w:tcPr>
            <w:tcW w:w="852"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5</w:t>
            </w:r>
          </w:p>
        </w:tc>
        <w:tc>
          <w:tcPr>
            <w:tcW w:w="1417"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2009/10</w:t>
            </w:r>
          </w:p>
        </w:tc>
        <w:tc>
          <w:tcPr>
            <w:tcW w:w="1418"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754</w:t>
            </w:r>
          </w:p>
        </w:tc>
        <w:tc>
          <w:tcPr>
            <w:tcW w:w="1559" w:type="dxa"/>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729</w:t>
            </w:r>
          </w:p>
        </w:tc>
        <w:tc>
          <w:tcPr>
            <w:tcW w:w="2125" w:type="dxa"/>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483</w:t>
            </w:r>
          </w:p>
        </w:tc>
      </w:tr>
      <w:tr w:rsidR="005F0530" w:rsidRPr="00174283" w:rsidTr="002471A5">
        <w:tc>
          <w:tcPr>
            <w:tcW w:w="852" w:type="dxa"/>
            <w:tcBorders>
              <w:bottom w:val="single" w:sz="12" w:space="0" w:color="auto"/>
            </w:tcBorders>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lang w:val="fr-FR"/>
              </w:rPr>
            </w:pPr>
            <w:r w:rsidRPr="00174283">
              <w:rPr>
                <w:sz w:val="18"/>
                <w:lang w:val="fr-FR"/>
              </w:rPr>
              <w:t>6</w:t>
            </w:r>
          </w:p>
        </w:tc>
        <w:tc>
          <w:tcPr>
            <w:tcW w:w="1417" w:type="dxa"/>
            <w:tcBorders>
              <w:bottom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2010/11</w:t>
            </w:r>
          </w:p>
        </w:tc>
        <w:tc>
          <w:tcPr>
            <w:tcW w:w="1418" w:type="dxa"/>
            <w:tcBorders>
              <w:bottom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716</w:t>
            </w:r>
          </w:p>
        </w:tc>
        <w:tc>
          <w:tcPr>
            <w:tcW w:w="1559" w:type="dxa"/>
            <w:tcBorders>
              <w:bottom w:val="single" w:sz="12" w:space="0" w:color="auto"/>
            </w:tcBorders>
            <w:shd w:val="clear" w:color="auto" w:fill="auto"/>
            <w:vAlign w:val="bottom"/>
          </w:tcPr>
          <w:p w:rsidR="005F0530" w:rsidRPr="00174283" w:rsidRDefault="005F0530" w:rsidP="0010148C">
            <w:pPr>
              <w:suppressAutoHyphens w:val="0"/>
              <w:spacing w:before="40" w:after="40" w:line="220" w:lineRule="exact"/>
              <w:jc w:val="right"/>
              <w:rPr>
                <w:sz w:val="18"/>
                <w:lang w:val="fr-FR"/>
              </w:rPr>
            </w:pPr>
            <w:r w:rsidRPr="00174283">
              <w:rPr>
                <w:sz w:val="18"/>
                <w:lang w:val="fr-FR"/>
              </w:rPr>
              <w:t>605</w:t>
            </w:r>
          </w:p>
        </w:tc>
        <w:tc>
          <w:tcPr>
            <w:tcW w:w="2125" w:type="dxa"/>
            <w:tcBorders>
              <w:bottom w:val="single" w:sz="12" w:space="0" w:color="auto"/>
            </w:tcBorders>
            <w:shd w:val="clear" w:color="auto" w:fill="auto"/>
            <w:vAlign w:val="bottom"/>
          </w:tcPr>
          <w:p w:rsidR="005F0530" w:rsidRPr="00900FF9" w:rsidRDefault="005F0530" w:rsidP="0010148C">
            <w:pPr>
              <w:suppressAutoHyphens w:val="0"/>
              <w:spacing w:before="40" w:after="40" w:line="220" w:lineRule="exact"/>
              <w:jc w:val="right"/>
              <w:rPr>
                <w:b/>
                <w:bCs/>
                <w:sz w:val="18"/>
                <w:lang w:val="fr-FR"/>
              </w:rPr>
            </w:pPr>
            <w:r w:rsidRPr="00900FF9">
              <w:rPr>
                <w:b/>
                <w:bCs/>
                <w:sz w:val="18"/>
                <w:lang w:val="fr-FR"/>
              </w:rPr>
              <w:t>1</w:t>
            </w:r>
            <w:r w:rsidR="003D6065" w:rsidRPr="00900FF9">
              <w:rPr>
                <w:b/>
                <w:bCs/>
                <w:sz w:val="18"/>
                <w:lang w:val="fr-FR"/>
              </w:rPr>
              <w:t xml:space="preserve"> </w:t>
            </w:r>
            <w:r w:rsidRPr="00900FF9">
              <w:rPr>
                <w:b/>
                <w:bCs/>
                <w:sz w:val="18"/>
                <w:lang w:val="fr-FR"/>
              </w:rPr>
              <w:t>321</w:t>
            </w:r>
          </w:p>
        </w:tc>
      </w:tr>
    </w:tbl>
    <w:p w:rsidR="00B9080E" w:rsidRPr="00174283" w:rsidRDefault="000D7743" w:rsidP="005F0530">
      <w:pPr>
        <w:pStyle w:val="SingleTxtG"/>
        <w:keepNext/>
        <w:spacing w:before="240"/>
        <w:jc w:val="left"/>
        <w:rPr>
          <w:b/>
          <w:lang w:val="fr-FR"/>
        </w:rPr>
      </w:pPr>
      <w:r w:rsidRPr="00174283">
        <w:rPr>
          <w:lang w:val="fr-FR"/>
        </w:rPr>
        <w:t>Table</w:t>
      </w:r>
      <w:r w:rsidR="00D439B3" w:rsidRPr="00174283">
        <w:rPr>
          <w:lang w:val="fr-FR"/>
        </w:rPr>
        <w:t>au</w:t>
      </w:r>
      <w:r w:rsidRPr="00174283">
        <w:rPr>
          <w:lang w:val="fr-FR"/>
        </w:rPr>
        <w:t xml:space="preserve"> </w:t>
      </w:r>
      <w:r w:rsidR="00F612CD" w:rsidRPr="00174283">
        <w:rPr>
          <w:lang w:val="fr-FR"/>
        </w:rPr>
        <w:t>6</w:t>
      </w:r>
      <w:r w:rsidRPr="00174283">
        <w:rPr>
          <w:b/>
          <w:lang w:val="fr-FR"/>
        </w:rPr>
        <w:br/>
      </w:r>
      <w:r w:rsidR="00D439B3" w:rsidRPr="00174283">
        <w:rPr>
          <w:b/>
          <w:lang w:val="fr-FR"/>
        </w:rPr>
        <w:t xml:space="preserve">Élèves roms </w:t>
      </w:r>
      <w:r w:rsidR="00234B76" w:rsidRPr="00174283">
        <w:rPr>
          <w:b/>
          <w:lang w:val="fr-FR"/>
        </w:rPr>
        <w:t xml:space="preserve">inscrits </w:t>
      </w:r>
      <w:r w:rsidR="00D439B3" w:rsidRPr="00174283">
        <w:rPr>
          <w:b/>
          <w:lang w:val="fr-FR"/>
        </w:rPr>
        <w:t>dans l</w:t>
      </w:r>
      <w:r w:rsidR="00205A62">
        <w:rPr>
          <w:b/>
          <w:lang w:val="fr-FR"/>
        </w:rPr>
        <w:t>’</w:t>
      </w:r>
      <w:r w:rsidR="00D439B3" w:rsidRPr="00174283">
        <w:rPr>
          <w:b/>
          <w:lang w:val="fr-FR"/>
        </w:rPr>
        <w:t>enseignement primaire</w:t>
      </w:r>
      <w:r w:rsidR="001E1575">
        <w:rPr>
          <w:b/>
          <w:lang w:val="fr-FR"/>
        </w:rPr>
        <w:t xml:space="preserve"> – </w:t>
      </w:r>
      <w:r w:rsidR="002721B1" w:rsidRPr="00174283">
        <w:rPr>
          <w:b/>
          <w:lang w:val="fr-FR"/>
        </w:rPr>
        <w:t xml:space="preserve">Années scolaires </w:t>
      </w:r>
      <w:r w:rsidR="00B9080E" w:rsidRPr="00174283">
        <w:rPr>
          <w:b/>
          <w:lang w:val="fr-FR"/>
        </w:rPr>
        <w:t xml:space="preserve">2005/06 </w:t>
      </w:r>
      <w:r w:rsidR="00D439B3" w:rsidRPr="00174283">
        <w:rPr>
          <w:b/>
          <w:lang w:val="fr-FR"/>
        </w:rPr>
        <w:t>à 2010/11</w:t>
      </w:r>
    </w:p>
    <w:tbl>
      <w:tblPr>
        <w:tblW w:w="0" w:type="auto"/>
        <w:tblInd w:w="1134" w:type="dxa"/>
        <w:tblBorders>
          <w:top w:val="single" w:sz="4" w:space="0" w:color="auto"/>
        </w:tblBorders>
        <w:tblLayout w:type="fixed"/>
        <w:tblCellMar>
          <w:left w:w="0" w:type="dxa"/>
          <w:right w:w="0" w:type="dxa"/>
        </w:tblCellMar>
        <w:tblLook w:val="04A0"/>
      </w:tblPr>
      <w:tblGrid>
        <w:gridCol w:w="851"/>
        <w:gridCol w:w="1417"/>
        <w:gridCol w:w="1418"/>
        <w:gridCol w:w="1417"/>
        <w:gridCol w:w="2267"/>
      </w:tblGrid>
      <w:tr w:rsidR="005F0530" w:rsidRPr="00174283" w:rsidTr="00900FF9">
        <w:trPr>
          <w:tblHeader/>
        </w:trPr>
        <w:tc>
          <w:tcPr>
            <w:tcW w:w="851" w:type="dxa"/>
            <w:tcBorders>
              <w:top w:val="single" w:sz="4" w:space="0" w:color="auto"/>
              <w:bottom w:val="single" w:sz="12" w:space="0" w:color="auto"/>
            </w:tcBorders>
            <w:shd w:val="clear" w:color="auto" w:fill="auto"/>
            <w:vAlign w:val="bottom"/>
          </w:tcPr>
          <w:p w:rsidR="005F0530" w:rsidRPr="00174283" w:rsidRDefault="005F0530" w:rsidP="00ED433F">
            <w:pPr>
              <w:pStyle w:val="SingleTxtG"/>
              <w:keepNext/>
              <w:suppressAutoHyphens w:val="0"/>
              <w:spacing w:before="80" w:after="80" w:line="200" w:lineRule="exact"/>
              <w:ind w:left="0" w:right="0"/>
              <w:jc w:val="left"/>
              <w:rPr>
                <w:i/>
                <w:sz w:val="16"/>
                <w:lang w:val="fr-FR"/>
              </w:rPr>
            </w:pPr>
            <w:r w:rsidRPr="00174283">
              <w:rPr>
                <w:i/>
                <w:sz w:val="16"/>
                <w:lang w:val="fr-FR"/>
              </w:rPr>
              <w:t>N</w:t>
            </w:r>
            <w:r w:rsidRPr="00174283">
              <w:rPr>
                <w:i/>
                <w:sz w:val="16"/>
                <w:vertAlign w:val="superscript"/>
                <w:lang w:val="fr-FR"/>
              </w:rPr>
              <w:t>o</w:t>
            </w:r>
          </w:p>
        </w:tc>
        <w:tc>
          <w:tcPr>
            <w:tcW w:w="1417" w:type="dxa"/>
            <w:tcBorders>
              <w:top w:val="single" w:sz="4" w:space="0" w:color="auto"/>
              <w:bottom w:val="single" w:sz="12" w:space="0" w:color="auto"/>
            </w:tcBorders>
            <w:shd w:val="clear" w:color="auto" w:fill="auto"/>
            <w:vAlign w:val="bottom"/>
          </w:tcPr>
          <w:p w:rsidR="005F0530" w:rsidRPr="00174283" w:rsidRDefault="00D439B3" w:rsidP="00ED433F">
            <w:pPr>
              <w:pStyle w:val="SingleTxtG"/>
              <w:keepNext/>
              <w:suppressAutoHyphens w:val="0"/>
              <w:spacing w:before="80" w:after="80" w:line="200" w:lineRule="exact"/>
              <w:ind w:left="0" w:right="0"/>
              <w:jc w:val="right"/>
              <w:rPr>
                <w:i/>
                <w:sz w:val="16"/>
                <w:lang w:val="fr-FR"/>
              </w:rPr>
            </w:pPr>
            <w:r w:rsidRPr="00174283">
              <w:rPr>
                <w:i/>
                <w:sz w:val="16"/>
                <w:lang w:val="fr-FR"/>
              </w:rPr>
              <w:t>Année scolaire</w:t>
            </w:r>
          </w:p>
        </w:tc>
        <w:tc>
          <w:tcPr>
            <w:tcW w:w="1418" w:type="dxa"/>
            <w:tcBorders>
              <w:top w:val="single" w:sz="4" w:space="0" w:color="auto"/>
              <w:bottom w:val="single" w:sz="12" w:space="0" w:color="auto"/>
            </w:tcBorders>
            <w:shd w:val="clear" w:color="auto" w:fill="auto"/>
            <w:vAlign w:val="bottom"/>
          </w:tcPr>
          <w:p w:rsidR="005F0530" w:rsidRPr="00174283" w:rsidRDefault="00D439B3" w:rsidP="00ED433F">
            <w:pPr>
              <w:pStyle w:val="SingleTxtG"/>
              <w:keepNext/>
              <w:suppressAutoHyphens w:val="0"/>
              <w:spacing w:before="80" w:after="80" w:line="200" w:lineRule="exact"/>
              <w:ind w:left="0" w:right="0"/>
              <w:jc w:val="right"/>
              <w:rPr>
                <w:i/>
                <w:sz w:val="16"/>
                <w:lang w:val="fr-FR"/>
              </w:rPr>
            </w:pPr>
            <w:r w:rsidRPr="00174283">
              <w:rPr>
                <w:i/>
                <w:sz w:val="16"/>
                <w:lang w:val="fr-FR"/>
              </w:rPr>
              <w:t>Garçons</w:t>
            </w:r>
          </w:p>
        </w:tc>
        <w:tc>
          <w:tcPr>
            <w:tcW w:w="1417" w:type="dxa"/>
            <w:tcBorders>
              <w:top w:val="single" w:sz="4" w:space="0" w:color="auto"/>
              <w:bottom w:val="single" w:sz="12" w:space="0" w:color="auto"/>
            </w:tcBorders>
            <w:shd w:val="clear" w:color="auto" w:fill="auto"/>
            <w:vAlign w:val="bottom"/>
          </w:tcPr>
          <w:p w:rsidR="005F0530" w:rsidRPr="00174283" w:rsidRDefault="00D439B3" w:rsidP="00ED433F">
            <w:pPr>
              <w:pStyle w:val="SingleTxtG"/>
              <w:keepNext/>
              <w:suppressAutoHyphens w:val="0"/>
              <w:spacing w:before="80" w:after="80" w:line="200" w:lineRule="exact"/>
              <w:ind w:left="0" w:right="0"/>
              <w:jc w:val="right"/>
              <w:rPr>
                <w:i/>
                <w:sz w:val="16"/>
                <w:lang w:val="fr-FR"/>
              </w:rPr>
            </w:pPr>
            <w:r w:rsidRPr="00174283">
              <w:rPr>
                <w:i/>
                <w:sz w:val="16"/>
                <w:lang w:val="fr-FR"/>
              </w:rPr>
              <w:t>Filles</w:t>
            </w:r>
          </w:p>
        </w:tc>
        <w:tc>
          <w:tcPr>
            <w:tcW w:w="2267" w:type="dxa"/>
            <w:tcBorders>
              <w:top w:val="single" w:sz="4" w:space="0" w:color="auto"/>
              <w:bottom w:val="single" w:sz="12" w:space="0" w:color="auto"/>
            </w:tcBorders>
            <w:shd w:val="clear" w:color="auto" w:fill="auto"/>
            <w:vAlign w:val="bottom"/>
          </w:tcPr>
          <w:p w:rsidR="005F0530" w:rsidRPr="00900FF9" w:rsidRDefault="00D439B3" w:rsidP="00ED433F">
            <w:pPr>
              <w:pStyle w:val="SingleTxtG"/>
              <w:keepNext/>
              <w:suppressAutoHyphens w:val="0"/>
              <w:spacing w:before="80" w:after="80" w:line="200" w:lineRule="exact"/>
              <w:ind w:left="0" w:right="0"/>
              <w:jc w:val="right"/>
              <w:rPr>
                <w:b/>
                <w:bCs/>
                <w:i/>
                <w:sz w:val="16"/>
                <w:szCs w:val="16"/>
                <w:lang w:val="fr-FR"/>
              </w:rPr>
            </w:pPr>
            <w:r w:rsidRPr="00900FF9">
              <w:rPr>
                <w:b/>
                <w:bCs/>
                <w:i/>
                <w:sz w:val="16"/>
                <w:szCs w:val="16"/>
                <w:lang w:val="fr-FR"/>
              </w:rPr>
              <w:t>Nombre total d</w:t>
            </w:r>
            <w:r w:rsidR="00205A62">
              <w:rPr>
                <w:b/>
                <w:bCs/>
                <w:i/>
                <w:sz w:val="16"/>
                <w:szCs w:val="16"/>
                <w:lang w:val="fr-FR"/>
              </w:rPr>
              <w:t>’</w:t>
            </w:r>
            <w:r w:rsidRPr="00900FF9">
              <w:rPr>
                <w:b/>
                <w:bCs/>
                <w:i/>
                <w:sz w:val="16"/>
                <w:szCs w:val="16"/>
                <w:lang w:val="fr-FR"/>
              </w:rPr>
              <w:t>élèves roms</w:t>
            </w:r>
          </w:p>
        </w:tc>
      </w:tr>
      <w:tr w:rsidR="005F0530" w:rsidRPr="00174283" w:rsidTr="002471A5">
        <w:tc>
          <w:tcPr>
            <w:tcW w:w="851" w:type="dxa"/>
            <w:tcBorders>
              <w:top w:val="single" w:sz="12" w:space="0" w:color="auto"/>
            </w:tcBorders>
            <w:shd w:val="clear" w:color="auto" w:fill="auto"/>
            <w:vAlign w:val="bottom"/>
          </w:tcPr>
          <w:p w:rsidR="005F0530" w:rsidRPr="00174283" w:rsidRDefault="005F0530" w:rsidP="002471A5">
            <w:pPr>
              <w:pStyle w:val="SingleTxtG"/>
              <w:keepNext/>
              <w:suppressAutoHyphens w:val="0"/>
              <w:spacing w:before="40" w:after="40" w:line="220" w:lineRule="exact"/>
              <w:ind w:left="0" w:right="0"/>
              <w:jc w:val="left"/>
              <w:rPr>
                <w:sz w:val="18"/>
                <w:szCs w:val="18"/>
                <w:lang w:val="fr-FR"/>
              </w:rPr>
            </w:pPr>
            <w:r w:rsidRPr="00174283">
              <w:rPr>
                <w:sz w:val="18"/>
                <w:szCs w:val="18"/>
                <w:lang w:val="fr-FR"/>
              </w:rPr>
              <w:t>1</w:t>
            </w:r>
          </w:p>
        </w:tc>
        <w:tc>
          <w:tcPr>
            <w:tcW w:w="1417" w:type="dxa"/>
            <w:tcBorders>
              <w:top w:val="single" w:sz="12" w:space="0" w:color="auto"/>
            </w:tcBorders>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2005/06</w:t>
            </w:r>
          </w:p>
        </w:tc>
        <w:tc>
          <w:tcPr>
            <w:tcW w:w="1418" w:type="dxa"/>
            <w:tcBorders>
              <w:top w:val="single" w:sz="12" w:space="0" w:color="auto"/>
            </w:tcBorders>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4</w:t>
            </w:r>
            <w:r w:rsidR="003D6065" w:rsidRPr="00174283">
              <w:rPr>
                <w:sz w:val="18"/>
                <w:szCs w:val="18"/>
                <w:lang w:val="fr-FR"/>
              </w:rPr>
              <w:t xml:space="preserve"> </w:t>
            </w:r>
            <w:r w:rsidRPr="00174283">
              <w:rPr>
                <w:sz w:val="18"/>
                <w:szCs w:val="18"/>
                <w:lang w:val="fr-FR"/>
              </w:rPr>
              <w:t>469</w:t>
            </w:r>
          </w:p>
        </w:tc>
        <w:tc>
          <w:tcPr>
            <w:tcW w:w="1417" w:type="dxa"/>
            <w:tcBorders>
              <w:top w:val="single" w:sz="12" w:space="0" w:color="auto"/>
            </w:tcBorders>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3</w:t>
            </w:r>
            <w:r w:rsidR="003D6065" w:rsidRPr="00174283">
              <w:rPr>
                <w:sz w:val="18"/>
                <w:szCs w:val="18"/>
                <w:lang w:val="fr-FR"/>
              </w:rPr>
              <w:t xml:space="preserve"> </w:t>
            </w:r>
            <w:r w:rsidRPr="00174283">
              <w:rPr>
                <w:sz w:val="18"/>
                <w:szCs w:val="18"/>
                <w:lang w:val="fr-FR"/>
              </w:rPr>
              <w:t>940</w:t>
            </w:r>
          </w:p>
        </w:tc>
        <w:tc>
          <w:tcPr>
            <w:tcW w:w="2267" w:type="dxa"/>
            <w:tcBorders>
              <w:top w:val="single" w:sz="12" w:space="0" w:color="auto"/>
            </w:tcBorders>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8</w:t>
            </w:r>
            <w:r w:rsidR="003D6065" w:rsidRPr="00900FF9">
              <w:rPr>
                <w:b/>
                <w:bCs/>
                <w:sz w:val="18"/>
                <w:szCs w:val="18"/>
                <w:lang w:val="fr-FR"/>
              </w:rPr>
              <w:t xml:space="preserve"> </w:t>
            </w:r>
            <w:r w:rsidRPr="00900FF9">
              <w:rPr>
                <w:b/>
                <w:bCs/>
                <w:sz w:val="18"/>
                <w:szCs w:val="18"/>
                <w:lang w:val="fr-FR"/>
              </w:rPr>
              <w:t>409</w:t>
            </w:r>
          </w:p>
        </w:tc>
      </w:tr>
      <w:tr w:rsidR="005F0530" w:rsidRPr="00174283" w:rsidTr="002471A5">
        <w:tc>
          <w:tcPr>
            <w:tcW w:w="851" w:type="dxa"/>
            <w:shd w:val="clear" w:color="auto" w:fill="auto"/>
            <w:vAlign w:val="bottom"/>
          </w:tcPr>
          <w:p w:rsidR="005F0530" w:rsidRPr="00174283" w:rsidRDefault="005F0530" w:rsidP="002471A5">
            <w:pPr>
              <w:pStyle w:val="SingleTxtG"/>
              <w:keepNext/>
              <w:suppressAutoHyphens w:val="0"/>
              <w:spacing w:before="40" w:after="40" w:line="220" w:lineRule="exact"/>
              <w:ind w:left="0" w:right="0"/>
              <w:jc w:val="left"/>
              <w:rPr>
                <w:sz w:val="18"/>
                <w:szCs w:val="18"/>
                <w:lang w:val="fr-FR"/>
              </w:rPr>
            </w:pPr>
            <w:r w:rsidRPr="00174283">
              <w:rPr>
                <w:sz w:val="18"/>
                <w:szCs w:val="18"/>
                <w:lang w:val="fr-FR"/>
              </w:rPr>
              <w:t>2</w:t>
            </w:r>
          </w:p>
        </w:tc>
        <w:tc>
          <w:tcPr>
            <w:tcW w:w="1417" w:type="dxa"/>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2006/07</w:t>
            </w:r>
          </w:p>
        </w:tc>
        <w:tc>
          <w:tcPr>
            <w:tcW w:w="1418"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4</w:t>
            </w:r>
            <w:r w:rsidR="003D6065" w:rsidRPr="00174283">
              <w:rPr>
                <w:sz w:val="18"/>
                <w:szCs w:val="18"/>
                <w:lang w:val="fr-FR"/>
              </w:rPr>
              <w:t xml:space="preserve"> </w:t>
            </w:r>
            <w:r w:rsidRPr="00174283">
              <w:rPr>
                <w:sz w:val="18"/>
                <w:szCs w:val="18"/>
                <w:lang w:val="fr-FR"/>
              </w:rPr>
              <w:t>441</w:t>
            </w:r>
          </w:p>
        </w:tc>
        <w:tc>
          <w:tcPr>
            <w:tcW w:w="1417"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3</w:t>
            </w:r>
            <w:r w:rsidR="003D6065" w:rsidRPr="00174283">
              <w:rPr>
                <w:sz w:val="18"/>
                <w:szCs w:val="18"/>
                <w:lang w:val="fr-FR"/>
              </w:rPr>
              <w:t xml:space="preserve"> </w:t>
            </w:r>
            <w:r w:rsidRPr="00174283">
              <w:rPr>
                <w:sz w:val="18"/>
                <w:szCs w:val="18"/>
                <w:lang w:val="fr-FR"/>
              </w:rPr>
              <w:t>940</w:t>
            </w:r>
          </w:p>
        </w:tc>
        <w:tc>
          <w:tcPr>
            <w:tcW w:w="2267" w:type="dxa"/>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8</w:t>
            </w:r>
            <w:r w:rsidR="003D6065" w:rsidRPr="00900FF9">
              <w:rPr>
                <w:b/>
                <w:bCs/>
                <w:sz w:val="18"/>
                <w:szCs w:val="18"/>
                <w:lang w:val="fr-FR"/>
              </w:rPr>
              <w:t xml:space="preserve"> </w:t>
            </w:r>
            <w:r w:rsidRPr="00900FF9">
              <w:rPr>
                <w:b/>
                <w:bCs/>
                <w:sz w:val="18"/>
                <w:szCs w:val="18"/>
                <w:lang w:val="fr-FR"/>
              </w:rPr>
              <w:t>381</w:t>
            </w:r>
          </w:p>
        </w:tc>
      </w:tr>
      <w:tr w:rsidR="005F0530" w:rsidRPr="00174283" w:rsidTr="002471A5">
        <w:tc>
          <w:tcPr>
            <w:tcW w:w="851" w:type="dxa"/>
            <w:shd w:val="clear" w:color="auto" w:fill="auto"/>
            <w:vAlign w:val="bottom"/>
          </w:tcPr>
          <w:p w:rsidR="005F0530" w:rsidRPr="00174283" w:rsidRDefault="005F0530" w:rsidP="002471A5">
            <w:pPr>
              <w:pStyle w:val="SingleTxtG"/>
              <w:keepNext/>
              <w:suppressAutoHyphens w:val="0"/>
              <w:spacing w:before="40" w:after="40" w:line="220" w:lineRule="exact"/>
              <w:ind w:left="0" w:right="0"/>
              <w:jc w:val="left"/>
              <w:rPr>
                <w:sz w:val="18"/>
                <w:szCs w:val="18"/>
                <w:lang w:val="fr-FR"/>
              </w:rPr>
            </w:pPr>
            <w:r w:rsidRPr="00174283">
              <w:rPr>
                <w:sz w:val="18"/>
                <w:szCs w:val="18"/>
                <w:lang w:val="fr-FR"/>
              </w:rPr>
              <w:t>3</w:t>
            </w:r>
          </w:p>
        </w:tc>
        <w:tc>
          <w:tcPr>
            <w:tcW w:w="1417" w:type="dxa"/>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2007/08</w:t>
            </w:r>
          </w:p>
        </w:tc>
        <w:tc>
          <w:tcPr>
            <w:tcW w:w="1418"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268</w:t>
            </w:r>
          </w:p>
        </w:tc>
        <w:tc>
          <w:tcPr>
            <w:tcW w:w="1417"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4</w:t>
            </w:r>
            <w:r w:rsidR="003D6065" w:rsidRPr="00174283">
              <w:rPr>
                <w:sz w:val="18"/>
                <w:szCs w:val="18"/>
                <w:lang w:val="fr-FR"/>
              </w:rPr>
              <w:t xml:space="preserve"> </w:t>
            </w:r>
            <w:r w:rsidRPr="00174283">
              <w:rPr>
                <w:sz w:val="18"/>
                <w:szCs w:val="18"/>
                <w:lang w:val="fr-FR"/>
              </w:rPr>
              <w:t>882</w:t>
            </w:r>
          </w:p>
        </w:tc>
        <w:tc>
          <w:tcPr>
            <w:tcW w:w="2267" w:type="dxa"/>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10</w:t>
            </w:r>
            <w:r w:rsidR="003D6065" w:rsidRPr="00900FF9">
              <w:rPr>
                <w:b/>
                <w:bCs/>
                <w:sz w:val="18"/>
                <w:szCs w:val="18"/>
                <w:lang w:val="fr-FR"/>
              </w:rPr>
              <w:t xml:space="preserve"> </w:t>
            </w:r>
            <w:r w:rsidRPr="00900FF9">
              <w:rPr>
                <w:b/>
                <w:bCs/>
                <w:sz w:val="18"/>
                <w:szCs w:val="18"/>
                <w:lang w:val="fr-FR"/>
              </w:rPr>
              <w:t>150</w:t>
            </w:r>
          </w:p>
        </w:tc>
      </w:tr>
      <w:tr w:rsidR="005F0530" w:rsidRPr="00174283" w:rsidTr="002471A5">
        <w:tc>
          <w:tcPr>
            <w:tcW w:w="851" w:type="dxa"/>
            <w:shd w:val="clear" w:color="auto" w:fill="auto"/>
            <w:vAlign w:val="bottom"/>
          </w:tcPr>
          <w:p w:rsidR="005F0530" w:rsidRPr="00174283" w:rsidRDefault="005F0530" w:rsidP="002471A5">
            <w:pPr>
              <w:pStyle w:val="SingleTxtG"/>
              <w:keepNext/>
              <w:suppressAutoHyphens w:val="0"/>
              <w:spacing w:before="40" w:after="40" w:line="220" w:lineRule="exact"/>
              <w:ind w:left="0" w:right="0"/>
              <w:jc w:val="left"/>
              <w:rPr>
                <w:sz w:val="18"/>
                <w:szCs w:val="18"/>
                <w:lang w:val="fr-FR"/>
              </w:rPr>
            </w:pPr>
            <w:r w:rsidRPr="00174283">
              <w:rPr>
                <w:sz w:val="18"/>
                <w:szCs w:val="18"/>
                <w:lang w:val="fr-FR"/>
              </w:rPr>
              <w:t>4</w:t>
            </w:r>
          </w:p>
        </w:tc>
        <w:tc>
          <w:tcPr>
            <w:tcW w:w="1417" w:type="dxa"/>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2008/09</w:t>
            </w:r>
          </w:p>
        </w:tc>
        <w:tc>
          <w:tcPr>
            <w:tcW w:w="1418"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421</w:t>
            </w:r>
          </w:p>
        </w:tc>
        <w:tc>
          <w:tcPr>
            <w:tcW w:w="1417"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130</w:t>
            </w:r>
          </w:p>
        </w:tc>
        <w:tc>
          <w:tcPr>
            <w:tcW w:w="2267" w:type="dxa"/>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10</w:t>
            </w:r>
            <w:r w:rsidR="003D6065" w:rsidRPr="00900FF9">
              <w:rPr>
                <w:b/>
                <w:bCs/>
                <w:sz w:val="18"/>
                <w:szCs w:val="18"/>
                <w:lang w:val="fr-FR"/>
              </w:rPr>
              <w:t xml:space="preserve"> </w:t>
            </w:r>
            <w:r w:rsidRPr="00900FF9">
              <w:rPr>
                <w:b/>
                <w:bCs/>
                <w:sz w:val="18"/>
                <w:szCs w:val="18"/>
                <w:lang w:val="fr-FR"/>
              </w:rPr>
              <w:t>571</w:t>
            </w:r>
          </w:p>
        </w:tc>
      </w:tr>
      <w:tr w:rsidR="005F0530" w:rsidRPr="00174283" w:rsidTr="002471A5">
        <w:tc>
          <w:tcPr>
            <w:tcW w:w="851" w:type="dxa"/>
            <w:shd w:val="clear" w:color="auto" w:fill="auto"/>
            <w:vAlign w:val="bottom"/>
          </w:tcPr>
          <w:p w:rsidR="005F0530" w:rsidRPr="00174283" w:rsidRDefault="005F0530" w:rsidP="002471A5">
            <w:pPr>
              <w:pStyle w:val="SingleTxtG"/>
              <w:keepNext/>
              <w:suppressAutoHyphens w:val="0"/>
              <w:spacing w:before="40" w:after="40" w:line="220" w:lineRule="exact"/>
              <w:ind w:left="0" w:right="0"/>
              <w:jc w:val="left"/>
              <w:rPr>
                <w:sz w:val="18"/>
                <w:szCs w:val="18"/>
                <w:lang w:val="fr-FR"/>
              </w:rPr>
            </w:pPr>
            <w:r w:rsidRPr="00174283">
              <w:rPr>
                <w:sz w:val="18"/>
                <w:szCs w:val="18"/>
                <w:lang w:val="fr-FR"/>
              </w:rPr>
              <w:t>5</w:t>
            </w:r>
          </w:p>
        </w:tc>
        <w:tc>
          <w:tcPr>
            <w:tcW w:w="1417" w:type="dxa"/>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2009/10</w:t>
            </w:r>
          </w:p>
        </w:tc>
        <w:tc>
          <w:tcPr>
            <w:tcW w:w="1418"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528</w:t>
            </w:r>
          </w:p>
        </w:tc>
        <w:tc>
          <w:tcPr>
            <w:tcW w:w="1417" w:type="dxa"/>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225</w:t>
            </w:r>
          </w:p>
        </w:tc>
        <w:tc>
          <w:tcPr>
            <w:tcW w:w="2267" w:type="dxa"/>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10</w:t>
            </w:r>
            <w:r w:rsidR="003D6065" w:rsidRPr="00900FF9">
              <w:rPr>
                <w:b/>
                <w:bCs/>
                <w:sz w:val="18"/>
                <w:szCs w:val="18"/>
                <w:lang w:val="fr-FR"/>
              </w:rPr>
              <w:t xml:space="preserve"> </w:t>
            </w:r>
            <w:r w:rsidRPr="00900FF9">
              <w:rPr>
                <w:b/>
                <w:bCs/>
                <w:sz w:val="18"/>
                <w:szCs w:val="18"/>
                <w:lang w:val="fr-FR"/>
              </w:rPr>
              <w:t>753</w:t>
            </w:r>
          </w:p>
        </w:tc>
      </w:tr>
      <w:tr w:rsidR="005F0530" w:rsidRPr="00174283" w:rsidTr="002471A5">
        <w:tc>
          <w:tcPr>
            <w:tcW w:w="851" w:type="dxa"/>
            <w:tcBorders>
              <w:bottom w:val="single" w:sz="12" w:space="0" w:color="auto"/>
            </w:tcBorders>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6</w:t>
            </w:r>
          </w:p>
        </w:tc>
        <w:tc>
          <w:tcPr>
            <w:tcW w:w="1417" w:type="dxa"/>
            <w:tcBorders>
              <w:bottom w:val="single" w:sz="12" w:space="0" w:color="auto"/>
            </w:tcBorders>
            <w:shd w:val="clear" w:color="auto" w:fill="auto"/>
          </w:tcPr>
          <w:p w:rsidR="005F0530" w:rsidRPr="00174283" w:rsidRDefault="005F0530" w:rsidP="00ED433F">
            <w:pPr>
              <w:keepNext/>
              <w:suppressAutoHyphens w:val="0"/>
              <w:spacing w:before="40" w:after="40" w:line="220" w:lineRule="exact"/>
              <w:jc w:val="right"/>
              <w:rPr>
                <w:sz w:val="18"/>
                <w:szCs w:val="18"/>
                <w:lang w:val="fr-FR"/>
              </w:rPr>
            </w:pPr>
            <w:r w:rsidRPr="00174283">
              <w:rPr>
                <w:sz w:val="18"/>
                <w:szCs w:val="18"/>
                <w:lang w:val="fr-FR"/>
              </w:rPr>
              <w:t>2010/11</w:t>
            </w:r>
          </w:p>
        </w:tc>
        <w:tc>
          <w:tcPr>
            <w:tcW w:w="1418" w:type="dxa"/>
            <w:tcBorders>
              <w:bottom w:val="single" w:sz="12" w:space="0" w:color="auto"/>
            </w:tcBorders>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410</w:t>
            </w:r>
          </w:p>
        </w:tc>
        <w:tc>
          <w:tcPr>
            <w:tcW w:w="1417" w:type="dxa"/>
            <w:tcBorders>
              <w:bottom w:val="single" w:sz="12" w:space="0" w:color="auto"/>
            </w:tcBorders>
            <w:shd w:val="clear" w:color="auto" w:fill="auto"/>
          </w:tcPr>
          <w:p w:rsidR="005F0530" w:rsidRPr="00174283" w:rsidRDefault="005F0530" w:rsidP="00ED433F">
            <w:pPr>
              <w:keepNext/>
              <w:spacing w:before="40" w:after="40" w:line="220" w:lineRule="exact"/>
              <w:jc w:val="right"/>
              <w:rPr>
                <w:sz w:val="18"/>
                <w:szCs w:val="18"/>
                <w:lang w:val="fr-FR"/>
              </w:rPr>
            </w:pPr>
            <w:r w:rsidRPr="00174283">
              <w:rPr>
                <w:sz w:val="18"/>
                <w:szCs w:val="18"/>
                <w:lang w:val="fr-FR"/>
              </w:rPr>
              <w:t>5</w:t>
            </w:r>
            <w:r w:rsidR="003D6065" w:rsidRPr="00174283">
              <w:rPr>
                <w:sz w:val="18"/>
                <w:szCs w:val="18"/>
                <w:lang w:val="fr-FR"/>
              </w:rPr>
              <w:t xml:space="preserve"> </w:t>
            </w:r>
            <w:r w:rsidRPr="00174283">
              <w:rPr>
                <w:sz w:val="18"/>
                <w:szCs w:val="18"/>
                <w:lang w:val="fr-FR"/>
              </w:rPr>
              <w:t>103</w:t>
            </w:r>
          </w:p>
        </w:tc>
        <w:tc>
          <w:tcPr>
            <w:tcW w:w="2267" w:type="dxa"/>
            <w:tcBorders>
              <w:bottom w:val="single" w:sz="12" w:space="0" w:color="auto"/>
            </w:tcBorders>
            <w:shd w:val="clear" w:color="auto" w:fill="auto"/>
          </w:tcPr>
          <w:p w:rsidR="005F0530" w:rsidRPr="00900FF9" w:rsidRDefault="005F0530" w:rsidP="00ED433F">
            <w:pPr>
              <w:keepNext/>
              <w:spacing w:before="40" w:after="40" w:line="220" w:lineRule="exact"/>
              <w:jc w:val="right"/>
              <w:rPr>
                <w:b/>
                <w:bCs/>
                <w:sz w:val="18"/>
                <w:szCs w:val="18"/>
                <w:lang w:val="fr-FR"/>
              </w:rPr>
            </w:pPr>
            <w:r w:rsidRPr="00900FF9">
              <w:rPr>
                <w:b/>
                <w:bCs/>
                <w:sz w:val="18"/>
                <w:szCs w:val="18"/>
                <w:lang w:val="fr-FR"/>
              </w:rPr>
              <w:t>10</w:t>
            </w:r>
            <w:r w:rsidR="003D6065" w:rsidRPr="00900FF9">
              <w:rPr>
                <w:b/>
                <w:bCs/>
                <w:sz w:val="18"/>
                <w:szCs w:val="18"/>
                <w:lang w:val="fr-FR"/>
              </w:rPr>
              <w:t xml:space="preserve"> </w:t>
            </w:r>
            <w:r w:rsidRPr="00900FF9">
              <w:rPr>
                <w:b/>
                <w:bCs/>
                <w:sz w:val="18"/>
                <w:szCs w:val="18"/>
                <w:lang w:val="fr-FR"/>
              </w:rPr>
              <w:t>513</w:t>
            </w:r>
          </w:p>
        </w:tc>
      </w:tr>
    </w:tbl>
    <w:p w:rsidR="00B9080E" w:rsidRPr="00174283" w:rsidRDefault="000D7743" w:rsidP="002471A5">
      <w:pPr>
        <w:pStyle w:val="SingleTxtG"/>
        <w:keepNext/>
        <w:spacing w:before="240"/>
        <w:jc w:val="left"/>
        <w:rPr>
          <w:b/>
          <w:lang w:val="fr-FR"/>
        </w:rPr>
      </w:pPr>
      <w:r w:rsidRPr="00174283">
        <w:rPr>
          <w:lang w:val="fr-FR"/>
        </w:rPr>
        <w:t>Table</w:t>
      </w:r>
      <w:r w:rsidR="00D439B3" w:rsidRPr="00174283">
        <w:rPr>
          <w:lang w:val="fr-FR"/>
        </w:rPr>
        <w:t>au</w:t>
      </w:r>
      <w:r w:rsidRPr="00174283">
        <w:rPr>
          <w:lang w:val="fr-FR"/>
        </w:rPr>
        <w:t xml:space="preserve"> </w:t>
      </w:r>
      <w:r w:rsidR="00F612CD" w:rsidRPr="00174283">
        <w:rPr>
          <w:lang w:val="fr-FR"/>
        </w:rPr>
        <w:t>7</w:t>
      </w:r>
      <w:r w:rsidRPr="00174283">
        <w:rPr>
          <w:b/>
          <w:lang w:val="fr-FR"/>
        </w:rPr>
        <w:br/>
      </w:r>
      <w:r w:rsidR="00D439B3" w:rsidRPr="00174283">
        <w:rPr>
          <w:b/>
          <w:lang w:val="fr-FR"/>
        </w:rPr>
        <w:t>Élèves roms</w:t>
      </w:r>
      <w:r w:rsidR="00234B76" w:rsidRPr="00174283">
        <w:rPr>
          <w:b/>
          <w:lang w:val="fr-FR"/>
        </w:rPr>
        <w:t xml:space="preserve"> inscrits</w:t>
      </w:r>
      <w:r w:rsidR="00D439B3" w:rsidRPr="00174283">
        <w:rPr>
          <w:b/>
          <w:lang w:val="fr-FR"/>
        </w:rPr>
        <w:t xml:space="preserve"> dans l</w:t>
      </w:r>
      <w:r w:rsidR="00205A62">
        <w:rPr>
          <w:b/>
          <w:lang w:val="fr-FR"/>
        </w:rPr>
        <w:t>’</w:t>
      </w:r>
      <w:r w:rsidR="00D439B3" w:rsidRPr="00174283">
        <w:rPr>
          <w:b/>
          <w:lang w:val="fr-FR"/>
        </w:rPr>
        <w:t xml:space="preserve">enseignement secondaire </w:t>
      </w:r>
      <w:r w:rsidR="002471A5">
        <w:rPr>
          <w:b/>
          <w:lang w:val="fr-FR"/>
        </w:rPr>
        <w:t>–</w:t>
      </w:r>
      <w:r w:rsidR="002721B1" w:rsidRPr="00174283">
        <w:rPr>
          <w:b/>
          <w:lang w:val="fr-FR"/>
        </w:rPr>
        <w:t xml:space="preserve"> Années scolaires </w:t>
      </w:r>
      <w:r w:rsidR="00B9080E" w:rsidRPr="00174283">
        <w:rPr>
          <w:b/>
          <w:lang w:val="fr-FR"/>
        </w:rPr>
        <w:t>2005/</w:t>
      </w:r>
      <w:r w:rsidR="005F0530" w:rsidRPr="00174283">
        <w:rPr>
          <w:b/>
          <w:lang w:val="fr-FR"/>
        </w:rPr>
        <w:t xml:space="preserve">06 </w:t>
      </w:r>
      <w:r w:rsidR="00D439B3" w:rsidRPr="00174283">
        <w:rPr>
          <w:b/>
          <w:lang w:val="fr-FR"/>
        </w:rPr>
        <w:t xml:space="preserve">à </w:t>
      </w:r>
      <w:r w:rsidR="005F0530" w:rsidRPr="00174283">
        <w:rPr>
          <w:b/>
          <w:lang w:val="fr-FR"/>
        </w:rPr>
        <w:t>2010/</w:t>
      </w:r>
      <w:r w:rsidR="00D439B3" w:rsidRPr="00174283">
        <w:rPr>
          <w:b/>
          <w:lang w:val="fr-FR"/>
        </w:rPr>
        <w:t>11</w:t>
      </w:r>
    </w:p>
    <w:tbl>
      <w:tblPr>
        <w:tblW w:w="0" w:type="auto"/>
        <w:tblInd w:w="1134" w:type="dxa"/>
        <w:tblBorders>
          <w:top w:val="single" w:sz="4" w:space="0" w:color="auto"/>
        </w:tblBorders>
        <w:tblLayout w:type="fixed"/>
        <w:tblCellMar>
          <w:left w:w="0" w:type="dxa"/>
          <w:right w:w="0" w:type="dxa"/>
        </w:tblCellMar>
        <w:tblLook w:val="04A0"/>
      </w:tblPr>
      <w:tblGrid>
        <w:gridCol w:w="851"/>
        <w:gridCol w:w="1417"/>
        <w:gridCol w:w="1418"/>
        <w:gridCol w:w="1276"/>
        <w:gridCol w:w="2408"/>
      </w:tblGrid>
      <w:tr w:rsidR="005F0530" w:rsidRPr="00174283" w:rsidTr="00900FF9">
        <w:trPr>
          <w:tblHeader/>
        </w:trPr>
        <w:tc>
          <w:tcPr>
            <w:tcW w:w="851" w:type="dxa"/>
            <w:tcBorders>
              <w:top w:val="single" w:sz="4" w:space="0" w:color="auto"/>
              <w:bottom w:val="single" w:sz="12" w:space="0" w:color="auto"/>
            </w:tcBorders>
            <w:shd w:val="clear" w:color="auto" w:fill="auto"/>
            <w:vAlign w:val="bottom"/>
          </w:tcPr>
          <w:p w:rsidR="005F0530" w:rsidRPr="00174283" w:rsidRDefault="00D439B3" w:rsidP="0010148C">
            <w:pPr>
              <w:pStyle w:val="SingleTxtG"/>
              <w:suppressAutoHyphens w:val="0"/>
              <w:spacing w:before="80" w:after="80" w:line="200" w:lineRule="exact"/>
              <w:ind w:left="0" w:right="0"/>
              <w:jc w:val="left"/>
              <w:rPr>
                <w:i/>
                <w:sz w:val="16"/>
                <w:lang w:val="fr-FR"/>
              </w:rPr>
            </w:pPr>
            <w:r w:rsidRPr="00174283">
              <w:rPr>
                <w:i/>
                <w:sz w:val="16"/>
                <w:lang w:val="fr-FR"/>
              </w:rPr>
              <w:t>N</w:t>
            </w:r>
            <w:r w:rsidRPr="00174283">
              <w:rPr>
                <w:i/>
                <w:sz w:val="16"/>
                <w:vertAlign w:val="superscript"/>
                <w:lang w:val="fr-FR"/>
              </w:rPr>
              <w:t>o</w:t>
            </w:r>
          </w:p>
        </w:tc>
        <w:tc>
          <w:tcPr>
            <w:tcW w:w="1417" w:type="dxa"/>
            <w:tcBorders>
              <w:top w:val="single" w:sz="4" w:space="0" w:color="auto"/>
              <w:bottom w:val="single" w:sz="12" w:space="0" w:color="auto"/>
            </w:tcBorders>
            <w:shd w:val="clear" w:color="auto" w:fill="auto"/>
            <w:vAlign w:val="bottom"/>
          </w:tcPr>
          <w:p w:rsidR="005F0530" w:rsidRPr="00174283" w:rsidRDefault="00D439B3" w:rsidP="0010148C">
            <w:pPr>
              <w:pStyle w:val="SingleTxtG"/>
              <w:suppressAutoHyphens w:val="0"/>
              <w:spacing w:before="80" w:after="80" w:line="200" w:lineRule="exact"/>
              <w:ind w:left="0" w:right="0"/>
              <w:jc w:val="right"/>
              <w:rPr>
                <w:i/>
                <w:sz w:val="16"/>
                <w:lang w:val="fr-FR"/>
              </w:rPr>
            </w:pPr>
            <w:r w:rsidRPr="00174283">
              <w:rPr>
                <w:i/>
                <w:sz w:val="16"/>
                <w:lang w:val="fr-FR"/>
              </w:rPr>
              <w:t>Année scolaire</w:t>
            </w:r>
          </w:p>
        </w:tc>
        <w:tc>
          <w:tcPr>
            <w:tcW w:w="1418" w:type="dxa"/>
            <w:tcBorders>
              <w:top w:val="single" w:sz="4" w:space="0" w:color="auto"/>
              <w:bottom w:val="single" w:sz="12" w:space="0" w:color="auto"/>
            </w:tcBorders>
            <w:shd w:val="clear" w:color="auto" w:fill="auto"/>
            <w:vAlign w:val="bottom"/>
          </w:tcPr>
          <w:p w:rsidR="005F0530" w:rsidRPr="00174283" w:rsidRDefault="00D439B3" w:rsidP="0010148C">
            <w:pPr>
              <w:pStyle w:val="SingleTxtG"/>
              <w:suppressAutoHyphens w:val="0"/>
              <w:spacing w:before="80" w:after="80" w:line="200" w:lineRule="exact"/>
              <w:ind w:left="0" w:right="0"/>
              <w:jc w:val="right"/>
              <w:rPr>
                <w:i/>
                <w:sz w:val="16"/>
                <w:lang w:val="fr-FR"/>
              </w:rPr>
            </w:pPr>
            <w:r w:rsidRPr="00174283">
              <w:rPr>
                <w:i/>
                <w:sz w:val="16"/>
                <w:lang w:val="fr-FR"/>
              </w:rPr>
              <w:t>Garçons</w:t>
            </w:r>
          </w:p>
        </w:tc>
        <w:tc>
          <w:tcPr>
            <w:tcW w:w="1276" w:type="dxa"/>
            <w:tcBorders>
              <w:top w:val="single" w:sz="4" w:space="0" w:color="auto"/>
              <w:bottom w:val="single" w:sz="12" w:space="0" w:color="auto"/>
            </w:tcBorders>
            <w:shd w:val="clear" w:color="auto" w:fill="auto"/>
            <w:vAlign w:val="bottom"/>
          </w:tcPr>
          <w:p w:rsidR="005F0530" w:rsidRPr="00174283" w:rsidRDefault="00D439B3" w:rsidP="0010148C">
            <w:pPr>
              <w:pStyle w:val="SingleTxtG"/>
              <w:suppressAutoHyphens w:val="0"/>
              <w:spacing w:before="80" w:after="80" w:line="200" w:lineRule="exact"/>
              <w:ind w:left="0" w:right="0"/>
              <w:jc w:val="right"/>
              <w:rPr>
                <w:i/>
                <w:sz w:val="16"/>
                <w:lang w:val="fr-FR"/>
              </w:rPr>
            </w:pPr>
            <w:r w:rsidRPr="00174283">
              <w:rPr>
                <w:i/>
                <w:sz w:val="16"/>
                <w:lang w:val="fr-FR"/>
              </w:rPr>
              <w:t>Filles</w:t>
            </w:r>
          </w:p>
        </w:tc>
        <w:tc>
          <w:tcPr>
            <w:tcW w:w="2408" w:type="dxa"/>
            <w:tcBorders>
              <w:top w:val="single" w:sz="4" w:space="0" w:color="auto"/>
              <w:bottom w:val="single" w:sz="12" w:space="0" w:color="auto"/>
            </w:tcBorders>
            <w:shd w:val="clear" w:color="auto" w:fill="auto"/>
            <w:vAlign w:val="bottom"/>
          </w:tcPr>
          <w:p w:rsidR="005F0530" w:rsidRPr="00900FF9" w:rsidRDefault="00D439B3" w:rsidP="0010148C">
            <w:pPr>
              <w:pStyle w:val="SingleTxtG"/>
              <w:suppressAutoHyphens w:val="0"/>
              <w:spacing w:before="80" w:after="80" w:line="200" w:lineRule="exact"/>
              <w:ind w:left="0" w:right="0"/>
              <w:jc w:val="right"/>
              <w:rPr>
                <w:b/>
                <w:bCs/>
                <w:i/>
                <w:sz w:val="16"/>
                <w:szCs w:val="16"/>
                <w:lang w:val="fr-FR"/>
              </w:rPr>
            </w:pPr>
            <w:r w:rsidRPr="00900FF9">
              <w:rPr>
                <w:b/>
                <w:bCs/>
                <w:i/>
                <w:sz w:val="16"/>
                <w:szCs w:val="16"/>
                <w:lang w:val="fr-FR"/>
              </w:rPr>
              <w:t>Nombre total d</w:t>
            </w:r>
            <w:r w:rsidR="00205A62">
              <w:rPr>
                <w:b/>
                <w:bCs/>
                <w:i/>
                <w:sz w:val="16"/>
                <w:szCs w:val="16"/>
                <w:lang w:val="fr-FR"/>
              </w:rPr>
              <w:t>’</w:t>
            </w:r>
            <w:r w:rsidRPr="00900FF9">
              <w:rPr>
                <w:b/>
                <w:bCs/>
                <w:i/>
                <w:sz w:val="16"/>
                <w:szCs w:val="16"/>
                <w:lang w:val="fr-FR"/>
              </w:rPr>
              <w:t>élèves roms</w:t>
            </w:r>
          </w:p>
        </w:tc>
      </w:tr>
      <w:tr w:rsidR="005F0530" w:rsidRPr="00174283" w:rsidTr="002471A5">
        <w:tc>
          <w:tcPr>
            <w:tcW w:w="851" w:type="dxa"/>
            <w:tcBorders>
              <w:top w:val="single" w:sz="12" w:space="0" w:color="auto"/>
            </w:tcBorders>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1</w:t>
            </w:r>
          </w:p>
        </w:tc>
        <w:tc>
          <w:tcPr>
            <w:tcW w:w="1417" w:type="dxa"/>
            <w:tcBorders>
              <w:top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2005/06</w:t>
            </w:r>
          </w:p>
        </w:tc>
        <w:tc>
          <w:tcPr>
            <w:tcW w:w="1418" w:type="dxa"/>
            <w:tcBorders>
              <w:top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654</w:t>
            </w:r>
          </w:p>
        </w:tc>
        <w:tc>
          <w:tcPr>
            <w:tcW w:w="1276" w:type="dxa"/>
            <w:tcBorders>
              <w:top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586</w:t>
            </w:r>
          </w:p>
        </w:tc>
        <w:tc>
          <w:tcPr>
            <w:tcW w:w="2408" w:type="dxa"/>
            <w:tcBorders>
              <w:top w:val="single" w:sz="12" w:space="0" w:color="auto"/>
            </w:tcBorders>
            <w:shd w:val="clear" w:color="auto" w:fill="auto"/>
          </w:tcPr>
          <w:p w:rsidR="005F0530" w:rsidRPr="00900FF9" w:rsidRDefault="005F0530" w:rsidP="0010148C">
            <w:pPr>
              <w:suppressAutoHyphens w:val="0"/>
              <w:spacing w:before="40" w:after="40" w:line="220" w:lineRule="exact"/>
              <w:jc w:val="right"/>
              <w:rPr>
                <w:b/>
                <w:bCs/>
                <w:sz w:val="18"/>
                <w:szCs w:val="18"/>
                <w:lang w:val="fr-FR"/>
              </w:rPr>
            </w:pPr>
            <w:r w:rsidRPr="00900FF9">
              <w:rPr>
                <w:b/>
                <w:bCs/>
                <w:sz w:val="18"/>
                <w:szCs w:val="18"/>
                <w:lang w:val="fr-FR"/>
              </w:rPr>
              <w:t>1</w:t>
            </w:r>
            <w:r w:rsidR="003D6065" w:rsidRPr="00900FF9">
              <w:rPr>
                <w:b/>
                <w:bCs/>
                <w:sz w:val="18"/>
                <w:szCs w:val="18"/>
                <w:lang w:val="fr-FR"/>
              </w:rPr>
              <w:t xml:space="preserve"> </w:t>
            </w:r>
            <w:r w:rsidRPr="00900FF9">
              <w:rPr>
                <w:b/>
                <w:bCs/>
                <w:sz w:val="18"/>
                <w:szCs w:val="18"/>
                <w:lang w:val="fr-FR"/>
              </w:rPr>
              <w:t>240</w:t>
            </w:r>
          </w:p>
        </w:tc>
      </w:tr>
      <w:tr w:rsidR="005F0530" w:rsidRPr="00174283" w:rsidTr="002471A5">
        <w:tc>
          <w:tcPr>
            <w:tcW w:w="851"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2</w:t>
            </w:r>
          </w:p>
        </w:tc>
        <w:tc>
          <w:tcPr>
            <w:tcW w:w="1417"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2006/07</w:t>
            </w:r>
          </w:p>
        </w:tc>
        <w:tc>
          <w:tcPr>
            <w:tcW w:w="1418"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678</w:t>
            </w:r>
          </w:p>
        </w:tc>
        <w:tc>
          <w:tcPr>
            <w:tcW w:w="1276"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526</w:t>
            </w:r>
          </w:p>
        </w:tc>
        <w:tc>
          <w:tcPr>
            <w:tcW w:w="2408" w:type="dxa"/>
            <w:shd w:val="clear" w:color="auto" w:fill="auto"/>
          </w:tcPr>
          <w:p w:rsidR="005F0530" w:rsidRPr="00900FF9" w:rsidRDefault="005F0530" w:rsidP="0010148C">
            <w:pPr>
              <w:suppressAutoHyphens w:val="0"/>
              <w:spacing w:before="40" w:after="40" w:line="220" w:lineRule="exact"/>
              <w:jc w:val="right"/>
              <w:rPr>
                <w:b/>
                <w:bCs/>
                <w:sz w:val="18"/>
                <w:szCs w:val="18"/>
                <w:lang w:val="fr-FR"/>
              </w:rPr>
            </w:pPr>
            <w:r w:rsidRPr="00900FF9">
              <w:rPr>
                <w:b/>
                <w:bCs/>
                <w:sz w:val="18"/>
                <w:szCs w:val="18"/>
                <w:lang w:val="fr-FR"/>
              </w:rPr>
              <w:t>1</w:t>
            </w:r>
            <w:r w:rsidR="003D6065" w:rsidRPr="00900FF9">
              <w:rPr>
                <w:b/>
                <w:bCs/>
                <w:sz w:val="18"/>
                <w:szCs w:val="18"/>
                <w:lang w:val="fr-FR"/>
              </w:rPr>
              <w:t xml:space="preserve"> </w:t>
            </w:r>
            <w:r w:rsidRPr="00900FF9">
              <w:rPr>
                <w:b/>
                <w:bCs/>
                <w:sz w:val="18"/>
                <w:szCs w:val="18"/>
                <w:lang w:val="fr-FR"/>
              </w:rPr>
              <w:t>204</w:t>
            </w:r>
          </w:p>
        </w:tc>
      </w:tr>
      <w:tr w:rsidR="005F0530" w:rsidRPr="00174283" w:rsidTr="002471A5">
        <w:tc>
          <w:tcPr>
            <w:tcW w:w="851"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3</w:t>
            </w:r>
          </w:p>
        </w:tc>
        <w:tc>
          <w:tcPr>
            <w:tcW w:w="1417"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2007/08</w:t>
            </w:r>
          </w:p>
        </w:tc>
        <w:tc>
          <w:tcPr>
            <w:tcW w:w="1418"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831</w:t>
            </w:r>
          </w:p>
        </w:tc>
        <w:tc>
          <w:tcPr>
            <w:tcW w:w="1276"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641</w:t>
            </w:r>
          </w:p>
        </w:tc>
        <w:tc>
          <w:tcPr>
            <w:tcW w:w="2408" w:type="dxa"/>
            <w:shd w:val="clear" w:color="auto" w:fill="auto"/>
          </w:tcPr>
          <w:p w:rsidR="005F0530" w:rsidRPr="00900FF9" w:rsidRDefault="005F0530" w:rsidP="0010148C">
            <w:pPr>
              <w:suppressAutoHyphens w:val="0"/>
              <w:spacing w:before="40" w:after="40" w:line="220" w:lineRule="exact"/>
              <w:jc w:val="right"/>
              <w:rPr>
                <w:b/>
                <w:bCs/>
                <w:sz w:val="18"/>
                <w:szCs w:val="18"/>
                <w:lang w:val="fr-FR"/>
              </w:rPr>
            </w:pPr>
            <w:r w:rsidRPr="00900FF9">
              <w:rPr>
                <w:b/>
                <w:bCs/>
                <w:sz w:val="18"/>
                <w:szCs w:val="18"/>
                <w:lang w:val="fr-FR"/>
              </w:rPr>
              <w:t>1</w:t>
            </w:r>
            <w:r w:rsidR="003D6065" w:rsidRPr="00900FF9">
              <w:rPr>
                <w:b/>
                <w:bCs/>
                <w:sz w:val="18"/>
                <w:szCs w:val="18"/>
                <w:lang w:val="fr-FR"/>
              </w:rPr>
              <w:t xml:space="preserve"> </w:t>
            </w:r>
            <w:r w:rsidRPr="00900FF9">
              <w:rPr>
                <w:b/>
                <w:bCs/>
                <w:sz w:val="18"/>
                <w:szCs w:val="18"/>
                <w:lang w:val="fr-FR"/>
              </w:rPr>
              <w:t>472</w:t>
            </w:r>
          </w:p>
        </w:tc>
      </w:tr>
      <w:tr w:rsidR="005F0530" w:rsidRPr="00174283" w:rsidTr="002471A5">
        <w:tc>
          <w:tcPr>
            <w:tcW w:w="851"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4</w:t>
            </w:r>
          </w:p>
        </w:tc>
        <w:tc>
          <w:tcPr>
            <w:tcW w:w="1417"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2008/09</w:t>
            </w:r>
          </w:p>
        </w:tc>
        <w:tc>
          <w:tcPr>
            <w:tcW w:w="1418" w:type="dxa"/>
            <w:shd w:val="clear" w:color="auto" w:fill="auto"/>
          </w:tcPr>
          <w:p w:rsidR="005F0530" w:rsidRPr="00174283" w:rsidRDefault="005F0530" w:rsidP="0010148C">
            <w:pPr>
              <w:suppressAutoHyphens w:val="0"/>
              <w:spacing w:before="40" w:after="40" w:line="220" w:lineRule="exact"/>
              <w:jc w:val="right"/>
              <w:rPr>
                <w:sz w:val="18"/>
                <w:szCs w:val="18"/>
                <w:lang w:val="fr-FR"/>
              </w:rPr>
            </w:pPr>
          </w:p>
        </w:tc>
        <w:tc>
          <w:tcPr>
            <w:tcW w:w="1276" w:type="dxa"/>
            <w:shd w:val="clear" w:color="auto" w:fill="auto"/>
          </w:tcPr>
          <w:p w:rsidR="005F0530" w:rsidRPr="00174283" w:rsidRDefault="005F0530" w:rsidP="0010148C">
            <w:pPr>
              <w:suppressAutoHyphens w:val="0"/>
              <w:spacing w:before="40" w:after="40" w:line="220" w:lineRule="exact"/>
              <w:jc w:val="right"/>
              <w:rPr>
                <w:sz w:val="18"/>
                <w:szCs w:val="18"/>
                <w:lang w:val="fr-FR"/>
              </w:rPr>
            </w:pPr>
          </w:p>
        </w:tc>
        <w:tc>
          <w:tcPr>
            <w:tcW w:w="2408" w:type="dxa"/>
            <w:shd w:val="clear" w:color="auto" w:fill="auto"/>
          </w:tcPr>
          <w:p w:rsidR="005F0530" w:rsidRPr="00900FF9" w:rsidRDefault="005F0530" w:rsidP="0010148C">
            <w:pPr>
              <w:suppressAutoHyphens w:val="0"/>
              <w:spacing w:before="40" w:after="40" w:line="220" w:lineRule="exact"/>
              <w:jc w:val="right"/>
              <w:rPr>
                <w:b/>
                <w:bCs/>
                <w:sz w:val="18"/>
                <w:szCs w:val="18"/>
                <w:lang w:val="fr-FR"/>
              </w:rPr>
            </w:pPr>
          </w:p>
        </w:tc>
      </w:tr>
      <w:tr w:rsidR="005F0530" w:rsidRPr="00174283" w:rsidTr="002471A5">
        <w:tc>
          <w:tcPr>
            <w:tcW w:w="851" w:type="dxa"/>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5</w:t>
            </w:r>
          </w:p>
        </w:tc>
        <w:tc>
          <w:tcPr>
            <w:tcW w:w="1417"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2009/10</w:t>
            </w:r>
          </w:p>
        </w:tc>
        <w:tc>
          <w:tcPr>
            <w:tcW w:w="1418"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1</w:t>
            </w:r>
            <w:r w:rsidR="003D6065" w:rsidRPr="00174283">
              <w:rPr>
                <w:sz w:val="18"/>
                <w:szCs w:val="18"/>
                <w:lang w:val="fr-FR"/>
              </w:rPr>
              <w:t xml:space="preserve"> </w:t>
            </w:r>
            <w:r w:rsidRPr="00174283">
              <w:rPr>
                <w:sz w:val="18"/>
                <w:szCs w:val="18"/>
                <w:lang w:val="fr-FR"/>
              </w:rPr>
              <w:t>054</w:t>
            </w:r>
          </w:p>
        </w:tc>
        <w:tc>
          <w:tcPr>
            <w:tcW w:w="1276" w:type="dxa"/>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900</w:t>
            </w:r>
          </w:p>
        </w:tc>
        <w:tc>
          <w:tcPr>
            <w:tcW w:w="2408" w:type="dxa"/>
            <w:shd w:val="clear" w:color="auto" w:fill="auto"/>
          </w:tcPr>
          <w:p w:rsidR="005F0530" w:rsidRPr="00900FF9" w:rsidRDefault="005F0530" w:rsidP="0010148C">
            <w:pPr>
              <w:suppressAutoHyphens w:val="0"/>
              <w:spacing w:before="40" w:after="40" w:line="220" w:lineRule="exact"/>
              <w:jc w:val="right"/>
              <w:rPr>
                <w:b/>
                <w:bCs/>
                <w:sz w:val="18"/>
                <w:szCs w:val="18"/>
                <w:lang w:val="fr-FR"/>
              </w:rPr>
            </w:pPr>
            <w:r w:rsidRPr="00900FF9">
              <w:rPr>
                <w:b/>
                <w:bCs/>
                <w:sz w:val="18"/>
                <w:szCs w:val="18"/>
                <w:lang w:val="fr-FR"/>
              </w:rPr>
              <w:t>1</w:t>
            </w:r>
            <w:r w:rsidR="003D6065" w:rsidRPr="00900FF9">
              <w:rPr>
                <w:b/>
                <w:bCs/>
                <w:sz w:val="18"/>
                <w:szCs w:val="18"/>
                <w:lang w:val="fr-FR"/>
              </w:rPr>
              <w:t xml:space="preserve"> </w:t>
            </w:r>
            <w:r w:rsidRPr="00900FF9">
              <w:rPr>
                <w:b/>
                <w:bCs/>
                <w:sz w:val="18"/>
                <w:szCs w:val="18"/>
                <w:lang w:val="fr-FR"/>
              </w:rPr>
              <w:t>954</w:t>
            </w:r>
          </w:p>
        </w:tc>
      </w:tr>
      <w:tr w:rsidR="005F0530" w:rsidRPr="00174283" w:rsidTr="002471A5">
        <w:tc>
          <w:tcPr>
            <w:tcW w:w="851" w:type="dxa"/>
            <w:tcBorders>
              <w:bottom w:val="single" w:sz="12" w:space="0" w:color="auto"/>
            </w:tcBorders>
            <w:shd w:val="clear" w:color="auto" w:fill="auto"/>
            <w:vAlign w:val="bottom"/>
          </w:tcPr>
          <w:p w:rsidR="005F0530" w:rsidRPr="00174283" w:rsidRDefault="005F0530" w:rsidP="002471A5">
            <w:pPr>
              <w:pStyle w:val="SingleTxtG"/>
              <w:suppressAutoHyphens w:val="0"/>
              <w:spacing w:before="40" w:after="40" w:line="220" w:lineRule="exact"/>
              <w:ind w:left="0" w:right="0"/>
              <w:jc w:val="left"/>
              <w:rPr>
                <w:sz w:val="18"/>
                <w:szCs w:val="18"/>
                <w:lang w:val="fr-FR"/>
              </w:rPr>
            </w:pPr>
            <w:r w:rsidRPr="00174283">
              <w:rPr>
                <w:sz w:val="18"/>
                <w:szCs w:val="18"/>
                <w:lang w:val="fr-FR"/>
              </w:rPr>
              <w:t>6</w:t>
            </w:r>
          </w:p>
        </w:tc>
        <w:tc>
          <w:tcPr>
            <w:tcW w:w="1417" w:type="dxa"/>
            <w:tcBorders>
              <w:bottom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2010/11</w:t>
            </w:r>
          </w:p>
        </w:tc>
        <w:tc>
          <w:tcPr>
            <w:tcW w:w="1418" w:type="dxa"/>
            <w:tcBorders>
              <w:bottom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1</w:t>
            </w:r>
            <w:r w:rsidR="003D6065" w:rsidRPr="00174283">
              <w:rPr>
                <w:sz w:val="18"/>
                <w:szCs w:val="18"/>
                <w:lang w:val="fr-FR"/>
              </w:rPr>
              <w:t xml:space="preserve"> </w:t>
            </w:r>
            <w:r w:rsidRPr="00174283">
              <w:rPr>
                <w:sz w:val="18"/>
                <w:szCs w:val="18"/>
                <w:lang w:val="fr-FR"/>
              </w:rPr>
              <w:t>031</w:t>
            </w:r>
          </w:p>
        </w:tc>
        <w:tc>
          <w:tcPr>
            <w:tcW w:w="1276" w:type="dxa"/>
            <w:tcBorders>
              <w:bottom w:val="single" w:sz="12" w:space="0" w:color="auto"/>
            </w:tcBorders>
            <w:shd w:val="clear" w:color="auto" w:fill="auto"/>
          </w:tcPr>
          <w:p w:rsidR="005F0530" w:rsidRPr="00174283" w:rsidRDefault="005F0530" w:rsidP="0010148C">
            <w:pPr>
              <w:suppressAutoHyphens w:val="0"/>
              <w:spacing w:before="40" w:after="40" w:line="220" w:lineRule="exact"/>
              <w:jc w:val="right"/>
              <w:rPr>
                <w:sz w:val="18"/>
                <w:szCs w:val="18"/>
                <w:lang w:val="fr-FR"/>
              </w:rPr>
            </w:pPr>
            <w:r w:rsidRPr="00174283">
              <w:rPr>
                <w:sz w:val="18"/>
                <w:szCs w:val="18"/>
                <w:lang w:val="fr-FR"/>
              </w:rPr>
              <w:t>780</w:t>
            </w:r>
          </w:p>
        </w:tc>
        <w:tc>
          <w:tcPr>
            <w:tcW w:w="2408" w:type="dxa"/>
            <w:tcBorders>
              <w:bottom w:val="single" w:sz="12" w:space="0" w:color="auto"/>
            </w:tcBorders>
            <w:shd w:val="clear" w:color="auto" w:fill="auto"/>
          </w:tcPr>
          <w:p w:rsidR="005F0530" w:rsidRPr="00900FF9" w:rsidRDefault="005F0530" w:rsidP="0010148C">
            <w:pPr>
              <w:suppressAutoHyphens w:val="0"/>
              <w:spacing w:before="40" w:after="40" w:line="220" w:lineRule="exact"/>
              <w:jc w:val="right"/>
              <w:rPr>
                <w:b/>
                <w:bCs/>
                <w:sz w:val="18"/>
                <w:szCs w:val="18"/>
                <w:lang w:val="fr-FR"/>
              </w:rPr>
            </w:pPr>
            <w:r w:rsidRPr="00900FF9">
              <w:rPr>
                <w:b/>
                <w:bCs/>
                <w:sz w:val="18"/>
                <w:szCs w:val="18"/>
                <w:lang w:val="fr-FR"/>
              </w:rPr>
              <w:t>1</w:t>
            </w:r>
            <w:r w:rsidR="003D6065" w:rsidRPr="00900FF9">
              <w:rPr>
                <w:b/>
                <w:bCs/>
                <w:sz w:val="18"/>
                <w:szCs w:val="18"/>
                <w:lang w:val="fr-FR"/>
              </w:rPr>
              <w:t xml:space="preserve"> </w:t>
            </w:r>
            <w:r w:rsidRPr="00900FF9">
              <w:rPr>
                <w:b/>
                <w:bCs/>
                <w:sz w:val="18"/>
                <w:szCs w:val="18"/>
                <w:lang w:val="fr-FR"/>
              </w:rPr>
              <w:t>698</w:t>
            </w:r>
          </w:p>
        </w:tc>
      </w:tr>
    </w:tbl>
    <w:p w:rsidR="00B22785" w:rsidRPr="00174283" w:rsidRDefault="00B22785" w:rsidP="00B22785">
      <w:pPr>
        <w:pStyle w:val="H1G"/>
        <w:rPr>
          <w:lang w:val="fr-FR"/>
        </w:rPr>
      </w:pPr>
      <w:r w:rsidRPr="00174283">
        <w:rPr>
          <w:lang w:val="fr-FR"/>
        </w:rPr>
        <w:tab/>
      </w:r>
      <w:r w:rsidRPr="00174283">
        <w:rPr>
          <w:lang w:val="fr-FR"/>
        </w:rPr>
        <w:tab/>
        <w:t>R</w:t>
      </w:r>
      <w:r w:rsidR="00C5200E" w:rsidRPr="00174283">
        <w:rPr>
          <w:lang w:val="fr-FR"/>
        </w:rPr>
        <w:t xml:space="preserve">éponse aux recommandations </w:t>
      </w:r>
      <w:r w:rsidR="005204D3" w:rsidRPr="00174283">
        <w:rPr>
          <w:lang w:val="fr-FR"/>
        </w:rPr>
        <w:t xml:space="preserve">figurant au paragraphe 19 des observations finales du Comité </w:t>
      </w:r>
    </w:p>
    <w:p w:rsidR="000C7F70" w:rsidRPr="00174283" w:rsidRDefault="009E1A92" w:rsidP="009E1A92">
      <w:pPr>
        <w:pStyle w:val="SingleTxtG"/>
        <w:rPr>
          <w:lang w:val="fr-FR"/>
        </w:rPr>
      </w:pPr>
      <w:r>
        <w:rPr>
          <w:lang w:val="fr-FR"/>
        </w:rPr>
        <w:t>209.</w:t>
      </w:r>
      <w:r>
        <w:rPr>
          <w:lang w:val="fr-FR"/>
        </w:rPr>
        <w:tab/>
      </w:r>
      <w:r w:rsidR="005204D3" w:rsidRPr="00174283">
        <w:rPr>
          <w:lang w:val="fr-FR"/>
        </w:rPr>
        <w:t>Entre février 2007 et août 2011, l</w:t>
      </w:r>
      <w:r w:rsidR="00205A62">
        <w:rPr>
          <w:lang w:val="fr-FR"/>
        </w:rPr>
        <w:t>’</w:t>
      </w:r>
      <w:r w:rsidR="005204D3" w:rsidRPr="00174283">
        <w:rPr>
          <w:lang w:val="fr-FR"/>
        </w:rPr>
        <w:t xml:space="preserve">Académie de formation des juges et procureurs de Macédoine a organisé 22 </w:t>
      </w:r>
      <w:r w:rsidR="002721B1" w:rsidRPr="00174283">
        <w:rPr>
          <w:lang w:val="fr-FR"/>
        </w:rPr>
        <w:t xml:space="preserve">activités </w:t>
      </w:r>
      <w:r w:rsidR="00A31E49" w:rsidRPr="00174283">
        <w:rPr>
          <w:lang w:val="fr-FR"/>
        </w:rPr>
        <w:t>(formations, séminaires, visites d</w:t>
      </w:r>
      <w:r w:rsidR="00205A62">
        <w:rPr>
          <w:lang w:val="fr-FR"/>
        </w:rPr>
        <w:t>’</w:t>
      </w:r>
      <w:r w:rsidR="00A31E49" w:rsidRPr="00174283">
        <w:rPr>
          <w:lang w:val="fr-FR"/>
        </w:rPr>
        <w:t>étude)</w:t>
      </w:r>
      <w:r w:rsidR="00900FF9">
        <w:rPr>
          <w:lang w:val="fr-FR"/>
        </w:rPr>
        <w:t xml:space="preserve"> auxquelles 314 </w:t>
      </w:r>
      <w:r w:rsidR="005204D3" w:rsidRPr="00174283">
        <w:rPr>
          <w:lang w:val="fr-FR"/>
        </w:rPr>
        <w:t>personnes</w:t>
      </w:r>
      <w:r w:rsidR="00A31E49" w:rsidRPr="00174283">
        <w:rPr>
          <w:lang w:val="fr-FR"/>
        </w:rPr>
        <w:t xml:space="preserve"> ont participé</w:t>
      </w:r>
      <w:r w:rsidR="005204D3" w:rsidRPr="00174283">
        <w:rPr>
          <w:lang w:val="fr-FR"/>
        </w:rPr>
        <w:t xml:space="preserve">. </w:t>
      </w:r>
    </w:p>
    <w:p w:rsidR="005F0530" w:rsidRPr="00174283" w:rsidRDefault="009E1A92" w:rsidP="009E1A92">
      <w:pPr>
        <w:pStyle w:val="SingleTxtG"/>
        <w:rPr>
          <w:lang w:val="fr-FR"/>
        </w:rPr>
      </w:pPr>
      <w:r>
        <w:rPr>
          <w:lang w:val="fr-FR"/>
        </w:rPr>
        <w:t>210.</w:t>
      </w:r>
      <w:r>
        <w:rPr>
          <w:lang w:val="fr-FR"/>
        </w:rPr>
        <w:tab/>
      </w:r>
      <w:r w:rsidR="005204D3" w:rsidRPr="00174283">
        <w:rPr>
          <w:lang w:val="fr-FR"/>
        </w:rPr>
        <w:t xml:space="preserve">Dix </w:t>
      </w:r>
      <w:r w:rsidR="00A31E49" w:rsidRPr="00174283">
        <w:rPr>
          <w:lang w:val="fr-FR"/>
        </w:rPr>
        <w:t xml:space="preserve">de ces activités étaient des </w:t>
      </w:r>
      <w:r w:rsidR="001E5012" w:rsidRPr="00174283">
        <w:rPr>
          <w:lang w:val="fr-FR"/>
        </w:rPr>
        <w:t>formations</w:t>
      </w:r>
      <w:r w:rsidR="00A31E49" w:rsidRPr="00174283">
        <w:rPr>
          <w:lang w:val="fr-FR"/>
        </w:rPr>
        <w:t xml:space="preserve"> et</w:t>
      </w:r>
      <w:r w:rsidR="005204D3" w:rsidRPr="00174283">
        <w:rPr>
          <w:lang w:val="fr-FR"/>
        </w:rPr>
        <w:t xml:space="preserve"> </w:t>
      </w:r>
      <w:r w:rsidR="00170C41" w:rsidRPr="00174283">
        <w:rPr>
          <w:lang w:val="fr-FR"/>
        </w:rPr>
        <w:t xml:space="preserve">ont été </w:t>
      </w:r>
      <w:r w:rsidR="00900FF9">
        <w:rPr>
          <w:lang w:val="fr-FR"/>
        </w:rPr>
        <w:t>suivies par un total de 290 </w:t>
      </w:r>
      <w:r w:rsidR="005204D3" w:rsidRPr="00174283">
        <w:rPr>
          <w:lang w:val="fr-FR"/>
        </w:rPr>
        <w:t>participants, dont 115 juges, 76 procureur</w:t>
      </w:r>
      <w:r w:rsidR="005D6C36" w:rsidRPr="00174283">
        <w:rPr>
          <w:lang w:val="fr-FR"/>
        </w:rPr>
        <w:t>s, 53</w:t>
      </w:r>
      <w:r w:rsidR="005204D3" w:rsidRPr="00174283">
        <w:rPr>
          <w:lang w:val="fr-FR"/>
        </w:rPr>
        <w:t xml:space="preserve"> </w:t>
      </w:r>
      <w:r w:rsidR="00170C41" w:rsidRPr="00174283">
        <w:rPr>
          <w:lang w:val="fr-FR"/>
        </w:rPr>
        <w:t>conseillers de tribunaux,</w:t>
      </w:r>
      <w:r w:rsidR="005204D3" w:rsidRPr="00174283">
        <w:rPr>
          <w:lang w:val="fr-FR"/>
        </w:rPr>
        <w:t xml:space="preserve"> 6 conseillers du parquet et 40 représentants d</w:t>
      </w:r>
      <w:r w:rsidR="00205A62">
        <w:rPr>
          <w:lang w:val="fr-FR"/>
        </w:rPr>
        <w:t>’</w:t>
      </w:r>
      <w:r w:rsidR="005204D3" w:rsidRPr="00174283">
        <w:rPr>
          <w:lang w:val="fr-FR"/>
        </w:rPr>
        <w:t xml:space="preserve">autres institutions. </w:t>
      </w:r>
      <w:r w:rsidR="00A31E49" w:rsidRPr="00174283">
        <w:rPr>
          <w:lang w:val="fr-FR"/>
        </w:rPr>
        <w:t>Elles</w:t>
      </w:r>
      <w:r w:rsidR="005204D3" w:rsidRPr="00174283">
        <w:rPr>
          <w:lang w:val="fr-FR"/>
        </w:rPr>
        <w:t xml:space="preserve"> ont porté sur les sujets suivants</w:t>
      </w:r>
      <w:r w:rsidR="002F51DC">
        <w:rPr>
          <w:lang w:val="fr-FR"/>
        </w:rPr>
        <w:t>:</w:t>
      </w:r>
      <w:r w:rsidR="005204D3" w:rsidRPr="00174283">
        <w:rPr>
          <w:lang w:val="fr-FR"/>
        </w:rPr>
        <w:t xml:space="preserve"> </w:t>
      </w:r>
    </w:p>
    <w:p w:rsidR="005F0530" w:rsidRPr="00174283" w:rsidRDefault="0028164E" w:rsidP="00ED433F">
      <w:pPr>
        <w:pStyle w:val="Bullet1G"/>
        <w:rPr>
          <w:lang w:val="fr-FR"/>
        </w:rPr>
      </w:pPr>
      <w:r w:rsidRPr="00174283">
        <w:rPr>
          <w:lang w:val="fr-FR"/>
        </w:rPr>
        <w:t>Non-d</w:t>
      </w:r>
      <w:r w:rsidR="005F0530" w:rsidRPr="00174283">
        <w:rPr>
          <w:lang w:val="fr-FR"/>
        </w:rPr>
        <w:t>iscrimination –</w:t>
      </w:r>
      <w:r w:rsidR="00D3648C" w:rsidRPr="00174283">
        <w:rPr>
          <w:lang w:val="fr-FR"/>
        </w:rPr>
        <w:t xml:space="preserve"> </w:t>
      </w:r>
      <w:r w:rsidRPr="00174283">
        <w:rPr>
          <w:lang w:val="fr-FR"/>
        </w:rPr>
        <w:t>4 formations</w:t>
      </w:r>
      <w:r w:rsidR="005F0530" w:rsidRPr="00174283">
        <w:rPr>
          <w:lang w:val="fr-FR"/>
        </w:rPr>
        <w:t>;</w:t>
      </w:r>
    </w:p>
    <w:p w:rsidR="005F0530" w:rsidRPr="00174283" w:rsidRDefault="005F0530" w:rsidP="00ED433F">
      <w:pPr>
        <w:pStyle w:val="Bullet1G"/>
        <w:rPr>
          <w:lang w:val="fr-FR"/>
        </w:rPr>
      </w:pPr>
      <w:r w:rsidRPr="00174283">
        <w:rPr>
          <w:lang w:val="fr-FR"/>
        </w:rPr>
        <w:t xml:space="preserve">Concept </w:t>
      </w:r>
      <w:r w:rsidR="0028164E" w:rsidRPr="00174283">
        <w:rPr>
          <w:lang w:val="fr-FR"/>
        </w:rPr>
        <w:t>de non</w:t>
      </w:r>
      <w:r w:rsidRPr="00174283">
        <w:rPr>
          <w:lang w:val="fr-FR"/>
        </w:rPr>
        <w:t>-</w:t>
      </w:r>
      <w:r w:rsidR="0028164E" w:rsidRPr="00174283">
        <w:rPr>
          <w:lang w:val="fr-FR"/>
        </w:rPr>
        <w:t>d</w:t>
      </w:r>
      <w:r w:rsidRPr="00174283">
        <w:rPr>
          <w:lang w:val="fr-FR"/>
        </w:rPr>
        <w:t>iscrimination;</w:t>
      </w:r>
    </w:p>
    <w:p w:rsidR="005F0530" w:rsidRPr="00174283" w:rsidRDefault="0028164E" w:rsidP="00ED433F">
      <w:pPr>
        <w:pStyle w:val="Bullet1G"/>
        <w:rPr>
          <w:lang w:val="fr-FR"/>
        </w:rPr>
      </w:pPr>
      <w:r w:rsidRPr="00174283">
        <w:rPr>
          <w:lang w:val="fr-FR"/>
        </w:rPr>
        <w:t>Cadre juridique national et international sur la non-discrimination;</w:t>
      </w:r>
    </w:p>
    <w:p w:rsidR="005F0530" w:rsidRPr="00174283" w:rsidRDefault="005F0530" w:rsidP="001D5C6C">
      <w:pPr>
        <w:pStyle w:val="Bullet1G"/>
        <w:rPr>
          <w:lang w:val="fr-FR"/>
        </w:rPr>
      </w:pPr>
      <w:r w:rsidRPr="00174283">
        <w:rPr>
          <w:lang w:val="fr-FR"/>
        </w:rPr>
        <w:t xml:space="preserve">Convention </w:t>
      </w:r>
      <w:r w:rsidR="0028164E" w:rsidRPr="00174283">
        <w:rPr>
          <w:lang w:val="fr-FR"/>
        </w:rPr>
        <w:t>sur l</w:t>
      </w:r>
      <w:r w:rsidR="00205A62">
        <w:rPr>
          <w:lang w:val="fr-FR"/>
        </w:rPr>
        <w:t>’</w:t>
      </w:r>
      <w:r w:rsidR="001E5012" w:rsidRPr="00174283">
        <w:rPr>
          <w:lang w:val="fr-FR"/>
        </w:rPr>
        <w:t>élimination</w:t>
      </w:r>
      <w:r w:rsidR="0028164E" w:rsidRPr="00174283">
        <w:rPr>
          <w:lang w:val="fr-FR"/>
        </w:rPr>
        <w:t xml:space="preserve"> de toutes les formes de discrimination à l</w:t>
      </w:r>
      <w:r w:rsidR="00205A62">
        <w:rPr>
          <w:lang w:val="fr-FR"/>
        </w:rPr>
        <w:t>’</w:t>
      </w:r>
      <w:r w:rsidR="0028164E" w:rsidRPr="00174283">
        <w:rPr>
          <w:lang w:val="fr-FR"/>
        </w:rPr>
        <w:t xml:space="preserve">égard des femmes et son Protocole facultatif </w:t>
      </w:r>
      <w:r w:rsidR="00A755E5" w:rsidRPr="00174283">
        <w:rPr>
          <w:lang w:val="fr-FR"/>
        </w:rPr>
        <w:t>–</w:t>
      </w:r>
      <w:r w:rsidR="00D3648C" w:rsidRPr="00174283">
        <w:rPr>
          <w:lang w:val="fr-FR"/>
        </w:rPr>
        <w:t xml:space="preserve"> </w:t>
      </w:r>
      <w:r w:rsidR="001D5C6C" w:rsidRPr="00174283">
        <w:rPr>
          <w:lang w:val="fr-FR"/>
        </w:rPr>
        <w:t>4 formations</w:t>
      </w:r>
      <w:r w:rsidR="00A755E5" w:rsidRPr="00174283">
        <w:rPr>
          <w:lang w:val="fr-FR"/>
        </w:rPr>
        <w:t>.</w:t>
      </w:r>
    </w:p>
    <w:p w:rsidR="005F0530" w:rsidRPr="00174283" w:rsidRDefault="009E1A92" w:rsidP="009E1A92">
      <w:pPr>
        <w:pStyle w:val="SingleTxtG"/>
        <w:rPr>
          <w:lang w:val="fr-FR"/>
        </w:rPr>
      </w:pPr>
      <w:r>
        <w:rPr>
          <w:lang w:val="fr-FR"/>
        </w:rPr>
        <w:t>211.</w:t>
      </w:r>
      <w:r>
        <w:rPr>
          <w:lang w:val="fr-FR"/>
        </w:rPr>
        <w:tab/>
      </w:r>
      <w:r w:rsidR="00ED433F" w:rsidRPr="00174283">
        <w:rPr>
          <w:lang w:val="fr-FR"/>
        </w:rPr>
        <w:t>S</w:t>
      </w:r>
      <w:r w:rsidR="0028164E" w:rsidRPr="00174283">
        <w:rPr>
          <w:lang w:val="fr-FR"/>
        </w:rPr>
        <w:t>ept séminaires ont été organisés à l</w:t>
      </w:r>
      <w:r w:rsidR="00205A62">
        <w:rPr>
          <w:lang w:val="fr-FR"/>
        </w:rPr>
        <w:t>’</w:t>
      </w:r>
      <w:r w:rsidR="0028164E" w:rsidRPr="00174283">
        <w:rPr>
          <w:lang w:val="fr-FR"/>
        </w:rPr>
        <w:t xml:space="preserve">étranger </w:t>
      </w:r>
      <w:r w:rsidR="001E3F7A" w:rsidRPr="00174283">
        <w:rPr>
          <w:lang w:val="fr-FR"/>
        </w:rPr>
        <w:t>auxquels ont participé 13 représentants de la République de Macédoine, dont 9 juges et 4 procureurs. Ces séminaires ont porté sur le</w:t>
      </w:r>
      <w:r w:rsidR="001D5C6C" w:rsidRPr="00174283">
        <w:rPr>
          <w:lang w:val="fr-FR"/>
        </w:rPr>
        <w:t>s</w:t>
      </w:r>
      <w:r w:rsidR="001E3F7A" w:rsidRPr="00174283">
        <w:rPr>
          <w:lang w:val="fr-FR"/>
        </w:rPr>
        <w:t xml:space="preserve"> sujets suivants</w:t>
      </w:r>
      <w:r w:rsidR="002F51DC">
        <w:rPr>
          <w:lang w:val="fr-FR"/>
        </w:rPr>
        <w:t>:</w:t>
      </w:r>
      <w:r w:rsidR="001E3F7A" w:rsidRPr="00174283">
        <w:rPr>
          <w:lang w:val="fr-FR"/>
        </w:rPr>
        <w:t xml:space="preserve"> </w:t>
      </w:r>
    </w:p>
    <w:p w:rsidR="005F0530" w:rsidRPr="00174283" w:rsidRDefault="001E3F7A" w:rsidP="00ED433F">
      <w:pPr>
        <w:pStyle w:val="Bullet1G"/>
        <w:rPr>
          <w:lang w:val="fr-FR"/>
        </w:rPr>
      </w:pPr>
      <w:r w:rsidRPr="00174283">
        <w:rPr>
          <w:lang w:val="fr-FR"/>
        </w:rPr>
        <w:t>Lutte contre la discrimination</w:t>
      </w:r>
      <w:r w:rsidR="005F0530" w:rsidRPr="00174283">
        <w:rPr>
          <w:lang w:val="fr-FR"/>
        </w:rPr>
        <w:t>;</w:t>
      </w:r>
    </w:p>
    <w:p w:rsidR="005F0530" w:rsidRPr="00174283" w:rsidRDefault="001E3F7A" w:rsidP="0040042C">
      <w:pPr>
        <w:pStyle w:val="Bullet1G"/>
        <w:rPr>
          <w:lang w:val="fr-FR"/>
        </w:rPr>
      </w:pPr>
      <w:r w:rsidRPr="00174283">
        <w:rPr>
          <w:lang w:val="fr-FR"/>
        </w:rPr>
        <w:t xml:space="preserve">Directives </w:t>
      </w:r>
      <w:r w:rsidR="005F0530" w:rsidRPr="00174283">
        <w:rPr>
          <w:lang w:val="fr-FR"/>
        </w:rPr>
        <w:t xml:space="preserve">2000/43 </w:t>
      </w:r>
      <w:r w:rsidRPr="00174283">
        <w:rPr>
          <w:lang w:val="fr-FR"/>
        </w:rPr>
        <w:t>et</w:t>
      </w:r>
      <w:r w:rsidR="005F0530" w:rsidRPr="00174283">
        <w:rPr>
          <w:lang w:val="fr-FR"/>
        </w:rPr>
        <w:t xml:space="preserve"> 2000/78</w:t>
      </w:r>
      <w:r w:rsidR="00D3648C" w:rsidRPr="00174283">
        <w:rPr>
          <w:lang w:val="fr-FR"/>
        </w:rPr>
        <w:t xml:space="preserve"> de l</w:t>
      </w:r>
      <w:r w:rsidR="00205A62">
        <w:rPr>
          <w:lang w:val="fr-FR"/>
        </w:rPr>
        <w:t>’</w:t>
      </w:r>
      <w:r w:rsidR="00D3648C" w:rsidRPr="00174283">
        <w:rPr>
          <w:lang w:val="fr-FR"/>
        </w:rPr>
        <w:t>Union européenne contre la discrimination</w:t>
      </w:r>
      <w:r w:rsidR="002F51DC">
        <w:rPr>
          <w:lang w:val="fr-FR"/>
        </w:rPr>
        <w:t>:</w:t>
      </w:r>
      <w:r w:rsidR="005F0530" w:rsidRPr="00174283">
        <w:rPr>
          <w:lang w:val="fr-FR"/>
        </w:rPr>
        <w:t xml:space="preserve"> </w:t>
      </w:r>
      <w:r w:rsidR="0040042C" w:rsidRPr="00174283">
        <w:rPr>
          <w:lang w:val="fr-FR"/>
        </w:rPr>
        <w:t xml:space="preserve">Expériences pratiques et dernières réalisations </w:t>
      </w:r>
      <w:r w:rsidR="005F0530" w:rsidRPr="00174283">
        <w:rPr>
          <w:lang w:val="fr-FR"/>
        </w:rPr>
        <w:t xml:space="preserve">– </w:t>
      </w:r>
      <w:r w:rsidRPr="00174283">
        <w:rPr>
          <w:lang w:val="fr-FR"/>
        </w:rPr>
        <w:t>3 séminaires</w:t>
      </w:r>
      <w:r w:rsidR="005F0530" w:rsidRPr="00174283">
        <w:rPr>
          <w:lang w:val="fr-FR"/>
        </w:rPr>
        <w:t>;</w:t>
      </w:r>
    </w:p>
    <w:p w:rsidR="005F0530" w:rsidRPr="00174283" w:rsidRDefault="001E3F7A" w:rsidP="00ED433F">
      <w:pPr>
        <w:pStyle w:val="Bullet1G"/>
        <w:rPr>
          <w:lang w:val="fr-FR"/>
        </w:rPr>
      </w:pPr>
      <w:r w:rsidRPr="00174283">
        <w:rPr>
          <w:lang w:val="fr-FR"/>
        </w:rPr>
        <w:t xml:space="preserve">Directives </w:t>
      </w:r>
      <w:r w:rsidR="005F0530" w:rsidRPr="00174283">
        <w:rPr>
          <w:lang w:val="fr-FR"/>
        </w:rPr>
        <w:t xml:space="preserve">2000/78 </w:t>
      </w:r>
      <w:r w:rsidRPr="00174283">
        <w:rPr>
          <w:lang w:val="fr-FR"/>
        </w:rPr>
        <w:t>et</w:t>
      </w:r>
      <w:r w:rsidR="005F0530" w:rsidRPr="00174283">
        <w:rPr>
          <w:lang w:val="fr-FR"/>
        </w:rPr>
        <w:t xml:space="preserve"> </w:t>
      </w:r>
      <w:r w:rsidR="00A755E5" w:rsidRPr="00174283">
        <w:rPr>
          <w:lang w:val="fr-FR"/>
        </w:rPr>
        <w:t xml:space="preserve">2000/43 </w:t>
      </w:r>
      <w:r w:rsidR="00D14129" w:rsidRPr="00174283">
        <w:rPr>
          <w:lang w:val="fr-FR"/>
        </w:rPr>
        <w:t xml:space="preserve">de la Commission européenne </w:t>
      </w:r>
      <w:r w:rsidRPr="00174283">
        <w:rPr>
          <w:lang w:val="fr-FR"/>
        </w:rPr>
        <w:t xml:space="preserve">contre la discrimination </w:t>
      </w:r>
      <w:r w:rsidR="00A755E5" w:rsidRPr="00174283">
        <w:rPr>
          <w:lang w:val="fr-FR"/>
        </w:rPr>
        <w:t>–</w:t>
      </w:r>
      <w:r w:rsidRPr="00174283">
        <w:rPr>
          <w:lang w:val="fr-FR"/>
        </w:rPr>
        <w:t xml:space="preserve"> 2 séminaires</w:t>
      </w:r>
      <w:r w:rsidR="00A755E5" w:rsidRPr="00174283">
        <w:rPr>
          <w:lang w:val="fr-FR"/>
        </w:rPr>
        <w:t>.</w:t>
      </w:r>
    </w:p>
    <w:p w:rsidR="005F0530" w:rsidRPr="00174283" w:rsidRDefault="009E1A92" w:rsidP="009E1A92">
      <w:pPr>
        <w:pStyle w:val="SingleTxtG"/>
        <w:rPr>
          <w:lang w:val="fr-FR"/>
        </w:rPr>
      </w:pPr>
      <w:r>
        <w:rPr>
          <w:lang w:val="fr-FR"/>
        </w:rPr>
        <w:t>212.</w:t>
      </w:r>
      <w:r>
        <w:rPr>
          <w:lang w:val="fr-FR"/>
        </w:rPr>
        <w:tab/>
      </w:r>
      <w:r w:rsidR="0040042C" w:rsidRPr="00174283">
        <w:rPr>
          <w:lang w:val="fr-FR"/>
        </w:rPr>
        <w:t xml:space="preserve">Neuf </w:t>
      </w:r>
      <w:r w:rsidR="001E3F7A" w:rsidRPr="00174283">
        <w:rPr>
          <w:lang w:val="fr-FR"/>
        </w:rPr>
        <w:t xml:space="preserve">juges et 2 </w:t>
      </w:r>
      <w:r w:rsidR="001651E9" w:rsidRPr="00174283">
        <w:rPr>
          <w:lang w:val="fr-FR"/>
        </w:rPr>
        <w:t>procureurs</w:t>
      </w:r>
      <w:r w:rsidR="0040042C" w:rsidRPr="00174283">
        <w:rPr>
          <w:lang w:val="fr-FR"/>
        </w:rPr>
        <w:t xml:space="preserve"> ont pris part à </w:t>
      </w:r>
      <w:r w:rsidR="00900FF9">
        <w:rPr>
          <w:lang w:val="fr-FR"/>
        </w:rPr>
        <w:t>5</w:t>
      </w:r>
      <w:r w:rsidR="0040042C" w:rsidRPr="00174283">
        <w:rPr>
          <w:lang w:val="fr-FR"/>
        </w:rPr>
        <w:t xml:space="preserve"> visites d</w:t>
      </w:r>
      <w:r w:rsidR="00205A62">
        <w:rPr>
          <w:lang w:val="fr-FR"/>
        </w:rPr>
        <w:t>’</w:t>
      </w:r>
      <w:r w:rsidR="0040042C" w:rsidRPr="00174283">
        <w:rPr>
          <w:lang w:val="fr-FR"/>
        </w:rPr>
        <w:t xml:space="preserve">étude sur les </w:t>
      </w:r>
      <w:r w:rsidR="001E3F7A" w:rsidRPr="00174283">
        <w:rPr>
          <w:lang w:val="fr-FR"/>
        </w:rPr>
        <w:t>thèmes </w:t>
      </w:r>
      <w:r w:rsidR="0040042C" w:rsidRPr="00174283">
        <w:rPr>
          <w:lang w:val="fr-FR"/>
        </w:rPr>
        <w:t>suivants</w:t>
      </w:r>
      <w:r w:rsidR="001E3F7A" w:rsidRPr="00174283">
        <w:rPr>
          <w:lang w:val="fr-FR"/>
        </w:rPr>
        <w:t>:</w:t>
      </w:r>
    </w:p>
    <w:p w:rsidR="005F0530" w:rsidRPr="00174283" w:rsidRDefault="001E3F7A" w:rsidP="000C7F70">
      <w:pPr>
        <w:pStyle w:val="Bullet1G"/>
        <w:rPr>
          <w:lang w:val="fr-FR"/>
        </w:rPr>
      </w:pPr>
      <w:r w:rsidRPr="00174283">
        <w:rPr>
          <w:lang w:val="fr-FR"/>
        </w:rPr>
        <w:t>Directives anti</w:t>
      </w:r>
      <w:r w:rsidR="003A440A" w:rsidRPr="00174283">
        <w:rPr>
          <w:lang w:val="fr-FR"/>
        </w:rPr>
        <w:t>-</w:t>
      </w:r>
      <w:r w:rsidRPr="00174283">
        <w:rPr>
          <w:lang w:val="fr-FR"/>
        </w:rPr>
        <w:t xml:space="preserve">discrimination </w:t>
      </w:r>
      <w:r w:rsidR="005F0530" w:rsidRPr="00174283">
        <w:rPr>
          <w:lang w:val="fr-FR"/>
        </w:rPr>
        <w:t xml:space="preserve">2000/78 </w:t>
      </w:r>
      <w:r w:rsidRPr="00174283">
        <w:rPr>
          <w:lang w:val="fr-FR"/>
        </w:rPr>
        <w:t>et</w:t>
      </w:r>
      <w:r w:rsidR="00A755E5" w:rsidRPr="00174283">
        <w:rPr>
          <w:lang w:val="fr-FR"/>
        </w:rPr>
        <w:t xml:space="preserve"> 2000/43 </w:t>
      </w:r>
      <w:r w:rsidRPr="00174283">
        <w:rPr>
          <w:lang w:val="fr-FR"/>
        </w:rPr>
        <w:t xml:space="preserve">de la Commission européenne </w:t>
      </w:r>
      <w:r w:rsidR="00A755E5" w:rsidRPr="00174283">
        <w:rPr>
          <w:lang w:val="fr-FR"/>
        </w:rPr>
        <w:t xml:space="preserve">– </w:t>
      </w:r>
      <w:r w:rsidR="00900FF9">
        <w:rPr>
          <w:lang w:val="fr-FR"/>
        </w:rPr>
        <w:t>5 </w:t>
      </w:r>
      <w:r w:rsidRPr="00174283">
        <w:rPr>
          <w:lang w:val="fr-FR"/>
        </w:rPr>
        <w:t>visites</w:t>
      </w:r>
      <w:r w:rsidR="002F51DC">
        <w:rPr>
          <w:lang w:val="fr-FR"/>
        </w:rPr>
        <w:t>:</w:t>
      </w:r>
    </w:p>
    <w:p w:rsidR="000C7F70" w:rsidRPr="00174283" w:rsidRDefault="00C80393" w:rsidP="000C7F70">
      <w:pPr>
        <w:pStyle w:val="SingleTxtG"/>
        <w:ind w:left="1701"/>
        <w:rPr>
          <w:lang w:val="fr-FR"/>
        </w:rPr>
      </w:pPr>
      <w:r>
        <w:rPr>
          <w:lang w:val="fr-FR"/>
        </w:rPr>
        <w:tab/>
      </w:r>
      <w:r w:rsidR="005F0530" w:rsidRPr="00174283">
        <w:rPr>
          <w:lang w:val="fr-FR"/>
        </w:rPr>
        <w:t>1)</w:t>
      </w:r>
      <w:r w:rsidR="005F0530" w:rsidRPr="00174283">
        <w:rPr>
          <w:lang w:val="fr-FR"/>
        </w:rPr>
        <w:tab/>
      </w:r>
      <w:r w:rsidR="001E3F7A" w:rsidRPr="00174283">
        <w:rPr>
          <w:lang w:val="fr-FR"/>
        </w:rPr>
        <w:t>Au deuxième semest</w:t>
      </w:r>
      <w:r w:rsidR="00F938EB" w:rsidRPr="00174283">
        <w:rPr>
          <w:lang w:val="fr-FR"/>
        </w:rPr>
        <w:t xml:space="preserve">re de 2011 et plus particulièrement en octobre, une formation de deux jours a été organisée sur le concept </w:t>
      </w:r>
      <w:r w:rsidR="00040044" w:rsidRPr="00174283">
        <w:rPr>
          <w:lang w:val="fr-FR"/>
        </w:rPr>
        <w:t>de non-</w:t>
      </w:r>
      <w:r w:rsidR="00F938EB" w:rsidRPr="00174283">
        <w:rPr>
          <w:lang w:val="fr-FR"/>
        </w:rPr>
        <w:t>discrimination</w:t>
      </w:r>
      <w:r w:rsidR="0040042C" w:rsidRPr="00174283">
        <w:rPr>
          <w:lang w:val="fr-FR"/>
        </w:rPr>
        <w:t>;</w:t>
      </w:r>
      <w:r w:rsidR="00900FF9">
        <w:rPr>
          <w:lang w:val="fr-FR"/>
        </w:rPr>
        <w:t xml:space="preserve"> 21 </w:t>
      </w:r>
      <w:r w:rsidR="00F938EB" w:rsidRPr="00174283">
        <w:rPr>
          <w:lang w:val="fr-FR"/>
        </w:rPr>
        <w:t>personnes,</w:t>
      </w:r>
      <w:r w:rsidR="003A440A" w:rsidRPr="00174283">
        <w:rPr>
          <w:lang w:val="fr-FR"/>
        </w:rPr>
        <w:t xml:space="preserve"> dont 11 juges, 3 procureurs, 3 </w:t>
      </w:r>
      <w:r w:rsidR="00F938EB" w:rsidRPr="00174283">
        <w:rPr>
          <w:lang w:val="fr-FR"/>
        </w:rPr>
        <w:t>avocats et 3</w:t>
      </w:r>
      <w:r w:rsidR="00ED1560" w:rsidRPr="00174283">
        <w:rPr>
          <w:lang w:val="fr-FR"/>
        </w:rPr>
        <w:t> </w:t>
      </w:r>
      <w:r w:rsidR="00F938EB" w:rsidRPr="00174283">
        <w:rPr>
          <w:lang w:val="fr-FR"/>
        </w:rPr>
        <w:t xml:space="preserve">représentants de la Commission </w:t>
      </w:r>
      <w:r w:rsidR="00D14129" w:rsidRPr="00174283">
        <w:rPr>
          <w:lang w:val="fr-FR"/>
        </w:rPr>
        <w:t>pour la</w:t>
      </w:r>
      <w:r w:rsidR="00F938EB" w:rsidRPr="00174283">
        <w:rPr>
          <w:lang w:val="fr-FR"/>
        </w:rPr>
        <w:t xml:space="preserve"> protection contre la discrimination</w:t>
      </w:r>
      <w:r w:rsidR="00ED1560" w:rsidRPr="00174283">
        <w:rPr>
          <w:lang w:val="fr-FR"/>
        </w:rPr>
        <w:t xml:space="preserve"> et 1 </w:t>
      </w:r>
      <w:r w:rsidR="00F938EB" w:rsidRPr="00174283">
        <w:rPr>
          <w:lang w:val="fr-FR"/>
        </w:rPr>
        <w:t>représentant du Bureau du Médiateur</w:t>
      </w:r>
      <w:r w:rsidR="0040042C" w:rsidRPr="00174283">
        <w:rPr>
          <w:lang w:val="fr-FR"/>
        </w:rPr>
        <w:t xml:space="preserve"> y ont pris part</w:t>
      </w:r>
      <w:r w:rsidR="00F938EB" w:rsidRPr="00174283">
        <w:rPr>
          <w:lang w:val="fr-FR"/>
        </w:rPr>
        <w:t xml:space="preserve">. </w:t>
      </w:r>
    </w:p>
    <w:p w:rsidR="005F0530" w:rsidRPr="00174283" w:rsidRDefault="00C80393" w:rsidP="00900FF9">
      <w:pPr>
        <w:pStyle w:val="SingleTxtG"/>
        <w:ind w:left="1701"/>
        <w:rPr>
          <w:lang w:val="fr-FR"/>
        </w:rPr>
      </w:pPr>
      <w:r>
        <w:rPr>
          <w:lang w:val="fr-FR"/>
        </w:rPr>
        <w:tab/>
      </w:r>
      <w:r w:rsidR="005F0530" w:rsidRPr="00174283">
        <w:rPr>
          <w:lang w:val="fr-FR"/>
        </w:rPr>
        <w:t>2)</w:t>
      </w:r>
      <w:r w:rsidR="005F0530" w:rsidRPr="00174283">
        <w:rPr>
          <w:lang w:val="fr-FR"/>
        </w:rPr>
        <w:tab/>
      </w:r>
      <w:r w:rsidR="00F938EB" w:rsidRPr="00174283">
        <w:rPr>
          <w:lang w:val="fr-FR"/>
        </w:rPr>
        <w:t xml:space="preserve">Quatre activités ont été organisées en </w:t>
      </w:r>
      <w:r w:rsidR="005F0530" w:rsidRPr="00174283">
        <w:rPr>
          <w:lang w:val="fr-FR"/>
        </w:rPr>
        <w:t xml:space="preserve">2012, </w:t>
      </w:r>
      <w:r w:rsidR="00ED1560" w:rsidRPr="00174283">
        <w:rPr>
          <w:lang w:val="fr-FR"/>
        </w:rPr>
        <w:t xml:space="preserve">dont une formation de quatre jours pour les instructeurs à laquelle ont participé </w:t>
      </w:r>
      <w:r w:rsidR="00900FF9">
        <w:rPr>
          <w:lang w:val="fr-FR"/>
        </w:rPr>
        <w:t>10</w:t>
      </w:r>
      <w:r w:rsidR="00ED1560" w:rsidRPr="00174283">
        <w:rPr>
          <w:lang w:val="fr-FR"/>
        </w:rPr>
        <w:t xml:space="preserve"> personnes</w:t>
      </w:r>
      <w:r w:rsidR="00D14129" w:rsidRPr="00174283">
        <w:rPr>
          <w:lang w:val="fr-FR"/>
        </w:rPr>
        <w:t xml:space="preserve">, </w:t>
      </w:r>
      <w:r w:rsidR="00ED1560" w:rsidRPr="00174283">
        <w:rPr>
          <w:lang w:val="fr-FR"/>
        </w:rPr>
        <w:t xml:space="preserve">et formations/séminaires. </w:t>
      </w:r>
      <w:r w:rsidR="00DB2EBC" w:rsidRPr="00174283">
        <w:rPr>
          <w:lang w:val="fr-FR"/>
        </w:rPr>
        <w:t>Au</w:t>
      </w:r>
      <w:r w:rsidR="00ED1560" w:rsidRPr="00174283">
        <w:rPr>
          <w:lang w:val="fr-FR"/>
        </w:rPr>
        <w:t xml:space="preserve"> total</w:t>
      </w:r>
      <w:r w:rsidR="00DB2EBC" w:rsidRPr="00174283">
        <w:rPr>
          <w:lang w:val="fr-FR"/>
        </w:rPr>
        <w:t xml:space="preserve">, </w:t>
      </w:r>
      <w:r w:rsidR="00ED1560" w:rsidRPr="00174283">
        <w:rPr>
          <w:lang w:val="fr-FR"/>
        </w:rPr>
        <w:t>81 personnes y on</w:t>
      </w:r>
      <w:r w:rsidR="003A440A" w:rsidRPr="00174283">
        <w:rPr>
          <w:lang w:val="fr-FR"/>
        </w:rPr>
        <w:t>t pris part en 2012, dont 63 jug</w:t>
      </w:r>
      <w:r w:rsidR="00ED1560" w:rsidRPr="00174283">
        <w:rPr>
          <w:lang w:val="fr-FR"/>
        </w:rPr>
        <w:t xml:space="preserve">es, </w:t>
      </w:r>
      <w:r w:rsidR="005F0530" w:rsidRPr="00174283">
        <w:rPr>
          <w:lang w:val="fr-FR"/>
        </w:rPr>
        <w:t xml:space="preserve">9 </w:t>
      </w:r>
      <w:r w:rsidR="00ED1560" w:rsidRPr="00174283">
        <w:rPr>
          <w:lang w:val="fr-FR"/>
        </w:rPr>
        <w:t>procureurs, 2 membres du personnel administratif et 7 représentants d</w:t>
      </w:r>
      <w:r w:rsidR="00205A62">
        <w:rPr>
          <w:lang w:val="fr-FR"/>
        </w:rPr>
        <w:t>’</w:t>
      </w:r>
      <w:r w:rsidR="00ED1560" w:rsidRPr="00174283">
        <w:rPr>
          <w:lang w:val="fr-FR"/>
        </w:rPr>
        <w:t xml:space="preserve">autres institutions. </w:t>
      </w:r>
    </w:p>
    <w:p w:rsidR="005F0530" w:rsidRPr="00174283" w:rsidRDefault="009E1A92" w:rsidP="009E1A92">
      <w:pPr>
        <w:pStyle w:val="SingleTxtG"/>
        <w:rPr>
          <w:lang w:val="fr-FR"/>
        </w:rPr>
      </w:pPr>
      <w:r>
        <w:rPr>
          <w:lang w:val="fr-FR"/>
        </w:rPr>
        <w:t>213.</w:t>
      </w:r>
      <w:r>
        <w:rPr>
          <w:lang w:val="fr-FR"/>
        </w:rPr>
        <w:tab/>
      </w:r>
      <w:r w:rsidR="00ED1560" w:rsidRPr="00174283">
        <w:rPr>
          <w:lang w:val="fr-FR"/>
        </w:rPr>
        <w:t>En avril 2012, un représentant de l</w:t>
      </w:r>
      <w:r w:rsidR="00205A62">
        <w:rPr>
          <w:lang w:val="fr-FR"/>
        </w:rPr>
        <w:t>’</w:t>
      </w:r>
      <w:r w:rsidR="00ED1560" w:rsidRPr="00174283">
        <w:rPr>
          <w:lang w:val="fr-FR"/>
        </w:rPr>
        <w:t>Académie a effectué une</w:t>
      </w:r>
      <w:r w:rsidR="001651E9" w:rsidRPr="00174283">
        <w:rPr>
          <w:lang w:val="fr-FR"/>
        </w:rPr>
        <w:t xml:space="preserve"> visite d</w:t>
      </w:r>
      <w:r w:rsidR="00205A62">
        <w:rPr>
          <w:lang w:val="fr-FR"/>
        </w:rPr>
        <w:t>’</w:t>
      </w:r>
      <w:r w:rsidR="001651E9" w:rsidRPr="00174283">
        <w:rPr>
          <w:lang w:val="fr-FR"/>
        </w:rPr>
        <w:t>étude</w:t>
      </w:r>
      <w:r w:rsidR="00ED1560" w:rsidRPr="00174283">
        <w:rPr>
          <w:lang w:val="fr-FR"/>
        </w:rPr>
        <w:t xml:space="preserve"> de quatre jours </w:t>
      </w:r>
      <w:r w:rsidR="001651E9" w:rsidRPr="00174283">
        <w:rPr>
          <w:lang w:val="fr-FR"/>
        </w:rPr>
        <w:t>en République de Bulgarie</w:t>
      </w:r>
      <w:r w:rsidR="005F0530" w:rsidRPr="00174283">
        <w:rPr>
          <w:lang w:val="fr-FR"/>
        </w:rPr>
        <w:t>.</w:t>
      </w:r>
    </w:p>
    <w:p w:rsidR="009B5407" w:rsidRPr="00174283" w:rsidRDefault="009B5407" w:rsidP="009B5407">
      <w:pPr>
        <w:pStyle w:val="HChG"/>
        <w:rPr>
          <w:lang w:val="fr-FR"/>
        </w:rPr>
      </w:pPr>
      <w:r w:rsidRPr="00174283">
        <w:rPr>
          <w:lang w:val="fr-FR"/>
        </w:rPr>
        <w:br w:type="page"/>
      </w:r>
      <w:r w:rsidR="00A755E5" w:rsidRPr="00174283">
        <w:rPr>
          <w:lang w:val="fr-FR"/>
        </w:rPr>
        <w:t>Annex</w:t>
      </w:r>
      <w:r w:rsidR="00616744" w:rsidRPr="00174283">
        <w:rPr>
          <w:lang w:val="fr-FR"/>
        </w:rPr>
        <w:t>e</w:t>
      </w:r>
    </w:p>
    <w:p w:rsidR="009B5407" w:rsidRPr="00174283" w:rsidRDefault="009B5407" w:rsidP="009B5407">
      <w:pPr>
        <w:pStyle w:val="HChG"/>
        <w:rPr>
          <w:lang w:val="fr-FR"/>
        </w:rPr>
      </w:pPr>
      <w:r w:rsidRPr="00174283">
        <w:rPr>
          <w:lang w:val="fr-FR"/>
        </w:rPr>
        <w:tab/>
      </w:r>
      <w:r w:rsidRPr="00174283">
        <w:rPr>
          <w:lang w:val="fr-FR"/>
        </w:rPr>
        <w:tab/>
        <w:t xml:space="preserve">Articles </w:t>
      </w:r>
      <w:r w:rsidR="00616744" w:rsidRPr="00174283">
        <w:rPr>
          <w:lang w:val="fr-FR"/>
        </w:rPr>
        <w:t xml:space="preserve">de la loi </w:t>
      </w:r>
      <w:r w:rsidR="00DA44E7">
        <w:rPr>
          <w:lang w:val="fr-FR"/>
        </w:rPr>
        <w:t>portant modification du</w:t>
      </w:r>
      <w:r w:rsidR="00616744" w:rsidRPr="00174283">
        <w:rPr>
          <w:lang w:val="fr-FR"/>
        </w:rPr>
        <w:t xml:space="preserve"> Code pénal </w:t>
      </w:r>
      <w:r w:rsidRPr="00174283">
        <w:rPr>
          <w:lang w:val="fr-FR"/>
        </w:rPr>
        <w:t>(</w:t>
      </w:r>
      <w:r w:rsidR="004E1618" w:rsidRPr="006C4B2D">
        <w:rPr>
          <w:i/>
          <w:iCs/>
          <w:lang w:val="fr-FR"/>
        </w:rPr>
        <w:t>Journal officiel de la République de Macédoine</w:t>
      </w:r>
      <w:r w:rsidRPr="00174283">
        <w:rPr>
          <w:lang w:val="fr-FR"/>
        </w:rPr>
        <w:t xml:space="preserve"> 19/04) </w:t>
      </w:r>
    </w:p>
    <w:p w:rsidR="009B5407" w:rsidRPr="00174283" w:rsidRDefault="009B5407" w:rsidP="009B5407">
      <w:pPr>
        <w:pStyle w:val="H1G"/>
        <w:rPr>
          <w:lang w:val="fr-FR"/>
        </w:rPr>
      </w:pPr>
      <w:r w:rsidRPr="00174283">
        <w:rPr>
          <w:lang w:val="fr-FR"/>
        </w:rPr>
        <w:tab/>
      </w:r>
      <w:r w:rsidRPr="00174283">
        <w:rPr>
          <w:lang w:val="fr-FR"/>
        </w:rPr>
        <w:tab/>
        <w:t>Article 137</w:t>
      </w:r>
      <w:r w:rsidR="000C7F70" w:rsidRPr="00174283">
        <w:rPr>
          <w:lang w:val="fr-FR"/>
        </w:rPr>
        <w:br/>
        <w:t xml:space="preserve">Violation </w:t>
      </w:r>
      <w:r w:rsidR="0084198A" w:rsidRPr="00174283">
        <w:rPr>
          <w:lang w:val="fr-FR"/>
        </w:rPr>
        <w:t xml:space="preserve">du principe </w:t>
      </w:r>
      <w:r w:rsidR="00616744" w:rsidRPr="00174283">
        <w:rPr>
          <w:lang w:val="fr-FR"/>
        </w:rPr>
        <w:t>d</w:t>
      </w:r>
      <w:r w:rsidR="00205A62">
        <w:rPr>
          <w:lang w:val="fr-FR"/>
        </w:rPr>
        <w:t>’</w:t>
      </w:r>
      <w:r w:rsidR="00616744" w:rsidRPr="00174283">
        <w:rPr>
          <w:lang w:val="fr-FR"/>
        </w:rPr>
        <w:t>égalité des citoyens</w:t>
      </w:r>
    </w:p>
    <w:p w:rsidR="00334F3D" w:rsidRPr="00174283" w:rsidRDefault="009B5407" w:rsidP="00F00CD3">
      <w:pPr>
        <w:pStyle w:val="SingleTxtG"/>
        <w:rPr>
          <w:lang w:val="fr-FR"/>
        </w:rPr>
      </w:pPr>
      <w:r w:rsidRPr="00174283">
        <w:rPr>
          <w:lang w:val="fr-FR"/>
        </w:rPr>
        <w:t>1)</w:t>
      </w:r>
      <w:r w:rsidR="000C7F70" w:rsidRPr="00174283">
        <w:rPr>
          <w:lang w:val="fr-FR"/>
        </w:rPr>
        <w:tab/>
      </w:r>
      <w:r w:rsidR="00CA7C7C" w:rsidRPr="00174283">
        <w:rPr>
          <w:lang w:val="fr-FR"/>
        </w:rPr>
        <w:t xml:space="preserve">Toute personne </w:t>
      </w:r>
      <w:r w:rsidR="00F00CD3" w:rsidRPr="00174283">
        <w:rPr>
          <w:lang w:val="fr-FR"/>
        </w:rPr>
        <w:t>qui, sur la base du sexe, de la race, de la couleur de peau, de l</w:t>
      </w:r>
      <w:r w:rsidR="00205A62">
        <w:rPr>
          <w:lang w:val="fr-FR"/>
        </w:rPr>
        <w:t>’</w:t>
      </w:r>
      <w:r w:rsidR="00F00CD3" w:rsidRPr="00174283">
        <w:rPr>
          <w:lang w:val="fr-FR"/>
        </w:rPr>
        <w:t>origine nationale ou sociale, des convictions politiques ou religieuses, de la fortune et de la condition sociale, de la langue ou d</w:t>
      </w:r>
      <w:r w:rsidR="00205A62">
        <w:rPr>
          <w:lang w:val="fr-FR"/>
        </w:rPr>
        <w:t>’</w:t>
      </w:r>
      <w:r w:rsidR="00F00CD3" w:rsidRPr="00174283">
        <w:rPr>
          <w:lang w:val="fr-FR"/>
        </w:rPr>
        <w:t>autres caractéristiques ou conditions personnelles, prive quiconque de ses droits fondamentaux définis par la Constitution, par la loi ou par un pacte international ratifié par la République de Macédoine ou limite ces droits, ou qui, sur la base de tous ces critères, accorde des privilèges incompatibles avec la Constitution est punie d</w:t>
      </w:r>
      <w:r w:rsidR="00205A62">
        <w:rPr>
          <w:lang w:val="fr-FR"/>
        </w:rPr>
        <w:t>’</w:t>
      </w:r>
      <w:r w:rsidR="00F00CD3" w:rsidRPr="00174283">
        <w:rPr>
          <w:lang w:val="fr-FR"/>
        </w:rPr>
        <w:t xml:space="preserve">une peine de prison </w:t>
      </w:r>
      <w:r w:rsidR="004226DC" w:rsidRPr="00174283">
        <w:rPr>
          <w:lang w:val="fr-FR"/>
        </w:rPr>
        <w:t xml:space="preserve">comprise entre </w:t>
      </w:r>
      <w:r w:rsidR="00F00CD3" w:rsidRPr="00174283">
        <w:rPr>
          <w:lang w:val="fr-FR"/>
        </w:rPr>
        <w:t xml:space="preserve">trois mois </w:t>
      </w:r>
      <w:r w:rsidR="004226DC" w:rsidRPr="00174283">
        <w:rPr>
          <w:lang w:val="fr-FR"/>
        </w:rPr>
        <w:t>et</w:t>
      </w:r>
      <w:r w:rsidR="00F00CD3" w:rsidRPr="00174283">
        <w:rPr>
          <w:lang w:val="fr-FR"/>
        </w:rPr>
        <w:t xml:space="preserve"> trois ans</w:t>
      </w:r>
      <w:r w:rsidR="00334F3D" w:rsidRPr="00174283">
        <w:rPr>
          <w:lang w:val="fr-FR"/>
        </w:rPr>
        <w:t xml:space="preserve">. </w:t>
      </w:r>
    </w:p>
    <w:p w:rsidR="009B5407" w:rsidRPr="00174283" w:rsidRDefault="009B5407" w:rsidP="00651A08">
      <w:pPr>
        <w:pStyle w:val="SingleTxtG"/>
        <w:rPr>
          <w:lang w:val="fr-FR"/>
        </w:rPr>
      </w:pPr>
      <w:r w:rsidRPr="00174283">
        <w:rPr>
          <w:lang w:val="fr-FR"/>
        </w:rPr>
        <w:t>2)</w:t>
      </w:r>
      <w:r w:rsidR="000C7F70" w:rsidRPr="00174283">
        <w:rPr>
          <w:lang w:val="fr-FR"/>
        </w:rPr>
        <w:tab/>
      </w:r>
      <w:r w:rsidR="00651A08" w:rsidRPr="00174283">
        <w:rPr>
          <w:lang w:val="fr-FR"/>
        </w:rPr>
        <w:t>Lorsque l</w:t>
      </w:r>
      <w:r w:rsidR="00205A62">
        <w:rPr>
          <w:lang w:val="fr-FR"/>
        </w:rPr>
        <w:t>’</w:t>
      </w:r>
      <w:r w:rsidR="00651A08" w:rsidRPr="00174283">
        <w:rPr>
          <w:lang w:val="fr-FR"/>
        </w:rPr>
        <w:t>auteur de tels actes est un représentant de l</w:t>
      </w:r>
      <w:r w:rsidR="00205A62">
        <w:rPr>
          <w:lang w:val="fr-FR"/>
        </w:rPr>
        <w:t>’</w:t>
      </w:r>
      <w:r w:rsidR="00D729B2" w:rsidRPr="00174283">
        <w:rPr>
          <w:lang w:val="fr-FR"/>
        </w:rPr>
        <w:t>É</w:t>
      </w:r>
      <w:r w:rsidR="00651A08" w:rsidRPr="00174283">
        <w:rPr>
          <w:lang w:val="fr-FR"/>
        </w:rPr>
        <w:t>tat agissant dans l</w:t>
      </w:r>
      <w:r w:rsidR="00205A62">
        <w:rPr>
          <w:lang w:val="fr-FR"/>
        </w:rPr>
        <w:t>’</w:t>
      </w:r>
      <w:r w:rsidR="00651A08" w:rsidRPr="00174283">
        <w:rPr>
          <w:lang w:val="fr-FR"/>
        </w:rPr>
        <w:t>exercice de ses fonctions, il est puni d</w:t>
      </w:r>
      <w:r w:rsidR="00205A62">
        <w:rPr>
          <w:lang w:val="fr-FR"/>
        </w:rPr>
        <w:t>’</w:t>
      </w:r>
      <w:r w:rsidR="00651A08" w:rsidRPr="00174283">
        <w:rPr>
          <w:lang w:val="fr-FR"/>
        </w:rPr>
        <w:t xml:space="preserve">une peine de prison </w:t>
      </w:r>
      <w:r w:rsidR="004226DC" w:rsidRPr="00174283">
        <w:rPr>
          <w:lang w:val="fr-FR"/>
        </w:rPr>
        <w:t>comprise entre</w:t>
      </w:r>
      <w:r w:rsidR="00651A08" w:rsidRPr="00174283">
        <w:rPr>
          <w:lang w:val="fr-FR"/>
        </w:rPr>
        <w:t xml:space="preserve"> six mois </w:t>
      </w:r>
      <w:r w:rsidR="004226DC" w:rsidRPr="00174283">
        <w:rPr>
          <w:lang w:val="fr-FR"/>
        </w:rPr>
        <w:t>et</w:t>
      </w:r>
      <w:r w:rsidR="00651A08" w:rsidRPr="00174283">
        <w:rPr>
          <w:lang w:val="fr-FR"/>
        </w:rPr>
        <w:t xml:space="preserve"> cinq ans</w:t>
      </w:r>
      <w:r w:rsidR="00334F3D" w:rsidRPr="00174283">
        <w:rPr>
          <w:lang w:val="fr-FR"/>
        </w:rPr>
        <w:t xml:space="preserve">. </w:t>
      </w:r>
    </w:p>
    <w:p w:rsidR="009B5407" w:rsidRPr="00174283" w:rsidRDefault="009B5407" w:rsidP="009B5407">
      <w:pPr>
        <w:pStyle w:val="SingleTxtG"/>
        <w:rPr>
          <w:lang w:val="fr-FR"/>
        </w:rPr>
      </w:pPr>
      <w:r w:rsidRPr="00174283">
        <w:rPr>
          <w:lang w:val="fr-FR"/>
        </w:rPr>
        <w:t>3)</w:t>
      </w:r>
      <w:r w:rsidR="000C7F70" w:rsidRPr="00174283">
        <w:rPr>
          <w:lang w:val="fr-FR"/>
        </w:rPr>
        <w:tab/>
      </w:r>
      <w:r w:rsidR="00651A08" w:rsidRPr="00174283">
        <w:rPr>
          <w:lang w:val="fr-FR"/>
        </w:rPr>
        <w:t>Lorsque l</w:t>
      </w:r>
      <w:r w:rsidR="00205A62">
        <w:rPr>
          <w:lang w:val="fr-FR"/>
        </w:rPr>
        <w:t>’</w:t>
      </w:r>
      <w:r w:rsidR="00651A08" w:rsidRPr="00174283">
        <w:rPr>
          <w:lang w:val="fr-FR"/>
        </w:rPr>
        <w:t>auteur de tels actes est</w:t>
      </w:r>
      <w:r w:rsidR="00334F3D" w:rsidRPr="00174283">
        <w:rPr>
          <w:lang w:val="fr-FR"/>
        </w:rPr>
        <w:t xml:space="preserve"> une entité juridique, </w:t>
      </w:r>
      <w:r w:rsidR="00651A08" w:rsidRPr="00174283">
        <w:rPr>
          <w:lang w:val="fr-FR"/>
        </w:rPr>
        <w:t>elle est</w:t>
      </w:r>
      <w:r w:rsidR="00334F3D" w:rsidRPr="00174283">
        <w:rPr>
          <w:lang w:val="fr-FR"/>
        </w:rPr>
        <w:t xml:space="preserve"> sanctionnée par une amende. </w:t>
      </w:r>
    </w:p>
    <w:p w:rsidR="009B5407" w:rsidRPr="00174283" w:rsidRDefault="009B5407" w:rsidP="009B5407">
      <w:pPr>
        <w:pStyle w:val="H1G"/>
        <w:rPr>
          <w:lang w:val="fr-FR"/>
        </w:rPr>
      </w:pPr>
      <w:r w:rsidRPr="00174283">
        <w:rPr>
          <w:lang w:val="fr-FR"/>
        </w:rPr>
        <w:tab/>
      </w:r>
      <w:r w:rsidRPr="00174283">
        <w:rPr>
          <w:lang w:val="fr-FR"/>
        </w:rPr>
        <w:tab/>
        <w:t>Article 144</w:t>
      </w:r>
      <w:r w:rsidR="000C7F70" w:rsidRPr="00174283">
        <w:rPr>
          <w:lang w:val="fr-FR"/>
        </w:rPr>
        <w:br/>
      </w:r>
      <w:r w:rsidR="00603CC0" w:rsidRPr="00174283">
        <w:rPr>
          <w:lang w:val="fr-FR"/>
        </w:rPr>
        <w:t xml:space="preserve">Atteinte à </w:t>
      </w:r>
      <w:r w:rsidR="00334F3D" w:rsidRPr="00174283">
        <w:rPr>
          <w:lang w:val="fr-FR"/>
        </w:rPr>
        <w:t>la sécurité</w:t>
      </w:r>
    </w:p>
    <w:p w:rsidR="009B5407" w:rsidRPr="00174283" w:rsidRDefault="009B5407" w:rsidP="009B5407">
      <w:pPr>
        <w:pStyle w:val="SingleTxtG"/>
        <w:rPr>
          <w:lang w:val="fr-FR"/>
        </w:rPr>
      </w:pPr>
      <w:r w:rsidRPr="00174283">
        <w:rPr>
          <w:lang w:val="fr-FR"/>
        </w:rPr>
        <w:t>1)</w:t>
      </w:r>
      <w:r w:rsidR="000C7F70" w:rsidRPr="00174283">
        <w:rPr>
          <w:lang w:val="fr-FR"/>
        </w:rPr>
        <w:tab/>
      </w:r>
      <w:r w:rsidR="00E47CFA" w:rsidRPr="00174283">
        <w:rPr>
          <w:lang w:val="fr-FR"/>
        </w:rPr>
        <w:t>Toute personne qui</w:t>
      </w:r>
      <w:r w:rsidR="00334F3D" w:rsidRPr="00174283">
        <w:rPr>
          <w:lang w:val="fr-FR"/>
        </w:rPr>
        <w:t xml:space="preserve"> </w:t>
      </w:r>
      <w:r w:rsidR="00603CC0" w:rsidRPr="00174283">
        <w:rPr>
          <w:lang w:val="fr-FR"/>
        </w:rPr>
        <w:t>porte atteinte à</w:t>
      </w:r>
      <w:r w:rsidR="00334F3D" w:rsidRPr="00174283">
        <w:rPr>
          <w:lang w:val="fr-FR"/>
        </w:rPr>
        <w:t xml:space="preserve"> la sécurité d</w:t>
      </w:r>
      <w:r w:rsidR="00205A62">
        <w:rPr>
          <w:lang w:val="fr-FR"/>
        </w:rPr>
        <w:t>’</w:t>
      </w:r>
      <w:r w:rsidR="00334F3D" w:rsidRPr="00174283">
        <w:rPr>
          <w:lang w:val="fr-FR"/>
        </w:rPr>
        <w:t xml:space="preserve">autrui </w:t>
      </w:r>
      <w:r w:rsidR="00603CC0" w:rsidRPr="00174283">
        <w:rPr>
          <w:lang w:val="fr-FR"/>
        </w:rPr>
        <w:t>et l</w:t>
      </w:r>
      <w:r w:rsidR="00205A62">
        <w:rPr>
          <w:lang w:val="fr-FR"/>
        </w:rPr>
        <w:t>’</w:t>
      </w:r>
      <w:r w:rsidR="00603CC0" w:rsidRPr="00174283">
        <w:rPr>
          <w:lang w:val="fr-FR"/>
        </w:rPr>
        <w:t xml:space="preserve">expose à </w:t>
      </w:r>
      <w:r w:rsidR="00334F3D" w:rsidRPr="00174283">
        <w:rPr>
          <w:lang w:val="fr-FR"/>
        </w:rPr>
        <w:t xml:space="preserve">des menaces graves contre sa vie </w:t>
      </w:r>
      <w:r w:rsidR="00637C00" w:rsidRPr="00174283">
        <w:rPr>
          <w:lang w:val="fr-FR"/>
        </w:rPr>
        <w:t xml:space="preserve">ou sa personne ou </w:t>
      </w:r>
      <w:r w:rsidR="00455A35" w:rsidRPr="00174283">
        <w:rPr>
          <w:lang w:val="fr-FR"/>
        </w:rPr>
        <w:t xml:space="preserve">contre </w:t>
      </w:r>
      <w:r w:rsidR="00637C00" w:rsidRPr="00174283">
        <w:rPr>
          <w:lang w:val="fr-FR"/>
        </w:rPr>
        <w:t>la vie ou la personne d</w:t>
      </w:r>
      <w:r w:rsidR="00205A62">
        <w:rPr>
          <w:lang w:val="fr-FR"/>
        </w:rPr>
        <w:t>’</w:t>
      </w:r>
      <w:r w:rsidR="00637C00" w:rsidRPr="00174283">
        <w:rPr>
          <w:lang w:val="fr-FR"/>
        </w:rPr>
        <w:t xml:space="preserve">un de ses proches est </w:t>
      </w:r>
      <w:r w:rsidR="004529AD" w:rsidRPr="00174283">
        <w:rPr>
          <w:lang w:val="fr-FR"/>
        </w:rPr>
        <w:t xml:space="preserve">punie </w:t>
      </w:r>
      <w:r w:rsidR="00637C00" w:rsidRPr="00174283">
        <w:rPr>
          <w:lang w:val="fr-FR"/>
        </w:rPr>
        <w:t>d</w:t>
      </w:r>
      <w:r w:rsidR="00205A62">
        <w:rPr>
          <w:lang w:val="fr-FR"/>
        </w:rPr>
        <w:t>’</w:t>
      </w:r>
      <w:r w:rsidR="00637C00" w:rsidRPr="00174283">
        <w:rPr>
          <w:lang w:val="fr-FR"/>
        </w:rPr>
        <w:t>une amende ou d</w:t>
      </w:r>
      <w:r w:rsidR="00205A62">
        <w:rPr>
          <w:lang w:val="fr-FR"/>
        </w:rPr>
        <w:t>’</w:t>
      </w:r>
      <w:r w:rsidR="00637C00" w:rsidRPr="00174283">
        <w:rPr>
          <w:lang w:val="fr-FR"/>
        </w:rPr>
        <w:t>une peine de prison pouvant aller jusqu</w:t>
      </w:r>
      <w:r w:rsidR="00205A62">
        <w:rPr>
          <w:lang w:val="fr-FR"/>
        </w:rPr>
        <w:t>’</w:t>
      </w:r>
      <w:r w:rsidR="00637C00" w:rsidRPr="00174283">
        <w:rPr>
          <w:lang w:val="fr-FR"/>
        </w:rPr>
        <w:t xml:space="preserve">à six mois. </w:t>
      </w:r>
    </w:p>
    <w:p w:rsidR="009B5407" w:rsidRPr="00174283" w:rsidRDefault="009B5407" w:rsidP="009B5407">
      <w:pPr>
        <w:pStyle w:val="SingleTxtG"/>
        <w:rPr>
          <w:lang w:val="fr-FR"/>
        </w:rPr>
      </w:pPr>
      <w:r w:rsidRPr="00174283">
        <w:rPr>
          <w:lang w:val="fr-FR"/>
        </w:rPr>
        <w:t>2)</w:t>
      </w:r>
      <w:r w:rsidR="000C7F70" w:rsidRPr="00174283">
        <w:rPr>
          <w:lang w:val="fr-FR"/>
        </w:rPr>
        <w:tab/>
      </w:r>
      <w:r w:rsidR="00455A35" w:rsidRPr="00174283">
        <w:rPr>
          <w:lang w:val="fr-FR"/>
        </w:rPr>
        <w:t>Si</w:t>
      </w:r>
      <w:r w:rsidR="00223C90" w:rsidRPr="00174283">
        <w:rPr>
          <w:lang w:val="fr-FR"/>
        </w:rPr>
        <w:t xml:space="preserve"> </w:t>
      </w:r>
      <w:r w:rsidR="00637C00" w:rsidRPr="00174283">
        <w:rPr>
          <w:lang w:val="fr-FR"/>
        </w:rPr>
        <w:t xml:space="preserve">le délit </w:t>
      </w:r>
      <w:r w:rsidR="00223C90" w:rsidRPr="00174283">
        <w:rPr>
          <w:lang w:val="fr-FR"/>
        </w:rPr>
        <w:t>visé</w:t>
      </w:r>
      <w:r w:rsidR="00637C00" w:rsidRPr="00174283">
        <w:rPr>
          <w:lang w:val="fr-FR"/>
        </w:rPr>
        <w:t xml:space="preserve"> au paragraphe 1</w:t>
      </w:r>
      <w:r w:rsidR="007E0DB3" w:rsidRPr="00174283">
        <w:rPr>
          <w:lang w:val="fr-FR"/>
        </w:rPr>
        <w:t>)</w:t>
      </w:r>
      <w:r w:rsidR="00637C00" w:rsidRPr="00174283">
        <w:rPr>
          <w:lang w:val="fr-FR"/>
        </w:rPr>
        <w:t xml:space="preserve"> </w:t>
      </w:r>
      <w:r w:rsidR="00BD2BB2" w:rsidRPr="00174283">
        <w:rPr>
          <w:lang w:val="fr-FR"/>
        </w:rPr>
        <w:t>re</w:t>
      </w:r>
      <w:r w:rsidR="009E4A86" w:rsidRPr="00174283">
        <w:rPr>
          <w:lang w:val="fr-FR"/>
        </w:rPr>
        <w:t>lève de</w:t>
      </w:r>
      <w:r w:rsidR="00BD2BB2" w:rsidRPr="00174283">
        <w:rPr>
          <w:lang w:val="fr-FR"/>
        </w:rPr>
        <w:t xml:space="preserve"> la violence familiale, son auteur est puni d</w:t>
      </w:r>
      <w:r w:rsidR="00205A62">
        <w:rPr>
          <w:lang w:val="fr-FR"/>
        </w:rPr>
        <w:t>’</w:t>
      </w:r>
      <w:r w:rsidR="00637C00" w:rsidRPr="00174283">
        <w:rPr>
          <w:lang w:val="fr-FR"/>
        </w:rPr>
        <w:t xml:space="preserve">une peine de prison </w:t>
      </w:r>
      <w:r w:rsidR="00612189" w:rsidRPr="00174283">
        <w:rPr>
          <w:lang w:val="fr-FR"/>
        </w:rPr>
        <w:t>comprise entre</w:t>
      </w:r>
      <w:r w:rsidR="00637C00" w:rsidRPr="00174283">
        <w:rPr>
          <w:lang w:val="fr-FR"/>
        </w:rPr>
        <w:t xml:space="preserve"> trois mois </w:t>
      </w:r>
      <w:r w:rsidR="00612189" w:rsidRPr="00174283">
        <w:rPr>
          <w:lang w:val="fr-FR"/>
        </w:rPr>
        <w:t>et</w:t>
      </w:r>
      <w:r w:rsidR="00637C00" w:rsidRPr="00174283">
        <w:rPr>
          <w:lang w:val="fr-FR"/>
        </w:rPr>
        <w:t xml:space="preserve"> trois ans. </w:t>
      </w:r>
    </w:p>
    <w:p w:rsidR="009B5407" w:rsidRPr="00174283" w:rsidRDefault="009B5407" w:rsidP="009B5407">
      <w:pPr>
        <w:pStyle w:val="SingleTxtG"/>
        <w:rPr>
          <w:lang w:val="fr-FR"/>
        </w:rPr>
      </w:pPr>
      <w:r w:rsidRPr="00174283">
        <w:rPr>
          <w:lang w:val="fr-FR"/>
        </w:rPr>
        <w:t>3)</w:t>
      </w:r>
      <w:r w:rsidR="000C7F70" w:rsidRPr="00174283">
        <w:rPr>
          <w:lang w:val="fr-FR"/>
        </w:rPr>
        <w:tab/>
      </w:r>
      <w:r w:rsidR="00455A35" w:rsidRPr="00174283">
        <w:rPr>
          <w:lang w:val="fr-FR"/>
        </w:rPr>
        <w:t>Si</w:t>
      </w:r>
      <w:r w:rsidR="00B365D7" w:rsidRPr="00174283">
        <w:rPr>
          <w:lang w:val="fr-FR"/>
        </w:rPr>
        <w:t xml:space="preserve"> le</w:t>
      </w:r>
      <w:r w:rsidR="009636F0" w:rsidRPr="00174283">
        <w:rPr>
          <w:lang w:val="fr-FR"/>
        </w:rPr>
        <w:t xml:space="preserve"> délit </w:t>
      </w:r>
      <w:r w:rsidR="00B365D7" w:rsidRPr="00174283">
        <w:rPr>
          <w:lang w:val="fr-FR"/>
        </w:rPr>
        <w:t>vis</w:t>
      </w:r>
      <w:r w:rsidR="009636F0" w:rsidRPr="00174283">
        <w:rPr>
          <w:lang w:val="fr-FR"/>
        </w:rPr>
        <w:t xml:space="preserve">é au </w:t>
      </w:r>
      <w:r w:rsidR="001E5012" w:rsidRPr="00174283">
        <w:rPr>
          <w:lang w:val="fr-FR"/>
        </w:rPr>
        <w:t>paragraphe</w:t>
      </w:r>
      <w:r w:rsidR="009636F0" w:rsidRPr="00174283">
        <w:rPr>
          <w:lang w:val="fr-FR"/>
        </w:rPr>
        <w:t xml:space="preserve"> 1</w:t>
      </w:r>
      <w:r w:rsidR="007E0DB3" w:rsidRPr="00174283">
        <w:rPr>
          <w:lang w:val="fr-FR"/>
        </w:rPr>
        <w:t>)</w:t>
      </w:r>
      <w:r w:rsidR="009636F0" w:rsidRPr="00174283">
        <w:rPr>
          <w:lang w:val="fr-FR"/>
        </w:rPr>
        <w:t xml:space="preserve"> </w:t>
      </w:r>
      <w:r w:rsidR="00AE2E03" w:rsidRPr="00174283">
        <w:rPr>
          <w:lang w:val="fr-FR"/>
        </w:rPr>
        <w:t xml:space="preserve">est commis </w:t>
      </w:r>
      <w:r w:rsidR="009636F0" w:rsidRPr="00174283">
        <w:rPr>
          <w:lang w:val="fr-FR"/>
        </w:rPr>
        <w:t>contre un agent de la fonction publique</w:t>
      </w:r>
      <w:r w:rsidR="00AE2E03" w:rsidRPr="00174283">
        <w:rPr>
          <w:lang w:val="fr-FR"/>
        </w:rPr>
        <w:t xml:space="preserve"> agissant à titre officiel</w:t>
      </w:r>
      <w:r w:rsidR="009636F0" w:rsidRPr="00174283">
        <w:rPr>
          <w:lang w:val="fr-FR"/>
        </w:rPr>
        <w:t xml:space="preserve"> ou contre plusieurs personnes</w:t>
      </w:r>
      <w:r w:rsidR="00AE2E03" w:rsidRPr="00174283">
        <w:rPr>
          <w:lang w:val="fr-FR"/>
        </w:rPr>
        <w:t>, son auteur est puni</w:t>
      </w:r>
      <w:r w:rsidR="009636F0" w:rsidRPr="00174283">
        <w:rPr>
          <w:lang w:val="fr-FR"/>
        </w:rPr>
        <w:t xml:space="preserve"> de la </w:t>
      </w:r>
      <w:r w:rsidR="00AE2E03" w:rsidRPr="00174283">
        <w:rPr>
          <w:lang w:val="fr-FR"/>
        </w:rPr>
        <w:t>peine</w:t>
      </w:r>
      <w:r w:rsidR="007E0DB3" w:rsidRPr="00174283">
        <w:rPr>
          <w:lang w:val="fr-FR"/>
        </w:rPr>
        <w:t xml:space="preserve"> </w:t>
      </w:r>
      <w:r w:rsidR="00635D1A" w:rsidRPr="00174283">
        <w:rPr>
          <w:lang w:val="fr-FR"/>
        </w:rPr>
        <w:t>prévue</w:t>
      </w:r>
      <w:r w:rsidR="0070377A">
        <w:rPr>
          <w:lang w:val="fr-FR"/>
        </w:rPr>
        <w:t xml:space="preserve"> au paragraphe </w:t>
      </w:r>
      <w:r w:rsidR="009636F0" w:rsidRPr="00174283">
        <w:rPr>
          <w:lang w:val="fr-FR"/>
        </w:rPr>
        <w:t>2</w:t>
      </w:r>
      <w:r w:rsidR="007E0DB3" w:rsidRPr="00174283">
        <w:rPr>
          <w:lang w:val="fr-FR"/>
        </w:rPr>
        <w:t>)</w:t>
      </w:r>
      <w:r w:rsidR="009636F0" w:rsidRPr="00174283">
        <w:rPr>
          <w:lang w:val="fr-FR"/>
        </w:rPr>
        <w:t xml:space="preserve">. </w:t>
      </w:r>
    </w:p>
    <w:p w:rsidR="009B5407" w:rsidRPr="00174283" w:rsidRDefault="009B5407" w:rsidP="001109D0">
      <w:pPr>
        <w:pStyle w:val="SingleTxtG"/>
        <w:rPr>
          <w:lang w:val="fr-FR"/>
        </w:rPr>
      </w:pPr>
      <w:r w:rsidRPr="00174283">
        <w:rPr>
          <w:lang w:val="fr-FR"/>
        </w:rPr>
        <w:t>4)</w:t>
      </w:r>
      <w:r w:rsidR="000C7F70" w:rsidRPr="00174283">
        <w:rPr>
          <w:lang w:val="fr-FR"/>
        </w:rPr>
        <w:tab/>
      </w:r>
      <w:r w:rsidR="00D43A6C" w:rsidRPr="00174283">
        <w:rPr>
          <w:lang w:val="fr-FR"/>
        </w:rPr>
        <w:t>Toute personne</w:t>
      </w:r>
      <w:r w:rsidR="009636F0" w:rsidRPr="00174283">
        <w:rPr>
          <w:lang w:val="fr-FR"/>
        </w:rPr>
        <w:t xml:space="preserve"> </w:t>
      </w:r>
      <w:r w:rsidR="001109D0" w:rsidRPr="00174283">
        <w:rPr>
          <w:lang w:val="fr-FR"/>
        </w:rPr>
        <w:t>qui, au moyen d</w:t>
      </w:r>
      <w:r w:rsidR="00205A62">
        <w:rPr>
          <w:lang w:val="fr-FR"/>
        </w:rPr>
        <w:t>’</w:t>
      </w:r>
      <w:r w:rsidR="001109D0" w:rsidRPr="00174283">
        <w:rPr>
          <w:lang w:val="fr-FR"/>
        </w:rPr>
        <w:t xml:space="preserve">un système </w:t>
      </w:r>
      <w:r w:rsidR="00455A35" w:rsidRPr="00174283">
        <w:rPr>
          <w:lang w:val="fr-FR"/>
        </w:rPr>
        <w:t>informatique</w:t>
      </w:r>
      <w:r w:rsidR="001109D0" w:rsidRPr="00174283">
        <w:rPr>
          <w:lang w:val="fr-FR"/>
        </w:rPr>
        <w:t>, menace de commettre un délit pour lequel la sanction prévue est de cinq ans d</w:t>
      </w:r>
      <w:r w:rsidR="00205A62">
        <w:rPr>
          <w:lang w:val="fr-FR"/>
        </w:rPr>
        <w:t>’</w:t>
      </w:r>
      <w:r w:rsidR="001109D0" w:rsidRPr="00174283">
        <w:rPr>
          <w:lang w:val="fr-FR"/>
        </w:rPr>
        <w:t>emprisonnement au moins à l</w:t>
      </w:r>
      <w:r w:rsidR="00205A62">
        <w:rPr>
          <w:lang w:val="fr-FR"/>
        </w:rPr>
        <w:t>’</w:t>
      </w:r>
      <w:r w:rsidR="001109D0" w:rsidRPr="00174283">
        <w:rPr>
          <w:lang w:val="fr-FR"/>
        </w:rPr>
        <w:t>encontre d</w:t>
      </w:r>
      <w:r w:rsidR="00205A62">
        <w:rPr>
          <w:lang w:val="fr-FR"/>
        </w:rPr>
        <w:t>’</w:t>
      </w:r>
      <w:r w:rsidR="001109D0" w:rsidRPr="00174283">
        <w:rPr>
          <w:lang w:val="fr-FR"/>
        </w:rPr>
        <w:t>une autre personne en raison de l</w:t>
      </w:r>
      <w:r w:rsidR="00205A62">
        <w:rPr>
          <w:lang w:val="fr-FR"/>
        </w:rPr>
        <w:t>’</w:t>
      </w:r>
      <w:r w:rsidR="001109D0" w:rsidRPr="00174283">
        <w:rPr>
          <w:lang w:val="fr-FR"/>
        </w:rPr>
        <w:t xml:space="preserve">affiliation de celle-ci à un groupe national, ethnique ou racial ou de sa conviction religieuse </w:t>
      </w:r>
      <w:r w:rsidR="009636F0" w:rsidRPr="00174283">
        <w:rPr>
          <w:lang w:val="fr-FR"/>
        </w:rPr>
        <w:t xml:space="preserve">est </w:t>
      </w:r>
      <w:r w:rsidR="001109D0" w:rsidRPr="00174283">
        <w:rPr>
          <w:lang w:val="fr-FR"/>
        </w:rPr>
        <w:t>puni</w:t>
      </w:r>
      <w:r w:rsidR="009636F0" w:rsidRPr="00174283">
        <w:rPr>
          <w:lang w:val="fr-FR"/>
        </w:rPr>
        <w:t>e d</w:t>
      </w:r>
      <w:r w:rsidR="00205A62">
        <w:rPr>
          <w:lang w:val="fr-FR"/>
        </w:rPr>
        <w:t>’</w:t>
      </w:r>
      <w:r w:rsidR="009636F0" w:rsidRPr="00174283">
        <w:rPr>
          <w:lang w:val="fr-FR"/>
        </w:rPr>
        <w:t xml:space="preserve">une peine de prison </w:t>
      </w:r>
      <w:r w:rsidR="00612189" w:rsidRPr="00174283">
        <w:rPr>
          <w:lang w:val="fr-FR"/>
        </w:rPr>
        <w:t>comprise entre</w:t>
      </w:r>
      <w:r w:rsidR="009636F0" w:rsidRPr="00174283">
        <w:rPr>
          <w:lang w:val="fr-FR"/>
        </w:rPr>
        <w:t xml:space="preserve"> un</w:t>
      </w:r>
      <w:r w:rsidR="00612189" w:rsidRPr="00174283">
        <w:rPr>
          <w:lang w:val="fr-FR"/>
        </w:rPr>
        <w:t xml:space="preserve"> et</w:t>
      </w:r>
      <w:r w:rsidR="009636F0" w:rsidRPr="00174283">
        <w:rPr>
          <w:lang w:val="fr-FR"/>
        </w:rPr>
        <w:t xml:space="preserve"> cinq ans. </w:t>
      </w:r>
    </w:p>
    <w:p w:rsidR="009B5407" w:rsidRPr="00174283" w:rsidRDefault="000C7F70" w:rsidP="009B5407">
      <w:pPr>
        <w:pStyle w:val="SingleTxtG"/>
        <w:rPr>
          <w:lang w:val="fr-FR"/>
        </w:rPr>
      </w:pPr>
      <w:r w:rsidRPr="00174283">
        <w:rPr>
          <w:lang w:val="fr-FR"/>
        </w:rPr>
        <w:t>5)</w:t>
      </w:r>
      <w:r w:rsidRPr="00174283">
        <w:rPr>
          <w:lang w:val="fr-FR"/>
        </w:rPr>
        <w:tab/>
      </w:r>
      <w:r w:rsidR="009636F0" w:rsidRPr="00174283">
        <w:rPr>
          <w:lang w:val="fr-FR"/>
        </w:rPr>
        <w:t>L</w:t>
      </w:r>
      <w:r w:rsidR="00205A62">
        <w:rPr>
          <w:lang w:val="fr-FR"/>
        </w:rPr>
        <w:t>’</w:t>
      </w:r>
      <w:r w:rsidR="009636F0" w:rsidRPr="00174283">
        <w:rPr>
          <w:lang w:val="fr-FR"/>
        </w:rPr>
        <w:t xml:space="preserve">auteur du délit </w:t>
      </w:r>
      <w:r w:rsidR="00635D1A" w:rsidRPr="00174283">
        <w:rPr>
          <w:lang w:val="fr-FR"/>
        </w:rPr>
        <w:t>visé</w:t>
      </w:r>
      <w:r w:rsidR="009636F0" w:rsidRPr="00174283">
        <w:rPr>
          <w:lang w:val="fr-FR"/>
        </w:rPr>
        <w:t xml:space="preserve"> au paragraphe 4</w:t>
      </w:r>
      <w:r w:rsidR="007E0DB3" w:rsidRPr="00174283">
        <w:rPr>
          <w:lang w:val="fr-FR"/>
        </w:rPr>
        <w:t>)</w:t>
      </w:r>
      <w:r w:rsidR="009636F0" w:rsidRPr="00174283">
        <w:rPr>
          <w:lang w:val="fr-FR"/>
        </w:rPr>
        <w:t xml:space="preserve"> </w:t>
      </w:r>
      <w:r w:rsidR="00F45A3D" w:rsidRPr="00174283">
        <w:rPr>
          <w:lang w:val="fr-FR"/>
        </w:rPr>
        <w:t>fait l</w:t>
      </w:r>
      <w:r w:rsidR="00205A62">
        <w:rPr>
          <w:lang w:val="fr-FR"/>
        </w:rPr>
        <w:t>’</w:t>
      </w:r>
      <w:r w:rsidR="00F45A3D" w:rsidRPr="00174283">
        <w:rPr>
          <w:lang w:val="fr-FR"/>
        </w:rPr>
        <w:t>objet</w:t>
      </w:r>
      <w:r w:rsidR="009636F0" w:rsidRPr="00174283">
        <w:rPr>
          <w:lang w:val="fr-FR"/>
        </w:rPr>
        <w:t xml:space="preserve"> de poursuites judiciaires. </w:t>
      </w:r>
    </w:p>
    <w:p w:rsidR="009B5407" w:rsidRPr="00174283" w:rsidRDefault="009B5407" w:rsidP="009B5407">
      <w:pPr>
        <w:pStyle w:val="H1G"/>
        <w:rPr>
          <w:lang w:val="fr-FR"/>
        </w:rPr>
      </w:pPr>
      <w:r w:rsidRPr="00174283">
        <w:rPr>
          <w:lang w:val="fr-FR"/>
        </w:rPr>
        <w:tab/>
      </w:r>
      <w:r w:rsidRPr="00174283">
        <w:rPr>
          <w:lang w:val="fr-FR"/>
        </w:rPr>
        <w:tab/>
      </w:r>
      <w:r w:rsidR="000C7F70" w:rsidRPr="00174283">
        <w:rPr>
          <w:lang w:val="fr-FR"/>
        </w:rPr>
        <w:t>Article 319</w:t>
      </w:r>
      <w:r w:rsidR="000C7F70" w:rsidRPr="00174283">
        <w:rPr>
          <w:lang w:val="fr-FR"/>
        </w:rPr>
        <w:br/>
      </w:r>
      <w:r w:rsidRPr="00174283">
        <w:rPr>
          <w:lang w:val="fr-FR"/>
        </w:rPr>
        <w:t>I</w:t>
      </w:r>
      <w:r w:rsidR="009636F0" w:rsidRPr="00174283">
        <w:rPr>
          <w:lang w:val="fr-FR"/>
        </w:rPr>
        <w:t xml:space="preserve">ncitation à la haine, à la discorde </w:t>
      </w:r>
      <w:r w:rsidR="00455A35" w:rsidRPr="00174283">
        <w:rPr>
          <w:lang w:val="fr-FR"/>
        </w:rPr>
        <w:t>ou</w:t>
      </w:r>
      <w:r w:rsidR="007F6FB3" w:rsidRPr="00174283">
        <w:rPr>
          <w:lang w:val="fr-FR"/>
        </w:rPr>
        <w:t xml:space="preserve"> à l</w:t>
      </w:r>
      <w:r w:rsidR="00205A62">
        <w:rPr>
          <w:lang w:val="fr-FR"/>
        </w:rPr>
        <w:t>’</w:t>
      </w:r>
      <w:r w:rsidR="007F6FB3" w:rsidRPr="00174283">
        <w:rPr>
          <w:lang w:val="fr-FR"/>
        </w:rPr>
        <w:t xml:space="preserve">intolérance </w:t>
      </w:r>
      <w:r w:rsidR="00455A35" w:rsidRPr="00174283">
        <w:rPr>
          <w:lang w:val="fr-FR"/>
        </w:rPr>
        <w:t>nationale, raciale ou religieuse</w:t>
      </w:r>
    </w:p>
    <w:p w:rsidR="009B5407" w:rsidRPr="00174283" w:rsidRDefault="009B5407" w:rsidP="00B22F9C">
      <w:pPr>
        <w:pStyle w:val="SingleTxtG"/>
        <w:rPr>
          <w:lang w:val="fr-FR"/>
        </w:rPr>
      </w:pPr>
      <w:r w:rsidRPr="00174283">
        <w:rPr>
          <w:lang w:val="fr-FR"/>
        </w:rPr>
        <w:t>1)</w:t>
      </w:r>
      <w:r w:rsidR="000C7F70" w:rsidRPr="00174283">
        <w:rPr>
          <w:lang w:val="fr-FR"/>
        </w:rPr>
        <w:tab/>
      </w:r>
      <w:r w:rsidR="00B22F9C" w:rsidRPr="00174283">
        <w:rPr>
          <w:lang w:val="fr-FR"/>
        </w:rPr>
        <w:t xml:space="preserve">Toute personne qui recourt à la force ou </w:t>
      </w:r>
      <w:r w:rsidR="00596946" w:rsidRPr="00174283">
        <w:rPr>
          <w:lang w:val="fr-FR"/>
        </w:rPr>
        <w:t>à la violence</w:t>
      </w:r>
      <w:r w:rsidR="00B22F9C" w:rsidRPr="00174283">
        <w:rPr>
          <w:lang w:val="fr-FR"/>
        </w:rPr>
        <w:t>, compromet la sécurité</w:t>
      </w:r>
      <w:r w:rsidR="00596946" w:rsidRPr="00174283">
        <w:rPr>
          <w:lang w:val="fr-FR"/>
        </w:rPr>
        <w:t xml:space="preserve"> des personnes et des biens</w:t>
      </w:r>
      <w:r w:rsidR="00B22F9C" w:rsidRPr="00174283">
        <w:rPr>
          <w:lang w:val="fr-FR"/>
        </w:rPr>
        <w:t xml:space="preserve">, tourne en ridicule </w:t>
      </w:r>
      <w:r w:rsidR="00596946" w:rsidRPr="00174283">
        <w:rPr>
          <w:lang w:val="fr-FR"/>
        </w:rPr>
        <w:t>l</w:t>
      </w:r>
      <w:r w:rsidR="00B22F9C" w:rsidRPr="00174283">
        <w:rPr>
          <w:lang w:val="fr-FR"/>
        </w:rPr>
        <w:t>es symboles nationaux, ethniques ou religieux,</w:t>
      </w:r>
      <w:r w:rsidR="002F51DC">
        <w:rPr>
          <w:lang w:val="fr-FR"/>
        </w:rPr>
        <w:t xml:space="preserve"> </w:t>
      </w:r>
      <w:r w:rsidR="00B22F9C" w:rsidRPr="00174283">
        <w:rPr>
          <w:lang w:val="fr-FR"/>
        </w:rPr>
        <w:t xml:space="preserve">profane des monuments ou des tombes ou qui, de quelque autre manière, </w:t>
      </w:r>
      <w:r w:rsidR="00596946" w:rsidRPr="00174283">
        <w:rPr>
          <w:lang w:val="fr-FR"/>
        </w:rPr>
        <w:t>incite à</w:t>
      </w:r>
      <w:r w:rsidR="00B22F9C" w:rsidRPr="00174283">
        <w:rPr>
          <w:lang w:val="fr-FR"/>
        </w:rPr>
        <w:t xml:space="preserve"> la haine, </w:t>
      </w:r>
      <w:r w:rsidR="00596946" w:rsidRPr="00174283">
        <w:rPr>
          <w:lang w:val="fr-FR"/>
        </w:rPr>
        <w:t xml:space="preserve">à </w:t>
      </w:r>
      <w:r w:rsidR="00B22F9C" w:rsidRPr="00174283">
        <w:rPr>
          <w:lang w:val="fr-FR"/>
        </w:rPr>
        <w:t>la di</w:t>
      </w:r>
      <w:r w:rsidR="00596946" w:rsidRPr="00174283">
        <w:rPr>
          <w:lang w:val="fr-FR"/>
        </w:rPr>
        <w:t>scorde</w:t>
      </w:r>
      <w:r w:rsidR="00B22F9C" w:rsidRPr="00174283">
        <w:rPr>
          <w:lang w:val="fr-FR"/>
        </w:rPr>
        <w:t xml:space="preserve"> ou </w:t>
      </w:r>
      <w:r w:rsidR="00596946" w:rsidRPr="00174283">
        <w:rPr>
          <w:lang w:val="fr-FR"/>
        </w:rPr>
        <w:t xml:space="preserve">à </w:t>
      </w:r>
      <w:r w:rsidR="00B22F9C" w:rsidRPr="00174283">
        <w:rPr>
          <w:lang w:val="fr-FR"/>
        </w:rPr>
        <w:t>l</w:t>
      </w:r>
      <w:r w:rsidR="00205A62">
        <w:rPr>
          <w:lang w:val="fr-FR"/>
        </w:rPr>
        <w:t>’</w:t>
      </w:r>
      <w:r w:rsidR="00B22F9C" w:rsidRPr="00174283">
        <w:rPr>
          <w:lang w:val="fr-FR"/>
        </w:rPr>
        <w:t xml:space="preserve">intolérance </w:t>
      </w:r>
      <w:r w:rsidR="007F6FB3" w:rsidRPr="00174283">
        <w:rPr>
          <w:lang w:val="fr-FR"/>
        </w:rPr>
        <w:t xml:space="preserve">nationale, raciale ou religieuse </w:t>
      </w:r>
      <w:r w:rsidR="00B22F9C" w:rsidRPr="00174283">
        <w:rPr>
          <w:lang w:val="fr-FR"/>
        </w:rPr>
        <w:t>est punie d</w:t>
      </w:r>
      <w:r w:rsidR="00205A62">
        <w:rPr>
          <w:lang w:val="fr-FR"/>
        </w:rPr>
        <w:t>’</w:t>
      </w:r>
      <w:r w:rsidR="00B22F9C" w:rsidRPr="00174283">
        <w:rPr>
          <w:lang w:val="fr-FR"/>
        </w:rPr>
        <w:t xml:space="preserve">une peine de prison </w:t>
      </w:r>
      <w:r w:rsidR="00612189" w:rsidRPr="00174283">
        <w:rPr>
          <w:lang w:val="fr-FR"/>
        </w:rPr>
        <w:t>comprise entre</w:t>
      </w:r>
      <w:r w:rsidR="00B22F9C" w:rsidRPr="00174283">
        <w:rPr>
          <w:lang w:val="fr-FR"/>
        </w:rPr>
        <w:t xml:space="preserve"> un</w:t>
      </w:r>
      <w:r w:rsidR="00612189" w:rsidRPr="00174283">
        <w:rPr>
          <w:lang w:val="fr-FR"/>
        </w:rPr>
        <w:t xml:space="preserve"> et </w:t>
      </w:r>
      <w:r w:rsidR="00B22F9C" w:rsidRPr="00174283">
        <w:rPr>
          <w:lang w:val="fr-FR"/>
        </w:rPr>
        <w:t>cinq ans</w:t>
      </w:r>
      <w:r w:rsidR="002A01B5" w:rsidRPr="00174283">
        <w:rPr>
          <w:lang w:val="fr-FR"/>
        </w:rPr>
        <w:t xml:space="preserve">. </w:t>
      </w:r>
    </w:p>
    <w:p w:rsidR="009B5407" w:rsidRPr="00174283" w:rsidRDefault="009B5407" w:rsidP="00B22F9C">
      <w:pPr>
        <w:pStyle w:val="SingleTxtG"/>
        <w:rPr>
          <w:lang w:val="fr-FR"/>
        </w:rPr>
      </w:pPr>
      <w:r w:rsidRPr="00174283">
        <w:rPr>
          <w:lang w:val="fr-FR"/>
        </w:rPr>
        <w:t>2)</w:t>
      </w:r>
      <w:r w:rsidR="000C7F70" w:rsidRPr="00174283">
        <w:rPr>
          <w:lang w:val="fr-FR"/>
        </w:rPr>
        <w:tab/>
      </w:r>
      <w:r w:rsidR="00B22F9C" w:rsidRPr="00174283">
        <w:rPr>
          <w:lang w:val="fr-FR"/>
        </w:rPr>
        <w:t>Si ladite personne a agi de la sorte en abusant de ses fonctions ou de ses pouvoirs ou si ses actes ont provoqué des émeutes ou des violences à l</w:t>
      </w:r>
      <w:r w:rsidR="00205A62">
        <w:rPr>
          <w:lang w:val="fr-FR"/>
        </w:rPr>
        <w:t>’</w:t>
      </w:r>
      <w:r w:rsidR="00B22F9C" w:rsidRPr="00174283">
        <w:rPr>
          <w:lang w:val="fr-FR"/>
        </w:rPr>
        <w:t>égard de personnes ou des dommages matériels de grande ampleur, elle est punie d</w:t>
      </w:r>
      <w:r w:rsidR="00205A62">
        <w:rPr>
          <w:lang w:val="fr-FR"/>
        </w:rPr>
        <w:t>’</w:t>
      </w:r>
      <w:r w:rsidR="00B22F9C" w:rsidRPr="00174283">
        <w:rPr>
          <w:lang w:val="fr-FR"/>
        </w:rPr>
        <w:t xml:space="preserve">une peine de prison </w:t>
      </w:r>
      <w:r w:rsidR="00612189" w:rsidRPr="00174283">
        <w:rPr>
          <w:lang w:val="fr-FR"/>
        </w:rPr>
        <w:t xml:space="preserve">comprise entre un et </w:t>
      </w:r>
      <w:r w:rsidR="00B22F9C" w:rsidRPr="00174283">
        <w:rPr>
          <w:lang w:val="fr-FR"/>
        </w:rPr>
        <w:t>dix ans</w:t>
      </w:r>
      <w:r w:rsidR="006F09A6" w:rsidRPr="00174283">
        <w:rPr>
          <w:lang w:val="fr-FR"/>
        </w:rPr>
        <w:t xml:space="preserve">. </w:t>
      </w:r>
    </w:p>
    <w:p w:rsidR="009B5407" w:rsidRPr="00174283" w:rsidRDefault="009B5407" w:rsidP="009B5407">
      <w:pPr>
        <w:pStyle w:val="H1G"/>
        <w:rPr>
          <w:lang w:val="fr-FR"/>
        </w:rPr>
      </w:pPr>
      <w:r w:rsidRPr="00174283">
        <w:rPr>
          <w:lang w:val="fr-FR"/>
        </w:rPr>
        <w:tab/>
      </w:r>
      <w:r w:rsidRPr="00174283">
        <w:rPr>
          <w:lang w:val="fr-FR"/>
        </w:rPr>
        <w:tab/>
      </w:r>
      <w:r w:rsidR="000C7F70" w:rsidRPr="00174283">
        <w:rPr>
          <w:lang w:val="fr-FR"/>
        </w:rPr>
        <w:t>Article 394-d</w:t>
      </w:r>
      <w:r w:rsidR="000C7F70" w:rsidRPr="00174283">
        <w:rPr>
          <w:lang w:val="fr-FR"/>
        </w:rPr>
        <w:br/>
      </w:r>
      <w:r w:rsidRPr="00174283">
        <w:rPr>
          <w:lang w:val="fr-FR"/>
        </w:rPr>
        <w:t>D</w:t>
      </w:r>
      <w:r w:rsidR="006F09A6" w:rsidRPr="00174283">
        <w:rPr>
          <w:lang w:val="fr-FR"/>
        </w:rPr>
        <w:t xml:space="preserve">iffusion </w:t>
      </w:r>
      <w:r w:rsidR="00D90AE8" w:rsidRPr="00174283">
        <w:rPr>
          <w:lang w:val="fr-FR"/>
        </w:rPr>
        <w:t xml:space="preserve">de </w:t>
      </w:r>
      <w:r w:rsidR="007F6FB3" w:rsidRPr="00174283">
        <w:rPr>
          <w:lang w:val="fr-FR"/>
        </w:rPr>
        <w:t>contenus</w:t>
      </w:r>
      <w:r w:rsidR="00D90AE8" w:rsidRPr="00174283">
        <w:rPr>
          <w:lang w:val="fr-FR"/>
        </w:rPr>
        <w:t xml:space="preserve"> raciste</w:t>
      </w:r>
      <w:r w:rsidR="007F6FB3" w:rsidRPr="00174283">
        <w:rPr>
          <w:lang w:val="fr-FR"/>
        </w:rPr>
        <w:t>s</w:t>
      </w:r>
      <w:r w:rsidR="00D90AE8" w:rsidRPr="00174283">
        <w:rPr>
          <w:lang w:val="fr-FR"/>
        </w:rPr>
        <w:t xml:space="preserve"> et xénophobe</w:t>
      </w:r>
      <w:r w:rsidR="007F6FB3" w:rsidRPr="00174283">
        <w:rPr>
          <w:lang w:val="fr-FR"/>
        </w:rPr>
        <w:t>s</w:t>
      </w:r>
      <w:r w:rsidR="00D90AE8" w:rsidRPr="00174283">
        <w:rPr>
          <w:lang w:val="fr-FR"/>
        </w:rPr>
        <w:t xml:space="preserve"> par </w:t>
      </w:r>
      <w:r w:rsidR="00B72C1C" w:rsidRPr="00174283">
        <w:rPr>
          <w:lang w:val="fr-FR"/>
        </w:rPr>
        <w:t>le biais d</w:t>
      </w:r>
      <w:r w:rsidR="00205A62">
        <w:rPr>
          <w:lang w:val="fr-FR"/>
        </w:rPr>
        <w:t>’</w:t>
      </w:r>
      <w:r w:rsidR="00994E8A" w:rsidRPr="00174283">
        <w:rPr>
          <w:lang w:val="fr-FR"/>
        </w:rPr>
        <w:t>un système informatique</w:t>
      </w:r>
    </w:p>
    <w:p w:rsidR="009B5407" w:rsidRPr="00174283" w:rsidRDefault="009B5407" w:rsidP="00053EA4">
      <w:pPr>
        <w:pStyle w:val="SingleTxtG"/>
        <w:rPr>
          <w:lang w:val="fr-FR"/>
        </w:rPr>
      </w:pPr>
      <w:r w:rsidRPr="00174283">
        <w:rPr>
          <w:lang w:val="fr-FR"/>
        </w:rPr>
        <w:t>1)</w:t>
      </w:r>
      <w:r w:rsidR="000C7F70" w:rsidRPr="00174283">
        <w:rPr>
          <w:lang w:val="fr-FR"/>
        </w:rPr>
        <w:tab/>
      </w:r>
      <w:r w:rsidR="00481FCF" w:rsidRPr="00174283">
        <w:rPr>
          <w:lang w:val="fr-FR"/>
        </w:rPr>
        <w:t xml:space="preserve">Toute personne </w:t>
      </w:r>
      <w:r w:rsidR="00053EA4" w:rsidRPr="00174283">
        <w:rPr>
          <w:lang w:val="fr-FR"/>
        </w:rPr>
        <w:t>qui diffuse</w:t>
      </w:r>
      <w:r w:rsidR="002F51DC">
        <w:rPr>
          <w:lang w:val="fr-FR"/>
        </w:rPr>
        <w:t xml:space="preserve"> </w:t>
      </w:r>
      <w:r w:rsidR="00053EA4" w:rsidRPr="00174283">
        <w:rPr>
          <w:lang w:val="fr-FR"/>
        </w:rPr>
        <w:t>publiquement,</w:t>
      </w:r>
      <w:r w:rsidR="002F51DC">
        <w:rPr>
          <w:lang w:val="fr-FR"/>
        </w:rPr>
        <w:t xml:space="preserve"> </w:t>
      </w:r>
      <w:r w:rsidR="00053EA4" w:rsidRPr="00174283">
        <w:rPr>
          <w:lang w:val="fr-FR"/>
        </w:rPr>
        <w:t>par</w:t>
      </w:r>
      <w:r w:rsidR="002F51DC">
        <w:rPr>
          <w:lang w:val="fr-FR"/>
        </w:rPr>
        <w:t xml:space="preserve"> </w:t>
      </w:r>
      <w:r w:rsidR="00053EA4" w:rsidRPr="00174283">
        <w:rPr>
          <w:lang w:val="fr-FR"/>
        </w:rPr>
        <w:t>le</w:t>
      </w:r>
      <w:r w:rsidR="002F51DC">
        <w:rPr>
          <w:lang w:val="fr-FR"/>
        </w:rPr>
        <w:t xml:space="preserve"> </w:t>
      </w:r>
      <w:r w:rsidR="00053EA4" w:rsidRPr="00174283">
        <w:rPr>
          <w:lang w:val="fr-FR"/>
        </w:rPr>
        <w:t>biais d</w:t>
      </w:r>
      <w:r w:rsidR="00205A62">
        <w:rPr>
          <w:lang w:val="fr-FR"/>
        </w:rPr>
        <w:t>’</w:t>
      </w:r>
      <w:r w:rsidR="00053EA4" w:rsidRPr="00174283">
        <w:rPr>
          <w:lang w:val="fr-FR"/>
        </w:rPr>
        <w:t>un</w:t>
      </w:r>
      <w:r w:rsidR="002F51DC">
        <w:rPr>
          <w:lang w:val="fr-FR"/>
        </w:rPr>
        <w:t xml:space="preserve"> </w:t>
      </w:r>
      <w:r w:rsidR="00053EA4" w:rsidRPr="00174283">
        <w:rPr>
          <w:lang w:val="fr-FR"/>
        </w:rPr>
        <w:t>système</w:t>
      </w:r>
      <w:r w:rsidR="002F51DC">
        <w:rPr>
          <w:lang w:val="fr-FR"/>
        </w:rPr>
        <w:t xml:space="preserve"> </w:t>
      </w:r>
      <w:r w:rsidR="00053EA4" w:rsidRPr="00174283">
        <w:rPr>
          <w:lang w:val="fr-FR"/>
        </w:rPr>
        <w:t>informatique,</w:t>
      </w:r>
      <w:r w:rsidR="002F51DC">
        <w:rPr>
          <w:lang w:val="fr-FR"/>
        </w:rPr>
        <w:t xml:space="preserve"> </w:t>
      </w:r>
      <w:r w:rsidR="00053EA4" w:rsidRPr="00174283">
        <w:rPr>
          <w:lang w:val="fr-FR"/>
        </w:rPr>
        <w:t>des</w:t>
      </w:r>
      <w:r w:rsidR="002F51DC">
        <w:rPr>
          <w:lang w:val="fr-FR"/>
        </w:rPr>
        <w:t xml:space="preserve"> </w:t>
      </w:r>
      <w:r w:rsidR="00053EA4" w:rsidRPr="00174283">
        <w:rPr>
          <w:lang w:val="fr-FR"/>
        </w:rPr>
        <w:t>écrits</w:t>
      </w:r>
      <w:r w:rsidR="002F51DC">
        <w:rPr>
          <w:lang w:val="fr-FR"/>
        </w:rPr>
        <w:t xml:space="preserve"> </w:t>
      </w:r>
      <w:r w:rsidR="00053EA4" w:rsidRPr="00174283">
        <w:rPr>
          <w:lang w:val="fr-FR"/>
        </w:rPr>
        <w:t>racistes</w:t>
      </w:r>
      <w:r w:rsidR="002F51DC">
        <w:rPr>
          <w:lang w:val="fr-FR"/>
        </w:rPr>
        <w:t xml:space="preserve"> </w:t>
      </w:r>
      <w:r w:rsidR="00053EA4" w:rsidRPr="00174283">
        <w:rPr>
          <w:lang w:val="fr-FR"/>
        </w:rPr>
        <w:t>et xénophobes,</w:t>
      </w:r>
      <w:r w:rsidR="002F51DC">
        <w:rPr>
          <w:lang w:val="fr-FR"/>
        </w:rPr>
        <w:t xml:space="preserve"> </w:t>
      </w:r>
      <w:r w:rsidR="00053EA4" w:rsidRPr="00174283">
        <w:rPr>
          <w:lang w:val="fr-FR"/>
        </w:rPr>
        <w:t>des</w:t>
      </w:r>
      <w:r w:rsidR="002F51DC">
        <w:rPr>
          <w:lang w:val="fr-FR"/>
        </w:rPr>
        <w:t xml:space="preserve"> </w:t>
      </w:r>
      <w:r w:rsidR="00053EA4" w:rsidRPr="00174283">
        <w:rPr>
          <w:lang w:val="fr-FR"/>
        </w:rPr>
        <w:t>images</w:t>
      </w:r>
      <w:r w:rsidR="002F51DC">
        <w:rPr>
          <w:lang w:val="fr-FR"/>
        </w:rPr>
        <w:t xml:space="preserve"> </w:t>
      </w:r>
      <w:r w:rsidR="00053EA4" w:rsidRPr="00174283">
        <w:rPr>
          <w:lang w:val="fr-FR"/>
        </w:rPr>
        <w:t>ou</w:t>
      </w:r>
      <w:r w:rsidR="002F51DC">
        <w:rPr>
          <w:lang w:val="fr-FR"/>
        </w:rPr>
        <w:t xml:space="preserve"> </w:t>
      </w:r>
      <w:r w:rsidR="00053EA4" w:rsidRPr="00174283">
        <w:rPr>
          <w:lang w:val="fr-FR"/>
        </w:rPr>
        <w:t>autres représentations d</w:t>
      </w:r>
      <w:r w:rsidR="00205A62">
        <w:rPr>
          <w:lang w:val="fr-FR"/>
        </w:rPr>
        <w:t>’</w:t>
      </w:r>
      <w:r w:rsidR="00053EA4" w:rsidRPr="00174283">
        <w:rPr>
          <w:lang w:val="fr-FR"/>
        </w:rPr>
        <w:t>idées ou de théories véhiculant ou encourageant la haine, la discrimination ou la violence</w:t>
      </w:r>
      <w:r w:rsidR="002F51DC">
        <w:rPr>
          <w:lang w:val="fr-FR"/>
        </w:rPr>
        <w:t xml:space="preserve"> </w:t>
      </w:r>
      <w:r w:rsidR="00053EA4" w:rsidRPr="00174283">
        <w:rPr>
          <w:lang w:val="fr-FR"/>
        </w:rPr>
        <w:t>contre</w:t>
      </w:r>
      <w:r w:rsidR="002F51DC">
        <w:rPr>
          <w:lang w:val="fr-FR"/>
        </w:rPr>
        <w:t xml:space="preserve"> </w:t>
      </w:r>
      <w:r w:rsidR="00053EA4" w:rsidRPr="00174283">
        <w:rPr>
          <w:lang w:val="fr-FR"/>
        </w:rPr>
        <w:t>toute</w:t>
      </w:r>
      <w:r w:rsidR="002F51DC">
        <w:rPr>
          <w:lang w:val="fr-FR"/>
        </w:rPr>
        <w:t xml:space="preserve"> </w:t>
      </w:r>
      <w:r w:rsidR="00053EA4" w:rsidRPr="00174283">
        <w:rPr>
          <w:lang w:val="fr-FR"/>
        </w:rPr>
        <w:t>personne</w:t>
      </w:r>
      <w:r w:rsidR="002F51DC">
        <w:rPr>
          <w:lang w:val="fr-FR"/>
        </w:rPr>
        <w:t xml:space="preserve"> </w:t>
      </w:r>
      <w:r w:rsidR="00053EA4" w:rsidRPr="00174283">
        <w:rPr>
          <w:lang w:val="fr-FR"/>
        </w:rPr>
        <w:t>ou</w:t>
      </w:r>
      <w:r w:rsidR="002F51DC">
        <w:rPr>
          <w:lang w:val="fr-FR"/>
        </w:rPr>
        <w:t xml:space="preserve"> </w:t>
      </w:r>
      <w:r w:rsidR="00053EA4" w:rsidRPr="00174283">
        <w:rPr>
          <w:lang w:val="fr-FR"/>
        </w:rPr>
        <w:t>groupe</w:t>
      </w:r>
      <w:r w:rsidR="002F51DC">
        <w:rPr>
          <w:lang w:val="fr-FR"/>
        </w:rPr>
        <w:t xml:space="preserve"> </w:t>
      </w:r>
      <w:r w:rsidR="00053EA4" w:rsidRPr="00174283">
        <w:rPr>
          <w:lang w:val="fr-FR"/>
        </w:rPr>
        <w:t>de personnes en raison de la race, de la couleur, de l</w:t>
      </w:r>
      <w:r w:rsidR="00205A62">
        <w:rPr>
          <w:lang w:val="fr-FR"/>
        </w:rPr>
        <w:t>’</w:t>
      </w:r>
      <w:r w:rsidR="00053EA4" w:rsidRPr="00174283">
        <w:rPr>
          <w:lang w:val="fr-FR"/>
        </w:rPr>
        <w:t>origine</w:t>
      </w:r>
      <w:r w:rsidR="002F51DC">
        <w:rPr>
          <w:lang w:val="fr-FR"/>
        </w:rPr>
        <w:t xml:space="preserve"> </w:t>
      </w:r>
      <w:r w:rsidR="00053EA4" w:rsidRPr="00174283">
        <w:rPr>
          <w:lang w:val="fr-FR"/>
        </w:rPr>
        <w:t>nationale</w:t>
      </w:r>
      <w:r w:rsidR="002F51DC">
        <w:rPr>
          <w:lang w:val="fr-FR"/>
        </w:rPr>
        <w:t xml:space="preserve"> </w:t>
      </w:r>
      <w:r w:rsidR="00053EA4" w:rsidRPr="00174283">
        <w:rPr>
          <w:lang w:val="fr-FR"/>
        </w:rPr>
        <w:t>ou</w:t>
      </w:r>
      <w:r w:rsidR="002F51DC">
        <w:rPr>
          <w:lang w:val="fr-FR"/>
        </w:rPr>
        <w:t xml:space="preserve"> </w:t>
      </w:r>
      <w:r w:rsidR="00053EA4" w:rsidRPr="00174283">
        <w:rPr>
          <w:lang w:val="fr-FR"/>
        </w:rPr>
        <w:t>ethnique,</w:t>
      </w:r>
      <w:r w:rsidR="002F51DC">
        <w:rPr>
          <w:lang w:val="fr-FR"/>
        </w:rPr>
        <w:t xml:space="preserve"> </w:t>
      </w:r>
      <w:r w:rsidR="00053EA4" w:rsidRPr="00174283">
        <w:rPr>
          <w:lang w:val="fr-FR"/>
        </w:rPr>
        <w:t>ou</w:t>
      </w:r>
      <w:r w:rsidR="002F51DC">
        <w:rPr>
          <w:lang w:val="fr-FR"/>
        </w:rPr>
        <w:t xml:space="preserve"> </w:t>
      </w:r>
      <w:r w:rsidR="00053EA4" w:rsidRPr="00174283">
        <w:rPr>
          <w:lang w:val="fr-FR"/>
        </w:rPr>
        <w:t>encore</w:t>
      </w:r>
      <w:r w:rsidR="002F51DC">
        <w:rPr>
          <w:lang w:val="fr-FR"/>
        </w:rPr>
        <w:t xml:space="preserve"> </w:t>
      </w:r>
      <w:r w:rsidR="00053EA4" w:rsidRPr="00174283">
        <w:rPr>
          <w:lang w:val="fr-FR"/>
        </w:rPr>
        <w:t xml:space="preserve">des convictions religieuses, </w:t>
      </w:r>
      <w:r w:rsidR="00780F44" w:rsidRPr="00174283">
        <w:rPr>
          <w:lang w:val="fr-FR"/>
        </w:rPr>
        <w:t>est punie d</w:t>
      </w:r>
      <w:r w:rsidR="00205A62">
        <w:rPr>
          <w:lang w:val="fr-FR"/>
        </w:rPr>
        <w:t>’</w:t>
      </w:r>
      <w:r w:rsidR="00780F44" w:rsidRPr="00174283">
        <w:rPr>
          <w:lang w:val="fr-FR"/>
        </w:rPr>
        <w:t>u</w:t>
      </w:r>
      <w:r w:rsidR="00053EA4" w:rsidRPr="00174283">
        <w:rPr>
          <w:lang w:val="fr-FR"/>
        </w:rPr>
        <w:t xml:space="preserve">ne peine </w:t>
      </w:r>
      <w:r w:rsidR="00780F44" w:rsidRPr="00174283">
        <w:rPr>
          <w:lang w:val="fr-FR"/>
        </w:rPr>
        <w:t>de pr</w:t>
      </w:r>
      <w:r w:rsidR="00E47CFA" w:rsidRPr="00174283">
        <w:rPr>
          <w:lang w:val="fr-FR"/>
        </w:rPr>
        <w:t>i</w:t>
      </w:r>
      <w:r w:rsidR="00780F44" w:rsidRPr="00174283">
        <w:rPr>
          <w:lang w:val="fr-FR"/>
        </w:rPr>
        <w:t xml:space="preserve">son </w:t>
      </w:r>
      <w:r w:rsidR="00612189" w:rsidRPr="00174283">
        <w:rPr>
          <w:lang w:val="fr-FR"/>
        </w:rPr>
        <w:t xml:space="preserve">comprise entre un et </w:t>
      </w:r>
      <w:r w:rsidR="00053EA4" w:rsidRPr="00174283">
        <w:rPr>
          <w:lang w:val="fr-FR"/>
        </w:rPr>
        <w:t>cinq ans.</w:t>
      </w:r>
      <w:r w:rsidR="00481FCF" w:rsidRPr="00174283">
        <w:rPr>
          <w:lang w:val="fr-FR"/>
        </w:rPr>
        <w:t xml:space="preserve"> </w:t>
      </w:r>
    </w:p>
    <w:p w:rsidR="009B5407" w:rsidRPr="00174283" w:rsidRDefault="009B5407" w:rsidP="00780F44">
      <w:pPr>
        <w:pStyle w:val="SingleTxtG"/>
        <w:rPr>
          <w:lang w:val="fr-FR"/>
        </w:rPr>
      </w:pPr>
      <w:r w:rsidRPr="00174283">
        <w:rPr>
          <w:lang w:val="fr-FR"/>
        </w:rPr>
        <w:t>2)</w:t>
      </w:r>
      <w:r w:rsidR="000C7F70" w:rsidRPr="00174283">
        <w:rPr>
          <w:lang w:val="fr-FR"/>
        </w:rPr>
        <w:tab/>
      </w:r>
      <w:r w:rsidR="007F6FB3" w:rsidRPr="00174283">
        <w:rPr>
          <w:lang w:val="fr-FR"/>
        </w:rPr>
        <w:t>Toute personne qui</w:t>
      </w:r>
      <w:r w:rsidR="002F51DC">
        <w:rPr>
          <w:lang w:val="fr-FR"/>
        </w:rPr>
        <w:t xml:space="preserve"> </w:t>
      </w:r>
      <w:r w:rsidR="007F6FB3" w:rsidRPr="00174283">
        <w:rPr>
          <w:lang w:val="fr-FR"/>
        </w:rPr>
        <w:t>commet</w:t>
      </w:r>
      <w:r w:rsidR="002F51DC">
        <w:rPr>
          <w:lang w:val="fr-FR"/>
        </w:rPr>
        <w:t xml:space="preserve"> </w:t>
      </w:r>
      <w:r w:rsidR="007F6FB3" w:rsidRPr="00174283">
        <w:rPr>
          <w:lang w:val="fr-FR"/>
        </w:rPr>
        <w:t>l</w:t>
      </w:r>
      <w:r w:rsidR="00205A62">
        <w:rPr>
          <w:lang w:val="fr-FR"/>
        </w:rPr>
        <w:t>’</w:t>
      </w:r>
      <w:r w:rsidR="007F6FB3" w:rsidRPr="00174283">
        <w:rPr>
          <w:lang w:val="fr-FR"/>
        </w:rPr>
        <w:t>infraction</w:t>
      </w:r>
      <w:r w:rsidR="002F51DC">
        <w:rPr>
          <w:lang w:val="fr-FR"/>
        </w:rPr>
        <w:t xml:space="preserve"> </w:t>
      </w:r>
      <w:r w:rsidR="0008478A">
        <w:rPr>
          <w:lang w:val="fr-FR"/>
        </w:rPr>
        <w:t xml:space="preserve">visée au paragraphe </w:t>
      </w:r>
      <w:r w:rsidR="00D30CFA" w:rsidRPr="00174283">
        <w:rPr>
          <w:lang w:val="fr-FR"/>
        </w:rPr>
        <w:t>1) d</w:t>
      </w:r>
      <w:r w:rsidR="007F6FB3" w:rsidRPr="00174283">
        <w:rPr>
          <w:lang w:val="fr-FR"/>
        </w:rPr>
        <w:t>u</w:t>
      </w:r>
      <w:r w:rsidR="00D30CFA" w:rsidRPr="00174283">
        <w:rPr>
          <w:lang w:val="fr-FR"/>
        </w:rPr>
        <w:t xml:space="preserve"> présent article </w:t>
      </w:r>
      <w:r w:rsidR="00780F44" w:rsidRPr="00174283">
        <w:rPr>
          <w:lang w:val="fr-FR"/>
        </w:rPr>
        <w:t>par tout</w:t>
      </w:r>
      <w:r w:rsidR="002F51DC">
        <w:rPr>
          <w:lang w:val="fr-FR"/>
        </w:rPr>
        <w:t xml:space="preserve"> </w:t>
      </w:r>
      <w:r w:rsidR="00780F44" w:rsidRPr="00174283">
        <w:rPr>
          <w:lang w:val="fr-FR"/>
        </w:rPr>
        <w:t>autre</w:t>
      </w:r>
      <w:r w:rsidR="002F51DC">
        <w:rPr>
          <w:lang w:val="fr-FR"/>
        </w:rPr>
        <w:t xml:space="preserve"> </w:t>
      </w:r>
      <w:r w:rsidR="00780F44" w:rsidRPr="00174283">
        <w:rPr>
          <w:lang w:val="fr-FR"/>
        </w:rPr>
        <w:t>moyen d</w:t>
      </w:r>
      <w:r w:rsidR="00205A62">
        <w:rPr>
          <w:lang w:val="fr-FR"/>
        </w:rPr>
        <w:t>’</w:t>
      </w:r>
      <w:r w:rsidR="00780F44" w:rsidRPr="00174283">
        <w:rPr>
          <w:lang w:val="fr-FR"/>
        </w:rPr>
        <w:t>information</w:t>
      </w:r>
      <w:r w:rsidR="002F51DC">
        <w:rPr>
          <w:lang w:val="fr-FR"/>
        </w:rPr>
        <w:t xml:space="preserve"> </w:t>
      </w:r>
      <w:r w:rsidR="00780F44" w:rsidRPr="00174283">
        <w:rPr>
          <w:lang w:val="fr-FR"/>
        </w:rPr>
        <w:t xml:space="preserve">publique </w:t>
      </w:r>
      <w:r w:rsidR="00D30CFA" w:rsidRPr="00174283">
        <w:rPr>
          <w:lang w:val="fr-FR"/>
        </w:rPr>
        <w:t>est puni</w:t>
      </w:r>
      <w:r w:rsidR="007F6FB3" w:rsidRPr="00174283">
        <w:rPr>
          <w:lang w:val="fr-FR"/>
        </w:rPr>
        <w:t>e</w:t>
      </w:r>
      <w:r w:rsidR="00D30CFA" w:rsidRPr="00174283">
        <w:rPr>
          <w:lang w:val="fr-FR"/>
        </w:rPr>
        <w:t xml:space="preserve"> de la même peine</w:t>
      </w:r>
      <w:r w:rsidR="00481FCF" w:rsidRPr="00174283">
        <w:rPr>
          <w:lang w:val="fr-FR"/>
        </w:rPr>
        <w:t>.</w:t>
      </w:r>
    </w:p>
    <w:p w:rsidR="009B5407" w:rsidRPr="00174283" w:rsidRDefault="009B5407" w:rsidP="00CF6FE9">
      <w:pPr>
        <w:pStyle w:val="SingleTxtG"/>
        <w:rPr>
          <w:lang w:val="fr-FR"/>
        </w:rPr>
      </w:pPr>
      <w:r w:rsidRPr="00174283">
        <w:rPr>
          <w:lang w:val="fr-FR"/>
        </w:rPr>
        <w:t>3)</w:t>
      </w:r>
      <w:r w:rsidR="000C7F70" w:rsidRPr="00174283">
        <w:rPr>
          <w:lang w:val="fr-FR"/>
        </w:rPr>
        <w:tab/>
      </w:r>
      <w:r w:rsidR="00E47CFA" w:rsidRPr="00174283">
        <w:rPr>
          <w:lang w:val="fr-FR"/>
        </w:rPr>
        <w:t>Toute personne qui</w:t>
      </w:r>
      <w:r w:rsidR="002F51DC">
        <w:rPr>
          <w:lang w:val="fr-FR"/>
        </w:rPr>
        <w:t xml:space="preserve"> </w:t>
      </w:r>
      <w:r w:rsidR="00CF6FE9" w:rsidRPr="00174283">
        <w:rPr>
          <w:lang w:val="fr-FR"/>
        </w:rPr>
        <w:t>commet</w:t>
      </w:r>
      <w:r w:rsidR="002F51DC">
        <w:rPr>
          <w:lang w:val="fr-FR"/>
        </w:rPr>
        <w:t xml:space="preserve"> </w:t>
      </w:r>
      <w:r w:rsidR="00CF6FE9" w:rsidRPr="00174283">
        <w:rPr>
          <w:lang w:val="fr-FR"/>
        </w:rPr>
        <w:t>l</w:t>
      </w:r>
      <w:r w:rsidR="00205A62">
        <w:rPr>
          <w:lang w:val="fr-FR"/>
        </w:rPr>
        <w:t>’</w:t>
      </w:r>
      <w:r w:rsidR="00CF6FE9" w:rsidRPr="00174283">
        <w:rPr>
          <w:lang w:val="fr-FR"/>
        </w:rPr>
        <w:t>infraction</w:t>
      </w:r>
      <w:r w:rsidR="002F51DC">
        <w:rPr>
          <w:lang w:val="fr-FR"/>
        </w:rPr>
        <w:t xml:space="preserve"> </w:t>
      </w:r>
      <w:r w:rsidR="00CF6FE9" w:rsidRPr="00174283">
        <w:rPr>
          <w:lang w:val="fr-FR"/>
        </w:rPr>
        <w:t>visée</w:t>
      </w:r>
      <w:r w:rsidR="002F51DC">
        <w:rPr>
          <w:lang w:val="fr-FR"/>
        </w:rPr>
        <w:t xml:space="preserve"> </w:t>
      </w:r>
      <w:r w:rsidR="00CF6FE9" w:rsidRPr="00174283">
        <w:rPr>
          <w:lang w:val="fr-FR"/>
        </w:rPr>
        <w:t>aux paragraphes 1</w:t>
      </w:r>
      <w:r w:rsidR="00E47CFA" w:rsidRPr="00174283">
        <w:rPr>
          <w:lang w:val="fr-FR"/>
        </w:rPr>
        <w:t>)</w:t>
      </w:r>
      <w:r w:rsidR="00CF6FE9" w:rsidRPr="00174283">
        <w:rPr>
          <w:lang w:val="fr-FR"/>
        </w:rPr>
        <w:t xml:space="preserve"> et 2</w:t>
      </w:r>
      <w:r w:rsidR="00E47CFA" w:rsidRPr="00174283">
        <w:rPr>
          <w:lang w:val="fr-FR"/>
        </w:rPr>
        <w:t>)</w:t>
      </w:r>
      <w:r w:rsidR="00CF6FE9" w:rsidRPr="00174283">
        <w:rPr>
          <w:lang w:val="fr-FR"/>
        </w:rPr>
        <w:t xml:space="preserve"> du présent article en abusant des circonstances et de son autorité, ou</w:t>
      </w:r>
      <w:r w:rsidR="002F51DC">
        <w:rPr>
          <w:lang w:val="fr-FR"/>
        </w:rPr>
        <w:t xml:space="preserve"> </w:t>
      </w:r>
      <w:r w:rsidR="00CF6FE9" w:rsidRPr="00174283">
        <w:rPr>
          <w:lang w:val="fr-FR"/>
        </w:rPr>
        <w:t>qui, par</w:t>
      </w:r>
      <w:r w:rsidR="002F51DC">
        <w:rPr>
          <w:lang w:val="fr-FR"/>
        </w:rPr>
        <w:t xml:space="preserve"> </w:t>
      </w:r>
      <w:r w:rsidR="00CF6FE9" w:rsidRPr="00174283">
        <w:rPr>
          <w:lang w:val="fr-FR"/>
        </w:rPr>
        <w:t>ses agissements,</w:t>
      </w:r>
      <w:r w:rsidR="002F51DC">
        <w:rPr>
          <w:lang w:val="fr-FR"/>
        </w:rPr>
        <w:t xml:space="preserve"> </w:t>
      </w:r>
      <w:r w:rsidR="00CF6FE9" w:rsidRPr="00174283">
        <w:rPr>
          <w:lang w:val="fr-FR"/>
        </w:rPr>
        <w:t>suscite</w:t>
      </w:r>
      <w:r w:rsidR="002F51DC">
        <w:rPr>
          <w:lang w:val="fr-FR"/>
        </w:rPr>
        <w:t xml:space="preserve"> </w:t>
      </w:r>
      <w:r w:rsidR="00CF6FE9" w:rsidRPr="00174283">
        <w:rPr>
          <w:lang w:val="fr-FR"/>
        </w:rPr>
        <w:t>d</w:t>
      </w:r>
      <w:r w:rsidR="00205A62">
        <w:rPr>
          <w:lang w:val="fr-FR"/>
        </w:rPr>
        <w:t>’</w:t>
      </w:r>
      <w:r w:rsidR="00CF6FE9" w:rsidRPr="00174283">
        <w:rPr>
          <w:lang w:val="fr-FR"/>
        </w:rPr>
        <w:t>importants</w:t>
      </w:r>
      <w:r w:rsidR="002F51DC">
        <w:rPr>
          <w:lang w:val="fr-FR"/>
        </w:rPr>
        <w:t xml:space="preserve"> </w:t>
      </w:r>
      <w:r w:rsidR="00CF6FE9" w:rsidRPr="00174283">
        <w:rPr>
          <w:lang w:val="fr-FR"/>
        </w:rPr>
        <w:t>troubles</w:t>
      </w:r>
      <w:r w:rsidR="002F51DC">
        <w:rPr>
          <w:lang w:val="fr-FR"/>
        </w:rPr>
        <w:t xml:space="preserve"> </w:t>
      </w:r>
      <w:r w:rsidR="00CF6FE9" w:rsidRPr="00174283">
        <w:rPr>
          <w:lang w:val="fr-FR"/>
        </w:rPr>
        <w:t>et violences à l</w:t>
      </w:r>
      <w:r w:rsidR="00205A62">
        <w:rPr>
          <w:lang w:val="fr-FR"/>
        </w:rPr>
        <w:t>’</w:t>
      </w:r>
      <w:r w:rsidR="00CF6FE9" w:rsidRPr="00174283">
        <w:rPr>
          <w:lang w:val="fr-FR"/>
        </w:rPr>
        <w:t>encontre de personnes ou de biens matériels,</w:t>
      </w:r>
      <w:r w:rsidR="002F51DC">
        <w:rPr>
          <w:lang w:val="fr-FR"/>
        </w:rPr>
        <w:t xml:space="preserve"> </w:t>
      </w:r>
      <w:r w:rsidR="004226DC" w:rsidRPr="00174283">
        <w:rPr>
          <w:lang w:val="fr-FR"/>
        </w:rPr>
        <w:t>est punie d</w:t>
      </w:r>
      <w:r w:rsidR="00205A62">
        <w:rPr>
          <w:lang w:val="fr-FR"/>
        </w:rPr>
        <w:t>’</w:t>
      </w:r>
      <w:r w:rsidR="00CF6FE9" w:rsidRPr="00174283">
        <w:rPr>
          <w:lang w:val="fr-FR"/>
        </w:rPr>
        <w:t>une</w:t>
      </w:r>
      <w:r w:rsidR="002F51DC">
        <w:rPr>
          <w:lang w:val="fr-FR"/>
        </w:rPr>
        <w:t xml:space="preserve"> </w:t>
      </w:r>
      <w:r w:rsidR="00CF6FE9" w:rsidRPr="00174283">
        <w:rPr>
          <w:lang w:val="fr-FR"/>
        </w:rPr>
        <w:t xml:space="preserve">peine </w:t>
      </w:r>
      <w:r w:rsidR="004226DC" w:rsidRPr="00174283">
        <w:rPr>
          <w:lang w:val="fr-FR"/>
        </w:rPr>
        <w:t xml:space="preserve">de prison </w:t>
      </w:r>
      <w:r w:rsidR="00612189" w:rsidRPr="00174283">
        <w:rPr>
          <w:lang w:val="fr-FR"/>
        </w:rPr>
        <w:t xml:space="preserve">comprise entre un </w:t>
      </w:r>
      <w:r w:rsidR="000A76D6" w:rsidRPr="00174283">
        <w:rPr>
          <w:lang w:val="fr-FR"/>
        </w:rPr>
        <w:t>e</w:t>
      </w:r>
      <w:r w:rsidR="00612189" w:rsidRPr="00174283">
        <w:rPr>
          <w:lang w:val="fr-FR"/>
        </w:rPr>
        <w:t xml:space="preserve">t </w:t>
      </w:r>
      <w:r w:rsidR="004226DC" w:rsidRPr="00174283">
        <w:rPr>
          <w:lang w:val="fr-FR"/>
        </w:rPr>
        <w:t>dix</w:t>
      </w:r>
      <w:r w:rsidR="002F51DC">
        <w:rPr>
          <w:lang w:val="fr-FR"/>
        </w:rPr>
        <w:t xml:space="preserve"> </w:t>
      </w:r>
      <w:r w:rsidR="004226DC" w:rsidRPr="00174283">
        <w:rPr>
          <w:lang w:val="fr-FR"/>
        </w:rPr>
        <w:t>ans</w:t>
      </w:r>
      <w:r w:rsidR="00CF6FE9" w:rsidRPr="00174283">
        <w:rPr>
          <w:lang w:val="fr-FR"/>
        </w:rPr>
        <w:t>.</w:t>
      </w:r>
      <w:r w:rsidR="00481FCF" w:rsidRPr="00174283">
        <w:rPr>
          <w:lang w:val="fr-FR"/>
        </w:rPr>
        <w:t xml:space="preserve"> </w:t>
      </w:r>
    </w:p>
    <w:p w:rsidR="009B5407" w:rsidRPr="00174283" w:rsidRDefault="009B5407" w:rsidP="000C7F70">
      <w:pPr>
        <w:pStyle w:val="H1G"/>
        <w:rPr>
          <w:lang w:val="fr-FR"/>
        </w:rPr>
      </w:pPr>
      <w:r w:rsidRPr="00174283">
        <w:rPr>
          <w:lang w:val="fr-FR"/>
        </w:rPr>
        <w:tab/>
      </w:r>
      <w:r w:rsidRPr="00174283">
        <w:rPr>
          <w:lang w:val="fr-FR"/>
        </w:rPr>
        <w:tab/>
        <w:t>Article 417</w:t>
      </w:r>
      <w:r w:rsidR="000C7F70" w:rsidRPr="00174283">
        <w:rPr>
          <w:lang w:val="fr-FR"/>
        </w:rPr>
        <w:br/>
      </w:r>
      <w:r w:rsidR="00481FCF" w:rsidRPr="00174283">
        <w:rPr>
          <w:lang w:val="fr-FR"/>
        </w:rPr>
        <w:t xml:space="preserve">Discrimination raciale et autres types de discrimination </w:t>
      </w:r>
    </w:p>
    <w:p w:rsidR="009B5407" w:rsidRPr="00174283" w:rsidRDefault="009B5407" w:rsidP="00493C76">
      <w:pPr>
        <w:pStyle w:val="SingleTxtG"/>
        <w:rPr>
          <w:lang w:val="fr-FR"/>
        </w:rPr>
      </w:pPr>
      <w:r w:rsidRPr="00174283">
        <w:rPr>
          <w:lang w:val="fr-FR"/>
        </w:rPr>
        <w:t>1)</w:t>
      </w:r>
      <w:r w:rsidR="000C7F70" w:rsidRPr="00174283">
        <w:rPr>
          <w:lang w:val="fr-FR"/>
        </w:rPr>
        <w:tab/>
      </w:r>
      <w:r w:rsidR="00493C76" w:rsidRPr="00174283">
        <w:rPr>
          <w:lang w:val="fr-FR"/>
        </w:rPr>
        <w:t>Toute personne qui, sur la base de critères de race, de couleur de peau, d</w:t>
      </w:r>
      <w:r w:rsidR="00205A62">
        <w:rPr>
          <w:lang w:val="fr-FR"/>
        </w:rPr>
        <w:t>’</w:t>
      </w:r>
      <w:r w:rsidR="00493C76" w:rsidRPr="00174283">
        <w:rPr>
          <w:lang w:val="fr-FR"/>
        </w:rPr>
        <w:t xml:space="preserve">origine nationale ou ethnique, </w:t>
      </w:r>
      <w:r w:rsidR="003A1495" w:rsidRPr="00174283">
        <w:rPr>
          <w:lang w:val="fr-FR"/>
        </w:rPr>
        <w:t>porte atteinte aux</w:t>
      </w:r>
      <w:r w:rsidR="00493C76" w:rsidRPr="00174283">
        <w:rPr>
          <w:lang w:val="fr-FR"/>
        </w:rPr>
        <w:t xml:space="preserve"> droits </w:t>
      </w:r>
      <w:r w:rsidR="00DE707E" w:rsidRPr="00174283">
        <w:rPr>
          <w:lang w:val="fr-FR"/>
        </w:rPr>
        <w:t>de l</w:t>
      </w:r>
      <w:r w:rsidR="00205A62">
        <w:rPr>
          <w:lang w:val="fr-FR"/>
        </w:rPr>
        <w:t>’</w:t>
      </w:r>
      <w:r w:rsidR="00DE707E" w:rsidRPr="00174283">
        <w:rPr>
          <w:lang w:val="fr-FR"/>
        </w:rPr>
        <w:t>homme et aux</w:t>
      </w:r>
      <w:r w:rsidR="00493C76" w:rsidRPr="00174283">
        <w:rPr>
          <w:lang w:val="fr-FR"/>
        </w:rPr>
        <w:t xml:space="preserve"> libertés fondamenta</w:t>
      </w:r>
      <w:r w:rsidR="00DE707E" w:rsidRPr="00174283">
        <w:rPr>
          <w:lang w:val="fr-FR"/>
        </w:rPr>
        <w:t>les</w:t>
      </w:r>
      <w:r w:rsidR="00493C76" w:rsidRPr="00174283">
        <w:rPr>
          <w:lang w:val="fr-FR"/>
        </w:rPr>
        <w:t xml:space="preserve"> reconnus par la communauté internationale est punie d</w:t>
      </w:r>
      <w:r w:rsidR="00205A62">
        <w:rPr>
          <w:lang w:val="fr-FR"/>
        </w:rPr>
        <w:t>’</w:t>
      </w:r>
      <w:r w:rsidR="00493C76" w:rsidRPr="00174283">
        <w:rPr>
          <w:lang w:val="fr-FR"/>
        </w:rPr>
        <w:t xml:space="preserve">une peine de prison </w:t>
      </w:r>
      <w:r w:rsidR="00612189" w:rsidRPr="00174283">
        <w:rPr>
          <w:lang w:val="fr-FR"/>
        </w:rPr>
        <w:t>comprise entre</w:t>
      </w:r>
      <w:r w:rsidR="00493C76" w:rsidRPr="00174283">
        <w:rPr>
          <w:lang w:val="fr-FR"/>
        </w:rPr>
        <w:t xml:space="preserve"> six mois </w:t>
      </w:r>
      <w:r w:rsidR="00612189" w:rsidRPr="00174283">
        <w:rPr>
          <w:lang w:val="fr-FR"/>
        </w:rPr>
        <w:t xml:space="preserve">et </w:t>
      </w:r>
      <w:r w:rsidR="00493C76" w:rsidRPr="00174283">
        <w:rPr>
          <w:lang w:val="fr-FR"/>
        </w:rPr>
        <w:t>cinq ans</w:t>
      </w:r>
      <w:r w:rsidR="00EE4388" w:rsidRPr="00174283">
        <w:rPr>
          <w:lang w:val="fr-FR"/>
        </w:rPr>
        <w:t xml:space="preserve">. </w:t>
      </w:r>
    </w:p>
    <w:p w:rsidR="009B5407" w:rsidRPr="00174283" w:rsidRDefault="009B5407" w:rsidP="00493C76">
      <w:pPr>
        <w:pStyle w:val="SingleTxtG"/>
        <w:rPr>
          <w:lang w:val="fr-FR"/>
        </w:rPr>
      </w:pPr>
      <w:r w:rsidRPr="00174283">
        <w:rPr>
          <w:lang w:val="fr-FR"/>
        </w:rPr>
        <w:t>2)</w:t>
      </w:r>
      <w:r w:rsidR="000C7F70" w:rsidRPr="00174283">
        <w:rPr>
          <w:lang w:val="fr-FR"/>
        </w:rPr>
        <w:tab/>
      </w:r>
      <w:r w:rsidR="00493C76" w:rsidRPr="00174283">
        <w:rPr>
          <w:lang w:val="fr-FR"/>
        </w:rPr>
        <w:t>Une peine identique s</w:t>
      </w:r>
      <w:r w:rsidR="00205A62">
        <w:rPr>
          <w:lang w:val="fr-FR"/>
        </w:rPr>
        <w:t>’</w:t>
      </w:r>
      <w:r w:rsidR="00493C76" w:rsidRPr="00174283">
        <w:rPr>
          <w:lang w:val="fr-FR"/>
        </w:rPr>
        <w:t>applique à toute personne qui persécute des organisations ou des individus en raison de leur attachement à l</w:t>
      </w:r>
      <w:r w:rsidR="00205A62">
        <w:rPr>
          <w:lang w:val="fr-FR"/>
        </w:rPr>
        <w:t>’</w:t>
      </w:r>
      <w:r w:rsidR="00493C76" w:rsidRPr="00174283">
        <w:rPr>
          <w:lang w:val="fr-FR"/>
        </w:rPr>
        <w:t>égalité des individus.</w:t>
      </w:r>
    </w:p>
    <w:p w:rsidR="005F0530" w:rsidRPr="00174283" w:rsidRDefault="009B5407" w:rsidP="00493C76">
      <w:pPr>
        <w:pStyle w:val="SingleTxtG"/>
        <w:rPr>
          <w:lang w:val="fr-FR"/>
        </w:rPr>
      </w:pPr>
      <w:r w:rsidRPr="00174283">
        <w:rPr>
          <w:lang w:val="fr-FR"/>
        </w:rPr>
        <w:t>3)</w:t>
      </w:r>
      <w:r w:rsidR="000C7F70" w:rsidRPr="00174283">
        <w:rPr>
          <w:lang w:val="fr-FR"/>
        </w:rPr>
        <w:tab/>
      </w:r>
      <w:r w:rsidR="00EE4388" w:rsidRPr="00174283">
        <w:rPr>
          <w:lang w:val="fr-FR"/>
        </w:rPr>
        <w:t xml:space="preserve">Toute personne </w:t>
      </w:r>
      <w:r w:rsidR="00493C76" w:rsidRPr="00174283">
        <w:rPr>
          <w:lang w:val="fr-FR"/>
        </w:rPr>
        <w:t>qui propage des idées de supériorité d</w:t>
      </w:r>
      <w:r w:rsidR="00205A62">
        <w:rPr>
          <w:lang w:val="fr-FR"/>
        </w:rPr>
        <w:t>’</w:t>
      </w:r>
      <w:r w:rsidR="00493C76" w:rsidRPr="00174283">
        <w:rPr>
          <w:lang w:val="fr-FR"/>
        </w:rPr>
        <w:t>une race par rapport à une autre ou la haine raciale ou qui encourage la discrimination raciale est punie d</w:t>
      </w:r>
      <w:r w:rsidR="00205A62">
        <w:rPr>
          <w:lang w:val="fr-FR"/>
        </w:rPr>
        <w:t>’</w:t>
      </w:r>
      <w:r w:rsidR="00493C76" w:rsidRPr="00174283">
        <w:rPr>
          <w:lang w:val="fr-FR"/>
        </w:rPr>
        <w:t xml:space="preserve">une peine de prison </w:t>
      </w:r>
      <w:r w:rsidR="00612189" w:rsidRPr="00174283">
        <w:rPr>
          <w:lang w:val="fr-FR"/>
        </w:rPr>
        <w:t>comprise entre</w:t>
      </w:r>
      <w:r w:rsidR="00493C76" w:rsidRPr="00174283">
        <w:rPr>
          <w:lang w:val="fr-FR"/>
        </w:rPr>
        <w:t xml:space="preserve"> six mois </w:t>
      </w:r>
      <w:r w:rsidR="00612189" w:rsidRPr="00174283">
        <w:rPr>
          <w:lang w:val="fr-FR"/>
        </w:rPr>
        <w:t>et</w:t>
      </w:r>
      <w:r w:rsidR="00493C76" w:rsidRPr="00174283">
        <w:rPr>
          <w:lang w:val="fr-FR"/>
        </w:rPr>
        <w:t xml:space="preserve"> trois ans</w:t>
      </w:r>
      <w:r w:rsidR="00EE4388" w:rsidRPr="00174283">
        <w:rPr>
          <w:lang w:val="fr-FR"/>
        </w:rPr>
        <w:t xml:space="preserve">. </w:t>
      </w:r>
    </w:p>
    <w:p w:rsidR="009B5407" w:rsidRPr="00174283" w:rsidRDefault="009B5407" w:rsidP="009B5407">
      <w:pPr>
        <w:pStyle w:val="SingleTxtG"/>
        <w:spacing w:before="240" w:after="0"/>
        <w:jc w:val="center"/>
        <w:rPr>
          <w:u w:val="single"/>
          <w:lang w:val="fr-FR"/>
        </w:rPr>
      </w:pPr>
      <w:r w:rsidRPr="00174283">
        <w:rPr>
          <w:u w:val="single"/>
          <w:lang w:val="fr-FR"/>
        </w:rPr>
        <w:tab/>
      </w:r>
      <w:r w:rsidRPr="00174283">
        <w:rPr>
          <w:u w:val="single"/>
          <w:lang w:val="fr-FR"/>
        </w:rPr>
        <w:tab/>
      </w:r>
      <w:r w:rsidRPr="00174283">
        <w:rPr>
          <w:u w:val="single"/>
          <w:lang w:val="fr-FR"/>
        </w:rPr>
        <w:tab/>
      </w:r>
    </w:p>
    <w:sectPr w:rsidR="009B5407" w:rsidRPr="00174283" w:rsidSect="004E50E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87" w:rsidRDefault="00425D87"/>
  </w:endnote>
  <w:endnote w:type="continuationSeparator" w:id="0">
    <w:p w:rsidR="00425D87" w:rsidRDefault="00425D87"/>
  </w:endnote>
  <w:endnote w:type="continuationNotice" w:id="1">
    <w:p w:rsidR="00425D87" w:rsidRDefault="00425D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C" w:rsidRPr="00D8201B" w:rsidRDefault="008A2E6C" w:rsidP="00D8201B">
    <w:pPr>
      <w:pStyle w:val="Footer"/>
      <w:tabs>
        <w:tab w:val="right" w:pos="9638"/>
      </w:tabs>
    </w:pPr>
    <w:r w:rsidRPr="00D8201B">
      <w:rPr>
        <w:b/>
        <w:sz w:val="18"/>
      </w:rPr>
      <w:fldChar w:fldCharType="begin"/>
    </w:r>
    <w:r w:rsidRPr="00D8201B">
      <w:rPr>
        <w:b/>
        <w:sz w:val="18"/>
      </w:rPr>
      <w:instrText xml:space="preserve"> PAGE  \* MERGEFORMAT </w:instrText>
    </w:r>
    <w:r w:rsidRPr="00D8201B">
      <w:rPr>
        <w:b/>
        <w:sz w:val="18"/>
      </w:rPr>
      <w:fldChar w:fldCharType="separate"/>
    </w:r>
    <w:r>
      <w:rPr>
        <w:b/>
        <w:noProof/>
        <w:sz w:val="18"/>
      </w:rPr>
      <w:t>2</w:t>
    </w:r>
    <w:r w:rsidRPr="00D8201B">
      <w:rPr>
        <w:b/>
        <w:sz w:val="18"/>
      </w:rPr>
      <w:fldChar w:fldCharType="end"/>
    </w:r>
    <w:r>
      <w:rPr>
        <w:sz w:val="18"/>
      </w:rPr>
      <w:tab/>
    </w:r>
    <w:r w:rsidRPr="00F73685">
      <w:rPr>
        <w:szCs w:val="16"/>
      </w:rPr>
      <w:t>GE.13-49172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C" w:rsidRPr="00D8201B" w:rsidRDefault="008A2E6C" w:rsidP="00D8201B">
    <w:pPr>
      <w:pStyle w:val="Footer"/>
      <w:tabs>
        <w:tab w:val="right" w:pos="9638"/>
      </w:tabs>
      <w:rPr>
        <w:b/>
        <w:sz w:val="18"/>
      </w:rPr>
    </w:pPr>
    <w:r w:rsidRPr="00F73685">
      <w:t>GE.13-49172  (EXT)</w:t>
    </w:r>
    <w:r>
      <w:tab/>
    </w:r>
    <w:r w:rsidRPr="00D8201B">
      <w:rPr>
        <w:b/>
        <w:sz w:val="18"/>
      </w:rPr>
      <w:fldChar w:fldCharType="begin"/>
    </w:r>
    <w:r w:rsidRPr="00D8201B">
      <w:rPr>
        <w:b/>
        <w:sz w:val="18"/>
      </w:rPr>
      <w:instrText xml:space="preserve"> PAGE  \* MERGEFORMAT </w:instrText>
    </w:r>
    <w:r w:rsidRPr="00D8201B">
      <w:rPr>
        <w:b/>
        <w:sz w:val="18"/>
      </w:rPr>
      <w:fldChar w:fldCharType="separate"/>
    </w:r>
    <w:r>
      <w:rPr>
        <w:b/>
        <w:noProof/>
        <w:sz w:val="18"/>
      </w:rPr>
      <w:t>3</w:t>
    </w:r>
    <w:r w:rsidRPr="00D8201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C" w:rsidRPr="00D8201B" w:rsidRDefault="008A2E6C" w:rsidP="00340094">
    <w:pPr>
      <w:pStyle w:val="Footer"/>
      <w:tabs>
        <w:tab w:val="right" w:pos="9638"/>
      </w:tabs>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0.15pt;margin-top:651.95pt;width:87.65pt;height:18.15pt;z-index:1;mso-position-horizontal-relative:margin;mso-position-vertical-relative:margin" filled="t">
          <v:imagedata r:id="rId1" o:title="recycle_French"/>
          <w10:wrap anchorx="margin" anchory="margin"/>
          <w10:anchorlock/>
        </v:shape>
      </w:pict>
    </w:r>
    <w:r>
      <w:rPr>
        <w:sz w:val="20"/>
      </w:rPr>
      <w:t>GE.13-49172  (EXT)</w:t>
    </w:r>
    <w:r>
      <w:rPr>
        <w:sz w:val="20"/>
      </w:rPr>
      <w:br/>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sidRPr="00340094">
      <w:rPr>
        <w:rFonts w:ascii="C39T30Lfz" w:hAnsi="C39T30Lfz"/>
        <w:sz w:val="56"/>
      </w:rPr>
      <w:t></w:t>
    </w:r>
    <w:r>
      <w:rPr>
        <w:rFonts w:ascii="C39T30Lfz" w:hAnsi="C39T30Lfz"/>
        <w:sz w:val="56"/>
      </w:rPr>
      <w:tab/>
    </w:r>
    <w:r>
      <w:rPr>
        <w:noProof/>
        <w:sz w:val="20"/>
        <w:lang w:val="en-US"/>
      </w:rPr>
      <w:pict>
        <v:shape id="_x0000_s2054" type="#_x0000_t75" style="position:absolute;margin-left:433.7pt;margin-top:616.5pt;width:50.25pt;height:50.25pt;z-index:2;mso-position-horizontal-relative:margin;mso-position-vertical-relative:margin" filled="t">
          <v:imagedata r:id="rId2" o:title="8-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87" w:rsidRPr="000B175B" w:rsidRDefault="00425D87" w:rsidP="000B175B">
      <w:pPr>
        <w:tabs>
          <w:tab w:val="right" w:pos="2155"/>
        </w:tabs>
        <w:spacing w:after="80"/>
        <w:ind w:left="680"/>
        <w:rPr>
          <w:u w:val="single"/>
        </w:rPr>
      </w:pPr>
      <w:r>
        <w:rPr>
          <w:u w:val="single"/>
        </w:rPr>
        <w:tab/>
      </w:r>
    </w:p>
  </w:footnote>
  <w:footnote w:type="continuationSeparator" w:id="0">
    <w:p w:rsidR="00425D87" w:rsidRPr="00FC68B7" w:rsidRDefault="00425D87" w:rsidP="00FC68B7">
      <w:pPr>
        <w:tabs>
          <w:tab w:val="left" w:pos="2155"/>
        </w:tabs>
        <w:spacing w:after="80"/>
        <w:ind w:left="680"/>
        <w:rPr>
          <w:u w:val="single"/>
        </w:rPr>
      </w:pPr>
      <w:r>
        <w:rPr>
          <w:u w:val="single"/>
        </w:rPr>
        <w:tab/>
      </w:r>
    </w:p>
  </w:footnote>
  <w:footnote w:type="continuationNotice" w:id="1">
    <w:p w:rsidR="00425D87" w:rsidRDefault="00425D87"/>
  </w:footnote>
  <w:footnote w:id="2">
    <w:p w:rsidR="008A2E6C" w:rsidRPr="00614C4E" w:rsidRDefault="008A2E6C" w:rsidP="00A84AB5">
      <w:pPr>
        <w:pStyle w:val="FootnoteText"/>
        <w:rPr>
          <w:szCs w:val="18"/>
          <w:lang w:val="fr-FR"/>
        </w:rPr>
      </w:pPr>
      <w:r w:rsidRPr="00614C4E">
        <w:rPr>
          <w:lang w:val="fr-FR"/>
        </w:rPr>
        <w:tab/>
      </w:r>
      <w:r w:rsidRPr="00F73685">
        <w:rPr>
          <w:rStyle w:val="FootnoteReference"/>
          <w:sz w:val="20"/>
          <w:vertAlign w:val="baseline"/>
          <w:lang w:val="fr-FR"/>
        </w:rPr>
        <w:t>*</w:t>
      </w:r>
      <w:r w:rsidRPr="00614C4E">
        <w:rPr>
          <w:szCs w:val="18"/>
          <w:lang w:val="fr-FR"/>
        </w:rPr>
        <w:tab/>
      </w:r>
      <w:r w:rsidRPr="00614C4E">
        <w:rPr>
          <w:lang w:val="fr-FR"/>
        </w:rPr>
        <w:t xml:space="preserve">Le présent document </w:t>
      </w:r>
      <w:r>
        <w:rPr>
          <w:lang w:val="fr-FR"/>
        </w:rPr>
        <w:t xml:space="preserve">contient </w:t>
      </w:r>
      <w:r w:rsidRPr="00614C4E">
        <w:rPr>
          <w:lang w:val="fr-FR"/>
        </w:rPr>
        <w:t>les huitième, neuvième et dixième rapports périodiques de l</w:t>
      </w:r>
      <w:r>
        <w:rPr>
          <w:lang w:val="fr-FR"/>
        </w:rPr>
        <w:t>’</w:t>
      </w:r>
      <w:r w:rsidRPr="00614C4E">
        <w:rPr>
          <w:lang w:val="fr-FR"/>
        </w:rPr>
        <w:t>ex</w:t>
      </w:r>
      <w:r>
        <w:rPr>
          <w:lang w:val="fr-FR"/>
        </w:rPr>
        <w:noBreakHyphen/>
      </w:r>
      <w:r w:rsidRPr="00614C4E">
        <w:rPr>
          <w:lang w:val="fr-FR"/>
        </w:rPr>
        <w:t>République yougoslave de Macédoine</w:t>
      </w:r>
      <w:r>
        <w:rPr>
          <w:lang w:val="fr-FR"/>
        </w:rPr>
        <w:t xml:space="preserve">, attendus </w:t>
      </w:r>
      <w:r w:rsidRPr="00614C4E">
        <w:rPr>
          <w:szCs w:val="18"/>
          <w:lang w:val="fr-FR"/>
        </w:rPr>
        <w:t xml:space="preserve">le 17 septembre 2010. </w:t>
      </w:r>
      <w:r>
        <w:rPr>
          <w:lang w:val="fr-FR"/>
        </w:rPr>
        <w:t>On trouvera</w:t>
      </w:r>
      <w:r w:rsidRPr="00614C4E">
        <w:rPr>
          <w:lang w:val="fr-FR"/>
        </w:rPr>
        <w:t xml:space="preserve"> les quatrième, cinquième, sixième et septième rapports </w:t>
      </w:r>
      <w:r>
        <w:rPr>
          <w:lang w:val="fr-FR"/>
        </w:rPr>
        <w:t>périodiques ainsi que</w:t>
      </w:r>
      <w:r w:rsidRPr="00614C4E">
        <w:rPr>
          <w:lang w:val="fr-FR"/>
        </w:rPr>
        <w:t xml:space="preserve"> les comptes rendus des</w:t>
      </w:r>
      <w:r>
        <w:rPr>
          <w:lang w:val="fr-FR"/>
        </w:rPr>
        <w:t> </w:t>
      </w:r>
      <w:r w:rsidRPr="00614C4E">
        <w:rPr>
          <w:lang w:val="fr-FR"/>
        </w:rPr>
        <w:t>séances que le Comité a consacrées à leur examen</w:t>
      </w:r>
      <w:r>
        <w:rPr>
          <w:lang w:val="fr-FR"/>
        </w:rPr>
        <w:t xml:space="preserve"> dans </w:t>
      </w:r>
      <w:r w:rsidRPr="00614C4E">
        <w:rPr>
          <w:lang w:val="fr-FR"/>
        </w:rPr>
        <w:t xml:space="preserve">les documents </w:t>
      </w:r>
      <w:r w:rsidRPr="00614C4E">
        <w:rPr>
          <w:rFonts w:ascii="CG Times (W1)" w:hAnsi="CG Times (W1)"/>
          <w:bCs/>
          <w:iCs/>
          <w:szCs w:val="18"/>
          <w:lang w:val="fr-FR"/>
        </w:rPr>
        <w:t xml:space="preserve">CERD/C/MKD/7 </w:t>
      </w:r>
      <w:r w:rsidRPr="00614C4E">
        <w:rPr>
          <w:szCs w:val="18"/>
          <w:lang w:val="fr-FR"/>
        </w:rPr>
        <w:t xml:space="preserve">et </w:t>
      </w:r>
      <w:r w:rsidRPr="00614C4E">
        <w:rPr>
          <w:rFonts w:ascii="CG Times (W1)" w:hAnsi="CG Times (W1)"/>
          <w:bCs/>
          <w:iCs/>
          <w:szCs w:val="18"/>
          <w:lang w:val="fr-FR"/>
        </w:rPr>
        <w:t>CERD/C/SR.1798, 1799 et 1813</w:t>
      </w:r>
      <w:r w:rsidRPr="00614C4E">
        <w:rPr>
          <w:szCs w:val="18"/>
          <w:lang w:val="fr-FR"/>
        </w:rPr>
        <w:t>.</w:t>
      </w:r>
    </w:p>
  </w:footnote>
  <w:footnote w:id="3">
    <w:p w:rsidR="008A2E6C" w:rsidRPr="00614C4E" w:rsidRDefault="008A2E6C" w:rsidP="00695AA1">
      <w:pPr>
        <w:pStyle w:val="FootnoteText"/>
        <w:rPr>
          <w:lang w:val="fr-FR"/>
        </w:rPr>
      </w:pPr>
      <w:r w:rsidRPr="00614C4E">
        <w:rPr>
          <w:szCs w:val="18"/>
          <w:lang w:val="fr-FR"/>
        </w:rPr>
        <w:tab/>
      </w:r>
      <w:r w:rsidRPr="00F73685">
        <w:rPr>
          <w:rStyle w:val="FootnoteReference"/>
          <w:sz w:val="20"/>
          <w:vertAlign w:val="baseline"/>
          <w:lang w:val="fr-FR"/>
        </w:rPr>
        <w:t>**</w:t>
      </w:r>
      <w:r w:rsidRPr="00614C4E">
        <w:rPr>
          <w:szCs w:val="18"/>
          <w:lang w:val="fr-FR"/>
        </w:rPr>
        <w:tab/>
      </w:r>
      <w:r>
        <w:rPr>
          <w:lang w:val="fr-FR"/>
        </w:rPr>
        <w:t>L</w:t>
      </w:r>
      <w:r w:rsidRPr="00614C4E">
        <w:rPr>
          <w:lang w:val="fr-FR"/>
        </w:rPr>
        <w:t>e présent document n</w:t>
      </w:r>
      <w:r>
        <w:rPr>
          <w:lang w:val="fr-FR"/>
        </w:rPr>
        <w:t>’</w:t>
      </w:r>
      <w:r w:rsidRPr="00614C4E">
        <w:rPr>
          <w:lang w:val="fr-FR"/>
        </w:rPr>
        <w:t>a pas été revu par les services d</w:t>
      </w:r>
      <w:r>
        <w:rPr>
          <w:lang w:val="fr-FR"/>
        </w:rPr>
        <w:t>’</w:t>
      </w:r>
      <w:r w:rsidRPr="00614C4E">
        <w:rPr>
          <w:lang w:val="fr-FR"/>
        </w:rPr>
        <w:t>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C" w:rsidRPr="00D8201B" w:rsidRDefault="008A2E6C">
    <w:pPr>
      <w:pStyle w:val="Header"/>
    </w:pPr>
    <w:r>
      <w:t>CERD/C/MKD/8-10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C" w:rsidRPr="00D8201B" w:rsidRDefault="008A2E6C" w:rsidP="00D8201B">
    <w:pPr>
      <w:pStyle w:val="Header"/>
      <w:jc w:val="right"/>
    </w:pPr>
    <w:r>
      <w:t>CERD/MKD/8-10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AEAA2C"/>
    <w:lvl w:ilvl="0">
      <w:start w:val="1"/>
      <w:numFmt w:val="decimal"/>
      <w:lvlText w:val="%1."/>
      <w:lvlJc w:val="left"/>
      <w:pPr>
        <w:tabs>
          <w:tab w:val="num" w:pos="1492"/>
        </w:tabs>
        <w:ind w:left="1492" w:hanging="360"/>
      </w:pPr>
    </w:lvl>
  </w:abstractNum>
  <w:abstractNum w:abstractNumId="1">
    <w:nsid w:val="FFFFFF7D"/>
    <w:multiLevelType w:val="singleLevel"/>
    <w:tmpl w:val="09BCC8B2"/>
    <w:lvl w:ilvl="0">
      <w:start w:val="1"/>
      <w:numFmt w:val="decimal"/>
      <w:lvlText w:val="%1."/>
      <w:lvlJc w:val="left"/>
      <w:pPr>
        <w:tabs>
          <w:tab w:val="num" w:pos="1209"/>
        </w:tabs>
        <w:ind w:left="1209" w:hanging="360"/>
      </w:pPr>
    </w:lvl>
  </w:abstractNum>
  <w:abstractNum w:abstractNumId="2">
    <w:nsid w:val="FFFFFF7E"/>
    <w:multiLevelType w:val="singleLevel"/>
    <w:tmpl w:val="147679E0"/>
    <w:lvl w:ilvl="0">
      <w:start w:val="1"/>
      <w:numFmt w:val="decimal"/>
      <w:lvlText w:val="%1."/>
      <w:lvlJc w:val="left"/>
      <w:pPr>
        <w:tabs>
          <w:tab w:val="num" w:pos="926"/>
        </w:tabs>
        <w:ind w:left="926" w:hanging="360"/>
      </w:pPr>
    </w:lvl>
  </w:abstractNum>
  <w:abstractNum w:abstractNumId="3">
    <w:nsid w:val="FFFFFF7F"/>
    <w:multiLevelType w:val="singleLevel"/>
    <w:tmpl w:val="A7EC99AE"/>
    <w:lvl w:ilvl="0">
      <w:start w:val="1"/>
      <w:numFmt w:val="decimal"/>
      <w:lvlText w:val="%1."/>
      <w:lvlJc w:val="left"/>
      <w:pPr>
        <w:tabs>
          <w:tab w:val="num" w:pos="643"/>
        </w:tabs>
        <w:ind w:left="643" w:hanging="360"/>
      </w:pPr>
    </w:lvl>
  </w:abstractNum>
  <w:abstractNum w:abstractNumId="4">
    <w:nsid w:val="FFFFFF80"/>
    <w:multiLevelType w:val="singleLevel"/>
    <w:tmpl w:val="6BDC6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ACED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87D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94FB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BA9C42"/>
    <w:lvl w:ilvl="0">
      <w:start w:val="1"/>
      <w:numFmt w:val="decimal"/>
      <w:lvlText w:val="%1."/>
      <w:lvlJc w:val="left"/>
      <w:pPr>
        <w:tabs>
          <w:tab w:val="num" w:pos="360"/>
        </w:tabs>
        <w:ind w:left="360" w:hanging="360"/>
      </w:pPr>
    </w:lvl>
  </w:abstractNum>
  <w:abstractNum w:abstractNumId="9">
    <w:nsid w:val="FFFFFF89"/>
    <w:multiLevelType w:val="singleLevel"/>
    <w:tmpl w:val="0510B92C"/>
    <w:lvl w:ilvl="0">
      <w:start w:val="1"/>
      <w:numFmt w:val="bullet"/>
      <w:lvlText w:val=""/>
      <w:lvlJc w:val="left"/>
      <w:pPr>
        <w:tabs>
          <w:tab w:val="num" w:pos="360"/>
        </w:tabs>
        <w:ind w:left="360" w:hanging="360"/>
      </w:pPr>
      <w:rPr>
        <w:rFonts w:ascii="Symbol" w:hAnsi="Symbol" w:hint="default"/>
      </w:rPr>
    </w:lvl>
  </w:abstractNum>
  <w:abstractNum w:abstractNumId="10">
    <w:nsid w:val="03742FA6"/>
    <w:multiLevelType w:val="hybridMultilevel"/>
    <w:tmpl w:val="6AACCD54"/>
    <w:lvl w:ilvl="0" w:tplc="F1BA1E64">
      <w:start w:val="1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D3F300D"/>
    <w:multiLevelType w:val="hybridMultilevel"/>
    <w:tmpl w:val="282EC7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9C260E2"/>
    <w:multiLevelType w:val="multilevel"/>
    <w:tmpl w:val="35D69A0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4D8E02EF"/>
    <w:multiLevelType w:val="hybridMultilevel"/>
    <w:tmpl w:val="35D69A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075612D"/>
    <w:multiLevelType w:val="hybridMultilevel"/>
    <w:tmpl w:val="35D69A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2"/>
  </w:num>
  <w:num w:numId="4">
    <w:abstractNumId w:val="15"/>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01B"/>
    <w:rsid w:val="000061A8"/>
    <w:rsid w:val="000103B5"/>
    <w:rsid w:val="00010F00"/>
    <w:rsid w:val="00014082"/>
    <w:rsid w:val="00014945"/>
    <w:rsid w:val="00015F11"/>
    <w:rsid w:val="000173E5"/>
    <w:rsid w:val="00020731"/>
    <w:rsid w:val="00025D5B"/>
    <w:rsid w:val="00026C54"/>
    <w:rsid w:val="00027970"/>
    <w:rsid w:val="0003036D"/>
    <w:rsid w:val="00032115"/>
    <w:rsid w:val="00032707"/>
    <w:rsid w:val="00032FF2"/>
    <w:rsid w:val="00033C41"/>
    <w:rsid w:val="00034645"/>
    <w:rsid w:val="00040044"/>
    <w:rsid w:val="000409D8"/>
    <w:rsid w:val="00050F6B"/>
    <w:rsid w:val="000519DF"/>
    <w:rsid w:val="0005285C"/>
    <w:rsid w:val="00052CC9"/>
    <w:rsid w:val="00053EA4"/>
    <w:rsid w:val="000551DC"/>
    <w:rsid w:val="000638D7"/>
    <w:rsid w:val="000717D3"/>
    <w:rsid w:val="00071C43"/>
    <w:rsid w:val="00071D79"/>
    <w:rsid w:val="00072C8C"/>
    <w:rsid w:val="000733B5"/>
    <w:rsid w:val="000739B7"/>
    <w:rsid w:val="000769BF"/>
    <w:rsid w:val="00077485"/>
    <w:rsid w:val="000845E1"/>
    <w:rsid w:val="0008478A"/>
    <w:rsid w:val="00085EE9"/>
    <w:rsid w:val="000931C0"/>
    <w:rsid w:val="00094AB0"/>
    <w:rsid w:val="00097530"/>
    <w:rsid w:val="000A2AAE"/>
    <w:rsid w:val="000A3478"/>
    <w:rsid w:val="000A41DB"/>
    <w:rsid w:val="000A41E6"/>
    <w:rsid w:val="000A5988"/>
    <w:rsid w:val="000A5D3B"/>
    <w:rsid w:val="000A67FF"/>
    <w:rsid w:val="000A76D6"/>
    <w:rsid w:val="000B175B"/>
    <w:rsid w:val="000B3A0F"/>
    <w:rsid w:val="000B3E73"/>
    <w:rsid w:val="000B4EF7"/>
    <w:rsid w:val="000B5D72"/>
    <w:rsid w:val="000C13DE"/>
    <w:rsid w:val="000C1462"/>
    <w:rsid w:val="000C1739"/>
    <w:rsid w:val="000C1BD1"/>
    <w:rsid w:val="000C2D2E"/>
    <w:rsid w:val="000C37B3"/>
    <w:rsid w:val="000C47D1"/>
    <w:rsid w:val="000C6586"/>
    <w:rsid w:val="000C7F70"/>
    <w:rsid w:val="000D0338"/>
    <w:rsid w:val="000D0535"/>
    <w:rsid w:val="000D3562"/>
    <w:rsid w:val="000D5878"/>
    <w:rsid w:val="000D7743"/>
    <w:rsid w:val="000E0415"/>
    <w:rsid w:val="000E39E8"/>
    <w:rsid w:val="000E4704"/>
    <w:rsid w:val="000E49D4"/>
    <w:rsid w:val="000E5A6F"/>
    <w:rsid w:val="000F1B81"/>
    <w:rsid w:val="000F4840"/>
    <w:rsid w:val="000F5340"/>
    <w:rsid w:val="000F55F3"/>
    <w:rsid w:val="000F66DD"/>
    <w:rsid w:val="001004CF"/>
    <w:rsid w:val="0010148C"/>
    <w:rsid w:val="00102802"/>
    <w:rsid w:val="00102DB0"/>
    <w:rsid w:val="00103770"/>
    <w:rsid w:val="001038E1"/>
    <w:rsid w:val="0010463A"/>
    <w:rsid w:val="001052DD"/>
    <w:rsid w:val="0010545A"/>
    <w:rsid w:val="001068A6"/>
    <w:rsid w:val="00107359"/>
    <w:rsid w:val="001079A2"/>
    <w:rsid w:val="001103AA"/>
    <w:rsid w:val="001109D0"/>
    <w:rsid w:val="00111127"/>
    <w:rsid w:val="00111B68"/>
    <w:rsid w:val="0011284D"/>
    <w:rsid w:val="00113043"/>
    <w:rsid w:val="001148AA"/>
    <w:rsid w:val="00115C2B"/>
    <w:rsid w:val="00115E46"/>
    <w:rsid w:val="00116C71"/>
    <w:rsid w:val="001206F9"/>
    <w:rsid w:val="00120CE2"/>
    <w:rsid w:val="0012205A"/>
    <w:rsid w:val="0012576B"/>
    <w:rsid w:val="00125E8E"/>
    <w:rsid w:val="0012619F"/>
    <w:rsid w:val="0012704E"/>
    <w:rsid w:val="001365F8"/>
    <w:rsid w:val="00136CAB"/>
    <w:rsid w:val="00140D5D"/>
    <w:rsid w:val="00144868"/>
    <w:rsid w:val="00145886"/>
    <w:rsid w:val="00145ECA"/>
    <w:rsid w:val="00150998"/>
    <w:rsid w:val="00155467"/>
    <w:rsid w:val="001563A8"/>
    <w:rsid w:val="00161BE6"/>
    <w:rsid w:val="00161F0A"/>
    <w:rsid w:val="00165128"/>
    <w:rsid w:val="001651E9"/>
    <w:rsid w:val="0016666D"/>
    <w:rsid w:val="00170AC2"/>
    <w:rsid w:val="00170C41"/>
    <w:rsid w:val="00170EC0"/>
    <w:rsid w:val="00173FAC"/>
    <w:rsid w:val="00174283"/>
    <w:rsid w:val="00174774"/>
    <w:rsid w:val="00175769"/>
    <w:rsid w:val="00180D95"/>
    <w:rsid w:val="0018179D"/>
    <w:rsid w:val="0018214E"/>
    <w:rsid w:val="00182613"/>
    <w:rsid w:val="00183D34"/>
    <w:rsid w:val="001842EF"/>
    <w:rsid w:val="0018711F"/>
    <w:rsid w:val="001877DC"/>
    <w:rsid w:val="00190FF7"/>
    <w:rsid w:val="00195827"/>
    <w:rsid w:val="00196D1A"/>
    <w:rsid w:val="00197CEF"/>
    <w:rsid w:val="001A0758"/>
    <w:rsid w:val="001A22F3"/>
    <w:rsid w:val="001A3959"/>
    <w:rsid w:val="001A4752"/>
    <w:rsid w:val="001A52D6"/>
    <w:rsid w:val="001A5BA0"/>
    <w:rsid w:val="001A6232"/>
    <w:rsid w:val="001A69B1"/>
    <w:rsid w:val="001A78A1"/>
    <w:rsid w:val="001B0EA0"/>
    <w:rsid w:val="001B1D44"/>
    <w:rsid w:val="001B2B02"/>
    <w:rsid w:val="001B2C6D"/>
    <w:rsid w:val="001B350D"/>
    <w:rsid w:val="001B4B04"/>
    <w:rsid w:val="001B598F"/>
    <w:rsid w:val="001C19AA"/>
    <w:rsid w:val="001C1FD7"/>
    <w:rsid w:val="001C2286"/>
    <w:rsid w:val="001C34BF"/>
    <w:rsid w:val="001C3BAE"/>
    <w:rsid w:val="001C6663"/>
    <w:rsid w:val="001C7895"/>
    <w:rsid w:val="001C7AAB"/>
    <w:rsid w:val="001C7B7F"/>
    <w:rsid w:val="001D1946"/>
    <w:rsid w:val="001D26DF"/>
    <w:rsid w:val="001D5C6C"/>
    <w:rsid w:val="001D5FE0"/>
    <w:rsid w:val="001E1575"/>
    <w:rsid w:val="001E3F7A"/>
    <w:rsid w:val="001E5012"/>
    <w:rsid w:val="001E5AA0"/>
    <w:rsid w:val="001F01BE"/>
    <w:rsid w:val="001F29F6"/>
    <w:rsid w:val="001F3107"/>
    <w:rsid w:val="001F3519"/>
    <w:rsid w:val="001F3E51"/>
    <w:rsid w:val="002028A8"/>
    <w:rsid w:val="00202DA8"/>
    <w:rsid w:val="00204837"/>
    <w:rsid w:val="00204CD4"/>
    <w:rsid w:val="00205A62"/>
    <w:rsid w:val="00210660"/>
    <w:rsid w:val="00211C0C"/>
    <w:rsid w:val="00211E0B"/>
    <w:rsid w:val="00211F5F"/>
    <w:rsid w:val="0021332A"/>
    <w:rsid w:val="00214531"/>
    <w:rsid w:val="00217AF8"/>
    <w:rsid w:val="0022233B"/>
    <w:rsid w:val="00223C90"/>
    <w:rsid w:val="00224900"/>
    <w:rsid w:val="00231704"/>
    <w:rsid w:val="002328D5"/>
    <w:rsid w:val="002331D5"/>
    <w:rsid w:val="0023490E"/>
    <w:rsid w:val="00234B76"/>
    <w:rsid w:val="00240BBB"/>
    <w:rsid w:val="00241B01"/>
    <w:rsid w:val="00244121"/>
    <w:rsid w:val="002471A5"/>
    <w:rsid w:val="0025062C"/>
    <w:rsid w:val="002509E7"/>
    <w:rsid w:val="002512BD"/>
    <w:rsid w:val="00253954"/>
    <w:rsid w:val="00253E4B"/>
    <w:rsid w:val="002541EA"/>
    <w:rsid w:val="00254A28"/>
    <w:rsid w:val="00255B58"/>
    <w:rsid w:val="00261E25"/>
    <w:rsid w:val="00263B8A"/>
    <w:rsid w:val="00264AB2"/>
    <w:rsid w:val="00264C3D"/>
    <w:rsid w:val="00266E30"/>
    <w:rsid w:val="00271620"/>
    <w:rsid w:val="002721B1"/>
    <w:rsid w:val="002734DD"/>
    <w:rsid w:val="002744FC"/>
    <w:rsid w:val="00277025"/>
    <w:rsid w:val="0028164E"/>
    <w:rsid w:val="00281A9E"/>
    <w:rsid w:val="002820C0"/>
    <w:rsid w:val="002828DD"/>
    <w:rsid w:val="002850E0"/>
    <w:rsid w:val="0028749E"/>
    <w:rsid w:val="002963AE"/>
    <w:rsid w:val="002A01B5"/>
    <w:rsid w:val="002A0A23"/>
    <w:rsid w:val="002A0DC3"/>
    <w:rsid w:val="002A177D"/>
    <w:rsid w:val="002A2F9C"/>
    <w:rsid w:val="002A6753"/>
    <w:rsid w:val="002A67E6"/>
    <w:rsid w:val="002A6AB9"/>
    <w:rsid w:val="002A7DFC"/>
    <w:rsid w:val="002A7F09"/>
    <w:rsid w:val="002B0464"/>
    <w:rsid w:val="002B4AC6"/>
    <w:rsid w:val="002B5B15"/>
    <w:rsid w:val="002C5A3C"/>
    <w:rsid w:val="002C6CE4"/>
    <w:rsid w:val="002C7914"/>
    <w:rsid w:val="002D0356"/>
    <w:rsid w:val="002D1747"/>
    <w:rsid w:val="002D664C"/>
    <w:rsid w:val="002D66AF"/>
    <w:rsid w:val="002D7D5A"/>
    <w:rsid w:val="002E0105"/>
    <w:rsid w:val="002E1AE0"/>
    <w:rsid w:val="002E34E2"/>
    <w:rsid w:val="002E417A"/>
    <w:rsid w:val="002E4BF5"/>
    <w:rsid w:val="002E5FE7"/>
    <w:rsid w:val="002F14EC"/>
    <w:rsid w:val="002F172D"/>
    <w:rsid w:val="002F175C"/>
    <w:rsid w:val="002F51DC"/>
    <w:rsid w:val="002F57B0"/>
    <w:rsid w:val="0030152D"/>
    <w:rsid w:val="003016D6"/>
    <w:rsid w:val="00304C89"/>
    <w:rsid w:val="00307818"/>
    <w:rsid w:val="00310915"/>
    <w:rsid w:val="00312D5C"/>
    <w:rsid w:val="00314E67"/>
    <w:rsid w:val="00315B41"/>
    <w:rsid w:val="00317497"/>
    <w:rsid w:val="00317904"/>
    <w:rsid w:val="00317B1F"/>
    <w:rsid w:val="00321BCD"/>
    <w:rsid w:val="00321BFD"/>
    <w:rsid w:val="003229D8"/>
    <w:rsid w:val="00323150"/>
    <w:rsid w:val="0032362D"/>
    <w:rsid w:val="003237C4"/>
    <w:rsid w:val="00325962"/>
    <w:rsid w:val="003305AB"/>
    <w:rsid w:val="00331475"/>
    <w:rsid w:val="00334F3D"/>
    <w:rsid w:val="00337788"/>
    <w:rsid w:val="00340094"/>
    <w:rsid w:val="00340B74"/>
    <w:rsid w:val="003414B6"/>
    <w:rsid w:val="003429EF"/>
    <w:rsid w:val="00343598"/>
    <w:rsid w:val="00344387"/>
    <w:rsid w:val="0034508B"/>
    <w:rsid w:val="00346AC1"/>
    <w:rsid w:val="00346CE3"/>
    <w:rsid w:val="00351B7C"/>
    <w:rsid w:val="00352709"/>
    <w:rsid w:val="0035301D"/>
    <w:rsid w:val="003559EC"/>
    <w:rsid w:val="00360178"/>
    <w:rsid w:val="0036240D"/>
    <w:rsid w:val="0036331F"/>
    <w:rsid w:val="0036571E"/>
    <w:rsid w:val="00365EBF"/>
    <w:rsid w:val="00366919"/>
    <w:rsid w:val="0036699A"/>
    <w:rsid w:val="00370B76"/>
    <w:rsid w:val="00371178"/>
    <w:rsid w:val="003724DF"/>
    <w:rsid w:val="00372B7C"/>
    <w:rsid w:val="00375AB4"/>
    <w:rsid w:val="00376E4D"/>
    <w:rsid w:val="003771ED"/>
    <w:rsid w:val="0038015F"/>
    <w:rsid w:val="003807CA"/>
    <w:rsid w:val="00380CBE"/>
    <w:rsid w:val="00380E3E"/>
    <w:rsid w:val="00381272"/>
    <w:rsid w:val="0038670D"/>
    <w:rsid w:val="00390695"/>
    <w:rsid w:val="003917ED"/>
    <w:rsid w:val="00391E69"/>
    <w:rsid w:val="00392A95"/>
    <w:rsid w:val="00393029"/>
    <w:rsid w:val="00395B46"/>
    <w:rsid w:val="00396C45"/>
    <w:rsid w:val="0039738D"/>
    <w:rsid w:val="003A00E9"/>
    <w:rsid w:val="003A1495"/>
    <w:rsid w:val="003A2821"/>
    <w:rsid w:val="003A3379"/>
    <w:rsid w:val="003A440A"/>
    <w:rsid w:val="003A4810"/>
    <w:rsid w:val="003A6810"/>
    <w:rsid w:val="003B0975"/>
    <w:rsid w:val="003B18EA"/>
    <w:rsid w:val="003B28F5"/>
    <w:rsid w:val="003B430E"/>
    <w:rsid w:val="003B4E47"/>
    <w:rsid w:val="003C2CC4"/>
    <w:rsid w:val="003C5A5D"/>
    <w:rsid w:val="003C6089"/>
    <w:rsid w:val="003C62BE"/>
    <w:rsid w:val="003D45BD"/>
    <w:rsid w:val="003D4B23"/>
    <w:rsid w:val="003D4D42"/>
    <w:rsid w:val="003D6065"/>
    <w:rsid w:val="003D7C30"/>
    <w:rsid w:val="003E32BB"/>
    <w:rsid w:val="003E6E15"/>
    <w:rsid w:val="003F40C5"/>
    <w:rsid w:val="0040042C"/>
    <w:rsid w:val="00400C11"/>
    <w:rsid w:val="00403721"/>
    <w:rsid w:val="004048BD"/>
    <w:rsid w:val="00405A3A"/>
    <w:rsid w:val="00405DDC"/>
    <w:rsid w:val="004070FC"/>
    <w:rsid w:val="00410C89"/>
    <w:rsid w:val="004121FD"/>
    <w:rsid w:val="0041222A"/>
    <w:rsid w:val="00414A69"/>
    <w:rsid w:val="004152C5"/>
    <w:rsid w:val="00420547"/>
    <w:rsid w:val="0042185F"/>
    <w:rsid w:val="0042215C"/>
    <w:rsid w:val="004226DC"/>
    <w:rsid w:val="00424382"/>
    <w:rsid w:val="004252B1"/>
    <w:rsid w:val="00425327"/>
    <w:rsid w:val="00425367"/>
    <w:rsid w:val="00425D87"/>
    <w:rsid w:val="00427E96"/>
    <w:rsid w:val="00430FCD"/>
    <w:rsid w:val="004325CB"/>
    <w:rsid w:val="004345A0"/>
    <w:rsid w:val="0043652E"/>
    <w:rsid w:val="0043784E"/>
    <w:rsid w:val="004412D0"/>
    <w:rsid w:val="00441F6C"/>
    <w:rsid w:val="00443A6A"/>
    <w:rsid w:val="00446F12"/>
    <w:rsid w:val="00447E41"/>
    <w:rsid w:val="004529AD"/>
    <w:rsid w:val="00453A74"/>
    <w:rsid w:val="00453AF3"/>
    <w:rsid w:val="00454097"/>
    <w:rsid w:val="0045495B"/>
    <w:rsid w:val="00455A35"/>
    <w:rsid w:val="00462422"/>
    <w:rsid w:val="00464B65"/>
    <w:rsid w:val="00465E33"/>
    <w:rsid w:val="0046765D"/>
    <w:rsid w:val="00481FCF"/>
    <w:rsid w:val="00484483"/>
    <w:rsid w:val="00484AF4"/>
    <w:rsid w:val="00490E24"/>
    <w:rsid w:val="00493C76"/>
    <w:rsid w:val="00495C97"/>
    <w:rsid w:val="004A0693"/>
    <w:rsid w:val="004A2B53"/>
    <w:rsid w:val="004A2B8A"/>
    <w:rsid w:val="004A336A"/>
    <w:rsid w:val="004A4BAD"/>
    <w:rsid w:val="004A6519"/>
    <w:rsid w:val="004B30A3"/>
    <w:rsid w:val="004B370E"/>
    <w:rsid w:val="004B7151"/>
    <w:rsid w:val="004C18ED"/>
    <w:rsid w:val="004C1FBA"/>
    <w:rsid w:val="004C2920"/>
    <w:rsid w:val="004C66D1"/>
    <w:rsid w:val="004D08B1"/>
    <w:rsid w:val="004D0EE8"/>
    <w:rsid w:val="004D179D"/>
    <w:rsid w:val="004D25E4"/>
    <w:rsid w:val="004D2C33"/>
    <w:rsid w:val="004E1367"/>
    <w:rsid w:val="004E1618"/>
    <w:rsid w:val="004E1A43"/>
    <w:rsid w:val="004E4E6B"/>
    <w:rsid w:val="004E50E7"/>
    <w:rsid w:val="004E5CFF"/>
    <w:rsid w:val="004E675B"/>
    <w:rsid w:val="004F111A"/>
    <w:rsid w:val="004F1815"/>
    <w:rsid w:val="004F31B3"/>
    <w:rsid w:val="004F37E0"/>
    <w:rsid w:val="004F6583"/>
    <w:rsid w:val="00500CEA"/>
    <w:rsid w:val="00506159"/>
    <w:rsid w:val="005062D1"/>
    <w:rsid w:val="00510B6A"/>
    <w:rsid w:val="005117E7"/>
    <w:rsid w:val="00511D99"/>
    <w:rsid w:val="005135CD"/>
    <w:rsid w:val="0051565D"/>
    <w:rsid w:val="00517149"/>
    <w:rsid w:val="00517B36"/>
    <w:rsid w:val="005204D3"/>
    <w:rsid w:val="00523650"/>
    <w:rsid w:val="005246EF"/>
    <w:rsid w:val="005251D0"/>
    <w:rsid w:val="00525BAA"/>
    <w:rsid w:val="0052684E"/>
    <w:rsid w:val="00527C18"/>
    <w:rsid w:val="0053456D"/>
    <w:rsid w:val="0053654A"/>
    <w:rsid w:val="00537528"/>
    <w:rsid w:val="0053761B"/>
    <w:rsid w:val="0053786A"/>
    <w:rsid w:val="00537BAA"/>
    <w:rsid w:val="0054168C"/>
    <w:rsid w:val="005416C1"/>
    <w:rsid w:val="005420F2"/>
    <w:rsid w:val="00544FFA"/>
    <w:rsid w:val="005560E2"/>
    <w:rsid w:val="00565133"/>
    <w:rsid w:val="00571219"/>
    <w:rsid w:val="00571487"/>
    <w:rsid w:val="00572677"/>
    <w:rsid w:val="00575600"/>
    <w:rsid w:val="00580B8B"/>
    <w:rsid w:val="00580FA3"/>
    <w:rsid w:val="005817A6"/>
    <w:rsid w:val="00582276"/>
    <w:rsid w:val="00582C17"/>
    <w:rsid w:val="005833E1"/>
    <w:rsid w:val="00584B5F"/>
    <w:rsid w:val="005862FE"/>
    <w:rsid w:val="00592E90"/>
    <w:rsid w:val="00594B80"/>
    <w:rsid w:val="0059594E"/>
    <w:rsid w:val="00596946"/>
    <w:rsid w:val="005A0416"/>
    <w:rsid w:val="005A0722"/>
    <w:rsid w:val="005A4771"/>
    <w:rsid w:val="005B2C97"/>
    <w:rsid w:val="005B2E8A"/>
    <w:rsid w:val="005B335A"/>
    <w:rsid w:val="005B3DB3"/>
    <w:rsid w:val="005B5981"/>
    <w:rsid w:val="005C20D2"/>
    <w:rsid w:val="005C37B4"/>
    <w:rsid w:val="005C6A5F"/>
    <w:rsid w:val="005C6A79"/>
    <w:rsid w:val="005C7DC9"/>
    <w:rsid w:val="005D11AF"/>
    <w:rsid w:val="005D194E"/>
    <w:rsid w:val="005D26E2"/>
    <w:rsid w:val="005D3B72"/>
    <w:rsid w:val="005D6077"/>
    <w:rsid w:val="005D607E"/>
    <w:rsid w:val="005D6C36"/>
    <w:rsid w:val="005D7DE4"/>
    <w:rsid w:val="005E01B6"/>
    <w:rsid w:val="005E191A"/>
    <w:rsid w:val="005E30AE"/>
    <w:rsid w:val="005E4610"/>
    <w:rsid w:val="005F0530"/>
    <w:rsid w:val="005F10CF"/>
    <w:rsid w:val="005F24F1"/>
    <w:rsid w:val="005F28A1"/>
    <w:rsid w:val="005F3BA2"/>
    <w:rsid w:val="005F43D5"/>
    <w:rsid w:val="005F4C93"/>
    <w:rsid w:val="005F6214"/>
    <w:rsid w:val="005F66BA"/>
    <w:rsid w:val="006001EE"/>
    <w:rsid w:val="00603636"/>
    <w:rsid w:val="00603CC0"/>
    <w:rsid w:val="006044F8"/>
    <w:rsid w:val="00606574"/>
    <w:rsid w:val="00611FC4"/>
    <w:rsid w:val="00612189"/>
    <w:rsid w:val="0061460D"/>
    <w:rsid w:val="00614C4E"/>
    <w:rsid w:val="006155A2"/>
    <w:rsid w:val="00616278"/>
    <w:rsid w:val="00616744"/>
    <w:rsid w:val="006171EE"/>
    <w:rsid w:val="006176FB"/>
    <w:rsid w:val="0062383A"/>
    <w:rsid w:val="00623EFB"/>
    <w:rsid w:val="00624DC8"/>
    <w:rsid w:val="00625A66"/>
    <w:rsid w:val="00625C28"/>
    <w:rsid w:val="00631317"/>
    <w:rsid w:val="00632359"/>
    <w:rsid w:val="00632FC5"/>
    <w:rsid w:val="00633E49"/>
    <w:rsid w:val="00635D1A"/>
    <w:rsid w:val="00637C00"/>
    <w:rsid w:val="00640B26"/>
    <w:rsid w:val="00641661"/>
    <w:rsid w:val="00651A08"/>
    <w:rsid w:val="00652155"/>
    <w:rsid w:val="0065315C"/>
    <w:rsid w:val="00655604"/>
    <w:rsid w:val="00661090"/>
    <w:rsid w:val="00662C51"/>
    <w:rsid w:val="006646BD"/>
    <w:rsid w:val="006659E4"/>
    <w:rsid w:val="006670AD"/>
    <w:rsid w:val="006719B9"/>
    <w:rsid w:val="00671F08"/>
    <w:rsid w:val="00674675"/>
    <w:rsid w:val="006765AE"/>
    <w:rsid w:val="006822B6"/>
    <w:rsid w:val="0068235E"/>
    <w:rsid w:val="00682E2C"/>
    <w:rsid w:val="006835A2"/>
    <w:rsid w:val="00683895"/>
    <w:rsid w:val="006847F2"/>
    <w:rsid w:val="00691ED7"/>
    <w:rsid w:val="00692FD3"/>
    <w:rsid w:val="00693D4F"/>
    <w:rsid w:val="00695AA1"/>
    <w:rsid w:val="006A1903"/>
    <w:rsid w:val="006A3987"/>
    <w:rsid w:val="006A6900"/>
    <w:rsid w:val="006B0193"/>
    <w:rsid w:val="006B1897"/>
    <w:rsid w:val="006B306D"/>
    <w:rsid w:val="006B3DB9"/>
    <w:rsid w:val="006C38EA"/>
    <w:rsid w:val="006C45A7"/>
    <w:rsid w:val="006C4B2D"/>
    <w:rsid w:val="006C5505"/>
    <w:rsid w:val="006D23E6"/>
    <w:rsid w:val="006D3ACA"/>
    <w:rsid w:val="006D7BA0"/>
    <w:rsid w:val="006D7E28"/>
    <w:rsid w:val="006E2177"/>
    <w:rsid w:val="006E325A"/>
    <w:rsid w:val="006E564B"/>
    <w:rsid w:val="006F01FE"/>
    <w:rsid w:val="006F09A6"/>
    <w:rsid w:val="006F1B42"/>
    <w:rsid w:val="006F3B9F"/>
    <w:rsid w:val="00702963"/>
    <w:rsid w:val="0070377A"/>
    <w:rsid w:val="00714E3D"/>
    <w:rsid w:val="007162C6"/>
    <w:rsid w:val="00716740"/>
    <w:rsid w:val="0072011E"/>
    <w:rsid w:val="007217B7"/>
    <w:rsid w:val="00721FA1"/>
    <w:rsid w:val="00722DF9"/>
    <w:rsid w:val="00723EB4"/>
    <w:rsid w:val="0072426A"/>
    <w:rsid w:val="007254C8"/>
    <w:rsid w:val="0072632A"/>
    <w:rsid w:val="00727DED"/>
    <w:rsid w:val="007322BF"/>
    <w:rsid w:val="00734AF0"/>
    <w:rsid w:val="007412CE"/>
    <w:rsid w:val="00743350"/>
    <w:rsid w:val="00745B0C"/>
    <w:rsid w:val="0074639B"/>
    <w:rsid w:val="00746B8C"/>
    <w:rsid w:val="007516FF"/>
    <w:rsid w:val="00751AC5"/>
    <w:rsid w:val="00757337"/>
    <w:rsid w:val="0075736F"/>
    <w:rsid w:val="007638FB"/>
    <w:rsid w:val="00763F58"/>
    <w:rsid w:val="00767CC3"/>
    <w:rsid w:val="007710DA"/>
    <w:rsid w:val="00771F01"/>
    <w:rsid w:val="00774952"/>
    <w:rsid w:val="00774CB9"/>
    <w:rsid w:val="00775CE1"/>
    <w:rsid w:val="007803BC"/>
    <w:rsid w:val="007806A3"/>
    <w:rsid w:val="00780F44"/>
    <w:rsid w:val="00781E1B"/>
    <w:rsid w:val="00784148"/>
    <w:rsid w:val="0078668F"/>
    <w:rsid w:val="00793417"/>
    <w:rsid w:val="00793D9B"/>
    <w:rsid w:val="00794487"/>
    <w:rsid w:val="00794714"/>
    <w:rsid w:val="00794E66"/>
    <w:rsid w:val="0079685F"/>
    <w:rsid w:val="007A166C"/>
    <w:rsid w:val="007A3CBF"/>
    <w:rsid w:val="007A48A3"/>
    <w:rsid w:val="007A5987"/>
    <w:rsid w:val="007A5D90"/>
    <w:rsid w:val="007B3D0A"/>
    <w:rsid w:val="007B3D3F"/>
    <w:rsid w:val="007B3F63"/>
    <w:rsid w:val="007B4232"/>
    <w:rsid w:val="007B5B43"/>
    <w:rsid w:val="007B6BA5"/>
    <w:rsid w:val="007B70CD"/>
    <w:rsid w:val="007C02E7"/>
    <w:rsid w:val="007C3390"/>
    <w:rsid w:val="007C3F6B"/>
    <w:rsid w:val="007C3FBD"/>
    <w:rsid w:val="007C4F4B"/>
    <w:rsid w:val="007C6ECB"/>
    <w:rsid w:val="007C79C4"/>
    <w:rsid w:val="007C7A56"/>
    <w:rsid w:val="007C7D60"/>
    <w:rsid w:val="007D16AB"/>
    <w:rsid w:val="007D2E3D"/>
    <w:rsid w:val="007E0DB3"/>
    <w:rsid w:val="007E133B"/>
    <w:rsid w:val="007E2F73"/>
    <w:rsid w:val="007E3FAC"/>
    <w:rsid w:val="007E4D50"/>
    <w:rsid w:val="007E5EC1"/>
    <w:rsid w:val="007E7F7A"/>
    <w:rsid w:val="007F42AD"/>
    <w:rsid w:val="007F476D"/>
    <w:rsid w:val="007F4953"/>
    <w:rsid w:val="007F5678"/>
    <w:rsid w:val="007F6611"/>
    <w:rsid w:val="007F6FB3"/>
    <w:rsid w:val="00800824"/>
    <w:rsid w:val="00803120"/>
    <w:rsid w:val="00810139"/>
    <w:rsid w:val="00810ACC"/>
    <w:rsid w:val="00810D06"/>
    <w:rsid w:val="00810DB4"/>
    <w:rsid w:val="00812239"/>
    <w:rsid w:val="00814B68"/>
    <w:rsid w:val="00817BD6"/>
    <w:rsid w:val="008209FC"/>
    <w:rsid w:val="00820A89"/>
    <w:rsid w:val="008242D7"/>
    <w:rsid w:val="008258C2"/>
    <w:rsid w:val="0082625D"/>
    <w:rsid w:val="00826868"/>
    <w:rsid w:val="00831A88"/>
    <w:rsid w:val="00832D01"/>
    <w:rsid w:val="0083596D"/>
    <w:rsid w:val="00841676"/>
    <w:rsid w:val="00841708"/>
    <w:rsid w:val="0084198A"/>
    <w:rsid w:val="00853814"/>
    <w:rsid w:val="00853B06"/>
    <w:rsid w:val="00854D3B"/>
    <w:rsid w:val="00863CE8"/>
    <w:rsid w:val="00865301"/>
    <w:rsid w:val="00867447"/>
    <w:rsid w:val="0087009E"/>
    <w:rsid w:val="008721B7"/>
    <w:rsid w:val="00872A83"/>
    <w:rsid w:val="0087532B"/>
    <w:rsid w:val="00875A59"/>
    <w:rsid w:val="00881428"/>
    <w:rsid w:val="00884089"/>
    <w:rsid w:val="00892A31"/>
    <w:rsid w:val="00896269"/>
    <w:rsid w:val="008965E5"/>
    <w:rsid w:val="0089660E"/>
    <w:rsid w:val="008979B1"/>
    <w:rsid w:val="008A1530"/>
    <w:rsid w:val="008A183E"/>
    <w:rsid w:val="008A2E6C"/>
    <w:rsid w:val="008A4D4B"/>
    <w:rsid w:val="008A52EF"/>
    <w:rsid w:val="008A5422"/>
    <w:rsid w:val="008A6B25"/>
    <w:rsid w:val="008A6C4F"/>
    <w:rsid w:val="008B2077"/>
    <w:rsid w:val="008B2335"/>
    <w:rsid w:val="008B3468"/>
    <w:rsid w:val="008B486D"/>
    <w:rsid w:val="008B6D87"/>
    <w:rsid w:val="008B7BCB"/>
    <w:rsid w:val="008C0A89"/>
    <w:rsid w:val="008C1485"/>
    <w:rsid w:val="008C30F7"/>
    <w:rsid w:val="008C46F0"/>
    <w:rsid w:val="008C7979"/>
    <w:rsid w:val="008D011E"/>
    <w:rsid w:val="008D169A"/>
    <w:rsid w:val="008D16C0"/>
    <w:rsid w:val="008D2E27"/>
    <w:rsid w:val="008D3654"/>
    <w:rsid w:val="008D7CB8"/>
    <w:rsid w:val="008E18E4"/>
    <w:rsid w:val="008E2D39"/>
    <w:rsid w:val="008E336C"/>
    <w:rsid w:val="008E36F6"/>
    <w:rsid w:val="008E72B4"/>
    <w:rsid w:val="008E7CD0"/>
    <w:rsid w:val="008F154D"/>
    <w:rsid w:val="008F3C31"/>
    <w:rsid w:val="008F45C7"/>
    <w:rsid w:val="00900FF9"/>
    <w:rsid w:val="00904B6C"/>
    <w:rsid w:val="009071B0"/>
    <w:rsid w:val="00916077"/>
    <w:rsid w:val="009223CA"/>
    <w:rsid w:val="00923359"/>
    <w:rsid w:val="00924451"/>
    <w:rsid w:val="00927457"/>
    <w:rsid w:val="009302D9"/>
    <w:rsid w:val="009307A4"/>
    <w:rsid w:val="00930C8B"/>
    <w:rsid w:val="00930E6C"/>
    <w:rsid w:val="00930EBD"/>
    <w:rsid w:val="009325F4"/>
    <w:rsid w:val="009327E7"/>
    <w:rsid w:val="0093282D"/>
    <w:rsid w:val="009353FB"/>
    <w:rsid w:val="009369F6"/>
    <w:rsid w:val="00936C3C"/>
    <w:rsid w:val="00940F93"/>
    <w:rsid w:val="00941A9B"/>
    <w:rsid w:val="00943D3A"/>
    <w:rsid w:val="00950792"/>
    <w:rsid w:val="00950A29"/>
    <w:rsid w:val="009527F3"/>
    <w:rsid w:val="009538CE"/>
    <w:rsid w:val="009561FB"/>
    <w:rsid w:val="00956284"/>
    <w:rsid w:val="00957DAF"/>
    <w:rsid w:val="009603EF"/>
    <w:rsid w:val="009605EB"/>
    <w:rsid w:val="00961220"/>
    <w:rsid w:val="00961987"/>
    <w:rsid w:val="009636F0"/>
    <w:rsid w:val="0096378B"/>
    <w:rsid w:val="00966769"/>
    <w:rsid w:val="0096703D"/>
    <w:rsid w:val="0097037C"/>
    <w:rsid w:val="00972306"/>
    <w:rsid w:val="009737A4"/>
    <w:rsid w:val="00973B01"/>
    <w:rsid w:val="00975FD1"/>
    <w:rsid w:val="009855D9"/>
    <w:rsid w:val="009865C2"/>
    <w:rsid w:val="00986875"/>
    <w:rsid w:val="009910BA"/>
    <w:rsid w:val="00994E8A"/>
    <w:rsid w:val="009A06FF"/>
    <w:rsid w:val="009A193A"/>
    <w:rsid w:val="009B30BD"/>
    <w:rsid w:val="009B31A8"/>
    <w:rsid w:val="009B4852"/>
    <w:rsid w:val="009B4A1B"/>
    <w:rsid w:val="009B4A8B"/>
    <w:rsid w:val="009B5407"/>
    <w:rsid w:val="009C09D7"/>
    <w:rsid w:val="009C0EE8"/>
    <w:rsid w:val="009C14AA"/>
    <w:rsid w:val="009C1A54"/>
    <w:rsid w:val="009C6BB7"/>
    <w:rsid w:val="009C765C"/>
    <w:rsid w:val="009D6E21"/>
    <w:rsid w:val="009E05F6"/>
    <w:rsid w:val="009E0D5D"/>
    <w:rsid w:val="009E1A92"/>
    <w:rsid w:val="009E4A86"/>
    <w:rsid w:val="009E76ED"/>
    <w:rsid w:val="009F5DC7"/>
    <w:rsid w:val="00A01489"/>
    <w:rsid w:val="00A03313"/>
    <w:rsid w:val="00A03829"/>
    <w:rsid w:val="00A050CA"/>
    <w:rsid w:val="00A053EB"/>
    <w:rsid w:val="00A07637"/>
    <w:rsid w:val="00A11BF2"/>
    <w:rsid w:val="00A12147"/>
    <w:rsid w:val="00A12988"/>
    <w:rsid w:val="00A12A12"/>
    <w:rsid w:val="00A12C01"/>
    <w:rsid w:val="00A14B80"/>
    <w:rsid w:val="00A14FC1"/>
    <w:rsid w:val="00A21C44"/>
    <w:rsid w:val="00A2216A"/>
    <w:rsid w:val="00A2668F"/>
    <w:rsid w:val="00A268FC"/>
    <w:rsid w:val="00A269E3"/>
    <w:rsid w:val="00A305EB"/>
    <w:rsid w:val="00A31E49"/>
    <w:rsid w:val="00A32B9A"/>
    <w:rsid w:val="00A347CE"/>
    <w:rsid w:val="00A43492"/>
    <w:rsid w:val="00A43F8C"/>
    <w:rsid w:val="00A45517"/>
    <w:rsid w:val="00A51C5D"/>
    <w:rsid w:val="00A53FCF"/>
    <w:rsid w:val="00A547CC"/>
    <w:rsid w:val="00A61CCD"/>
    <w:rsid w:val="00A63323"/>
    <w:rsid w:val="00A636D2"/>
    <w:rsid w:val="00A67CE4"/>
    <w:rsid w:val="00A708EC"/>
    <w:rsid w:val="00A72633"/>
    <w:rsid w:val="00A72F22"/>
    <w:rsid w:val="00A748A6"/>
    <w:rsid w:val="00A748F7"/>
    <w:rsid w:val="00A755E5"/>
    <w:rsid w:val="00A75AF9"/>
    <w:rsid w:val="00A762BD"/>
    <w:rsid w:val="00A776B4"/>
    <w:rsid w:val="00A8000F"/>
    <w:rsid w:val="00A80066"/>
    <w:rsid w:val="00A84AB5"/>
    <w:rsid w:val="00A84E9E"/>
    <w:rsid w:val="00A87451"/>
    <w:rsid w:val="00A909C0"/>
    <w:rsid w:val="00A92BD0"/>
    <w:rsid w:val="00A94361"/>
    <w:rsid w:val="00A956DC"/>
    <w:rsid w:val="00A95ABB"/>
    <w:rsid w:val="00A968B1"/>
    <w:rsid w:val="00AA077A"/>
    <w:rsid w:val="00AA1647"/>
    <w:rsid w:val="00AA1DA0"/>
    <w:rsid w:val="00AA29F8"/>
    <w:rsid w:val="00AB246E"/>
    <w:rsid w:val="00AB30A2"/>
    <w:rsid w:val="00AB3878"/>
    <w:rsid w:val="00AB5752"/>
    <w:rsid w:val="00AB6F2F"/>
    <w:rsid w:val="00AC1552"/>
    <w:rsid w:val="00AC19CD"/>
    <w:rsid w:val="00AC34B5"/>
    <w:rsid w:val="00AC544A"/>
    <w:rsid w:val="00AD0F6A"/>
    <w:rsid w:val="00AD1405"/>
    <w:rsid w:val="00AD3318"/>
    <w:rsid w:val="00AD5458"/>
    <w:rsid w:val="00AD6ED8"/>
    <w:rsid w:val="00AE2E03"/>
    <w:rsid w:val="00AE4BFF"/>
    <w:rsid w:val="00AE63CF"/>
    <w:rsid w:val="00AF3595"/>
    <w:rsid w:val="00AF64BF"/>
    <w:rsid w:val="00B012C4"/>
    <w:rsid w:val="00B023C8"/>
    <w:rsid w:val="00B044E2"/>
    <w:rsid w:val="00B05634"/>
    <w:rsid w:val="00B06775"/>
    <w:rsid w:val="00B113BE"/>
    <w:rsid w:val="00B11744"/>
    <w:rsid w:val="00B11D19"/>
    <w:rsid w:val="00B137A8"/>
    <w:rsid w:val="00B1666C"/>
    <w:rsid w:val="00B16DD4"/>
    <w:rsid w:val="00B2008D"/>
    <w:rsid w:val="00B22785"/>
    <w:rsid w:val="00B22F9C"/>
    <w:rsid w:val="00B26DEA"/>
    <w:rsid w:val="00B26F7D"/>
    <w:rsid w:val="00B27BC8"/>
    <w:rsid w:val="00B30179"/>
    <w:rsid w:val="00B301D2"/>
    <w:rsid w:val="00B33058"/>
    <w:rsid w:val="00B34F4C"/>
    <w:rsid w:val="00B356D6"/>
    <w:rsid w:val="00B357BF"/>
    <w:rsid w:val="00B365D7"/>
    <w:rsid w:val="00B36C5E"/>
    <w:rsid w:val="00B4074C"/>
    <w:rsid w:val="00B42966"/>
    <w:rsid w:val="00B42F5B"/>
    <w:rsid w:val="00B437B0"/>
    <w:rsid w:val="00B44EAA"/>
    <w:rsid w:val="00B45914"/>
    <w:rsid w:val="00B4776A"/>
    <w:rsid w:val="00B50211"/>
    <w:rsid w:val="00B545D2"/>
    <w:rsid w:val="00B54D69"/>
    <w:rsid w:val="00B56E9C"/>
    <w:rsid w:val="00B57C2D"/>
    <w:rsid w:val="00B6019A"/>
    <w:rsid w:val="00B60CC6"/>
    <w:rsid w:val="00B62D2D"/>
    <w:rsid w:val="00B642F6"/>
    <w:rsid w:val="00B64B1F"/>
    <w:rsid w:val="00B6553F"/>
    <w:rsid w:val="00B67D4C"/>
    <w:rsid w:val="00B72C1C"/>
    <w:rsid w:val="00B751AC"/>
    <w:rsid w:val="00B76DBB"/>
    <w:rsid w:val="00B8014D"/>
    <w:rsid w:val="00B8196A"/>
    <w:rsid w:val="00B81E12"/>
    <w:rsid w:val="00B903D5"/>
    <w:rsid w:val="00B9080E"/>
    <w:rsid w:val="00B91234"/>
    <w:rsid w:val="00B91634"/>
    <w:rsid w:val="00B92E63"/>
    <w:rsid w:val="00B93412"/>
    <w:rsid w:val="00B93EC4"/>
    <w:rsid w:val="00B93ED0"/>
    <w:rsid w:val="00B956A1"/>
    <w:rsid w:val="00B96568"/>
    <w:rsid w:val="00B97B5A"/>
    <w:rsid w:val="00BA46A2"/>
    <w:rsid w:val="00BA56DF"/>
    <w:rsid w:val="00BA707A"/>
    <w:rsid w:val="00BA73E9"/>
    <w:rsid w:val="00BB19A5"/>
    <w:rsid w:val="00BC16D7"/>
    <w:rsid w:val="00BC2594"/>
    <w:rsid w:val="00BC3C78"/>
    <w:rsid w:val="00BC5493"/>
    <w:rsid w:val="00BC5CE4"/>
    <w:rsid w:val="00BC69E2"/>
    <w:rsid w:val="00BC74E9"/>
    <w:rsid w:val="00BC763B"/>
    <w:rsid w:val="00BD0119"/>
    <w:rsid w:val="00BD1A5D"/>
    <w:rsid w:val="00BD2BB2"/>
    <w:rsid w:val="00BD35F8"/>
    <w:rsid w:val="00BD5263"/>
    <w:rsid w:val="00BE10C5"/>
    <w:rsid w:val="00BE27A9"/>
    <w:rsid w:val="00BE7EE6"/>
    <w:rsid w:val="00BF04C2"/>
    <w:rsid w:val="00BF42E6"/>
    <w:rsid w:val="00BF4D6F"/>
    <w:rsid w:val="00BF662D"/>
    <w:rsid w:val="00BF68A8"/>
    <w:rsid w:val="00C002ED"/>
    <w:rsid w:val="00C00461"/>
    <w:rsid w:val="00C0185C"/>
    <w:rsid w:val="00C02F92"/>
    <w:rsid w:val="00C0337C"/>
    <w:rsid w:val="00C03A9B"/>
    <w:rsid w:val="00C13F37"/>
    <w:rsid w:val="00C152DC"/>
    <w:rsid w:val="00C15A17"/>
    <w:rsid w:val="00C16F14"/>
    <w:rsid w:val="00C2024C"/>
    <w:rsid w:val="00C2276D"/>
    <w:rsid w:val="00C23104"/>
    <w:rsid w:val="00C24CD9"/>
    <w:rsid w:val="00C24D58"/>
    <w:rsid w:val="00C301AB"/>
    <w:rsid w:val="00C31B03"/>
    <w:rsid w:val="00C3206E"/>
    <w:rsid w:val="00C3669F"/>
    <w:rsid w:val="00C37988"/>
    <w:rsid w:val="00C40AC0"/>
    <w:rsid w:val="00C4625A"/>
    <w:rsid w:val="00C463DD"/>
    <w:rsid w:val="00C46936"/>
    <w:rsid w:val="00C46B0A"/>
    <w:rsid w:val="00C4724C"/>
    <w:rsid w:val="00C475AB"/>
    <w:rsid w:val="00C5200E"/>
    <w:rsid w:val="00C52D0E"/>
    <w:rsid w:val="00C534E8"/>
    <w:rsid w:val="00C53A77"/>
    <w:rsid w:val="00C55030"/>
    <w:rsid w:val="00C55662"/>
    <w:rsid w:val="00C563F5"/>
    <w:rsid w:val="00C629A0"/>
    <w:rsid w:val="00C667FE"/>
    <w:rsid w:val="00C66919"/>
    <w:rsid w:val="00C70276"/>
    <w:rsid w:val="00C705D6"/>
    <w:rsid w:val="00C745C3"/>
    <w:rsid w:val="00C74AE4"/>
    <w:rsid w:val="00C75FB9"/>
    <w:rsid w:val="00C80393"/>
    <w:rsid w:val="00C80EBE"/>
    <w:rsid w:val="00C839B1"/>
    <w:rsid w:val="00C846C1"/>
    <w:rsid w:val="00C900B5"/>
    <w:rsid w:val="00C91840"/>
    <w:rsid w:val="00C91C1A"/>
    <w:rsid w:val="00C91DEE"/>
    <w:rsid w:val="00C92A85"/>
    <w:rsid w:val="00C9573A"/>
    <w:rsid w:val="00CA2A0A"/>
    <w:rsid w:val="00CA2D54"/>
    <w:rsid w:val="00CA438A"/>
    <w:rsid w:val="00CA7AF1"/>
    <w:rsid w:val="00CA7C7C"/>
    <w:rsid w:val="00CB206A"/>
    <w:rsid w:val="00CB2CAE"/>
    <w:rsid w:val="00CB419C"/>
    <w:rsid w:val="00CB7199"/>
    <w:rsid w:val="00CC00AC"/>
    <w:rsid w:val="00CC24D2"/>
    <w:rsid w:val="00CC2743"/>
    <w:rsid w:val="00CC7535"/>
    <w:rsid w:val="00CC779B"/>
    <w:rsid w:val="00CD031E"/>
    <w:rsid w:val="00CD39D0"/>
    <w:rsid w:val="00CD5474"/>
    <w:rsid w:val="00CD5CA2"/>
    <w:rsid w:val="00CE0D09"/>
    <w:rsid w:val="00CE1B9A"/>
    <w:rsid w:val="00CE29F7"/>
    <w:rsid w:val="00CE4A8F"/>
    <w:rsid w:val="00CE619F"/>
    <w:rsid w:val="00CF2C83"/>
    <w:rsid w:val="00CF3C7B"/>
    <w:rsid w:val="00CF59CC"/>
    <w:rsid w:val="00CF6FE9"/>
    <w:rsid w:val="00CF7920"/>
    <w:rsid w:val="00CF7EB0"/>
    <w:rsid w:val="00D0098F"/>
    <w:rsid w:val="00D05F5F"/>
    <w:rsid w:val="00D06844"/>
    <w:rsid w:val="00D07102"/>
    <w:rsid w:val="00D1208D"/>
    <w:rsid w:val="00D1253A"/>
    <w:rsid w:val="00D14129"/>
    <w:rsid w:val="00D146F3"/>
    <w:rsid w:val="00D16AD2"/>
    <w:rsid w:val="00D2031B"/>
    <w:rsid w:val="00D2098F"/>
    <w:rsid w:val="00D218CB"/>
    <w:rsid w:val="00D22FB0"/>
    <w:rsid w:val="00D232AC"/>
    <w:rsid w:val="00D2512A"/>
    <w:rsid w:val="00D25CD5"/>
    <w:rsid w:val="00D25FE2"/>
    <w:rsid w:val="00D26C9A"/>
    <w:rsid w:val="00D30369"/>
    <w:rsid w:val="00D30CFA"/>
    <w:rsid w:val="00D31D49"/>
    <w:rsid w:val="00D3209B"/>
    <w:rsid w:val="00D332F1"/>
    <w:rsid w:val="00D349A9"/>
    <w:rsid w:val="00D34C03"/>
    <w:rsid w:val="00D3648C"/>
    <w:rsid w:val="00D40116"/>
    <w:rsid w:val="00D406CE"/>
    <w:rsid w:val="00D40F0E"/>
    <w:rsid w:val="00D41818"/>
    <w:rsid w:val="00D4271F"/>
    <w:rsid w:val="00D42911"/>
    <w:rsid w:val="00D43159"/>
    <w:rsid w:val="00D43252"/>
    <w:rsid w:val="00D439B3"/>
    <w:rsid w:val="00D43A6C"/>
    <w:rsid w:val="00D44A27"/>
    <w:rsid w:val="00D45493"/>
    <w:rsid w:val="00D462C7"/>
    <w:rsid w:val="00D51E7F"/>
    <w:rsid w:val="00D5483B"/>
    <w:rsid w:val="00D569EC"/>
    <w:rsid w:val="00D6151F"/>
    <w:rsid w:val="00D619DB"/>
    <w:rsid w:val="00D673CC"/>
    <w:rsid w:val="00D723AE"/>
    <w:rsid w:val="00D729B2"/>
    <w:rsid w:val="00D743F7"/>
    <w:rsid w:val="00D75934"/>
    <w:rsid w:val="00D75ABB"/>
    <w:rsid w:val="00D7767E"/>
    <w:rsid w:val="00D81D60"/>
    <w:rsid w:val="00D8201B"/>
    <w:rsid w:val="00D86758"/>
    <w:rsid w:val="00D90AE8"/>
    <w:rsid w:val="00D94855"/>
    <w:rsid w:val="00D97611"/>
    <w:rsid w:val="00D978C6"/>
    <w:rsid w:val="00DA3C1C"/>
    <w:rsid w:val="00DA44E7"/>
    <w:rsid w:val="00DA6A28"/>
    <w:rsid w:val="00DB1D82"/>
    <w:rsid w:val="00DB2D27"/>
    <w:rsid w:val="00DB2EBC"/>
    <w:rsid w:val="00DB52A7"/>
    <w:rsid w:val="00DB6205"/>
    <w:rsid w:val="00DB7C98"/>
    <w:rsid w:val="00DC013C"/>
    <w:rsid w:val="00DC0C86"/>
    <w:rsid w:val="00DC1F17"/>
    <w:rsid w:val="00DC2983"/>
    <w:rsid w:val="00DD0060"/>
    <w:rsid w:val="00DD0385"/>
    <w:rsid w:val="00DD1569"/>
    <w:rsid w:val="00DD3BF5"/>
    <w:rsid w:val="00DD55FB"/>
    <w:rsid w:val="00DD6333"/>
    <w:rsid w:val="00DD6F33"/>
    <w:rsid w:val="00DE06F8"/>
    <w:rsid w:val="00DE707E"/>
    <w:rsid w:val="00DF12FE"/>
    <w:rsid w:val="00DF3083"/>
    <w:rsid w:val="00E0094F"/>
    <w:rsid w:val="00E00A43"/>
    <w:rsid w:val="00E011A4"/>
    <w:rsid w:val="00E01E34"/>
    <w:rsid w:val="00E02151"/>
    <w:rsid w:val="00E02D0C"/>
    <w:rsid w:val="00E05B1B"/>
    <w:rsid w:val="00E07A91"/>
    <w:rsid w:val="00E109FB"/>
    <w:rsid w:val="00E135E6"/>
    <w:rsid w:val="00E14D80"/>
    <w:rsid w:val="00E16EF0"/>
    <w:rsid w:val="00E17015"/>
    <w:rsid w:val="00E17837"/>
    <w:rsid w:val="00E33117"/>
    <w:rsid w:val="00E3446B"/>
    <w:rsid w:val="00E3471B"/>
    <w:rsid w:val="00E3564D"/>
    <w:rsid w:val="00E365BB"/>
    <w:rsid w:val="00E36D44"/>
    <w:rsid w:val="00E402E8"/>
    <w:rsid w:val="00E406D5"/>
    <w:rsid w:val="00E46538"/>
    <w:rsid w:val="00E469C8"/>
    <w:rsid w:val="00E47CFA"/>
    <w:rsid w:val="00E51488"/>
    <w:rsid w:val="00E54258"/>
    <w:rsid w:val="00E55769"/>
    <w:rsid w:val="00E55D65"/>
    <w:rsid w:val="00E55DB6"/>
    <w:rsid w:val="00E570BC"/>
    <w:rsid w:val="00E60A2A"/>
    <w:rsid w:val="00E62D35"/>
    <w:rsid w:val="00E63389"/>
    <w:rsid w:val="00E63501"/>
    <w:rsid w:val="00E651F1"/>
    <w:rsid w:val="00E666D8"/>
    <w:rsid w:val="00E66DE4"/>
    <w:rsid w:val="00E71BC8"/>
    <w:rsid w:val="00E7260F"/>
    <w:rsid w:val="00E72EE1"/>
    <w:rsid w:val="00E73D3B"/>
    <w:rsid w:val="00E8091A"/>
    <w:rsid w:val="00E843AD"/>
    <w:rsid w:val="00E85DF8"/>
    <w:rsid w:val="00E86398"/>
    <w:rsid w:val="00E87488"/>
    <w:rsid w:val="00E918CA"/>
    <w:rsid w:val="00E92124"/>
    <w:rsid w:val="00E931F6"/>
    <w:rsid w:val="00E944C4"/>
    <w:rsid w:val="00E962DB"/>
    <w:rsid w:val="00E96630"/>
    <w:rsid w:val="00E97529"/>
    <w:rsid w:val="00EA1163"/>
    <w:rsid w:val="00EA1325"/>
    <w:rsid w:val="00EA2CE6"/>
    <w:rsid w:val="00EA2DCA"/>
    <w:rsid w:val="00EA316E"/>
    <w:rsid w:val="00EA3AD3"/>
    <w:rsid w:val="00EB218F"/>
    <w:rsid w:val="00EB21E1"/>
    <w:rsid w:val="00EB312B"/>
    <w:rsid w:val="00EB445F"/>
    <w:rsid w:val="00EB63F7"/>
    <w:rsid w:val="00EC14B1"/>
    <w:rsid w:val="00EC3159"/>
    <w:rsid w:val="00EC3873"/>
    <w:rsid w:val="00EC69AB"/>
    <w:rsid w:val="00EC7A54"/>
    <w:rsid w:val="00ED0283"/>
    <w:rsid w:val="00ED11C7"/>
    <w:rsid w:val="00ED1560"/>
    <w:rsid w:val="00ED1794"/>
    <w:rsid w:val="00ED32A3"/>
    <w:rsid w:val="00ED4183"/>
    <w:rsid w:val="00ED433F"/>
    <w:rsid w:val="00ED616A"/>
    <w:rsid w:val="00ED7A2A"/>
    <w:rsid w:val="00EE098F"/>
    <w:rsid w:val="00EE2D15"/>
    <w:rsid w:val="00EE4388"/>
    <w:rsid w:val="00EF0229"/>
    <w:rsid w:val="00EF0E79"/>
    <w:rsid w:val="00EF1D7F"/>
    <w:rsid w:val="00EF5C44"/>
    <w:rsid w:val="00EF7E08"/>
    <w:rsid w:val="00EF7EA4"/>
    <w:rsid w:val="00F000F1"/>
    <w:rsid w:val="00F00CD3"/>
    <w:rsid w:val="00F02A3C"/>
    <w:rsid w:val="00F0719E"/>
    <w:rsid w:val="00F104B6"/>
    <w:rsid w:val="00F128D0"/>
    <w:rsid w:val="00F14740"/>
    <w:rsid w:val="00F1489E"/>
    <w:rsid w:val="00F17756"/>
    <w:rsid w:val="00F2113E"/>
    <w:rsid w:val="00F225AA"/>
    <w:rsid w:val="00F242A5"/>
    <w:rsid w:val="00F26308"/>
    <w:rsid w:val="00F30C4A"/>
    <w:rsid w:val="00F31FED"/>
    <w:rsid w:val="00F34583"/>
    <w:rsid w:val="00F34E37"/>
    <w:rsid w:val="00F36A3A"/>
    <w:rsid w:val="00F36DA6"/>
    <w:rsid w:val="00F37869"/>
    <w:rsid w:val="00F37E7B"/>
    <w:rsid w:val="00F45A3D"/>
    <w:rsid w:val="00F504DF"/>
    <w:rsid w:val="00F50805"/>
    <w:rsid w:val="00F51B9D"/>
    <w:rsid w:val="00F52E4B"/>
    <w:rsid w:val="00F55B93"/>
    <w:rsid w:val="00F57556"/>
    <w:rsid w:val="00F6080A"/>
    <w:rsid w:val="00F612CD"/>
    <w:rsid w:val="00F63B00"/>
    <w:rsid w:val="00F64246"/>
    <w:rsid w:val="00F64BB5"/>
    <w:rsid w:val="00F73685"/>
    <w:rsid w:val="00F75B50"/>
    <w:rsid w:val="00F75B61"/>
    <w:rsid w:val="00F76AC3"/>
    <w:rsid w:val="00F76F27"/>
    <w:rsid w:val="00F801E2"/>
    <w:rsid w:val="00F84901"/>
    <w:rsid w:val="00F84D64"/>
    <w:rsid w:val="00F863D7"/>
    <w:rsid w:val="00F914DB"/>
    <w:rsid w:val="00F9244A"/>
    <w:rsid w:val="00F924C9"/>
    <w:rsid w:val="00F92719"/>
    <w:rsid w:val="00F938EB"/>
    <w:rsid w:val="00F940B5"/>
    <w:rsid w:val="00F94753"/>
    <w:rsid w:val="00F957F8"/>
    <w:rsid w:val="00FA271C"/>
    <w:rsid w:val="00FA39AA"/>
    <w:rsid w:val="00FA4AAA"/>
    <w:rsid w:val="00FA7DBE"/>
    <w:rsid w:val="00FB4360"/>
    <w:rsid w:val="00FB5D0C"/>
    <w:rsid w:val="00FB70A2"/>
    <w:rsid w:val="00FB7787"/>
    <w:rsid w:val="00FC0029"/>
    <w:rsid w:val="00FC03F1"/>
    <w:rsid w:val="00FC1A86"/>
    <w:rsid w:val="00FC68B7"/>
    <w:rsid w:val="00FD02CF"/>
    <w:rsid w:val="00FD1EED"/>
    <w:rsid w:val="00FD3FFC"/>
    <w:rsid w:val="00FD498A"/>
    <w:rsid w:val="00FD63F5"/>
    <w:rsid w:val="00FD7E9D"/>
    <w:rsid w:val="00FE08BD"/>
    <w:rsid w:val="00FE0C7D"/>
    <w:rsid w:val="00FE1321"/>
    <w:rsid w:val="00FE19AA"/>
    <w:rsid w:val="00FE4C89"/>
    <w:rsid w:val="00FE7EE3"/>
    <w:rsid w:val="00FF0684"/>
    <w:rsid w:val="00FF0A39"/>
    <w:rsid w:val="00FF21CB"/>
    <w:rsid w:val="00FF3F01"/>
    <w:rsid w:val="00FF431E"/>
    <w:rsid w:val="00FF624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23650"/>
    <w:pPr>
      <w:spacing w:after="120"/>
      <w:ind w:left="1134" w:right="1134"/>
      <w:jc w:val="both"/>
    </w:pPr>
    <w:rPr>
      <w:lang/>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t,Footnote Text Char Char,single space,Footnote Text Char,Footnote Text Char1,Footnote Text Char1 Char Char,Footnote Text Char Char Char Char,Footnote Text Char1 Char,Footnote Text Char Char Char,Schriftart: 9 pt,Schriftart: 10 "/>
    <w:basedOn w:val="Normal"/>
    <w:link w:val="FootnoteTextChar2"/>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90E24"/>
    <w:rPr>
      <w:lang w:eastAsia="en-US"/>
    </w:rPr>
  </w:style>
  <w:style w:type="paragraph" w:customStyle="1" w:styleId="Char">
    <w:name w:val="Char"/>
    <w:basedOn w:val="Normal"/>
    <w:rsid w:val="00A050CA"/>
    <w:pPr>
      <w:suppressAutoHyphens w:val="0"/>
      <w:spacing w:after="160" w:line="240" w:lineRule="exact"/>
    </w:pPr>
    <w:rPr>
      <w:rFonts w:ascii="Tahoma" w:hAnsi="Tahoma"/>
      <w:lang w:val="en-US"/>
    </w:rPr>
  </w:style>
  <w:style w:type="paragraph" w:customStyle="1" w:styleId="Style16">
    <w:name w:val="Style16"/>
    <w:basedOn w:val="Normal"/>
    <w:rsid w:val="00A050CA"/>
    <w:pPr>
      <w:widowControl w:val="0"/>
      <w:suppressAutoHyphens w:val="0"/>
      <w:autoSpaceDE w:val="0"/>
      <w:autoSpaceDN w:val="0"/>
      <w:adjustRightInd w:val="0"/>
      <w:spacing w:line="240" w:lineRule="auto"/>
    </w:pPr>
    <w:rPr>
      <w:sz w:val="24"/>
      <w:szCs w:val="24"/>
      <w:lang w:eastAsia="en-GB"/>
    </w:rPr>
  </w:style>
  <w:style w:type="character" w:customStyle="1" w:styleId="FootnoteTextChar2">
    <w:name w:val="Footnote Text Char2"/>
    <w:aliases w:val="5_G Char,ft Char,Footnote Text Char Char Char1,single space Char,Footnote Text Char Char1,Footnote Text Char1 Char1,Footnote Text Char1 Char Char Char,Footnote Text Char Char Char Char Char,Footnote Text Char1 Char Char1"/>
    <w:link w:val="FootnoteText"/>
    <w:rsid w:val="00DB6205"/>
    <w:rPr>
      <w:sz w:val="18"/>
      <w:lang w:eastAsia="en-US"/>
    </w:rPr>
  </w:style>
  <w:style w:type="paragraph" w:styleId="BalloonText">
    <w:name w:val="Balloon Text"/>
    <w:basedOn w:val="Normal"/>
    <w:semiHidden/>
    <w:rsid w:val="00EE2D15"/>
    <w:rPr>
      <w:rFonts w:ascii="Tahoma" w:hAnsi="Tahoma" w:cs="Tahoma"/>
      <w:sz w:val="16"/>
      <w:szCs w:val="16"/>
    </w:rPr>
  </w:style>
  <w:style w:type="character" w:styleId="Emphasis">
    <w:name w:val="Emphasis"/>
    <w:uiPriority w:val="20"/>
    <w:qFormat/>
    <w:rsid w:val="00B93EC4"/>
    <w:rPr>
      <w:i/>
      <w:iCs/>
    </w:rPr>
  </w:style>
  <w:style w:type="character" w:customStyle="1" w:styleId="st">
    <w:name w:val="st"/>
    <w:rsid w:val="00BD0119"/>
  </w:style>
  <w:style w:type="character" w:styleId="CommentReference">
    <w:name w:val="annotation reference"/>
    <w:basedOn w:val="DefaultParagraphFont"/>
    <w:semiHidden/>
    <w:rsid w:val="00E17837"/>
    <w:rPr>
      <w:sz w:val="16"/>
      <w:szCs w:val="16"/>
    </w:rPr>
  </w:style>
  <w:style w:type="paragraph" w:styleId="CommentText">
    <w:name w:val="annotation text"/>
    <w:basedOn w:val="Normal"/>
    <w:semiHidden/>
    <w:rsid w:val="00E17837"/>
  </w:style>
  <w:style w:type="paragraph" w:styleId="CommentSubject">
    <w:name w:val="annotation subject"/>
    <w:basedOn w:val="CommentText"/>
    <w:next w:val="CommentText"/>
    <w:semiHidden/>
    <w:rsid w:val="00E17837"/>
    <w:rPr>
      <w:b/>
      <w:bCs/>
    </w:rPr>
  </w:style>
</w:styles>
</file>

<file path=word/webSettings.xml><?xml version="1.0" encoding="utf-8"?>
<w:webSettings xmlns:r="http://schemas.openxmlformats.org/officeDocument/2006/relationships" xmlns:w="http://schemas.openxmlformats.org/wordprocessingml/2006/main">
  <w:divs>
    <w:div w:id="1917472791">
      <w:bodyDiv w:val="1"/>
      <w:marLeft w:val="0"/>
      <w:marRight w:val="0"/>
      <w:marTop w:val="0"/>
      <w:marBottom w:val="0"/>
      <w:divBdr>
        <w:top w:val="none" w:sz="0" w:space="0" w:color="auto"/>
        <w:left w:val="none" w:sz="0" w:space="0" w:color="auto"/>
        <w:bottom w:val="none" w:sz="0" w:space="0" w:color="auto"/>
        <w:right w:val="none" w:sz="0" w:space="0" w:color="auto"/>
      </w:divBdr>
      <w:divsChild>
        <w:div w:id="608699485">
          <w:marLeft w:val="0"/>
          <w:marRight w:val="0"/>
          <w:marTop w:val="0"/>
          <w:marBottom w:val="0"/>
          <w:divBdr>
            <w:top w:val="none" w:sz="0" w:space="0" w:color="auto"/>
            <w:left w:val="none" w:sz="0" w:space="0" w:color="auto"/>
            <w:bottom w:val="none" w:sz="0" w:space="0" w:color="auto"/>
            <w:right w:val="none" w:sz="0" w:space="0" w:color="auto"/>
          </w:divBdr>
        </w:div>
        <w:div w:id="138996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Template>
  <TotalTime>52</TotalTime>
  <Pages>1</Pages>
  <Words>17607</Words>
  <Characters>100361</Characters>
  <Application>Microsoft Office Outlook</Application>
  <DocSecurity>4</DocSecurity>
  <Lines>836</Lines>
  <Paragraphs>235</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117733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7</cp:revision>
  <cp:lastPrinted>2014-06-04T10:51:00Z</cp:lastPrinted>
  <dcterms:created xsi:type="dcterms:W3CDTF">2014-05-26T09:25:00Z</dcterms:created>
  <dcterms:modified xsi:type="dcterms:W3CDTF">2014-06-04T10:54:00Z</dcterms:modified>
</cp:coreProperties>
</file>