
<file path=[Content_Types].xml><?xml version="1.0" encoding="utf-8"?>
<Types xmlns="http://schemas.openxmlformats.org/package/2006/content-types">
  <Default Extension="png" ContentType="image/png"/>
  <Default Extension="1&amp;Size=2&amp;Lang=A"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02361C" w:rsidP="0022297D">
            <w:pPr>
              <w:bidi w:val="0"/>
              <w:spacing w:after="20"/>
              <w:jc w:val="left"/>
              <w:rPr>
                <w:szCs w:val="20"/>
              </w:rPr>
            </w:pPr>
            <w:r w:rsidRPr="0002361C">
              <w:rPr>
                <w:sz w:val="40"/>
                <w:szCs w:val="20"/>
              </w:rPr>
              <w:t>CAT</w:t>
            </w:r>
            <w:r>
              <w:rPr>
                <w:szCs w:val="20"/>
              </w:rPr>
              <w:t>/C/TUN/CO/3/Add.1</w:t>
            </w:r>
          </w:p>
        </w:tc>
      </w:tr>
      <w:tr w:rsidR="0022297D" w:rsidRPr="00DB7679" w:rsidTr="00D810C1">
        <w:trPr>
          <w:trHeight w:hRule="exact" w:val="2835"/>
        </w:trPr>
        <w:tc>
          <w:tcPr>
            <w:tcW w:w="1266" w:type="dxa"/>
            <w:tcBorders>
              <w:top w:val="nil"/>
              <w:bottom w:val="single" w:sz="12" w:space="0" w:color="auto"/>
            </w:tcBorders>
          </w:tcPr>
          <w:p w:rsidR="0022297D" w:rsidRPr="00DB7679" w:rsidRDefault="0022297D" w:rsidP="00D810C1">
            <w:pPr>
              <w:jc w:val="center"/>
              <w:rPr>
                <w:rtl/>
              </w:rPr>
            </w:pPr>
            <w:r>
              <w:rPr>
                <w:noProof/>
              </w:rPr>
              <w:drawing>
                <wp:anchor distT="0" distB="0" distL="114300" distR="114300" simplePos="0" relativeHeight="251659264" behindDoc="1" locked="0" layoutInCell="1" allowOverlap="1" wp14:anchorId="15D5FDFE" wp14:editId="4D7DA734">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22297D" w:rsidRPr="00817373" w:rsidRDefault="0022297D" w:rsidP="00D810C1">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22297D" w:rsidRDefault="0022297D" w:rsidP="0022297D">
            <w:pPr>
              <w:bidi w:val="0"/>
              <w:spacing w:before="240"/>
            </w:pPr>
            <w:r>
              <w:t>Distr.: General</w:t>
            </w:r>
          </w:p>
          <w:p w:rsidR="0022297D" w:rsidRDefault="0022297D" w:rsidP="004241CB">
            <w:pPr>
              <w:bidi w:val="0"/>
            </w:pPr>
            <w:r>
              <w:t>9</w:t>
            </w:r>
            <w:r w:rsidR="004241CB">
              <w:t xml:space="preserve"> </w:t>
            </w:r>
            <w:r>
              <w:t>June 2017</w:t>
            </w:r>
          </w:p>
          <w:p w:rsidR="0022297D" w:rsidRDefault="0022297D" w:rsidP="0022297D">
            <w:pPr>
              <w:bidi w:val="0"/>
            </w:pPr>
            <w:r>
              <w:t>Arabic</w:t>
            </w:r>
          </w:p>
          <w:p w:rsidR="0022297D" w:rsidRDefault="0022297D" w:rsidP="0022297D">
            <w:pPr>
              <w:bidi w:val="0"/>
            </w:pPr>
            <w:r>
              <w:t>Original: Arabic</w:t>
            </w:r>
          </w:p>
          <w:p w:rsidR="0022297D" w:rsidRPr="008B4BC6" w:rsidRDefault="0022297D" w:rsidP="0022297D">
            <w:pPr>
              <w:bidi w:val="0"/>
              <w:jc w:val="left"/>
            </w:pPr>
            <w:r>
              <w:t>Arabic, English and French only</w:t>
            </w:r>
          </w:p>
        </w:tc>
      </w:tr>
    </w:tbl>
    <w:p w:rsidR="0022297D" w:rsidRPr="00EE6DD9" w:rsidRDefault="00435470" w:rsidP="0022297D">
      <w:pPr>
        <w:pStyle w:val="SingleTxtGA"/>
        <w:spacing w:before="120"/>
        <w:ind w:left="0"/>
        <w:rPr>
          <w:b/>
          <w:bCs/>
          <w:sz w:val="26"/>
          <w:szCs w:val="36"/>
          <w:rtl/>
        </w:rPr>
      </w:pPr>
      <w:dir w:val="rtl">
        <w:r w:rsidR="0022297D" w:rsidRPr="00EE6DD9">
          <w:rPr>
            <w:rFonts w:ascii="Traditional Arabic" w:hAnsi="Traditional Arabic" w:hint="cs"/>
            <w:b/>
            <w:bCs/>
            <w:sz w:val="26"/>
            <w:szCs w:val="36"/>
            <w:rtl/>
          </w:rPr>
          <w:t>لجنة</w:t>
        </w:r>
        <w:r w:rsidR="0022297D" w:rsidRPr="00EE6DD9">
          <w:rPr>
            <w:b/>
            <w:bCs/>
            <w:sz w:val="26"/>
            <w:szCs w:val="36"/>
            <w:rtl/>
          </w:rPr>
          <w:t xml:space="preserve"> </w:t>
        </w:r>
        <w:r w:rsidR="0022297D" w:rsidRPr="00EE6DD9">
          <w:rPr>
            <w:rFonts w:ascii="Traditional Arabic" w:hAnsi="Traditional Arabic" w:hint="cs"/>
            <w:b/>
            <w:bCs/>
            <w:sz w:val="26"/>
            <w:szCs w:val="36"/>
            <w:rtl/>
          </w:rPr>
          <w:t>مناهضة</w:t>
        </w:r>
        <w:r w:rsidR="0022297D" w:rsidRPr="00EE6DD9">
          <w:rPr>
            <w:b/>
            <w:bCs/>
            <w:sz w:val="26"/>
            <w:szCs w:val="36"/>
            <w:rtl/>
          </w:rPr>
          <w:t xml:space="preserve"> </w:t>
        </w:r>
        <w:r w:rsidR="0022297D" w:rsidRPr="00EE6DD9">
          <w:rPr>
            <w:rFonts w:ascii="Traditional Arabic" w:hAnsi="Traditional Arabic" w:hint="cs"/>
            <w:b/>
            <w:bCs/>
            <w:sz w:val="26"/>
            <w:szCs w:val="36"/>
            <w:rtl/>
          </w:rPr>
          <w:t>التعذيب</w:t>
        </w:r>
        <w:r>
          <w:t>‬</w:t>
        </w:r>
      </w:dir>
    </w:p>
    <w:p w:rsidR="0022297D" w:rsidRDefault="0022297D" w:rsidP="0022297D">
      <w:pPr>
        <w:pStyle w:val="HMGA"/>
      </w:pPr>
      <w:r>
        <w:rPr>
          <w:rFonts w:hint="cs"/>
          <w:rtl/>
        </w:rPr>
        <w:tab/>
      </w:r>
      <w:r>
        <w:rPr>
          <w:rFonts w:hint="cs"/>
          <w:rtl/>
        </w:rPr>
        <w:tab/>
      </w:r>
      <w:r w:rsidRPr="007A6E3F">
        <w:rPr>
          <w:rtl/>
        </w:rPr>
        <w:t>الملاحظات الختامية ب</w:t>
      </w:r>
      <w:r>
        <w:rPr>
          <w:rtl/>
        </w:rPr>
        <w:t>شأن التقرير الدوري الثالث لتونس</w:t>
      </w:r>
    </w:p>
    <w:p w:rsidR="0022297D" w:rsidRPr="0015118A" w:rsidRDefault="0022297D" w:rsidP="0022297D">
      <w:pPr>
        <w:pStyle w:val="H23GA"/>
        <w:rPr>
          <w:rFonts w:ascii="Traditional Arabic" w:hAnsi="Traditional Arabic"/>
          <w:rtl/>
          <w:lang w:val="en-GB"/>
        </w:rPr>
      </w:pPr>
      <w:r>
        <w:tab/>
      </w:r>
      <w:r>
        <w:tab/>
      </w:r>
      <w:r w:rsidRPr="0015118A">
        <w:rPr>
          <w:rtl/>
        </w:rPr>
        <w:t>إضافة</w:t>
      </w:r>
    </w:p>
    <w:p w:rsidR="0022297D" w:rsidRPr="00247C6E" w:rsidRDefault="0022297D" w:rsidP="0022297D">
      <w:pPr>
        <w:pStyle w:val="HChGA"/>
        <w:rPr>
          <w:rtl/>
        </w:rPr>
      </w:pPr>
      <w:r>
        <w:rPr>
          <w:rFonts w:hint="cs"/>
          <w:rtl/>
        </w:rPr>
        <w:tab/>
      </w:r>
      <w:r>
        <w:rPr>
          <w:rFonts w:hint="cs"/>
          <w:rtl/>
        </w:rPr>
        <w:tab/>
      </w:r>
      <w:r w:rsidRPr="00247C6E">
        <w:rPr>
          <w:rFonts w:hint="cs"/>
          <w:rtl/>
        </w:rPr>
        <w:t xml:space="preserve">المعلومات الواردة من </w:t>
      </w:r>
      <w:r>
        <w:rPr>
          <w:rFonts w:hint="cs"/>
          <w:rtl/>
        </w:rPr>
        <w:t>تونس</w:t>
      </w:r>
      <w:r w:rsidRPr="005F3A18">
        <w:rPr>
          <w:rFonts w:hint="cs"/>
          <w:rtl/>
        </w:rPr>
        <w:t xml:space="preserve"> </w:t>
      </w:r>
      <w:r w:rsidRPr="00247C6E">
        <w:rPr>
          <w:rFonts w:hint="cs"/>
          <w:rtl/>
        </w:rPr>
        <w:t>بشأن متابعة الملاحظات الختامية</w:t>
      </w:r>
      <w:r w:rsidRPr="005F3A18">
        <w:rPr>
          <w:rStyle w:val="FootnoteReference"/>
          <w:bCs w:val="0"/>
          <w:sz w:val="20"/>
          <w:vertAlign w:val="baseline"/>
          <w:rtl/>
        </w:rPr>
        <w:footnoteReference w:customMarkFollows="1" w:id="1"/>
        <w:t>*</w:t>
      </w:r>
    </w:p>
    <w:p w:rsidR="0022297D" w:rsidRDefault="0022297D" w:rsidP="0022297D">
      <w:pPr>
        <w:pStyle w:val="SingleTxtGA"/>
        <w:jc w:val="right"/>
        <w:rPr>
          <w:kern w:val="16"/>
          <w:rtl/>
        </w:rPr>
      </w:pPr>
      <w:r w:rsidRPr="0015118A">
        <w:rPr>
          <w:rFonts w:hint="cs"/>
          <w:kern w:val="16"/>
          <w:rtl/>
        </w:rPr>
        <w:t>[</w:t>
      </w:r>
      <w:r w:rsidRPr="0015118A">
        <w:rPr>
          <w:rStyle w:val="RedFont"/>
          <w:rFonts w:eastAsiaTheme="majorEastAsia" w:hint="cs"/>
          <w:color w:val="auto"/>
          <w:rtl/>
        </w:rPr>
        <w:t>تاريخ الاستلام: 13أيار/مايو 2017</w:t>
      </w:r>
      <w:r w:rsidRPr="0015118A">
        <w:rPr>
          <w:rFonts w:hint="cs"/>
          <w:kern w:val="16"/>
          <w:rtl/>
        </w:rPr>
        <w:t>]</w:t>
      </w:r>
    </w:p>
    <w:p w:rsidR="006068EE" w:rsidRPr="00970B9E" w:rsidRDefault="006068EE" w:rsidP="006068EE">
      <w:pPr>
        <w:pStyle w:val="HChGA"/>
        <w:pageBreakBefore/>
        <w:spacing w:before="120"/>
        <w:ind w:left="1927"/>
        <w:rPr>
          <w:rFonts w:eastAsiaTheme="minorHAnsi"/>
          <w:rtl/>
          <w:lang w:val="fr-FR" w:bidi="ar-TN"/>
        </w:rPr>
      </w:pPr>
      <w:r>
        <w:rPr>
          <w:rFonts w:eastAsiaTheme="minorHAnsi" w:hint="cs"/>
          <w:rtl/>
          <w:lang w:val="fr-FR" w:bidi="ar-TN"/>
        </w:rPr>
        <w:lastRenderedPageBreak/>
        <w:tab/>
      </w:r>
      <w:r>
        <w:rPr>
          <w:rFonts w:eastAsiaTheme="minorHAnsi" w:hint="cs"/>
          <w:rtl/>
          <w:lang w:val="fr-FR" w:bidi="ar-TN"/>
        </w:rPr>
        <w:tab/>
      </w:r>
      <w:r w:rsidRPr="00970B9E">
        <w:rPr>
          <w:rFonts w:eastAsiaTheme="minorHAnsi"/>
          <w:rtl/>
          <w:lang w:val="fr-FR" w:bidi="ar-TN"/>
        </w:rPr>
        <w:t>الإجابة على التوصيات المستعجلة المتعلقة بتقرير تونس حول مناهضة التعذيب</w:t>
      </w:r>
    </w:p>
    <w:p w:rsidR="006068EE" w:rsidRPr="003D2F7B" w:rsidRDefault="006068EE" w:rsidP="006068EE">
      <w:pPr>
        <w:pStyle w:val="SingleTxtGA"/>
        <w:rPr>
          <w:rFonts w:eastAsiaTheme="minorHAnsi"/>
          <w:spacing w:val="-2"/>
          <w:rtl/>
          <w:lang w:val="fr-FR" w:bidi="ar-TN"/>
        </w:rPr>
      </w:pPr>
      <w:r w:rsidRPr="003D2F7B">
        <w:rPr>
          <w:rFonts w:eastAsiaTheme="minorHAnsi"/>
          <w:spacing w:val="-2"/>
          <w:rtl/>
          <w:lang w:val="fr-FR"/>
        </w:rPr>
        <w:t>1-</w:t>
      </w:r>
      <w:r w:rsidRPr="003D2F7B">
        <w:rPr>
          <w:rFonts w:eastAsiaTheme="minorHAnsi"/>
          <w:spacing w:val="-2"/>
          <w:rtl/>
          <w:lang w:val="fr-FR" w:bidi="ar-TN"/>
        </w:rPr>
        <w:tab/>
        <w:t xml:space="preserve">أخذت الحكومة التونسية علما بالتوصيات الصادرة عن لجة مناهضة التعذيب التي تم نشرها يوم 10 جوان 2016 بعد مناقشة تقرير تونس الوطني الثالث بجلستيها 1398 و1401 يومي 19 و21 </w:t>
      </w:r>
      <w:proofErr w:type="spellStart"/>
      <w:r w:rsidRPr="003D2F7B">
        <w:rPr>
          <w:rFonts w:eastAsiaTheme="minorHAnsi"/>
          <w:spacing w:val="-2"/>
          <w:rtl/>
          <w:lang w:val="fr-FR" w:bidi="ar-TN"/>
        </w:rPr>
        <w:t>أفريل</w:t>
      </w:r>
      <w:proofErr w:type="spellEnd"/>
      <w:r w:rsidRPr="003D2F7B">
        <w:rPr>
          <w:rFonts w:eastAsiaTheme="minorHAnsi"/>
          <w:spacing w:val="-2"/>
          <w:rtl/>
          <w:lang w:val="fr-FR" w:bidi="ar-TN"/>
        </w:rPr>
        <w:t xml:space="preserve"> 2016</w:t>
      </w:r>
      <w:bookmarkStart w:id="0" w:name="_GoBack"/>
      <w:bookmarkEnd w:id="0"/>
      <w:r w:rsidRPr="003D2F7B">
        <w:rPr>
          <w:rFonts w:eastAsiaTheme="minorHAnsi"/>
          <w:spacing w:val="-2"/>
          <w:rtl/>
          <w:lang w:val="fr-FR" w:bidi="ar-TN"/>
        </w:rPr>
        <w:t xml:space="preserve">. وطلبت اللجنة من الحكومة التونسية موافاتها في أجل أقصاه 13 ماي 2017 بعناصر الإجابة في ما يتعلق بالفقرة 16 </w:t>
      </w:r>
      <w:r w:rsidRPr="003D2F7B">
        <w:rPr>
          <w:rFonts w:eastAsiaTheme="minorHAnsi" w:hint="cs"/>
          <w:spacing w:val="-2"/>
          <w:rtl/>
          <w:lang w:val="fr-FR" w:bidi="ar-TN"/>
        </w:rPr>
        <w:t>بشأن</w:t>
      </w:r>
      <w:r w:rsidRPr="003D2F7B">
        <w:rPr>
          <w:rFonts w:eastAsiaTheme="minorHAnsi"/>
          <w:spacing w:val="-2"/>
          <w:rtl/>
          <w:lang w:val="fr-FR" w:bidi="ar-TN"/>
        </w:rPr>
        <w:t xml:space="preserve"> </w:t>
      </w:r>
      <w:proofErr w:type="spellStart"/>
      <w:r w:rsidRPr="003D2F7B">
        <w:rPr>
          <w:rFonts w:eastAsiaTheme="minorHAnsi" w:hint="cs"/>
          <w:spacing w:val="-2"/>
          <w:rtl/>
          <w:lang w:val="fr-FR" w:bidi="ar-TN"/>
        </w:rPr>
        <w:t>إدعاءات</w:t>
      </w:r>
      <w:proofErr w:type="spellEnd"/>
      <w:r w:rsidRPr="003D2F7B">
        <w:rPr>
          <w:rFonts w:eastAsiaTheme="minorHAnsi"/>
          <w:spacing w:val="-2"/>
          <w:rtl/>
          <w:lang w:val="fr-FR" w:bidi="ar-TN"/>
        </w:rPr>
        <w:t xml:space="preserve"> التعرض للتعذيب والمعاملة المهينة - الفقرة 28 حول شروط الاحتجاز والفقرة 38 بشأن هيئة الحقيقة والكرامة. </w:t>
      </w:r>
    </w:p>
    <w:p w:rsidR="006068EE" w:rsidRPr="00970B9E" w:rsidRDefault="006068EE" w:rsidP="006068EE">
      <w:pPr>
        <w:pStyle w:val="SingleTxtGA"/>
        <w:rPr>
          <w:rFonts w:eastAsiaTheme="minorHAnsi"/>
          <w:rtl/>
          <w:lang w:val="fr-FR" w:bidi="ar-TN"/>
        </w:rPr>
      </w:pPr>
      <w:r>
        <w:rPr>
          <w:rFonts w:eastAsiaTheme="minorHAnsi" w:hint="cs"/>
          <w:rtl/>
          <w:lang w:val="fr-FR" w:bidi="ar-TN"/>
        </w:rPr>
        <w:t>2-</w:t>
      </w:r>
      <w:r>
        <w:rPr>
          <w:rFonts w:eastAsiaTheme="minorHAnsi" w:hint="cs"/>
          <w:rtl/>
          <w:lang w:val="fr-FR" w:bidi="ar-TN"/>
        </w:rPr>
        <w:tab/>
      </w:r>
      <w:r w:rsidRPr="00970B9E">
        <w:rPr>
          <w:rFonts w:eastAsiaTheme="minorHAnsi" w:hint="cs"/>
          <w:rtl/>
          <w:lang w:val="fr-FR" w:bidi="ar-TN"/>
        </w:rPr>
        <w:t xml:space="preserve">وتتشرف بأن تحيل عليها عناصر الإجابة حول التوصيات المستعجلة: </w:t>
      </w:r>
    </w:p>
    <w:p w:rsidR="006068EE" w:rsidRPr="00970B9E" w:rsidRDefault="006068EE" w:rsidP="006068EE">
      <w:pPr>
        <w:pStyle w:val="H1GA"/>
        <w:ind w:left="1927"/>
        <w:rPr>
          <w:rFonts w:eastAsiaTheme="minorHAnsi"/>
          <w:rtl/>
          <w:lang w:val="fr-FR" w:bidi="ar-TN"/>
        </w:rPr>
      </w:pPr>
      <w:r>
        <w:rPr>
          <w:rFonts w:eastAsiaTheme="minorHAnsi" w:hint="cs"/>
          <w:rtl/>
          <w:lang w:val="fr-FR" w:bidi="ar-TN"/>
        </w:rPr>
        <w:tab/>
      </w:r>
      <w:r>
        <w:rPr>
          <w:rFonts w:eastAsiaTheme="minorHAnsi"/>
          <w:rtl/>
          <w:lang w:val="fr-FR" w:bidi="ar-TN"/>
        </w:rPr>
        <w:tab/>
      </w:r>
      <w:r w:rsidRPr="00970B9E">
        <w:rPr>
          <w:rFonts w:eastAsiaTheme="minorHAnsi"/>
          <w:rtl/>
          <w:lang w:val="fr-FR" w:bidi="ar-TN"/>
        </w:rPr>
        <w:t>التوصية الأولى: حول ادعاءات التعرّض للتعذيب وسوء المعاملة</w:t>
      </w:r>
      <w:r>
        <w:rPr>
          <w:rFonts w:eastAsiaTheme="minorHAnsi" w:hint="cs"/>
          <w:rtl/>
          <w:lang w:val="fr-FR" w:bidi="ar-TN"/>
        </w:rPr>
        <w:t xml:space="preserve"> </w:t>
      </w:r>
      <w:r w:rsidRPr="00970B9E">
        <w:rPr>
          <w:rFonts w:eastAsiaTheme="minorHAnsi"/>
          <w:rtl/>
          <w:lang w:val="fr-FR" w:bidi="ar-TN"/>
        </w:rPr>
        <w:t>(الفقرة</w:t>
      </w:r>
      <w:r>
        <w:rPr>
          <w:rFonts w:eastAsiaTheme="minorHAnsi" w:hint="cs"/>
          <w:rtl/>
          <w:lang w:val="fr-FR" w:bidi="ar-TN"/>
        </w:rPr>
        <w:t> </w:t>
      </w:r>
      <w:r w:rsidRPr="00970B9E">
        <w:rPr>
          <w:rFonts w:eastAsiaTheme="minorHAnsi"/>
          <w:rtl/>
          <w:lang w:val="fr-FR" w:bidi="ar-TN"/>
        </w:rPr>
        <w:t>16 من التوصيات الختامية)</w:t>
      </w:r>
    </w:p>
    <w:p w:rsidR="006068EE" w:rsidRPr="00970B9E" w:rsidRDefault="006068EE" w:rsidP="006068EE">
      <w:pPr>
        <w:pStyle w:val="SingleTxtGA"/>
        <w:rPr>
          <w:rFonts w:eastAsiaTheme="minorHAnsi"/>
          <w:rtl/>
          <w:lang w:val="fr-FR" w:bidi="ar-TN"/>
        </w:rPr>
      </w:pPr>
      <w:r w:rsidRPr="003D2F7B">
        <w:rPr>
          <w:rFonts w:eastAsiaTheme="minorHAnsi" w:hint="cs"/>
          <w:rtl/>
          <w:lang w:val="fr-FR" w:bidi="ar-TN"/>
        </w:rPr>
        <w:t>3-</w:t>
      </w:r>
      <w:r>
        <w:rPr>
          <w:rFonts w:eastAsiaTheme="minorHAnsi" w:hint="cs"/>
          <w:rtl/>
          <w:lang w:val="fr-FR" w:bidi="ar-TN"/>
        </w:rPr>
        <w:tab/>
      </w:r>
      <w:r w:rsidRPr="00970B9E">
        <w:rPr>
          <w:rFonts w:eastAsiaTheme="minorHAnsi"/>
          <w:rtl/>
          <w:lang w:val="fr-FR" w:bidi="ar-TN"/>
        </w:rPr>
        <w:t xml:space="preserve">تخضع جميع الأعمال التي تتعهّد بها الضابطة العدلية الى الرقابة المباشرة للنيابة العمومية وذلك وفق أحكام الفصل 13 مكرر من مجلة الإجراءات الجزائية وفقا لما تنقيحه بموجب القانون عدد 5 لسنة 2016 المؤرخ في 16 فيفري 2016 والذي قيّد الاحتفاظ أو التمديد فيه بإذن كتابي من وكيل الجمهورية. وعلى إثر صدور هذا القانون وقبل دخوله حيز النفاذ في غرة جوان 2016، تم عقد عديد الاجتماعات بين قضاة النيابة العمومية ومأموري الضابطة العدلية من أمن عمومي وحرس وطني بعد التنسيق بين وزارتي العدل والداخلية وذلك بهدف العمل على حسن تطبيق القانون المذكور وإيجاد الحلول العملية للإشكاليات التي يمكن أن يطرحها في التطبيق. والجدير بالذكر في هذا الخصوص، أن النيابة العمومية باتت تبسط مراقبة دقيقة في حالات التمديد في الاحتفاظ التي لم تعد آلية بل تقتضي إذن كتابي من النيابة العمومية </w:t>
      </w:r>
      <w:r w:rsidRPr="00970B9E">
        <w:rPr>
          <w:rFonts w:eastAsiaTheme="minorHAnsi"/>
          <w:u w:val="single"/>
          <w:rtl/>
          <w:lang w:val="fr-FR" w:bidi="ar-TN"/>
        </w:rPr>
        <w:t>ب</w:t>
      </w:r>
      <w:r w:rsidRPr="00970B9E">
        <w:rPr>
          <w:rFonts w:eastAsiaTheme="minorHAnsi"/>
          <w:rtl/>
          <w:lang w:val="fr-FR" w:bidi="ar-TN"/>
        </w:rPr>
        <w:t>عد سماعها للمظنون فيه مباشرة والنظر في إمكانية إعادة الاحتفاظ من عدمه. وهو ما يضمن لذي الشبهة في صورة وجود تعذيب سرعة معاينته من طرف النيابة العمومية باعت</w:t>
      </w:r>
      <w:r>
        <w:rPr>
          <w:rFonts w:eastAsiaTheme="minorHAnsi"/>
          <w:rtl/>
          <w:lang w:val="fr-FR" w:bidi="ar-TN"/>
        </w:rPr>
        <w:t xml:space="preserve">بار وأن آجال الاحتفاظ لا يمكن </w:t>
      </w:r>
      <w:r>
        <w:rPr>
          <w:rFonts w:eastAsiaTheme="minorHAnsi" w:hint="cs"/>
          <w:rtl/>
          <w:lang w:val="fr-FR" w:bidi="ar-TN"/>
        </w:rPr>
        <w:t>أن</w:t>
      </w:r>
      <w:r w:rsidRPr="00970B9E">
        <w:rPr>
          <w:rFonts w:eastAsiaTheme="minorHAnsi"/>
          <w:rtl/>
          <w:lang w:val="fr-FR" w:bidi="ar-TN"/>
        </w:rPr>
        <w:t xml:space="preserve"> تتجاوز في كل الحالات 48 ساعة ويمكن التمديد فيها ب</w:t>
      </w:r>
      <w:r>
        <w:rPr>
          <w:rFonts w:eastAsiaTheme="minorHAnsi"/>
          <w:rtl/>
          <w:lang w:val="fr-FR" w:bidi="ar-TN"/>
        </w:rPr>
        <w:t>ـ </w:t>
      </w:r>
      <w:r w:rsidRPr="00970B9E">
        <w:rPr>
          <w:rFonts w:eastAsiaTheme="minorHAnsi"/>
          <w:rtl/>
          <w:lang w:val="fr-FR" w:bidi="ar-TN"/>
        </w:rPr>
        <w:t>24 ساعة بالنسبة لجنح و48 ساعة بالنسبة للجنايات.</w:t>
      </w:r>
    </w:p>
    <w:p w:rsidR="006068EE" w:rsidRPr="00970B9E" w:rsidRDefault="006068EE" w:rsidP="006068EE">
      <w:pPr>
        <w:pStyle w:val="SingleTxtGA"/>
        <w:rPr>
          <w:rFonts w:eastAsiaTheme="minorHAnsi"/>
          <w:rtl/>
          <w:lang w:val="fr-FR" w:bidi="ar-TN"/>
        </w:rPr>
      </w:pPr>
      <w:r>
        <w:rPr>
          <w:rFonts w:eastAsiaTheme="minorHAnsi" w:hint="cs"/>
          <w:rtl/>
          <w:lang w:val="fr-FR" w:bidi="ar-TN"/>
        </w:rPr>
        <w:t>4-</w:t>
      </w:r>
      <w:r>
        <w:rPr>
          <w:rFonts w:eastAsiaTheme="minorHAnsi" w:hint="cs"/>
          <w:rtl/>
          <w:lang w:val="fr-FR" w:bidi="ar-TN"/>
        </w:rPr>
        <w:tab/>
      </w:r>
      <w:r w:rsidRPr="00970B9E">
        <w:rPr>
          <w:rFonts w:eastAsiaTheme="minorHAnsi"/>
          <w:rtl/>
          <w:lang w:val="fr-FR" w:bidi="ar-TN"/>
        </w:rPr>
        <w:t>كما تخضع</w:t>
      </w:r>
      <w:r>
        <w:rPr>
          <w:rFonts w:eastAsiaTheme="minorHAnsi"/>
          <w:rtl/>
          <w:lang w:val="fr-FR" w:bidi="ar-TN"/>
        </w:rPr>
        <w:t xml:space="preserve"> </w:t>
      </w:r>
      <w:r w:rsidRPr="00970B9E">
        <w:rPr>
          <w:rFonts w:eastAsiaTheme="minorHAnsi"/>
          <w:rtl/>
          <w:lang w:val="fr-FR" w:bidi="ar-TN"/>
        </w:rPr>
        <w:t>الأعمال التي ينوّب فيها قضاة التحقيق أعوان الضابطة العدلية إلى رقابة القضاة المذكورين، وفقا لأحكام الفصل 57 جديد من مجلة الإجراءات الجزائية كيفما وقع تنقيحه بموجب القانون عدد 5 لسنة 2016 المذكور أعلاه، ولا يجوز القيام بأي أعمال تحقيق من طرف الأعوان المذكورين إلا في حدود الإنابة الكتابية المفوضة من قبل القضاء.</w:t>
      </w:r>
    </w:p>
    <w:p w:rsidR="006068EE" w:rsidRPr="00970B9E" w:rsidRDefault="006068EE" w:rsidP="006068EE">
      <w:pPr>
        <w:pStyle w:val="SingleTxtGA"/>
        <w:rPr>
          <w:rFonts w:eastAsiaTheme="minorHAnsi"/>
          <w:rtl/>
          <w:lang w:val="fr-FR" w:bidi="ar-TN"/>
        </w:rPr>
      </w:pPr>
      <w:r>
        <w:rPr>
          <w:rFonts w:eastAsiaTheme="minorHAnsi" w:hint="cs"/>
          <w:rtl/>
          <w:lang w:val="fr-FR" w:bidi="ar-TN"/>
        </w:rPr>
        <w:t>5-</w:t>
      </w:r>
      <w:r>
        <w:rPr>
          <w:rFonts w:eastAsiaTheme="minorHAnsi" w:hint="cs"/>
          <w:rtl/>
          <w:lang w:val="fr-FR" w:bidi="ar-TN"/>
        </w:rPr>
        <w:tab/>
      </w:r>
      <w:r w:rsidRPr="00970B9E">
        <w:rPr>
          <w:rFonts w:eastAsiaTheme="minorHAnsi"/>
          <w:rtl/>
          <w:lang w:val="fr-FR" w:bidi="ar-TN"/>
        </w:rPr>
        <w:t>تولّت الدولة في حدود الإمكانيات المتاحة تركيز كاميرات مراقبة في بعض مراكز الاحتفاظ والبحث خاصة على مستوى</w:t>
      </w:r>
      <w:r>
        <w:rPr>
          <w:rFonts w:eastAsiaTheme="minorHAnsi"/>
          <w:rtl/>
          <w:lang w:val="fr-FR" w:bidi="ar-TN"/>
        </w:rPr>
        <w:t xml:space="preserve"> </w:t>
      </w:r>
      <w:r w:rsidRPr="00970B9E">
        <w:rPr>
          <w:rFonts w:eastAsiaTheme="minorHAnsi"/>
          <w:rtl/>
          <w:lang w:val="fr-FR" w:bidi="ar-TN"/>
        </w:rPr>
        <w:t xml:space="preserve">ستة مراكز نموذجية بالتعاون مع برنامج الأمم المتحدة الإنمائي (فقرة 168 من تقرير تونس الدوري الثالث)، كما أنّ كلّ من مراكز </w:t>
      </w:r>
      <w:proofErr w:type="spellStart"/>
      <w:r w:rsidRPr="00970B9E">
        <w:rPr>
          <w:rFonts w:eastAsiaTheme="minorHAnsi"/>
          <w:rtl/>
          <w:lang w:val="fr-FR" w:bidi="ar-TN"/>
        </w:rPr>
        <w:t>القرجاني</w:t>
      </w:r>
      <w:proofErr w:type="spellEnd"/>
      <w:r w:rsidRPr="00970B9E">
        <w:rPr>
          <w:rFonts w:eastAsiaTheme="minorHAnsi"/>
          <w:rtl/>
          <w:lang w:val="fr-FR" w:bidi="ar-TN"/>
        </w:rPr>
        <w:t xml:space="preserve"> والعوينة وبوشوشة مجهّزة بكاميرات مراقبة وتسعى الدولة الى تعميم هذه التجربة تدريجيا</w:t>
      </w:r>
      <w:r>
        <w:rPr>
          <w:rFonts w:eastAsiaTheme="minorHAnsi"/>
          <w:rtl/>
          <w:lang w:val="fr-FR" w:bidi="ar-TN"/>
        </w:rPr>
        <w:t xml:space="preserve"> </w:t>
      </w:r>
      <w:r w:rsidRPr="00970B9E">
        <w:rPr>
          <w:rFonts w:eastAsiaTheme="minorHAnsi"/>
          <w:rtl/>
          <w:lang w:val="fr-FR" w:bidi="ar-TN"/>
        </w:rPr>
        <w:t>على بقية مراكز الاحتفاظ والبحث وتبقى هذه التسجيلات على ذمّة القضاء عند الطلب.</w:t>
      </w:r>
    </w:p>
    <w:p w:rsidR="006068EE" w:rsidRPr="00970B9E" w:rsidRDefault="006068EE" w:rsidP="006068EE">
      <w:pPr>
        <w:pStyle w:val="SingleTxtGA"/>
        <w:rPr>
          <w:rFonts w:eastAsiaTheme="minorHAnsi"/>
          <w:rtl/>
          <w:lang w:val="fr-FR" w:bidi="ar-TN"/>
        </w:rPr>
      </w:pPr>
      <w:r>
        <w:rPr>
          <w:rFonts w:eastAsiaTheme="minorHAnsi" w:hint="cs"/>
          <w:rtl/>
          <w:lang w:val="fr-FR" w:bidi="ar-TN"/>
        </w:rPr>
        <w:t>6-</w:t>
      </w:r>
      <w:r>
        <w:rPr>
          <w:rFonts w:eastAsiaTheme="minorHAnsi" w:hint="cs"/>
          <w:rtl/>
          <w:lang w:val="fr-FR" w:bidi="ar-TN"/>
        </w:rPr>
        <w:tab/>
      </w:r>
      <w:r w:rsidRPr="00970B9E">
        <w:rPr>
          <w:rFonts w:eastAsiaTheme="minorHAnsi" w:hint="cs"/>
          <w:rtl/>
          <w:lang w:val="fr-FR" w:bidi="ar-TN"/>
        </w:rPr>
        <w:t>قامت الحكومة التونسية</w:t>
      </w:r>
      <w:r>
        <w:rPr>
          <w:rFonts w:eastAsiaTheme="minorHAnsi" w:hint="cs"/>
          <w:rtl/>
          <w:lang w:val="fr-FR" w:bidi="ar-TN"/>
        </w:rPr>
        <w:t xml:space="preserve"> </w:t>
      </w:r>
      <w:r w:rsidRPr="00970B9E">
        <w:rPr>
          <w:rFonts w:eastAsiaTheme="minorHAnsi" w:hint="cs"/>
          <w:rtl/>
          <w:lang w:val="fr-FR" w:bidi="ar-TN"/>
        </w:rPr>
        <w:t>بعقد ندوة صحفية بمقر رئاسة الحكومة بتاريخ 16 ماي</w:t>
      </w:r>
      <w:r>
        <w:rPr>
          <w:rFonts w:eastAsiaTheme="minorHAnsi" w:hint="eastAsia"/>
          <w:rtl/>
          <w:lang w:val="fr-FR" w:bidi="ar-TN"/>
        </w:rPr>
        <w:t> </w:t>
      </w:r>
      <w:r w:rsidRPr="00970B9E">
        <w:rPr>
          <w:rFonts w:eastAsiaTheme="minorHAnsi" w:hint="cs"/>
          <w:rtl/>
          <w:lang w:val="fr-FR" w:bidi="ar-TN"/>
        </w:rPr>
        <w:t>2016، قدم</w:t>
      </w:r>
      <w:r>
        <w:rPr>
          <w:rFonts w:eastAsiaTheme="minorHAnsi" w:hint="cs"/>
          <w:rtl/>
          <w:lang w:val="fr-FR" w:bidi="ar-TN"/>
        </w:rPr>
        <w:t xml:space="preserve"> </w:t>
      </w:r>
      <w:r w:rsidRPr="00970B9E">
        <w:rPr>
          <w:rFonts w:eastAsiaTheme="minorHAnsi" w:hint="cs"/>
          <w:rtl/>
          <w:lang w:val="fr-FR" w:bidi="ar-TN"/>
        </w:rPr>
        <w:t xml:space="preserve">خلالها الوزير المكلف بالعلاقة مع الهيئات الدستورية والمجتمع المدني وحقوق </w:t>
      </w:r>
      <w:r w:rsidRPr="00970B9E">
        <w:rPr>
          <w:rFonts w:eastAsiaTheme="minorHAnsi" w:hint="cs"/>
          <w:rtl/>
          <w:lang w:val="fr-FR" w:bidi="ar-TN"/>
        </w:rPr>
        <w:lastRenderedPageBreak/>
        <w:t>الإنسان، والذي ترأس الوفد التونسي في إطار مناقشة تقرير تونس الوطني الثالث أمام وسائل الإعلام، جملة التوصيات الصادرة عن لجنة مناهضة التعذيب.</w:t>
      </w:r>
    </w:p>
    <w:p w:rsidR="006068EE" w:rsidRPr="00970B9E" w:rsidRDefault="006068EE" w:rsidP="006068EE">
      <w:pPr>
        <w:pStyle w:val="SingleTxtGA"/>
        <w:rPr>
          <w:rFonts w:eastAsiaTheme="minorHAnsi"/>
          <w:rtl/>
          <w:lang w:val="fr-FR" w:bidi="ar-TN"/>
        </w:rPr>
      </w:pPr>
      <w:r>
        <w:rPr>
          <w:rFonts w:eastAsiaTheme="minorHAnsi" w:hint="cs"/>
          <w:rtl/>
          <w:lang w:val="fr-FR" w:bidi="ar-TN"/>
        </w:rPr>
        <w:t>7-</w:t>
      </w:r>
      <w:r>
        <w:rPr>
          <w:rFonts w:eastAsiaTheme="minorHAnsi" w:hint="cs"/>
          <w:rtl/>
          <w:lang w:val="fr-FR" w:bidi="ar-TN"/>
        </w:rPr>
        <w:tab/>
      </w:r>
      <w:r w:rsidRPr="00970B9E">
        <w:rPr>
          <w:rFonts w:eastAsiaTheme="minorHAnsi" w:hint="cs"/>
          <w:rtl/>
          <w:lang w:val="fr-FR" w:bidi="ar-TN"/>
        </w:rPr>
        <w:t>وقد أكد رئيس الحكومة لدى استقباله الوفد المشارك في مناقشة التقرير المذكور على التزام الدولة التونسية</w:t>
      </w:r>
      <w:r>
        <w:rPr>
          <w:rFonts w:eastAsiaTheme="minorHAnsi" w:hint="cs"/>
          <w:rtl/>
          <w:lang w:val="fr-FR" w:bidi="ar-TN"/>
        </w:rPr>
        <w:t xml:space="preserve"> </w:t>
      </w:r>
      <w:r w:rsidRPr="00970B9E">
        <w:rPr>
          <w:rFonts w:eastAsiaTheme="minorHAnsi" w:hint="cs"/>
          <w:rtl/>
          <w:lang w:val="fr-FR" w:bidi="ar-TN"/>
        </w:rPr>
        <w:t>بمكافحة كل أشكال التعذيب والممارسات المهينة.</w:t>
      </w:r>
    </w:p>
    <w:p w:rsidR="006068EE" w:rsidRPr="00970B9E" w:rsidRDefault="006068EE" w:rsidP="006068EE">
      <w:pPr>
        <w:pStyle w:val="SingleTxtGA"/>
        <w:rPr>
          <w:rFonts w:eastAsiaTheme="minorHAnsi"/>
          <w:rtl/>
          <w:lang w:val="fr-FR" w:bidi="ar-TN"/>
        </w:rPr>
      </w:pPr>
      <w:r>
        <w:rPr>
          <w:rFonts w:eastAsiaTheme="minorHAnsi" w:hint="cs"/>
          <w:rtl/>
          <w:lang w:val="fr-FR" w:bidi="ar-TN"/>
        </w:rPr>
        <w:t>8-</w:t>
      </w:r>
      <w:r>
        <w:rPr>
          <w:rFonts w:eastAsiaTheme="minorHAnsi" w:hint="cs"/>
          <w:rtl/>
          <w:lang w:val="fr-FR" w:bidi="ar-TN"/>
        </w:rPr>
        <w:tab/>
      </w:r>
      <w:r w:rsidRPr="00970B9E">
        <w:rPr>
          <w:rFonts w:eastAsiaTheme="minorHAnsi" w:hint="cs"/>
          <w:rtl/>
          <w:lang w:val="fr-FR" w:bidi="ar-TN"/>
        </w:rPr>
        <w:t>وقد تم تنظيم استشارة وطنية مع المجتمع المدني يوم 19 ماي 2016 أفرزت عديد المقترحات على المستوى التشريعي والهيكلي والإجرائي والتي سيتم أخذها بعين الاعتبار في إطار إعداد خطة العمل الحالية والمتعلقة بتنفيذ التوصيات الصادرة عن اللجنة المشار إليها أعلاه.</w:t>
      </w:r>
    </w:p>
    <w:p w:rsidR="006068EE" w:rsidRPr="00970B9E" w:rsidRDefault="006068EE" w:rsidP="006068EE">
      <w:pPr>
        <w:pStyle w:val="SingleTxtGA"/>
        <w:rPr>
          <w:rFonts w:eastAsiaTheme="minorHAnsi"/>
          <w:rtl/>
          <w:lang w:val="fr-FR" w:bidi="ar-TN"/>
        </w:rPr>
      </w:pPr>
      <w:r>
        <w:rPr>
          <w:rFonts w:eastAsiaTheme="minorHAnsi" w:hint="cs"/>
          <w:rtl/>
          <w:lang w:val="fr-FR" w:bidi="ar-TN"/>
        </w:rPr>
        <w:t>9-</w:t>
      </w:r>
      <w:r>
        <w:rPr>
          <w:rFonts w:eastAsiaTheme="minorHAnsi" w:hint="cs"/>
          <w:rtl/>
          <w:lang w:val="fr-FR" w:bidi="ar-TN"/>
        </w:rPr>
        <w:tab/>
      </w:r>
      <w:r w:rsidRPr="00970B9E">
        <w:rPr>
          <w:rFonts w:eastAsiaTheme="minorHAnsi"/>
          <w:rtl/>
          <w:lang w:val="fr-FR" w:bidi="ar-TN"/>
        </w:rPr>
        <w:t>تتجه الإشارة لكون الفصل 67 من القانون الأساسي عدد 26 لسنة 2015 المؤرخ في 7 أوت 2015 المتعلق بمكافحة الإرهاب ومنع غسل الأموال يتعلق بتركيبة اللجنة الوطنية لمكافحة الإرهاب ولا يمكن أن يترتب عنه تفسيرا تعسفيا لضمان إفلات أجهزة الأمن المشتبه في ارتكابهم أعمال التعذيب أو سوء معاملة من العقاب.</w:t>
      </w:r>
    </w:p>
    <w:p w:rsidR="006068EE" w:rsidRPr="003D2F7B" w:rsidRDefault="006068EE" w:rsidP="006068EE">
      <w:pPr>
        <w:pStyle w:val="SingleTxtGA"/>
        <w:rPr>
          <w:rFonts w:eastAsiaTheme="minorHAnsi"/>
          <w:spacing w:val="-2"/>
          <w:rtl/>
          <w:lang w:val="fr-FR" w:bidi="ar-TN"/>
        </w:rPr>
      </w:pPr>
      <w:r>
        <w:rPr>
          <w:rFonts w:eastAsiaTheme="minorHAnsi" w:hint="cs"/>
          <w:spacing w:val="-2"/>
          <w:rtl/>
          <w:lang w:val="fr-FR"/>
        </w:rPr>
        <w:t>10</w:t>
      </w:r>
      <w:r w:rsidRPr="003D2F7B">
        <w:rPr>
          <w:rFonts w:eastAsiaTheme="minorHAnsi"/>
          <w:spacing w:val="-2"/>
          <w:rtl/>
          <w:lang w:val="fr-FR"/>
        </w:rPr>
        <w:t>-</w:t>
      </w:r>
      <w:r w:rsidRPr="003D2F7B">
        <w:rPr>
          <w:rFonts w:eastAsiaTheme="minorHAnsi"/>
          <w:spacing w:val="-2"/>
          <w:rtl/>
          <w:lang w:val="fr-FR"/>
        </w:rPr>
        <w:tab/>
      </w:r>
      <w:r w:rsidRPr="003D2F7B">
        <w:rPr>
          <w:rFonts w:eastAsiaTheme="minorHAnsi"/>
          <w:spacing w:val="-2"/>
          <w:rtl/>
          <w:lang w:val="fr-FR" w:bidi="ar-TN"/>
        </w:rPr>
        <w:t xml:space="preserve">وبقطع النظر عن تلك الملاحظة وفي سياق ضمان عدم إفلات أفراد أجهزة الأمن في مجال مكافحة الإرهاب المشتبه بهم في ارتكابهم أعمال التعذيب، وضعت الدولة عبر تشريعها واجراءاتها الإدارية مجموعة من التدابير التي من شأنها أن تحول دون الإفلات من العقاب بالنسبة لأعوان انفاذ القوانين الذين يشتبه في تورطهم في أعمال تعذيب أو سوء معاملة وذلك من خلال آليات الرقابة التي بصدد الإعداد للإطار المرجعي للسياسة الوزارية الجديدة للرقابة والتفقّد والتدقيق ومنظومة التصرف في شكايات وعرائض المواطنين (وزارة الداخلية) بالتعاون مع برنامج الأمم المتحدة الإنمائي وفي اطار لجنة القيادة والتي تستجيب للمعايير الدولية </w:t>
      </w:r>
      <w:proofErr w:type="spellStart"/>
      <w:r w:rsidRPr="003D2F7B">
        <w:rPr>
          <w:rFonts w:eastAsiaTheme="minorHAnsi"/>
          <w:spacing w:val="-2"/>
          <w:rtl/>
          <w:lang w:val="fr-FR" w:bidi="ar-TN"/>
        </w:rPr>
        <w:t>والحوكمة</w:t>
      </w:r>
      <w:proofErr w:type="spellEnd"/>
      <w:r w:rsidRPr="003D2F7B">
        <w:rPr>
          <w:rFonts w:eastAsiaTheme="minorHAnsi"/>
          <w:spacing w:val="-2"/>
          <w:rtl/>
          <w:lang w:val="fr-FR" w:bidi="ar-TN"/>
        </w:rPr>
        <w:t xml:space="preserve"> الرشيدة في المجال.</w:t>
      </w:r>
    </w:p>
    <w:p w:rsidR="006068EE" w:rsidRPr="003D2F7B" w:rsidRDefault="006068EE" w:rsidP="006068EE">
      <w:pPr>
        <w:pStyle w:val="SingleTxtGA"/>
        <w:rPr>
          <w:rFonts w:eastAsiaTheme="minorHAnsi"/>
          <w:spacing w:val="-4"/>
          <w:rtl/>
          <w:lang w:val="fr-FR" w:bidi="ar-TN"/>
        </w:rPr>
      </w:pPr>
      <w:r>
        <w:rPr>
          <w:rFonts w:eastAsiaTheme="minorHAnsi" w:hint="cs"/>
          <w:spacing w:val="-4"/>
          <w:rtl/>
          <w:lang w:val="fr-FR" w:bidi="ar-TN"/>
        </w:rPr>
        <w:t>11</w:t>
      </w:r>
      <w:r w:rsidRPr="003D2F7B">
        <w:rPr>
          <w:rFonts w:eastAsiaTheme="minorHAnsi"/>
          <w:spacing w:val="-4"/>
          <w:rtl/>
          <w:lang w:val="fr-FR" w:bidi="ar-TN"/>
        </w:rPr>
        <w:t>-</w:t>
      </w:r>
      <w:r w:rsidRPr="003D2F7B">
        <w:rPr>
          <w:rFonts w:eastAsiaTheme="minorHAnsi"/>
          <w:spacing w:val="-4"/>
          <w:rtl/>
          <w:lang w:val="fr-FR" w:bidi="ar-TN"/>
        </w:rPr>
        <w:tab/>
        <w:t xml:space="preserve">وتتولى وزارة الداخلية عبر أجهزتها الرقابية اتخاذ الإجراءات التأديبية الملائمة بالنسبة لجميع </w:t>
      </w:r>
      <w:proofErr w:type="spellStart"/>
      <w:r w:rsidRPr="003D2F7B">
        <w:rPr>
          <w:rFonts w:eastAsiaTheme="minorHAnsi"/>
          <w:spacing w:val="-4"/>
          <w:rtl/>
          <w:lang w:val="fr-FR" w:bidi="ar-TN"/>
        </w:rPr>
        <w:t>الاخلالات</w:t>
      </w:r>
      <w:proofErr w:type="spellEnd"/>
      <w:r w:rsidRPr="003D2F7B">
        <w:rPr>
          <w:rFonts w:eastAsiaTheme="minorHAnsi"/>
          <w:spacing w:val="-4"/>
          <w:rtl/>
          <w:lang w:val="fr-FR" w:bidi="ar-TN"/>
        </w:rPr>
        <w:t xml:space="preserve"> في هذا المجال، وفي صورة اذا ما ارتقت الأفعال المنسوبة إلى الأعوان المذكورين إلى مستوى التجريم فإن الملف يحال على النيابة العمومية لاتخاذ الاجراءات القضائية اللازمة وفق أحكام المجلّة الجزائية مع حفظ حق المتظلّم في اللجوء مباشرة إلى القضاء حتى في صورة حفظ الملف.</w:t>
      </w:r>
    </w:p>
    <w:p w:rsidR="006068EE" w:rsidRPr="00970B9E" w:rsidRDefault="006068EE" w:rsidP="006068EE">
      <w:pPr>
        <w:pStyle w:val="SingleTxtGA"/>
        <w:rPr>
          <w:rFonts w:eastAsiaTheme="minorHAnsi"/>
          <w:rtl/>
          <w:lang w:val="fr-FR" w:bidi="ar-TN"/>
        </w:rPr>
      </w:pPr>
      <w:r>
        <w:rPr>
          <w:rFonts w:eastAsiaTheme="minorHAnsi" w:hint="cs"/>
          <w:rtl/>
          <w:lang w:val="fr-FR" w:bidi="ar-TN"/>
        </w:rPr>
        <w:t>12-</w:t>
      </w:r>
      <w:r>
        <w:rPr>
          <w:rFonts w:eastAsiaTheme="minorHAnsi" w:hint="cs"/>
          <w:rtl/>
          <w:lang w:val="fr-FR" w:bidi="ar-TN"/>
        </w:rPr>
        <w:tab/>
      </w:r>
      <w:r w:rsidRPr="00970B9E">
        <w:rPr>
          <w:rFonts w:eastAsiaTheme="minorHAnsi"/>
          <w:rtl/>
          <w:lang w:val="fr-FR" w:bidi="ar-TN"/>
        </w:rPr>
        <w:t>ويعتبر مجرّد السكوت عن التعذيب جريمة طبقا للفصل 101 مكرّر من المجلة الجزائية.</w:t>
      </w:r>
    </w:p>
    <w:p w:rsidR="006068EE" w:rsidRPr="00970B9E" w:rsidRDefault="006068EE" w:rsidP="006068EE">
      <w:pPr>
        <w:pStyle w:val="SingleTxtGA"/>
        <w:rPr>
          <w:rFonts w:eastAsiaTheme="minorHAnsi"/>
          <w:rtl/>
          <w:lang w:val="fr-FR" w:bidi="ar-TN"/>
        </w:rPr>
      </w:pPr>
      <w:r>
        <w:rPr>
          <w:rFonts w:eastAsiaTheme="minorHAnsi" w:hint="cs"/>
          <w:rtl/>
          <w:lang w:val="fr-FR" w:bidi="ar-TN"/>
        </w:rPr>
        <w:t>13-</w:t>
      </w:r>
      <w:r>
        <w:rPr>
          <w:rFonts w:eastAsiaTheme="minorHAnsi" w:hint="cs"/>
          <w:rtl/>
          <w:lang w:val="fr-FR" w:bidi="ar-TN"/>
        </w:rPr>
        <w:tab/>
      </w:r>
      <w:r w:rsidRPr="00970B9E">
        <w:rPr>
          <w:rFonts w:eastAsiaTheme="minorHAnsi"/>
          <w:rtl/>
          <w:lang w:val="fr-FR" w:bidi="ar-TN"/>
        </w:rPr>
        <w:t xml:space="preserve">وقد سجلت إلى الآن عدد 18 قضية تحقيقية في ارتكاب أعمال تعذيب ضد أعوان إنفاذ القانون في مجال مكافحة الإرهاب بما فيها 3 انطلقت بموجب تقارير معاينة من طرف وكيل الجمهورية وقاضي التحقيق وهي جميعها مازالت قيد التحقيق. </w:t>
      </w:r>
    </w:p>
    <w:p w:rsidR="006068EE" w:rsidRPr="00970B9E" w:rsidRDefault="006068EE" w:rsidP="006068EE">
      <w:pPr>
        <w:pStyle w:val="SingleTxtGA"/>
        <w:rPr>
          <w:rFonts w:eastAsiaTheme="minorHAnsi"/>
          <w:rtl/>
          <w:lang w:val="fr-FR" w:bidi="ar-TN"/>
        </w:rPr>
      </w:pPr>
      <w:r>
        <w:rPr>
          <w:rFonts w:eastAsiaTheme="minorHAnsi" w:hint="cs"/>
          <w:rtl/>
          <w:lang w:val="fr-FR" w:bidi="ar-TN"/>
        </w:rPr>
        <w:t>14-</w:t>
      </w:r>
      <w:r>
        <w:rPr>
          <w:rFonts w:eastAsiaTheme="minorHAnsi" w:hint="cs"/>
          <w:rtl/>
          <w:lang w:val="fr-FR" w:bidi="ar-TN"/>
        </w:rPr>
        <w:tab/>
      </w:r>
      <w:r w:rsidRPr="00970B9E">
        <w:rPr>
          <w:rFonts w:eastAsiaTheme="minorHAnsi"/>
          <w:rtl/>
          <w:lang w:val="fr-FR" w:bidi="ar-TN"/>
        </w:rPr>
        <w:t xml:space="preserve">بادرت وزارة الداخلية في اطار التربية على حقوق الانسان وتحقيق الجودة والمسؤولية المهنية الى مواصلة تعزيز بناء قدرات أعوان الامن الداخلي في مجال التكوين والتدريب طبقا للمعايير الدولية وذلك بهدف تأهيل مسلسل التكوين الحقوقي لموظفي الوزارة اعتمادا على المرجعية الأممية والمعاهدات الدولية المصادق عليها من قبل بلادنا، فضلا عن الأسس التشريعية الوطنية المتعلقة بحماية حقوق الانسان وحرياته الأساسية ويسهر على تأمين تلك الدورات التكوينية خبرات أكاديمية وطنية ودولية </w:t>
      </w:r>
      <w:proofErr w:type="spellStart"/>
      <w:r w:rsidRPr="00970B9E">
        <w:rPr>
          <w:rFonts w:eastAsiaTheme="minorHAnsi"/>
          <w:rtl/>
          <w:lang w:val="fr-FR" w:bidi="ar-TN"/>
        </w:rPr>
        <w:t>تتيحها</w:t>
      </w:r>
      <w:proofErr w:type="spellEnd"/>
      <w:r w:rsidRPr="00970B9E">
        <w:rPr>
          <w:rFonts w:eastAsiaTheme="minorHAnsi"/>
          <w:rtl/>
          <w:lang w:val="fr-FR" w:bidi="ar-TN"/>
        </w:rPr>
        <w:t xml:space="preserve"> آلية التعاون الدولي مع مجلس أوروبا والمفوضية السامية لحقوق الانسان واليونيسكو واللجنة الدولية للصليب الأحمر</w:t>
      </w:r>
      <w:r>
        <w:rPr>
          <w:rFonts w:eastAsiaTheme="minorHAnsi"/>
          <w:rtl/>
          <w:lang w:val="fr-FR" w:bidi="ar-TN"/>
        </w:rPr>
        <w:t xml:space="preserve"> و</w:t>
      </w:r>
      <w:r w:rsidRPr="00970B9E">
        <w:rPr>
          <w:rFonts w:eastAsiaTheme="minorHAnsi"/>
          <w:rtl/>
          <w:lang w:val="fr-FR" w:bidi="ar-TN"/>
        </w:rPr>
        <w:t>مركز جنيف للرقابة الديمقراطية على القوات المسلحة وغيرها، وفي هذا الاطار يتم حاليا السعي الى تطوير مدارس الامن والحرس الوطنيين فضلا عن الشروع في بناء اكاديمية للشرطة.</w:t>
      </w:r>
    </w:p>
    <w:p w:rsidR="006068EE" w:rsidRPr="00970B9E" w:rsidRDefault="006068EE" w:rsidP="006068EE">
      <w:pPr>
        <w:pStyle w:val="SingleTxtGA"/>
        <w:rPr>
          <w:rFonts w:eastAsiaTheme="minorHAnsi"/>
          <w:rtl/>
          <w:lang w:val="fr-FR" w:bidi="ar-TN"/>
        </w:rPr>
      </w:pPr>
      <w:r>
        <w:rPr>
          <w:rFonts w:eastAsiaTheme="minorHAnsi" w:hint="cs"/>
          <w:rtl/>
          <w:lang w:val="fr-FR" w:bidi="ar-TN"/>
        </w:rPr>
        <w:lastRenderedPageBreak/>
        <w:t>15-</w:t>
      </w:r>
      <w:r>
        <w:rPr>
          <w:rFonts w:eastAsiaTheme="minorHAnsi" w:hint="cs"/>
          <w:rtl/>
          <w:lang w:val="fr-FR" w:bidi="ar-TN"/>
        </w:rPr>
        <w:tab/>
      </w:r>
      <w:r w:rsidRPr="00970B9E">
        <w:rPr>
          <w:rFonts w:eastAsiaTheme="minorHAnsi"/>
          <w:rtl/>
          <w:lang w:val="fr-FR" w:bidi="ar-TN"/>
        </w:rPr>
        <w:t>كما تعمل الدولة في اطار اصلاح قطاع الامن على</w:t>
      </w:r>
      <w:r>
        <w:rPr>
          <w:rFonts w:eastAsiaTheme="minorHAnsi"/>
          <w:rtl/>
          <w:lang w:val="fr-FR" w:bidi="ar-TN"/>
        </w:rPr>
        <w:t xml:space="preserve"> </w:t>
      </w:r>
      <w:r w:rsidRPr="00970B9E">
        <w:rPr>
          <w:rFonts w:eastAsiaTheme="minorHAnsi"/>
          <w:rtl/>
          <w:lang w:val="fr-FR" w:bidi="ar-TN"/>
        </w:rPr>
        <w:t>اعداد جملة من مشاريع قوانين تتعلّق بالمحاور التالية:</w:t>
      </w:r>
    </w:p>
    <w:p w:rsidR="006068EE" w:rsidRPr="00970B9E" w:rsidRDefault="006068EE" w:rsidP="006068EE">
      <w:pPr>
        <w:pStyle w:val="SingleTxtGA"/>
        <w:ind w:left="1928"/>
        <w:rPr>
          <w:rFonts w:eastAsiaTheme="minorHAnsi"/>
          <w:rtl/>
          <w:lang w:val="fr-FR"/>
        </w:rPr>
      </w:pPr>
      <w:r w:rsidRPr="003D2F7B">
        <w:rPr>
          <w:rFonts w:eastAsiaTheme="minorHAnsi"/>
          <w:b/>
          <w:bCs/>
          <w:rtl/>
          <w:lang w:val="fr-FR"/>
        </w:rPr>
        <w:t>1/</w:t>
      </w:r>
      <w:r w:rsidRPr="00970B9E">
        <w:rPr>
          <w:rFonts w:eastAsiaTheme="minorHAnsi"/>
          <w:b/>
          <w:bCs/>
          <w:rtl/>
          <w:lang w:val="fr-FR"/>
        </w:rPr>
        <w:t>مشروع قانون</w:t>
      </w:r>
      <w:r w:rsidRPr="00970B9E">
        <w:rPr>
          <w:rFonts w:eastAsiaTheme="minorHAnsi"/>
          <w:rtl/>
          <w:lang w:val="fr-FR"/>
        </w:rPr>
        <w:t xml:space="preserve"> </w:t>
      </w:r>
      <w:r w:rsidRPr="00970B9E">
        <w:rPr>
          <w:rFonts w:eastAsiaTheme="minorHAnsi"/>
          <w:b/>
          <w:bCs/>
          <w:rtl/>
          <w:lang w:val="fr-FR"/>
        </w:rPr>
        <w:t xml:space="preserve">ينقح القانون الأساسي العام لقوات الأمن الداخلي: </w:t>
      </w:r>
      <w:r w:rsidRPr="00970B9E">
        <w:rPr>
          <w:rFonts w:eastAsiaTheme="minorHAnsi"/>
          <w:rtl/>
          <w:lang w:val="fr-FR"/>
        </w:rPr>
        <w:t>يهدف إلى إحكام تنظيم عمل هذه القوات من حيث الانضباط والالتزام باحترام علويّة القانون ومبادئ حقوق الإنسان بما يتلاءم ومبادئ عمل منظومة الأمن جمهوري المنصوص عليها ضمن الفصل</w:t>
      </w:r>
      <w:r>
        <w:rPr>
          <w:rFonts w:eastAsiaTheme="minorHAnsi" w:hint="cs"/>
          <w:rtl/>
          <w:lang w:val="fr-FR"/>
        </w:rPr>
        <w:t> </w:t>
      </w:r>
      <w:r w:rsidRPr="00970B9E">
        <w:rPr>
          <w:rFonts w:eastAsiaTheme="minorHAnsi"/>
          <w:rtl/>
          <w:lang w:val="fr-FR"/>
        </w:rPr>
        <w:t>19 من الدستور الذي يقتضي مراجعة جذرية لمشمولات وتنظيم وتكوين قوات الأمن الداخلي لتصبح ذات المواصفات المطلوبة في الأنظمة الديمقراطية</w:t>
      </w:r>
    </w:p>
    <w:p w:rsidR="006068EE" w:rsidRPr="003D2F7B" w:rsidRDefault="006068EE" w:rsidP="006068EE">
      <w:pPr>
        <w:pStyle w:val="SingleTxtGA"/>
        <w:ind w:left="1928"/>
        <w:rPr>
          <w:rFonts w:eastAsiaTheme="minorHAnsi"/>
          <w:spacing w:val="-4"/>
          <w:rtl/>
          <w:lang w:val="fr-FR"/>
        </w:rPr>
      </w:pPr>
      <w:r w:rsidRPr="003D2F7B">
        <w:rPr>
          <w:rFonts w:eastAsiaTheme="minorHAnsi"/>
          <w:b/>
          <w:bCs/>
          <w:spacing w:val="-4"/>
          <w:rtl/>
          <w:lang w:val="fr-FR"/>
        </w:rPr>
        <w:t>2/مشروع قانون</w:t>
      </w:r>
      <w:r w:rsidRPr="003D2F7B">
        <w:rPr>
          <w:rFonts w:eastAsiaTheme="minorHAnsi"/>
          <w:spacing w:val="-4"/>
          <w:rtl/>
          <w:lang w:val="fr-FR"/>
        </w:rPr>
        <w:t xml:space="preserve"> </w:t>
      </w:r>
      <w:r w:rsidRPr="003D2F7B">
        <w:rPr>
          <w:rFonts w:eastAsiaTheme="minorHAnsi"/>
          <w:b/>
          <w:bCs/>
          <w:spacing w:val="-4"/>
          <w:rtl/>
          <w:lang w:val="fr-FR"/>
        </w:rPr>
        <w:t>متعلق بالتجمع السلمي:</w:t>
      </w:r>
      <w:r w:rsidRPr="003D2F7B">
        <w:rPr>
          <w:rFonts w:eastAsiaTheme="minorHAnsi"/>
          <w:spacing w:val="-4"/>
          <w:rtl/>
          <w:lang w:val="fr-FR" w:bidi="ar-TN"/>
        </w:rPr>
        <w:t xml:space="preserve"> يهدف الى مراجعة </w:t>
      </w:r>
      <w:r w:rsidRPr="003D2F7B">
        <w:rPr>
          <w:rFonts w:eastAsiaTheme="minorHAnsi"/>
          <w:b/>
          <w:bCs/>
          <w:spacing w:val="-4"/>
          <w:rtl/>
          <w:lang w:val="fr-FR" w:bidi="ar-TN"/>
        </w:rPr>
        <w:t>القانون عدد 04 لسنة</w:t>
      </w:r>
      <w:r w:rsidRPr="003D2F7B">
        <w:rPr>
          <w:rFonts w:eastAsiaTheme="minorHAnsi" w:hint="eastAsia"/>
          <w:b/>
          <w:bCs/>
          <w:spacing w:val="-4"/>
          <w:rtl/>
          <w:lang w:val="fr-FR" w:bidi="ar-TN"/>
        </w:rPr>
        <w:t> </w:t>
      </w:r>
      <w:r w:rsidRPr="003D2F7B">
        <w:rPr>
          <w:rFonts w:eastAsiaTheme="minorHAnsi"/>
          <w:b/>
          <w:bCs/>
          <w:spacing w:val="-4"/>
          <w:rtl/>
          <w:lang w:val="fr-FR" w:bidi="ar-TN"/>
        </w:rPr>
        <w:t>1969 المتعلق بتنظيم الاجتماعات العامة والمظاهرات والمواكب والاستعراضات</w:t>
      </w:r>
      <w:r w:rsidRPr="003D2F7B">
        <w:rPr>
          <w:rFonts w:eastAsiaTheme="minorHAnsi"/>
          <w:spacing w:val="-4"/>
          <w:rtl/>
          <w:lang w:val="fr-FR" w:bidi="ar-TN"/>
        </w:rPr>
        <w:t xml:space="preserve"> لعدم تطابق بعض مواده مع المعايير الدولية المعتمدة في الغرض، وفي هذا الإطار تولّت وزارة الداخلية إلى إصدار مذّكرات عمل ملزمة لاستبعاد اللجوء لبعض المواد والأحكام التي لا تتطابق مع المعايير الدّولية والتي تجيز اللّجوء إلى استعمال الأسلحة النارية الى حين صدور القانون الجديد. </w:t>
      </w:r>
    </w:p>
    <w:p w:rsidR="006068EE" w:rsidRPr="003D2F7B" w:rsidRDefault="006068EE" w:rsidP="006068EE">
      <w:pPr>
        <w:pStyle w:val="SingleTxtGA"/>
        <w:ind w:left="1928"/>
        <w:rPr>
          <w:rFonts w:eastAsiaTheme="minorHAnsi"/>
          <w:spacing w:val="-2"/>
          <w:rtl/>
          <w:lang w:val="fr-FR"/>
        </w:rPr>
      </w:pPr>
      <w:r w:rsidRPr="003D2F7B">
        <w:rPr>
          <w:rFonts w:eastAsiaTheme="minorHAnsi"/>
          <w:b/>
          <w:bCs/>
          <w:spacing w:val="-2"/>
          <w:rtl/>
          <w:lang w:val="fr-FR"/>
        </w:rPr>
        <w:t>3/مشروع قانون ينظم مراحل وشروط استعمال القوة قصد تدخل القوات الحاملة للسلاح في عمليات حفظ النظام ومحاربة الإرهاب ومجابهة حالات الطوارئ والكوارث الطبيعية:</w:t>
      </w:r>
      <w:r w:rsidRPr="003D2F7B">
        <w:rPr>
          <w:rFonts w:eastAsiaTheme="minorHAnsi"/>
          <w:spacing w:val="-2"/>
          <w:rtl/>
          <w:lang w:val="fr-FR"/>
        </w:rPr>
        <w:t xml:space="preserve"> يهدف هذا القانون إلى ضمان الموازنة بين ضرورة العمل على استمرارية الدولة وحماية التراب الوطني من جهة واتخاذ الإجراءات الهادفة إلى حماية الحقوق والحريات في إطار التناسب المنصوص عليه صلب الفصل 49 من الدستور من جهة أخرى، وهو حاليا بصدد استكمال إجراءات دراسته بالتنسيق مع الوزارات المعنية تحت إشراف مصالح رئاسة الحكومة.</w:t>
      </w:r>
    </w:p>
    <w:p w:rsidR="006068EE" w:rsidRPr="00970B9E" w:rsidRDefault="006068EE" w:rsidP="006068EE">
      <w:pPr>
        <w:pStyle w:val="SingleTxtGA"/>
        <w:ind w:left="1928"/>
        <w:rPr>
          <w:rFonts w:eastAsiaTheme="minorHAnsi"/>
          <w:rtl/>
          <w:lang w:val="fr-FR"/>
        </w:rPr>
      </w:pPr>
      <w:r w:rsidRPr="003D2F7B">
        <w:rPr>
          <w:rFonts w:eastAsiaTheme="minorHAnsi"/>
          <w:b/>
          <w:bCs/>
          <w:rtl/>
          <w:lang w:val="fr-FR"/>
        </w:rPr>
        <w:t>4/</w:t>
      </w:r>
      <w:r w:rsidRPr="00970B9E">
        <w:rPr>
          <w:rFonts w:eastAsiaTheme="minorHAnsi"/>
          <w:b/>
          <w:bCs/>
          <w:rtl/>
          <w:lang w:val="fr-FR"/>
        </w:rPr>
        <w:t xml:space="preserve">مشروع قانون يتعلق بزجر الاعتداءات على القوات الحاملة للسلاح: </w:t>
      </w:r>
      <w:r w:rsidRPr="00970B9E">
        <w:rPr>
          <w:rFonts w:eastAsiaTheme="minorHAnsi"/>
          <w:rtl/>
          <w:lang w:val="fr-FR"/>
        </w:rPr>
        <w:t>يهدف هذا القانون إلى إقرار الحماية اللازمة لأعوان الأمن وهم عرضة للتهديدات والاعتداءات كما شملت الحماية الاعتداءات المسلطة على عائلاتهم وممتلكاتهم مع إدراج</w:t>
      </w:r>
      <w:r>
        <w:rPr>
          <w:rFonts w:eastAsiaTheme="minorHAnsi"/>
          <w:rtl/>
          <w:lang w:val="fr-FR"/>
        </w:rPr>
        <w:t xml:space="preserve"> </w:t>
      </w:r>
      <w:r w:rsidRPr="00970B9E">
        <w:rPr>
          <w:rFonts w:eastAsiaTheme="minorHAnsi"/>
          <w:rtl/>
          <w:lang w:val="fr-FR"/>
        </w:rPr>
        <w:t>أحكام صريحة تلزم الدولة بتوفير نظام متكامل للتعويض عند حدوث أضرار، خاصة وان منظومة الحماية الحالية أصبحت قاصرة للاستجابة لمتطلبات تغطية المخاطر التي أصبحت تهدد قوات الأمن على غرار الاعتداءات الإرهابية الموجهة ضد الأعوان.</w:t>
      </w:r>
    </w:p>
    <w:p w:rsidR="006068EE" w:rsidRPr="003D2F7B" w:rsidRDefault="006068EE" w:rsidP="006068EE">
      <w:pPr>
        <w:pStyle w:val="SingleTxtGA"/>
        <w:ind w:left="1928"/>
        <w:rPr>
          <w:rFonts w:eastAsiaTheme="minorHAnsi"/>
          <w:rtl/>
          <w:lang w:val="fr-FR"/>
        </w:rPr>
      </w:pPr>
      <w:r w:rsidRPr="003D2F7B">
        <w:rPr>
          <w:rFonts w:eastAsiaTheme="minorHAnsi"/>
          <w:b/>
          <w:bCs/>
          <w:rtl/>
          <w:lang w:val="fr-FR"/>
        </w:rPr>
        <w:t>5/</w:t>
      </w:r>
      <w:r w:rsidRPr="009304C0">
        <w:rPr>
          <w:rFonts w:eastAsiaTheme="minorHAnsi"/>
          <w:b/>
          <w:bCs/>
          <w:rtl/>
          <w:lang w:val="fr-FR"/>
        </w:rPr>
        <w:t>مشروع</w:t>
      </w:r>
      <w:r w:rsidRPr="003D2F7B">
        <w:rPr>
          <w:rFonts w:eastAsiaTheme="minorHAnsi"/>
          <w:b/>
          <w:bCs/>
          <w:rtl/>
          <w:lang w:val="fr-FR" w:bidi="ar-TN"/>
        </w:rPr>
        <w:t xml:space="preserve"> أمر حكومي </w:t>
      </w:r>
      <w:r w:rsidRPr="003D2F7B">
        <w:rPr>
          <w:rFonts w:eastAsiaTheme="minorHAnsi"/>
          <w:b/>
          <w:bCs/>
          <w:rtl/>
          <w:lang w:val="fr-FR"/>
        </w:rPr>
        <w:t>لمدونة سلوك قوات الأمن الدّاخلي التابعين لوزارة الدّاخلية</w:t>
      </w:r>
      <w:r w:rsidRPr="003D2F7B">
        <w:rPr>
          <w:rFonts w:eastAsiaTheme="minorHAnsi"/>
          <w:rtl/>
          <w:lang w:val="fr-FR"/>
        </w:rPr>
        <w:t>: يهدف هذا المشروع إلى ضبط القواعد السلوكية والممارسات المهنية الفضلى المعتمدة في قطاع الأمن لضمان إنفاذ القانون في كنف المهنية مع الالتزام بضوابط احترام الحقوق والحريات المكفولة بالقانون، وهو حاليا بصدد استكمال إجراءات إعداده من قبل فريق العمل المكلّف في الغرض.</w:t>
      </w:r>
    </w:p>
    <w:p w:rsidR="006068EE" w:rsidRPr="006068EE" w:rsidRDefault="006068EE" w:rsidP="006068EE">
      <w:pPr>
        <w:pStyle w:val="SingleTxtGA"/>
        <w:ind w:left="1928"/>
        <w:rPr>
          <w:rFonts w:eastAsiaTheme="minorHAnsi"/>
          <w:rtl/>
          <w:lang w:val="fr-FR"/>
        </w:rPr>
      </w:pPr>
      <w:r w:rsidRPr="006068EE">
        <w:rPr>
          <w:rFonts w:eastAsiaTheme="minorHAnsi"/>
          <w:rtl/>
          <w:lang w:val="fr-FR"/>
        </w:rPr>
        <w:t>6/مشروع أمر حكومي لإحداث إدارة عامة لحقوق الانسان صلب الهيكل التنظيمي لوزارة</w:t>
      </w:r>
      <w:r w:rsidRPr="006068EE">
        <w:rPr>
          <w:rFonts w:eastAsiaTheme="minorHAnsi" w:hint="cs"/>
          <w:rtl/>
          <w:lang w:val="fr-FR"/>
        </w:rPr>
        <w:t> </w:t>
      </w:r>
      <w:r w:rsidRPr="006068EE">
        <w:rPr>
          <w:rFonts w:eastAsiaTheme="minorHAnsi"/>
          <w:rtl/>
          <w:lang w:val="fr-FR"/>
        </w:rPr>
        <w:t>الداخلية.</w:t>
      </w:r>
    </w:p>
    <w:p w:rsidR="006068EE" w:rsidRPr="00970B9E" w:rsidRDefault="006068EE" w:rsidP="006068EE">
      <w:pPr>
        <w:pStyle w:val="H1GA"/>
        <w:ind w:left="1927"/>
        <w:rPr>
          <w:rFonts w:eastAsiaTheme="minorHAnsi"/>
          <w:rtl/>
          <w:lang w:val="fr-FR" w:bidi="ar-TN"/>
        </w:rPr>
      </w:pPr>
      <w:r>
        <w:rPr>
          <w:rFonts w:eastAsiaTheme="minorHAnsi" w:hint="cs"/>
          <w:rtl/>
          <w:lang w:val="fr-FR" w:bidi="ar-TN"/>
        </w:rPr>
        <w:lastRenderedPageBreak/>
        <w:tab/>
      </w:r>
      <w:r>
        <w:rPr>
          <w:rFonts w:eastAsiaTheme="minorHAnsi" w:hint="cs"/>
          <w:rtl/>
          <w:lang w:val="fr-FR" w:bidi="ar-TN"/>
        </w:rPr>
        <w:tab/>
      </w:r>
      <w:r w:rsidRPr="00970B9E">
        <w:rPr>
          <w:rFonts w:eastAsiaTheme="minorHAnsi"/>
          <w:rtl/>
          <w:lang w:val="fr-FR" w:bidi="ar-TN"/>
        </w:rPr>
        <w:t>التوصية الثانية: حول ظروف الإيقاف/الاحتجاز</w:t>
      </w:r>
      <w:r w:rsidR="009F706D">
        <w:rPr>
          <w:rFonts w:eastAsiaTheme="minorHAnsi" w:hint="cs"/>
          <w:rtl/>
          <w:lang w:val="fr-FR" w:bidi="ar-TN"/>
        </w:rPr>
        <w:t xml:space="preserve"> </w:t>
      </w:r>
      <w:r w:rsidRPr="00970B9E">
        <w:rPr>
          <w:rFonts w:eastAsiaTheme="minorHAnsi"/>
          <w:rtl/>
          <w:lang w:val="fr-FR" w:bidi="ar-TN"/>
        </w:rPr>
        <w:t xml:space="preserve">(الفقرة 28 من التوصيات الختامية) </w:t>
      </w:r>
    </w:p>
    <w:p w:rsidR="006068EE" w:rsidRPr="00970B9E" w:rsidRDefault="006068EE" w:rsidP="006068EE">
      <w:pPr>
        <w:pStyle w:val="H23GA"/>
        <w:tabs>
          <w:tab w:val="clear" w:pos="1021"/>
          <w:tab w:val="left" w:pos="2551"/>
          <w:tab w:val="left" w:pos="3260"/>
        </w:tabs>
        <w:ind w:left="1926" w:firstLine="0"/>
        <w:rPr>
          <w:rFonts w:eastAsiaTheme="minorHAnsi"/>
          <w:rtl/>
          <w:lang w:val="fr-FR" w:bidi="ar-TN"/>
        </w:rPr>
      </w:pPr>
      <w:r>
        <w:rPr>
          <w:rFonts w:eastAsiaTheme="minorHAnsi"/>
          <w:rtl/>
          <w:lang w:val="fr-FR" w:bidi="ar-TN"/>
        </w:rPr>
        <w:tab/>
      </w:r>
      <w:r>
        <w:rPr>
          <w:rFonts w:eastAsiaTheme="minorHAnsi" w:hint="cs"/>
          <w:rtl/>
          <w:lang w:val="fr-FR" w:bidi="ar-TN"/>
        </w:rPr>
        <w:t>(</w:t>
      </w:r>
      <w:r w:rsidRPr="00970B9E">
        <w:rPr>
          <w:rFonts w:eastAsiaTheme="minorHAnsi"/>
          <w:rtl/>
          <w:lang w:val="fr-FR" w:bidi="ar-TN"/>
        </w:rPr>
        <w:t>أ)</w:t>
      </w:r>
      <w:r>
        <w:rPr>
          <w:rFonts w:eastAsiaTheme="minorHAnsi" w:hint="cs"/>
          <w:rtl/>
          <w:lang w:val="fr-FR" w:bidi="ar-TN"/>
        </w:rPr>
        <w:tab/>
      </w:r>
      <w:r w:rsidRPr="00970B9E">
        <w:rPr>
          <w:rFonts w:eastAsiaTheme="minorHAnsi"/>
          <w:rtl/>
          <w:lang w:val="fr-FR" w:bidi="ar-TN"/>
        </w:rPr>
        <w:t>تقليص الاكتظاظ في السجون بالعقوبات البديلة أو التدابير البديلة عن الاحتجاز الاحتياطي:</w:t>
      </w:r>
    </w:p>
    <w:p w:rsidR="006068EE" w:rsidRPr="003D2F7B" w:rsidRDefault="006068EE" w:rsidP="006068EE">
      <w:pPr>
        <w:pStyle w:val="SingleTxtGA"/>
        <w:ind w:left="1926"/>
        <w:rPr>
          <w:rFonts w:eastAsiaTheme="minorHAnsi"/>
          <w:b/>
          <w:bCs/>
          <w:u w:val="single"/>
          <w:lang w:val="fr-FR" w:bidi="ar-TN"/>
        </w:rPr>
      </w:pPr>
      <w:r w:rsidRPr="003D2F7B">
        <w:rPr>
          <w:rFonts w:eastAsiaTheme="minorHAnsi"/>
          <w:b/>
          <w:bCs/>
          <w:u w:val="single"/>
          <w:rtl/>
          <w:lang w:val="fr-FR" w:bidi="ar-TN"/>
        </w:rPr>
        <w:t>بالنسبة للعقوبات البديلة</w:t>
      </w:r>
    </w:p>
    <w:p w:rsidR="006068EE" w:rsidRPr="00970B9E" w:rsidRDefault="006068EE" w:rsidP="006068EE">
      <w:pPr>
        <w:pStyle w:val="SingleTxtGA"/>
        <w:rPr>
          <w:rFonts w:eastAsiaTheme="minorHAnsi"/>
          <w:rtl/>
          <w:lang w:val="fr-FR" w:bidi="ar-TN"/>
        </w:rPr>
      </w:pPr>
      <w:r>
        <w:rPr>
          <w:rFonts w:eastAsiaTheme="minorHAnsi" w:hint="cs"/>
          <w:rtl/>
          <w:lang w:val="fr-FR" w:bidi="ar-TN"/>
        </w:rPr>
        <w:t>16-</w:t>
      </w:r>
      <w:r>
        <w:rPr>
          <w:rFonts w:eastAsiaTheme="minorHAnsi" w:hint="cs"/>
          <w:rtl/>
          <w:lang w:val="fr-FR" w:bidi="ar-TN"/>
        </w:rPr>
        <w:tab/>
      </w:r>
      <w:r w:rsidRPr="00970B9E">
        <w:rPr>
          <w:rFonts w:eastAsiaTheme="minorHAnsi"/>
          <w:rtl/>
          <w:lang w:val="fr-FR" w:bidi="ar-TN"/>
        </w:rPr>
        <w:t>لئن نصت المجلة الجزائية على العمل من أجل المصلحة العامة بدون مقابل والصلح الجزائي في العقوبات الأصلية وتم تنظيمهما منذ سنة 2009 فالعقوبة الأولى في تنقيح الفصل</w:t>
      </w:r>
      <w:r>
        <w:rPr>
          <w:rFonts w:eastAsiaTheme="minorHAnsi" w:hint="cs"/>
          <w:rtl/>
          <w:lang w:val="fr-FR" w:bidi="ar-TN"/>
        </w:rPr>
        <w:t> </w:t>
      </w:r>
      <w:r w:rsidRPr="00970B9E">
        <w:rPr>
          <w:rFonts w:eastAsiaTheme="minorHAnsi"/>
          <w:rtl/>
          <w:lang w:val="fr-FR" w:bidi="ar-TN"/>
        </w:rPr>
        <w:t xml:space="preserve">15 مكرر والعقوبة الثانية في الفصل 15 </w:t>
      </w:r>
      <w:r w:rsidRPr="00970B9E">
        <w:rPr>
          <w:rFonts w:eastAsiaTheme="minorHAnsi" w:hint="cs"/>
          <w:rtl/>
          <w:lang w:val="fr-FR" w:bidi="ar-TN"/>
        </w:rPr>
        <w:t>رابعا</w:t>
      </w:r>
      <w:r w:rsidRPr="00970B9E">
        <w:rPr>
          <w:rFonts w:eastAsiaTheme="minorHAnsi"/>
          <w:rtl/>
          <w:lang w:val="fr-FR" w:bidi="ar-TN"/>
        </w:rPr>
        <w:t>، فإن تلك العقوبتين المذكورتين لم تعرفا رواجا كبيرا في الأحكام الجزائية.</w:t>
      </w:r>
    </w:p>
    <w:p w:rsidR="006068EE" w:rsidRPr="00970B9E" w:rsidRDefault="006068EE" w:rsidP="006068EE">
      <w:pPr>
        <w:pStyle w:val="SingleTxtGA"/>
        <w:rPr>
          <w:rFonts w:eastAsiaTheme="minorHAnsi"/>
          <w:rtl/>
          <w:lang w:val="fr-FR" w:bidi="ar-TN"/>
        </w:rPr>
      </w:pPr>
      <w:r>
        <w:rPr>
          <w:rFonts w:eastAsiaTheme="minorHAnsi" w:hint="cs"/>
          <w:rtl/>
          <w:lang w:val="fr-FR" w:bidi="ar-TN"/>
        </w:rPr>
        <w:t>17-</w:t>
      </w:r>
      <w:r>
        <w:rPr>
          <w:rFonts w:eastAsiaTheme="minorHAnsi" w:hint="cs"/>
          <w:rtl/>
          <w:lang w:val="fr-FR" w:bidi="ar-TN"/>
        </w:rPr>
        <w:tab/>
      </w:r>
      <w:r w:rsidRPr="00970B9E">
        <w:rPr>
          <w:rFonts w:eastAsiaTheme="minorHAnsi"/>
          <w:rtl/>
          <w:lang w:val="fr-FR" w:bidi="ar-TN"/>
        </w:rPr>
        <w:t>ولذلك عملت وزارة العدل على تفعيل تلك العقوبات النافذة من خلال مزيد تحسيس القضاة بضرورة إعمال تلك العقوبات وخصوصا من خلال التكوين المستمر إذ تم في مارس</w:t>
      </w:r>
      <w:r>
        <w:rPr>
          <w:rFonts w:eastAsiaTheme="minorHAnsi" w:hint="cs"/>
          <w:rtl/>
          <w:lang w:val="fr-FR" w:bidi="ar-TN"/>
        </w:rPr>
        <w:t> </w:t>
      </w:r>
      <w:r w:rsidRPr="00970B9E">
        <w:rPr>
          <w:rFonts w:eastAsiaTheme="minorHAnsi"/>
          <w:rtl/>
          <w:lang w:val="fr-FR" w:bidi="ar-TN"/>
        </w:rPr>
        <w:t xml:space="preserve">2016 تنظيم دورة تكوينية حول "البدائل في المادة الجزائية بين الموجود والمنشود". </w:t>
      </w:r>
    </w:p>
    <w:p w:rsidR="006068EE" w:rsidRPr="00970B9E" w:rsidRDefault="006068EE" w:rsidP="006068EE">
      <w:pPr>
        <w:pStyle w:val="SingleTxtGA"/>
        <w:rPr>
          <w:rFonts w:eastAsiaTheme="minorHAnsi"/>
          <w:rtl/>
          <w:lang w:val="fr-FR" w:bidi="ar-TN"/>
        </w:rPr>
      </w:pPr>
      <w:r>
        <w:rPr>
          <w:rFonts w:eastAsiaTheme="minorHAnsi" w:hint="cs"/>
          <w:rtl/>
          <w:lang w:val="fr-FR" w:bidi="ar-TN"/>
        </w:rPr>
        <w:t>18-</w:t>
      </w:r>
      <w:r>
        <w:rPr>
          <w:rFonts w:eastAsiaTheme="minorHAnsi" w:hint="cs"/>
          <w:rtl/>
          <w:lang w:val="fr-FR" w:bidi="ar-TN"/>
        </w:rPr>
        <w:tab/>
      </w:r>
      <w:r w:rsidRPr="00970B9E">
        <w:rPr>
          <w:rFonts w:eastAsiaTheme="minorHAnsi"/>
          <w:rtl/>
          <w:lang w:val="fr-FR" w:bidi="ar-TN"/>
        </w:rPr>
        <w:t xml:space="preserve">كما تم بمبادرة مشتركة بين وزارة العدل واللجنة الدولية للصليب الأحمر إحداث مكتب مصاحبة نموذجي بالمحكمة </w:t>
      </w:r>
      <w:proofErr w:type="spellStart"/>
      <w:r w:rsidRPr="00970B9E">
        <w:rPr>
          <w:rFonts w:eastAsiaTheme="minorHAnsi"/>
          <w:rtl/>
          <w:lang w:val="fr-FR" w:bidi="ar-TN"/>
        </w:rPr>
        <w:t>الإبتدائية</w:t>
      </w:r>
      <w:proofErr w:type="spellEnd"/>
      <w:r w:rsidRPr="00970B9E">
        <w:rPr>
          <w:rFonts w:eastAsiaTheme="minorHAnsi"/>
          <w:rtl/>
          <w:lang w:val="fr-FR" w:bidi="ar-TN"/>
        </w:rPr>
        <w:t xml:space="preserve"> بسوسة للعمل على تمكين القضاة من ملاءمة العقوبة مع طبيعة الجريمة المرتكبة وشخصية الجاني من جهة وتفعيل عقوبة العمل من أجل المصلحة العامة على أرض الواقع والحد من اكتظاظ السجون من جهة أخرى وقد انطلق ذلك المكتب فعليا </w:t>
      </w:r>
      <w:proofErr w:type="spellStart"/>
      <w:r w:rsidRPr="00970B9E">
        <w:rPr>
          <w:rFonts w:eastAsiaTheme="minorHAnsi"/>
          <w:rtl/>
          <w:lang w:val="fr-FR" w:bidi="ar-TN"/>
        </w:rPr>
        <w:t>فى</w:t>
      </w:r>
      <w:proofErr w:type="spellEnd"/>
      <w:r w:rsidRPr="00970B9E">
        <w:rPr>
          <w:rFonts w:eastAsiaTheme="minorHAnsi"/>
          <w:rtl/>
          <w:lang w:val="fr-FR" w:bidi="ar-TN"/>
        </w:rPr>
        <w:t xml:space="preserve"> عمله منذ 2013 وساهم في تقليص نسبة الضغط بقرابة نسبة 25% بالنسبة لسجن المسعدين وفي الحط من نسبة العود بالنسبة للمحكومين بالعمل من أجل المصلحة العامة. </w:t>
      </w:r>
    </w:p>
    <w:p w:rsidR="006068EE" w:rsidRPr="00970B9E" w:rsidRDefault="006068EE" w:rsidP="006068EE">
      <w:pPr>
        <w:pStyle w:val="SingleTxtGA"/>
        <w:rPr>
          <w:rFonts w:eastAsiaTheme="minorHAnsi"/>
          <w:lang w:val="fr-FR" w:bidi="ar-TN"/>
        </w:rPr>
      </w:pPr>
      <w:r>
        <w:rPr>
          <w:rFonts w:eastAsiaTheme="minorHAnsi" w:hint="cs"/>
          <w:rtl/>
          <w:lang w:val="fr-FR" w:bidi="ar-TN"/>
        </w:rPr>
        <w:t>19-</w:t>
      </w:r>
      <w:r>
        <w:rPr>
          <w:rFonts w:eastAsiaTheme="minorHAnsi" w:hint="cs"/>
          <w:rtl/>
          <w:lang w:val="fr-FR" w:bidi="ar-TN"/>
        </w:rPr>
        <w:tab/>
      </w:r>
      <w:r w:rsidRPr="00970B9E">
        <w:rPr>
          <w:rFonts w:eastAsiaTheme="minorHAnsi"/>
          <w:rtl/>
          <w:lang w:val="fr-FR" w:bidi="ar-TN"/>
        </w:rPr>
        <w:t>كما اتفقت وزارة العدل بتاريخ 17 ماي 2016 على تنفيذ مشروع على مدى سنتين يتعلق بتفعيل العقوبات البديلة بسجن المسعدين.</w:t>
      </w:r>
    </w:p>
    <w:p w:rsidR="006068EE" w:rsidRPr="003D2F7B" w:rsidRDefault="006068EE" w:rsidP="006068EE">
      <w:pPr>
        <w:pStyle w:val="SingleTxtGA"/>
        <w:ind w:left="1928"/>
        <w:rPr>
          <w:rFonts w:eastAsiaTheme="minorHAnsi"/>
          <w:b/>
          <w:bCs/>
          <w:u w:val="single"/>
          <w:lang w:val="fr-FR" w:bidi="ar-TN"/>
        </w:rPr>
      </w:pPr>
      <w:r w:rsidRPr="003D2F7B">
        <w:rPr>
          <w:rFonts w:eastAsiaTheme="minorHAnsi"/>
          <w:b/>
          <w:bCs/>
          <w:u w:val="single"/>
          <w:rtl/>
          <w:lang w:val="fr-FR" w:bidi="ar-TN"/>
        </w:rPr>
        <w:t>بالنسبة للعفو والسراح الشرطي</w:t>
      </w:r>
    </w:p>
    <w:p w:rsidR="006068EE" w:rsidRPr="00970B9E" w:rsidRDefault="006068EE" w:rsidP="006068EE">
      <w:pPr>
        <w:pStyle w:val="SingleTxtGA"/>
        <w:rPr>
          <w:rFonts w:eastAsiaTheme="minorHAnsi"/>
          <w:rtl/>
          <w:lang w:val="fr-FR" w:bidi="ar-TN"/>
        </w:rPr>
      </w:pPr>
      <w:r>
        <w:rPr>
          <w:rFonts w:eastAsiaTheme="minorHAnsi" w:hint="cs"/>
          <w:rtl/>
          <w:lang w:val="fr-FR" w:bidi="ar-TN"/>
        </w:rPr>
        <w:t>20-</w:t>
      </w:r>
      <w:r>
        <w:rPr>
          <w:rFonts w:eastAsiaTheme="minorHAnsi" w:hint="cs"/>
          <w:rtl/>
          <w:lang w:val="fr-FR" w:bidi="ar-TN"/>
        </w:rPr>
        <w:tab/>
      </w:r>
      <w:r w:rsidRPr="00970B9E">
        <w:rPr>
          <w:rFonts w:eastAsiaTheme="minorHAnsi"/>
          <w:rtl/>
          <w:lang w:val="fr-FR" w:bidi="ar-TN"/>
        </w:rPr>
        <w:t xml:space="preserve">يسمح العفو الخاص الممارس من قبل رئيس الجمهورية ووفقا لمقتضيات الفصل 371 من مجلة الإجراءات الجزائية بإسقاط العقاب المحكوم به أو الحطّ من مدته أو إبداله بعقاب آخر أخفّ منه نص عليه القانون وهو يمارس على المحكوم عليهم بصورة باتة والذين يعرفون عادة بحسن السيرة والسلوك ولم </w:t>
      </w:r>
      <w:proofErr w:type="spellStart"/>
      <w:r w:rsidRPr="00970B9E">
        <w:rPr>
          <w:rFonts w:eastAsiaTheme="minorHAnsi"/>
          <w:rtl/>
          <w:lang w:val="fr-FR" w:bidi="ar-TN"/>
        </w:rPr>
        <w:t>يرتكبوا</w:t>
      </w:r>
      <w:proofErr w:type="spellEnd"/>
      <w:r w:rsidRPr="00970B9E">
        <w:rPr>
          <w:rFonts w:eastAsiaTheme="minorHAnsi"/>
          <w:rtl/>
          <w:lang w:val="fr-FR" w:bidi="ar-TN"/>
        </w:rPr>
        <w:t xml:space="preserve"> جرائم خطيرة. </w:t>
      </w:r>
    </w:p>
    <w:p w:rsidR="006068EE" w:rsidRPr="00970B9E" w:rsidRDefault="006068EE" w:rsidP="006068EE">
      <w:pPr>
        <w:pStyle w:val="SingleTxtGA"/>
        <w:rPr>
          <w:rFonts w:eastAsiaTheme="minorHAnsi"/>
          <w:rtl/>
          <w:lang w:val="fr-FR" w:bidi="ar-TN"/>
        </w:rPr>
      </w:pPr>
      <w:r>
        <w:rPr>
          <w:rFonts w:eastAsiaTheme="minorHAnsi" w:hint="cs"/>
          <w:rtl/>
          <w:lang w:val="fr-FR" w:bidi="ar-TN"/>
        </w:rPr>
        <w:t>21-</w:t>
      </w:r>
      <w:r>
        <w:rPr>
          <w:rFonts w:eastAsiaTheme="minorHAnsi" w:hint="cs"/>
          <w:rtl/>
          <w:lang w:val="fr-FR" w:bidi="ar-TN"/>
        </w:rPr>
        <w:tab/>
      </w:r>
      <w:r w:rsidRPr="00970B9E">
        <w:rPr>
          <w:rFonts w:eastAsiaTheme="minorHAnsi"/>
          <w:rtl/>
          <w:lang w:val="fr-FR" w:bidi="ar-TN"/>
        </w:rPr>
        <w:t xml:space="preserve">أما السراح الشرطي فيمنح للمحكوم عليه الذي قضى جزء من العقوبة ويكون برهن بسيرته داخل السجن عن </w:t>
      </w:r>
      <w:proofErr w:type="spellStart"/>
      <w:r w:rsidRPr="00970B9E">
        <w:rPr>
          <w:rFonts w:eastAsiaTheme="minorHAnsi"/>
          <w:rtl/>
          <w:lang w:val="fr-FR" w:bidi="ar-TN"/>
        </w:rPr>
        <w:t>ارتداعه</w:t>
      </w:r>
      <w:proofErr w:type="spellEnd"/>
      <w:r w:rsidRPr="00970B9E">
        <w:rPr>
          <w:rFonts w:eastAsiaTheme="minorHAnsi"/>
          <w:rtl/>
          <w:lang w:val="fr-FR" w:bidi="ar-TN"/>
        </w:rPr>
        <w:t xml:space="preserve"> أو إذا ما ظهر سراحه مفيدا لصالح المجتمع وفقا لأحكام الفصلين</w:t>
      </w:r>
      <w:r>
        <w:rPr>
          <w:rFonts w:eastAsiaTheme="minorHAnsi" w:hint="cs"/>
          <w:rtl/>
          <w:lang w:val="fr-FR" w:bidi="ar-TN"/>
        </w:rPr>
        <w:t> </w:t>
      </w:r>
      <w:r w:rsidRPr="00970B9E">
        <w:rPr>
          <w:rFonts w:eastAsiaTheme="minorHAnsi"/>
          <w:rtl/>
          <w:lang w:val="fr-FR" w:bidi="ar-TN"/>
        </w:rPr>
        <w:t>353 و354 من مجلة الإجراءات الجزائية ويمنح وزير العدل أو قاضي تنفيذ العقوبات حسب الحالات.</w:t>
      </w:r>
    </w:p>
    <w:p w:rsidR="006068EE" w:rsidRPr="00970B9E" w:rsidRDefault="006068EE" w:rsidP="006068EE">
      <w:pPr>
        <w:pStyle w:val="SingleTxtGA"/>
        <w:rPr>
          <w:rFonts w:eastAsiaTheme="minorHAnsi"/>
          <w:rtl/>
          <w:lang w:val="fr-FR" w:bidi="ar-TN"/>
        </w:rPr>
      </w:pPr>
      <w:r>
        <w:rPr>
          <w:rFonts w:eastAsiaTheme="minorHAnsi" w:hint="cs"/>
          <w:rtl/>
          <w:lang w:val="fr-FR" w:bidi="ar-TN"/>
        </w:rPr>
        <w:t>22-</w:t>
      </w:r>
      <w:r>
        <w:rPr>
          <w:rFonts w:eastAsiaTheme="minorHAnsi" w:hint="cs"/>
          <w:rtl/>
          <w:lang w:val="fr-FR" w:bidi="ar-TN"/>
        </w:rPr>
        <w:tab/>
      </w:r>
      <w:r w:rsidRPr="00970B9E">
        <w:rPr>
          <w:rFonts w:eastAsiaTheme="minorHAnsi"/>
          <w:rtl/>
          <w:lang w:val="fr-FR" w:bidi="ar-TN"/>
        </w:rPr>
        <w:t>ومن العفو الخاص والسراح الشرطي حلا مبدئيا وأوليا للحد من اكتظاظ السجون إذ يسمح بتقليص عدد المحكوم عليهم بصوة باتة والمودعين بالسجون حسبما يثبته الجدول التالي:</w:t>
      </w:r>
    </w:p>
    <w:tbl>
      <w:tblPr>
        <w:tblW w:w="7265" w:type="dxa"/>
        <w:tblInd w:w="1200" w:type="dxa"/>
        <w:tblCellMar>
          <w:left w:w="0" w:type="dxa"/>
          <w:right w:w="0" w:type="dxa"/>
        </w:tblCellMar>
        <w:tblLook w:val="04A0" w:firstRow="1" w:lastRow="0" w:firstColumn="1" w:lastColumn="0" w:noHBand="0" w:noVBand="1"/>
      </w:tblPr>
      <w:tblGrid>
        <w:gridCol w:w="966"/>
        <w:gridCol w:w="1388"/>
        <w:gridCol w:w="1418"/>
        <w:gridCol w:w="1911"/>
        <w:gridCol w:w="1582"/>
      </w:tblGrid>
      <w:tr w:rsidR="006068EE" w:rsidRPr="007053E7" w:rsidTr="00D810C1">
        <w:tc>
          <w:tcPr>
            <w:tcW w:w="966" w:type="dxa"/>
            <w:tcBorders>
              <w:top w:val="single" w:sz="4" w:space="0" w:color="auto"/>
              <w:bottom w:val="single" w:sz="12" w:space="0" w:color="auto"/>
            </w:tcBorders>
            <w:shd w:val="clear" w:color="auto" w:fill="auto"/>
            <w:hideMark/>
          </w:tcPr>
          <w:p w:rsidR="006068EE" w:rsidRPr="003D2F7B" w:rsidRDefault="006068EE" w:rsidP="00D810C1">
            <w:pPr>
              <w:keepNext/>
              <w:keepLines/>
              <w:pageBreakBefore/>
              <w:spacing w:before="40" w:after="40" w:line="300" w:lineRule="exact"/>
              <w:ind w:left="57" w:right="57"/>
              <w:rPr>
                <w:b/>
                <w:bCs/>
                <w:i/>
                <w:iCs/>
                <w:color w:val="000000"/>
                <w:sz w:val="18"/>
                <w:szCs w:val="28"/>
                <w:lang w:val="fr-FR" w:eastAsia="fr-FR"/>
              </w:rPr>
            </w:pPr>
            <w:r w:rsidRPr="003D2F7B">
              <w:rPr>
                <w:b/>
                <w:bCs/>
                <w:i/>
                <w:iCs/>
                <w:color w:val="000000"/>
                <w:sz w:val="18"/>
                <w:szCs w:val="28"/>
                <w:rtl/>
                <w:lang w:val="fr-FR" w:eastAsia="fr-FR"/>
              </w:rPr>
              <w:lastRenderedPageBreak/>
              <w:t xml:space="preserve">المجموع </w:t>
            </w:r>
          </w:p>
        </w:tc>
        <w:tc>
          <w:tcPr>
            <w:tcW w:w="1388" w:type="dxa"/>
            <w:tcBorders>
              <w:top w:val="single" w:sz="4" w:space="0" w:color="auto"/>
              <w:bottom w:val="single" w:sz="12" w:space="0" w:color="auto"/>
            </w:tcBorders>
            <w:shd w:val="clear" w:color="auto" w:fill="auto"/>
            <w:hideMark/>
          </w:tcPr>
          <w:p w:rsidR="006068EE" w:rsidRPr="003D2F7B" w:rsidRDefault="006068EE" w:rsidP="00D810C1">
            <w:pPr>
              <w:keepNext/>
              <w:keepLines/>
              <w:pageBreakBefore/>
              <w:spacing w:before="40" w:after="40" w:line="300" w:lineRule="exact"/>
              <w:ind w:left="57" w:right="57"/>
              <w:rPr>
                <w:i/>
                <w:iCs/>
                <w:color w:val="000000"/>
                <w:sz w:val="18"/>
                <w:szCs w:val="28"/>
                <w:rtl/>
                <w:lang w:val="fr-FR" w:eastAsia="fr-FR"/>
              </w:rPr>
            </w:pPr>
            <w:r w:rsidRPr="003D2F7B">
              <w:rPr>
                <w:i/>
                <w:iCs/>
                <w:color w:val="000000"/>
                <w:sz w:val="18"/>
                <w:szCs w:val="28"/>
                <w:rtl/>
                <w:lang w:val="fr-FR" w:eastAsia="fr-FR" w:bidi="ar-TN"/>
              </w:rPr>
              <w:t>عفو رئاسي</w:t>
            </w:r>
          </w:p>
        </w:tc>
        <w:tc>
          <w:tcPr>
            <w:tcW w:w="1418" w:type="dxa"/>
            <w:tcBorders>
              <w:top w:val="single" w:sz="4" w:space="0" w:color="auto"/>
              <w:bottom w:val="single" w:sz="12" w:space="0" w:color="auto"/>
            </w:tcBorders>
            <w:shd w:val="clear" w:color="auto" w:fill="auto"/>
            <w:hideMark/>
          </w:tcPr>
          <w:p w:rsidR="006068EE" w:rsidRPr="003D2F7B" w:rsidRDefault="006068EE" w:rsidP="00D810C1">
            <w:pPr>
              <w:keepNext/>
              <w:keepLines/>
              <w:pageBreakBefore/>
              <w:spacing w:before="40" w:after="40" w:line="300" w:lineRule="exact"/>
              <w:ind w:left="57" w:right="57"/>
              <w:rPr>
                <w:i/>
                <w:iCs/>
                <w:color w:val="000000"/>
                <w:sz w:val="18"/>
                <w:szCs w:val="28"/>
                <w:rtl/>
                <w:lang w:val="fr-FR" w:eastAsia="fr-FR"/>
              </w:rPr>
            </w:pPr>
            <w:r w:rsidRPr="003D2F7B">
              <w:rPr>
                <w:i/>
                <w:iCs/>
                <w:color w:val="000000"/>
                <w:sz w:val="18"/>
                <w:szCs w:val="28"/>
                <w:rtl/>
                <w:lang w:val="fr-FR" w:eastAsia="fr-FR" w:bidi="ar-TN"/>
              </w:rPr>
              <w:t>سراح شرطي</w:t>
            </w:r>
          </w:p>
        </w:tc>
        <w:tc>
          <w:tcPr>
            <w:tcW w:w="1911" w:type="dxa"/>
            <w:tcBorders>
              <w:top w:val="single" w:sz="4" w:space="0" w:color="auto"/>
              <w:bottom w:val="single" w:sz="12" w:space="0" w:color="auto"/>
            </w:tcBorders>
            <w:shd w:val="clear" w:color="auto" w:fill="auto"/>
            <w:hideMark/>
          </w:tcPr>
          <w:p w:rsidR="006068EE" w:rsidRPr="003D2F7B" w:rsidRDefault="006068EE" w:rsidP="00D810C1">
            <w:pPr>
              <w:keepNext/>
              <w:keepLines/>
              <w:pageBreakBefore/>
              <w:spacing w:before="40" w:after="40" w:line="300" w:lineRule="exact"/>
              <w:ind w:left="57" w:right="57"/>
              <w:rPr>
                <w:i/>
                <w:iCs/>
                <w:color w:val="000000"/>
                <w:sz w:val="18"/>
                <w:szCs w:val="28"/>
                <w:rtl/>
                <w:lang w:val="fr-FR" w:eastAsia="fr-FR"/>
              </w:rPr>
            </w:pPr>
            <w:r w:rsidRPr="003D2F7B">
              <w:rPr>
                <w:i/>
                <w:iCs/>
                <w:color w:val="000000"/>
                <w:sz w:val="18"/>
                <w:szCs w:val="28"/>
                <w:rtl/>
                <w:lang w:val="fr-FR" w:eastAsia="fr-FR" w:bidi="ar-TN"/>
              </w:rPr>
              <w:t xml:space="preserve">سراح شرطي قضائي </w:t>
            </w:r>
          </w:p>
        </w:tc>
        <w:tc>
          <w:tcPr>
            <w:tcW w:w="1582" w:type="dxa"/>
            <w:tcBorders>
              <w:top w:val="single" w:sz="4" w:space="0" w:color="auto"/>
              <w:bottom w:val="single" w:sz="12" w:space="0" w:color="auto"/>
            </w:tcBorders>
            <w:shd w:val="clear" w:color="auto" w:fill="auto"/>
            <w:hideMark/>
          </w:tcPr>
          <w:p w:rsidR="006068EE" w:rsidRPr="003D2F7B" w:rsidRDefault="006068EE" w:rsidP="00D810C1">
            <w:pPr>
              <w:keepNext/>
              <w:keepLines/>
              <w:pageBreakBefore/>
              <w:spacing w:before="40" w:after="40" w:line="300" w:lineRule="exact"/>
              <w:ind w:left="57" w:right="57"/>
              <w:rPr>
                <w:i/>
                <w:iCs/>
                <w:color w:val="000000"/>
                <w:sz w:val="18"/>
                <w:szCs w:val="28"/>
                <w:rtl/>
                <w:lang w:val="fr-FR" w:eastAsia="fr-FR"/>
              </w:rPr>
            </w:pPr>
            <w:r w:rsidRPr="003D2F7B">
              <w:rPr>
                <w:i/>
                <w:iCs/>
                <w:color w:val="000000"/>
                <w:sz w:val="18"/>
                <w:szCs w:val="28"/>
                <w:rtl/>
                <w:lang w:val="fr-FR" w:eastAsia="fr-FR"/>
              </w:rPr>
              <w:t>السنة</w:t>
            </w:r>
          </w:p>
        </w:tc>
      </w:tr>
      <w:tr w:rsidR="006068EE" w:rsidRPr="007053E7" w:rsidTr="00D810C1">
        <w:tc>
          <w:tcPr>
            <w:tcW w:w="966" w:type="dxa"/>
            <w:tcBorders>
              <w:top w:val="single" w:sz="12" w:space="0" w:color="auto"/>
            </w:tcBorders>
            <w:shd w:val="clear" w:color="auto" w:fill="auto"/>
            <w:hideMark/>
          </w:tcPr>
          <w:p w:rsidR="006068EE" w:rsidRPr="003D2F7B" w:rsidRDefault="006068EE" w:rsidP="00D810C1">
            <w:pPr>
              <w:spacing w:before="40" w:after="40" w:line="300" w:lineRule="exact"/>
              <w:ind w:left="57" w:right="57"/>
              <w:rPr>
                <w:b/>
                <w:bCs/>
                <w:color w:val="000000"/>
                <w:sz w:val="18"/>
                <w:szCs w:val="28"/>
                <w:rtl/>
                <w:lang w:val="fr-FR" w:eastAsia="fr-FR"/>
              </w:rPr>
            </w:pPr>
            <w:r w:rsidRPr="003D2F7B">
              <w:rPr>
                <w:b/>
                <w:bCs/>
                <w:color w:val="000000"/>
                <w:sz w:val="18"/>
                <w:szCs w:val="28"/>
                <w:rtl/>
                <w:lang w:val="fr-FR" w:eastAsia="fr-FR"/>
              </w:rPr>
              <w:t>20547</w:t>
            </w:r>
          </w:p>
        </w:tc>
        <w:tc>
          <w:tcPr>
            <w:tcW w:w="1388" w:type="dxa"/>
            <w:tcBorders>
              <w:top w:val="single" w:sz="12" w:space="0" w:color="auto"/>
            </w:tcBorders>
            <w:shd w:val="clear" w:color="auto" w:fill="auto"/>
            <w:hideMark/>
          </w:tcPr>
          <w:p w:rsidR="006068EE" w:rsidRPr="003D2F7B" w:rsidRDefault="006068EE" w:rsidP="00D810C1">
            <w:pPr>
              <w:spacing w:before="40" w:after="40" w:line="300" w:lineRule="exact"/>
              <w:ind w:left="57" w:right="57"/>
              <w:rPr>
                <w:color w:val="000000"/>
                <w:sz w:val="18"/>
                <w:szCs w:val="28"/>
                <w:rtl/>
                <w:lang w:val="fr-FR" w:eastAsia="fr-FR"/>
              </w:rPr>
            </w:pPr>
            <w:r w:rsidRPr="003D2F7B">
              <w:rPr>
                <w:color w:val="000000"/>
                <w:sz w:val="18"/>
                <w:szCs w:val="28"/>
                <w:rtl/>
                <w:lang w:val="fr-FR" w:eastAsia="fr-FR" w:bidi="ar-TN"/>
              </w:rPr>
              <w:t>9619</w:t>
            </w:r>
          </w:p>
        </w:tc>
        <w:tc>
          <w:tcPr>
            <w:tcW w:w="1418" w:type="dxa"/>
            <w:tcBorders>
              <w:top w:val="single" w:sz="12" w:space="0" w:color="auto"/>
            </w:tcBorders>
            <w:shd w:val="clear" w:color="auto" w:fill="auto"/>
            <w:hideMark/>
          </w:tcPr>
          <w:p w:rsidR="006068EE" w:rsidRPr="003D2F7B" w:rsidRDefault="006068EE" w:rsidP="00D810C1">
            <w:pPr>
              <w:spacing w:before="40" w:after="40" w:line="300" w:lineRule="exact"/>
              <w:ind w:left="57" w:right="57"/>
              <w:rPr>
                <w:color w:val="000000"/>
                <w:sz w:val="18"/>
                <w:szCs w:val="28"/>
                <w:rtl/>
                <w:lang w:val="fr-FR" w:eastAsia="fr-FR"/>
              </w:rPr>
            </w:pPr>
            <w:r w:rsidRPr="003D2F7B">
              <w:rPr>
                <w:color w:val="000000"/>
                <w:sz w:val="18"/>
                <w:szCs w:val="28"/>
                <w:rtl/>
                <w:lang w:val="fr-FR" w:eastAsia="fr-FR" w:bidi="ar-TN"/>
              </w:rPr>
              <w:t>7636</w:t>
            </w:r>
          </w:p>
        </w:tc>
        <w:tc>
          <w:tcPr>
            <w:tcW w:w="1911" w:type="dxa"/>
            <w:tcBorders>
              <w:top w:val="single" w:sz="12" w:space="0" w:color="auto"/>
            </w:tcBorders>
            <w:shd w:val="clear" w:color="auto" w:fill="auto"/>
            <w:hideMark/>
          </w:tcPr>
          <w:p w:rsidR="006068EE" w:rsidRPr="003D2F7B" w:rsidRDefault="006068EE" w:rsidP="00D810C1">
            <w:pPr>
              <w:spacing w:before="40" w:after="40" w:line="300" w:lineRule="exact"/>
              <w:ind w:left="57" w:right="57"/>
              <w:rPr>
                <w:color w:val="000000"/>
                <w:sz w:val="18"/>
                <w:szCs w:val="28"/>
                <w:rtl/>
                <w:lang w:val="fr-FR" w:eastAsia="fr-FR"/>
              </w:rPr>
            </w:pPr>
            <w:r w:rsidRPr="003D2F7B">
              <w:rPr>
                <w:color w:val="000000"/>
                <w:sz w:val="18"/>
                <w:szCs w:val="28"/>
                <w:rtl/>
                <w:lang w:val="fr-FR" w:eastAsia="fr-FR" w:bidi="ar-TN"/>
              </w:rPr>
              <w:t>3292</w:t>
            </w:r>
          </w:p>
        </w:tc>
        <w:tc>
          <w:tcPr>
            <w:tcW w:w="1582" w:type="dxa"/>
            <w:tcBorders>
              <w:top w:val="single" w:sz="12" w:space="0" w:color="auto"/>
            </w:tcBorders>
            <w:shd w:val="clear" w:color="auto" w:fill="auto"/>
            <w:hideMark/>
          </w:tcPr>
          <w:p w:rsidR="006068EE" w:rsidRPr="003D2F7B" w:rsidRDefault="006068EE" w:rsidP="00D810C1">
            <w:pPr>
              <w:spacing w:before="40" w:after="40" w:line="300" w:lineRule="exact"/>
              <w:ind w:left="57" w:right="57"/>
              <w:rPr>
                <w:color w:val="000000"/>
                <w:sz w:val="18"/>
                <w:szCs w:val="28"/>
                <w:rtl/>
                <w:lang w:val="fr-FR" w:eastAsia="fr-FR"/>
              </w:rPr>
            </w:pPr>
            <w:r w:rsidRPr="003D2F7B">
              <w:rPr>
                <w:color w:val="000000"/>
                <w:sz w:val="18"/>
                <w:szCs w:val="28"/>
                <w:rtl/>
                <w:lang w:val="fr-FR" w:eastAsia="fr-FR" w:bidi="ar-TN"/>
              </w:rPr>
              <w:t>2012</w:t>
            </w:r>
          </w:p>
        </w:tc>
      </w:tr>
      <w:tr w:rsidR="006068EE" w:rsidRPr="007053E7" w:rsidTr="00D810C1">
        <w:tc>
          <w:tcPr>
            <w:tcW w:w="966" w:type="dxa"/>
            <w:shd w:val="clear" w:color="auto" w:fill="auto"/>
            <w:hideMark/>
          </w:tcPr>
          <w:p w:rsidR="006068EE" w:rsidRPr="003D2F7B" w:rsidRDefault="006068EE" w:rsidP="00D810C1">
            <w:pPr>
              <w:spacing w:before="40" w:after="40" w:line="300" w:lineRule="exact"/>
              <w:ind w:left="57" w:right="57"/>
              <w:rPr>
                <w:b/>
                <w:bCs/>
                <w:color w:val="000000"/>
                <w:sz w:val="18"/>
                <w:szCs w:val="28"/>
                <w:rtl/>
                <w:lang w:val="fr-FR" w:eastAsia="fr-FR"/>
              </w:rPr>
            </w:pPr>
            <w:r w:rsidRPr="003D2F7B">
              <w:rPr>
                <w:b/>
                <w:bCs/>
                <w:color w:val="000000"/>
                <w:sz w:val="18"/>
                <w:szCs w:val="28"/>
                <w:rtl/>
                <w:lang w:val="fr-FR" w:eastAsia="fr-FR"/>
              </w:rPr>
              <w:t>15924</w:t>
            </w:r>
          </w:p>
        </w:tc>
        <w:tc>
          <w:tcPr>
            <w:tcW w:w="1388" w:type="dxa"/>
            <w:shd w:val="clear" w:color="auto" w:fill="auto"/>
            <w:hideMark/>
          </w:tcPr>
          <w:p w:rsidR="006068EE" w:rsidRPr="003D2F7B" w:rsidRDefault="006068EE" w:rsidP="00D810C1">
            <w:pPr>
              <w:spacing w:before="40" w:after="40" w:line="300" w:lineRule="exact"/>
              <w:ind w:left="57" w:right="57"/>
              <w:rPr>
                <w:color w:val="000000"/>
                <w:sz w:val="18"/>
                <w:szCs w:val="28"/>
                <w:rtl/>
                <w:lang w:val="fr-FR" w:eastAsia="fr-FR"/>
              </w:rPr>
            </w:pPr>
            <w:r w:rsidRPr="003D2F7B">
              <w:rPr>
                <w:color w:val="000000"/>
                <w:sz w:val="18"/>
                <w:szCs w:val="28"/>
                <w:rtl/>
                <w:lang w:val="fr-FR" w:eastAsia="fr-FR" w:bidi="ar-TN"/>
              </w:rPr>
              <w:t>4764</w:t>
            </w:r>
          </w:p>
        </w:tc>
        <w:tc>
          <w:tcPr>
            <w:tcW w:w="1418" w:type="dxa"/>
            <w:shd w:val="clear" w:color="auto" w:fill="auto"/>
            <w:hideMark/>
          </w:tcPr>
          <w:p w:rsidR="006068EE" w:rsidRPr="003D2F7B" w:rsidRDefault="006068EE" w:rsidP="00D810C1">
            <w:pPr>
              <w:spacing w:before="40" w:after="40" w:line="300" w:lineRule="exact"/>
              <w:ind w:left="57" w:right="57"/>
              <w:rPr>
                <w:color w:val="000000"/>
                <w:sz w:val="18"/>
                <w:szCs w:val="28"/>
                <w:rtl/>
                <w:lang w:val="fr-FR" w:eastAsia="fr-FR"/>
              </w:rPr>
            </w:pPr>
            <w:r w:rsidRPr="003D2F7B">
              <w:rPr>
                <w:color w:val="000000"/>
                <w:sz w:val="18"/>
                <w:szCs w:val="28"/>
                <w:rtl/>
                <w:lang w:val="fr-FR" w:eastAsia="fr-FR" w:bidi="ar-TN"/>
              </w:rPr>
              <w:t>6720</w:t>
            </w:r>
          </w:p>
        </w:tc>
        <w:tc>
          <w:tcPr>
            <w:tcW w:w="1911" w:type="dxa"/>
            <w:shd w:val="clear" w:color="auto" w:fill="auto"/>
            <w:hideMark/>
          </w:tcPr>
          <w:p w:rsidR="006068EE" w:rsidRPr="003D2F7B" w:rsidRDefault="006068EE" w:rsidP="00D810C1">
            <w:pPr>
              <w:spacing w:before="40" w:after="40" w:line="300" w:lineRule="exact"/>
              <w:ind w:left="57" w:right="57"/>
              <w:rPr>
                <w:color w:val="000000"/>
                <w:sz w:val="18"/>
                <w:szCs w:val="28"/>
                <w:rtl/>
                <w:lang w:val="fr-FR" w:eastAsia="fr-FR"/>
              </w:rPr>
            </w:pPr>
            <w:r w:rsidRPr="003D2F7B">
              <w:rPr>
                <w:color w:val="000000"/>
                <w:sz w:val="18"/>
                <w:szCs w:val="28"/>
                <w:rtl/>
                <w:lang w:val="fr-FR" w:eastAsia="fr-FR" w:bidi="ar-TN"/>
              </w:rPr>
              <w:t>4440</w:t>
            </w:r>
          </w:p>
        </w:tc>
        <w:tc>
          <w:tcPr>
            <w:tcW w:w="1582" w:type="dxa"/>
            <w:shd w:val="clear" w:color="auto" w:fill="auto"/>
            <w:hideMark/>
          </w:tcPr>
          <w:p w:rsidR="006068EE" w:rsidRPr="003D2F7B" w:rsidRDefault="006068EE" w:rsidP="00D810C1">
            <w:pPr>
              <w:spacing w:before="40" w:after="40" w:line="300" w:lineRule="exact"/>
              <w:ind w:left="57" w:right="57"/>
              <w:rPr>
                <w:color w:val="000000"/>
                <w:sz w:val="18"/>
                <w:szCs w:val="28"/>
                <w:rtl/>
                <w:lang w:val="fr-FR" w:eastAsia="fr-FR"/>
              </w:rPr>
            </w:pPr>
            <w:r w:rsidRPr="003D2F7B">
              <w:rPr>
                <w:color w:val="000000"/>
                <w:sz w:val="18"/>
                <w:szCs w:val="28"/>
                <w:rtl/>
                <w:lang w:val="fr-FR" w:eastAsia="fr-FR" w:bidi="ar-TN"/>
              </w:rPr>
              <w:t>2013</w:t>
            </w:r>
          </w:p>
        </w:tc>
      </w:tr>
      <w:tr w:rsidR="006068EE" w:rsidRPr="007053E7" w:rsidTr="00D810C1">
        <w:tc>
          <w:tcPr>
            <w:tcW w:w="966" w:type="dxa"/>
            <w:shd w:val="clear" w:color="auto" w:fill="auto"/>
            <w:hideMark/>
          </w:tcPr>
          <w:p w:rsidR="006068EE" w:rsidRPr="003D2F7B" w:rsidRDefault="006068EE" w:rsidP="00D810C1">
            <w:pPr>
              <w:spacing w:before="40" w:after="40" w:line="300" w:lineRule="exact"/>
              <w:ind w:left="57" w:right="57"/>
              <w:rPr>
                <w:b/>
                <w:bCs/>
                <w:color w:val="000000"/>
                <w:sz w:val="18"/>
                <w:szCs w:val="28"/>
                <w:rtl/>
                <w:lang w:val="fr-FR" w:eastAsia="fr-FR"/>
              </w:rPr>
            </w:pPr>
            <w:r w:rsidRPr="003D2F7B">
              <w:rPr>
                <w:b/>
                <w:bCs/>
                <w:color w:val="000000"/>
                <w:sz w:val="18"/>
                <w:szCs w:val="28"/>
                <w:rtl/>
                <w:lang w:val="fr-FR" w:eastAsia="fr-FR"/>
              </w:rPr>
              <w:t>13653</w:t>
            </w:r>
          </w:p>
        </w:tc>
        <w:tc>
          <w:tcPr>
            <w:tcW w:w="1388" w:type="dxa"/>
            <w:shd w:val="clear" w:color="auto" w:fill="auto"/>
            <w:hideMark/>
          </w:tcPr>
          <w:p w:rsidR="006068EE" w:rsidRPr="003D2F7B" w:rsidRDefault="006068EE" w:rsidP="00D810C1">
            <w:pPr>
              <w:spacing w:before="40" w:after="40" w:line="300" w:lineRule="exact"/>
              <w:ind w:left="57" w:right="57"/>
              <w:rPr>
                <w:color w:val="000000"/>
                <w:sz w:val="18"/>
                <w:szCs w:val="28"/>
                <w:rtl/>
                <w:lang w:val="fr-FR" w:eastAsia="fr-FR"/>
              </w:rPr>
            </w:pPr>
            <w:r w:rsidRPr="003D2F7B">
              <w:rPr>
                <w:color w:val="000000"/>
                <w:sz w:val="18"/>
                <w:szCs w:val="28"/>
                <w:rtl/>
                <w:lang w:val="fr-FR" w:eastAsia="fr-FR" w:bidi="ar-TN"/>
              </w:rPr>
              <w:t>4795</w:t>
            </w:r>
          </w:p>
        </w:tc>
        <w:tc>
          <w:tcPr>
            <w:tcW w:w="1418" w:type="dxa"/>
            <w:shd w:val="clear" w:color="auto" w:fill="auto"/>
            <w:hideMark/>
          </w:tcPr>
          <w:p w:rsidR="006068EE" w:rsidRPr="003D2F7B" w:rsidRDefault="006068EE" w:rsidP="00D810C1">
            <w:pPr>
              <w:spacing w:before="40" w:after="40" w:line="300" w:lineRule="exact"/>
              <w:ind w:left="57" w:right="57"/>
              <w:rPr>
                <w:color w:val="000000"/>
                <w:sz w:val="18"/>
                <w:szCs w:val="28"/>
                <w:rtl/>
                <w:lang w:val="fr-FR" w:eastAsia="fr-FR"/>
              </w:rPr>
            </w:pPr>
            <w:r w:rsidRPr="003D2F7B">
              <w:rPr>
                <w:color w:val="000000"/>
                <w:sz w:val="18"/>
                <w:szCs w:val="28"/>
                <w:rtl/>
                <w:lang w:val="fr-FR" w:eastAsia="fr-FR" w:bidi="ar-TN"/>
              </w:rPr>
              <w:t>4889</w:t>
            </w:r>
          </w:p>
        </w:tc>
        <w:tc>
          <w:tcPr>
            <w:tcW w:w="1911" w:type="dxa"/>
            <w:shd w:val="clear" w:color="auto" w:fill="auto"/>
            <w:hideMark/>
          </w:tcPr>
          <w:p w:rsidR="006068EE" w:rsidRPr="003D2F7B" w:rsidRDefault="006068EE" w:rsidP="00D810C1">
            <w:pPr>
              <w:spacing w:before="40" w:after="40" w:line="300" w:lineRule="exact"/>
              <w:ind w:left="57" w:right="57"/>
              <w:rPr>
                <w:color w:val="000000"/>
                <w:sz w:val="18"/>
                <w:szCs w:val="28"/>
                <w:rtl/>
                <w:lang w:val="fr-FR" w:eastAsia="fr-FR"/>
              </w:rPr>
            </w:pPr>
            <w:r w:rsidRPr="003D2F7B">
              <w:rPr>
                <w:color w:val="000000"/>
                <w:sz w:val="18"/>
                <w:szCs w:val="28"/>
                <w:rtl/>
                <w:lang w:val="fr-FR" w:eastAsia="fr-FR" w:bidi="ar-TN"/>
              </w:rPr>
              <w:t>3969</w:t>
            </w:r>
          </w:p>
        </w:tc>
        <w:tc>
          <w:tcPr>
            <w:tcW w:w="1582" w:type="dxa"/>
            <w:shd w:val="clear" w:color="auto" w:fill="auto"/>
            <w:hideMark/>
          </w:tcPr>
          <w:p w:rsidR="006068EE" w:rsidRPr="003D2F7B" w:rsidRDefault="006068EE" w:rsidP="00D810C1">
            <w:pPr>
              <w:spacing w:before="40" w:after="40" w:line="300" w:lineRule="exact"/>
              <w:ind w:left="57" w:right="57"/>
              <w:rPr>
                <w:color w:val="000000"/>
                <w:sz w:val="18"/>
                <w:szCs w:val="28"/>
                <w:rtl/>
                <w:lang w:val="fr-FR" w:eastAsia="fr-FR"/>
              </w:rPr>
            </w:pPr>
            <w:r w:rsidRPr="003D2F7B">
              <w:rPr>
                <w:color w:val="000000"/>
                <w:sz w:val="18"/>
                <w:szCs w:val="28"/>
                <w:rtl/>
                <w:lang w:val="fr-FR" w:eastAsia="fr-FR" w:bidi="ar-TN"/>
              </w:rPr>
              <w:t>2014</w:t>
            </w:r>
          </w:p>
        </w:tc>
      </w:tr>
      <w:tr w:rsidR="006068EE" w:rsidRPr="007053E7" w:rsidTr="00D810C1">
        <w:tc>
          <w:tcPr>
            <w:tcW w:w="966" w:type="dxa"/>
            <w:shd w:val="clear" w:color="auto" w:fill="auto"/>
            <w:hideMark/>
          </w:tcPr>
          <w:p w:rsidR="006068EE" w:rsidRPr="003D2F7B" w:rsidRDefault="006068EE" w:rsidP="00D810C1">
            <w:pPr>
              <w:spacing w:before="40" w:after="40" w:line="300" w:lineRule="exact"/>
              <w:ind w:left="57" w:right="57"/>
              <w:rPr>
                <w:b/>
                <w:bCs/>
                <w:color w:val="000000"/>
                <w:sz w:val="18"/>
                <w:szCs w:val="28"/>
                <w:rtl/>
                <w:lang w:val="fr-FR" w:eastAsia="fr-FR"/>
              </w:rPr>
            </w:pPr>
            <w:r w:rsidRPr="003D2F7B">
              <w:rPr>
                <w:b/>
                <w:bCs/>
                <w:color w:val="000000"/>
                <w:sz w:val="18"/>
                <w:szCs w:val="28"/>
                <w:rtl/>
                <w:lang w:val="fr-FR" w:eastAsia="fr-FR"/>
              </w:rPr>
              <w:t>14283</w:t>
            </w:r>
          </w:p>
        </w:tc>
        <w:tc>
          <w:tcPr>
            <w:tcW w:w="1388" w:type="dxa"/>
            <w:shd w:val="clear" w:color="auto" w:fill="auto"/>
            <w:hideMark/>
          </w:tcPr>
          <w:p w:rsidR="006068EE" w:rsidRPr="003D2F7B" w:rsidRDefault="006068EE" w:rsidP="00D810C1">
            <w:pPr>
              <w:spacing w:before="40" w:after="40" w:line="300" w:lineRule="exact"/>
              <w:ind w:left="57" w:right="57"/>
              <w:rPr>
                <w:color w:val="000000"/>
                <w:sz w:val="18"/>
                <w:szCs w:val="28"/>
                <w:rtl/>
                <w:lang w:val="fr-FR" w:eastAsia="fr-FR"/>
              </w:rPr>
            </w:pPr>
            <w:r w:rsidRPr="003D2F7B">
              <w:rPr>
                <w:color w:val="000000"/>
                <w:sz w:val="18"/>
                <w:szCs w:val="28"/>
                <w:rtl/>
                <w:lang w:val="fr-FR" w:eastAsia="fr-FR" w:bidi="ar-TN"/>
              </w:rPr>
              <w:t>6951</w:t>
            </w:r>
          </w:p>
        </w:tc>
        <w:tc>
          <w:tcPr>
            <w:tcW w:w="1418" w:type="dxa"/>
            <w:shd w:val="clear" w:color="auto" w:fill="auto"/>
            <w:hideMark/>
          </w:tcPr>
          <w:p w:rsidR="006068EE" w:rsidRPr="003D2F7B" w:rsidRDefault="006068EE" w:rsidP="00D810C1">
            <w:pPr>
              <w:spacing w:before="40" w:after="40" w:line="300" w:lineRule="exact"/>
              <w:ind w:left="57" w:right="57"/>
              <w:rPr>
                <w:color w:val="000000"/>
                <w:sz w:val="18"/>
                <w:szCs w:val="28"/>
                <w:rtl/>
                <w:lang w:val="fr-FR" w:eastAsia="fr-FR"/>
              </w:rPr>
            </w:pPr>
            <w:r w:rsidRPr="003D2F7B">
              <w:rPr>
                <w:color w:val="000000"/>
                <w:sz w:val="18"/>
                <w:szCs w:val="28"/>
                <w:rtl/>
                <w:lang w:val="fr-FR" w:eastAsia="fr-FR" w:bidi="ar-TN"/>
              </w:rPr>
              <w:t>2713</w:t>
            </w:r>
          </w:p>
        </w:tc>
        <w:tc>
          <w:tcPr>
            <w:tcW w:w="1911" w:type="dxa"/>
            <w:shd w:val="clear" w:color="auto" w:fill="auto"/>
            <w:hideMark/>
          </w:tcPr>
          <w:p w:rsidR="006068EE" w:rsidRPr="003D2F7B" w:rsidRDefault="006068EE" w:rsidP="00D810C1">
            <w:pPr>
              <w:spacing w:before="40" w:after="40" w:line="300" w:lineRule="exact"/>
              <w:ind w:left="57" w:right="57"/>
              <w:rPr>
                <w:color w:val="000000"/>
                <w:sz w:val="18"/>
                <w:szCs w:val="28"/>
                <w:rtl/>
                <w:lang w:val="fr-FR" w:eastAsia="fr-FR"/>
              </w:rPr>
            </w:pPr>
            <w:r w:rsidRPr="003D2F7B">
              <w:rPr>
                <w:color w:val="000000"/>
                <w:sz w:val="18"/>
                <w:szCs w:val="28"/>
                <w:rtl/>
                <w:lang w:val="fr-FR" w:eastAsia="fr-FR" w:bidi="ar-TN"/>
              </w:rPr>
              <w:t>4619</w:t>
            </w:r>
          </w:p>
        </w:tc>
        <w:tc>
          <w:tcPr>
            <w:tcW w:w="1582" w:type="dxa"/>
            <w:shd w:val="clear" w:color="auto" w:fill="auto"/>
            <w:hideMark/>
          </w:tcPr>
          <w:p w:rsidR="006068EE" w:rsidRPr="003D2F7B" w:rsidRDefault="006068EE" w:rsidP="00D810C1">
            <w:pPr>
              <w:spacing w:before="40" w:after="40" w:line="300" w:lineRule="exact"/>
              <w:ind w:left="57" w:right="57"/>
              <w:rPr>
                <w:color w:val="000000"/>
                <w:sz w:val="18"/>
                <w:szCs w:val="28"/>
                <w:rtl/>
                <w:lang w:val="fr-FR" w:eastAsia="fr-FR"/>
              </w:rPr>
            </w:pPr>
            <w:r w:rsidRPr="003D2F7B">
              <w:rPr>
                <w:color w:val="000000"/>
                <w:sz w:val="18"/>
                <w:szCs w:val="28"/>
                <w:rtl/>
                <w:lang w:val="fr-FR" w:eastAsia="fr-FR" w:bidi="ar-TN"/>
              </w:rPr>
              <w:t>2015</w:t>
            </w:r>
          </w:p>
        </w:tc>
      </w:tr>
      <w:tr w:rsidR="006068EE" w:rsidRPr="007053E7" w:rsidTr="00D810C1">
        <w:tc>
          <w:tcPr>
            <w:tcW w:w="966" w:type="dxa"/>
            <w:shd w:val="clear" w:color="auto" w:fill="auto"/>
            <w:hideMark/>
          </w:tcPr>
          <w:p w:rsidR="006068EE" w:rsidRPr="003D2F7B" w:rsidRDefault="006068EE" w:rsidP="00D810C1">
            <w:pPr>
              <w:spacing w:before="40" w:after="40" w:line="300" w:lineRule="exact"/>
              <w:ind w:left="57" w:right="57"/>
              <w:rPr>
                <w:b/>
                <w:bCs/>
                <w:color w:val="000000"/>
                <w:sz w:val="18"/>
                <w:szCs w:val="28"/>
                <w:rtl/>
                <w:lang w:val="fr-FR" w:eastAsia="fr-FR"/>
              </w:rPr>
            </w:pPr>
            <w:r w:rsidRPr="003D2F7B">
              <w:rPr>
                <w:b/>
                <w:bCs/>
                <w:color w:val="000000"/>
                <w:sz w:val="18"/>
                <w:szCs w:val="28"/>
                <w:rtl/>
                <w:lang w:val="fr-FR" w:eastAsia="fr-FR"/>
              </w:rPr>
              <w:t>14092</w:t>
            </w:r>
          </w:p>
        </w:tc>
        <w:tc>
          <w:tcPr>
            <w:tcW w:w="1388" w:type="dxa"/>
            <w:shd w:val="clear" w:color="auto" w:fill="auto"/>
            <w:hideMark/>
          </w:tcPr>
          <w:p w:rsidR="006068EE" w:rsidRPr="003D2F7B" w:rsidRDefault="006068EE" w:rsidP="00D810C1">
            <w:pPr>
              <w:spacing w:before="40" w:after="40" w:line="300" w:lineRule="exact"/>
              <w:ind w:left="57" w:right="57"/>
              <w:rPr>
                <w:color w:val="000000"/>
                <w:sz w:val="18"/>
                <w:szCs w:val="28"/>
                <w:rtl/>
                <w:lang w:val="fr-FR" w:eastAsia="fr-FR"/>
              </w:rPr>
            </w:pPr>
            <w:r w:rsidRPr="003D2F7B">
              <w:rPr>
                <w:color w:val="000000"/>
                <w:sz w:val="18"/>
                <w:szCs w:val="28"/>
                <w:rtl/>
                <w:lang w:val="fr-FR" w:eastAsia="fr-FR" w:bidi="ar-TN"/>
              </w:rPr>
              <w:t>5800</w:t>
            </w:r>
          </w:p>
        </w:tc>
        <w:tc>
          <w:tcPr>
            <w:tcW w:w="1418" w:type="dxa"/>
            <w:shd w:val="clear" w:color="auto" w:fill="auto"/>
            <w:hideMark/>
          </w:tcPr>
          <w:p w:rsidR="006068EE" w:rsidRPr="003D2F7B" w:rsidRDefault="006068EE" w:rsidP="00D810C1">
            <w:pPr>
              <w:spacing w:before="40" w:after="40" w:line="300" w:lineRule="exact"/>
              <w:ind w:left="57" w:right="57"/>
              <w:rPr>
                <w:color w:val="000000"/>
                <w:sz w:val="18"/>
                <w:szCs w:val="28"/>
                <w:rtl/>
                <w:lang w:val="fr-FR" w:eastAsia="fr-FR"/>
              </w:rPr>
            </w:pPr>
            <w:r w:rsidRPr="003D2F7B">
              <w:rPr>
                <w:color w:val="000000"/>
                <w:sz w:val="18"/>
                <w:szCs w:val="28"/>
                <w:rtl/>
                <w:lang w:val="fr-FR" w:eastAsia="fr-FR" w:bidi="ar-TN"/>
              </w:rPr>
              <w:t>4364</w:t>
            </w:r>
          </w:p>
        </w:tc>
        <w:tc>
          <w:tcPr>
            <w:tcW w:w="1911" w:type="dxa"/>
            <w:shd w:val="clear" w:color="auto" w:fill="auto"/>
            <w:hideMark/>
          </w:tcPr>
          <w:p w:rsidR="006068EE" w:rsidRPr="003D2F7B" w:rsidRDefault="006068EE" w:rsidP="00D810C1">
            <w:pPr>
              <w:spacing w:before="40" w:after="40" w:line="300" w:lineRule="exact"/>
              <w:ind w:left="57" w:right="57"/>
              <w:rPr>
                <w:color w:val="000000"/>
                <w:sz w:val="18"/>
                <w:szCs w:val="28"/>
                <w:rtl/>
                <w:lang w:val="fr-FR" w:eastAsia="fr-FR"/>
              </w:rPr>
            </w:pPr>
            <w:r w:rsidRPr="003D2F7B">
              <w:rPr>
                <w:color w:val="000000"/>
                <w:sz w:val="18"/>
                <w:szCs w:val="28"/>
                <w:rtl/>
                <w:lang w:val="fr-FR" w:eastAsia="fr-FR" w:bidi="ar-TN"/>
              </w:rPr>
              <w:t>3928</w:t>
            </w:r>
          </w:p>
        </w:tc>
        <w:tc>
          <w:tcPr>
            <w:tcW w:w="1582" w:type="dxa"/>
            <w:shd w:val="clear" w:color="auto" w:fill="auto"/>
            <w:hideMark/>
          </w:tcPr>
          <w:p w:rsidR="006068EE" w:rsidRPr="003D2F7B" w:rsidRDefault="006068EE" w:rsidP="00D810C1">
            <w:pPr>
              <w:spacing w:before="40" w:after="40" w:line="300" w:lineRule="exact"/>
              <w:ind w:left="57" w:right="57"/>
              <w:rPr>
                <w:color w:val="000000"/>
                <w:sz w:val="18"/>
                <w:szCs w:val="28"/>
                <w:rtl/>
                <w:lang w:val="fr-FR" w:eastAsia="fr-FR"/>
              </w:rPr>
            </w:pPr>
            <w:r w:rsidRPr="003D2F7B">
              <w:rPr>
                <w:color w:val="000000"/>
                <w:sz w:val="18"/>
                <w:szCs w:val="28"/>
                <w:rtl/>
                <w:lang w:val="fr-FR" w:eastAsia="fr-FR" w:bidi="ar-TN"/>
              </w:rPr>
              <w:t>2016</w:t>
            </w:r>
          </w:p>
        </w:tc>
      </w:tr>
      <w:tr w:rsidR="006068EE" w:rsidRPr="007053E7" w:rsidTr="00D810C1">
        <w:tc>
          <w:tcPr>
            <w:tcW w:w="966" w:type="dxa"/>
            <w:tcBorders>
              <w:bottom w:val="single" w:sz="12" w:space="0" w:color="auto"/>
            </w:tcBorders>
            <w:shd w:val="clear" w:color="auto" w:fill="auto"/>
            <w:hideMark/>
          </w:tcPr>
          <w:p w:rsidR="006068EE" w:rsidRPr="003D2F7B" w:rsidRDefault="006068EE" w:rsidP="00D810C1">
            <w:pPr>
              <w:spacing w:before="40" w:after="40" w:line="300" w:lineRule="exact"/>
              <w:ind w:left="57" w:right="57"/>
              <w:rPr>
                <w:b/>
                <w:bCs/>
                <w:color w:val="000000"/>
                <w:sz w:val="18"/>
                <w:szCs w:val="28"/>
                <w:rtl/>
                <w:lang w:val="fr-FR" w:eastAsia="fr-FR"/>
              </w:rPr>
            </w:pPr>
            <w:r w:rsidRPr="003D2F7B">
              <w:rPr>
                <w:b/>
                <w:bCs/>
                <w:color w:val="000000"/>
                <w:sz w:val="18"/>
                <w:szCs w:val="28"/>
                <w:rtl/>
                <w:lang w:val="fr-FR" w:eastAsia="fr-FR"/>
              </w:rPr>
              <w:t>6970</w:t>
            </w:r>
          </w:p>
        </w:tc>
        <w:tc>
          <w:tcPr>
            <w:tcW w:w="1388" w:type="dxa"/>
            <w:tcBorders>
              <w:bottom w:val="single" w:sz="12" w:space="0" w:color="auto"/>
            </w:tcBorders>
            <w:shd w:val="clear" w:color="auto" w:fill="auto"/>
            <w:hideMark/>
          </w:tcPr>
          <w:p w:rsidR="006068EE" w:rsidRPr="003D2F7B" w:rsidRDefault="006068EE" w:rsidP="00D810C1">
            <w:pPr>
              <w:spacing w:before="40" w:after="40" w:line="300" w:lineRule="exact"/>
              <w:ind w:left="57" w:right="57"/>
              <w:rPr>
                <w:color w:val="000000"/>
                <w:sz w:val="18"/>
                <w:szCs w:val="28"/>
                <w:rtl/>
                <w:lang w:val="fr-FR" w:eastAsia="fr-FR"/>
              </w:rPr>
            </w:pPr>
            <w:r w:rsidRPr="003D2F7B">
              <w:rPr>
                <w:color w:val="000000"/>
                <w:sz w:val="18"/>
                <w:szCs w:val="28"/>
                <w:rtl/>
                <w:lang w:val="fr-FR" w:eastAsia="fr-FR"/>
              </w:rPr>
              <w:t>5239</w:t>
            </w:r>
          </w:p>
        </w:tc>
        <w:tc>
          <w:tcPr>
            <w:tcW w:w="3329" w:type="dxa"/>
            <w:gridSpan w:val="2"/>
            <w:tcBorders>
              <w:bottom w:val="single" w:sz="12" w:space="0" w:color="auto"/>
            </w:tcBorders>
            <w:shd w:val="clear" w:color="auto" w:fill="auto"/>
            <w:hideMark/>
          </w:tcPr>
          <w:p w:rsidR="006068EE" w:rsidRPr="003D2F7B" w:rsidRDefault="006068EE" w:rsidP="00D810C1">
            <w:pPr>
              <w:spacing w:before="40" w:after="40" w:line="300" w:lineRule="exact"/>
              <w:ind w:left="57" w:right="57"/>
              <w:jc w:val="center"/>
              <w:rPr>
                <w:color w:val="000000"/>
                <w:sz w:val="18"/>
                <w:szCs w:val="28"/>
                <w:rtl/>
                <w:lang w:val="fr-FR" w:eastAsia="fr-FR"/>
              </w:rPr>
            </w:pPr>
            <w:r w:rsidRPr="003D2F7B">
              <w:rPr>
                <w:color w:val="000000"/>
                <w:sz w:val="18"/>
                <w:szCs w:val="28"/>
                <w:rtl/>
                <w:lang w:val="fr-FR" w:eastAsia="fr-FR"/>
              </w:rPr>
              <w:t>1731</w:t>
            </w:r>
          </w:p>
          <w:p w:rsidR="006068EE" w:rsidRPr="003D2F7B" w:rsidRDefault="006068EE" w:rsidP="00D810C1">
            <w:pPr>
              <w:spacing w:before="40" w:after="40" w:line="300" w:lineRule="exact"/>
              <w:ind w:left="57" w:right="57"/>
              <w:jc w:val="center"/>
              <w:rPr>
                <w:color w:val="000000"/>
                <w:sz w:val="18"/>
                <w:szCs w:val="28"/>
                <w:rtl/>
                <w:lang w:val="fr-FR" w:eastAsia="fr-FR"/>
              </w:rPr>
            </w:pPr>
            <w:r w:rsidRPr="003D2F7B">
              <w:rPr>
                <w:color w:val="000000"/>
                <w:sz w:val="18"/>
                <w:szCs w:val="28"/>
                <w:rtl/>
                <w:lang w:val="fr-FR" w:eastAsia="fr-FR"/>
              </w:rPr>
              <w:t>-</w:t>
            </w:r>
          </w:p>
        </w:tc>
        <w:tc>
          <w:tcPr>
            <w:tcW w:w="1582" w:type="dxa"/>
            <w:tcBorders>
              <w:bottom w:val="single" w:sz="12" w:space="0" w:color="auto"/>
            </w:tcBorders>
            <w:shd w:val="clear" w:color="auto" w:fill="auto"/>
            <w:hideMark/>
          </w:tcPr>
          <w:p w:rsidR="006068EE" w:rsidRPr="003D2F7B" w:rsidRDefault="006068EE" w:rsidP="00D810C1">
            <w:pPr>
              <w:spacing w:before="40" w:after="40" w:line="300" w:lineRule="exact"/>
              <w:ind w:left="57" w:right="227"/>
              <w:rPr>
                <w:color w:val="000000"/>
                <w:sz w:val="18"/>
                <w:szCs w:val="28"/>
                <w:lang w:val="fr-FR" w:eastAsia="fr-FR"/>
              </w:rPr>
            </w:pPr>
            <w:r w:rsidRPr="003D2F7B">
              <w:rPr>
                <w:color w:val="000000"/>
                <w:sz w:val="18"/>
                <w:szCs w:val="28"/>
                <w:rtl/>
                <w:lang w:val="fr-FR" w:eastAsia="fr-FR"/>
              </w:rPr>
              <w:t>2017 (إلى غاية مارس 2017)</w:t>
            </w:r>
          </w:p>
        </w:tc>
      </w:tr>
    </w:tbl>
    <w:p w:rsidR="006068EE" w:rsidRPr="009F706D" w:rsidRDefault="006068EE" w:rsidP="009F706D">
      <w:pPr>
        <w:pStyle w:val="SingleTxtGA"/>
        <w:spacing w:before="240"/>
        <w:rPr>
          <w:rFonts w:eastAsiaTheme="minorHAnsi"/>
          <w:spacing w:val="-2"/>
          <w:rtl/>
          <w:lang w:val="fr-FR" w:bidi="ar-TN"/>
        </w:rPr>
      </w:pPr>
      <w:r w:rsidRPr="009F706D">
        <w:rPr>
          <w:rFonts w:eastAsiaTheme="minorHAnsi" w:hint="cs"/>
          <w:spacing w:val="-2"/>
          <w:rtl/>
        </w:rPr>
        <w:t>23-</w:t>
      </w:r>
      <w:r w:rsidRPr="009F706D">
        <w:rPr>
          <w:rFonts w:eastAsiaTheme="minorHAnsi" w:hint="cs"/>
          <w:spacing w:val="-2"/>
          <w:rtl/>
        </w:rPr>
        <w:tab/>
      </w:r>
      <w:r w:rsidRPr="009F706D">
        <w:rPr>
          <w:rFonts w:eastAsiaTheme="minorHAnsi"/>
          <w:spacing w:val="-2"/>
          <w:rtl/>
          <w:lang w:val="fr-FR" w:bidi="ar-TN"/>
        </w:rPr>
        <w:t>وبالنظر لكون أعلى عدد من المودعين بالسجن جملة (23553) سجلت لدى مرتكبي جرائم المخدرات (6662) أي بنسبة تفوق 28 % باعتبار وأن القانون الحالي للمخدرات يفرض سنة سجنا لكل مستهلك لمادة مخدرة بقطع النظر عن سنه أو وضعيته الاجتماعية، قامت الحكومة بعرض مشروع قانون لمراجعة القانون المذكور على مجلس نواب الشعب يسمح بعدم إثارة الدعوى العمومية من أجل استهلاك مادة مخدرة ضد من طلب من تلقاء نفسه أو عن طريق نائبه او قرينه أو احد أصوله أو فروعه أو اطبائه الخضوع إلى نظام العلاج الطبي والنفسي لحالته الصحية ولم ينقطع ولكم يغادر المؤسسة الصحية دون موافقة الأطباء المباشرين. غير أن إجراءات المصادقة على هذا المشروع الذي اقترح مراجعة جذرية للقانون الحالي للمخدرات خصوصا من خلال اعتماد مقاربة علاجية طبية وليس مقاربة ز</w:t>
      </w:r>
      <w:r w:rsidRPr="009F706D">
        <w:rPr>
          <w:rFonts w:eastAsiaTheme="minorHAnsi" w:hint="cs"/>
          <w:spacing w:val="-2"/>
          <w:rtl/>
          <w:lang w:val="fr-FR" w:bidi="ar-TN"/>
        </w:rPr>
        <w:t>ج</w:t>
      </w:r>
      <w:r w:rsidRPr="009F706D">
        <w:rPr>
          <w:rFonts w:eastAsiaTheme="minorHAnsi"/>
          <w:spacing w:val="-2"/>
          <w:rtl/>
          <w:lang w:val="fr-FR" w:bidi="ar-TN"/>
        </w:rPr>
        <w:t>رية قد تطول. ولذلك وفي الأثناء وبناء على مبادرة حكومية صادق مجلس نواب الشعب بموجب القانون عدد</w:t>
      </w:r>
      <w:r w:rsidRPr="009F706D">
        <w:rPr>
          <w:rFonts w:eastAsiaTheme="minorHAnsi" w:hint="cs"/>
          <w:spacing w:val="-2"/>
          <w:rtl/>
          <w:lang w:val="fr-FR" w:bidi="ar-TN"/>
        </w:rPr>
        <w:t> </w:t>
      </w:r>
      <w:r w:rsidRPr="009F706D">
        <w:rPr>
          <w:rFonts w:eastAsiaTheme="minorHAnsi"/>
          <w:spacing w:val="-2"/>
          <w:rtl/>
          <w:lang w:val="fr-FR" w:bidi="ar-TN"/>
        </w:rPr>
        <w:t>39 لسنة</w:t>
      </w:r>
      <w:r w:rsidRPr="009F706D">
        <w:rPr>
          <w:rFonts w:eastAsiaTheme="minorHAnsi" w:hint="cs"/>
          <w:spacing w:val="-2"/>
          <w:rtl/>
          <w:lang w:val="fr-FR" w:bidi="ar-TN"/>
        </w:rPr>
        <w:t> </w:t>
      </w:r>
      <w:r w:rsidRPr="009F706D">
        <w:rPr>
          <w:rFonts w:eastAsiaTheme="minorHAnsi"/>
          <w:spacing w:val="-2"/>
          <w:rtl/>
          <w:lang w:val="fr-FR" w:bidi="ar-TN"/>
        </w:rPr>
        <w:t>2017 المؤرخ في 8 ماي</w:t>
      </w:r>
      <w:r w:rsidR="009F706D">
        <w:rPr>
          <w:rFonts w:eastAsiaTheme="minorHAnsi" w:hint="cs"/>
          <w:spacing w:val="-2"/>
          <w:rtl/>
          <w:lang w:val="fr-FR" w:bidi="ar-TN"/>
        </w:rPr>
        <w:t> </w:t>
      </w:r>
      <w:r w:rsidRPr="009F706D">
        <w:rPr>
          <w:rFonts w:eastAsiaTheme="minorHAnsi"/>
          <w:spacing w:val="-2"/>
          <w:rtl/>
          <w:lang w:val="fr-FR" w:bidi="ar-TN"/>
        </w:rPr>
        <w:t>2017 تنقيح الفصل 12 من القانون الحالي ليسمح بتطبيق ظروف التخفيف الواردة بالفصل 53 من المجلة الجزائية من خلال إمكانية الحط في العقوبة السجنية لما دون السنة وحتى بالإسعاف بتأجيل التنفيذ وذلك للحد من نسبة المودعين في السجن في هذا الصدد.</w:t>
      </w:r>
    </w:p>
    <w:p w:rsidR="006068EE" w:rsidRPr="00970B9E" w:rsidRDefault="006068EE" w:rsidP="006068EE">
      <w:pPr>
        <w:pStyle w:val="SingleTxtGA"/>
        <w:rPr>
          <w:rFonts w:eastAsiaTheme="minorHAnsi"/>
          <w:rtl/>
          <w:lang w:val="fr-FR" w:bidi="ar-TN"/>
        </w:rPr>
      </w:pPr>
      <w:r>
        <w:rPr>
          <w:rFonts w:eastAsiaTheme="minorHAnsi" w:hint="cs"/>
          <w:rtl/>
          <w:lang w:val="fr-FR" w:bidi="ar-TN"/>
        </w:rPr>
        <w:t>24-</w:t>
      </w:r>
      <w:r>
        <w:rPr>
          <w:rFonts w:eastAsiaTheme="minorHAnsi" w:hint="cs"/>
          <w:rtl/>
          <w:lang w:val="fr-FR" w:bidi="ar-TN"/>
        </w:rPr>
        <w:tab/>
      </w:r>
      <w:r w:rsidRPr="00970B9E">
        <w:rPr>
          <w:rFonts w:eastAsiaTheme="minorHAnsi"/>
          <w:rtl/>
          <w:lang w:val="fr-FR" w:bidi="ar-TN"/>
        </w:rPr>
        <w:t>كما يتم العمل على مراجعة المجلة الجزائية للنظر في عقوبات بعض الجرائم وخصوصا السجنية منها.</w:t>
      </w:r>
    </w:p>
    <w:p w:rsidR="006068EE" w:rsidRPr="00970B9E" w:rsidRDefault="006068EE" w:rsidP="006068EE">
      <w:pPr>
        <w:pStyle w:val="SingleTxtGA"/>
        <w:rPr>
          <w:rFonts w:eastAsiaTheme="minorHAnsi"/>
          <w:rtl/>
          <w:lang w:val="fr-FR" w:bidi="ar-TN"/>
        </w:rPr>
      </w:pPr>
      <w:r>
        <w:rPr>
          <w:rFonts w:eastAsiaTheme="minorHAnsi" w:hint="cs"/>
          <w:rtl/>
          <w:lang w:val="fr-FR" w:bidi="ar-TN"/>
        </w:rPr>
        <w:t>25-</w:t>
      </w:r>
      <w:r>
        <w:rPr>
          <w:rFonts w:eastAsiaTheme="minorHAnsi" w:hint="cs"/>
          <w:rtl/>
          <w:lang w:val="fr-FR" w:bidi="ar-TN"/>
        </w:rPr>
        <w:tab/>
      </w:r>
      <w:r w:rsidRPr="00970B9E">
        <w:rPr>
          <w:rFonts w:eastAsiaTheme="minorHAnsi"/>
          <w:rtl/>
          <w:lang w:val="fr-FR" w:bidi="ar-TN"/>
        </w:rPr>
        <w:t>وتم في الأثناء تكوين لجنة فنية مصغرة في وزارة العدل للتفكير في الآليات التي يمكن اعتمادها لتفعيل العقوبات البديلة وإدراج تدابير بديلة جديدة في هذا الصدد</w:t>
      </w:r>
      <w:r w:rsidRPr="00970B9E">
        <w:rPr>
          <w:rFonts w:eastAsiaTheme="minorHAnsi"/>
          <w:lang w:val="fr-FR" w:bidi="ar-TN"/>
        </w:rPr>
        <w:t>.</w:t>
      </w:r>
    </w:p>
    <w:p w:rsidR="006068EE" w:rsidRPr="003D2F7B" w:rsidRDefault="006068EE" w:rsidP="006068EE">
      <w:pPr>
        <w:pStyle w:val="H23GA"/>
        <w:tabs>
          <w:tab w:val="clear" w:pos="1021"/>
          <w:tab w:val="left" w:pos="2551"/>
          <w:tab w:val="left" w:pos="3260"/>
        </w:tabs>
        <w:ind w:left="1926" w:firstLine="0"/>
        <w:rPr>
          <w:rFonts w:eastAsiaTheme="minorHAnsi"/>
          <w:rtl/>
          <w:lang w:val="fr-FR" w:bidi="ar-TN"/>
        </w:rPr>
      </w:pPr>
      <w:r>
        <w:rPr>
          <w:rFonts w:eastAsiaTheme="minorHAnsi"/>
          <w:rtl/>
          <w:lang w:val="fr-FR" w:bidi="ar-TN"/>
        </w:rPr>
        <w:tab/>
      </w:r>
      <w:r>
        <w:rPr>
          <w:rFonts w:eastAsiaTheme="minorHAnsi" w:hint="cs"/>
          <w:rtl/>
          <w:lang w:val="fr-FR" w:bidi="ar-TN"/>
        </w:rPr>
        <w:t>(</w:t>
      </w:r>
      <w:r w:rsidRPr="003D2F7B">
        <w:rPr>
          <w:rFonts w:eastAsiaTheme="minorHAnsi"/>
          <w:rtl/>
          <w:lang w:val="fr-FR" w:bidi="ar-TN"/>
        </w:rPr>
        <w:t>ب)</w:t>
      </w:r>
      <w:r>
        <w:rPr>
          <w:rFonts w:eastAsiaTheme="minorHAnsi"/>
          <w:rtl/>
          <w:lang w:val="fr-FR" w:bidi="ar-TN"/>
        </w:rPr>
        <w:tab/>
      </w:r>
      <w:r w:rsidRPr="003D2F7B">
        <w:rPr>
          <w:rFonts w:eastAsiaTheme="minorHAnsi"/>
          <w:rtl/>
          <w:lang w:val="fr-FR" w:bidi="ar-TN"/>
        </w:rPr>
        <w:t>حول المدّة القصوى للإيقاف التحفظي والحرص على المحاكمة في الآجال المعقولة</w:t>
      </w:r>
    </w:p>
    <w:p w:rsidR="006068EE" w:rsidRPr="00970B9E" w:rsidRDefault="006068EE" w:rsidP="006068EE">
      <w:pPr>
        <w:pStyle w:val="SingleTxtGA"/>
        <w:rPr>
          <w:rFonts w:eastAsiaTheme="minorHAnsi"/>
          <w:rtl/>
          <w:lang w:val="fr-FR" w:bidi="ar-TN"/>
        </w:rPr>
      </w:pPr>
      <w:r>
        <w:rPr>
          <w:rFonts w:eastAsiaTheme="minorHAnsi" w:hint="cs"/>
          <w:rtl/>
          <w:lang w:val="fr-FR" w:bidi="ar-TN"/>
        </w:rPr>
        <w:t>26-</w:t>
      </w:r>
      <w:r>
        <w:rPr>
          <w:rFonts w:eastAsiaTheme="minorHAnsi" w:hint="cs"/>
          <w:rtl/>
          <w:lang w:val="fr-FR" w:bidi="ar-TN"/>
        </w:rPr>
        <w:tab/>
      </w:r>
      <w:r w:rsidRPr="00970B9E">
        <w:rPr>
          <w:rFonts w:eastAsiaTheme="minorHAnsi"/>
          <w:rtl/>
          <w:lang w:val="fr-FR" w:bidi="ar-TN"/>
        </w:rPr>
        <w:t>وبالنظر لكون نسبة المودعين بالسجون غير المحكومين (11753) تقارب 50 %من جملة المودعين بالسجون (23553) لغاية 30 ديسمبر 2016، تعمل وزارة العدل على مراجعة إجراءات الإيقاف التحفظي من خلال مراجعة مجلة الاجراءات الجزائية. يتم العمل حاليا على إيجاد بدائل للاحتجاز في انتظار المحاكمة كالمراقبة القضائية والوضع تحت المراقبة الالكترونية مما يحد بشكل كبير من الالتجاء إلى الإيقاف التحفظي.</w:t>
      </w:r>
    </w:p>
    <w:p w:rsidR="006068EE" w:rsidRPr="00970B9E" w:rsidRDefault="006068EE" w:rsidP="006068EE">
      <w:pPr>
        <w:pStyle w:val="SingleTxtGA"/>
        <w:rPr>
          <w:rFonts w:eastAsiaTheme="minorHAnsi"/>
          <w:rtl/>
          <w:lang w:val="fr-FR" w:bidi="ar-TN"/>
        </w:rPr>
      </w:pPr>
      <w:r>
        <w:rPr>
          <w:rFonts w:eastAsiaTheme="minorHAnsi" w:hint="cs"/>
          <w:rtl/>
          <w:lang w:val="fr-FR" w:bidi="ar-TN"/>
        </w:rPr>
        <w:t>27-</w:t>
      </w:r>
      <w:r>
        <w:rPr>
          <w:rFonts w:eastAsiaTheme="minorHAnsi" w:hint="cs"/>
          <w:rtl/>
          <w:lang w:val="fr-FR" w:bidi="ar-TN"/>
        </w:rPr>
        <w:tab/>
      </w:r>
      <w:r w:rsidRPr="00970B9E">
        <w:rPr>
          <w:rFonts w:eastAsiaTheme="minorHAnsi"/>
          <w:rtl/>
          <w:lang w:val="fr-FR" w:bidi="ar-TN"/>
        </w:rPr>
        <w:t>ويقوم قضاة التحقيق بالتثبت من المدة القصوى للإيقاف ويسعون لعدم تجاوزها من خلال العمل على ختم التحقيق في آجال معقولة من جهة وإطلاق سراح الموقوفين إذا ما تم تجاوز الآجال المحددة بالقانون للإيقاف التحفظي.</w:t>
      </w:r>
    </w:p>
    <w:p w:rsidR="006068EE" w:rsidRPr="00970B9E" w:rsidRDefault="006068EE" w:rsidP="006068EE">
      <w:pPr>
        <w:pStyle w:val="SingleTxtGA"/>
        <w:rPr>
          <w:rFonts w:eastAsiaTheme="minorHAnsi"/>
          <w:rtl/>
          <w:lang w:val="fr-FR" w:bidi="ar-TN"/>
        </w:rPr>
      </w:pPr>
      <w:r>
        <w:rPr>
          <w:rFonts w:eastAsiaTheme="minorHAnsi" w:hint="cs"/>
          <w:rtl/>
          <w:lang w:val="fr-FR" w:bidi="ar-TN"/>
        </w:rPr>
        <w:lastRenderedPageBreak/>
        <w:t>28-</w:t>
      </w:r>
      <w:r>
        <w:rPr>
          <w:rFonts w:eastAsiaTheme="minorHAnsi" w:hint="cs"/>
          <w:rtl/>
          <w:lang w:val="fr-FR" w:bidi="ar-TN"/>
        </w:rPr>
        <w:tab/>
      </w:r>
      <w:r w:rsidRPr="00970B9E">
        <w:rPr>
          <w:rFonts w:eastAsiaTheme="minorHAnsi"/>
          <w:rtl/>
          <w:lang w:val="fr-FR" w:bidi="ar-TN"/>
        </w:rPr>
        <w:t>وفضلا عن ذلك وتنفيذا لمقتضيات الدستور التونسي، يتم العمل على مراجعة مقتضيات مجلة الإجراءات الجزائية بما يسمح باختصار آجال التحقيق والبحث ومزيد توفير ضمانات المحاكمة العادلة بما فيها الأجل المعقول وقرينة البراءة.</w:t>
      </w:r>
    </w:p>
    <w:p w:rsidR="006068EE" w:rsidRPr="003D2F7B" w:rsidRDefault="006068EE" w:rsidP="006068EE">
      <w:pPr>
        <w:pStyle w:val="H23GA"/>
        <w:tabs>
          <w:tab w:val="clear" w:pos="1021"/>
          <w:tab w:val="left" w:pos="2551"/>
          <w:tab w:val="left" w:pos="3260"/>
        </w:tabs>
        <w:ind w:left="1926" w:firstLine="0"/>
        <w:rPr>
          <w:rFonts w:eastAsiaTheme="minorHAnsi"/>
          <w:rtl/>
          <w:lang w:val="fr-FR" w:bidi="ar-TN"/>
        </w:rPr>
      </w:pPr>
      <w:r>
        <w:rPr>
          <w:rFonts w:eastAsiaTheme="minorHAnsi"/>
          <w:rtl/>
          <w:lang w:val="fr-FR" w:bidi="ar-TN"/>
        </w:rPr>
        <w:tab/>
      </w:r>
      <w:r>
        <w:rPr>
          <w:rFonts w:eastAsiaTheme="minorHAnsi" w:hint="cs"/>
          <w:rtl/>
          <w:lang w:val="fr-FR" w:bidi="ar-TN"/>
        </w:rPr>
        <w:t>(</w:t>
      </w:r>
      <w:r w:rsidRPr="003D2F7B">
        <w:rPr>
          <w:rFonts w:eastAsiaTheme="minorHAnsi"/>
          <w:rtl/>
          <w:lang w:val="fr-FR" w:bidi="ar-TN"/>
        </w:rPr>
        <w:t>ج)</w:t>
      </w:r>
      <w:r>
        <w:rPr>
          <w:rFonts w:eastAsiaTheme="minorHAnsi" w:hint="cs"/>
          <w:rtl/>
          <w:lang w:val="fr-FR" w:bidi="ar-TN"/>
        </w:rPr>
        <w:tab/>
      </w:r>
      <w:r w:rsidRPr="003D2F7B">
        <w:rPr>
          <w:rFonts w:eastAsiaTheme="minorHAnsi"/>
          <w:rtl/>
          <w:lang w:val="fr-FR" w:bidi="ar-TN"/>
        </w:rPr>
        <w:t>حول مواصلة المجهودات لتحسين ظروف المؤسسات السجنية بما</w:t>
      </w:r>
      <w:r>
        <w:rPr>
          <w:rFonts w:eastAsiaTheme="minorHAnsi" w:hint="cs"/>
          <w:rtl/>
          <w:lang w:val="fr-FR" w:bidi="ar-TN"/>
        </w:rPr>
        <w:t> </w:t>
      </w:r>
      <w:r w:rsidRPr="003D2F7B">
        <w:rPr>
          <w:rFonts w:eastAsiaTheme="minorHAnsi"/>
          <w:rtl/>
          <w:lang w:val="fr-FR" w:bidi="ar-TN"/>
        </w:rPr>
        <w:t>يتماشى والمعايير الدولية</w:t>
      </w:r>
      <w:r>
        <w:rPr>
          <w:rFonts w:eastAsiaTheme="minorHAnsi"/>
          <w:rtl/>
          <w:lang w:val="fr-FR" w:bidi="ar-TN"/>
        </w:rPr>
        <w:t xml:space="preserve"> </w:t>
      </w:r>
      <w:r w:rsidRPr="003D2F7B">
        <w:rPr>
          <w:rFonts w:eastAsiaTheme="minorHAnsi"/>
          <w:rtl/>
          <w:lang w:val="fr-FR" w:bidi="ar-TN"/>
        </w:rPr>
        <w:t>وتحسين إعادة التأهيل والادماج.</w:t>
      </w:r>
    </w:p>
    <w:p w:rsidR="006068EE" w:rsidRPr="00970B9E" w:rsidRDefault="006068EE" w:rsidP="006068EE">
      <w:pPr>
        <w:pStyle w:val="SingleTxtGA"/>
        <w:rPr>
          <w:rFonts w:eastAsiaTheme="minorHAnsi"/>
          <w:rtl/>
          <w:lang w:val="fr-FR" w:bidi="ar-TN"/>
        </w:rPr>
      </w:pPr>
      <w:r>
        <w:rPr>
          <w:rFonts w:eastAsiaTheme="minorHAnsi" w:hint="cs"/>
          <w:rtl/>
          <w:lang w:val="fr-FR" w:bidi="ar-TN"/>
        </w:rPr>
        <w:t>29-</w:t>
      </w:r>
      <w:r>
        <w:rPr>
          <w:rFonts w:eastAsiaTheme="minorHAnsi" w:hint="cs"/>
          <w:rtl/>
          <w:lang w:val="fr-FR" w:bidi="ar-TN"/>
        </w:rPr>
        <w:tab/>
      </w:r>
      <w:r w:rsidRPr="00970B9E">
        <w:rPr>
          <w:rFonts w:eastAsiaTheme="minorHAnsi"/>
          <w:rtl/>
          <w:lang w:val="fr-FR" w:bidi="ar-TN"/>
        </w:rPr>
        <w:t>تنفيذا</w:t>
      </w:r>
      <w:r>
        <w:rPr>
          <w:rFonts w:eastAsiaTheme="minorHAnsi"/>
          <w:rtl/>
          <w:lang w:val="fr-FR" w:bidi="ar-TN"/>
        </w:rPr>
        <w:t xml:space="preserve"> </w:t>
      </w:r>
      <w:r w:rsidRPr="00970B9E">
        <w:rPr>
          <w:rFonts w:eastAsiaTheme="minorHAnsi"/>
          <w:rtl/>
          <w:lang w:val="fr-FR" w:bidi="ar-TN"/>
        </w:rPr>
        <w:t>للتوصيات الصادرة خلال الندوة التي نظمتها وزارة العدل في فيفري 2015 بالتعاون مع كل من المفوضية السامية لحقوق الإنسان والمنظمة الدولية للإصلاح الجنائي حول موضع "نحو استراتيجية وطنية للحد من الاكتظاظ في السجون التونسية" وجعلها متماشية مع المعايير الدولية في هذا الصدد، يتم العمل حاليا عل الحد من ذلك الاكتظاظ كما يلي:</w:t>
      </w:r>
    </w:p>
    <w:p w:rsidR="006068EE" w:rsidRPr="00970B9E" w:rsidRDefault="006068EE" w:rsidP="006068EE">
      <w:pPr>
        <w:pStyle w:val="Bullet1GA"/>
        <w:numPr>
          <w:ilvl w:val="0"/>
          <w:numId w:val="3"/>
        </w:numPr>
        <w:bidi/>
        <w:rPr>
          <w:rFonts w:eastAsiaTheme="minorHAnsi"/>
          <w:rtl/>
          <w:lang w:val="fr-FR" w:bidi="ar-TN"/>
        </w:rPr>
      </w:pPr>
      <w:r w:rsidRPr="00970B9E">
        <w:rPr>
          <w:rFonts w:eastAsiaTheme="minorHAnsi"/>
          <w:rtl/>
          <w:lang w:val="fr-FR" w:bidi="ar-TN"/>
        </w:rPr>
        <w:t>يتم القيام بأعمال توسعة في عديد السجون لترفيع طاقة الاستيعاب أو لتعويض بعض الغرف أو الأجنحة من ذلك:</w:t>
      </w:r>
    </w:p>
    <w:p w:rsidR="006068EE" w:rsidRPr="00970B9E" w:rsidRDefault="006068EE" w:rsidP="006068EE">
      <w:pPr>
        <w:pStyle w:val="Bullet2GA"/>
        <w:numPr>
          <w:ilvl w:val="0"/>
          <w:numId w:val="4"/>
        </w:numPr>
        <w:tabs>
          <w:tab w:val="clear" w:pos="3062"/>
          <w:tab w:val="clear" w:pos="3215"/>
          <w:tab w:val="num" w:pos="2835"/>
        </w:tabs>
        <w:bidi/>
        <w:ind w:left="2835"/>
        <w:rPr>
          <w:rtl/>
        </w:rPr>
      </w:pPr>
      <w:r w:rsidRPr="00970B9E">
        <w:rPr>
          <w:rtl/>
        </w:rPr>
        <w:t xml:space="preserve">طاقة </w:t>
      </w:r>
      <w:proofErr w:type="spellStart"/>
      <w:r w:rsidRPr="00970B9E">
        <w:rPr>
          <w:rtl/>
        </w:rPr>
        <w:t>إستيعاب</w:t>
      </w:r>
      <w:proofErr w:type="spellEnd"/>
      <w:r w:rsidRPr="00970B9E">
        <w:rPr>
          <w:rtl/>
        </w:rPr>
        <w:t xml:space="preserve"> إضافية بسجون صفاقس والمهدية والمسعدين (قسط أوّل) وسجن المنستير (قسط أوّل) وذلك لفائدة 1480 سجين إجمالا خلال </w:t>
      </w:r>
      <w:proofErr w:type="spellStart"/>
      <w:r w:rsidRPr="00970B9E">
        <w:rPr>
          <w:rtl/>
        </w:rPr>
        <w:t>جانفي</w:t>
      </w:r>
      <w:proofErr w:type="spellEnd"/>
      <w:r w:rsidRPr="00970B9E">
        <w:rPr>
          <w:rtl/>
        </w:rPr>
        <w:t xml:space="preserve"> ومارس 2017</w:t>
      </w:r>
      <w:r>
        <w:rPr>
          <w:rFonts w:hint="cs"/>
          <w:rtl/>
        </w:rPr>
        <w:t>؛</w:t>
      </w:r>
    </w:p>
    <w:p w:rsidR="006068EE" w:rsidRPr="00970B9E" w:rsidRDefault="006068EE" w:rsidP="006068EE">
      <w:pPr>
        <w:pStyle w:val="Bullet2GA"/>
        <w:numPr>
          <w:ilvl w:val="0"/>
          <w:numId w:val="4"/>
        </w:numPr>
        <w:tabs>
          <w:tab w:val="clear" w:pos="3062"/>
          <w:tab w:val="clear" w:pos="3215"/>
          <w:tab w:val="num" w:pos="2835"/>
        </w:tabs>
        <w:bidi/>
        <w:ind w:left="2835"/>
      </w:pPr>
      <w:r w:rsidRPr="00970B9E">
        <w:rPr>
          <w:rtl/>
        </w:rPr>
        <w:t>طاقة استيعاب إضافية بسجني قابس وبرج العامري لفائدة 1076 سجين في شهر جوان 2017</w:t>
      </w:r>
      <w:r>
        <w:rPr>
          <w:rFonts w:hint="cs"/>
          <w:rtl/>
        </w:rPr>
        <w:t>؛</w:t>
      </w:r>
    </w:p>
    <w:p w:rsidR="006068EE" w:rsidRPr="003D2F7B" w:rsidRDefault="006068EE" w:rsidP="006068EE">
      <w:pPr>
        <w:pStyle w:val="Bullet2GA"/>
        <w:numPr>
          <w:ilvl w:val="0"/>
          <w:numId w:val="4"/>
        </w:numPr>
        <w:tabs>
          <w:tab w:val="clear" w:pos="3062"/>
          <w:tab w:val="clear" w:pos="3215"/>
          <w:tab w:val="num" w:pos="2835"/>
        </w:tabs>
        <w:bidi/>
        <w:ind w:left="2835"/>
        <w:rPr>
          <w:spacing w:val="-2"/>
          <w:rtl/>
        </w:rPr>
      </w:pPr>
      <w:r w:rsidRPr="003D2F7B">
        <w:rPr>
          <w:spacing w:val="-2"/>
          <w:rtl/>
        </w:rPr>
        <w:t xml:space="preserve">مشروع بناء أربع غرف بسجن صفاقس وتقدّم الأشغال بنسبة 95 </w:t>
      </w:r>
      <w:r w:rsidRPr="003D2F7B">
        <w:rPr>
          <w:spacing w:val="-2"/>
        </w:rPr>
        <w:t>%</w:t>
      </w:r>
      <w:r w:rsidRPr="003D2F7B">
        <w:rPr>
          <w:spacing w:val="-2"/>
          <w:rtl/>
        </w:rPr>
        <w:t xml:space="preserve"> ومن المنتظر أن يكون الاستلام الوقتي للمشروع خلال شهر جوان 2017. </w:t>
      </w:r>
    </w:p>
    <w:p w:rsidR="006068EE" w:rsidRPr="00970B9E" w:rsidRDefault="006068EE" w:rsidP="006068EE">
      <w:pPr>
        <w:pStyle w:val="Bullet1GA"/>
        <w:numPr>
          <w:ilvl w:val="0"/>
          <w:numId w:val="3"/>
        </w:numPr>
        <w:bidi/>
        <w:rPr>
          <w:rFonts w:eastAsiaTheme="minorHAnsi"/>
          <w:lang w:val="fr-FR" w:bidi="ar-TN"/>
        </w:rPr>
      </w:pPr>
      <w:r w:rsidRPr="00970B9E">
        <w:rPr>
          <w:rFonts w:eastAsiaTheme="minorHAnsi"/>
          <w:rtl/>
          <w:lang w:val="fr-FR" w:bidi="ar-TN"/>
        </w:rPr>
        <w:t>كما تمت تهيئة عديد السجون وإحداث فضاءات لفائدة الأعوان وتوسعة المصحات وتجهيز المطبخ وبناء فضاءات تأهيل بداية من شهر سبتمبر 2016 إلى غاية مارس 2017 من ذلك:</w:t>
      </w:r>
      <w:r>
        <w:rPr>
          <w:rFonts w:eastAsiaTheme="minorHAnsi"/>
          <w:rtl/>
          <w:lang w:val="fr-FR" w:bidi="ar-TN"/>
        </w:rPr>
        <w:t xml:space="preserve"> </w:t>
      </w:r>
      <w:r w:rsidRPr="00970B9E">
        <w:rPr>
          <w:rFonts w:eastAsiaTheme="minorHAnsi"/>
          <w:rtl/>
          <w:lang w:val="fr-FR" w:bidi="ar-TN"/>
        </w:rPr>
        <w:t xml:space="preserve">تسقيف الفضاء الخاص بالزوار والورشة المركزية بسجن </w:t>
      </w:r>
      <w:proofErr w:type="spellStart"/>
      <w:r w:rsidRPr="00970B9E">
        <w:rPr>
          <w:rFonts w:eastAsiaTheme="minorHAnsi"/>
          <w:rtl/>
          <w:lang w:val="fr-FR" w:bidi="ar-TN"/>
        </w:rPr>
        <w:t>المرناقية</w:t>
      </w:r>
      <w:proofErr w:type="spellEnd"/>
      <w:r w:rsidRPr="00970B9E">
        <w:rPr>
          <w:rFonts w:eastAsiaTheme="minorHAnsi"/>
          <w:rtl/>
          <w:lang w:val="fr-FR" w:bidi="ar-TN"/>
        </w:rPr>
        <w:t xml:space="preserve"> وتهيئة وتوسعة المصحة بسجن برج العامري وتركيز منظومة جديدة لإطفاء الحرائق بالجناح الجديد بسجن المنستير</w:t>
      </w:r>
      <w:r>
        <w:rPr>
          <w:rFonts w:eastAsiaTheme="minorHAnsi"/>
          <w:rtl/>
          <w:lang w:val="fr-FR" w:bidi="ar-TN"/>
        </w:rPr>
        <w:t xml:space="preserve"> و</w:t>
      </w:r>
      <w:r w:rsidRPr="00970B9E">
        <w:rPr>
          <w:rFonts w:eastAsiaTheme="minorHAnsi"/>
          <w:rtl/>
          <w:lang w:val="fr-FR" w:bidi="ar-TN"/>
        </w:rPr>
        <w:t>أشغال ربط سجن قابس بالشبكة العمومية للتطهير وبناء مقر لفرقة الأنياب وخزان ماء لشبكة إطفاء الحرائق بسجن المهدية</w:t>
      </w:r>
      <w:r>
        <w:rPr>
          <w:rFonts w:eastAsiaTheme="minorHAnsi" w:hint="cs"/>
          <w:rtl/>
          <w:lang w:val="fr-FR" w:bidi="ar-TN"/>
        </w:rPr>
        <w:t xml:space="preserve"> </w:t>
      </w:r>
      <w:r w:rsidRPr="00970B9E">
        <w:rPr>
          <w:rFonts w:eastAsiaTheme="minorHAnsi"/>
          <w:rtl/>
          <w:lang w:val="fr-FR" w:bidi="ar-TN"/>
        </w:rPr>
        <w:t>...</w:t>
      </w:r>
    </w:p>
    <w:p w:rsidR="006068EE" w:rsidRPr="00970B9E" w:rsidRDefault="006068EE" w:rsidP="006068EE">
      <w:pPr>
        <w:pStyle w:val="Bullet1GA"/>
        <w:numPr>
          <w:ilvl w:val="0"/>
          <w:numId w:val="3"/>
        </w:numPr>
        <w:bidi/>
        <w:rPr>
          <w:rFonts w:eastAsiaTheme="minorHAnsi"/>
          <w:lang w:val="fr-FR" w:bidi="ar-TN"/>
        </w:rPr>
      </w:pPr>
      <w:r w:rsidRPr="00970B9E">
        <w:rPr>
          <w:rFonts w:eastAsiaTheme="minorHAnsi"/>
          <w:rtl/>
          <w:lang w:val="fr-FR" w:bidi="ar-TN"/>
        </w:rPr>
        <w:t xml:space="preserve">وتم برمجة بعض المشاريع في طور الإنجاز لتهيئة بعض السجون أو بناء سجون جديدة منها خصوصا: </w:t>
      </w:r>
    </w:p>
    <w:p w:rsidR="006068EE" w:rsidRPr="00970B9E" w:rsidRDefault="006068EE" w:rsidP="006068EE">
      <w:pPr>
        <w:pStyle w:val="Bullet2GA"/>
        <w:numPr>
          <w:ilvl w:val="0"/>
          <w:numId w:val="4"/>
        </w:numPr>
        <w:tabs>
          <w:tab w:val="clear" w:pos="3062"/>
          <w:tab w:val="clear" w:pos="3215"/>
          <w:tab w:val="num" w:pos="2835"/>
        </w:tabs>
        <w:bidi/>
        <w:ind w:left="2835"/>
      </w:pPr>
      <w:r w:rsidRPr="00970B9E">
        <w:rPr>
          <w:rtl/>
        </w:rPr>
        <w:t xml:space="preserve">بناء سجن بمنطقة بلي بطاقة </w:t>
      </w:r>
      <w:proofErr w:type="spellStart"/>
      <w:r w:rsidRPr="00970B9E">
        <w:rPr>
          <w:rtl/>
        </w:rPr>
        <w:t>إستيعاب</w:t>
      </w:r>
      <w:proofErr w:type="spellEnd"/>
      <w:r w:rsidRPr="00970B9E">
        <w:rPr>
          <w:rtl/>
        </w:rPr>
        <w:t xml:space="preserve"> لـ</w:t>
      </w:r>
      <w:r>
        <w:rPr>
          <w:rFonts w:hint="cs"/>
          <w:rtl/>
        </w:rPr>
        <w:t> </w:t>
      </w:r>
      <w:r w:rsidRPr="00970B9E">
        <w:rPr>
          <w:rtl/>
        </w:rPr>
        <w:t>1000 سجين ومن المنتظر أن يكون استلام المشروع خلال ماي 2020</w:t>
      </w:r>
      <w:r>
        <w:rPr>
          <w:rFonts w:hint="cs"/>
          <w:rtl/>
        </w:rPr>
        <w:t>؛</w:t>
      </w:r>
    </w:p>
    <w:p w:rsidR="006068EE" w:rsidRPr="003D2F7B" w:rsidRDefault="006068EE" w:rsidP="006068EE">
      <w:pPr>
        <w:pStyle w:val="Bullet2GA"/>
        <w:numPr>
          <w:ilvl w:val="0"/>
          <w:numId w:val="4"/>
        </w:numPr>
        <w:tabs>
          <w:tab w:val="clear" w:pos="3062"/>
          <w:tab w:val="clear" w:pos="3215"/>
          <w:tab w:val="num" w:pos="2835"/>
        </w:tabs>
        <w:bidi/>
        <w:ind w:left="2835"/>
        <w:rPr>
          <w:spacing w:val="-2"/>
        </w:rPr>
      </w:pPr>
      <w:r w:rsidRPr="003D2F7B">
        <w:rPr>
          <w:spacing w:val="-2"/>
          <w:rtl/>
        </w:rPr>
        <w:t>بناء سجن جديد بباجة ومن المنتظر أن يكون تاريخ الاستلام سنة 2020</w:t>
      </w:r>
      <w:r w:rsidRPr="003D2F7B">
        <w:rPr>
          <w:rFonts w:hint="eastAsia"/>
          <w:spacing w:val="-2"/>
          <w:rtl/>
        </w:rPr>
        <w:t>؛</w:t>
      </w:r>
    </w:p>
    <w:p w:rsidR="006068EE" w:rsidRPr="00970B9E" w:rsidRDefault="006068EE" w:rsidP="006068EE">
      <w:pPr>
        <w:pStyle w:val="Bullet2GA"/>
        <w:numPr>
          <w:ilvl w:val="0"/>
          <w:numId w:val="4"/>
        </w:numPr>
        <w:tabs>
          <w:tab w:val="clear" w:pos="3062"/>
          <w:tab w:val="clear" w:pos="3215"/>
          <w:tab w:val="num" w:pos="2835"/>
        </w:tabs>
        <w:bidi/>
        <w:spacing w:after="100"/>
        <w:ind w:left="2835"/>
      </w:pPr>
      <w:r w:rsidRPr="00970B9E">
        <w:rPr>
          <w:rtl/>
        </w:rPr>
        <w:t>إعادة تهيئة سجن ببرج الرومي بطاقة استيعاب لـ</w:t>
      </w:r>
      <w:r>
        <w:rPr>
          <w:rFonts w:hint="cs"/>
          <w:rtl/>
        </w:rPr>
        <w:t> </w:t>
      </w:r>
      <w:r w:rsidRPr="00970B9E">
        <w:rPr>
          <w:rtl/>
        </w:rPr>
        <w:t xml:space="preserve">1000 سجين ومن المنتظر أن يكون </w:t>
      </w:r>
      <w:proofErr w:type="spellStart"/>
      <w:r w:rsidRPr="00970B9E">
        <w:rPr>
          <w:rtl/>
        </w:rPr>
        <w:t>إستلام</w:t>
      </w:r>
      <w:proofErr w:type="spellEnd"/>
      <w:r w:rsidRPr="00970B9E">
        <w:rPr>
          <w:rtl/>
        </w:rPr>
        <w:t xml:space="preserve"> المشروع خلال سنة 2021</w:t>
      </w:r>
      <w:r>
        <w:rPr>
          <w:rFonts w:hint="cs"/>
          <w:rtl/>
        </w:rPr>
        <w:t>؛</w:t>
      </w:r>
    </w:p>
    <w:p w:rsidR="006068EE" w:rsidRPr="009F706D" w:rsidRDefault="006068EE" w:rsidP="006068EE">
      <w:pPr>
        <w:pStyle w:val="Bullet2GA"/>
        <w:numPr>
          <w:ilvl w:val="0"/>
          <w:numId w:val="4"/>
        </w:numPr>
        <w:tabs>
          <w:tab w:val="clear" w:pos="3062"/>
          <w:tab w:val="clear" w:pos="3215"/>
          <w:tab w:val="num" w:pos="2835"/>
        </w:tabs>
        <w:bidi/>
        <w:spacing w:after="100"/>
        <w:ind w:left="2835"/>
        <w:rPr>
          <w:spacing w:val="-6"/>
          <w:rtl/>
        </w:rPr>
      </w:pPr>
      <w:r w:rsidRPr="009F706D">
        <w:rPr>
          <w:spacing w:val="-6"/>
          <w:rtl/>
        </w:rPr>
        <w:t>بناء أقساط جديدة بسجن مرناق</w:t>
      </w:r>
      <w:r w:rsidRPr="009F706D">
        <w:rPr>
          <w:rFonts w:hint="cs"/>
          <w:spacing w:val="-6"/>
          <w:rtl/>
        </w:rPr>
        <w:t xml:space="preserve"> </w:t>
      </w:r>
      <w:r w:rsidRPr="009F706D">
        <w:rPr>
          <w:spacing w:val="-6"/>
          <w:rtl/>
        </w:rPr>
        <w:t>تقدر طاقة الاستيعاب المضافة بـ</w:t>
      </w:r>
      <w:r w:rsidRPr="009F706D">
        <w:rPr>
          <w:rFonts w:hint="cs"/>
          <w:spacing w:val="-6"/>
          <w:rtl/>
        </w:rPr>
        <w:t> </w:t>
      </w:r>
      <w:r w:rsidRPr="009F706D">
        <w:rPr>
          <w:spacing w:val="-6"/>
          <w:rtl/>
        </w:rPr>
        <w:t>500 سرير.</w:t>
      </w:r>
    </w:p>
    <w:p w:rsidR="006068EE" w:rsidRPr="00970B9E" w:rsidRDefault="006068EE" w:rsidP="006068EE">
      <w:pPr>
        <w:pStyle w:val="Bullet1GA"/>
        <w:numPr>
          <w:ilvl w:val="0"/>
          <w:numId w:val="3"/>
        </w:numPr>
        <w:bidi/>
        <w:spacing w:after="100"/>
        <w:rPr>
          <w:rFonts w:eastAsiaTheme="minorHAnsi"/>
          <w:rtl/>
          <w:lang w:val="fr-FR" w:bidi="ar-TN"/>
        </w:rPr>
      </w:pPr>
      <w:r w:rsidRPr="00970B9E">
        <w:rPr>
          <w:rFonts w:eastAsiaTheme="minorHAnsi"/>
          <w:rtl/>
          <w:lang w:val="fr-FR" w:bidi="ar-TN"/>
        </w:rPr>
        <w:lastRenderedPageBreak/>
        <w:t xml:space="preserve">أما بخصوص التأهيل والإدماج فقد تم الشروع في تفعيل </w:t>
      </w:r>
      <w:proofErr w:type="spellStart"/>
      <w:r w:rsidRPr="00970B9E">
        <w:rPr>
          <w:rFonts w:eastAsiaTheme="minorHAnsi"/>
          <w:rtl/>
          <w:lang w:val="fr-FR" w:bidi="ar-TN"/>
        </w:rPr>
        <w:t>إتفاقية</w:t>
      </w:r>
      <w:proofErr w:type="spellEnd"/>
      <w:r w:rsidRPr="00970B9E">
        <w:rPr>
          <w:rFonts w:eastAsiaTheme="minorHAnsi"/>
          <w:rtl/>
          <w:lang w:val="fr-FR" w:bidi="ar-TN"/>
        </w:rPr>
        <w:t xml:space="preserve"> الشراكة مع مكتب الأمم المتحدة المعني بالمخدرات والجريمة لتعزيز خدمات الوقاية والرعاية والعلاج المتعلق بالمخدرات والأمراض المنقولة جنسيّا أو عن طريق الدم بالسجون وتعزيز تأهيل وإعادة إدماج المساجين.</w:t>
      </w:r>
    </w:p>
    <w:p w:rsidR="006068EE" w:rsidRPr="003D2F7B" w:rsidRDefault="006068EE" w:rsidP="006068EE">
      <w:pPr>
        <w:pStyle w:val="H23GA"/>
        <w:tabs>
          <w:tab w:val="clear" w:pos="1021"/>
          <w:tab w:val="left" w:pos="2551"/>
          <w:tab w:val="left" w:pos="3260"/>
        </w:tabs>
        <w:ind w:left="1926" w:firstLine="0"/>
        <w:rPr>
          <w:rFonts w:eastAsiaTheme="minorHAnsi"/>
          <w:rtl/>
          <w:lang w:val="fr-FR" w:bidi="ar-TN"/>
        </w:rPr>
      </w:pPr>
      <w:r>
        <w:rPr>
          <w:rFonts w:eastAsiaTheme="minorHAnsi"/>
          <w:rtl/>
          <w:lang w:val="fr-FR" w:bidi="ar-TN"/>
        </w:rPr>
        <w:tab/>
      </w:r>
      <w:r>
        <w:rPr>
          <w:rFonts w:eastAsiaTheme="minorHAnsi" w:hint="cs"/>
          <w:rtl/>
          <w:lang w:val="fr-FR" w:bidi="ar-TN"/>
        </w:rPr>
        <w:t>(</w:t>
      </w:r>
      <w:r w:rsidRPr="003D2F7B">
        <w:rPr>
          <w:rFonts w:eastAsiaTheme="minorHAnsi"/>
          <w:rtl/>
          <w:lang w:val="fr-FR" w:bidi="ar-TN"/>
        </w:rPr>
        <w:t>د)</w:t>
      </w:r>
      <w:r>
        <w:rPr>
          <w:rFonts w:eastAsiaTheme="minorHAnsi" w:hint="cs"/>
          <w:rtl/>
          <w:lang w:val="fr-FR" w:bidi="ar-TN"/>
        </w:rPr>
        <w:tab/>
      </w:r>
      <w:r w:rsidRPr="003D2F7B">
        <w:rPr>
          <w:rFonts w:eastAsiaTheme="minorHAnsi"/>
          <w:rtl/>
          <w:lang w:val="fr-FR" w:bidi="ar-TN"/>
        </w:rPr>
        <w:t>إرساء الإجراءات الضرورية لفصل الموقوفين عن المحكومين والأحداث عن البالغين</w:t>
      </w:r>
      <w:r w:rsidRPr="003D2F7B">
        <w:rPr>
          <w:rFonts w:eastAsiaTheme="minorHAnsi"/>
          <w:lang w:val="fr-FR" w:bidi="ar-TN"/>
        </w:rPr>
        <w:t>.</w:t>
      </w:r>
    </w:p>
    <w:p w:rsidR="006068EE" w:rsidRPr="009F706D" w:rsidRDefault="006068EE" w:rsidP="006068EE">
      <w:pPr>
        <w:pStyle w:val="SingleTxtGA"/>
        <w:spacing w:after="100"/>
        <w:rPr>
          <w:rFonts w:eastAsiaTheme="minorHAnsi"/>
          <w:spacing w:val="-4"/>
          <w:rtl/>
          <w:lang w:val="fr-FR" w:bidi="ar-TN"/>
        </w:rPr>
      </w:pPr>
      <w:r w:rsidRPr="009F706D">
        <w:rPr>
          <w:rFonts w:eastAsiaTheme="minorHAnsi" w:hint="cs"/>
          <w:spacing w:val="-4"/>
          <w:rtl/>
          <w:lang w:val="fr-FR" w:bidi="ar-TN"/>
        </w:rPr>
        <w:t>30-</w:t>
      </w:r>
      <w:r w:rsidRPr="009F706D">
        <w:rPr>
          <w:rFonts w:eastAsiaTheme="minorHAnsi" w:hint="cs"/>
          <w:spacing w:val="-4"/>
          <w:rtl/>
          <w:lang w:val="fr-FR" w:bidi="ar-TN"/>
        </w:rPr>
        <w:tab/>
      </w:r>
      <w:r w:rsidRPr="009F706D">
        <w:rPr>
          <w:rFonts w:eastAsiaTheme="minorHAnsi"/>
          <w:spacing w:val="-4"/>
          <w:rtl/>
          <w:lang w:val="fr-FR" w:bidi="ar-TN"/>
        </w:rPr>
        <w:t>تتجه الإشارة لكون المنظومة التونسية تفصل بين المحكومين البالغين والأحداث إذ يتم إيواء البالغين بالسجون والأحداث بالإصلاحيات. غير أنه في بعض الحالات الاستثنائية المحددة بمجلة حماية الطفل، يمكن أن يتم إيواء بعض الأحداث بالسجون ولكن مع احترام عدم إدماجهم مع البالغين. وقد بلغت نسبتهم من جملة المودعين بالسجن 3.8% إلى غاية موفى ديسمبر 2016.</w:t>
      </w:r>
      <w:r w:rsidRPr="009F706D">
        <w:rPr>
          <w:rFonts w:eastAsiaTheme="minorHAnsi" w:hint="cs"/>
          <w:spacing w:val="-4"/>
          <w:rtl/>
          <w:lang w:val="fr-FR" w:bidi="ar-TN"/>
        </w:rPr>
        <w:t xml:space="preserve"> </w:t>
      </w:r>
    </w:p>
    <w:p w:rsidR="006068EE" w:rsidRPr="00970B9E" w:rsidRDefault="006068EE" w:rsidP="006068EE">
      <w:pPr>
        <w:pStyle w:val="SingleTxtGA"/>
        <w:spacing w:after="100"/>
        <w:rPr>
          <w:rFonts w:eastAsiaTheme="minorHAnsi"/>
          <w:rtl/>
          <w:lang w:val="fr-FR" w:bidi="ar-TN"/>
        </w:rPr>
      </w:pPr>
      <w:r>
        <w:rPr>
          <w:rFonts w:eastAsiaTheme="minorHAnsi" w:hint="cs"/>
          <w:rtl/>
          <w:lang w:val="fr-FR" w:bidi="ar-TN"/>
        </w:rPr>
        <w:t>31-</w:t>
      </w:r>
      <w:r>
        <w:rPr>
          <w:rFonts w:eastAsiaTheme="minorHAnsi" w:hint="cs"/>
          <w:rtl/>
          <w:lang w:val="fr-FR" w:bidi="ar-TN"/>
        </w:rPr>
        <w:tab/>
      </w:r>
      <w:r w:rsidRPr="00970B9E">
        <w:rPr>
          <w:rFonts w:eastAsiaTheme="minorHAnsi"/>
          <w:rtl/>
          <w:lang w:val="fr-FR" w:bidi="ar-TN"/>
        </w:rPr>
        <w:t>ويتم العمل على مزيد تهيئة السجون حتى يتم الفصل بين المحكومين والموقوفين مع مراجعة نظام عدالة الاحداث بما يستجيب والمعايير الدولية فيهذا الخصوص.</w:t>
      </w:r>
    </w:p>
    <w:p w:rsidR="006068EE" w:rsidRPr="003D2F7B" w:rsidRDefault="006068EE" w:rsidP="006068EE">
      <w:pPr>
        <w:pStyle w:val="SingleTxtGA"/>
        <w:spacing w:after="100"/>
        <w:rPr>
          <w:rFonts w:eastAsiaTheme="minorHAnsi"/>
          <w:spacing w:val="-4"/>
          <w:rtl/>
          <w:lang w:val="fr-FR" w:bidi="ar-TN"/>
        </w:rPr>
      </w:pPr>
      <w:r>
        <w:rPr>
          <w:rFonts w:eastAsiaTheme="minorHAnsi" w:hint="cs"/>
          <w:spacing w:val="-4"/>
          <w:rtl/>
          <w:lang w:val="fr-FR" w:bidi="ar-TN"/>
        </w:rPr>
        <w:t>32</w:t>
      </w:r>
      <w:r w:rsidRPr="003D2F7B">
        <w:rPr>
          <w:rFonts w:eastAsiaTheme="minorHAnsi"/>
          <w:spacing w:val="-4"/>
          <w:rtl/>
          <w:lang w:val="fr-FR" w:bidi="ar-TN"/>
        </w:rPr>
        <w:t>-</w:t>
      </w:r>
      <w:r w:rsidRPr="003D2F7B">
        <w:rPr>
          <w:rFonts w:eastAsiaTheme="minorHAnsi"/>
          <w:spacing w:val="-4"/>
          <w:rtl/>
          <w:lang w:val="fr-FR" w:bidi="ar-TN"/>
        </w:rPr>
        <w:tab/>
        <w:t>وتتجه الإشارة في هذا الصدد، أنه في مجال الجرائم الإرهابية وبخصوص تصنيف المساجين وطريقة التعامل مع هذا الصنف من المساجين، فإنّه يتمّ اتّخاذ الإجراءات الوقائية التالية:</w:t>
      </w:r>
    </w:p>
    <w:p w:rsidR="006068EE" w:rsidRPr="00970B9E" w:rsidRDefault="006068EE" w:rsidP="006068EE">
      <w:pPr>
        <w:pStyle w:val="Bullet1GA"/>
        <w:numPr>
          <w:ilvl w:val="0"/>
          <w:numId w:val="3"/>
        </w:numPr>
        <w:bidi/>
        <w:spacing w:after="100"/>
        <w:rPr>
          <w:rFonts w:eastAsiaTheme="minorHAnsi"/>
          <w:lang w:val="fr-FR" w:bidi="ar-TN"/>
        </w:rPr>
      </w:pPr>
      <w:r w:rsidRPr="00970B9E">
        <w:rPr>
          <w:rFonts w:eastAsiaTheme="minorHAnsi"/>
          <w:rtl/>
          <w:lang w:val="fr-FR" w:bidi="ar-TN"/>
        </w:rPr>
        <w:t>تصنيف السجناء الإرهابيين حسب درجة خطورة كل واحد منهم تبعا</w:t>
      </w:r>
      <w:r>
        <w:rPr>
          <w:rFonts w:eastAsiaTheme="minorHAnsi" w:hint="cs"/>
          <w:rtl/>
          <w:lang w:val="fr-FR" w:bidi="ar-TN"/>
        </w:rPr>
        <w:t>ً</w:t>
      </w:r>
      <w:r w:rsidRPr="00970B9E">
        <w:rPr>
          <w:rFonts w:eastAsiaTheme="minorHAnsi"/>
          <w:rtl/>
          <w:lang w:val="fr-FR" w:bidi="ar-TN"/>
        </w:rPr>
        <w:t xml:space="preserve"> للمعطيات والمعلومات المتوفّرة في شأنهم، ونوعية القضية المودع من أجلها بالسجن، ويتم اعتماد ذلك التصنيف في عمليات الإيداع بالغرف والنقلة</w:t>
      </w:r>
      <w:r>
        <w:rPr>
          <w:rFonts w:eastAsiaTheme="minorHAnsi" w:hint="cs"/>
          <w:rtl/>
          <w:lang w:val="fr-FR" w:bidi="ar-TN"/>
        </w:rPr>
        <w:t>؛</w:t>
      </w:r>
    </w:p>
    <w:p w:rsidR="006068EE" w:rsidRPr="00970B9E" w:rsidRDefault="006068EE" w:rsidP="006068EE">
      <w:pPr>
        <w:pStyle w:val="Bullet1GA"/>
        <w:numPr>
          <w:ilvl w:val="0"/>
          <w:numId w:val="3"/>
        </w:numPr>
        <w:bidi/>
        <w:spacing w:after="100"/>
        <w:rPr>
          <w:rFonts w:eastAsiaTheme="minorHAnsi"/>
          <w:lang w:val="fr-FR" w:bidi="ar-TN"/>
        </w:rPr>
      </w:pPr>
      <w:r w:rsidRPr="00970B9E">
        <w:rPr>
          <w:rFonts w:eastAsiaTheme="minorHAnsi"/>
          <w:rtl/>
          <w:lang w:val="fr-FR" w:bidi="ar-TN"/>
        </w:rPr>
        <w:t>عزل القياديين والمؤثّرين على من حولهم أمنيا بغرف انفرادية بها كامل المرافق الصحية الضرورية (</w:t>
      </w:r>
      <w:proofErr w:type="spellStart"/>
      <w:r w:rsidRPr="00970B9E">
        <w:rPr>
          <w:rFonts w:eastAsiaTheme="minorHAnsi"/>
          <w:rtl/>
          <w:lang w:val="fr-FR" w:bidi="ar-TN"/>
        </w:rPr>
        <w:t>التهوئة</w:t>
      </w:r>
      <w:proofErr w:type="spellEnd"/>
      <w:r w:rsidRPr="00970B9E">
        <w:rPr>
          <w:rFonts w:eastAsiaTheme="minorHAnsi"/>
          <w:rtl/>
          <w:lang w:val="fr-FR" w:bidi="ar-TN"/>
        </w:rPr>
        <w:t>، الإضاءة) طبقا للمعاهدات والمواثيق الدولية المتعلقة بالحرمة الجسدية والمعنوية للسجين، مع متابعتهم ومراقبتهم.</w:t>
      </w:r>
    </w:p>
    <w:p w:rsidR="006068EE" w:rsidRPr="003D2F7B" w:rsidRDefault="006068EE" w:rsidP="006068EE">
      <w:pPr>
        <w:pStyle w:val="H23GA"/>
        <w:tabs>
          <w:tab w:val="clear" w:pos="1021"/>
          <w:tab w:val="left" w:pos="2551"/>
          <w:tab w:val="left" w:pos="3260"/>
        </w:tabs>
        <w:spacing w:after="100"/>
        <w:ind w:left="1928" w:firstLine="0"/>
        <w:rPr>
          <w:rFonts w:eastAsiaTheme="minorHAnsi"/>
          <w:rtl/>
          <w:lang w:val="fr-FR" w:bidi="ar-TN"/>
        </w:rPr>
      </w:pPr>
      <w:r>
        <w:rPr>
          <w:rFonts w:eastAsiaTheme="minorHAnsi"/>
          <w:rtl/>
          <w:lang w:val="fr-FR" w:bidi="ar-TN"/>
        </w:rPr>
        <w:tab/>
      </w:r>
      <w:r w:rsidRPr="003D2F7B">
        <w:rPr>
          <w:rFonts w:eastAsiaTheme="minorHAnsi" w:hint="cs"/>
          <w:rtl/>
          <w:lang w:val="fr-FR" w:bidi="ar-TN"/>
        </w:rPr>
        <w:t>(</w:t>
      </w:r>
      <w:r w:rsidRPr="003D2F7B">
        <w:rPr>
          <w:rFonts w:eastAsiaTheme="minorHAnsi"/>
          <w:rtl/>
          <w:lang w:val="fr-FR" w:bidi="ar-TN"/>
        </w:rPr>
        <w:t>ه)</w:t>
      </w:r>
      <w:r>
        <w:rPr>
          <w:rFonts w:eastAsiaTheme="minorHAnsi" w:hint="cs"/>
          <w:rtl/>
          <w:lang w:val="fr-FR" w:bidi="ar-TN"/>
        </w:rPr>
        <w:tab/>
      </w:r>
      <w:r w:rsidRPr="003D2F7B">
        <w:rPr>
          <w:rFonts w:eastAsiaTheme="minorHAnsi"/>
          <w:rtl/>
          <w:lang w:val="fr-FR" w:bidi="ar-TN"/>
        </w:rPr>
        <w:t>الترفيع في عدد الموظفين المختصين في المؤسسات السجنية.</w:t>
      </w:r>
    </w:p>
    <w:p w:rsidR="006068EE" w:rsidRPr="00970B9E" w:rsidRDefault="006068EE" w:rsidP="006068EE">
      <w:pPr>
        <w:pStyle w:val="SingleTxtGA"/>
        <w:spacing w:after="100"/>
        <w:rPr>
          <w:rFonts w:eastAsiaTheme="minorHAnsi"/>
          <w:rtl/>
          <w:lang w:val="fr-FR" w:bidi="ar-TN"/>
        </w:rPr>
      </w:pPr>
      <w:r>
        <w:rPr>
          <w:rFonts w:eastAsiaTheme="minorHAnsi" w:hint="cs"/>
          <w:rtl/>
          <w:lang w:val="fr-FR" w:bidi="ar-TN"/>
        </w:rPr>
        <w:t>33-</w:t>
      </w:r>
      <w:r>
        <w:rPr>
          <w:rFonts w:eastAsiaTheme="minorHAnsi" w:hint="cs"/>
          <w:rtl/>
          <w:lang w:val="fr-FR" w:bidi="ar-TN"/>
        </w:rPr>
        <w:tab/>
      </w:r>
      <w:r w:rsidRPr="00970B9E">
        <w:rPr>
          <w:rFonts w:eastAsiaTheme="minorHAnsi"/>
          <w:rtl/>
          <w:lang w:val="fr-FR" w:bidi="ar-TN"/>
        </w:rPr>
        <w:t>فضلا عن العمل على ترفيع عدد الموظفين في المؤسسات السجنية بما يتماشى والتوسيع في السجون الحالية وبناء سجون جديدة، تعمل وزارة العدل على تأهيل وتدعيم الكفاءات العاملة بالإدارة العامة للسجون والإصلاح وجعلها مختصة من خلال العمل على نشر ثقافة حقوق الإنسان إذ تقوم بالتعاون مع مكتب المفوضية السامية لحقوق الإنسان بتونس على تنظيم دورات تدريبية انتفع بها قرابة 1600 إطار وعون عامل بالسجون. وتتضمن هذه الدورات التكوينية تقديما عاما للمعايير الدولية لحقوق الإنسان من جهة ولدور أعوان السجون والإصلاح في تعزيز حقوق الإنسان في المؤسسات السجنية والإصلاحية من جهة أخرى وخصوصا فيما يتعلق بإعادة تأهيل السجين وإصلاحه وإدماجه عند تنفيذ العقوبة.</w:t>
      </w:r>
    </w:p>
    <w:p w:rsidR="006068EE" w:rsidRPr="00970B9E" w:rsidRDefault="006068EE" w:rsidP="006068EE">
      <w:pPr>
        <w:pStyle w:val="SingleTxtGA"/>
        <w:rPr>
          <w:rFonts w:eastAsiaTheme="minorHAnsi"/>
          <w:rtl/>
          <w:lang w:val="fr-FR" w:bidi="ar-TN"/>
        </w:rPr>
      </w:pPr>
      <w:r>
        <w:rPr>
          <w:rFonts w:eastAsiaTheme="minorHAnsi" w:hint="cs"/>
          <w:rtl/>
          <w:lang w:val="fr-FR" w:bidi="ar-TN"/>
        </w:rPr>
        <w:t>34-</w:t>
      </w:r>
      <w:r>
        <w:rPr>
          <w:rFonts w:eastAsiaTheme="minorHAnsi" w:hint="cs"/>
          <w:rtl/>
          <w:lang w:val="fr-FR" w:bidi="ar-TN"/>
        </w:rPr>
        <w:tab/>
      </w:r>
      <w:r w:rsidRPr="00970B9E">
        <w:rPr>
          <w:rFonts w:eastAsiaTheme="minorHAnsi"/>
          <w:rtl/>
          <w:lang w:val="fr-FR" w:bidi="ar-TN"/>
        </w:rPr>
        <w:t xml:space="preserve">كما تم في إطار تنفيذ اتفاقية شراكة بين وزارة المرأة والأسرة والطفولة ووزارة العدل تنظيم عددا من الدورات التدريبية حول نشر ثقافة حقوق الطفل </w:t>
      </w:r>
      <w:proofErr w:type="spellStart"/>
      <w:r w:rsidRPr="00970B9E">
        <w:rPr>
          <w:rFonts w:eastAsiaTheme="minorHAnsi"/>
          <w:rtl/>
          <w:lang w:val="fr-FR" w:bidi="ar-TN"/>
        </w:rPr>
        <w:t>والتوقي</w:t>
      </w:r>
      <w:proofErr w:type="spellEnd"/>
      <w:r w:rsidRPr="00970B9E">
        <w:rPr>
          <w:rFonts w:eastAsiaTheme="minorHAnsi"/>
          <w:rtl/>
          <w:lang w:val="fr-FR" w:bidi="ar-TN"/>
        </w:rPr>
        <w:t xml:space="preserve"> من العنف ضد الأطفال" شملت خلال سنتي 2015 و2016 أكثر من مائتي مشارك. </w:t>
      </w:r>
    </w:p>
    <w:p w:rsidR="006068EE" w:rsidRPr="00970B9E" w:rsidRDefault="006068EE" w:rsidP="006068EE">
      <w:pPr>
        <w:pStyle w:val="SingleTxtGA"/>
        <w:rPr>
          <w:rFonts w:eastAsiaTheme="minorHAnsi"/>
          <w:rtl/>
          <w:lang w:val="fr-FR" w:bidi="ar-TN"/>
        </w:rPr>
      </w:pPr>
      <w:r>
        <w:rPr>
          <w:rFonts w:eastAsiaTheme="minorHAnsi" w:hint="cs"/>
          <w:rtl/>
          <w:lang w:val="fr-FR" w:bidi="ar-TN"/>
        </w:rPr>
        <w:t>35-</w:t>
      </w:r>
      <w:r>
        <w:rPr>
          <w:rFonts w:eastAsiaTheme="minorHAnsi" w:hint="cs"/>
          <w:rtl/>
          <w:lang w:val="fr-FR" w:bidi="ar-TN"/>
        </w:rPr>
        <w:tab/>
      </w:r>
      <w:r w:rsidRPr="00970B9E">
        <w:rPr>
          <w:rFonts w:eastAsiaTheme="minorHAnsi"/>
          <w:rtl/>
          <w:lang w:val="fr-FR" w:bidi="ar-TN"/>
        </w:rPr>
        <w:t>كما تم خلال سنة 2016 إعادة تحيين البرنامج العام لوحدة حقوق الإنسان في مجال التكوين الأساسي الموجه لكافة الهيئات.</w:t>
      </w:r>
    </w:p>
    <w:p w:rsidR="006068EE" w:rsidRPr="003D2F7B" w:rsidRDefault="006068EE" w:rsidP="006068EE">
      <w:pPr>
        <w:pStyle w:val="H23GA"/>
        <w:tabs>
          <w:tab w:val="clear" w:pos="1021"/>
          <w:tab w:val="left" w:pos="2551"/>
          <w:tab w:val="left" w:pos="3260"/>
        </w:tabs>
        <w:ind w:left="1926" w:firstLine="0"/>
        <w:rPr>
          <w:rFonts w:eastAsiaTheme="minorHAnsi"/>
          <w:rtl/>
          <w:lang w:val="fr-FR" w:bidi="ar-TN"/>
        </w:rPr>
      </w:pPr>
      <w:r>
        <w:rPr>
          <w:rFonts w:eastAsiaTheme="minorHAnsi"/>
          <w:rtl/>
          <w:lang w:val="fr-FR" w:bidi="ar-TN"/>
        </w:rPr>
        <w:lastRenderedPageBreak/>
        <w:tab/>
      </w:r>
      <w:r>
        <w:rPr>
          <w:rFonts w:eastAsiaTheme="minorHAnsi" w:hint="cs"/>
          <w:rtl/>
          <w:lang w:val="fr-FR" w:bidi="ar-TN"/>
        </w:rPr>
        <w:t>(</w:t>
      </w:r>
      <w:r w:rsidRPr="003D2F7B">
        <w:rPr>
          <w:rFonts w:eastAsiaTheme="minorHAnsi"/>
          <w:rtl/>
          <w:lang w:val="fr-FR" w:bidi="ar-TN"/>
        </w:rPr>
        <w:t>و)</w:t>
      </w:r>
      <w:r>
        <w:rPr>
          <w:rFonts w:eastAsiaTheme="minorHAnsi" w:hint="cs"/>
          <w:rtl/>
          <w:lang w:val="fr-FR" w:bidi="ar-TN"/>
        </w:rPr>
        <w:tab/>
      </w:r>
      <w:r w:rsidRPr="003D2F7B">
        <w:rPr>
          <w:rFonts w:eastAsiaTheme="minorHAnsi"/>
          <w:rtl/>
          <w:lang w:val="fr-FR" w:bidi="ar-TN"/>
        </w:rPr>
        <w:t>ضمان توفير الخدمات الصحية في كافة المؤسسات السجنية.</w:t>
      </w:r>
    </w:p>
    <w:p w:rsidR="006068EE" w:rsidRPr="00970B9E" w:rsidRDefault="006068EE" w:rsidP="009F706D">
      <w:pPr>
        <w:pStyle w:val="SingleTxtGA"/>
        <w:spacing w:after="100"/>
        <w:rPr>
          <w:rFonts w:eastAsiaTheme="minorHAnsi"/>
          <w:lang w:val="fr-FR" w:bidi="ar-TN"/>
        </w:rPr>
      </w:pPr>
      <w:r>
        <w:rPr>
          <w:rFonts w:eastAsiaTheme="minorHAnsi" w:hint="cs"/>
          <w:rtl/>
          <w:lang w:val="fr-FR" w:bidi="ar-TN"/>
        </w:rPr>
        <w:t>36-</w:t>
      </w:r>
      <w:r>
        <w:rPr>
          <w:rFonts w:eastAsiaTheme="minorHAnsi" w:hint="cs"/>
          <w:rtl/>
          <w:lang w:val="fr-FR" w:bidi="ar-TN"/>
        </w:rPr>
        <w:tab/>
      </w:r>
      <w:r w:rsidRPr="00970B9E">
        <w:rPr>
          <w:rFonts w:eastAsiaTheme="minorHAnsi"/>
          <w:rtl/>
          <w:lang w:val="fr-FR" w:bidi="ar-TN"/>
        </w:rPr>
        <w:t>تتوفر الخدمات الصحية بكافة المؤسسات السجنية. وتعمل وزارة العدل على تطوير تلك الخدمات سواء من حيث البنية التحتية كتهيئة وتوسعة المصحة بسجن برج العامري او من خلال الإطار العامل عليها.</w:t>
      </w:r>
    </w:p>
    <w:p w:rsidR="006068EE" w:rsidRPr="003D2F7B" w:rsidRDefault="006068EE" w:rsidP="009F706D">
      <w:pPr>
        <w:pStyle w:val="SingleTxtGA"/>
        <w:spacing w:after="100"/>
        <w:rPr>
          <w:rFonts w:eastAsiaTheme="minorHAnsi"/>
          <w:spacing w:val="-6"/>
          <w:rtl/>
          <w:lang w:val="fr-FR" w:bidi="ar-TN"/>
        </w:rPr>
      </w:pPr>
      <w:r>
        <w:rPr>
          <w:rFonts w:eastAsiaTheme="minorHAnsi" w:hint="cs"/>
          <w:spacing w:val="-6"/>
          <w:rtl/>
          <w:lang w:val="fr-FR" w:bidi="ar-TN"/>
        </w:rPr>
        <w:t>37</w:t>
      </w:r>
      <w:r w:rsidRPr="003D2F7B">
        <w:rPr>
          <w:rFonts w:eastAsiaTheme="minorHAnsi"/>
          <w:spacing w:val="-6"/>
          <w:rtl/>
          <w:lang w:val="fr-FR" w:bidi="ar-TN"/>
        </w:rPr>
        <w:t>-</w:t>
      </w:r>
      <w:r w:rsidRPr="003D2F7B">
        <w:rPr>
          <w:rFonts w:eastAsiaTheme="minorHAnsi"/>
          <w:spacing w:val="-6"/>
          <w:rtl/>
          <w:lang w:val="fr-FR" w:bidi="ar-TN"/>
        </w:rPr>
        <w:tab/>
        <w:t xml:space="preserve">كما تم </w:t>
      </w:r>
      <w:proofErr w:type="spellStart"/>
      <w:r w:rsidRPr="003D2F7B">
        <w:rPr>
          <w:rFonts w:eastAsiaTheme="minorHAnsi"/>
          <w:spacing w:val="-6"/>
          <w:rtl/>
          <w:lang w:val="fr-FR" w:bidi="ar-TN"/>
        </w:rPr>
        <w:t>إنتداب</w:t>
      </w:r>
      <w:proofErr w:type="spellEnd"/>
      <w:r w:rsidRPr="003D2F7B">
        <w:rPr>
          <w:rFonts w:eastAsiaTheme="minorHAnsi"/>
          <w:spacing w:val="-6"/>
          <w:rtl/>
          <w:lang w:val="fr-FR" w:bidi="ar-TN"/>
        </w:rPr>
        <w:t xml:space="preserve"> 10 أطباء عامون كامل الوقت و57 مساعد صحي </w:t>
      </w:r>
      <w:r w:rsidRPr="003D2F7B">
        <w:rPr>
          <w:rFonts w:eastAsiaTheme="minorHAnsi" w:hint="cs"/>
          <w:spacing w:val="-6"/>
          <w:rtl/>
          <w:lang w:val="fr-FR" w:bidi="ar-TN"/>
        </w:rPr>
        <w:t>واقتناء</w:t>
      </w:r>
      <w:r w:rsidRPr="003D2F7B">
        <w:rPr>
          <w:rFonts w:eastAsiaTheme="minorHAnsi"/>
          <w:spacing w:val="-6"/>
          <w:rtl/>
          <w:lang w:val="fr-FR" w:bidi="ar-TN"/>
        </w:rPr>
        <w:t xml:space="preserve"> 3 سيارات إسعاف فضلا عن تركيز وحدة تحاليل طبيّة بسجن </w:t>
      </w:r>
      <w:proofErr w:type="spellStart"/>
      <w:r w:rsidRPr="003D2F7B">
        <w:rPr>
          <w:rFonts w:eastAsiaTheme="minorHAnsi"/>
          <w:spacing w:val="-6"/>
          <w:rtl/>
          <w:lang w:val="fr-FR" w:bidi="ar-TN"/>
        </w:rPr>
        <w:t>المرناقية</w:t>
      </w:r>
      <w:proofErr w:type="spellEnd"/>
      <w:r w:rsidRPr="003D2F7B">
        <w:rPr>
          <w:rFonts w:eastAsiaTheme="minorHAnsi"/>
          <w:spacing w:val="-6"/>
          <w:rtl/>
          <w:lang w:val="fr-FR" w:bidi="ar-TN"/>
        </w:rPr>
        <w:t xml:space="preserve"> بالتعاون مع اللجنة الدولية للصليب الأحمر.</w:t>
      </w:r>
    </w:p>
    <w:p w:rsidR="006068EE" w:rsidRPr="003D2F7B" w:rsidRDefault="006068EE" w:rsidP="009F706D">
      <w:pPr>
        <w:pStyle w:val="SingleTxtGA"/>
        <w:spacing w:after="100"/>
        <w:rPr>
          <w:rFonts w:eastAsiaTheme="minorHAnsi"/>
          <w:spacing w:val="-4"/>
          <w:rtl/>
          <w:lang w:val="fr-FR" w:bidi="ar-TN"/>
        </w:rPr>
      </w:pPr>
      <w:r>
        <w:rPr>
          <w:rFonts w:eastAsiaTheme="minorHAnsi" w:hint="cs"/>
          <w:spacing w:val="-4"/>
          <w:rtl/>
          <w:lang w:val="fr-FR" w:bidi="ar-TN"/>
        </w:rPr>
        <w:t>38</w:t>
      </w:r>
      <w:r w:rsidRPr="003D2F7B">
        <w:rPr>
          <w:rFonts w:eastAsiaTheme="minorHAnsi"/>
          <w:spacing w:val="-4"/>
          <w:rtl/>
          <w:lang w:val="fr-FR" w:bidi="ar-TN"/>
        </w:rPr>
        <w:t>-</w:t>
      </w:r>
      <w:r w:rsidRPr="003D2F7B">
        <w:rPr>
          <w:rFonts w:eastAsiaTheme="minorHAnsi"/>
          <w:spacing w:val="-4"/>
          <w:rtl/>
          <w:lang w:val="fr-FR" w:bidi="ar-TN"/>
        </w:rPr>
        <w:tab/>
        <w:t xml:space="preserve">وقد </w:t>
      </w:r>
      <w:proofErr w:type="spellStart"/>
      <w:r w:rsidRPr="003D2F7B">
        <w:rPr>
          <w:rFonts w:eastAsiaTheme="minorHAnsi"/>
          <w:spacing w:val="-4"/>
          <w:rtl/>
          <w:lang w:val="fr-FR" w:bidi="ar-TN"/>
        </w:rPr>
        <w:t>وضعتى</w:t>
      </w:r>
      <w:proofErr w:type="spellEnd"/>
      <w:r w:rsidRPr="003D2F7B">
        <w:rPr>
          <w:rFonts w:eastAsiaTheme="minorHAnsi"/>
          <w:spacing w:val="-4"/>
          <w:rtl/>
          <w:lang w:val="fr-FR" w:bidi="ar-TN"/>
        </w:rPr>
        <w:t xml:space="preserve"> وزارة العدل جملة من البرامج لتعزيز لخدمات الطبية تتمثل بالخصوص فما يلي:</w:t>
      </w:r>
    </w:p>
    <w:p w:rsidR="006068EE" w:rsidRPr="00970B9E" w:rsidRDefault="006068EE" w:rsidP="009F706D">
      <w:pPr>
        <w:pStyle w:val="Bullet1GA"/>
        <w:numPr>
          <w:ilvl w:val="0"/>
          <w:numId w:val="3"/>
        </w:numPr>
        <w:bidi/>
        <w:spacing w:after="100"/>
        <w:rPr>
          <w:rFonts w:eastAsiaTheme="minorHAnsi"/>
          <w:rtl/>
          <w:lang w:val="fr-FR" w:bidi="ar-TN"/>
        </w:rPr>
      </w:pPr>
      <w:r w:rsidRPr="00970B9E">
        <w:rPr>
          <w:rFonts w:eastAsiaTheme="minorHAnsi"/>
          <w:rtl/>
          <w:lang w:val="fr-FR" w:bidi="ar-TN"/>
        </w:rPr>
        <w:t xml:space="preserve">تمّ </w:t>
      </w:r>
      <w:proofErr w:type="spellStart"/>
      <w:r w:rsidRPr="00970B9E">
        <w:rPr>
          <w:rFonts w:eastAsiaTheme="minorHAnsi"/>
          <w:rtl/>
          <w:lang w:val="fr-FR" w:bidi="ar-TN"/>
        </w:rPr>
        <w:t>الإتفاق</w:t>
      </w:r>
      <w:proofErr w:type="spellEnd"/>
      <w:r w:rsidRPr="00970B9E">
        <w:rPr>
          <w:rFonts w:eastAsiaTheme="minorHAnsi"/>
          <w:rtl/>
          <w:lang w:val="fr-FR" w:bidi="ar-TN"/>
        </w:rPr>
        <w:t xml:space="preserve"> مع مدرسة الصحة العسكرية لتكوين عدد 30 عامل بمجال التمريض للحصول على مؤهل صحي درجة ثانية خلال شهر </w:t>
      </w:r>
      <w:proofErr w:type="spellStart"/>
      <w:r w:rsidRPr="00970B9E">
        <w:rPr>
          <w:rFonts w:eastAsiaTheme="minorHAnsi"/>
          <w:rtl/>
          <w:lang w:val="fr-FR" w:bidi="ar-TN"/>
        </w:rPr>
        <w:t>أفريل</w:t>
      </w:r>
      <w:proofErr w:type="spellEnd"/>
      <w:r w:rsidRPr="00970B9E">
        <w:rPr>
          <w:rFonts w:eastAsiaTheme="minorHAnsi"/>
          <w:rtl/>
          <w:lang w:val="fr-FR" w:bidi="ar-TN"/>
        </w:rPr>
        <w:t xml:space="preserve"> 2017 ومثلها خلال شهر سبتمبر 2017</w:t>
      </w:r>
      <w:r>
        <w:rPr>
          <w:rFonts w:eastAsiaTheme="minorHAnsi" w:hint="cs"/>
          <w:rtl/>
          <w:lang w:val="fr-FR" w:bidi="ar-TN"/>
        </w:rPr>
        <w:t>؛</w:t>
      </w:r>
    </w:p>
    <w:p w:rsidR="006068EE" w:rsidRPr="00970B9E" w:rsidRDefault="006068EE" w:rsidP="009F706D">
      <w:pPr>
        <w:pStyle w:val="Bullet1GA"/>
        <w:numPr>
          <w:ilvl w:val="0"/>
          <w:numId w:val="3"/>
        </w:numPr>
        <w:bidi/>
        <w:spacing w:after="100"/>
        <w:rPr>
          <w:rFonts w:eastAsiaTheme="minorHAnsi"/>
          <w:rtl/>
          <w:lang w:val="fr-FR" w:bidi="ar-TN"/>
        </w:rPr>
      </w:pPr>
      <w:r w:rsidRPr="00970B9E">
        <w:rPr>
          <w:rFonts w:eastAsiaTheme="minorHAnsi"/>
          <w:rtl/>
          <w:lang w:val="fr-FR" w:bidi="ar-TN"/>
        </w:rPr>
        <w:t>انتداب عدد 6 أطباء عامون كامل الوقت و2 طبيب أسنان للصحة العمومية (انتداب من طرف وزارة الصحة وإلحاقهم بالإدارة العامة للسجون والإصلاح) و7 فنيين سامين</w:t>
      </w:r>
      <w:r>
        <w:rPr>
          <w:rFonts w:eastAsiaTheme="minorHAnsi" w:hint="cs"/>
          <w:rtl/>
          <w:lang w:val="fr-FR" w:bidi="ar-TN"/>
        </w:rPr>
        <w:t>؛</w:t>
      </w:r>
    </w:p>
    <w:p w:rsidR="006068EE" w:rsidRPr="006A0A92" w:rsidRDefault="006068EE" w:rsidP="009F706D">
      <w:pPr>
        <w:pStyle w:val="Bullet1GA"/>
        <w:numPr>
          <w:ilvl w:val="0"/>
          <w:numId w:val="3"/>
        </w:numPr>
        <w:bidi/>
        <w:spacing w:after="100"/>
        <w:rPr>
          <w:rFonts w:eastAsiaTheme="minorHAnsi"/>
          <w:spacing w:val="-6"/>
          <w:rtl/>
          <w:lang w:val="fr-FR" w:bidi="ar-TN"/>
        </w:rPr>
      </w:pPr>
      <w:r w:rsidRPr="006A0A92">
        <w:rPr>
          <w:rFonts w:eastAsiaTheme="minorHAnsi"/>
          <w:spacing w:val="-6"/>
          <w:rtl/>
          <w:lang w:val="fr-FR" w:bidi="ar-TN"/>
        </w:rPr>
        <w:t xml:space="preserve">تنفيذا </w:t>
      </w:r>
      <w:proofErr w:type="spellStart"/>
      <w:r w:rsidRPr="006A0A92">
        <w:rPr>
          <w:rFonts w:eastAsiaTheme="minorHAnsi"/>
          <w:spacing w:val="-6"/>
          <w:rtl/>
          <w:lang w:val="fr-FR" w:bidi="ar-TN"/>
        </w:rPr>
        <w:t>للإتفاقية</w:t>
      </w:r>
      <w:proofErr w:type="spellEnd"/>
      <w:r w:rsidRPr="006A0A92">
        <w:rPr>
          <w:rFonts w:eastAsiaTheme="minorHAnsi"/>
          <w:spacing w:val="-6"/>
          <w:rtl/>
          <w:lang w:val="fr-FR" w:bidi="ar-TN"/>
        </w:rPr>
        <w:t xml:space="preserve"> المبرمة مع مكتب</w:t>
      </w:r>
      <w:r w:rsidRPr="006A0A92">
        <w:rPr>
          <w:rFonts w:eastAsiaTheme="minorHAnsi"/>
          <w:spacing w:val="-6"/>
          <w:rtl/>
          <w:lang w:val="fr-FR"/>
        </w:rPr>
        <w:t> </w:t>
      </w:r>
      <w:r w:rsidRPr="006A0A92">
        <w:rPr>
          <w:rFonts w:eastAsiaTheme="minorHAnsi"/>
          <w:spacing w:val="-6"/>
          <w:lang w:val="fr-FR" w:bidi="ar-TN"/>
        </w:rPr>
        <w:t>UNODC</w:t>
      </w:r>
      <w:r w:rsidRPr="006A0A92">
        <w:rPr>
          <w:rFonts w:eastAsiaTheme="minorHAnsi"/>
          <w:spacing w:val="-6"/>
          <w:rtl/>
          <w:lang w:val="fr-FR"/>
        </w:rPr>
        <w:t> </w:t>
      </w:r>
      <w:r w:rsidRPr="006A0A92">
        <w:rPr>
          <w:rFonts w:eastAsiaTheme="minorHAnsi"/>
          <w:spacing w:val="-6"/>
          <w:rtl/>
          <w:lang w:val="fr-FR" w:bidi="ar-TN"/>
        </w:rPr>
        <w:t>سيتم العمل بعدد 4 سجون نموذجية ومركزية إصلاح في إطار برنامج الإحاطة الطبية والنفسية والاجتماعية للمدمنين على المخدرات ومرضى فقدان المناعة المكتسبة وفيروس التهاب الكبد ومرضى السلّ</w:t>
      </w:r>
      <w:r w:rsidRPr="006A0A92">
        <w:rPr>
          <w:rFonts w:eastAsiaTheme="minorHAnsi" w:hint="cs"/>
          <w:spacing w:val="-6"/>
          <w:rtl/>
          <w:lang w:val="fr-FR" w:bidi="ar-TN"/>
        </w:rPr>
        <w:t>.</w:t>
      </w:r>
    </w:p>
    <w:p w:rsidR="006068EE" w:rsidRPr="003D2F7B" w:rsidRDefault="006068EE" w:rsidP="009F706D">
      <w:pPr>
        <w:pStyle w:val="H23GA"/>
        <w:tabs>
          <w:tab w:val="clear" w:pos="1021"/>
          <w:tab w:val="left" w:pos="2551"/>
          <w:tab w:val="left" w:pos="3260"/>
        </w:tabs>
        <w:spacing w:after="100"/>
        <w:ind w:left="1926" w:firstLine="0"/>
        <w:rPr>
          <w:rFonts w:eastAsiaTheme="minorHAnsi"/>
          <w:rtl/>
          <w:lang w:val="fr-FR" w:bidi="ar-TN"/>
        </w:rPr>
      </w:pPr>
      <w:r>
        <w:rPr>
          <w:rFonts w:eastAsiaTheme="minorHAnsi"/>
          <w:rtl/>
          <w:lang w:val="fr-FR" w:bidi="ar-TN"/>
        </w:rPr>
        <w:tab/>
      </w:r>
      <w:r>
        <w:rPr>
          <w:rFonts w:eastAsiaTheme="minorHAnsi" w:hint="cs"/>
          <w:rtl/>
          <w:lang w:val="fr-FR" w:bidi="ar-TN"/>
        </w:rPr>
        <w:t>(</w:t>
      </w:r>
      <w:r w:rsidRPr="003D2F7B">
        <w:rPr>
          <w:rFonts w:eastAsiaTheme="minorHAnsi"/>
          <w:rtl/>
          <w:lang w:val="fr-FR" w:bidi="ar-TN"/>
        </w:rPr>
        <w:t>ز)</w:t>
      </w:r>
      <w:r>
        <w:rPr>
          <w:rFonts w:eastAsiaTheme="minorHAnsi" w:hint="cs"/>
          <w:rtl/>
          <w:lang w:val="fr-FR" w:bidi="ar-TN"/>
        </w:rPr>
        <w:tab/>
      </w:r>
      <w:r w:rsidRPr="003D2F7B">
        <w:rPr>
          <w:rFonts w:eastAsiaTheme="minorHAnsi"/>
          <w:rtl/>
          <w:lang w:val="fr-FR" w:bidi="ar-TN"/>
        </w:rPr>
        <w:t xml:space="preserve">الحدّ من اللجوء الى عقوبة السجن الانفرادي وإخضاعها الى الرقابة القضائية وفق المعايير الدولية. </w:t>
      </w:r>
    </w:p>
    <w:p w:rsidR="006068EE" w:rsidRPr="00970B9E" w:rsidRDefault="006068EE" w:rsidP="009F706D">
      <w:pPr>
        <w:pStyle w:val="SingleTxtGA"/>
        <w:spacing w:after="100"/>
        <w:rPr>
          <w:rFonts w:eastAsiaTheme="minorHAnsi"/>
          <w:rtl/>
          <w:lang w:val="fr-FR" w:bidi="ar-TN"/>
        </w:rPr>
      </w:pPr>
      <w:r>
        <w:rPr>
          <w:rFonts w:eastAsiaTheme="minorHAnsi" w:hint="cs"/>
          <w:rtl/>
          <w:lang w:val="fr-FR" w:bidi="ar-TN"/>
        </w:rPr>
        <w:t>39-</w:t>
      </w:r>
      <w:r>
        <w:rPr>
          <w:rFonts w:eastAsiaTheme="minorHAnsi" w:hint="cs"/>
          <w:rtl/>
          <w:lang w:val="fr-FR" w:bidi="ar-TN"/>
        </w:rPr>
        <w:tab/>
      </w:r>
      <w:r w:rsidRPr="00970B9E">
        <w:rPr>
          <w:rFonts w:eastAsiaTheme="minorHAnsi"/>
          <w:rtl/>
          <w:lang w:val="fr-FR" w:bidi="ar-TN"/>
        </w:rPr>
        <w:t>يتم العمل حاليا على مراجعة قانون السجون بلسنة 2002 للاستجابة للمعايير الدولية في هذا الصدد.</w:t>
      </w:r>
    </w:p>
    <w:p w:rsidR="006068EE" w:rsidRPr="00970B9E" w:rsidRDefault="006068EE" w:rsidP="009F706D">
      <w:pPr>
        <w:pStyle w:val="SingleTxtGA"/>
        <w:spacing w:after="100"/>
        <w:rPr>
          <w:rFonts w:eastAsiaTheme="minorHAnsi"/>
          <w:rtl/>
          <w:lang w:val="fr-FR" w:bidi="ar-TN"/>
        </w:rPr>
      </w:pPr>
      <w:r>
        <w:rPr>
          <w:rFonts w:eastAsiaTheme="minorHAnsi" w:hint="cs"/>
          <w:rtl/>
          <w:lang w:val="fr-FR" w:bidi="ar-TN"/>
        </w:rPr>
        <w:t>40-</w:t>
      </w:r>
      <w:r>
        <w:rPr>
          <w:rFonts w:eastAsiaTheme="minorHAnsi" w:hint="cs"/>
          <w:rtl/>
          <w:lang w:val="fr-FR" w:bidi="ar-TN"/>
        </w:rPr>
        <w:tab/>
      </w:r>
      <w:r w:rsidRPr="00970B9E">
        <w:rPr>
          <w:rFonts w:eastAsiaTheme="minorHAnsi"/>
          <w:rtl/>
          <w:lang w:val="fr-FR" w:bidi="ar-TN"/>
        </w:rPr>
        <w:t xml:space="preserve">وفي انتظار صدور ذلك القانون، يتم اللجوء للحبس </w:t>
      </w:r>
      <w:proofErr w:type="spellStart"/>
      <w:r w:rsidRPr="00970B9E">
        <w:rPr>
          <w:rFonts w:eastAsiaTheme="minorHAnsi"/>
          <w:rtl/>
          <w:lang w:val="fr-FR" w:bidi="ar-TN"/>
        </w:rPr>
        <w:t>الإنفرادي</w:t>
      </w:r>
      <w:proofErr w:type="spellEnd"/>
      <w:r w:rsidRPr="00970B9E">
        <w:rPr>
          <w:rFonts w:eastAsiaTheme="minorHAnsi"/>
          <w:rtl/>
          <w:lang w:val="fr-FR" w:bidi="ar-TN"/>
        </w:rPr>
        <w:t xml:space="preserve"> في حالات استثنائية وفي كنف احترام المعايير الدولية تمام كام في حالة القياديين الإرهابيين المؤثرين على من خولهم.</w:t>
      </w:r>
    </w:p>
    <w:p w:rsidR="006068EE" w:rsidRPr="003D2F7B" w:rsidRDefault="006068EE" w:rsidP="006068EE">
      <w:pPr>
        <w:pStyle w:val="H1GA"/>
        <w:ind w:left="1927"/>
        <w:rPr>
          <w:rFonts w:ascii="Times New Roman Bold" w:eastAsiaTheme="minorHAnsi" w:hAnsi="Times New Roman Bold"/>
          <w:b w:val="0"/>
          <w:bCs w:val="0"/>
          <w:spacing w:val="-4"/>
          <w:rtl/>
          <w:lang w:val="fr-FR" w:bidi="ar-TN"/>
        </w:rPr>
      </w:pPr>
      <w:r w:rsidRPr="003D2F7B">
        <w:rPr>
          <w:rFonts w:ascii="Times New Roman Bold" w:eastAsiaTheme="minorHAnsi" w:hAnsi="Times New Roman Bold"/>
          <w:spacing w:val="-4"/>
          <w:rtl/>
          <w:lang w:val="fr-FR" w:bidi="ar-TN"/>
        </w:rPr>
        <w:tab/>
      </w:r>
      <w:r w:rsidRPr="003D2F7B">
        <w:rPr>
          <w:rFonts w:ascii="Times New Roman Bold" w:eastAsiaTheme="minorHAnsi" w:hAnsi="Times New Roman Bold"/>
          <w:spacing w:val="-4"/>
          <w:rtl/>
          <w:lang w:val="fr-FR" w:bidi="ar-TN"/>
        </w:rPr>
        <w:tab/>
        <w:t>التوصية الثالثة: حول العدالة الانتقالية (الفقرة</w:t>
      </w:r>
      <w:r w:rsidR="006A0A92">
        <w:rPr>
          <w:rFonts w:ascii="Times New Roman Bold" w:eastAsiaTheme="minorHAnsi" w:hAnsi="Times New Roman Bold" w:hint="cs"/>
          <w:spacing w:val="-4"/>
          <w:rtl/>
          <w:lang w:val="fr-FR" w:bidi="ar-TN"/>
        </w:rPr>
        <w:t xml:space="preserve"> </w:t>
      </w:r>
      <w:r w:rsidRPr="003D2F7B">
        <w:rPr>
          <w:rFonts w:ascii="Times New Roman Bold" w:eastAsiaTheme="minorHAnsi" w:hAnsi="Times New Roman Bold"/>
          <w:spacing w:val="-4"/>
          <w:rtl/>
          <w:lang w:val="fr-FR" w:bidi="ar-TN"/>
        </w:rPr>
        <w:t>38 من التوصيات الختامية)</w:t>
      </w:r>
    </w:p>
    <w:p w:rsidR="006068EE" w:rsidRPr="00970B9E" w:rsidRDefault="006068EE" w:rsidP="009F706D">
      <w:pPr>
        <w:pStyle w:val="SingleTxtGA"/>
        <w:spacing w:after="100"/>
        <w:rPr>
          <w:rFonts w:eastAsiaTheme="minorHAnsi"/>
          <w:rtl/>
          <w:lang w:val="fr-FR" w:bidi="ar-TN"/>
        </w:rPr>
      </w:pPr>
      <w:r>
        <w:rPr>
          <w:rFonts w:eastAsiaTheme="minorHAnsi" w:hint="cs"/>
          <w:rtl/>
          <w:lang w:val="fr-FR" w:bidi="ar-TN"/>
        </w:rPr>
        <w:t>41-</w:t>
      </w:r>
      <w:r>
        <w:rPr>
          <w:rFonts w:eastAsiaTheme="minorHAnsi" w:hint="cs"/>
          <w:rtl/>
          <w:lang w:val="fr-FR" w:bidi="ar-TN"/>
        </w:rPr>
        <w:tab/>
      </w:r>
      <w:r w:rsidRPr="00970B9E">
        <w:rPr>
          <w:rFonts w:eastAsiaTheme="minorHAnsi"/>
          <w:rtl/>
          <w:lang w:val="fr-FR" w:bidi="ar-TN"/>
        </w:rPr>
        <w:t>تعدّ هيئة الحقيقة والكرامة تقديراتها السنوية الخاصة بميزانيتها وتناقشها امام مجلس نوّاب الشعب وتتولّى وزارة المالية توفير الموارد المطلوبة</w:t>
      </w:r>
      <w:r>
        <w:rPr>
          <w:rFonts w:eastAsiaTheme="minorHAnsi"/>
          <w:rtl/>
          <w:lang w:val="fr-FR" w:bidi="ar-TN"/>
        </w:rPr>
        <w:t xml:space="preserve"> و</w:t>
      </w:r>
      <w:r w:rsidRPr="00970B9E">
        <w:rPr>
          <w:rFonts w:eastAsiaTheme="minorHAnsi"/>
          <w:rtl/>
          <w:lang w:val="fr-FR" w:bidi="ar-TN"/>
        </w:rPr>
        <w:t>ترسيم الاعتمادات الازمة.</w:t>
      </w:r>
    </w:p>
    <w:p w:rsidR="006068EE" w:rsidRPr="006A0A92" w:rsidRDefault="006068EE" w:rsidP="009F706D">
      <w:pPr>
        <w:pStyle w:val="SingleTxtGA"/>
        <w:spacing w:after="100"/>
        <w:rPr>
          <w:rFonts w:eastAsiaTheme="minorHAnsi"/>
          <w:spacing w:val="-5"/>
          <w:rtl/>
          <w:lang w:val="fr-FR" w:bidi="ar-TN"/>
        </w:rPr>
      </w:pPr>
      <w:r w:rsidRPr="006A0A92">
        <w:rPr>
          <w:rFonts w:eastAsiaTheme="minorHAnsi" w:hint="cs"/>
          <w:spacing w:val="-5"/>
          <w:rtl/>
          <w:lang w:val="fr-FR" w:bidi="ar-TN"/>
        </w:rPr>
        <w:t>42-</w:t>
      </w:r>
      <w:r w:rsidRPr="006A0A92" w:rsidDel="00202EAC">
        <w:rPr>
          <w:rFonts w:eastAsiaTheme="minorHAnsi"/>
          <w:spacing w:val="-5"/>
          <w:rtl/>
          <w:lang w:val="fr-FR" w:bidi="ar-TN"/>
        </w:rPr>
        <w:t xml:space="preserve"> </w:t>
      </w:r>
      <w:r w:rsidRPr="006A0A92">
        <w:rPr>
          <w:rFonts w:eastAsiaTheme="minorHAnsi" w:hint="cs"/>
          <w:spacing w:val="-5"/>
          <w:rtl/>
          <w:lang w:val="fr-FR" w:bidi="ar-TN"/>
        </w:rPr>
        <w:tab/>
      </w:r>
      <w:r w:rsidRPr="006A0A92">
        <w:rPr>
          <w:rFonts w:eastAsiaTheme="minorHAnsi"/>
          <w:spacing w:val="-5"/>
          <w:rtl/>
          <w:lang w:val="fr-FR" w:bidi="ar-TN"/>
        </w:rPr>
        <w:t xml:space="preserve">تتولى هيئة الحقيقة والكرامة تلقي الشكاوى والعرائض المتعلقة بالانتهاكات والتحقيق فيها وفق احكام الفصل 40 من القانون الأساسي عدد 53 المؤرخ في 24 ديسمبر 2013 ثمّ تحيل الملفات التي يثبت لها فيها ارتكاب انتهاكات جسيمة لحقوق الانسان الى النيابة العمومية وفق أحكام الفصل 42 من القانون المذكور والتي تتولّى بدورها احالتها على الدوائر القضائية المتخصصة المنصوص عليها بالفصل 8 من نفس القانون والتي تمّ احداثها بمقتضى </w:t>
      </w:r>
      <w:r w:rsidRPr="006A0A92">
        <w:rPr>
          <w:rFonts w:eastAsiaTheme="minorHAnsi" w:hint="cs"/>
          <w:spacing w:val="-5"/>
          <w:rtl/>
          <w:lang w:val="fr-FR" w:bidi="ar-TN"/>
        </w:rPr>
        <w:t>الأمر الحكومي عدد</w:t>
      </w:r>
      <w:r w:rsidRPr="006A0A92">
        <w:rPr>
          <w:rFonts w:eastAsiaTheme="minorHAnsi"/>
          <w:spacing w:val="-5"/>
          <w:rtl/>
          <w:lang w:val="fr-FR" w:bidi="ar-TN"/>
        </w:rPr>
        <w:t xml:space="preserve"> </w:t>
      </w:r>
      <w:r w:rsidRPr="006A0A92">
        <w:rPr>
          <w:rFonts w:eastAsiaTheme="minorHAnsi" w:hint="cs"/>
          <w:spacing w:val="-5"/>
          <w:rtl/>
          <w:lang w:val="fr-FR" w:bidi="ar-TN"/>
        </w:rPr>
        <w:t>2887 بتاريخ 8 أوت 2014</w:t>
      </w:r>
      <w:r w:rsidRPr="006A0A92">
        <w:rPr>
          <w:rFonts w:eastAsiaTheme="minorHAnsi"/>
          <w:spacing w:val="-5"/>
          <w:rtl/>
          <w:lang w:val="fr-FR" w:bidi="ar-TN"/>
        </w:rPr>
        <w:t xml:space="preserve"> ويتمّ اعلام الهيئة بكل الإجراءات التي يتمّ اتخاذها لاحقا من قبل السلطة القضائية. </w:t>
      </w:r>
    </w:p>
    <w:p w:rsidR="006068EE" w:rsidRPr="00970B9E" w:rsidRDefault="006068EE" w:rsidP="006A0A92">
      <w:pPr>
        <w:pStyle w:val="SingleTxtGA"/>
        <w:spacing w:after="100"/>
        <w:rPr>
          <w:rFonts w:eastAsiaTheme="minorHAnsi"/>
          <w:rtl/>
          <w:lang w:val="fr-FR" w:bidi="ar-TN"/>
        </w:rPr>
      </w:pPr>
      <w:r>
        <w:rPr>
          <w:rFonts w:eastAsiaTheme="minorHAnsi" w:hint="cs"/>
          <w:rtl/>
          <w:lang w:val="fr-FR" w:bidi="ar-TN"/>
        </w:rPr>
        <w:t>43-</w:t>
      </w:r>
      <w:r>
        <w:rPr>
          <w:rFonts w:eastAsiaTheme="minorHAnsi" w:hint="cs"/>
          <w:rtl/>
          <w:lang w:val="fr-FR" w:bidi="ar-TN"/>
        </w:rPr>
        <w:tab/>
      </w:r>
      <w:r w:rsidRPr="00970B9E">
        <w:rPr>
          <w:rFonts w:eastAsiaTheme="minorHAnsi"/>
          <w:rtl/>
          <w:lang w:val="fr-FR" w:bidi="ar-TN"/>
        </w:rPr>
        <w:t xml:space="preserve">كما ينص الفصل 40 من قانون العدالة الانتقالية على أن تتولى هيئة الحقيقة والكرامة اتخاذ كافة التدابير المناسبة لحماية الشهود والضحايا والخبراء وكل الذين تتولى سماعهم مهما كان </w:t>
      </w:r>
      <w:r w:rsidRPr="00970B9E">
        <w:rPr>
          <w:rFonts w:eastAsiaTheme="minorHAnsi"/>
          <w:rtl/>
          <w:lang w:val="fr-FR" w:bidi="ar-TN"/>
        </w:rPr>
        <w:lastRenderedPageBreak/>
        <w:t>مركزهم بخصوص الانتهاكات وذلك بضمان الاحتياطات الأمنية والحماية من التجريم ومن الاعتداءات والحفاظ على السرية وذلك بالتعاون مع المصالح والهياكل المختصة.</w:t>
      </w:r>
    </w:p>
    <w:p w:rsidR="006068EE" w:rsidRPr="00970B9E" w:rsidRDefault="006068EE" w:rsidP="006A0A92">
      <w:pPr>
        <w:pStyle w:val="SingleTxtGA"/>
        <w:spacing w:after="100"/>
        <w:rPr>
          <w:rFonts w:eastAsiaTheme="minorHAnsi"/>
          <w:rtl/>
          <w:lang w:val="fr-FR" w:bidi="ar-TN"/>
        </w:rPr>
      </w:pPr>
      <w:r>
        <w:rPr>
          <w:rFonts w:eastAsiaTheme="minorHAnsi" w:hint="cs"/>
          <w:rtl/>
          <w:lang w:val="fr-FR" w:bidi="ar-TN"/>
        </w:rPr>
        <w:t>44-</w:t>
      </w:r>
      <w:r>
        <w:rPr>
          <w:rFonts w:eastAsiaTheme="minorHAnsi" w:hint="cs"/>
          <w:rtl/>
          <w:lang w:val="fr-FR" w:bidi="ar-TN"/>
        </w:rPr>
        <w:tab/>
      </w:r>
      <w:r w:rsidRPr="00970B9E">
        <w:rPr>
          <w:rFonts w:eastAsiaTheme="minorHAnsi"/>
          <w:rtl/>
          <w:lang w:val="fr-FR" w:bidi="ar-TN"/>
        </w:rPr>
        <w:t xml:space="preserve">في اطار اتخاذ إجراءات </w:t>
      </w:r>
      <w:r w:rsidRPr="00970B9E">
        <w:rPr>
          <w:rFonts w:eastAsiaTheme="minorHAnsi" w:hint="cs"/>
          <w:rtl/>
          <w:lang w:val="fr-FR" w:bidi="ar-TN"/>
        </w:rPr>
        <w:t>استعجاليه</w:t>
      </w:r>
      <w:r w:rsidRPr="00970B9E">
        <w:rPr>
          <w:rFonts w:eastAsiaTheme="minorHAnsi"/>
          <w:rtl/>
          <w:lang w:val="fr-FR" w:bidi="ar-TN"/>
        </w:rPr>
        <w:t xml:space="preserve"> تولت الدولة تقديم تعويضات وقتية لمن يحتاج الى ذلك من الضحايا خاصة كبار السن والنساء والأطفال وذوي الإعاقة وذوي الاحتياجات الخصوصية والمرضى والفئات الهشّة الى حين صدور القرارات أو الاحكام المتعلقة بجبر الضرر في اطار مسار العدالة الانتقالية (الفصل 12 من قانون العدالة الانتقالية). </w:t>
      </w:r>
    </w:p>
    <w:p w:rsidR="006068EE" w:rsidRPr="00970B9E" w:rsidRDefault="006068EE" w:rsidP="006A0A92">
      <w:pPr>
        <w:pStyle w:val="SingleTxtGA"/>
        <w:spacing w:after="100"/>
        <w:rPr>
          <w:rFonts w:eastAsiaTheme="minorHAnsi"/>
          <w:rtl/>
          <w:lang w:val="fr-FR" w:bidi="ar-TN"/>
        </w:rPr>
      </w:pPr>
      <w:r>
        <w:rPr>
          <w:rFonts w:eastAsiaTheme="minorHAnsi" w:hint="cs"/>
          <w:rtl/>
          <w:lang w:val="fr-FR" w:bidi="ar-TN"/>
        </w:rPr>
        <w:t>45-</w:t>
      </w:r>
      <w:r>
        <w:rPr>
          <w:rFonts w:eastAsiaTheme="minorHAnsi" w:hint="cs"/>
          <w:rtl/>
          <w:lang w:val="fr-FR" w:bidi="ar-TN"/>
        </w:rPr>
        <w:tab/>
      </w:r>
      <w:r w:rsidRPr="00970B9E">
        <w:rPr>
          <w:rFonts w:eastAsiaTheme="minorHAnsi"/>
          <w:rtl/>
          <w:lang w:val="fr-FR" w:bidi="ar-TN"/>
        </w:rPr>
        <w:t>كما نصّ الفصل 11 من قانون العدالة الانتقالية على أن الدولة تعمل على توفير أشكال الجبر الكافي للضرر بما يتناسب مع جسامة الانتهاك ووضعية كل ضحية على ان يأخذ بعين الاعتبار الإمكانيات المتوفرة لدى الدولة عند التنفيذ.</w:t>
      </w:r>
    </w:p>
    <w:p w:rsidR="006068EE" w:rsidRPr="00970B9E" w:rsidRDefault="006068EE" w:rsidP="006A0A92">
      <w:pPr>
        <w:pStyle w:val="SingleTxtGA"/>
        <w:spacing w:after="100"/>
        <w:rPr>
          <w:rFonts w:eastAsiaTheme="minorHAnsi"/>
          <w:rtl/>
          <w:lang w:val="fr-FR" w:bidi="ar-TN"/>
        </w:rPr>
      </w:pPr>
      <w:r>
        <w:rPr>
          <w:rFonts w:eastAsiaTheme="minorHAnsi" w:hint="cs"/>
          <w:rtl/>
          <w:lang w:val="fr-FR" w:bidi="ar-TN"/>
        </w:rPr>
        <w:t>46-</w:t>
      </w:r>
      <w:r>
        <w:rPr>
          <w:rFonts w:eastAsiaTheme="minorHAnsi" w:hint="cs"/>
          <w:rtl/>
          <w:lang w:val="fr-FR" w:bidi="ar-TN"/>
        </w:rPr>
        <w:tab/>
      </w:r>
      <w:r w:rsidRPr="00970B9E">
        <w:rPr>
          <w:rFonts w:eastAsiaTheme="minorHAnsi"/>
          <w:rtl/>
          <w:lang w:val="fr-FR" w:bidi="ar-TN"/>
        </w:rPr>
        <w:t>وقد حدّد قانون العدالة الانتقالية معايير واضحة لجبر الضرر الذي يقوم على التعويض المادّي والمعنوي وردّ الاعتبار والاعتذار واسترداد الحقوق وإعادة التأهيل وال</w:t>
      </w:r>
      <w:r w:rsidRPr="00970B9E">
        <w:rPr>
          <w:rFonts w:eastAsiaTheme="minorHAnsi" w:hint="cs"/>
          <w:rtl/>
          <w:lang w:val="fr-FR" w:bidi="ar-TN"/>
        </w:rPr>
        <w:t>إ</w:t>
      </w:r>
      <w:r w:rsidRPr="00970B9E">
        <w:rPr>
          <w:rFonts w:eastAsiaTheme="minorHAnsi"/>
          <w:rtl/>
          <w:lang w:val="fr-FR" w:bidi="ar-TN"/>
        </w:rPr>
        <w:t>دماج ويمكن ان يكون فرديا او جماعيا حسب نفس الفصل.</w:t>
      </w:r>
    </w:p>
    <w:p w:rsidR="006068EE" w:rsidRPr="00970B9E" w:rsidRDefault="006068EE" w:rsidP="006A0A92">
      <w:pPr>
        <w:pStyle w:val="SingleTxtGA"/>
        <w:spacing w:after="100"/>
        <w:rPr>
          <w:rFonts w:eastAsiaTheme="minorHAnsi"/>
          <w:rtl/>
          <w:lang w:val="fr-FR" w:bidi="ar-TN"/>
        </w:rPr>
      </w:pPr>
      <w:r>
        <w:rPr>
          <w:rFonts w:eastAsiaTheme="minorHAnsi" w:hint="cs"/>
          <w:rtl/>
          <w:lang w:val="fr-FR" w:bidi="ar-TN"/>
        </w:rPr>
        <w:t>47-</w:t>
      </w:r>
      <w:r>
        <w:rPr>
          <w:rFonts w:eastAsiaTheme="minorHAnsi" w:hint="cs"/>
          <w:rtl/>
          <w:lang w:val="fr-FR" w:bidi="ar-TN"/>
        </w:rPr>
        <w:tab/>
      </w:r>
      <w:r w:rsidRPr="00970B9E">
        <w:rPr>
          <w:rFonts w:eastAsiaTheme="minorHAnsi"/>
          <w:rtl/>
          <w:lang w:val="fr-FR" w:bidi="ar-TN"/>
        </w:rPr>
        <w:t xml:space="preserve">كم عرّف قانون العدالة الانتقالية الضحية دون تمييز وهي كل من لحقه ضرر جرّاء تعرضه لانتهاك على معنى القانون المذكور سواء كان فردا او جماعة أو شخصا معنويا. وتعدّ ضحية أفراد الاسرة الذين لحقهم ضرر لقرابتهم للضحية على معنى قواعد القانون العام وكل شخص حصل له ضرر أثناء تدخله لمساعدة الضحية او لمنع تعرضه للانتهاك ويشمل هذا التعريف كل منطقة تعرضت للتهميش </w:t>
      </w:r>
      <w:r w:rsidRPr="00970B9E">
        <w:rPr>
          <w:rFonts w:eastAsiaTheme="minorHAnsi" w:hint="cs"/>
          <w:rtl/>
          <w:lang w:val="fr-FR" w:bidi="ar-TN"/>
        </w:rPr>
        <w:t>أ</w:t>
      </w:r>
      <w:r w:rsidRPr="00970B9E">
        <w:rPr>
          <w:rFonts w:eastAsiaTheme="minorHAnsi"/>
          <w:rtl/>
          <w:lang w:val="fr-FR" w:bidi="ar-TN"/>
        </w:rPr>
        <w:t xml:space="preserve">و </w:t>
      </w:r>
      <w:proofErr w:type="spellStart"/>
      <w:r w:rsidRPr="00970B9E">
        <w:rPr>
          <w:rFonts w:eastAsiaTheme="minorHAnsi"/>
          <w:rtl/>
          <w:lang w:val="fr-FR" w:bidi="ar-TN"/>
        </w:rPr>
        <w:t>الاقصاء</w:t>
      </w:r>
      <w:proofErr w:type="spellEnd"/>
      <w:r w:rsidRPr="00970B9E">
        <w:rPr>
          <w:rFonts w:eastAsiaTheme="minorHAnsi"/>
          <w:rtl/>
          <w:lang w:val="fr-FR" w:bidi="ar-TN"/>
        </w:rPr>
        <w:t xml:space="preserve"> </w:t>
      </w:r>
      <w:proofErr w:type="spellStart"/>
      <w:r w:rsidRPr="00970B9E">
        <w:rPr>
          <w:rFonts w:eastAsiaTheme="minorHAnsi"/>
          <w:rtl/>
          <w:lang w:val="fr-FR" w:bidi="ar-TN"/>
        </w:rPr>
        <w:t>الممنهج</w:t>
      </w:r>
      <w:proofErr w:type="spellEnd"/>
      <w:r w:rsidRPr="00970B9E">
        <w:rPr>
          <w:rFonts w:eastAsiaTheme="minorHAnsi"/>
          <w:rtl/>
          <w:lang w:val="fr-FR" w:bidi="ar-TN"/>
        </w:rPr>
        <w:t>.</w:t>
      </w:r>
    </w:p>
    <w:p w:rsidR="006068EE" w:rsidRPr="00970B9E" w:rsidRDefault="006068EE" w:rsidP="006A0A92">
      <w:pPr>
        <w:pStyle w:val="SingleTxtGA"/>
        <w:spacing w:after="100"/>
        <w:rPr>
          <w:rFonts w:eastAsiaTheme="minorHAnsi"/>
          <w:rtl/>
          <w:lang w:val="fr-FR" w:bidi="ar-TN"/>
        </w:rPr>
      </w:pPr>
      <w:r>
        <w:rPr>
          <w:rFonts w:eastAsiaTheme="minorHAnsi" w:hint="cs"/>
          <w:rtl/>
          <w:lang w:val="fr-FR" w:bidi="ar-TN"/>
        </w:rPr>
        <w:t>48-</w:t>
      </w:r>
      <w:r>
        <w:rPr>
          <w:rFonts w:eastAsiaTheme="minorHAnsi" w:hint="cs"/>
          <w:rtl/>
          <w:lang w:val="fr-FR" w:bidi="ar-TN"/>
        </w:rPr>
        <w:tab/>
      </w:r>
      <w:r w:rsidRPr="00970B9E">
        <w:rPr>
          <w:rFonts w:eastAsiaTheme="minorHAnsi"/>
          <w:rtl/>
          <w:lang w:val="fr-FR" w:bidi="ar-TN"/>
        </w:rPr>
        <w:t>ووفقا للفصل 39 من قانون العدالة الانتقالية فان هيئة الحقيقة والكرامة كجهة مستقلّة تتولى وضع برنامج شامل لجبر الضرر فردي وجماعي لضحايا الانتهاكات يقوم على ما يلي:</w:t>
      </w:r>
    </w:p>
    <w:p w:rsidR="006068EE" w:rsidRPr="00970B9E" w:rsidRDefault="006068EE" w:rsidP="006A0A92">
      <w:pPr>
        <w:pStyle w:val="Bullet1GA"/>
        <w:numPr>
          <w:ilvl w:val="0"/>
          <w:numId w:val="3"/>
        </w:numPr>
        <w:bidi/>
        <w:spacing w:after="100"/>
        <w:rPr>
          <w:rFonts w:eastAsiaTheme="minorHAnsi"/>
          <w:lang w:val="fr-FR" w:bidi="ar-TN"/>
        </w:rPr>
      </w:pPr>
      <w:r w:rsidRPr="00970B9E">
        <w:rPr>
          <w:rFonts w:eastAsiaTheme="minorHAnsi"/>
          <w:rtl/>
          <w:lang w:val="fr-FR" w:bidi="ar-TN"/>
        </w:rPr>
        <w:t>الإقرار بما تعرّض له الضحايا من انتهاكات واتخاذ قرارات وإجراءات جبر الضرر لفائدتهم مع مراعاة كل ما تمّ اتخاذه من قرارات وإجراءات إدارية أو قضائية سابقة لفائدة الضحايا</w:t>
      </w:r>
      <w:r>
        <w:rPr>
          <w:rFonts w:eastAsiaTheme="minorHAnsi" w:hint="cs"/>
          <w:rtl/>
          <w:lang w:val="fr-FR" w:bidi="ar-TN"/>
        </w:rPr>
        <w:t>؛</w:t>
      </w:r>
    </w:p>
    <w:p w:rsidR="006068EE" w:rsidRPr="00970B9E" w:rsidRDefault="006068EE" w:rsidP="006A0A92">
      <w:pPr>
        <w:pStyle w:val="Bullet1GA"/>
        <w:numPr>
          <w:ilvl w:val="0"/>
          <w:numId w:val="3"/>
        </w:numPr>
        <w:bidi/>
        <w:spacing w:after="100"/>
        <w:rPr>
          <w:rFonts w:eastAsiaTheme="minorHAnsi"/>
          <w:lang w:val="fr-FR" w:bidi="ar-TN"/>
        </w:rPr>
      </w:pPr>
      <w:r w:rsidRPr="00970B9E">
        <w:rPr>
          <w:rFonts w:eastAsiaTheme="minorHAnsi"/>
          <w:rtl/>
          <w:lang w:val="fr-FR" w:bidi="ar-TN"/>
        </w:rPr>
        <w:t>ضبط المعايير اللازمة للتعويض للضحايا</w:t>
      </w:r>
      <w:r>
        <w:rPr>
          <w:rFonts w:eastAsiaTheme="minorHAnsi" w:hint="cs"/>
          <w:rtl/>
          <w:lang w:val="fr-FR" w:bidi="ar-TN"/>
        </w:rPr>
        <w:t>؛</w:t>
      </w:r>
    </w:p>
    <w:p w:rsidR="006068EE" w:rsidRPr="00970B9E" w:rsidRDefault="006068EE" w:rsidP="006A0A92">
      <w:pPr>
        <w:pStyle w:val="Bullet1GA"/>
        <w:numPr>
          <w:ilvl w:val="0"/>
          <w:numId w:val="3"/>
        </w:numPr>
        <w:bidi/>
        <w:spacing w:after="100"/>
        <w:rPr>
          <w:rFonts w:eastAsiaTheme="minorHAnsi"/>
          <w:lang w:val="fr-FR" w:bidi="ar-TN"/>
        </w:rPr>
      </w:pPr>
      <w:r w:rsidRPr="00970B9E">
        <w:rPr>
          <w:rFonts w:eastAsiaTheme="minorHAnsi"/>
          <w:rtl/>
          <w:lang w:val="fr-FR" w:bidi="ar-TN"/>
        </w:rPr>
        <w:t>تحديد طرق صرف التعويضات وتراعي في ذلك التقديرات المخصصة للتعويض</w:t>
      </w:r>
      <w:r>
        <w:rPr>
          <w:rFonts w:eastAsiaTheme="minorHAnsi" w:hint="cs"/>
          <w:rtl/>
          <w:lang w:val="fr-FR" w:bidi="ar-TN"/>
        </w:rPr>
        <w:t>؛</w:t>
      </w:r>
    </w:p>
    <w:p w:rsidR="006068EE" w:rsidRPr="00970B9E" w:rsidRDefault="006068EE" w:rsidP="006A0A92">
      <w:pPr>
        <w:pStyle w:val="Bullet1GA"/>
        <w:numPr>
          <w:ilvl w:val="0"/>
          <w:numId w:val="3"/>
        </w:numPr>
        <w:bidi/>
        <w:spacing w:after="100"/>
        <w:rPr>
          <w:rFonts w:eastAsiaTheme="minorHAnsi"/>
          <w:lang w:val="fr-FR" w:bidi="ar-TN"/>
        </w:rPr>
      </w:pPr>
      <w:r w:rsidRPr="00970B9E">
        <w:rPr>
          <w:rFonts w:eastAsiaTheme="minorHAnsi"/>
          <w:rtl/>
          <w:lang w:val="fr-FR" w:bidi="ar-TN"/>
        </w:rPr>
        <w:t>اتخاذ إجراءات احاطة وتعويض وقتية وعاجلة للضحايا.</w:t>
      </w:r>
    </w:p>
    <w:p w:rsidR="006068EE" w:rsidRPr="00970B9E" w:rsidRDefault="006068EE" w:rsidP="006A0A92">
      <w:pPr>
        <w:pStyle w:val="SingleTxtGA"/>
        <w:spacing w:after="100"/>
        <w:rPr>
          <w:rFonts w:eastAsiaTheme="minorHAnsi"/>
          <w:lang w:val="fr-FR" w:bidi="ar-TN"/>
        </w:rPr>
      </w:pPr>
      <w:r>
        <w:rPr>
          <w:rFonts w:eastAsiaTheme="minorHAnsi" w:hint="cs"/>
          <w:rtl/>
          <w:lang w:val="fr-FR" w:bidi="ar-TN"/>
        </w:rPr>
        <w:t>49-</w:t>
      </w:r>
      <w:r>
        <w:rPr>
          <w:rFonts w:eastAsiaTheme="minorHAnsi" w:hint="cs"/>
          <w:rtl/>
          <w:lang w:val="fr-FR" w:bidi="ar-TN"/>
        </w:rPr>
        <w:tab/>
      </w:r>
      <w:r w:rsidRPr="00970B9E">
        <w:rPr>
          <w:rFonts w:eastAsiaTheme="minorHAnsi"/>
          <w:rtl/>
          <w:lang w:val="fr-FR" w:bidi="ar-TN"/>
        </w:rPr>
        <w:t>كما أحدث الفصل 41 من قانون العدالة الانتقالية صندوق "الكرامة وردّ الاعتبار" لضحايا الاستبداد.</w:t>
      </w:r>
    </w:p>
    <w:p w:rsidR="006068EE" w:rsidRPr="00970B9E" w:rsidRDefault="006068EE" w:rsidP="006A0A92">
      <w:pPr>
        <w:pStyle w:val="SingleTxtGA"/>
        <w:spacing w:after="100"/>
        <w:rPr>
          <w:rFonts w:eastAsiaTheme="minorHAnsi"/>
          <w:rtl/>
          <w:lang w:val="fr-FR" w:bidi="ar-TN"/>
        </w:rPr>
      </w:pPr>
      <w:r>
        <w:rPr>
          <w:rFonts w:eastAsiaTheme="minorHAnsi" w:hint="cs"/>
          <w:rtl/>
          <w:lang w:val="fr-FR" w:bidi="ar-TN"/>
        </w:rPr>
        <w:t>50-</w:t>
      </w:r>
      <w:r>
        <w:rPr>
          <w:rFonts w:eastAsiaTheme="minorHAnsi" w:hint="cs"/>
          <w:rtl/>
          <w:lang w:val="fr-FR" w:bidi="ar-TN"/>
        </w:rPr>
        <w:tab/>
      </w:r>
      <w:r w:rsidRPr="00970B9E">
        <w:rPr>
          <w:rFonts w:eastAsiaTheme="minorHAnsi"/>
          <w:rtl/>
          <w:lang w:val="fr-FR" w:bidi="ar-TN"/>
        </w:rPr>
        <w:t>لقد نص الفصل 40 من قانون العدالة الانتقالية على ان تتلقى هيئة الحقيقة والكرامة الشكاوى والعرائض المتعلقة بالانتهاكات لمدة سنة قابلة للتمديد لمدة أقصاها ستة أشهر انطلاقا من بداية نشاطها.</w:t>
      </w:r>
    </w:p>
    <w:p w:rsidR="006068EE" w:rsidRPr="009F706D" w:rsidRDefault="006A0A92" w:rsidP="006A0A92">
      <w:pPr>
        <w:pStyle w:val="SingleTxtGA"/>
        <w:spacing w:after="100"/>
        <w:rPr>
          <w:rFonts w:eastAsiaTheme="minorHAnsi"/>
          <w:spacing w:val="-4"/>
          <w:rtl/>
          <w:lang w:val="fr-FR"/>
        </w:rPr>
      </w:pPr>
      <w:r>
        <w:rPr>
          <w:rFonts w:eastAsiaTheme="minorHAnsi" w:hint="cs"/>
          <w:noProof/>
          <w:spacing w:val="-4"/>
          <w:rtl/>
        </w:rPr>
        <mc:AlternateContent>
          <mc:Choice Requires="wps">
            <w:drawing>
              <wp:anchor distT="0" distB="0" distL="114300" distR="114300" simplePos="0" relativeHeight="251660288" behindDoc="0" locked="0" layoutInCell="1" allowOverlap="1">
                <wp:simplePos x="0" y="0"/>
                <wp:positionH relativeFrom="column">
                  <wp:posOffset>2461260</wp:posOffset>
                </wp:positionH>
                <wp:positionV relativeFrom="paragraph">
                  <wp:posOffset>1193165</wp:posOffset>
                </wp:positionV>
                <wp:extent cx="12573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0D8007" id="Straight Connector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93.8pt,93.95pt" to="292.8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" strokecolor="black [3040]"/>
            </w:pict>
          </mc:Fallback>
        </mc:AlternateContent>
      </w:r>
      <w:r w:rsidR="006068EE" w:rsidRPr="009F706D">
        <w:rPr>
          <w:rFonts w:eastAsiaTheme="minorHAnsi" w:hint="cs"/>
          <w:spacing w:val="-4"/>
          <w:rtl/>
          <w:lang w:val="fr-FR" w:bidi="ar-TN"/>
        </w:rPr>
        <w:t>51-</w:t>
      </w:r>
      <w:r w:rsidR="006068EE" w:rsidRPr="009F706D">
        <w:rPr>
          <w:rFonts w:eastAsiaTheme="minorHAnsi" w:hint="cs"/>
          <w:spacing w:val="-4"/>
          <w:rtl/>
          <w:lang w:val="fr-FR" w:bidi="ar-TN"/>
        </w:rPr>
        <w:tab/>
      </w:r>
      <w:r w:rsidR="006068EE" w:rsidRPr="009F706D">
        <w:rPr>
          <w:rFonts w:eastAsiaTheme="minorHAnsi"/>
          <w:spacing w:val="-4"/>
          <w:rtl/>
          <w:lang w:val="fr-FR" w:bidi="ar-TN"/>
        </w:rPr>
        <w:t>واعتبارا لذلك فان ضحايا الانتهاكات لهم الخيار اما القيام لدى الهيئة أو القيام لدى السلط القضائية المختصة لتتبع الجناة والقيام بدعاوى جبر الضرر وفق قواعد القانون الجزائي العام حيث ينص الفصل الأول من مجلة الإجراءات الجزائية</w:t>
      </w:r>
      <w:r w:rsidR="006068EE" w:rsidRPr="009F706D">
        <w:rPr>
          <w:rFonts w:eastAsiaTheme="minorHAnsi" w:hint="cs"/>
          <w:spacing w:val="-4"/>
          <w:rtl/>
          <w:lang w:val="fr-FR" w:bidi="ar-TN"/>
        </w:rPr>
        <w:t xml:space="preserve"> </w:t>
      </w:r>
      <w:r w:rsidR="006068EE" w:rsidRPr="009F706D">
        <w:rPr>
          <w:rFonts w:eastAsiaTheme="minorHAnsi"/>
          <w:spacing w:val="-4"/>
          <w:rtl/>
          <w:lang w:val="fr-FR" w:bidi="ar-TN"/>
        </w:rPr>
        <w:t>"يترتّب على كل جريمة دعوى عمومية تهدف الى تطبيق العقوبات ويترتّب عليها أيضا في صورة وقوع ضرر دعوى مدنية لجبر ذلك الضرر".</w:t>
      </w:r>
    </w:p>
    <w:sectPr w:rsidR="006068EE" w:rsidRPr="009F706D" w:rsidSect="0002361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681" w:rsidRPr="002901D9" w:rsidRDefault="00A71681" w:rsidP="002901D9">
      <w:pPr>
        <w:spacing w:after="60" w:line="240" w:lineRule="auto"/>
        <w:rPr>
          <w:i/>
          <w:iCs/>
        </w:rPr>
      </w:pPr>
      <w:r>
        <w:rPr>
          <w:rFonts w:hint="cs"/>
          <w:i/>
          <w:iCs/>
          <w:rtl/>
        </w:rPr>
        <w:t>الحواشي</w:t>
      </w:r>
    </w:p>
  </w:endnote>
  <w:endnote w:type="continuationSeparator" w:id="0">
    <w:p w:rsidR="00A71681" w:rsidRDefault="00A7168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61C" w:rsidRPr="0022297D" w:rsidRDefault="0022297D" w:rsidP="0022297D">
    <w:pPr>
      <w:pStyle w:val="Footer"/>
      <w:tabs>
        <w:tab w:val="right" w:pos="9598"/>
      </w:tabs>
      <w:rPr>
        <w:sz w:val="17"/>
      </w:rPr>
    </w:pPr>
    <w:r>
      <w:rPr>
        <w:sz w:val="17"/>
      </w:rPr>
      <w:t>GE.17-09461</w:t>
    </w:r>
    <w:r>
      <w:rPr>
        <w:sz w:val="17"/>
      </w:rPr>
      <w:tab/>
    </w:r>
    <w:r w:rsidRPr="0022297D">
      <w:rPr>
        <w:b/>
        <w:sz w:val="18"/>
      </w:rPr>
      <w:fldChar w:fldCharType="begin"/>
    </w:r>
    <w:r w:rsidRPr="0022297D">
      <w:rPr>
        <w:b/>
        <w:sz w:val="18"/>
      </w:rPr>
      <w:instrText xml:space="preserve"> PAGE  \* MERGEFORMAT </w:instrText>
    </w:r>
    <w:r w:rsidRPr="0022297D">
      <w:rPr>
        <w:b/>
        <w:sz w:val="18"/>
      </w:rPr>
      <w:fldChar w:fldCharType="separate"/>
    </w:r>
    <w:r w:rsidR="00DD5C8D">
      <w:rPr>
        <w:b/>
        <w:noProof/>
        <w:sz w:val="18"/>
      </w:rPr>
      <w:t>4</w:t>
    </w:r>
    <w:r w:rsidRPr="0022297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22297D" w:rsidRDefault="0022297D" w:rsidP="006959B0">
    <w:pPr>
      <w:pStyle w:val="Footer"/>
      <w:tabs>
        <w:tab w:val="right" w:pos="9599"/>
      </w:tabs>
      <w:jc w:val="left"/>
      <w:rPr>
        <w:b/>
        <w:sz w:val="18"/>
        <w:lang w:val="en-US"/>
      </w:rPr>
    </w:pPr>
    <w:r w:rsidRPr="0022297D">
      <w:rPr>
        <w:b/>
        <w:sz w:val="18"/>
        <w:lang w:val="en-US"/>
      </w:rPr>
      <w:fldChar w:fldCharType="begin"/>
    </w:r>
    <w:r w:rsidRPr="0022297D">
      <w:rPr>
        <w:b/>
        <w:sz w:val="18"/>
        <w:lang w:val="en-US"/>
      </w:rPr>
      <w:instrText xml:space="preserve"> PAGE  \* MERGEFORMAT </w:instrText>
    </w:r>
    <w:r w:rsidRPr="0022297D">
      <w:rPr>
        <w:b/>
        <w:sz w:val="18"/>
        <w:lang w:val="en-US"/>
      </w:rPr>
      <w:fldChar w:fldCharType="separate"/>
    </w:r>
    <w:r w:rsidR="00DD5C8D">
      <w:rPr>
        <w:b/>
        <w:noProof/>
        <w:sz w:val="18"/>
        <w:lang w:val="en-US"/>
      </w:rPr>
      <w:t>3</w:t>
    </w:r>
    <w:r w:rsidRPr="0022297D">
      <w:rPr>
        <w:b/>
        <w:sz w:val="18"/>
        <w:lang w:val="en-US"/>
      </w:rPr>
      <w:fldChar w:fldCharType="end"/>
    </w:r>
    <w:r>
      <w:rPr>
        <w:b/>
        <w:sz w:val="18"/>
        <w:lang w:val="en-US"/>
      </w:rPr>
      <w:tab/>
    </w:r>
    <w:r>
      <w:rPr>
        <w:sz w:val="17"/>
        <w:lang w:val="en-US"/>
      </w:rPr>
      <w:t>GE.17-09461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A8" w:rsidRDefault="0002361C" w:rsidP="005A3015">
    <w:pPr>
      <w:pStyle w:val="Footer"/>
      <w:spacing w:before="360"/>
      <w:jc w:val="right"/>
      <w:rPr>
        <w:sz w:val="20"/>
        <w:szCs w:val="20"/>
      </w:rPr>
    </w:pPr>
    <w:r>
      <w:rPr>
        <w:sz w:val="20"/>
        <w:szCs w:val="20"/>
      </w:rPr>
      <w:t>GE.17-09461</w:t>
    </w:r>
    <w:r w:rsidR="00A34EA8">
      <w:rPr>
        <w:noProof/>
        <w:lang w:val="en-US"/>
      </w:rPr>
      <w:drawing>
        <wp:anchor distT="0" distB="0" distL="114300" distR="114300" simplePos="0" relativeHeight="251665408"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02361C" w:rsidRPr="0002361C" w:rsidRDefault="0002361C" w:rsidP="0002361C">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8480"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681" w:rsidRPr="004956DC" w:rsidRDefault="00A71681" w:rsidP="00761849">
      <w:pPr>
        <w:pStyle w:val="Footer"/>
        <w:bidi/>
        <w:spacing w:after="80" w:line="200" w:lineRule="exact"/>
        <w:ind w:left="680"/>
      </w:pPr>
      <w:r>
        <w:rPr>
          <w:rtl/>
        </w:rPr>
        <w:t>__________</w:t>
      </w:r>
    </w:p>
  </w:footnote>
  <w:footnote w:type="continuationSeparator" w:id="0">
    <w:p w:rsidR="00A71681" w:rsidRDefault="00A71681" w:rsidP="00656392">
      <w:pPr>
        <w:spacing w:line="240" w:lineRule="auto"/>
      </w:pPr>
      <w:r>
        <w:continuationSeparator/>
      </w:r>
    </w:p>
  </w:footnote>
  <w:footnote w:id="1">
    <w:p w:rsidR="0022297D" w:rsidRPr="0022297D" w:rsidRDefault="0022297D" w:rsidP="0022297D">
      <w:pPr>
        <w:pStyle w:val="FootnoteText1"/>
        <w:rPr>
          <w:rtl/>
        </w:rPr>
      </w:pPr>
      <w:r w:rsidRPr="0022297D">
        <w:rPr>
          <w:rStyle w:val="FootnoteReference"/>
          <w:szCs w:val="26"/>
          <w:vertAlign w:val="baseline"/>
          <w:rtl/>
        </w:rPr>
        <w:t>*</w:t>
      </w:r>
      <w:r w:rsidRPr="0022297D">
        <w:rPr>
          <w:rtl/>
        </w:rPr>
        <w:tab/>
      </w:r>
      <w:r w:rsidRPr="0022297D">
        <w:rPr>
          <w:rFonts w:hint="cs"/>
          <w:rtl/>
        </w:rPr>
        <w:t>تصدر هذه الوثيقة من دون تحرير رسمي.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61C" w:rsidRPr="0022297D" w:rsidRDefault="0022297D" w:rsidP="0022297D">
    <w:pPr>
      <w:pStyle w:val="Header"/>
      <w:jc w:val="right"/>
    </w:pPr>
    <w:r w:rsidRPr="0022297D">
      <w:t>CAT/C/TUN/CO/3/Add.1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61C" w:rsidRPr="0022297D" w:rsidRDefault="0022297D" w:rsidP="0022297D">
    <w:pPr>
      <w:pStyle w:val="Header"/>
      <w:jc w:val="left"/>
    </w:pPr>
    <w:r w:rsidRPr="0022297D">
      <w:t>CAT/C/TUN/CO/3/Add.1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A71681"/>
    <w:rsid w:val="000076D5"/>
    <w:rsid w:val="0002361C"/>
    <w:rsid w:val="00043663"/>
    <w:rsid w:val="000505CF"/>
    <w:rsid w:val="000A2113"/>
    <w:rsid w:val="000D701C"/>
    <w:rsid w:val="000E2A71"/>
    <w:rsid w:val="00160263"/>
    <w:rsid w:val="00167825"/>
    <w:rsid w:val="00181F96"/>
    <w:rsid w:val="001A1371"/>
    <w:rsid w:val="001B346A"/>
    <w:rsid w:val="001E1CAD"/>
    <w:rsid w:val="001E290D"/>
    <w:rsid w:val="002144FA"/>
    <w:rsid w:val="0022297D"/>
    <w:rsid w:val="0023469A"/>
    <w:rsid w:val="00243C8A"/>
    <w:rsid w:val="00267A0E"/>
    <w:rsid w:val="002901D9"/>
    <w:rsid w:val="002976C2"/>
    <w:rsid w:val="003260FF"/>
    <w:rsid w:val="00343D95"/>
    <w:rsid w:val="00374341"/>
    <w:rsid w:val="00384DA7"/>
    <w:rsid w:val="003D1062"/>
    <w:rsid w:val="00420D7B"/>
    <w:rsid w:val="004241CB"/>
    <w:rsid w:val="00450B21"/>
    <w:rsid w:val="00453B63"/>
    <w:rsid w:val="00455780"/>
    <w:rsid w:val="004956DC"/>
    <w:rsid w:val="004B0A1C"/>
    <w:rsid w:val="004D298E"/>
    <w:rsid w:val="0054472E"/>
    <w:rsid w:val="005662A9"/>
    <w:rsid w:val="005827D4"/>
    <w:rsid w:val="0059622A"/>
    <w:rsid w:val="005A3015"/>
    <w:rsid w:val="005C5878"/>
    <w:rsid w:val="005C7CEA"/>
    <w:rsid w:val="005D3C0B"/>
    <w:rsid w:val="005E5217"/>
    <w:rsid w:val="005F0FA4"/>
    <w:rsid w:val="005F30EE"/>
    <w:rsid w:val="005F3A18"/>
    <w:rsid w:val="0060473A"/>
    <w:rsid w:val="006068EE"/>
    <w:rsid w:val="00656392"/>
    <w:rsid w:val="006646E9"/>
    <w:rsid w:val="0068781D"/>
    <w:rsid w:val="006959B0"/>
    <w:rsid w:val="006A0A92"/>
    <w:rsid w:val="006B3E27"/>
    <w:rsid w:val="006B6507"/>
    <w:rsid w:val="006C104C"/>
    <w:rsid w:val="00733704"/>
    <w:rsid w:val="00761849"/>
    <w:rsid w:val="0078071A"/>
    <w:rsid w:val="00817373"/>
    <w:rsid w:val="00852A9A"/>
    <w:rsid w:val="00893A8A"/>
    <w:rsid w:val="008F49E1"/>
    <w:rsid w:val="0090370F"/>
    <w:rsid w:val="009269D2"/>
    <w:rsid w:val="00942135"/>
    <w:rsid w:val="009521B0"/>
    <w:rsid w:val="00981C12"/>
    <w:rsid w:val="009A7E9F"/>
    <w:rsid w:val="009E5018"/>
    <w:rsid w:val="009F706D"/>
    <w:rsid w:val="00A12B37"/>
    <w:rsid w:val="00A34EA8"/>
    <w:rsid w:val="00A67AF5"/>
    <w:rsid w:val="00A71681"/>
    <w:rsid w:val="00A94CA3"/>
    <w:rsid w:val="00AB6758"/>
    <w:rsid w:val="00B13763"/>
    <w:rsid w:val="00B477A4"/>
    <w:rsid w:val="00B54045"/>
    <w:rsid w:val="00C438D7"/>
    <w:rsid w:val="00C81B50"/>
    <w:rsid w:val="00C87F1F"/>
    <w:rsid w:val="00CD1801"/>
    <w:rsid w:val="00D10EF1"/>
    <w:rsid w:val="00D42810"/>
    <w:rsid w:val="00D914A7"/>
    <w:rsid w:val="00DC1D29"/>
    <w:rsid w:val="00DD13C3"/>
    <w:rsid w:val="00DD596E"/>
    <w:rsid w:val="00DD5C8D"/>
    <w:rsid w:val="00DD621E"/>
    <w:rsid w:val="00DF0575"/>
    <w:rsid w:val="00E70E04"/>
    <w:rsid w:val="00E76499"/>
    <w:rsid w:val="00EC05A7"/>
    <w:rsid w:val="00EC4B6B"/>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RedFont">
    <w:name w:val="Red_Font"/>
    <w:basedOn w:val="DefaultParagraphFont"/>
    <w:rsid w:val="0022297D"/>
    <w:rPr>
      <w:color w:val="FF000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RedFont">
    <w:name w:val="Red_Font"/>
    <w:basedOn w:val="DefaultParagraphFont"/>
    <w:rsid w:val="0022297D"/>
    <w:rPr>
      <w:color w:val="FF000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1&amp;Size=2&amp;Lang=A"/><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F7DEB-6F51-4C2E-99D4-EA00D842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3191</Words>
  <Characters>18191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CAT/</vt:lpstr>
    </vt:vector>
  </TitlesOfParts>
  <Company>DCM</Company>
  <LinksUpToDate>false</LinksUpToDate>
  <CharactersWithSpaces>21340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CAT/C/TUN/CO/3/Add.1</dc:title>
  <dc:subject>GE.1709461A</dc:subject>
  <dc:creator>bah/AAL</dc:creator>
  <cp:keywords>ODS No.1716009</cp:keywords>
  <dc:description>Distribution: General_x000d_
Original: English_x000d_
Date: </dc:description>
  <cp:lastModifiedBy>Tpsara</cp:lastModifiedBy>
  <cp:revision>2</cp:revision>
  <cp:lastPrinted>2016-06-21T10:29:00Z</cp:lastPrinted>
  <dcterms:created xsi:type="dcterms:W3CDTF">2017-06-23T16:42:00Z</dcterms:created>
  <dcterms:modified xsi:type="dcterms:W3CDTF">2017-06-23T16:42:00Z</dcterms:modified>
  <cp:category>Final</cp:category>
</cp:coreProperties>
</file>