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4B7829" w14:paraId="18C91987" w14:textId="77777777">
        <w:trPr>
          <w:cantSplit/>
          <w:trHeight w:hRule="exact" w:val="851"/>
        </w:trPr>
        <w:tc>
          <w:tcPr>
            <w:tcW w:w="1276" w:type="dxa"/>
            <w:tcBorders>
              <w:bottom w:val="single" w:sz="4" w:space="0" w:color="auto"/>
            </w:tcBorders>
            <w:vAlign w:val="bottom"/>
          </w:tcPr>
          <w:p w14:paraId="2739C60A" w14:textId="70A0F2D9" w:rsidR="005446F2" w:rsidRDefault="005446F2">
            <w:pPr>
              <w:spacing w:after="80"/>
            </w:pPr>
          </w:p>
        </w:tc>
        <w:tc>
          <w:tcPr>
            <w:tcW w:w="2268" w:type="dxa"/>
            <w:tcBorders>
              <w:bottom w:val="single" w:sz="4" w:space="0" w:color="auto"/>
            </w:tcBorders>
            <w:vAlign w:val="bottom"/>
          </w:tcPr>
          <w:p w14:paraId="6E6F38A2" w14:textId="77777777" w:rsidR="005446F2" w:rsidRDefault="002F3A41">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3BDC983C" w14:textId="1F272F87" w:rsidR="005446F2" w:rsidRPr="00DC2775" w:rsidRDefault="00DC2775" w:rsidP="00DC2775">
            <w:pPr>
              <w:suppressAutoHyphens w:val="0"/>
              <w:jc w:val="right"/>
            </w:pPr>
            <w:r w:rsidRPr="00DC2775">
              <w:rPr>
                <w:sz w:val="40"/>
              </w:rPr>
              <w:t>CERD</w:t>
            </w:r>
            <w:r>
              <w:t>/C/MAR/19-21</w:t>
            </w:r>
          </w:p>
        </w:tc>
      </w:tr>
      <w:tr w:rsidR="004B7829" w14:paraId="3547B987" w14:textId="77777777">
        <w:trPr>
          <w:cantSplit/>
          <w:trHeight w:hRule="exact" w:val="2835"/>
        </w:trPr>
        <w:tc>
          <w:tcPr>
            <w:tcW w:w="1276" w:type="dxa"/>
            <w:tcBorders>
              <w:top w:val="single" w:sz="4" w:space="0" w:color="auto"/>
              <w:bottom w:val="single" w:sz="12" w:space="0" w:color="auto"/>
            </w:tcBorders>
          </w:tcPr>
          <w:p w14:paraId="75E520D0" w14:textId="77777777" w:rsidR="005446F2" w:rsidRDefault="002F3A41">
            <w:pPr>
              <w:spacing w:before="120"/>
              <w:jc w:val="center"/>
            </w:pPr>
            <w:r>
              <w:rPr>
                <w:noProof/>
                <w:lang w:val="en-GB" w:eastAsia="en-GB"/>
              </w:rPr>
              <w:drawing>
                <wp:inline distT="0" distB="0" distL="0" distR="0" wp14:anchorId="1F3134F5" wp14:editId="3DC94EEE">
                  <wp:extent cx="714375" cy="590550"/>
                  <wp:effectExtent l="0" t="0" r="9525" b="0"/>
                  <wp:docPr id="47081226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897393"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28C46B" w14:textId="77777777" w:rsidR="005446F2" w:rsidRDefault="002F3A41">
            <w:pPr>
              <w:spacing w:before="120" w:line="380" w:lineRule="exact"/>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21043CA0" w14:textId="77777777" w:rsidR="005446F2" w:rsidRDefault="002F3A41">
            <w:pPr>
              <w:suppressAutoHyphens w:val="0"/>
              <w:spacing w:before="240" w:line="240" w:lineRule="exact"/>
            </w:pPr>
            <w:proofErr w:type="spellStart"/>
            <w:r>
              <w:t>Distr</w:t>
            </w:r>
            <w:proofErr w:type="spellEnd"/>
            <w:r>
              <w:t>. générale</w:t>
            </w:r>
          </w:p>
          <w:p w14:paraId="3A96946D" w14:textId="5BC74DF6" w:rsidR="005446F2" w:rsidRDefault="00B750ED">
            <w:pPr>
              <w:suppressAutoHyphens w:val="0"/>
            </w:pPr>
            <w:r>
              <w:t>1</w:t>
            </w:r>
            <w:r w:rsidR="00D63CD8">
              <w:t>6</w:t>
            </w:r>
            <w:r w:rsidR="005601DF">
              <w:t xml:space="preserve"> décembre</w:t>
            </w:r>
            <w:r w:rsidR="001469F0">
              <w:t xml:space="preserve"> </w:t>
            </w:r>
            <w:r w:rsidR="0044331C">
              <w:t>2021</w:t>
            </w:r>
          </w:p>
          <w:p w14:paraId="3DC8EC52" w14:textId="77777777" w:rsidR="005446F2" w:rsidRDefault="005446F2">
            <w:pPr>
              <w:suppressAutoHyphens w:val="0"/>
            </w:pPr>
          </w:p>
          <w:p w14:paraId="601ECDA5" w14:textId="77777777" w:rsidR="005446F2" w:rsidRDefault="002F3A41" w:rsidP="000D0237">
            <w:pPr>
              <w:suppressAutoHyphens w:val="0"/>
            </w:pPr>
            <w:r>
              <w:t>Original </w:t>
            </w:r>
            <w:r w:rsidR="00CE2153">
              <w:t>:</w:t>
            </w:r>
            <w:r w:rsidR="0044331C">
              <w:t xml:space="preserve"> français</w:t>
            </w:r>
          </w:p>
          <w:p w14:paraId="18C41433" w14:textId="62251F28" w:rsidR="00112CDC" w:rsidRDefault="00112CDC" w:rsidP="000D0237">
            <w:pPr>
              <w:suppressAutoHyphens w:val="0"/>
            </w:pPr>
            <w:r>
              <w:t xml:space="preserve">Anglais, </w:t>
            </w:r>
            <w:r w:rsidR="00EF0C6B">
              <w:t>arabe</w:t>
            </w:r>
            <w:r>
              <w:t>, espagnol et français seulement</w:t>
            </w:r>
          </w:p>
        </w:tc>
      </w:tr>
    </w:tbl>
    <w:p w14:paraId="1BA53115" w14:textId="77777777" w:rsidR="005446F2" w:rsidRDefault="002F3A41">
      <w:pPr>
        <w:spacing w:before="120"/>
        <w:rPr>
          <w:rFonts w:ascii="Times New Roman Bold" w:hAnsi="Times New Roman Bold" w:cs="Times New Roman Bold"/>
          <w:b/>
          <w:sz w:val="24"/>
          <w:szCs w:val="24"/>
        </w:rPr>
      </w:pPr>
      <w:r>
        <w:rPr>
          <w:rFonts w:ascii="Times New Roman Bold" w:hAnsi="Times New Roman Bold" w:cs="Times New Roman Bold"/>
          <w:b/>
          <w:sz w:val="24"/>
          <w:szCs w:val="24"/>
        </w:rPr>
        <w:t>Comité pour l’élimination de la discrimination raciale</w:t>
      </w:r>
    </w:p>
    <w:p w14:paraId="2B58BF95" w14:textId="00A508AB" w:rsidR="005446F2" w:rsidRPr="00C54F2D" w:rsidRDefault="002F3A41">
      <w:pPr>
        <w:pStyle w:val="HMG"/>
      </w:pPr>
      <w:r>
        <w:tab/>
      </w:r>
      <w:r>
        <w:tab/>
        <w:t>Rapport valant dix-neuvième à vingt et unième rapports périodiques soumis par le Maroc en</w:t>
      </w:r>
      <w:r w:rsidR="00CD5A97">
        <w:t> </w:t>
      </w:r>
      <w:r>
        <w:t xml:space="preserve">application de l’article 9 de la Convention, attendu en </w:t>
      </w:r>
      <w:r w:rsidRPr="002F3A41">
        <w:t>2014</w:t>
      </w:r>
      <w:r>
        <w:rPr>
          <w:rStyle w:val="Appelnotedebasdep"/>
          <w:b w:val="0"/>
          <w:sz w:val="20"/>
          <w:vertAlign w:val="baseline"/>
        </w:rPr>
        <w:footnoteReference w:customMarkFollows="1" w:id="2"/>
        <w:t>*</w:t>
      </w:r>
      <w:r w:rsidR="00BD41D4" w:rsidRPr="00013F70">
        <w:rPr>
          <w:rStyle w:val="Appelnotedebasdep"/>
          <w:b w:val="0"/>
          <w:position w:val="6"/>
          <w:sz w:val="20"/>
          <w:vertAlign w:val="baseline"/>
        </w:rPr>
        <w:t>,</w:t>
      </w:r>
      <w:r w:rsidRPr="00CD5A97">
        <w:rPr>
          <w:b w:val="0"/>
          <w:sz w:val="20"/>
        </w:rPr>
        <w:t xml:space="preserve"> </w:t>
      </w:r>
      <w:r w:rsidRPr="002F3A41">
        <w:rPr>
          <w:rStyle w:val="Appelnotedebasdep"/>
          <w:b w:val="0"/>
          <w:sz w:val="20"/>
          <w:vertAlign w:val="baseline"/>
        </w:rPr>
        <w:footnoteReference w:customMarkFollows="1" w:id="3"/>
        <w:t>**</w:t>
      </w:r>
    </w:p>
    <w:p w14:paraId="06BA7F83" w14:textId="77777777" w:rsidR="005446F2" w:rsidRDefault="002F3A41">
      <w:pPr>
        <w:pStyle w:val="SingleTxtG"/>
        <w:jc w:val="right"/>
      </w:pPr>
      <w:r>
        <w:t>[Date de réception :</w:t>
      </w:r>
      <w:r>
        <w:rPr>
          <w:color w:val="FF0000"/>
        </w:rPr>
        <w:t xml:space="preserve"> </w:t>
      </w:r>
      <w:r w:rsidR="009F6C48" w:rsidRPr="002F3A41">
        <w:t>28 décembre 2020</w:t>
      </w:r>
      <w:r>
        <w:t>]</w:t>
      </w:r>
    </w:p>
    <w:p w14:paraId="3BBA89E6" w14:textId="77777777" w:rsidR="00CF1461" w:rsidRDefault="009F6C48" w:rsidP="00CF1461">
      <w:pPr>
        <w:spacing w:after="120"/>
        <w:rPr>
          <w:sz w:val="28"/>
        </w:rPr>
      </w:pPr>
      <w:r>
        <w:br w:type="page"/>
      </w:r>
    </w:p>
    <w:p w14:paraId="7E491711" w14:textId="77777777" w:rsidR="002C4DF2" w:rsidRDefault="002C4DF2" w:rsidP="003C06D3">
      <w:pPr>
        <w:spacing w:after="120"/>
        <w:rPr>
          <w:sz w:val="28"/>
        </w:rPr>
      </w:pPr>
      <w:r>
        <w:rPr>
          <w:sz w:val="28"/>
        </w:rPr>
        <w:lastRenderedPageBreak/>
        <w:t>Table des matières</w:t>
      </w:r>
    </w:p>
    <w:p w14:paraId="5506D133" w14:textId="77777777" w:rsidR="002C4DF2" w:rsidRDefault="002C4DF2" w:rsidP="003C06D3">
      <w:pPr>
        <w:tabs>
          <w:tab w:val="right" w:pos="9638"/>
        </w:tabs>
        <w:spacing w:after="120"/>
        <w:ind w:left="283"/>
        <w:rPr>
          <w:sz w:val="18"/>
        </w:rPr>
      </w:pPr>
      <w:r>
        <w:rPr>
          <w:i/>
          <w:sz w:val="18"/>
        </w:rPr>
        <w:tab/>
        <w:t>Page</w:t>
      </w:r>
    </w:p>
    <w:p w14:paraId="50158816" w14:textId="74B0D561" w:rsidR="00372939" w:rsidRDefault="00372939" w:rsidP="002C4DF2">
      <w:pPr>
        <w:tabs>
          <w:tab w:val="right" w:pos="850"/>
          <w:tab w:val="left" w:pos="1134"/>
          <w:tab w:val="left" w:pos="1559"/>
          <w:tab w:val="left" w:pos="1984"/>
          <w:tab w:val="left" w:leader="dot" w:pos="8929"/>
          <w:tab w:val="right" w:pos="9638"/>
        </w:tabs>
        <w:spacing w:after="120"/>
      </w:pPr>
      <w:r>
        <w:tab/>
      </w:r>
      <w:r>
        <w:tab/>
      </w:r>
      <w:r w:rsidRPr="00963511">
        <w:rPr>
          <w:lang w:eastAsia="fr-FR"/>
        </w:rPr>
        <w:t>Liste des acronymes</w:t>
      </w:r>
      <w:r>
        <w:tab/>
      </w:r>
      <w:r>
        <w:tab/>
        <w:t>3</w:t>
      </w:r>
    </w:p>
    <w:p w14:paraId="01946C45" w14:textId="26596F74" w:rsidR="002C4DF2" w:rsidRPr="00CF1461" w:rsidRDefault="00FC368C" w:rsidP="002C4DF2">
      <w:pPr>
        <w:tabs>
          <w:tab w:val="right" w:pos="850"/>
          <w:tab w:val="left" w:pos="1134"/>
          <w:tab w:val="left" w:pos="1559"/>
          <w:tab w:val="left" w:pos="1984"/>
          <w:tab w:val="left" w:leader="dot" w:pos="8929"/>
          <w:tab w:val="right" w:pos="9638"/>
        </w:tabs>
        <w:spacing w:after="120"/>
      </w:pPr>
      <w:r>
        <w:tab/>
      </w:r>
      <w:r>
        <w:tab/>
      </w:r>
      <w:r w:rsidR="002C4DF2">
        <w:t>Introduction</w:t>
      </w:r>
      <w:r w:rsidR="002C4DF2">
        <w:tab/>
      </w:r>
      <w:r w:rsidR="002C4DF2">
        <w:tab/>
      </w:r>
      <w:r w:rsidR="000E38E6">
        <w:t>5</w:t>
      </w:r>
    </w:p>
    <w:p w14:paraId="360A4545" w14:textId="4529287C" w:rsidR="002C4DF2" w:rsidRPr="00CF1461" w:rsidRDefault="00FC368C" w:rsidP="002C4DF2">
      <w:pPr>
        <w:tabs>
          <w:tab w:val="right" w:pos="850"/>
          <w:tab w:val="left" w:pos="1134"/>
          <w:tab w:val="left" w:pos="1559"/>
          <w:tab w:val="left" w:pos="1984"/>
          <w:tab w:val="left" w:leader="dot" w:pos="8929"/>
          <w:tab w:val="right" w:pos="9638"/>
        </w:tabs>
        <w:spacing w:after="120"/>
      </w:pPr>
      <w:r>
        <w:tab/>
      </w:r>
      <w:r>
        <w:tab/>
      </w:r>
      <w:r w:rsidR="002C4DF2" w:rsidRPr="00CF1461">
        <w:t>Première partie : Observations générales</w:t>
      </w:r>
      <w:r w:rsidR="002C4DF2">
        <w:tab/>
      </w:r>
      <w:r w:rsidR="002C4DF2">
        <w:tab/>
      </w:r>
      <w:r w:rsidR="000E38E6">
        <w:t>6</w:t>
      </w:r>
    </w:p>
    <w:p w14:paraId="4310365E" w14:textId="77777777" w:rsidR="002C4DF2" w:rsidRDefault="00FC368C" w:rsidP="002C4DF2">
      <w:pPr>
        <w:tabs>
          <w:tab w:val="right" w:pos="850"/>
          <w:tab w:val="left" w:pos="1134"/>
          <w:tab w:val="left" w:pos="1559"/>
          <w:tab w:val="left" w:pos="1984"/>
          <w:tab w:val="left" w:leader="dot" w:pos="8929"/>
          <w:tab w:val="right" w:pos="9638"/>
        </w:tabs>
        <w:spacing w:after="120"/>
      </w:pPr>
      <w:r>
        <w:tab/>
      </w:r>
      <w:r w:rsidR="00F728B0">
        <w:t>I.</w:t>
      </w:r>
      <w:r>
        <w:tab/>
      </w:r>
      <w:r w:rsidR="002C4DF2" w:rsidRPr="00CF1461">
        <w:t xml:space="preserve">Renseignements sur la population </w:t>
      </w:r>
      <w:r w:rsidR="002C4DF2">
        <w:tab/>
      </w:r>
      <w:r w:rsidR="00F728B0">
        <w:tab/>
      </w:r>
      <w:r w:rsidR="000E38E6">
        <w:t>6</w:t>
      </w:r>
    </w:p>
    <w:p w14:paraId="60029255" w14:textId="77777777" w:rsidR="002C4DF2" w:rsidRPr="00CF1461" w:rsidRDefault="00FC368C" w:rsidP="002C4DF2">
      <w:pPr>
        <w:tabs>
          <w:tab w:val="right" w:pos="850"/>
          <w:tab w:val="left" w:pos="1134"/>
          <w:tab w:val="left" w:pos="1559"/>
          <w:tab w:val="left" w:pos="1984"/>
          <w:tab w:val="left" w:leader="dot" w:pos="8929"/>
          <w:tab w:val="right" w:pos="9638"/>
        </w:tabs>
        <w:spacing w:after="120"/>
      </w:pPr>
      <w:r>
        <w:tab/>
      </w:r>
      <w:r w:rsidR="00F728B0">
        <w:tab/>
        <w:t>A.</w:t>
      </w:r>
      <w:r>
        <w:tab/>
      </w:r>
      <w:r w:rsidR="002C4DF2" w:rsidRPr="00CF1461">
        <w:t>Composition de la population marocaine</w:t>
      </w:r>
      <w:r>
        <w:tab/>
      </w:r>
      <w:r w:rsidR="00F728B0">
        <w:tab/>
      </w:r>
      <w:r w:rsidR="000E38E6">
        <w:t>6</w:t>
      </w:r>
    </w:p>
    <w:p w14:paraId="5DB4AD14" w14:textId="77777777" w:rsidR="002C4DF2" w:rsidRPr="00CF1461" w:rsidRDefault="00FC368C" w:rsidP="002C4DF2">
      <w:pPr>
        <w:tabs>
          <w:tab w:val="right" w:pos="850"/>
          <w:tab w:val="left" w:pos="1134"/>
          <w:tab w:val="left" w:pos="1559"/>
          <w:tab w:val="left" w:pos="1984"/>
          <w:tab w:val="left" w:leader="dot" w:pos="8929"/>
          <w:tab w:val="right" w:pos="9638"/>
        </w:tabs>
        <w:spacing w:after="120"/>
      </w:pPr>
      <w:r>
        <w:tab/>
      </w:r>
      <w:r w:rsidR="00F728B0">
        <w:tab/>
        <w:t>B.</w:t>
      </w:r>
      <w:r w:rsidR="00F728B0">
        <w:tab/>
      </w:r>
      <w:r w:rsidR="002C4DF2" w:rsidRPr="00CF1461">
        <w:t>Migrants et réfugiés</w:t>
      </w:r>
      <w:r>
        <w:tab/>
      </w:r>
      <w:r w:rsidR="00F728B0">
        <w:tab/>
      </w:r>
      <w:r w:rsidR="000E38E6">
        <w:t>7</w:t>
      </w:r>
    </w:p>
    <w:p w14:paraId="7760CF2C" w14:textId="77777777" w:rsidR="002C4DF2" w:rsidRPr="00CF1461" w:rsidRDefault="00FC368C" w:rsidP="002C4DF2">
      <w:pPr>
        <w:tabs>
          <w:tab w:val="right" w:pos="850"/>
          <w:tab w:val="left" w:pos="1134"/>
          <w:tab w:val="left" w:pos="1559"/>
          <w:tab w:val="left" w:pos="1984"/>
          <w:tab w:val="left" w:leader="dot" w:pos="8929"/>
          <w:tab w:val="right" w:pos="9638"/>
        </w:tabs>
        <w:spacing w:after="120"/>
      </w:pPr>
      <w:r>
        <w:tab/>
      </w:r>
      <w:r w:rsidR="00F728B0">
        <w:t>II.</w:t>
      </w:r>
      <w:r>
        <w:tab/>
      </w:r>
      <w:r w:rsidR="002C4DF2" w:rsidRPr="00CF1461">
        <w:t>Evolution de la situation depuis l’examen du dix-septième</w:t>
      </w:r>
      <w:r>
        <w:t xml:space="preserve"> </w:t>
      </w:r>
      <w:r w:rsidR="002C4DF2" w:rsidRPr="00CF1461">
        <w:t xml:space="preserve">et dix-huitième rapport </w:t>
      </w:r>
      <w:r>
        <w:tab/>
      </w:r>
      <w:r w:rsidR="00F728B0">
        <w:tab/>
      </w:r>
      <w:r w:rsidR="000E38E6">
        <w:t>7</w:t>
      </w:r>
    </w:p>
    <w:p w14:paraId="57F8D54D" w14:textId="5702E68D" w:rsidR="002C4DF2" w:rsidRDefault="00FC368C" w:rsidP="002C4DF2">
      <w:pPr>
        <w:tabs>
          <w:tab w:val="right" w:pos="850"/>
          <w:tab w:val="left" w:pos="1134"/>
          <w:tab w:val="left" w:pos="1559"/>
          <w:tab w:val="left" w:pos="1984"/>
          <w:tab w:val="left" w:leader="dot" w:pos="8929"/>
          <w:tab w:val="right" w:pos="9638"/>
        </w:tabs>
        <w:spacing w:after="120"/>
      </w:pPr>
      <w:r>
        <w:tab/>
      </w:r>
      <w:r w:rsidR="00F728B0">
        <w:tab/>
      </w:r>
      <w:r w:rsidR="00112CDC">
        <w:t>A</w:t>
      </w:r>
      <w:r w:rsidR="00F728B0">
        <w:t>.</w:t>
      </w:r>
      <w:r>
        <w:tab/>
      </w:r>
      <w:r w:rsidR="002C4DF2" w:rsidRPr="00CF1461">
        <w:t>Renforcement du cadre constitutionnel, législatif et institutionnel</w:t>
      </w:r>
      <w:r>
        <w:t xml:space="preserve"> </w:t>
      </w:r>
      <w:r w:rsidR="002C4DF2" w:rsidRPr="00CF1461">
        <w:t>consacrant</w:t>
      </w:r>
      <w:r>
        <w:br/>
      </w:r>
      <w:r>
        <w:tab/>
      </w:r>
      <w:r>
        <w:tab/>
      </w:r>
      <w:r w:rsidR="00F728B0">
        <w:tab/>
      </w:r>
      <w:r w:rsidR="002C4DF2" w:rsidRPr="00CF1461">
        <w:t>les droits de l’Homme, l’</w:t>
      </w:r>
      <w:r w:rsidR="00BD28D2">
        <w:t>État</w:t>
      </w:r>
      <w:r w:rsidR="002C4DF2" w:rsidRPr="00CF1461">
        <w:t xml:space="preserve"> de droit et l’élimination</w:t>
      </w:r>
      <w:r>
        <w:t xml:space="preserve"> </w:t>
      </w:r>
      <w:r w:rsidR="002C4DF2" w:rsidRPr="00CF1461">
        <w:t>de la discrimination raciale</w:t>
      </w:r>
      <w:r>
        <w:tab/>
      </w:r>
      <w:r w:rsidR="00F728B0">
        <w:tab/>
      </w:r>
      <w:r w:rsidR="000E38E6">
        <w:t>7</w:t>
      </w:r>
    </w:p>
    <w:p w14:paraId="0F9CC27F" w14:textId="77777777" w:rsidR="002C4DF2" w:rsidRPr="00CF1461" w:rsidRDefault="00FC368C" w:rsidP="002C4DF2">
      <w:pPr>
        <w:tabs>
          <w:tab w:val="right" w:pos="850"/>
          <w:tab w:val="left" w:pos="1134"/>
          <w:tab w:val="left" w:pos="1559"/>
          <w:tab w:val="left" w:pos="1984"/>
          <w:tab w:val="left" w:leader="dot" w:pos="8929"/>
          <w:tab w:val="right" w:pos="9638"/>
        </w:tabs>
        <w:spacing w:after="120"/>
      </w:pPr>
      <w:r>
        <w:tab/>
      </w:r>
      <w:r w:rsidR="00F728B0">
        <w:tab/>
      </w:r>
      <w:r w:rsidR="00112CDC">
        <w:t>B</w:t>
      </w:r>
      <w:r w:rsidR="00F728B0">
        <w:t>.</w:t>
      </w:r>
      <w:r>
        <w:tab/>
      </w:r>
      <w:r w:rsidR="002C4DF2" w:rsidRPr="00CF1461">
        <w:t xml:space="preserve">Adhésion aux instruments internationaux des droits de l’Homme </w:t>
      </w:r>
      <w:r>
        <w:tab/>
      </w:r>
      <w:r w:rsidR="00F728B0">
        <w:tab/>
      </w:r>
      <w:r w:rsidR="000E38E6">
        <w:t>12</w:t>
      </w:r>
    </w:p>
    <w:p w14:paraId="0BDE2EB9" w14:textId="639EF1A8" w:rsidR="002C4DF2" w:rsidRPr="00CF1461" w:rsidRDefault="00FC368C" w:rsidP="002C4DF2">
      <w:pPr>
        <w:tabs>
          <w:tab w:val="right" w:pos="850"/>
          <w:tab w:val="left" w:pos="1134"/>
          <w:tab w:val="left" w:pos="1559"/>
          <w:tab w:val="left" w:pos="1984"/>
          <w:tab w:val="left" w:leader="dot" w:pos="8929"/>
          <w:tab w:val="right" w:pos="9638"/>
        </w:tabs>
        <w:spacing w:after="120"/>
      </w:pPr>
      <w:r>
        <w:tab/>
      </w:r>
      <w:r>
        <w:tab/>
      </w:r>
      <w:r w:rsidR="002C4DF2" w:rsidRPr="00CF1461">
        <w:t>Deuxième partie : Informations relatives aux articles 2 à 7 de la Convention</w:t>
      </w:r>
      <w:r>
        <w:tab/>
      </w:r>
      <w:r w:rsidR="00F728B0">
        <w:tab/>
      </w:r>
      <w:r w:rsidR="000E38E6">
        <w:t>1</w:t>
      </w:r>
      <w:r w:rsidR="0081005D">
        <w:t>2</w:t>
      </w:r>
    </w:p>
    <w:p w14:paraId="65B3259A" w14:textId="7D5DEF60" w:rsidR="002C4DF2" w:rsidRPr="00CF1461" w:rsidRDefault="00FC368C" w:rsidP="002C4DF2">
      <w:pPr>
        <w:tabs>
          <w:tab w:val="right" w:pos="850"/>
          <w:tab w:val="left" w:pos="1134"/>
          <w:tab w:val="left" w:pos="1559"/>
          <w:tab w:val="left" w:pos="1984"/>
          <w:tab w:val="left" w:leader="dot" w:pos="8929"/>
          <w:tab w:val="right" w:pos="9638"/>
        </w:tabs>
        <w:spacing w:after="120"/>
      </w:pPr>
      <w:r>
        <w:tab/>
      </w:r>
      <w:r>
        <w:tab/>
      </w:r>
      <w:r w:rsidR="002C4DF2" w:rsidRPr="00CF1461">
        <w:t>Article 2</w:t>
      </w:r>
      <w:r>
        <w:tab/>
      </w:r>
      <w:r>
        <w:tab/>
      </w:r>
      <w:r w:rsidR="00F728B0">
        <w:tab/>
      </w:r>
      <w:r w:rsidR="000E38E6">
        <w:t>1</w:t>
      </w:r>
      <w:r w:rsidR="0081005D">
        <w:t>2</w:t>
      </w:r>
    </w:p>
    <w:p w14:paraId="24B68034" w14:textId="1A0AD21C" w:rsidR="002C4DF2" w:rsidRPr="00CF1461" w:rsidRDefault="00FC368C" w:rsidP="002C4DF2">
      <w:pPr>
        <w:tabs>
          <w:tab w:val="right" w:pos="850"/>
          <w:tab w:val="left" w:pos="1134"/>
          <w:tab w:val="left" w:pos="1559"/>
          <w:tab w:val="left" w:pos="1984"/>
          <w:tab w:val="left" w:leader="dot" w:pos="8929"/>
          <w:tab w:val="right" w:pos="9638"/>
        </w:tabs>
        <w:spacing w:after="120"/>
      </w:pPr>
      <w:r>
        <w:tab/>
      </w:r>
      <w:r>
        <w:tab/>
      </w:r>
      <w:r w:rsidR="002C4DF2" w:rsidRPr="00CF1461">
        <w:t xml:space="preserve">Article 3 </w:t>
      </w:r>
      <w:r>
        <w:tab/>
      </w:r>
      <w:r>
        <w:tab/>
      </w:r>
      <w:r w:rsidR="00F728B0">
        <w:tab/>
      </w:r>
      <w:r w:rsidR="000E38E6">
        <w:t>1</w:t>
      </w:r>
      <w:r w:rsidR="0081005D">
        <w:t>5</w:t>
      </w:r>
    </w:p>
    <w:p w14:paraId="08611D04" w14:textId="629E3F8D" w:rsidR="002C4DF2" w:rsidRPr="00CF1461" w:rsidRDefault="00FC368C" w:rsidP="002C4DF2">
      <w:pPr>
        <w:tabs>
          <w:tab w:val="right" w:pos="850"/>
          <w:tab w:val="left" w:pos="1134"/>
          <w:tab w:val="left" w:pos="1559"/>
          <w:tab w:val="left" w:pos="1984"/>
          <w:tab w:val="left" w:leader="dot" w:pos="8929"/>
          <w:tab w:val="right" w:pos="9638"/>
        </w:tabs>
        <w:spacing w:after="120"/>
      </w:pPr>
      <w:r>
        <w:tab/>
      </w:r>
      <w:r>
        <w:tab/>
      </w:r>
      <w:r w:rsidR="002C4DF2" w:rsidRPr="00CF1461">
        <w:t>Article 4</w:t>
      </w:r>
      <w:r>
        <w:tab/>
      </w:r>
      <w:r>
        <w:tab/>
      </w:r>
      <w:r w:rsidR="00F728B0">
        <w:tab/>
      </w:r>
      <w:r w:rsidR="000E38E6">
        <w:t>18</w:t>
      </w:r>
    </w:p>
    <w:p w14:paraId="10A2D8EE" w14:textId="11E7BD48" w:rsidR="002C4DF2" w:rsidRPr="00CF1461" w:rsidRDefault="00FC368C" w:rsidP="002C4DF2">
      <w:pPr>
        <w:tabs>
          <w:tab w:val="right" w:pos="850"/>
          <w:tab w:val="left" w:pos="1134"/>
          <w:tab w:val="left" w:pos="1559"/>
          <w:tab w:val="left" w:pos="1984"/>
          <w:tab w:val="left" w:leader="dot" w:pos="8929"/>
          <w:tab w:val="right" w:pos="9638"/>
        </w:tabs>
        <w:spacing w:after="120"/>
      </w:pPr>
      <w:r>
        <w:tab/>
      </w:r>
      <w:r>
        <w:tab/>
      </w:r>
      <w:r w:rsidR="002C4DF2" w:rsidRPr="00CF1461">
        <w:t>Article 5</w:t>
      </w:r>
      <w:r>
        <w:tab/>
      </w:r>
      <w:r>
        <w:tab/>
      </w:r>
      <w:r w:rsidR="00F728B0">
        <w:tab/>
      </w:r>
      <w:r w:rsidR="0081005D">
        <w:t>19</w:t>
      </w:r>
    </w:p>
    <w:p w14:paraId="5268D7F5" w14:textId="76100D27" w:rsidR="002C4DF2" w:rsidRPr="00CF1461" w:rsidRDefault="00FC368C" w:rsidP="002C4DF2">
      <w:pPr>
        <w:tabs>
          <w:tab w:val="right" w:pos="850"/>
          <w:tab w:val="left" w:pos="1134"/>
          <w:tab w:val="left" w:pos="1559"/>
          <w:tab w:val="left" w:pos="1984"/>
          <w:tab w:val="left" w:leader="dot" w:pos="8929"/>
          <w:tab w:val="right" w:pos="9638"/>
        </w:tabs>
        <w:spacing w:after="120"/>
      </w:pPr>
      <w:r>
        <w:tab/>
      </w:r>
      <w:r>
        <w:tab/>
      </w:r>
      <w:r w:rsidR="002C4DF2" w:rsidRPr="00CF1461">
        <w:t xml:space="preserve">Article 6 </w:t>
      </w:r>
      <w:r>
        <w:tab/>
      </w:r>
      <w:r>
        <w:tab/>
      </w:r>
      <w:r w:rsidR="00F728B0">
        <w:tab/>
      </w:r>
      <w:r w:rsidR="000E38E6">
        <w:t>3</w:t>
      </w:r>
      <w:r w:rsidR="00805F0D">
        <w:t>2</w:t>
      </w:r>
    </w:p>
    <w:p w14:paraId="1B31C65F" w14:textId="77777777" w:rsidR="002C4DF2" w:rsidRPr="00CF1461" w:rsidRDefault="00FC368C" w:rsidP="002C4DF2">
      <w:pPr>
        <w:tabs>
          <w:tab w:val="right" w:pos="850"/>
          <w:tab w:val="left" w:pos="1134"/>
          <w:tab w:val="left" w:pos="1559"/>
          <w:tab w:val="left" w:pos="1984"/>
          <w:tab w:val="left" w:leader="dot" w:pos="8929"/>
          <w:tab w:val="right" w:pos="9638"/>
        </w:tabs>
        <w:spacing w:after="120"/>
      </w:pPr>
      <w:r>
        <w:tab/>
      </w:r>
      <w:r>
        <w:tab/>
      </w:r>
      <w:r w:rsidR="002C4DF2" w:rsidRPr="00CF1461">
        <w:t>Article 7</w:t>
      </w:r>
      <w:r>
        <w:tab/>
      </w:r>
      <w:r>
        <w:tab/>
      </w:r>
      <w:r w:rsidR="00F728B0">
        <w:tab/>
      </w:r>
      <w:r w:rsidR="000E38E6">
        <w:t>34</w:t>
      </w:r>
    </w:p>
    <w:p w14:paraId="47395EC3" w14:textId="77777777" w:rsidR="002C4DF2" w:rsidRPr="00CF1461" w:rsidRDefault="002C4DF2" w:rsidP="002C4DF2">
      <w:pPr>
        <w:tabs>
          <w:tab w:val="right" w:pos="850"/>
          <w:tab w:val="left" w:pos="1134"/>
          <w:tab w:val="left" w:pos="1559"/>
          <w:tab w:val="left" w:pos="1984"/>
          <w:tab w:val="left" w:leader="dot" w:pos="8929"/>
          <w:tab w:val="right" w:pos="9638"/>
        </w:tabs>
        <w:spacing w:after="120"/>
      </w:pPr>
      <w:r w:rsidRPr="00CF1461">
        <w:t>A</w:t>
      </w:r>
      <w:r w:rsidR="00FC368C">
        <w:t>nnexes</w:t>
      </w:r>
    </w:p>
    <w:p w14:paraId="7EF53E98" w14:textId="7F0A7225" w:rsidR="002C4DF2" w:rsidRPr="00CF1461" w:rsidRDefault="00FC368C" w:rsidP="002C4DF2">
      <w:pPr>
        <w:tabs>
          <w:tab w:val="right" w:pos="850"/>
          <w:tab w:val="left" w:pos="1134"/>
          <w:tab w:val="left" w:pos="1559"/>
          <w:tab w:val="left" w:pos="1984"/>
          <w:tab w:val="left" w:leader="dot" w:pos="8929"/>
          <w:tab w:val="right" w:pos="9638"/>
        </w:tabs>
        <w:spacing w:after="120"/>
      </w:pPr>
      <w:r>
        <w:tab/>
        <w:t>1.</w:t>
      </w:r>
      <w:r>
        <w:tab/>
      </w:r>
      <w:r w:rsidR="002C4DF2" w:rsidRPr="00CF1461">
        <w:t xml:space="preserve">Compte rendu et conclusions du processus de consultation nationale en marge de la préparation du </w:t>
      </w:r>
      <w:r>
        <w:tab/>
      </w:r>
      <w:r>
        <w:tab/>
      </w:r>
      <w:r w:rsidR="009B69CC">
        <w:tab/>
      </w:r>
      <w:r w:rsidR="002C4DF2" w:rsidRPr="00CF1461">
        <w:t>rapport national.</w:t>
      </w:r>
    </w:p>
    <w:p w14:paraId="216F52AB" w14:textId="3EFFD654" w:rsidR="002C4DF2" w:rsidRPr="00CF1461" w:rsidRDefault="00FC368C" w:rsidP="002C4DF2">
      <w:pPr>
        <w:tabs>
          <w:tab w:val="right" w:pos="850"/>
          <w:tab w:val="left" w:pos="1134"/>
          <w:tab w:val="left" w:pos="1559"/>
          <w:tab w:val="left" w:pos="1984"/>
          <w:tab w:val="left" w:leader="dot" w:pos="8929"/>
          <w:tab w:val="right" w:pos="9638"/>
        </w:tabs>
        <w:spacing w:after="120"/>
      </w:pPr>
      <w:r>
        <w:tab/>
        <w:t>2.</w:t>
      </w:r>
      <w:r>
        <w:tab/>
      </w:r>
      <w:r w:rsidR="002C4DF2" w:rsidRPr="00CF1461">
        <w:t>Aperçu des politiques publiques suivies depuis 2010.</w:t>
      </w:r>
      <w:r w:rsidR="00CD5A97">
        <w:t xml:space="preserve"> </w:t>
      </w:r>
    </w:p>
    <w:p w14:paraId="46C330EE" w14:textId="3315A162" w:rsidR="002C4DF2" w:rsidRPr="00CF1461" w:rsidRDefault="00FC368C" w:rsidP="002C4DF2">
      <w:pPr>
        <w:tabs>
          <w:tab w:val="right" w:pos="850"/>
          <w:tab w:val="left" w:pos="1134"/>
          <w:tab w:val="left" w:pos="1559"/>
          <w:tab w:val="left" w:pos="1984"/>
          <w:tab w:val="left" w:leader="dot" w:pos="8929"/>
          <w:tab w:val="right" w:pos="9638"/>
        </w:tabs>
        <w:spacing w:after="120"/>
      </w:pPr>
      <w:r>
        <w:tab/>
        <w:t>3.</w:t>
      </w:r>
      <w:r>
        <w:tab/>
      </w:r>
      <w:r w:rsidR="002C4DF2" w:rsidRPr="00CF1461">
        <w:t xml:space="preserve">Rapport du CNDH : « Etrangers et droits de l’Homme au Maroc : pour une politique d’asile et </w:t>
      </w:r>
      <w:r>
        <w:tab/>
      </w:r>
      <w:r>
        <w:tab/>
      </w:r>
      <w:r w:rsidR="009B69CC">
        <w:tab/>
      </w:r>
      <w:r w:rsidR="009B69CC">
        <w:tab/>
      </w:r>
      <w:r w:rsidR="002C4DF2" w:rsidRPr="00CF1461">
        <w:t>d’immigration radicalement nouvelles : Conclusions et recommandations », 2013.</w:t>
      </w:r>
    </w:p>
    <w:p w14:paraId="4938E6E3" w14:textId="0B0AC1DF" w:rsidR="002C4DF2" w:rsidRDefault="00FC368C" w:rsidP="002C4DF2">
      <w:pPr>
        <w:tabs>
          <w:tab w:val="right" w:pos="850"/>
          <w:tab w:val="left" w:pos="1134"/>
          <w:tab w:val="left" w:pos="1559"/>
          <w:tab w:val="left" w:pos="1984"/>
          <w:tab w:val="left" w:leader="dot" w:pos="8929"/>
          <w:tab w:val="right" w:pos="9638"/>
        </w:tabs>
        <w:spacing w:after="120"/>
      </w:pPr>
      <w:r>
        <w:tab/>
        <w:t>4.</w:t>
      </w:r>
      <w:r>
        <w:tab/>
      </w:r>
      <w:r w:rsidR="002C4DF2" w:rsidRPr="00CF1461">
        <w:t>Stratégie Nationale d</w:t>
      </w:r>
      <w:r w:rsidR="00CD5A97">
        <w:t>’</w:t>
      </w:r>
      <w:r w:rsidR="002C4DF2" w:rsidRPr="00CF1461">
        <w:t>Immigration et d</w:t>
      </w:r>
      <w:r w:rsidR="00CD5A97">
        <w:t>’</w:t>
      </w:r>
      <w:r w:rsidR="002C4DF2" w:rsidRPr="00CF1461">
        <w:t>Asile. MCMREAM, 2014.</w:t>
      </w:r>
    </w:p>
    <w:p w14:paraId="26FE76CC" w14:textId="77777777" w:rsidR="00CF1461" w:rsidRDefault="00CF1461">
      <w:pPr>
        <w:suppressAutoHyphens w:val="0"/>
        <w:kinsoku/>
        <w:overflowPunct/>
        <w:autoSpaceDE/>
        <w:autoSpaceDN/>
        <w:adjustRightInd/>
        <w:snapToGrid/>
        <w:spacing w:after="200" w:line="276" w:lineRule="auto"/>
      </w:pPr>
      <w:r>
        <w:br w:type="page"/>
      </w:r>
    </w:p>
    <w:p w14:paraId="0B202BE8" w14:textId="77777777" w:rsidR="00CF1461" w:rsidRPr="00963511" w:rsidRDefault="00CF1461" w:rsidP="00CF1461">
      <w:pPr>
        <w:pStyle w:val="HChG"/>
        <w:rPr>
          <w:lang w:eastAsia="fr-FR"/>
        </w:rPr>
      </w:pPr>
      <w:r>
        <w:rPr>
          <w:lang w:eastAsia="fr-FR"/>
        </w:rPr>
        <w:lastRenderedPageBreak/>
        <w:tab/>
      </w:r>
      <w:r>
        <w:rPr>
          <w:lang w:eastAsia="fr-FR"/>
        </w:rPr>
        <w:tab/>
      </w:r>
      <w:r w:rsidRPr="00963511">
        <w:rPr>
          <w:lang w:eastAsia="fr-FR"/>
        </w:rPr>
        <w:t>Liste des acronymes</w:t>
      </w:r>
    </w:p>
    <w:p w14:paraId="6C4114CE" w14:textId="6C02D084" w:rsidR="00CF1461" w:rsidRPr="00762A06" w:rsidRDefault="00CF1461" w:rsidP="00013F70">
      <w:pPr>
        <w:pStyle w:val="SingleTxtG"/>
        <w:tabs>
          <w:tab w:val="clear" w:pos="1701"/>
          <w:tab w:val="clear" w:pos="2268"/>
          <w:tab w:val="clear" w:pos="2835"/>
        </w:tabs>
        <w:ind w:left="2835" w:hanging="1701"/>
        <w:jc w:val="left"/>
        <w:rPr>
          <w:lang w:eastAsia="fr-FR" w:bidi="en-US"/>
        </w:rPr>
      </w:pPr>
      <w:r w:rsidRPr="00013F70">
        <w:rPr>
          <w:lang w:eastAsia="fr-FR" w:bidi="en-US"/>
        </w:rPr>
        <w:t>APALD</w:t>
      </w:r>
      <w:r w:rsidR="00A5588D">
        <w:rPr>
          <w:lang w:eastAsia="fr-FR" w:bidi="en-US"/>
        </w:rPr>
        <w:t> </w:t>
      </w:r>
      <w:r w:rsidRPr="00013F70">
        <w:rPr>
          <w:lang w:eastAsia="fr-FR" w:bidi="en-US"/>
        </w:rPr>
        <w:t xml:space="preserve">: </w:t>
      </w:r>
      <w:r w:rsidR="00762A06">
        <w:rPr>
          <w:lang w:eastAsia="fr-FR" w:bidi="en-US"/>
        </w:rPr>
        <w:tab/>
      </w:r>
      <w:r w:rsidR="00762A06">
        <w:rPr>
          <w:lang w:eastAsia="fr-FR" w:bidi="en-US"/>
        </w:rPr>
        <w:tab/>
      </w:r>
      <w:r w:rsidRPr="00762A06">
        <w:rPr>
          <w:lang w:eastAsia="fr-FR" w:bidi="en-US"/>
        </w:rPr>
        <w:t>Autorité pour la Parité et la Lutte contre toutes formes de Discrimination</w:t>
      </w:r>
    </w:p>
    <w:p w14:paraId="17C82583" w14:textId="43065A8E" w:rsidR="00CF1461" w:rsidRPr="00762A06" w:rsidRDefault="00CF1461" w:rsidP="00013F70">
      <w:pPr>
        <w:pStyle w:val="SingleTxtG"/>
        <w:tabs>
          <w:tab w:val="clear" w:pos="1701"/>
          <w:tab w:val="clear" w:pos="2268"/>
          <w:tab w:val="clear" w:pos="2835"/>
        </w:tabs>
        <w:jc w:val="left"/>
        <w:rPr>
          <w:lang w:eastAsia="fr-FR" w:bidi="en-US"/>
        </w:rPr>
      </w:pPr>
      <w:r w:rsidRPr="00013F70">
        <w:rPr>
          <w:rFonts w:eastAsia="Times New Roman"/>
          <w:lang w:eastAsia="fr-FR"/>
        </w:rPr>
        <w:t>AREF</w:t>
      </w:r>
      <w:r w:rsidR="00A5588D">
        <w:rPr>
          <w:rFonts w:eastAsia="Times New Roman"/>
          <w:lang w:eastAsia="fr-FR"/>
        </w:rPr>
        <w:t> </w:t>
      </w:r>
      <w:r w:rsidRPr="00013F70">
        <w:rPr>
          <w:rFonts w:eastAsia="Times New Roman"/>
          <w:lang w:eastAsia="fr-FR"/>
        </w:rPr>
        <w:t>:</w:t>
      </w:r>
      <w:r w:rsidRPr="00762A06">
        <w:rPr>
          <w:rFonts w:eastAsia="Times New Roman"/>
          <w:lang w:eastAsia="fr-FR"/>
        </w:rPr>
        <w:t xml:space="preserve"> </w:t>
      </w:r>
      <w:r w:rsidR="00762A06">
        <w:rPr>
          <w:rFonts w:eastAsia="Times New Roman"/>
          <w:lang w:eastAsia="fr-FR"/>
        </w:rPr>
        <w:tab/>
      </w:r>
      <w:r w:rsidR="00762A06">
        <w:rPr>
          <w:rFonts w:eastAsia="Times New Roman"/>
          <w:lang w:eastAsia="fr-FR"/>
        </w:rPr>
        <w:tab/>
      </w:r>
      <w:r w:rsidRPr="00762A06">
        <w:rPr>
          <w:rFonts w:eastAsia="Times New Roman"/>
          <w:lang w:eastAsia="fr-FR"/>
        </w:rPr>
        <w:t>Académie Régionale de l’Education et de la Formation</w:t>
      </w:r>
    </w:p>
    <w:p w14:paraId="7453E409" w14:textId="65CCC423" w:rsidR="00CF1461" w:rsidRPr="00762A06" w:rsidRDefault="00CF1461" w:rsidP="00013F70">
      <w:pPr>
        <w:pStyle w:val="SingleTxtG"/>
        <w:tabs>
          <w:tab w:val="clear" w:pos="1701"/>
          <w:tab w:val="clear" w:pos="2268"/>
          <w:tab w:val="clear" w:pos="2835"/>
        </w:tabs>
        <w:jc w:val="left"/>
        <w:rPr>
          <w:lang w:eastAsia="fr-FR" w:bidi="en-US"/>
        </w:rPr>
      </w:pPr>
      <w:r w:rsidRPr="00013F70">
        <w:rPr>
          <w:lang w:eastAsia="fr-FR" w:bidi="en-US"/>
        </w:rPr>
        <w:t>BO</w:t>
      </w:r>
      <w:r w:rsidR="00A5588D">
        <w:rPr>
          <w:lang w:eastAsia="fr-FR" w:bidi="en-US"/>
        </w:rPr>
        <w:t> </w:t>
      </w:r>
      <w:r w:rsidRPr="00762A06">
        <w:rPr>
          <w:lang w:eastAsia="fr-FR" w:bidi="en-US"/>
        </w:rPr>
        <w:t xml:space="preserve">: </w:t>
      </w:r>
      <w:r w:rsidR="00762A06">
        <w:rPr>
          <w:lang w:eastAsia="fr-FR" w:bidi="en-US"/>
        </w:rPr>
        <w:tab/>
      </w:r>
      <w:r w:rsidR="00762A06">
        <w:rPr>
          <w:lang w:eastAsia="fr-FR" w:bidi="en-US"/>
        </w:rPr>
        <w:tab/>
      </w:r>
      <w:r w:rsidR="00762A06">
        <w:rPr>
          <w:lang w:eastAsia="fr-FR" w:bidi="en-US"/>
        </w:rPr>
        <w:tab/>
      </w:r>
      <w:r w:rsidRPr="00762A06">
        <w:rPr>
          <w:lang w:eastAsia="fr-FR" w:bidi="en-US"/>
        </w:rPr>
        <w:t>Bulletin officiel</w:t>
      </w:r>
    </w:p>
    <w:p w14:paraId="5160181E" w14:textId="7B8D68A6" w:rsidR="00CF1461" w:rsidRPr="00762A06" w:rsidRDefault="00CF1461" w:rsidP="00013F70">
      <w:pPr>
        <w:pStyle w:val="SingleTxtG"/>
        <w:tabs>
          <w:tab w:val="clear" w:pos="1701"/>
          <w:tab w:val="clear" w:pos="2268"/>
          <w:tab w:val="clear" w:pos="2835"/>
        </w:tabs>
        <w:jc w:val="left"/>
        <w:rPr>
          <w:lang w:eastAsia="fr-FR" w:bidi="en-US"/>
        </w:rPr>
      </w:pPr>
      <w:r w:rsidRPr="00013F70">
        <w:rPr>
          <w:lang w:eastAsia="fr-FR" w:bidi="en-US"/>
        </w:rPr>
        <w:t>CCME</w:t>
      </w:r>
      <w:r w:rsidR="00A5588D">
        <w:rPr>
          <w:lang w:eastAsia="fr-FR" w:bidi="en-US"/>
        </w:rPr>
        <w:t> </w:t>
      </w:r>
      <w:r w:rsidRPr="00013F70">
        <w:rPr>
          <w:lang w:eastAsia="fr-FR" w:bidi="en-US"/>
        </w:rPr>
        <w:t>:</w:t>
      </w:r>
      <w:r w:rsidRPr="00762A06">
        <w:rPr>
          <w:lang w:eastAsia="fr-FR" w:bidi="en-US"/>
        </w:rPr>
        <w:t xml:space="preserve"> </w:t>
      </w:r>
      <w:r w:rsidR="00762A06">
        <w:rPr>
          <w:lang w:eastAsia="fr-FR" w:bidi="en-US"/>
        </w:rPr>
        <w:tab/>
      </w:r>
      <w:r w:rsidR="00762A06">
        <w:rPr>
          <w:lang w:eastAsia="fr-FR" w:bidi="en-US"/>
        </w:rPr>
        <w:tab/>
      </w:r>
      <w:r w:rsidRPr="00762A06">
        <w:rPr>
          <w:lang w:eastAsia="fr-FR" w:bidi="en-US"/>
        </w:rPr>
        <w:t>Conseil de la Communauté Marocaine à l’Etranger</w:t>
      </w:r>
    </w:p>
    <w:p w14:paraId="6E8A11A2" w14:textId="14A3E7D9" w:rsidR="00CF1461" w:rsidRPr="00762A06" w:rsidRDefault="00CF1461" w:rsidP="00013F70">
      <w:pPr>
        <w:pStyle w:val="SingleTxtG"/>
        <w:tabs>
          <w:tab w:val="clear" w:pos="1701"/>
          <w:tab w:val="clear" w:pos="2268"/>
          <w:tab w:val="clear" w:pos="2835"/>
        </w:tabs>
        <w:jc w:val="left"/>
        <w:rPr>
          <w:lang w:eastAsia="fr-FR" w:bidi="en-US"/>
        </w:rPr>
      </w:pPr>
      <w:r w:rsidRPr="00013F70">
        <w:rPr>
          <w:lang w:eastAsia="fr-FR" w:bidi="en-US"/>
        </w:rPr>
        <w:t>CDH</w:t>
      </w:r>
      <w:r w:rsidR="00A5588D">
        <w:rPr>
          <w:lang w:eastAsia="fr-FR" w:bidi="en-US"/>
        </w:rPr>
        <w:t> </w:t>
      </w:r>
      <w:r w:rsidRPr="00013F70">
        <w:rPr>
          <w:lang w:eastAsia="fr-FR" w:bidi="en-US"/>
        </w:rPr>
        <w:t xml:space="preserve">: </w:t>
      </w:r>
      <w:r w:rsidR="00762A06">
        <w:rPr>
          <w:lang w:eastAsia="fr-FR" w:bidi="en-US"/>
        </w:rPr>
        <w:tab/>
      </w:r>
      <w:r w:rsidR="00762A06">
        <w:rPr>
          <w:lang w:eastAsia="fr-FR" w:bidi="en-US"/>
        </w:rPr>
        <w:tab/>
      </w:r>
      <w:r w:rsidRPr="00762A06">
        <w:rPr>
          <w:lang w:eastAsia="fr-FR" w:bidi="en-US"/>
        </w:rPr>
        <w:t>Conseil des Nations Unies aux droits de l’Homme</w:t>
      </w:r>
    </w:p>
    <w:p w14:paraId="41D372C8" w14:textId="16619B71" w:rsidR="00CF1461" w:rsidRPr="00762A06" w:rsidRDefault="00CF1461" w:rsidP="00013F70">
      <w:pPr>
        <w:pStyle w:val="SingleTxtG"/>
        <w:tabs>
          <w:tab w:val="clear" w:pos="1701"/>
          <w:tab w:val="clear" w:pos="2268"/>
          <w:tab w:val="clear" w:pos="2835"/>
        </w:tabs>
        <w:jc w:val="left"/>
        <w:rPr>
          <w:lang w:eastAsia="fr-FR" w:bidi="en-US"/>
        </w:rPr>
      </w:pPr>
      <w:r w:rsidRPr="00013F70">
        <w:rPr>
          <w:lang w:eastAsia="fr-FR" w:bidi="en-US"/>
        </w:rPr>
        <w:t>CESE</w:t>
      </w:r>
      <w:r w:rsidR="00A5588D">
        <w:rPr>
          <w:lang w:eastAsia="fr-FR" w:bidi="en-US"/>
        </w:rPr>
        <w:t> </w:t>
      </w:r>
      <w:r w:rsidRPr="00013F70">
        <w:rPr>
          <w:lang w:eastAsia="fr-FR" w:bidi="en-US"/>
        </w:rPr>
        <w:t>:</w:t>
      </w:r>
      <w:r w:rsidRPr="00762A06">
        <w:rPr>
          <w:lang w:eastAsia="fr-FR" w:bidi="en-US"/>
        </w:rPr>
        <w:t xml:space="preserve"> </w:t>
      </w:r>
      <w:r w:rsidR="00762A06">
        <w:rPr>
          <w:lang w:eastAsia="fr-FR" w:bidi="en-US"/>
        </w:rPr>
        <w:tab/>
      </w:r>
      <w:r w:rsidR="00762A06">
        <w:rPr>
          <w:lang w:eastAsia="fr-FR" w:bidi="en-US"/>
        </w:rPr>
        <w:tab/>
      </w:r>
      <w:r w:rsidRPr="00762A06">
        <w:rPr>
          <w:lang w:eastAsia="fr-FR" w:bidi="en-US"/>
        </w:rPr>
        <w:t>Conseil Economique, Social et Environnemental</w:t>
      </w:r>
    </w:p>
    <w:p w14:paraId="67E7311B" w14:textId="3A06E169" w:rsidR="00CF1461" w:rsidRPr="00762A06" w:rsidRDefault="00CF1461" w:rsidP="00013F70">
      <w:pPr>
        <w:pStyle w:val="SingleTxtG"/>
        <w:tabs>
          <w:tab w:val="clear" w:pos="1701"/>
          <w:tab w:val="clear" w:pos="2268"/>
          <w:tab w:val="clear" w:pos="2835"/>
        </w:tabs>
        <w:ind w:left="2835" w:hanging="1701"/>
        <w:jc w:val="left"/>
        <w:rPr>
          <w:lang w:eastAsia="fr-FR" w:bidi="en-US"/>
        </w:rPr>
      </w:pPr>
      <w:r w:rsidRPr="00013F70">
        <w:rPr>
          <w:lang w:eastAsia="fr-FR" w:bidi="en-US"/>
        </w:rPr>
        <w:t>CEDAW :</w:t>
      </w:r>
      <w:r w:rsidRPr="00762A06">
        <w:rPr>
          <w:lang w:eastAsia="fr-FR" w:bidi="en-US"/>
        </w:rPr>
        <w:t xml:space="preserve"> </w:t>
      </w:r>
      <w:r w:rsidR="00762A06">
        <w:rPr>
          <w:lang w:eastAsia="fr-FR" w:bidi="en-US"/>
        </w:rPr>
        <w:tab/>
      </w:r>
      <w:r w:rsidR="00762A06">
        <w:rPr>
          <w:lang w:eastAsia="fr-FR" w:bidi="en-US"/>
        </w:rPr>
        <w:tab/>
      </w:r>
      <w:r w:rsidRPr="00762A06">
        <w:rPr>
          <w:lang w:eastAsia="fr-FR" w:bidi="en-US"/>
        </w:rPr>
        <w:t>La Convention sur l’élimination de toutes les formes de discrimination à l’égard des Femmes</w:t>
      </w:r>
    </w:p>
    <w:p w14:paraId="2B53B978" w14:textId="375F14EA" w:rsidR="00CF1461" w:rsidRPr="00762A06" w:rsidRDefault="00CF1461" w:rsidP="00013F70">
      <w:pPr>
        <w:pStyle w:val="SingleTxtG"/>
        <w:tabs>
          <w:tab w:val="clear" w:pos="1701"/>
          <w:tab w:val="clear" w:pos="2268"/>
          <w:tab w:val="clear" w:pos="2835"/>
        </w:tabs>
        <w:jc w:val="left"/>
        <w:rPr>
          <w:lang w:eastAsia="fr-FR" w:bidi="en-US"/>
        </w:rPr>
      </w:pPr>
      <w:r w:rsidRPr="00013F70">
        <w:rPr>
          <w:lang w:eastAsia="fr-FR" w:bidi="en-US"/>
        </w:rPr>
        <w:t>CCDH :</w:t>
      </w:r>
      <w:r w:rsidRPr="00762A06">
        <w:rPr>
          <w:lang w:eastAsia="fr-FR" w:bidi="en-US"/>
        </w:rPr>
        <w:t xml:space="preserve"> </w:t>
      </w:r>
      <w:r w:rsidR="00762A06">
        <w:rPr>
          <w:lang w:eastAsia="fr-FR" w:bidi="en-US"/>
        </w:rPr>
        <w:tab/>
      </w:r>
      <w:r w:rsidR="00762A06">
        <w:rPr>
          <w:lang w:eastAsia="fr-FR" w:bidi="en-US"/>
        </w:rPr>
        <w:tab/>
      </w:r>
      <w:r w:rsidRPr="00762A06">
        <w:rPr>
          <w:lang w:eastAsia="fr-FR" w:bidi="en-US"/>
        </w:rPr>
        <w:t>Conseil consultatif des droits de l’Homme</w:t>
      </w:r>
    </w:p>
    <w:p w14:paraId="45FEF035" w14:textId="02740136" w:rsidR="00CF1461" w:rsidRPr="00762A06" w:rsidRDefault="00CF1461" w:rsidP="00013F70">
      <w:pPr>
        <w:pStyle w:val="SingleTxtG"/>
        <w:tabs>
          <w:tab w:val="clear" w:pos="1701"/>
          <w:tab w:val="clear" w:pos="2268"/>
          <w:tab w:val="clear" w:pos="2835"/>
        </w:tabs>
        <w:jc w:val="left"/>
        <w:rPr>
          <w:lang w:eastAsia="fr-FR" w:bidi="en-US"/>
        </w:rPr>
      </w:pPr>
      <w:r w:rsidRPr="00013F70">
        <w:rPr>
          <w:lang w:eastAsia="fr-FR" w:bidi="en-US"/>
        </w:rPr>
        <w:t>CNDH</w:t>
      </w:r>
      <w:r w:rsidRPr="00762A06">
        <w:rPr>
          <w:lang w:eastAsia="fr-FR" w:bidi="en-US"/>
        </w:rPr>
        <w:t xml:space="preserve"> : </w:t>
      </w:r>
      <w:r w:rsidR="00762A06">
        <w:rPr>
          <w:lang w:eastAsia="fr-FR" w:bidi="en-US"/>
        </w:rPr>
        <w:tab/>
      </w:r>
      <w:r w:rsidR="00762A06">
        <w:rPr>
          <w:lang w:eastAsia="fr-FR" w:bidi="en-US"/>
        </w:rPr>
        <w:tab/>
      </w:r>
      <w:r w:rsidRPr="00762A06">
        <w:rPr>
          <w:lang w:eastAsia="fr-FR" w:bidi="en-US"/>
        </w:rPr>
        <w:t>Conseil National des Droits de l’Homme</w:t>
      </w:r>
    </w:p>
    <w:p w14:paraId="60520342" w14:textId="3502499E" w:rsidR="00CF1461" w:rsidRPr="00013F70" w:rsidRDefault="00CF1461" w:rsidP="00013F70">
      <w:pPr>
        <w:pStyle w:val="SingleTxtG"/>
        <w:tabs>
          <w:tab w:val="clear" w:pos="1701"/>
          <w:tab w:val="clear" w:pos="2268"/>
          <w:tab w:val="clear" w:pos="2835"/>
        </w:tabs>
        <w:ind w:left="2835" w:hanging="1701"/>
        <w:jc w:val="left"/>
        <w:rPr>
          <w:lang w:eastAsia="fr-FR" w:bidi="en-US"/>
        </w:rPr>
      </w:pPr>
      <w:r w:rsidRPr="00013F70">
        <w:rPr>
          <w:lang w:eastAsia="fr-FR" w:bidi="en-US"/>
        </w:rPr>
        <w:t xml:space="preserve">CNDP : </w:t>
      </w:r>
      <w:r w:rsidR="00762A06">
        <w:rPr>
          <w:lang w:eastAsia="fr-FR" w:bidi="en-US"/>
        </w:rPr>
        <w:tab/>
      </w:r>
      <w:r w:rsidR="00762A06">
        <w:rPr>
          <w:lang w:eastAsia="fr-FR" w:bidi="en-US"/>
        </w:rPr>
        <w:tab/>
      </w:r>
      <w:r w:rsidRPr="00013F70">
        <w:rPr>
          <w:lang w:eastAsia="fr-FR" w:bidi="en-US"/>
        </w:rPr>
        <w:t>Commission Nationale de contrôle de la protection des Données à</w:t>
      </w:r>
      <w:r w:rsidR="005A71D7">
        <w:rPr>
          <w:lang w:eastAsia="fr-FR" w:bidi="en-US"/>
        </w:rPr>
        <w:t> </w:t>
      </w:r>
      <w:r w:rsidRPr="00013F70">
        <w:rPr>
          <w:lang w:eastAsia="fr-FR" w:bidi="en-US"/>
        </w:rPr>
        <w:t xml:space="preserve">caractère personnel </w:t>
      </w:r>
    </w:p>
    <w:p w14:paraId="4553EB4B" w14:textId="390AC9A9"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CP : </w:t>
      </w:r>
      <w:r w:rsidR="00762A06">
        <w:rPr>
          <w:lang w:eastAsia="fr-FR" w:bidi="en-US"/>
        </w:rPr>
        <w:tab/>
      </w:r>
      <w:r w:rsidR="00762A06">
        <w:rPr>
          <w:lang w:eastAsia="fr-FR" w:bidi="en-US"/>
        </w:rPr>
        <w:tab/>
      </w:r>
      <w:r w:rsidR="00762A06">
        <w:rPr>
          <w:lang w:eastAsia="fr-FR" w:bidi="en-US"/>
        </w:rPr>
        <w:tab/>
      </w:r>
      <w:r w:rsidRPr="00013F70">
        <w:rPr>
          <w:lang w:eastAsia="fr-FR" w:bidi="en-US"/>
        </w:rPr>
        <w:t>Code Pénal</w:t>
      </w:r>
    </w:p>
    <w:p w14:paraId="3F7680CD" w14:textId="40F2AE05"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CPP : </w:t>
      </w:r>
      <w:r w:rsidR="00762A06">
        <w:rPr>
          <w:lang w:eastAsia="fr-FR" w:bidi="en-US"/>
        </w:rPr>
        <w:tab/>
      </w:r>
      <w:r w:rsidR="00762A06">
        <w:rPr>
          <w:lang w:eastAsia="fr-FR" w:bidi="en-US"/>
        </w:rPr>
        <w:tab/>
      </w:r>
      <w:r w:rsidR="00762A06">
        <w:rPr>
          <w:lang w:eastAsia="fr-FR" w:bidi="en-US"/>
        </w:rPr>
        <w:tab/>
      </w:r>
      <w:r w:rsidRPr="00013F70">
        <w:rPr>
          <w:lang w:eastAsia="fr-FR" w:bidi="en-US"/>
        </w:rPr>
        <w:t>Code de Procédure Pénale</w:t>
      </w:r>
    </w:p>
    <w:p w14:paraId="4038092C" w14:textId="6C242029"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DIDH : </w:t>
      </w:r>
      <w:r w:rsidR="00762A06">
        <w:rPr>
          <w:lang w:eastAsia="fr-FR" w:bidi="en-US"/>
        </w:rPr>
        <w:tab/>
      </w:r>
      <w:r w:rsidR="00762A06">
        <w:rPr>
          <w:lang w:eastAsia="fr-FR" w:bidi="en-US"/>
        </w:rPr>
        <w:tab/>
      </w:r>
      <w:r w:rsidRPr="00013F70">
        <w:rPr>
          <w:lang w:eastAsia="fr-FR" w:bidi="en-US"/>
        </w:rPr>
        <w:t>Délégation interministérielle aux droits de l’Homme</w:t>
      </w:r>
    </w:p>
    <w:p w14:paraId="40C4A883" w14:textId="722AB9BB"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DGSN : </w:t>
      </w:r>
      <w:r w:rsidR="00762A06">
        <w:rPr>
          <w:lang w:eastAsia="fr-FR" w:bidi="en-US"/>
        </w:rPr>
        <w:tab/>
      </w:r>
      <w:r w:rsidR="00762A06">
        <w:rPr>
          <w:lang w:eastAsia="fr-FR" w:bidi="en-US"/>
        </w:rPr>
        <w:tab/>
      </w:r>
      <w:r w:rsidRPr="00013F70">
        <w:rPr>
          <w:lang w:eastAsia="fr-FR" w:bidi="en-US"/>
        </w:rPr>
        <w:t>Direction Générale de la Sûreté Nationale</w:t>
      </w:r>
    </w:p>
    <w:p w14:paraId="53818706" w14:textId="3705BCDA"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DGST : </w:t>
      </w:r>
      <w:r w:rsidR="00762A06">
        <w:rPr>
          <w:lang w:eastAsia="fr-FR" w:bidi="en-US"/>
        </w:rPr>
        <w:tab/>
      </w:r>
      <w:r w:rsidR="00762A06">
        <w:rPr>
          <w:lang w:eastAsia="fr-FR" w:bidi="en-US"/>
        </w:rPr>
        <w:tab/>
      </w:r>
      <w:r w:rsidRPr="00013F70">
        <w:rPr>
          <w:lang w:eastAsia="fr-FR" w:bidi="en-US"/>
        </w:rPr>
        <w:t>Direction Générale de la surveillance du territoire</w:t>
      </w:r>
    </w:p>
    <w:p w14:paraId="2B25DE6D" w14:textId="111B78C3" w:rsidR="00CF1461" w:rsidRPr="00013F70" w:rsidRDefault="00CF1461" w:rsidP="00013F70">
      <w:pPr>
        <w:pStyle w:val="SingleTxtG"/>
        <w:tabs>
          <w:tab w:val="clear" w:pos="1701"/>
          <w:tab w:val="clear" w:pos="2268"/>
          <w:tab w:val="clear" w:pos="2835"/>
        </w:tabs>
        <w:ind w:left="2835" w:hanging="1701"/>
        <w:jc w:val="left"/>
        <w:rPr>
          <w:lang w:eastAsia="fr-FR" w:bidi="en-US"/>
        </w:rPr>
      </w:pPr>
      <w:r w:rsidRPr="00013F70">
        <w:rPr>
          <w:lang w:eastAsia="fr-FR" w:bidi="en-US"/>
        </w:rPr>
        <w:t xml:space="preserve">DGAPR : </w:t>
      </w:r>
      <w:r w:rsidR="00762A06">
        <w:rPr>
          <w:lang w:eastAsia="fr-FR" w:bidi="en-US"/>
        </w:rPr>
        <w:tab/>
      </w:r>
      <w:r w:rsidR="005A71D7">
        <w:rPr>
          <w:lang w:eastAsia="fr-FR" w:bidi="en-US"/>
        </w:rPr>
        <w:tab/>
      </w:r>
      <w:r w:rsidRPr="00013F70">
        <w:rPr>
          <w:lang w:eastAsia="fr-FR" w:bidi="en-US"/>
        </w:rPr>
        <w:t xml:space="preserve">Délégation Générale à l’Administration Pénitentiaire </w:t>
      </w:r>
      <w:r w:rsidR="005A71D7">
        <w:rPr>
          <w:lang w:eastAsia="fr-FR" w:bidi="en-US"/>
        </w:rPr>
        <w:br/>
      </w:r>
      <w:r w:rsidRPr="00013F70">
        <w:rPr>
          <w:lang w:eastAsia="fr-FR" w:bidi="en-US"/>
        </w:rPr>
        <w:t>et à la Réinsertion</w:t>
      </w:r>
    </w:p>
    <w:p w14:paraId="66D2CEFE" w14:textId="7E0A002D"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HACA : </w:t>
      </w:r>
      <w:r w:rsidR="00762A06">
        <w:rPr>
          <w:lang w:eastAsia="fr-FR" w:bidi="en-US"/>
        </w:rPr>
        <w:tab/>
      </w:r>
      <w:r w:rsidR="00762A06">
        <w:rPr>
          <w:lang w:eastAsia="fr-FR" w:bidi="en-US"/>
        </w:rPr>
        <w:tab/>
      </w:r>
      <w:r w:rsidRPr="00013F70">
        <w:rPr>
          <w:lang w:eastAsia="fr-FR" w:bidi="en-US"/>
        </w:rPr>
        <w:t>Haute Autorité de la Communication Audiovisuelle</w:t>
      </w:r>
    </w:p>
    <w:p w14:paraId="405BC67B" w14:textId="07C72603"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HCDH : </w:t>
      </w:r>
      <w:r w:rsidR="00762A06">
        <w:rPr>
          <w:lang w:eastAsia="fr-FR" w:bidi="en-US"/>
        </w:rPr>
        <w:tab/>
      </w:r>
      <w:r w:rsidR="00762A06">
        <w:rPr>
          <w:lang w:eastAsia="fr-FR" w:bidi="en-US"/>
        </w:rPr>
        <w:tab/>
      </w:r>
      <w:r w:rsidRPr="00013F70">
        <w:rPr>
          <w:lang w:eastAsia="fr-FR" w:bidi="en-US"/>
        </w:rPr>
        <w:t>Haut-Commissariat des Nations Unies aux Droits de l’Homme</w:t>
      </w:r>
    </w:p>
    <w:p w14:paraId="1BDA3F38" w14:textId="08177A9A"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HCP : </w:t>
      </w:r>
      <w:r w:rsidR="00762A06">
        <w:rPr>
          <w:lang w:eastAsia="fr-FR" w:bidi="en-US"/>
        </w:rPr>
        <w:tab/>
      </w:r>
      <w:r w:rsidR="00762A06">
        <w:rPr>
          <w:lang w:eastAsia="fr-FR" w:bidi="en-US"/>
        </w:rPr>
        <w:tab/>
      </w:r>
      <w:r w:rsidR="00762A06">
        <w:rPr>
          <w:lang w:eastAsia="fr-FR" w:bidi="en-US"/>
        </w:rPr>
        <w:tab/>
      </w:r>
      <w:r w:rsidRPr="00013F70">
        <w:rPr>
          <w:lang w:eastAsia="fr-FR" w:bidi="en-US"/>
        </w:rPr>
        <w:t>Haut-Commissariat au Plan</w:t>
      </w:r>
    </w:p>
    <w:p w14:paraId="1EB7F55A" w14:textId="33CF0F63" w:rsidR="00CF1461" w:rsidRPr="00013F70" w:rsidRDefault="00CF1461" w:rsidP="00013F70">
      <w:pPr>
        <w:pStyle w:val="SingleTxtG"/>
        <w:tabs>
          <w:tab w:val="clear" w:pos="1701"/>
          <w:tab w:val="clear" w:pos="2268"/>
          <w:tab w:val="clear" w:pos="2835"/>
        </w:tabs>
        <w:ind w:left="2835" w:hanging="1701"/>
        <w:jc w:val="left"/>
        <w:rPr>
          <w:sz w:val="2"/>
          <w:szCs w:val="2"/>
          <w:lang w:eastAsia="fr-FR" w:bidi="en-US"/>
        </w:rPr>
      </w:pPr>
      <w:r w:rsidRPr="00013F70">
        <w:rPr>
          <w:lang w:eastAsia="fr-FR" w:bidi="en-US"/>
        </w:rPr>
        <w:t xml:space="preserve">ICRAM : </w:t>
      </w:r>
      <w:r w:rsidR="00762A06">
        <w:rPr>
          <w:lang w:eastAsia="fr-FR" w:bidi="en-US"/>
        </w:rPr>
        <w:tab/>
      </w:r>
      <w:r w:rsidR="00762A06">
        <w:rPr>
          <w:lang w:eastAsia="fr-FR" w:bidi="en-US"/>
        </w:rPr>
        <w:tab/>
      </w:r>
      <w:r w:rsidRPr="00013F70">
        <w:rPr>
          <w:lang w:eastAsia="fr-FR" w:bidi="en-US"/>
        </w:rPr>
        <w:t>Initiative Concertée pour le Renforcement des Acquis des Marocaines (Plan gouvernemental</w:t>
      </w:r>
      <w:r w:rsidR="009354AA" w:rsidRPr="00013F70">
        <w:rPr>
          <w:lang w:eastAsia="fr-FR" w:bidi="en-US"/>
        </w:rPr>
        <w:t xml:space="preserve"> </w:t>
      </w:r>
      <w:r w:rsidRPr="00013F70">
        <w:rPr>
          <w:lang w:eastAsia="fr-FR" w:bidi="en-US"/>
        </w:rPr>
        <w:t>pour l’égalité dans la perspective de la parité)</w:t>
      </w:r>
    </w:p>
    <w:p w14:paraId="124C4568" w14:textId="0F38A937"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IER : </w:t>
      </w:r>
      <w:r w:rsidR="00762A06">
        <w:rPr>
          <w:lang w:eastAsia="fr-FR" w:bidi="en-US"/>
        </w:rPr>
        <w:tab/>
      </w:r>
      <w:r w:rsidR="00762A06">
        <w:rPr>
          <w:lang w:eastAsia="fr-FR" w:bidi="en-US"/>
        </w:rPr>
        <w:tab/>
      </w:r>
      <w:r w:rsidR="00762A06">
        <w:rPr>
          <w:lang w:eastAsia="fr-FR" w:bidi="en-US"/>
        </w:rPr>
        <w:tab/>
      </w:r>
      <w:r w:rsidRPr="00013F70">
        <w:rPr>
          <w:lang w:eastAsia="fr-FR" w:bidi="en-US"/>
        </w:rPr>
        <w:t xml:space="preserve">Instance Equité et Réconciliation </w:t>
      </w:r>
    </w:p>
    <w:p w14:paraId="130F53BE" w14:textId="75C4853F"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INDH : </w:t>
      </w:r>
      <w:r w:rsidR="00762A06">
        <w:rPr>
          <w:lang w:eastAsia="fr-FR" w:bidi="en-US"/>
        </w:rPr>
        <w:tab/>
      </w:r>
      <w:r w:rsidR="00762A06">
        <w:rPr>
          <w:lang w:eastAsia="fr-FR" w:bidi="en-US"/>
        </w:rPr>
        <w:tab/>
      </w:r>
      <w:r w:rsidRPr="00013F70">
        <w:rPr>
          <w:lang w:eastAsia="fr-FR" w:bidi="en-US"/>
        </w:rPr>
        <w:t>Initiative Nationale pour le Développement Humain</w:t>
      </w:r>
    </w:p>
    <w:p w14:paraId="4E0C52E6" w14:textId="7180D050"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IRCAM : </w:t>
      </w:r>
      <w:r w:rsidR="00762A06">
        <w:rPr>
          <w:lang w:eastAsia="fr-FR" w:bidi="en-US"/>
        </w:rPr>
        <w:tab/>
      </w:r>
      <w:r w:rsidR="00762A06">
        <w:rPr>
          <w:lang w:eastAsia="fr-FR" w:bidi="en-US"/>
        </w:rPr>
        <w:tab/>
      </w:r>
      <w:r w:rsidRPr="00013F70">
        <w:rPr>
          <w:lang w:eastAsia="fr-FR" w:bidi="en-US"/>
        </w:rPr>
        <w:t>Institut Royal de la Culture Amazighe</w:t>
      </w:r>
    </w:p>
    <w:p w14:paraId="49D52835" w14:textId="65F49DB7" w:rsidR="00CF1461" w:rsidRPr="00013F70" w:rsidRDefault="00CF1461" w:rsidP="00013F70">
      <w:pPr>
        <w:pStyle w:val="SingleTxtG"/>
        <w:tabs>
          <w:tab w:val="clear" w:pos="1701"/>
          <w:tab w:val="clear" w:pos="2268"/>
          <w:tab w:val="clear" w:pos="2835"/>
        </w:tabs>
        <w:ind w:left="2835" w:hanging="1701"/>
        <w:jc w:val="left"/>
        <w:rPr>
          <w:lang w:eastAsia="fr-FR" w:bidi="en-US"/>
        </w:rPr>
      </w:pPr>
      <w:r w:rsidRPr="00013F70">
        <w:rPr>
          <w:lang w:eastAsia="fr-FR" w:bidi="en-US"/>
        </w:rPr>
        <w:t xml:space="preserve">MCRAFP : </w:t>
      </w:r>
      <w:r w:rsidR="00762A06">
        <w:rPr>
          <w:lang w:eastAsia="fr-FR" w:bidi="en-US"/>
        </w:rPr>
        <w:tab/>
      </w:r>
      <w:r w:rsidR="00762A06">
        <w:rPr>
          <w:lang w:eastAsia="fr-FR" w:bidi="en-US"/>
        </w:rPr>
        <w:tab/>
      </w:r>
      <w:r w:rsidRPr="00013F70">
        <w:rPr>
          <w:lang w:eastAsia="fr-FR" w:bidi="en-US"/>
        </w:rPr>
        <w:t xml:space="preserve">Ministère chargé de la réforme de l’Administration </w:t>
      </w:r>
      <w:r w:rsidR="005A71D7">
        <w:rPr>
          <w:lang w:eastAsia="fr-FR" w:bidi="en-US"/>
        </w:rPr>
        <w:br/>
      </w:r>
      <w:r w:rsidRPr="00013F70">
        <w:rPr>
          <w:lang w:eastAsia="fr-FR" w:bidi="en-US"/>
        </w:rPr>
        <w:t>et de la Fonction publique</w:t>
      </w:r>
    </w:p>
    <w:p w14:paraId="11744D40" w14:textId="50894E9C"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MEF : </w:t>
      </w:r>
      <w:r w:rsidR="00762A06">
        <w:rPr>
          <w:lang w:eastAsia="fr-FR" w:bidi="en-US"/>
        </w:rPr>
        <w:tab/>
      </w:r>
      <w:r w:rsidR="00762A06">
        <w:rPr>
          <w:lang w:eastAsia="fr-FR" w:bidi="en-US"/>
        </w:rPr>
        <w:tab/>
      </w:r>
      <w:r w:rsidR="00762A06">
        <w:rPr>
          <w:lang w:eastAsia="fr-FR" w:bidi="en-US"/>
        </w:rPr>
        <w:tab/>
      </w:r>
      <w:r w:rsidRPr="00013F70">
        <w:rPr>
          <w:lang w:eastAsia="fr-FR" w:bidi="en-US"/>
        </w:rPr>
        <w:t>Ministère de l’Economie et des Finances</w:t>
      </w:r>
    </w:p>
    <w:p w14:paraId="35C45B7B" w14:textId="4A5C4D43"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MTIP : </w:t>
      </w:r>
      <w:r w:rsidR="00762A06">
        <w:rPr>
          <w:lang w:eastAsia="fr-FR" w:bidi="en-US"/>
        </w:rPr>
        <w:tab/>
      </w:r>
      <w:r w:rsidR="00762A06">
        <w:rPr>
          <w:lang w:eastAsia="fr-FR" w:bidi="en-US"/>
        </w:rPr>
        <w:tab/>
      </w:r>
      <w:r w:rsidRPr="00013F70">
        <w:rPr>
          <w:lang w:eastAsia="fr-FR" w:bidi="en-US"/>
        </w:rPr>
        <w:t>Ministère du Travail et de l’Insertion Professionnelle</w:t>
      </w:r>
    </w:p>
    <w:p w14:paraId="48F63F3F" w14:textId="298E0C67" w:rsidR="00CF1461" w:rsidRPr="00013F70" w:rsidRDefault="00CF1461" w:rsidP="00013F70">
      <w:pPr>
        <w:pStyle w:val="SingleTxtG"/>
        <w:tabs>
          <w:tab w:val="clear" w:pos="1701"/>
          <w:tab w:val="clear" w:pos="2268"/>
          <w:tab w:val="clear" w:pos="2835"/>
        </w:tabs>
        <w:ind w:left="2835" w:hanging="1701"/>
        <w:jc w:val="left"/>
        <w:rPr>
          <w:lang w:eastAsia="fr-FR" w:bidi="en-US"/>
        </w:rPr>
      </w:pPr>
      <w:r w:rsidRPr="00013F70">
        <w:rPr>
          <w:lang w:eastAsia="fr-FR" w:bidi="en-US"/>
        </w:rPr>
        <w:t xml:space="preserve">MENFPESRS : </w:t>
      </w:r>
      <w:r w:rsidR="00762A06">
        <w:rPr>
          <w:lang w:eastAsia="fr-FR" w:bidi="en-US"/>
        </w:rPr>
        <w:tab/>
      </w:r>
      <w:r w:rsidRPr="00013F70">
        <w:rPr>
          <w:lang w:eastAsia="fr-FR" w:bidi="en-US"/>
        </w:rPr>
        <w:t>Ministère de l’Education nationale, de la Formation professionnelle, de l’Enseignement</w:t>
      </w:r>
      <w:r w:rsidR="00FC368C" w:rsidRPr="00013F70">
        <w:rPr>
          <w:lang w:eastAsia="fr-FR" w:bidi="en-US"/>
        </w:rPr>
        <w:t xml:space="preserve"> </w:t>
      </w:r>
      <w:r w:rsidRPr="00013F70">
        <w:rPr>
          <w:lang w:eastAsia="fr-FR" w:bidi="en-US"/>
        </w:rPr>
        <w:t>Supérieur et de la Recherche scientifique</w:t>
      </w:r>
    </w:p>
    <w:p w14:paraId="29E52B41" w14:textId="33452E73"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MEN :</w:t>
      </w:r>
      <w:r w:rsidRPr="00762A06">
        <w:rPr>
          <w:lang w:eastAsia="fr-FR" w:bidi="en-US"/>
        </w:rPr>
        <w:t xml:space="preserve"> </w:t>
      </w:r>
      <w:r w:rsidR="00762A06">
        <w:rPr>
          <w:lang w:eastAsia="fr-FR" w:bidi="en-US"/>
        </w:rPr>
        <w:tab/>
      </w:r>
      <w:r w:rsidR="00762A06">
        <w:rPr>
          <w:lang w:eastAsia="fr-FR" w:bidi="en-US"/>
        </w:rPr>
        <w:tab/>
      </w:r>
      <w:r w:rsidRPr="00762A06">
        <w:rPr>
          <w:lang w:eastAsia="fr-FR" w:bidi="en-US"/>
        </w:rPr>
        <w:t>Ministère de l’Education Nationale</w:t>
      </w:r>
      <w:r w:rsidRPr="00013F70">
        <w:rPr>
          <w:lang w:eastAsia="fr-FR" w:bidi="en-US"/>
        </w:rPr>
        <w:t xml:space="preserve"> </w:t>
      </w:r>
    </w:p>
    <w:p w14:paraId="57B92E82" w14:textId="19E9A3FF"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MJ : </w:t>
      </w:r>
      <w:r w:rsidR="00762A06">
        <w:rPr>
          <w:lang w:eastAsia="fr-FR" w:bidi="en-US"/>
        </w:rPr>
        <w:tab/>
      </w:r>
      <w:r w:rsidR="00762A06">
        <w:rPr>
          <w:lang w:eastAsia="fr-FR" w:bidi="en-US"/>
        </w:rPr>
        <w:tab/>
      </w:r>
      <w:r w:rsidR="00762A06">
        <w:rPr>
          <w:lang w:eastAsia="fr-FR" w:bidi="en-US"/>
        </w:rPr>
        <w:tab/>
      </w:r>
      <w:r w:rsidRPr="00013F70">
        <w:rPr>
          <w:lang w:eastAsia="fr-FR" w:bidi="en-US"/>
        </w:rPr>
        <w:t xml:space="preserve">Ministère de la Justice </w:t>
      </w:r>
    </w:p>
    <w:p w14:paraId="763A1F85" w14:textId="411D3E3E"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MJS : </w:t>
      </w:r>
      <w:r w:rsidR="00762A06">
        <w:rPr>
          <w:lang w:eastAsia="fr-FR" w:bidi="en-US"/>
        </w:rPr>
        <w:tab/>
      </w:r>
      <w:r w:rsidR="00762A06">
        <w:rPr>
          <w:lang w:eastAsia="fr-FR" w:bidi="en-US"/>
        </w:rPr>
        <w:tab/>
      </w:r>
      <w:r w:rsidR="00762A06">
        <w:rPr>
          <w:lang w:eastAsia="fr-FR" w:bidi="en-US"/>
        </w:rPr>
        <w:tab/>
      </w:r>
      <w:r w:rsidRPr="00013F70">
        <w:rPr>
          <w:lang w:eastAsia="fr-FR" w:bidi="en-US"/>
        </w:rPr>
        <w:t>Ministère de la Jeunesse et des Sports</w:t>
      </w:r>
    </w:p>
    <w:p w14:paraId="2ED8198B" w14:textId="497E912D" w:rsidR="00CF1461" w:rsidRPr="00013F70" w:rsidRDefault="00CF1461" w:rsidP="00013F70">
      <w:pPr>
        <w:pStyle w:val="SingleTxtG"/>
        <w:tabs>
          <w:tab w:val="clear" w:pos="1701"/>
          <w:tab w:val="clear" w:pos="2268"/>
          <w:tab w:val="clear" w:pos="2835"/>
        </w:tabs>
        <w:ind w:left="2835" w:hanging="1701"/>
        <w:jc w:val="left"/>
        <w:rPr>
          <w:lang w:eastAsia="fr-FR" w:bidi="en-US"/>
        </w:rPr>
      </w:pPr>
      <w:r w:rsidRPr="00013F70">
        <w:rPr>
          <w:lang w:eastAsia="fr-FR" w:bidi="en-US"/>
        </w:rPr>
        <w:t xml:space="preserve">MCMREAM : </w:t>
      </w:r>
      <w:r w:rsidR="00762A06">
        <w:rPr>
          <w:lang w:eastAsia="fr-FR" w:bidi="en-US"/>
        </w:rPr>
        <w:tab/>
      </w:r>
      <w:r w:rsidRPr="00013F70">
        <w:rPr>
          <w:lang w:eastAsia="fr-FR" w:bidi="en-US"/>
        </w:rPr>
        <w:t xml:space="preserve">Ministère chargé des Marocains Résidant à l’Etranger </w:t>
      </w:r>
      <w:r w:rsidR="005A71D7">
        <w:rPr>
          <w:lang w:eastAsia="fr-FR" w:bidi="en-US"/>
        </w:rPr>
        <w:br/>
      </w:r>
      <w:r w:rsidRPr="00013F70">
        <w:rPr>
          <w:lang w:eastAsia="fr-FR" w:bidi="en-US"/>
        </w:rPr>
        <w:t>et des Affaires Migratoires</w:t>
      </w:r>
    </w:p>
    <w:p w14:paraId="3358B673" w14:textId="53994AC5" w:rsidR="00CF1461" w:rsidRPr="00013F70" w:rsidRDefault="00CF1461" w:rsidP="00013F70">
      <w:pPr>
        <w:pStyle w:val="SingleTxtG"/>
        <w:tabs>
          <w:tab w:val="clear" w:pos="1701"/>
          <w:tab w:val="clear" w:pos="2268"/>
          <w:tab w:val="clear" w:pos="2835"/>
        </w:tabs>
        <w:ind w:left="2835" w:hanging="1701"/>
        <w:jc w:val="left"/>
        <w:rPr>
          <w:lang w:eastAsia="fr-FR" w:bidi="en-US"/>
        </w:rPr>
      </w:pPr>
      <w:r w:rsidRPr="00013F70">
        <w:rPr>
          <w:lang w:eastAsia="fr-FR" w:bidi="en-US"/>
        </w:rPr>
        <w:t xml:space="preserve">MFSEDS : </w:t>
      </w:r>
      <w:r w:rsidR="00762A06">
        <w:rPr>
          <w:lang w:eastAsia="fr-FR" w:bidi="en-US"/>
        </w:rPr>
        <w:tab/>
      </w:r>
      <w:r w:rsidR="00762A06">
        <w:rPr>
          <w:lang w:eastAsia="fr-FR" w:bidi="en-US"/>
        </w:rPr>
        <w:tab/>
      </w:r>
      <w:r w:rsidRPr="00013F70">
        <w:rPr>
          <w:lang w:eastAsia="fr-FR" w:bidi="en-US"/>
        </w:rPr>
        <w:t xml:space="preserve">Ministère de la Famille, de la Solidarité, de l’Egalité </w:t>
      </w:r>
      <w:r w:rsidR="005A71D7">
        <w:rPr>
          <w:lang w:eastAsia="fr-FR" w:bidi="en-US"/>
        </w:rPr>
        <w:br/>
      </w:r>
      <w:r w:rsidRPr="00013F70">
        <w:rPr>
          <w:lang w:eastAsia="fr-FR" w:bidi="en-US"/>
        </w:rPr>
        <w:t>et du Développement social</w:t>
      </w:r>
    </w:p>
    <w:p w14:paraId="6D5C2228" w14:textId="70FCAA7D"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lastRenderedPageBreak/>
        <w:t xml:space="preserve">OFPPT : </w:t>
      </w:r>
      <w:r w:rsidR="00762A06">
        <w:rPr>
          <w:lang w:eastAsia="fr-FR" w:bidi="en-US"/>
        </w:rPr>
        <w:tab/>
      </w:r>
      <w:r w:rsidR="00762A06">
        <w:rPr>
          <w:lang w:eastAsia="fr-FR" w:bidi="en-US"/>
        </w:rPr>
        <w:tab/>
      </w:r>
      <w:r w:rsidRPr="00013F70">
        <w:rPr>
          <w:lang w:eastAsia="fr-FR" w:bidi="en-US"/>
        </w:rPr>
        <w:t>Office de la Formation Professionnelle et de la Promotion du Travail</w:t>
      </w:r>
    </w:p>
    <w:p w14:paraId="02974435" w14:textId="3D76CE11"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OIESC : </w:t>
      </w:r>
      <w:r w:rsidR="00762A06">
        <w:rPr>
          <w:lang w:eastAsia="fr-FR" w:bidi="en-US"/>
        </w:rPr>
        <w:tab/>
      </w:r>
      <w:r w:rsidR="00762A06">
        <w:rPr>
          <w:lang w:eastAsia="fr-FR" w:bidi="en-US"/>
        </w:rPr>
        <w:tab/>
      </w:r>
      <w:r w:rsidRPr="00013F70">
        <w:rPr>
          <w:lang w:eastAsia="fr-FR" w:bidi="en-US"/>
        </w:rPr>
        <w:t>Organisation</w:t>
      </w:r>
      <w:r w:rsidRPr="00013F70">
        <w:rPr>
          <w:rFonts w:eastAsia="Times New Roman"/>
          <w:lang w:eastAsia="fr-FR"/>
        </w:rPr>
        <w:t xml:space="preserve"> islamique pour l’éducation, la science et la Culture</w:t>
      </w:r>
    </w:p>
    <w:p w14:paraId="0020597C" w14:textId="10020247"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OIF : </w:t>
      </w:r>
      <w:r w:rsidR="00762A06">
        <w:rPr>
          <w:lang w:eastAsia="fr-FR" w:bidi="en-US"/>
        </w:rPr>
        <w:tab/>
      </w:r>
      <w:r w:rsidR="00762A06">
        <w:rPr>
          <w:lang w:eastAsia="fr-FR" w:bidi="en-US"/>
        </w:rPr>
        <w:tab/>
      </w:r>
      <w:r w:rsidR="00762A06">
        <w:rPr>
          <w:lang w:eastAsia="fr-FR" w:bidi="en-US"/>
        </w:rPr>
        <w:tab/>
      </w:r>
      <w:r w:rsidRPr="00013F70">
        <w:rPr>
          <w:rFonts w:eastAsia="Times New Roman"/>
          <w:lang w:eastAsia="fr-FR"/>
        </w:rPr>
        <w:t>Organisation internationale de la Francophonie</w:t>
      </w:r>
    </w:p>
    <w:p w14:paraId="74158E50" w14:textId="59B85782" w:rsidR="00CF1461" w:rsidRPr="00013F70" w:rsidRDefault="00CF1461" w:rsidP="00013F70">
      <w:pPr>
        <w:pStyle w:val="SingleTxtG"/>
        <w:tabs>
          <w:tab w:val="clear" w:pos="1701"/>
          <w:tab w:val="clear" w:pos="2268"/>
          <w:tab w:val="clear" w:pos="2835"/>
        </w:tabs>
        <w:jc w:val="left"/>
        <w:rPr>
          <w:lang w:eastAsia="fr-FR" w:bidi="en-US"/>
        </w:rPr>
      </w:pPr>
      <w:r w:rsidRPr="00013F70">
        <w:rPr>
          <w:lang w:eastAsia="fr-FR" w:bidi="en-US"/>
        </w:rPr>
        <w:t xml:space="preserve">OIM : </w:t>
      </w:r>
      <w:r w:rsidR="00762A06">
        <w:rPr>
          <w:lang w:eastAsia="fr-FR" w:bidi="en-US"/>
        </w:rPr>
        <w:tab/>
      </w:r>
      <w:r w:rsidR="00762A06">
        <w:rPr>
          <w:lang w:eastAsia="fr-FR" w:bidi="en-US"/>
        </w:rPr>
        <w:tab/>
      </w:r>
      <w:r w:rsidR="00762A06">
        <w:rPr>
          <w:lang w:eastAsia="fr-FR" w:bidi="en-US"/>
        </w:rPr>
        <w:tab/>
      </w:r>
      <w:r w:rsidRPr="00013F70">
        <w:rPr>
          <w:lang w:eastAsia="fr-FR" w:bidi="en-US"/>
        </w:rPr>
        <w:t>Organisation internationale pour les migrations</w:t>
      </w:r>
      <w:r w:rsidR="00CD5A97" w:rsidRPr="00013F70">
        <w:rPr>
          <w:lang w:eastAsia="fr-FR" w:bidi="en-US"/>
        </w:rPr>
        <w:t xml:space="preserve"> </w:t>
      </w:r>
    </w:p>
    <w:p w14:paraId="7A018099" w14:textId="3AD64321" w:rsidR="00CF1461" w:rsidRPr="00013F70" w:rsidRDefault="00CF1461" w:rsidP="00013F70">
      <w:pPr>
        <w:pStyle w:val="SingleTxtG"/>
        <w:tabs>
          <w:tab w:val="clear" w:pos="1701"/>
          <w:tab w:val="clear" w:pos="2268"/>
          <w:tab w:val="clear" w:pos="2835"/>
        </w:tabs>
        <w:ind w:left="2835" w:hanging="1701"/>
        <w:jc w:val="left"/>
        <w:rPr>
          <w:lang w:eastAsia="fr-FR" w:bidi="en-US"/>
        </w:rPr>
      </w:pPr>
      <w:r w:rsidRPr="00013F70">
        <w:rPr>
          <w:lang w:eastAsia="fr-FR" w:bidi="en-US"/>
        </w:rPr>
        <w:t xml:space="preserve">PANDDH : </w:t>
      </w:r>
      <w:r w:rsidR="00762A06">
        <w:rPr>
          <w:lang w:eastAsia="fr-FR" w:bidi="en-US"/>
        </w:rPr>
        <w:tab/>
      </w:r>
      <w:r w:rsidR="00762A06">
        <w:rPr>
          <w:lang w:eastAsia="fr-FR" w:bidi="en-US"/>
        </w:rPr>
        <w:tab/>
      </w:r>
      <w:r w:rsidRPr="00013F70">
        <w:rPr>
          <w:lang w:eastAsia="fr-FR" w:bidi="en-US"/>
        </w:rPr>
        <w:t xml:space="preserve">Plan d’Action National en matière de Démocratie </w:t>
      </w:r>
      <w:r w:rsidR="005A71D7">
        <w:rPr>
          <w:lang w:eastAsia="fr-FR" w:bidi="en-US"/>
        </w:rPr>
        <w:br/>
      </w:r>
      <w:r w:rsidRPr="00013F70">
        <w:rPr>
          <w:lang w:eastAsia="fr-FR" w:bidi="en-US"/>
        </w:rPr>
        <w:t>et des Droits de l’Homme</w:t>
      </w:r>
    </w:p>
    <w:p w14:paraId="26AF7308" w14:textId="66CC9251" w:rsidR="00CF1461" w:rsidRPr="00762A06" w:rsidRDefault="00CF1461" w:rsidP="00013F70">
      <w:pPr>
        <w:pStyle w:val="SingleTxtG"/>
        <w:tabs>
          <w:tab w:val="clear" w:pos="1701"/>
          <w:tab w:val="clear" w:pos="2268"/>
          <w:tab w:val="clear" w:pos="2835"/>
        </w:tabs>
        <w:jc w:val="left"/>
        <w:rPr>
          <w:lang w:eastAsia="fr-FR"/>
        </w:rPr>
      </w:pPr>
      <w:r w:rsidRPr="00013F70">
        <w:rPr>
          <w:lang w:eastAsia="fr-FR" w:bidi="en-US"/>
        </w:rPr>
        <w:t xml:space="preserve">PANE : </w:t>
      </w:r>
      <w:r w:rsidR="00762A06">
        <w:rPr>
          <w:lang w:eastAsia="fr-FR" w:bidi="en-US"/>
        </w:rPr>
        <w:tab/>
      </w:r>
      <w:r w:rsidR="00762A06">
        <w:rPr>
          <w:lang w:eastAsia="fr-FR" w:bidi="en-US"/>
        </w:rPr>
        <w:tab/>
      </w:r>
      <w:r w:rsidRPr="00762A06">
        <w:rPr>
          <w:lang w:eastAsia="fr-FR"/>
        </w:rPr>
        <w:t>Plan d’Action National pour l’Enfance</w:t>
      </w:r>
    </w:p>
    <w:p w14:paraId="33DCC0B7" w14:textId="56E1F933" w:rsidR="00CF1461" w:rsidRPr="00762A06" w:rsidRDefault="00CF1461" w:rsidP="00013F70">
      <w:pPr>
        <w:pStyle w:val="SingleTxtG"/>
        <w:tabs>
          <w:tab w:val="clear" w:pos="1701"/>
          <w:tab w:val="clear" w:pos="2268"/>
          <w:tab w:val="clear" w:pos="2835"/>
        </w:tabs>
        <w:jc w:val="left"/>
        <w:rPr>
          <w:lang w:eastAsia="fr-FR"/>
        </w:rPr>
      </w:pPr>
      <w:r w:rsidRPr="00013F70">
        <w:rPr>
          <w:lang w:eastAsia="fr-FR"/>
        </w:rPr>
        <w:t>PNUD :</w:t>
      </w:r>
      <w:r w:rsidRPr="00762A06">
        <w:rPr>
          <w:lang w:eastAsia="fr-FR"/>
        </w:rPr>
        <w:t xml:space="preserve"> </w:t>
      </w:r>
      <w:r w:rsidR="00762A06">
        <w:rPr>
          <w:lang w:eastAsia="fr-FR"/>
        </w:rPr>
        <w:tab/>
      </w:r>
      <w:r w:rsidR="00762A06">
        <w:rPr>
          <w:lang w:eastAsia="fr-FR"/>
        </w:rPr>
        <w:tab/>
      </w:r>
      <w:r w:rsidRPr="00762A06">
        <w:rPr>
          <w:lang w:eastAsia="fr-FR"/>
        </w:rPr>
        <w:t>Programme des Nations Unies pour le Développement</w:t>
      </w:r>
    </w:p>
    <w:p w14:paraId="36D9F8E9" w14:textId="50D55F8F" w:rsidR="00CF1461" w:rsidRPr="00013F70" w:rsidRDefault="00CF1461" w:rsidP="00013F70">
      <w:pPr>
        <w:pStyle w:val="SingleTxtG"/>
        <w:tabs>
          <w:tab w:val="clear" w:pos="1701"/>
          <w:tab w:val="clear" w:pos="2268"/>
          <w:tab w:val="clear" w:pos="2835"/>
        </w:tabs>
        <w:jc w:val="left"/>
        <w:rPr>
          <w:lang w:eastAsia="fr-FR"/>
        </w:rPr>
      </w:pPr>
      <w:r w:rsidRPr="00013F70">
        <w:rPr>
          <w:lang w:eastAsia="fr-FR"/>
        </w:rPr>
        <w:t xml:space="preserve">SNIA : </w:t>
      </w:r>
      <w:r w:rsidR="00762A06">
        <w:rPr>
          <w:lang w:eastAsia="fr-FR"/>
        </w:rPr>
        <w:tab/>
      </w:r>
      <w:r w:rsidR="00762A06">
        <w:rPr>
          <w:lang w:eastAsia="fr-FR"/>
        </w:rPr>
        <w:tab/>
      </w:r>
      <w:r w:rsidRPr="00762A06">
        <w:rPr>
          <w:rFonts w:eastAsia="Times New Roman"/>
          <w:lang w:eastAsia="fr-FR"/>
        </w:rPr>
        <w:t>Stratégie Nationale de l’Immigration et de l’Asile</w:t>
      </w:r>
    </w:p>
    <w:p w14:paraId="632EC09C" w14:textId="6E9F645C" w:rsidR="00CF1461" w:rsidRDefault="00CF1461" w:rsidP="00013F70">
      <w:pPr>
        <w:pStyle w:val="SingleTxtG"/>
        <w:tabs>
          <w:tab w:val="clear" w:pos="1701"/>
          <w:tab w:val="clear" w:pos="2268"/>
          <w:tab w:val="clear" w:pos="2835"/>
        </w:tabs>
        <w:jc w:val="left"/>
        <w:rPr>
          <w:lang w:eastAsia="fr-FR" w:bidi="en-US"/>
        </w:rPr>
      </w:pPr>
      <w:r w:rsidRPr="00013F70">
        <w:rPr>
          <w:lang w:eastAsia="fr-FR" w:bidi="en-US"/>
        </w:rPr>
        <w:t>UNHCR </w:t>
      </w:r>
      <w:r w:rsidRPr="00762A06">
        <w:rPr>
          <w:lang w:eastAsia="fr-FR" w:bidi="en-US"/>
        </w:rPr>
        <w:t xml:space="preserve">: </w:t>
      </w:r>
      <w:r w:rsidR="00762A06">
        <w:rPr>
          <w:lang w:eastAsia="fr-FR" w:bidi="en-US"/>
        </w:rPr>
        <w:tab/>
      </w:r>
      <w:r w:rsidR="00762A06">
        <w:rPr>
          <w:lang w:eastAsia="fr-FR" w:bidi="en-US"/>
        </w:rPr>
        <w:tab/>
      </w:r>
      <w:r w:rsidRPr="00762A06">
        <w:rPr>
          <w:lang w:eastAsia="fr-FR" w:bidi="en-US"/>
        </w:rPr>
        <w:t>Haut-Commissariat</w:t>
      </w:r>
      <w:r w:rsidRPr="006C04AC">
        <w:rPr>
          <w:lang w:eastAsia="fr-FR" w:bidi="en-US"/>
        </w:rPr>
        <w:t xml:space="preserve"> des Nations Unies pour les Réfugiés</w:t>
      </w:r>
    </w:p>
    <w:p w14:paraId="13A002D5" w14:textId="77777777" w:rsidR="00CF1461" w:rsidRDefault="00CF1461" w:rsidP="00CF1461"/>
    <w:p w14:paraId="7C9956E7" w14:textId="77777777" w:rsidR="00CF1461" w:rsidRDefault="00CF1461">
      <w:pPr>
        <w:suppressAutoHyphens w:val="0"/>
        <w:kinsoku/>
        <w:overflowPunct/>
        <w:autoSpaceDE/>
        <w:autoSpaceDN/>
        <w:adjustRightInd/>
        <w:snapToGrid/>
        <w:spacing w:after="200" w:line="276" w:lineRule="auto"/>
      </w:pPr>
      <w:r>
        <w:br w:type="page"/>
      </w:r>
    </w:p>
    <w:p w14:paraId="21A7DE98" w14:textId="77777777" w:rsidR="00CF1461" w:rsidRPr="00A5588D" w:rsidRDefault="00CF1461" w:rsidP="00A5588D">
      <w:pPr>
        <w:pStyle w:val="HChG"/>
      </w:pPr>
      <w:bookmarkStart w:id="0" w:name="_Toc345068866"/>
      <w:r>
        <w:rPr>
          <w:lang w:eastAsia="fr-FR"/>
        </w:rPr>
        <w:lastRenderedPageBreak/>
        <w:tab/>
      </w:r>
      <w:r w:rsidRPr="00E26090">
        <w:rPr>
          <w:sz w:val="20"/>
          <w:lang w:eastAsia="fr-FR"/>
        </w:rPr>
        <w:tab/>
      </w:r>
      <w:r w:rsidRPr="00F72308">
        <w:rPr>
          <w:lang w:eastAsia="fr-FR"/>
        </w:rPr>
        <w:t>Introduction</w:t>
      </w:r>
      <w:bookmarkEnd w:id="0"/>
    </w:p>
    <w:p w14:paraId="40133EAB" w14:textId="050655F4" w:rsidR="00CF1461" w:rsidRPr="006C3E8E" w:rsidRDefault="004B5A1A" w:rsidP="004B5A1A">
      <w:pPr>
        <w:pStyle w:val="SingleTxtG"/>
        <w:tabs>
          <w:tab w:val="clear" w:pos="1701"/>
          <w:tab w:val="clear" w:pos="2268"/>
          <w:tab w:val="clear" w:pos="2835"/>
        </w:tabs>
      </w:pPr>
      <w:r w:rsidRPr="006C3E8E">
        <w:rPr>
          <w:color w:val="000000" w:themeColor="text1"/>
        </w:rPr>
        <w:t>1.</w:t>
      </w:r>
      <w:r w:rsidRPr="006C3E8E">
        <w:rPr>
          <w:color w:val="000000" w:themeColor="text1"/>
        </w:rPr>
        <w:tab/>
      </w:r>
      <w:r w:rsidR="00CF1461" w:rsidRPr="006C3E8E">
        <w:t>Le Royaume du Maroc a ratifié, le 18 décembre 1970, la Convention internationale sur l’élimination de toutes les formes de discrimination raciale (ci-après la Convention), adoptée par l’Assemblée générale des Nations Unies le 21 décembre 1965.</w:t>
      </w:r>
      <w:r w:rsidR="00BD28D2">
        <w:t xml:space="preserve"> </w:t>
      </w:r>
    </w:p>
    <w:p w14:paraId="3D57EA9B" w14:textId="1D19E22B" w:rsidR="00CF1461" w:rsidRPr="006C3E8E" w:rsidRDefault="004B5A1A" w:rsidP="004B5A1A">
      <w:pPr>
        <w:pStyle w:val="SingleTxtG"/>
        <w:tabs>
          <w:tab w:val="clear" w:pos="1701"/>
          <w:tab w:val="clear" w:pos="2268"/>
          <w:tab w:val="clear" w:pos="2835"/>
        </w:tabs>
      </w:pPr>
      <w:r w:rsidRPr="006C3E8E">
        <w:rPr>
          <w:color w:val="000000" w:themeColor="text1"/>
        </w:rPr>
        <w:t>2.</w:t>
      </w:r>
      <w:r w:rsidRPr="006C3E8E">
        <w:rPr>
          <w:color w:val="000000" w:themeColor="text1"/>
        </w:rPr>
        <w:tab/>
      </w:r>
      <w:r w:rsidR="00CF1461" w:rsidRPr="006C3E8E">
        <w:t>Ce rapport a été élaboré conformément aux Directives concernant l’établissement des rapports spécifiques (CERD/C/2007/1 du 13 juin 2008) et fait suite aux observations finales (CERD/C/MAR/CO/17-18) adoptées par le Comité pour l’élimination de la discrimination raciale (ci-après</w:t>
      </w:r>
      <w:r w:rsidR="005601DF" w:rsidRPr="006C3E8E">
        <w:t xml:space="preserve"> «</w:t>
      </w:r>
      <w:r w:rsidR="00490956">
        <w:t> </w:t>
      </w:r>
      <w:r w:rsidR="005601DF" w:rsidRPr="006C3E8E">
        <w:t>le</w:t>
      </w:r>
      <w:r w:rsidR="00CF1461" w:rsidRPr="006C3E8E">
        <w:t xml:space="preserve"> </w:t>
      </w:r>
      <w:r w:rsidR="005601DF" w:rsidRPr="006C3E8E">
        <w:t>Comité</w:t>
      </w:r>
      <w:r w:rsidR="00490956">
        <w:t> </w:t>
      </w:r>
      <w:r w:rsidR="005601DF" w:rsidRPr="006C3E8E">
        <w:t>»</w:t>
      </w:r>
      <w:r w:rsidR="00CF1461" w:rsidRPr="006C3E8E">
        <w:t>) à l’issue de l’examen des dix-septième et dix-huitième rapports périodiques du Maroc présentés en un seul document (CERD/C/MAR/17-18).</w:t>
      </w:r>
    </w:p>
    <w:p w14:paraId="70D016E5" w14:textId="4E6F40E8" w:rsidR="00CF1461" w:rsidRPr="006C3E8E" w:rsidRDefault="004B5A1A" w:rsidP="004B5A1A">
      <w:pPr>
        <w:pStyle w:val="SingleTxtG"/>
        <w:tabs>
          <w:tab w:val="clear" w:pos="1701"/>
          <w:tab w:val="clear" w:pos="2268"/>
          <w:tab w:val="clear" w:pos="2835"/>
        </w:tabs>
      </w:pPr>
      <w:r w:rsidRPr="006C3E8E">
        <w:rPr>
          <w:color w:val="000000" w:themeColor="text1"/>
        </w:rPr>
        <w:t>3.</w:t>
      </w:r>
      <w:r w:rsidRPr="006C3E8E">
        <w:rPr>
          <w:color w:val="000000" w:themeColor="text1"/>
        </w:rPr>
        <w:tab/>
      </w:r>
      <w:r w:rsidR="00CF1461" w:rsidRPr="006C3E8E">
        <w:t>Il présente les mesures prises par le Maroc pendant la période 2010-2019, donnant effet aux droits compris dans la convention et indique les progrès réalisés et les difficultés rencontrées pour mettre en œuvre les politiques appropriées et les actions favorables à une meilleure mise en œuvre des dispositions de la convention. Il aborde chacune des recommandations du Comité tout en fournissant le plus de données possible.</w:t>
      </w:r>
      <w:r w:rsidR="00CD5A97">
        <w:t xml:space="preserve"> </w:t>
      </w:r>
    </w:p>
    <w:p w14:paraId="7A0B402E" w14:textId="1CCBB86F" w:rsidR="00CF1461" w:rsidRPr="006C3E8E" w:rsidRDefault="004B5A1A" w:rsidP="004B5A1A">
      <w:pPr>
        <w:pStyle w:val="SingleTxtG"/>
        <w:tabs>
          <w:tab w:val="clear" w:pos="1701"/>
          <w:tab w:val="clear" w:pos="2268"/>
          <w:tab w:val="clear" w:pos="2835"/>
        </w:tabs>
      </w:pPr>
      <w:r w:rsidRPr="006C3E8E">
        <w:rPr>
          <w:color w:val="000000" w:themeColor="text1"/>
        </w:rPr>
        <w:t>4.</w:t>
      </w:r>
      <w:r w:rsidRPr="006C3E8E">
        <w:rPr>
          <w:color w:val="000000" w:themeColor="text1"/>
        </w:rPr>
        <w:tab/>
      </w:r>
      <w:r w:rsidR="00CF1461" w:rsidRPr="006C3E8E">
        <w:t xml:space="preserve">Il a été préparé selon une approche participative impliquant toutes les parties prenantes concernées : départements ministériels, institutions nationales, organisations professionnelles, élus, médias, université et société civile. Des réunions de partage d’information et de concertation élargies ont été tenues pour sa consolidation et sa validation. </w:t>
      </w:r>
    </w:p>
    <w:p w14:paraId="1CAA219E" w14:textId="092CF550" w:rsidR="00CF1461" w:rsidRPr="006C3E8E" w:rsidRDefault="004B5A1A" w:rsidP="004B5A1A">
      <w:pPr>
        <w:pStyle w:val="SingleTxtG"/>
        <w:tabs>
          <w:tab w:val="clear" w:pos="1701"/>
          <w:tab w:val="clear" w:pos="2268"/>
          <w:tab w:val="clear" w:pos="2835"/>
        </w:tabs>
      </w:pPr>
      <w:r w:rsidRPr="006C3E8E">
        <w:rPr>
          <w:color w:val="000000" w:themeColor="text1"/>
        </w:rPr>
        <w:t>5.</w:t>
      </w:r>
      <w:r w:rsidRPr="006C3E8E">
        <w:rPr>
          <w:color w:val="000000" w:themeColor="text1"/>
        </w:rPr>
        <w:tab/>
      </w:r>
      <w:r w:rsidR="00CF1461" w:rsidRPr="006C3E8E">
        <w:t>Ce processus de consultation large a été marqué par l’organisation de deux journées de partage au niveau régional (à Fès le 6 avril et à Marrakech le 13 avril 2019), outre l’organisation d’une journée nationale à Rabat le 23 avril 2019. Ont été également organisées à cet effet deux rencontres de concertation avec les Parlementaires (à la Chambre des Représentants, le 15 juillet 2019 et à la Chambre des C</w:t>
      </w:r>
      <w:r w:rsidR="00112CDC">
        <w:t>onseillers, le 17 juillet 2019)</w:t>
      </w:r>
      <w:r w:rsidR="00CF1461" w:rsidRPr="003C06D3">
        <w:rPr>
          <w:rStyle w:val="Appelnotedebasdep"/>
        </w:rPr>
        <w:footnoteReference w:id="4"/>
      </w:r>
      <w:r w:rsidR="00112CDC">
        <w:t>.</w:t>
      </w:r>
    </w:p>
    <w:p w14:paraId="45D87C72" w14:textId="44D70D7B" w:rsidR="00CF1461" w:rsidRPr="006C3E8E" w:rsidRDefault="004B5A1A" w:rsidP="004B5A1A">
      <w:pPr>
        <w:pStyle w:val="SingleTxtG"/>
        <w:tabs>
          <w:tab w:val="clear" w:pos="1701"/>
          <w:tab w:val="clear" w:pos="2268"/>
          <w:tab w:val="clear" w:pos="2835"/>
        </w:tabs>
      </w:pPr>
      <w:r w:rsidRPr="006C3E8E">
        <w:rPr>
          <w:color w:val="000000" w:themeColor="text1"/>
        </w:rPr>
        <w:t>6.</w:t>
      </w:r>
      <w:r w:rsidRPr="006C3E8E">
        <w:rPr>
          <w:color w:val="000000" w:themeColor="text1"/>
        </w:rPr>
        <w:tab/>
      </w:r>
      <w:r w:rsidR="00CF1461" w:rsidRPr="006C3E8E">
        <w:t>Depuis la présentation de son dernier rapport périodique en 2010, le Gouvernement marocain n’a ménagé aucun effort pour mettre en œuvre la Convention. Conformément aux dispositions du paragraphe 1 de l’article 9 de la Convention, de l’article 65 du Règlement intérieur du Comité et du paragraphe 27 de ses observations finales (CERD/C/MAR/CO/</w:t>
      </w:r>
      <w:r w:rsidR="00372939">
        <w:br/>
      </w:r>
      <w:r w:rsidR="00CF1461" w:rsidRPr="006C3E8E">
        <w:t xml:space="preserve">17-18), le Maroc a présenté, en 2012, au Comité des informations sur le suivi des recommandations contenues dans les paragraphes 11, 13 et 14 des observations finales. </w:t>
      </w:r>
    </w:p>
    <w:p w14:paraId="1D2AF749" w14:textId="31632D8B" w:rsidR="00CF1461" w:rsidRPr="006C3E8E" w:rsidRDefault="004B5A1A" w:rsidP="004B5A1A">
      <w:pPr>
        <w:pStyle w:val="SingleTxtG"/>
        <w:tabs>
          <w:tab w:val="clear" w:pos="1701"/>
          <w:tab w:val="clear" w:pos="2268"/>
          <w:tab w:val="clear" w:pos="2835"/>
        </w:tabs>
      </w:pPr>
      <w:r w:rsidRPr="006C3E8E">
        <w:rPr>
          <w:color w:val="000000" w:themeColor="text1"/>
        </w:rPr>
        <w:t>7.</w:t>
      </w:r>
      <w:r w:rsidRPr="006C3E8E">
        <w:rPr>
          <w:color w:val="000000" w:themeColor="text1"/>
        </w:rPr>
        <w:tab/>
      </w:r>
      <w:r w:rsidR="00CF1461" w:rsidRPr="006C3E8E">
        <w:t>La présentation de ce rapport intervient dans un contexte de réformes constitutionnelles et institutionnelles profondes engagées par le Maroc, réformes marquées par l’adoption de la nouvelle Constitution en 2011 qui constitue un tournant déterminant dans le processus de parachèvement de la construction de l’</w:t>
      </w:r>
      <w:r w:rsidR="00BD28D2">
        <w:t>État</w:t>
      </w:r>
      <w:r w:rsidR="00CF1461" w:rsidRPr="006C3E8E">
        <w:t xml:space="preserve"> de droit et de raffermissement des institutions démocratiques dans le Royaume.</w:t>
      </w:r>
    </w:p>
    <w:p w14:paraId="145D6524" w14:textId="105F4192" w:rsidR="00CF1461" w:rsidRPr="006C3E8E" w:rsidRDefault="004B5A1A" w:rsidP="004B5A1A">
      <w:pPr>
        <w:pStyle w:val="SingleTxtG"/>
        <w:tabs>
          <w:tab w:val="clear" w:pos="1701"/>
          <w:tab w:val="clear" w:pos="2268"/>
          <w:tab w:val="clear" w:pos="2835"/>
        </w:tabs>
      </w:pPr>
      <w:r w:rsidRPr="006C3E8E">
        <w:rPr>
          <w:color w:val="000000" w:themeColor="text1"/>
        </w:rPr>
        <w:t>8.</w:t>
      </w:r>
      <w:r w:rsidRPr="006C3E8E">
        <w:rPr>
          <w:color w:val="000000" w:themeColor="text1"/>
        </w:rPr>
        <w:tab/>
      </w:r>
      <w:r w:rsidR="00CF1461" w:rsidRPr="006C3E8E">
        <w:t>S’agissant de la recommandation 26 du Comité se rapportant au document de base commun, il convient de signaler que le Maroc a actualisé son document</w:t>
      </w:r>
      <w:r w:rsidR="00112CDC">
        <w:t xml:space="preserve"> de base en date du 6</w:t>
      </w:r>
      <w:r w:rsidR="00372939">
        <w:t> </w:t>
      </w:r>
      <w:r w:rsidR="00112CDC">
        <w:t>août 2012</w:t>
      </w:r>
      <w:r w:rsidR="00CF1461" w:rsidRPr="003C06D3">
        <w:rPr>
          <w:rStyle w:val="Appelnotedebasdep"/>
        </w:rPr>
        <w:footnoteReference w:id="5"/>
      </w:r>
      <w:r w:rsidR="00112CDC">
        <w:t>.</w:t>
      </w:r>
      <w:r w:rsidR="00CF1461" w:rsidRPr="006C3E8E">
        <w:t xml:space="preserve"> Une nouvelle mise à jour de ce document</w:t>
      </w:r>
      <w:r w:rsidR="00112CDC">
        <w:t xml:space="preserve"> est disponible en langue arabe</w:t>
      </w:r>
      <w:r w:rsidR="00CF1461" w:rsidRPr="003C06D3">
        <w:rPr>
          <w:rStyle w:val="Appelnotedebasdep"/>
        </w:rPr>
        <w:footnoteReference w:id="6"/>
      </w:r>
      <w:r w:rsidR="00112CDC">
        <w:t>.</w:t>
      </w:r>
      <w:r w:rsidR="00CF1461" w:rsidRPr="006C3E8E">
        <w:t xml:space="preserve"> </w:t>
      </w:r>
    </w:p>
    <w:p w14:paraId="5DFDE3B4" w14:textId="150F8B4A" w:rsidR="00CF1461" w:rsidRPr="00E26090" w:rsidRDefault="004B5A1A" w:rsidP="004B5A1A">
      <w:pPr>
        <w:pStyle w:val="SingleTxtG"/>
        <w:tabs>
          <w:tab w:val="clear" w:pos="1701"/>
          <w:tab w:val="clear" w:pos="2268"/>
          <w:tab w:val="clear" w:pos="2835"/>
        </w:tabs>
        <w:rPr>
          <w:lang w:eastAsia="fr-FR"/>
        </w:rPr>
      </w:pPr>
      <w:r w:rsidRPr="00E26090">
        <w:rPr>
          <w:color w:val="000000" w:themeColor="text1"/>
          <w:lang w:eastAsia="fr-FR"/>
        </w:rPr>
        <w:t>9.</w:t>
      </w:r>
      <w:r w:rsidRPr="00E26090">
        <w:rPr>
          <w:color w:val="000000" w:themeColor="text1"/>
          <w:lang w:eastAsia="fr-FR"/>
        </w:rPr>
        <w:tab/>
      </w:r>
      <w:r w:rsidR="00CF1461" w:rsidRPr="006C3E8E">
        <w:t>Et en réponse à la recommandation 24 du Comité relative à la ratification de l’amendement au paragraphe 6 de l’article 8 de la Convention par écrit officiel, il convient de préciser que le Royaume du Maroc a bien notifié au Secrétaire général des Nations unies son acceptation de cet amendement en date du 14 octobre 2013</w:t>
      </w:r>
      <w:r w:rsidR="00CF1461" w:rsidRPr="003C06D3">
        <w:rPr>
          <w:rStyle w:val="Appelnotedebasdep"/>
        </w:rPr>
        <w:footnoteReference w:id="7"/>
      </w:r>
      <w:r w:rsidR="00112CDC">
        <w:rPr>
          <w:lang w:eastAsia="fr-FR"/>
        </w:rPr>
        <w:t>.</w:t>
      </w:r>
    </w:p>
    <w:p w14:paraId="7015511F" w14:textId="77777777" w:rsidR="00CF1461" w:rsidRPr="00A5588D" w:rsidRDefault="003B20C2" w:rsidP="00A5588D">
      <w:pPr>
        <w:pStyle w:val="HChG"/>
      </w:pPr>
      <w:r>
        <w:rPr>
          <w:lang w:eastAsia="fr-FR"/>
        </w:rPr>
        <w:lastRenderedPageBreak/>
        <w:tab/>
      </w:r>
      <w:r>
        <w:rPr>
          <w:lang w:eastAsia="fr-FR"/>
        </w:rPr>
        <w:tab/>
      </w:r>
      <w:r w:rsidR="00CF1461" w:rsidRPr="00EF7EE2">
        <w:t>Première</w:t>
      </w:r>
      <w:r w:rsidR="00CF1461" w:rsidRPr="0041762C">
        <w:rPr>
          <w:lang w:eastAsia="fr-FR"/>
        </w:rPr>
        <w:t xml:space="preserve"> partie : Observations générales</w:t>
      </w:r>
      <w:r w:rsidR="00CF1461" w:rsidRPr="00E26090">
        <w:rPr>
          <w:lang w:eastAsia="fr-FR"/>
        </w:rPr>
        <w:t xml:space="preserve"> </w:t>
      </w:r>
    </w:p>
    <w:p w14:paraId="7CD5FF34" w14:textId="77777777" w:rsidR="00CF1461" w:rsidRPr="00A5588D" w:rsidRDefault="003B20C2" w:rsidP="00A5588D">
      <w:pPr>
        <w:pStyle w:val="HChG"/>
      </w:pPr>
      <w:r>
        <w:rPr>
          <w:lang w:eastAsia="fr-FR"/>
        </w:rPr>
        <w:tab/>
      </w:r>
      <w:r w:rsidR="00EF7EE2">
        <w:rPr>
          <w:lang w:eastAsia="fr-FR"/>
        </w:rPr>
        <w:t>I.</w:t>
      </w:r>
      <w:r>
        <w:rPr>
          <w:lang w:eastAsia="fr-FR"/>
        </w:rPr>
        <w:tab/>
      </w:r>
      <w:r w:rsidR="00CF1461" w:rsidRPr="0041762C">
        <w:rPr>
          <w:lang w:eastAsia="fr-FR"/>
        </w:rPr>
        <w:t>Renseignements sur la population</w:t>
      </w:r>
      <w:r w:rsidR="002C4DF2">
        <w:rPr>
          <w:lang w:eastAsia="fr-FR"/>
        </w:rPr>
        <w:br/>
      </w:r>
      <w:r>
        <w:rPr>
          <w:lang w:eastAsia="fr-FR"/>
        </w:rPr>
        <w:tab/>
      </w:r>
      <w:r w:rsidR="00CF1461" w:rsidRPr="00E26090">
        <w:rPr>
          <w:lang w:eastAsia="fr-FR"/>
        </w:rPr>
        <w:t>(Recommandation 7 du Comité)</w:t>
      </w:r>
    </w:p>
    <w:p w14:paraId="38AC724A" w14:textId="77777777" w:rsidR="00CF1461" w:rsidRPr="00A5588D" w:rsidRDefault="00EF7EE2" w:rsidP="00A5588D">
      <w:pPr>
        <w:pStyle w:val="H1G"/>
      </w:pPr>
      <w:r>
        <w:rPr>
          <w:lang w:eastAsia="fr-FR"/>
        </w:rPr>
        <w:tab/>
        <w:t>A.</w:t>
      </w:r>
      <w:r>
        <w:rPr>
          <w:lang w:eastAsia="fr-FR"/>
        </w:rPr>
        <w:tab/>
      </w:r>
      <w:r w:rsidR="00CF1461" w:rsidRPr="00E26090">
        <w:rPr>
          <w:lang w:eastAsia="fr-FR"/>
        </w:rPr>
        <w:t>Composition de la population marocaine</w:t>
      </w:r>
    </w:p>
    <w:p w14:paraId="4AA95939" w14:textId="32C6F0C5" w:rsidR="00CF1461" w:rsidRPr="00E26090" w:rsidRDefault="004B5A1A" w:rsidP="004B5A1A">
      <w:pPr>
        <w:pStyle w:val="SingleTxtG"/>
        <w:tabs>
          <w:tab w:val="clear" w:pos="1701"/>
          <w:tab w:val="clear" w:pos="2268"/>
          <w:tab w:val="clear" w:pos="2835"/>
        </w:tabs>
        <w:rPr>
          <w:rFonts w:asciiTheme="majorBidi" w:hAnsiTheme="majorBidi" w:cstheme="majorBidi"/>
        </w:rPr>
      </w:pPr>
      <w:r w:rsidRPr="00E26090">
        <w:rPr>
          <w:rFonts w:asciiTheme="majorBidi" w:hAnsiTheme="majorBidi" w:cstheme="majorBidi"/>
          <w:color w:val="000000" w:themeColor="text1"/>
        </w:rPr>
        <w:t>10.</w:t>
      </w:r>
      <w:r w:rsidRPr="00E26090">
        <w:rPr>
          <w:rFonts w:asciiTheme="majorBidi" w:hAnsiTheme="majorBidi" w:cstheme="majorBidi"/>
          <w:color w:val="000000" w:themeColor="text1"/>
        </w:rPr>
        <w:tab/>
      </w:r>
      <w:r w:rsidR="00CF1461" w:rsidRPr="00E26090">
        <w:rPr>
          <w:rFonts w:asciiTheme="majorBidi" w:hAnsiTheme="majorBidi" w:cstheme="majorBidi"/>
        </w:rPr>
        <w:t xml:space="preserve">Les </w:t>
      </w:r>
      <w:r w:rsidR="00CF1461" w:rsidRPr="004C1CCA">
        <w:rPr>
          <w:rFonts w:eastAsia="Times New Roman"/>
          <w:lang w:eastAsia="fr-FR"/>
        </w:rPr>
        <w:t>indicateurs</w:t>
      </w:r>
      <w:r w:rsidR="00CF1461" w:rsidRPr="00E26090">
        <w:rPr>
          <w:rFonts w:asciiTheme="majorBidi" w:hAnsiTheme="majorBidi" w:cstheme="majorBidi"/>
        </w:rPr>
        <w:t xml:space="preserve"> sur les composantes de la population marocaine, d’après le Recensement Général de la Population et de l’Habitat de 2014, présentent</w:t>
      </w:r>
      <w:r w:rsidR="00372939">
        <w:rPr>
          <w:rFonts w:asciiTheme="majorBidi" w:hAnsiTheme="majorBidi" w:cstheme="majorBidi"/>
        </w:rPr>
        <w:t xml:space="preserve"> </w:t>
      </w:r>
      <w:r w:rsidR="00CF1461" w:rsidRPr="00E26090">
        <w:rPr>
          <w:rFonts w:asciiTheme="majorBidi" w:hAnsiTheme="majorBidi" w:cstheme="majorBidi"/>
        </w:rPr>
        <w:t>ce qui suit</w:t>
      </w:r>
      <w:r w:rsidR="005A71D7">
        <w:rPr>
          <w:rFonts w:asciiTheme="majorBidi" w:hAnsiTheme="majorBidi" w:cstheme="majorBidi"/>
        </w:rPr>
        <w:t> </w:t>
      </w:r>
      <w:r w:rsidR="00CF1461" w:rsidRPr="00E26090">
        <w:rPr>
          <w:rFonts w:asciiTheme="majorBidi" w:hAnsiTheme="majorBidi" w:cstheme="majorBidi"/>
        </w:rPr>
        <w:t>:</w:t>
      </w:r>
    </w:p>
    <w:p w14:paraId="5DD0BF77" w14:textId="16EA3A30" w:rsidR="00CF1461" w:rsidRPr="00E26090" w:rsidRDefault="004B5A1A" w:rsidP="004B5A1A">
      <w:pPr>
        <w:pStyle w:val="Bullet1G"/>
        <w:numPr>
          <w:ilvl w:val="0"/>
          <w:numId w:val="0"/>
        </w:numPr>
        <w:tabs>
          <w:tab w:val="left" w:pos="1701"/>
        </w:tabs>
        <w:ind w:left="1701" w:hanging="170"/>
      </w:pPr>
      <w:r w:rsidRPr="00E26090">
        <w:t>•</w:t>
      </w:r>
      <w:r w:rsidRPr="00E26090">
        <w:tab/>
      </w:r>
      <w:r w:rsidR="00CF1461" w:rsidRPr="00855577">
        <w:rPr>
          <w:bCs/>
        </w:rPr>
        <w:t>L’effectif total</w:t>
      </w:r>
      <w:r w:rsidR="00CF1461" w:rsidRPr="00E26090">
        <w:t xml:space="preserve"> de la population marocaine en 2014 s’élève à 33,8 millions d’habitants. 60,3</w:t>
      </w:r>
      <w:r w:rsidR="00372939">
        <w:t> %</w:t>
      </w:r>
      <w:r w:rsidR="00CF1461" w:rsidRPr="00E26090">
        <w:t xml:space="preserve"> résident en mil</w:t>
      </w:r>
      <w:r w:rsidR="00112CDC">
        <w:t>ieu urbain contre 55,1</w:t>
      </w:r>
      <w:r w:rsidR="00372939">
        <w:t> %</w:t>
      </w:r>
      <w:r w:rsidR="00112CDC">
        <w:t xml:space="preserve"> en 2004 ;</w:t>
      </w:r>
      <w:r w:rsidR="00CF1461" w:rsidRPr="00E26090">
        <w:t xml:space="preserve"> </w:t>
      </w:r>
    </w:p>
    <w:p w14:paraId="2C4E1751" w14:textId="6EA3A47D" w:rsidR="00CF1461" w:rsidRPr="00E26090" w:rsidRDefault="004B5A1A" w:rsidP="004B5A1A">
      <w:pPr>
        <w:pStyle w:val="Bullet1G"/>
        <w:numPr>
          <w:ilvl w:val="0"/>
          <w:numId w:val="0"/>
        </w:numPr>
        <w:tabs>
          <w:tab w:val="left" w:pos="1701"/>
        </w:tabs>
        <w:ind w:left="1701" w:hanging="170"/>
      </w:pPr>
      <w:r w:rsidRPr="00E26090">
        <w:t>•</w:t>
      </w:r>
      <w:r w:rsidRPr="00E26090">
        <w:tab/>
      </w:r>
      <w:r w:rsidR="00CF1461" w:rsidRPr="00E26090">
        <w:t xml:space="preserve">En ce qui concerne </w:t>
      </w:r>
      <w:r w:rsidR="00CF1461" w:rsidRPr="00331C60">
        <w:t>l’</w:t>
      </w:r>
      <w:r w:rsidR="00CF1461" w:rsidRPr="00331C60">
        <w:rPr>
          <w:bCs/>
        </w:rPr>
        <w:t>évolution de</w:t>
      </w:r>
      <w:r w:rsidR="00CF1461" w:rsidRPr="00331C60">
        <w:t xml:space="preserve"> </w:t>
      </w:r>
      <w:r w:rsidR="00CF1461" w:rsidRPr="00331C60">
        <w:rPr>
          <w:bCs/>
        </w:rPr>
        <w:t>la structure de la population</w:t>
      </w:r>
      <w:r w:rsidR="00CF1461" w:rsidRPr="00E26090">
        <w:t xml:space="preserve"> marocaine selon l’âge entre 2004 et 2014 :</w:t>
      </w:r>
    </w:p>
    <w:p w14:paraId="4AE14528" w14:textId="1E098798" w:rsidR="00CF1461" w:rsidRPr="00E26090" w:rsidRDefault="004B5A1A" w:rsidP="004B5A1A">
      <w:pPr>
        <w:pStyle w:val="Bullet2G"/>
        <w:numPr>
          <w:ilvl w:val="0"/>
          <w:numId w:val="0"/>
        </w:numPr>
        <w:tabs>
          <w:tab w:val="left" w:pos="2268"/>
        </w:tabs>
        <w:ind w:left="2268" w:hanging="170"/>
      </w:pPr>
      <w:r w:rsidRPr="00E26090">
        <w:t>•</w:t>
      </w:r>
      <w:r w:rsidRPr="00E26090">
        <w:tab/>
      </w:r>
      <w:r w:rsidR="00CF1461" w:rsidRPr="00E26090">
        <w:t>La part des jeunes de moins de 15 ans en diminution de 31,2</w:t>
      </w:r>
      <w:r w:rsidR="00372939">
        <w:t> %</w:t>
      </w:r>
      <w:r w:rsidR="00CD5A97">
        <w:t xml:space="preserve"> </w:t>
      </w:r>
      <w:r w:rsidR="00CF1461" w:rsidRPr="00E26090">
        <w:t>à</w:t>
      </w:r>
      <w:r w:rsidR="00CD5A97">
        <w:t xml:space="preserve"> </w:t>
      </w:r>
      <w:r w:rsidR="00CF1461" w:rsidRPr="00E26090">
        <w:t>28,0</w:t>
      </w:r>
      <w:r w:rsidR="00372939">
        <w:t> %</w:t>
      </w:r>
      <w:r w:rsidR="00CF1461" w:rsidRPr="00E26090">
        <w:t xml:space="preserve"> ; </w:t>
      </w:r>
    </w:p>
    <w:p w14:paraId="3F26FB5A" w14:textId="60C26E2C" w:rsidR="00CF1461" w:rsidRPr="00E26090" w:rsidRDefault="004B5A1A" w:rsidP="004B5A1A">
      <w:pPr>
        <w:pStyle w:val="Bullet2G"/>
        <w:numPr>
          <w:ilvl w:val="0"/>
          <w:numId w:val="0"/>
        </w:numPr>
        <w:tabs>
          <w:tab w:val="left" w:pos="2268"/>
        </w:tabs>
        <w:ind w:left="2268" w:hanging="170"/>
      </w:pPr>
      <w:r w:rsidRPr="00E26090">
        <w:t>•</w:t>
      </w:r>
      <w:r w:rsidRPr="00E26090">
        <w:tab/>
      </w:r>
      <w:r w:rsidR="00CF1461" w:rsidRPr="00E26090">
        <w:t>La population en âge d’activité (15-59 ans) demeure importante, passant de 61,2</w:t>
      </w:r>
      <w:r w:rsidR="00372939">
        <w:t> %</w:t>
      </w:r>
      <w:r w:rsidR="00CD5A97">
        <w:t xml:space="preserve"> </w:t>
      </w:r>
      <w:r w:rsidR="00CF1461" w:rsidRPr="00E26090">
        <w:t>à 62,4</w:t>
      </w:r>
      <w:r w:rsidR="00372939">
        <w:t> %</w:t>
      </w:r>
      <w:r w:rsidR="00CF1461" w:rsidRPr="00E26090">
        <w:t> ;</w:t>
      </w:r>
      <w:r w:rsidR="00CD5A97">
        <w:t xml:space="preserve"> </w:t>
      </w:r>
    </w:p>
    <w:p w14:paraId="55859425" w14:textId="1BDBF7E9" w:rsidR="00CF1461" w:rsidRPr="00E26090" w:rsidRDefault="004B5A1A" w:rsidP="004B5A1A">
      <w:pPr>
        <w:pStyle w:val="Bullet2G"/>
        <w:numPr>
          <w:ilvl w:val="0"/>
          <w:numId w:val="0"/>
        </w:numPr>
        <w:tabs>
          <w:tab w:val="left" w:pos="2268"/>
        </w:tabs>
        <w:ind w:left="2268" w:hanging="170"/>
      </w:pPr>
      <w:r w:rsidRPr="00E26090">
        <w:t>•</w:t>
      </w:r>
      <w:r w:rsidRPr="00E26090">
        <w:tab/>
      </w:r>
      <w:r w:rsidR="00CF1461" w:rsidRPr="00E26090">
        <w:t>La part des personnes âgées de 60 ans et plus est en augmentation de 8,1</w:t>
      </w:r>
      <w:r w:rsidR="00372939">
        <w:t> %</w:t>
      </w:r>
      <w:r w:rsidR="00CF1461" w:rsidRPr="00E26090">
        <w:t xml:space="preserve"> à</w:t>
      </w:r>
      <w:r w:rsidR="00CD5A97">
        <w:t xml:space="preserve"> </w:t>
      </w:r>
      <w:r w:rsidR="00112CDC">
        <w:t>9,6</w:t>
      </w:r>
      <w:r w:rsidR="00372939">
        <w:t> %</w:t>
      </w:r>
      <w:r w:rsidR="00112CDC">
        <w:t> ;</w:t>
      </w:r>
    </w:p>
    <w:p w14:paraId="0091313A" w14:textId="15027F57" w:rsidR="00CF1461" w:rsidRPr="00C62DDB" w:rsidRDefault="004B5A1A" w:rsidP="004B5A1A">
      <w:pPr>
        <w:pStyle w:val="Bullet1G"/>
        <w:numPr>
          <w:ilvl w:val="0"/>
          <w:numId w:val="0"/>
        </w:numPr>
        <w:tabs>
          <w:tab w:val="left" w:pos="1701"/>
        </w:tabs>
        <w:ind w:left="1701" w:hanging="170"/>
      </w:pPr>
      <w:r w:rsidRPr="00C62DDB">
        <w:t>•</w:t>
      </w:r>
      <w:r w:rsidRPr="00C62DDB">
        <w:tab/>
      </w:r>
      <w:r w:rsidR="00CF1461" w:rsidRPr="00C62DDB">
        <w:t xml:space="preserve">Le </w:t>
      </w:r>
      <w:r w:rsidR="00CF1461" w:rsidRPr="00C62DDB">
        <w:rPr>
          <w:rFonts w:eastAsia="Times New Roman"/>
          <w:lang w:eastAsia="fr-FR"/>
        </w:rPr>
        <w:t>taux</w:t>
      </w:r>
      <w:r w:rsidR="00CF1461" w:rsidRPr="00C62DDB">
        <w:t xml:space="preserve"> d’analphabétisme de la population âgée de 10 ans et plus a connu une baisse passant de 43,0</w:t>
      </w:r>
      <w:r w:rsidR="00372939">
        <w:t> %</w:t>
      </w:r>
      <w:r w:rsidR="00CF1461" w:rsidRPr="00C62DDB">
        <w:t xml:space="preserve"> en 2004 à 32,0</w:t>
      </w:r>
      <w:r w:rsidR="00372939">
        <w:t> %</w:t>
      </w:r>
      <w:r w:rsidR="00CF1461" w:rsidRPr="00C62DDB">
        <w:t xml:space="preserve"> en 2014. Il est de 22,1</w:t>
      </w:r>
      <w:r w:rsidR="00372939">
        <w:t> %</w:t>
      </w:r>
      <w:r w:rsidR="00CF1461" w:rsidRPr="00C62DDB">
        <w:t xml:space="preserve"> pour les hommes contre 41,9</w:t>
      </w:r>
      <w:r w:rsidR="00372939">
        <w:t> %</w:t>
      </w:r>
      <w:r w:rsidR="00CF1461" w:rsidRPr="00C62DDB">
        <w:t xml:space="preserve"> pour les femmes, et de 22,2</w:t>
      </w:r>
      <w:r w:rsidR="00372939">
        <w:t> %</w:t>
      </w:r>
      <w:r w:rsidR="00CF1461" w:rsidRPr="00C62DDB">
        <w:t xml:space="preserve"> pour l’urbain et 47,7</w:t>
      </w:r>
      <w:r w:rsidR="00372939">
        <w:t> %</w:t>
      </w:r>
      <w:r w:rsidR="00CF1461" w:rsidRPr="00C62DDB">
        <w:t xml:space="preserve"> en milieu rural. </w:t>
      </w:r>
    </w:p>
    <w:p w14:paraId="5D1A331E" w14:textId="6D5FF337" w:rsidR="00CF1461" w:rsidRPr="00E26090" w:rsidRDefault="004B5A1A" w:rsidP="004B5A1A">
      <w:pPr>
        <w:pStyle w:val="SingleTxtG"/>
        <w:tabs>
          <w:tab w:val="clear" w:pos="1701"/>
          <w:tab w:val="clear" w:pos="2268"/>
          <w:tab w:val="clear" w:pos="2835"/>
        </w:tabs>
        <w:rPr>
          <w:rFonts w:asciiTheme="majorBidi" w:hAnsiTheme="majorBidi" w:cstheme="majorBidi"/>
        </w:rPr>
      </w:pPr>
      <w:r w:rsidRPr="00E26090">
        <w:rPr>
          <w:rFonts w:asciiTheme="majorBidi" w:hAnsiTheme="majorBidi" w:cstheme="majorBidi"/>
          <w:color w:val="000000" w:themeColor="text1"/>
        </w:rPr>
        <w:t>11.</w:t>
      </w:r>
      <w:r w:rsidRPr="00E26090">
        <w:rPr>
          <w:rFonts w:asciiTheme="majorBidi" w:hAnsiTheme="majorBidi" w:cstheme="majorBidi"/>
          <w:color w:val="000000" w:themeColor="text1"/>
        </w:rPr>
        <w:tab/>
      </w:r>
      <w:r w:rsidR="00CF1461" w:rsidRPr="00E26090">
        <w:rPr>
          <w:rFonts w:asciiTheme="majorBidi" w:hAnsiTheme="majorBidi" w:cstheme="majorBidi"/>
        </w:rPr>
        <w:t xml:space="preserve">En </w:t>
      </w:r>
      <w:r w:rsidR="00CF1461" w:rsidRPr="00AC555A">
        <w:rPr>
          <w:rFonts w:eastAsia="Times New Roman"/>
          <w:lang w:eastAsia="fr-FR"/>
        </w:rPr>
        <w:t>ce</w:t>
      </w:r>
      <w:r w:rsidR="00CF1461" w:rsidRPr="00E26090">
        <w:rPr>
          <w:rFonts w:asciiTheme="majorBidi" w:hAnsiTheme="majorBidi" w:cstheme="majorBidi"/>
        </w:rPr>
        <w:t xml:space="preserve"> qui concerne les </w:t>
      </w:r>
      <w:r w:rsidR="00CF1461" w:rsidRPr="00331C60">
        <w:rPr>
          <w:rFonts w:asciiTheme="majorBidi" w:hAnsiTheme="majorBidi" w:cstheme="majorBidi"/>
          <w:bCs/>
        </w:rPr>
        <w:t>langues nationales</w:t>
      </w:r>
      <w:r w:rsidR="00CF1461" w:rsidRPr="00331C60">
        <w:rPr>
          <w:rFonts w:asciiTheme="majorBidi" w:hAnsiTheme="majorBidi" w:cstheme="majorBidi"/>
        </w:rPr>
        <w:t xml:space="preserve"> par</w:t>
      </w:r>
      <w:r w:rsidR="00CF1461" w:rsidRPr="00E26090">
        <w:rPr>
          <w:rFonts w:asciiTheme="majorBidi" w:hAnsiTheme="majorBidi" w:cstheme="majorBidi"/>
        </w:rPr>
        <w:t xml:space="preserve"> milieu de résidence et par région, la population marocaine présente les caractéristiques suivantes</w:t>
      </w:r>
      <w:r w:rsidR="00112CDC">
        <w:rPr>
          <w:rFonts w:asciiTheme="majorBidi" w:hAnsiTheme="majorBidi" w:cstheme="majorBidi"/>
        </w:rPr>
        <w:t xml:space="preserve"> </w:t>
      </w:r>
      <w:r w:rsidR="00CF1461" w:rsidRPr="00E26090">
        <w:rPr>
          <w:rFonts w:asciiTheme="majorBidi" w:hAnsiTheme="majorBidi" w:cstheme="majorBidi"/>
        </w:rPr>
        <w:t>:</w:t>
      </w:r>
    </w:p>
    <w:p w14:paraId="5127F6D1" w14:textId="09C533C6" w:rsidR="00CF1461" w:rsidRPr="00331C60" w:rsidRDefault="004B5A1A" w:rsidP="004B5A1A">
      <w:pPr>
        <w:pStyle w:val="Bullet1G"/>
        <w:numPr>
          <w:ilvl w:val="0"/>
          <w:numId w:val="0"/>
        </w:numPr>
        <w:tabs>
          <w:tab w:val="left" w:pos="1701"/>
        </w:tabs>
        <w:ind w:left="1701" w:hanging="170"/>
      </w:pPr>
      <w:r w:rsidRPr="00331C60">
        <w:t>•</w:t>
      </w:r>
      <w:r w:rsidRPr="00331C60">
        <w:tab/>
      </w:r>
      <w:r w:rsidR="00CF1461" w:rsidRPr="00E26090">
        <w:t>89,8</w:t>
      </w:r>
      <w:r w:rsidR="00372939">
        <w:t> %</w:t>
      </w:r>
      <w:r w:rsidR="00CF1461" w:rsidRPr="00E26090">
        <w:t xml:space="preserve"> </w:t>
      </w:r>
      <w:r w:rsidR="00CF1461" w:rsidRPr="00751595">
        <w:t>de</w:t>
      </w:r>
      <w:r w:rsidR="00CF1461" w:rsidRPr="00E26090">
        <w:t xml:space="preserve"> la population parlent la </w:t>
      </w:r>
      <w:r w:rsidR="00CF1461" w:rsidRPr="00331C60">
        <w:rPr>
          <w:bCs/>
        </w:rPr>
        <w:t>Darija</w:t>
      </w:r>
      <w:r w:rsidR="00CF1461" w:rsidRPr="00331C60">
        <w:rPr>
          <w:rStyle w:val="Appelnotedebasdep"/>
        </w:rPr>
        <w:footnoteReference w:id="8"/>
      </w:r>
      <w:r w:rsidR="00CF1461" w:rsidRPr="00331C60">
        <w:t xml:space="preserve"> (Urbain : 96,0</w:t>
      </w:r>
      <w:r w:rsidR="00372939">
        <w:t> %</w:t>
      </w:r>
      <w:r w:rsidR="00CF1461" w:rsidRPr="00331C60">
        <w:t xml:space="preserve"> et Rural : 80,2</w:t>
      </w:r>
      <w:r w:rsidR="00372939">
        <w:t> %</w:t>
      </w:r>
      <w:r w:rsidR="00CF1461" w:rsidRPr="00331C60">
        <w:t>) ;</w:t>
      </w:r>
    </w:p>
    <w:p w14:paraId="05348AF8" w14:textId="461E0C28" w:rsidR="00CF1461" w:rsidRPr="004E37EC" w:rsidRDefault="004B5A1A" w:rsidP="004B5A1A">
      <w:pPr>
        <w:pStyle w:val="Bullet1G"/>
        <w:numPr>
          <w:ilvl w:val="0"/>
          <w:numId w:val="0"/>
        </w:numPr>
        <w:tabs>
          <w:tab w:val="left" w:pos="1701"/>
        </w:tabs>
        <w:ind w:left="1701" w:hanging="170"/>
      </w:pPr>
      <w:r w:rsidRPr="004E37EC">
        <w:t>•</w:t>
      </w:r>
      <w:r w:rsidRPr="004E37EC">
        <w:tab/>
      </w:r>
      <w:r w:rsidR="00CF1461" w:rsidRPr="00331C60">
        <w:t>26,7</w:t>
      </w:r>
      <w:r w:rsidR="00372939">
        <w:t> %</w:t>
      </w:r>
      <w:r w:rsidR="00CF1461" w:rsidRPr="00331C60">
        <w:t xml:space="preserve"> parlent l</w:t>
      </w:r>
      <w:r w:rsidR="00CD5A97">
        <w:t>’</w:t>
      </w:r>
      <w:r w:rsidR="00CF1461" w:rsidRPr="00331C60">
        <w:rPr>
          <w:bCs/>
        </w:rPr>
        <w:t xml:space="preserve">Amazigh </w:t>
      </w:r>
      <w:r w:rsidR="00CF1461" w:rsidRPr="00331C60">
        <w:t>(Tachel</w:t>
      </w:r>
      <w:r w:rsidR="00CF1461" w:rsidRPr="00E26090">
        <w:t>hit 15</w:t>
      </w:r>
      <w:r w:rsidR="00372939">
        <w:t> %</w:t>
      </w:r>
      <w:r w:rsidR="00CF1461" w:rsidRPr="00E26090">
        <w:t>, Tamazight 7,6</w:t>
      </w:r>
      <w:r w:rsidR="00372939">
        <w:t> %</w:t>
      </w:r>
      <w:r w:rsidR="00CF1461" w:rsidRPr="00E26090">
        <w:t xml:space="preserve"> et </w:t>
      </w:r>
      <w:proofErr w:type="spellStart"/>
      <w:r w:rsidR="00CF1461" w:rsidRPr="00E26090">
        <w:t>Tarifit</w:t>
      </w:r>
      <w:proofErr w:type="spellEnd"/>
      <w:r w:rsidR="00CF1461" w:rsidRPr="00E26090">
        <w:t xml:space="preserve"> 4,1</w:t>
      </w:r>
      <w:r w:rsidR="00372939">
        <w:t> %</w:t>
      </w:r>
      <w:r w:rsidR="00CF1461" w:rsidRPr="00E26090">
        <w:t>)</w:t>
      </w:r>
      <w:r w:rsidR="00CF1461">
        <w:t xml:space="preserve"> </w:t>
      </w:r>
      <w:r w:rsidR="00CF1461" w:rsidRPr="00E26090">
        <w:t>;</w:t>
      </w:r>
    </w:p>
    <w:p w14:paraId="4BC3F3CE" w14:textId="6BA222CD" w:rsidR="00CF1461" w:rsidRPr="00E26090" w:rsidRDefault="004B5A1A" w:rsidP="004B5A1A">
      <w:pPr>
        <w:pStyle w:val="Bullet1G"/>
        <w:numPr>
          <w:ilvl w:val="0"/>
          <w:numId w:val="0"/>
        </w:numPr>
        <w:tabs>
          <w:tab w:val="left" w:pos="1701"/>
        </w:tabs>
        <w:ind w:left="1701" w:hanging="170"/>
      </w:pPr>
      <w:r w:rsidRPr="00E26090">
        <w:t>•</w:t>
      </w:r>
      <w:r w:rsidRPr="00E26090">
        <w:tab/>
      </w:r>
      <w:r w:rsidR="00CF1461" w:rsidRPr="00E26090">
        <w:t>99,1</w:t>
      </w:r>
      <w:r w:rsidR="00372939">
        <w:t> %</w:t>
      </w:r>
      <w:r w:rsidR="00CF1461" w:rsidRPr="00E26090">
        <w:t xml:space="preserve"> </w:t>
      </w:r>
      <w:r w:rsidR="00CF1461" w:rsidRPr="00751595">
        <w:t>de</w:t>
      </w:r>
      <w:r w:rsidR="00CF1461" w:rsidRPr="00E26090">
        <w:t xml:space="preserve"> la population du Grand Casablanca-Settat parlent la Darija, suivie de Rabat-Salé-Kenitra (98,6</w:t>
      </w:r>
      <w:r w:rsidR="00372939">
        <w:t> %</w:t>
      </w:r>
      <w:r w:rsidR="00CF1461" w:rsidRPr="00E26090">
        <w:t>) et Tanger-Tétouan-Al Hoceima (97,3</w:t>
      </w:r>
      <w:r w:rsidR="00372939">
        <w:t> %</w:t>
      </w:r>
      <w:r w:rsidR="00CF1461" w:rsidRPr="00E26090">
        <w:t>) ;</w:t>
      </w:r>
    </w:p>
    <w:p w14:paraId="376D0A04" w14:textId="3A8DC3ED" w:rsidR="00CF1461" w:rsidRPr="00E26090" w:rsidRDefault="004B5A1A" w:rsidP="004B5A1A">
      <w:pPr>
        <w:pStyle w:val="Bullet1G"/>
        <w:numPr>
          <w:ilvl w:val="0"/>
          <w:numId w:val="0"/>
        </w:numPr>
        <w:tabs>
          <w:tab w:val="left" w:pos="1701"/>
        </w:tabs>
        <w:ind w:left="1701" w:hanging="170"/>
      </w:pPr>
      <w:r w:rsidRPr="00E26090">
        <w:t>•</w:t>
      </w:r>
      <w:r w:rsidRPr="00E26090">
        <w:tab/>
      </w:r>
      <w:r w:rsidR="00CF1461" w:rsidRPr="00E26090">
        <w:t>70,2</w:t>
      </w:r>
      <w:r w:rsidR="00372939">
        <w:t> %</w:t>
      </w:r>
      <w:r w:rsidR="00CF1461" w:rsidRPr="00E26090">
        <w:t xml:space="preserve"> de la population de Souss-Massa parlent Tachelhit ;</w:t>
      </w:r>
    </w:p>
    <w:p w14:paraId="6D260FAC" w14:textId="0B00D8E7" w:rsidR="00CF1461" w:rsidRPr="00E26090" w:rsidRDefault="004B5A1A" w:rsidP="004B5A1A">
      <w:pPr>
        <w:pStyle w:val="Bullet1G"/>
        <w:numPr>
          <w:ilvl w:val="0"/>
          <w:numId w:val="0"/>
        </w:numPr>
        <w:tabs>
          <w:tab w:val="left" w:pos="1701"/>
        </w:tabs>
        <w:ind w:left="1701" w:hanging="170"/>
      </w:pPr>
      <w:r w:rsidRPr="00E26090">
        <w:t>•</w:t>
      </w:r>
      <w:r w:rsidRPr="00E26090">
        <w:tab/>
      </w:r>
      <w:r w:rsidR="00CF1461" w:rsidRPr="00E26090">
        <w:t>48,8</w:t>
      </w:r>
      <w:r w:rsidR="00372939">
        <w:t> %</w:t>
      </w:r>
      <w:r w:rsidR="00CF1461" w:rsidRPr="00E26090">
        <w:t xml:space="preserve"> de la population de Draa-Tafilalet parlent Tamazight ;</w:t>
      </w:r>
    </w:p>
    <w:p w14:paraId="6834199E" w14:textId="42C7EDF6" w:rsidR="00CF1461" w:rsidRPr="00E26090" w:rsidRDefault="004B5A1A" w:rsidP="004B5A1A">
      <w:pPr>
        <w:pStyle w:val="Bullet1G"/>
        <w:numPr>
          <w:ilvl w:val="0"/>
          <w:numId w:val="0"/>
        </w:numPr>
        <w:tabs>
          <w:tab w:val="left" w:pos="1701"/>
        </w:tabs>
        <w:ind w:left="1701" w:hanging="170"/>
      </w:pPr>
      <w:r w:rsidRPr="00E26090">
        <w:t>•</w:t>
      </w:r>
      <w:r w:rsidRPr="00E26090">
        <w:tab/>
      </w:r>
      <w:r w:rsidR="00CF1461" w:rsidRPr="00E26090">
        <w:t>38,4</w:t>
      </w:r>
      <w:r w:rsidR="00372939">
        <w:t> %</w:t>
      </w:r>
      <w:r w:rsidR="00CF1461" w:rsidRPr="00E26090">
        <w:t xml:space="preserve"> de la population de l’Oriental et 8,2</w:t>
      </w:r>
      <w:r w:rsidR="00372939">
        <w:t> %</w:t>
      </w:r>
      <w:r w:rsidR="00CF1461" w:rsidRPr="00E26090">
        <w:t xml:space="preserve"> de celle de Tanger-Tétouan-Al Hoceima parlent </w:t>
      </w:r>
      <w:proofErr w:type="spellStart"/>
      <w:r w:rsidR="00CF1461" w:rsidRPr="00E26090">
        <w:t>Tarifit</w:t>
      </w:r>
      <w:proofErr w:type="spellEnd"/>
      <w:r w:rsidR="00CF1461" w:rsidRPr="00E26090">
        <w:t> ;</w:t>
      </w:r>
    </w:p>
    <w:p w14:paraId="31C79E09" w14:textId="2A84C6B6" w:rsidR="00CF1461" w:rsidRPr="00331C60" w:rsidRDefault="004B5A1A" w:rsidP="004B5A1A">
      <w:pPr>
        <w:pStyle w:val="Bullet1G"/>
        <w:numPr>
          <w:ilvl w:val="0"/>
          <w:numId w:val="0"/>
        </w:numPr>
        <w:tabs>
          <w:tab w:val="left" w:pos="1701"/>
        </w:tabs>
        <w:ind w:left="1701" w:hanging="170"/>
      </w:pPr>
      <w:r w:rsidRPr="00331C60">
        <w:t>•</w:t>
      </w:r>
      <w:r w:rsidRPr="00331C60">
        <w:tab/>
      </w:r>
      <w:r w:rsidR="00CF1461" w:rsidRPr="00E26090">
        <w:t>36,9</w:t>
      </w:r>
      <w:r w:rsidR="00372939">
        <w:t> %</w:t>
      </w:r>
      <w:r w:rsidR="00CF1461" w:rsidRPr="00E26090">
        <w:t xml:space="preserve"> de la population de Laayoune-</w:t>
      </w:r>
      <w:proofErr w:type="spellStart"/>
      <w:r w:rsidR="00CF1461" w:rsidRPr="00E26090">
        <w:t>Sakia</w:t>
      </w:r>
      <w:proofErr w:type="spellEnd"/>
      <w:r w:rsidR="00CF1461" w:rsidRPr="00E26090">
        <w:t xml:space="preserve"> El Hamra, 20,4</w:t>
      </w:r>
      <w:r w:rsidR="00372939">
        <w:t> %</w:t>
      </w:r>
      <w:r w:rsidR="00CF1461" w:rsidRPr="00E26090">
        <w:t xml:space="preserve"> de celle de </w:t>
      </w:r>
      <w:proofErr w:type="spellStart"/>
      <w:r w:rsidR="00CF1461" w:rsidRPr="00E26090">
        <w:t>Guelmim</w:t>
      </w:r>
      <w:proofErr w:type="spellEnd"/>
      <w:r w:rsidR="00CF1461" w:rsidRPr="00E26090">
        <w:t xml:space="preserve"> Oued Noun et 18,4</w:t>
      </w:r>
      <w:r w:rsidR="00372939">
        <w:t> %</w:t>
      </w:r>
      <w:r w:rsidR="00CF1461" w:rsidRPr="00E26090">
        <w:t xml:space="preserve"> de celle de Dakhla-Oued Ed</w:t>
      </w:r>
      <w:r w:rsidR="00CF1461" w:rsidRPr="00E26090">
        <w:rPr>
          <w:rtl/>
        </w:rPr>
        <w:t xml:space="preserve"> </w:t>
      </w:r>
      <w:proofErr w:type="spellStart"/>
      <w:r w:rsidR="00CF1461" w:rsidRPr="00E26090">
        <w:t>Dahab</w:t>
      </w:r>
      <w:proofErr w:type="spellEnd"/>
      <w:r w:rsidR="00CF1461" w:rsidRPr="00E26090">
        <w:t xml:space="preserve"> parlent le </w:t>
      </w:r>
      <w:r w:rsidR="00CF1461" w:rsidRPr="00331C60">
        <w:rPr>
          <w:bCs/>
        </w:rPr>
        <w:t xml:space="preserve">Hassani </w:t>
      </w:r>
      <w:r w:rsidR="00CF1461" w:rsidRPr="00331C60">
        <w:t xml:space="preserve">; </w:t>
      </w:r>
    </w:p>
    <w:p w14:paraId="52069EBA" w14:textId="2427EB90" w:rsidR="00CF1461" w:rsidRPr="00331C60" w:rsidRDefault="004B5A1A" w:rsidP="004B5A1A">
      <w:pPr>
        <w:pStyle w:val="Bullet1G"/>
        <w:numPr>
          <w:ilvl w:val="0"/>
          <w:numId w:val="0"/>
        </w:numPr>
        <w:tabs>
          <w:tab w:val="left" w:pos="1701"/>
        </w:tabs>
        <w:ind w:left="1701" w:hanging="170"/>
      </w:pPr>
      <w:r w:rsidRPr="00331C60">
        <w:t>•</w:t>
      </w:r>
      <w:r w:rsidRPr="00331C60">
        <w:tab/>
      </w:r>
      <w:r w:rsidR="00CF1461" w:rsidRPr="00331C60">
        <w:t>0,9</w:t>
      </w:r>
      <w:r w:rsidR="00372939">
        <w:t> %</w:t>
      </w:r>
      <w:r w:rsidR="00CF1461" w:rsidRPr="00331C60">
        <w:t xml:space="preserve"> parlent le Hassani, 1,2</w:t>
      </w:r>
      <w:r w:rsidR="00372939">
        <w:t> %</w:t>
      </w:r>
      <w:r w:rsidR="00CF1461" w:rsidRPr="00331C60">
        <w:t xml:space="preserve"> en milieu urbain et 0,4</w:t>
      </w:r>
      <w:r w:rsidR="00372939">
        <w:t> %</w:t>
      </w:r>
      <w:r w:rsidR="00CF1461" w:rsidRPr="00331C60">
        <w:t xml:space="preserve"> en milieu rural.</w:t>
      </w:r>
    </w:p>
    <w:p w14:paraId="63042F24" w14:textId="4C925085" w:rsidR="00CF1461" w:rsidRPr="00E26090" w:rsidRDefault="004B5A1A" w:rsidP="004B5A1A">
      <w:pPr>
        <w:pStyle w:val="SingleTxtG"/>
        <w:tabs>
          <w:tab w:val="clear" w:pos="1701"/>
          <w:tab w:val="clear" w:pos="2268"/>
          <w:tab w:val="clear" w:pos="2835"/>
        </w:tabs>
        <w:rPr>
          <w:rFonts w:asciiTheme="majorBidi" w:hAnsiTheme="majorBidi" w:cstheme="majorBidi"/>
        </w:rPr>
      </w:pPr>
      <w:r w:rsidRPr="00E26090">
        <w:rPr>
          <w:rFonts w:asciiTheme="majorBidi" w:hAnsiTheme="majorBidi" w:cstheme="majorBidi"/>
          <w:color w:val="000000" w:themeColor="text1"/>
        </w:rPr>
        <w:t>12.</w:t>
      </w:r>
      <w:r w:rsidRPr="00E26090">
        <w:rPr>
          <w:rFonts w:asciiTheme="majorBidi" w:hAnsiTheme="majorBidi" w:cstheme="majorBidi"/>
          <w:color w:val="000000" w:themeColor="text1"/>
        </w:rPr>
        <w:tab/>
      </w:r>
      <w:r w:rsidR="00CF1461" w:rsidRPr="00331C60">
        <w:rPr>
          <w:rFonts w:eastAsia="Times New Roman"/>
          <w:lang w:eastAsia="fr-FR"/>
        </w:rPr>
        <w:t>Quant</w:t>
      </w:r>
      <w:r w:rsidR="00CF1461" w:rsidRPr="00331C60">
        <w:rPr>
          <w:rFonts w:asciiTheme="majorBidi" w:hAnsiTheme="majorBidi" w:cstheme="majorBidi"/>
        </w:rPr>
        <w:t xml:space="preserve"> aux</w:t>
      </w:r>
      <w:r w:rsidR="00CF1461" w:rsidRPr="00331C60">
        <w:rPr>
          <w:rFonts w:asciiTheme="majorBidi" w:hAnsiTheme="majorBidi" w:cstheme="majorBidi"/>
          <w:bCs/>
        </w:rPr>
        <w:t xml:space="preserve"> personnes en situation de handicap</w:t>
      </w:r>
      <w:r w:rsidR="00CF1461" w:rsidRPr="00331C60">
        <w:rPr>
          <w:rFonts w:asciiTheme="majorBidi" w:hAnsiTheme="majorBidi" w:cstheme="majorBidi"/>
        </w:rPr>
        <w:t>, le recensement de</w:t>
      </w:r>
      <w:r w:rsidR="00CF1461" w:rsidRPr="00E26090">
        <w:rPr>
          <w:rFonts w:asciiTheme="majorBidi" w:hAnsiTheme="majorBidi" w:cstheme="majorBidi"/>
        </w:rPr>
        <w:t xml:space="preserve"> 2014 a enregistré 1</w:t>
      </w:r>
      <w:r w:rsidR="00716E45">
        <w:rPr>
          <w:rFonts w:asciiTheme="majorBidi" w:hAnsiTheme="majorBidi" w:cstheme="majorBidi"/>
        </w:rPr>
        <w:t> </w:t>
      </w:r>
      <w:r w:rsidR="00CF1461" w:rsidRPr="00E26090">
        <w:rPr>
          <w:rFonts w:asciiTheme="majorBidi" w:hAnsiTheme="majorBidi" w:cstheme="majorBidi"/>
        </w:rPr>
        <w:t>354</w:t>
      </w:r>
      <w:r w:rsidR="00716E45">
        <w:rPr>
          <w:rFonts w:asciiTheme="majorBidi" w:hAnsiTheme="majorBidi" w:cstheme="majorBidi"/>
        </w:rPr>
        <w:t> </w:t>
      </w:r>
      <w:r w:rsidR="00CF1461" w:rsidRPr="00E26090">
        <w:rPr>
          <w:rFonts w:asciiTheme="majorBidi" w:hAnsiTheme="majorBidi" w:cstheme="majorBidi"/>
        </w:rPr>
        <w:t>428 personnes, soit un taux de prévalence de 4,1</w:t>
      </w:r>
      <w:r w:rsidR="00372939">
        <w:rPr>
          <w:rFonts w:asciiTheme="majorBidi" w:hAnsiTheme="majorBidi" w:cstheme="majorBidi"/>
        </w:rPr>
        <w:t> %</w:t>
      </w:r>
      <w:r w:rsidR="00CF1461" w:rsidRPr="00E26090">
        <w:rPr>
          <w:rFonts w:asciiTheme="majorBidi" w:hAnsiTheme="majorBidi" w:cstheme="majorBidi"/>
        </w:rPr>
        <w:t>, dont les caractéristiques sont les suivantes</w:t>
      </w:r>
      <w:r w:rsidR="00112CDC">
        <w:rPr>
          <w:rFonts w:asciiTheme="majorBidi" w:hAnsiTheme="majorBidi" w:cstheme="majorBidi"/>
        </w:rPr>
        <w:t xml:space="preserve"> </w:t>
      </w:r>
      <w:r w:rsidR="00CF1461" w:rsidRPr="00E26090">
        <w:rPr>
          <w:rFonts w:asciiTheme="majorBidi" w:hAnsiTheme="majorBidi" w:cstheme="majorBidi"/>
        </w:rPr>
        <w:t>:</w:t>
      </w:r>
    </w:p>
    <w:p w14:paraId="329175A9" w14:textId="6167220E" w:rsidR="00CF1461" w:rsidRPr="00E26090" w:rsidRDefault="004B5A1A" w:rsidP="004B5A1A">
      <w:pPr>
        <w:pStyle w:val="Bullet1G"/>
        <w:numPr>
          <w:ilvl w:val="0"/>
          <w:numId w:val="0"/>
        </w:numPr>
        <w:tabs>
          <w:tab w:val="left" w:pos="1701"/>
        </w:tabs>
        <w:ind w:left="1701" w:hanging="170"/>
      </w:pPr>
      <w:r w:rsidRPr="00E26090">
        <w:t>•</w:t>
      </w:r>
      <w:r w:rsidRPr="00E26090">
        <w:tab/>
      </w:r>
      <w:r w:rsidR="00CF1461" w:rsidRPr="00E26090">
        <w:t>56</w:t>
      </w:r>
      <w:r w:rsidR="00372939">
        <w:t> %</w:t>
      </w:r>
      <w:r w:rsidR="00CF1461" w:rsidRPr="00E26090">
        <w:t xml:space="preserve"> (soit 758</w:t>
      </w:r>
      <w:r w:rsidR="00236952">
        <w:t> </w:t>
      </w:r>
      <w:r w:rsidR="00CF1461" w:rsidRPr="00E26090">
        <w:t>085 personnes) résident en milieu urbain ;</w:t>
      </w:r>
    </w:p>
    <w:p w14:paraId="115B985C" w14:textId="7FA46943" w:rsidR="00CF1461" w:rsidRPr="00E26090" w:rsidRDefault="004B5A1A" w:rsidP="004B5A1A">
      <w:pPr>
        <w:pStyle w:val="Bullet1G"/>
        <w:numPr>
          <w:ilvl w:val="0"/>
          <w:numId w:val="0"/>
        </w:numPr>
        <w:tabs>
          <w:tab w:val="left" w:pos="1701"/>
        </w:tabs>
        <w:ind w:left="1701" w:hanging="170"/>
      </w:pPr>
      <w:r w:rsidRPr="00E26090">
        <w:t>•</w:t>
      </w:r>
      <w:r w:rsidRPr="00E26090">
        <w:tab/>
      </w:r>
      <w:r w:rsidR="00CF1461" w:rsidRPr="00E26090">
        <w:t>44</w:t>
      </w:r>
      <w:r w:rsidR="00372939">
        <w:t> %</w:t>
      </w:r>
      <w:r w:rsidR="00CF1461" w:rsidRPr="00E26090">
        <w:t xml:space="preserve"> (soit 596</w:t>
      </w:r>
      <w:r w:rsidR="00236952">
        <w:t> </w:t>
      </w:r>
      <w:r w:rsidR="00CF1461" w:rsidRPr="00E26090">
        <w:t>343 personnes) résident en milieu rural ;</w:t>
      </w:r>
    </w:p>
    <w:p w14:paraId="01F0AB3C" w14:textId="41088A0A" w:rsidR="00CF1461" w:rsidRPr="00E26090" w:rsidRDefault="004B5A1A" w:rsidP="004B5A1A">
      <w:pPr>
        <w:pStyle w:val="Bullet1G"/>
        <w:numPr>
          <w:ilvl w:val="0"/>
          <w:numId w:val="0"/>
        </w:numPr>
        <w:tabs>
          <w:tab w:val="left" w:pos="1701"/>
        </w:tabs>
        <w:ind w:left="1701" w:hanging="170"/>
      </w:pPr>
      <w:r w:rsidRPr="00E26090">
        <w:t>•</w:t>
      </w:r>
      <w:r w:rsidRPr="00E26090">
        <w:tab/>
      </w:r>
      <w:r w:rsidR="00CF1461" w:rsidRPr="00E26090">
        <w:t>La part des femmes ayant un handicap est plus élevée (52,5</w:t>
      </w:r>
      <w:r w:rsidR="00372939">
        <w:t> %</w:t>
      </w:r>
      <w:r w:rsidR="00CF1461" w:rsidRPr="00E26090">
        <w:t>) par rapport aux hommes (47,5</w:t>
      </w:r>
      <w:r w:rsidR="00372939">
        <w:t> %</w:t>
      </w:r>
      <w:r w:rsidR="00CF1461" w:rsidRPr="00E26090">
        <w:t>) ;</w:t>
      </w:r>
    </w:p>
    <w:p w14:paraId="08E5DDEA" w14:textId="1EDA8AB8" w:rsidR="00CF1461" w:rsidRPr="00E26090" w:rsidRDefault="004B5A1A" w:rsidP="004B5A1A">
      <w:pPr>
        <w:pStyle w:val="Bullet1G"/>
        <w:numPr>
          <w:ilvl w:val="0"/>
          <w:numId w:val="0"/>
        </w:numPr>
        <w:tabs>
          <w:tab w:val="left" w:pos="1701"/>
        </w:tabs>
        <w:ind w:left="1701" w:hanging="170"/>
      </w:pPr>
      <w:r w:rsidRPr="00E26090">
        <w:t>•</w:t>
      </w:r>
      <w:r w:rsidRPr="00E26090">
        <w:tab/>
      </w:r>
      <w:r w:rsidR="00CF1461" w:rsidRPr="00E26090">
        <w:t>50,6</w:t>
      </w:r>
      <w:r w:rsidR="00372939">
        <w:t> %</w:t>
      </w:r>
      <w:r w:rsidR="00CF1461" w:rsidRPr="00E26090">
        <w:t xml:space="preserve"> des personnes handicapées sont âgées de 60 ans et plus, 38,3</w:t>
      </w:r>
      <w:r w:rsidR="00372939">
        <w:t> %</w:t>
      </w:r>
      <w:r w:rsidR="00CF1461" w:rsidRPr="00E26090">
        <w:t xml:space="preserve"> entre 15 et 59</w:t>
      </w:r>
      <w:r w:rsidR="00716E45">
        <w:t> </w:t>
      </w:r>
      <w:r w:rsidR="00CF1461" w:rsidRPr="00E26090">
        <w:t>ans et enfin 10,9</w:t>
      </w:r>
      <w:r w:rsidR="00372939">
        <w:t> %</w:t>
      </w:r>
      <w:r w:rsidR="00CF1461" w:rsidRPr="00E26090">
        <w:t xml:space="preserve"> sont âgées de moins de 15 ans ;</w:t>
      </w:r>
    </w:p>
    <w:p w14:paraId="757F0790" w14:textId="1300C036" w:rsidR="00CF1461" w:rsidRPr="00E26090" w:rsidRDefault="004B5A1A" w:rsidP="004B5A1A">
      <w:pPr>
        <w:pStyle w:val="Bullet1G"/>
        <w:numPr>
          <w:ilvl w:val="0"/>
          <w:numId w:val="0"/>
        </w:numPr>
        <w:tabs>
          <w:tab w:val="left" w:pos="1701"/>
        </w:tabs>
        <w:ind w:left="1701" w:hanging="170"/>
      </w:pPr>
      <w:r w:rsidRPr="00E26090">
        <w:lastRenderedPageBreak/>
        <w:t>•</w:t>
      </w:r>
      <w:r w:rsidRPr="00E26090">
        <w:tab/>
      </w:r>
      <w:r w:rsidR="00CF1461" w:rsidRPr="00E26090">
        <w:t xml:space="preserve">Le handicap est plus élevé dans les régions de </w:t>
      </w:r>
      <w:proofErr w:type="spellStart"/>
      <w:r w:rsidR="00CF1461" w:rsidRPr="00E26090">
        <w:t>Guelmim</w:t>
      </w:r>
      <w:proofErr w:type="spellEnd"/>
      <w:r w:rsidR="00CF1461" w:rsidRPr="00E26090">
        <w:t>-Oued Noun (4,8</w:t>
      </w:r>
      <w:r w:rsidR="00372939">
        <w:t> %</w:t>
      </w:r>
      <w:r w:rsidR="00CF1461" w:rsidRPr="00E26090">
        <w:t>) ; Fès-Meknès (4,6</w:t>
      </w:r>
      <w:r w:rsidR="00372939">
        <w:t> %</w:t>
      </w:r>
      <w:r w:rsidR="00CF1461" w:rsidRPr="00E26090">
        <w:t>), Tanger-Tétouan-Al Hoceima (4,5</w:t>
      </w:r>
      <w:r w:rsidR="00372939">
        <w:t> %</w:t>
      </w:r>
      <w:r w:rsidR="00CF1461" w:rsidRPr="00E26090">
        <w:t>), Draa-Tafilalt (4,4</w:t>
      </w:r>
      <w:r w:rsidR="00372939">
        <w:t> %</w:t>
      </w:r>
      <w:r w:rsidR="00CF1461" w:rsidRPr="00E26090">
        <w:t>) et l’Oriental (4,3</w:t>
      </w:r>
      <w:r w:rsidR="00372939">
        <w:t> %</w:t>
      </w:r>
      <w:r w:rsidR="00CF1461" w:rsidRPr="00E26090">
        <w:t>)</w:t>
      </w:r>
      <w:r w:rsidR="00CF1461">
        <w:t xml:space="preserve"> </w:t>
      </w:r>
      <w:r w:rsidR="00CF1461" w:rsidRPr="00E26090">
        <w:t>;</w:t>
      </w:r>
    </w:p>
    <w:p w14:paraId="255220EE" w14:textId="518B8FC5" w:rsidR="00CF1461" w:rsidRDefault="004B5A1A" w:rsidP="004B5A1A">
      <w:pPr>
        <w:pStyle w:val="Bullet1G"/>
        <w:numPr>
          <w:ilvl w:val="0"/>
          <w:numId w:val="0"/>
        </w:numPr>
        <w:tabs>
          <w:tab w:val="left" w:pos="1701"/>
        </w:tabs>
        <w:ind w:left="1701" w:hanging="170"/>
      </w:pPr>
      <w:r>
        <w:t>•</w:t>
      </w:r>
      <w:r>
        <w:tab/>
      </w:r>
      <w:r w:rsidR="00CF1461" w:rsidRPr="00E26090">
        <w:t>Il est relativement faible dans les régions de Dakhla-Oued Ed</w:t>
      </w:r>
      <w:r w:rsidR="00CF1461" w:rsidRPr="00E26090">
        <w:rPr>
          <w:rtl/>
        </w:rPr>
        <w:t xml:space="preserve"> </w:t>
      </w:r>
      <w:proofErr w:type="spellStart"/>
      <w:r w:rsidR="00CF1461" w:rsidRPr="00E26090">
        <w:t>Dahab</w:t>
      </w:r>
      <w:proofErr w:type="spellEnd"/>
      <w:r w:rsidR="00CF1461" w:rsidRPr="00E26090">
        <w:t xml:space="preserve"> (1,7</w:t>
      </w:r>
      <w:r w:rsidR="00372939">
        <w:t> %</w:t>
      </w:r>
      <w:r w:rsidR="00CF1461" w:rsidRPr="00E26090">
        <w:t>) et Laâyoune-</w:t>
      </w:r>
      <w:proofErr w:type="spellStart"/>
      <w:r w:rsidR="00CF1461" w:rsidRPr="00E26090">
        <w:t>Sakia</w:t>
      </w:r>
      <w:proofErr w:type="spellEnd"/>
      <w:r w:rsidR="00CF1461" w:rsidRPr="00E26090">
        <w:t xml:space="preserve"> El Hamra (3</w:t>
      </w:r>
      <w:r w:rsidR="00372939">
        <w:t> %</w:t>
      </w:r>
      <w:r w:rsidR="00CF1461" w:rsidRPr="00E26090">
        <w:t>)</w:t>
      </w:r>
      <w:r w:rsidR="00CF1461" w:rsidRPr="003C06D3">
        <w:rPr>
          <w:rStyle w:val="Appelnotedebasdep"/>
        </w:rPr>
        <w:footnoteReference w:id="9"/>
      </w:r>
      <w:r w:rsidR="00112CDC">
        <w:t>.</w:t>
      </w:r>
    </w:p>
    <w:p w14:paraId="5AC61E4E" w14:textId="77777777" w:rsidR="00CF1461" w:rsidRPr="00E26090" w:rsidRDefault="00EF7EE2" w:rsidP="00013F70">
      <w:pPr>
        <w:pStyle w:val="H1G"/>
        <w:rPr>
          <w:lang w:eastAsia="fr-FR"/>
        </w:rPr>
      </w:pPr>
      <w:r>
        <w:rPr>
          <w:lang w:eastAsia="fr-FR"/>
        </w:rPr>
        <w:tab/>
        <w:t>B.</w:t>
      </w:r>
      <w:r>
        <w:rPr>
          <w:lang w:eastAsia="fr-FR"/>
        </w:rPr>
        <w:tab/>
      </w:r>
      <w:r w:rsidR="00CF1461" w:rsidRPr="00E26090">
        <w:rPr>
          <w:lang w:eastAsia="fr-FR"/>
        </w:rPr>
        <w:t>Migrants et réfugiés</w:t>
      </w:r>
    </w:p>
    <w:p w14:paraId="7D8579FD" w14:textId="3D2D8274"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13.</w:t>
      </w:r>
      <w:r w:rsidRPr="00E26090">
        <w:rPr>
          <w:rFonts w:eastAsia="Times New Roman"/>
          <w:color w:val="000000" w:themeColor="text1"/>
          <w:lang w:eastAsia="fr-FR"/>
        </w:rPr>
        <w:tab/>
      </w:r>
      <w:r w:rsidR="00CF1461" w:rsidRPr="00E26090">
        <w:rPr>
          <w:rFonts w:eastAsia="Times New Roman"/>
          <w:lang w:eastAsia="fr-FR"/>
        </w:rPr>
        <w:t xml:space="preserve">De pays d’émigration dans les années 60, à pays de transit, le Maroc est devenu aujourd’hui un pays d’accueil et de résidence pour de nombreux migrant(e)s. Dès lors et sur instruction de </w:t>
      </w:r>
      <w:r w:rsidR="00CF1461" w:rsidRPr="00565DEA">
        <w:rPr>
          <w:rFonts w:eastAsia="Times New Roman"/>
          <w:lang w:eastAsia="fr-FR"/>
        </w:rPr>
        <w:t>Sa Majesté</w:t>
      </w:r>
      <w:r w:rsidR="00CF1461" w:rsidRPr="00E26090">
        <w:rPr>
          <w:rFonts w:eastAsia="Times New Roman"/>
          <w:lang w:eastAsia="fr-FR"/>
        </w:rPr>
        <w:t xml:space="preserve"> le Roi, le Maroc a entrepris d’importants efforts dans le développement d’une nouvelle politique migratoire, basée sur une approche cohérente, globale, humaniste et responsable. Cela a donné naissance à une nouvelle Stratégie Nationale de l’Immigration et de l’Asile (SNIA) lancée en 2014.</w:t>
      </w:r>
    </w:p>
    <w:p w14:paraId="04A5CF15" w14:textId="0B7C5DF7" w:rsidR="00CF1461" w:rsidRPr="00565DEA" w:rsidRDefault="004B5A1A" w:rsidP="004B5A1A">
      <w:pPr>
        <w:pStyle w:val="SingleTxtG"/>
        <w:tabs>
          <w:tab w:val="clear" w:pos="1701"/>
          <w:tab w:val="clear" w:pos="2268"/>
          <w:tab w:val="clear" w:pos="2835"/>
        </w:tabs>
        <w:rPr>
          <w:rFonts w:eastAsia="Times New Roman"/>
          <w:lang w:eastAsia="fr-FR"/>
        </w:rPr>
      </w:pPr>
      <w:r w:rsidRPr="00565DEA">
        <w:rPr>
          <w:rFonts w:eastAsia="Times New Roman"/>
          <w:color w:val="000000" w:themeColor="text1"/>
          <w:lang w:eastAsia="fr-FR"/>
        </w:rPr>
        <w:t>14.</w:t>
      </w:r>
      <w:r w:rsidRPr="00565DEA">
        <w:rPr>
          <w:rFonts w:eastAsia="Times New Roman"/>
          <w:color w:val="000000" w:themeColor="text1"/>
          <w:lang w:eastAsia="fr-FR"/>
        </w:rPr>
        <w:tab/>
      </w:r>
      <w:r w:rsidR="00CF1461" w:rsidRPr="00EF7EE2">
        <w:rPr>
          <w:rFonts w:eastAsia="Times New Roman"/>
          <w:lang w:eastAsia="fr-FR"/>
        </w:rPr>
        <w:t>Parmi</w:t>
      </w:r>
      <w:r w:rsidR="00CF1461" w:rsidRPr="00565DEA">
        <w:rPr>
          <w:rFonts w:eastAsia="Times New Roman"/>
          <w:lang w:eastAsia="fr-FR"/>
        </w:rPr>
        <w:t xml:space="preserve"> les actions phares de la SNIA, deux opérations exceptionnelles de régularisation du séjour des étrangers en situation administrative irrégulière on</w:t>
      </w:r>
      <w:r w:rsidR="00CF1461">
        <w:rPr>
          <w:rFonts w:eastAsia="Times New Roman"/>
          <w:lang w:eastAsia="fr-FR"/>
        </w:rPr>
        <w:t>t</w:t>
      </w:r>
      <w:r w:rsidR="00CF1461" w:rsidRPr="00565DEA">
        <w:rPr>
          <w:rFonts w:eastAsia="Times New Roman"/>
          <w:lang w:eastAsia="fr-FR"/>
        </w:rPr>
        <w:t xml:space="preserve"> été enregistrées</w:t>
      </w:r>
      <w:r w:rsidR="00CF1461">
        <w:rPr>
          <w:rFonts w:eastAsia="Times New Roman"/>
          <w:lang w:eastAsia="fr-FR"/>
        </w:rPr>
        <w:t> :</w:t>
      </w:r>
      <w:r w:rsidR="00CD5A97">
        <w:rPr>
          <w:rFonts w:eastAsia="Times New Roman"/>
          <w:lang w:eastAsia="fr-FR"/>
        </w:rPr>
        <w:t xml:space="preserve"> </w:t>
      </w:r>
      <w:r w:rsidR="00CF1461" w:rsidRPr="00565DEA">
        <w:rPr>
          <w:rFonts w:eastAsia="Times New Roman"/>
          <w:lang w:eastAsia="fr-FR"/>
        </w:rPr>
        <w:t>27</w:t>
      </w:r>
      <w:r w:rsidR="00236952">
        <w:rPr>
          <w:rFonts w:eastAsia="Times New Roman"/>
          <w:lang w:eastAsia="fr-FR"/>
        </w:rPr>
        <w:t> </w:t>
      </w:r>
      <w:r w:rsidR="00CF1461" w:rsidRPr="00565DEA">
        <w:rPr>
          <w:rFonts w:eastAsia="Times New Roman"/>
          <w:lang w:eastAsia="fr-FR"/>
        </w:rPr>
        <w:t>649 personnes</w:t>
      </w:r>
      <w:r w:rsidR="00CF1461" w:rsidRPr="00026EF4">
        <w:rPr>
          <w:rFonts w:eastAsia="Times New Roman"/>
          <w:lang w:eastAsia="fr-FR"/>
        </w:rPr>
        <w:t xml:space="preserve"> </w:t>
      </w:r>
      <w:r w:rsidR="00CF1461">
        <w:rPr>
          <w:rFonts w:eastAsia="Times New Roman"/>
          <w:lang w:eastAsia="fr-FR"/>
        </w:rPr>
        <w:t xml:space="preserve">en </w:t>
      </w:r>
      <w:r w:rsidR="00CF1461" w:rsidRPr="00565DEA">
        <w:rPr>
          <w:rFonts w:eastAsia="Times New Roman"/>
          <w:lang w:eastAsia="fr-FR"/>
        </w:rPr>
        <w:t>2014</w:t>
      </w:r>
      <w:r w:rsidR="00CF1461">
        <w:rPr>
          <w:rFonts w:eastAsia="Times New Roman"/>
          <w:lang w:eastAsia="fr-FR"/>
        </w:rPr>
        <w:t xml:space="preserve"> et </w:t>
      </w:r>
      <w:r w:rsidR="00CF1461" w:rsidRPr="00565DEA">
        <w:rPr>
          <w:rFonts w:eastAsia="Times New Roman"/>
          <w:lang w:eastAsia="fr-FR"/>
        </w:rPr>
        <w:t>27</w:t>
      </w:r>
      <w:r w:rsidR="00236952">
        <w:rPr>
          <w:rFonts w:eastAsia="Times New Roman"/>
          <w:lang w:eastAsia="fr-FR"/>
        </w:rPr>
        <w:t> </w:t>
      </w:r>
      <w:r w:rsidR="00CF1461" w:rsidRPr="00565DEA">
        <w:rPr>
          <w:rFonts w:eastAsia="Times New Roman"/>
          <w:lang w:eastAsia="fr-FR"/>
        </w:rPr>
        <w:t xml:space="preserve">660 </w:t>
      </w:r>
      <w:r w:rsidR="00CF1461">
        <w:rPr>
          <w:rFonts w:eastAsia="Times New Roman"/>
          <w:lang w:eastAsia="fr-FR"/>
        </w:rPr>
        <w:t xml:space="preserve">autres cas en </w:t>
      </w:r>
      <w:r w:rsidR="00CF1461" w:rsidRPr="00565DEA">
        <w:rPr>
          <w:rFonts w:eastAsia="Times New Roman"/>
          <w:lang w:eastAsia="fr-FR"/>
        </w:rPr>
        <w:t>2016</w:t>
      </w:r>
      <w:r w:rsidR="00CF1461">
        <w:rPr>
          <w:rFonts w:eastAsia="Times New Roman"/>
          <w:lang w:eastAsia="fr-FR"/>
        </w:rPr>
        <w:t>-2017</w:t>
      </w:r>
      <w:r w:rsidR="00236952">
        <w:rPr>
          <w:rFonts w:eastAsia="Times New Roman"/>
          <w:lang w:eastAsia="fr-FR"/>
        </w:rPr>
        <w:t> </w:t>
      </w:r>
      <w:r w:rsidR="00CF1461">
        <w:rPr>
          <w:rFonts w:eastAsia="Times New Roman"/>
          <w:lang w:eastAsia="fr-FR"/>
        </w:rPr>
        <w:t xml:space="preserve">; </w:t>
      </w:r>
      <w:r w:rsidR="00CF1461" w:rsidRPr="00565DEA">
        <w:rPr>
          <w:rFonts w:eastAsia="Times New Roman"/>
          <w:lang w:eastAsia="fr-FR"/>
        </w:rPr>
        <w:t>soit un total de 55</w:t>
      </w:r>
      <w:r w:rsidR="00236952">
        <w:rPr>
          <w:rFonts w:eastAsia="Times New Roman"/>
          <w:lang w:eastAsia="fr-FR"/>
        </w:rPr>
        <w:t> </w:t>
      </w:r>
      <w:r w:rsidR="00CF1461" w:rsidRPr="00565DEA">
        <w:rPr>
          <w:rFonts w:eastAsia="Times New Roman"/>
          <w:lang w:eastAsia="fr-FR"/>
        </w:rPr>
        <w:t>309 migrants régularisés</w:t>
      </w:r>
      <w:r w:rsidR="00CF1461">
        <w:rPr>
          <w:rFonts w:eastAsia="Times New Roman"/>
          <w:lang w:eastAsia="fr-FR"/>
        </w:rPr>
        <w:t>,</w:t>
      </w:r>
      <w:r w:rsidR="00CF1461" w:rsidRPr="00565DEA">
        <w:rPr>
          <w:rFonts w:eastAsia="Times New Roman"/>
          <w:lang w:eastAsia="fr-FR"/>
        </w:rPr>
        <w:t xml:space="preserve"> représentant 113 nationalités.</w:t>
      </w:r>
    </w:p>
    <w:p w14:paraId="680608F5" w14:textId="23CD066E"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15.</w:t>
      </w:r>
      <w:r w:rsidRPr="00E26090">
        <w:rPr>
          <w:rFonts w:eastAsia="Times New Roman"/>
          <w:color w:val="000000" w:themeColor="text1"/>
          <w:lang w:eastAsia="fr-FR"/>
        </w:rPr>
        <w:tab/>
      </w:r>
      <w:r w:rsidR="00CF1461" w:rsidRPr="00E26090">
        <w:rPr>
          <w:rFonts w:eastAsia="Times New Roman"/>
          <w:lang w:eastAsia="fr-FR"/>
        </w:rPr>
        <w:t xml:space="preserve">En </w:t>
      </w:r>
      <w:r w:rsidR="00CF1461" w:rsidRPr="00EF7EE2">
        <w:rPr>
          <w:rFonts w:eastAsia="Times New Roman"/>
          <w:lang w:eastAsia="fr-FR"/>
        </w:rPr>
        <w:t>ce</w:t>
      </w:r>
      <w:r w:rsidR="00CF1461" w:rsidRPr="00E26090">
        <w:rPr>
          <w:rFonts w:eastAsia="Times New Roman"/>
          <w:lang w:eastAsia="fr-FR"/>
        </w:rPr>
        <w:t xml:space="preserve"> qui concerne les étrangers en situation régulière résidents au Maroc, le recensement général d</w:t>
      </w:r>
      <w:r w:rsidR="00CF1461">
        <w:rPr>
          <w:rFonts w:eastAsia="Times New Roman"/>
          <w:lang w:eastAsia="fr-FR"/>
        </w:rPr>
        <w:t>u</w:t>
      </w:r>
      <w:r w:rsidR="00CF1461" w:rsidRPr="00E26090">
        <w:rPr>
          <w:rFonts w:eastAsia="Times New Roman"/>
          <w:lang w:eastAsia="fr-FR"/>
        </w:rPr>
        <w:t xml:space="preserve"> </w:t>
      </w:r>
      <w:r w:rsidR="00CF1461" w:rsidRPr="00565DEA">
        <w:rPr>
          <w:rFonts w:eastAsia="Times New Roman"/>
          <w:lang w:eastAsia="fr-FR"/>
        </w:rPr>
        <w:t>25</w:t>
      </w:r>
      <w:r w:rsidR="00236952">
        <w:rPr>
          <w:rFonts w:eastAsia="Times New Roman"/>
          <w:lang w:eastAsia="fr-FR"/>
        </w:rPr>
        <w:t>/</w:t>
      </w:r>
      <w:r w:rsidR="00CF1461" w:rsidRPr="00565DEA">
        <w:rPr>
          <w:rFonts w:eastAsia="Times New Roman"/>
          <w:lang w:eastAsia="fr-FR"/>
        </w:rPr>
        <w:t>01</w:t>
      </w:r>
      <w:r w:rsidR="00236952">
        <w:rPr>
          <w:rFonts w:eastAsia="Times New Roman"/>
          <w:lang w:eastAsia="fr-FR"/>
        </w:rPr>
        <w:t>/</w:t>
      </w:r>
      <w:r w:rsidR="00CF1461" w:rsidRPr="00565DEA">
        <w:rPr>
          <w:rFonts w:eastAsia="Times New Roman"/>
          <w:lang w:eastAsia="fr-FR"/>
        </w:rPr>
        <w:t xml:space="preserve">2019 </w:t>
      </w:r>
      <w:r w:rsidR="00CF1461" w:rsidRPr="00E26090">
        <w:rPr>
          <w:rFonts w:eastAsia="Times New Roman"/>
          <w:lang w:eastAsia="fr-FR"/>
        </w:rPr>
        <w:t>a révél</w:t>
      </w:r>
      <w:r w:rsidR="00CF1461">
        <w:rPr>
          <w:rFonts w:eastAsia="Times New Roman"/>
          <w:lang w:eastAsia="fr-FR"/>
        </w:rPr>
        <w:t>é</w:t>
      </w:r>
      <w:r w:rsidR="00CF1461" w:rsidRPr="00E26090">
        <w:rPr>
          <w:rFonts w:eastAsia="Times New Roman"/>
          <w:lang w:eastAsia="fr-FR"/>
        </w:rPr>
        <w:t xml:space="preserve"> le chiffre de </w:t>
      </w:r>
      <w:r w:rsidR="00CF1461" w:rsidRPr="00565DEA">
        <w:rPr>
          <w:rFonts w:eastAsia="Times New Roman"/>
          <w:lang w:eastAsia="fr-FR"/>
        </w:rPr>
        <w:t>125</w:t>
      </w:r>
      <w:r w:rsidR="00236952">
        <w:rPr>
          <w:rFonts w:eastAsia="Times New Roman"/>
          <w:lang w:eastAsia="fr-FR"/>
        </w:rPr>
        <w:t> </w:t>
      </w:r>
      <w:r w:rsidR="00CF1461" w:rsidRPr="00565DEA">
        <w:rPr>
          <w:rFonts w:eastAsia="Times New Roman"/>
          <w:lang w:eastAsia="fr-FR"/>
        </w:rPr>
        <w:t xml:space="preserve">772 </w:t>
      </w:r>
      <w:r w:rsidR="00CF1461" w:rsidRPr="00E26090">
        <w:rPr>
          <w:rFonts w:eastAsia="Times New Roman"/>
          <w:lang w:eastAsia="fr-FR"/>
        </w:rPr>
        <w:t>ressortissants étrangers ; soit une proportion de 0,</w:t>
      </w:r>
      <w:r w:rsidR="00CF1461">
        <w:rPr>
          <w:rFonts w:eastAsia="Times New Roman"/>
          <w:lang w:eastAsia="fr-FR"/>
        </w:rPr>
        <w:t>35</w:t>
      </w:r>
      <w:r w:rsidR="00372939">
        <w:rPr>
          <w:rFonts w:eastAsia="Times New Roman"/>
          <w:lang w:eastAsia="fr-FR"/>
        </w:rPr>
        <w:t> %</w:t>
      </w:r>
      <w:r w:rsidR="00CF1461" w:rsidRPr="00E26090">
        <w:rPr>
          <w:rFonts w:eastAsia="Times New Roman"/>
          <w:lang w:eastAsia="fr-FR"/>
        </w:rPr>
        <w:t xml:space="preserve"> de l’ense</w:t>
      </w:r>
      <w:r w:rsidR="00112CDC">
        <w:rPr>
          <w:rFonts w:eastAsia="Times New Roman"/>
          <w:lang w:eastAsia="fr-FR"/>
        </w:rPr>
        <w:t>mble de la population marocaine</w:t>
      </w:r>
      <w:r w:rsidR="00CF1461" w:rsidRPr="003C06D3">
        <w:rPr>
          <w:rStyle w:val="Appelnotedebasdep"/>
        </w:rPr>
        <w:footnoteReference w:id="10"/>
      </w:r>
      <w:r w:rsidR="00112CDC">
        <w:rPr>
          <w:rFonts w:eastAsia="Times New Roman"/>
          <w:lang w:eastAsia="fr-FR"/>
        </w:rPr>
        <w:t>.</w:t>
      </w:r>
      <w:r w:rsidR="00CD5A97">
        <w:rPr>
          <w:rFonts w:eastAsia="Times New Roman"/>
          <w:lang w:eastAsia="fr-FR"/>
        </w:rPr>
        <w:t xml:space="preserve"> </w:t>
      </w:r>
    </w:p>
    <w:p w14:paraId="4A927EE9" w14:textId="073F55D8"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16.</w:t>
      </w:r>
      <w:r w:rsidRPr="00E26090">
        <w:rPr>
          <w:rFonts w:eastAsia="Times New Roman"/>
          <w:color w:val="000000" w:themeColor="text1"/>
          <w:lang w:eastAsia="fr-FR"/>
        </w:rPr>
        <w:tab/>
      </w:r>
      <w:r w:rsidR="005A71D7">
        <w:rPr>
          <w:rFonts w:eastAsia="Times New Roman"/>
          <w:lang w:eastAsia="fr-FR"/>
        </w:rPr>
        <w:t>À</w:t>
      </w:r>
      <w:r w:rsidR="00CF1461" w:rsidRPr="00E26090">
        <w:rPr>
          <w:rFonts w:eastAsia="Times New Roman"/>
          <w:lang w:eastAsia="fr-FR"/>
        </w:rPr>
        <w:t xml:space="preserve"> noter également qu’environ </w:t>
      </w:r>
      <w:r w:rsidR="00CF1461" w:rsidRPr="00EB45DF">
        <w:rPr>
          <w:rFonts w:eastAsia="Times New Roman"/>
          <w:lang w:eastAsia="fr-FR"/>
        </w:rPr>
        <w:t>26</w:t>
      </w:r>
      <w:r w:rsidR="00236952">
        <w:rPr>
          <w:rFonts w:eastAsia="Times New Roman"/>
          <w:lang w:eastAsia="fr-FR"/>
        </w:rPr>
        <w:t> </w:t>
      </w:r>
      <w:r w:rsidR="00CF1461" w:rsidRPr="00EB45DF">
        <w:rPr>
          <w:rFonts w:eastAsia="Times New Roman"/>
          <w:lang w:eastAsia="fr-FR"/>
        </w:rPr>
        <w:t xml:space="preserve">688 </w:t>
      </w:r>
      <w:r w:rsidR="00CF1461" w:rsidRPr="00E26090">
        <w:rPr>
          <w:rFonts w:eastAsia="Times New Roman"/>
          <w:lang w:eastAsia="fr-FR"/>
        </w:rPr>
        <w:t>migrants subsahariens réguliers et majoritairement étudiants résident au Maroc, à une durée moyenne de séj</w:t>
      </w:r>
      <w:r w:rsidR="00112CDC">
        <w:rPr>
          <w:rFonts w:eastAsia="Times New Roman"/>
          <w:lang w:eastAsia="fr-FR"/>
        </w:rPr>
        <w:t>our de 3 à 4 ans</w:t>
      </w:r>
      <w:r w:rsidR="00CF1461" w:rsidRPr="003C06D3">
        <w:rPr>
          <w:rStyle w:val="Appelnotedebasdep"/>
        </w:rPr>
        <w:footnoteReference w:id="11"/>
      </w:r>
      <w:r w:rsidR="00112CDC">
        <w:rPr>
          <w:rFonts w:eastAsia="Times New Roman"/>
          <w:lang w:eastAsia="fr-FR"/>
        </w:rPr>
        <w:t>.</w:t>
      </w:r>
      <w:r w:rsidR="00CF1461" w:rsidRPr="00E26090">
        <w:rPr>
          <w:rFonts w:eastAsia="Times New Roman"/>
          <w:lang w:eastAsia="fr-FR"/>
        </w:rPr>
        <w:t xml:space="preserve"> </w:t>
      </w:r>
    </w:p>
    <w:p w14:paraId="711B9DAA" w14:textId="4CD0F477" w:rsidR="00CF1461" w:rsidRPr="001E5566" w:rsidRDefault="004B5A1A" w:rsidP="004B5A1A">
      <w:pPr>
        <w:pStyle w:val="SingleTxtG"/>
        <w:tabs>
          <w:tab w:val="clear" w:pos="1701"/>
          <w:tab w:val="clear" w:pos="2268"/>
          <w:tab w:val="clear" w:pos="2835"/>
        </w:tabs>
        <w:rPr>
          <w:rFonts w:eastAsia="Times New Roman"/>
          <w:lang w:eastAsia="fr-FR"/>
        </w:rPr>
      </w:pPr>
      <w:r w:rsidRPr="001E5566">
        <w:rPr>
          <w:rFonts w:eastAsia="Times New Roman"/>
          <w:color w:val="000000" w:themeColor="text1"/>
          <w:lang w:eastAsia="fr-FR"/>
        </w:rPr>
        <w:t>17.</w:t>
      </w:r>
      <w:r w:rsidRPr="001E5566">
        <w:rPr>
          <w:rFonts w:eastAsia="Times New Roman"/>
          <w:color w:val="000000" w:themeColor="text1"/>
          <w:lang w:eastAsia="fr-FR"/>
        </w:rPr>
        <w:tab/>
      </w:r>
      <w:r w:rsidR="00CF1461" w:rsidRPr="001E5566">
        <w:rPr>
          <w:rFonts w:eastAsia="Times New Roman"/>
          <w:lang w:eastAsia="fr-FR"/>
        </w:rPr>
        <w:t>La Représentation du HCR au Maroc a enregistré jusqu’au 1</w:t>
      </w:r>
      <w:r w:rsidR="00CF1461" w:rsidRPr="00EF7EE2">
        <w:rPr>
          <w:rFonts w:eastAsia="Times New Roman"/>
          <w:lang w:eastAsia="fr-FR"/>
        </w:rPr>
        <w:t>er</w:t>
      </w:r>
      <w:r w:rsidR="00CF1461" w:rsidRPr="001E5566">
        <w:rPr>
          <w:rFonts w:eastAsia="Times New Roman"/>
          <w:lang w:eastAsia="fr-FR"/>
        </w:rPr>
        <w:t xml:space="preserve"> janvier 2019, 8</w:t>
      </w:r>
      <w:r w:rsidR="00236952">
        <w:rPr>
          <w:rFonts w:eastAsia="Times New Roman"/>
          <w:lang w:eastAsia="fr-FR"/>
        </w:rPr>
        <w:t> </w:t>
      </w:r>
      <w:r w:rsidR="00CF1461" w:rsidRPr="001E5566">
        <w:rPr>
          <w:rFonts w:eastAsia="Times New Roman"/>
          <w:lang w:eastAsia="fr-FR"/>
        </w:rPr>
        <w:t>994 réfugiés et demandeurs d’asile, dont 6</w:t>
      </w:r>
      <w:r w:rsidR="00236952">
        <w:rPr>
          <w:rFonts w:eastAsia="Times New Roman"/>
          <w:lang w:eastAsia="fr-FR"/>
        </w:rPr>
        <w:t> </w:t>
      </w:r>
      <w:r w:rsidR="00CF1461" w:rsidRPr="001E5566">
        <w:rPr>
          <w:rFonts w:eastAsia="Times New Roman"/>
          <w:lang w:eastAsia="fr-FR"/>
        </w:rPr>
        <w:t>489 réfugiés et 2</w:t>
      </w:r>
      <w:r w:rsidR="00236952">
        <w:rPr>
          <w:rFonts w:eastAsia="Times New Roman"/>
          <w:lang w:eastAsia="fr-FR"/>
        </w:rPr>
        <w:t> </w:t>
      </w:r>
      <w:r w:rsidR="00CF1461" w:rsidRPr="001E5566">
        <w:rPr>
          <w:rFonts w:eastAsia="Times New Roman"/>
          <w:lang w:eastAsia="fr-FR"/>
        </w:rPr>
        <w:t>505 demandeurs d’asile. Résidant dans 49 villes du Royaume, cette population de réfugiés est composée de 3</w:t>
      </w:r>
      <w:r w:rsidR="00236952">
        <w:rPr>
          <w:rFonts w:eastAsia="Times New Roman"/>
          <w:lang w:eastAsia="fr-FR"/>
        </w:rPr>
        <w:t> </w:t>
      </w:r>
      <w:r w:rsidR="00CF1461" w:rsidRPr="001E5566">
        <w:rPr>
          <w:rFonts w:eastAsia="Times New Roman"/>
          <w:lang w:eastAsia="fr-FR"/>
        </w:rPr>
        <w:t>695 Syriens, 637 Ivoiriens, 868 Yéménites, 736 Camerounais, 306 Congolais (RD), 570 Guinéens et 2</w:t>
      </w:r>
      <w:r w:rsidR="00236952">
        <w:rPr>
          <w:rFonts w:eastAsia="Times New Roman"/>
          <w:lang w:eastAsia="fr-FR"/>
        </w:rPr>
        <w:t> </w:t>
      </w:r>
      <w:r w:rsidR="00CF1461" w:rsidRPr="001E5566">
        <w:rPr>
          <w:rFonts w:eastAsia="Times New Roman"/>
          <w:lang w:eastAsia="fr-FR"/>
        </w:rPr>
        <w:t>182 sont issus d’autres pays. Et afin de faciliter l’insertion socio-professionnelle des réfugiés au Maroc, le HCR a soutenu la création de 81 micro-entreprises en 2017, tandis qu’en 2018, 80</w:t>
      </w:r>
      <w:r w:rsidR="00236952">
        <w:rPr>
          <w:rFonts w:eastAsia="Times New Roman"/>
          <w:lang w:eastAsia="fr-FR"/>
        </w:rPr>
        <w:t> </w:t>
      </w:r>
      <w:r w:rsidR="00CF1461" w:rsidRPr="001E5566">
        <w:rPr>
          <w:rFonts w:eastAsia="Times New Roman"/>
          <w:lang w:eastAsia="fr-FR"/>
        </w:rPr>
        <w:t xml:space="preserve">nouveaux micro-projets ont été </w:t>
      </w:r>
      <w:r w:rsidR="00112CDC">
        <w:rPr>
          <w:rFonts w:eastAsia="Times New Roman"/>
          <w:lang w:eastAsia="fr-FR"/>
        </w:rPr>
        <w:t>créés au profit de 120 réfugiés</w:t>
      </w:r>
      <w:r w:rsidR="00CF1461" w:rsidRPr="003C06D3">
        <w:rPr>
          <w:rStyle w:val="Appelnotedebasdep"/>
        </w:rPr>
        <w:footnoteReference w:id="12"/>
      </w:r>
      <w:r w:rsidR="00112CDC">
        <w:rPr>
          <w:rFonts w:eastAsia="Times New Roman"/>
          <w:lang w:eastAsia="fr-FR"/>
        </w:rPr>
        <w:t>.</w:t>
      </w:r>
    </w:p>
    <w:p w14:paraId="4B7C679C" w14:textId="65D4D8F7" w:rsidR="00CF1461" w:rsidRPr="00A5588D" w:rsidRDefault="00EF7EE2" w:rsidP="00A5588D">
      <w:pPr>
        <w:pStyle w:val="HChG"/>
      </w:pPr>
      <w:r>
        <w:rPr>
          <w:lang w:eastAsia="fr-FR"/>
        </w:rPr>
        <w:tab/>
      </w:r>
      <w:r w:rsidR="00CF1461" w:rsidRPr="00F72308">
        <w:rPr>
          <w:lang w:eastAsia="fr-FR"/>
        </w:rPr>
        <w:t>II</w:t>
      </w:r>
      <w:r w:rsidR="002C4DF2">
        <w:rPr>
          <w:lang w:eastAsia="fr-FR"/>
        </w:rPr>
        <w:t>.</w:t>
      </w:r>
      <w:r w:rsidR="00CF1461" w:rsidRPr="00E26090">
        <w:rPr>
          <w:lang w:eastAsia="fr-FR"/>
        </w:rPr>
        <w:tab/>
      </w:r>
      <w:r w:rsidR="00CF1461" w:rsidRPr="00F72308">
        <w:rPr>
          <w:lang w:eastAsia="fr-FR"/>
        </w:rPr>
        <w:t>Evolution de la situation depuis l’examen du dix-septième et</w:t>
      </w:r>
      <w:r w:rsidR="00236952">
        <w:rPr>
          <w:lang w:eastAsia="fr-FR"/>
        </w:rPr>
        <w:t> </w:t>
      </w:r>
      <w:r w:rsidR="00CF1461" w:rsidRPr="00F72308">
        <w:rPr>
          <w:lang w:eastAsia="fr-FR"/>
        </w:rPr>
        <w:t>dix-huitième rapport</w:t>
      </w:r>
    </w:p>
    <w:p w14:paraId="7E9FB864" w14:textId="31946DD9" w:rsidR="00CF1461" w:rsidRPr="00A5588D" w:rsidRDefault="00EF7EE2" w:rsidP="00A5588D">
      <w:pPr>
        <w:pStyle w:val="H1G"/>
      </w:pPr>
      <w:r>
        <w:tab/>
      </w:r>
      <w:r w:rsidR="00112CDC">
        <w:t>A</w:t>
      </w:r>
      <w:r>
        <w:t>.</w:t>
      </w:r>
      <w:r>
        <w:tab/>
      </w:r>
      <w:r w:rsidR="00CF1461" w:rsidRPr="00E26090">
        <w:t>Renforcement du cadre constitutionnel, législatif et institutionnel consacrant les droits de l’Homme, l’</w:t>
      </w:r>
      <w:r w:rsidR="00BD28D2">
        <w:t>État</w:t>
      </w:r>
      <w:r w:rsidR="00CF1461" w:rsidRPr="00E26090">
        <w:t xml:space="preserve"> de droit et l’élimination </w:t>
      </w:r>
      <w:r w:rsidR="00236952">
        <w:br/>
      </w:r>
      <w:r w:rsidR="00CF1461" w:rsidRPr="00E26090">
        <w:t>de la discrimination raciale</w:t>
      </w:r>
    </w:p>
    <w:p w14:paraId="5071C3AC" w14:textId="2646E9D0" w:rsidR="00CF1461" w:rsidRPr="00A5588D" w:rsidRDefault="00EF7EE2" w:rsidP="00A5588D">
      <w:pPr>
        <w:pStyle w:val="H23G"/>
      </w:pPr>
      <w:r>
        <w:tab/>
      </w:r>
      <w:r>
        <w:tab/>
      </w:r>
      <w:r w:rsidR="00CF1461" w:rsidRPr="00E26090">
        <w:t>Cadre constitutionnel</w:t>
      </w:r>
    </w:p>
    <w:p w14:paraId="376C7454" w14:textId="4035036B"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18.</w:t>
      </w:r>
      <w:r w:rsidRPr="00E26090">
        <w:rPr>
          <w:rFonts w:eastAsia="Times New Roman"/>
          <w:color w:val="000000" w:themeColor="text1"/>
          <w:lang w:eastAsia="fr-FR"/>
        </w:rPr>
        <w:tab/>
      </w:r>
      <w:r w:rsidR="00CF1461" w:rsidRPr="00E26090">
        <w:rPr>
          <w:rFonts w:eastAsia="Times New Roman"/>
          <w:lang w:eastAsia="fr-FR"/>
        </w:rPr>
        <w:t xml:space="preserve">La </w:t>
      </w:r>
      <w:r w:rsidR="00CF1461" w:rsidRPr="00AC555A">
        <w:rPr>
          <w:rFonts w:eastAsia="Times New Roman"/>
          <w:lang w:eastAsia="fr-FR"/>
        </w:rPr>
        <w:t>Constitution</w:t>
      </w:r>
      <w:r w:rsidR="00CF1461" w:rsidRPr="00E26090">
        <w:rPr>
          <w:rFonts w:eastAsia="Times New Roman"/>
          <w:lang w:eastAsia="fr-FR"/>
        </w:rPr>
        <w:t xml:space="preserve"> de 2011 a apporté plusieurs innovati</w:t>
      </w:r>
      <w:r w:rsidR="00CF1461">
        <w:rPr>
          <w:rFonts w:eastAsia="Times New Roman"/>
          <w:lang w:eastAsia="fr-FR"/>
        </w:rPr>
        <w:t>ons importantes</w:t>
      </w:r>
      <w:r w:rsidR="00236952">
        <w:rPr>
          <w:rFonts w:eastAsia="Times New Roman"/>
          <w:lang w:eastAsia="fr-FR"/>
        </w:rPr>
        <w:t> </w:t>
      </w:r>
      <w:r w:rsidR="00CF1461" w:rsidRPr="00E26090">
        <w:rPr>
          <w:rFonts w:eastAsia="Times New Roman"/>
          <w:lang w:eastAsia="fr-FR"/>
        </w:rPr>
        <w:t>:</w:t>
      </w:r>
      <w:r w:rsidR="00CD5A97">
        <w:rPr>
          <w:rFonts w:eastAsia="Times New Roman"/>
          <w:lang w:eastAsia="fr-FR"/>
        </w:rPr>
        <w:t xml:space="preserve"> </w:t>
      </w:r>
    </w:p>
    <w:p w14:paraId="56B781FF" w14:textId="77777777" w:rsidR="00CF1461" w:rsidRPr="00A33E0F" w:rsidRDefault="009354AA" w:rsidP="00013F70">
      <w:pPr>
        <w:pStyle w:val="H4G"/>
        <w:rPr>
          <w:rFonts w:eastAsia="Times New Roman"/>
          <w:sz w:val="2"/>
          <w:szCs w:val="2"/>
        </w:rPr>
      </w:pPr>
      <w:r>
        <w:tab/>
      </w:r>
      <w:r w:rsidR="00112CDC">
        <w:t>1.</w:t>
      </w:r>
      <w:r w:rsidR="00CF1461" w:rsidRPr="00E26090">
        <w:tab/>
        <w:t>L’affirmation de l’identité pl</w:t>
      </w:r>
      <w:r>
        <w:t>urielle et unifiée de la nation</w:t>
      </w:r>
    </w:p>
    <w:p w14:paraId="5902F86A" w14:textId="1DCC430D"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19.</w:t>
      </w:r>
      <w:r>
        <w:rPr>
          <w:rFonts w:eastAsia="Times New Roman"/>
          <w:color w:val="000000" w:themeColor="text1"/>
          <w:lang w:eastAsia="fr-FR"/>
        </w:rPr>
        <w:tab/>
      </w:r>
      <w:r w:rsidR="00CF1461" w:rsidRPr="00E26090">
        <w:rPr>
          <w:rFonts w:eastAsia="Times New Roman"/>
          <w:lang w:eastAsia="fr-FR"/>
        </w:rPr>
        <w:t xml:space="preserve">Est </w:t>
      </w:r>
      <w:r w:rsidR="00CF1461" w:rsidRPr="00AC555A">
        <w:rPr>
          <w:rFonts w:eastAsia="Times New Roman"/>
          <w:lang w:eastAsia="fr-FR"/>
        </w:rPr>
        <w:t>mentionné</w:t>
      </w:r>
      <w:r w:rsidR="00CF1461" w:rsidRPr="00E26090">
        <w:rPr>
          <w:rFonts w:eastAsia="Times New Roman"/>
          <w:lang w:eastAsia="fr-FR"/>
        </w:rPr>
        <w:t xml:space="preserve"> au Préambule :</w:t>
      </w:r>
      <w:r w:rsidR="00112CDC" w:rsidRPr="00E26090">
        <w:rPr>
          <w:rFonts w:eastAsia="Times New Roman"/>
          <w:lang w:eastAsia="fr-FR"/>
        </w:rPr>
        <w:t xml:space="preserve"> «</w:t>
      </w:r>
      <w:r w:rsidR="00236952">
        <w:rPr>
          <w:rFonts w:eastAsia="Times New Roman"/>
          <w:lang w:eastAsia="fr-FR"/>
        </w:rPr>
        <w:t> </w:t>
      </w:r>
      <w:r w:rsidR="00112CDC" w:rsidRPr="00E26090">
        <w:rPr>
          <w:rFonts w:eastAsia="Times New Roman"/>
          <w:lang w:eastAsia="fr-FR"/>
        </w:rPr>
        <w:t>État</w:t>
      </w:r>
      <w:r w:rsidR="00CF1461" w:rsidRPr="00E26090">
        <w:rPr>
          <w:rFonts w:eastAsia="Times New Roman"/>
          <w:lang w:eastAsia="fr-FR"/>
        </w:rPr>
        <w:t xml:space="preserve"> musulman souverain, attaché à son unité nationale et à son intégrité territoriale, le Royaume du Maroc entend préserver, dans sa </w:t>
      </w:r>
      <w:r w:rsidR="00CF1461" w:rsidRPr="00E26090">
        <w:rPr>
          <w:rFonts w:eastAsia="Times New Roman"/>
          <w:lang w:eastAsia="fr-FR"/>
        </w:rPr>
        <w:lastRenderedPageBreak/>
        <w:t xml:space="preserve">plénitude et sa diversité, son identité nationale une et indivisible. Son unité, forgée par la convergence de ses composantes arabo-islamique, amazighe et saharo-hassani, s’est nourrie et enrichie de ses affluents africain, andalou, hébraïque et </w:t>
      </w:r>
      <w:r w:rsidR="005601DF" w:rsidRPr="00E26090">
        <w:rPr>
          <w:rFonts w:eastAsia="Times New Roman"/>
          <w:lang w:eastAsia="fr-FR"/>
        </w:rPr>
        <w:t>méditerranéen</w:t>
      </w:r>
      <w:r w:rsidR="00236952">
        <w:rPr>
          <w:rFonts w:eastAsia="Times New Roman"/>
          <w:lang w:eastAsia="fr-FR"/>
        </w:rPr>
        <w:t> </w:t>
      </w:r>
      <w:r w:rsidR="005601DF" w:rsidRPr="00E26090">
        <w:rPr>
          <w:rFonts w:eastAsia="Times New Roman"/>
          <w:lang w:eastAsia="fr-FR"/>
        </w:rPr>
        <w:t>»</w:t>
      </w:r>
      <w:r w:rsidR="00CF1461" w:rsidRPr="00E26090">
        <w:rPr>
          <w:rFonts w:eastAsia="Times New Roman"/>
          <w:lang w:eastAsia="fr-FR"/>
        </w:rPr>
        <w:t>.</w:t>
      </w:r>
    </w:p>
    <w:p w14:paraId="6200E01C" w14:textId="650C23F4" w:rsidR="00CF1461" w:rsidRPr="00DE62B2" w:rsidRDefault="004B5A1A" w:rsidP="004B5A1A">
      <w:pPr>
        <w:pStyle w:val="SingleTxtG"/>
        <w:tabs>
          <w:tab w:val="clear" w:pos="1701"/>
          <w:tab w:val="clear" w:pos="2268"/>
          <w:tab w:val="clear" w:pos="2835"/>
        </w:tabs>
        <w:rPr>
          <w:rFonts w:eastAsia="Times New Roman"/>
          <w:lang w:eastAsia="fr-FR"/>
        </w:rPr>
      </w:pPr>
      <w:r w:rsidRPr="00DE62B2">
        <w:rPr>
          <w:rFonts w:eastAsia="Times New Roman"/>
          <w:color w:val="000000" w:themeColor="text1"/>
          <w:lang w:eastAsia="fr-FR"/>
        </w:rPr>
        <w:t>20.</w:t>
      </w:r>
      <w:r w:rsidRPr="00DE62B2">
        <w:rPr>
          <w:rFonts w:eastAsia="Times New Roman"/>
          <w:color w:val="000000" w:themeColor="text1"/>
          <w:lang w:eastAsia="fr-FR"/>
        </w:rPr>
        <w:tab/>
      </w:r>
      <w:r w:rsidR="00CF1461" w:rsidRPr="00DE62B2">
        <w:rPr>
          <w:rFonts w:eastAsia="Times New Roman"/>
          <w:lang w:eastAsia="fr-FR"/>
        </w:rPr>
        <w:t xml:space="preserve">La langue amazighe </w:t>
      </w:r>
      <w:r w:rsidR="00CF1461">
        <w:rPr>
          <w:rFonts w:eastAsia="Times New Roman"/>
          <w:lang w:eastAsia="fr-FR"/>
        </w:rPr>
        <w:t xml:space="preserve">est devenue </w:t>
      </w:r>
      <w:r w:rsidR="00CF1461" w:rsidRPr="00DE62B2">
        <w:rPr>
          <w:rFonts w:eastAsia="Times New Roman"/>
          <w:lang w:eastAsia="fr-FR"/>
        </w:rPr>
        <w:t>langue officielle du Royaume (art</w:t>
      </w:r>
      <w:r w:rsidR="00CF1461">
        <w:rPr>
          <w:rFonts w:eastAsia="Times New Roman"/>
          <w:lang w:eastAsia="fr-FR"/>
        </w:rPr>
        <w:t>.</w:t>
      </w:r>
      <w:r w:rsidR="00236952">
        <w:rPr>
          <w:rFonts w:eastAsia="Times New Roman"/>
          <w:lang w:eastAsia="fr-FR"/>
        </w:rPr>
        <w:t> </w:t>
      </w:r>
      <w:r w:rsidR="00CF1461" w:rsidRPr="00DE62B2">
        <w:rPr>
          <w:rFonts w:eastAsia="Times New Roman"/>
          <w:lang w:eastAsia="fr-FR"/>
        </w:rPr>
        <w:t>5).</w:t>
      </w:r>
    </w:p>
    <w:p w14:paraId="56A277B3" w14:textId="410B2EB8"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21.</w:t>
      </w:r>
      <w:r w:rsidRPr="00E26090">
        <w:rPr>
          <w:rFonts w:eastAsia="Times New Roman"/>
          <w:color w:val="000000" w:themeColor="text1"/>
          <w:lang w:eastAsia="fr-FR"/>
        </w:rPr>
        <w:tab/>
      </w:r>
      <w:r w:rsidR="00CF1461" w:rsidRPr="00E26090">
        <w:rPr>
          <w:rFonts w:eastAsia="Times New Roman"/>
          <w:lang w:eastAsia="fr-FR"/>
        </w:rPr>
        <w:t>Des institutions dépendant de l’autorité publique pour promouvoir la diversité culturelle notamment le Centre des Etudes et Recherches Hassani, le Centre des Etudes Sahariennes, et le Centre des Etudes et des Recherches Andalouses ont été créés.</w:t>
      </w:r>
    </w:p>
    <w:p w14:paraId="31D6EC97" w14:textId="77777777" w:rsidR="00CF1461" w:rsidRPr="00E26090" w:rsidRDefault="009354AA" w:rsidP="00013F70">
      <w:pPr>
        <w:pStyle w:val="H4G"/>
      </w:pPr>
      <w:r>
        <w:tab/>
      </w:r>
      <w:r w:rsidR="00112CDC">
        <w:t>2.</w:t>
      </w:r>
      <w:r w:rsidR="00CF1461" w:rsidRPr="00E26090">
        <w:tab/>
        <w:t>La légalité renforcée</w:t>
      </w:r>
    </w:p>
    <w:p w14:paraId="1D3F192D" w14:textId="47130DF4"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22.</w:t>
      </w:r>
      <w:r w:rsidRPr="00E26090">
        <w:rPr>
          <w:rFonts w:eastAsia="Times New Roman"/>
          <w:color w:val="000000" w:themeColor="text1"/>
          <w:lang w:eastAsia="fr-FR"/>
        </w:rPr>
        <w:tab/>
      </w:r>
      <w:r w:rsidR="00CF1461" w:rsidRPr="00E26090">
        <w:rPr>
          <w:rFonts w:eastAsia="Times New Roman"/>
          <w:lang w:eastAsia="fr-FR"/>
        </w:rPr>
        <w:t>Possibilité pour tout justiciable de contester la constitutionnalité de la loi (art</w:t>
      </w:r>
      <w:r w:rsidR="00236952">
        <w:rPr>
          <w:rFonts w:eastAsia="Times New Roman"/>
          <w:lang w:eastAsia="fr-FR"/>
        </w:rPr>
        <w:t>. </w:t>
      </w:r>
      <w:r w:rsidR="00CF1461" w:rsidRPr="00E26090">
        <w:rPr>
          <w:rFonts w:eastAsia="Times New Roman"/>
          <w:lang w:eastAsia="fr-FR"/>
        </w:rPr>
        <w:t>133).</w:t>
      </w:r>
    </w:p>
    <w:p w14:paraId="18B58F4B" w14:textId="1BF3358D" w:rsidR="00CF1461" w:rsidRPr="00E26090" w:rsidRDefault="009354AA" w:rsidP="00013F70">
      <w:pPr>
        <w:pStyle w:val="H4G"/>
      </w:pPr>
      <w:r>
        <w:tab/>
      </w:r>
      <w:r w:rsidR="00112CDC">
        <w:t>3.</w:t>
      </w:r>
      <w:r w:rsidR="00CF1461" w:rsidRPr="00E26090">
        <w:tab/>
        <w:t xml:space="preserve">Les </w:t>
      </w:r>
      <w:r w:rsidR="00236952">
        <w:t>d</w:t>
      </w:r>
      <w:r w:rsidR="00CF1461" w:rsidRPr="00E26090">
        <w:t>roits de l’Homme raffermis</w:t>
      </w:r>
    </w:p>
    <w:p w14:paraId="0846EFB7" w14:textId="44D8AA88"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23.</w:t>
      </w:r>
      <w:r w:rsidRPr="00E26090">
        <w:rPr>
          <w:rFonts w:eastAsia="Times New Roman"/>
          <w:color w:val="000000" w:themeColor="text1"/>
          <w:lang w:eastAsia="fr-FR"/>
        </w:rPr>
        <w:tab/>
      </w:r>
      <w:r w:rsidR="00CF1461" w:rsidRPr="00E26090">
        <w:rPr>
          <w:rFonts w:eastAsia="Times New Roman"/>
          <w:lang w:eastAsia="fr-FR"/>
        </w:rPr>
        <w:t>Le Maroc réitère son attachement aux valeurs universelles : «</w:t>
      </w:r>
      <w:r w:rsidR="00236952">
        <w:rPr>
          <w:rFonts w:eastAsia="Times New Roman"/>
          <w:lang w:eastAsia="fr-FR"/>
        </w:rPr>
        <w:t> </w:t>
      </w:r>
      <w:r w:rsidR="00CF1461" w:rsidRPr="00E26090">
        <w:rPr>
          <w:rFonts w:eastAsia="Times New Roman"/>
          <w:lang w:eastAsia="fr-FR"/>
        </w:rPr>
        <w:t>(…) il réaffirme son attachement aux droits de l’Homme tels qu’ils sont universellement reconnus, ainsi que sa volonté de continuer à œuvrer pour préserver la paix et la sécurité dans le monde</w:t>
      </w:r>
      <w:r w:rsidR="00236952">
        <w:rPr>
          <w:rFonts w:eastAsia="Times New Roman"/>
          <w:lang w:eastAsia="fr-FR"/>
        </w:rPr>
        <w:t> </w:t>
      </w:r>
      <w:r w:rsidR="00CF1461" w:rsidRPr="00E26090">
        <w:rPr>
          <w:rFonts w:eastAsia="Times New Roman"/>
          <w:lang w:eastAsia="fr-FR"/>
        </w:rPr>
        <w:t>». (Préambule).</w:t>
      </w:r>
    </w:p>
    <w:p w14:paraId="2466ED30" w14:textId="5C2CFC52"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24.</w:t>
      </w:r>
      <w:r w:rsidRPr="00E26090">
        <w:rPr>
          <w:rFonts w:eastAsia="Times New Roman"/>
          <w:color w:val="000000" w:themeColor="text1"/>
          <w:lang w:eastAsia="fr-FR"/>
        </w:rPr>
        <w:tab/>
      </w:r>
      <w:r w:rsidR="00CF1461" w:rsidRPr="00E26090">
        <w:rPr>
          <w:rFonts w:eastAsia="Times New Roman"/>
          <w:lang w:eastAsia="fr-FR"/>
        </w:rPr>
        <w:t>La Constitution consacre les dispositions suivantes :</w:t>
      </w:r>
    </w:p>
    <w:p w14:paraId="1BA61CA3" w14:textId="6257C4FD" w:rsidR="00CF1461" w:rsidRPr="00E26090" w:rsidRDefault="004B5A1A" w:rsidP="004B5A1A">
      <w:pPr>
        <w:pStyle w:val="Bullet1G"/>
        <w:numPr>
          <w:ilvl w:val="0"/>
          <w:numId w:val="0"/>
        </w:numPr>
        <w:tabs>
          <w:tab w:val="left" w:pos="1701"/>
        </w:tabs>
        <w:ind w:left="1701" w:hanging="170"/>
      </w:pPr>
      <w:r w:rsidRPr="00E26090">
        <w:t>•</w:t>
      </w:r>
      <w:r w:rsidRPr="00E26090">
        <w:tab/>
      </w:r>
      <w:r w:rsidR="00CF1461" w:rsidRPr="00514287">
        <w:rPr>
          <w:rFonts w:asciiTheme="majorBidi" w:hAnsiTheme="majorBidi" w:cstheme="majorBidi"/>
        </w:rPr>
        <w:t>Interdiction</w:t>
      </w:r>
      <w:r w:rsidR="00CF1461" w:rsidRPr="00E26090">
        <w:t xml:space="preserve"> de toute discrimination à l’encontre de quiconque, en raison du sexe, de la couleur, des croyances, de la culture, de l’origine sociale ou régionale, de la langue, du handicap ou de quelque circonstance personnelle que ce soit ;</w:t>
      </w:r>
    </w:p>
    <w:p w14:paraId="4EA556A8" w14:textId="155769F2" w:rsidR="00CF1461" w:rsidRPr="00E26090" w:rsidRDefault="004B5A1A" w:rsidP="004B5A1A">
      <w:pPr>
        <w:pStyle w:val="Bullet1G"/>
        <w:numPr>
          <w:ilvl w:val="0"/>
          <w:numId w:val="0"/>
        </w:numPr>
        <w:tabs>
          <w:tab w:val="left" w:pos="1701"/>
        </w:tabs>
        <w:ind w:left="1701" w:hanging="170"/>
      </w:pPr>
      <w:r w:rsidRPr="00E26090">
        <w:t>•</w:t>
      </w:r>
      <w:r w:rsidRPr="00E26090">
        <w:tab/>
      </w:r>
      <w:r w:rsidR="00CF1461" w:rsidRPr="00514287">
        <w:rPr>
          <w:rFonts w:asciiTheme="majorBidi" w:hAnsiTheme="majorBidi" w:cstheme="majorBidi"/>
        </w:rPr>
        <w:t>Primauté</w:t>
      </w:r>
      <w:r w:rsidR="00CF1461" w:rsidRPr="00E26090">
        <w:t xml:space="preserve"> des conventions internationales dûment ratifiées par le Royaume sur le droit interne (Préambule)</w:t>
      </w:r>
      <w:r w:rsidR="00374337">
        <w:t> </w:t>
      </w:r>
      <w:r w:rsidR="00CF1461" w:rsidRPr="00E26090">
        <w:t>;</w:t>
      </w:r>
    </w:p>
    <w:p w14:paraId="37FA42C6" w14:textId="30AEF500" w:rsidR="00CF1461" w:rsidRPr="00E26090" w:rsidRDefault="004B5A1A" w:rsidP="004B5A1A">
      <w:pPr>
        <w:pStyle w:val="Bullet1G"/>
        <w:numPr>
          <w:ilvl w:val="0"/>
          <w:numId w:val="0"/>
        </w:numPr>
        <w:tabs>
          <w:tab w:val="left" w:pos="1701"/>
        </w:tabs>
        <w:ind w:left="1701" w:hanging="170"/>
      </w:pPr>
      <w:r w:rsidRPr="00E26090">
        <w:t>•</w:t>
      </w:r>
      <w:r w:rsidRPr="00E26090">
        <w:tab/>
      </w:r>
      <w:r w:rsidR="00CF1461" w:rsidRPr="00514287">
        <w:rPr>
          <w:rFonts w:asciiTheme="majorBidi" w:hAnsiTheme="majorBidi" w:cstheme="majorBidi"/>
        </w:rPr>
        <w:t>Affirmation</w:t>
      </w:r>
      <w:r w:rsidR="00CF1461" w:rsidRPr="00E26090">
        <w:t xml:space="preserve"> des droits et des libertés suivants</w:t>
      </w:r>
      <w:r w:rsidR="00CF1461">
        <w:t xml:space="preserve"> </w:t>
      </w:r>
      <w:r w:rsidR="00CF1461" w:rsidRPr="00E26090">
        <w:t>: droit à la vie</w:t>
      </w:r>
      <w:r w:rsidR="00CF1461">
        <w:t xml:space="preserve"> </w:t>
      </w:r>
      <w:r w:rsidR="00CF1461" w:rsidRPr="00E26090">
        <w:t>; droit à la sécurité des personnes et des biens</w:t>
      </w:r>
      <w:r w:rsidR="00CF1461">
        <w:t xml:space="preserve"> </w:t>
      </w:r>
      <w:r w:rsidR="00CF1461" w:rsidRPr="00E26090">
        <w:t>; prohibition de la torture et de toutes les violations graves et systématiques des droits de l’Homme</w:t>
      </w:r>
      <w:r w:rsidR="00236952">
        <w:t> </w:t>
      </w:r>
      <w:r w:rsidR="00CF1461" w:rsidRPr="00E26090">
        <w:t>; présomption d’innocence et droit à un procès équitable</w:t>
      </w:r>
      <w:r w:rsidR="00F26D77">
        <w:t> </w:t>
      </w:r>
      <w:r w:rsidR="00CF1461" w:rsidRPr="00E26090">
        <w:t>; garantie des droits fondamentaux en matière de détention et de garde à vue</w:t>
      </w:r>
      <w:r w:rsidR="00236952">
        <w:t> </w:t>
      </w:r>
      <w:r w:rsidR="00CF1461" w:rsidRPr="00E26090">
        <w:t>; protection de la vie privée et des communications sous toutes leurs formes</w:t>
      </w:r>
      <w:r w:rsidR="00CF1461">
        <w:t xml:space="preserve"> </w:t>
      </w:r>
      <w:r w:rsidR="00CF1461" w:rsidRPr="00E26090">
        <w:t>; libertés de pensée, d’opinion et d</w:t>
      </w:r>
      <w:r w:rsidR="00CD5A97">
        <w:t>’</w:t>
      </w:r>
      <w:r w:rsidR="00CF1461" w:rsidRPr="00E26090">
        <w:t>expression</w:t>
      </w:r>
      <w:r w:rsidR="00CF1461">
        <w:t xml:space="preserve"> </w:t>
      </w:r>
      <w:r w:rsidR="00CF1461" w:rsidRPr="00E26090">
        <w:t>; liberté de la presse et droit d’accès à l’information</w:t>
      </w:r>
      <w:r w:rsidR="00CF1461">
        <w:t xml:space="preserve"> </w:t>
      </w:r>
      <w:r w:rsidR="00CF1461" w:rsidRPr="00E26090">
        <w:t>; libertés de réunion, de rassemblement, de manifestation pacifique, d</w:t>
      </w:r>
      <w:r w:rsidR="00CD5A97">
        <w:t>’</w:t>
      </w:r>
      <w:r w:rsidR="00CF1461" w:rsidRPr="00E26090">
        <w:t>association et d’appartenance syndicale et politique</w:t>
      </w:r>
      <w:r w:rsidR="00CF1461">
        <w:t xml:space="preserve"> </w:t>
      </w:r>
      <w:r w:rsidR="00CF1461" w:rsidRPr="00E26090">
        <w:t xml:space="preserve">; </w:t>
      </w:r>
    </w:p>
    <w:p w14:paraId="16E0744F" w14:textId="42F9CB7B" w:rsidR="00CF1461" w:rsidRPr="0089425B" w:rsidRDefault="004B5A1A" w:rsidP="004B5A1A">
      <w:pPr>
        <w:pStyle w:val="Bullet1G"/>
        <w:numPr>
          <w:ilvl w:val="0"/>
          <w:numId w:val="0"/>
        </w:numPr>
        <w:tabs>
          <w:tab w:val="left" w:pos="1701"/>
        </w:tabs>
        <w:ind w:left="1701" w:hanging="170"/>
      </w:pPr>
      <w:r w:rsidRPr="0089425B">
        <w:t>•</w:t>
      </w:r>
      <w:r w:rsidRPr="0089425B">
        <w:tab/>
      </w:r>
      <w:r w:rsidR="00CF1461" w:rsidRPr="00514287">
        <w:rPr>
          <w:rFonts w:asciiTheme="majorBidi" w:hAnsiTheme="majorBidi" w:cstheme="majorBidi"/>
        </w:rPr>
        <w:t>Elargissement</w:t>
      </w:r>
      <w:r w:rsidR="00CF1461" w:rsidRPr="00E26090">
        <w:t xml:space="preserve"> des droits économiques, sociaux, culturels et environnementaux : droit d’accès à l’eau, à un environnement sain et au développement durable</w:t>
      </w:r>
      <w:r w:rsidR="00F26D77">
        <w:t> </w:t>
      </w:r>
      <w:r w:rsidR="00CF1461" w:rsidRPr="00CF4A99">
        <w:t>;</w:t>
      </w:r>
      <w:r w:rsidR="00CF1461" w:rsidRPr="00875581">
        <w:rPr>
          <w:color w:val="C00000"/>
        </w:rPr>
        <w:t xml:space="preserve"> </w:t>
      </w:r>
    </w:p>
    <w:p w14:paraId="3BDAAE07" w14:textId="2B71A62D" w:rsidR="00CF1461" w:rsidRPr="00E26090" w:rsidRDefault="004B5A1A" w:rsidP="004B5A1A">
      <w:pPr>
        <w:pStyle w:val="Bullet1G"/>
        <w:numPr>
          <w:ilvl w:val="0"/>
          <w:numId w:val="0"/>
        </w:numPr>
        <w:tabs>
          <w:tab w:val="left" w:pos="1701"/>
        </w:tabs>
        <w:ind w:left="1701" w:hanging="170"/>
      </w:pPr>
      <w:r w:rsidRPr="00E26090">
        <w:t>•</w:t>
      </w:r>
      <w:r w:rsidRPr="00E26090">
        <w:tab/>
      </w:r>
      <w:r w:rsidR="00CF1461">
        <w:t>L’</w:t>
      </w:r>
      <w:r w:rsidR="00CF1461" w:rsidRPr="00E26090">
        <w:t>article 30</w:t>
      </w:r>
      <w:r w:rsidR="00CF1461">
        <w:t xml:space="preserve"> de</w:t>
      </w:r>
      <w:r w:rsidR="00CF1461" w:rsidRPr="00E26090">
        <w:t xml:space="preserve"> la Constitution consacre la jouissance par les étrangers des libertés fondamentales reconnues aux citoyennes et citoyens marocains, conformément à la loi. Ceux d’entre eux qui résident au Maroc peuvent participer aux élections locales en vertu de la loi, de l’application de conventions internationales ou de pratiques de réciprocité. Les conditions d’extradition et d’octroi du droit d’asile sont définies par la loi.</w:t>
      </w:r>
    </w:p>
    <w:p w14:paraId="4F530647" w14:textId="7417EB65" w:rsidR="00CF1461" w:rsidRPr="00E26090" w:rsidRDefault="004B5A1A" w:rsidP="001D6B10">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25.</w:t>
      </w:r>
      <w:r w:rsidRPr="00E26090">
        <w:rPr>
          <w:rFonts w:eastAsia="Times New Roman"/>
          <w:color w:val="000000" w:themeColor="text1"/>
          <w:lang w:eastAsia="fr-FR"/>
        </w:rPr>
        <w:tab/>
      </w:r>
      <w:r w:rsidR="00236952">
        <w:rPr>
          <w:rFonts w:eastAsia="Times New Roman"/>
          <w:lang w:eastAsia="fr-FR"/>
        </w:rPr>
        <w:t>À</w:t>
      </w:r>
      <w:r w:rsidR="00CF1461" w:rsidRPr="00E26090">
        <w:rPr>
          <w:rFonts w:eastAsia="Times New Roman"/>
          <w:lang w:eastAsia="fr-FR"/>
        </w:rPr>
        <w:t xml:space="preserve"> noter également que la Constitution a prévu la création de plusieurs institutions visant la promotion et la protection des droits de l’</w:t>
      </w:r>
      <w:r w:rsidR="00F04096">
        <w:rPr>
          <w:rFonts w:eastAsia="Times New Roman"/>
          <w:lang w:eastAsia="fr-FR"/>
        </w:rPr>
        <w:t>H</w:t>
      </w:r>
      <w:r w:rsidR="00CF1461" w:rsidRPr="00E26090">
        <w:rPr>
          <w:rFonts w:eastAsia="Times New Roman"/>
          <w:lang w:eastAsia="fr-FR"/>
        </w:rPr>
        <w:t>omme, le développement humain durable et la démocratie participative, en l’occurrence l’Autorité pour la Parité et la Lutte contre toutes les Formes de Discrimination (APALD)</w:t>
      </w:r>
      <w:r w:rsidR="00CF1461" w:rsidRPr="003C06D3">
        <w:rPr>
          <w:rStyle w:val="Appelnotedebasdep"/>
        </w:rPr>
        <w:footnoteReference w:id="13"/>
      </w:r>
      <w:r w:rsidR="00CF1461" w:rsidRPr="00E26090">
        <w:rPr>
          <w:rFonts w:eastAsia="Times New Roman"/>
          <w:lang w:eastAsia="fr-FR"/>
        </w:rPr>
        <w:t>, le Conseil Consultatif de la Jeunesse et de l’Action Associative</w:t>
      </w:r>
      <w:r w:rsidR="00CF1461" w:rsidRPr="003C06D3">
        <w:rPr>
          <w:rStyle w:val="Appelnotedebasdep"/>
        </w:rPr>
        <w:footnoteReference w:id="14"/>
      </w:r>
      <w:r w:rsidR="00CF1461" w:rsidRPr="00E26090">
        <w:rPr>
          <w:rFonts w:eastAsia="Times New Roman"/>
          <w:lang w:eastAsia="fr-FR"/>
        </w:rPr>
        <w:t xml:space="preserve"> et le Conseil Consultati</w:t>
      </w:r>
      <w:r w:rsidR="00112CDC">
        <w:rPr>
          <w:rFonts w:eastAsia="Times New Roman"/>
          <w:lang w:eastAsia="fr-FR"/>
        </w:rPr>
        <w:t>f de la Famille et de l’Enfance</w:t>
      </w:r>
      <w:r w:rsidR="00CF1461" w:rsidRPr="003C06D3">
        <w:rPr>
          <w:rStyle w:val="Appelnotedebasdep"/>
        </w:rPr>
        <w:footnoteReference w:id="15"/>
      </w:r>
      <w:r w:rsidR="00112CDC">
        <w:rPr>
          <w:rFonts w:eastAsia="Times New Roman"/>
          <w:lang w:eastAsia="fr-FR"/>
        </w:rPr>
        <w:t>.</w:t>
      </w:r>
    </w:p>
    <w:p w14:paraId="3F24B36D" w14:textId="4E4A0E90" w:rsidR="00CF1461" w:rsidRPr="00AC555A" w:rsidRDefault="004B5A1A" w:rsidP="004B5A1A">
      <w:pPr>
        <w:pStyle w:val="SingleTxtG"/>
        <w:tabs>
          <w:tab w:val="clear" w:pos="1701"/>
          <w:tab w:val="clear" w:pos="2268"/>
          <w:tab w:val="clear" w:pos="2835"/>
        </w:tabs>
        <w:rPr>
          <w:rFonts w:eastAsia="Times New Roman"/>
        </w:rPr>
      </w:pPr>
      <w:r w:rsidRPr="00AC555A">
        <w:rPr>
          <w:rFonts w:eastAsia="Times New Roman"/>
          <w:color w:val="000000" w:themeColor="text1"/>
        </w:rPr>
        <w:t>26.</w:t>
      </w:r>
      <w:r w:rsidRPr="00AC555A">
        <w:rPr>
          <w:rFonts w:eastAsia="Times New Roman"/>
          <w:color w:val="000000" w:themeColor="text1"/>
        </w:rPr>
        <w:tab/>
      </w:r>
      <w:r w:rsidR="00CF1461" w:rsidRPr="00E26090">
        <w:rPr>
          <w:rFonts w:eastAsia="Times New Roman"/>
          <w:lang w:eastAsia="fr-FR"/>
        </w:rPr>
        <w:t xml:space="preserve">La période examinée a été également marquée par la mise en place et l’activation de l’Observatoire </w:t>
      </w:r>
      <w:r w:rsidR="00CF1461">
        <w:rPr>
          <w:rFonts w:eastAsia="Times New Roman"/>
          <w:lang w:eastAsia="fr-FR"/>
        </w:rPr>
        <w:t>n</w:t>
      </w:r>
      <w:r w:rsidR="00CF1461" w:rsidRPr="00E26090">
        <w:rPr>
          <w:rFonts w:eastAsia="Times New Roman"/>
          <w:lang w:eastAsia="fr-FR"/>
        </w:rPr>
        <w:t>ational pour l’</w:t>
      </w:r>
      <w:r w:rsidR="00CF1461">
        <w:rPr>
          <w:rFonts w:eastAsia="Times New Roman"/>
          <w:lang w:eastAsia="fr-FR"/>
        </w:rPr>
        <w:t>a</w:t>
      </w:r>
      <w:r w:rsidR="00CF1461" w:rsidRPr="00E26090">
        <w:rPr>
          <w:rFonts w:eastAsia="Times New Roman"/>
          <w:lang w:eastAsia="fr-FR"/>
        </w:rPr>
        <w:t xml:space="preserve">mélioration de l’image de la femme dans les médias auprès </w:t>
      </w:r>
      <w:r w:rsidR="00CF1461" w:rsidRPr="00E26090">
        <w:rPr>
          <w:rFonts w:eastAsia="Times New Roman"/>
          <w:lang w:eastAsia="fr-FR"/>
        </w:rPr>
        <w:lastRenderedPageBreak/>
        <w:t>de la HACA, l’Observatoire de la violence à l’égard des femmes auprès du MFSEDS, l’Observatoire de l’</w:t>
      </w:r>
      <w:r w:rsidR="00CF1461">
        <w:rPr>
          <w:rFonts w:eastAsia="Times New Roman"/>
          <w:lang w:eastAsia="fr-FR"/>
        </w:rPr>
        <w:t>é</w:t>
      </w:r>
      <w:r w:rsidR="00CF1461" w:rsidRPr="00E26090">
        <w:rPr>
          <w:rFonts w:eastAsia="Times New Roman"/>
          <w:lang w:eastAsia="fr-FR"/>
        </w:rPr>
        <w:t xml:space="preserve">galité de </w:t>
      </w:r>
      <w:r w:rsidR="00CF1461">
        <w:rPr>
          <w:rFonts w:eastAsia="Times New Roman"/>
          <w:lang w:eastAsia="fr-FR"/>
        </w:rPr>
        <w:t>g</w:t>
      </w:r>
      <w:r w:rsidR="00CF1461" w:rsidRPr="00E26090">
        <w:rPr>
          <w:rFonts w:eastAsia="Times New Roman"/>
          <w:lang w:eastAsia="fr-FR"/>
        </w:rPr>
        <w:t xml:space="preserve">enre dans la </w:t>
      </w:r>
      <w:r w:rsidR="00CF1461">
        <w:rPr>
          <w:rFonts w:eastAsia="Times New Roman"/>
          <w:lang w:eastAsia="fr-FR"/>
        </w:rPr>
        <w:t>f</w:t>
      </w:r>
      <w:r w:rsidR="00CF1461" w:rsidRPr="00E26090">
        <w:rPr>
          <w:rFonts w:eastAsia="Times New Roman"/>
          <w:lang w:eastAsia="fr-FR"/>
        </w:rPr>
        <w:t xml:space="preserve">onction </w:t>
      </w:r>
      <w:r w:rsidR="00CF1461">
        <w:rPr>
          <w:rFonts w:eastAsia="Times New Roman"/>
          <w:lang w:eastAsia="fr-FR"/>
        </w:rPr>
        <w:t>p</w:t>
      </w:r>
      <w:r w:rsidR="00CF1461" w:rsidRPr="00E26090">
        <w:rPr>
          <w:rFonts w:eastAsia="Times New Roman"/>
          <w:lang w:eastAsia="fr-FR"/>
        </w:rPr>
        <w:t xml:space="preserve">ublique auprès du </w:t>
      </w:r>
      <w:r w:rsidR="00CF1461" w:rsidRPr="00E26090">
        <w:rPr>
          <w:rFonts w:eastAsia="Calibri"/>
          <w:bCs/>
          <w:lang w:eastAsia="fr-FR" w:bidi="en-US"/>
        </w:rPr>
        <w:t>MCRAFP</w:t>
      </w:r>
      <w:r w:rsidR="00CF1461">
        <w:rPr>
          <w:rFonts w:eastAsia="Calibri"/>
          <w:bCs/>
          <w:lang w:eastAsia="fr-FR" w:bidi="en-US"/>
        </w:rPr>
        <w:t>,</w:t>
      </w:r>
      <w:r w:rsidR="00CF1461" w:rsidRPr="00E26090">
        <w:rPr>
          <w:rFonts w:eastAsia="Times New Roman"/>
          <w:lang w:eastAsia="fr-FR"/>
        </w:rPr>
        <w:t xml:space="preserve"> et par la création du Centre d’</w:t>
      </w:r>
      <w:r w:rsidR="00CF1461">
        <w:rPr>
          <w:rFonts w:eastAsia="Times New Roman"/>
          <w:lang w:eastAsia="fr-FR"/>
        </w:rPr>
        <w:t>e</w:t>
      </w:r>
      <w:r w:rsidR="00CF1461" w:rsidRPr="00E26090">
        <w:rPr>
          <w:rFonts w:eastAsia="Times New Roman"/>
          <w:lang w:eastAsia="fr-FR"/>
        </w:rPr>
        <w:t xml:space="preserve">xcellence de la </w:t>
      </w:r>
      <w:r w:rsidR="00CF1461">
        <w:rPr>
          <w:rFonts w:eastAsia="Times New Roman"/>
          <w:lang w:eastAsia="fr-FR"/>
        </w:rPr>
        <w:t>b</w:t>
      </w:r>
      <w:r w:rsidR="00CF1461" w:rsidRPr="00E26090">
        <w:rPr>
          <w:rFonts w:eastAsia="Times New Roman"/>
          <w:lang w:eastAsia="fr-FR"/>
        </w:rPr>
        <w:t xml:space="preserve">udgétisation </w:t>
      </w:r>
      <w:r w:rsidR="00CF1461">
        <w:rPr>
          <w:rFonts w:eastAsia="Times New Roman"/>
          <w:lang w:eastAsia="fr-FR"/>
        </w:rPr>
        <w:t>s</w:t>
      </w:r>
      <w:r w:rsidR="00CF1461" w:rsidRPr="00E26090">
        <w:rPr>
          <w:rFonts w:eastAsia="Times New Roman"/>
          <w:lang w:eastAsia="fr-FR"/>
        </w:rPr>
        <w:t xml:space="preserve">ensible au </w:t>
      </w:r>
      <w:r w:rsidR="00CF1461">
        <w:rPr>
          <w:rFonts w:eastAsia="Times New Roman"/>
          <w:lang w:eastAsia="fr-FR"/>
        </w:rPr>
        <w:t>g</w:t>
      </w:r>
      <w:r w:rsidR="00CF1461" w:rsidRPr="00E26090">
        <w:rPr>
          <w:rFonts w:eastAsia="Times New Roman"/>
          <w:lang w:eastAsia="fr-FR"/>
        </w:rPr>
        <w:t xml:space="preserve">enre auprès du </w:t>
      </w:r>
      <w:r w:rsidR="00CF1461">
        <w:rPr>
          <w:rFonts w:eastAsia="Times New Roman"/>
          <w:lang w:eastAsia="fr-FR"/>
        </w:rPr>
        <w:t>MEF</w:t>
      </w:r>
      <w:r w:rsidR="00CF1461" w:rsidRPr="00E26090">
        <w:rPr>
          <w:rFonts w:eastAsia="Times New Roman"/>
          <w:lang w:eastAsia="fr-FR"/>
        </w:rPr>
        <w:t>.</w:t>
      </w:r>
    </w:p>
    <w:p w14:paraId="7E042A12" w14:textId="77777777" w:rsidR="00CF1461" w:rsidRPr="00E26090" w:rsidRDefault="00855577" w:rsidP="0089425B">
      <w:pPr>
        <w:pStyle w:val="H23G"/>
      </w:pPr>
      <w:r>
        <w:tab/>
      </w:r>
      <w:r>
        <w:tab/>
      </w:r>
      <w:r w:rsidR="00CF1461" w:rsidRPr="00E26090">
        <w:t>Cadre législatif</w:t>
      </w:r>
    </w:p>
    <w:p w14:paraId="00CEEDB4" w14:textId="4D86FAA3" w:rsidR="00CF1461" w:rsidRPr="008B75E4" w:rsidRDefault="004B5A1A" w:rsidP="004B5A1A">
      <w:pPr>
        <w:pStyle w:val="SingleTxtG"/>
        <w:tabs>
          <w:tab w:val="clear" w:pos="1701"/>
          <w:tab w:val="clear" w:pos="2268"/>
          <w:tab w:val="clear" w:pos="2835"/>
        </w:tabs>
        <w:rPr>
          <w:rFonts w:eastAsia="Times New Roman"/>
          <w:lang w:eastAsia="fr-FR"/>
        </w:rPr>
      </w:pPr>
      <w:r w:rsidRPr="008B75E4">
        <w:rPr>
          <w:rFonts w:eastAsia="Times New Roman"/>
          <w:color w:val="000000" w:themeColor="text1"/>
          <w:lang w:eastAsia="fr-FR"/>
        </w:rPr>
        <w:t>27.</w:t>
      </w:r>
      <w:r w:rsidRPr="008B75E4">
        <w:rPr>
          <w:rFonts w:eastAsia="Times New Roman"/>
          <w:color w:val="000000" w:themeColor="text1"/>
          <w:lang w:eastAsia="fr-FR"/>
        </w:rPr>
        <w:tab/>
      </w:r>
      <w:r w:rsidR="00CF1461" w:rsidRPr="00E26090">
        <w:rPr>
          <w:rFonts w:eastAsia="Times New Roman"/>
          <w:lang w:eastAsia="fr-FR"/>
        </w:rPr>
        <w:t xml:space="preserve">Aux termes du plan législatif du Programme </w:t>
      </w:r>
      <w:r w:rsidR="00CF1461" w:rsidRPr="00C97B55">
        <w:rPr>
          <w:rFonts w:eastAsia="Times New Roman"/>
          <w:lang w:eastAsia="fr-FR"/>
        </w:rPr>
        <w:t>gouvernemental</w:t>
      </w:r>
      <w:r w:rsidR="00CF1461" w:rsidRPr="00E26090">
        <w:rPr>
          <w:rFonts w:eastAsia="Times New Roman"/>
          <w:lang w:eastAsia="fr-FR"/>
        </w:rPr>
        <w:t xml:space="preserve"> 2012-2016</w:t>
      </w:r>
      <w:r w:rsidR="00CF1461">
        <w:rPr>
          <w:rFonts w:eastAsia="Times New Roman"/>
          <w:lang w:eastAsia="fr-FR"/>
        </w:rPr>
        <w:t xml:space="preserve"> et celui en cours</w:t>
      </w:r>
      <w:r w:rsidR="00CF1461" w:rsidRPr="00E26090">
        <w:rPr>
          <w:rFonts w:eastAsia="Times New Roman"/>
          <w:lang w:eastAsia="fr-FR"/>
        </w:rPr>
        <w:t xml:space="preserve">, </w:t>
      </w:r>
      <w:r w:rsidR="00CF1461" w:rsidRPr="00C97B55">
        <w:rPr>
          <w:rFonts w:eastAsia="Times New Roman"/>
          <w:lang w:eastAsia="fr-FR"/>
        </w:rPr>
        <w:t>prévoyant</w:t>
      </w:r>
      <w:r w:rsidR="00CF1461" w:rsidRPr="00E26090">
        <w:rPr>
          <w:rFonts w:eastAsia="Times New Roman"/>
          <w:lang w:eastAsia="fr-FR"/>
        </w:rPr>
        <w:t xml:space="preserve"> l’adoption de 23 </w:t>
      </w:r>
      <w:r w:rsidR="00CF1461" w:rsidRPr="009922C8">
        <w:rPr>
          <w:rFonts w:eastAsia="Times New Roman"/>
          <w:lang w:eastAsia="fr-FR"/>
        </w:rPr>
        <w:t>lois organiques de mise en œuvre de la Constitution, 22</w:t>
      </w:r>
      <w:r w:rsidR="00236952">
        <w:rPr>
          <w:rFonts w:eastAsia="Times New Roman"/>
          <w:lang w:eastAsia="fr-FR"/>
        </w:rPr>
        <w:t> </w:t>
      </w:r>
      <w:r w:rsidR="00CF1461" w:rsidRPr="009922C8">
        <w:rPr>
          <w:rFonts w:eastAsia="Times New Roman"/>
          <w:lang w:eastAsia="fr-FR"/>
        </w:rPr>
        <w:t>l</w:t>
      </w:r>
      <w:r w:rsidR="00112CDC">
        <w:rPr>
          <w:rFonts w:eastAsia="Times New Roman"/>
          <w:lang w:eastAsia="fr-FR"/>
        </w:rPr>
        <w:t>ois organiques ont été adoptées</w:t>
      </w:r>
      <w:r w:rsidR="00CF1461" w:rsidRPr="003C06D3">
        <w:rPr>
          <w:rStyle w:val="Appelnotedebasdep"/>
        </w:rPr>
        <w:footnoteReference w:id="16"/>
      </w:r>
      <w:r w:rsidR="00112CDC">
        <w:rPr>
          <w:rFonts w:eastAsia="Times New Roman"/>
          <w:lang w:eastAsia="fr-FR"/>
        </w:rPr>
        <w:t>.</w:t>
      </w:r>
    </w:p>
    <w:p w14:paraId="1D81BAEE" w14:textId="643C34F4" w:rsidR="00CF1461" w:rsidRPr="0014752E" w:rsidRDefault="004B5A1A" w:rsidP="004B5A1A">
      <w:pPr>
        <w:pStyle w:val="SingleTxtG"/>
        <w:tabs>
          <w:tab w:val="clear" w:pos="1701"/>
          <w:tab w:val="clear" w:pos="2268"/>
          <w:tab w:val="clear" w:pos="2835"/>
        </w:tabs>
        <w:rPr>
          <w:rFonts w:asciiTheme="majorBidi" w:eastAsia="Times New Roman" w:hAnsiTheme="majorBidi" w:cstheme="majorBidi"/>
          <w:color w:val="000000"/>
          <w:lang w:eastAsia="fr-FR"/>
        </w:rPr>
      </w:pPr>
      <w:r w:rsidRPr="0014752E">
        <w:rPr>
          <w:rFonts w:asciiTheme="majorBidi" w:eastAsia="Times New Roman" w:hAnsiTheme="majorBidi" w:cstheme="majorBidi"/>
          <w:color w:val="000000" w:themeColor="text1"/>
          <w:lang w:eastAsia="fr-FR"/>
        </w:rPr>
        <w:t>28.</w:t>
      </w:r>
      <w:r w:rsidRPr="0014752E">
        <w:rPr>
          <w:rFonts w:asciiTheme="majorBidi" w:eastAsia="Times New Roman" w:hAnsiTheme="majorBidi" w:cstheme="majorBidi"/>
          <w:color w:val="000000" w:themeColor="text1"/>
          <w:lang w:eastAsia="fr-FR"/>
        </w:rPr>
        <w:tab/>
      </w:r>
      <w:r w:rsidR="00F26D77">
        <w:rPr>
          <w:rFonts w:asciiTheme="majorBidi" w:eastAsia="Times New Roman" w:hAnsiTheme="majorBidi" w:cstheme="majorBidi"/>
          <w:color w:val="000000"/>
          <w:lang w:eastAsia="fr-FR"/>
        </w:rPr>
        <w:t>À</w:t>
      </w:r>
      <w:r w:rsidR="00CF1461" w:rsidRPr="0014752E">
        <w:rPr>
          <w:rFonts w:asciiTheme="majorBidi" w:eastAsia="Times New Roman" w:hAnsiTheme="majorBidi" w:cstheme="majorBidi"/>
          <w:color w:val="000000"/>
          <w:lang w:eastAsia="fr-FR"/>
        </w:rPr>
        <w:t xml:space="preserve"> l’heure actuelle, seul le Projet de loi organique </w:t>
      </w:r>
      <w:r w:rsidR="005A71D7">
        <w:rPr>
          <w:rFonts w:asciiTheme="majorBidi" w:eastAsia="Times New Roman" w:hAnsiTheme="majorBidi" w:cstheme="majorBidi"/>
          <w:color w:val="000000"/>
          <w:lang w:eastAsia="fr-FR"/>
        </w:rPr>
        <w:t>n</w:t>
      </w:r>
      <w:r w:rsidR="005A71D7" w:rsidRPr="00050C02">
        <w:rPr>
          <w:rFonts w:asciiTheme="majorBidi" w:eastAsia="Times New Roman" w:hAnsiTheme="majorBidi" w:cstheme="majorBidi"/>
          <w:color w:val="000000"/>
          <w:vertAlign w:val="superscript"/>
          <w:lang w:eastAsia="fr-FR"/>
        </w:rPr>
        <w:t>o</w:t>
      </w:r>
      <w:r w:rsidR="005A71D7">
        <w:rPr>
          <w:rFonts w:asciiTheme="majorBidi" w:eastAsia="Times New Roman" w:hAnsiTheme="majorBidi" w:cstheme="majorBidi"/>
          <w:color w:val="000000"/>
          <w:lang w:eastAsia="fr-FR"/>
        </w:rPr>
        <w:t> </w:t>
      </w:r>
      <w:r w:rsidR="00CF1461" w:rsidRPr="0014752E">
        <w:rPr>
          <w:rFonts w:asciiTheme="majorBidi" w:eastAsia="Times New Roman" w:hAnsiTheme="majorBidi" w:cstheme="majorBidi"/>
          <w:color w:val="000000"/>
          <w:lang w:eastAsia="fr-FR"/>
        </w:rPr>
        <w:t xml:space="preserve">97.15, définissant les conditions et les </w:t>
      </w:r>
      <w:r w:rsidR="00CF1461" w:rsidRPr="00855577">
        <w:rPr>
          <w:rFonts w:eastAsia="Times New Roman"/>
          <w:lang w:eastAsia="fr-FR"/>
        </w:rPr>
        <w:t>modalités</w:t>
      </w:r>
      <w:r w:rsidR="00CF1461" w:rsidRPr="0014752E">
        <w:rPr>
          <w:rFonts w:asciiTheme="majorBidi" w:eastAsia="Times New Roman" w:hAnsiTheme="majorBidi" w:cstheme="majorBidi"/>
          <w:color w:val="000000"/>
          <w:lang w:eastAsia="fr-FR"/>
        </w:rPr>
        <w:t xml:space="preserve"> d’exercice du droit de grève et constituant la 23ème loi organique dudit plan législatif, est encore en discussion au Parlement.</w:t>
      </w:r>
    </w:p>
    <w:p w14:paraId="14ECFA35" w14:textId="3928EF19" w:rsidR="00CF1461" w:rsidRPr="00355382" w:rsidRDefault="004B5A1A" w:rsidP="004B5A1A">
      <w:pPr>
        <w:pStyle w:val="SingleTxtG"/>
        <w:tabs>
          <w:tab w:val="clear" w:pos="1701"/>
          <w:tab w:val="clear" w:pos="2268"/>
          <w:tab w:val="clear" w:pos="2835"/>
        </w:tabs>
        <w:rPr>
          <w:rFonts w:asciiTheme="majorBidi" w:eastAsia="Times New Roman" w:hAnsiTheme="majorBidi" w:cstheme="majorBidi"/>
          <w:color w:val="000000"/>
          <w:lang w:eastAsia="fr-FR"/>
        </w:rPr>
      </w:pPr>
      <w:r w:rsidRPr="00355382">
        <w:rPr>
          <w:rFonts w:asciiTheme="majorBidi" w:eastAsia="Times New Roman" w:hAnsiTheme="majorBidi" w:cstheme="majorBidi"/>
          <w:color w:val="000000" w:themeColor="text1"/>
          <w:lang w:eastAsia="fr-FR"/>
        </w:rPr>
        <w:t>29.</w:t>
      </w:r>
      <w:r w:rsidRPr="00355382">
        <w:rPr>
          <w:rFonts w:asciiTheme="majorBidi" w:eastAsia="Times New Roman" w:hAnsiTheme="majorBidi" w:cstheme="majorBidi"/>
          <w:color w:val="000000" w:themeColor="text1"/>
          <w:lang w:eastAsia="fr-FR"/>
        </w:rPr>
        <w:tab/>
      </w:r>
      <w:r w:rsidR="00CF1461" w:rsidRPr="00355382">
        <w:rPr>
          <w:rFonts w:asciiTheme="majorBidi" w:eastAsia="Times New Roman" w:hAnsiTheme="majorBidi" w:cstheme="majorBidi"/>
          <w:color w:val="000000"/>
          <w:lang w:eastAsia="fr-FR"/>
        </w:rPr>
        <w:t xml:space="preserve">L’indépendance de la justice se voit renforcée suite à l’adoption en 2017, de la loi </w:t>
      </w:r>
      <w:r w:rsidR="005A71D7">
        <w:rPr>
          <w:rFonts w:asciiTheme="majorBidi" w:eastAsia="Times New Roman" w:hAnsiTheme="majorBidi" w:cstheme="majorBidi"/>
          <w:color w:val="000000"/>
          <w:lang w:eastAsia="fr-FR"/>
        </w:rPr>
        <w:t>n</w:t>
      </w:r>
      <w:r w:rsidR="005A71D7" w:rsidRPr="00050C02">
        <w:rPr>
          <w:rFonts w:asciiTheme="majorBidi" w:eastAsia="Times New Roman" w:hAnsiTheme="majorBidi" w:cstheme="majorBidi"/>
          <w:color w:val="000000"/>
          <w:vertAlign w:val="superscript"/>
          <w:lang w:eastAsia="fr-FR"/>
        </w:rPr>
        <w:t>o</w:t>
      </w:r>
      <w:r w:rsidR="005A71D7">
        <w:rPr>
          <w:rFonts w:asciiTheme="majorBidi" w:eastAsia="Times New Roman" w:hAnsiTheme="majorBidi" w:cstheme="majorBidi"/>
          <w:color w:val="000000"/>
          <w:lang w:eastAsia="fr-FR"/>
        </w:rPr>
        <w:t> </w:t>
      </w:r>
      <w:r w:rsidR="00CF1461" w:rsidRPr="00355382">
        <w:rPr>
          <w:rFonts w:asciiTheme="majorBidi" w:eastAsia="Times New Roman" w:hAnsiTheme="majorBidi" w:cstheme="majorBidi"/>
          <w:color w:val="000000"/>
          <w:lang w:eastAsia="fr-FR"/>
        </w:rPr>
        <w:t xml:space="preserve">33.17, </w:t>
      </w:r>
      <w:r w:rsidR="00CF1461" w:rsidRPr="00855577">
        <w:rPr>
          <w:rFonts w:eastAsia="Times New Roman"/>
          <w:lang w:eastAsia="fr-FR"/>
        </w:rPr>
        <w:t>relative</w:t>
      </w:r>
      <w:r w:rsidR="00CF1461" w:rsidRPr="00355382">
        <w:rPr>
          <w:rFonts w:asciiTheme="majorBidi" w:eastAsia="Times New Roman" w:hAnsiTheme="majorBidi" w:cstheme="majorBidi"/>
          <w:color w:val="000000"/>
          <w:lang w:eastAsia="fr-FR"/>
        </w:rPr>
        <w:t xml:space="preserve"> au transfert des attributions de l’autorité gouvernementale chargée de la justice au Procureur Général du Roi près la Cour de Cassation, en sa qual</w:t>
      </w:r>
      <w:r w:rsidR="00112CDC">
        <w:rPr>
          <w:rFonts w:asciiTheme="majorBidi" w:eastAsia="Times New Roman" w:hAnsiTheme="majorBidi" w:cstheme="majorBidi"/>
          <w:color w:val="000000"/>
          <w:lang w:eastAsia="fr-FR"/>
        </w:rPr>
        <w:t>ité de chef du ministère public</w:t>
      </w:r>
      <w:r w:rsidR="00CF1461" w:rsidRPr="003C06D3">
        <w:rPr>
          <w:rStyle w:val="Appelnotedebasdep"/>
        </w:rPr>
        <w:footnoteReference w:id="17"/>
      </w:r>
      <w:r w:rsidR="00112CDC">
        <w:rPr>
          <w:rFonts w:asciiTheme="majorBidi" w:eastAsia="Times New Roman" w:hAnsiTheme="majorBidi" w:cstheme="majorBidi"/>
          <w:color w:val="000000"/>
          <w:lang w:eastAsia="fr-FR"/>
        </w:rPr>
        <w:t>.</w:t>
      </w:r>
    </w:p>
    <w:p w14:paraId="624775A4" w14:textId="7FE617B8" w:rsidR="00CF1461" w:rsidRDefault="004B5A1A" w:rsidP="004B5A1A">
      <w:pPr>
        <w:pStyle w:val="SingleTxtG"/>
        <w:tabs>
          <w:tab w:val="clear" w:pos="1701"/>
          <w:tab w:val="clear" w:pos="2268"/>
          <w:tab w:val="clear" w:pos="2835"/>
        </w:tabs>
        <w:rPr>
          <w:rFonts w:asciiTheme="majorBidi" w:eastAsia="Times New Roman" w:hAnsiTheme="majorBidi" w:cstheme="majorBidi"/>
          <w:color w:val="000000"/>
          <w:lang w:eastAsia="fr-FR"/>
        </w:rPr>
      </w:pPr>
      <w:r>
        <w:rPr>
          <w:rFonts w:asciiTheme="majorBidi" w:eastAsia="Times New Roman" w:hAnsiTheme="majorBidi" w:cstheme="majorBidi"/>
          <w:color w:val="000000" w:themeColor="text1"/>
          <w:lang w:eastAsia="fr-FR"/>
        </w:rPr>
        <w:t>30.</w:t>
      </w:r>
      <w:r>
        <w:rPr>
          <w:rFonts w:asciiTheme="majorBidi" w:eastAsia="Times New Roman" w:hAnsiTheme="majorBidi" w:cstheme="majorBidi"/>
          <w:color w:val="000000" w:themeColor="text1"/>
          <w:lang w:eastAsia="fr-FR"/>
        </w:rPr>
        <w:tab/>
      </w:r>
      <w:r w:rsidR="00CF1461" w:rsidRPr="00DF5157">
        <w:rPr>
          <w:rFonts w:eastAsia="Times New Roman"/>
          <w:lang w:eastAsia="fr-FR"/>
        </w:rPr>
        <w:t>Dès</w:t>
      </w:r>
      <w:r w:rsidR="00CF1461" w:rsidRPr="00131C02">
        <w:rPr>
          <w:rFonts w:asciiTheme="majorBidi" w:eastAsia="Times New Roman" w:hAnsiTheme="majorBidi" w:cstheme="majorBidi"/>
          <w:color w:val="000000"/>
          <w:lang w:eastAsia="fr-FR"/>
        </w:rPr>
        <w:t xml:space="preserve"> son installation, le chef du parquet général a adressé une circulaire aux procureurs </w:t>
      </w:r>
      <w:r w:rsidR="00CF1461">
        <w:rPr>
          <w:rFonts w:asciiTheme="majorBidi" w:eastAsia="Times New Roman" w:hAnsiTheme="majorBidi" w:cstheme="majorBidi"/>
          <w:color w:val="000000"/>
          <w:lang w:eastAsia="fr-FR"/>
        </w:rPr>
        <w:t xml:space="preserve">du </w:t>
      </w:r>
      <w:r w:rsidR="00CF1461" w:rsidRPr="00AC555A">
        <w:rPr>
          <w:rFonts w:eastAsia="Times New Roman"/>
          <w:lang w:eastAsia="fr-FR"/>
        </w:rPr>
        <w:t>Royaume</w:t>
      </w:r>
      <w:r w:rsidR="00CF1461">
        <w:rPr>
          <w:rFonts w:asciiTheme="majorBidi" w:eastAsia="Times New Roman" w:hAnsiTheme="majorBidi" w:cstheme="majorBidi"/>
          <w:color w:val="000000"/>
          <w:lang w:eastAsia="fr-FR"/>
        </w:rPr>
        <w:t xml:space="preserve"> </w:t>
      </w:r>
      <w:r w:rsidR="00CF1461" w:rsidRPr="00131C02">
        <w:rPr>
          <w:rFonts w:asciiTheme="majorBidi" w:eastAsia="Times New Roman" w:hAnsiTheme="majorBidi" w:cstheme="majorBidi"/>
          <w:color w:val="000000"/>
          <w:lang w:eastAsia="fr-FR"/>
        </w:rPr>
        <w:t xml:space="preserve">portant sur les priorités de la politique pénale, dans laquelle le ministère public exige </w:t>
      </w:r>
      <w:r w:rsidR="00CF1461" w:rsidRPr="00855577">
        <w:rPr>
          <w:rFonts w:eastAsia="Times New Roman"/>
          <w:lang w:eastAsia="fr-FR"/>
        </w:rPr>
        <w:t>l’écoute</w:t>
      </w:r>
      <w:r w:rsidR="00CF1461" w:rsidRPr="00131C02">
        <w:rPr>
          <w:rFonts w:asciiTheme="majorBidi" w:eastAsia="Times New Roman" w:hAnsiTheme="majorBidi" w:cstheme="majorBidi"/>
          <w:color w:val="000000"/>
          <w:lang w:eastAsia="fr-FR"/>
        </w:rPr>
        <w:t xml:space="preserve"> des plaignants et le suivi strict des dossiers, l’activation de la loi sur la </w:t>
      </w:r>
      <w:r w:rsidR="00CF1461" w:rsidRPr="004C1CCA">
        <w:rPr>
          <w:rFonts w:eastAsia="Times New Roman"/>
          <w:lang w:eastAsia="fr-FR"/>
        </w:rPr>
        <w:lastRenderedPageBreak/>
        <w:t>protection</w:t>
      </w:r>
      <w:r w:rsidR="00CF1461" w:rsidRPr="00131C02">
        <w:rPr>
          <w:rFonts w:asciiTheme="majorBidi" w:eastAsia="Times New Roman" w:hAnsiTheme="majorBidi" w:cstheme="majorBidi"/>
          <w:color w:val="000000"/>
          <w:lang w:eastAsia="fr-FR"/>
        </w:rPr>
        <w:t xml:space="preserve"> des donneurs d’alerte</w:t>
      </w:r>
      <w:r w:rsidR="00CF1461" w:rsidRPr="003C06D3">
        <w:rPr>
          <w:rStyle w:val="Appelnotedebasdep"/>
        </w:rPr>
        <w:footnoteReference w:id="18"/>
      </w:r>
      <w:r w:rsidR="00CF1461" w:rsidRPr="00131C02">
        <w:rPr>
          <w:rFonts w:asciiTheme="majorBidi" w:eastAsia="Times New Roman" w:hAnsiTheme="majorBidi" w:cstheme="majorBidi"/>
          <w:color w:val="000000"/>
          <w:lang w:eastAsia="fr-FR"/>
        </w:rPr>
        <w:t>,</w:t>
      </w:r>
      <w:r w:rsidR="00CD5A97">
        <w:rPr>
          <w:rFonts w:asciiTheme="majorBidi" w:eastAsia="Times New Roman" w:hAnsiTheme="majorBidi" w:cstheme="majorBidi"/>
          <w:color w:val="000000"/>
          <w:lang w:eastAsia="fr-FR"/>
        </w:rPr>
        <w:t xml:space="preserve"> </w:t>
      </w:r>
      <w:r w:rsidR="00CF1461" w:rsidRPr="00131C02">
        <w:rPr>
          <w:rFonts w:asciiTheme="majorBidi" w:eastAsia="Times New Roman" w:hAnsiTheme="majorBidi" w:cstheme="majorBidi"/>
          <w:color w:val="000000"/>
          <w:lang w:eastAsia="fr-FR"/>
        </w:rPr>
        <w:t>la protection des droits et libertés, la moralisation de la vie publique, la protection de l’ordre public et de la sécurité des personnes,</w:t>
      </w:r>
      <w:r w:rsidR="00CF1461">
        <w:rPr>
          <w:rFonts w:asciiTheme="majorBidi" w:eastAsia="Times New Roman" w:hAnsiTheme="majorBidi" w:cstheme="majorBidi"/>
          <w:color w:val="000000"/>
          <w:lang w:eastAsia="fr-FR"/>
        </w:rPr>
        <w:t xml:space="preserve"> ainsi que</w:t>
      </w:r>
      <w:r w:rsidR="00CF1461" w:rsidRPr="00131C02">
        <w:rPr>
          <w:rFonts w:asciiTheme="majorBidi" w:eastAsia="Times New Roman" w:hAnsiTheme="majorBidi" w:cstheme="majorBidi"/>
          <w:color w:val="000000"/>
          <w:lang w:eastAsia="fr-FR"/>
        </w:rPr>
        <w:t xml:space="preserve"> le renforcement de la coopération judiciaire.</w:t>
      </w:r>
      <w:r w:rsidR="00CF1461">
        <w:rPr>
          <w:rFonts w:asciiTheme="majorBidi" w:eastAsia="Times New Roman" w:hAnsiTheme="majorBidi" w:cstheme="majorBidi"/>
          <w:color w:val="000000"/>
          <w:lang w:eastAsia="fr-FR"/>
        </w:rPr>
        <w:t xml:space="preserve"> D’autres circulaires tout aussi importantes ont été adressées aux procureurs du Royaume au </w:t>
      </w:r>
      <w:r w:rsidR="00CF1461" w:rsidRPr="00A50274">
        <w:rPr>
          <w:rFonts w:asciiTheme="majorBidi" w:eastAsia="Times New Roman" w:hAnsiTheme="majorBidi" w:cstheme="majorBidi"/>
          <w:color w:val="000000"/>
          <w:lang w:eastAsia="fr-FR"/>
        </w:rPr>
        <w:t xml:space="preserve">sujet de la protection des victimes de la traite humaine, en application de la loi </w:t>
      </w:r>
      <w:r w:rsidR="003D3EB1">
        <w:rPr>
          <w:rFonts w:asciiTheme="majorBidi" w:eastAsia="Times New Roman" w:hAnsiTheme="majorBidi" w:cstheme="majorBidi"/>
          <w:color w:val="000000"/>
          <w:lang w:eastAsia="fr-FR"/>
        </w:rPr>
        <w:t>n</w:t>
      </w:r>
      <w:r w:rsidR="003D3EB1" w:rsidRPr="00013F70">
        <w:rPr>
          <w:rFonts w:asciiTheme="majorBidi" w:eastAsia="Times New Roman" w:hAnsiTheme="majorBidi" w:cstheme="majorBidi"/>
          <w:color w:val="000000"/>
          <w:vertAlign w:val="superscript"/>
          <w:lang w:eastAsia="fr-FR"/>
        </w:rPr>
        <w:t>o</w:t>
      </w:r>
      <w:r w:rsidR="003D3EB1">
        <w:rPr>
          <w:rFonts w:asciiTheme="majorBidi" w:eastAsia="Times New Roman" w:hAnsiTheme="majorBidi" w:cstheme="majorBidi"/>
          <w:color w:val="000000"/>
          <w:lang w:eastAsia="fr-FR"/>
        </w:rPr>
        <w:t> </w:t>
      </w:r>
      <w:r w:rsidR="00CF1461" w:rsidRPr="00A50274">
        <w:rPr>
          <w:rFonts w:asciiTheme="majorBidi" w:eastAsia="Times New Roman" w:hAnsiTheme="majorBidi" w:cstheme="majorBidi"/>
          <w:color w:val="000000"/>
          <w:lang w:eastAsia="fr-FR"/>
        </w:rPr>
        <w:t>27</w:t>
      </w:r>
      <w:r w:rsidR="00CF1461">
        <w:rPr>
          <w:rFonts w:asciiTheme="majorBidi" w:eastAsia="Times New Roman" w:hAnsiTheme="majorBidi" w:cstheme="majorBidi"/>
          <w:color w:val="000000"/>
          <w:lang w:eastAsia="fr-FR"/>
        </w:rPr>
        <w:t>.</w:t>
      </w:r>
      <w:r w:rsidR="00CF1461" w:rsidRPr="00A50274">
        <w:rPr>
          <w:rFonts w:asciiTheme="majorBidi" w:eastAsia="Times New Roman" w:hAnsiTheme="majorBidi" w:cstheme="majorBidi"/>
          <w:color w:val="000000"/>
          <w:lang w:eastAsia="fr-FR"/>
        </w:rPr>
        <w:t xml:space="preserve">14 ; </w:t>
      </w:r>
      <w:r w:rsidR="00CF1461">
        <w:rPr>
          <w:rFonts w:asciiTheme="majorBidi" w:eastAsia="Times New Roman" w:hAnsiTheme="majorBidi" w:cstheme="majorBidi"/>
          <w:color w:val="000000"/>
          <w:lang w:eastAsia="fr-FR"/>
        </w:rPr>
        <w:t>sur</w:t>
      </w:r>
      <w:r w:rsidR="00CF1461" w:rsidRPr="00A50274">
        <w:rPr>
          <w:rFonts w:asciiTheme="majorBidi" w:eastAsia="Times New Roman" w:hAnsiTheme="majorBidi" w:cstheme="majorBidi"/>
          <w:color w:val="000000"/>
          <w:lang w:eastAsia="fr-FR"/>
        </w:rPr>
        <w:t xml:space="preserve"> la gestion des affaires de détention provisoire ; </w:t>
      </w:r>
      <w:r w:rsidR="00CF1461" w:rsidRPr="00131C02">
        <w:rPr>
          <w:rFonts w:asciiTheme="majorBidi" w:eastAsia="Times New Roman" w:hAnsiTheme="majorBidi" w:cstheme="majorBidi"/>
          <w:color w:val="000000"/>
          <w:lang w:eastAsia="fr-FR"/>
        </w:rPr>
        <w:t>au</w:t>
      </w:r>
      <w:r w:rsidR="00CF1461" w:rsidRPr="00A50274">
        <w:rPr>
          <w:rFonts w:asciiTheme="majorBidi" w:eastAsia="Times New Roman" w:hAnsiTheme="majorBidi" w:cstheme="majorBidi"/>
          <w:color w:val="000000"/>
          <w:lang w:eastAsia="fr-FR"/>
        </w:rPr>
        <w:t xml:space="preserve"> sujet des modalités de suivi de l’application de la loi </w:t>
      </w:r>
      <w:r w:rsidR="003D3EB1">
        <w:rPr>
          <w:rFonts w:asciiTheme="majorBidi" w:eastAsia="Times New Roman" w:hAnsiTheme="majorBidi" w:cstheme="majorBidi"/>
          <w:color w:val="000000"/>
          <w:lang w:eastAsia="fr-FR"/>
        </w:rPr>
        <w:t>n</w:t>
      </w:r>
      <w:r w:rsidR="003D3EB1" w:rsidRPr="00050C02">
        <w:rPr>
          <w:rFonts w:asciiTheme="majorBidi" w:eastAsia="Times New Roman" w:hAnsiTheme="majorBidi" w:cstheme="majorBidi"/>
          <w:color w:val="000000"/>
          <w:vertAlign w:val="superscript"/>
          <w:lang w:eastAsia="fr-FR"/>
        </w:rPr>
        <w:t>o</w:t>
      </w:r>
      <w:r w:rsidR="003D3EB1">
        <w:rPr>
          <w:rFonts w:asciiTheme="majorBidi" w:eastAsia="Times New Roman" w:hAnsiTheme="majorBidi" w:cstheme="majorBidi"/>
          <w:color w:val="000000"/>
          <w:lang w:eastAsia="fr-FR"/>
        </w:rPr>
        <w:t> </w:t>
      </w:r>
      <w:r w:rsidR="00CF1461" w:rsidRPr="00A50274">
        <w:rPr>
          <w:rFonts w:asciiTheme="majorBidi" w:eastAsia="Times New Roman" w:hAnsiTheme="majorBidi" w:cstheme="majorBidi"/>
          <w:color w:val="000000"/>
          <w:lang w:eastAsia="fr-FR"/>
        </w:rPr>
        <w:t>103.13 relative à la lutte contre la violence à l’égard des femmes etc.</w:t>
      </w:r>
    </w:p>
    <w:p w14:paraId="6A79077A" w14:textId="77777777" w:rsidR="00CF1461" w:rsidRPr="00E26090" w:rsidRDefault="00855577" w:rsidP="0089425B">
      <w:pPr>
        <w:pStyle w:val="H23G"/>
      </w:pPr>
      <w:r>
        <w:tab/>
      </w:r>
      <w:r>
        <w:tab/>
      </w:r>
      <w:r>
        <w:tab/>
      </w:r>
      <w:r w:rsidR="00CF1461" w:rsidRPr="00E26090">
        <w:t xml:space="preserve">Cadre institutionnel </w:t>
      </w:r>
    </w:p>
    <w:p w14:paraId="4020D53F" w14:textId="79F3252D" w:rsidR="00CF1461" w:rsidRPr="00E26090" w:rsidRDefault="004B5A1A" w:rsidP="004B5A1A">
      <w:pPr>
        <w:pStyle w:val="SingleTxtG"/>
        <w:tabs>
          <w:tab w:val="clear" w:pos="1701"/>
          <w:tab w:val="clear" w:pos="2268"/>
          <w:tab w:val="clear" w:pos="2835"/>
        </w:tabs>
        <w:rPr>
          <w:rFonts w:eastAsia="Times New Roman"/>
        </w:rPr>
      </w:pPr>
      <w:r w:rsidRPr="00E26090">
        <w:rPr>
          <w:rFonts w:eastAsia="Times New Roman"/>
          <w:color w:val="000000" w:themeColor="text1"/>
        </w:rPr>
        <w:t>31.</w:t>
      </w:r>
      <w:r w:rsidRPr="00E26090">
        <w:rPr>
          <w:rFonts w:eastAsia="Times New Roman"/>
          <w:color w:val="000000" w:themeColor="text1"/>
        </w:rPr>
        <w:tab/>
      </w:r>
      <w:r w:rsidR="00CF1461" w:rsidRPr="00E26090">
        <w:rPr>
          <w:rFonts w:eastAsia="Times New Roman"/>
        </w:rPr>
        <w:t>Le cadre institutionnel de promotion et de protection des droits de l’Homme concerne plusieurs mécanismes et institutions nationales, entre autres :</w:t>
      </w:r>
    </w:p>
    <w:p w14:paraId="46A1AA60" w14:textId="78978977" w:rsidR="00CF1461" w:rsidRPr="00E26090" w:rsidRDefault="009354AA" w:rsidP="00013F70">
      <w:pPr>
        <w:pStyle w:val="H4G"/>
      </w:pPr>
      <w:r>
        <w:tab/>
      </w:r>
      <w:r w:rsidR="00112CDC">
        <w:t>1.</w:t>
      </w:r>
      <w:r>
        <w:tab/>
      </w:r>
      <w:r w:rsidR="00CF1461" w:rsidRPr="00E26090">
        <w:t>La Délégation interministérielle aux droits de l’Homme</w:t>
      </w:r>
      <w:r w:rsidR="00816BCC">
        <w:t xml:space="preserve"> </w:t>
      </w:r>
      <w:r w:rsidR="00CF1461" w:rsidRPr="00E26090">
        <w:t>(DIDH)/Ministère d’</w:t>
      </w:r>
      <w:r w:rsidR="00BD28D2">
        <w:t>État</w:t>
      </w:r>
      <w:r w:rsidR="00112CDC">
        <w:t xml:space="preserve"> chargé des droits de l’Homme</w:t>
      </w:r>
    </w:p>
    <w:p w14:paraId="43121292" w14:textId="58A98228"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32.</w:t>
      </w:r>
      <w:r w:rsidRPr="00E26090">
        <w:rPr>
          <w:rFonts w:eastAsia="Times New Roman"/>
          <w:color w:val="000000" w:themeColor="text1"/>
          <w:lang w:eastAsia="fr-FR"/>
        </w:rPr>
        <w:tab/>
      </w:r>
      <w:r w:rsidR="00CF1461" w:rsidRPr="00E26090">
        <w:rPr>
          <w:rFonts w:eastAsia="Times New Roman"/>
          <w:lang w:eastAsia="fr-FR"/>
        </w:rPr>
        <w:t>Créée par Décret du 11 avril 2011</w:t>
      </w:r>
      <w:r w:rsidR="00CF1461">
        <w:rPr>
          <w:rFonts w:eastAsia="Times New Roman"/>
          <w:lang w:eastAsia="fr-FR"/>
        </w:rPr>
        <w:t xml:space="preserve"> en tant que mécanisme national de coordination</w:t>
      </w:r>
      <w:r w:rsidR="00CF1461" w:rsidRPr="00E26090">
        <w:rPr>
          <w:rFonts w:eastAsia="Times New Roman"/>
          <w:lang w:eastAsia="fr-FR"/>
        </w:rPr>
        <w:t>, la DIDH est chargée :</w:t>
      </w:r>
    </w:p>
    <w:p w14:paraId="275F41E2" w14:textId="5966D295"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CF1461" w:rsidRPr="00E26090">
        <w:rPr>
          <w:lang w:eastAsia="fr-FR"/>
        </w:rPr>
        <w:t xml:space="preserve">D’élaborer et de mettre en œuvre, en coordination avec les départements ministériels et </w:t>
      </w:r>
      <w:r w:rsidR="00CF1461" w:rsidRPr="00514287">
        <w:rPr>
          <w:rFonts w:asciiTheme="majorBidi" w:hAnsiTheme="majorBidi" w:cstheme="majorBidi"/>
        </w:rPr>
        <w:t>organismes</w:t>
      </w:r>
      <w:r w:rsidR="00CF1461" w:rsidRPr="00E26090">
        <w:rPr>
          <w:lang w:eastAsia="fr-FR"/>
        </w:rPr>
        <w:t xml:space="preserve"> concernés, la politique gouvernementale en matière de défense, de protection et de promotion des droits de l’Homme et du droit international humanitaire</w:t>
      </w:r>
      <w:r w:rsidR="00816BCC">
        <w:rPr>
          <w:lang w:eastAsia="fr-FR"/>
        </w:rPr>
        <w:t> </w:t>
      </w:r>
      <w:r w:rsidR="00CF1461" w:rsidRPr="00E26090">
        <w:rPr>
          <w:lang w:eastAsia="fr-FR"/>
        </w:rPr>
        <w:t>;</w:t>
      </w:r>
    </w:p>
    <w:p w14:paraId="0C6F4296" w14:textId="37F8A88C"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CF1461" w:rsidRPr="00E26090">
        <w:rPr>
          <w:lang w:eastAsia="fr-FR"/>
        </w:rPr>
        <w:t xml:space="preserve">De proposer toute mesure en vue d’assurer la mise en œuvre des conventions </w:t>
      </w:r>
      <w:r w:rsidR="00CF1461" w:rsidRPr="00514287">
        <w:rPr>
          <w:rFonts w:asciiTheme="majorBidi" w:hAnsiTheme="majorBidi" w:cstheme="majorBidi"/>
        </w:rPr>
        <w:t>internationales</w:t>
      </w:r>
      <w:r w:rsidR="00CF1461" w:rsidRPr="00E26090">
        <w:rPr>
          <w:lang w:eastAsia="fr-FR"/>
        </w:rPr>
        <w:t xml:space="preserve"> des droits de l’Homme et du droit international humanitaire auxquelles le Maroc est partie</w:t>
      </w:r>
      <w:r w:rsidR="00816BCC">
        <w:rPr>
          <w:lang w:eastAsia="fr-FR"/>
        </w:rPr>
        <w:t> </w:t>
      </w:r>
      <w:r w:rsidR="00CF1461" w:rsidRPr="00E26090">
        <w:rPr>
          <w:lang w:eastAsia="fr-FR"/>
        </w:rPr>
        <w:t>;</w:t>
      </w:r>
    </w:p>
    <w:p w14:paraId="235A32E9" w14:textId="08F19BF5"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CF1461" w:rsidRPr="00E26090">
        <w:rPr>
          <w:lang w:eastAsia="fr-FR"/>
        </w:rPr>
        <w:t xml:space="preserve">D’entreprendre toute action et initiative de nature à favoriser le respect des droits de </w:t>
      </w:r>
      <w:r w:rsidR="00CF1461" w:rsidRPr="00514287">
        <w:rPr>
          <w:rFonts w:asciiTheme="majorBidi" w:hAnsiTheme="majorBidi" w:cstheme="majorBidi"/>
        </w:rPr>
        <w:t>l’Homme</w:t>
      </w:r>
      <w:r w:rsidR="00CF1461" w:rsidRPr="00E26090">
        <w:rPr>
          <w:lang w:eastAsia="fr-FR"/>
        </w:rPr>
        <w:t xml:space="preserve"> dans la mise en œuvre des politiques publiques.</w:t>
      </w:r>
    </w:p>
    <w:p w14:paraId="565FD3E2" w14:textId="17D2B189" w:rsidR="00CF1461" w:rsidRPr="00013F70" w:rsidRDefault="004B5A1A" w:rsidP="004B5A1A">
      <w:pPr>
        <w:pStyle w:val="SingleTxtG"/>
        <w:tabs>
          <w:tab w:val="clear" w:pos="1701"/>
          <w:tab w:val="clear" w:pos="2268"/>
          <w:tab w:val="clear" w:pos="2835"/>
        </w:tabs>
      </w:pPr>
      <w:r w:rsidRPr="00013F70">
        <w:rPr>
          <w:color w:val="000000" w:themeColor="text1"/>
        </w:rPr>
        <w:t>33.</w:t>
      </w:r>
      <w:r w:rsidRPr="00013F70">
        <w:rPr>
          <w:color w:val="000000" w:themeColor="text1"/>
        </w:rPr>
        <w:tab/>
      </w:r>
      <w:r w:rsidR="00CF1461" w:rsidRPr="00B5213F">
        <w:rPr>
          <w:rFonts w:eastAsia="Times New Roman"/>
          <w:lang w:eastAsia="fr-FR"/>
        </w:rPr>
        <w:t>Depuis le 5 avril 2017, date à laquelle l</w:t>
      </w:r>
      <w:r w:rsidR="00CF1461">
        <w:rPr>
          <w:rFonts w:eastAsia="Times New Roman"/>
          <w:lang w:eastAsia="fr-FR"/>
        </w:rPr>
        <w:t xml:space="preserve">’actuel </w:t>
      </w:r>
      <w:r w:rsidR="00CF1461" w:rsidRPr="00B5213F">
        <w:rPr>
          <w:rFonts w:eastAsia="Times New Roman"/>
          <w:lang w:eastAsia="fr-FR"/>
        </w:rPr>
        <w:t>Gouvernement a pris ses fonctions, la DIDH est rattachée au nouveau Ministère d</w:t>
      </w:r>
      <w:r w:rsidR="00CD5A97">
        <w:rPr>
          <w:rFonts w:eastAsia="Times New Roman"/>
          <w:lang w:eastAsia="fr-FR"/>
        </w:rPr>
        <w:t>’</w:t>
      </w:r>
      <w:r w:rsidR="00CF1461" w:rsidRPr="00B5213F">
        <w:rPr>
          <w:rFonts w:eastAsia="Times New Roman"/>
          <w:lang w:eastAsia="fr-FR"/>
        </w:rPr>
        <w:t xml:space="preserve">État chargé des droits de l’Homme, conformément au décret </w:t>
      </w:r>
      <w:r w:rsidR="005A71D7">
        <w:rPr>
          <w:rFonts w:asciiTheme="majorBidi" w:eastAsia="Times New Roman" w:hAnsiTheme="majorBidi" w:cstheme="majorBidi"/>
          <w:color w:val="000000"/>
          <w:lang w:eastAsia="fr-FR"/>
        </w:rPr>
        <w:t>n</w:t>
      </w:r>
      <w:r w:rsidR="005A71D7" w:rsidRPr="00050C02">
        <w:rPr>
          <w:rFonts w:asciiTheme="majorBidi" w:eastAsia="Times New Roman" w:hAnsiTheme="majorBidi" w:cstheme="majorBidi"/>
          <w:color w:val="000000"/>
          <w:vertAlign w:val="superscript"/>
          <w:lang w:eastAsia="fr-FR"/>
        </w:rPr>
        <w:t>o</w:t>
      </w:r>
      <w:r w:rsidR="005A71D7">
        <w:rPr>
          <w:rFonts w:asciiTheme="majorBidi" w:eastAsia="Times New Roman" w:hAnsiTheme="majorBidi" w:cstheme="majorBidi"/>
          <w:color w:val="000000"/>
          <w:lang w:eastAsia="fr-FR"/>
        </w:rPr>
        <w:t> </w:t>
      </w:r>
      <w:r w:rsidR="00CF1461" w:rsidRPr="00B5213F">
        <w:rPr>
          <w:rFonts w:eastAsia="Times New Roman"/>
          <w:lang w:eastAsia="fr-FR"/>
        </w:rPr>
        <w:t>2.17.190</w:t>
      </w:r>
      <w:r w:rsidR="00CF1461">
        <w:rPr>
          <w:rFonts w:eastAsia="Times New Roman"/>
          <w:lang w:eastAsia="fr-FR"/>
        </w:rPr>
        <w:t>,</w:t>
      </w:r>
      <w:r w:rsidR="00CF1461" w:rsidRPr="00B5213F">
        <w:rPr>
          <w:rFonts w:eastAsia="Times New Roman"/>
          <w:lang w:eastAsia="fr-FR"/>
        </w:rPr>
        <w:t xml:space="preserve"> relatif au mandat du Ministre d</w:t>
      </w:r>
      <w:r w:rsidR="00CD5A97">
        <w:rPr>
          <w:rFonts w:eastAsia="Times New Roman"/>
          <w:lang w:eastAsia="fr-FR"/>
        </w:rPr>
        <w:t>’</w:t>
      </w:r>
      <w:r w:rsidR="00CF1461" w:rsidRPr="00B5213F">
        <w:rPr>
          <w:rFonts w:eastAsia="Times New Roman"/>
          <w:lang w:eastAsia="fr-FR"/>
        </w:rPr>
        <w:t xml:space="preserve">État </w:t>
      </w:r>
      <w:r w:rsidR="00CF1461">
        <w:rPr>
          <w:rFonts w:eastAsia="Times New Roman"/>
          <w:lang w:eastAsia="fr-FR"/>
        </w:rPr>
        <w:t>chargé des</w:t>
      </w:r>
      <w:r w:rsidR="00CF1461" w:rsidRPr="00B5213F">
        <w:rPr>
          <w:rFonts w:eastAsia="Times New Roman"/>
          <w:lang w:eastAsia="fr-FR"/>
        </w:rPr>
        <w:t xml:space="preserve"> Droits de l’Homme.</w:t>
      </w:r>
    </w:p>
    <w:p w14:paraId="35506AA1" w14:textId="77777777" w:rsidR="00CF1461" w:rsidRPr="00E26090" w:rsidRDefault="009354AA" w:rsidP="00013F70">
      <w:pPr>
        <w:pStyle w:val="H4G"/>
      </w:pPr>
      <w:r>
        <w:tab/>
      </w:r>
      <w:r w:rsidR="00112CDC">
        <w:t>2.</w:t>
      </w:r>
      <w:r>
        <w:tab/>
      </w:r>
      <w:r w:rsidR="00CF1461" w:rsidRPr="00E26090">
        <w:t>Le Conseil Nationa</w:t>
      </w:r>
      <w:r w:rsidR="00112CDC">
        <w:t>l des Droits de l’Homme (CNDH) </w:t>
      </w:r>
    </w:p>
    <w:p w14:paraId="6917810C" w14:textId="430E54A9"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34.</w:t>
      </w:r>
      <w:r>
        <w:rPr>
          <w:rFonts w:eastAsia="Times New Roman"/>
          <w:color w:val="000000" w:themeColor="text1"/>
          <w:lang w:eastAsia="fr-FR"/>
        </w:rPr>
        <w:tab/>
      </w:r>
      <w:r w:rsidR="00CF1461" w:rsidRPr="003F76A0">
        <w:rPr>
          <w:rFonts w:eastAsia="Times New Roman"/>
          <w:lang w:eastAsia="fr-FR"/>
        </w:rPr>
        <w:t>Créé en vertu du Dahir du 1</w:t>
      </w:r>
      <w:r w:rsidR="00CF1461" w:rsidRPr="003F76A0">
        <w:rPr>
          <w:rFonts w:eastAsia="Times New Roman"/>
          <w:vertAlign w:val="superscript"/>
          <w:lang w:eastAsia="fr-FR"/>
        </w:rPr>
        <w:t>er</w:t>
      </w:r>
      <w:r w:rsidR="00CF1461" w:rsidRPr="003F76A0">
        <w:rPr>
          <w:rFonts w:eastAsia="Times New Roman"/>
          <w:lang w:eastAsia="fr-FR"/>
        </w:rPr>
        <w:t xml:space="preserve"> mars 2011, le CNDH a subrogé le CCDH, créé le 8 mai 1990. </w:t>
      </w:r>
      <w:r w:rsidR="00CF1461">
        <w:rPr>
          <w:rFonts w:eastAsia="Times New Roman"/>
          <w:lang w:eastAsia="fr-FR"/>
        </w:rPr>
        <w:t>L</w:t>
      </w:r>
      <w:r w:rsidR="00CF1461" w:rsidRPr="003F76A0">
        <w:rPr>
          <w:rFonts w:eastAsia="Times New Roman"/>
          <w:lang w:eastAsia="fr-FR"/>
        </w:rPr>
        <w:t>e CNDH est doté de prérogatives et attributions élargies qu’il exerce tant au niveau central qu’à travers ses 13 commissions régionales qui assurent une protection de proximité.</w:t>
      </w:r>
    </w:p>
    <w:p w14:paraId="45BE8C0A" w14:textId="538FF3B4" w:rsidR="00CF1461" w:rsidRPr="003F76A0" w:rsidRDefault="004B5A1A" w:rsidP="004B5A1A">
      <w:pPr>
        <w:pStyle w:val="SingleTxtG"/>
        <w:tabs>
          <w:tab w:val="clear" w:pos="1701"/>
          <w:tab w:val="clear" w:pos="2268"/>
          <w:tab w:val="clear" w:pos="2835"/>
        </w:tabs>
        <w:rPr>
          <w:rFonts w:eastAsia="Times New Roman"/>
          <w:lang w:eastAsia="fr-FR"/>
        </w:rPr>
      </w:pPr>
      <w:r w:rsidRPr="003F76A0">
        <w:rPr>
          <w:rFonts w:eastAsia="Times New Roman"/>
          <w:color w:val="000000" w:themeColor="text1"/>
          <w:lang w:eastAsia="fr-FR"/>
        </w:rPr>
        <w:t>35.</w:t>
      </w:r>
      <w:r w:rsidRPr="003F76A0">
        <w:rPr>
          <w:rFonts w:eastAsia="Times New Roman"/>
          <w:color w:val="000000" w:themeColor="text1"/>
          <w:lang w:eastAsia="fr-FR"/>
        </w:rPr>
        <w:tab/>
      </w:r>
      <w:r w:rsidR="00CF1461" w:rsidRPr="003F76A0">
        <w:rPr>
          <w:rFonts w:eastAsia="Times New Roman"/>
          <w:lang w:eastAsia="fr-FR"/>
        </w:rPr>
        <w:t xml:space="preserve">En vertu de la loi </w:t>
      </w:r>
      <w:r w:rsidR="003D3EB1">
        <w:rPr>
          <w:rFonts w:asciiTheme="majorBidi" w:eastAsia="Times New Roman" w:hAnsiTheme="majorBidi" w:cstheme="majorBidi"/>
          <w:color w:val="000000"/>
          <w:lang w:eastAsia="fr-FR"/>
        </w:rPr>
        <w:t>n</w:t>
      </w:r>
      <w:r w:rsidR="003D3EB1" w:rsidRPr="00050C02">
        <w:rPr>
          <w:rFonts w:asciiTheme="majorBidi" w:eastAsia="Times New Roman" w:hAnsiTheme="majorBidi" w:cstheme="majorBidi"/>
          <w:color w:val="000000"/>
          <w:vertAlign w:val="superscript"/>
          <w:lang w:eastAsia="fr-FR"/>
        </w:rPr>
        <w:t>o</w:t>
      </w:r>
      <w:r w:rsidR="003D3EB1">
        <w:rPr>
          <w:rFonts w:asciiTheme="majorBidi" w:eastAsia="Times New Roman" w:hAnsiTheme="majorBidi" w:cstheme="majorBidi"/>
          <w:color w:val="000000"/>
          <w:lang w:eastAsia="fr-FR"/>
        </w:rPr>
        <w:t> </w:t>
      </w:r>
      <w:r w:rsidR="00CF1461" w:rsidRPr="003F76A0">
        <w:rPr>
          <w:rFonts w:eastAsia="Times New Roman"/>
          <w:lang w:eastAsia="fr-FR"/>
        </w:rPr>
        <w:t>76.15 relative à la réorganisation du CNDH, publiée le 1</w:t>
      </w:r>
      <w:r w:rsidR="00CF1461" w:rsidRPr="003F76A0">
        <w:rPr>
          <w:rFonts w:eastAsia="Times New Roman"/>
          <w:vertAlign w:val="superscript"/>
          <w:lang w:eastAsia="fr-FR"/>
        </w:rPr>
        <w:t>er</w:t>
      </w:r>
      <w:r w:rsidR="00CF1461" w:rsidRPr="003F76A0">
        <w:rPr>
          <w:rFonts w:eastAsia="Times New Roman"/>
          <w:lang w:eastAsia="fr-FR"/>
        </w:rPr>
        <w:t xml:space="preserve"> mars 2018, ce Conseil exerce les compétences de trois mécanismes nationaux suivants : le</w:t>
      </w:r>
      <w:r w:rsidR="005A71D7">
        <w:rPr>
          <w:rFonts w:eastAsia="Times New Roman"/>
          <w:lang w:eastAsia="fr-FR"/>
        </w:rPr>
        <w:t> </w:t>
      </w:r>
      <w:r w:rsidR="00CF1461" w:rsidRPr="003F76A0">
        <w:rPr>
          <w:rFonts w:eastAsia="Times New Roman"/>
          <w:lang w:eastAsia="fr-FR"/>
        </w:rPr>
        <w:t>mécanisme national de prévention de la torture et autres peines ou traitements cruels, inhumains ou dégradants ; le mécanisme national de recours pour les enfants victimes de violation de leurs droits ; et le mécanisme national de protection des droits des personnes en situation de handicap.</w:t>
      </w:r>
    </w:p>
    <w:p w14:paraId="3A0F3DF0" w14:textId="13BB9671"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36.</w:t>
      </w:r>
      <w:r w:rsidRPr="00E26090">
        <w:rPr>
          <w:rFonts w:eastAsia="Times New Roman"/>
          <w:color w:val="000000" w:themeColor="text1"/>
          <w:lang w:eastAsia="fr-FR"/>
        </w:rPr>
        <w:tab/>
      </w:r>
      <w:r w:rsidR="00CF1461" w:rsidRPr="00E26090">
        <w:rPr>
          <w:rFonts w:eastAsia="Times New Roman"/>
          <w:lang w:eastAsia="fr-FR"/>
        </w:rPr>
        <w:t>Dans l’exercice de sa mission de protection, le CNDH a reçu 62</w:t>
      </w:r>
      <w:r w:rsidR="00C927C9">
        <w:rPr>
          <w:rFonts w:eastAsia="Times New Roman"/>
          <w:lang w:eastAsia="fr-FR"/>
        </w:rPr>
        <w:t> </w:t>
      </w:r>
      <w:r w:rsidR="00CF1461" w:rsidRPr="00E26090">
        <w:rPr>
          <w:rFonts w:eastAsia="Times New Roman"/>
          <w:lang w:eastAsia="fr-FR"/>
        </w:rPr>
        <w:t>627 plaintes entre 2011 et 2017, dont 9</w:t>
      </w:r>
      <w:r w:rsidR="00C927C9">
        <w:rPr>
          <w:rFonts w:eastAsia="Times New Roman"/>
          <w:lang w:eastAsia="fr-FR"/>
        </w:rPr>
        <w:t> </w:t>
      </w:r>
      <w:r w:rsidR="00CF1461" w:rsidRPr="00E26090">
        <w:rPr>
          <w:rFonts w:eastAsia="Times New Roman"/>
          <w:lang w:eastAsia="fr-FR"/>
        </w:rPr>
        <w:t>416 en provenance de détenus, ou en rapport avec les prisons, soit une moyenne de 1</w:t>
      </w:r>
      <w:r w:rsidR="00C927C9">
        <w:rPr>
          <w:rFonts w:eastAsia="Times New Roman"/>
          <w:lang w:eastAsia="fr-FR"/>
        </w:rPr>
        <w:t> </w:t>
      </w:r>
      <w:r w:rsidR="00CF1461" w:rsidRPr="00E26090">
        <w:rPr>
          <w:rFonts w:eastAsia="Times New Roman"/>
          <w:lang w:eastAsia="fr-FR"/>
        </w:rPr>
        <w:t>800 plaintes par an émanant de détenus ou de leurs familles (1</w:t>
      </w:r>
      <w:r w:rsidR="00C927C9">
        <w:rPr>
          <w:rFonts w:eastAsia="Times New Roman"/>
          <w:lang w:eastAsia="fr-FR"/>
        </w:rPr>
        <w:t>,</w:t>
      </w:r>
      <w:r w:rsidR="00CF1461" w:rsidRPr="00E26090">
        <w:rPr>
          <w:rFonts w:eastAsia="Times New Roman"/>
          <w:lang w:eastAsia="fr-FR"/>
        </w:rPr>
        <w:t>5</w:t>
      </w:r>
      <w:r w:rsidR="00372939">
        <w:rPr>
          <w:rFonts w:eastAsia="Times New Roman"/>
          <w:lang w:eastAsia="fr-FR"/>
        </w:rPr>
        <w:t> %</w:t>
      </w:r>
      <w:r w:rsidR="00CF1461" w:rsidRPr="00E26090">
        <w:rPr>
          <w:rFonts w:eastAsia="Times New Roman"/>
          <w:lang w:eastAsia="fr-FR"/>
        </w:rPr>
        <w:t xml:space="preserve"> concernent les allégations de torture). </w:t>
      </w:r>
    </w:p>
    <w:p w14:paraId="75C80603" w14:textId="57A79870"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37.</w:t>
      </w:r>
      <w:r w:rsidRPr="00E26090">
        <w:rPr>
          <w:rFonts w:eastAsia="Times New Roman"/>
          <w:color w:val="000000" w:themeColor="text1"/>
          <w:lang w:eastAsia="fr-FR"/>
        </w:rPr>
        <w:tab/>
      </w:r>
      <w:r w:rsidR="00CF1461" w:rsidRPr="00E26090">
        <w:rPr>
          <w:rFonts w:eastAsia="Times New Roman"/>
          <w:lang w:eastAsia="fr-FR"/>
        </w:rPr>
        <w:t xml:space="preserve">Le CNDH et ses Commissions régionales effectuent </w:t>
      </w:r>
      <w:r w:rsidR="00CF1461">
        <w:rPr>
          <w:rFonts w:eastAsia="Times New Roman"/>
          <w:lang w:eastAsia="fr-FR"/>
        </w:rPr>
        <w:t>une</w:t>
      </w:r>
      <w:r w:rsidR="00CF1461" w:rsidRPr="00E26090">
        <w:rPr>
          <w:rFonts w:eastAsia="Times New Roman"/>
          <w:lang w:eastAsia="fr-FR"/>
        </w:rPr>
        <w:t xml:space="preserve"> moyenne </w:t>
      </w:r>
      <w:r w:rsidR="00CF1461">
        <w:rPr>
          <w:rFonts w:eastAsia="Times New Roman"/>
          <w:lang w:eastAsia="fr-FR"/>
        </w:rPr>
        <w:t xml:space="preserve">annuelle de </w:t>
      </w:r>
      <w:r w:rsidR="00CF1461" w:rsidRPr="00E26090">
        <w:rPr>
          <w:rFonts w:eastAsia="Times New Roman"/>
          <w:lang w:eastAsia="fr-FR"/>
        </w:rPr>
        <w:t>300</w:t>
      </w:r>
      <w:r w:rsidR="0081005D">
        <w:rPr>
          <w:rFonts w:eastAsia="Times New Roman"/>
          <w:lang w:eastAsia="fr-FR"/>
        </w:rPr>
        <w:t> </w:t>
      </w:r>
      <w:r w:rsidR="00CF1461" w:rsidRPr="00E26090">
        <w:rPr>
          <w:rFonts w:eastAsia="Times New Roman"/>
          <w:lang w:eastAsia="fr-FR"/>
        </w:rPr>
        <w:t xml:space="preserve">visites </w:t>
      </w:r>
      <w:r w:rsidR="00CF1461">
        <w:rPr>
          <w:rFonts w:eastAsia="Times New Roman"/>
          <w:lang w:eastAsia="fr-FR"/>
        </w:rPr>
        <w:t>dans les</w:t>
      </w:r>
      <w:r w:rsidR="00CF1461" w:rsidRPr="00E26090">
        <w:rPr>
          <w:rFonts w:eastAsia="Times New Roman"/>
          <w:lang w:eastAsia="fr-FR"/>
        </w:rPr>
        <w:t xml:space="preserve"> prisons.</w:t>
      </w:r>
    </w:p>
    <w:p w14:paraId="159B9B87" w14:textId="77777777" w:rsidR="00CF1461" w:rsidRPr="00E26090" w:rsidRDefault="009354AA" w:rsidP="00013F70">
      <w:pPr>
        <w:pStyle w:val="H4G"/>
      </w:pPr>
      <w:r>
        <w:lastRenderedPageBreak/>
        <w:tab/>
      </w:r>
      <w:r w:rsidR="00112CDC">
        <w:t>3.</w:t>
      </w:r>
      <w:r>
        <w:tab/>
      </w:r>
      <w:r w:rsidR="00CF1461" w:rsidRPr="00E26090">
        <w:t>L’insti</w:t>
      </w:r>
      <w:r w:rsidR="00112CDC">
        <w:t>tution du Médiateur du Royaume</w:t>
      </w:r>
    </w:p>
    <w:p w14:paraId="0DAA3607" w14:textId="243FB38F"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38.</w:t>
      </w:r>
      <w:r w:rsidRPr="00E26090">
        <w:rPr>
          <w:rFonts w:eastAsia="Times New Roman"/>
          <w:color w:val="000000" w:themeColor="text1"/>
          <w:lang w:eastAsia="fr-FR"/>
        </w:rPr>
        <w:tab/>
      </w:r>
      <w:r w:rsidR="00CF1461" w:rsidRPr="00E26090">
        <w:rPr>
          <w:rFonts w:eastAsia="Times New Roman"/>
          <w:lang w:eastAsia="fr-FR"/>
        </w:rPr>
        <w:t>L</w:t>
      </w:r>
      <w:r w:rsidR="00CF1461">
        <w:rPr>
          <w:rFonts w:eastAsia="Times New Roman"/>
          <w:lang w:eastAsia="fr-FR"/>
        </w:rPr>
        <w:t xml:space="preserve">e </w:t>
      </w:r>
      <w:r w:rsidR="00CF1461" w:rsidRPr="00E26090">
        <w:rPr>
          <w:rFonts w:eastAsia="Times New Roman"/>
          <w:lang w:eastAsia="fr-FR"/>
        </w:rPr>
        <w:t>Médiateur du Royaume est une institution constitutionnelle, créée par Dahir du 17</w:t>
      </w:r>
      <w:r w:rsidR="00C927C9">
        <w:rPr>
          <w:rFonts w:eastAsia="Times New Roman"/>
          <w:lang w:eastAsia="fr-FR"/>
        </w:rPr>
        <w:t> </w:t>
      </w:r>
      <w:r w:rsidR="00CF1461" w:rsidRPr="00E26090">
        <w:rPr>
          <w:rFonts w:eastAsia="Times New Roman"/>
          <w:lang w:eastAsia="fr-FR"/>
        </w:rPr>
        <w:t xml:space="preserve">mars 2011, en vue de moderniser l’institution de </w:t>
      </w:r>
      <w:proofErr w:type="spellStart"/>
      <w:r w:rsidR="00CF1461" w:rsidRPr="00E26090">
        <w:rPr>
          <w:rFonts w:eastAsia="Times New Roman"/>
          <w:lang w:eastAsia="fr-FR"/>
        </w:rPr>
        <w:t>Diwan</w:t>
      </w:r>
      <w:proofErr w:type="spellEnd"/>
      <w:r w:rsidR="00CF1461" w:rsidRPr="00E26090">
        <w:rPr>
          <w:rFonts w:eastAsia="Times New Roman"/>
          <w:lang w:eastAsia="fr-FR"/>
        </w:rPr>
        <w:t xml:space="preserve"> al-</w:t>
      </w:r>
      <w:proofErr w:type="spellStart"/>
      <w:r w:rsidR="00CF1461" w:rsidRPr="00E26090">
        <w:rPr>
          <w:rFonts w:eastAsia="Times New Roman"/>
          <w:lang w:eastAsia="fr-FR"/>
        </w:rPr>
        <w:t>Madhalim</w:t>
      </w:r>
      <w:proofErr w:type="spellEnd"/>
      <w:r w:rsidR="00CF1461" w:rsidRPr="00E26090">
        <w:rPr>
          <w:rFonts w:eastAsia="Times New Roman"/>
          <w:lang w:eastAsia="fr-FR"/>
        </w:rPr>
        <w:t xml:space="preserve"> pour devenir une institution nationale, indépendante et spécialisée, en harmonie avec les standards internationaux.</w:t>
      </w:r>
    </w:p>
    <w:p w14:paraId="55E775EB" w14:textId="7470BE41"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39.</w:t>
      </w:r>
      <w:r w:rsidRPr="00855577">
        <w:rPr>
          <w:rFonts w:eastAsia="Times New Roman"/>
          <w:color w:val="000000" w:themeColor="text1"/>
          <w:lang w:eastAsia="fr-FR"/>
        </w:rPr>
        <w:tab/>
      </w:r>
      <w:r w:rsidR="00CF1461" w:rsidRPr="00E26090">
        <w:rPr>
          <w:rFonts w:eastAsia="Times New Roman"/>
          <w:lang w:eastAsia="fr-FR"/>
        </w:rPr>
        <w:t>La principale mission d</w:t>
      </w:r>
      <w:r w:rsidR="00CF1461">
        <w:rPr>
          <w:rFonts w:eastAsia="Times New Roman"/>
          <w:lang w:eastAsia="fr-FR"/>
        </w:rPr>
        <w:t>u Médiateur</w:t>
      </w:r>
      <w:r w:rsidR="00CF1461" w:rsidRPr="00E26090">
        <w:rPr>
          <w:rFonts w:eastAsia="Times New Roman"/>
          <w:lang w:eastAsia="fr-FR"/>
        </w:rPr>
        <w:t xml:space="preserve"> consiste à </w:t>
      </w:r>
      <w:r w:rsidR="00CF1461">
        <w:rPr>
          <w:rFonts w:eastAsia="Times New Roman"/>
          <w:lang w:eastAsia="fr-FR"/>
        </w:rPr>
        <w:t>promouvoir l</w:t>
      </w:r>
      <w:r w:rsidR="00CF1461" w:rsidRPr="00E26090">
        <w:rPr>
          <w:rFonts w:eastAsia="Times New Roman"/>
          <w:lang w:eastAsia="fr-FR"/>
        </w:rPr>
        <w:t xml:space="preserve">es </w:t>
      </w:r>
      <w:r w:rsidR="00CF1461" w:rsidRPr="003F76A0">
        <w:rPr>
          <w:rFonts w:eastAsia="Times New Roman"/>
          <w:lang w:eastAsia="fr-FR"/>
        </w:rPr>
        <w:t xml:space="preserve">principes d’égalité, de non-discrimination </w:t>
      </w:r>
      <w:r w:rsidR="00CF1461" w:rsidRPr="00E26090">
        <w:rPr>
          <w:rFonts w:eastAsia="Times New Roman"/>
          <w:lang w:eastAsia="fr-FR"/>
        </w:rPr>
        <w:t xml:space="preserve">et de transparence dans la gestion des services </w:t>
      </w:r>
      <w:r w:rsidR="00CF1461">
        <w:rPr>
          <w:rFonts w:eastAsia="Times New Roman"/>
          <w:lang w:eastAsia="fr-FR"/>
        </w:rPr>
        <w:t xml:space="preserve">et </w:t>
      </w:r>
      <w:r w:rsidR="00CF1461" w:rsidRPr="00E26090">
        <w:rPr>
          <w:rFonts w:eastAsia="Times New Roman"/>
          <w:lang w:eastAsia="fr-FR"/>
        </w:rPr>
        <w:t xml:space="preserve">administrations publics </w:t>
      </w:r>
      <w:r w:rsidR="00CF1461">
        <w:rPr>
          <w:rFonts w:eastAsia="Times New Roman"/>
          <w:lang w:eastAsia="fr-FR"/>
        </w:rPr>
        <w:t>(</w:t>
      </w:r>
      <w:r w:rsidR="00CF1461" w:rsidRPr="00DF6642">
        <w:rPr>
          <w:rFonts w:eastAsia="Times New Roman"/>
          <w:lang w:eastAsia="fr-FR"/>
        </w:rPr>
        <w:t>collectivités territoriales, établissements publics, organismes dotés de prérogatives de la puissance publique</w:t>
      </w:r>
      <w:r w:rsidR="00CF1461">
        <w:rPr>
          <w:rFonts w:eastAsia="Times New Roman"/>
          <w:lang w:eastAsia="fr-FR"/>
        </w:rPr>
        <w:t>) en face de toutes</w:t>
      </w:r>
      <w:r w:rsidR="00CF1461" w:rsidRPr="00E26090">
        <w:rPr>
          <w:rFonts w:eastAsia="Times New Roman"/>
          <w:lang w:eastAsia="fr-FR"/>
        </w:rPr>
        <w:t xml:space="preserve"> personnes qu’elles soient physiques ou morales, </w:t>
      </w:r>
      <w:r w:rsidR="00CF1461" w:rsidRPr="00F84A8A">
        <w:rPr>
          <w:rFonts w:eastAsia="Times New Roman"/>
          <w:lang w:eastAsia="fr-FR"/>
        </w:rPr>
        <w:t xml:space="preserve">marocaines ou étrangères, </w:t>
      </w:r>
      <w:r w:rsidR="00CF1461" w:rsidRPr="00E26090">
        <w:rPr>
          <w:rFonts w:eastAsia="Times New Roman"/>
          <w:lang w:eastAsia="fr-FR"/>
        </w:rPr>
        <w:t>agissant à titre individuel ou collectif</w:t>
      </w:r>
      <w:r w:rsidR="00CF1461" w:rsidRPr="003C06D3">
        <w:rPr>
          <w:rStyle w:val="Appelnotedebasdep"/>
        </w:rPr>
        <w:footnoteReference w:id="19"/>
      </w:r>
      <w:r w:rsidR="00112CDC">
        <w:rPr>
          <w:rFonts w:eastAsia="Times New Roman"/>
          <w:lang w:eastAsia="fr-FR"/>
        </w:rPr>
        <w:t>.</w:t>
      </w:r>
    </w:p>
    <w:p w14:paraId="2BA3AE3C" w14:textId="66235495"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40.</w:t>
      </w:r>
      <w:r>
        <w:rPr>
          <w:rFonts w:eastAsia="Times New Roman"/>
          <w:color w:val="000000" w:themeColor="text1"/>
          <w:lang w:eastAsia="fr-FR"/>
        </w:rPr>
        <w:tab/>
      </w:r>
      <w:r w:rsidR="00CF1461">
        <w:rPr>
          <w:rFonts w:eastAsia="Times New Roman"/>
          <w:lang w:eastAsia="fr-FR"/>
        </w:rPr>
        <w:t>Depuis</w:t>
      </w:r>
      <w:r w:rsidR="00CF1461" w:rsidRPr="00E26090">
        <w:rPr>
          <w:rFonts w:eastAsia="Times New Roman"/>
          <w:lang w:eastAsia="fr-FR"/>
        </w:rPr>
        <w:t xml:space="preserve"> 201</w:t>
      </w:r>
      <w:r w:rsidR="00CF1461">
        <w:rPr>
          <w:rFonts w:eastAsia="Times New Roman"/>
          <w:lang w:eastAsia="fr-FR"/>
        </w:rPr>
        <w:t>4</w:t>
      </w:r>
      <w:r w:rsidR="00CF1461" w:rsidRPr="00E26090">
        <w:rPr>
          <w:rFonts w:eastAsia="Times New Roman"/>
          <w:lang w:eastAsia="fr-FR"/>
        </w:rPr>
        <w:t>, l’Institution compte 4 délégations régionales dans les villes de Laayoune, Meknès, Tanger et Casablanca</w:t>
      </w:r>
      <w:r w:rsidR="00CF1461">
        <w:rPr>
          <w:rFonts w:eastAsia="Times New Roman"/>
          <w:lang w:eastAsia="fr-FR"/>
        </w:rPr>
        <w:t>, outre</w:t>
      </w:r>
      <w:r w:rsidR="00CF1461" w:rsidRPr="00E26090">
        <w:rPr>
          <w:rFonts w:eastAsia="Times New Roman"/>
          <w:lang w:eastAsia="fr-FR"/>
        </w:rPr>
        <w:t xml:space="preserve"> une délégation provinciale à Fès</w:t>
      </w:r>
      <w:r w:rsidR="00CF1461">
        <w:rPr>
          <w:rFonts w:eastAsia="Times New Roman"/>
          <w:lang w:eastAsia="fr-FR"/>
        </w:rPr>
        <w:t xml:space="preserve"> et quatre </w:t>
      </w:r>
      <w:r w:rsidR="00CF1461" w:rsidRPr="00CE6978">
        <w:rPr>
          <w:rFonts w:eastAsia="Times New Roman"/>
          <w:lang w:eastAsia="fr-FR"/>
        </w:rPr>
        <w:t>Point</w:t>
      </w:r>
      <w:r w:rsidR="00CF1461">
        <w:rPr>
          <w:rFonts w:eastAsia="Times New Roman"/>
          <w:lang w:eastAsia="fr-FR"/>
        </w:rPr>
        <w:t>s</w:t>
      </w:r>
      <w:r w:rsidR="00CF1461" w:rsidRPr="00CE6978">
        <w:rPr>
          <w:rFonts w:eastAsia="Times New Roman"/>
          <w:lang w:eastAsia="fr-FR"/>
        </w:rPr>
        <w:t xml:space="preserve"> de contact </w:t>
      </w:r>
      <w:r w:rsidR="00CF1461">
        <w:rPr>
          <w:rFonts w:eastAsia="Times New Roman"/>
          <w:lang w:eastAsia="fr-FR"/>
        </w:rPr>
        <w:t xml:space="preserve">aux niveaux des régions de </w:t>
      </w:r>
      <w:r w:rsidR="00CF1461" w:rsidRPr="00CE6978">
        <w:rPr>
          <w:rFonts w:eastAsia="Times New Roman"/>
          <w:lang w:eastAsia="fr-FR"/>
        </w:rPr>
        <w:t>l</w:t>
      </w:r>
      <w:r w:rsidR="00CD5A97">
        <w:rPr>
          <w:rFonts w:eastAsia="Times New Roman"/>
          <w:lang w:eastAsia="fr-FR"/>
        </w:rPr>
        <w:t>’</w:t>
      </w:r>
      <w:r w:rsidR="00CF1461" w:rsidRPr="00CE6978">
        <w:rPr>
          <w:rFonts w:eastAsia="Times New Roman"/>
          <w:lang w:eastAsia="fr-FR"/>
        </w:rPr>
        <w:t>Oriental</w:t>
      </w:r>
      <w:r w:rsidR="00CF1461">
        <w:rPr>
          <w:rFonts w:eastAsia="Times New Roman"/>
          <w:lang w:eastAsia="fr-FR"/>
        </w:rPr>
        <w:t xml:space="preserve">, </w:t>
      </w:r>
      <w:r w:rsidR="00CF1461" w:rsidRPr="00CE6978">
        <w:rPr>
          <w:rFonts w:eastAsia="Times New Roman"/>
          <w:lang w:eastAsia="fr-FR"/>
        </w:rPr>
        <w:t>Souss</w:t>
      </w:r>
      <w:r w:rsidR="00CF1461">
        <w:rPr>
          <w:rFonts w:eastAsia="Times New Roman"/>
          <w:lang w:eastAsia="fr-FR"/>
        </w:rPr>
        <w:t>-</w:t>
      </w:r>
      <w:r w:rsidR="00CF1461" w:rsidRPr="00CE6978">
        <w:rPr>
          <w:rFonts w:eastAsia="Times New Roman"/>
          <w:lang w:eastAsia="fr-FR"/>
        </w:rPr>
        <w:t>Massa</w:t>
      </w:r>
      <w:r w:rsidR="00CF1461">
        <w:rPr>
          <w:rFonts w:eastAsia="Times New Roman"/>
          <w:lang w:eastAsia="fr-FR"/>
        </w:rPr>
        <w:t xml:space="preserve">, </w:t>
      </w:r>
      <w:r w:rsidR="00CF1461" w:rsidRPr="00CE6978">
        <w:rPr>
          <w:rFonts w:eastAsia="Times New Roman"/>
          <w:lang w:eastAsia="fr-FR"/>
        </w:rPr>
        <w:t>Marrakech Safi</w:t>
      </w:r>
      <w:r w:rsidR="00CF1461">
        <w:rPr>
          <w:rFonts w:eastAsia="Times New Roman"/>
          <w:lang w:eastAsia="fr-FR"/>
        </w:rPr>
        <w:t xml:space="preserve"> et</w:t>
      </w:r>
      <w:r w:rsidR="00CF1461" w:rsidRPr="00855577">
        <w:rPr>
          <w:rFonts w:eastAsia="Times New Roman"/>
          <w:lang w:eastAsia="fr-FR"/>
        </w:rPr>
        <w:t xml:space="preserve"> </w:t>
      </w:r>
      <w:r w:rsidR="00CF1461" w:rsidRPr="00CE6978">
        <w:rPr>
          <w:rFonts w:eastAsia="Times New Roman"/>
          <w:lang w:eastAsia="fr-FR"/>
        </w:rPr>
        <w:t>Béni</w:t>
      </w:r>
      <w:r w:rsidR="00CF1461" w:rsidRPr="00855577">
        <w:rPr>
          <w:rFonts w:eastAsia="Times New Roman"/>
          <w:lang w:eastAsia="fr-FR"/>
        </w:rPr>
        <w:t xml:space="preserve"> </w:t>
      </w:r>
      <w:r w:rsidR="00CF1461" w:rsidRPr="00CE6978">
        <w:rPr>
          <w:rFonts w:eastAsia="Times New Roman"/>
          <w:lang w:eastAsia="fr-FR"/>
        </w:rPr>
        <w:t>Mellal-</w:t>
      </w:r>
      <w:proofErr w:type="spellStart"/>
      <w:r w:rsidR="00CF1461" w:rsidRPr="00CE6978">
        <w:rPr>
          <w:rFonts w:eastAsia="Times New Roman"/>
          <w:lang w:eastAsia="fr-FR"/>
        </w:rPr>
        <w:t>Khénifra</w:t>
      </w:r>
      <w:proofErr w:type="spellEnd"/>
      <w:r w:rsidR="00CF1461" w:rsidRPr="00E26090">
        <w:rPr>
          <w:rFonts w:eastAsia="Times New Roman"/>
          <w:lang w:eastAsia="fr-FR"/>
        </w:rPr>
        <w:t>.</w:t>
      </w:r>
    </w:p>
    <w:p w14:paraId="416002EC" w14:textId="78DD8AD0" w:rsidR="00CF1461" w:rsidRPr="00BB5C9A" w:rsidRDefault="004B5A1A" w:rsidP="004B5A1A">
      <w:pPr>
        <w:pStyle w:val="SingleTxtG"/>
        <w:tabs>
          <w:tab w:val="clear" w:pos="1701"/>
          <w:tab w:val="clear" w:pos="2268"/>
          <w:tab w:val="clear" w:pos="2835"/>
        </w:tabs>
        <w:rPr>
          <w:rFonts w:eastAsia="Times New Roman"/>
          <w:lang w:eastAsia="fr-FR"/>
        </w:rPr>
      </w:pPr>
      <w:r w:rsidRPr="00BB5C9A">
        <w:rPr>
          <w:rFonts w:eastAsia="Times New Roman"/>
          <w:color w:val="000000" w:themeColor="text1"/>
          <w:lang w:eastAsia="fr-FR"/>
        </w:rPr>
        <w:t>41.</w:t>
      </w:r>
      <w:r w:rsidRPr="00BB5C9A">
        <w:rPr>
          <w:rFonts w:eastAsia="Times New Roman"/>
          <w:color w:val="000000" w:themeColor="text1"/>
          <w:lang w:eastAsia="fr-FR"/>
        </w:rPr>
        <w:tab/>
      </w:r>
      <w:r w:rsidR="00CF1461" w:rsidRPr="00BB5C9A">
        <w:rPr>
          <w:rFonts w:eastAsia="Times New Roman"/>
          <w:lang w:eastAsia="fr-FR"/>
        </w:rPr>
        <w:t>De</w:t>
      </w:r>
      <w:r w:rsidR="00CF1461">
        <w:rPr>
          <w:rFonts w:eastAsia="Times New Roman"/>
          <w:lang w:eastAsia="fr-FR"/>
        </w:rPr>
        <w:t xml:space="preserve"> </w:t>
      </w:r>
      <w:r w:rsidR="00CF1461" w:rsidRPr="00BB5C9A">
        <w:rPr>
          <w:rFonts w:eastAsia="Times New Roman"/>
          <w:lang w:eastAsia="fr-FR"/>
        </w:rPr>
        <w:t xml:space="preserve">2011 </w:t>
      </w:r>
      <w:r w:rsidR="00CF1461">
        <w:rPr>
          <w:rFonts w:eastAsia="Times New Roman"/>
          <w:lang w:eastAsia="fr-FR"/>
        </w:rPr>
        <w:t>à</w:t>
      </w:r>
      <w:r w:rsidR="00CF1461" w:rsidRPr="00BB5C9A">
        <w:rPr>
          <w:rFonts w:eastAsia="Times New Roman"/>
          <w:lang w:eastAsia="fr-FR"/>
        </w:rPr>
        <w:t xml:space="preserve"> 2017/2018, l’Institution a réceptionné 65</w:t>
      </w:r>
      <w:r w:rsidR="00236952">
        <w:rPr>
          <w:rFonts w:eastAsia="Times New Roman"/>
          <w:lang w:eastAsia="fr-FR"/>
        </w:rPr>
        <w:t> </w:t>
      </w:r>
      <w:r w:rsidR="00CF1461" w:rsidRPr="00BB5C9A">
        <w:rPr>
          <w:rFonts w:eastAsia="Times New Roman"/>
          <w:lang w:eastAsia="fr-FR"/>
        </w:rPr>
        <w:t>323 plaintes. Sur ce total enregistré, 50</w:t>
      </w:r>
      <w:r w:rsidR="00236952">
        <w:rPr>
          <w:rFonts w:eastAsia="Times New Roman"/>
          <w:lang w:eastAsia="fr-FR"/>
        </w:rPr>
        <w:t> </w:t>
      </w:r>
      <w:r w:rsidR="00CF1461" w:rsidRPr="00BB5C9A">
        <w:rPr>
          <w:rFonts w:eastAsia="Times New Roman"/>
          <w:lang w:eastAsia="fr-FR"/>
        </w:rPr>
        <w:t>688 plaintes ont fait l’objet d’orientation et 14</w:t>
      </w:r>
      <w:r w:rsidR="00236952">
        <w:rPr>
          <w:rFonts w:eastAsia="Times New Roman"/>
          <w:lang w:eastAsia="fr-FR"/>
        </w:rPr>
        <w:t> </w:t>
      </w:r>
      <w:r w:rsidR="00CF1461" w:rsidRPr="00BB5C9A">
        <w:rPr>
          <w:rFonts w:eastAsia="Times New Roman"/>
          <w:lang w:eastAsia="fr-FR"/>
        </w:rPr>
        <w:t>635 ont fait partie des compétences de l’Institution.</w:t>
      </w:r>
    </w:p>
    <w:p w14:paraId="1B5CEA62" w14:textId="03FF6BF7"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42.</w:t>
      </w:r>
      <w:r w:rsidRPr="00E26090">
        <w:rPr>
          <w:rFonts w:eastAsia="Times New Roman"/>
          <w:color w:val="000000" w:themeColor="text1"/>
          <w:lang w:eastAsia="fr-FR"/>
        </w:rPr>
        <w:tab/>
      </w:r>
      <w:r w:rsidR="00CF1461">
        <w:rPr>
          <w:rFonts w:eastAsia="Times New Roman"/>
          <w:lang w:eastAsia="fr-FR"/>
        </w:rPr>
        <w:t xml:space="preserve">Pour les </w:t>
      </w:r>
      <w:r w:rsidR="00CF1461" w:rsidRPr="00CF2538">
        <w:rPr>
          <w:rFonts w:eastAsia="Times New Roman"/>
          <w:lang w:eastAsia="fr-FR"/>
        </w:rPr>
        <w:t>2</w:t>
      </w:r>
      <w:r w:rsidR="00236952">
        <w:rPr>
          <w:rFonts w:eastAsia="Times New Roman"/>
          <w:lang w:eastAsia="fr-FR"/>
        </w:rPr>
        <w:t> </w:t>
      </w:r>
      <w:r w:rsidR="00CF1461" w:rsidRPr="00CF2538">
        <w:rPr>
          <w:rFonts w:eastAsia="Times New Roman"/>
          <w:lang w:eastAsia="fr-FR"/>
        </w:rPr>
        <w:t xml:space="preserve">713 </w:t>
      </w:r>
      <w:r w:rsidR="00CF1461">
        <w:rPr>
          <w:rFonts w:eastAsia="Times New Roman"/>
          <w:lang w:eastAsia="fr-FR"/>
        </w:rPr>
        <w:t>plaintes relevant du</w:t>
      </w:r>
      <w:r w:rsidR="00CF1461" w:rsidRPr="00CF2538">
        <w:rPr>
          <w:rFonts w:eastAsia="Times New Roman"/>
          <w:lang w:eastAsia="fr-FR"/>
        </w:rPr>
        <w:t xml:space="preserve"> champ de </w:t>
      </w:r>
      <w:r w:rsidR="00CF1461">
        <w:rPr>
          <w:rFonts w:eastAsia="Times New Roman"/>
          <w:lang w:eastAsia="fr-FR"/>
        </w:rPr>
        <w:t xml:space="preserve">ses compétences, enregistrées en 2017/2018, </w:t>
      </w:r>
      <w:r w:rsidR="00CF1461" w:rsidRPr="00CF2538">
        <w:rPr>
          <w:rFonts w:eastAsia="Times New Roman"/>
          <w:lang w:eastAsia="fr-FR"/>
        </w:rPr>
        <w:t>l’Institution a saisi à leur sujet les différentes administrations de 2</w:t>
      </w:r>
      <w:r w:rsidR="00236952">
        <w:rPr>
          <w:rFonts w:eastAsia="Times New Roman"/>
          <w:lang w:eastAsia="fr-FR"/>
        </w:rPr>
        <w:t> </w:t>
      </w:r>
      <w:r w:rsidR="00CF1461" w:rsidRPr="00CF2538">
        <w:rPr>
          <w:rFonts w:eastAsia="Times New Roman"/>
          <w:lang w:eastAsia="fr-FR"/>
        </w:rPr>
        <w:t>049 plaintes, et a demandé à 458 plaignants des compléments d’informations utiles.</w:t>
      </w:r>
      <w:r w:rsidR="00CF1461" w:rsidRPr="00B1459D">
        <w:rPr>
          <w:rFonts w:eastAsia="Times New Roman"/>
          <w:lang w:eastAsia="fr-FR"/>
        </w:rPr>
        <w:t xml:space="preserve"> </w:t>
      </w:r>
      <w:r w:rsidR="00CF1461" w:rsidRPr="00CF2538">
        <w:rPr>
          <w:rFonts w:eastAsia="Times New Roman"/>
          <w:lang w:eastAsia="fr-FR"/>
        </w:rPr>
        <w:t xml:space="preserve">Ces différentes opérations ont amené l’Institution à émettre </w:t>
      </w:r>
      <w:r w:rsidR="00CF1461">
        <w:rPr>
          <w:rFonts w:eastAsia="Times New Roman"/>
          <w:lang w:eastAsia="fr-FR"/>
        </w:rPr>
        <w:t xml:space="preserve">durant la période constatée </w:t>
      </w:r>
      <w:r w:rsidR="00CF1461" w:rsidRPr="00CF2538">
        <w:rPr>
          <w:rFonts w:eastAsia="Times New Roman"/>
          <w:lang w:eastAsia="fr-FR"/>
        </w:rPr>
        <w:t>un total de 510</w:t>
      </w:r>
      <w:r w:rsidR="00D87853">
        <w:rPr>
          <w:rFonts w:eastAsia="Times New Roman"/>
          <w:lang w:eastAsia="fr-FR"/>
        </w:rPr>
        <w:t> </w:t>
      </w:r>
      <w:r w:rsidR="00CF1461" w:rsidRPr="00CF2538">
        <w:rPr>
          <w:rFonts w:eastAsia="Times New Roman"/>
          <w:lang w:eastAsia="fr-FR"/>
        </w:rPr>
        <w:t>recommandations, 524 décisions de résolution du conflit, 383 décisions d’orientation, 220 décisions d’incompétence, 707 décisions de renvoi, 213 décisions d’irrecevabilité et 324</w:t>
      </w:r>
      <w:r w:rsidR="00D87853">
        <w:rPr>
          <w:rFonts w:eastAsia="Times New Roman"/>
          <w:lang w:eastAsia="fr-FR"/>
        </w:rPr>
        <w:t> </w:t>
      </w:r>
      <w:r w:rsidR="00CF1461" w:rsidRPr="00CF2538">
        <w:rPr>
          <w:rFonts w:eastAsia="Times New Roman"/>
          <w:lang w:eastAsia="fr-FR"/>
        </w:rPr>
        <w:t>décisions de classement.</w:t>
      </w:r>
    </w:p>
    <w:p w14:paraId="5698727D" w14:textId="77777777" w:rsidR="00CF1461" w:rsidRDefault="009354AA" w:rsidP="00013F70">
      <w:pPr>
        <w:pStyle w:val="H4G"/>
        <w:rPr>
          <w:lang w:eastAsia="fr-FR"/>
        </w:rPr>
      </w:pPr>
      <w:r>
        <w:tab/>
      </w:r>
      <w:r w:rsidR="00112CDC">
        <w:t>4.</w:t>
      </w:r>
      <w:r>
        <w:tab/>
      </w:r>
      <w:r w:rsidR="00CF1461" w:rsidRPr="00085F94">
        <w:t>Le Conseil de la Communauté Marocaine à l’Etranger</w:t>
      </w:r>
      <w:r w:rsidR="00112CDC">
        <w:rPr>
          <w:lang w:eastAsia="fr-FR"/>
        </w:rPr>
        <w:t xml:space="preserve"> (CCME)</w:t>
      </w:r>
    </w:p>
    <w:p w14:paraId="316D0ACA" w14:textId="6A7E2286"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43.</w:t>
      </w:r>
      <w:r w:rsidRPr="00E26090">
        <w:rPr>
          <w:rFonts w:eastAsia="Times New Roman"/>
          <w:color w:val="000000" w:themeColor="text1"/>
          <w:lang w:eastAsia="fr-FR"/>
        </w:rPr>
        <w:tab/>
      </w:r>
      <w:r w:rsidR="00CF1461" w:rsidRPr="00E26090">
        <w:rPr>
          <w:rFonts w:eastAsia="Times New Roman"/>
          <w:lang w:eastAsia="fr-FR"/>
        </w:rPr>
        <w:t xml:space="preserve">Le CCME, institution consultative, créé en 2007, a été érigé en institution constitutionnelle en juillet 2011. Dans le cadre de sa mission de veille et de prospective, le CCME mène plusieurs activités visant à préserver les droits des Communautés marocaines à l’étranger, maintenir et développer leurs liens culturels et spirituels avec le Royaume et œuvrer en partenariat avec les pays de résidence à leur bien-être. </w:t>
      </w:r>
    </w:p>
    <w:p w14:paraId="3F43B802" w14:textId="635261C8"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44.</w:t>
      </w:r>
      <w:r w:rsidRPr="00E26090">
        <w:rPr>
          <w:rFonts w:eastAsia="Times New Roman"/>
          <w:color w:val="000000" w:themeColor="text1"/>
          <w:lang w:eastAsia="fr-FR"/>
        </w:rPr>
        <w:tab/>
      </w:r>
      <w:r w:rsidR="00CF1461" w:rsidRPr="00E26090">
        <w:rPr>
          <w:rFonts w:eastAsia="Times New Roman"/>
          <w:lang w:eastAsia="fr-FR"/>
        </w:rPr>
        <w:t>La promotion du dialogue interculturel et interconfessionnel en vue d’un processus harmonieux d’intégration des communautés marocaines</w:t>
      </w:r>
      <w:r w:rsidR="00CF1461">
        <w:rPr>
          <w:rFonts w:eastAsia="Times New Roman"/>
          <w:lang w:eastAsia="fr-FR"/>
        </w:rPr>
        <w:t>, constitue une tendance force pour l’action du CCME</w:t>
      </w:r>
      <w:r w:rsidR="00CF1461" w:rsidRPr="00E26090">
        <w:rPr>
          <w:rFonts w:eastAsia="Times New Roman"/>
          <w:lang w:eastAsia="fr-FR"/>
        </w:rPr>
        <w:t>. L’objectif principal étant de lutter contre les préjugés et les images stéréotypées, les tensions, l’islamophobie, la discrimination et de permettre ainsi aux Communautés marocaines de l’étranger d’être ouvertes aux sociétés de résidence. La</w:t>
      </w:r>
      <w:r w:rsidR="00D87853">
        <w:rPr>
          <w:rFonts w:eastAsia="Times New Roman"/>
          <w:lang w:eastAsia="fr-FR"/>
        </w:rPr>
        <w:t> </w:t>
      </w:r>
      <w:r w:rsidR="00CF1461" w:rsidRPr="00E26090">
        <w:rPr>
          <w:rFonts w:eastAsia="Times New Roman"/>
          <w:lang w:eastAsia="fr-FR"/>
        </w:rPr>
        <w:t xml:space="preserve">formation des cadres religieux (Imams) est un élément essentiel du dialogue interculturel et interconfessionnel qui prend en compte les valeurs de la société </w:t>
      </w:r>
      <w:r w:rsidR="00CF1461">
        <w:rPr>
          <w:rFonts w:eastAsia="Times New Roman"/>
          <w:lang w:eastAsia="fr-FR"/>
        </w:rPr>
        <w:t>d’accueil</w:t>
      </w:r>
      <w:r w:rsidR="00CF1461" w:rsidRPr="003C06D3">
        <w:rPr>
          <w:rStyle w:val="Appelnotedebasdep"/>
        </w:rPr>
        <w:footnoteReference w:id="20"/>
      </w:r>
      <w:r w:rsidR="00112CDC">
        <w:rPr>
          <w:rFonts w:eastAsia="Times New Roman"/>
          <w:lang w:eastAsia="fr-FR"/>
        </w:rPr>
        <w:t>.</w:t>
      </w:r>
    </w:p>
    <w:p w14:paraId="23F6E94A" w14:textId="2B2FC983" w:rsidR="00CF1461" w:rsidRPr="00B1459D" w:rsidRDefault="004B5A1A" w:rsidP="004B5A1A">
      <w:pPr>
        <w:pStyle w:val="SingleTxtG"/>
        <w:tabs>
          <w:tab w:val="clear" w:pos="1701"/>
          <w:tab w:val="clear" w:pos="2268"/>
          <w:tab w:val="clear" w:pos="2835"/>
        </w:tabs>
        <w:rPr>
          <w:rFonts w:eastAsia="Times New Roman"/>
          <w:lang w:eastAsia="fr-FR"/>
        </w:rPr>
      </w:pPr>
      <w:r w:rsidRPr="00B1459D">
        <w:rPr>
          <w:rFonts w:eastAsia="Times New Roman"/>
          <w:color w:val="000000" w:themeColor="text1"/>
          <w:lang w:eastAsia="fr-FR"/>
        </w:rPr>
        <w:t>45.</w:t>
      </w:r>
      <w:r w:rsidRPr="00B1459D">
        <w:rPr>
          <w:rFonts w:eastAsia="Times New Roman"/>
          <w:color w:val="000000" w:themeColor="text1"/>
          <w:lang w:eastAsia="fr-FR"/>
        </w:rPr>
        <w:tab/>
      </w:r>
      <w:r w:rsidR="00CF1461" w:rsidRPr="00E26090">
        <w:rPr>
          <w:rFonts w:eastAsia="Times New Roman"/>
          <w:lang w:eastAsia="fr-FR"/>
        </w:rPr>
        <w:t>Le CCME a mené également des activités ciblant les communautés étrangères au Maroc, pour faire face au racisme et la xénophobie, en organisant des rencontres et élaborant des études. Le CCME a notamment mis en place le premier espace public d’échanges entre les acteurs publics, privés et associatif et les immigrés subsahariens dans le cadre du projet «</w:t>
      </w:r>
      <w:r w:rsidR="00236952">
        <w:rPr>
          <w:rFonts w:eastAsia="Times New Roman"/>
          <w:lang w:eastAsia="fr-FR"/>
        </w:rPr>
        <w:t> </w:t>
      </w:r>
      <w:r w:rsidR="00CF1461" w:rsidRPr="00E26090">
        <w:rPr>
          <w:rFonts w:eastAsia="Times New Roman"/>
          <w:lang w:eastAsia="fr-FR"/>
        </w:rPr>
        <w:t xml:space="preserve">Beyond </w:t>
      </w:r>
      <w:proofErr w:type="spellStart"/>
      <w:r w:rsidR="00CF1461" w:rsidRPr="00E26090">
        <w:rPr>
          <w:rFonts w:eastAsia="Times New Roman"/>
          <w:lang w:eastAsia="fr-FR"/>
        </w:rPr>
        <w:t>irregularity</w:t>
      </w:r>
      <w:proofErr w:type="spellEnd"/>
      <w:r w:rsidR="00236952">
        <w:rPr>
          <w:rFonts w:eastAsia="Times New Roman"/>
          <w:lang w:eastAsia="fr-FR"/>
        </w:rPr>
        <w:t> </w:t>
      </w:r>
      <w:r w:rsidR="00CF1461" w:rsidRPr="00E26090">
        <w:rPr>
          <w:rFonts w:eastAsia="Times New Roman"/>
          <w:lang w:eastAsia="fr-FR"/>
        </w:rPr>
        <w:t xml:space="preserve">», en collaboration avec l’Institut britannique pour la recherche en politiques publiques (IPPR), le Centre de recherche sur la migration de Sussex, </w:t>
      </w:r>
      <w:proofErr w:type="spellStart"/>
      <w:r w:rsidR="00CF1461" w:rsidRPr="00E26090">
        <w:rPr>
          <w:rFonts w:eastAsia="Times New Roman"/>
          <w:lang w:eastAsia="fr-FR"/>
        </w:rPr>
        <w:t>Eaves</w:t>
      </w:r>
      <w:proofErr w:type="spellEnd"/>
      <w:r w:rsidR="00CF1461" w:rsidRPr="00E26090">
        <w:rPr>
          <w:rFonts w:eastAsia="Times New Roman"/>
          <w:lang w:eastAsia="fr-FR"/>
        </w:rPr>
        <w:t xml:space="preserve"> </w:t>
      </w:r>
      <w:proofErr w:type="spellStart"/>
      <w:r w:rsidR="00CF1461" w:rsidRPr="00E26090">
        <w:rPr>
          <w:rFonts w:eastAsia="Times New Roman"/>
          <w:lang w:eastAsia="fr-FR"/>
        </w:rPr>
        <w:t>Housing</w:t>
      </w:r>
      <w:proofErr w:type="spellEnd"/>
      <w:r w:rsidR="00CF1461" w:rsidRPr="00E26090">
        <w:rPr>
          <w:rFonts w:eastAsia="Times New Roman"/>
          <w:lang w:eastAsia="fr-FR"/>
        </w:rPr>
        <w:t xml:space="preserve"> for </w:t>
      </w:r>
      <w:proofErr w:type="spellStart"/>
      <w:r w:rsidR="00CF1461" w:rsidRPr="00E26090">
        <w:rPr>
          <w:rFonts w:eastAsia="Times New Roman"/>
          <w:lang w:eastAsia="fr-FR"/>
        </w:rPr>
        <w:t>Women</w:t>
      </w:r>
      <w:proofErr w:type="spellEnd"/>
      <w:r w:rsidR="00CF1461" w:rsidRPr="00E26090">
        <w:rPr>
          <w:rFonts w:eastAsia="Times New Roman"/>
          <w:lang w:eastAsia="fr-FR"/>
        </w:rPr>
        <w:t xml:space="preserve"> du Royaume Uni et la Plateforme pour la coopération internationale sur les migrants sans papier (PICUM) de Belgique.</w:t>
      </w:r>
    </w:p>
    <w:p w14:paraId="52607713" w14:textId="77777777" w:rsidR="000E38E6" w:rsidRPr="00A5588D" w:rsidRDefault="00855577" w:rsidP="00A5588D">
      <w:pPr>
        <w:pStyle w:val="H1G"/>
      </w:pPr>
      <w:r>
        <w:lastRenderedPageBreak/>
        <w:tab/>
      </w:r>
      <w:r w:rsidR="00112CDC">
        <w:t>B</w:t>
      </w:r>
      <w:r>
        <w:t>.</w:t>
      </w:r>
      <w:r>
        <w:tab/>
      </w:r>
      <w:r w:rsidR="00CF1461" w:rsidRPr="00E26090">
        <w:t>Adhésion aux instruments internationaux des droits de l’Homme</w:t>
      </w:r>
    </w:p>
    <w:p w14:paraId="59C500C6" w14:textId="414FE975" w:rsidR="00CF1461" w:rsidRPr="00A5588D" w:rsidRDefault="00855577" w:rsidP="00A5588D">
      <w:pPr>
        <w:pStyle w:val="H23G"/>
      </w:pPr>
      <w:r>
        <w:rPr>
          <w:lang w:eastAsia="fr-FR"/>
        </w:rPr>
        <w:tab/>
      </w:r>
      <w:r>
        <w:rPr>
          <w:lang w:eastAsia="fr-FR"/>
        </w:rPr>
        <w:tab/>
      </w:r>
      <w:r w:rsidR="00CF1461" w:rsidRPr="00E26090">
        <w:rPr>
          <w:lang w:eastAsia="fr-FR"/>
        </w:rPr>
        <w:t>Recommandation 21 du Comité</w:t>
      </w:r>
    </w:p>
    <w:p w14:paraId="75BB82D8" w14:textId="4F5C838E"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46.</w:t>
      </w:r>
      <w:r w:rsidRPr="00E26090">
        <w:rPr>
          <w:rFonts w:eastAsia="Times New Roman"/>
          <w:color w:val="000000" w:themeColor="text1"/>
          <w:lang w:eastAsia="fr-FR"/>
        </w:rPr>
        <w:tab/>
      </w:r>
      <w:r w:rsidR="00CF1461" w:rsidRPr="00E26090">
        <w:rPr>
          <w:rFonts w:eastAsia="Times New Roman"/>
          <w:lang w:eastAsia="fr-FR"/>
        </w:rPr>
        <w:t xml:space="preserve">Le Maroc a ratifié la Convention internationale pour la protection de toutes les personnes contre les disparitions forcées le 14 mai 2013 et l’a publié au BO </w:t>
      </w:r>
      <w:r w:rsidR="00D87853">
        <w:rPr>
          <w:rFonts w:asciiTheme="majorBidi" w:eastAsia="Times New Roman" w:hAnsiTheme="majorBidi" w:cstheme="majorBidi"/>
          <w:color w:val="000000"/>
          <w:lang w:eastAsia="fr-FR"/>
        </w:rPr>
        <w:t>n</w:t>
      </w:r>
      <w:r w:rsidR="00D87853" w:rsidRPr="00050C02">
        <w:rPr>
          <w:rFonts w:asciiTheme="majorBidi" w:eastAsia="Times New Roman" w:hAnsiTheme="majorBidi" w:cstheme="majorBidi"/>
          <w:color w:val="000000"/>
          <w:vertAlign w:val="superscript"/>
          <w:lang w:eastAsia="fr-FR"/>
        </w:rPr>
        <w:t>o</w:t>
      </w:r>
      <w:r w:rsidR="00D87853">
        <w:rPr>
          <w:rFonts w:asciiTheme="majorBidi" w:eastAsia="Times New Roman" w:hAnsiTheme="majorBidi" w:cstheme="majorBidi"/>
          <w:color w:val="000000"/>
          <w:lang w:eastAsia="fr-FR"/>
        </w:rPr>
        <w:t> </w:t>
      </w:r>
      <w:r w:rsidR="00CF1461" w:rsidRPr="00E26090">
        <w:rPr>
          <w:rFonts w:eastAsia="Times New Roman"/>
          <w:lang w:eastAsia="fr-FR"/>
        </w:rPr>
        <w:t xml:space="preserve">6229, daté du 10 </w:t>
      </w:r>
      <w:r w:rsidR="00951A78">
        <w:rPr>
          <w:rFonts w:eastAsia="Times New Roman"/>
          <w:lang w:eastAsia="fr-FR"/>
        </w:rPr>
        <w:t>f</w:t>
      </w:r>
      <w:r w:rsidR="00CF1461" w:rsidRPr="00E26090">
        <w:rPr>
          <w:rFonts w:eastAsia="Times New Roman"/>
          <w:lang w:eastAsia="fr-FR"/>
        </w:rPr>
        <w:t>évrier 2014.</w:t>
      </w:r>
    </w:p>
    <w:p w14:paraId="35978D48" w14:textId="7BA3A0CB"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47.</w:t>
      </w:r>
      <w:r w:rsidRPr="00E26090">
        <w:rPr>
          <w:rFonts w:eastAsia="Times New Roman"/>
          <w:color w:val="000000" w:themeColor="text1"/>
          <w:lang w:eastAsia="fr-FR"/>
        </w:rPr>
        <w:tab/>
      </w:r>
      <w:r w:rsidR="00CF1461" w:rsidRPr="00E26090">
        <w:rPr>
          <w:rFonts w:eastAsia="Times New Roman"/>
          <w:lang w:eastAsia="fr-FR"/>
        </w:rPr>
        <w:t xml:space="preserve">En phase avec sa volonté d’adhésion aux instruments internationaux des droits de l’Homme, le Maroc a adhéré le 24 novembre 2014 au Protocole facultatif à la Convention contre la </w:t>
      </w:r>
      <w:r w:rsidR="00816BCC">
        <w:rPr>
          <w:rFonts w:eastAsia="Times New Roman"/>
          <w:lang w:eastAsia="fr-FR"/>
        </w:rPr>
        <w:t>t</w:t>
      </w:r>
      <w:r w:rsidR="00CF1461" w:rsidRPr="00E26090">
        <w:rPr>
          <w:rFonts w:eastAsia="Times New Roman"/>
          <w:lang w:eastAsia="fr-FR"/>
        </w:rPr>
        <w:t xml:space="preserve">orture et autres peines ou traitements cruels, inhumains ou dégradants (OPCAT). </w:t>
      </w:r>
    </w:p>
    <w:p w14:paraId="1213E3E4" w14:textId="7CE516AB" w:rsidR="00CF1461" w:rsidRPr="00B1459D" w:rsidRDefault="004B5A1A" w:rsidP="004B5A1A">
      <w:pPr>
        <w:pStyle w:val="SingleTxtG"/>
        <w:tabs>
          <w:tab w:val="clear" w:pos="1701"/>
          <w:tab w:val="clear" w:pos="2268"/>
          <w:tab w:val="clear" w:pos="2835"/>
        </w:tabs>
        <w:rPr>
          <w:rFonts w:eastAsia="Times New Roman"/>
          <w:lang w:eastAsia="fr-FR"/>
        </w:rPr>
      </w:pPr>
      <w:r w:rsidRPr="00B1459D">
        <w:rPr>
          <w:rFonts w:eastAsia="Times New Roman"/>
          <w:color w:val="000000" w:themeColor="text1"/>
          <w:lang w:eastAsia="fr-FR"/>
        </w:rPr>
        <w:t>48.</w:t>
      </w:r>
      <w:r w:rsidRPr="00B1459D">
        <w:rPr>
          <w:rFonts w:eastAsia="Times New Roman"/>
          <w:color w:val="000000" w:themeColor="text1"/>
          <w:lang w:eastAsia="fr-FR"/>
        </w:rPr>
        <w:tab/>
      </w:r>
      <w:r w:rsidR="00CF1461" w:rsidRPr="00E26090">
        <w:rPr>
          <w:rFonts w:eastAsia="Times New Roman"/>
          <w:lang w:eastAsia="fr-FR"/>
        </w:rPr>
        <w:t xml:space="preserve">Le Maroc est partie au </w:t>
      </w:r>
      <w:r w:rsidR="00C927C9" w:rsidRPr="00E26090">
        <w:rPr>
          <w:rFonts w:eastAsia="Times New Roman"/>
          <w:lang w:eastAsia="fr-FR"/>
        </w:rPr>
        <w:t xml:space="preserve">Protocole </w:t>
      </w:r>
      <w:r w:rsidR="00CF1461" w:rsidRPr="00E26090">
        <w:rPr>
          <w:rFonts w:eastAsia="Times New Roman"/>
          <w:lang w:eastAsia="fr-FR"/>
        </w:rPr>
        <w:t xml:space="preserve">additionnel à la </w:t>
      </w:r>
      <w:r w:rsidR="00C927C9" w:rsidRPr="00E26090">
        <w:rPr>
          <w:rFonts w:eastAsia="Times New Roman"/>
          <w:lang w:eastAsia="fr-FR"/>
        </w:rPr>
        <w:t xml:space="preserve">Convention </w:t>
      </w:r>
      <w:r w:rsidR="00CF1461" w:rsidRPr="00E26090">
        <w:rPr>
          <w:rFonts w:eastAsia="Times New Roman"/>
          <w:lang w:eastAsia="fr-FR"/>
        </w:rPr>
        <w:t>des Nations Unies contre la criminalité transnationale organisée visant à prévenir, réprimer et punir la traite des personnes en particulier des femmes et des enfants depuis le 5 mars 2011.</w:t>
      </w:r>
    </w:p>
    <w:p w14:paraId="201A686A" w14:textId="57EEBD68"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49.</w:t>
      </w:r>
      <w:r w:rsidRPr="00E26090">
        <w:rPr>
          <w:rFonts w:eastAsia="Times New Roman"/>
          <w:color w:val="000000" w:themeColor="text1"/>
          <w:lang w:eastAsia="fr-FR"/>
        </w:rPr>
        <w:tab/>
      </w:r>
      <w:r w:rsidR="00CF1461" w:rsidRPr="00E26090">
        <w:rPr>
          <w:rFonts w:eastAsia="Times New Roman"/>
          <w:lang w:eastAsia="fr-FR"/>
        </w:rPr>
        <w:t xml:space="preserve">En matière de lutte contre la discrimination à l’égard des femmes, le Maroc </w:t>
      </w:r>
      <w:r w:rsidR="00CF1461">
        <w:rPr>
          <w:rFonts w:eastAsia="Times New Roman"/>
          <w:lang w:eastAsia="fr-FR"/>
        </w:rPr>
        <w:t xml:space="preserve">a entamé le processus de son adhésion </w:t>
      </w:r>
      <w:r w:rsidR="00CF1461" w:rsidRPr="00E26090">
        <w:rPr>
          <w:rFonts w:eastAsia="Times New Roman"/>
          <w:lang w:eastAsia="fr-FR"/>
        </w:rPr>
        <w:t xml:space="preserve">au protocole facultatif se rapportant à la Convention sur l’élimination de toutes les formes de discrimination à l’égard des femmes (OP-CEDAW). Le 3 septembre 2015, il a publié le Dahir </w:t>
      </w:r>
      <w:r w:rsidR="00D87853">
        <w:rPr>
          <w:rFonts w:asciiTheme="majorBidi" w:eastAsia="Times New Roman" w:hAnsiTheme="majorBidi" w:cstheme="majorBidi"/>
          <w:color w:val="000000"/>
          <w:lang w:eastAsia="fr-FR"/>
        </w:rPr>
        <w:t>n</w:t>
      </w:r>
      <w:r w:rsidR="00D87853" w:rsidRPr="00050C02">
        <w:rPr>
          <w:rFonts w:asciiTheme="majorBidi" w:eastAsia="Times New Roman" w:hAnsiTheme="majorBidi" w:cstheme="majorBidi"/>
          <w:color w:val="000000"/>
          <w:vertAlign w:val="superscript"/>
          <w:lang w:eastAsia="fr-FR"/>
        </w:rPr>
        <w:t>o</w:t>
      </w:r>
      <w:r w:rsidR="00D87853">
        <w:rPr>
          <w:rFonts w:asciiTheme="majorBidi" w:eastAsia="Times New Roman" w:hAnsiTheme="majorBidi" w:cstheme="majorBidi"/>
          <w:color w:val="000000"/>
          <w:lang w:eastAsia="fr-FR"/>
        </w:rPr>
        <w:t> </w:t>
      </w:r>
      <w:r w:rsidR="00CF1461" w:rsidRPr="00E26090">
        <w:rPr>
          <w:rFonts w:eastAsia="Times New Roman"/>
          <w:lang w:eastAsia="fr-FR"/>
        </w:rPr>
        <w:t xml:space="preserve">1-15-112, du 4 août 2015 portant promulgation de la loi </w:t>
      </w:r>
      <w:r w:rsidR="00D87853">
        <w:rPr>
          <w:rFonts w:asciiTheme="majorBidi" w:eastAsia="Times New Roman" w:hAnsiTheme="majorBidi" w:cstheme="majorBidi"/>
          <w:color w:val="000000"/>
          <w:lang w:eastAsia="fr-FR"/>
        </w:rPr>
        <w:t>n</w:t>
      </w:r>
      <w:r w:rsidR="00D87853" w:rsidRPr="00050C02">
        <w:rPr>
          <w:rFonts w:asciiTheme="majorBidi" w:eastAsia="Times New Roman" w:hAnsiTheme="majorBidi" w:cstheme="majorBidi"/>
          <w:color w:val="000000"/>
          <w:vertAlign w:val="superscript"/>
          <w:lang w:eastAsia="fr-FR"/>
        </w:rPr>
        <w:t>o</w:t>
      </w:r>
      <w:r w:rsidR="00D87853">
        <w:rPr>
          <w:rFonts w:asciiTheme="majorBidi" w:eastAsia="Times New Roman" w:hAnsiTheme="majorBidi" w:cstheme="majorBidi"/>
          <w:color w:val="000000"/>
          <w:lang w:eastAsia="fr-FR"/>
        </w:rPr>
        <w:t> </w:t>
      </w:r>
      <w:r w:rsidR="00CF1461" w:rsidRPr="00E26090">
        <w:rPr>
          <w:rFonts w:eastAsia="Times New Roman"/>
          <w:lang w:eastAsia="fr-FR"/>
        </w:rPr>
        <w:t>125-12 po</w:t>
      </w:r>
      <w:r w:rsidR="005B02F8">
        <w:rPr>
          <w:rFonts w:eastAsia="Times New Roman"/>
          <w:lang w:eastAsia="fr-FR"/>
        </w:rPr>
        <w:t>rtant approbation de l’OP-CEDAW</w:t>
      </w:r>
      <w:r w:rsidR="00CF1461" w:rsidRPr="003C06D3">
        <w:rPr>
          <w:rStyle w:val="Appelnotedebasdep"/>
        </w:rPr>
        <w:footnoteReference w:id="21"/>
      </w:r>
      <w:r w:rsidR="005B02F8">
        <w:rPr>
          <w:rFonts w:eastAsia="Times New Roman"/>
          <w:lang w:eastAsia="fr-FR"/>
        </w:rPr>
        <w:t>.</w:t>
      </w:r>
    </w:p>
    <w:p w14:paraId="30246208" w14:textId="31AD1441"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50.</w:t>
      </w:r>
      <w:r w:rsidRPr="00E26090">
        <w:rPr>
          <w:rFonts w:eastAsia="Times New Roman"/>
          <w:color w:val="000000" w:themeColor="text1"/>
          <w:lang w:eastAsia="fr-FR"/>
        </w:rPr>
        <w:tab/>
      </w:r>
      <w:r w:rsidR="00CF1461" w:rsidRPr="00E26090">
        <w:rPr>
          <w:rFonts w:eastAsia="Times New Roman"/>
          <w:lang w:eastAsia="fr-FR"/>
        </w:rPr>
        <w:t xml:space="preserve">Le </w:t>
      </w:r>
      <w:r w:rsidR="00CF1461">
        <w:rPr>
          <w:rFonts w:eastAsia="Times New Roman"/>
          <w:lang w:eastAsia="fr-FR"/>
        </w:rPr>
        <w:t>Royaume</w:t>
      </w:r>
      <w:r w:rsidR="00CF1461" w:rsidRPr="00E26090">
        <w:rPr>
          <w:rFonts w:eastAsia="Times New Roman"/>
          <w:lang w:eastAsia="fr-FR"/>
        </w:rPr>
        <w:t xml:space="preserve"> a également notifié, le 8 avril 2011, au Secrétaire général de l’ONU sa décision de retirer les réserves au paragraphe 2 de l</w:t>
      </w:r>
      <w:r w:rsidR="00CD5A97">
        <w:rPr>
          <w:rFonts w:eastAsia="Times New Roman"/>
          <w:lang w:eastAsia="fr-FR"/>
        </w:rPr>
        <w:t>’</w:t>
      </w:r>
      <w:r w:rsidR="00CF1461" w:rsidRPr="00E26090">
        <w:rPr>
          <w:rFonts w:eastAsia="Times New Roman"/>
          <w:lang w:eastAsia="fr-FR"/>
        </w:rPr>
        <w:t>article 9 et à l</w:t>
      </w:r>
      <w:r w:rsidR="00CD5A97">
        <w:rPr>
          <w:rFonts w:eastAsia="Times New Roman"/>
          <w:lang w:eastAsia="fr-FR"/>
        </w:rPr>
        <w:t>’</w:t>
      </w:r>
      <w:r w:rsidR="00CF1461" w:rsidRPr="00E26090">
        <w:rPr>
          <w:rFonts w:eastAsia="Times New Roman"/>
          <w:lang w:eastAsia="fr-FR"/>
        </w:rPr>
        <w:t>article 16 de la Convention CEDAW formulées lors de l</w:t>
      </w:r>
      <w:r w:rsidR="00CD5A97">
        <w:rPr>
          <w:rFonts w:eastAsia="Times New Roman"/>
          <w:lang w:eastAsia="fr-FR"/>
        </w:rPr>
        <w:t>’</w:t>
      </w:r>
      <w:r w:rsidR="00CF1461" w:rsidRPr="00E26090">
        <w:rPr>
          <w:rFonts w:eastAsia="Times New Roman"/>
          <w:lang w:eastAsia="fr-FR"/>
        </w:rPr>
        <w:t>adhésion.</w:t>
      </w:r>
    </w:p>
    <w:p w14:paraId="7ED1973B" w14:textId="131898DD"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51.</w:t>
      </w:r>
      <w:r w:rsidRPr="00E26090">
        <w:rPr>
          <w:rFonts w:eastAsia="Times New Roman"/>
          <w:color w:val="000000" w:themeColor="text1"/>
          <w:lang w:eastAsia="fr-FR"/>
        </w:rPr>
        <w:tab/>
      </w:r>
      <w:r w:rsidR="00CF1461" w:rsidRPr="00E26090">
        <w:rPr>
          <w:rFonts w:eastAsia="Times New Roman"/>
          <w:lang w:eastAsia="fr-FR"/>
        </w:rPr>
        <w:t>Le 4 juin 2013, le Maroc a ratifié la Convention de l’UNESCO sur la protection et la promotion de la diversité des expressions culturelles</w:t>
      </w:r>
      <w:r w:rsidR="00CF1461">
        <w:rPr>
          <w:rFonts w:eastAsia="Times New Roman"/>
          <w:lang w:eastAsia="fr-FR"/>
        </w:rPr>
        <w:t>, et e</w:t>
      </w:r>
      <w:r w:rsidR="00CF1461" w:rsidRPr="001C15D0">
        <w:rPr>
          <w:rFonts w:eastAsia="Times New Roman"/>
          <w:lang w:eastAsia="fr-FR"/>
        </w:rPr>
        <w:t xml:space="preserve">n 2017, </w:t>
      </w:r>
      <w:r w:rsidR="00CF1461">
        <w:rPr>
          <w:rFonts w:eastAsia="Times New Roman"/>
          <w:lang w:eastAsia="fr-FR"/>
        </w:rPr>
        <w:t>il</w:t>
      </w:r>
      <w:r w:rsidR="00CF1461" w:rsidRPr="001C15D0">
        <w:rPr>
          <w:rFonts w:eastAsia="Times New Roman"/>
          <w:lang w:eastAsia="fr-FR"/>
        </w:rPr>
        <w:t xml:space="preserve"> a soumis son premier rapport périodiq</w:t>
      </w:r>
      <w:r w:rsidR="005B02F8">
        <w:rPr>
          <w:rFonts w:eastAsia="Times New Roman"/>
          <w:lang w:eastAsia="fr-FR"/>
        </w:rPr>
        <w:t>ue de suivi de cette convention</w:t>
      </w:r>
      <w:r w:rsidR="00CF1461" w:rsidRPr="003C06D3">
        <w:rPr>
          <w:rStyle w:val="Appelnotedebasdep"/>
        </w:rPr>
        <w:footnoteReference w:id="22"/>
      </w:r>
      <w:r w:rsidR="005B02F8">
        <w:rPr>
          <w:rFonts w:eastAsia="Times New Roman"/>
          <w:lang w:eastAsia="fr-FR"/>
        </w:rPr>
        <w:t>.</w:t>
      </w:r>
    </w:p>
    <w:p w14:paraId="49A3B9D4" w14:textId="3D55793B" w:rsidR="00CF1461" w:rsidRPr="00B1459D" w:rsidRDefault="004B5A1A" w:rsidP="004B5A1A">
      <w:pPr>
        <w:pStyle w:val="SingleTxtG"/>
        <w:tabs>
          <w:tab w:val="clear" w:pos="1701"/>
          <w:tab w:val="clear" w:pos="2268"/>
          <w:tab w:val="clear" w:pos="2835"/>
        </w:tabs>
        <w:rPr>
          <w:rFonts w:eastAsia="Times New Roman"/>
          <w:lang w:eastAsia="fr-FR"/>
        </w:rPr>
      </w:pPr>
      <w:r w:rsidRPr="00B1459D">
        <w:rPr>
          <w:rFonts w:eastAsia="Times New Roman"/>
          <w:color w:val="000000" w:themeColor="text1"/>
          <w:lang w:eastAsia="fr-FR"/>
        </w:rPr>
        <w:t>52.</w:t>
      </w:r>
      <w:r w:rsidRPr="00B1459D">
        <w:rPr>
          <w:rFonts w:eastAsia="Times New Roman"/>
          <w:color w:val="000000" w:themeColor="text1"/>
          <w:lang w:eastAsia="fr-FR"/>
        </w:rPr>
        <w:tab/>
      </w:r>
      <w:r w:rsidR="00CF1461" w:rsidRPr="00735A3F">
        <w:rPr>
          <w:rFonts w:eastAsia="Times New Roman"/>
          <w:lang w:eastAsia="fr-FR"/>
        </w:rPr>
        <w:t>Le Maroc a reçu la visite</w:t>
      </w:r>
      <w:r w:rsidR="00CF1461">
        <w:rPr>
          <w:rFonts w:eastAsia="Times New Roman"/>
          <w:lang w:eastAsia="fr-FR"/>
        </w:rPr>
        <w:t>, y compris dans ses régions sud,</w:t>
      </w:r>
      <w:r w:rsidR="00CF1461" w:rsidRPr="00735A3F">
        <w:rPr>
          <w:rFonts w:eastAsia="Times New Roman"/>
          <w:lang w:eastAsia="fr-FR"/>
        </w:rPr>
        <w:t xml:space="preserve"> de douze procédures spéciales du CDH</w:t>
      </w:r>
      <w:r w:rsidR="00D87853">
        <w:rPr>
          <w:rFonts w:eastAsia="Times New Roman"/>
          <w:lang w:eastAsia="fr-FR"/>
        </w:rPr>
        <w:t> </w:t>
      </w:r>
      <w:r w:rsidR="00CF1461" w:rsidRPr="00735A3F">
        <w:rPr>
          <w:rFonts w:eastAsia="Times New Roman"/>
          <w:lang w:eastAsia="fr-FR"/>
        </w:rPr>
        <w:t>: l’experte indépendante dans le domaine des droits culturels (5-16</w:t>
      </w:r>
      <w:r w:rsidR="00D87853">
        <w:rPr>
          <w:rFonts w:eastAsia="Times New Roman"/>
          <w:lang w:eastAsia="fr-FR"/>
        </w:rPr>
        <w:t> </w:t>
      </w:r>
      <w:r w:rsidR="00CF1461" w:rsidRPr="00735A3F">
        <w:rPr>
          <w:rFonts w:eastAsia="Times New Roman"/>
          <w:lang w:eastAsia="fr-FR"/>
        </w:rPr>
        <w:t>septembre 2011) ; le Groupe de travail sur l’élimination de la discrimination à l’égard des femmes dans la législation et dans la pratique (13-20 février 2012) ; le Rapporteur spécial sur la torture et autres peines ou traitements cruels, inhumains ou dégradants (15-22 septembre 2012) ; la Rapporteuse spéciale sur la traite des personnes, spécialement les femmes et les enfants (17-21 juin 2013) ; le Groupe de travail sur la détention arbitraire (9-18 décembre 2013) ; la Rapporteuse spéciale sur le droit à l’alimentation (5-12 octobre 2015) ; l’experte indépendante dans le domaine des droits de l’Homme et la solidarité internationale (15-20 janvier 2016), le Sous-comité pour la prévention de la torture et autres peines ou traitements cruels, inhumains ou dégradants (22-28 octobre 2017) et la Rapporteuse spéciale sur les formes contemporaines de racisme, de discrimination raciale, de xénophobie et de l’intolérance qui y est associée (13-21 décembre 2018).</w:t>
      </w:r>
    </w:p>
    <w:p w14:paraId="291CDC8C" w14:textId="6685FD5B"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53.</w:t>
      </w:r>
      <w:r w:rsidRPr="00855577">
        <w:rPr>
          <w:rFonts w:eastAsia="Times New Roman"/>
          <w:color w:val="000000" w:themeColor="text1"/>
          <w:lang w:eastAsia="fr-FR"/>
        </w:rPr>
        <w:tab/>
      </w:r>
      <w:r w:rsidR="00CF1461">
        <w:rPr>
          <w:rFonts w:eastAsia="Times New Roman"/>
          <w:lang w:eastAsia="fr-FR"/>
        </w:rPr>
        <w:t>Pour un a</w:t>
      </w:r>
      <w:r w:rsidR="00CF1461" w:rsidRPr="00B1459D">
        <w:rPr>
          <w:rFonts w:eastAsia="Times New Roman"/>
          <w:lang w:eastAsia="fr-FR"/>
        </w:rPr>
        <w:t xml:space="preserve">perçu </w:t>
      </w:r>
      <w:r w:rsidR="00CF1461">
        <w:rPr>
          <w:rFonts w:eastAsia="Times New Roman"/>
          <w:lang w:eastAsia="fr-FR"/>
        </w:rPr>
        <w:t xml:space="preserve">complémentaire </w:t>
      </w:r>
      <w:r w:rsidR="00CF1461" w:rsidRPr="00B1459D">
        <w:rPr>
          <w:rFonts w:eastAsia="Times New Roman"/>
          <w:lang w:eastAsia="fr-FR"/>
        </w:rPr>
        <w:t>des politiques publiques suivies depuis 2010, voir l’annexe 2 de ce rapport</w:t>
      </w:r>
      <w:r w:rsidR="00CF1461" w:rsidRPr="00855577">
        <w:rPr>
          <w:rFonts w:eastAsia="Times New Roman"/>
          <w:lang w:eastAsia="fr-FR"/>
        </w:rPr>
        <w:t>.</w:t>
      </w:r>
      <w:r w:rsidR="00CD5A97">
        <w:rPr>
          <w:rFonts w:eastAsia="Times New Roman"/>
          <w:lang w:eastAsia="fr-FR"/>
        </w:rPr>
        <w:t xml:space="preserve"> </w:t>
      </w:r>
    </w:p>
    <w:p w14:paraId="5345BB3A" w14:textId="70D57F1F" w:rsidR="00CF1461" w:rsidRPr="00A5588D" w:rsidRDefault="00855577" w:rsidP="00A5588D">
      <w:pPr>
        <w:pStyle w:val="HChG"/>
      </w:pPr>
      <w:r>
        <w:rPr>
          <w:lang w:eastAsia="fr-FR"/>
        </w:rPr>
        <w:tab/>
      </w:r>
      <w:r>
        <w:rPr>
          <w:lang w:eastAsia="fr-FR"/>
        </w:rPr>
        <w:tab/>
      </w:r>
      <w:r w:rsidR="00CF1461" w:rsidRPr="00377075">
        <w:t>Deuxième</w:t>
      </w:r>
      <w:r w:rsidR="00CF1461" w:rsidRPr="00F72308">
        <w:rPr>
          <w:lang w:eastAsia="fr-FR"/>
        </w:rPr>
        <w:t xml:space="preserve"> partie</w:t>
      </w:r>
      <w:r w:rsidR="00816BCC">
        <w:rPr>
          <w:lang w:eastAsia="fr-FR"/>
        </w:rPr>
        <w:t> </w:t>
      </w:r>
      <w:r w:rsidR="00CF1461" w:rsidRPr="00F72308">
        <w:rPr>
          <w:lang w:eastAsia="fr-FR"/>
        </w:rPr>
        <w:t>:</w:t>
      </w:r>
      <w:r w:rsidR="00377075">
        <w:rPr>
          <w:lang w:eastAsia="fr-FR"/>
        </w:rPr>
        <w:t xml:space="preserve"> </w:t>
      </w:r>
      <w:r w:rsidR="00CF1461" w:rsidRPr="007C5B07">
        <w:rPr>
          <w:lang w:eastAsia="fr-FR"/>
        </w:rPr>
        <w:t>Informations relatives aux articles 2 à 7 de</w:t>
      </w:r>
      <w:r w:rsidR="00816BCC">
        <w:rPr>
          <w:lang w:eastAsia="fr-FR"/>
        </w:rPr>
        <w:t> </w:t>
      </w:r>
      <w:r w:rsidR="00CF1461" w:rsidRPr="007C5B07">
        <w:rPr>
          <w:lang w:eastAsia="fr-FR"/>
        </w:rPr>
        <w:t>la Convention</w:t>
      </w:r>
    </w:p>
    <w:p w14:paraId="352C8E24" w14:textId="77777777" w:rsidR="00CF1461" w:rsidRPr="00A5588D" w:rsidRDefault="00855577" w:rsidP="00A5588D">
      <w:pPr>
        <w:pStyle w:val="H1G"/>
      </w:pPr>
      <w:r>
        <w:rPr>
          <w:lang w:eastAsia="fr-FR"/>
        </w:rPr>
        <w:tab/>
      </w:r>
      <w:r>
        <w:rPr>
          <w:lang w:eastAsia="fr-FR"/>
        </w:rPr>
        <w:tab/>
      </w:r>
      <w:r w:rsidR="00CF1461" w:rsidRPr="00E26090">
        <w:rPr>
          <w:lang w:eastAsia="fr-FR"/>
        </w:rPr>
        <w:t>Article 2</w:t>
      </w:r>
    </w:p>
    <w:p w14:paraId="0955CE67" w14:textId="3995065B" w:rsidR="00CF1461" w:rsidRPr="0089425B" w:rsidRDefault="00855577" w:rsidP="00377075">
      <w:pPr>
        <w:pStyle w:val="H23G"/>
        <w:rPr>
          <w:lang w:eastAsia="fr-FR"/>
        </w:rPr>
      </w:pPr>
      <w:r>
        <w:rPr>
          <w:lang w:eastAsia="fr-FR"/>
        </w:rPr>
        <w:tab/>
      </w:r>
      <w:r>
        <w:rPr>
          <w:lang w:eastAsia="fr-FR"/>
        </w:rPr>
        <w:tab/>
      </w:r>
      <w:r w:rsidR="00CF1461" w:rsidRPr="00E26090">
        <w:rPr>
          <w:lang w:eastAsia="fr-FR"/>
        </w:rPr>
        <w:t>Recommandations 8 et 9 du Comité</w:t>
      </w:r>
    </w:p>
    <w:p w14:paraId="3BDBF84B" w14:textId="6C467867"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54.</w:t>
      </w:r>
      <w:r w:rsidRPr="00855577">
        <w:rPr>
          <w:rFonts w:eastAsia="Times New Roman"/>
          <w:color w:val="000000" w:themeColor="text1"/>
          <w:lang w:eastAsia="fr-FR"/>
        </w:rPr>
        <w:tab/>
      </w:r>
      <w:r w:rsidR="00CF1461" w:rsidRPr="00855577">
        <w:rPr>
          <w:rFonts w:eastAsia="Times New Roman"/>
          <w:lang w:eastAsia="fr-FR"/>
        </w:rPr>
        <w:t xml:space="preserve">Au </w:t>
      </w:r>
      <w:r w:rsidR="00CF1461" w:rsidRPr="00AC555A">
        <w:rPr>
          <w:rFonts w:eastAsia="Times New Roman"/>
          <w:lang w:eastAsia="fr-FR"/>
        </w:rPr>
        <w:t>préambule</w:t>
      </w:r>
      <w:r w:rsidR="00CF1461" w:rsidRPr="00855577">
        <w:rPr>
          <w:rFonts w:eastAsia="Times New Roman"/>
          <w:lang w:eastAsia="fr-FR"/>
        </w:rPr>
        <w:t xml:space="preserve">, faisant partie intégrante de la Constitution, « le Royaume du Maroc, </w:t>
      </w:r>
      <w:r w:rsidR="00BD28D2">
        <w:rPr>
          <w:rFonts w:eastAsia="Times New Roman"/>
          <w:lang w:eastAsia="fr-FR"/>
        </w:rPr>
        <w:t>État</w:t>
      </w:r>
      <w:r w:rsidR="00CF1461" w:rsidRPr="00855577">
        <w:rPr>
          <w:rFonts w:eastAsia="Times New Roman"/>
          <w:lang w:eastAsia="fr-FR"/>
        </w:rPr>
        <w:t xml:space="preserve"> uni, totalement souverain, appartenant au Grand Maghreb, réaffirme ce qui suit et s</w:t>
      </w:r>
      <w:r w:rsidR="00CD5A97">
        <w:rPr>
          <w:rFonts w:eastAsia="Times New Roman"/>
          <w:lang w:eastAsia="fr-FR"/>
        </w:rPr>
        <w:t>’</w:t>
      </w:r>
      <w:r w:rsidR="00CF1461" w:rsidRPr="00855577">
        <w:rPr>
          <w:rFonts w:eastAsia="Times New Roman"/>
          <w:lang w:eastAsia="fr-FR"/>
        </w:rPr>
        <w:t>y engage</w:t>
      </w:r>
      <w:r w:rsidR="00C927C9">
        <w:rPr>
          <w:rFonts w:eastAsia="Times New Roman"/>
          <w:lang w:eastAsia="fr-FR"/>
        </w:rPr>
        <w:t> </w:t>
      </w:r>
      <w:r w:rsidR="00CF1461" w:rsidRPr="00855577">
        <w:rPr>
          <w:rFonts w:eastAsia="Times New Roman"/>
          <w:lang w:eastAsia="fr-FR"/>
        </w:rPr>
        <w:t>: (…)</w:t>
      </w:r>
    </w:p>
    <w:p w14:paraId="00D13BE7" w14:textId="01E293A3" w:rsidR="00CF1461" w:rsidRPr="00C97B55" w:rsidRDefault="004B5A1A" w:rsidP="004B5A1A">
      <w:pPr>
        <w:pStyle w:val="Bullet1G"/>
        <w:numPr>
          <w:ilvl w:val="0"/>
          <w:numId w:val="0"/>
        </w:numPr>
        <w:tabs>
          <w:tab w:val="left" w:pos="1701"/>
        </w:tabs>
        <w:ind w:left="1701" w:hanging="170"/>
        <w:rPr>
          <w:lang w:eastAsia="fr-FR"/>
        </w:rPr>
      </w:pPr>
      <w:r w:rsidRPr="00C97B55">
        <w:rPr>
          <w:lang w:eastAsia="fr-FR"/>
        </w:rPr>
        <w:lastRenderedPageBreak/>
        <w:t>•</w:t>
      </w:r>
      <w:r w:rsidRPr="00C97B55">
        <w:rPr>
          <w:lang w:eastAsia="fr-FR"/>
        </w:rPr>
        <w:tab/>
      </w:r>
      <w:r w:rsidR="009354AA">
        <w:rPr>
          <w:lang w:eastAsia="fr-FR"/>
        </w:rPr>
        <w:t>P</w:t>
      </w:r>
      <w:r w:rsidR="00CF1461" w:rsidRPr="00C97B55">
        <w:rPr>
          <w:lang w:eastAsia="fr-FR"/>
        </w:rPr>
        <w:t>rotéger et promouvoir les dispositifs des droits de l</w:t>
      </w:r>
      <w:r w:rsidR="00CD5A97">
        <w:rPr>
          <w:lang w:eastAsia="fr-FR"/>
        </w:rPr>
        <w:t>’</w:t>
      </w:r>
      <w:r w:rsidR="00CF1461" w:rsidRPr="00C97B55">
        <w:rPr>
          <w:lang w:eastAsia="fr-FR"/>
        </w:rPr>
        <w:t xml:space="preserve">Homme et du droit international </w:t>
      </w:r>
      <w:r w:rsidR="00CF1461" w:rsidRPr="00514287">
        <w:rPr>
          <w:lang w:eastAsia="fr-FR"/>
        </w:rPr>
        <w:t>humanitaire</w:t>
      </w:r>
      <w:r w:rsidR="00CF1461" w:rsidRPr="00C97B55">
        <w:rPr>
          <w:lang w:eastAsia="fr-FR"/>
        </w:rPr>
        <w:t xml:space="preserve"> et contribuer à leur développement dans leur indivisibilité et leur universalité ;</w:t>
      </w:r>
    </w:p>
    <w:p w14:paraId="75F3BA8C" w14:textId="7BC9A597" w:rsidR="00CF1461" w:rsidRPr="00C97B55" w:rsidRDefault="004B5A1A" w:rsidP="004B5A1A">
      <w:pPr>
        <w:pStyle w:val="Bullet1G"/>
        <w:numPr>
          <w:ilvl w:val="0"/>
          <w:numId w:val="0"/>
        </w:numPr>
        <w:tabs>
          <w:tab w:val="left" w:pos="1701"/>
        </w:tabs>
        <w:ind w:left="1701" w:hanging="170"/>
        <w:rPr>
          <w:lang w:eastAsia="fr-FR"/>
        </w:rPr>
      </w:pPr>
      <w:r w:rsidRPr="00C97B55">
        <w:rPr>
          <w:lang w:eastAsia="fr-FR"/>
        </w:rPr>
        <w:t>•</w:t>
      </w:r>
      <w:r w:rsidRPr="00C97B55">
        <w:rPr>
          <w:lang w:eastAsia="fr-FR"/>
        </w:rPr>
        <w:tab/>
      </w:r>
      <w:r w:rsidR="009354AA">
        <w:rPr>
          <w:lang w:eastAsia="fr-FR"/>
        </w:rPr>
        <w:t>B</w:t>
      </w:r>
      <w:r w:rsidR="00CF1461" w:rsidRPr="00C97B55">
        <w:rPr>
          <w:lang w:eastAsia="fr-FR"/>
        </w:rPr>
        <w:t>annir et combattre toute discrimination à l</w:t>
      </w:r>
      <w:r w:rsidR="00CD5A97">
        <w:rPr>
          <w:lang w:eastAsia="fr-FR"/>
        </w:rPr>
        <w:t>’</w:t>
      </w:r>
      <w:r w:rsidR="00CF1461" w:rsidRPr="00C97B55">
        <w:rPr>
          <w:lang w:eastAsia="fr-FR"/>
        </w:rPr>
        <w:t xml:space="preserve">encontre de quiconque, en raison du sexe, de la </w:t>
      </w:r>
      <w:r w:rsidR="00CF1461" w:rsidRPr="00514287">
        <w:rPr>
          <w:lang w:eastAsia="fr-FR"/>
        </w:rPr>
        <w:t>couleur</w:t>
      </w:r>
      <w:r w:rsidR="00CF1461" w:rsidRPr="00C97B55">
        <w:rPr>
          <w:lang w:eastAsia="fr-FR"/>
        </w:rPr>
        <w:t>, des croyances, de la culture, de l</w:t>
      </w:r>
      <w:r w:rsidR="00CD5A97">
        <w:rPr>
          <w:lang w:eastAsia="fr-FR"/>
        </w:rPr>
        <w:t>’</w:t>
      </w:r>
      <w:r w:rsidR="00CF1461" w:rsidRPr="00C97B55">
        <w:rPr>
          <w:lang w:eastAsia="fr-FR"/>
        </w:rPr>
        <w:t>origine sociale ou régionale, de la langue, de handicap ou de quelque circonstance personnelle que ce soit ;</w:t>
      </w:r>
    </w:p>
    <w:p w14:paraId="22487E74" w14:textId="1381F611" w:rsidR="00CF1461" w:rsidRPr="00C97B55" w:rsidRDefault="004B5A1A" w:rsidP="004B5A1A">
      <w:pPr>
        <w:pStyle w:val="Bullet1G"/>
        <w:numPr>
          <w:ilvl w:val="0"/>
          <w:numId w:val="0"/>
        </w:numPr>
        <w:tabs>
          <w:tab w:val="left" w:pos="1701"/>
        </w:tabs>
        <w:ind w:left="1701" w:hanging="170"/>
        <w:rPr>
          <w:lang w:eastAsia="fr-FR"/>
        </w:rPr>
      </w:pPr>
      <w:r w:rsidRPr="00C97B55">
        <w:rPr>
          <w:lang w:eastAsia="fr-FR"/>
        </w:rPr>
        <w:t>•</w:t>
      </w:r>
      <w:r w:rsidRPr="00C97B55">
        <w:rPr>
          <w:lang w:eastAsia="fr-FR"/>
        </w:rPr>
        <w:tab/>
      </w:r>
      <w:r w:rsidR="009354AA">
        <w:rPr>
          <w:lang w:eastAsia="fr-FR"/>
        </w:rPr>
        <w:t>A</w:t>
      </w:r>
      <w:r w:rsidR="00CF1461" w:rsidRPr="00C97B55">
        <w:rPr>
          <w:lang w:eastAsia="fr-FR"/>
        </w:rPr>
        <w:t xml:space="preserve">ccorder aux conventions internationales dûment ratifiées par lui, dans le cadre des dispositions de la Constitution et des lois du Royaume, dans le respect de son identité nationale immuable, et dès la publication de ces conventions, la primauté sur le droit interne du pays, et harmoniser en conséquence les dispositions pertinentes de sa législation </w:t>
      </w:r>
      <w:r w:rsidR="005B02F8" w:rsidRPr="00C97B55">
        <w:rPr>
          <w:lang w:eastAsia="fr-FR"/>
        </w:rPr>
        <w:t>nationale</w:t>
      </w:r>
      <w:r w:rsidR="00D87853">
        <w:rPr>
          <w:lang w:eastAsia="fr-FR"/>
        </w:rPr>
        <w:t> </w:t>
      </w:r>
      <w:r w:rsidR="005B02F8" w:rsidRPr="00C97B55">
        <w:rPr>
          <w:lang w:eastAsia="fr-FR"/>
        </w:rPr>
        <w:t>»</w:t>
      </w:r>
      <w:r w:rsidR="00CF1461" w:rsidRPr="003B26DF">
        <w:rPr>
          <w:lang w:eastAsia="fr-FR"/>
        </w:rPr>
        <w:t>. </w:t>
      </w:r>
    </w:p>
    <w:p w14:paraId="61F821D7" w14:textId="32C39042" w:rsidR="00CF1461" w:rsidRPr="00013F70" w:rsidRDefault="004B5A1A" w:rsidP="004B5A1A">
      <w:pPr>
        <w:pStyle w:val="SingleTxtG"/>
        <w:tabs>
          <w:tab w:val="clear" w:pos="1701"/>
          <w:tab w:val="clear" w:pos="2268"/>
          <w:tab w:val="clear" w:pos="2835"/>
        </w:tabs>
        <w:rPr>
          <w:rFonts w:eastAsia="Times New Roman"/>
          <w:lang w:eastAsia="fr-FR"/>
        </w:rPr>
      </w:pPr>
      <w:r w:rsidRPr="00013F70">
        <w:rPr>
          <w:rFonts w:eastAsia="Times New Roman"/>
          <w:color w:val="000000" w:themeColor="text1"/>
          <w:lang w:eastAsia="fr-FR"/>
        </w:rPr>
        <w:t>55.</w:t>
      </w:r>
      <w:r w:rsidRPr="00013F70">
        <w:rPr>
          <w:rFonts w:eastAsia="Times New Roman"/>
          <w:color w:val="000000" w:themeColor="text1"/>
          <w:lang w:eastAsia="fr-FR"/>
        </w:rPr>
        <w:tab/>
      </w:r>
      <w:r w:rsidR="00CF1461" w:rsidRPr="00013F70">
        <w:rPr>
          <w:rFonts w:eastAsia="Times New Roman"/>
          <w:lang w:eastAsia="fr-FR"/>
        </w:rPr>
        <w:t>En termes de droits civils et politiques, l’article 30 de la Constitution dispose que « sont électeurs et éligibles, tous les citoyennes et les citoyens majeurs jouissant de leurs droits civils et politiques. La loi prévoit des dispositions de nature à favoriser l</w:t>
      </w:r>
      <w:r w:rsidR="00CD5A97" w:rsidRPr="00013F70">
        <w:rPr>
          <w:rFonts w:eastAsia="Times New Roman"/>
          <w:lang w:eastAsia="fr-FR"/>
        </w:rPr>
        <w:t>’</w:t>
      </w:r>
      <w:r w:rsidR="00CF1461" w:rsidRPr="00013F70">
        <w:rPr>
          <w:rFonts w:eastAsia="Times New Roman"/>
          <w:lang w:eastAsia="fr-FR"/>
        </w:rPr>
        <w:t>égal accès des femmes et des hommes aux fonctions électives. Le vote est un droit personnel et un devoir national. Les étrangers jouissent des libertés fondamentales reconnues aux citoyennes et citoyens marocains, conformément à la loi. Ceux d</w:t>
      </w:r>
      <w:r w:rsidR="00CD5A97" w:rsidRPr="00013F70">
        <w:rPr>
          <w:rFonts w:eastAsia="Times New Roman"/>
          <w:lang w:eastAsia="fr-FR"/>
        </w:rPr>
        <w:t>’</w:t>
      </w:r>
      <w:r w:rsidR="00CF1461" w:rsidRPr="00013F70">
        <w:rPr>
          <w:rFonts w:eastAsia="Times New Roman"/>
          <w:lang w:eastAsia="fr-FR"/>
        </w:rPr>
        <w:t>entre eux qui résident au Maroc peuvent participer aux élections locales en vertu de la loi, de l</w:t>
      </w:r>
      <w:r w:rsidR="00CD5A97" w:rsidRPr="00013F70">
        <w:rPr>
          <w:rFonts w:eastAsia="Times New Roman"/>
          <w:lang w:eastAsia="fr-FR"/>
        </w:rPr>
        <w:t>’</w:t>
      </w:r>
      <w:r w:rsidR="00CF1461" w:rsidRPr="00013F70">
        <w:rPr>
          <w:rFonts w:eastAsia="Times New Roman"/>
          <w:lang w:eastAsia="fr-FR"/>
        </w:rPr>
        <w:t>application de conventions internationales ou de pratiques de réciprocité. Les conditions d</w:t>
      </w:r>
      <w:r w:rsidR="00CD5A97" w:rsidRPr="00013F70">
        <w:rPr>
          <w:rFonts w:eastAsia="Times New Roman"/>
          <w:lang w:eastAsia="fr-FR"/>
        </w:rPr>
        <w:t>’</w:t>
      </w:r>
      <w:r w:rsidR="00CF1461" w:rsidRPr="00013F70">
        <w:rPr>
          <w:rFonts w:eastAsia="Times New Roman"/>
          <w:lang w:eastAsia="fr-FR"/>
        </w:rPr>
        <w:t>extradition et d</w:t>
      </w:r>
      <w:r w:rsidR="00CD5A97" w:rsidRPr="00013F70">
        <w:rPr>
          <w:rFonts w:eastAsia="Times New Roman"/>
          <w:lang w:eastAsia="fr-FR"/>
        </w:rPr>
        <w:t>’</w:t>
      </w:r>
      <w:r w:rsidR="00CF1461" w:rsidRPr="00013F70">
        <w:rPr>
          <w:rFonts w:eastAsia="Times New Roman"/>
          <w:lang w:eastAsia="fr-FR"/>
        </w:rPr>
        <w:t>octroi du droit d</w:t>
      </w:r>
      <w:r w:rsidR="00CD5A97" w:rsidRPr="00013F70">
        <w:rPr>
          <w:rFonts w:eastAsia="Times New Roman"/>
          <w:lang w:eastAsia="fr-FR"/>
        </w:rPr>
        <w:t>’</w:t>
      </w:r>
      <w:r w:rsidR="00CF1461" w:rsidRPr="00013F70">
        <w:rPr>
          <w:rFonts w:eastAsia="Times New Roman"/>
          <w:lang w:eastAsia="fr-FR"/>
        </w:rPr>
        <w:t>asile sont définies par la loi ».</w:t>
      </w:r>
      <w:r w:rsidR="00C927C9">
        <w:rPr>
          <w:rFonts w:eastAsia="Times New Roman"/>
          <w:lang w:eastAsia="fr-FR"/>
        </w:rPr>
        <w:t xml:space="preserve"> </w:t>
      </w:r>
      <w:r w:rsidR="00CF1461" w:rsidRPr="00013F70">
        <w:rPr>
          <w:rFonts w:eastAsia="Times New Roman"/>
          <w:lang w:eastAsia="fr-FR"/>
        </w:rPr>
        <w:t>« L</w:t>
      </w:r>
      <w:r w:rsidR="00CD5A97" w:rsidRPr="00013F70">
        <w:rPr>
          <w:rFonts w:eastAsia="Times New Roman"/>
          <w:lang w:eastAsia="fr-FR"/>
        </w:rPr>
        <w:t>’</w:t>
      </w:r>
      <w:r w:rsidR="00BD28D2">
        <w:rPr>
          <w:rFonts w:eastAsia="Times New Roman"/>
          <w:lang w:eastAsia="fr-FR"/>
        </w:rPr>
        <w:t>État</w:t>
      </w:r>
      <w:r w:rsidR="00CF1461" w:rsidRPr="00013F70">
        <w:rPr>
          <w:rFonts w:eastAsia="Times New Roman"/>
          <w:lang w:eastAsia="fr-FR"/>
        </w:rPr>
        <w:t xml:space="preserve"> veille à garantir l</w:t>
      </w:r>
      <w:r w:rsidR="00CD5A97" w:rsidRPr="00013F70">
        <w:rPr>
          <w:rFonts w:eastAsia="Times New Roman"/>
          <w:lang w:eastAsia="fr-FR"/>
        </w:rPr>
        <w:t>’</w:t>
      </w:r>
      <w:r w:rsidR="00CF1461" w:rsidRPr="00013F70">
        <w:rPr>
          <w:rFonts w:eastAsia="Times New Roman"/>
          <w:lang w:eastAsia="fr-FR"/>
        </w:rPr>
        <w:t>égalité des chances pour tous et une protection spécifique pour les catégories sociales défavorisées » (art.</w:t>
      </w:r>
      <w:r w:rsidR="00D87853">
        <w:rPr>
          <w:rFonts w:eastAsia="Times New Roman"/>
          <w:lang w:eastAsia="fr-FR"/>
        </w:rPr>
        <w:t> </w:t>
      </w:r>
      <w:r w:rsidR="00CF1461" w:rsidRPr="00013F70">
        <w:rPr>
          <w:rFonts w:eastAsia="Times New Roman"/>
          <w:lang w:eastAsia="fr-FR"/>
        </w:rPr>
        <w:t>35).</w:t>
      </w:r>
    </w:p>
    <w:p w14:paraId="0737188A" w14:textId="604E313B"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56.</w:t>
      </w:r>
      <w:r w:rsidRPr="00855577">
        <w:rPr>
          <w:rFonts w:eastAsia="Times New Roman"/>
          <w:color w:val="000000" w:themeColor="text1"/>
          <w:lang w:eastAsia="fr-FR"/>
        </w:rPr>
        <w:tab/>
      </w:r>
      <w:r w:rsidR="00CF1461" w:rsidRPr="00855577">
        <w:rPr>
          <w:rFonts w:eastAsia="Times New Roman"/>
          <w:lang w:eastAsia="fr-FR"/>
        </w:rPr>
        <w:t>Au titre XII de la Constitution, relatif à la bonne gouvernance, l’article 154 dispose : « Les services publics sont organisés sur la base de l</w:t>
      </w:r>
      <w:r w:rsidR="00CD5A97">
        <w:rPr>
          <w:rFonts w:eastAsia="Times New Roman"/>
          <w:lang w:eastAsia="fr-FR"/>
        </w:rPr>
        <w:t>’</w:t>
      </w:r>
      <w:r w:rsidR="00CF1461" w:rsidRPr="00855577">
        <w:rPr>
          <w:rFonts w:eastAsia="Times New Roman"/>
          <w:lang w:eastAsia="fr-FR"/>
        </w:rPr>
        <w:t xml:space="preserve">égal accès des citoyennes et citoyens, de la couverture équitable du territoire national et de la continuité des prestations. </w:t>
      </w:r>
      <w:r w:rsidR="00CF1461" w:rsidRPr="004C1CCA">
        <w:rPr>
          <w:rFonts w:eastAsia="Times New Roman"/>
          <w:lang w:eastAsia="fr-FR"/>
        </w:rPr>
        <w:t>Ils</w:t>
      </w:r>
      <w:r w:rsidR="00CF1461" w:rsidRPr="00855577">
        <w:rPr>
          <w:rFonts w:eastAsia="Times New Roman"/>
          <w:lang w:eastAsia="fr-FR"/>
        </w:rPr>
        <w:t xml:space="preserve"> sont soumis aux normes de qualité, de transparence, de reddition des comptes et de responsabilité, et sont régis par les principes et valeurs démocratiques consacrés par la Constitution ».</w:t>
      </w:r>
    </w:p>
    <w:p w14:paraId="67B51B08" w14:textId="77777777" w:rsidR="00CF1461" w:rsidRPr="00E26090" w:rsidRDefault="009354AA" w:rsidP="00377075">
      <w:pPr>
        <w:pStyle w:val="H23G"/>
        <w:rPr>
          <w:lang w:eastAsia="fr-FR"/>
        </w:rPr>
      </w:pPr>
      <w:r>
        <w:rPr>
          <w:lang w:eastAsia="fr-FR"/>
        </w:rPr>
        <w:tab/>
      </w:r>
      <w:r>
        <w:rPr>
          <w:lang w:eastAsia="fr-FR"/>
        </w:rPr>
        <w:tab/>
      </w:r>
      <w:r w:rsidR="00CF1461" w:rsidRPr="00E26090">
        <w:rPr>
          <w:lang w:eastAsia="fr-FR"/>
        </w:rPr>
        <w:t xml:space="preserve">Recommandation 11 du Comité </w:t>
      </w:r>
    </w:p>
    <w:p w14:paraId="29DAE4E3" w14:textId="5B0B6C7F"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57.</w:t>
      </w:r>
      <w:r w:rsidRPr="00855577">
        <w:rPr>
          <w:rFonts w:eastAsia="Times New Roman"/>
          <w:color w:val="000000" w:themeColor="text1"/>
          <w:lang w:eastAsia="fr-FR"/>
        </w:rPr>
        <w:tab/>
      </w:r>
      <w:r w:rsidR="00CF1461" w:rsidRPr="00855577">
        <w:rPr>
          <w:rFonts w:eastAsia="Times New Roman"/>
          <w:lang w:eastAsia="fr-FR"/>
        </w:rPr>
        <w:t xml:space="preserve">La </w:t>
      </w:r>
      <w:r w:rsidR="00CF1461" w:rsidRPr="00473B94">
        <w:rPr>
          <w:rFonts w:eastAsia="Times New Roman"/>
          <w:lang w:eastAsia="fr-FR"/>
        </w:rPr>
        <w:t>langue</w:t>
      </w:r>
      <w:r w:rsidR="00CF1461" w:rsidRPr="00855577">
        <w:rPr>
          <w:rFonts w:eastAsia="Times New Roman"/>
          <w:lang w:eastAsia="fr-FR"/>
        </w:rPr>
        <w:t xml:space="preserve"> amazighe a été constitutionnalisée. L’article 5 de la Constitution prévoit :</w:t>
      </w:r>
      <w:r w:rsidR="005B02F8" w:rsidRPr="00855577">
        <w:rPr>
          <w:rFonts w:eastAsia="Times New Roman"/>
          <w:lang w:eastAsia="fr-FR"/>
        </w:rPr>
        <w:t xml:space="preserve"> «</w:t>
      </w:r>
      <w:r w:rsidR="00D87853">
        <w:rPr>
          <w:rFonts w:eastAsia="Times New Roman"/>
          <w:lang w:eastAsia="fr-FR"/>
        </w:rPr>
        <w:t> </w:t>
      </w:r>
      <w:r w:rsidR="005B02F8" w:rsidRPr="00855577">
        <w:rPr>
          <w:rFonts w:eastAsia="Times New Roman"/>
          <w:lang w:eastAsia="fr-FR"/>
        </w:rPr>
        <w:t>L’arabe</w:t>
      </w:r>
      <w:r w:rsidR="00CF1461" w:rsidRPr="00855577">
        <w:rPr>
          <w:rFonts w:eastAsia="Times New Roman"/>
          <w:lang w:eastAsia="fr-FR"/>
        </w:rPr>
        <w:t xml:space="preserve"> </w:t>
      </w:r>
      <w:r w:rsidR="00CF1461" w:rsidRPr="004C1CCA">
        <w:rPr>
          <w:rFonts w:eastAsia="Times New Roman"/>
          <w:lang w:eastAsia="fr-FR"/>
        </w:rPr>
        <w:t>demeure</w:t>
      </w:r>
      <w:r w:rsidR="00CF1461" w:rsidRPr="00855577">
        <w:rPr>
          <w:rFonts w:eastAsia="Times New Roman"/>
          <w:lang w:eastAsia="fr-FR"/>
        </w:rPr>
        <w:t xml:space="preserve"> la langue officielle de l’État. L’État œuvre à la protection et au développement de la langue arabe, ainsi qu’à la promotion de son utilisation. De même, l’amazighe constitue une langue officielle de l’État, en tant que patrimoine commun à tous les Marocains sans exception</w:t>
      </w:r>
      <w:r w:rsidR="00D87853">
        <w:rPr>
          <w:rFonts w:eastAsia="Times New Roman"/>
          <w:lang w:eastAsia="fr-FR"/>
        </w:rPr>
        <w:t> </w:t>
      </w:r>
      <w:r w:rsidR="00CF1461" w:rsidRPr="00855577">
        <w:rPr>
          <w:rFonts w:eastAsia="Times New Roman"/>
          <w:lang w:eastAsia="fr-FR"/>
        </w:rPr>
        <w:t>».</w:t>
      </w:r>
    </w:p>
    <w:p w14:paraId="4D8BB048" w14:textId="26DBD873"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58.</w:t>
      </w:r>
      <w:r w:rsidRPr="00855577">
        <w:rPr>
          <w:rFonts w:eastAsia="Times New Roman"/>
          <w:color w:val="000000" w:themeColor="text1"/>
          <w:lang w:eastAsia="fr-FR"/>
        </w:rPr>
        <w:tab/>
      </w:r>
      <w:r w:rsidR="00CF1461" w:rsidRPr="00855577">
        <w:rPr>
          <w:rFonts w:eastAsia="Times New Roman"/>
          <w:lang w:eastAsia="fr-FR"/>
        </w:rPr>
        <w:t>En </w:t>
      </w:r>
      <w:r w:rsidR="00CF1461" w:rsidRPr="00473B94">
        <w:rPr>
          <w:rFonts w:eastAsia="Times New Roman"/>
          <w:lang w:eastAsia="fr-FR"/>
        </w:rPr>
        <w:t>2003</w:t>
      </w:r>
      <w:r w:rsidR="00CF1461" w:rsidRPr="00855577">
        <w:rPr>
          <w:rFonts w:eastAsia="Times New Roman"/>
          <w:lang w:eastAsia="fr-FR"/>
        </w:rPr>
        <w:t>, l’IRCAM et le département de l’Education ont défini un cadre général de coopération concernant l’intégration de l’amazigh dans le système d</w:t>
      </w:r>
      <w:r w:rsidR="00CD5A97">
        <w:rPr>
          <w:rFonts w:eastAsia="Times New Roman"/>
          <w:lang w:eastAsia="fr-FR"/>
        </w:rPr>
        <w:t>’</w:t>
      </w:r>
      <w:r w:rsidR="00CF1461" w:rsidRPr="00855577">
        <w:rPr>
          <w:rFonts w:eastAsia="Times New Roman"/>
          <w:lang w:eastAsia="fr-FR"/>
        </w:rPr>
        <w:t>éducation.</w:t>
      </w:r>
    </w:p>
    <w:p w14:paraId="02F68F81" w14:textId="7949FF80" w:rsidR="00CF1461" w:rsidRPr="00C97B55" w:rsidRDefault="004B5A1A" w:rsidP="004B5A1A">
      <w:pPr>
        <w:pStyle w:val="SingleTxtG"/>
        <w:tabs>
          <w:tab w:val="clear" w:pos="1701"/>
          <w:tab w:val="clear" w:pos="2268"/>
          <w:tab w:val="clear" w:pos="2835"/>
        </w:tabs>
        <w:rPr>
          <w:rFonts w:eastAsia="Times New Roman" w:cs="Arial"/>
          <w:lang w:eastAsia="fr-FR"/>
        </w:rPr>
      </w:pPr>
      <w:r w:rsidRPr="00C97B55">
        <w:rPr>
          <w:rFonts w:eastAsia="Times New Roman" w:cs="Arial"/>
          <w:color w:val="000000" w:themeColor="text1"/>
          <w:lang w:eastAsia="fr-FR"/>
        </w:rPr>
        <w:t>59.</w:t>
      </w:r>
      <w:r w:rsidRPr="00C97B55">
        <w:rPr>
          <w:rFonts w:eastAsia="Times New Roman" w:cs="Arial"/>
          <w:color w:val="000000" w:themeColor="text1"/>
          <w:lang w:eastAsia="fr-FR"/>
        </w:rPr>
        <w:tab/>
      </w:r>
      <w:r w:rsidR="00CF1461" w:rsidRPr="00855577">
        <w:rPr>
          <w:rFonts w:eastAsia="Times New Roman"/>
          <w:lang w:eastAsia="fr-FR"/>
        </w:rPr>
        <w:t xml:space="preserve">En </w:t>
      </w:r>
      <w:r w:rsidR="00CF1461" w:rsidRPr="004C1CCA">
        <w:rPr>
          <w:rFonts w:eastAsia="Times New Roman"/>
          <w:lang w:eastAsia="fr-FR"/>
        </w:rPr>
        <w:t>matière</w:t>
      </w:r>
      <w:r w:rsidR="00CF1461" w:rsidRPr="00855577">
        <w:rPr>
          <w:rFonts w:eastAsia="Times New Roman"/>
          <w:lang w:eastAsia="fr-FR"/>
        </w:rPr>
        <w:t xml:space="preserve"> d’aménagement linguistique, l’action de l’IRCAM a permis :</w:t>
      </w:r>
      <w:r w:rsidR="00D87853">
        <w:rPr>
          <w:rFonts w:eastAsia="Times New Roman"/>
          <w:lang w:eastAsia="fr-FR"/>
        </w:rPr>
        <w:t xml:space="preserve"> </w:t>
      </w:r>
      <w:r w:rsidR="00CF1461" w:rsidRPr="00855577">
        <w:rPr>
          <w:rFonts w:eastAsia="Times New Roman"/>
          <w:lang w:eastAsia="fr-FR"/>
        </w:rPr>
        <w:t xml:space="preserve">(i) la </w:t>
      </w:r>
      <w:r w:rsidR="00CF1461" w:rsidRPr="00473B94">
        <w:rPr>
          <w:rFonts w:eastAsia="Times New Roman"/>
          <w:lang w:eastAsia="fr-FR"/>
        </w:rPr>
        <w:t>transcription</w:t>
      </w:r>
      <w:r w:rsidR="00CF1461" w:rsidRPr="00855577">
        <w:rPr>
          <w:rFonts w:eastAsia="Times New Roman"/>
          <w:lang w:eastAsia="fr-FR"/>
        </w:rPr>
        <w:t xml:space="preserve"> et la diffusion des expressions de la culture amazighe, (ii) la recherche, (iii) la confection de lexiques généraux, de dictionnaires spécialisés, de supports pédagogiques, (iv)</w:t>
      </w:r>
      <w:r w:rsidR="00C927C9">
        <w:rPr>
          <w:rFonts w:eastAsia="Times New Roman"/>
          <w:lang w:eastAsia="fr-FR"/>
        </w:rPr>
        <w:t> </w:t>
      </w:r>
      <w:r w:rsidR="00CF1461" w:rsidRPr="00855577">
        <w:rPr>
          <w:rFonts w:eastAsia="Times New Roman"/>
          <w:lang w:eastAsia="fr-FR"/>
        </w:rPr>
        <w:t>la contribution « à l’élaboration de programmes de formation initiale et continue au profit des cadres pédagogiques chargés de l</w:t>
      </w:r>
      <w:r w:rsidR="00CD5A97">
        <w:rPr>
          <w:rFonts w:eastAsia="Times New Roman"/>
          <w:lang w:eastAsia="fr-FR"/>
        </w:rPr>
        <w:t>’</w:t>
      </w:r>
      <w:r w:rsidR="00CF1461" w:rsidRPr="00855577">
        <w:rPr>
          <w:rFonts w:eastAsia="Times New Roman"/>
          <w:lang w:eastAsia="fr-FR"/>
        </w:rPr>
        <w:t>enseignement de l</w:t>
      </w:r>
      <w:r w:rsidR="00CD5A97">
        <w:rPr>
          <w:rFonts w:eastAsia="Times New Roman"/>
          <w:lang w:eastAsia="fr-FR"/>
        </w:rPr>
        <w:t>’</w:t>
      </w:r>
      <w:r w:rsidR="00CF1461" w:rsidRPr="00855577">
        <w:rPr>
          <w:rFonts w:eastAsia="Times New Roman"/>
          <w:lang w:eastAsia="fr-FR"/>
        </w:rPr>
        <w:t>amazigh et des fonctionnaires et agents qui, professionnellement sont amenés à l</w:t>
      </w:r>
      <w:r w:rsidR="00CD5A97">
        <w:rPr>
          <w:rFonts w:eastAsia="Times New Roman"/>
          <w:lang w:eastAsia="fr-FR"/>
        </w:rPr>
        <w:t>’</w:t>
      </w:r>
      <w:r w:rsidR="00CF1461" w:rsidRPr="00855577">
        <w:rPr>
          <w:rFonts w:eastAsia="Times New Roman"/>
          <w:lang w:eastAsia="fr-FR"/>
        </w:rPr>
        <w:t>utiliser, et d</w:t>
      </w:r>
      <w:r w:rsidR="00CD5A97">
        <w:rPr>
          <w:rFonts w:eastAsia="Times New Roman"/>
          <w:lang w:eastAsia="fr-FR"/>
        </w:rPr>
        <w:t>’</w:t>
      </w:r>
      <w:r w:rsidR="00CF1461" w:rsidRPr="00855577">
        <w:rPr>
          <w:rFonts w:eastAsia="Times New Roman"/>
          <w:lang w:eastAsia="fr-FR"/>
        </w:rPr>
        <w:t>une manière générale, pour toute personne désireuse de l</w:t>
      </w:r>
      <w:r w:rsidR="00CD5A97">
        <w:rPr>
          <w:rFonts w:eastAsia="Times New Roman"/>
          <w:lang w:eastAsia="fr-FR"/>
        </w:rPr>
        <w:t>’</w:t>
      </w:r>
      <w:r w:rsidR="00CF1461" w:rsidRPr="00855577">
        <w:rPr>
          <w:rFonts w:eastAsia="Times New Roman"/>
          <w:lang w:eastAsia="fr-FR"/>
        </w:rPr>
        <w:t>apprendre », (v) l’assistance des universités « à organiser les Centres de recherche et de développement linguistique et culturel amazighe et à former les formateurs</w:t>
      </w:r>
      <w:r w:rsidR="00CF1461" w:rsidRPr="00C97B55">
        <w:rPr>
          <w:rFonts w:eastAsia="Times New Roman" w:cs="Arial"/>
          <w:lang w:eastAsia="fr-FR"/>
        </w:rPr>
        <w:t xml:space="preserve"> » et, enfin, (vi) le renforcement de la place de l</w:t>
      </w:r>
      <w:r w:rsidR="00CD5A97">
        <w:rPr>
          <w:rFonts w:eastAsia="Times New Roman" w:cs="Arial"/>
          <w:lang w:eastAsia="fr-FR"/>
        </w:rPr>
        <w:t>’</w:t>
      </w:r>
      <w:r w:rsidR="00CF1461" w:rsidRPr="00C97B55">
        <w:rPr>
          <w:rFonts w:eastAsia="Times New Roman" w:cs="Arial"/>
          <w:lang w:eastAsia="fr-FR"/>
        </w:rPr>
        <w:t>amazighe dans les espaces de communication et d</w:t>
      </w:r>
      <w:r w:rsidR="00CD5A97">
        <w:rPr>
          <w:rFonts w:eastAsia="Times New Roman" w:cs="Arial"/>
          <w:lang w:eastAsia="fr-FR"/>
        </w:rPr>
        <w:t>’</w:t>
      </w:r>
      <w:r w:rsidR="00CF1461" w:rsidRPr="00C97B55">
        <w:rPr>
          <w:rFonts w:eastAsia="Times New Roman" w:cs="Arial"/>
          <w:lang w:eastAsia="fr-FR"/>
        </w:rPr>
        <w:t xml:space="preserve">information. </w:t>
      </w:r>
    </w:p>
    <w:p w14:paraId="47EBF711" w14:textId="080D1778"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60.</w:t>
      </w:r>
      <w:r w:rsidRPr="00855577">
        <w:rPr>
          <w:rFonts w:eastAsia="Times New Roman"/>
          <w:color w:val="000000" w:themeColor="text1"/>
          <w:lang w:eastAsia="fr-FR"/>
        </w:rPr>
        <w:tab/>
      </w:r>
      <w:r w:rsidR="00CF1461" w:rsidRPr="00855577">
        <w:rPr>
          <w:rFonts w:eastAsia="Times New Roman"/>
          <w:lang w:eastAsia="fr-FR"/>
        </w:rPr>
        <w:t xml:space="preserve">Des conventions de partenariat entre l’IRCAM et l’université ont permis de mettre en place des cycles de Masters et de filières des </w:t>
      </w:r>
      <w:r w:rsidR="00CF1461" w:rsidRPr="004C1CCA">
        <w:rPr>
          <w:rFonts w:eastAsia="Times New Roman"/>
          <w:lang w:eastAsia="fr-FR"/>
        </w:rPr>
        <w:t>études</w:t>
      </w:r>
      <w:r w:rsidR="00CF1461" w:rsidRPr="00855577">
        <w:rPr>
          <w:rFonts w:eastAsia="Times New Roman"/>
          <w:lang w:eastAsia="fr-FR"/>
        </w:rPr>
        <w:t xml:space="preserve"> amazighes à Agadir, Rabat, Fès et Oujda.</w:t>
      </w:r>
      <w:r w:rsidR="00CD5A97">
        <w:rPr>
          <w:rFonts w:eastAsia="Times New Roman"/>
          <w:lang w:eastAsia="fr-FR"/>
        </w:rPr>
        <w:t xml:space="preserve"> </w:t>
      </w:r>
      <w:r w:rsidR="00CF1461" w:rsidRPr="00855577">
        <w:rPr>
          <w:rFonts w:eastAsia="Times New Roman"/>
          <w:lang w:eastAsia="fr-FR"/>
        </w:rPr>
        <w:t>Quatre centres régionaux d’éducation et de formation spécialisés, dédiés à la formation des enseignants en langue amazighe sont fonctionnels dans les villes d’Agadir, Marrakech, Meknès et Nador. Des conventions ont été également signées pour dispenser des cours de l’amazigh avec plusieurs départements et institutions nationales, notamment la HACA et le CNDH.</w:t>
      </w:r>
    </w:p>
    <w:p w14:paraId="427231A7" w14:textId="2ACFFC41"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61.</w:t>
      </w:r>
      <w:r w:rsidRPr="00855577">
        <w:rPr>
          <w:rFonts w:eastAsia="Times New Roman"/>
          <w:color w:val="000000" w:themeColor="text1"/>
          <w:lang w:eastAsia="fr-FR"/>
        </w:rPr>
        <w:tab/>
      </w:r>
      <w:r w:rsidR="00CF1461" w:rsidRPr="00855577">
        <w:rPr>
          <w:rFonts w:eastAsia="Times New Roman"/>
          <w:lang w:eastAsia="fr-FR"/>
        </w:rPr>
        <w:t xml:space="preserve">Depuis mars 2011, la HACA a mis en place une structure interne dédiée à la diversité culturelle et linguistique, au sein du département de Suivi des Programmes. Elle a également établi, en collaboration avec l’IRCAM, un glossaire regroupant, classifiant et standardisant </w:t>
      </w:r>
      <w:r w:rsidR="00CF1461" w:rsidRPr="00855577">
        <w:rPr>
          <w:rFonts w:eastAsia="Times New Roman"/>
          <w:lang w:eastAsia="fr-FR"/>
        </w:rPr>
        <w:lastRenderedPageBreak/>
        <w:t xml:space="preserve">l’ensemble de la terminologie pertinente et usuelle, relative à la pratique audiovisuelle dans l’espace médiatique national. </w:t>
      </w:r>
    </w:p>
    <w:p w14:paraId="31E7A26B" w14:textId="264471D7"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62.</w:t>
      </w:r>
      <w:r w:rsidRPr="00855577">
        <w:rPr>
          <w:rFonts w:eastAsia="Times New Roman"/>
          <w:color w:val="000000" w:themeColor="text1"/>
          <w:lang w:eastAsia="fr-FR"/>
        </w:rPr>
        <w:tab/>
      </w:r>
      <w:r w:rsidR="00CF1461" w:rsidRPr="00855577">
        <w:rPr>
          <w:rFonts w:eastAsia="Times New Roman"/>
          <w:lang w:eastAsia="fr-FR"/>
        </w:rPr>
        <w:t>Afin de promouvoir la culture Amazighe, l’IRCAM alloue des ressources financières régulières pour subventionner les activités suivantes :</w:t>
      </w:r>
    </w:p>
    <w:p w14:paraId="1E4EB90A" w14:textId="326D4D8A" w:rsidR="00CF1461" w:rsidRPr="008C15DF" w:rsidRDefault="004B5A1A" w:rsidP="004B5A1A">
      <w:pPr>
        <w:pStyle w:val="Bullet1G"/>
        <w:numPr>
          <w:ilvl w:val="0"/>
          <w:numId w:val="0"/>
        </w:numPr>
        <w:tabs>
          <w:tab w:val="left" w:pos="1701"/>
        </w:tabs>
        <w:ind w:left="1701" w:hanging="170"/>
      </w:pPr>
      <w:r w:rsidRPr="008C15DF">
        <w:t>•</w:t>
      </w:r>
      <w:r w:rsidRPr="008C15DF">
        <w:tab/>
      </w:r>
      <w:r w:rsidR="00CF1461" w:rsidRPr="008C15DF">
        <w:t xml:space="preserve">Appui aux </w:t>
      </w:r>
      <w:r w:rsidR="00CF1461" w:rsidRPr="00514287">
        <w:rPr>
          <w:rFonts w:eastAsia="Times New Roman"/>
          <w:lang w:eastAsia="fr-FR"/>
        </w:rPr>
        <w:t>associations</w:t>
      </w:r>
      <w:r w:rsidR="005B02F8">
        <w:t xml:space="preserve"> : 10 </w:t>
      </w:r>
      <w:r w:rsidR="00C927C9">
        <w:t>m</w:t>
      </w:r>
      <w:r w:rsidR="005B02F8">
        <w:t xml:space="preserve">illions de </w:t>
      </w:r>
      <w:proofErr w:type="spellStart"/>
      <w:r w:rsidR="005B02F8">
        <w:t>Dhs</w:t>
      </w:r>
      <w:proofErr w:type="spellEnd"/>
      <w:r w:rsidR="005B02F8">
        <w:t>/an</w:t>
      </w:r>
      <w:r w:rsidR="00CF1461" w:rsidRPr="003C06D3">
        <w:rPr>
          <w:rStyle w:val="Appelnotedebasdep"/>
        </w:rPr>
        <w:footnoteReference w:id="23"/>
      </w:r>
      <w:r w:rsidR="005B02F8">
        <w:t> ;</w:t>
      </w:r>
    </w:p>
    <w:p w14:paraId="4D1D8A20" w14:textId="731CC98E" w:rsidR="00CF1461" w:rsidRPr="008C15DF" w:rsidRDefault="004B5A1A" w:rsidP="004B5A1A">
      <w:pPr>
        <w:pStyle w:val="Bullet1G"/>
        <w:numPr>
          <w:ilvl w:val="0"/>
          <w:numId w:val="0"/>
        </w:numPr>
        <w:tabs>
          <w:tab w:val="left" w:pos="1701"/>
        </w:tabs>
        <w:ind w:left="1701" w:hanging="170"/>
      </w:pPr>
      <w:r w:rsidRPr="008C15DF">
        <w:t>•</w:t>
      </w:r>
      <w:r w:rsidRPr="008C15DF">
        <w:tab/>
      </w:r>
      <w:r w:rsidR="00CF1461" w:rsidRPr="008C15DF">
        <w:t xml:space="preserve">Edition, </w:t>
      </w:r>
      <w:r w:rsidR="00CF1461" w:rsidRPr="00514287">
        <w:rPr>
          <w:rFonts w:eastAsia="Times New Roman"/>
          <w:lang w:eastAsia="fr-FR"/>
        </w:rPr>
        <w:t>recherche</w:t>
      </w:r>
      <w:r w:rsidR="00CF1461" w:rsidRPr="008C15DF">
        <w:t xml:space="preserve"> contractuelle et autres pre</w:t>
      </w:r>
      <w:r w:rsidR="005B02F8">
        <w:t xml:space="preserve">stations : 7 </w:t>
      </w:r>
      <w:r w:rsidR="00C927C9">
        <w:t>m</w:t>
      </w:r>
      <w:r w:rsidR="005B02F8">
        <w:t xml:space="preserve">illions de </w:t>
      </w:r>
      <w:proofErr w:type="spellStart"/>
      <w:r w:rsidR="005B02F8">
        <w:t>Dhs</w:t>
      </w:r>
      <w:proofErr w:type="spellEnd"/>
      <w:r w:rsidR="005B02F8">
        <w:t>/an ;</w:t>
      </w:r>
    </w:p>
    <w:p w14:paraId="0148D122" w14:textId="6BF362A8" w:rsidR="00CF1461" w:rsidRPr="008C15DF" w:rsidRDefault="004B5A1A" w:rsidP="004B5A1A">
      <w:pPr>
        <w:pStyle w:val="Bullet1G"/>
        <w:numPr>
          <w:ilvl w:val="0"/>
          <w:numId w:val="0"/>
        </w:numPr>
        <w:tabs>
          <w:tab w:val="left" w:pos="1701"/>
        </w:tabs>
        <w:ind w:left="1701" w:hanging="170"/>
      </w:pPr>
      <w:r w:rsidRPr="008C15DF">
        <w:t>•</w:t>
      </w:r>
      <w:r w:rsidRPr="008C15DF">
        <w:tab/>
      </w:r>
      <w:r w:rsidR="00CF1461" w:rsidRPr="008C15DF">
        <w:t xml:space="preserve">Les prix de la culture amazighe : 1 </w:t>
      </w:r>
      <w:r w:rsidR="00C927C9">
        <w:t>m</w:t>
      </w:r>
      <w:r w:rsidR="00CF1461" w:rsidRPr="008C15DF">
        <w:t xml:space="preserve">illion de </w:t>
      </w:r>
      <w:proofErr w:type="spellStart"/>
      <w:r w:rsidR="00CF1461" w:rsidRPr="008C15DF">
        <w:t>Dhs</w:t>
      </w:r>
      <w:proofErr w:type="spellEnd"/>
      <w:r w:rsidR="005B02F8">
        <w:t>/an :</w:t>
      </w:r>
    </w:p>
    <w:p w14:paraId="618BC138" w14:textId="023FFDAC" w:rsidR="00CF1461" w:rsidRDefault="004B5A1A" w:rsidP="004B5A1A">
      <w:pPr>
        <w:pStyle w:val="Bullet1G"/>
        <w:numPr>
          <w:ilvl w:val="0"/>
          <w:numId w:val="0"/>
        </w:numPr>
        <w:tabs>
          <w:tab w:val="left" w:pos="1701"/>
        </w:tabs>
        <w:ind w:left="1701" w:hanging="170"/>
      </w:pPr>
      <w:r>
        <w:t>•</w:t>
      </w:r>
      <w:r>
        <w:tab/>
      </w:r>
      <w:r w:rsidR="00CF1461" w:rsidRPr="008C15DF">
        <w:t>Subventions aux médias, aux auteurs et l’appui à l’enseignement</w:t>
      </w:r>
      <w:r w:rsidR="005B02F8">
        <w:t xml:space="preserve"> de l’amazighe : 625</w:t>
      </w:r>
      <w:r w:rsidR="00C927C9">
        <w:t> </w:t>
      </w:r>
      <w:r w:rsidR="005B02F8">
        <w:t xml:space="preserve">000 </w:t>
      </w:r>
      <w:proofErr w:type="spellStart"/>
      <w:r w:rsidR="005B02F8">
        <w:t>Dhs</w:t>
      </w:r>
      <w:proofErr w:type="spellEnd"/>
      <w:r w:rsidR="005B02F8">
        <w:t>/an</w:t>
      </w:r>
      <w:r w:rsidR="00CF1461" w:rsidRPr="003C06D3">
        <w:rPr>
          <w:rStyle w:val="Appelnotedebasdep"/>
        </w:rPr>
        <w:footnoteReference w:id="24"/>
      </w:r>
      <w:r w:rsidR="005B02F8">
        <w:t>.</w:t>
      </w:r>
      <w:r w:rsidR="00CF1461">
        <w:t xml:space="preserve"> </w:t>
      </w:r>
    </w:p>
    <w:p w14:paraId="49806034" w14:textId="6C3D2EF9"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63.</w:t>
      </w:r>
      <w:r w:rsidRPr="00855577">
        <w:rPr>
          <w:rFonts w:eastAsia="Times New Roman"/>
          <w:color w:val="000000" w:themeColor="text1"/>
          <w:lang w:eastAsia="fr-FR"/>
        </w:rPr>
        <w:tab/>
      </w:r>
      <w:r w:rsidR="00CF1461" w:rsidRPr="00855577">
        <w:rPr>
          <w:rFonts w:eastAsia="Times New Roman"/>
          <w:lang w:eastAsia="fr-FR"/>
        </w:rPr>
        <w:t xml:space="preserve">Les 35 articles de la </w:t>
      </w:r>
      <w:r w:rsidR="00C927C9" w:rsidRPr="00855577">
        <w:rPr>
          <w:rFonts w:eastAsia="Times New Roman"/>
          <w:lang w:eastAsia="fr-FR"/>
        </w:rPr>
        <w:t xml:space="preserve">Loi </w:t>
      </w:r>
      <w:r w:rsidR="00CF1461" w:rsidRPr="00855577">
        <w:rPr>
          <w:rFonts w:eastAsia="Times New Roman"/>
          <w:lang w:eastAsia="fr-FR"/>
        </w:rPr>
        <w:t xml:space="preserve">organique </w:t>
      </w:r>
      <w:r w:rsidR="00D87853">
        <w:rPr>
          <w:rFonts w:asciiTheme="majorBidi" w:eastAsia="Times New Roman" w:hAnsiTheme="majorBidi" w:cstheme="majorBidi"/>
          <w:color w:val="000000"/>
          <w:lang w:eastAsia="fr-FR"/>
        </w:rPr>
        <w:t>n</w:t>
      </w:r>
      <w:r w:rsidR="00D87853" w:rsidRPr="00050C02">
        <w:rPr>
          <w:rFonts w:asciiTheme="majorBidi" w:eastAsia="Times New Roman" w:hAnsiTheme="majorBidi" w:cstheme="majorBidi"/>
          <w:color w:val="000000"/>
          <w:vertAlign w:val="superscript"/>
          <w:lang w:eastAsia="fr-FR"/>
        </w:rPr>
        <w:t>o</w:t>
      </w:r>
      <w:r w:rsidR="00D87853">
        <w:rPr>
          <w:rFonts w:asciiTheme="majorBidi" w:eastAsia="Times New Roman" w:hAnsiTheme="majorBidi" w:cstheme="majorBidi"/>
          <w:color w:val="000000"/>
          <w:lang w:eastAsia="fr-FR"/>
        </w:rPr>
        <w:t> </w:t>
      </w:r>
      <w:r w:rsidR="00CF1461" w:rsidRPr="00855577">
        <w:rPr>
          <w:rFonts w:eastAsia="Times New Roman"/>
          <w:lang w:eastAsia="fr-FR"/>
        </w:rPr>
        <w:t>26.16, adopté récemment, définissent la mise en œuvre du caractère officiel de l’amazigh et son intégration dans les domaines de l’enseignement, de la législation et l’action parlementaire, de l’information et la communication, de la créativité culturelle et artistique et son utilisation dans les administrations et l’ensemble des services publics, ainsi que dans le domaine de la justice. Il</w:t>
      </w:r>
      <w:r w:rsidR="00C927C9">
        <w:rPr>
          <w:rFonts w:eastAsia="Times New Roman"/>
          <w:lang w:eastAsia="fr-FR"/>
        </w:rPr>
        <w:t> </w:t>
      </w:r>
      <w:r w:rsidR="00CF1461" w:rsidRPr="004C1CCA">
        <w:rPr>
          <w:rFonts w:eastAsia="Times New Roman"/>
          <w:lang w:eastAsia="fr-FR"/>
        </w:rPr>
        <w:t>prévoit</w:t>
      </w:r>
      <w:r w:rsidR="00CF1461" w:rsidRPr="00855577">
        <w:rPr>
          <w:rFonts w:eastAsia="Times New Roman"/>
          <w:lang w:eastAsia="fr-FR"/>
        </w:rPr>
        <w:t xml:space="preserve"> également la protection du patrimoine culturel et civilisationnel amazigh avec toutes ses spécificités et le renforcement des compétences des ressources humaines des administrations en la matière. Il vise aussi la consolidation de la recherche scientifique en vue de développer l’amazigh et encourager la traduction. </w:t>
      </w:r>
    </w:p>
    <w:p w14:paraId="5CF78E8B" w14:textId="16B6573B"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64.</w:t>
      </w:r>
      <w:r w:rsidRPr="00855577">
        <w:rPr>
          <w:rFonts w:eastAsia="Times New Roman"/>
          <w:color w:val="000000" w:themeColor="text1"/>
          <w:lang w:eastAsia="fr-FR"/>
        </w:rPr>
        <w:tab/>
      </w:r>
      <w:r w:rsidR="00CF1461" w:rsidRPr="00855577">
        <w:rPr>
          <w:rFonts w:eastAsia="Times New Roman"/>
          <w:lang w:eastAsia="fr-FR"/>
        </w:rPr>
        <w:t xml:space="preserve">Dans le domaine de l’enseignement et dans les secteurs public et privé, l’intégration de l’amazigh se fera d’une manière progressive, avec la possibilité de la création de cycles de formations et d’unités de recherche spécialisées dans la langue et la culture amazighe au sein des établissements d’enseignement supérieur, outre l’intégration de cette langue au programme de lutte contre l’analphabétisme et d’éducation non formelle. La </w:t>
      </w:r>
      <w:r w:rsidR="00C927C9">
        <w:rPr>
          <w:rFonts w:eastAsia="Times New Roman"/>
          <w:lang w:eastAsia="fr-FR"/>
        </w:rPr>
        <w:t>L</w:t>
      </w:r>
      <w:r w:rsidR="00CF1461" w:rsidRPr="00855577">
        <w:rPr>
          <w:rFonts w:eastAsia="Times New Roman"/>
          <w:lang w:eastAsia="fr-FR"/>
        </w:rPr>
        <w:t xml:space="preserve">oi organique prévoit également la possibilité de l’utilisation de la langue amazighe dans les travaux des séances publiques et les commissions parlementaires avec la mise à disposition de la traduction simultanée, et la transmission de ces séances accompagnées de la traduction simultanée vers l’amazigh sur les chaînes télévisées et les radios publiques amazighes. </w:t>
      </w:r>
    </w:p>
    <w:p w14:paraId="20245AAA" w14:textId="0F24ED75"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65.</w:t>
      </w:r>
      <w:r w:rsidRPr="00855577">
        <w:rPr>
          <w:rFonts w:eastAsia="Times New Roman"/>
          <w:color w:val="000000" w:themeColor="text1"/>
          <w:lang w:eastAsia="fr-FR"/>
        </w:rPr>
        <w:tab/>
      </w:r>
      <w:r w:rsidR="00CF1461" w:rsidRPr="00855577">
        <w:rPr>
          <w:rFonts w:eastAsia="Times New Roman"/>
          <w:lang w:eastAsia="fr-FR"/>
        </w:rPr>
        <w:t>Le texte</w:t>
      </w:r>
      <w:r w:rsidR="005B02F8">
        <w:rPr>
          <w:rFonts w:eastAsia="Times New Roman"/>
          <w:lang w:eastAsia="fr-FR"/>
        </w:rPr>
        <w:t xml:space="preserve"> stipule l’écriture en amazigh </w:t>
      </w:r>
      <w:r w:rsidR="00CF1461" w:rsidRPr="00855577">
        <w:rPr>
          <w:rFonts w:eastAsia="Times New Roman"/>
          <w:lang w:eastAsia="fr-FR"/>
        </w:rPr>
        <w:t xml:space="preserve">des données des cartes d’identité nationales, passeports, </w:t>
      </w:r>
      <w:r w:rsidR="00CF1461" w:rsidRPr="0084458A">
        <w:rPr>
          <w:rFonts w:eastAsia="Times New Roman"/>
          <w:lang w:eastAsia="fr-FR"/>
        </w:rPr>
        <w:t>permis</w:t>
      </w:r>
      <w:r w:rsidR="00CF1461" w:rsidRPr="00855577">
        <w:rPr>
          <w:rFonts w:eastAsia="Times New Roman"/>
          <w:lang w:eastAsia="fr-FR"/>
        </w:rPr>
        <w:t xml:space="preserve"> de conduire, certificats administratifs, pièces de monnaie, timbres postaux, </w:t>
      </w:r>
      <w:r w:rsidR="00CF1461" w:rsidRPr="0084458A">
        <w:rPr>
          <w:rFonts w:eastAsia="Times New Roman"/>
          <w:lang w:eastAsia="fr-FR"/>
        </w:rPr>
        <w:t>cachets</w:t>
      </w:r>
      <w:r w:rsidR="00CF1461" w:rsidRPr="00855577">
        <w:rPr>
          <w:rFonts w:eastAsia="Times New Roman"/>
          <w:lang w:eastAsia="fr-FR"/>
        </w:rPr>
        <w:t xml:space="preserve"> des administrations publiques, panneaux de signalisation affichés sur les façades et au sein des administrations, services publics, conseils, instances constitutionnelles, ambassades, consulats marocains à l’étranger, </w:t>
      </w:r>
      <w:r w:rsidR="005601DF">
        <w:rPr>
          <w:rFonts w:eastAsia="Times New Roman"/>
          <w:lang w:eastAsia="fr-FR"/>
        </w:rPr>
        <w:t xml:space="preserve">routes, </w:t>
      </w:r>
      <w:r w:rsidR="00CF1461" w:rsidRPr="00855577">
        <w:rPr>
          <w:rFonts w:eastAsia="Times New Roman"/>
          <w:lang w:eastAsia="fr-FR"/>
        </w:rPr>
        <w:t>aéroports, ports et autres espaces publics.</w:t>
      </w:r>
    </w:p>
    <w:p w14:paraId="2DB70260" w14:textId="7C922F13"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66.</w:t>
      </w:r>
      <w:r w:rsidRPr="00855577">
        <w:rPr>
          <w:rFonts w:eastAsia="Times New Roman"/>
          <w:color w:val="000000" w:themeColor="text1"/>
          <w:lang w:eastAsia="fr-FR"/>
        </w:rPr>
        <w:tab/>
      </w:r>
      <w:r w:rsidR="00CF1461" w:rsidRPr="00855577">
        <w:rPr>
          <w:rFonts w:eastAsia="Times New Roman"/>
          <w:lang w:eastAsia="fr-FR"/>
        </w:rPr>
        <w:t xml:space="preserve">Se basant sur le principe de la progressivité, la mise en œuvre de cette loi organique est </w:t>
      </w:r>
      <w:r w:rsidR="00CF1461" w:rsidRPr="004C1CCA">
        <w:rPr>
          <w:rFonts w:eastAsia="Times New Roman"/>
          <w:lang w:eastAsia="fr-FR"/>
        </w:rPr>
        <w:t>prévue</w:t>
      </w:r>
      <w:r w:rsidR="00CF1461" w:rsidRPr="00855577">
        <w:rPr>
          <w:rFonts w:eastAsia="Times New Roman"/>
          <w:lang w:eastAsia="fr-FR"/>
        </w:rPr>
        <w:t xml:space="preserve"> selon trois phases</w:t>
      </w:r>
      <w:r w:rsidR="00B456FD">
        <w:rPr>
          <w:rFonts w:eastAsia="Times New Roman"/>
          <w:lang w:eastAsia="fr-FR"/>
        </w:rPr>
        <w:t> </w:t>
      </w:r>
      <w:r w:rsidR="00CF1461" w:rsidRPr="00855577">
        <w:rPr>
          <w:rFonts w:eastAsia="Times New Roman"/>
          <w:lang w:eastAsia="fr-FR"/>
        </w:rPr>
        <w:t>: le court terme qui s’étend sur une durée de 5 ans, le moyen terme sur une durée de 10 ans et le long terme qui s’étale sur 15 ans.</w:t>
      </w:r>
    </w:p>
    <w:p w14:paraId="60E2F5D0" w14:textId="6F71D200"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67.</w:t>
      </w:r>
      <w:r w:rsidRPr="00855577">
        <w:rPr>
          <w:rFonts w:eastAsia="Times New Roman"/>
          <w:color w:val="000000" w:themeColor="text1"/>
          <w:lang w:eastAsia="fr-FR"/>
        </w:rPr>
        <w:tab/>
      </w:r>
      <w:r w:rsidR="00CF1461" w:rsidRPr="00855577">
        <w:rPr>
          <w:rFonts w:eastAsia="Times New Roman"/>
          <w:lang w:eastAsia="fr-FR"/>
        </w:rPr>
        <w:t>Au re</w:t>
      </w:r>
      <w:r w:rsidR="00CF1461" w:rsidRPr="00473B94">
        <w:rPr>
          <w:rFonts w:eastAsia="Times New Roman"/>
          <w:lang w:eastAsia="fr-FR"/>
        </w:rPr>
        <w:t>g</w:t>
      </w:r>
      <w:r w:rsidR="00CF1461" w:rsidRPr="00855577">
        <w:rPr>
          <w:rFonts w:eastAsia="Times New Roman"/>
          <w:lang w:eastAsia="fr-FR"/>
        </w:rPr>
        <w:t xml:space="preserve">ard toutefois des défis de rendre effectives les dispositions de la </w:t>
      </w:r>
      <w:r w:rsidR="00CF1461" w:rsidRPr="00473B94">
        <w:rPr>
          <w:rFonts w:eastAsia="Times New Roman"/>
          <w:lang w:eastAsia="fr-FR"/>
        </w:rPr>
        <w:t>Constitution</w:t>
      </w:r>
      <w:r w:rsidR="00CF1461" w:rsidRPr="00855577">
        <w:rPr>
          <w:rFonts w:eastAsia="Times New Roman"/>
          <w:lang w:eastAsia="fr-FR"/>
        </w:rPr>
        <w:t xml:space="preserve"> à ce propos, il est à relever qu’au sein des attentes et de la dynamique sociétale, des voix de la société civile se font entendre pour proposer des mesures prioritaires à prendre afin que les </w:t>
      </w:r>
      <w:r w:rsidR="00CF1461" w:rsidRPr="004C1CCA">
        <w:rPr>
          <w:rFonts w:eastAsia="Times New Roman"/>
          <w:lang w:eastAsia="fr-FR"/>
        </w:rPr>
        <w:t>conditions</w:t>
      </w:r>
      <w:r w:rsidR="00CF1461" w:rsidRPr="00855577">
        <w:rPr>
          <w:rFonts w:eastAsia="Times New Roman"/>
          <w:lang w:eastAsia="fr-FR"/>
        </w:rPr>
        <w:t xml:space="preserve"> d’une intégration réussie de l’amazigh, en tant que langue officielle à part entière, soient réunies.</w:t>
      </w:r>
    </w:p>
    <w:p w14:paraId="7DFD1DB3" w14:textId="28AF5154"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68.</w:t>
      </w:r>
      <w:r w:rsidRPr="00855577">
        <w:rPr>
          <w:rFonts w:eastAsia="Times New Roman"/>
          <w:color w:val="000000" w:themeColor="text1"/>
          <w:lang w:eastAsia="fr-FR"/>
        </w:rPr>
        <w:tab/>
      </w:r>
      <w:r w:rsidR="00CF1461" w:rsidRPr="00855577">
        <w:rPr>
          <w:rFonts w:eastAsia="Times New Roman"/>
          <w:lang w:eastAsia="fr-FR"/>
        </w:rPr>
        <w:t xml:space="preserve">En ce qui concerne le deuxième volet de la recommandation </w:t>
      </w:r>
      <w:r w:rsidR="00D87853">
        <w:rPr>
          <w:rFonts w:asciiTheme="majorBidi" w:eastAsia="Times New Roman" w:hAnsiTheme="majorBidi" w:cstheme="majorBidi"/>
          <w:color w:val="000000"/>
          <w:lang w:eastAsia="fr-FR"/>
        </w:rPr>
        <w:t>n</w:t>
      </w:r>
      <w:r w:rsidR="00D87853" w:rsidRPr="00050C02">
        <w:rPr>
          <w:rFonts w:asciiTheme="majorBidi" w:eastAsia="Times New Roman" w:hAnsiTheme="majorBidi" w:cstheme="majorBidi"/>
          <w:color w:val="000000"/>
          <w:vertAlign w:val="superscript"/>
          <w:lang w:eastAsia="fr-FR"/>
        </w:rPr>
        <w:t>o</w:t>
      </w:r>
      <w:r w:rsidR="00D87853">
        <w:rPr>
          <w:rFonts w:asciiTheme="majorBidi" w:eastAsia="Times New Roman" w:hAnsiTheme="majorBidi" w:cstheme="majorBidi"/>
          <w:color w:val="000000"/>
          <w:lang w:eastAsia="fr-FR"/>
        </w:rPr>
        <w:t> </w:t>
      </w:r>
      <w:r w:rsidR="00CF1461" w:rsidRPr="00855577">
        <w:rPr>
          <w:rFonts w:eastAsia="Times New Roman"/>
          <w:lang w:eastAsia="fr-FR"/>
        </w:rPr>
        <w:t xml:space="preserve">11 du Comité, relatif à </w:t>
      </w:r>
      <w:r w:rsidR="00CF1461" w:rsidRPr="00473B94">
        <w:rPr>
          <w:rFonts w:eastAsia="Times New Roman"/>
          <w:lang w:eastAsia="fr-FR"/>
        </w:rPr>
        <w:t>l’accent</w:t>
      </w:r>
      <w:r w:rsidR="00CF1461" w:rsidRPr="00855577">
        <w:rPr>
          <w:rFonts w:eastAsia="Times New Roman"/>
          <w:lang w:eastAsia="fr-FR"/>
        </w:rPr>
        <w:t xml:space="preserve"> à mettre sur le développement des régions habitées par les Amazighs, l’analyse de l’évolution du PIB par tête régional entre 2012 et 2013 révèle</w:t>
      </w:r>
      <w:r w:rsidR="00374337">
        <w:rPr>
          <w:rFonts w:eastAsia="Times New Roman"/>
          <w:lang w:eastAsia="fr-FR"/>
        </w:rPr>
        <w:t xml:space="preserve"> </w:t>
      </w:r>
      <w:r w:rsidR="00CF1461" w:rsidRPr="00855577">
        <w:rPr>
          <w:rFonts w:eastAsia="Times New Roman"/>
          <w:lang w:eastAsia="fr-FR"/>
        </w:rPr>
        <w:t>une amélioration :</w:t>
      </w:r>
    </w:p>
    <w:p w14:paraId="726966DE" w14:textId="0AEAB5FF" w:rsidR="00CF1461" w:rsidRPr="00DB1C6D" w:rsidRDefault="004B5A1A" w:rsidP="004B5A1A">
      <w:pPr>
        <w:pStyle w:val="Bullet1G"/>
        <w:numPr>
          <w:ilvl w:val="0"/>
          <w:numId w:val="0"/>
        </w:numPr>
        <w:tabs>
          <w:tab w:val="left" w:pos="1701"/>
        </w:tabs>
        <w:ind w:left="1701" w:hanging="170"/>
        <w:rPr>
          <w:lang w:eastAsia="fr-FR"/>
        </w:rPr>
      </w:pPr>
      <w:r w:rsidRPr="00DB1C6D">
        <w:rPr>
          <w:lang w:eastAsia="fr-FR"/>
        </w:rPr>
        <w:t>•</w:t>
      </w:r>
      <w:r w:rsidRPr="00DB1C6D">
        <w:rPr>
          <w:lang w:eastAsia="fr-FR"/>
        </w:rPr>
        <w:tab/>
      </w:r>
      <w:r w:rsidR="007B174A">
        <w:rPr>
          <w:lang w:eastAsia="fr-FR"/>
        </w:rPr>
        <w:t>De</w:t>
      </w:r>
      <w:r w:rsidR="00CF1461" w:rsidRPr="00DB1C6D">
        <w:rPr>
          <w:lang w:eastAsia="fr-FR"/>
        </w:rPr>
        <w:t xml:space="preserve"> 19</w:t>
      </w:r>
      <w:r w:rsidR="00B456FD">
        <w:rPr>
          <w:lang w:eastAsia="fr-FR"/>
        </w:rPr>
        <w:t> </w:t>
      </w:r>
      <w:r w:rsidR="00CF1461" w:rsidRPr="00DB1C6D">
        <w:rPr>
          <w:lang w:eastAsia="fr-FR"/>
        </w:rPr>
        <w:t xml:space="preserve">661 </w:t>
      </w:r>
      <w:proofErr w:type="spellStart"/>
      <w:r w:rsidR="00CF1461" w:rsidRPr="00DB1C6D">
        <w:rPr>
          <w:lang w:eastAsia="fr-FR"/>
        </w:rPr>
        <w:t>Dhs</w:t>
      </w:r>
      <w:proofErr w:type="spellEnd"/>
      <w:r w:rsidR="00CF1461" w:rsidRPr="00DB1C6D">
        <w:rPr>
          <w:lang w:eastAsia="fr-FR"/>
        </w:rPr>
        <w:t xml:space="preserve"> à 21</w:t>
      </w:r>
      <w:r w:rsidR="00B456FD">
        <w:rPr>
          <w:lang w:eastAsia="fr-FR"/>
        </w:rPr>
        <w:t> </w:t>
      </w:r>
      <w:r w:rsidR="00CF1461" w:rsidRPr="00DB1C6D">
        <w:rPr>
          <w:lang w:eastAsia="fr-FR"/>
        </w:rPr>
        <w:t xml:space="preserve">626 </w:t>
      </w:r>
      <w:proofErr w:type="spellStart"/>
      <w:r w:rsidR="00CF1461" w:rsidRPr="00DB1C6D">
        <w:rPr>
          <w:lang w:eastAsia="fr-FR"/>
        </w:rPr>
        <w:t>Dhs</w:t>
      </w:r>
      <w:proofErr w:type="spellEnd"/>
      <w:r w:rsidR="00CF1461" w:rsidRPr="00DB1C6D">
        <w:rPr>
          <w:lang w:eastAsia="fr-FR"/>
        </w:rPr>
        <w:t>, dans la région de Souss-Massa où Tachelhit est parlée par plus de 70</w:t>
      </w:r>
      <w:r w:rsidR="00372939">
        <w:rPr>
          <w:lang w:eastAsia="fr-FR"/>
        </w:rPr>
        <w:t> %</w:t>
      </w:r>
      <w:r w:rsidR="00CF1461" w:rsidRPr="00DB1C6D">
        <w:rPr>
          <w:lang w:eastAsia="fr-FR"/>
        </w:rPr>
        <w:t xml:space="preserve"> de la population régionale ; </w:t>
      </w:r>
    </w:p>
    <w:p w14:paraId="509C42D1" w14:textId="7BB836E4" w:rsidR="00CF1461" w:rsidRPr="00DB1C6D" w:rsidRDefault="004B5A1A" w:rsidP="004B5A1A">
      <w:pPr>
        <w:pStyle w:val="Bullet1G"/>
        <w:numPr>
          <w:ilvl w:val="0"/>
          <w:numId w:val="0"/>
        </w:numPr>
        <w:tabs>
          <w:tab w:val="left" w:pos="1701"/>
        </w:tabs>
        <w:ind w:left="1701" w:hanging="170"/>
        <w:rPr>
          <w:lang w:eastAsia="fr-FR"/>
        </w:rPr>
      </w:pPr>
      <w:r w:rsidRPr="00DB1C6D">
        <w:rPr>
          <w:lang w:eastAsia="fr-FR"/>
        </w:rPr>
        <w:lastRenderedPageBreak/>
        <w:t>•</w:t>
      </w:r>
      <w:r w:rsidRPr="00DB1C6D">
        <w:rPr>
          <w:lang w:eastAsia="fr-FR"/>
        </w:rPr>
        <w:tab/>
      </w:r>
      <w:r w:rsidR="007B174A">
        <w:rPr>
          <w:lang w:eastAsia="fr-FR"/>
        </w:rPr>
        <w:t>D</w:t>
      </w:r>
      <w:r w:rsidR="00CF1461" w:rsidRPr="00DB1C6D">
        <w:rPr>
          <w:lang w:eastAsia="fr-FR"/>
        </w:rPr>
        <w:t>e 22</w:t>
      </w:r>
      <w:r w:rsidR="00B456FD">
        <w:rPr>
          <w:lang w:eastAsia="fr-FR"/>
        </w:rPr>
        <w:t> </w:t>
      </w:r>
      <w:r w:rsidR="00CF1461" w:rsidRPr="00DB1C6D">
        <w:rPr>
          <w:lang w:eastAsia="fr-FR"/>
        </w:rPr>
        <w:t xml:space="preserve">550 </w:t>
      </w:r>
      <w:proofErr w:type="spellStart"/>
      <w:r w:rsidR="00CF1461" w:rsidRPr="00DB1C6D">
        <w:rPr>
          <w:lang w:eastAsia="fr-FR"/>
        </w:rPr>
        <w:t>Dhs</w:t>
      </w:r>
      <w:proofErr w:type="spellEnd"/>
      <w:r w:rsidR="00CF1461" w:rsidRPr="00DB1C6D">
        <w:rPr>
          <w:lang w:eastAsia="fr-FR"/>
        </w:rPr>
        <w:t xml:space="preserve"> à 24</w:t>
      </w:r>
      <w:r w:rsidR="00B456FD">
        <w:rPr>
          <w:lang w:eastAsia="fr-FR"/>
        </w:rPr>
        <w:t> </w:t>
      </w:r>
      <w:r w:rsidR="00CF1461" w:rsidRPr="00DB1C6D">
        <w:rPr>
          <w:lang w:eastAsia="fr-FR"/>
        </w:rPr>
        <w:t xml:space="preserve">874 </w:t>
      </w:r>
      <w:proofErr w:type="spellStart"/>
      <w:r w:rsidR="00CF1461" w:rsidRPr="00DB1C6D">
        <w:rPr>
          <w:lang w:eastAsia="fr-FR"/>
        </w:rPr>
        <w:t>Dhs</w:t>
      </w:r>
      <w:proofErr w:type="spellEnd"/>
      <w:r w:rsidR="00CF1461" w:rsidRPr="00DB1C6D">
        <w:rPr>
          <w:lang w:eastAsia="fr-FR"/>
        </w:rPr>
        <w:t xml:space="preserve"> dans la région de </w:t>
      </w:r>
      <w:proofErr w:type="spellStart"/>
      <w:r w:rsidR="00CF1461" w:rsidRPr="00DB1C6D">
        <w:rPr>
          <w:lang w:eastAsia="fr-FR"/>
        </w:rPr>
        <w:t>Guelmim</w:t>
      </w:r>
      <w:proofErr w:type="spellEnd"/>
      <w:r w:rsidR="00CF1461" w:rsidRPr="00DB1C6D">
        <w:rPr>
          <w:lang w:eastAsia="fr-FR"/>
        </w:rPr>
        <w:t>-Oued Noun où Tachelhit est parlée par plus de 50</w:t>
      </w:r>
      <w:r w:rsidR="00372939">
        <w:rPr>
          <w:lang w:eastAsia="fr-FR"/>
        </w:rPr>
        <w:t> %</w:t>
      </w:r>
      <w:r w:rsidR="00CF1461" w:rsidRPr="00DB1C6D">
        <w:rPr>
          <w:lang w:eastAsia="fr-FR"/>
        </w:rPr>
        <w:t xml:space="preserve"> de la population régionale ;</w:t>
      </w:r>
    </w:p>
    <w:p w14:paraId="15BC229F" w14:textId="651EB4F3" w:rsidR="00CF1461" w:rsidRPr="00DB1C6D" w:rsidRDefault="004B5A1A" w:rsidP="004B5A1A">
      <w:pPr>
        <w:pStyle w:val="Bullet1G"/>
        <w:numPr>
          <w:ilvl w:val="0"/>
          <w:numId w:val="0"/>
        </w:numPr>
        <w:tabs>
          <w:tab w:val="left" w:pos="1701"/>
        </w:tabs>
        <w:ind w:left="1701" w:hanging="170"/>
        <w:rPr>
          <w:lang w:eastAsia="fr-FR"/>
        </w:rPr>
      </w:pPr>
      <w:r w:rsidRPr="00DB1C6D">
        <w:rPr>
          <w:lang w:eastAsia="fr-FR"/>
        </w:rPr>
        <w:t>•</w:t>
      </w:r>
      <w:r w:rsidRPr="00DB1C6D">
        <w:rPr>
          <w:lang w:eastAsia="fr-FR"/>
        </w:rPr>
        <w:tab/>
      </w:r>
      <w:r w:rsidR="007B174A">
        <w:rPr>
          <w:lang w:eastAsia="fr-FR"/>
        </w:rPr>
        <w:t>D</w:t>
      </w:r>
      <w:r w:rsidR="00CF1461" w:rsidRPr="00DB1C6D">
        <w:rPr>
          <w:lang w:eastAsia="fr-FR"/>
        </w:rPr>
        <w:t>e 17</w:t>
      </w:r>
      <w:r w:rsidR="00B456FD">
        <w:rPr>
          <w:lang w:eastAsia="fr-FR"/>
        </w:rPr>
        <w:t> </w:t>
      </w:r>
      <w:r w:rsidR="00CF1461" w:rsidRPr="00DB1C6D">
        <w:rPr>
          <w:lang w:eastAsia="fr-FR"/>
        </w:rPr>
        <w:t xml:space="preserve">768 </w:t>
      </w:r>
      <w:proofErr w:type="spellStart"/>
      <w:r w:rsidR="00CF1461" w:rsidRPr="00DB1C6D">
        <w:rPr>
          <w:lang w:eastAsia="fr-FR"/>
        </w:rPr>
        <w:t>Dhs</w:t>
      </w:r>
      <w:proofErr w:type="spellEnd"/>
      <w:r w:rsidR="00CF1461" w:rsidRPr="00DB1C6D">
        <w:rPr>
          <w:lang w:eastAsia="fr-FR"/>
        </w:rPr>
        <w:t xml:space="preserve"> à 19</w:t>
      </w:r>
      <w:r w:rsidR="00B456FD">
        <w:rPr>
          <w:lang w:eastAsia="fr-FR"/>
        </w:rPr>
        <w:t> </w:t>
      </w:r>
      <w:r w:rsidR="00CF1461" w:rsidRPr="00DB1C6D">
        <w:rPr>
          <w:lang w:eastAsia="fr-FR"/>
        </w:rPr>
        <w:t xml:space="preserve">801 </w:t>
      </w:r>
      <w:proofErr w:type="spellStart"/>
      <w:r w:rsidR="00CF1461" w:rsidRPr="00DB1C6D">
        <w:rPr>
          <w:lang w:eastAsia="fr-FR"/>
        </w:rPr>
        <w:t>Dhs</w:t>
      </w:r>
      <w:proofErr w:type="spellEnd"/>
      <w:r w:rsidR="00CF1461" w:rsidRPr="00DB1C6D">
        <w:rPr>
          <w:lang w:eastAsia="fr-FR"/>
        </w:rPr>
        <w:t xml:space="preserve"> dans la région de l’Oriental où </w:t>
      </w:r>
      <w:proofErr w:type="spellStart"/>
      <w:r w:rsidR="00CF1461" w:rsidRPr="00DB1C6D">
        <w:rPr>
          <w:lang w:eastAsia="fr-FR"/>
        </w:rPr>
        <w:t>Tarifit</w:t>
      </w:r>
      <w:proofErr w:type="spellEnd"/>
      <w:r w:rsidR="00CF1461" w:rsidRPr="00DB1C6D">
        <w:rPr>
          <w:lang w:eastAsia="fr-FR"/>
        </w:rPr>
        <w:t xml:space="preserve"> est parlée par plus de 38</w:t>
      </w:r>
      <w:r w:rsidR="00372939">
        <w:rPr>
          <w:lang w:eastAsia="fr-FR"/>
        </w:rPr>
        <w:t> %</w:t>
      </w:r>
      <w:r w:rsidR="00CF1461" w:rsidRPr="00DB1C6D">
        <w:rPr>
          <w:lang w:eastAsia="fr-FR"/>
        </w:rPr>
        <w:t xml:space="preserve"> de la population régionale.</w:t>
      </w:r>
    </w:p>
    <w:p w14:paraId="6D88E74E" w14:textId="5872FC34"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69.</w:t>
      </w:r>
      <w:r w:rsidRPr="00855577">
        <w:rPr>
          <w:rFonts w:eastAsia="Times New Roman"/>
          <w:color w:val="000000" w:themeColor="text1"/>
          <w:lang w:eastAsia="fr-FR"/>
        </w:rPr>
        <w:tab/>
      </w:r>
      <w:r w:rsidR="00CF1461" w:rsidRPr="00855577">
        <w:rPr>
          <w:rFonts w:eastAsia="Times New Roman"/>
          <w:lang w:eastAsia="fr-FR"/>
        </w:rPr>
        <w:t>Jusq</w:t>
      </w:r>
      <w:r w:rsidR="00CF1461" w:rsidRPr="00473B94">
        <w:rPr>
          <w:rFonts w:eastAsia="Times New Roman"/>
          <w:lang w:eastAsia="fr-FR"/>
        </w:rPr>
        <w:t>u</w:t>
      </w:r>
      <w:r w:rsidR="00CF1461" w:rsidRPr="00855577">
        <w:rPr>
          <w:rFonts w:eastAsia="Times New Roman"/>
          <w:lang w:eastAsia="fr-FR"/>
        </w:rPr>
        <w:t>’à fin 2018, 10 des 12</w:t>
      </w:r>
      <w:r w:rsidR="00D87853">
        <w:rPr>
          <w:rFonts w:eastAsia="Times New Roman"/>
          <w:lang w:eastAsia="fr-FR"/>
        </w:rPr>
        <w:t> </w:t>
      </w:r>
      <w:r w:rsidR="00CF1461" w:rsidRPr="00855577">
        <w:rPr>
          <w:rFonts w:eastAsia="Times New Roman"/>
          <w:lang w:eastAsia="fr-FR"/>
        </w:rPr>
        <w:t>rég</w:t>
      </w:r>
      <w:r w:rsidR="005601DF">
        <w:rPr>
          <w:rFonts w:eastAsia="Times New Roman"/>
          <w:lang w:eastAsia="fr-FR"/>
        </w:rPr>
        <w:t xml:space="preserve">ions du Royaume ont adopté </w:t>
      </w:r>
      <w:r w:rsidR="00331C60">
        <w:rPr>
          <w:rFonts w:eastAsia="Times New Roman"/>
          <w:lang w:eastAsia="fr-FR"/>
        </w:rPr>
        <w:t>leurs plans</w:t>
      </w:r>
      <w:r w:rsidR="00CF1461" w:rsidRPr="00855577">
        <w:rPr>
          <w:rFonts w:eastAsia="Times New Roman"/>
          <w:lang w:eastAsia="fr-FR"/>
        </w:rPr>
        <w:t xml:space="preserve"> de développement régionaux (PDR) par leur Conseil, alors que ceux de </w:t>
      </w:r>
      <w:proofErr w:type="spellStart"/>
      <w:r w:rsidR="00CF1461" w:rsidRPr="00855577">
        <w:rPr>
          <w:rFonts w:eastAsia="Times New Roman"/>
          <w:lang w:eastAsia="fr-FR"/>
        </w:rPr>
        <w:t>Drâa</w:t>
      </w:r>
      <w:proofErr w:type="spellEnd"/>
      <w:r w:rsidR="00CF1461" w:rsidRPr="00855577">
        <w:rPr>
          <w:rFonts w:eastAsia="Times New Roman"/>
          <w:lang w:eastAsia="fr-FR"/>
        </w:rPr>
        <w:t xml:space="preserve">-Tafilalet et de </w:t>
      </w:r>
      <w:proofErr w:type="spellStart"/>
      <w:r w:rsidR="00CF1461" w:rsidRPr="00855577">
        <w:rPr>
          <w:rFonts w:eastAsia="Times New Roman"/>
          <w:lang w:eastAsia="fr-FR"/>
        </w:rPr>
        <w:t>Guelmim</w:t>
      </w:r>
      <w:proofErr w:type="spellEnd"/>
      <w:r w:rsidR="00CF1461" w:rsidRPr="00855577">
        <w:rPr>
          <w:rFonts w:eastAsia="Times New Roman"/>
          <w:lang w:eastAsia="fr-FR"/>
        </w:rPr>
        <w:t xml:space="preserve">-Oued Noun sont en cours de préparation. Les 10 PDR adoptés et validés par le </w:t>
      </w:r>
      <w:r w:rsidR="00CF1461" w:rsidRPr="004C1CCA">
        <w:rPr>
          <w:rFonts w:eastAsia="Times New Roman"/>
          <w:lang w:eastAsia="fr-FR"/>
        </w:rPr>
        <w:t>ministère</w:t>
      </w:r>
      <w:r w:rsidR="00CF1461" w:rsidRPr="00855577">
        <w:rPr>
          <w:rFonts w:eastAsia="Times New Roman"/>
          <w:lang w:eastAsia="fr-FR"/>
        </w:rPr>
        <w:t xml:space="preserve"> de tutelle portent sur des projets d’investissement d’environ 411 </w:t>
      </w:r>
      <w:r w:rsidR="00D87853">
        <w:rPr>
          <w:rFonts w:eastAsia="Times New Roman"/>
          <w:lang w:eastAsia="fr-FR"/>
        </w:rPr>
        <w:t>m</w:t>
      </w:r>
      <w:r w:rsidR="00CF1461" w:rsidRPr="00855577">
        <w:rPr>
          <w:rFonts w:eastAsia="Times New Roman"/>
          <w:lang w:eastAsia="fr-FR"/>
        </w:rPr>
        <w:t xml:space="preserve">illiards de </w:t>
      </w:r>
      <w:proofErr w:type="spellStart"/>
      <w:r w:rsidR="00CF1461" w:rsidRPr="00855577">
        <w:rPr>
          <w:rFonts w:eastAsia="Times New Roman"/>
          <w:lang w:eastAsia="fr-FR"/>
        </w:rPr>
        <w:t>Dhs</w:t>
      </w:r>
      <w:proofErr w:type="spellEnd"/>
      <w:r w:rsidR="00CF1461" w:rsidRPr="00855577">
        <w:rPr>
          <w:rFonts w:eastAsia="Times New Roman"/>
          <w:lang w:eastAsia="fr-FR"/>
        </w:rPr>
        <w:t xml:space="preserve"> étalés sur </w:t>
      </w:r>
      <w:r w:rsidR="005B02F8">
        <w:rPr>
          <w:rFonts w:eastAsia="Times New Roman"/>
          <w:lang w:eastAsia="fr-FR"/>
        </w:rPr>
        <w:t>une période allant de 6 à 7 ans</w:t>
      </w:r>
      <w:r w:rsidR="00CF1461" w:rsidRPr="003C06D3">
        <w:rPr>
          <w:rStyle w:val="Appelnotedebasdep"/>
        </w:rPr>
        <w:footnoteReference w:id="25"/>
      </w:r>
      <w:r w:rsidR="005B02F8">
        <w:rPr>
          <w:rFonts w:eastAsia="Times New Roman"/>
          <w:lang w:eastAsia="fr-FR"/>
        </w:rPr>
        <w:t>.</w:t>
      </w:r>
    </w:p>
    <w:p w14:paraId="381E885B" w14:textId="1514C269"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70.</w:t>
      </w:r>
      <w:r w:rsidRPr="00855577">
        <w:rPr>
          <w:rFonts w:eastAsia="Times New Roman"/>
          <w:color w:val="000000" w:themeColor="text1"/>
          <w:lang w:eastAsia="fr-FR"/>
        </w:rPr>
        <w:tab/>
      </w:r>
      <w:r w:rsidR="00CF1461" w:rsidRPr="00855577">
        <w:rPr>
          <w:rFonts w:eastAsia="Times New Roman"/>
          <w:lang w:eastAsia="fr-FR"/>
        </w:rPr>
        <w:t xml:space="preserve">Le gouvernement poursuit également son Programme de réduction des disparités dans </w:t>
      </w:r>
      <w:r w:rsidR="00CF1461" w:rsidRPr="00473B94">
        <w:rPr>
          <w:rFonts w:eastAsia="Times New Roman"/>
          <w:lang w:eastAsia="fr-FR"/>
        </w:rPr>
        <w:t>les</w:t>
      </w:r>
      <w:r w:rsidR="00CF1461" w:rsidRPr="00855577">
        <w:rPr>
          <w:rFonts w:eastAsia="Times New Roman"/>
          <w:lang w:eastAsia="fr-FR"/>
        </w:rPr>
        <w:t xml:space="preserve"> zones rurales (2017-2023), à travers la construction des routes et des </w:t>
      </w:r>
      <w:r w:rsidR="00CF1461" w:rsidRPr="004C1CCA">
        <w:rPr>
          <w:rFonts w:eastAsia="Times New Roman"/>
          <w:lang w:eastAsia="fr-FR"/>
        </w:rPr>
        <w:t>infrastructures</w:t>
      </w:r>
      <w:r w:rsidR="00CF1461" w:rsidRPr="00855577">
        <w:rPr>
          <w:rFonts w:eastAsia="Times New Roman"/>
          <w:lang w:eastAsia="fr-FR"/>
        </w:rPr>
        <w:t xml:space="preserve"> techniques avec un budget de 35 </w:t>
      </w:r>
      <w:r w:rsidR="00D87853">
        <w:rPr>
          <w:rFonts w:eastAsia="Times New Roman"/>
          <w:lang w:eastAsia="fr-FR"/>
        </w:rPr>
        <w:t>m</w:t>
      </w:r>
      <w:r w:rsidR="00CF1461" w:rsidRPr="00855577">
        <w:rPr>
          <w:rFonts w:eastAsia="Times New Roman"/>
          <w:lang w:eastAsia="fr-FR"/>
        </w:rPr>
        <w:t xml:space="preserve">illiards de </w:t>
      </w:r>
      <w:proofErr w:type="spellStart"/>
      <w:r w:rsidR="00CF1461" w:rsidRPr="00855577">
        <w:rPr>
          <w:rFonts w:eastAsia="Times New Roman"/>
          <w:lang w:eastAsia="fr-FR"/>
        </w:rPr>
        <w:t>Dhs</w:t>
      </w:r>
      <w:proofErr w:type="spellEnd"/>
      <w:r w:rsidR="00CF1461" w:rsidRPr="00855577">
        <w:rPr>
          <w:rFonts w:eastAsia="Times New Roman"/>
          <w:lang w:eastAsia="fr-FR"/>
        </w:rPr>
        <w:t xml:space="preserve">, le raccordement en électricité et en eau potable avec respectivement 2 et 6 </w:t>
      </w:r>
      <w:r w:rsidR="00D87853">
        <w:rPr>
          <w:rFonts w:eastAsia="Times New Roman"/>
          <w:lang w:eastAsia="fr-FR"/>
        </w:rPr>
        <w:t>m</w:t>
      </w:r>
      <w:r w:rsidR="00CF1461" w:rsidRPr="00855577">
        <w:rPr>
          <w:rFonts w:eastAsia="Times New Roman"/>
          <w:lang w:eastAsia="fr-FR"/>
        </w:rPr>
        <w:t xml:space="preserve">illiards de </w:t>
      </w:r>
      <w:proofErr w:type="spellStart"/>
      <w:r w:rsidR="00CF1461" w:rsidRPr="00855577">
        <w:rPr>
          <w:rFonts w:eastAsia="Times New Roman"/>
          <w:lang w:eastAsia="fr-FR"/>
        </w:rPr>
        <w:t>Dhs</w:t>
      </w:r>
      <w:proofErr w:type="spellEnd"/>
      <w:r w:rsidR="00CF1461" w:rsidRPr="00855577">
        <w:rPr>
          <w:rFonts w:eastAsia="Times New Roman"/>
          <w:lang w:eastAsia="fr-FR"/>
        </w:rPr>
        <w:t xml:space="preserve">, la mise à niveau des infrastructures scolaires avec 5 </w:t>
      </w:r>
      <w:r w:rsidR="00D87853">
        <w:rPr>
          <w:rFonts w:eastAsia="Times New Roman"/>
          <w:lang w:eastAsia="fr-FR"/>
        </w:rPr>
        <w:t>m</w:t>
      </w:r>
      <w:r w:rsidR="00CF1461" w:rsidRPr="00855577">
        <w:rPr>
          <w:rFonts w:eastAsia="Times New Roman"/>
          <w:lang w:eastAsia="fr-FR"/>
        </w:rPr>
        <w:t xml:space="preserve">illiards de </w:t>
      </w:r>
      <w:proofErr w:type="spellStart"/>
      <w:r w:rsidR="00CF1461" w:rsidRPr="00855577">
        <w:rPr>
          <w:rFonts w:eastAsia="Times New Roman"/>
          <w:lang w:eastAsia="fr-FR"/>
        </w:rPr>
        <w:t>Dhs</w:t>
      </w:r>
      <w:proofErr w:type="spellEnd"/>
      <w:r w:rsidR="00CF1461" w:rsidRPr="00855577">
        <w:rPr>
          <w:rFonts w:eastAsia="Times New Roman"/>
          <w:lang w:eastAsia="fr-FR"/>
        </w:rPr>
        <w:t xml:space="preserve"> et la réhabilitation des établissements ruraux de santé avec un budg</w:t>
      </w:r>
      <w:r w:rsidR="005B02F8">
        <w:rPr>
          <w:rFonts w:eastAsia="Times New Roman"/>
          <w:lang w:eastAsia="fr-FR"/>
        </w:rPr>
        <w:t xml:space="preserve">et estimé à 1,5 </w:t>
      </w:r>
      <w:r w:rsidR="00D87853">
        <w:rPr>
          <w:rFonts w:eastAsia="Times New Roman"/>
          <w:lang w:eastAsia="fr-FR"/>
        </w:rPr>
        <w:t>m</w:t>
      </w:r>
      <w:r w:rsidR="005B02F8">
        <w:rPr>
          <w:rFonts w:eastAsia="Times New Roman"/>
          <w:lang w:eastAsia="fr-FR"/>
        </w:rPr>
        <w:t xml:space="preserve">illiard de </w:t>
      </w:r>
      <w:proofErr w:type="spellStart"/>
      <w:r w:rsidR="005B02F8">
        <w:rPr>
          <w:rFonts w:eastAsia="Times New Roman"/>
          <w:lang w:eastAsia="fr-FR"/>
        </w:rPr>
        <w:t>Dhs</w:t>
      </w:r>
      <w:proofErr w:type="spellEnd"/>
      <w:r w:rsidR="00CF1461" w:rsidRPr="003C06D3">
        <w:rPr>
          <w:rStyle w:val="Appelnotedebasdep"/>
        </w:rPr>
        <w:footnoteReference w:id="26"/>
      </w:r>
      <w:r w:rsidR="005B02F8">
        <w:rPr>
          <w:rFonts w:eastAsia="Times New Roman"/>
          <w:lang w:eastAsia="fr-FR"/>
        </w:rPr>
        <w:t>.</w:t>
      </w:r>
    </w:p>
    <w:p w14:paraId="0661EFFE" w14:textId="6E1ACC19"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71.</w:t>
      </w:r>
      <w:r w:rsidRPr="00855577">
        <w:rPr>
          <w:rFonts w:eastAsia="Times New Roman"/>
          <w:color w:val="000000" w:themeColor="text1"/>
          <w:lang w:eastAsia="fr-FR"/>
        </w:rPr>
        <w:tab/>
      </w:r>
      <w:r w:rsidR="00CF1461" w:rsidRPr="00855577">
        <w:rPr>
          <w:rFonts w:eastAsia="Times New Roman"/>
          <w:lang w:eastAsia="fr-FR"/>
        </w:rPr>
        <w:t>Plus globalement, le lancement par le Maroc de plusieurs initiatives dans le domaine social a favorisé l’amélioration des conditions de vie des populations. Dans le sillage de la progression régulière du Revenu national brut par habitant, la pauvreté monétaire a été fortement réduite, passant de 15,3</w:t>
      </w:r>
      <w:r w:rsidR="00372939">
        <w:rPr>
          <w:rFonts w:eastAsia="Times New Roman"/>
          <w:lang w:eastAsia="fr-FR"/>
        </w:rPr>
        <w:t> %</w:t>
      </w:r>
      <w:r w:rsidR="00CF1461" w:rsidRPr="00855577">
        <w:rPr>
          <w:rFonts w:eastAsia="Times New Roman"/>
          <w:lang w:eastAsia="fr-FR"/>
        </w:rPr>
        <w:t xml:space="preserve"> à 4,8</w:t>
      </w:r>
      <w:r w:rsidR="00372939">
        <w:rPr>
          <w:rFonts w:eastAsia="Times New Roman"/>
          <w:lang w:eastAsia="fr-FR"/>
        </w:rPr>
        <w:t> %</w:t>
      </w:r>
      <w:r w:rsidR="00CF1461" w:rsidRPr="00855577">
        <w:rPr>
          <w:rFonts w:eastAsia="Times New Roman"/>
          <w:lang w:eastAsia="fr-FR"/>
        </w:rPr>
        <w:t xml:space="preserve"> respectivement entre 2001 et 2014. Quant à </w:t>
      </w:r>
      <w:r w:rsidR="00CF1461" w:rsidRPr="004C1CCA">
        <w:rPr>
          <w:rFonts w:eastAsia="Times New Roman"/>
          <w:lang w:eastAsia="fr-FR"/>
        </w:rPr>
        <w:t>la</w:t>
      </w:r>
      <w:r w:rsidR="00CF1461" w:rsidRPr="00855577">
        <w:rPr>
          <w:rFonts w:eastAsia="Times New Roman"/>
          <w:lang w:eastAsia="fr-FR"/>
        </w:rPr>
        <w:t xml:space="preserve"> pauvreté multidimensionnelle, celle-ci a baissé significativement pour passer de 24,5</w:t>
      </w:r>
      <w:r w:rsidR="00372939">
        <w:rPr>
          <w:rFonts w:eastAsia="Times New Roman"/>
          <w:lang w:eastAsia="fr-FR"/>
        </w:rPr>
        <w:t> %</w:t>
      </w:r>
      <w:r w:rsidR="00CF1461" w:rsidRPr="00855577">
        <w:rPr>
          <w:rFonts w:eastAsia="Times New Roman"/>
          <w:lang w:eastAsia="fr-FR"/>
        </w:rPr>
        <w:t xml:space="preserve"> en 2001 à seulement 6</w:t>
      </w:r>
      <w:r w:rsidR="00372939">
        <w:rPr>
          <w:rFonts w:eastAsia="Times New Roman"/>
          <w:lang w:eastAsia="fr-FR"/>
        </w:rPr>
        <w:t> %</w:t>
      </w:r>
      <w:r w:rsidR="00CF1461" w:rsidRPr="00855577">
        <w:rPr>
          <w:rFonts w:eastAsia="Times New Roman"/>
          <w:lang w:eastAsia="fr-FR"/>
        </w:rPr>
        <w:t xml:space="preserve"> en 2014. La baisse importante de la pauvreté dans ses multiples dimensions s’est accompagnée d’un recul du taux de vulnérabilité, qui s’est établi en 2014 à 12,5</w:t>
      </w:r>
      <w:r w:rsidR="00372939">
        <w:rPr>
          <w:rFonts w:eastAsia="Times New Roman"/>
          <w:lang w:eastAsia="fr-FR"/>
        </w:rPr>
        <w:t> %</w:t>
      </w:r>
      <w:r w:rsidR="00CF1461" w:rsidRPr="00855577">
        <w:rPr>
          <w:rFonts w:eastAsia="Times New Roman"/>
          <w:lang w:eastAsia="fr-FR"/>
        </w:rPr>
        <w:t xml:space="preserve"> contre 22,8</w:t>
      </w:r>
      <w:r w:rsidR="00372939">
        <w:rPr>
          <w:rFonts w:eastAsia="Times New Roman"/>
          <w:lang w:eastAsia="fr-FR"/>
        </w:rPr>
        <w:t> %</w:t>
      </w:r>
      <w:r w:rsidR="00CF1461" w:rsidRPr="00855577">
        <w:rPr>
          <w:rFonts w:eastAsia="Times New Roman"/>
          <w:lang w:eastAsia="fr-FR"/>
        </w:rPr>
        <w:t xml:space="preserve"> en 2001,</w:t>
      </w:r>
      <w:r w:rsidR="005B02F8">
        <w:rPr>
          <w:rFonts w:eastAsia="Times New Roman"/>
          <w:lang w:eastAsia="fr-FR"/>
        </w:rPr>
        <w:t xml:space="preserve"> soit une baisse de 10,3 points</w:t>
      </w:r>
      <w:r w:rsidR="00CF1461" w:rsidRPr="003C06D3">
        <w:rPr>
          <w:rStyle w:val="Appelnotedebasdep"/>
        </w:rPr>
        <w:footnoteReference w:id="27"/>
      </w:r>
      <w:r w:rsidR="005B02F8">
        <w:rPr>
          <w:rFonts w:eastAsia="Times New Roman"/>
          <w:lang w:eastAsia="fr-FR"/>
        </w:rPr>
        <w:t>.</w:t>
      </w:r>
    </w:p>
    <w:p w14:paraId="76408A15" w14:textId="4F9FCF76"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72.</w:t>
      </w:r>
      <w:r w:rsidRPr="00855577">
        <w:rPr>
          <w:rFonts w:eastAsia="Times New Roman"/>
          <w:color w:val="000000" w:themeColor="text1"/>
          <w:lang w:eastAsia="fr-FR"/>
        </w:rPr>
        <w:tab/>
      </w:r>
      <w:r w:rsidR="00A5588D">
        <w:rPr>
          <w:rFonts w:eastAsia="Times New Roman"/>
          <w:lang w:eastAsia="fr-FR"/>
        </w:rPr>
        <w:t>À</w:t>
      </w:r>
      <w:r w:rsidR="00CF1461" w:rsidRPr="00855577">
        <w:rPr>
          <w:rFonts w:eastAsia="Times New Roman"/>
          <w:lang w:eastAsia="fr-FR"/>
        </w:rPr>
        <w:t xml:space="preserve"> </w:t>
      </w:r>
      <w:r w:rsidR="00CF1461" w:rsidRPr="00473B94">
        <w:rPr>
          <w:rFonts w:eastAsia="Times New Roman"/>
          <w:lang w:eastAsia="fr-FR"/>
        </w:rPr>
        <w:t>ces</w:t>
      </w:r>
      <w:r w:rsidR="00CF1461" w:rsidRPr="00855577">
        <w:rPr>
          <w:rFonts w:eastAsia="Times New Roman"/>
          <w:lang w:eastAsia="fr-FR"/>
        </w:rPr>
        <w:t xml:space="preserve"> importants chantiers de développement s’ajoute aussi l’impact positif, impliquant plusieurs régions à forte présence de population Amazigh, conséquent aux dividendes des projets lancés par Sa Majesté le Roi en 2015 dans le cadre du modèle de dév</w:t>
      </w:r>
      <w:r w:rsidR="005B02F8">
        <w:rPr>
          <w:rFonts w:eastAsia="Times New Roman"/>
          <w:lang w:eastAsia="fr-FR"/>
        </w:rPr>
        <w:t>eloppement des provinces du Sud</w:t>
      </w:r>
      <w:r w:rsidR="00CF1461" w:rsidRPr="003C06D3">
        <w:rPr>
          <w:rStyle w:val="Appelnotedebasdep"/>
        </w:rPr>
        <w:footnoteReference w:id="28"/>
      </w:r>
      <w:r w:rsidR="005B02F8">
        <w:rPr>
          <w:rFonts w:eastAsia="Times New Roman"/>
          <w:lang w:eastAsia="fr-FR"/>
        </w:rPr>
        <w:t>.</w:t>
      </w:r>
    </w:p>
    <w:p w14:paraId="24FE4B48" w14:textId="77777777" w:rsidR="00CF1461" w:rsidRPr="00E26090" w:rsidRDefault="007B174A" w:rsidP="007B174A">
      <w:pPr>
        <w:pStyle w:val="H1G"/>
        <w:rPr>
          <w:lang w:eastAsia="fr-FR"/>
        </w:rPr>
      </w:pPr>
      <w:r>
        <w:rPr>
          <w:lang w:eastAsia="fr-FR"/>
        </w:rPr>
        <w:tab/>
      </w:r>
      <w:r>
        <w:rPr>
          <w:lang w:eastAsia="fr-FR"/>
        </w:rPr>
        <w:tab/>
      </w:r>
      <w:r w:rsidR="00CF1461" w:rsidRPr="00E26090">
        <w:rPr>
          <w:lang w:eastAsia="fr-FR"/>
        </w:rPr>
        <w:t>Article 3</w:t>
      </w:r>
    </w:p>
    <w:p w14:paraId="4A9AC22D" w14:textId="77777777" w:rsidR="00CF1461" w:rsidRPr="00E26090" w:rsidRDefault="007B174A" w:rsidP="00377075">
      <w:pPr>
        <w:pStyle w:val="H23G"/>
        <w:rPr>
          <w:lang w:eastAsia="fr-FR"/>
        </w:rPr>
      </w:pPr>
      <w:r>
        <w:rPr>
          <w:lang w:eastAsia="fr-FR"/>
        </w:rPr>
        <w:tab/>
      </w:r>
      <w:r>
        <w:rPr>
          <w:lang w:eastAsia="fr-FR"/>
        </w:rPr>
        <w:tab/>
      </w:r>
      <w:r w:rsidR="00CF1461" w:rsidRPr="00E26090">
        <w:rPr>
          <w:lang w:eastAsia="fr-FR"/>
        </w:rPr>
        <w:t>Recommandation 10 du Comité</w:t>
      </w:r>
    </w:p>
    <w:p w14:paraId="2E181AF4" w14:textId="59579A0E" w:rsidR="00CF1461" w:rsidRPr="00376B4A" w:rsidRDefault="004B5A1A" w:rsidP="004B5A1A">
      <w:pPr>
        <w:pStyle w:val="SingleTxtG"/>
        <w:tabs>
          <w:tab w:val="clear" w:pos="1701"/>
          <w:tab w:val="clear" w:pos="2268"/>
          <w:tab w:val="clear" w:pos="2835"/>
        </w:tabs>
        <w:rPr>
          <w:rFonts w:eastAsia="Times New Roman" w:cs="Arial"/>
          <w:lang w:eastAsia="fr-FR"/>
        </w:rPr>
      </w:pPr>
      <w:r w:rsidRPr="00376B4A">
        <w:rPr>
          <w:rFonts w:eastAsia="Times New Roman" w:cs="Arial"/>
          <w:color w:val="000000" w:themeColor="text1"/>
          <w:lang w:eastAsia="fr-FR"/>
        </w:rPr>
        <w:t>73.</w:t>
      </w:r>
      <w:r w:rsidRPr="00376B4A">
        <w:rPr>
          <w:rFonts w:eastAsia="Times New Roman" w:cs="Arial"/>
          <w:color w:val="000000" w:themeColor="text1"/>
          <w:lang w:eastAsia="fr-FR"/>
        </w:rPr>
        <w:tab/>
      </w:r>
      <w:r w:rsidR="00CF1461" w:rsidRPr="00376B4A">
        <w:rPr>
          <w:rFonts w:eastAsia="Times New Roman" w:cs="Arial"/>
          <w:lang w:eastAsia="fr-FR"/>
        </w:rPr>
        <w:t xml:space="preserve">Le </w:t>
      </w:r>
      <w:r w:rsidR="00CF1461" w:rsidRPr="00473B94">
        <w:rPr>
          <w:rFonts w:eastAsia="Times New Roman"/>
          <w:lang w:eastAsia="fr-FR"/>
        </w:rPr>
        <w:t>Maroc</w:t>
      </w:r>
      <w:r w:rsidR="00CF1461" w:rsidRPr="00376B4A">
        <w:rPr>
          <w:rFonts w:eastAsia="Times New Roman" w:cs="Arial"/>
          <w:lang w:eastAsia="fr-FR"/>
        </w:rPr>
        <w:t xml:space="preserve"> a introduit des modificat</w:t>
      </w:r>
      <w:r w:rsidR="005B02F8">
        <w:rPr>
          <w:rFonts w:eastAsia="Times New Roman" w:cs="Arial"/>
          <w:lang w:eastAsia="fr-FR"/>
        </w:rPr>
        <w:t>ions significatives dans son C</w:t>
      </w:r>
      <w:r w:rsidR="00F26D77">
        <w:rPr>
          <w:rFonts w:eastAsia="Times New Roman" w:cs="Arial"/>
          <w:lang w:eastAsia="fr-FR"/>
        </w:rPr>
        <w:t>ode pénal</w:t>
      </w:r>
      <w:r w:rsidR="00CF1461" w:rsidRPr="003C06D3">
        <w:rPr>
          <w:rStyle w:val="Appelnotedebasdep"/>
        </w:rPr>
        <w:footnoteReference w:id="29"/>
      </w:r>
      <w:r w:rsidR="005B02F8">
        <w:rPr>
          <w:rFonts w:eastAsia="Times New Roman" w:cs="Arial"/>
          <w:lang w:eastAsia="fr-FR"/>
        </w:rPr>
        <w:t>.</w:t>
      </w:r>
      <w:r w:rsidR="00CF1461" w:rsidRPr="00376B4A">
        <w:rPr>
          <w:rFonts w:eastAsia="Times New Roman" w:cs="Arial"/>
          <w:lang w:eastAsia="fr-FR"/>
        </w:rPr>
        <w:t xml:space="preserve"> D’après l’article 431-1 de ce code « Constitue une discrimination toute distinction opérée entre les personnes physiques à raison de l</w:t>
      </w:r>
      <w:r w:rsidR="00CD5A97">
        <w:rPr>
          <w:rFonts w:eastAsia="Times New Roman" w:cs="Arial"/>
          <w:lang w:eastAsia="fr-FR"/>
        </w:rPr>
        <w:t>’</w:t>
      </w:r>
      <w:r w:rsidR="00CF1461" w:rsidRPr="00376B4A">
        <w:rPr>
          <w:rFonts w:eastAsia="Times New Roman" w:cs="Arial"/>
          <w:lang w:eastAsia="fr-FR"/>
        </w:rPr>
        <w:t xml:space="preserve">origine nationale ou sociale, de la couleur, du sexe, de la </w:t>
      </w:r>
      <w:r w:rsidR="00CF1461" w:rsidRPr="004C1CCA">
        <w:rPr>
          <w:rFonts w:eastAsia="Times New Roman"/>
          <w:lang w:eastAsia="fr-FR"/>
        </w:rPr>
        <w:t>situation</w:t>
      </w:r>
      <w:r w:rsidR="00CF1461" w:rsidRPr="00376B4A">
        <w:rPr>
          <w:rFonts w:eastAsia="Times New Roman" w:cs="Arial"/>
          <w:lang w:eastAsia="fr-FR"/>
        </w:rPr>
        <w:t xml:space="preserve"> de famille, de l</w:t>
      </w:r>
      <w:r w:rsidR="00CD5A97">
        <w:rPr>
          <w:rFonts w:eastAsia="Times New Roman" w:cs="Arial"/>
          <w:lang w:eastAsia="fr-FR"/>
        </w:rPr>
        <w:t>’</w:t>
      </w:r>
      <w:r w:rsidR="00CF1461" w:rsidRPr="00376B4A">
        <w:rPr>
          <w:rFonts w:eastAsia="Times New Roman" w:cs="Arial"/>
          <w:lang w:eastAsia="fr-FR"/>
        </w:rPr>
        <w:t>état de santé, du handicap, de l</w:t>
      </w:r>
      <w:r w:rsidR="00CD5A97">
        <w:rPr>
          <w:rFonts w:eastAsia="Times New Roman" w:cs="Arial"/>
          <w:lang w:eastAsia="fr-FR"/>
        </w:rPr>
        <w:t>’</w:t>
      </w:r>
      <w:r w:rsidR="00CF1461" w:rsidRPr="00376B4A">
        <w:rPr>
          <w:rFonts w:eastAsia="Times New Roman" w:cs="Arial"/>
          <w:lang w:eastAsia="fr-FR"/>
        </w:rPr>
        <w:t>opinion politique, de l</w:t>
      </w:r>
      <w:r w:rsidR="00CD5A97">
        <w:rPr>
          <w:rFonts w:eastAsia="Times New Roman" w:cs="Arial"/>
          <w:lang w:eastAsia="fr-FR"/>
        </w:rPr>
        <w:t>’</w:t>
      </w:r>
      <w:r w:rsidR="00CF1461" w:rsidRPr="00376B4A">
        <w:rPr>
          <w:rFonts w:eastAsia="Times New Roman" w:cs="Arial"/>
          <w:lang w:eastAsia="fr-FR"/>
        </w:rPr>
        <w:t>appartenance syndicale, de l</w:t>
      </w:r>
      <w:r w:rsidR="00CD5A97">
        <w:rPr>
          <w:rFonts w:eastAsia="Times New Roman" w:cs="Arial"/>
          <w:lang w:eastAsia="fr-FR"/>
        </w:rPr>
        <w:t>’</w:t>
      </w:r>
      <w:r w:rsidR="00CF1461" w:rsidRPr="00376B4A">
        <w:rPr>
          <w:rFonts w:eastAsia="Times New Roman" w:cs="Arial"/>
          <w:lang w:eastAsia="fr-FR"/>
        </w:rPr>
        <w:t xml:space="preserve">appartenance ou de la </w:t>
      </w:r>
      <w:r w:rsidR="003D3EB1" w:rsidRPr="00376B4A">
        <w:rPr>
          <w:rFonts w:eastAsia="Times New Roman" w:cs="Arial"/>
          <w:lang w:eastAsia="fr-FR"/>
        </w:rPr>
        <w:t>non-appartenance</w:t>
      </w:r>
      <w:r w:rsidR="00CF1461" w:rsidRPr="00376B4A">
        <w:rPr>
          <w:rFonts w:eastAsia="Times New Roman" w:cs="Arial"/>
          <w:lang w:eastAsia="fr-FR"/>
        </w:rPr>
        <w:t xml:space="preserve">, vraie ou supposée, à une ethnie, une nation, une race ou une religion déterminée. Constitue également une discrimination toute </w:t>
      </w:r>
      <w:r w:rsidR="00CF1461" w:rsidRPr="00376B4A">
        <w:rPr>
          <w:rFonts w:eastAsia="Times New Roman" w:cs="Arial"/>
          <w:lang w:eastAsia="fr-FR"/>
        </w:rPr>
        <w:lastRenderedPageBreak/>
        <w:t>distinction opérée entre les personnes morales à raison de l</w:t>
      </w:r>
      <w:r w:rsidR="00CD5A97">
        <w:rPr>
          <w:rFonts w:eastAsia="Times New Roman" w:cs="Arial"/>
          <w:lang w:eastAsia="fr-FR"/>
        </w:rPr>
        <w:t>’</w:t>
      </w:r>
      <w:r w:rsidR="00CF1461" w:rsidRPr="00376B4A">
        <w:rPr>
          <w:rFonts w:eastAsia="Times New Roman" w:cs="Arial"/>
          <w:lang w:eastAsia="fr-FR"/>
        </w:rPr>
        <w:t>origine, du sexe, de la situation de famille, de l</w:t>
      </w:r>
      <w:r w:rsidR="00CD5A97">
        <w:rPr>
          <w:rFonts w:eastAsia="Times New Roman" w:cs="Arial"/>
          <w:lang w:eastAsia="fr-FR"/>
        </w:rPr>
        <w:t>’</w:t>
      </w:r>
      <w:r w:rsidR="00CF1461" w:rsidRPr="00376B4A">
        <w:rPr>
          <w:rFonts w:eastAsia="Times New Roman" w:cs="Arial"/>
          <w:lang w:eastAsia="fr-FR"/>
        </w:rPr>
        <w:t>état de santé, du handicap, des opinions politiques, des activités syndicales, de l</w:t>
      </w:r>
      <w:r w:rsidR="00CD5A97">
        <w:rPr>
          <w:rFonts w:eastAsia="Times New Roman" w:cs="Arial"/>
          <w:lang w:eastAsia="fr-FR"/>
        </w:rPr>
        <w:t>’</w:t>
      </w:r>
      <w:r w:rsidR="00CF1461" w:rsidRPr="00376B4A">
        <w:rPr>
          <w:rFonts w:eastAsia="Times New Roman" w:cs="Arial"/>
          <w:lang w:eastAsia="fr-FR"/>
        </w:rPr>
        <w:t>appartenance ou de la non-appartenance, vraie ou supposée, à une ethnie, une nation, une race ou une religion déterminée des membres ou de certains membres de ces personnes morales ».</w:t>
      </w:r>
    </w:p>
    <w:p w14:paraId="6DCEDDFA" w14:textId="3AE74158"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74.</w:t>
      </w:r>
      <w:r w:rsidRPr="00855577">
        <w:rPr>
          <w:rFonts w:eastAsia="Times New Roman"/>
          <w:color w:val="000000" w:themeColor="text1"/>
          <w:lang w:eastAsia="fr-FR"/>
        </w:rPr>
        <w:tab/>
      </w:r>
      <w:r w:rsidR="00CF1461" w:rsidRPr="00DF5157">
        <w:rPr>
          <w:rFonts w:eastAsia="Times New Roman"/>
          <w:lang w:eastAsia="fr-FR"/>
        </w:rPr>
        <w:t>Quant</w:t>
      </w:r>
      <w:r w:rsidR="00CF1461" w:rsidRPr="00855577">
        <w:rPr>
          <w:rFonts w:eastAsia="Times New Roman"/>
          <w:lang w:eastAsia="fr-FR"/>
        </w:rPr>
        <w:t xml:space="preserve"> aux sanctions de discrimination, l’article 431-2 stipule que « la discrimination définie à </w:t>
      </w:r>
      <w:r w:rsidR="00CF1461" w:rsidRPr="004C1CCA">
        <w:rPr>
          <w:rFonts w:eastAsia="Times New Roman"/>
          <w:lang w:eastAsia="fr-FR"/>
        </w:rPr>
        <w:t>l</w:t>
      </w:r>
      <w:r w:rsidR="00CD5A97">
        <w:rPr>
          <w:rFonts w:eastAsia="Times New Roman"/>
          <w:lang w:eastAsia="fr-FR"/>
        </w:rPr>
        <w:t>’</w:t>
      </w:r>
      <w:r w:rsidR="00CF1461" w:rsidRPr="004C1CCA">
        <w:rPr>
          <w:rFonts w:eastAsia="Times New Roman"/>
          <w:lang w:eastAsia="fr-FR"/>
        </w:rPr>
        <w:t>article</w:t>
      </w:r>
      <w:r w:rsidR="00CF1461" w:rsidRPr="00855577">
        <w:rPr>
          <w:rFonts w:eastAsia="Times New Roman"/>
          <w:lang w:eastAsia="fr-FR"/>
        </w:rPr>
        <w:t xml:space="preserve"> 431-1 ci-dessus est punie de l</w:t>
      </w:r>
      <w:r w:rsidR="00CD5A97">
        <w:rPr>
          <w:rFonts w:eastAsia="Times New Roman"/>
          <w:lang w:eastAsia="fr-FR"/>
        </w:rPr>
        <w:t>’</w:t>
      </w:r>
      <w:r w:rsidR="00CF1461" w:rsidRPr="00855577">
        <w:rPr>
          <w:rFonts w:eastAsia="Times New Roman"/>
          <w:lang w:eastAsia="fr-FR"/>
        </w:rPr>
        <w:t>emprisonnement d</w:t>
      </w:r>
      <w:r w:rsidR="00CD5A97">
        <w:rPr>
          <w:rFonts w:eastAsia="Times New Roman"/>
          <w:lang w:eastAsia="fr-FR"/>
        </w:rPr>
        <w:t>’</w:t>
      </w:r>
      <w:r w:rsidR="00CF1461" w:rsidRPr="00855577">
        <w:rPr>
          <w:rFonts w:eastAsia="Times New Roman"/>
          <w:lang w:eastAsia="fr-FR"/>
        </w:rPr>
        <w:t>un mois à deux ans et d</w:t>
      </w:r>
      <w:r w:rsidR="00CD5A97">
        <w:rPr>
          <w:rFonts w:eastAsia="Times New Roman"/>
          <w:lang w:eastAsia="fr-FR"/>
        </w:rPr>
        <w:t>’</w:t>
      </w:r>
      <w:r w:rsidR="00CF1461" w:rsidRPr="00855577">
        <w:rPr>
          <w:rFonts w:eastAsia="Times New Roman"/>
          <w:lang w:eastAsia="fr-FR"/>
        </w:rPr>
        <w:t>une amende de mille deux cent à cinquante mille dirhams, lorsqu</w:t>
      </w:r>
      <w:r w:rsidR="00CD5A97">
        <w:rPr>
          <w:rFonts w:eastAsia="Times New Roman"/>
          <w:lang w:eastAsia="fr-FR"/>
        </w:rPr>
        <w:t>’</w:t>
      </w:r>
      <w:r w:rsidR="00CF1461" w:rsidRPr="00855577">
        <w:rPr>
          <w:rFonts w:eastAsia="Times New Roman"/>
          <w:lang w:eastAsia="fr-FR"/>
        </w:rPr>
        <w:t>elle consiste à</w:t>
      </w:r>
      <w:r w:rsidR="0081005D">
        <w:rPr>
          <w:rFonts w:eastAsia="Times New Roman"/>
          <w:lang w:eastAsia="fr-FR"/>
        </w:rPr>
        <w:t> </w:t>
      </w:r>
      <w:r w:rsidR="00CF1461" w:rsidRPr="00855577">
        <w:rPr>
          <w:rFonts w:eastAsia="Times New Roman"/>
          <w:lang w:eastAsia="fr-FR"/>
        </w:rPr>
        <w:t>:</w:t>
      </w:r>
    </w:p>
    <w:p w14:paraId="3426A9C5" w14:textId="54C2A250" w:rsidR="00CF1461" w:rsidRPr="00376B4A" w:rsidRDefault="004B5A1A" w:rsidP="004B5A1A">
      <w:pPr>
        <w:pStyle w:val="Bullet1G"/>
        <w:numPr>
          <w:ilvl w:val="0"/>
          <w:numId w:val="0"/>
        </w:numPr>
        <w:tabs>
          <w:tab w:val="left" w:pos="1701"/>
        </w:tabs>
        <w:ind w:left="1701" w:hanging="170"/>
        <w:rPr>
          <w:lang w:eastAsia="fr-FR"/>
        </w:rPr>
      </w:pPr>
      <w:r w:rsidRPr="00376B4A">
        <w:rPr>
          <w:lang w:eastAsia="fr-FR"/>
        </w:rPr>
        <w:t>•</w:t>
      </w:r>
      <w:r w:rsidRPr="00376B4A">
        <w:rPr>
          <w:lang w:eastAsia="fr-FR"/>
        </w:rPr>
        <w:tab/>
      </w:r>
      <w:r w:rsidR="007B174A">
        <w:rPr>
          <w:lang w:eastAsia="fr-FR"/>
        </w:rPr>
        <w:t>R</w:t>
      </w:r>
      <w:r w:rsidR="00CF1461" w:rsidRPr="00376B4A">
        <w:rPr>
          <w:lang w:eastAsia="fr-FR"/>
        </w:rPr>
        <w:t>efuser la fourn</w:t>
      </w:r>
      <w:r w:rsidR="007B174A">
        <w:rPr>
          <w:lang w:eastAsia="fr-FR"/>
        </w:rPr>
        <w:t>iture d</w:t>
      </w:r>
      <w:r w:rsidR="00CD5A97">
        <w:rPr>
          <w:lang w:eastAsia="fr-FR"/>
        </w:rPr>
        <w:t>’</w:t>
      </w:r>
      <w:r w:rsidR="007B174A">
        <w:rPr>
          <w:lang w:eastAsia="fr-FR"/>
        </w:rPr>
        <w:t>un bien ou d</w:t>
      </w:r>
      <w:r w:rsidR="00CD5A97">
        <w:rPr>
          <w:lang w:eastAsia="fr-FR"/>
        </w:rPr>
        <w:t>’</w:t>
      </w:r>
      <w:r w:rsidR="007B174A">
        <w:rPr>
          <w:lang w:eastAsia="fr-FR"/>
        </w:rPr>
        <w:t>un service</w:t>
      </w:r>
      <w:r w:rsidR="005B02F8">
        <w:rPr>
          <w:lang w:eastAsia="fr-FR"/>
        </w:rPr>
        <w:t xml:space="preserve"> </w:t>
      </w:r>
      <w:r w:rsidR="00CF1461" w:rsidRPr="00376B4A">
        <w:rPr>
          <w:lang w:eastAsia="fr-FR"/>
        </w:rPr>
        <w:t>;</w:t>
      </w:r>
    </w:p>
    <w:p w14:paraId="4A4BBE69" w14:textId="49D9ACA1" w:rsidR="00CF1461" w:rsidRPr="00376B4A" w:rsidRDefault="004B5A1A" w:rsidP="004B5A1A">
      <w:pPr>
        <w:pStyle w:val="Bullet1G"/>
        <w:numPr>
          <w:ilvl w:val="0"/>
          <w:numId w:val="0"/>
        </w:numPr>
        <w:tabs>
          <w:tab w:val="left" w:pos="1701"/>
        </w:tabs>
        <w:ind w:left="1701" w:hanging="170"/>
        <w:rPr>
          <w:lang w:eastAsia="fr-FR"/>
        </w:rPr>
      </w:pPr>
      <w:r w:rsidRPr="00376B4A">
        <w:rPr>
          <w:lang w:eastAsia="fr-FR"/>
        </w:rPr>
        <w:t>•</w:t>
      </w:r>
      <w:r w:rsidRPr="00376B4A">
        <w:rPr>
          <w:lang w:eastAsia="fr-FR"/>
        </w:rPr>
        <w:tab/>
      </w:r>
      <w:r w:rsidR="007B174A">
        <w:rPr>
          <w:lang w:eastAsia="fr-FR"/>
        </w:rPr>
        <w:t>E</w:t>
      </w:r>
      <w:r w:rsidR="00CF1461" w:rsidRPr="00376B4A">
        <w:rPr>
          <w:lang w:eastAsia="fr-FR"/>
        </w:rPr>
        <w:t>ntraver l</w:t>
      </w:r>
      <w:r w:rsidR="00CD5A97">
        <w:rPr>
          <w:lang w:eastAsia="fr-FR"/>
        </w:rPr>
        <w:t>’</w:t>
      </w:r>
      <w:r w:rsidR="00CF1461" w:rsidRPr="00376B4A">
        <w:rPr>
          <w:lang w:eastAsia="fr-FR"/>
        </w:rPr>
        <w:t>exercice normal d</w:t>
      </w:r>
      <w:r w:rsidR="00CD5A97">
        <w:rPr>
          <w:lang w:eastAsia="fr-FR"/>
        </w:rPr>
        <w:t>’</w:t>
      </w:r>
      <w:r w:rsidR="00CF1461" w:rsidRPr="00376B4A">
        <w:rPr>
          <w:lang w:eastAsia="fr-FR"/>
        </w:rPr>
        <w:t>une activité économique quelconque</w:t>
      </w:r>
      <w:r w:rsidR="005B02F8">
        <w:rPr>
          <w:lang w:eastAsia="fr-FR"/>
        </w:rPr>
        <w:t xml:space="preserve"> </w:t>
      </w:r>
      <w:r w:rsidR="00CF1461" w:rsidRPr="00376B4A">
        <w:rPr>
          <w:lang w:eastAsia="fr-FR"/>
        </w:rPr>
        <w:t>;</w:t>
      </w:r>
    </w:p>
    <w:p w14:paraId="56D4A5CC" w14:textId="3EC086F6" w:rsidR="00CF1461" w:rsidRPr="00376B4A" w:rsidRDefault="004B5A1A" w:rsidP="004B5A1A">
      <w:pPr>
        <w:pStyle w:val="Bullet1G"/>
        <w:numPr>
          <w:ilvl w:val="0"/>
          <w:numId w:val="0"/>
        </w:numPr>
        <w:tabs>
          <w:tab w:val="left" w:pos="1701"/>
        </w:tabs>
        <w:ind w:left="1701" w:hanging="170"/>
        <w:rPr>
          <w:lang w:eastAsia="fr-FR"/>
        </w:rPr>
      </w:pPr>
      <w:r w:rsidRPr="00376B4A">
        <w:rPr>
          <w:lang w:eastAsia="fr-FR"/>
        </w:rPr>
        <w:t>•</w:t>
      </w:r>
      <w:r w:rsidRPr="00376B4A">
        <w:rPr>
          <w:lang w:eastAsia="fr-FR"/>
        </w:rPr>
        <w:tab/>
      </w:r>
      <w:r w:rsidR="007B174A">
        <w:rPr>
          <w:lang w:eastAsia="fr-FR"/>
        </w:rPr>
        <w:t>R</w:t>
      </w:r>
      <w:r w:rsidR="00CF1461" w:rsidRPr="00376B4A">
        <w:rPr>
          <w:lang w:eastAsia="fr-FR"/>
        </w:rPr>
        <w:t>efuser d</w:t>
      </w:r>
      <w:r w:rsidR="00CD5A97">
        <w:rPr>
          <w:lang w:eastAsia="fr-FR"/>
        </w:rPr>
        <w:t>’</w:t>
      </w:r>
      <w:r w:rsidR="00CF1461" w:rsidRPr="00376B4A">
        <w:rPr>
          <w:lang w:eastAsia="fr-FR"/>
        </w:rPr>
        <w:t>embaucher, à sanctionner ou à licencier une personne</w:t>
      </w:r>
      <w:r w:rsidR="005B02F8">
        <w:rPr>
          <w:lang w:eastAsia="fr-FR"/>
        </w:rPr>
        <w:t xml:space="preserve"> </w:t>
      </w:r>
      <w:r w:rsidR="00CF1461" w:rsidRPr="00376B4A">
        <w:rPr>
          <w:lang w:eastAsia="fr-FR"/>
        </w:rPr>
        <w:t>;</w:t>
      </w:r>
    </w:p>
    <w:p w14:paraId="36E97347" w14:textId="7B066979" w:rsidR="00CF1461" w:rsidRPr="00376B4A" w:rsidRDefault="004B5A1A" w:rsidP="004B5A1A">
      <w:pPr>
        <w:pStyle w:val="Bullet1G"/>
        <w:numPr>
          <w:ilvl w:val="0"/>
          <w:numId w:val="0"/>
        </w:numPr>
        <w:tabs>
          <w:tab w:val="left" w:pos="1701"/>
        </w:tabs>
        <w:ind w:left="1701" w:hanging="170"/>
        <w:rPr>
          <w:lang w:eastAsia="fr-FR"/>
        </w:rPr>
      </w:pPr>
      <w:r w:rsidRPr="00376B4A">
        <w:rPr>
          <w:lang w:eastAsia="fr-FR"/>
        </w:rPr>
        <w:t>•</w:t>
      </w:r>
      <w:r w:rsidRPr="00376B4A">
        <w:rPr>
          <w:lang w:eastAsia="fr-FR"/>
        </w:rPr>
        <w:tab/>
      </w:r>
      <w:r w:rsidR="007B174A">
        <w:rPr>
          <w:lang w:eastAsia="fr-FR"/>
        </w:rPr>
        <w:t>S</w:t>
      </w:r>
      <w:r w:rsidR="00CF1461" w:rsidRPr="00376B4A">
        <w:rPr>
          <w:lang w:eastAsia="fr-FR"/>
        </w:rPr>
        <w:t>ubordonner la fourniture d</w:t>
      </w:r>
      <w:r w:rsidR="00CD5A97">
        <w:rPr>
          <w:lang w:eastAsia="fr-FR"/>
        </w:rPr>
        <w:t>’</w:t>
      </w:r>
      <w:r w:rsidR="00CF1461" w:rsidRPr="00376B4A">
        <w:rPr>
          <w:lang w:eastAsia="fr-FR"/>
        </w:rPr>
        <w:t>un bien ou d</w:t>
      </w:r>
      <w:r w:rsidR="00CD5A97">
        <w:rPr>
          <w:lang w:eastAsia="fr-FR"/>
        </w:rPr>
        <w:t>’</w:t>
      </w:r>
      <w:r w:rsidR="00CF1461" w:rsidRPr="00376B4A">
        <w:rPr>
          <w:lang w:eastAsia="fr-FR"/>
        </w:rPr>
        <w:t>un service ou l</w:t>
      </w:r>
      <w:r w:rsidR="00CD5A97">
        <w:rPr>
          <w:lang w:eastAsia="fr-FR"/>
        </w:rPr>
        <w:t>’</w:t>
      </w:r>
      <w:r w:rsidR="00CF1461" w:rsidRPr="00376B4A">
        <w:rPr>
          <w:lang w:eastAsia="fr-FR"/>
        </w:rPr>
        <w:t>offre d</w:t>
      </w:r>
      <w:r w:rsidR="00CD5A97">
        <w:rPr>
          <w:lang w:eastAsia="fr-FR"/>
        </w:rPr>
        <w:t>’</w:t>
      </w:r>
      <w:r w:rsidR="00CF1461" w:rsidRPr="00376B4A">
        <w:rPr>
          <w:lang w:eastAsia="fr-FR"/>
        </w:rPr>
        <w:t>un emploi à une condition fondée sur l</w:t>
      </w:r>
      <w:r w:rsidR="00CD5A97">
        <w:rPr>
          <w:lang w:eastAsia="fr-FR"/>
        </w:rPr>
        <w:t>’</w:t>
      </w:r>
      <w:r w:rsidR="00CF1461" w:rsidRPr="00376B4A">
        <w:rPr>
          <w:lang w:eastAsia="fr-FR"/>
        </w:rPr>
        <w:t>un des éléments visés à l</w:t>
      </w:r>
      <w:r w:rsidR="00CD5A97">
        <w:rPr>
          <w:lang w:eastAsia="fr-FR"/>
        </w:rPr>
        <w:t>’</w:t>
      </w:r>
      <w:r w:rsidR="00CF1461" w:rsidRPr="00376B4A">
        <w:rPr>
          <w:lang w:eastAsia="fr-FR"/>
        </w:rPr>
        <w:t>article 431-1 ».</w:t>
      </w:r>
    </w:p>
    <w:p w14:paraId="34F84169" w14:textId="00994CB7"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75.</w:t>
      </w:r>
      <w:r w:rsidRPr="00855577">
        <w:rPr>
          <w:rFonts w:eastAsia="Times New Roman"/>
          <w:color w:val="000000" w:themeColor="text1"/>
          <w:lang w:eastAsia="fr-FR"/>
        </w:rPr>
        <w:tab/>
      </w:r>
      <w:r w:rsidR="00CF1461" w:rsidRPr="00855577">
        <w:rPr>
          <w:rFonts w:eastAsia="Times New Roman"/>
          <w:lang w:eastAsia="fr-FR"/>
        </w:rPr>
        <w:t>L’article 431-3 stipule également que « la personne morale est punie, lorsqu</w:t>
      </w:r>
      <w:r w:rsidR="00CD5A97">
        <w:rPr>
          <w:rFonts w:eastAsia="Times New Roman"/>
          <w:lang w:eastAsia="fr-FR"/>
        </w:rPr>
        <w:t>’</w:t>
      </w:r>
      <w:r w:rsidR="00CF1461" w:rsidRPr="00855577">
        <w:rPr>
          <w:rFonts w:eastAsia="Times New Roman"/>
          <w:lang w:eastAsia="fr-FR"/>
        </w:rPr>
        <w:t>elle commet un acte de discrimination telle que définie à l</w:t>
      </w:r>
      <w:r w:rsidR="00CD5A97">
        <w:rPr>
          <w:rFonts w:eastAsia="Times New Roman"/>
          <w:lang w:eastAsia="fr-FR"/>
        </w:rPr>
        <w:t>’</w:t>
      </w:r>
      <w:r w:rsidR="00CF1461" w:rsidRPr="00855577">
        <w:rPr>
          <w:rFonts w:eastAsia="Times New Roman"/>
          <w:lang w:eastAsia="fr-FR"/>
        </w:rPr>
        <w:t>article 431-1 ci-dessus, d</w:t>
      </w:r>
      <w:r w:rsidR="00CD5A97">
        <w:rPr>
          <w:rFonts w:eastAsia="Times New Roman"/>
          <w:lang w:eastAsia="fr-FR"/>
        </w:rPr>
        <w:t>’</w:t>
      </w:r>
      <w:r w:rsidR="00CF1461" w:rsidRPr="00855577">
        <w:rPr>
          <w:rFonts w:eastAsia="Times New Roman"/>
          <w:lang w:eastAsia="fr-FR"/>
        </w:rPr>
        <w:t>une amende de mille deux cents à cinquante mille dirhams ».</w:t>
      </w:r>
    </w:p>
    <w:p w14:paraId="32F23216" w14:textId="2617F832"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76.</w:t>
      </w:r>
      <w:r w:rsidRPr="00855577">
        <w:rPr>
          <w:rFonts w:eastAsia="Times New Roman"/>
          <w:color w:val="000000" w:themeColor="text1"/>
          <w:lang w:eastAsia="fr-FR"/>
        </w:rPr>
        <w:tab/>
      </w:r>
      <w:r w:rsidR="00CF1461" w:rsidRPr="00855577">
        <w:rPr>
          <w:rFonts w:eastAsia="Times New Roman"/>
          <w:lang w:eastAsia="fr-FR"/>
        </w:rPr>
        <w:t xml:space="preserve">Et </w:t>
      </w:r>
      <w:r w:rsidR="00CF1461" w:rsidRPr="00DF5157">
        <w:rPr>
          <w:rFonts w:eastAsia="Times New Roman"/>
          <w:lang w:eastAsia="fr-FR"/>
        </w:rPr>
        <w:t>suivant</w:t>
      </w:r>
      <w:r w:rsidR="00CF1461" w:rsidRPr="00855577">
        <w:rPr>
          <w:rFonts w:eastAsia="Times New Roman"/>
          <w:lang w:eastAsia="fr-FR"/>
        </w:rPr>
        <w:t xml:space="preserve"> </w:t>
      </w:r>
      <w:r w:rsidR="00CF1461" w:rsidRPr="004C1CCA">
        <w:rPr>
          <w:rFonts w:eastAsia="Times New Roman"/>
          <w:lang w:eastAsia="fr-FR"/>
        </w:rPr>
        <w:t>l’article</w:t>
      </w:r>
      <w:r w:rsidR="00CF1461" w:rsidRPr="00855577">
        <w:rPr>
          <w:rFonts w:eastAsia="Times New Roman"/>
          <w:lang w:eastAsia="fr-FR"/>
        </w:rPr>
        <w:t xml:space="preserve"> 431-5</w:t>
      </w:r>
      <w:r w:rsidR="00BD28D2">
        <w:rPr>
          <w:rFonts w:eastAsia="Times New Roman"/>
          <w:lang w:eastAsia="fr-FR"/>
        </w:rPr>
        <w:t> </w:t>
      </w:r>
      <w:r w:rsidR="00CF1461" w:rsidRPr="00855577">
        <w:rPr>
          <w:rFonts w:eastAsia="Times New Roman"/>
          <w:lang w:eastAsia="fr-FR"/>
        </w:rPr>
        <w:t xml:space="preserve">: </w:t>
      </w:r>
    </w:p>
    <w:p w14:paraId="107840C6" w14:textId="2084EA29" w:rsidR="00CF1461" w:rsidRPr="00376B4A" w:rsidRDefault="004B5A1A" w:rsidP="004B5A1A">
      <w:pPr>
        <w:pStyle w:val="Bullet1G"/>
        <w:numPr>
          <w:ilvl w:val="0"/>
          <w:numId w:val="0"/>
        </w:numPr>
        <w:tabs>
          <w:tab w:val="left" w:pos="1701"/>
        </w:tabs>
        <w:ind w:left="1701" w:hanging="170"/>
        <w:rPr>
          <w:lang w:eastAsia="fr-FR"/>
        </w:rPr>
      </w:pPr>
      <w:r w:rsidRPr="00376B4A">
        <w:rPr>
          <w:lang w:eastAsia="fr-FR"/>
        </w:rPr>
        <w:t>•</w:t>
      </w:r>
      <w:r w:rsidRPr="00376B4A">
        <w:rPr>
          <w:lang w:eastAsia="fr-FR"/>
        </w:rPr>
        <w:tab/>
      </w:r>
      <w:r w:rsidR="00CF1461" w:rsidRPr="00376B4A">
        <w:rPr>
          <w:lang w:eastAsia="fr-FR"/>
        </w:rPr>
        <w:t>« Est puni d</w:t>
      </w:r>
      <w:r w:rsidR="00CD5A97">
        <w:rPr>
          <w:lang w:eastAsia="fr-FR"/>
        </w:rPr>
        <w:t>’</w:t>
      </w:r>
      <w:r w:rsidR="00CF1461" w:rsidRPr="00376B4A">
        <w:rPr>
          <w:lang w:eastAsia="fr-FR"/>
        </w:rPr>
        <w:t>un emprisonnement d</w:t>
      </w:r>
      <w:r w:rsidR="00CD5A97">
        <w:rPr>
          <w:lang w:eastAsia="fr-FR"/>
        </w:rPr>
        <w:t>’</w:t>
      </w:r>
      <w:r w:rsidR="00CF1461" w:rsidRPr="00376B4A">
        <w:rPr>
          <w:lang w:eastAsia="fr-FR"/>
        </w:rPr>
        <w:t>un mois à un an et d</w:t>
      </w:r>
      <w:r w:rsidR="00CD5A97">
        <w:rPr>
          <w:lang w:eastAsia="fr-FR"/>
        </w:rPr>
        <w:t>’</w:t>
      </w:r>
      <w:r w:rsidR="00CF1461" w:rsidRPr="00376B4A">
        <w:rPr>
          <w:lang w:eastAsia="fr-FR"/>
        </w:rPr>
        <w:t>une amende de 5</w:t>
      </w:r>
      <w:r w:rsidR="00BD28D2">
        <w:rPr>
          <w:lang w:eastAsia="fr-FR"/>
        </w:rPr>
        <w:t> </w:t>
      </w:r>
      <w:r w:rsidR="00CF1461" w:rsidRPr="00376B4A">
        <w:rPr>
          <w:lang w:eastAsia="fr-FR"/>
        </w:rPr>
        <w:t>000 à 50</w:t>
      </w:r>
      <w:r w:rsidR="00BD28D2">
        <w:rPr>
          <w:lang w:eastAsia="fr-FR"/>
        </w:rPr>
        <w:t> </w:t>
      </w:r>
      <w:r w:rsidR="00CF1461" w:rsidRPr="00376B4A">
        <w:rPr>
          <w:lang w:eastAsia="fr-FR"/>
        </w:rPr>
        <w:t>000 dirhams ou de l</w:t>
      </w:r>
      <w:r w:rsidR="00CD5A97">
        <w:rPr>
          <w:lang w:eastAsia="fr-FR"/>
        </w:rPr>
        <w:t>’</w:t>
      </w:r>
      <w:r w:rsidR="00CF1461" w:rsidRPr="00376B4A">
        <w:rPr>
          <w:lang w:eastAsia="fr-FR"/>
        </w:rPr>
        <w:t>une de ces deux peines seulement quiconque a incité à la discrimination ou à</w:t>
      </w:r>
      <w:r w:rsidR="005B02F8">
        <w:rPr>
          <w:lang w:eastAsia="fr-FR"/>
        </w:rPr>
        <w:t xml:space="preserve"> la haine entre les personnes » ;</w:t>
      </w:r>
      <w:r w:rsidR="00CF1461" w:rsidRPr="00376B4A">
        <w:rPr>
          <w:lang w:eastAsia="fr-FR"/>
        </w:rPr>
        <w:t xml:space="preserve"> </w:t>
      </w:r>
    </w:p>
    <w:p w14:paraId="7059AA0B" w14:textId="203EB3D0" w:rsidR="00CF1461" w:rsidRPr="00376B4A" w:rsidRDefault="004B5A1A" w:rsidP="004B5A1A">
      <w:pPr>
        <w:pStyle w:val="Bullet1G"/>
        <w:numPr>
          <w:ilvl w:val="0"/>
          <w:numId w:val="0"/>
        </w:numPr>
        <w:tabs>
          <w:tab w:val="left" w:pos="1701"/>
        </w:tabs>
        <w:ind w:left="1701" w:hanging="170"/>
        <w:rPr>
          <w:lang w:eastAsia="fr-FR"/>
        </w:rPr>
      </w:pPr>
      <w:r w:rsidRPr="00376B4A">
        <w:rPr>
          <w:lang w:eastAsia="fr-FR"/>
        </w:rPr>
        <w:t>•</w:t>
      </w:r>
      <w:r w:rsidRPr="00376B4A">
        <w:rPr>
          <w:lang w:eastAsia="fr-FR"/>
        </w:rPr>
        <w:tab/>
      </w:r>
      <w:r w:rsidR="00CF1461" w:rsidRPr="00376B4A">
        <w:rPr>
          <w:lang w:eastAsia="fr-FR"/>
        </w:rPr>
        <w:t>«</w:t>
      </w:r>
      <w:r w:rsidR="00BD28D2">
        <w:rPr>
          <w:lang w:eastAsia="fr-FR"/>
        </w:rPr>
        <w:t> </w:t>
      </w:r>
      <w:r w:rsidR="00CF1461" w:rsidRPr="00376B4A">
        <w:rPr>
          <w:lang w:eastAsia="fr-FR"/>
        </w:rPr>
        <w:t>La peine encourue sera l</w:t>
      </w:r>
      <w:r w:rsidR="00CD5A97">
        <w:rPr>
          <w:lang w:eastAsia="fr-FR"/>
        </w:rPr>
        <w:t>’</w:t>
      </w:r>
      <w:r w:rsidR="00CF1461" w:rsidRPr="00376B4A">
        <w:rPr>
          <w:lang w:eastAsia="fr-FR"/>
        </w:rPr>
        <w:t>emprisonnement d</w:t>
      </w:r>
      <w:r w:rsidR="00CD5A97">
        <w:rPr>
          <w:lang w:eastAsia="fr-FR"/>
        </w:rPr>
        <w:t>’</w:t>
      </w:r>
      <w:r w:rsidR="00CF1461" w:rsidRPr="00376B4A">
        <w:rPr>
          <w:lang w:eastAsia="fr-FR"/>
        </w:rPr>
        <w:t>un an à deux ans et d</w:t>
      </w:r>
      <w:r w:rsidR="00CD5A97">
        <w:rPr>
          <w:lang w:eastAsia="fr-FR"/>
        </w:rPr>
        <w:t>’</w:t>
      </w:r>
      <w:r w:rsidR="00CF1461" w:rsidRPr="00376B4A">
        <w:rPr>
          <w:lang w:eastAsia="fr-FR"/>
        </w:rPr>
        <w:t>une amende de 5</w:t>
      </w:r>
      <w:r w:rsidR="00BD28D2">
        <w:rPr>
          <w:lang w:eastAsia="fr-FR"/>
        </w:rPr>
        <w:t> </w:t>
      </w:r>
      <w:r w:rsidR="00CF1461" w:rsidRPr="00376B4A">
        <w:rPr>
          <w:lang w:eastAsia="fr-FR"/>
        </w:rPr>
        <w:t>000 à 50</w:t>
      </w:r>
      <w:r w:rsidR="00BD28D2">
        <w:rPr>
          <w:lang w:eastAsia="fr-FR"/>
        </w:rPr>
        <w:t> </w:t>
      </w:r>
      <w:r w:rsidR="00CF1461" w:rsidRPr="00376B4A">
        <w:rPr>
          <w:lang w:eastAsia="fr-FR"/>
        </w:rPr>
        <w:t>000 dirhams ou l</w:t>
      </w:r>
      <w:r w:rsidR="00CD5A97">
        <w:rPr>
          <w:lang w:eastAsia="fr-FR"/>
        </w:rPr>
        <w:t>’</w:t>
      </w:r>
      <w:r w:rsidR="00CF1461" w:rsidRPr="00376B4A">
        <w:rPr>
          <w:lang w:eastAsia="fr-FR"/>
        </w:rPr>
        <w:t>une de ces deux peines seulement si l</w:t>
      </w:r>
      <w:r w:rsidR="00CD5A97">
        <w:rPr>
          <w:lang w:eastAsia="fr-FR"/>
        </w:rPr>
        <w:t>’</w:t>
      </w:r>
      <w:r w:rsidR="00CF1461" w:rsidRPr="00376B4A">
        <w:rPr>
          <w:lang w:eastAsia="fr-FR"/>
        </w:rPr>
        <w:t>incitation à la discrimination ou à la haine entre les personnes est commise par discours, cris ou menaces proférés dans les lieux ou réunions publics, par des affiches exposées aux regards du public ou par tout moyen qui remplit la condition de publicité y compris par voie électronique, sur pa</w:t>
      </w:r>
      <w:r w:rsidR="005B02F8">
        <w:rPr>
          <w:lang w:eastAsia="fr-FR"/>
        </w:rPr>
        <w:t xml:space="preserve">pier ou par voie audiovisuelle </w:t>
      </w:r>
      <w:r w:rsidR="00CF1461" w:rsidRPr="00376B4A">
        <w:rPr>
          <w:lang w:eastAsia="fr-FR"/>
        </w:rPr>
        <w:t>»</w:t>
      </w:r>
      <w:r w:rsidR="00CF1461" w:rsidRPr="003C06D3">
        <w:rPr>
          <w:rStyle w:val="Appelnotedebasdep"/>
        </w:rPr>
        <w:footnoteReference w:id="30"/>
      </w:r>
      <w:r w:rsidR="005B02F8">
        <w:rPr>
          <w:lang w:eastAsia="fr-FR"/>
        </w:rPr>
        <w:t>.</w:t>
      </w:r>
    </w:p>
    <w:p w14:paraId="3ADD5817" w14:textId="03B70B72"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77.</w:t>
      </w:r>
      <w:r w:rsidRPr="00855577">
        <w:rPr>
          <w:rFonts w:eastAsia="Times New Roman"/>
          <w:color w:val="000000" w:themeColor="text1"/>
          <w:lang w:eastAsia="fr-FR"/>
        </w:rPr>
        <w:tab/>
      </w:r>
      <w:r w:rsidR="00CF1461" w:rsidRPr="00DF5157">
        <w:rPr>
          <w:rFonts w:eastAsia="Times New Roman"/>
          <w:lang w:eastAsia="fr-FR"/>
        </w:rPr>
        <w:t>Selon</w:t>
      </w:r>
      <w:r w:rsidR="00CF1461" w:rsidRPr="00855577">
        <w:rPr>
          <w:rFonts w:eastAsia="Times New Roman"/>
          <w:lang w:eastAsia="fr-FR"/>
        </w:rPr>
        <w:t xml:space="preserve"> l’article 431-5, il est également « puni d’un emprisonnement d’un mois à un an et d’une </w:t>
      </w:r>
      <w:r w:rsidR="00CF1461" w:rsidRPr="00473B94">
        <w:rPr>
          <w:rFonts w:eastAsia="Times New Roman"/>
          <w:lang w:eastAsia="fr-FR"/>
        </w:rPr>
        <w:t>amende</w:t>
      </w:r>
      <w:r w:rsidR="00CF1461" w:rsidRPr="00855577">
        <w:rPr>
          <w:rFonts w:eastAsia="Times New Roman"/>
          <w:lang w:eastAsia="fr-FR"/>
        </w:rPr>
        <w:t xml:space="preserve"> de 5</w:t>
      </w:r>
      <w:r w:rsidR="003D3EB1">
        <w:rPr>
          <w:rFonts w:eastAsia="Times New Roman"/>
          <w:lang w:eastAsia="fr-FR"/>
        </w:rPr>
        <w:t> </w:t>
      </w:r>
      <w:r w:rsidR="00CF1461" w:rsidRPr="00855577">
        <w:rPr>
          <w:rFonts w:eastAsia="Times New Roman"/>
          <w:lang w:eastAsia="fr-FR"/>
        </w:rPr>
        <w:t>000 à 50</w:t>
      </w:r>
      <w:r w:rsidR="003D3EB1">
        <w:rPr>
          <w:rFonts w:eastAsia="Times New Roman"/>
          <w:lang w:eastAsia="fr-FR"/>
        </w:rPr>
        <w:t> </w:t>
      </w:r>
      <w:r w:rsidR="00CF1461" w:rsidRPr="00855577">
        <w:rPr>
          <w:rFonts w:eastAsia="Times New Roman"/>
          <w:lang w:eastAsia="fr-FR"/>
        </w:rPr>
        <w:t xml:space="preserve">000 dirhams ou de l’une de ces deux peines seulement quiconque a incité à la discrimination ou à la haine entre les personnes. La peine encourue </w:t>
      </w:r>
      <w:r w:rsidR="00CF1461" w:rsidRPr="004C1CCA">
        <w:rPr>
          <w:rFonts w:eastAsia="Times New Roman"/>
          <w:lang w:eastAsia="fr-FR"/>
        </w:rPr>
        <w:t>sera</w:t>
      </w:r>
      <w:r w:rsidR="00CF1461" w:rsidRPr="00855577">
        <w:rPr>
          <w:rFonts w:eastAsia="Times New Roman"/>
          <w:lang w:eastAsia="fr-FR"/>
        </w:rPr>
        <w:t xml:space="preserve"> l’emprisonnement d’un an à deux ans et d’une amende de 5</w:t>
      </w:r>
      <w:r w:rsidR="003D3EB1">
        <w:rPr>
          <w:rFonts w:eastAsia="Times New Roman"/>
          <w:lang w:eastAsia="fr-FR"/>
        </w:rPr>
        <w:t> </w:t>
      </w:r>
      <w:r w:rsidR="00CF1461" w:rsidRPr="00855577">
        <w:rPr>
          <w:rFonts w:eastAsia="Times New Roman"/>
          <w:lang w:eastAsia="fr-FR"/>
        </w:rPr>
        <w:t>000 à 50</w:t>
      </w:r>
      <w:r w:rsidR="003D3EB1">
        <w:rPr>
          <w:rFonts w:eastAsia="Times New Roman"/>
          <w:lang w:eastAsia="fr-FR"/>
        </w:rPr>
        <w:t> </w:t>
      </w:r>
      <w:r w:rsidR="00CF1461" w:rsidRPr="00855577">
        <w:rPr>
          <w:rFonts w:eastAsia="Times New Roman"/>
          <w:lang w:eastAsia="fr-FR"/>
        </w:rPr>
        <w:t>000 dirhams ou l’une de ces deux peines seulement si l’incitation à la discrimination ou à la haine entre les personnes est commise par discours, cris ou menaces proférés dans les lieux ou réunions publics, par des affiches exposées aux regards du public ou par tout moyen qui remplit la condition de publicité y compris par voie électronique, sur papier ou par voie audiovisuelle ».</w:t>
      </w:r>
    </w:p>
    <w:p w14:paraId="58893A01" w14:textId="77777777" w:rsidR="00CF1461" w:rsidRPr="00E26090" w:rsidRDefault="007B174A" w:rsidP="00377075">
      <w:pPr>
        <w:pStyle w:val="H23G"/>
        <w:rPr>
          <w:lang w:eastAsia="fr-FR"/>
        </w:rPr>
      </w:pPr>
      <w:r>
        <w:rPr>
          <w:lang w:eastAsia="fr-FR"/>
        </w:rPr>
        <w:tab/>
      </w:r>
      <w:r>
        <w:rPr>
          <w:lang w:eastAsia="fr-FR"/>
        </w:rPr>
        <w:tab/>
      </w:r>
      <w:r w:rsidR="00CF1461" w:rsidRPr="00E26090">
        <w:rPr>
          <w:lang w:eastAsia="fr-FR"/>
        </w:rPr>
        <w:t>Recommandation 13 du Comité</w:t>
      </w:r>
    </w:p>
    <w:p w14:paraId="2383156D" w14:textId="4700C5F4"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78.</w:t>
      </w:r>
      <w:r w:rsidRPr="00855577">
        <w:rPr>
          <w:rFonts w:eastAsia="Times New Roman"/>
          <w:color w:val="000000" w:themeColor="text1"/>
          <w:lang w:eastAsia="fr-FR"/>
        </w:rPr>
        <w:tab/>
      </w:r>
      <w:r w:rsidR="00CF1461" w:rsidRPr="00DF5157">
        <w:rPr>
          <w:rFonts w:eastAsia="Times New Roman"/>
          <w:lang w:eastAsia="fr-FR"/>
        </w:rPr>
        <w:t>Dans</w:t>
      </w:r>
      <w:r w:rsidR="00CF1461" w:rsidRPr="00855577">
        <w:rPr>
          <w:rFonts w:eastAsia="Times New Roman"/>
          <w:lang w:eastAsia="fr-FR"/>
        </w:rPr>
        <w:t xml:space="preserve"> le cadre de la mise en œuvre de la nouvelle politique migratoire du Maroc, un projet de loi relative à l’asile a été élaboré par une sous-commission ad-hoc. Le prochain </w:t>
      </w:r>
      <w:r w:rsidR="00CF1461" w:rsidRPr="004C1CCA">
        <w:rPr>
          <w:rFonts w:eastAsia="Times New Roman"/>
          <w:lang w:eastAsia="fr-FR"/>
        </w:rPr>
        <w:t>système</w:t>
      </w:r>
      <w:r w:rsidR="00CF1461" w:rsidRPr="00855577">
        <w:rPr>
          <w:rFonts w:eastAsia="Times New Roman"/>
          <w:lang w:eastAsia="fr-FR"/>
        </w:rPr>
        <w:t xml:space="preserve"> national d’asile consacrera les principes adoptés par la convention relative au statut des réfugiés de 1951, dont les droits et avantages accordés aux réfugiés.</w:t>
      </w:r>
    </w:p>
    <w:p w14:paraId="76D9C100" w14:textId="4A840D58"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79.</w:t>
      </w:r>
      <w:r w:rsidRPr="00855577">
        <w:rPr>
          <w:rFonts w:eastAsia="Times New Roman"/>
          <w:color w:val="000000" w:themeColor="text1"/>
          <w:lang w:eastAsia="fr-FR"/>
        </w:rPr>
        <w:tab/>
      </w:r>
      <w:r w:rsidR="00CF1461" w:rsidRPr="00855577">
        <w:rPr>
          <w:rFonts w:eastAsia="Times New Roman"/>
          <w:lang w:eastAsia="fr-FR"/>
        </w:rPr>
        <w:t xml:space="preserve">Les </w:t>
      </w:r>
      <w:r w:rsidR="00CF1461" w:rsidRPr="00A02A39">
        <w:rPr>
          <w:rFonts w:eastAsia="Times New Roman"/>
          <w:lang w:eastAsia="fr-FR"/>
        </w:rPr>
        <w:t>principes</w:t>
      </w:r>
      <w:r w:rsidR="00CF1461" w:rsidRPr="00855577">
        <w:rPr>
          <w:rFonts w:eastAsia="Times New Roman"/>
          <w:lang w:eastAsia="fr-FR"/>
        </w:rPr>
        <w:t xml:space="preserve"> généraux contenus dans ledit projet de loi portent notamment sur :</w:t>
      </w:r>
    </w:p>
    <w:p w14:paraId="1ACE0501" w14:textId="29A8C46B" w:rsidR="00CF1461" w:rsidRPr="007F53AD" w:rsidRDefault="004B5A1A" w:rsidP="004B5A1A">
      <w:pPr>
        <w:pStyle w:val="Bullet1G"/>
        <w:numPr>
          <w:ilvl w:val="0"/>
          <w:numId w:val="0"/>
        </w:numPr>
        <w:tabs>
          <w:tab w:val="left" w:pos="1701"/>
        </w:tabs>
        <w:ind w:left="1701" w:hanging="170"/>
        <w:rPr>
          <w:lang w:eastAsia="fr-FR"/>
        </w:rPr>
      </w:pPr>
      <w:r w:rsidRPr="007F53AD">
        <w:rPr>
          <w:lang w:eastAsia="fr-FR"/>
        </w:rPr>
        <w:t>•</w:t>
      </w:r>
      <w:r w:rsidRPr="007F53AD">
        <w:rPr>
          <w:lang w:eastAsia="fr-FR"/>
        </w:rPr>
        <w:tab/>
      </w:r>
      <w:r w:rsidR="00CF1461" w:rsidRPr="007F53AD">
        <w:rPr>
          <w:lang w:eastAsia="fr-FR"/>
        </w:rPr>
        <w:t>L’adoption de la définition de réfugié prévue par la convention de Genève de 1951 ;</w:t>
      </w:r>
    </w:p>
    <w:p w14:paraId="6CA2AF55" w14:textId="7C684425" w:rsidR="00CF1461" w:rsidRPr="007F53AD" w:rsidRDefault="004B5A1A" w:rsidP="004B5A1A">
      <w:pPr>
        <w:pStyle w:val="Bullet1G"/>
        <w:numPr>
          <w:ilvl w:val="0"/>
          <w:numId w:val="0"/>
        </w:numPr>
        <w:tabs>
          <w:tab w:val="left" w:pos="1701"/>
        </w:tabs>
        <w:ind w:left="1701" w:hanging="170"/>
        <w:rPr>
          <w:lang w:eastAsia="fr-FR"/>
        </w:rPr>
      </w:pPr>
      <w:r w:rsidRPr="007F53AD">
        <w:rPr>
          <w:lang w:eastAsia="fr-FR"/>
        </w:rPr>
        <w:t>•</w:t>
      </w:r>
      <w:r w:rsidRPr="007F53AD">
        <w:rPr>
          <w:lang w:eastAsia="fr-FR"/>
        </w:rPr>
        <w:tab/>
      </w:r>
      <w:r w:rsidR="00CF1461" w:rsidRPr="007F53AD">
        <w:rPr>
          <w:lang w:eastAsia="fr-FR"/>
        </w:rPr>
        <w:t>Le</w:t>
      </w:r>
      <w:r w:rsidR="00DA079B">
        <w:rPr>
          <w:lang w:eastAsia="fr-FR"/>
        </w:rPr>
        <w:t xml:space="preserve"> </w:t>
      </w:r>
      <w:r w:rsidR="00CF1461" w:rsidRPr="007F53AD">
        <w:rPr>
          <w:lang w:eastAsia="fr-FR"/>
        </w:rPr>
        <w:t>projet consacre préalablement et explicitement les principes de non-discrimination et de non-refoulement ;</w:t>
      </w:r>
    </w:p>
    <w:p w14:paraId="382D4405" w14:textId="4F4AF88E" w:rsidR="00CF1461" w:rsidRDefault="004B5A1A" w:rsidP="004B5A1A">
      <w:pPr>
        <w:pStyle w:val="Bullet1G"/>
        <w:numPr>
          <w:ilvl w:val="0"/>
          <w:numId w:val="0"/>
        </w:numPr>
        <w:tabs>
          <w:tab w:val="left" w:pos="1701"/>
        </w:tabs>
        <w:ind w:left="1701" w:hanging="170"/>
        <w:rPr>
          <w:lang w:eastAsia="fr-FR"/>
        </w:rPr>
      </w:pPr>
      <w:r>
        <w:rPr>
          <w:lang w:eastAsia="fr-FR"/>
        </w:rPr>
        <w:t>•</w:t>
      </w:r>
      <w:r>
        <w:rPr>
          <w:lang w:eastAsia="fr-FR"/>
        </w:rPr>
        <w:tab/>
      </w:r>
      <w:r w:rsidR="00CF1461" w:rsidRPr="00AB30EB">
        <w:rPr>
          <w:lang w:eastAsia="fr-FR"/>
        </w:rPr>
        <w:t xml:space="preserve">Le projet a vocation à instituer un véritable « système » national d’asile dans lequel la procédure de demande d’asile est le cœur du système, d’où l’importance accordée dans l’avant-projet au dispositif procédural </w:t>
      </w:r>
      <w:r w:rsidR="00CF1461">
        <w:rPr>
          <w:lang w:eastAsia="fr-FR"/>
        </w:rPr>
        <w:t>prévoyant</w:t>
      </w:r>
      <w:r w:rsidR="00CF1461" w:rsidRPr="00A02A39">
        <w:rPr>
          <w:lang w:eastAsia="fr-FR"/>
        </w:rPr>
        <w:t xml:space="preserve"> </w:t>
      </w:r>
      <w:r w:rsidR="00CF1461">
        <w:rPr>
          <w:lang w:eastAsia="fr-FR"/>
        </w:rPr>
        <w:t xml:space="preserve">un </w:t>
      </w:r>
      <w:r w:rsidR="00CF1461" w:rsidRPr="00A02A39">
        <w:rPr>
          <w:lang w:eastAsia="fr-FR"/>
        </w:rPr>
        <w:t>droit de recours juridictionnel</w:t>
      </w:r>
      <w:r w:rsidR="00CF1461">
        <w:rPr>
          <w:lang w:eastAsia="fr-FR"/>
        </w:rPr>
        <w:t xml:space="preserve">. </w:t>
      </w:r>
    </w:p>
    <w:p w14:paraId="3B973C46" w14:textId="5F24AF7E"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lastRenderedPageBreak/>
        <w:t>80.</w:t>
      </w:r>
      <w:r w:rsidRPr="00E26090">
        <w:rPr>
          <w:rFonts w:eastAsia="Times New Roman"/>
          <w:color w:val="000000" w:themeColor="text1"/>
          <w:lang w:eastAsia="fr-FR"/>
        </w:rPr>
        <w:tab/>
      </w:r>
      <w:r w:rsidR="00A5588D">
        <w:rPr>
          <w:rFonts w:eastAsia="Times New Roman"/>
          <w:lang w:eastAsia="fr-FR"/>
        </w:rPr>
        <w:t>À</w:t>
      </w:r>
      <w:r w:rsidR="00CF1461">
        <w:rPr>
          <w:rFonts w:eastAsia="Times New Roman"/>
          <w:lang w:eastAsia="fr-FR"/>
        </w:rPr>
        <w:t xml:space="preserve"> signaler aussi que l</w:t>
      </w:r>
      <w:r w:rsidR="00CF1461" w:rsidRPr="00E26090">
        <w:rPr>
          <w:rFonts w:eastAsia="Times New Roman"/>
          <w:lang w:eastAsia="fr-FR"/>
        </w:rPr>
        <w:t>e Dahir n</w:t>
      </w:r>
      <w:r w:rsidR="00CF1461" w:rsidRPr="00013F70">
        <w:rPr>
          <w:rFonts w:eastAsia="Times New Roman"/>
          <w:vertAlign w:val="superscript"/>
          <w:lang w:eastAsia="fr-FR"/>
        </w:rPr>
        <w:t>o</w:t>
      </w:r>
      <w:r w:rsidR="00CF1461" w:rsidRPr="00E26090">
        <w:rPr>
          <w:rFonts w:eastAsia="Times New Roman"/>
          <w:lang w:eastAsia="fr-FR"/>
        </w:rPr>
        <w:t> 1</w:t>
      </w:r>
      <w:r w:rsidR="00CF1461">
        <w:rPr>
          <w:rFonts w:eastAsia="Times New Roman"/>
          <w:lang w:eastAsia="fr-FR"/>
        </w:rPr>
        <w:t>.</w:t>
      </w:r>
      <w:r w:rsidR="00CF1461" w:rsidRPr="00E26090">
        <w:rPr>
          <w:rFonts w:eastAsia="Times New Roman"/>
          <w:lang w:eastAsia="fr-FR"/>
        </w:rPr>
        <w:t>03</w:t>
      </w:r>
      <w:r w:rsidR="00CF1461">
        <w:rPr>
          <w:rFonts w:eastAsia="Times New Roman"/>
          <w:lang w:eastAsia="fr-FR"/>
        </w:rPr>
        <w:t>.</w:t>
      </w:r>
      <w:r w:rsidR="00CF1461" w:rsidRPr="00E26090">
        <w:rPr>
          <w:rFonts w:eastAsia="Times New Roman"/>
          <w:lang w:eastAsia="fr-FR"/>
        </w:rPr>
        <w:t xml:space="preserve">196 du 11 novembre 2003 portant promulgation de la loi </w:t>
      </w:r>
      <w:r w:rsidR="003D3EB1">
        <w:rPr>
          <w:rFonts w:asciiTheme="majorBidi" w:eastAsia="Times New Roman" w:hAnsiTheme="majorBidi" w:cstheme="majorBidi"/>
          <w:color w:val="000000"/>
          <w:lang w:eastAsia="fr-FR"/>
        </w:rPr>
        <w:t>n</w:t>
      </w:r>
      <w:r w:rsidR="003D3EB1" w:rsidRPr="00050C02">
        <w:rPr>
          <w:rFonts w:asciiTheme="majorBidi" w:eastAsia="Times New Roman" w:hAnsiTheme="majorBidi" w:cstheme="majorBidi"/>
          <w:color w:val="000000"/>
          <w:vertAlign w:val="superscript"/>
          <w:lang w:eastAsia="fr-FR"/>
        </w:rPr>
        <w:t>o</w:t>
      </w:r>
      <w:r w:rsidR="003D3EB1">
        <w:rPr>
          <w:rFonts w:asciiTheme="majorBidi" w:eastAsia="Times New Roman" w:hAnsiTheme="majorBidi" w:cstheme="majorBidi"/>
          <w:color w:val="000000"/>
          <w:lang w:eastAsia="fr-FR"/>
        </w:rPr>
        <w:t> </w:t>
      </w:r>
      <w:r w:rsidR="00CF1461" w:rsidRPr="00E26090">
        <w:rPr>
          <w:rFonts w:eastAsia="Times New Roman"/>
          <w:lang w:eastAsia="fr-FR"/>
        </w:rPr>
        <w:t>02</w:t>
      </w:r>
      <w:r w:rsidR="00CF1461">
        <w:rPr>
          <w:rFonts w:eastAsia="Times New Roman"/>
          <w:lang w:eastAsia="fr-FR"/>
        </w:rPr>
        <w:t>.</w:t>
      </w:r>
      <w:r w:rsidR="00CF1461" w:rsidRPr="00E26090">
        <w:rPr>
          <w:rFonts w:eastAsia="Times New Roman"/>
          <w:lang w:eastAsia="fr-FR"/>
        </w:rPr>
        <w:t xml:space="preserve">03 relative à l’entrée et au séjour des étrangers, à l’émigration et l’immigration </w:t>
      </w:r>
      <w:r w:rsidR="00CF1461" w:rsidRPr="004C1CCA">
        <w:rPr>
          <w:rFonts w:eastAsia="Times New Roman"/>
          <w:lang w:eastAsia="fr-FR"/>
        </w:rPr>
        <w:t>irrégulières</w:t>
      </w:r>
      <w:r w:rsidR="00CF1461" w:rsidRPr="00E26090">
        <w:rPr>
          <w:rFonts w:eastAsia="Times New Roman"/>
          <w:lang w:eastAsia="fr-FR"/>
        </w:rPr>
        <w:t>, offre une réelle protection des droits et de la dignité des différentes catégories d’étrangers sur le territoire national, conformément aux dispositions des conventions internationales pertinentes en la matière.</w:t>
      </w:r>
    </w:p>
    <w:p w14:paraId="33F015B5" w14:textId="0E665EC2" w:rsidR="00CF1461" w:rsidRPr="00FD265B" w:rsidRDefault="004B5A1A" w:rsidP="004B5A1A">
      <w:pPr>
        <w:pStyle w:val="SingleTxtG"/>
        <w:tabs>
          <w:tab w:val="clear" w:pos="1701"/>
          <w:tab w:val="clear" w:pos="2268"/>
          <w:tab w:val="clear" w:pos="2835"/>
        </w:tabs>
        <w:rPr>
          <w:rFonts w:eastAsia="Times New Roman"/>
          <w:lang w:eastAsia="fr-FR"/>
        </w:rPr>
      </w:pPr>
      <w:r w:rsidRPr="00FD265B">
        <w:rPr>
          <w:rFonts w:eastAsia="Times New Roman"/>
          <w:color w:val="000000" w:themeColor="text1"/>
          <w:lang w:eastAsia="fr-FR"/>
        </w:rPr>
        <w:t>81.</w:t>
      </w:r>
      <w:r w:rsidRPr="00FD265B">
        <w:rPr>
          <w:rFonts w:eastAsia="Times New Roman"/>
          <w:color w:val="000000" w:themeColor="text1"/>
          <w:lang w:eastAsia="fr-FR"/>
        </w:rPr>
        <w:tab/>
      </w:r>
      <w:r w:rsidR="00CF1461">
        <w:rPr>
          <w:rFonts w:eastAsia="Times New Roman"/>
          <w:lang w:eastAsia="fr-FR"/>
        </w:rPr>
        <w:t>Et en sus d</w:t>
      </w:r>
      <w:r w:rsidR="00CF1461" w:rsidRPr="00FD265B">
        <w:rPr>
          <w:rFonts w:eastAsia="Times New Roman"/>
          <w:lang w:eastAsia="fr-FR"/>
        </w:rPr>
        <w:t xml:space="preserve">es </w:t>
      </w:r>
      <w:r w:rsidR="00CF1461">
        <w:rPr>
          <w:rFonts w:eastAsia="Times New Roman"/>
          <w:lang w:eastAsia="fr-FR"/>
        </w:rPr>
        <w:t>prévisions juridiques</w:t>
      </w:r>
      <w:r w:rsidR="00CF1461" w:rsidRPr="00FD265B">
        <w:rPr>
          <w:rFonts w:eastAsia="Times New Roman"/>
          <w:lang w:eastAsia="fr-FR"/>
        </w:rPr>
        <w:t xml:space="preserve"> du CP, </w:t>
      </w:r>
      <w:r w:rsidR="00CF1461">
        <w:rPr>
          <w:rFonts w:eastAsia="Times New Roman"/>
          <w:lang w:eastAsia="fr-FR"/>
        </w:rPr>
        <w:t>d</w:t>
      </w:r>
      <w:r w:rsidR="00CF1461" w:rsidRPr="00FD265B">
        <w:rPr>
          <w:rFonts w:eastAsia="Times New Roman"/>
          <w:lang w:eastAsia="fr-FR"/>
        </w:rPr>
        <w:t xml:space="preserve">’autres dispositions légales interdisent la </w:t>
      </w:r>
      <w:r w:rsidR="00CF1461" w:rsidRPr="004C1CCA">
        <w:rPr>
          <w:rFonts w:eastAsia="Times New Roman"/>
          <w:lang w:eastAsia="fr-FR"/>
        </w:rPr>
        <w:t>discrimination</w:t>
      </w:r>
      <w:r w:rsidR="00CF1461" w:rsidRPr="00FD265B">
        <w:rPr>
          <w:rFonts w:eastAsia="Times New Roman"/>
          <w:lang w:eastAsia="fr-FR"/>
        </w:rPr>
        <w:t xml:space="preserve"> raciale et en matière de genre aux niveaux du </w:t>
      </w:r>
      <w:r w:rsidR="00F26D77" w:rsidRPr="00FD265B">
        <w:rPr>
          <w:rFonts w:eastAsia="Times New Roman"/>
          <w:lang w:eastAsia="fr-FR"/>
        </w:rPr>
        <w:t xml:space="preserve">Code </w:t>
      </w:r>
      <w:r w:rsidR="00CF1461" w:rsidRPr="00FD265B">
        <w:rPr>
          <w:rFonts w:eastAsia="Times New Roman"/>
          <w:lang w:eastAsia="fr-FR"/>
        </w:rPr>
        <w:t>de travail (art</w:t>
      </w:r>
      <w:r w:rsidR="003D3EB1">
        <w:rPr>
          <w:rFonts w:eastAsia="Times New Roman"/>
          <w:lang w:eastAsia="fr-FR"/>
        </w:rPr>
        <w:t>. </w:t>
      </w:r>
      <w:r w:rsidR="00CF1461" w:rsidRPr="00FD265B">
        <w:rPr>
          <w:rFonts w:eastAsia="Times New Roman"/>
          <w:lang w:eastAsia="fr-FR"/>
        </w:rPr>
        <w:t>9, 346,</w:t>
      </w:r>
      <w:r w:rsidR="00CF1461">
        <w:rPr>
          <w:rFonts w:eastAsia="Times New Roman"/>
          <w:lang w:eastAsia="fr-FR"/>
        </w:rPr>
        <w:t xml:space="preserve"> </w:t>
      </w:r>
      <w:r w:rsidR="00CF1461" w:rsidRPr="00FD265B">
        <w:rPr>
          <w:rFonts w:eastAsia="Times New Roman"/>
          <w:lang w:eastAsia="fr-FR"/>
        </w:rPr>
        <w:t>478)</w:t>
      </w:r>
      <w:r w:rsidR="00CF1461" w:rsidRPr="003C06D3">
        <w:rPr>
          <w:rStyle w:val="Appelnotedebasdep"/>
        </w:rPr>
        <w:footnoteReference w:id="31"/>
      </w:r>
      <w:r w:rsidR="00CF1461" w:rsidRPr="00FD265B">
        <w:rPr>
          <w:rFonts w:eastAsia="Times New Roman"/>
          <w:lang w:eastAsia="fr-FR"/>
        </w:rPr>
        <w:t xml:space="preserve">, du </w:t>
      </w:r>
      <w:r w:rsidR="00F26D77" w:rsidRPr="00FD265B">
        <w:rPr>
          <w:rFonts w:eastAsia="Times New Roman"/>
          <w:lang w:eastAsia="fr-FR"/>
        </w:rPr>
        <w:t xml:space="preserve">Code </w:t>
      </w:r>
      <w:r w:rsidR="00CF1461" w:rsidRPr="00FD265B">
        <w:rPr>
          <w:rFonts w:eastAsia="Times New Roman"/>
          <w:lang w:eastAsia="fr-FR"/>
        </w:rPr>
        <w:t xml:space="preserve">des libertés publiques, de la </w:t>
      </w:r>
      <w:r w:rsidR="00C927C9">
        <w:rPr>
          <w:rFonts w:eastAsia="Times New Roman"/>
          <w:lang w:eastAsia="fr-FR"/>
        </w:rPr>
        <w:t>L</w:t>
      </w:r>
      <w:r w:rsidR="00CF1461" w:rsidRPr="00FD265B">
        <w:rPr>
          <w:rFonts w:eastAsia="Times New Roman"/>
          <w:lang w:eastAsia="fr-FR"/>
        </w:rPr>
        <w:t xml:space="preserve">oi organique sur les partis politiques, de la loi </w:t>
      </w:r>
      <w:r w:rsidR="00D87853">
        <w:rPr>
          <w:rFonts w:asciiTheme="majorBidi" w:eastAsia="Times New Roman" w:hAnsiTheme="majorBidi" w:cstheme="majorBidi"/>
          <w:color w:val="000000"/>
          <w:lang w:eastAsia="fr-FR"/>
        </w:rPr>
        <w:t>n</w:t>
      </w:r>
      <w:r w:rsidR="00D87853" w:rsidRPr="00050C02">
        <w:rPr>
          <w:rFonts w:asciiTheme="majorBidi" w:eastAsia="Times New Roman" w:hAnsiTheme="majorBidi" w:cstheme="majorBidi"/>
          <w:color w:val="000000"/>
          <w:vertAlign w:val="superscript"/>
          <w:lang w:eastAsia="fr-FR"/>
        </w:rPr>
        <w:t>o</w:t>
      </w:r>
      <w:r w:rsidR="00D87853">
        <w:rPr>
          <w:rFonts w:asciiTheme="majorBidi" w:eastAsia="Times New Roman" w:hAnsiTheme="majorBidi" w:cstheme="majorBidi"/>
          <w:color w:val="000000"/>
          <w:lang w:eastAsia="fr-FR"/>
        </w:rPr>
        <w:t> </w:t>
      </w:r>
      <w:r w:rsidR="00CF1461" w:rsidRPr="00FD265B">
        <w:rPr>
          <w:rFonts w:eastAsia="Times New Roman"/>
          <w:lang w:eastAsia="fr-FR"/>
        </w:rPr>
        <w:t>23-98 relative à l</w:t>
      </w:r>
      <w:r w:rsidR="00CD5A97">
        <w:rPr>
          <w:rFonts w:eastAsia="Times New Roman"/>
          <w:lang w:eastAsia="fr-FR"/>
        </w:rPr>
        <w:t>’</w:t>
      </w:r>
      <w:r w:rsidR="00CF1461" w:rsidRPr="00FD265B">
        <w:rPr>
          <w:rFonts w:eastAsia="Times New Roman"/>
          <w:lang w:eastAsia="fr-FR"/>
        </w:rPr>
        <w:t>organisation et au fonctionnement des établissements pénitentiaires (art.</w:t>
      </w:r>
      <w:r w:rsidR="003D3EB1">
        <w:rPr>
          <w:rFonts w:eastAsia="Times New Roman"/>
          <w:lang w:eastAsia="fr-FR"/>
        </w:rPr>
        <w:t> </w:t>
      </w:r>
      <w:r w:rsidR="00CF1461" w:rsidRPr="00FD265B">
        <w:rPr>
          <w:rFonts w:eastAsia="Times New Roman"/>
          <w:lang w:eastAsia="fr-FR"/>
        </w:rPr>
        <w:t xml:space="preserve">51), du </w:t>
      </w:r>
      <w:r w:rsidR="00D87853" w:rsidRPr="00FD265B">
        <w:rPr>
          <w:rFonts w:eastAsia="Times New Roman"/>
          <w:lang w:eastAsia="fr-FR"/>
        </w:rPr>
        <w:t xml:space="preserve">Code </w:t>
      </w:r>
      <w:r w:rsidR="00CF1461" w:rsidRPr="00FD265B">
        <w:rPr>
          <w:rFonts w:eastAsia="Times New Roman"/>
          <w:lang w:eastAsia="fr-FR"/>
        </w:rPr>
        <w:t xml:space="preserve">de la famille, du </w:t>
      </w:r>
      <w:r w:rsidR="00D87853" w:rsidRPr="00FD265B">
        <w:rPr>
          <w:rFonts w:eastAsia="Times New Roman"/>
          <w:lang w:eastAsia="fr-FR"/>
        </w:rPr>
        <w:t xml:space="preserve">Code </w:t>
      </w:r>
      <w:r w:rsidR="00CF1461" w:rsidRPr="00FD265B">
        <w:rPr>
          <w:rFonts w:eastAsia="Times New Roman"/>
          <w:lang w:eastAsia="fr-FR"/>
        </w:rPr>
        <w:t xml:space="preserve">de la nationalité, du </w:t>
      </w:r>
      <w:r w:rsidR="00D87853" w:rsidRPr="00FD265B">
        <w:rPr>
          <w:rFonts w:eastAsia="Times New Roman"/>
          <w:lang w:eastAsia="fr-FR"/>
        </w:rPr>
        <w:t xml:space="preserve">Code </w:t>
      </w:r>
      <w:r w:rsidR="00CF1461" w:rsidRPr="00FD265B">
        <w:rPr>
          <w:rFonts w:eastAsia="Times New Roman"/>
          <w:lang w:eastAsia="fr-FR"/>
        </w:rPr>
        <w:t xml:space="preserve">de </w:t>
      </w:r>
      <w:r w:rsidR="00CF1461" w:rsidRPr="00855577">
        <w:rPr>
          <w:rFonts w:eastAsia="Times New Roman"/>
          <w:lang w:eastAsia="fr-FR"/>
        </w:rPr>
        <w:t>commerce (art.</w:t>
      </w:r>
      <w:r w:rsidR="003D3EB1">
        <w:rPr>
          <w:rFonts w:eastAsia="Times New Roman"/>
          <w:lang w:eastAsia="fr-FR"/>
        </w:rPr>
        <w:t> </w:t>
      </w:r>
      <w:r w:rsidR="00CF1461" w:rsidRPr="00855577">
        <w:rPr>
          <w:rFonts w:eastAsia="Times New Roman"/>
          <w:lang w:eastAsia="fr-FR"/>
        </w:rPr>
        <w:t>17)</w:t>
      </w:r>
      <w:r w:rsidR="00CF1461" w:rsidRPr="00FD265B">
        <w:rPr>
          <w:rFonts w:eastAsia="Times New Roman"/>
          <w:lang w:eastAsia="fr-FR"/>
        </w:rPr>
        <w:t xml:space="preserve">, du </w:t>
      </w:r>
      <w:r w:rsidR="00D87853" w:rsidRPr="00FD265B">
        <w:rPr>
          <w:rFonts w:eastAsia="Times New Roman"/>
          <w:lang w:eastAsia="fr-FR"/>
        </w:rPr>
        <w:t xml:space="preserve">Code </w:t>
      </w:r>
      <w:r w:rsidR="00CF1461" w:rsidRPr="00FD265B">
        <w:rPr>
          <w:rFonts w:eastAsia="Times New Roman"/>
          <w:lang w:eastAsia="fr-FR"/>
        </w:rPr>
        <w:t xml:space="preserve">de l’état civil et du </w:t>
      </w:r>
      <w:r w:rsidR="00D87853" w:rsidRPr="00FD265B">
        <w:rPr>
          <w:rFonts w:eastAsia="Times New Roman"/>
          <w:lang w:eastAsia="fr-FR"/>
        </w:rPr>
        <w:t xml:space="preserve">Code </w:t>
      </w:r>
      <w:r w:rsidR="00CF1461" w:rsidRPr="00FD265B">
        <w:rPr>
          <w:rFonts w:eastAsia="Times New Roman"/>
          <w:lang w:eastAsia="fr-FR"/>
        </w:rPr>
        <w:t xml:space="preserve">des Habous. </w:t>
      </w:r>
    </w:p>
    <w:p w14:paraId="1C7D9726" w14:textId="77777777" w:rsidR="00CF1461" w:rsidRPr="00E26090" w:rsidRDefault="007B174A" w:rsidP="00377075">
      <w:pPr>
        <w:pStyle w:val="H23G"/>
        <w:rPr>
          <w:lang w:eastAsia="fr-FR"/>
        </w:rPr>
      </w:pPr>
      <w:r>
        <w:rPr>
          <w:lang w:eastAsia="fr-FR"/>
        </w:rPr>
        <w:tab/>
      </w:r>
      <w:r>
        <w:rPr>
          <w:lang w:eastAsia="fr-FR"/>
        </w:rPr>
        <w:tab/>
      </w:r>
      <w:r w:rsidR="00CF1461" w:rsidRPr="00E26090">
        <w:rPr>
          <w:lang w:eastAsia="fr-FR"/>
        </w:rPr>
        <w:t>Recommandation 14 du Comité</w:t>
      </w:r>
    </w:p>
    <w:p w14:paraId="191C50D8" w14:textId="68B52DEF"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82.</w:t>
      </w:r>
      <w:r w:rsidRPr="00E26090">
        <w:rPr>
          <w:rFonts w:eastAsia="Times New Roman"/>
          <w:color w:val="000000" w:themeColor="text1"/>
          <w:lang w:eastAsia="fr-FR"/>
        </w:rPr>
        <w:tab/>
      </w:r>
      <w:r w:rsidR="00CF1461" w:rsidRPr="00473B94">
        <w:rPr>
          <w:rFonts w:eastAsia="Times New Roman"/>
          <w:lang w:eastAsia="fr-FR"/>
        </w:rPr>
        <w:t>Conformément</w:t>
      </w:r>
      <w:r w:rsidR="00CF1461" w:rsidRPr="00E26090">
        <w:rPr>
          <w:rFonts w:eastAsia="Times New Roman"/>
          <w:lang w:eastAsia="fr-FR"/>
        </w:rPr>
        <w:t xml:space="preserve"> aux Hautes Orientations de S</w:t>
      </w:r>
      <w:r w:rsidR="00CF1461">
        <w:rPr>
          <w:rFonts w:eastAsia="Times New Roman"/>
          <w:lang w:eastAsia="fr-FR"/>
        </w:rPr>
        <w:t xml:space="preserve">a </w:t>
      </w:r>
      <w:r w:rsidR="00CF1461" w:rsidRPr="00E26090">
        <w:rPr>
          <w:rFonts w:eastAsia="Times New Roman"/>
          <w:lang w:eastAsia="fr-FR"/>
        </w:rPr>
        <w:t>M</w:t>
      </w:r>
      <w:r w:rsidR="00CF1461">
        <w:rPr>
          <w:rFonts w:eastAsia="Times New Roman"/>
          <w:lang w:eastAsia="fr-FR"/>
        </w:rPr>
        <w:t>ajesté</w:t>
      </w:r>
      <w:r w:rsidR="00CF1461" w:rsidRPr="00E26090">
        <w:rPr>
          <w:rFonts w:eastAsia="Times New Roman"/>
          <w:lang w:eastAsia="fr-FR"/>
        </w:rPr>
        <w:t xml:space="preserve"> le Roi</w:t>
      </w:r>
      <w:r w:rsidR="00F75BAF">
        <w:rPr>
          <w:rFonts w:eastAsia="Times New Roman"/>
          <w:lang w:eastAsia="fr-FR"/>
        </w:rPr>
        <w:t>,</w:t>
      </w:r>
      <w:r w:rsidR="00CF1461" w:rsidRPr="00E26090">
        <w:rPr>
          <w:rFonts w:eastAsia="Times New Roman"/>
          <w:lang w:eastAsia="fr-FR"/>
        </w:rPr>
        <w:t xml:space="preserve"> relatives à la </w:t>
      </w:r>
      <w:r w:rsidR="00CF1461">
        <w:rPr>
          <w:rFonts w:eastAsia="Times New Roman"/>
          <w:lang w:eastAsia="fr-FR"/>
        </w:rPr>
        <w:t>SNIA</w:t>
      </w:r>
      <w:r w:rsidR="00CF1461" w:rsidRPr="00E26090">
        <w:rPr>
          <w:rFonts w:eastAsia="Times New Roman"/>
          <w:lang w:eastAsia="fr-FR"/>
        </w:rPr>
        <w:t>, les autorités ont procédé à la consolidation de la dimension humaniste et protectrice des droits de l’Homme en matière de gestion des flux migratoires irréguliers.</w:t>
      </w:r>
    </w:p>
    <w:p w14:paraId="6E561F3F" w14:textId="16C39844"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83.</w:t>
      </w:r>
      <w:r w:rsidRPr="00E26090">
        <w:rPr>
          <w:rFonts w:eastAsia="Times New Roman"/>
          <w:color w:val="000000" w:themeColor="text1"/>
          <w:lang w:eastAsia="fr-FR"/>
        </w:rPr>
        <w:tab/>
      </w:r>
      <w:r w:rsidR="00D87853">
        <w:rPr>
          <w:rFonts w:eastAsia="Times New Roman"/>
          <w:lang w:eastAsia="fr-FR"/>
        </w:rPr>
        <w:t>À</w:t>
      </w:r>
      <w:r w:rsidR="00CF1461" w:rsidRPr="00E26090">
        <w:rPr>
          <w:rFonts w:eastAsia="Times New Roman"/>
          <w:lang w:eastAsia="fr-FR"/>
        </w:rPr>
        <w:t xml:space="preserve"> cet égard, le dispositif de lutte contre les réseaux de trafic des êtres humains intègre une </w:t>
      </w:r>
      <w:r w:rsidR="00CF1461" w:rsidRPr="004C1CCA">
        <w:rPr>
          <w:rFonts w:eastAsia="Times New Roman"/>
          <w:lang w:eastAsia="fr-FR"/>
        </w:rPr>
        <w:t>panoplie</w:t>
      </w:r>
      <w:r w:rsidR="00CF1461" w:rsidRPr="00E26090">
        <w:rPr>
          <w:rFonts w:eastAsia="Times New Roman"/>
          <w:lang w:eastAsia="fr-FR"/>
        </w:rPr>
        <w:t xml:space="preserve"> de mesures dédiées à l’assistance et à la prise en charge des migrants en situation de vulnérabilité, notamment dans le cadre des processus de prévention et de protection </w:t>
      </w:r>
      <w:r w:rsidR="00CF1461" w:rsidRPr="004C1CCA">
        <w:rPr>
          <w:rFonts w:eastAsia="Times New Roman"/>
          <w:lang w:eastAsia="fr-FR"/>
        </w:rPr>
        <w:t>des</w:t>
      </w:r>
      <w:r w:rsidR="00CF1461" w:rsidRPr="00E26090">
        <w:rPr>
          <w:rFonts w:eastAsia="Times New Roman"/>
          <w:lang w:eastAsia="fr-FR"/>
        </w:rPr>
        <w:t xml:space="preserve"> catégories de personnes vulnérables et de victimes potentielles des réseaux de trafic, particulièrement les femmes et les enfants.</w:t>
      </w:r>
    </w:p>
    <w:p w14:paraId="78F9973D" w14:textId="0FE31C5B"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84.</w:t>
      </w:r>
      <w:r w:rsidRPr="00E26090">
        <w:rPr>
          <w:rFonts w:eastAsia="Times New Roman"/>
          <w:color w:val="000000" w:themeColor="text1"/>
          <w:lang w:eastAsia="fr-FR"/>
        </w:rPr>
        <w:tab/>
      </w:r>
      <w:r w:rsidR="00CF1461" w:rsidRPr="00E26090">
        <w:rPr>
          <w:rFonts w:eastAsia="Times New Roman"/>
          <w:lang w:eastAsia="fr-FR"/>
        </w:rPr>
        <w:t xml:space="preserve">Par </w:t>
      </w:r>
      <w:r w:rsidR="00CF1461" w:rsidRPr="00473B94">
        <w:rPr>
          <w:rFonts w:eastAsia="Times New Roman"/>
          <w:lang w:eastAsia="fr-FR"/>
        </w:rPr>
        <w:t>ailleurs</w:t>
      </w:r>
      <w:r w:rsidR="00CF1461" w:rsidRPr="00E26090">
        <w:rPr>
          <w:rFonts w:eastAsia="Times New Roman"/>
          <w:lang w:eastAsia="fr-FR"/>
        </w:rPr>
        <w:t xml:space="preserve">, il </w:t>
      </w:r>
      <w:r w:rsidR="00CF1461" w:rsidRPr="004C1CCA">
        <w:rPr>
          <w:rFonts w:eastAsia="Times New Roman"/>
          <w:lang w:eastAsia="fr-FR"/>
        </w:rPr>
        <w:t>convient</w:t>
      </w:r>
      <w:r w:rsidR="00CF1461" w:rsidRPr="00E26090">
        <w:rPr>
          <w:rFonts w:eastAsia="Times New Roman"/>
          <w:lang w:eastAsia="fr-FR"/>
        </w:rPr>
        <w:t xml:space="preserve"> de relever les constations suivantes :</w:t>
      </w:r>
    </w:p>
    <w:p w14:paraId="1A2BF9F8" w14:textId="04FA42D8"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CF1461" w:rsidRPr="00E26090">
        <w:rPr>
          <w:lang w:eastAsia="fr-FR"/>
        </w:rPr>
        <w:t>Le Maroc reconnait la compétence du « Comité pour l’élimination de la discrimination raciale » qui est habilité, en vertu de l’article 14 de la Convention, à</w:t>
      </w:r>
      <w:r w:rsidR="00D87853">
        <w:rPr>
          <w:lang w:eastAsia="fr-FR"/>
        </w:rPr>
        <w:t> </w:t>
      </w:r>
      <w:r w:rsidR="00CF1461" w:rsidRPr="00E26090">
        <w:rPr>
          <w:lang w:eastAsia="fr-FR"/>
        </w:rPr>
        <w:t>recevoir et examiner les plaintes émanant de personnes pour violation des droits y</w:t>
      </w:r>
      <w:r w:rsidR="00D87853">
        <w:rPr>
          <w:lang w:eastAsia="fr-FR"/>
        </w:rPr>
        <w:t> </w:t>
      </w:r>
      <w:r w:rsidR="00CF1461" w:rsidRPr="00E26090">
        <w:rPr>
          <w:lang w:eastAsia="fr-FR"/>
        </w:rPr>
        <w:t>énoncés ;</w:t>
      </w:r>
    </w:p>
    <w:p w14:paraId="24216DD8" w14:textId="2A972F31"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CF1461" w:rsidRPr="00E26090">
        <w:rPr>
          <w:lang w:eastAsia="fr-FR"/>
        </w:rPr>
        <w:t xml:space="preserve">Les </w:t>
      </w:r>
      <w:r w:rsidR="00CF1461" w:rsidRPr="00514287">
        <w:rPr>
          <w:rFonts w:cs="Arial"/>
          <w:lang w:eastAsia="fr-FR"/>
        </w:rPr>
        <w:t>dispositions</w:t>
      </w:r>
      <w:r w:rsidR="00CF1461" w:rsidRPr="00E26090">
        <w:rPr>
          <w:lang w:eastAsia="fr-FR"/>
        </w:rPr>
        <w:t xml:space="preserve"> des articles 431-2 et suivants du C</w:t>
      </w:r>
      <w:r w:rsidR="00CF1461">
        <w:rPr>
          <w:lang w:eastAsia="fr-FR"/>
        </w:rPr>
        <w:t xml:space="preserve">P </w:t>
      </w:r>
      <w:r w:rsidR="00CF1461" w:rsidRPr="00E26090">
        <w:rPr>
          <w:lang w:eastAsia="fr-FR"/>
        </w:rPr>
        <w:t xml:space="preserve">répriment toute distinction opérée entre personnes en raison de l’origine nationale ou sociale, de la couleur, du sexe, de la situation familiale, de l’état de santé, de l’appartenance à une nation, une race ou une religion déterminée et protègent l’ensemble des étrangers établis sur le territoire national, indépendamment de leur situation de séjour au Maroc. </w:t>
      </w:r>
    </w:p>
    <w:p w14:paraId="317FCDA3" w14:textId="755A7714"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85.</w:t>
      </w:r>
      <w:r w:rsidRPr="00E26090">
        <w:rPr>
          <w:rFonts w:eastAsia="Times New Roman"/>
          <w:color w:val="000000" w:themeColor="text1"/>
          <w:lang w:eastAsia="fr-FR"/>
        </w:rPr>
        <w:tab/>
      </w:r>
      <w:r w:rsidR="00CF1461" w:rsidRPr="00E26090">
        <w:rPr>
          <w:rFonts w:eastAsia="Times New Roman"/>
          <w:lang w:eastAsia="fr-FR"/>
        </w:rPr>
        <w:t xml:space="preserve">Concernant l’accès aux tribunaux, il est à relever que conformément à la loi </w:t>
      </w:r>
      <w:r w:rsidR="003D3EB1">
        <w:rPr>
          <w:rFonts w:asciiTheme="majorBidi" w:eastAsia="Times New Roman" w:hAnsiTheme="majorBidi" w:cstheme="majorBidi"/>
          <w:color w:val="000000"/>
          <w:lang w:eastAsia="fr-FR"/>
        </w:rPr>
        <w:t>n</w:t>
      </w:r>
      <w:r w:rsidR="003D3EB1" w:rsidRPr="00050C02">
        <w:rPr>
          <w:rFonts w:asciiTheme="majorBidi" w:eastAsia="Times New Roman" w:hAnsiTheme="majorBidi" w:cstheme="majorBidi"/>
          <w:color w:val="000000"/>
          <w:vertAlign w:val="superscript"/>
          <w:lang w:eastAsia="fr-FR"/>
        </w:rPr>
        <w:t>o</w:t>
      </w:r>
      <w:r w:rsidR="003D3EB1">
        <w:rPr>
          <w:rFonts w:asciiTheme="majorBidi" w:eastAsia="Times New Roman" w:hAnsiTheme="majorBidi" w:cstheme="majorBidi"/>
          <w:color w:val="000000"/>
          <w:lang w:eastAsia="fr-FR"/>
        </w:rPr>
        <w:t> </w:t>
      </w:r>
      <w:r w:rsidR="00CF1461" w:rsidRPr="00E26090">
        <w:rPr>
          <w:rFonts w:eastAsia="Times New Roman"/>
          <w:lang w:eastAsia="fr-FR"/>
        </w:rPr>
        <w:t>02</w:t>
      </w:r>
      <w:r w:rsidR="00CF1461">
        <w:rPr>
          <w:rFonts w:eastAsia="Times New Roman"/>
          <w:lang w:eastAsia="fr-FR"/>
        </w:rPr>
        <w:t>.</w:t>
      </w:r>
      <w:r w:rsidR="00CF1461" w:rsidRPr="00E26090">
        <w:rPr>
          <w:rFonts w:eastAsia="Times New Roman"/>
          <w:lang w:eastAsia="fr-FR"/>
        </w:rPr>
        <w:t>03, l’étranger, faisant l’objet d’une décision de reconduite à la frontière</w:t>
      </w:r>
      <w:r w:rsidR="00CF1461">
        <w:rPr>
          <w:rFonts w:eastAsia="Times New Roman"/>
          <w:lang w:eastAsia="fr-FR"/>
        </w:rPr>
        <w:t>,</w:t>
      </w:r>
      <w:r w:rsidR="00CF1461" w:rsidRPr="00E26090">
        <w:rPr>
          <w:rFonts w:eastAsia="Times New Roman"/>
          <w:lang w:eastAsia="fr-FR"/>
        </w:rPr>
        <w:t xml:space="preserve"> a le droit, en vertu de l’article </w:t>
      </w:r>
      <w:r w:rsidR="00CF1461" w:rsidRPr="00881EC9">
        <w:rPr>
          <w:rFonts w:eastAsia="Times New Roman"/>
          <w:lang w:eastAsia="fr-FR"/>
        </w:rPr>
        <w:t>23</w:t>
      </w:r>
      <w:r w:rsidR="00CF1461" w:rsidRPr="00E26090">
        <w:rPr>
          <w:rFonts w:eastAsia="Times New Roman"/>
          <w:lang w:eastAsia="fr-FR"/>
        </w:rPr>
        <w:t xml:space="preserve">, de demander l’annulation de cette décision au Président du Tribunal </w:t>
      </w:r>
      <w:r w:rsidR="00CF1461" w:rsidRPr="004C1CCA">
        <w:rPr>
          <w:rFonts w:eastAsia="Times New Roman"/>
          <w:lang w:eastAsia="fr-FR"/>
        </w:rPr>
        <w:t>administratif</w:t>
      </w:r>
      <w:r w:rsidR="00CF1461" w:rsidRPr="00E26090">
        <w:rPr>
          <w:rFonts w:eastAsia="Times New Roman"/>
          <w:lang w:eastAsia="fr-FR"/>
        </w:rPr>
        <w:t>, en sa qualité de juge des référés. La personne concernée peut, à cet effet, demander le concours d’un interprète, la communication du dossier la pénalisant et se faire assister d’un avocat ou demander la désignation d’office d’un avocat.</w:t>
      </w:r>
    </w:p>
    <w:p w14:paraId="0F00BBB6" w14:textId="07377399"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86.</w:t>
      </w:r>
      <w:r w:rsidRPr="00E26090">
        <w:rPr>
          <w:rFonts w:eastAsia="Times New Roman"/>
          <w:color w:val="000000" w:themeColor="text1"/>
          <w:lang w:eastAsia="fr-FR"/>
        </w:rPr>
        <w:tab/>
      </w:r>
      <w:r w:rsidR="00CF1461" w:rsidRPr="00473B94">
        <w:rPr>
          <w:rFonts w:eastAsia="Times New Roman"/>
          <w:lang w:eastAsia="fr-FR"/>
        </w:rPr>
        <w:t>S’agissant</w:t>
      </w:r>
      <w:r w:rsidR="00CF1461" w:rsidRPr="00E26090">
        <w:rPr>
          <w:rFonts w:eastAsia="Times New Roman"/>
          <w:lang w:eastAsia="fr-FR"/>
        </w:rPr>
        <w:t xml:space="preserve"> des garanties de l’application correcte du principe de </w:t>
      </w:r>
      <w:r w:rsidR="00D87853" w:rsidRPr="00E26090">
        <w:rPr>
          <w:rFonts w:eastAsia="Times New Roman"/>
          <w:lang w:eastAsia="fr-FR"/>
        </w:rPr>
        <w:t>non-refoulement</w:t>
      </w:r>
      <w:r w:rsidR="00CF1461" w:rsidRPr="00E26090">
        <w:rPr>
          <w:rFonts w:eastAsia="Times New Roman"/>
          <w:lang w:eastAsia="fr-FR"/>
        </w:rPr>
        <w:t xml:space="preserve"> des migrants </w:t>
      </w:r>
      <w:r w:rsidR="00CF1461" w:rsidRPr="004C1CCA">
        <w:rPr>
          <w:rFonts w:eastAsia="Times New Roman"/>
          <w:lang w:eastAsia="fr-FR"/>
        </w:rPr>
        <w:t>économiques</w:t>
      </w:r>
      <w:r w:rsidR="00CF1461" w:rsidRPr="00E26090">
        <w:rPr>
          <w:rFonts w:eastAsia="Times New Roman"/>
          <w:lang w:eastAsia="fr-FR"/>
        </w:rPr>
        <w:t xml:space="preserve">, la loi </w:t>
      </w:r>
      <w:r w:rsidR="003D3EB1">
        <w:rPr>
          <w:rFonts w:asciiTheme="majorBidi" w:eastAsia="Times New Roman" w:hAnsiTheme="majorBidi" w:cstheme="majorBidi"/>
          <w:color w:val="000000"/>
          <w:lang w:eastAsia="fr-FR"/>
        </w:rPr>
        <w:t>n</w:t>
      </w:r>
      <w:r w:rsidR="003D3EB1" w:rsidRPr="00050C02">
        <w:rPr>
          <w:rFonts w:asciiTheme="majorBidi" w:eastAsia="Times New Roman" w:hAnsiTheme="majorBidi" w:cstheme="majorBidi"/>
          <w:color w:val="000000"/>
          <w:vertAlign w:val="superscript"/>
          <w:lang w:eastAsia="fr-FR"/>
        </w:rPr>
        <w:t>o</w:t>
      </w:r>
      <w:r w:rsidR="003D3EB1">
        <w:rPr>
          <w:rFonts w:asciiTheme="majorBidi" w:eastAsia="Times New Roman" w:hAnsiTheme="majorBidi" w:cstheme="majorBidi"/>
          <w:color w:val="000000"/>
          <w:lang w:eastAsia="fr-FR"/>
        </w:rPr>
        <w:t> </w:t>
      </w:r>
      <w:r w:rsidR="00CF1461" w:rsidRPr="00E26090">
        <w:rPr>
          <w:rFonts w:eastAsia="Times New Roman"/>
          <w:lang w:eastAsia="fr-FR"/>
        </w:rPr>
        <w:t>02</w:t>
      </w:r>
      <w:r w:rsidR="00CF1461">
        <w:rPr>
          <w:rFonts w:eastAsia="Times New Roman"/>
          <w:lang w:eastAsia="fr-FR"/>
        </w:rPr>
        <w:t>.</w:t>
      </w:r>
      <w:r w:rsidR="00CF1461" w:rsidRPr="00E26090">
        <w:rPr>
          <w:rFonts w:eastAsia="Times New Roman"/>
          <w:lang w:eastAsia="fr-FR"/>
        </w:rPr>
        <w:t xml:space="preserve">03 protège les femmes et les enfants en tant que catégories de migrant particulièrement vulnérables. </w:t>
      </w:r>
      <w:r w:rsidR="00BD28D2">
        <w:rPr>
          <w:rFonts w:eastAsia="Times New Roman"/>
          <w:lang w:eastAsia="fr-FR"/>
        </w:rPr>
        <w:t>À</w:t>
      </w:r>
      <w:r w:rsidR="00CF1461" w:rsidRPr="00E26090">
        <w:rPr>
          <w:rFonts w:eastAsia="Times New Roman"/>
          <w:lang w:eastAsia="fr-FR"/>
        </w:rPr>
        <w:t xml:space="preserve"> cet égard, il convient de préciser que :</w:t>
      </w:r>
    </w:p>
    <w:p w14:paraId="2A2DF243" w14:textId="04568BA2"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CF1461" w:rsidRPr="00E26090">
        <w:rPr>
          <w:lang w:eastAsia="fr-FR"/>
        </w:rPr>
        <w:t>Les dispositions de l’article 26 de cette loi protègent les femmes enceintes et les enfants contre toute mesure d’expulsion ;</w:t>
      </w:r>
    </w:p>
    <w:p w14:paraId="3FB3B035" w14:textId="34FA608B"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CF1461" w:rsidRPr="00E26090">
        <w:rPr>
          <w:lang w:eastAsia="fr-FR"/>
        </w:rPr>
        <w:t>Les dispositions de l’article 29, § 2 précisent qu’aucun étranger ne peut être éloigné à destination d’un pays s’il établit que sa vie ou sa liberté y sont menacées ou qu’il y</w:t>
      </w:r>
      <w:r w:rsidR="00D87853">
        <w:rPr>
          <w:lang w:eastAsia="fr-FR"/>
        </w:rPr>
        <w:t> </w:t>
      </w:r>
      <w:r w:rsidR="00CF1461" w:rsidRPr="00E26090">
        <w:rPr>
          <w:lang w:eastAsia="fr-FR"/>
        </w:rPr>
        <w:t>est exposé à des traitements inhumains, cruels ou dégradants. Cette disposition reçoit une stricte application.</w:t>
      </w:r>
    </w:p>
    <w:p w14:paraId="6B7BC01C" w14:textId="074674C5"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lastRenderedPageBreak/>
        <w:t>87.</w:t>
      </w:r>
      <w:r w:rsidRPr="00E26090">
        <w:rPr>
          <w:rFonts w:eastAsia="Times New Roman"/>
          <w:color w:val="000000" w:themeColor="text1"/>
          <w:lang w:eastAsia="fr-FR"/>
        </w:rPr>
        <w:tab/>
      </w:r>
      <w:r w:rsidR="00CF1461" w:rsidRPr="00E26090">
        <w:rPr>
          <w:rFonts w:eastAsia="Times New Roman"/>
          <w:lang w:eastAsia="fr-FR"/>
        </w:rPr>
        <w:t xml:space="preserve">Il </w:t>
      </w:r>
      <w:r w:rsidR="00CF1461">
        <w:rPr>
          <w:rFonts w:eastAsia="Times New Roman"/>
          <w:lang w:eastAsia="fr-FR"/>
        </w:rPr>
        <w:t xml:space="preserve">y a également lieu à </w:t>
      </w:r>
      <w:r w:rsidR="00CF1461" w:rsidRPr="00E26090">
        <w:rPr>
          <w:rFonts w:eastAsia="Times New Roman"/>
          <w:lang w:eastAsia="fr-FR"/>
        </w:rPr>
        <w:t>précis</w:t>
      </w:r>
      <w:r w:rsidR="00CF1461">
        <w:rPr>
          <w:rFonts w:eastAsia="Times New Roman"/>
          <w:lang w:eastAsia="fr-FR"/>
        </w:rPr>
        <w:t>er</w:t>
      </w:r>
      <w:r w:rsidR="00CF1461" w:rsidRPr="00E26090">
        <w:rPr>
          <w:rFonts w:eastAsia="Times New Roman"/>
          <w:lang w:eastAsia="fr-FR"/>
        </w:rPr>
        <w:t xml:space="preserve"> que la loi </w:t>
      </w:r>
      <w:r w:rsidR="003D3EB1">
        <w:rPr>
          <w:rFonts w:asciiTheme="majorBidi" w:eastAsia="Times New Roman" w:hAnsiTheme="majorBidi" w:cstheme="majorBidi"/>
          <w:color w:val="000000"/>
          <w:lang w:eastAsia="fr-FR"/>
        </w:rPr>
        <w:t>n</w:t>
      </w:r>
      <w:r w:rsidR="003D3EB1" w:rsidRPr="00050C02">
        <w:rPr>
          <w:rFonts w:asciiTheme="majorBidi" w:eastAsia="Times New Roman" w:hAnsiTheme="majorBidi" w:cstheme="majorBidi"/>
          <w:color w:val="000000"/>
          <w:vertAlign w:val="superscript"/>
          <w:lang w:eastAsia="fr-FR"/>
        </w:rPr>
        <w:t>o</w:t>
      </w:r>
      <w:r w:rsidR="003D3EB1">
        <w:rPr>
          <w:rFonts w:asciiTheme="majorBidi" w:eastAsia="Times New Roman" w:hAnsiTheme="majorBidi" w:cstheme="majorBidi"/>
          <w:color w:val="000000"/>
          <w:lang w:eastAsia="fr-FR"/>
        </w:rPr>
        <w:t> </w:t>
      </w:r>
      <w:r w:rsidR="00CF1461" w:rsidRPr="00E26090">
        <w:rPr>
          <w:rFonts w:eastAsia="Times New Roman"/>
          <w:lang w:eastAsia="fr-FR"/>
        </w:rPr>
        <w:t>02</w:t>
      </w:r>
      <w:r w:rsidR="00CF1461">
        <w:rPr>
          <w:rFonts w:eastAsia="Times New Roman"/>
          <w:lang w:eastAsia="fr-FR"/>
        </w:rPr>
        <w:t>.</w:t>
      </w:r>
      <w:r w:rsidR="00CF1461" w:rsidRPr="00E26090">
        <w:rPr>
          <w:rFonts w:eastAsia="Times New Roman"/>
          <w:lang w:eastAsia="fr-FR"/>
        </w:rPr>
        <w:t xml:space="preserve">03 couvre toutes les opérations de retour des non-ressortissants qui n’ont pas une </w:t>
      </w:r>
      <w:r w:rsidR="00CF1461" w:rsidRPr="00855577">
        <w:rPr>
          <w:rFonts w:eastAsia="Times New Roman"/>
          <w:lang w:eastAsia="fr-FR"/>
        </w:rPr>
        <w:t>autorisation</w:t>
      </w:r>
      <w:r w:rsidR="00CF1461" w:rsidRPr="00E26090">
        <w:rPr>
          <w:rFonts w:eastAsia="Times New Roman"/>
          <w:lang w:eastAsia="fr-FR"/>
        </w:rPr>
        <w:t xml:space="preserve"> de séjour dans le pays, sous réserve de la régularité du séjour concernant les conditions et procédures d’autorisation du séjour sur le territoire national, ainsi que les étrangers qui ont fait l’objet d’une décision d’expulsion ou qui doivent être reconduits à la frontière.</w:t>
      </w:r>
    </w:p>
    <w:p w14:paraId="0585F0BB" w14:textId="72033AA9"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88.</w:t>
      </w:r>
      <w:r w:rsidRPr="00E26090">
        <w:rPr>
          <w:rFonts w:eastAsia="Times New Roman"/>
          <w:color w:val="000000" w:themeColor="text1"/>
          <w:lang w:eastAsia="fr-FR"/>
        </w:rPr>
        <w:tab/>
      </w:r>
      <w:r w:rsidR="00A5588D">
        <w:rPr>
          <w:rFonts w:eastAsia="Times New Roman"/>
          <w:lang w:eastAsia="fr-FR"/>
        </w:rPr>
        <w:t>À</w:t>
      </w:r>
      <w:r w:rsidR="00CF1461" w:rsidRPr="00E26090">
        <w:rPr>
          <w:rFonts w:eastAsia="Times New Roman"/>
          <w:lang w:eastAsia="fr-FR"/>
        </w:rPr>
        <w:t xml:space="preserve"> noter que les autorités publiques, conscientes des risques qui peuvent porter </w:t>
      </w:r>
      <w:r w:rsidR="00CF1461" w:rsidRPr="00473B94">
        <w:rPr>
          <w:rFonts w:eastAsia="Times New Roman"/>
          <w:lang w:eastAsia="fr-FR"/>
        </w:rPr>
        <w:t>atteinte</w:t>
      </w:r>
      <w:r w:rsidR="00CF1461" w:rsidRPr="00E26090">
        <w:rPr>
          <w:rFonts w:eastAsia="Times New Roman"/>
          <w:lang w:eastAsia="fr-FR"/>
        </w:rPr>
        <w:t xml:space="preserve"> aux migrants illégaux pendant leur reconduite à la frontière, ont procédé à l’adoption d’une méthode conforme aux normes internationales pertinentes relatives au retour des étrangers </w:t>
      </w:r>
      <w:r w:rsidR="00CF1461" w:rsidRPr="00855577">
        <w:rPr>
          <w:rFonts w:eastAsia="Times New Roman"/>
          <w:lang w:eastAsia="fr-FR"/>
        </w:rPr>
        <w:t>qui</w:t>
      </w:r>
      <w:r w:rsidR="00CF1461" w:rsidRPr="00E26090">
        <w:rPr>
          <w:rFonts w:eastAsia="Times New Roman"/>
          <w:lang w:eastAsia="fr-FR"/>
        </w:rPr>
        <w:t xml:space="preserve"> ne disposent pas de carte de séjour, par voie aérienne, afin d’assurer leurs droits, dignité et sécurité en coordination avec les corps diplomatiques accrédités par leur pays d’origine au Maroc.</w:t>
      </w:r>
    </w:p>
    <w:p w14:paraId="7E70E177" w14:textId="77777777" w:rsidR="00CF1461" w:rsidRPr="00E26090" w:rsidRDefault="007B174A" w:rsidP="00377075">
      <w:pPr>
        <w:pStyle w:val="H1G"/>
        <w:rPr>
          <w:lang w:eastAsia="fr-FR"/>
        </w:rPr>
      </w:pPr>
      <w:r>
        <w:rPr>
          <w:lang w:eastAsia="fr-FR"/>
        </w:rPr>
        <w:tab/>
      </w:r>
      <w:r>
        <w:rPr>
          <w:lang w:eastAsia="fr-FR"/>
        </w:rPr>
        <w:tab/>
      </w:r>
      <w:r w:rsidR="00CF1461" w:rsidRPr="00E26090">
        <w:rPr>
          <w:lang w:eastAsia="fr-FR"/>
        </w:rPr>
        <w:t>Article 4</w:t>
      </w:r>
    </w:p>
    <w:p w14:paraId="4B868086" w14:textId="77777777" w:rsidR="00CF1461" w:rsidRPr="00E26090" w:rsidRDefault="007B174A" w:rsidP="00377075">
      <w:pPr>
        <w:pStyle w:val="H23G"/>
        <w:rPr>
          <w:lang w:eastAsia="fr-FR"/>
        </w:rPr>
      </w:pPr>
      <w:r>
        <w:rPr>
          <w:lang w:eastAsia="fr-FR"/>
        </w:rPr>
        <w:tab/>
      </w:r>
      <w:r>
        <w:rPr>
          <w:lang w:eastAsia="fr-FR"/>
        </w:rPr>
        <w:tab/>
      </w:r>
      <w:r w:rsidR="00CF1461" w:rsidRPr="00E26090">
        <w:rPr>
          <w:lang w:eastAsia="fr-FR"/>
        </w:rPr>
        <w:t xml:space="preserve">Recommandations 9 et 10 du Comité </w:t>
      </w:r>
    </w:p>
    <w:p w14:paraId="01FD7CE9" w14:textId="053FF59F" w:rsidR="00CF1461" w:rsidRPr="007F54ED" w:rsidRDefault="004B5A1A" w:rsidP="004B5A1A">
      <w:pPr>
        <w:pStyle w:val="SingleTxtG"/>
        <w:tabs>
          <w:tab w:val="clear" w:pos="1701"/>
          <w:tab w:val="clear" w:pos="2268"/>
          <w:tab w:val="clear" w:pos="2835"/>
        </w:tabs>
        <w:rPr>
          <w:rFonts w:eastAsia="Times New Roman"/>
          <w:lang w:eastAsia="fr-FR"/>
        </w:rPr>
      </w:pPr>
      <w:r w:rsidRPr="007F54ED">
        <w:rPr>
          <w:rFonts w:eastAsia="Times New Roman"/>
          <w:color w:val="000000" w:themeColor="text1"/>
          <w:lang w:eastAsia="fr-FR"/>
        </w:rPr>
        <w:t>89.</w:t>
      </w:r>
      <w:r w:rsidRPr="007F54ED">
        <w:rPr>
          <w:rFonts w:eastAsia="Times New Roman"/>
          <w:color w:val="000000" w:themeColor="text1"/>
          <w:lang w:eastAsia="fr-FR"/>
        </w:rPr>
        <w:tab/>
      </w:r>
      <w:r w:rsidR="00CF1461" w:rsidRPr="007F54ED">
        <w:rPr>
          <w:rFonts w:eastAsia="Times New Roman"/>
          <w:lang w:eastAsia="fr-FR"/>
        </w:rPr>
        <w:t xml:space="preserve">L’Article 308-5 de la Section II </w:t>
      </w:r>
      <w:r w:rsidR="00CF1461" w:rsidRPr="00013F70">
        <w:rPr>
          <w:rFonts w:eastAsia="Times New Roman"/>
          <w:i/>
          <w:iCs/>
          <w:lang w:eastAsia="fr-FR"/>
        </w:rPr>
        <w:t>bis</w:t>
      </w:r>
      <w:r w:rsidR="00CF1461" w:rsidRPr="007F54ED">
        <w:rPr>
          <w:rFonts w:eastAsia="Times New Roman"/>
          <w:lang w:eastAsia="fr-FR"/>
        </w:rPr>
        <w:t xml:space="preserve"> du CP portant sur la violence commise lors ou à l’occasion des manifestations sportives, amendée en fonction de la loi </w:t>
      </w:r>
      <w:r w:rsidR="00D87853">
        <w:rPr>
          <w:rFonts w:asciiTheme="majorBidi" w:eastAsia="Times New Roman" w:hAnsiTheme="majorBidi" w:cstheme="majorBidi"/>
          <w:color w:val="000000"/>
          <w:lang w:eastAsia="fr-FR"/>
        </w:rPr>
        <w:t>n</w:t>
      </w:r>
      <w:r w:rsidR="00D87853" w:rsidRPr="00050C02">
        <w:rPr>
          <w:rFonts w:asciiTheme="majorBidi" w:eastAsia="Times New Roman" w:hAnsiTheme="majorBidi" w:cstheme="majorBidi"/>
          <w:color w:val="000000"/>
          <w:vertAlign w:val="superscript"/>
          <w:lang w:eastAsia="fr-FR"/>
        </w:rPr>
        <w:t>o</w:t>
      </w:r>
      <w:r w:rsidR="00D87853">
        <w:rPr>
          <w:rFonts w:asciiTheme="majorBidi" w:eastAsia="Times New Roman" w:hAnsiTheme="majorBidi" w:cstheme="majorBidi"/>
          <w:color w:val="000000"/>
          <w:lang w:eastAsia="fr-FR"/>
        </w:rPr>
        <w:t> </w:t>
      </w:r>
      <w:r w:rsidR="00CF1461" w:rsidRPr="007F54ED">
        <w:rPr>
          <w:rFonts w:eastAsia="Times New Roman"/>
          <w:lang w:eastAsia="fr-FR"/>
        </w:rPr>
        <w:t>09</w:t>
      </w:r>
      <w:r w:rsidR="00CF1461">
        <w:rPr>
          <w:rFonts w:eastAsia="Times New Roman"/>
          <w:lang w:eastAsia="fr-FR"/>
        </w:rPr>
        <w:t>.</w:t>
      </w:r>
      <w:r w:rsidR="00CF1461" w:rsidRPr="007F54ED">
        <w:rPr>
          <w:rFonts w:eastAsia="Times New Roman"/>
          <w:lang w:eastAsia="fr-FR"/>
        </w:rPr>
        <w:t xml:space="preserve">09 promulguée par le dahir </w:t>
      </w:r>
      <w:r w:rsidR="00D87853">
        <w:rPr>
          <w:rFonts w:asciiTheme="majorBidi" w:eastAsia="Times New Roman" w:hAnsiTheme="majorBidi" w:cstheme="majorBidi"/>
          <w:color w:val="000000"/>
          <w:lang w:eastAsia="fr-FR"/>
        </w:rPr>
        <w:t>n</w:t>
      </w:r>
      <w:r w:rsidR="00D87853" w:rsidRPr="00050C02">
        <w:rPr>
          <w:rFonts w:asciiTheme="majorBidi" w:eastAsia="Times New Roman" w:hAnsiTheme="majorBidi" w:cstheme="majorBidi"/>
          <w:color w:val="000000"/>
          <w:vertAlign w:val="superscript"/>
          <w:lang w:eastAsia="fr-FR"/>
        </w:rPr>
        <w:t>o</w:t>
      </w:r>
      <w:r w:rsidR="00D87853">
        <w:rPr>
          <w:rFonts w:asciiTheme="majorBidi" w:eastAsia="Times New Roman" w:hAnsiTheme="majorBidi" w:cstheme="majorBidi"/>
          <w:color w:val="000000"/>
          <w:lang w:eastAsia="fr-FR"/>
        </w:rPr>
        <w:t> </w:t>
      </w:r>
      <w:r w:rsidR="00CF1461" w:rsidRPr="007F54ED">
        <w:rPr>
          <w:rFonts w:eastAsia="Times New Roman"/>
          <w:lang w:eastAsia="fr-FR"/>
        </w:rPr>
        <w:t xml:space="preserve">1-11-38 du 29 </w:t>
      </w:r>
      <w:proofErr w:type="spellStart"/>
      <w:r w:rsidR="00CF1461" w:rsidRPr="00374337">
        <w:rPr>
          <w:rFonts w:eastAsia="Times New Roman"/>
          <w:i/>
          <w:iCs/>
          <w:lang w:eastAsia="fr-FR"/>
        </w:rPr>
        <w:t>joumada</w:t>
      </w:r>
      <w:proofErr w:type="spellEnd"/>
      <w:r w:rsidR="00CF1461" w:rsidRPr="007F54ED">
        <w:rPr>
          <w:rFonts w:eastAsia="Times New Roman"/>
          <w:lang w:eastAsia="fr-FR"/>
        </w:rPr>
        <w:t xml:space="preserve"> II 1432 (2 juin 2011)</w:t>
      </w:r>
      <w:r w:rsidR="00CF1461" w:rsidRPr="003C06D3">
        <w:rPr>
          <w:rStyle w:val="Appelnotedebasdep"/>
        </w:rPr>
        <w:footnoteReference w:id="32"/>
      </w:r>
      <w:r w:rsidR="00CF1461" w:rsidRPr="007F54ED">
        <w:rPr>
          <w:rFonts w:eastAsia="Times New Roman"/>
          <w:lang w:eastAsia="fr-FR"/>
        </w:rPr>
        <w:t xml:space="preserve">, stipule : « Sans préjudice des dispositions pénales plus graves, est puni de l’emprisonnement de un à 6 mois et d’une amende de 1.200 à 10.000 dirhams ou de l’une de ces deux peines seulement, quiconque incite lors ou à l’occasion de compétitions ou de manifestations sportives ou de leur retransmission en public, par des discours, cris, appels, slogans, banderoles, images, statues, sculptures ou par tout autre moyen, à la discrimination raciale ou à la haine à l’égard d’une ou de plusieurs personnes en raison de leur origine nationale ou sociale, couleur, sexe, situation de famille, état de santé, handicap, opinion politique, appartenance syndicale, appartenance ou non appartenance, vraie ou supposée, à une ethnie, nation, race ou religion déterminée ». </w:t>
      </w:r>
    </w:p>
    <w:p w14:paraId="74AD9D28" w14:textId="00B39AA2" w:rsidR="00CF1461" w:rsidRPr="00F54330" w:rsidRDefault="004B5A1A" w:rsidP="004B5A1A">
      <w:pPr>
        <w:pStyle w:val="SingleTxtG"/>
        <w:tabs>
          <w:tab w:val="clear" w:pos="1701"/>
          <w:tab w:val="clear" w:pos="2268"/>
          <w:tab w:val="clear" w:pos="2835"/>
        </w:tabs>
        <w:rPr>
          <w:rFonts w:eastAsia="Times New Roman"/>
          <w:lang w:eastAsia="fr-FR"/>
        </w:rPr>
      </w:pPr>
      <w:r w:rsidRPr="00F54330">
        <w:rPr>
          <w:rFonts w:eastAsia="Times New Roman"/>
          <w:color w:val="000000" w:themeColor="text1"/>
          <w:lang w:eastAsia="fr-FR"/>
        </w:rPr>
        <w:t>90.</w:t>
      </w:r>
      <w:r w:rsidRPr="00F54330">
        <w:rPr>
          <w:rFonts w:eastAsia="Times New Roman"/>
          <w:color w:val="000000" w:themeColor="text1"/>
          <w:lang w:eastAsia="fr-FR"/>
        </w:rPr>
        <w:tab/>
      </w:r>
      <w:r w:rsidR="00CF1461">
        <w:rPr>
          <w:rFonts w:eastAsia="Times New Roman"/>
          <w:lang w:eastAsia="fr-FR"/>
        </w:rPr>
        <w:t>L</w:t>
      </w:r>
      <w:r w:rsidR="00CF1461" w:rsidRPr="00F54330">
        <w:rPr>
          <w:rFonts w:eastAsia="Times New Roman"/>
          <w:lang w:eastAsia="fr-FR"/>
        </w:rPr>
        <w:t xml:space="preserve">’article 4 de la </w:t>
      </w:r>
      <w:r w:rsidR="00C927C9">
        <w:rPr>
          <w:rFonts w:eastAsia="Times New Roman"/>
          <w:lang w:eastAsia="fr-FR"/>
        </w:rPr>
        <w:t>L</w:t>
      </w:r>
      <w:r w:rsidR="00CF1461" w:rsidRPr="00F54330">
        <w:rPr>
          <w:rFonts w:eastAsia="Times New Roman"/>
          <w:lang w:eastAsia="fr-FR"/>
        </w:rPr>
        <w:t xml:space="preserve">oi organique </w:t>
      </w:r>
      <w:r w:rsidR="00D87853">
        <w:rPr>
          <w:rFonts w:asciiTheme="majorBidi" w:eastAsia="Times New Roman" w:hAnsiTheme="majorBidi" w:cstheme="majorBidi"/>
          <w:color w:val="000000"/>
          <w:lang w:eastAsia="fr-FR"/>
        </w:rPr>
        <w:t>n</w:t>
      </w:r>
      <w:r w:rsidR="00D87853" w:rsidRPr="00050C02">
        <w:rPr>
          <w:rFonts w:asciiTheme="majorBidi" w:eastAsia="Times New Roman" w:hAnsiTheme="majorBidi" w:cstheme="majorBidi"/>
          <w:color w:val="000000"/>
          <w:vertAlign w:val="superscript"/>
          <w:lang w:eastAsia="fr-FR"/>
        </w:rPr>
        <w:t>o</w:t>
      </w:r>
      <w:r w:rsidR="00D87853">
        <w:rPr>
          <w:rFonts w:asciiTheme="majorBidi" w:eastAsia="Times New Roman" w:hAnsiTheme="majorBidi" w:cstheme="majorBidi"/>
          <w:color w:val="000000"/>
          <w:lang w:eastAsia="fr-FR"/>
        </w:rPr>
        <w:t> </w:t>
      </w:r>
      <w:r w:rsidR="00CF1461" w:rsidRPr="00F54330">
        <w:rPr>
          <w:rFonts w:eastAsia="Times New Roman"/>
          <w:lang w:eastAsia="fr-FR"/>
        </w:rPr>
        <w:t>29</w:t>
      </w:r>
      <w:r w:rsidR="00CF1461">
        <w:rPr>
          <w:rFonts w:eastAsia="Times New Roman"/>
          <w:lang w:eastAsia="fr-FR"/>
        </w:rPr>
        <w:t>.</w:t>
      </w:r>
      <w:r w:rsidR="00CF1461" w:rsidRPr="00F54330">
        <w:rPr>
          <w:rFonts w:eastAsia="Times New Roman"/>
          <w:lang w:eastAsia="fr-FR"/>
        </w:rPr>
        <w:t xml:space="preserve">11 du 6 </w:t>
      </w:r>
      <w:proofErr w:type="spellStart"/>
      <w:r w:rsidR="00CF1461" w:rsidRPr="00374337">
        <w:rPr>
          <w:rFonts w:eastAsia="Times New Roman"/>
          <w:i/>
          <w:iCs/>
          <w:lang w:eastAsia="fr-FR"/>
        </w:rPr>
        <w:t>hijja</w:t>
      </w:r>
      <w:proofErr w:type="spellEnd"/>
      <w:r w:rsidR="00CF1461" w:rsidRPr="00F54330">
        <w:rPr>
          <w:rFonts w:eastAsia="Times New Roman"/>
          <w:lang w:eastAsia="fr-FR"/>
        </w:rPr>
        <w:t xml:space="preserve"> 1432 (03-11-2011) relative aux partis politiques, dispose : « Est nulle toute constitution d’un parti politique fondée sur une base religieuse, linguistique ou régionale ou, d’une manière générale, sur toute base discriminatoire ou contraire aux droits de l’Homme ».</w:t>
      </w:r>
      <w:r w:rsidR="00CD5A97">
        <w:rPr>
          <w:rFonts w:eastAsia="Times New Roman"/>
          <w:lang w:eastAsia="fr-FR"/>
        </w:rPr>
        <w:t xml:space="preserve"> </w:t>
      </w:r>
      <w:r w:rsidR="00CF1461">
        <w:rPr>
          <w:rFonts w:eastAsia="Times New Roman"/>
          <w:lang w:eastAsia="fr-FR"/>
        </w:rPr>
        <w:t xml:space="preserve">Son </w:t>
      </w:r>
      <w:r w:rsidR="00CF1461" w:rsidRPr="00F54330">
        <w:rPr>
          <w:rFonts w:eastAsia="Times New Roman"/>
          <w:lang w:eastAsia="fr-FR"/>
        </w:rPr>
        <w:t xml:space="preserve">article 26 prévoit : « Tout parti œuvre à élargir et généraliser la participation des femmes et des jeunes dans le développement politique du pays. </w:t>
      </w:r>
      <w:r w:rsidR="00BD28D2">
        <w:rPr>
          <w:rFonts w:eastAsia="Times New Roman"/>
          <w:lang w:eastAsia="fr-FR"/>
        </w:rPr>
        <w:t>À</w:t>
      </w:r>
      <w:r w:rsidR="00CF1461" w:rsidRPr="00F54330">
        <w:rPr>
          <w:rFonts w:eastAsia="Times New Roman"/>
          <w:lang w:eastAsia="fr-FR"/>
        </w:rPr>
        <w:t xml:space="preserve"> cet effet, tout parti politique œuvre pour atteindre une proportion d’un tiers de participation des femmes dans ses organes aux niveaux national et régional, dans le but de la réalisation, à terme et d’une manière progressive, du principe de la parité entre les hommes et les femmes ».</w:t>
      </w:r>
    </w:p>
    <w:p w14:paraId="4372EF4F" w14:textId="2DBB2CD4" w:rsidR="00CF1461" w:rsidRPr="007F54ED" w:rsidRDefault="004B5A1A" w:rsidP="004B5A1A">
      <w:pPr>
        <w:pStyle w:val="SingleTxtG"/>
        <w:tabs>
          <w:tab w:val="clear" w:pos="1701"/>
          <w:tab w:val="clear" w:pos="2268"/>
          <w:tab w:val="clear" w:pos="2835"/>
        </w:tabs>
        <w:rPr>
          <w:rFonts w:eastAsia="Times New Roman"/>
          <w:lang w:eastAsia="fr-FR"/>
        </w:rPr>
      </w:pPr>
      <w:r w:rsidRPr="007F54ED">
        <w:rPr>
          <w:rFonts w:eastAsia="Times New Roman"/>
          <w:color w:val="000000" w:themeColor="text1"/>
          <w:lang w:eastAsia="fr-FR"/>
        </w:rPr>
        <w:t>91.</w:t>
      </w:r>
      <w:r w:rsidRPr="007F54ED">
        <w:rPr>
          <w:rFonts w:eastAsia="Times New Roman"/>
          <w:color w:val="000000" w:themeColor="text1"/>
          <w:lang w:eastAsia="fr-FR"/>
        </w:rPr>
        <w:tab/>
      </w:r>
      <w:r w:rsidR="00CF1461" w:rsidRPr="007F54ED">
        <w:rPr>
          <w:rFonts w:eastAsia="Times New Roman"/>
          <w:lang w:eastAsia="fr-FR"/>
        </w:rPr>
        <w:t xml:space="preserve">Dans le domaine de la presse et de l’édition, la loi </w:t>
      </w:r>
      <w:r w:rsidR="00D87853">
        <w:rPr>
          <w:rFonts w:asciiTheme="majorBidi" w:eastAsia="Times New Roman" w:hAnsiTheme="majorBidi" w:cstheme="majorBidi"/>
          <w:color w:val="000000"/>
          <w:lang w:eastAsia="fr-FR"/>
        </w:rPr>
        <w:t>n</w:t>
      </w:r>
      <w:r w:rsidR="00D87853" w:rsidRPr="00050C02">
        <w:rPr>
          <w:rFonts w:asciiTheme="majorBidi" w:eastAsia="Times New Roman" w:hAnsiTheme="majorBidi" w:cstheme="majorBidi"/>
          <w:color w:val="000000"/>
          <w:vertAlign w:val="superscript"/>
          <w:lang w:eastAsia="fr-FR"/>
        </w:rPr>
        <w:t>o</w:t>
      </w:r>
      <w:r w:rsidR="00D87853">
        <w:rPr>
          <w:rFonts w:asciiTheme="majorBidi" w:eastAsia="Times New Roman" w:hAnsiTheme="majorBidi" w:cstheme="majorBidi"/>
          <w:color w:val="000000"/>
          <w:lang w:eastAsia="fr-FR"/>
        </w:rPr>
        <w:t> </w:t>
      </w:r>
      <w:r w:rsidR="00CF1461" w:rsidRPr="007F54ED">
        <w:rPr>
          <w:rFonts w:eastAsia="Times New Roman"/>
          <w:lang w:eastAsia="fr-FR"/>
        </w:rPr>
        <w:t>88</w:t>
      </w:r>
      <w:r w:rsidR="00CF1461">
        <w:rPr>
          <w:rFonts w:eastAsia="Times New Roman"/>
          <w:lang w:eastAsia="fr-FR"/>
        </w:rPr>
        <w:t>.</w:t>
      </w:r>
      <w:r w:rsidR="00CF1461" w:rsidRPr="007F54ED">
        <w:rPr>
          <w:rFonts w:eastAsia="Times New Roman"/>
          <w:lang w:eastAsia="fr-FR"/>
        </w:rPr>
        <w:t>13 relative à la presse et à l</w:t>
      </w:r>
      <w:r w:rsidR="00CD5A97">
        <w:rPr>
          <w:rFonts w:eastAsia="Times New Roman"/>
          <w:lang w:eastAsia="fr-FR"/>
        </w:rPr>
        <w:t>’</w:t>
      </w:r>
      <w:r w:rsidR="00CF1461" w:rsidRPr="007F54ED">
        <w:rPr>
          <w:rFonts w:eastAsia="Times New Roman"/>
          <w:lang w:eastAsia="fr-FR"/>
        </w:rPr>
        <w:t>édition définit plusieurs dispositions et peines pour condamner l’incitation directe à la haine, à la discrimination raciale ou l</w:t>
      </w:r>
      <w:r w:rsidR="00CD5A97">
        <w:rPr>
          <w:rFonts w:eastAsia="Times New Roman"/>
          <w:lang w:eastAsia="fr-FR"/>
        </w:rPr>
        <w:t>’</w:t>
      </w:r>
      <w:r w:rsidR="00CF1461" w:rsidRPr="007F54ED">
        <w:rPr>
          <w:rFonts w:eastAsia="Times New Roman"/>
          <w:lang w:eastAsia="fr-FR"/>
        </w:rPr>
        <w:t>incitation à nuire aux mineurs ; la discrimination sexiste à l</w:t>
      </w:r>
      <w:r w:rsidR="00CD5A97">
        <w:rPr>
          <w:rFonts w:eastAsia="Times New Roman"/>
          <w:lang w:eastAsia="fr-FR"/>
        </w:rPr>
        <w:t>’</w:t>
      </w:r>
      <w:r w:rsidR="00CF1461" w:rsidRPr="007F54ED">
        <w:rPr>
          <w:rFonts w:eastAsia="Times New Roman"/>
          <w:lang w:eastAsia="fr-FR"/>
        </w:rPr>
        <w:t xml:space="preserve">encontre de la femme ; l’incitation à la discrimination ou à la haine entre les personnes et la </w:t>
      </w:r>
      <w:r w:rsidR="005B02F8">
        <w:rPr>
          <w:rFonts w:eastAsia="Times New Roman"/>
          <w:lang w:eastAsia="fr-FR"/>
        </w:rPr>
        <w:t>propagande de la discrimination</w:t>
      </w:r>
      <w:r w:rsidR="00CF1461" w:rsidRPr="003C06D3">
        <w:rPr>
          <w:rStyle w:val="Appelnotedebasdep"/>
        </w:rPr>
        <w:footnoteReference w:id="33"/>
      </w:r>
      <w:r w:rsidR="005B02F8">
        <w:rPr>
          <w:rFonts w:eastAsia="Times New Roman"/>
          <w:lang w:eastAsia="fr-FR"/>
        </w:rPr>
        <w:t>.</w:t>
      </w:r>
    </w:p>
    <w:p w14:paraId="2B538A22" w14:textId="65349814" w:rsidR="00CF1461" w:rsidRPr="007F54ED" w:rsidRDefault="004B5A1A" w:rsidP="004B5A1A">
      <w:pPr>
        <w:pStyle w:val="SingleTxtG"/>
        <w:tabs>
          <w:tab w:val="clear" w:pos="1701"/>
          <w:tab w:val="clear" w:pos="2268"/>
          <w:tab w:val="clear" w:pos="2835"/>
        </w:tabs>
        <w:rPr>
          <w:rFonts w:eastAsia="Times New Roman"/>
          <w:lang w:eastAsia="fr-FR"/>
        </w:rPr>
      </w:pPr>
      <w:r w:rsidRPr="007F54ED">
        <w:rPr>
          <w:rFonts w:eastAsia="Times New Roman"/>
          <w:color w:val="000000" w:themeColor="text1"/>
          <w:lang w:eastAsia="fr-FR"/>
        </w:rPr>
        <w:t>92.</w:t>
      </w:r>
      <w:r w:rsidRPr="007F54ED">
        <w:rPr>
          <w:rFonts w:eastAsia="Times New Roman"/>
          <w:color w:val="000000" w:themeColor="text1"/>
          <w:lang w:eastAsia="fr-FR"/>
        </w:rPr>
        <w:tab/>
      </w:r>
      <w:r w:rsidR="00CF1461" w:rsidRPr="007F54ED">
        <w:rPr>
          <w:rFonts w:eastAsia="Times New Roman"/>
          <w:lang w:eastAsia="fr-FR"/>
        </w:rPr>
        <w:t xml:space="preserve">La loi </w:t>
      </w:r>
      <w:r w:rsidR="00D87853">
        <w:rPr>
          <w:rFonts w:asciiTheme="majorBidi" w:eastAsia="Times New Roman" w:hAnsiTheme="majorBidi" w:cstheme="majorBidi"/>
          <w:color w:val="000000"/>
          <w:lang w:eastAsia="fr-FR"/>
        </w:rPr>
        <w:t>n</w:t>
      </w:r>
      <w:r w:rsidR="00D87853" w:rsidRPr="00050C02">
        <w:rPr>
          <w:rFonts w:asciiTheme="majorBidi" w:eastAsia="Times New Roman" w:hAnsiTheme="majorBidi" w:cstheme="majorBidi"/>
          <w:color w:val="000000"/>
          <w:vertAlign w:val="superscript"/>
          <w:lang w:eastAsia="fr-FR"/>
        </w:rPr>
        <w:t>o</w:t>
      </w:r>
      <w:r w:rsidR="00D87853">
        <w:rPr>
          <w:rFonts w:asciiTheme="majorBidi" w:eastAsia="Times New Roman" w:hAnsiTheme="majorBidi" w:cstheme="majorBidi"/>
          <w:color w:val="000000"/>
          <w:lang w:eastAsia="fr-FR"/>
        </w:rPr>
        <w:t> </w:t>
      </w:r>
      <w:r w:rsidR="00CF1461" w:rsidRPr="007F54ED">
        <w:rPr>
          <w:rFonts w:eastAsia="Times New Roman"/>
          <w:lang w:eastAsia="fr-FR"/>
        </w:rPr>
        <w:t xml:space="preserve">66.16 modifiant et complétant la loi </w:t>
      </w:r>
      <w:r w:rsidR="00D87853">
        <w:rPr>
          <w:rFonts w:asciiTheme="majorBidi" w:eastAsia="Times New Roman" w:hAnsiTheme="majorBidi" w:cstheme="majorBidi"/>
          <w:color w:val="000000"/>
          <w:lang w:eastAsia="fr-FR"/>
        </w:rPr>
        <w:t>n</w:t>
      </w:r>
      <w:r w:rsidR="00D87853" w:rsidRPr="00050C02">
        <w:rPr>
          <w:rFonts w:asciiTheme="majorBidi" w:eastAsia="Times New Roman" w:hAnsiTheme="majorBidi" w:cstheme="majorBidi"/>
          <w:color w:val="000000"/>
          <w:vertAlign w:val="superscript"/>
          <w:lang w:eastAsia="fr-FR"/>
        </w:rPr>
        <w:t>o</w:t>
      </w:r>
      <w:r w:rsidR="00D87853">
        <w:rPr>
          <w:rFonts w:asciiTheme="majorBidi" w:eastAsia="Times New Roman" w:hAnsiTheme="majorBidi" w:cstheme="majorBidi"/>
          <w:color w:val="000000"/>
          <w:lang w:eastAsia="fr-FR"/>
        </w:rPr>
        <w:t> </w:t>
      </w:r>
      <w:r w:rsidR="00CF1461" w:rsidRPr="007F54ED">
        <w:rPr>
          <w:rFonts w:eastAsia="Times New Roman"/>
          <w:lang w:eastAsia="fr-FR"/>
        </w:rPr>
        <w:t xml:space="preserve">77.03 relative à la communication </w:t>
      </w:r>
      <w:r w:rsidR="00CF1461" w:rsidRPr="00473B94">
        <w:rPr>
          <w:rFonts w:eastAsia="Times New Roman"/>
          <w:lang w:eastAsia="fr-FR"/>
        </w:rPr>
        <w:t>audiovisuelle</w:t>
      </w:r>
      <w:r w:rsidR="00CF1461" w:rsidRPr="007F54ED">
        <w:rPr>
          <w:rFonts w:eastAsia="Times New Roman"/>
          <w:lang w:eastAsia="fr-FR"/>
        </w:rPr>
        <w:t>, stipule entre autres dans son article 9 que « sans préjudice des sanctions prévues par les textes en vigueur, les émissions et les reprises de programmes ou de parties de programmes ne doivent pas (…)</w:t>
      </w:r>
      <w:r w:rsidR="005B02F8">
        <w:rPr>
          <w:rFonts w:eastAsia="Times New Roman"/>
          <w:lang w:eastAsia="fr-FR"/>
        </w:rPr>
        <w:t xml:space="preserve"> </w:t>
      </w:r>
      <w:r w:rsidR="00CF1461" w:rsidRPr="007F54ED">
        <w:rPr>
          <w:rFonts w:eastAsia="Times New Roman"/>
          <w:lang w:eastAsia="fr-FR"/>
        </w:rPr>
        <w:t>:</w:t>
      </w:r>
    </w:p>
    <w:p w14:paraId="3EE70B6D" w14:textId="0D5A8889" w:rsidR="00CF1461" w:rsidRDefault="004B5A1A" w:rsidP="004B5A1A">
      <w:pPr>
        <w:pStyle w:val="Bullet1G"/>
        <w:numPr>
          <w:ilvl w:val="0"/>
          <w:numId w:val="0"/>
        </w:numPr>
        <w:tabs>
          <w:tab w:val="left" w:pos="1701"/>
        </w:tabs>
        <w:ind w:left="1701" w:hanging="170"/>
        <w:rPr>
          <w:rFonts w:eastAsia="Times New Roman"/>
          <w:lang w:eastAsia="fr-FR"/>
        </w:rPr>
      </w:pPr>
      <w:r>
        <w:rPr>
          <w:rFonts w:eastAsia="Times New Roman"/>
          <w:lang w:eastAsia="fr-FR"/>
        </w:rPr>
        <w:t>•</w:t>
      </w:r>
      <w:r>
        <w:rPr>
          <w:rFonts w:eastAsia="Times New Roman"/>
          <w:lang w:eastAsia="fr-FR"/>
        </w:rPr>
        <w:tab/>
      </w:r>
      <w:r w:rsidR="005601DF" w:rsidRPr="006F0B3C">
        <w:rPr>
          <w:rFonts w:eastAsia="Times New Roman"/>
          <w:lang w:eastAsia="fr-FR"/>
        </w:rPr>
        <w:t>Faire</w:t>
      </w:r>
      <w:r w:rsidR="00CF1461" w:rsidRPr="006F0B3C">
        <w:rPr>
          <w:rFonts w:eastAsia="Times New Roman"/>
          <w:lang w:eastAsia="fr-FR"/>
        </w:rPr>
        <w:t xml:space="preserve"> l’apologie de groupes d’intérêts politiques, ethniques, économiques, financiers ou idéologiques ou servir leurs intérêts et </w:t>
      </w:r>
      <w:r w:rsidR="005601DF" w:rsidRPr="006F0B3C">
        <w:rPr>
          <w:rFonts w:eastAsia="Times New Roman"/>
          <w:lang w:eastAsia="fr-FR"/>
        </w:rPr>
        <w:t>leurs exclusifs</w:t>
      </w:r>
      <w:r w:rsidR="005B02F8">
        <w:rPr>
          <w:rFonts w:eastAsia="Times New Roman"/>
          <w:lang w:eastAsia="fr-FR"/>
        </w:rPr>
        <w:t xml:space="preserve"> </w:t>
      </w:r>
      <w:r w:rsidR="00CF1461" w:rsidRPr="006F0B3C">
        <w:rPr>
          <w:rFonts w:eastAsia="Times New Roman"/>
          <w:lang w:eastAsia="fr-FR"/>
        </w:rPr>
        <w:t>;</w:t>
      </w:r>
    </w:p>
    <w:p w14:paraId="40AE1C9B" w14:textId="622A570D" w:rsidR="00CF1461" w:rsidRDefault="004B5A1A" w:rsidP="004B5A1A">
      <w:pPr>
        <w:pStyle w:val="Bullet1G"/>
        <w:numPr>
          <w:ilvl w:val="0"/>
          <w:numId w:val="0"/>
        </w:numPr>
        <w:tabs>
          <w:tab w:val="left" w:pos="1701"/>
        </w:tabs>
        <w:ind w:left="1701" w:hanging="170"/>
        <w:rPr>
          <w:lang w:eastAsia="fr-FR"/>
        </w:rPr>
      </w:pPr>
      <w:r>
        <w:rPr>
          <w:lang w:eastAsia="fr-FR"/>
        </w:rPr>
        <w:t>•</w:t>
      </w:r>
      <w:r>
        <w:rPr>
          <w:lang w:eastAsia="fr-FR"/>
        </w:rPr>
        <w:tab/>
      </w:r>
      <w:r w:rsidR="007B174A">
        <w:rPr>
          <w:lang w:eastAsia="fr-FR"/>
        </w:rPr>
        <w:t>I</w:t>
      </w:r>
      <w:r w:rsidR="00CF1461" w:rsidRPr="00F54330">
        <w:rPr>
          <w:lang w:eastAsia="fr-FR"/>
        </w:rPr>
        <w:t xml:space="preserve">nciter à la violence ou à la haine, à la discrimination raciale, au terrorisme ou à la violence à l’égard d’une personne ou d’un groupe de personnes en raison de leur </w:t>
      </w:r>
      <w:r w:rsidR="00CF1461" w:rsidRPr="00F54330">
        <w:rPr>
          <w:lang w:eastAsia="fr-FR"/>
        </w:rPr>
        <w:lastRenderedPageBreak/>
        <w:t>origine, de leur appartenance ou non à une ethnie, une nation, une r</w:t>
      </w:r>
      <w:r w:rsidR="005B02F8">
        <w:rPr>
          <w:lang w:eastAsia="fr-FR"/>
        </w:rPr>
        <w:t>ace ou une religion déterminée »</w:t>
      </w:r>
      <w:r w:rsidR="00CF1461" w:rsidRPr="003C06D3">
        <w:rPr>
          <w:rStyle w:val="Appelnotedebasdep"/>
        </w:rPr>
        <w:footnoteReference w:id="34"/>
      </w:r>
      <w:r w:rsidR="005B02F8">
        <w:rPr>
          <w:lang w:eastAsia="fr-FR"/>
        </w:rPr>
        <w:t>.</w:t>
      </w:r>
      <w:r w:rsidR="00CF1461" w:rsidRPr="00F54330">
        <w:rPr>
          <w:lang w:eastAsia="fr-FR"/>
        </w:rPr>
        <w:t xml:space="preserve"> </w:t>
      </w:r>
    </w:p>
    <w:p w14:paraId="728C2F23" w14:textId="7BB8232C" w:rsidR="00CF1461" w:rsidRPr="00B8145A" w:rsidRDefault="004B5A1A" w:rsidP="004B5A1A">
      <w:pPr>
        <w:pStyle w:val="SingleTxtG"/>
        <w:tabs>
          <w:tab w:val="clear" w:pos="1701"/>
          <w:tab w:val="clear" w:pos="2268"/>
          <w:tab w:val="clear" w:pos="2835"/>
        </w:tabs>
        <w:rPr>
          <w:rFonts w:eastAsia="Times New Roman"/>
          <w:lang w:eastAsia="fr-FR"/>
        </w:rPr>
      </w:pPr>
      <w:r w:rsidRPr="00B8145A">
        <w:rPr>
          <w:rFonts w:eastAsia="Times New Roman"/>
          <w:color w:val="000000" w:themeColor="text1"/>
          <w:lang w:eastAsia="fr-FR"/>
        </w:rPr>
        <w:t>93.</w:t>
      </w:r>
      <w:r w:rsidRPr="00B8145A">
        <w:rPr>
          <w:rFonts w:eastAsia="Times New Roman"/>
          <w:color w:val="000000" w:themeColor="text1"/>
          <w:lang w:eastAsia="fr-FR"/>
        </w:rPr>
        <w:tab/>
      </w:r>
      <w:r w:rsidR="00CF1461" w:rsidRPr="00B8145A">
        <w:rPr>
          <w:rFonts w:eastAsia="Times New Roman"/>
          <w:lang w:eastAsia="fr-FR"/>
        </w:rPr>
        <w:t>Pa rapport au service public de la communication audiovisuelle, l’article 3 des cahiers des charges de la Société Nationale de Radio et de la Télévision indique que le service public est tenu de «</w:t>
      </w:r>
      <w:r w:rsidR="00D87853">
        <w:rPr>
          <w:rFonts w:eastAsia="Times New Roman"/>
          <w:lang w:eastAsia="fr-FR"/>
        </w:rPr>
        <w:t> </w:t>
      </w:r>
      <w:r w:rsidR="00CF1461" w:rsidRPr="00B8145A">
        <w:rPr>
          <w:rFonts w:eastAsia="Times New Roman"/>
          <w:lang w:eastAsia="fr-FR"/>
        </w:rPr>
        <w:t>s’interdire tout hommage à la violence, l</w:t>
      </w:r>
      <w:r w:rsidR="00CD5A97">
        <w:rPr>
          <w:rFonts w:eastAsia="Times New Roman"/>
          <w:lang w:eastAsia="fr-FR"/>
        </w:rPr>
        <w:t>’</w:t>
      </w:r>
      <w:r w:rsidR="00CF1461" w:rsidRPr="00B8145A">
        <w:rPr>
          <w:rFonts w:eastAsia="Times New Roman"/>
          <w:lang w:eastAsia="fr-FR"/>
        </w:rPr>
        <w:t>incitation à la discrimination raciale, le terrorisme ou la violence contre une personne ou un groupe de personnes en raison de leur origine, de sexe, d’appartenance ou non à un groupe ethnique, une race</w:t>
      </w:r>
      <w:r w:rsidR="005B02F8">
        <w:rPr>
          <w:rFonts w:eastAsia="Times New Roman"/>
          <w:lang w:eastAsia="fr-FR"/>
        </w:rPr>
        <w:t xml:space="preserve"> ou une religion particulière »</w:t>
      </w:r>
      <w:r w:rsidR="00CF1461" w:rsidRPr="003C06D3">
        <w:rPr>
          <w:rStyle w:val="Appelnotedebasdep"/>
        </w:rPr>
        <w:footnoteReference w:id="35"/>
      </w:r>
      <w:r w:rsidR="005B02F8">
        <w:rPr>
          <w:rFonts w:eastAsia="Times New Roman"/>
          <w:lang w:eastAsia="fr-FR"/>
        </w:rPr>
        <w:t>.</w:t>
      </w:r>
    </w:p>
    <w:p w14:paraId="06F940D6" w14:textId="1DE1D514" w:rsidR="00CF1461" w:rsidRPr="007F54ED" w:rsidRDefault="004B5A1A" w:rsidP="004B5A1A">
      <w:pPr>
        <w:pStyle w:val="SingleTxtG"/>
        <w:tabs>
          <w:tab w:val="clear" w:pos="1701"/>
          <w:tab w:val="clear" w:pos="2268"/>
          <w:tab w:val="clear" w:pos="2835"/>
        </w:tabs>
        <w:rPr>
          <w:rFonts w:eastAsia="Times New Roman"/>
          <w:lang w:eastAsia="fr-FR"/>
        </w:rPr>
      </w:pPr>
      <w:r w:rsidRPr="007F54ED">
        <w:rPr>
          <w:rFonts w:eastAsia="Times New Roman"/>
          <w:color w:val="000000" w:themeColor="text1"/>
          <w:lang w:eastAsia="fr-FR"/>
        </w:rPr>
        <w:t>94.</w:t>
      </w:r>
      <w:r w:rsidRPr="007F54ED">
        <w:rPr>
          <w:rFonts w:eastAsia="Times New Roman"/>
          <w:color w:val="000000" w:themeColor="text1"/>
          <w:lang w:eastAsia="fr-FR"/>
        </w:rPr>
        <w:tab/>
      </w:r>
      <w:r w:rsidR="00CF1461" w:rsidRPr="007F54ED">
        <w:rPr>
          <w:rFonts w:eastAsia="Times New Roman"/>
          <w:lang w:eastAsia="fr-FR"/>
        </w:rPr>
        <w:t>La Commission nationale de contrôle de la protection des données à caractère personnel (CNDP), en sa qualité d’autorité nationale chargée de la protection des données à caractère personnel, est également compétente pour recevoir les plaintes de toute personne concernée estimant être lésée par la publication d’un traitement de données à caractère personnel, de les instruire et de leur donner suite en ordonnant la publication de rectificatifs ou/et la saisine du Procureu</w:t>
      </w:r>
      <w:r w:rsidR="005B02F8">
        <w:rPr>
          <w:rFonts w:eastAsia="Times New Roman"/>
          <w:lang w:eastAsia="fr-FR"/>
        </w:rPr>
        <w:t>r du Roi aux fins de poursuites</w:t>
      </w:r>
      <w:r w:rsidR="00CF1461" w:rsidRPr="003C06D3">
        <w:rPr>
          <w:rStyle w:val="Appelnotedebasdep"/>
        </w:rPr>
        <w:footnoteReference w:id="36"/>
      </w:r>
      <w:r w:rsidR="005B02F8">
        <w:rPr>
          <w:rFonts w:eastAsia="Times New Roman"/>
          <w:lang w:eastAsia="fr-FR"/>
        </w:rPr>
        <w:t>.</w:t>
      </w:r>
    </w:p>
    <w:p w14:paraId="2339139B" w14:textId="1B0EB27B" w:rsidR="00CF1461" w:rsidRPr="007F54ED" w:rsidRDefault="004B5A1A" w:rsidP="004B5A1A">
      <w:pPr>
        <w:pStyle w:val="SingleTxtG"/>
        <w:tabs>
          <w:tab w:val="clear" w:pos="1701"/>
          <w:tab w:val="clear" w:pos="2268"/>
          <w:tab w:val="clear" w:pos="2835"/>
        </w:tabs>
        <w:rPr>
          <w:rFonts w:eastAsia="Times New Roman"/>
          <w:lang w:eastAsia="fr-FR"/>
        </w:rPr>
      </w:pPr>
      <w:r w:rsidRPr="007F54ED">
        <w:rPr>
          <w:rFonts w:eastAsia="Times New Roman"/>
          <w:color w:val="000000" w:themeColor="text1"/>
          <w:lang w:eastAsia="fr-FR"/>
        </w:rPr>
        <w:t>95.</w:t>
      </w:r>
      <w:r w:rsidRPr="007F54ED">
        <w:rPr>
          <w:rFonts w:eastAsia="Times New Roman"/>
          <w:color w:val="000000" w:themeColor="text1"/>
          <w:lang w:eastAsia="fr-FR"/>
        </w:rPr>
        <w:tab/>
      </w:r>
      <w:r w:rsidR="00CF1461" w:rsidRPr="007F54ED">
        <w:rPr>
          <w:rFonts w:eastAsia="Times New Roman"/>
          <w:lang w:eastAsia="fr-FR"/>
        </w:rPr>
        <w:t xml:space="preserve">Le </w:t>
      </w:r>
      <w:r w:rsidR="00CF1461" w:rsidRPr="00473B94">
        <w:rPr>
          <w:rFonts w:eastAsia="Times New Roman"/>
          <w:lang w:eastAsia="fr-FR"/>
        </w:rPr>
        <w:t>premier</w:t>
      </w:r>
      <w:r w:rsidR="00CF1461" w:rsidRPr="007F54ED">
        <w:rPr>
          <w:rFonts w:eastAsia="Times New Roman"/>
          <w:lang w:eastAsia="fr-FR"/>
        </w:rPr>
        <w:t xml:space="preserve"> dossier transmis par la CNDP à la justice se rapporte à la plainte d’un ressortissant étranger contre un citoyen marocain soupçonné de chantage et d’atteinte à la vie privée du plaignant. Cette affaire, considérée comme un cas classique de cybercriminalité, a</w:t>
      </w:r>
      <w:r w:rsidR="00D87853">
        <w:rPr>
          <w:rFonts w:eastAsia="Times New Roman"/>
          <w:lang w:eastAsia="fr-FR"/>
        </w:rPr>
        <w:t> </w:t>
      </w:r>
      <w:r w:rsidR="00CF1461" w:rsidRPr="007F54ED">
        <w:rPr>
          <w:rFonts w:eastAsia="Times New Roman"/>
          <w:lang w:eastAsia="fr-FR"/>
        </w:rPr>
        <w:t>été transmise au Procureur général du Roi territorialement compétent. Le deuxième dossier transmis fait suite à la réception de plusieurs plaintes contre un site de commerce électronique marocain. La CNDP a mené des investigations, dont notamment un contrôle du site web mis en cause et un contrôle sur place. Les résultats de l’enquête ont révélé des infractions aux dispositions légales en vigueur et ont donné lieu à des soupçons de traitement frauduleux de données personnelles.</w:t>
      </w:r>
    </w:p>
    <w:p w14:paraId="5FB1EE2F" w14:textId="2B669FD7" w:rsidR="00CF1461" w:rsidRPr="007F54ED" w:rsidRDefault="004B5A1A" w:rsidP="004B5A1A">
      <w:pPr>
        <w:pStyle w:val="SingleTxtG"/>
        <w:tabs>
          <w:tab w:val="clear" w:pos="1701"/>
          <w:tab w:val="clear" w:pos="2268"/>
          <w:tab w:val="clear" w:pos="2835"/>
        </w:tabs>
        <w:rPr>
          <w:rFonts w:eastAsia="Times New Roman"/>
          <w:lang w:eastAsia="fr-FR"/>
        </w:rPr>
      </w:pPr>
      <w:r w:rsidRPr="007F54ED">
        <w:rPr>
          <w:rFonts w:eastAsia="Times New Roman"/>
          <w:color w:val="000000" w:themeColor="text1"/>
          <w:lang w:eastAsia="fr-FR"/>
        </w:rPr>
        <w:t>96.</w:t>
      </w:r>
      <w:r w:rsidRPr="007F54ED">
        <w:rPr>
          <w:rFonts w:eastAsia="Times New Roman"/>
          <w:color w:val="000000" w:themeColor="text1"/>
          <w:lang w:eastAsia="fr-FR"/>
        </w:rPr>
        <w:tab/>
      </w:r>
      <w:r w:rsidR="00CF1461" w:rsidRPr="007F54ED">
        <w:rPr>
          <w:rFonts w:eastAsia="Times New Roman"/>
          <w:lang w:eastAsia="fr-FR"/>
        </w:rPr>
        <w:t xml:space="preserve">La </w:t>
      </w:r>
      <w:r w:rsidR="00CF1461" w:rsidRPr="00473B94">
        <w:rPr>
          <w:rFonts w:eastAsia="Times New Roman"/>
          <w:lang w:eastAsia="fr-FR"/>
        </w:rPr>
        <w:t>CNDP</w:t>
      </w:r>
      <w:r w:rsidR="00CF1461" w:rsidRPr="007F54ED">
        <w:rPr>
          <w:rFonts w:eastAsia="Times New Roman"/>
          <w:lang w:eastAsia="fr-FR"/>
        </w:rPr>
        <w:t xml:space="preserve"> entend ainsi exprimer son engagement à protéger un droit humain fondamental à l’ère du développement des nouvelles technologies de l’information et de la communication, à savoir le droit à la protection de la vie privée et des données à caractère personnel.</w:t>
      </w:r>
    </w:p>
    <w:p w14:paraId="5710D7CC" w14:textId="77777777" w:rsidR="00A5588D" w:rsidRDefault="0089425B" w:rsidP="00A5588D">
      <w:pPr>
        <w:pStyle w:val="H1G"/>
        <w:rPr>
          <w:lang w:eastAsia="fr-FR"/>
        </w:rPr>
      </w:pPr>
      <w:r>
        <w:rPr>
          <w:lang w:eastAsia="fr-FR"/>
        </w:rPr>
        <w:tab/>
      </w:r>
      <w:r>
        <w:rPr>
          <w:lang w:eastAsia="fr-FR"/>
        </w:rPr>
        <w:tab/>
      </w:r>
      <w:r w:rsidR="00CF1461" w:rsidRPr="00E26090">
        <w:rPr>
          <w:lang w:eastAsia="fr-FR"/>
        </w:rPr>
        <w:t>Article 5</w:t>
      </w:r>
    </w:p>
    <w:p w14:paraId="78C23C9F" w14:textId="3C33A12D" w:rsidR="00CF1461" w:rsidRPr="00E26090" w:rsidRDefault="00A5588D" w:rsidP="00A5588D">
      <w:pPr>
        <w:pStyle w:val="H1G"/>
      </w:pPr>
      <w:r>
        <w:rPr>
          <w:lang w:eastAsia="fr-FR"/>
        </w:rPr>
        <w:tab/>
      </w:r>
      <w:r w:rsidR="007B174A">
        <w:tab/>
      </w:r>
      <w:r w:rsidR="00CF1461" w:rsidRPr="00E26090">
        <w:t>Égalité de traitement devant les tribunaux et les organes chargés d’administrer la</w:t>
      </w:r>
      <w:r w:rsidR="00495BD0">
        <w:t> </w:t>
      </w:r>
      <w:r w:rsidR="00CF1461" w:rsidRPr="00E26090">
        <w:t>justice</w:t>
      </w:r>
    </w:p>
    <w:p w14:paraId="4E9CA043" w14:textId="75572656" w:rsidR="00CF1461" w:rsidRPr="00364966" w:rsidRDefault="004B5A1A" w:rsidP="004B5A1A">
      <w:pPr>
        <w:pStyle w:val="SingleTxtG"/>
        <w:tabs>
          <w:tab w:val="clear" w:pos="1701"/>
          <w:tab w:val="clear" w:pos="2268"/>
          <w:tab w:val="clear" w:pos="2835"/>
        </w:tabs>
        <w:rPr>
          <w:rFonts w:eastAsia="Times New Roman"/>
          <w:lang w:eastAsia="fr-FR"/>
        </w:rPr>
      </w:pPr>
      <w:r w:rsidRPr="00364966">
        <w:rPr>
          <w:rFonts w:eastAsia="Times New Roman"/>
          <w:color w:val="000000" w:themeColor="text1"/>
          <w:lang w:eastAsia="fr-FR"/>
        </w:rPr>
        <w:t>97.</w:t>
      </w:r>
      <w:r w:rsidRPr="00364966">
        <w:rPr>
          <w:rFonts w:eastAsia="Times New Roman"/>
          <w:color w:val="000000" w:themeColor="text1"/>
          <w:lang w:eastAsia="fr-FR"/>
        </w:rPr>
        <w:tab/>
      </w:r>
      <w:r w:rsidR="00CF1461" w:rsidRPr="00364966">
        <w:rPr>
          <w:rFonts w:eastAsia="Times New Roman"/>
          <w:lang w:eastAsia="fr-FR"/>
        </w:rPr>
        <w:t xml:space="preserve">En son article 29, la Constitution pose de manière sans équivoque dans l’alinéa ci-après le </w:t>
      </w:r>
      <w:r w:rsidR="00CF1461" w:rsidRPr="00473B94">
        <w:rPr>
          <w:rFonts w:eastAsia="Times New Roman"/>
          <w:lang w:eastAsia="fr-FR"/>
        </w:rPr>
        <w:t>droit</w:t>
      </w:r>
      <w:r w:rsidR="00CF1461" w:rsidRPr="00364966">
        <w:rPr>
          <w:rFonts w:eastAsia="Times New Roman"/>
          <w:lang w:eastAsia="fr-FR"/>
        </w:rPr>
        <w:t xml:space="preserve"> de faire valoir ses droits, le droit à un procès équitable et le droit de recours. Ainsi : </w:t>
      </w:r>
      <w:r w:rsidR="00495BD0">
        <w:rPr>
          <w:rFonts w:eastAsia="Times New Roman"/>
          <w:lang w:eastAsia="fr-FR"/>
        </w:rPr>
        <w:t>« </w:t>
      </w:r>
      <w:r w:rsidR="00CF1461" w:rsidRPr="00364966">
        <w:rPr>
          <w:rFonts w:eastAsia="Times New Roman"/>
          <w:lang w:eastAsia="fr-FR"/>
        </w:rPr>
        <w:t>29.1. Chacun a le droit à un procès équitable ; à ce titre, chacun a le droit</w:t>
      </w:r>
      <w:r w:rsidR="00495BD0">
        <w:rPr>
          <w:rFonts w:eastAsia="Times New Roman"/>
          <w:lang w:eastAsia="fr-FR"/>
        </w:rPr>
        <w:t> </w:t>
      </w:r>
      <w:r w:rsidR="00CF1461" w:rsidRPr="00364966">
        <w:rPr>
          <w:rFonts w:eastAsia="Times New Roman"/>
          <w:lang w:eastAsia="fr-FR"/>
        </w:rPr>
        <w:t>:</w:t>
      </w:r>
    </w:p>
    <w:p w14:paraId="69BD17F5" w14:textId="649C341E"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81005D">
        <w:rPr>
          <w:lang w:eastAsia="fr-FR"/>
        </w:rPr>
        <w:t>À</w:t>
      </w:r>
      <w:r w:rsidR="00CF1461" w:rsidRPr="00E26090">
        <w:rPr>
          <w:lang w:eastAsia="fr-FR"/>
        </w:rPr>
        <w:t xml:space="preserve"> la présomption d’innocence. Nul ne peut être considéré comme coupable d’une infraction avant que sa culpabilité n’ait été établie d’une manière définitive par une décision judiciaire ;</w:t>
      </w:r>
    </w:p>
    <w:p w14:paraId="164D083E" w14:textId="02CB6382"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5B02F8">
        <w:rPr>
          <w:lang w:eastAsia="fr-FR"/>
        </w:rPr>
        <w:t>D</w:t>
      </w:r>
      <w:r w:rsidR="00CF1461" w:rsidRPr="00E26090">
        <w:rPr>
          <w:lang w:eastAsia="fr-FR"/>
        </w:rPr>
        <w:t>e faire valoir ses droit et intérêts, devant les tribunaux du royaume en tant que demandeur ou défendeur ;</w:t>
      </w:r>
    </w:p>
    <w:p w14:paraId="2441FE21" w14:textId="6EFD3446"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5B02F8">
        <w:rPr>
          <w:lang w:eastAsia="fr-FR"/>
        </w:rPr>
        <w:t>D</w:t>
      </w:r>
      <w:r w:rsidR="00CF1461" w:rsidRPr="00E26090">
        <w:rPr>
          <w:lang w:eastAsia="fr-FR"/>
        </w:rPr>
        <w:t>’être assisté d’un avocat pour l’exercice et la préparation de ses droits et de sa défense ;</w:t>
      </w:r>
    </w:p>
    <w:p w14:paraId="12BEF608" w14:textId="077D5A48"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5B02F8">
        <w:rPr>
          <w:lang w:eastAsia="fr-FR"/>
        </w:rPr>
        <w:t>D</w:t>
      </w:r>
      <w:r w:rsidR="00CF1461" w:rsidRPr="00E26090">
        <w:rPr>
          <w:lang w:eastAsia="fr-FR"/>
        </w:rPr>
        <w:t>’être informé de l’accusation portée contre lui ;</w:t>
      </w:r>
    </w:p>
    <w:p w14:paraId="42F153AB" w14:textId="211BC9FF"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lastRenderedPageBreak/>
        <w:t>•</w:t>
      </w:r>
      <w:r w:rsidRPr="00E26090">
        <w:rPr>
          <w:lang w:eastAsia="fr-FR"/>
        </w:rPr>
        <w:tab/>
      </w:r>
      <w:r w:rsidR="0081005D">
        <w:rPr>
          <w:lang w:eastAsia="fr-FR"/>
        </w:rPr>
        <w:t>À</w:t>
      </w:r>
      <w:r w:rsidR="00CF1461" w:rsidRPr="00E26090">
        <w:rPr>
          <w:lang w:eastAsia="fr-FR"/>
        </w:rPr>
        <w:t xml:space="preserve"> un procès équitable dans un délai raisonnable à compter de l’instant où il est accusé d’une infraction ;</w:t>
      </w:r>
    </w:p>
    <w:p w14:paraId="3F239AE4" w14:textId="2FFCF2E8"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5B02F8">
        <w:rPr>
          <w:lang w:eastAsia="fr-FR"/>
        </w:rPr>
        <w:t>D</w:t>
      </w:r>
      <w:r w:rsidR="00CF1461" w:rsidRPr="00E26090">
        <w:rPr>
          <w:lang w:eastAsia="fr-FR"/>
        </w:rPr>
        <w:t>’être entendu par un tribunal impartial et indépendant ;</w:t>
      </w:r>
    </w:p>
    <w:p w14:paraId="53F9F983" w14:textId="08AC6D3B"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81005D">
        <w:rPr>
          <w:lang w:eastAsia="fr-FR"/>
        </w:rPr>
        <w:t>À</w:t>
      </w:r>
      <w:r w:rsidR="00CF1461" w:rsidRPr="00E26090">
        <w:rPr>
          <w:lang w:eastAsia="fr-FR"/>
        </w:rPr>
        <w:t xml:space="preserve"> un recours effectif devant un tribunal pour faire valoir les droits et libertés reconnus par la présente Constitution. Toute personne déclarée coupable d’un délit ou crime a le droit de faire examiner par une juridiction supérieure la déclaration de culpabilité ou la condamnation prononcée par le premier degré de juridiction ;</w:t>
      </w:r>
    </w:p>
    <w:p w14:paraId="37E60AE1" w14:textId="141FCA65"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81005D">
        <w:rPr>
          <w:lang w:eastAsia="fr-FR"/>
        </w:rPr>
        <w:t>À</w:t>
      </w:r>
      <w:r w:rsidR="00CF1461" w:rsidRPr="00E26090">
        <w:rPr>
          <w:lang w:eastAsia="fr-FR"/>
        </w:rPr>
        <w:t xml:space="preserve"> un procès public et à un jugement rendu publiquement ; néanmoins, l’accès à la salle d’audience peut être interdit totalement ou partiellement à la presse et au public dans l’intérêt de la moralité, de l’ordre public ou de la sécurité nationale ou lorsque les intérêts des mineurs ou la protection de la vie privée des parties au procès l’exigent ou lorsque les circonstances spéciales, que le tribunal apprécie, font que la publicité porterait préjudice aux intérêts de la justice ;</w:t>
      </w:r>
    </w:p>
    <w:p w14:paraId="0F3C2FFC" w14:textId="145B9525"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81005D">
        <w:rPr>
          <w:lang w:eastAsia="fr-FR"/>
        </w:rPr>
        <w:t>À</w:t>
      </w:r>
      <w:r w:rsidR="00CF1461" w:rsidRPr="00E26090">
        <w:rPr>
          <w:lang w:eastAsia="fr-FR"/>
        </w:rPr>
        <w:t xml:space="preserve"> interroger ou faire interroger les témoins à charge et obtenir convocation et l’interrogation des témoins à décharge dans des conditions identiques.</w:t>
      </w:r>
      <w:r w:rsidR="00495BD0">
        <w:rPr>
          <w:lang w:eastAsia="fr-FR"/>
        </w:rPr>
        <w:t> ».</w:t>
      </w:r>
    </w:p>
    <w:p w14:paraId="13098CA6" w14:textId="6F967FF8"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98.</w:t>
      </w:r>
      <w:r w:rsidRPr="00E26090">
        <w:rPr>
          <w:rFonts w:eastAsia="Times New Roman"/>
          <w:color w:val="000000" w:themeColor="text1"/>
          <w:lang w:eastAsia="fr-FR"/>
        </w:rPr>
        <w:tab/>
      </w:r>
      <w:r w:rsidR="00CF1461" w:rsidRPr="00E26090">
        <w:rPr>
          <w:rFonts w:eastAsia="Times New Roman"/>
          <w:lang w:eastAsia="fr-FR"/>
        </w:rPr>
        <w:t xml:space="preserve">De même, l’article 66 du </w:t>
      </w:r>
      <w:r w:rsidR="00CF1461">
        <w:rPr>
          <w:rFonts w:eastAsia="Times New Roman"/>
          <w:lang w:eastAsia="fr-FR"/>
        </w:rPr>
        <w:t xml:space="preserve">projet de </w:t>
      </w:r>
      <w:r w:rsidR="00CF1461" w:rsidRPr="00E26090">
        <w:rPr>
          <w:rFonts w:eastAsia="Times New Roman"/>
          <w:lang w:eastAsia="fr-FR"/>
        </w:rPr>
        <w:t xml:space="preserve">CPP, suite à sa modification par la loi </w:t>
      </w:r>
      <w:r w:rsidR="00771DB9">
        <w:rPr>
          <w:rFonts w:asciiTheme="majorBidi" w:eastAsia="Times New Roman" w:hAnsiTheme="majorBidi" w:cstheme="majorBidi"/>
          <w:color w:val="000000"/>
          <w:lang w:eastAsia="fr-FR"/>
        </w:rPr>
        <w:t>n</w:t>
      </w:r>
      <w:r w:rsidR="00771DB9" w:rsidRPr="00050C02">
        <w:rPr>
          <w:rFonts w:asciiTheme="majorBidi" w:eastAsia="Times New Roman" w:hAnsiTheme="majorBidi" w:cstheme="majorBidi"/>
          <w:color w:val="000000"/>
          <w:vertAlign w:val="superscript"/>
          <w:lang w:eastAsia="fr-FR"/>
        </w:rPr>
        <w:t>o</w:t>
      </w:r>
      <w:r w:rsidR="00771DB9">
        <w:rPr>
          <w:rFonts w:asciiTheme="majorBidi" w:eastAsia="Times New Roman" w:hAnsiTheme="majorBidi" w:cstheme="majorBidi"/>
          <w:color w:val="000000"/>
          <w:lang w:eastAsia="fr-FR"/>
        </w:rPr>
        <w:t> </w:t>
      </w:r>
      <w:r w:rsidR="00CF1461" w:rsidRPr="00E26090">
        <w:rPr>
          <w:rFonts w:eastAsia="Times New Roman"/>
          <w:lang w:eastAsia="fr-FR"/>
        </w:rPr>
        <w:t>35</w:t>
      </w:r>
      <w:r w:rsidR="00CF1461">
        <w:rPr>
          <w:rFonts w:eastAsia="Times New Roman"/>
          <w:lang w:eastAsia="fr-FR"/>
        </w:rPr>
        <w:t>.</w:t>
      </w:r>
      <w:r w:rsidR="00CF1461" w:rsidRPr="00E26090">
        <w:rPr>
          <w:rFonts w:eastAsia="Times New Roman"/>
          <w:lang w:eastAsia="fr-FR"/>
        </w:rPr>
        <w:t xml:space="preserve">11 en octobre 2011, fait obligation d’informer toute personne arrêtée ou placée en garde à vue, immédiatement et dans une langue qu’elle comprend, des motifs de sa détention </w:t>
      </w:r>
      <w:r w:rsidR="00CF1461">
        <w:rPr>
          <w:rFonts w:eastAsia="Times New Roman"/>
          <w:lang w:eastAsia="fr-FR"/>
        </w:rPr>
        <w:t>et</w:t>
      </w:r>
      <w:r w:rsidR="00CF1461" w:rsidRPr="00E26090">
        <w:rPr>
          <w:rFonts w:eastAsia="Times New Roman"/>
          <w:lang w:eastAsia="fr-FR"/>
        </w:rPr>
        <w:t xml:space="preserve"> de ses droits, dont son droit à garder le silence, à avoir accès à un av</w:t>
      </w:r>
      <w:r w:rsidR="005B02F8">
        <w:rPr>
          <w:rFonts w:eastAsia="Times New Roman"/>
          <w:lang w:eastAsia="fr-FR"/>
        </w:rPr>
        <w:t>ocat et à contacter ses proches</w:t>
      </w:r>
      <w:r w:rsidR="00CF1461" w:rsidRPr="003C06D3">
        <w:rPr>
          <w:rStyle w:val="Appelnotedebasdep"/>
        </w:rPr>
        <w:footnoteReference w:id="37"/>
      </w:r>
      <w:r w:rsidR="005B02F8">
        <w:rPr>
          <w:rFonts w:eastAsia="Times New Roman"/>
          <w:lang w:eastAsia="fr-FR"/>
        </w:rPr>
        <w:t>.</w:t>
      </w:r>
    </w:p>
    <w:p w14:paraId="70657553" w14:textId="6E149CAA" w:rsidR="00CF1461" w:rsidRPr="00972B4C" w:rsidRDefault="004B5A1A" w:rsidP="004B5A1A">
      <w:pPr>
        <w:pStyle w:val="SingleTxtG"/>
        <w:tabs>
          <w:tab w:val="clear" w:pos="1701"/>
          <w:tab w:val="clear" w:pos="2268"/>
          <w:tab w:val="clear" w:pos="2835"/>
        </w:tabs>
        <w:rPr>
          <w:rFonts w:eastAsia="Times New Roman"/>
          <w:lang w:eastAsia="fr-FR"/>
        </w:rPr>
      </w:pPr>
      <w:r w:rsidRPr="00972B4C">
        <w:rPr>
          <w:rFonts w:eastAsia="Times New Roman"/>
          <w:color w:val="000000" w:themeColor="text1"/>
          <w:lang w:eastAsia="fr-FR"/>
        </w:rPr>
        <w:t>99.</w:t>
      </w:r>
      <w:r w:rsidRPr="00972B4C">
        <w:rPr>
          <w:rFonts w:eastAsia="Times New Roman"/>
          <w:color w:val="000000" w:themeColor="text1"/>
          <w:lang w:eastAsia="fr-FR"/>
        </w:rPr>
        <w:tab/>
      </w:r>
      <w:r w:rsidR="00CF1461" w:rsidRPr="004465F5">
        <w:rPr>
          <w:rFonts w:eastAsia="Times New Roman"/>
          <w:lang w:eastAsia="fr-FR"/>
        </w:rPr>
        <w:t xml:space="preserve">Et pour s’entourer de plus de garanties en termes de procès équitable, le </w:t>
      </w:r>
      <w:r w:rsidR="00CF1461">
        <w:rPr>
          <w:rFonts w:eastAsia="Times New Roman"/>
          <w:lang w:eastAsia="fr-FR"/>
        </w:rPr>
        <w:t xml:space="preserve">projet de </w:t>
      </w:r>
      <w:r w:rsidR="00CF1461" w:rsidRPr="004465F5">
        <w:rPr>
          <w:rFonts w:eastAsia="Times New Roman"/>
          <w:lang w:eastAsia="fr-FR"/>
        </w:rPr>
        <w:t xml:space="preserve">CPP prévoit une plus grande rationalisation du recours à la garde à vue, notamment à travers la réduction des cas de recours à cette dernière et à travers la réaffirmation du caractère exceptionnel de la garde à vue. </w:t>
      </w:r>
      <w:r w:rsidR="00CF1461">
        <w:rPr>
          <w:rFonts w:eastAsia="Times New Roman"/>
          <w:lang w:eastAsia="fr-FR"/>
        </w:rPr>
        <w:t>Il prévoie aussi</w:t>
      </w:r>
      <w:r w:rsidR="00CF1461" w:rsidRPr="004465F5">
        <w:rPr>
          <w:rFonts w:eastAsia="Times New Roman"/>
          <w:lang w:eastAsia="fr-FR"/>
        </w:rPr>
        <w:t xml:space="preserve"> plusieurs mesures susceptibles de </w:t>
      </w:r>
      <w:r w:rsidR="00CF1461">
        <w:rPr>
          <w:rFonts w:eastAsia="Times New Roman"/>
          <w:lang w:eastAsia="fr-FR"/>
        </w:rPr>
        <w:t xml:space="preserve">mieux </w:t>
      </w:r>
      <w:r w:rsidR="00CF1461" w:rsidRPr="004465F5">
        <w:rPr>
          <w:rFonts w:eastAsia="Times New Roman"/>
          <w:lang w:eastAsia="fr-FR"/>
        </w:rPr>
        <w:t>contrôler les circonstances</w:t>
      </w:r>
      <w:r w:rsidR="00CF1461">
        <w:rPr>
          <w:rFonts w:eastAsia="Times New Roman"/>
          <w:lang w:eastAsia="fr-FR"/>
        </w:rPr>
        <w:t xml:space="preserve"> de la garde à vue</w:t>
      </w:r>
      <w:r w:rsidR="00CF1461" w:rsidRPr="004465F5">
        <w:rPr>
          <w:rFonts w:eastAsia="Times New Roman"/>
          <w:lang w:eastAsia="fr-FR"/>
        </w:rPr>
        <w:t xml:space="preserve"> tel l’enregistrement audiovisuel des interrogatoires et le droit de contacter un avocat dès la première heure de l’arrestation. Il a également veillé à la rationalisation de la détention préventive à travers plusieurs procédures visant la consolidation de son caractère exceptionnel.</w:t>
      </w:r>
    </w:p>
    <w:p w14:paraId="7F52D3C1" w14:textId="6BA55841"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100.</w:t>
      </w:r>
      <w:r w:rsidRPr="00855577">
        <w:rPr>
          <w:rFonts w:eastAsia="Times New Roman"/>
          <w:color w:val="000000" w:themeColor="text1"/>
          <w:lang w:eastAsia="fr-FR"/>
        </w:rPr>
        <w:tab/>
      </w:r>
      <w:r w:rsidR="0081005D">
        <w:rPr>
          <w:rFonts w:eastAsia="Times New Roman"/>
          <w:lang w:eastAsia="fr-FR"/>
        </w:rPr>
        <w:t>À</w:t>
      </w:r>
      <w:r w:rsidR="00CF1461">
        <w:rPr>
          <w:rFonts w:eastAsia="Times New Roman"/>
          <w:lang w:eastAsia="fr-FR"/>
        </w:rPr>
        <w:t xml:space="preserve"> noter aussi que </w:t>
      </w:r>
      <w:r w:rsidR="00CF1461" w:rsidRPr="00855577">
        <w:rPr>
          <w:rFonts w:eastAsia="Times New Roman"/>
          <w:lang w:eastAsia="fr-FR"/>
        </w:rPr>
        <w:t>le projet de CPP dispose plusieurs garanties en vue d</w:t>
      </w:r>
      <w:r w:rsidR="00CD5A97">
        <w:rPr>
          <w:rFonts w:eastAsia="Times New Roman"/>
          <w:lang w:eastAsia="fr-FR"/>
        </w:rPr>
        <w:t>’</w:t>
      </w:r>
      <w:r w:rsidR="00CF1461" w:rsidRPr="00855577">
        <w:rPr>
          <w:rFonts w:eastAsia="Times New Roman"/>
          <w:lang w:eastAsia="fr-FR"/>
        </w:rPr>
        <w:t>un procès équitable à travers notamment :</w:t>
      </w:r>
    </w:p>
    <w:p w14:paraId="279294D1" w14:textId="7C3CE057" w:rsidR="00CF1461" w:rsidRPr="001A4E49" w:rsidRDefault="004B5A1A" w:rsidP="004B5A1A">
      <w:pPr>
        <w:pStyle w:val="Bullet1G"/>
        <w:numPr>
          <w:ilvl w:val="0"/>
          <w:numId w:val="0"/>
        </w:numPr>
        <w:tabs>
          <w:tab w:val="left" w:pos="1701"/>
        </w:tabs>
        <w:ind w:left="1701" w:hanging="170"/>
        <w:rPr>
          <w:lang w:eastAsia="fr-FR"/>
        </w:rPr>
      </w:pPr>
      <w:r w:rsidRPr="001A4E49">
        <w:rPr>
          <w:lang w:eastAsia="fr-FR"/>
        </w:rPr>
        <w:t>•</w:t>
      </w:r>
      <w:r w:rsidRPr="001A4E49">
        <w:rPr>
          <w:lang w:eastAsia="fr-FR"/>
        </w:rPr>
        <w:tab/>
      </w:r>
      <w:r w:rsidR="005B02F8">
        <w:rPr>
          <w:lang w:eastAsia="fr-FR"/>
        </w:rPr>
        <w:t>L</w:t>
      </w:r>
      <w:r w:rsidR="00CF1461" w:rsidRPr="00514287">
        <w:rPr>
          <w:lang w:eastAsia="fr-FR"/>
        </w:rPr>
        <w:t>’obligation</w:t>
      </w:r>
      <w:r w:rsidR="00CF1461" w:rsidRPr="001A4E49">
        <w:rPr>
          <w:lang w:eastAsia="fr-FR"/>
        </w:rPr>
        <w:t xml:space="preserve"> pour l</w:t>
      </w:r>
      <w:r w:rsidR="00CD5A97">
        <w:rPr>
          <w:lang w:eastAsia="fr-FR"/>
        </w:rPr>
        <w:t>’</w:t>
      </w:r>
      <w:r w:rsidR="00CF1461" w:rsidRPr="001A4E49">
        <w:rPr>
          <w:lang w:eastAsia="fr-FR"/>
        </w:rPr>
        <w:t>agent de police judiciaire d’engager un interprète si la personne soumise à l’interrogatoire parle une langue ou un dialecte que l</w:t>
      </w:r>
      <w:r w:rsidR="00CD5A97">
        <w:rPr>
          <w:lang w:eastAsia="fr-FR"/>
        </w:rPr>
        <w:t>’</w:t>
      </w:r>
      <w:r w:rsidR="00CF1461" w:rsidRPr="001A4E49">
        <w:rPr>
          <w:lang w:eastAsia="fr-FR"/>
        </w:rPr>
        <w:t xml:space="preserve">officier de police judiciaire ne maitrise pas, ou une personne maitrisant le langage des signes lorsqu’il ne s’agit de </w:t>
      </w:r>
      <w:r w:rsidR="00771DB9" w:rsidRPr="001A4E49">
        <w:rPr>
          <w:lang w:eastAsia="fr-FR"/>
        </w:rPr>
        <w:t>personne sourde-muette</w:t>
      </w:r>
      <w:r w:rsidR="00CF1461" w:rsidRPr="001A4E49">
        <w:rPr>
          <w:lang w:eastAsia="fr-FR"/>
        </w:rPr>
        <w:t>, et d’exiger la signature de l’interprète sur le PV (art.</w:t>
      </w:r>
      <w:r w:rsidR="00771DB9">
        <w:rPr>
          <w:lang w:eastAsia="fr-FR"/>
        </w:rPr>
        <w:t> </w:t>
      </w:r>
      <w:r w:rsidR="00CF1461" w:rsidRPr="001A4E49">
        <w:rPr>
          <w:lang w:eastAsia="fr-FR"/>
        </w:rPr>
        <w:t>21) ;</w:t>
      </w:r>
    </w:p>
    <w:p w14:paraId="3D63D996" w14:textId="4BFE778B" w:rsidR="00CF1461" w:rsidRPr="001A4E49" w:rsidRDefault="004B5A1A" w:rsidP="004B5A1A">
      <w:pPr>
        <w:pStyle w:val="Bullet1G"/>
        <w:numPr>
          <w:ilvl w:val="0"/>
          <w:numId w:val="0"/>
        </w:numPr>
        <w:tabs>
          <w:tab w:val="left" w:pos="1701"/>
        </w:tabs>
        <w:ind w:left="1701" w:hanging="170"/>
        <w:rPr>
          <w:lang w:eastAsia="fr-FR"/>
        </w:rPr>
      </w:pPr>
      <w:r w:rsidRPr="001A4E49">
        <w:rPr>
          <w:lang w:eastAsia="fr-FR"/>
        </w:rPr>
        <w:t>•</w:t>
      </w:r>
      <w:r w:rsidRPr="001A4E49">
        <w:rPr>
          <w:lang w:eastAsia="fr-FR"/>
        </w:rPr>
        <w:tab/>
      </w:r>
      <w:r w:rsidR="005B02F8">
        <w:rPr>
          <w:lang w:eastAsia="fr-FR"/>
        </w:rPr>
        <w:t>L</w:t>
      </w:r>
      <w:r w:rsidR="00CF1461" w:rsidRPr="00514287">
        <w:rPr>
          <w:lang w:eastAsia="fr-FR"/>
        </w:rPr>
        <w:t>’exigence</w:t>
      </w:r>
      <w:r w:rsidR="00CF1461" w:rsidRPr="001A4E49">
        <w:rPr>
          <w:lang w:eastAsia="fr-FR"/>
        </w:rPr>
        <w:t xml:space="preserve"> de cette obligation également devant le ministère public (art.</w:t>
      </w:r>
      <w:r w:rsidR="00771DB9">
        <w:rPr>
          <w:lang w:eastAsia="fr-FR"/>
        </w:rPr>
        <w:t> </w:t>
      </w:r>
      <w:r w:rsidR="00CF1461" w:rsidRPr="001A4E49">
        <w:rPr>
          <w:lang w:eastAsia="fr-FR"/>
        </w:rPr>
        <w:t>47), lors de la phase d’enquête judiciaire et devant le juge d’instruction ;</w:t>
      </w:r>
    </w:p>
    <w:p w14:paraId="3A9F2A28" w14:textId="60C6F6FF" w:rsidR="00CF1461" w:rsidRPr="001A4E49" w:rsidRDefault="004B5A1A" w:rsidP="004B5A1A">
      <w:pPr>
        <w:pStyle w:val="Bullet1G"/>
        <w:numPr>
          <w:ilvl w:val="0"/>
          <w:numId w:val="0"/>
        </w:numPr>
        <w:tabs>
          <w:tab w:val="left" w:pos="1701"/>
        </w:tabs>
        <w:ind w:left="1701" w:hanging="170"/>
        <w:rPr>
          <w:lang w:eastAsia="fr-FR"/>
        </w:rPr>
      </w:pPr>
      <w:r w:rsidRPr="001A4E49">
        <w:rPr>
          <w:lang w:eastAsia="fr-FR"/>
        </w:rPr>
        <w:t>•</w:t>
      </w:r>
      <w:r w:rsidRPr="001A4E49">
        <w:rPr>
          <w:lang w:eastAsia="fr-FR"/>
        </w:rPr>
        <w:tab/>
      </w:r>
      <w:r w:rsidR="005B02F8">
        <w:rPr>
          <w:lang w:eastAsia="fr-FR"/>
        </w:rPr>
        <w:t>L</w:t>
      </w:r>
      <w:r w:rsidR="00CF1461" w:rsidRPr="001A4E49">
        <w:rPr>
          <w:lang w:eastAsia="fr-FR"/>
        </w:rPr>
        <w:t xml:space="preserve">e </w:t>
      </w:r>
      <w:r w:rsidR="00CF1461" w:rsidRPr="00514287">
        <w:rPr>
          <w:lang w:eastAsia="fr-FR"/>
        </w:rPr>
        <w:t>renforcement</w:t>
      </w:r>
      <w:r w:rsidR="00CF1461" w:rsidRPr="001A4E49">
        <w:rPr>
          <w:lang w:eastAsia="fr-FR"/>
        </w:rPr>
        <w:t xml:space="preserve"> du rôle de l</w:t>
      </w:r>
      <w:r w:rsidR="00CD5A97">
        <w:rPr>
          <w:lang w:eastAsia="fr-FR"/>
        </w:rPr>
        <w:t>’</w:t>
      </w:r>
      <w:r w:rsidR="00CF1461" w:rsidRPr="001A4E49">
        <w:rPr>
          <w:lang w:eastAsia="fr-FR"/>
        </w:rPr>
        <w:t>avocat lors de l</w:t>
      </w:r>
      <w:r w:rsidR="00CD5A97">
        <w:rPr>
          <w:lang w:eastAsia="fr-FR"/>
        </w:rPr>
        <w:t>’</w:t>
      </w:r>
      <w:r w:rsidR="00CF1461" w:rsidRPr="001A4E49">
        <w:rPr>
          <w:lang w:eastAsia="fr-FR"/>
        </w:rPr>
        <w:t>interrogatoire de l</w:t>
      </w:r>
      <w:r w:rsidR="00CD5A97">
        <w:rPr>
          <w:lang w:eastAsia="fr-FR"/>
        </w:rPr>
        <w:t>’</w:t>
      </w:r>
      <w:r w:rsidR="00CF1461" w:rsidRPr="001A4E49">
        <w:rPr>
          <w:lang w:eastAsia="fr-FR"/>
        </w:rPr>
        <w:t xml:space="preserve">inculpé effectué par le procureur, puisqu’il est de son droit de demander un examen médical sur son </w:t>
      </w:r>
      <w:r w:rsidR="005601DF" w:rsidRPr="001A4E49">
        <w:rPr>
          <w:lang w:eastAsia="fr-FR"/>
        </w:rPr>
        <w:t>client, de</w:t>
      </w:r>
      <w:r w:rsidR="00CF1461" w:rsidRPr="001A4E49">
        <w:rPr>
          <w:lang w:eastAsia="fr-FR"/>
        </w:rPr>
        <w:t xml:space="preserve"> présenter à sa place des documents ou preuves par écrit et de demander sa libération sous caution (art.</w:t>
      </w:r>
      <w:r w:rsidR="00771DB9">
        <w:rPr>
          <w:lang w:eastAsia="fr-FR"/>
        </w:rPr>
        <w:t> </w:t>
      </w:r>
      <w:r w:rsidR="00CF1461" w:rsidRPr="001A4E49">
        <w:rPr>
          <w:lang w:eastAsia="fr-FR"/>
        </w:rPr>
        <w:t>73 et 74)</w:t>
      </w:r>
      <w:r w:rsidR="00771DB9">
        <w:rPr>
          <w:lang w:eastAsia="fr-FR"/>
        </w:rPr>
        <w:t> </w:t>
      </w:r>
      <w:r w:rsidR="00CF1461" w:rsidRPr="001A4E49">
        <w:rPr>
          <w:lang w:eastAsia="fr-FR"/>
        </w:rPr>
        <w:t>;</w:t>
      </w:r>
    </w:p>
    <w:p w14:paraId="07211222" w14:textId="161FE5FE" w:rsidR="00CF1461" w:rsidRPr="00A56B0F" w:rsidRDefault="004B5A1A" w:rsidP="004B5A1A">
      <w:pPr>
        <w:pStyle w:val="Bullet1G"/>
        <w:numPr>
          <w:ilvl w:val="0"/>
          <w:numId w:val="0"/>
        </w:numPr>
        <w:tabs>
          <w:tab w:val="left" w:pos="1701"/>
        </w:tabs>
        <w:ind w:left="1701" w:hanging="170"/>
        <w:rPr>
          <w:rFonts w:asciiTheme="majorBidi" w:hAnsiTheme="majorBidi" w:cstheme="majorBidi"/>
        </w:rPr>
      </w:pPr>
      <w:r w:rsidRPr="00A56B0F">
        <w:t>•</w:t>
      </w:r>
      <w:r w:rsidRPr="00A56B0F">
        <w:tab/>
      </w:r>
      <w:r w:rsidR="005B02F8">
        <w:rPr>
          <w:lang w:eastAsia="fr-FR"/>
        </w:rPr>
        <w:t>L</w:t>
      </w:r>
      <w:r w:rsidR="00CF1461" w:rsidRPr="001A4E49">
        <w:rPr>
          <w:lang w:eastAsia="fr-FR"/>
        </w:rPr>
        <w:t xml:space="preserve">a </w:t>
      </w:r>
      <w:r w:rsidR="00CF1461" w:rsidRPr="00514287">
        <w:rPr>
          <w:lang w:eastAsia="fr-FR"/>
        </w:rPr>
        <w:t>détermination</w:t>
      </w:r>
      <w:r w:rsidR="00CF1461" w:rsidRPr="001A4E49">
        <w:rPr>
          <w:lang w:eastAsia="fr-FR"/>
        </w:rPr>
        <w:t xml:space="preserve"> de délais limites pour l</w:t>
      </w:r>
      <w:r w:rsidR="00CD5A97">
        <w:rPr>
          <w:lang w:eastAsia="fr-FR"/>
        </w:rPr>
        <w:t>’</w:t>
      </w:r>
      <w:r w:rsidR="00CF1461" w:rsidRPr="001A4E49">
        <w:rPr>
          <w:lang w:eastAsia="fr-FR"/>
        </w:rPr>
        <w:t>achèvement des procédures judiciaires</w:t>
      </w:r>
      <w:r w:rsidR="00CF1461" w:rsidRPr="00A56B0F">
        <w:rPr>
          <w:rFonts w:asciiTheme="majorBidi" w:hAnsiTheme="majorBidi" w:cstheme="majorBidi"/>
        </w:rPr>
        <w:t xml:space="preserve"> et pour se prononcer sur les dossiers en instruction afin d</w:t>
      </w:r>
      <w:r w:rsidR="00CD5A97">
        <w:rPr>
          <w:rFonts w:asciiTheme="majorBidi" w:hAnsiTheme="majorBidi" w:cstheme="majorBidi"/>
        </w:rPr>
        <w:t>’</w:t>
      </w:r>
      <w:r w:rsidR="00CF1461" w:rsidRPr="00A56B0F">
        <w:rPr>
          <w:rFonts w:asciiTheme="majorBidi" w:hAnsiTheme="majorBidi" w:cstheme="majorBidi"/>
        </w:rPr>
        <w:t>assurer la rapidité et l</w:t>
      </w:r>
      <w:r w:rsidR="00CD5A97">
        <w:rPr>
          <w:rFonts w:asciiTheme="majorBidi" w:hAnsiTheme="majorBidi" w:cstheme="majorBidi"/>
        </w:rPr>
        <w:t>’</w:t>
      </w:r>
      <w:r w:rsidR="00CF1461" w:rsidRPr="00A56B0F">
        <w:rPr>
          <w:rFonts w:asciiTheme="majorBidi" w:hAnsiTheme="majorBidi" w:cstheme="majorBidi"/>
        </w:rPr>
        <w:t>efficacité nécessaires à l</w:t>
      </w:r>
      <w:r w:rsidR="00CD5A97">
        <w:rPr>
          <w:rFonts w:asciiTheme="majorBidi" w:hAnsiTheme="majorBidi" w:cstheme="majorBidi"/>
        </w:rPr>
        <w:t>’</w:t>
      </w:r>
      <w:r w:rsidR="00CF1461" w:rsidRPr="00A56B0F">
        <w:rPr>
          <w:rFonts w:asciiTheme="majorBidi" w:hAnsiTheme="majorBidi" w:cstheme="majorBidi"/>
        </w:rPr>
        <w:t>exercice de la justice pénale, en particulier dans les cas de détenus (art</w:t>
      </w:r>
      <w:r w:rsidR="00CF1461">
        <w:rPr>
          <w:rFonts w:asciiTheme="majorBidi" w:hAnsiTheme="majorBidi" w:cstheme="majorBidi"/>
        </w:rPr>
        <w:t>.</w:t>
      </w:r>
      <w:r w:rsidR="00771DB9">
        <w:rPr>
          <w:rFonts w:asciiTheme="majorBidi" w:hAnsiTheme="majorBidi" w:cstheme="majorBidi"/>
        </w:rPr>
        <w:t> </w:t>
      </w:r>
      <w:r w:rsidR="00CF1461" w:rsidRPr="00A56B0F">
        <w:rPr>
          <w:rFonts w:asciiTheme="majorBidi" w:hAnsiTheme="majorBidi" w:cstheme="majorBidi"/>
        </w:rPr>
        <w:t>180, 196 215 234, 381 528 540).</w:t>
      </w:r>
    </w:p>
    <w:p w14:paraId="1AC14E69" w14:textId="51E34020"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101.</w:t>
      </w:r>
      <w:r w:rsidRPr="00E26090">
        <w:rPr>
          <w:rFonts w:eastAsia="Times New Roman"/>
          <w:color w:val="000000" w:themeColor="text1"/>
          <w:lang w:eastAsia="fr-FR"/>
        </w:rPr>
        <w:tab/>
      </w:r>
      <w:r w:rsidR="00CF1461" w:rsidRPr="00E26090">
        <w:rPr>
          <w:rFonts w:eastAsia="Times New Roman"/>
          <w:lang w:eastAsia="fr-FR"/>
        </w:rPr>
        <w:t xml:space="preserve">En ce qui concerne les marocains de confession juive, </w:t>
      </w:r>
      <w:r w:rsidR="00CF1461">
        <w:rPr>
          <w:rFonts w:eastAsia="Times New Roman"/>
          <w:lang w:eastAsia="fr-FR"/>
        </w:rPr>
        <w:t>l</w:t>
      </w:r>
      <w:r w:rsidR="00CF1461" w:rsidRPr="00D46885">
        <w:rPr>
          <w:rFonts w:eastAsia="Times New Roman"/>
          <w:lang w:eastAsia="fr-FR"/>
        </w:rPr>
        <w:t xml:space="preserve">a communauté israélite marocaine dispose de </w:t>
      </w:r>
      <w:r w:rsidR="00CF1461">
        <w:rPr>
          <w:rFonts w:eastAsia="Times New Roman"/>
          <w:lang w:eastAsia="fr-FR"/>
        </w:rPr>
        <w:t>deux</w:t>
      </w:r>
      <w:r w:rsidR="00CF1461" w:rsidRPr="00D46885">
        <w:rPr>
          <w:rFonts w:eastAsia="Times New Roman"/>
          <w:lang w:eastAsia="fr-FR"/>
        </w:rPr>
        <w:t xml:space="preserve"> chambres hébraïques sises au sein du Tribunal de première instance de</w:t>
      </w:r>
      <w:r w:rsidR="00CF1461">
        <w:rPr>
          <w:rFonts w:eastAsia="Times New Roman"/>
          <w:lang w:eastAsia="fr-FR"/>
        </w:rPr>
        <w:t>s villes de</w:t>
      </w:r>
      <w:r w:rsidR="00CF1461" w:rsidRPr="00D46885">
        <w:rPr>
          <w:rFonts w:eastAsia="Times New Roman"/>
          <w:lang w:eastAsia="fr-FR"/>
        </w:rPr>
        <w:t xml:space="preserve"> Casablanca</w:t>
      </w:r>
      <w:r w:rsidR="00CF1461">
        <w:rPr>
          <w:rFonts w:eastAsia="Times New Roman"/>
          <w:lang w:eastAsia="fr-FR"/>
        </w:rPr>
        <w:t xml:space="preserve"> </w:t>
      </w:r>
      <w:r w:rsidR="00CF1461" w:rsidRPr="00D46885">
        <w:rPr>
          <w:rFonts w:eastAsia="Times New Roman"/>
          <w:lang w:eastAsia="fr-FR"/>
        </w:rPr>
        <w:t xml:space="preserve">et </w:t>
      </w:r>
      <w:r w:rsidR="00CF1461">
        <w:rPr>
          <w:rFonts w:eastAsia="Times New Roman"/>
          <w:lang w:eastAsia="fr-FR"/>
        </w:rPr>
        <w:t xml:space="preserve">de </w:t>
      </w:r>
      <w:r w:rsidR="00CF1461" w:rsidRPr="00D46885">
        <w:rPr>
          <w:rFonts w:eastAsia="Times New Roman"/>
          <w:lang w:eastAsia="fr-FR"/>
        </w:rPr>
        <w:t xml:space="preserve">Marrakech, </w:t>
      </w:r>
      <w:r w:rsidR="00CF1461">
        <w:rPr>
          <w:rFonts w:eastAsia="Times New Roman"/>
          <w:lang w:eastAsia="fr-FR"/>
        </w:rPr>
        <w:t xml:space="preserve">et </w:t>
      </w:r>
      <w:r w:rsidR="00CF1461" w:rsidRPr="00D46885">
        <w:rPr>
          <w:rFonts w:eastAsia="Times New Roman"/>
          <w:lang w:eastAsia="fr-FR"/>
        </w:rPr>
        <w:t>où siègent sept rabbins juges</w:t>
      </w:r>
      <w:r w:rsidR="00CF1461">
        <w:rPr>
          <w:rFonts w:eastAsia="Times New Roman"/>
          <w:lang w:eastAsia="fr-FR"/>
        </w:rPr>
        <w:t xml:space="preserve"> </w:t>
      </w:r>
      <w:r w:rsidR="00CF1461" w:rsidRPr="00E26090">
        <w:rPr>
          <w:rFonts w:eastAsia="Times New Roman"/>
          <w:lang w:eastAsia="fr-FR"/>
        </w:rPr>
        <w:t xml:space="preserve">qui statuent selon les lois fondamentales juives. </w:t>
      </w:r>
      <w:r w:rsidR="00CF1461">
        <w:rPr>
          <w:rFonts w:eastAsia="Times New Roman"/>
          <w:lang w:eastAsia="fr-FR"/>
        </w:rPr>
        <w:t>Au</w:t>
      </w:r>
      <w:r w:rsidR="00CF1461" w:rsidRPr="00E26090">
        <w:rPr>
          <w:rFonts w:eastAsia="Times New Roman"/>
          <w:lang w:eastAsia="fr-FR"/>
        </w:rPr>
        <w:t xml:space="preserve"> </w:t>
      </w:r>
      <w:r w:rsidR="00CF1461">
        <w:rPr>
          <w:rFonts w:eastAsia="Times New Roman"/>
          <w:lang w:eastAsia="fr-FR"/>
        </w:rPr>
        <w:t>« </w:t>
      </w:r>
      <w:r w:rsidR="00CF1461" w:rsidRPr="00E26090">
        <w:rPr>
          <w:rFonts w:eastAsia="Times New Roman"/>
          <w:lang w:eastAsia="fr-FR"/>
        </w:rPr>
        <w:t>Bet Din</w:t>
      </w:r>
      <w:r w:rsidR="00CF1461">
        <w:rPr>
          <w:rFonts w:eastAsia="Times New Roman"/>
          <w:lang w:eastAsia="fr-FR"/>
        </w:rPr>
        <w:t> »</w:t>
      </w:r>
      <w:r w:rsidR="00CF1461" w:rsidRPr="00E26090">
        <w:rPr>
          <w:rFonts w:eastAsia="Times New Roman"/>
          <w:lang w:eastAsia="fr-FR"/>
        </w:rPr>
        <w:t xml:space="preserve">, les affaires civiles sont entendues et jugées par des Rabbins. Le </w:t>
      </w:r>
      <w:r w:rsidR="00CF1461">
        <w:rPr>
          <w:rFonts w:eastAsia="Times New Roman"/>
          <w:lang w:eastAsia="fr-FR"/>
        </w:rPr>
        <w:t>« </w:t>
      </w:r>
      <w:r w:rsidR="00CF1461" w:rsidRPr="00E26090">
        <w:rPr>
          <w:rFonts w:eastAsia="Times New Roman"/>
          <w:lang w:eastAsia="fr-FR"/>
        </w:rPr>
        <w:t>Bet Din</w:t>
      </w:r>
      <w:r w:rsidR="00CF1461">
        <w:rPr>
          <w:rFonts w:eastAsia="Times New Roman"/>
          <w:lang w:eastAsia="fr-FR"/>
        </w:rPr>
        <w:t> »</w:t>
      </w:r>
      <w:r w:rsidR="00CF1461" w:rsidRPr="00E26090">
        <w:rPr>
          <w:rFonts w:eastAsia="Times New Roman"/>
          <w:lang w:eastAsia="fr-FR"/>
        </w:rPr>
        <w:t xml:space="preserve"> marocain est le seul système de Justice </w:t>
      </w:r>
      <w:r w:rsidR="00CF1461" w:rsidRPr="00E26090">
        <w:rPr>
          <w:rFonts w:eastAsia="Times New Roman"/>
          <w:lang w:eastAsia="fr-FR"/>
        </w:rPr>
        <w:lastRenderedPageBreak/>
        <w:t>juif existant en dehors d</w:t>
      </w:r>
      <w:r w:rsidR="00CD5A97">
        <w:rPr>
          <w:rFonts w:eastAsia="Times New Roman"/>
          <w:lang w:eastAsia="fr-FR"/>
        </w:rPr>
        <w:t>’</w:t>
      </w:r>
      <w:r w:rsidR="00CF1461" w:rsidRPr="00E26090">
        <w:rPr>
          <w:rFonts w:eastAsia="Times New Roman"/>
          <w:lang w:eastAsia="fr-FR"/>
        </w:rPr>
        <w:t>Israël, officiellement reconnu comme un organe juridique national et situé dans les mêmes locaux que les tribunaux musulmans.</w:t>
      </w:r>
    </w:p>
    <w:p w14:paraId="04E9E47F" w14:textId="11A71527"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102.</w:t>
      </w:r>
      <w:r w:rsidRPr="00855577">
        <w:rPr>
          <w:rFonts w:eastAsia="Times New Roman"/>
          <w:color w:val="000000" w:themeColor="text1"/>
          <w:lang w:eastAsia="fr-FR"/>
        </w:rPr>
        <w:tab/>
      </w:r>
      <w:r w:rsidR="00CF1461" w:rsidRPr="00855577">
        <w:rPr>
          <w:rFonts w:eastAsia="Times New Roman"/>
          <w:lang w:eastAsia="fr-FR"/>
        </w:rPr>
        <w:t>Les détenus étrangers bénéficient des mêmes droits que les autres détenus. Ils ne souffrent d’aucune discrimination mais bien plutôt du manque de contact avec l’extérieur. C’est pour cette raison que la DGAPR prévient systématiquement les représentations diplomat</w:t>
      </w:r>
      <w:r w:rsidR="00CF1461" w:rsidRPr="00473B94">
        <w:rPr>
          <w:rFonts w:eastAsia="Times New Roman"/>
          <w:lang w:eastAsia="fr-FR"/>
        </w:rPr>
        <w:t>i</w:t>
      </w:r>
      <w:r w:rsidR="00CF1461" w:rsidRPr="00855577">
        <w:rPr>
          <w:rFonts w:eastAsia="Times New Roman"/>
          <w:lang w:eastAsia="fr-FR"/>
        </w:rPr>
        <w:t xml:space="preserve">ques concernées dans le but d’organiser des visites à ces détenus, même si des fois certains </w:t>
      </w:r>
      <w:r w:rsidR="00CF1461" w:rsidRPr="00473B94">
        <w:rPr>
          <w:rFonts w:eastAsia="Times New Roman"/>
          <w:lang w:eastAsia="fr-FR"/>
        </w:rPr>
        <w:t>détenus</w:t>
      </w:r>
      <w:r w:rsidR="00CF1461" w:rsidRPr="00855577">
        <w:rPr>
          <w:rFonts w:eastAsia="Times New Roman"/>
          <w:lang w:eastAsia="fr-FR"/>
        </w:rPr>
        <w:t xml:space="preserve"> évitent de déclarer leur vraie nationalité. </w:t>
      </w:r>
    </w:p>
    <w:p w14:paraId="1BEF8127" w14:textId="70874D22"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103.</w:t>
      </w:r>
      <w:r w:rsidRPr="00855577">
        <w:rPr>
          <w:rFonts w:eastAsia="Times New Roman"/>
          <w:color w:val="000000" w:themeColor="text1"/>
          <w:lang w:eastAsia="fr-FR"/>
        </w:rPr>
        <w:tab/>
      </w:r>
      <w:r w:rsidR="00CF1461" w:rsidRPr="00855577">
        <w:rPr>
          <w:rFonts w:eastAsia="Times New Roman"/>
          <w:lang w:eastAsia="fr-FR"/>
        </w:rPr>
        <w:t>Les détenus sont libres de pratiquer leur religion. Les célébrations de messes à l’occasion des fêtes religieuses chrétiennes sont organisées dans les prisons. Des visites de membres d’organismes religieux sont également organisées dans le but d’apporter un réconfort spirituel et moral aux détenus. Une autorisation de visite permanente a été accordée à l’ensemble des organismes confessionnels présents au pays (Archevêché, Eglise anglicane, Diocèse, Rabbins, Conseils de la Communauté juive, Aumôniers etc.).</w:t>
      </w:r>
    </w:p>
    <w:p w14:paraId="4E3A84AB" w14:textId="0E3DB64C"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104.</w:t>
      </w:r>
      <w:r w:rsidRPr="00855577">
        <w:rPr>
          <w:rFonts w:eastAsia="Times New Roman"/>
          <w:color w:val="000000" w:themeColor="text1"/>
          <w:lang w:eastAsia="fr-FR"/>
        </w:rPr>
        <w:tab/>
      </w:r>
      <w:r w:rsidR="00CF1461" w:rsidRPr="00855577">
        <w:rPr>
          <w:rFonts w:eastAsia="Times New Roman"/>
          <w:lang w:eastAsia="fr-FR"/>
        </w:rPr>
        <w:t>En matière de plaintes, tous les détenus ont le droit de présenter leurs doléances verbalement ou par écrit au directeur de l’établissement, au Délégué général, aux Autorités judiciaires ou à la Commission provinciale de contrôle, conformément à la loi, à la Chambre des Représentants, au CNDH et aux ONG, à travers des correspondances ou communications téléphoniques anonymes. Ces Instances peuvent visiter les prisons e</w:t>
      </w:r>
      <w:r w:rsidR="005B02F8">
        <w:rPr>
          <w:rFonts w:eastAsia="Times New Roman"/>
          <w:lang w:eastAsia="fr-FR"/>
        </w:rPr>
        <w:t>t les autres lieux de détention</w:t>
      </w:r>
      <w:r w:rsidR="00CF1461" w:rsidRPr="003C06D3">
        <w:rPr>
          <w:rStyle w:val="Appelnotedebasdep"/>
        </w:rPr>
        <w:footnoteReference w:id="38"/>
      </w:r>
      <w:r w:rsidR="005B02F8">
        <w:rPr>
          <w:rFonts w:eastAsia="Times New Roman"/>
          <w:lang w:eastAsia="fr-FR"/>
        </w:rPr>
        <w:t>.</w:t>
      </w:r>
    </w:p>
    <w:p w14:paraId="3600633F" w14:textId="5A79D06C"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105.</w:t>
      </w:r>
      <w:r w:rsidRPr="00855577">
        <w:rPr>
          <w:rFonts w:eastAsia="Times New Roman"/>
          <w:color w:val="000000" w:themeColor="text1"/>
          <w:lang w:eastAsia="fr-FR"/>
        </w:rPr>
        <w:tab/>
      </w:r>
      <w:r w:rsidR="00CF1461" w:rsidRPr="00855577">
        <w:rPr>
          <w:rFonts w:eastAsia="Times New Roman"/>
          <w:lang w:eastAsia="fr-FR"/>
        </w:rPr>
        <w:t>Depuis 2014, un système de boite à lettre a été installé dans les prisons, dans les salles de visite et également au niveau de l’Administration centrale. L’objectif étant de faciliter aux détenus et à leurs familles de porter plainte directement au Délégué général sans passer par l’administration de la prison.</w:t>
      </w:r>
      <w:r w:rsidR="00CD5A97">
        <w:rPr>
          <w:rFonts w:eastAsia="Times New Roman"/>
          <w:lang w:eastAsia="fr-FR"/>
        </w:rPr>
        <w:t xml:space="preserve"> </w:t>
      </w:r>
    </w:p>
    <w:p w14:paraId="47EC3A88" w14:textId="56DC3F6B" w:rsidR="00CF1461" w:rsidRPr="00013F70" w:rsidRDefault="004B5A1A" w:rsidP="004B5A1A">
      <w:pPr>
        <w:pStyle w:val="SingleTxtG"/>
        <w:tabs>
          <w:tab w:val="clear" w:pos="1701"/>
          <w:tab w:val="clear" w:pos="2268"/>
          <w:tab w:val="clear" w:pos="2835"/>
        </w:tabs>
        <w:rPr>
          <w:rFonts w:eastAsia="Times New Roman"/>
          <w:lang w:eastAsia="fr-FR"/>
        </w:rPr>
      </w:pPr>
      <w:r w:rsidRPr="00013F70">
        <w:rPr>
          <w:rFonts w:eastAsia="Times New Roman"/>
          <w:color w:val="000000" w:themeColor="text1"/>
          <w:lang w:eastAsia="fr-FR"/>
        </w:rPr>
        <w:t>106.</w:t>
      </w:r>
      <w:r w:rsidRPr="00013F70">
        <w:rPr>
          <w:rFonts w:eastAsia="Times New Roman"/>
          <w:color w:val="000000" w:themeColor="text1"/>
          <w:lang w:eastAsia="fr-FR"/>
        </w:rPr>
        <w:tab/>
      </w:r>
      <w:r w:rsidR="00CF1461" w:rsidRPr="00855577">
        <w:rPr>
          <w:rFonts w:eastAsia="Times New Roman"/>
          <w:lang w:eastAsia="fr-FR"/>
        </w:rPr>
        <w:t>L’année 2017 a enregistré un total de 1</w:t>
      </w:r>
      <w:r w:rsidR="00771DB9">
        <w:rPr>
          <w:rFonts w:eastAsia="Times New Roman"/>
          <w:lang w:eastAsia="fr-FR"/>
        </w:rPr>
        <w:t> </w:t>
      </w:r>
      <w:r w:rsidR="00CF1461" w:rsidRPr="00855577">
        <w:rPr>
          <w:rFonts w:eastAsia="Times New Roman"/>
          <w:lang w:eastAsia="fr-FR"/>
        </w:rPr>
        <w:t xml:space="preserve">477 plaintes et réclamations reçues par l’inspection générale avec des objets variés : plaintes de maltraitance (417), soins de santé (304), plainte contre un détenu (200), conditions de détention (117), enseignement et formation professionnelle (61), récupération de sommes dues ou d’objets personnels (29), transfèrement abusif (27), </w:t>
      </w:r>
      <w:proofErr w:type="spellStart"/>
      <w:r w:rsidR="00CF1461" w:rsidRPr="00855577">
        <w:rPr>
          <w:rFonts w:eastAsia="Times New Roman"/>
          <w:lang w:eastAsia="fr-FR"/>
        </w:rPr>
        <w:t>etc</w:t>
      </w:r>
      <w:proofErr w:type="spellEnd"/>
      <w:r w:rsidR="00CF1461" w:rsidRPr="003C06D3">
        <w:rPr>
          <w:rStyle w:val="Appelnotedebasdep"/>
        </w:rPr>
        <w:footnoteReference w:id="39"/>
      </w:r>
      <w:r w:rsidR="005B02F8">
        <w:rPr>
          <w:rFonts w:eastAsia="CharisSIL"/>
        </w:rPr>
        <w:t>.</w:t>
      </w:r>
    </w:p>
    <w:p w14:paraId="4C8E5AA8" w14:textId="288A25E3" w:rsidR="00CF1461" w:rsidRPr="00013F70" w:rsidRDefault="004B5A1A" w:rsidP="004B5A1A">
      <w:pPr>
        <w:pStyle w:val="SingleTxtG"/>
        <w:tabs>
          <w:tab w:val="clear" w:pos="1701"/>
          <w:tab w:val="clear" w:pos="2268"/>
          <w:tab w:val="clear" w:pos="2835"/>
        </w:tabs>
        <w:rPr>
          <w:rFonts w:eastAsia="Times New Roman"/>
          <w:lang w:eastAsia="fr-FR"/>
        </w:rPr>
      </w:pPr>
      <w:r w:rsidRPr="00013F70">
        <w:rPr>
          <w:rFonts w:eastAsia="Times New Roman"/>
          <w:color w:val="000000" w:themeColor="text1"/>
          <w:lang w:eastAsia="fr-FR"/>
        </w:rPr>
        <w:t>107.</w:t>
      </w:r>
      <w:r w:rsidRPr="00013F70">
        <w:rPr>
          <w:rFonts w:eastAsia="Times New Roman"/>
          <w:color w:val="000000" w:themeColor="text1"/>
          <w:lang w:eastAsia="fr-FR"/>
        </w:rPr>
        <w:tab/>
      </w:r>
      <w:r w:rsidR="00CF1461" w:rsidRPr="00855577">
        <w:rPr>
          <w:rFonts w:eastAsia="Times New Roman"/>
          <w:lang w:eastAsia="fr-FR"/>
        </w:rPr>
        <w:t>En 2017, la DGAPR a publié une version mise à jour du Guide du détenu en cinq langues (</w:t>
      </w:r>
      <w:r w:rsidR="00CF1461" w:rsidRPr="00473B94">
        <w:rPr>
          <w:rFonts w:eastAsia="Times New Roman"/>
          <w:lang w:eastAsia="fr-FR"/>
        </w:rPr>
        <w:t>arabe</w:t>
      </w:r>
      <w:r w:rsidR="00CF1461" w:rsidRPr="00855577">
        <w:rPr>
          <w:rFonts w:eastAsia="Times New Roman"/>
          <w:lang w:eastAsia="fr-FR"/>
        </w:rPr>
        <w:t>, amazigh, français, anglais et espagnol). Ce guide contient plusieurs chapitres, évoquant l’accueil et le dépôt en prison, le transfèrement, la santé et l’hygiène, les plaintes, la correspondance et la communication, les visites, l’alimentation et l’approvisionnement, la conduite et la discipline, la pratique des rites religieux, le divertissement, le travail, les autorisations de sortie. De même, des capsules vidéo sur les droits fondamentaux des détenus ont été produites en coopération avec l’Agence Nationale d’Alphabétisation. Ces capsules qui s’adressent aux détenus analphabètes et leurs familles ont été réalisées conformément à une méthodologie didactique ciblant les différents usagers des établissements pénitentiaires</w:t>
      </w:r>
      <w:r w:rsidR="00CF1461" w:rsidRPr="0052556C">
        <w:rPr>
          <w:rFonts w:eastAsia="CharisSIL"/>
        </w:rPr>
        <w:t>.</w:t>
      </w:r>
      <w:r w:rsidR="00CF1461" w:rsidRPr="00E26090">
        <w:rPr>
          <w:rFonts w:eastAsia="CharisSIL"/>
          <w:b/>
          <w:bCs/>
        </w:rPr>
        <w:t xml:space="preserve"> </w:t>
      </w:r>
    </w:p>
    <w:p w14:paraId="0C38C46A" w14:textId="77777777" w:rsidR="00CF1461" w:rsidRPr="00E26090" w:rsidRDefault="007B174A" w:rsidP="00377075">
      <w:pPr>
        <w:pStyle w:val="H23G"/>
      </w:pPr>
      <w:r>
        <w:tab/>
      </w:r>
      <w:r>
        <w:tab/>
      </w:r>
      <w:r w:rsidR="00CF1461" w:rsidRPr="00E26090">
        <w:t>Recommandation 15 du Comité</w:t>
      </w:r>
    </w:p>
    <w:p w14:paraId="78D3C0C4" w14:textId="283C3356"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108.</w:t>
      </w:r>
      <w:r w:rsidRPr="00855577">
        <w:rPr>
          <w:rFonts w:eastAsia="Times New Roman"/>
          <w:color w:val="000000" w:themeColor="text1"/>
          <w:lang w:eastAsia="fr-FR"/>
        </w:rPr>
        <w:tab/>
      </w:r>
      <w:r w:rsidR="00CF1461" w:rsidRPr="00855577">
        <w:rPr>
          <w:rFonts w:eastAsia="Times New Roman"/>
          <w:lang w:eastAsia="fr-FR"/>
        </w:rPr>
        <w:t xml:space="preserve">En vue de renforcer les droits de la défense et de consolider les principes du procès équitable, les dispositions du projet de CPP impliquent le renforcement de la présomption d’innocence, la révision des dispositions légales de mise en détention provisoire et le renforcement de la confiance dans le PV de la police judiciaire, via l’introduction de l’enregistrement audiovisuel lors des interrogatoires des prévenus. Outre la mise sous enveloppe scellée du dossier de l’affaire, le PV de l’interrogatoire ainsi que les enregistrements. </w:t>
      </w:r>
    </w:p>
    <w:p w14:paraId="6E970A20" w14:textId="60729E9F"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lastRenderedPageBreak/>
        <w:t>109.</w:t>
      </w:r>
      <w:r w:rsidRPr="00855577">
        <w:rPr>
          <w:rFonts w:eastAsia="Times New Roman"/>
          <w:color w:val="000000" w:themeColor="text1"/>
          <w:lang w:eastAsia="fr-FR"/>
        </w:rPr>
        <w:tab/>
      </w:r>
      <w:r w:rsidR="00CF1461" w:rsidRPr="00855577">
        <w:rPr>
          <w:rFonts w:eastAsia="Times New Roman"/>
          <w:lang w:eastAsia="fr-FR"/>
        </w:rPr>
        <w:t>Conformément aux paragraphes 3 et 5 de la Déclaration sur la discrimination raciale et mesures de lutte contre le terrorisme, adoptée par le Comité lors de sa 1503</w:t>
      </w:r>
      <w:r w:rsidR="00CF1461" w:rsidRPr="00013F70">
        <w:rPr>
          <w:rFonts w:eastAsia="Times New Roman"/>
          <w:vertAlign w:val="superscript"/>
          <w:lang w:eastAsia="fr-FR"/>
        </w:rPr>
        <w:t>e</w:t>
      </w:r>
      <w:r w:rsidR="00CF1461" w:rsidRPr="00855577">
        <w:rPr>
          <w:rFonts w:eastAsia="Times New Roman"/>
          <w:lang w:eastAsia="fr-FR"/>
        </w:rPr>
        <w:t xml:space="preserve"> séance du 8</w:t>
      </w:r>
      <w:r w:rsidR="00771DB9">
        <w:rPr>
          <w:rFonts w:eastAsia="Times New Roman"/>
          <w:lang w:eastAsia="fr-FR"/>
        </w:rPr>
        <w:t> </w:t>
      </w:r>
      <w:r w:rsidR="00CF1461" w:rsidRPr="00855577">
        <w:rPr>
          <w:rFonts w:eastAsia="Times New Roman"/>
          <w:lang w:eastAsia="fr-FR"/>
        </w:rPr>
        <w:t>mars 2002, le droit pénal marocain consacre le principe de l</w:t>
      </w:r>
      <w:r w:rsidR="00CD5A97">
        <w:rPr>
          <w:rFonts w:eastAsia="Times New Roman"/>
          <w:lang w:eastAsia="fr-FR"/>
        </w:rPr>
        <w:t>’</w:t>
      </w:r>
      <w:r w:rsidR="00CF1461" w:rsidRPr="00855577">
        <w:rPr>
          <w:rFonts w:eastAsia="Times New Roman"/>
          <w:lang w:eastAsia="fr-FR"/>
        </w:rPr>
        <w:t xml:space="preserve">égalité en matière de sanctions prévues par la loi aussi bien envers les marocains que les étrangers, et considère la gravité des crimes comme seul critère de détermination de la peine sans aucune référence discriminatoire. </w:t>
      </w:r>
    </w:p>
    <w:p w14:paraId="336C4F42" w14:textId="2025AD35"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110.</w:t>
      </w:r>
      <w:r w:rsidRPr="00855577">
        <w:rPr>
          <w:rFonts w:eastAsia="Times New Roman"/>
          <w:color w:val="000000" w:themeColor="text1"/>
          <w:lang w:eastAsia="fr-FR"/>
        </w:rPr>
        <w:tab/>
      </w:r>
      <w:r w:rsidR="00CF1461" w:rsidRPr="00855577">
        <w:rPr>
          <w:rFonts w:eastAsia="Times New Roman"/>
          <w:lang w:eastAsia="fr-FR"/>
        </w:rPr>
        <w:t>L</w:t>
      </w:r>
      <w:r w:rsidR="00CD5A97">
        <w:rPr>
          <w:rFonts w:eastAsia="Times New Roman"/>
          <w:lang w:eastAsia="fr-FR"/>
        </w:rPr>
        <w:t>’</w:t>
      </w:r>
      <w:r w:rsidR="00CF1461" w:rsidRPr="00855577">
        <w:rPr>
          <w:rFonts w:eastAsia="Times New Roman"/>
          <w:lang w:eastAsia="fr-FR"/>
        </w:rPr>
        <w:t>article 66.4 du CPP stipule également ce qui suit : « Une personne qui a été arrêté ou placé sous garde à vue peut bénéficier d</w:t>
      </w:r>
      <w:r w:rsidR="00CD5A97">
        <w:rPr>
          <w:rFonts w:eastAsia="Times New Roman"/>
          <w:lang w:eastAsia="fr-FR"/>
        </w:rPr>
        <w:t>’</w:t>
      </w:r>
      <w:r w:rsidR="00CF1461" w:rsidRPr="00855577">
        <w:rPr>
          <w:rFonts w:eastAsia="Times New Roman"/>
          <w:lang w:eastAsia="fr-FR"/>
        </w:rPr>
        <w:t>une assistance juridique et de contacter un des membres de sa famille, et a le droit de désigner un avocat ainsi que le droit d’en bénéficier dans le cadre de l</w:t>
      </w:r>
      <w:r w:rsidR="00CD5A97">
        <w:rPr>
          <w:rFonts w:eastAsia="Times New Roman"/>
          <w:lang w:eastAsia="fr-FR"/>
        </w:rPr>
        <w:t>’</w:t>
      </w:r>
      <w:r w:rsidR="00CF1461" w:rsidRPr="00855577">
        <w:rPr>
          <w:rFonts w:eastAsia="Times New Roman"/>
          <w:lang w:eastAsia="fr-FR"/>
        </w:rPr>
        <w:t>assistance juridique ». Au paragraphe 5 de ce même article : «la police judiciaire avise immédiatement l’avocat désigné tout en informant le bâtonnier, et si l’intéressé demande la désignation d</w:t>
      </w:r>
      <w:r w:rsidR="00CD5A97">
        <w:rPr>
          <w:rFonts w:eastAsia="Times New Roman"/>
          <w:lang w:eastAsia="fr-FR"/>
        </w:rPr>
        <w:t>’</w:t>
      </w:r>
      <w:r w:rsidR="00CF1461" w:rsidRPr="00855577">
        <w:rPr>
          <w:rFonts w:eastAsia="Times New Roman"/>
          <w:lang w:eastAsia="fr-FR"/>
        </w:rPr>
        <w:t>un avocat dans le cadre de l</w:t>
      </w:r>
      <w:r w:rsidR="00CD5A97">
        <w:rPr>
          <w:rFonts w:eastAsia="Times New Roman"/>
          <w:lang w:eastAsia="fr-FR"/>
        </w:rPr>
        <w:t>’</w:t>
      </w:r>
      <w:r w:rsidR="00CF1461" w:rsidRPr="00855577">
        <w:rPr>
          <w:rFonts w:eastAsia="Times New Roman"/>
          <w:lang w:eastAsia="fr-FR"/>
        </w:rPr>
        <w:t>assistance judiciaire, la police judiciaire en avise immédiatement le bâtonnier à qui incombe le choix de l’avocat ».</w:t>
      </w:r>
    </w:p>
    <w:p w14:paraId="5D296487" w14:textId="00BE5092"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111.</w:t>
      </w:r>
      <w:r w:rsidRPr="00855577">
        <w:rPr>
          <w:rFonts w:eastAsia="Times New Roman"/>
          <w:color w:val="000000" w:themeColor="text1"/>
          <w:lang w:eastAsia="fr-FR"/>
        </w:rPr>
        <w:tab/>
      </w:r>
      <w:r w:rsidR="00CF1461" w:rsidRPr="00855577">
        <w:rPr>
          <w:rFonts w:eastAsia="Times New Roman"/>
          <w:lang w:eastAsia="fr-FR"/>
        </w:rPr>
        <w:t>Pour renforcer davantage les droits de l’inculpé détenu, le législateur garantie le droit à l</w:t>
      </w:r>
      <w:r w:rsidR="00CD5A97">
        <w:rPr>
          <w:rFonts w:eastAsia="Times New Roman"/>
          <w:lang w:eastAsia="fr-FR"/>
        </w:rPr>
        <w:t>’</w:t>
      </w:r>
      <w:r w:rsidR="00CF1461" w:rsidRPr="00855577">
        <w:rPr>
          <w:rFonts w:eastAsia="Times New Roman"/>
          <w:lang w:eastAsia="fr-FR"/>
        </w:rPr>
        <w:t>égalité devant la loi et les tribunaux, les audiences publiques, le droit à être jugé sans retard et le droit de faire appel devant une juridiction supérieure. Par ailleurs, l</w:t>
      </w:r>
      <w:r w:rsidR="00CD5A97">
        <w:rPr>
          <w:rFonts w:eastAsia="Times New Roman"/>
          <w:lang w:eastAsia="fr-FR"/>
        </w:rPr>
        <w:t>’</w:t>
      </w:r>
      <w:r w:rsidR="00CF1461" w:rsidRPr="00855577">
        <w:rPr>
          <w:rFonts w:eastAsia="Times New Roman"/>
          <w:lang w:eastAsia="fr-FR"/>
        </w:rPr>
        <w:t>article 67.1 du CPP, stipule que</w:t>
      </w:r>
      <w:r w:rsidR="005601DF" w:rsidRPr="00855577">
        <w:rPr>
          <w:rFonts w:eastAsia="Times New Roman"/>
          <w:lang w:eastAsia="fr-FR"/>
        </w:rPr>
        <w:t xml:space="preserve"> «</w:t>
      </w:r>
      <w:r w:rsidR="00771DB9">
        <w:rPr>
          <w:rFonts w:eastAsia="Times New Roman"/>
          <w:lang w:eastAsia="fr-FR"/>
        </w:rPr>
        <w:t> </w:t>
      </w:r>
      <w:r w:rsidR="005601DF" w:rsidRPr="00855577">
        <w:rPr>
          <w:rFonts w:eastAsia="Times New Roman"/>
          <w:lang w:eastAsia="fr-FR"/>
        </w:rPr>
        <w:t>l’officier</w:t>
      </w:r>
      <w:r w:rsidR="00CF1461" w:rsidRPr="00855577">
        <w:rPr>
          <w:rFonts w:eastAsia="Times New Roman"/>
          <w:lang w:eastAsia="fr-FR"/>
        </w:rPr>
        <w:t xml:space="preserve"> de police judiciaire doit intégrer dans le PV de l’audition de toute personne en garde à vue, le jour et l’heure de l’arrestation, le jour et l’heure de sa libération ou de son instruction devant la juridiction indiquée. Ces documents devraient être émargés de la signature de la personne intéressée ou de son empreinte digitale ou de son refus, le cas échéant, de signer, tout en explicitant les raisons de ce refus ». </w:t>
      </w:r>
    </w:p>
    <w:p w14:paraId="180268CF" w14:textId="7282031C"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112.</w:t>
      </w:r>
      <w:r w:rsidRPr="00855577">
        <w:rPr>
          <w:rFonts w:eastAsia="Times New Roman"/>
          <w:color w:val="000000" w:themeColor="text1"/>
          <w:lang w:eastAsia="fr-FR"/>
        </w:rPr>
        <w:tab/>
      </w:r>
      <w:r w:rsidR="00CF1461" w:rsidRPr="00855577">
        <w:rPr>
          <w:rFonts w:eastAsia="Times New Roman"/>
          <w:lang w:eastAsia="fr-FR"/>
        </w:rPr>
        <w:t>Conformément au paragraphe 6 de la Déclaration sur la discrimination raciale et mesures de lutte contre le terrorisme, et afin de garantir, devant les juridictions nationales, un traitement égal pour les personnes soupçonnées d</w:t>
      </w:r>
      <w:r w:rsidR="00CD5A97">
        <w:rPr>
          <w:rFonts w:eastAsia="Times New Roman"/>
          <w:lang w:eastAsia="fr-FR"/>
        </w:rPr>
        <w:t>’</w:t>
      </w:r>
      <w:r w:rsidR="00CF1461" w:rsidRPr="00855577">
        <w:rPr>
          <w:rFonts w:eastAsia="Times New Roman"/>
          <w:lang w:eastAsia="fr-FR"/>
        </w:rPr>
        <w:t>implication dans le terrorisme, l</w:t>
      </w:r>
      <w:r w:rsidR="00CD5A97">
        <w:rPr>
          <w:rFonts w:eastAsia="Times New Roman"/>
          <w:lang w:eastAsia="fr-FR"/>
        </w:rPr>
        <w:t>’</w:t>
      </w:r>
      <w:r w:rsidR="00CF1461" w:rsidRPr="00855577">
        <w:rPr>
          <w:rFonts w:eastAsia="Times New Roman"/>
          <w:lang w:eastAsia="fr-FR"/>
        </w:rPr>
        <w:t>article 711.1 du CPP stipule : «</w:t>
      </w:r>
      <w:r w:rsidR="00771DB9">
        <w:rPr>
          <w:rFonts w:eastAsia="Times New Roman"/>
          <w:lang w:eastAsia="fr-FR"/>
        </w:rPr>
        <w:t> </w:t>
      </w:r>
      <w:r w:rsidR="00CF1461" w:rsidRPr="00855577">
        <w:rPr>
          <w:rFonts w:eastAsia="Times New Roman"/>
          <w:lang w:eastAsia="fr-FR"/>
        </w:rPr>
        <w:t>Nonobstant toute disposition légale contraire, est poursuivi et jugé devant les juridictions marocaines compétentes tout marocain ou étranger qui, hors du territoire du Royaume, a commis comme auteur, co-auteur ou complice, une infraction de terrorisme qu’elle vise ou non à porter préjudice au Royaume du Maroc ou à ses i</w:t>
      </w:r>
      <w:r w:rsidR="005B02F8">
        <w:rPr>
          <w:rFonts w:eastAsia="Times New Roman"/>
          <w:lang w:eastAsia="fr-FR"/>
        </w:rPr>
        <w:t>ntérêts »</w:t>
      </w:r>
      <w:r w:rsidR="00CF1461" w:rsidRPr="003C06D3">
        <w:rPr>
          <w:rStyle w:val="Appelnotedebasdep"/>
        </w:rPr>
        <w:footnoteReference w:id="40"/>
      </w:r>
      <w:r w:rsidR="005B02F8">
        <w:rPr>
          <w:rFonts w:eastAsia="Times New Roman"/>
          <w:lang w:eastAsia="fr-FR"/>
        </w:rPr>
        <w:t>.</w:t>
      </w:r>
    </w:p>
    <w:p w14:paraId="2F7B97E7" w14:textId="78DDDD5C"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113.</w:t>
      </w:r>
      <w:r w:rsidRPr="00855577">
        <w:rPr>
          <w:rFonts w:eastAsia="Times New Roman"/>
          <w:color w:val="000000" w:themeColor="text1"/>
          <w:lang w:eastAsia="fr-FR"/>
        </w:rPr>
        <w:tab/>
      </w:r>
      <w:r w:rsidR="00CF1461" w:rsidRPr="00855577">
        <w:rPr>
          <w:rFonts w:eastAsia="Times New Roman"/>
          <w:lang w:eastAsia="fr-FR"/>
        </w:rPr>
        <w:t>Le CNDH, a pris activement part à ce débat en produisant deux mémorandums au sujet de la législation anti-terrorisme</w:t>
      </w:r>
      <w:r w:rsidR="00CF1461" w:rsidRPr="003C06D3">
        <w:rPr>
          <w:rStyle w:val="Appelnotedebasdep"/>
        </w:rPr>
        <w:footnoteReference w:id="41"/>
      </w:r>
      <w:r w:rsidR="00CF1461" w:rsidRPr="00855577">
        <w:rPr>
          <w:rFonts w:eastAsia="Times New Roman"/>
          <w:lang w:eastAsia="fr-FR"/>
        </w:rPr>
        <w:t xml:space="preserve">, rappelant plusieurs recommandations des mécanismes onusiens des droits de l’Homme adressées au Maroc, et invitant le législateur à les mettre en œuvre à l’occasion du débat au sein du Parlement autour des dispositions des projets du CP et de CPP relatives à la lutte contre le terrorisme, mais également à l’occasion de la révision de ces deux codes. </w:t>
      </w:r>
    </w:p>
    <w:p w14:paraId="337F566E" w14:textId="4DCAD1C2" w:rsidR="00CF1461" w:rsidRDefault="004B5A1A" w:rsidP="004B5A1A">
      <w:pPr>
        <w:pStyle w:val="SingleTxtG"/>
        <w:tabs>
          <w:tab w:val="clear" w:pos="1701"/>
          <w:tab w:val="clear" w:pos="2268"/>
          <w:tab w:val="clear" w:pos="2835"/>
        </w:tabs>
        <w:rPr>
          <w:rFonts w:asciiTheme="majorBidi" w:hAnsiTheme="majorBidi" w:cstheme="majorBidi"/>
        </w:rPr>
      </w:pPr>
      <w:r>
        <w:rPr>
          <w:rFonts w:asciiTheme="majorBidi" w:hAnsiTheme="majorBidi" w:cstheme="majorBidi"/>
          <w:color w:val="000000" w:themeColor="text1"/>
        </w:rPr>
        <w:t>114.</w:t>
      </w:r>
      <w:r>
        <w:rPr>
          <w:rFonts w:asciiTheme="majorBidi" w:hAnsiTheme="majorBidi" w:cstheme="majorBidi"/>
          <w:color w:val="000000" w:themeColor="text1"/>
        </w:rPr>
        <w:tab/>
      </w:r>
      <w:r w:rsidR="00CF1461" w:rsidRPr="00855577">
        <w:rPr>
          <w:rFonts w:eastAsia="Times New Roman"/>
          <w:lang w:eastAsia="fr-FR"/>
        </w:rPr>
        <w:t>Dans sa mission de réinsertion, la DGAPR a élaboré et mis en œuvre en 2016, en coopération avec l’association « </w:t>
      </w:r>
      <w:proofErr w:type="spellStart"/>
      <w:r w:rsidR="00CF1461" w:rsidRPr="00855577">
        <w:rPr>
          <w:rFonts w:eastAsia="Times New Roman"/>
          <w:lang w:eastAsia="fr-FR"/>
        </w:rPr>
        <w:t>Rabita</w:t>
      </w:r>
      <w:proofErr w:type="spellEnd"/>
      <w:r w:rsidR="00CF1461" w:rsidRPr="00855577">
        <w:rPr>
          <w:rFonts w:eastAsia="Times New Roman"/>
          <w:lang w:eastAsia="fr-FR"/>
        </w:rPr>
        <w:t xml:space="preserve"> Mohammedia des Oulémas » et le CNDH, un programme de sensibilisation par les pairs dit «</w:t>
      </w:r>
      <w:r w:rsidR="005601DF">
        <w:rPr>
          <w:rFonts w:eastAsia="Times New Roman"/>
          <w:lang w:eastAsia="fr-FR"/>
        </w:rPr>
        <w:t xml:space="preserve"> </w:t>
      </w:r>
      <w:proofErr w:type="spellStart"/>
      <w:r w:rsidR="00CF1461" w:rsidRPr="00855577">
        <w:rPr>
          <w:rFonts w:eastAsia="Times New Roman"/>
          <w:lang w:eastAsia="fr-FR"/>
        </w:rPr>
        <w:t>Mossalaha</w:t>
      </w:r>
      <w:proofErr w:type="spellEnd"/>
      <w:r w:rsidR="005601DF">
        <w:rPr>
          <w:rFonts w:eastAsia="Times New Roman"/>
          <w:lang w:eastAsia="fr-FR"/>
        </w:rPr>
        <w:t xml:space="preserve"> </w:t>
      </w:r>
      <w:r w:rsidR="00CF1461" w:rsidRPr="00855577">
        <w:rPr>
          <w:rFonts w:eastAsia="Times New Roman"/>
          <w:lang w:eastAsia="fr-FR"/>
        </w:rPr>
        <w:t>» (Réconciliation) destiné aux détenus condamnés dans des affaires de terrorisme et d’extrémisme violent. La première édition de ce programme a été achevée avec succès entre le 29 mai et le 25 juillet 2017 à la prison ElArjat1 (Région de Rabat). En ont bénéficié 25 détenus condamnés dans des affaires de terrorisme et d’extrémisme à des peines d’emprisonnement plus ou moins longues, et qui ont volontairement exprimé le souhait d’y participer</w:t>
      </w:r>
      <w:r w:rsidR="00CF1461" w:rsidRPr="003C06D3">
        <w:rPr>
          <w:rStyle w:val="Appelnotedebasdep"/>
        </w:rPr>
        <w:footnoteReference w:id="42"/>
      </w:r>
      <w:r w:rsidR="005B02F8">
        <w:rPr>
          <w:rFonts w:asciiTheme="majorBidi" w:hAnsiTheme="majorBidi" w:cstheme="majorBidi"/>
        </w:rPr>
        <w:t>.</w:t>
      </w:r>
    </w:p>
    <w:p w14:paraId="372387D0" w14:textId="77777777" w:rsidR="00CF1461" w:rsidRPr="00E26090" w:rsidRDefault="007B174A" w:rsidP="00377075">
      <w:pPr>
        <w:pStyle w:val="H23G"/>
      </w:pPr>
      <w:r>
        <w:tab/>
      </w:r>
      <w:r>
        <w:tab/>
      </w:r>
      <w:r w:rsidR="00CF1461" w:rsidRPr="00E26090">
        <w:t>Recommandation 22 du Comité</w:t>
      </w:r>
    </w:p>
    <w:p w14:paraId="691E05D6" w14:textId="09138B11"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115.</w:t>
      </w:r>
      <w:r w:rsidRPr="00855577">
        <w:rPr>
          <w:rFonts w:eastAsia="Times New Roman"/>
          <w:color w:val="000000" w:themeColor="text1"/>
          <w:lang w:eastAsia="fr-FR"/>
        </w:rPr>
        <w:tab/>
      </w:r>
      <w:r w:rsidR="00CF1461" w:rsidRPr="00855577">
        <w:rPr>
          <w:rFonts w:eastAsia="Times New Roman"/>
          <w:lang w:eastAsia="fr-FR"/>
        </w:rPr>
        <w:t xml:space="preserve">Le Maroc a volontairement tenu en compte plusieurs dispositions énoncées dans la Déclaration et Programme d’action de Durban, en vue d’une meilleure intégration des </w:t>
      </w:r>
      <w:r w:rsidR="00CF1461" w:rsidRPr="00855577">
        <w:rPr>
          <w:rFonts w:eastAsia="Times New Roman"/>
          <w:lang w:eastAsia="fr-FR"/>
        </w:rPr>
        <w:lastRenderedPageBreak/>
        <w:t>dispositions de la Convention relatives à la lutte contre le racisme et la discrimination dans les chantiers de réforme de la législation nationale.</w:t>
      </w:r>
    </w:p>
    <w:p w14:paraId="3FD2C353" w14:textId="51216459"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116.</w:t>
      </w:r>
      <w:r w:rsidRPr="00855577">
        <w:rPr>
          <w:rFonts w:eastAsia="Times New Roman"/>
          <w:color w:val="000000" w:themeColor="text1"/>
          <w:lang w:eastAsia="fr-FR"/>
        </w:rPr>
        <w:tab/>
      </w:r>
      <w:r w:rsidR="00CF1461" w:rsidRPr="00855577">
        <w:rPr>
          <w:rFonts w:eastAsia="Times New Roman"/>
          <w:lang w:eastAsia="fr-FR"/>
        </w:rPr>
        <w:t xml:space="preserve">En ce qui concerne l’intégration des dispositions de la Convention dans l’ordre juridique interne, conformément à la recommandation générale </w:t>
      </w:r>
      <w:r w:rsidR="00771DB9">
        <w:rPr>
          <w:rFonts w:asciiTheme="majorBidi" w:eastAsia="Times New Roman" w:hAnsiTheme="majorBidi" w:cstheme="majorBidi"/>
          <w:color w:val="000000"/>
          <w:lang w:eastAsia="fr-FR"/>
        </w:rPr>
        <w:t>n</w:t>
      </w:r>
      <w:r w:rsidR="00771DB9" w:rsidRPr="00050C02">
        <w:rPr>
          <w:rFonts w:asciiTheme="majorBidi" w:eastAsia="Times New Roman" w:hAnsiTheme="majorBidi" w:cstheme="majorBidi"/>
          <w:color w:val="000000"/>
          <w:vertAlign w:val="superscript"/>
          <w:lang w:eastAsia="fr-FR"/>
        </w:rPr>
        <w:t>o</w:t>
      </w:r>
      <w:r w:rsidR="00771DB9">
        <w:rPr>
          <w:rFonts w:asciiTheme="majorBidi" w:eastAsia="Times New Roman" w:hAnsiTheme="majorBidi" w:cstheme="majorBidi"/>
          <w:color w:val="000000"/>
          <w:lang w:eastAsia="fr-FR"/>
        </w:rPr>
        <w:t> </w:t>
      </w:r>
      <w:r w:rsidR="00CF1461" w:rsidRPr="00855577">
        <w:rPr>
          <w:rFonts w:eastAsia="Times New Roman"/>
          <w:lang w:eastAsia="fr-FR"/>
        </w:rPr>
        <w:t>33 du Comité, l’article 431.1 du CP qualifie une discrimination comme étant toute distinction opérée entre les personnes physiques ou morales à raison de l</w:t>
      </w:r>
      <w:r w:rsidR="00CD5A97">
        <w:rPr>
          <w:rFonts w:eastAsia="Times New Roman"/>
          <w:lang w:eastAsia="fr-FR"/>
        </w:rPr>
        <w:t>’</w:t>
      </w:r>
      <w:r w:rsidR="00CF1461" w:rsidRPr="00855577">
        <w:rPr>
          <w:rFonts w:eastAsia="Times New Roman"/>
          <w:lang w:eastAsia="fr-FR"/>
        </w:rPr>
        <w:t>origine, du sexe, de la situation de famille, de l</w:t>
      </w:r>
      <w:r w:rsidR="00CD5A97">
        <w:rPr>
          <w:rFonts w:eastAsia="Times New Roman"/>
          <w:lang w:eastAsia="fr-FR"/>
        </w:rPr>
        <w:t>’</w:t>
      </w:r>
      <w:r w:rsidR="00CF1461" w:rsidRPr="00855577">
        <w:rPr>
          <w:rFonts w:eastAsia="Times New Roman"/>
          <w:lang w:eastAsia="fr-FR"/>
        </w:rPr>
        <w:t>état de santé, du handicap, des opinions politiques, des activités syndicales, de l</w:t>
      </w:r>
      <w:r w:rsidR="00CD5A97">
        <w:rPr>
          <w:rFonts w:eastAsia="Times New Roman"/>
          <w:lang w:eastAsia="fr-FR"/>
        </w:rPr>
        <w:t>’</w:t>
      </w:r>
      <w:r w:rsidR="00CF1461" w:rsidRPr="00855577">
        <w:rPr>
          <w:rFonts w:eastAsia="Times New Roman"/>
          <w:lang w:eastAsia="fr-FR"/>
        </w:rPr>
        <w:t xml:space="preserve">appartenance ou de la non-appartenance, vraie ou supposée, à une ethnie, une nation, une race ou une religion déterminée. </w:t>
      </w:r>
    </w:p>
    <w:p w14:paraId="139C262A" w14:textId="7B6AF40C"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117.</w:t>
      </w:r>
      <w:r w:rsidRPr="00855577">
        <w:rPr>
          <w:rFonts w:eastAsia="Times New Roman"/>
          <w:color w:val="000000" w:themeColor="text1"/>
          <w:lang w:eastAsia="fr-FR"/>
        </w:rPr>
        <w:tab/>
      </w:r>
      <w:r w:rsidR="00CF1461" w:rsidRPr="00855577">
        <w:rPr>
          <w:rFonts w:eastAsia="Times New Roman"/>
          <w:lang w:eastAsia="fr-FR"/>
        </w:rPr>
        <w:t>Conformément au paragraphe 93 de la Déclaration et Programme d’action de Durban, s’agissant de faire entendre la voix des victimes du racisme, de la discrimination raciale, de la xénophobie et de l’intolérance qui y est associée, le Maroc a mis en place des cellules de prise en charge pour les femmes et les enfants dans les différents tribunaux du Royaume. Ces cellules assurent l</w:t>
      </w:r>
      <w:r w:rsidR="00CD5A97">
        <w:rPr>
          <w:rFonts w:eastAsia="Times New Roman"/>
          <w:lang w:eastAsia="fr-FR"/>
        </w:rPr>
        <w:t>’</w:t>
      </w:r>
      <w:r w:rsidR="00CF1461" w:rsidRPr="00855577">
        <w:rPr>
          <w:rFonts w:eastAsia="Times New Roman"/>
          <w:lang w:eastAsia="fr-FR"/>
        </w:rPr>
        <w:t>écoute, l</w:t>
      </w:r>
      <w:r w:rsidR="00CD5A97">
        <w:rPr>
          <w:rFonts w:eastAsia="Times New Roman"/>
          <w:lang w:eastAsia="fr-FR"/>
        </w:rPr>
        <w:t>’</w:t>
      </w:r>
      <w:r w:rsidR="00CF1461" w:rsidRPr="00855577">
        <w:rPr>
          <w:rFonts w:eastAsia="Times New Roman"/>
          <w:lang w:eastAsia="fr-FR"/>
        </w:rPr>
        <w:t xml:space="preserve">orientation et le conseil des victimes, en les orientant vers les unités de prise en charge pour les femmes et les enfants au niveau des hôpitaux pour accéder aux soins et en les accompagnants, le cas échéant, vers les centres d’accueil en collaboration avec les ONG de la société civile. </w:t>
      </w:r>
    </w:p>
    <w:p w14:paraId="6870D905" w14:textId="0FF33B1B"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118.</w:t>
      </w:r>
      <w:r w:rsidRPr="00855577">
        <w:rPr>
          <w:rFonts w:eastAsia="Times New Roman"/>
          <w:color w:val="000000" w:themeColor="text1"/>
          <w:lang w:eastAsia="fr-FR"/>
        </w:rPr>
        <w:tab/>
      </w:r>
      <w:r w:rsidR="0081005D">
        <w:rPr>
          <w:rFonts w:eastAsia="Times New Roman"/>
          <w:lang w:eastAsia="fr-FR"/>
        </w:rPr>
        <w:t>À</w:t>
      </w:r>
      <w:r w:rsidR="00CF1461" w:rsidRPr="00855577">
        <w:rPr>
          <w:rFonts w:eastAsia="Times New Roman"/>
          <w:lang w:eastAsia="fr-FR"/>
        </w:rPr>
        <w:t xml:space="preserve"> signaler que la loi </w:t>
      </w:r>
      <w:r w:rsidR="00771DB9">
        <w:rPr>
          <w:rFonts w:asciiTheme="majorBidi" w:eastAsia="Times New Roman" w:hAnsiTheme="majorBidi" w:cstheme="majorBidi"/>
          <w:color w:val="000000"/>
          <w:lang w:eastAsia="fr-FR"/>
        </w:rPr>
        <w:t>n</w:t>
      </w:r>
      <w:r w:rsidR="00771DB9" w:rsidRPr="00050C02">
        <w:rPr>
          <w:rFonts w:asciiTheme="majorBidi" w:eastAsia="Times New Roman" w:hAnsiTheme="majorBidi" w:cstheme="majorBidi"/>
          <w:color w:val="000000"/>
          <w:vertAlign w:val="superscript"/>
          <w:lang w:eastAsia="fr-FR"/>
        </w:rPr>
        <w:t>o</w:t>
      </w:r>
      <w:r w:rsidR="00771DB9">
        <w:rPr>
          <w:rFonts w:asciiTheme="majorBidi" w:eastAsia="Times New Roman" w:hAnsiTheme="majorBidi" w:cstheme="majorBidi"/>
          <w:color w:val="000000"/>
          <w:lang w:eastAsia="fr-FR"/>
        </w:rPr>
        <w:t> </w:t>
      </w:r>
      <w:r w:rsidR="00CF1461" w:rsidRPr="00855577">
        <w:rPr>
          <w:rFonts w:eastAsia="Times New Roman"/>
          <w:lang w:eastAsia="fr-FR"/>
        </w:rPr>
        <w:t>27.14 relative à la lutte contre la traite des êtres humains</w:t>
      </w:r>
      <w:r w:rsidR="00CF1461" w:rsidRPr="003C06D3">
        <w:rPr>
          <w:rStyle w:val="Appelnotedebasdep"/>
        </w:rPr>
        <w:footnoteReference w:id="43"/>
      </w:r>
      <w:r w:rsidR="005B02F8">
        <w:rPr>
          <w:rFonts w:eastAsia="Times New Roman"/>
          <w:lang w:eastAsia="fr-FR"/>
        </w:rPr>
        <w:t>,</w:t>
      </w:r>
      <w:r w:rsidR="00CF1461" w:rsidRPr="00855577">
        <w:rPr>
          <w:rFonts w:eastAsia="Times New Roman"/>
          <w:lang w:eastAsia="fr-FR"/>
        </w:rPr>
        <w:t xml:space="preserve"> reprend parfaitement la définition de ce crime, et ce conformément aux normes internationales, en particulier le protocole additionnel à la convention contre la criminalité transnationale organisée visant à prévenir, réprimer et punir la traite des personnes, en particulier des femmes et des enfants, auquel le Maroc a adhéré le 25 avril 2011.</w:t>
      </w:r>
    </w:p>
    <w:p w14:paraId="4C4284C2" w14:textId="1DA9D494"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119.</w:t>
      </w:r>
      <w:r w:rsidRPr="00855577">
        <w:rPr>
          <w:rFonts w:eastAsia="Times New Roman"/>
          <w:color w:val="000000" w:themeColor="text1"/>
          <w:lang w:eastAsia="fr-FR"/>
        </w:rPr>
        <w:tab/>
      </w:r>
      <w:r w:rsidR="00CF1461" w:rsidRPr="00855577">
        <w:rPr>
          <w:rFonts w:eastAsia="Times New Roman"/>
          <w:lang w:eastAsia="fr-FR"/>
        </w:rPr>
        <w:t xml:space="preserve">Et dans la perspective d’assurer un cadre d’accompagnement fort à la </w:t>
      </w:r>
      <w:r w:rsidR="00CF1461" w:rsidRPr="00E26090">
        <w:rPr>
          <w:rFonts w:eastAsia="Times New Roman"/>
          <w:lang w:eastAsia="fr-FR"/>
        </w:rPr>
        <w:t>SNIA</w:t>
      </w:r>
      <w:r w:rsidR="00CF1461" w:rsidRPr="00855577">
        <w:rPr>
          <w:rFonts w:eastAsia="Times New Roman"/>
          <w:lang w:eastAsia="fr-FR"/>
        </w:rPr>
        <w:t>, des concertations sont en cours pour adopter un Plan d’action national de suivi de la Déclaration et du Programme d’action de Durban.</w:t>
      </w:r>
    </w:p>
    <w:p w14:paraId="2EEBEE8E" w14:textId="77777777" w:rsidR="00CF1461" w:rsidRDefault="007B174A" w:rsidP="00A5588D">
      <w:pPr>
        <w:pStyle w:val="H1G"/>
      </w:pPr>
      <w:r>
        <w:tab/>
      </w:r>
      <w:r>
        <w:tab/>
      </w:r>
      <w:r w:rsidR="00CF1461" w:rsidRPr="00E26090">
        <w:t>Droits politiques</w:t>
      </w:r>
    </w:p>
    <w:p w14:paraId="2C2B7C87" w14:textId="73A9F2F0" w:rsidR="00CF1461" w:rsidRDefault="007B174A" w:rsidP="00A5588D">
      <w:pPr>
        <w:pStyle w:val="H23G"/>
      </w:pPr>
      <w:r>
        <w:tab/>
      </w:r>
      <w:r>
        <w:tab/>
      </w:r>
      <w:r w:rsidR="00735965">
        <w:t>P</w:t>
      </w:r>
      <w:r w:rsidR="00CF1461" w:rsidRPr="00E26090">
        <w:t>articipation aux élections en qualité d’électeur ou de</w:t>
      </w:r>
      <w:r w:rsidR="00CF1461">
        <w:t xml:space="preserve"> can</w:t>
      </w:r>
      <w:r w:rsidR="00CF1461" w:rsidRPr="00E26090">
        <w:t>didat</w:t>
      </w:r>
    </w:p>
    <w:p w14:paraId="1B5510B3" w14:textId="7FC3DC24"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120.</w:t>
      </w:r>
      <w:r w:rsidRPr="00855577">
        <w:rPr>
          <w:rFonts w:eastAsia="Times New Roman"/>
          <w:color w:val="000000" w:themeColor="text1"/>
          <w:lang w:eastAsia="fr-FR"/>
        </w:rPr>
        <w:tab/>
      </w:r>
      <w:r w:rsidR="00CF1461" w:rsidRPr="00855577">
        <w:rPr>
          <w:rFonts w:eastAsia="Times New Roman"/>
          <w:lang w:eastAsia="fr-FR"/>
        </w:rPr>
        <w:t>Le Code électoral a prévu trois mesures principales</w:t>
      </w:r>
      <w:r w:rsidR="00771DB9">
        <w:rPr>
          <w:rFonts w:eastAsia="Times New Roman"/>
          <w:lang w:eastAsia="fr-FR"/>
        </w:rPr>
        <w:t> </w:t>
      </w:r>
      <w:r w:rsidR="00CF1461" w:rsidRPr="00855577">
        <w:rPr>
          <w:rFonts w:eastAsia="Times New Roman"/>
          <w:lang w:eastAsia="fr-FR"/>
        </w:rPr>
        <w:t>: le système de quotas qui rehausse le nombre de sièges réservés aux femmes à 12</w:t>
      </w:r>
      <w:r w:rsidR="00372939">
        <w:rPr>
          <w:rFonts w:eastAsia="Times New Roman"/>
          <w:lang w:eastAsia="fr-FR"/>
        </w:rPr>
        <w:t> %</w:t>
      </w:r>
      <w:r w:rsidR="00CF1461" w:rsidRPr="00855577">
        <w:rPr>
          <w:rFonts w:eastAsia="Times New Roman"/>
          <w:lang w:eastAsia="fr-FR"/>
        </w:rPr>
        <w:t xml:space="preserve"> ;</w:t>
      </w:r>
      <w:r w:rsidR="00CD5A97">
        <w:rPr>
          <w:rFonts w:eastAsia="Times New Roman"/>
          <w:lang w:eastAsia="fr-FR"/>
        </w:rPr>
        <w:t xml:space="preserve"> </w:t>
      </w:r>
      <w:r w:rsidR="00CF1461" w:rsidRPr="00855577">
        <w:rPr>
          <w:rFonts w:eastAsia="Times New Roman"/>
          <w:lang w:eastAsia="fr-FR"/>
        </w:rPr>
        <w:t>la création d’une commission consultative auprès de chaque conseil communal intitulée «</w:t>
      </w:r>
      <w:r w:rsidR="00F26D77">
        <w:rPr>
          <w:rFonts w:eastAsia="Times New Roman"/>
          <w:lang w:eastAsia="fr-FR"/>
        </w:rPr>
        <w:t> </w:t>
      </w:r>
      <w:r w:rsidR="00CF1461" w:rsidRPr="00855577">
        <w:rPr>
          <w:rFonts w:eastAsia="Times New Roman"/>
          <w:lang w:eastAsia="fr-FR"/>
        </w:rPr>
        <w:t>commission d’équité et d’égalité des chances</w:t>
      </w:r>
      <w:r w:rsidR="00F26D77">
        <w:rPr>
          <w:rFonts w:eastAsia="Times New Roman"/>
          <w:lang w:eastAsia="fr-FR"/>
        </w:rPr>
        <w:t> </w:t>
      </w:r>
      <w:r w:rsidR="00CF1461" w:rsidRPr="00855577">
        <w:rPr>
          <w:rFonts w:eastAsia="Times New Roman"/>
          <w:lang w:eastAsia="fr-FR"/>
        </w:rPr>
        <w:t>» habilitée à faire des propositions relatives à l’équité et à l’égalité des chances et à la prise en compte de l’approche genre ; ainsi que la mise en place d’un plan communal de développement selon une approche participative qui prend en considération plus particulièrement l’approche genre.</w:t>
      </w:r>
    </w:p>
    <w:p w14:paraId="296E6BB6" w14:textId="706C62D8" w:rsidR="00CF1461" w:rsidRPr="006A6147" w:rsidRDefault="004B5A1A" w:rsidP="004B5A1A">
      <w:pPr>
        <w:pStyle w:val="SingleTxtG"/>
        <w:tabs>
          <w:tab w:val="clear" w:pos="1701"/>
          <w:tab w:val="clear" w:pos="2268"/>
          <w:tab w:val="clear" w:pos="2835"/>
        </w:tabs>
        <w:rPr>
          <w:rFonts w:asciiTheme="majorBidi" w:hAnsiTheme="majorBidi" w:cstheme="majorBidi"/>
        </w:rPr>
      </w:pPr>
      <w:r w:rsidRPr="006A6147">
        <w:rPr>
          <w:rFonts w:asciiTheme="majorBidi" w:hAnsiTheme="majorBidi" w:cstheme="majorBidi"/>
          <w:color w:val="000000" w:themeColor="text1"/>
        </w:rPr>
        <w:t>121.</w:t>
      </w:r>
      <w:r w:rsidRPr="006A6147">
        <w:rPr>
          <w:rFonts w:asciiTheme="majorBidi" w:hAnsiTheme="majorBidi" w:cstheme="majorBidi"/>
          <w:color w:val="000000" w:themeColor="text1"/>
        </w:rPr>
        <w:tab/>
      </w:r>
      <w:r w:rsidR="00CF1461" w:rsidRPr="00855577">
        <w:rPr>
          <w:rFonts w:eastAsia="Times New Roman"/>
          <w:lang w:eastAsia="fr-FR"/>
        </w:rPr>
        <w:t xml:space="preserve">Conformément à la </w:t>
      </w:r>
      <w:r w:rsidR="00C927C9">
        <w:rPr>
          <w:rFonts w:eastAsia="Times New Roman"/>
          <w:lang w:eastAsia="fr-FR"/>
        </w:rPr>
        <w:t>L</w:t>
      </w:r>
      <w:r w:rsidR="00CF1461" w:rsidRPr="00855577">
        <w:rPr>
          <w:rFonts w:eastAsia="Times New Roman"/>
          <w:lang w:eastAsia="fr-FR"/>
        </w:rPr>
        <w:t xml:space="preserve">oi organique </w:t>
      </w:r>
      <w:r w:rsidR="00771DB9">
        <w:rPr>
          <w:rFonts w:asciiTheme="majorBidi" w:eastAsia="Times New Roman" w:hAnsiTheme="majorBidi" w:cstheme="majorBidi"/>
          <w:color w:val="000000"/>
          <w:lang w:eastAsia="fr-FR"/>
        </w:rPr>
        <w:t>n</w:t>
      </w:r>
      <w:r w:rsidR="00771DB9" w:rsidRPr="00050C02">
        <w:rPr>
          <w:rFonts w:asciiTheme="majorBidi" w:eastAsia="Times New Roman" w:hAnsiTheme="majorBidi" w:cstheme="majorBidi"/>
          <w:color w:val="000000"/>
          <w:vertAlign w:val="superscript"/>
          <w:lang w:eastAsia="fr-FR"/>
        </w:rPr>
        <w:t>o</w:t>
      </w:r>
      <w:r w:rsidR="00771DB9">
        <w:rPr>
          <w:rFonts w:asciiTheme="majorBidi" w:eastAsia="Times New Roman" w:hAnsiTheme="majorBidi" w:cstheme="majorBidi"/>
          <w:color w:val="000000"/>
          <w:lang w:eastAsia="fr-FR"/>
        </w:rPr>
        <w:t> </w:t>
      </w:r>
      <w:r w:rsidR="00CF1461" w:rsidRPr="00855577">
        <w:rPr>
          <w:rFonts w:eastAsia="Times New Roman"/>
          <w:lang w:eastAsia="fr-FR"/>
        </w:rPr>
        <w:t>27.11 relative à la Chambre des Représentants, les députés sont élus au suffrage direct pour une période de cinq ans par scrutin de liste : 305 dans les circonscriptions électorales locales et 90 dans la circonscription électorale nationale, dont 60 femmes et 30 jeunes. La liste nationale, présentée au titre de la circonscription nationale, constitue le cadre adéquat fixé par le législateur pour augmenter le nombre de femmes au sein de la Chambre des Représentants ; cette liste réserve 60 sièges aux femmes (au lieu de 30 lors des élections de 2009) et 30 aux candidats des deux sexes parm</w:t>
      </w:r>
      <w:r w:rsidR="005B02F8">
        <w:rPr>
          <w:rFonts w:eastAsia="Times New Roman"/>
          <w:lang w:eastAsia="fr-FR"/>
        </w:rPr>
        <w:t>i les jeunes de moins de 40 ans</w:t>
      </w:r>
      <w:r w:rsidR="00CF1461" w:rsidRPr="003C06D3">
        <w:rPr>
          <w:rStyle w:val="Appelnotedebasdep"/>
        </w:rPr>
        <w:footnoteReference w:id="44"/>
      </w:r>
      <w:r w:rsidR="005B02F8">
        <w:rPr>
          <w:rFonts w:eastAsia="Times New Roman"/>
          <w:lang w:eastAsia="fr-FR"/>
        </w:rPr>
        <w:t>.</w:t>
      </w:r>
    </w:p>
    <w:p w14:paraId="0C26DFF0" w14:textId="2EEA5FDD"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122.</w:t>
      </w:r>
      <w:r w:rsidRPr="00855577">
        <w:rPr>
          <w:rFonts w:eastAsia="Times New Roman"/>
          <w:color w:val="000000" w:themeColor="text1"/>
          <w:lang w:eastAsia="fr-FR"/>
        </w:rPr>
        <w:tab/>
      </w:r>
      <w:r w:rsidR="00CF1461" w:rsidRPr="00855577">
        <w:rPr>
          <w:rFonts w:eastAsia="Times New Roman"/>
          <w:lang w:eastAsia="fr-FR"/>
        </w:rPr>
        <w:t xml:space="preserve">La </w:t>
      </w:r>
      <w:r w:rsidR="00C927C9">
        <w:rPr>
          <w:rFonts w:eastAsia="Times New Roman"/>
          <w:lang w:eastAsia="fr-FR"/>
        </w:rPr>
        <w:t>L</w:t>
      </w:r>
      <w:r w:rsidR="00CF1461" w:rsidRPr="00855577">
        <w:rPr>
          <w:rFonts w:eastAsia="Times New Roman"/>
          <w:lang w:eastAsia="fr-FR"/>
        </w:rPr>
        <w:t xml:space="preserve">oi organique </w:t>
      </w:r>
      <w:r w:rsidR="00771DB9">
        <w:rPr>
          <w:rFonts w:asciiTheme="majorBidi" w:eastAsia="Times New Roman" w:hAnsiTheme="majorBidi" w:cstheme="majorBidi"/>
          <w:color w:val="000000"/>
          <w:lang w:eastAsia="fr-FR"/>
        </w:rPr>
        <w:t>n</w:t>
      </w:r>
      <w:r w:rsidR="00771DB9" w:rsidRPr="00050C02">
        <w:rPr>
          <w:rFonts w:asciiTheme="majorBidi" w:eastAsia="Times New Roman" w:hAnsiTheme="majorBidi" w:cstheme="majorBidi"/>
          <w:color w:val="000000"/>
          <w:vertAlign w:val="superscript"/>
          <w:lang w:eastAsia="fr-FR"/>
        </w:rPr>
        <w:t>o</w:t>
      </w:r>
      <w:r w:rsidR="00771DB9">
        <w:rPr>
          <w:rFonts w:asciiTheme="majorBidi" w:eastAsia="Times New Roman" w:hAnsiTheme="majorBidi" w:cstheme="majorBidi"/>
          <w:color w:val="000000"/>
          <w:lang w:eastAsia="fr-FR"/>
        </w:rPr>
        <w:t> </w:t>
      </w:r>
      <w:r w:rsidR="00CF1461" w:rsidRPr="00855577">
        <w:rPr>
          <w:rFonts w:eastAsia="Times New Roman"/>
          <w:lang w:eastAsia="fr-FR"/>
        </w:rPr>
        <w:t>59.11 relative à l’élection des membres des Conseils des Collectivités territoriales accorde un quota de 27</w:t>
      </w:r>
      <w:r w:rsidR="00372939">
        <w:rPr>
          <w:rFonts w:eastAsia="Times New Roman"/>
          <w:lang w:eastAsia="fr-FR"/>
        </w:rPr>
        <w:t> %</w:t>
      </w:r>
      <w:r w:rsidR="00CF1461" w:rsidRPr="00855577">
        <w:rPr>
          <w:rFonts w:eastAsia="Times New Roman"/>
          <w:lang w:eastAsia="fr-FR"/>
        </w:rPr>
        <w:t xml:space="preserve"> des sièges aux femmes au niveau communal et de 30</w:t>
      </w:r>
      <w:r w:rsidR="00372939">
        <w:rPr>
          <w:rFonts w:eastAsia="Times New Roman"/>
          <w:lang w:eastAsia="fr-FR"/>
        </w:rPr>
        <w:t> %</w:t>
      </w:r>
      <w:r w:rsidR="00CF1461" w:rsidRPr="00855577">
        <w:rPr>
          <w:rFonts w:eastAsia="Times New Roman"/>
          <w:lang w:eastAsia="fr-FR"/>
        </w:rPr>
        <w:t xml:space="preserve"> au niveau régional. Quant à la proportion de femmes dans les Conseils communaux, celle-ci varie selon qu’il s’agisse de Conseils dont les membres sont élus au scrutin individuel ou de liste.</w:t>
      </w:r>
    </w:p>
    <w:p w14:paraId="4A69C437" w14:textId="40FD77D5"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lastRenderedPageBreak/>
        <w:t>123.</w:t>
      </w:r>
      <w:r w:rsidRPr="00855577">
        <w:rPr>
          <w:rFonts w:eastAsia="Times New Roman"/>
          <w:color w:val="000000" w:themeColor="text1"/>
          <w:lang w:eastAsia="fr-FR"/>
        </w:rPr>
        <w:tab/>
      </w:r>
      <w:r w:rsidR="00A5588D">
        <w:rPr>
          <w:rFonts w:eastAsia="Times New Roman"/>
          <w:lang w:eastAsia="fr-FR"/>
        </w:rPr>
        <w:t>À</w:t>
      </w:r>
      <w:r w:rsidR="00CF1461" w:rsidRPr="00E26090">
        <w:rPr>
          <w:rFonts w:eastAsia="Times New Roman"/>
          <w:lang w:eastAsia="fr-FR"/>
        </w:rPr>
        <w:t xml:space="preserve"> souligner </w:t>
      </w:r>
      <w:r w:rsidR="00CF1461">
        <w:rPr>
          <w:rFonts w:eastAsia="Times New Roman"/>
          <w:lang w:eastAsia="fr-FR"/>
        </w:rPr>
        <w:t xml:space="preserve">aussi </w:t>
      </w:r>
      <w:r w:rsidR="00CF1461" w:rsidRPr="00E26090">
        <w:rPr>
          <w:rFonts w:eastAsia="Times New Roman"/>
          <w:lang w:eastAsia="fr-FR"/>
        </w:rPr>
        <w:t xml:space="preserve">l’impact positif de la création du fonds de soutien pour </w:t>
      </w:r>
      <w:r w:rsidR="00CF1461" w:rsidRPr="00855577">
        <w:rPr>
          <w:rFonts w:eastAsia="Times New Roman"/>
          <w:lang w:eastAsia="fr-FR"/>
        </w:rPr>
        <w:t>promouvoir</w:t>
      </w:r>
      <w:r w:rsidR="00CF1461" w:rsidRPr="00E26090">
        <w:rPr>
          <w:rFonts w:eastAsia="Times New Roman"/>
          <w:lang w:eastAsia="fr-FR"/>
        </w:rPr>
        <w:t xml:space="preserve"> la représentation des femmes</w:t>
      </w:r>
      <w:r w:rsidR="00CF1461">
        <w:rPr>
          <w:rFonts w:eastAsia="Times New Roman"/>
          <w:lang w:eastAsia="fr-FR"/>
        </w:rPr>
        <w:t xml:space="preserve">. </w:t>
      </w:r>
      <w:r w:rsidR="00CF1461" w:rsidRPr="00E26090">
        <w:rPr>
          <w:rFonts w:eastAsia="Times New Roman"/>
          <w:lang w:eastAsia="fr-FR"/>
        </w:rPr>
        <w:t>En octobre 2013 les décrets d’application de ce fonds de soutien ont vu le jour et en novembre 2014 fut installée la commission en charge de sa mise en œuvre, composée de représentants de 5 départements ministériels, des partis politiques représentés au Parlement et de 5 représentants de la société civile.</w:t>
      </w:r>
    </w:p>
    <w:p w14:paraId="56995D80" w14:textId="32DB2608"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124.</w:t>
      </w:r>
      <w:r>
        <w:rPr>
          <w:rFonts w:eastAsia="Times New Roman"/>
          <w:color w:val="000000" w:themeColor="text1"/>
          <w:lang w:eastAsia="fr-FR"/>
        </w:rPr>
        <w:tab/>
      </w:r>
      <w:r w:rsidR="00CF1461">
        <w:rPr>
          <w:rFonts w:eastAsia="Times New Roman"/>
          <w:lang w:eastAsia="fr-FR"/>
        </w:rPr>
        <w:t>E</w:t>
      </w:r>
      <w:r w:rsidR="00CF1461" w:rsidRPr="00E73961">
        <w:rPr>
          <w:rFonts w:eastAsia="Times New Roman"/>
          <w:lang w:eastAsia="fr-FR"/>
        </w:rPr>
        <w:t>n mars 2015</w:t>
      </w:r>
      <w:r w:rsidR="00CF1461">
        <w:rPr>
          <w:rFonts w:eastAsia="Times New Roman"/>
          <w:lang w:eastAsia="fr-FR"/>
        </w:rPr>
        <w:t>, c</w:t>
      </w:r>
      <w:r w:rsidR="00CF1461" w:rsidRPr="00E73961">
        <w:rPr>
          <w:rFonts w:eastAsia="Times New Roman"/>
          <w:lang w:eastAsia="fr-FR"/>
        </w:rPr>
        <w:t xml:space="preserve">e fonds de soutien a approuvé 86 projets </w:t>
      </w:r>
      <w:r w:rsidR="00CF1461">
        <w:rPr>
          <w:rFonts w:eastAsia="Times New Roman"/>
          <w:lang w:eastAsia="fr-FR"/>
        </w:rPr>
        <w:t>d’</w:t>
      </w:r>
      <w:r w:rsidR="00CF1461" w:rsidRPr="00E73961">
        <w:rPr>
          <w:rFonts w:eastAsia="Times New Roman"/>
          <w:lang w:eastAsia="fr-FR"/>
        </w:rPr>
        <w:t>un montant de 12</w:t>
      </w:r>
      <w:r w:rsidR="00771DB9">
        <w:rPr>
          <w:rFonts w:eastAsia="Times New Roman"/>
          <w:lang w:eastAsia="fr-FR"/>
        </w:rPr>
        <w:t> </w:t>
      </w:r>
      <w:r w:rsidR="00CF1461" w:rsidRPr="00E73961">
        <w:rPr>
          <w:rFonts w:eastAsia="Times New Roman"/>
          <w:lang w:eastAsia="fr-FR"/>
        </w:rPr>
        <w:t>463</w:t>
      </w:r>
      <w:r w:rsidR="0081005D">
        <w:rPr>
          <w:rFonts w:eastAsia="Times New Roman"/>
          <w:lang w:eastAsia="fr-FR"/>
        </w:rPr>
        <w:t> </w:t>
      </w:r>
      <w:r w:rsidR="00CF1461" w:rsidRPr="00E73961">
        <w:rPr>
          <w:rFonts w:eastAsia="Times New Roman"/>
          <w:lang w:eastAsia="fr-FR"/>
        </w:rPr>
        <w:t>749</w:t>
      </w:r>
      <w:r w:rsidR="0081005D">
        <w:rPr>
          <w:rFonts w:eastAsia="Times New Roman"/>
          <w:lang w:eastAsia="fr-FR"/>
        </w:rPr>
        <w:t> </w:t>
      </w:r>
      <w:proofErr w:type="spellStart"/>
      <w:r w:rsidR="00CF1461">
        <w:rPr>
          <w:rFonts w:eastAsia="Times New Roman"/>
          <w:lang w:eastAsia="fr-FR"/>
        </w:rPr>
        <w:t>D</w:t>
      </w:r>
      <w:r w:rsidR="00CF1461" w:rsidRPr="00E73961">
        <w:rPr>
          <w:rFonts w:eastAsia="Times New Roman"/>
          <w:lang w:eastAsia="fr-FR"/>
        </w:rPr>
        <w:t>hs</w:t>
      </w:r>
      <w:proofErr w:type="spellEnd"/>
      <w:r w:rsidR="00CF1461" w:rsidRPr="00E73961">
        <w:rPr>
          <w:rFonts w:eastAsia="Times New Roman"/>
          <w:lang w:eastAsia="fr-FR"/>
        </w:rPr>
        <w:t>, consacré à l</w:t>
      </w:r>
      <w:r w:rsidR="00CD5A97">
        <w:rPr>
          <w:rFonts w:eastAsia="Times New Roman"/>
          <w:lang w:eastAsia="fr-FR"/>
        </w:rPr>
        <w:t>’</w:t>
      </w:r>
      <w:r w:rsidR="00CF1461" w:rsidRPr="00E73961">
        <w:rPr>
          <w:rFonts w:eastAsia="Times New Roman"/>
          <w:lang w:eastAsia="fr-FR"/>
        </w:rPr>
        <w:t xml:space="preserve">encouragement de la représentation des femmes dans les élections des </w:t>
      </w:r>
      <w:r w:rsidR="00CF1461">
        <w:rPr>
          <w:rFonts w:eastAsia="Times New Roman"/>
          <w:lang w:eastAsia="fr-FR"/>
        </w:rPr>
        <w:t>C</w:t>
      </w:r>
      <w:r w:rsidR="00CF1461" w:rsidRPr="00E73961">
        <w:rPr>
          <w:rFonts w:eastAsia="Times New Roman"/>
          <w:lang w:eastAsia="fr-FR"/>
        </w:rPr>
        <w:t>onseils des collectivités communales</w:t>
      </w:r>
      <w:r w:rsidR="00CF1461">
        <w:rPr>
          <w:rFonts w:eastAsia="Times New Roman"/>
          <w:lang w:eastAsia="fr-FR"/>
        </w:rPr>
        <w:t>.</w:t>
      </w:r>
      <w:r w:rsidR="00CF1461" w:rsidRPr="00E73961">
        <w:rPr>
          <w:rFonts w:eastAsia="Times New Roman"/>
          <w:lang w:eastAsia="fr-FR"/>
        </w:rPr>
        <w:t xml:space="preserve"> 9 projets ont été proposés par les partis politiques, </w:t>
      </w:r>
      <w:r w:rsidR="00CF1461" w:rsidRPr="00855577">
        <w:rPr>
          <w:rFonts w:eastAsia="Times New Roman"/>
          <w:lang w:eastAsia="fr-FR"/>
        </w:rPr>
        <w:t>10</w:t>
      </w:r>
      <w:r w:rsidR="00CF1461" w:rsidRPr="00E73961">
        <w:rPr>
          <w:rFonts w:eastAsia="Times New Roman"/>
          <w:lang w:eastAsia="fr-FR"/>
        </w:rPr>
        <w:t xml:space="preserve"> par les associations nationales et 67 projets proposés par les </w:t>
      </w:r>
      <w:r w:rsidR="00CF1461">
        <w:rPr>
          <w:rFonts w:eastAsia="Times New Roman"/>
          <w:lang w:eastAsia="fr-FR"/>
        </w:rPr>
        <w:t>associations locales et régionales</w:t>
      </w:r>
      <w:r w:rsidR="00CF1461" w:rsidRPr="00E73961">
        <w:rPr>
          <w:rFonts w:eastAsia="Times New Roman"/>
          <w:lang w:eastAsia="fr-FR"/>
        </w:rPr>
        <w:t>.</w:t>
      </w:r>
    </w:p>
    <w:p w14:paraId="54A4EA70" w14:textId="41BADD60" w:rsidR="00CF1461" w:rsidRPr="00855577" w:rsidRDefault="004B5A1A" w:rsidP="004B5A1A">
      <w:pPr>
        <w:pStyle w:val="SingleTxtG"/>
        <w:tabs>
          <w:tab w:val="clear" w:pos="1701"/>
          <w:tab w:val="clear" w:pos="2268"/>
          <w:tab w:val="clear" w:pos="2835"/>
        </w:tabs>
        <w:rPr>
          <w:rFonts w:eastAsia="Times New Roman"/>
          <w:lang w:eastAsia="fr-FR"/>
        </w:rPr>
      </w:pPr>
      <w:r w:rsidRPr="00855577">
        <w:rPr>
          <w:rFonts w:eastAsia="Times New Roman"/>
          <w:color w:val="000000" w:themeColor="text1"/>
          <w:lang w:eastAsia="fr-FR"/>
        </w:rPr>
        <w:t>125.</w:t>
      </w:r>
      <w:r w:rsidRPr="00855577">
        <w:rPr>
          <w:rFonts w:eastAsia="Times New Roman"/>
          <w:color w:val="000000" w:themeColor="text1"/>
          <w:lang w:eastAsia="fr-FR"/>
        </w:rPr>
        <w:tab/>
      </w:r>
      <w:r w:rsidR="00CF1461" w:rsidRPr="00233375">
        <w:rPr>
          <w:rFonts w:eastAsia="Times New Roman"/>
          <w:lang w:eastAsia="fr-FR"/>
        </w:rPr>
        <w:t xml:space="preserve">Il est certain que l’ensemble de ces mesures ont eu un impact positif. </w:t>
      </w:r>
      <w:r w:rsidR="00CF1461">
        <w:rPr>
          <w:rFonts w:eastAsia="Times New Roman"/>
          <w:lang w:eastAsia="fr-FR"/>
        </w:rPr>
        <w:t>Car</w:t>
      </w:r>
      <w:r w:rsidR="00CF1461" w:rsidRPr="00233375">
        <w:rPr>
          <w:rFonts w:eastAsia="Times New Roman"/>
          <w:lang w:eastAsia="fr-FR"/>
        </w:rPr>
        <w:t xml:space="preserve">, force est de </w:t>
      </w:r>
      <w:r w:rsidR="00CF1461" w:rsidRPr="00855577">
        <w:rPr>
          <w:rFonts w:eastAsia="Times New Roman"/>
          <w:lang w:eastAsia="fr-FR"/>
        </w:rPr>
        <w:t>constater</w:t>
      </w:r>
      <w:r w:rsidR="00CF1461" w:rsidRPr="00233375">
        <w:rPr>
          <w:rFonts w:eastAsia="Times New Roman"/>
          <w:lang w:eastAsia="fr-FR"/>
        </w:rPr>
        <w:t xml:space="preserve"> qu’à l’occasion des échéances électorales du 4 septembre 2015, le</w:t>
      </w:r>
      <w:r w:rsidR="005B02F8">
        <w:rPr>
          <w:rFonts w:eastAsia="Times New Roman"/>
          <w:lang w:eastAsia="fr-FR"/>
        </w:rPr>
        <w:t>s femmes ont représenté 21,94</w:t>
      </w:r>
      <w:r w:rsidR="00372939">
        <w:rPr>
          <w:rFonts w:eastAsia="Times New Roman"/>
          <w:lang w:eastAsia="fr-FR"/>
        </w:rPr>
        <w:t> %</w:t>
      </w:r>
      <w:r w:rsidR="005B02F8">
        <w:rPr>
          <w:rFonts w:eastAsia="Times New Roman"/>
          <w:lang w:eastAsia="fr-FR"/>
        </w:rPr>
        <w:t xml:space="preserve"> </w:t>
      </w:r>
      <w:r w:rsidR="00CF1461" w:rsidRPr="00233375">
        <w:rPr>
          <w:rFonts w:eastAsia="Times New Roman"/>
          <w:lang w:eastAsia="fr-FR"/>
        </w:rPr>
        <w:t>de l’ensemble des candidatures au titre des élections communales et 38,64</w:t>
      </w:r>
      <w:r w:rsidR="00372939">
        <w:rPr>
          <w:rFonts w:eastAsia="Times New Roman"/>
          <w:lang w:eastAsia="fr-FR"/>
        </w:rPr>
        <w:t> %</w:t>
      </w:r>
      <w:r w:rsidR="00CF1461" w:rsidRPr="00233375">
        <w:rPr>
          <w:rFonts w:eastAsia="Times New Roman"/>
          <w:lang w:eastAsia="fr-FR"/>
        </w:rPr>
        <w:t xml:space="preserve"> au titre des élections régionales, totalisant environ 28</w:t>
      </w:r>
      <w:r w:rsidR="00771DB9">
        <w:rPr>
          <w:rFonts w:eastAsia="Times New Roman"/>
          <w:lang w:eastAsia="fr-FR"/>
        </w:rPr>
        <w:t> </w:t>
      </w:r>
      <w:r w:rsidR="00CF1461" w:rsidRPr="00233375">
        <w:rPr>
          <w:rFonts w:eastAsia="Times New Roman"/>
          <w:lang w:eastAsia="fr-FR"/>
        </w:rPr>
        <w:t>725 candidatures au titre des élections communales et 2</w:t>
      </w:r>
      <w:r w:rsidR="00771DB9">
        <w:rPr>
          <w:rFonts w:eastAsia="Times New Roman"/>
          <w:lang w:eastAsia="fr-FR"/>
        </w:rPr>
        <w:t> </w:t>
      </w:r>
      <w:r w:rsidR="00CF1461" w:rsidRPr="00233375">
        <w:rPr>
          <w:rFonts w:eastAsia="Times New Roman"/>
          <w:lang w:eastAsia="fr-FR"/>
        </w:rPr>
        <w:t>928 au titre des élections régionales. Ce qui constitu</w:t>
      </w:r>
      <w:r w:rsidR="00CF1461">
        <w:rPr>
          <w:rFonts w:eastAsia="Times New Roman"/>
          <w:lang w:eastAsia="fr-FR"/>
        </w:rPr>
        <w:t>e</w:t>
      </w:r>
      <w:r w:rsidR="00CF1461" w:rsidRPr="00233375">
        <w:rPr>
          <w:rFonts w:eastAsia="Times New Roman"/>
          <w:lang w:eastAsia="fr-FR"/>
        </w:rPr>
        <w:t xml:space="preserve"> un pas en avant vers le renforcement de la représentation féminine dans les </w:t>
      </w:r>
      <w:r w:rsidR="00CF1461">
        <w:rPr>
          <w:rFonts w:eastAsia="Times New Roman"/>
          <w:lang w:eastAsia="fr-FR"/>
        </w:rPr>
        <w:t>C</w:t>
      </w:r>
      <w:r w:rsidR="00CF1461" w:rsidRPr="00233375">
        <w:rPr>
          <w:rFonts w:eastAsia="Times New Roman"/>
          <w:lang w:eastAsia="fr-FR"/>
        </w:rPr>
        <w:t>onseils élus avec 6</w:t>
      </w:r>
      <w:r w:rsidR="00771DB9">
        <w:rPr>
          <w:rFonts w:eastAsia="Times New Roman"/>
          <w:lang w:eastAsia="fr-FR"/>
        </w:rPr>
        <w:t> </w:t>
      </w:r>
      <w:r w:rsidR="00CF1461" w:rsidRPr="00233375">
        <w:rPr>
          <w:rFonts w:eastAsia="Times New Roman"/>
          <w:lang w:eastAsia="fr-FR"/>
        </w:rPr>
        <w:t xml:space="preserve">673 sièges remportés par les femmes lors des élections des </w:t>
      </w:r>
      <w:r w:rsidR="00CF1461">
        <w:rPr>
          <w:rFonts w:eastAsia="Times New Roman"/>
          <w:lang w:eastAsia="fr-FR"/>
        </w:rPr>
        <w:t>C</w:t>
      </w:r>
      <w:r w:rsidR="00CF1461" w:rsidRPr="00233375">
        <w:rPr>
          <w:rFonts w:eastAsia="Times New Roman"/>
          <w:lang w:eastAsia="fr-FR"/>
        </w:rPr>
        <w:t>onseils communaux</w:t>
      </w:r>
      <w:r w:rsidR="00CF1461">
        <w:rPr>
          <w:rFonts w:eastAsia="Times New Roman"/>
          <w:lang w:eastAsia="fr-FR"/>
        </w:rPr>
        <w:t xml:space="preserve"> en 2015</w:t>
      </w:r>
      <w:r w:rsidR="00CF1461" w:rsidRPr="00233375">
        <w:rPr>
          <w:rFonts w:eastAsia="Times New Roman"/>
          <w:lang w:eastAsia="fr-FR"/>
        </w:rPr>
        <w:t>, soit presque le double du nombre de sièges décrochés lors du scrutin de 2009.</w:t>
      </w:r>
    </w:p>
    <w:p w14:paraId="55C2BCF4" w14:textId="77777777" w:rsidR="00CF1461" w:rsidRPr="00E26090" w:rsidRDefault="007B174A" w:rsidP="0089425B">
      <w:pPr>
        <w:pStyle w:val="H23G"/>
      </w:pPr>
      <w:r>
        <w:tab/>
      </w:r>
      <w:r>
        <w:tab/>
      </w:r>
      <w:r w:rsidR="00CF1461" w:rsidRPr="00E26090">
        <w:t>Égalité dans l’accès aux fonctions publiques</w:t>
      </w:r>
    </w:p>
    <w:p w14:paraId="2AD7B68E" w14:textId="39DF2C7F" w:rsidR="00CF1461" w:rsidRPr="002B7D22" w:rsidRDefault="004B5A1A" w:rsidP="004B5A1A">
      <w:pPr>
        <w:pStyle w:val="SingleTxtG"/>
        <w:tabs>
          <w:tab w:val="clear" w:pos="1701"/>
          <w:tab w:val="clear" w:pos="2268"/>
          <w:tab w:val="clear" w:pos="2835"/>
        </w:tabs>
        <w:rPr>
          <w:rFonts w:eastAsia="Times New Roman"/>
          <w:lang w:eastAsia="fr-FR"/>
        </w:rPr>
      </w:pPr>
      <w:r w:rsidRPr="002B7D22">
        <w:rPr>
          <w:rFonts w:eastAsia="Times New Roman"/>
          <w:color w:val="000000" w:themeColor="text1"/>
          <w:lang w:eastAsia="fr-FR"/>
        </w:rPr>
        <w:t>126.</w:t>
      </w:r>
      <w:r w:rsidRPr="002B7D22">
        <w:rPr>
          <w:rFonts w:eastAsia="Times New Roman"/>
          <w:color w:val="000000" w:themeColor="text1"/>
          <w:lang w:eastAsia="fr-FR"/>
        </w:rPr>
        <w:tab/>
      </w:r>
      <w:r w:rsidR="00CF1461" w:rsidRPr="002B7D22">
        <w:rPr>
          <w:rFonts w:eastAsia="Times New Roman"/>
          <w:lang w:eastAsia="fr-FR"/>
        </w:rPr>
        <w:t>Afin de promouvoir les principes de l’équité et de l’égalité entre les hommes et les femmes dans la fonction publique et en matière d’accès aux postes de responsabilité, il y a lieu de rappeler les textes législatifs et réglementaires suivants :</w:t>
      </w:r>
    </w:p>
    <w:p w14:paraId="30833E3A" w14:textId="0DD83112" w:rsidR="00CF1461" w:rsidRPr="001A4E49" w:rsidRDefault="004B5A1A" w:rsidP="004B5A1A">
      <w:pPr>
        <w:pStyle w:val="Bullet1G"/>
        <w:numPr>
          <w:ilvl w:val="0"/>
          <w:numId w:val="0"/>
        </w:numPr>
        <w:tabs>
          <w:tab w:val="left" w:pos="1701"/>
        </w:tabs>
        <w:ind w:left="1701" w:hanging="170"/>
        <w:rPr>
          <w:lang w:eastAsia="fr-FR"/>
        </w:rPr>
      </w:pPr>
      <w:r w:rsidRPr="001A4E49">
        <w:rPr>
          <w:lang w:eastAsia="fr-FR"/>
        </w:rPr>
        <w:t>•</w:t>
      </w:r>
      <w:r w:rsidRPr="001A4E49">
        <w:rPr>
          <w:lang w:eastAsia="fr-FR"/>
        </w:rPr>
        <w:tab/>
      </w:r>
      <w:r w:rsidR="00CF1461" w:rsidRPr="001A4E49">
        <w:rPr>
          <w:lang w:eastAsia="fr-FR"/>
        </w:rPr>
        <w:t xml:space="preserve">Le décret </w:t>
      </w:r>
      <w:r w:rsidR="00771DB9">
        <w:rPr>
          <w:rFonts w:asciiTheme="majorBidi" w:eastAsia="Times New Roman" w:hAnsiTheme="majorBidi" w:cstheme="majorBidi"/>
          <w:color w:val="000000"/>
          <w:lang w:eastAsia="fr-FR"/>
        </w:rPr>
        <w:t>n</w:t>
      </w:r>
      <w:r w:rsidR="00771DB9" w:rsidRPr="00050C02">
        <w:rPr>
          <w:rFonts w:asciiTheme="majorBidi" w:eastAsia="Times New Roman" w:hAnsiTheme="majorBidi" w:cstheme="majorBidi"/>
          <w:color w:val="000000"/>
          <w:vertAlign w:val="superscript"/>
          <w:lang w:eastAsia="fr-FR"/>
        </w:rPr>
        <w:t>o</w:t>
      </w:r>
      <w:r w:rsidR="00771DB9">
        <w:rPr>
          <w:rFonts w:asciiTheme="majorBidi" w:eastAsia="Times New Roman" w:hAnsiTheme="majorBidi" w:cstheme="majorBidi"/>
          <w:color w:val="000000"/>
          <w:lang w:eastAsia="fr-FR"/>
        </w:rPr>
        <w:t> </w:t>
      </w:r>
      <w:r w:rsidR="00CF1461" w:rsidRPr="001A4E49">
        <w:rPr>
          <w:lang w:eastAsia="fr-FR"/>
        </w:rPr>
        <w:t xml:space="preserve">2.11.681 du 25 novembre 2011 relatif aux modalités de nomination des chefs de division et de service dans les administrations publiques, en particulier l’article 9 qui stipule la présence obligatoire d’au moins une femme au sein du </w:t>
      </w:r>
      <w:r w:rsidR="00CF1461">
        <w:rPr>
          <w:lang w:eastAsia="fr-FR"/>
        </w:rPr>
        <w:t>C</w:t>
      </w:r>
      <w:r w:rsidR="00CF1461" w:rsidRPr="001A4E49">
        <w:rPr>
          <w:lang w:eastAsia="fr-FR"/>
        </w:rPr>
        <w:t>omité d’organisation ;</w:t>
      </w:r>
    </w:p>
    <w:p w14:paraId="35F70C57" w14:textId="647C410B" w:rsidR="00CF1461" w:rsidRPr="001A4E49" w:rsidRDefault="004B5A1A" w:rsidP="004B5A1A">
      <w:pPr>
        <w:pStyle w:val="Bullet1G"/>
        <w:numPr>
          <w:ilvl w:val="0"/>
          <w:numId w:val="0"/>
        </w:numPr>
        <w:tabs>
          <w:tab w:val="left" w:pos="1701"/>
        </w:tabs>
        <w:ind w:left="1701" w:hanging="170"/>
        <w:rPr>
          <w:lang w:eastAsia="fr-FR"/>
        </w:rPr>
      </w:pPr>
      <w:r w:rsidRPr="001A4E49">
        <w:rPr>
          <w:lang w:eastAsia="fr-FR"/>
        </w:rPr>
        <w:t>•</w:t>
      </w:r>
      <w:r w:rsidRPr="001A4E49">
        <w:rPr>
          <w:lang w:eastAsia="fr-FR"/>
        </w:rPr>
        <w:tab/>
      </w:r>
      <w:r w:rsidR="00CF1461" w:rsidRPr="001A4E49">
        <w:rPr>
          <w:lang w:eastAsia="fr-FR"/>
        </w:rPr>
        <w:t xml:space="preserve">Le décret </w:t>
      </w:r>
      <w:r w:rsidR="00771DB9">
        <w:rPr>
          <w:rFonts w:asciiTheme="majorBidi" w:eastAsia="Times New Roman" w:hAnsiTheme="majorBidi" w:cstheme="majorBidi"/>
          <w:color w:val="000000"/>
          <w:lang w:eastAsia="fr-FR"/>
        </w:rPr>
        <w:t>n</w:t>
      </w:r>
      <w:r w:rsidR="00771DB9" w:rsidRPr="00050C02">
        <w:rPr>
          <w:rFonts w:asciiTheme="majorBidi" w:eastAsia="Times New Roman" w:hAnsiTheme="majorBidi" w:cstheme="majorBidi"/>
          <w:color w:val="000000"/>
          <w:vertAlign w:val="superscript"/>
          <w:lang w:eastAsia="fr-FR"/>
        </w:rPr>
        <w:t>o</w:t>
      </w:r>
      <w:r w:rsidR="00771DB9">
        <w:rPr>
          <w:rFonts w:asciiTheme="majorBidi" w:eastAsia="Times New Roman" w:hAnsiTheme="majorBidi" w:cstheme="majorBidi"/>
          <w:color w:val="000000"/>
          <w:lang w:eastAsia="fr-FR"/>
        </w:rPr>
        <w:t> </w:t>
      </w:r>
      <w:r w:rsidR="00CF1461" w:rsidRPr="001A4E49">
        <w:rPr>
          <w:lang w:eastAsia="fr-FR"/>
        </w:rPr>
        <w:t xml:space="preserve">2.15.770 du 9 </w:t>
      </w:r>
      <w:r w:rsidR="00771DB9">
        <w:rPr>
          <w:lang w:eastAsia="fr-FR"/>
        </w:rPr>
        <w:t>a</w:t>
      </w:r>
      <w:r w:rsidR="00CF1461" w:rsidRPr="001A4E49">
        <w:rPr>
          <w:lang w:eastAsia="fr-FR"/>
        </w:rPr>
        <w:t xml:space="preserve">oût 2016 fixant les conditions et modalités de recrutement par </w:t>
      </w:r>
      <w:r w:rsidR="00CF1461" w:rsidRPr="00514287">
        <w:rPr>
          <w:lang w:eastAsia="fr-FR"/>
        </w:rPr>
        <w:t>contrats</w:t>
      </w:r>
      <w:r w:rsidR="00CF1461" w:rsidRPr="001A4E49">
        <w:rPr>
          <w:lang w:eastAsia="fr-FR"/>
        </w:rPr>
        <w:t xml:space="preserve"> dans les administrations publiques, en tant que nouveau mécanisme visant à promouvoir le principe de l’égalité, de la transparence et du mérité, </w:t>
      </w:r>
      <w:r w:rsidR="00CF1461">
        <w:rPr>
          <w:lang w:eastAsia="fr-FR"/>
        </w:rPr>
        <w:t xml:space="preserve">et </w:t>
      </w:r>
      <w:r w:rsidR="00CF1461" w:rsidRPr="001A4E49">
        <w:rPr>
          <w:lang w:eastAsia="fr-FR"/>
        </w:rPr>
        <w:t>permettant à la femme de faire valoir ses compétences en matière d’accès aux postes de décision ;</w:t>
      </w:r>
    </w:p>
    <w:p w14:paraId="61A13434" w14:textId="3396318F" w:rsidR="00CF1461" w:rsidRPr="001A4E49" w:rsidRDefault="004B5A1A" w:rsidP="004B5A1A">
      <w:pPr>
        <w:pStyle w:val="Bullet1G"/>
        <w:numPr>
          <w:ilvl w:val="0"/>
          <w:numId w:val="0"/>
        </w:numPr>
        <w:tabs>
          <w:tab w:val="left" w:pos="1701"/>
        </w:tabs>
        <w:ind w:left="1701" w:hanging="170"/>
        <w:rPr>
          <w:lang w:eastAsia="fr-FR"/>
        </w:rPr>
      </w:pPr>
      <w:r w:rsidRPr="001A4E49">
        <w:rPr>
          <w:lang w:eastAsia="fr-FR"/>
        </w:rPr>
        <w:t>•</w:t>
      </w:r>
      <w:r w:rsidRPr="001A4E49">
        <w:rPr>
          <w:lang w:eastAsia="fr-FR"/>
        </w:rPr>
        <w:tab/>
      </w:r>
      <w:r w:rsidR="00CF1461" w:rsidRPr="001A4E49">
        <w:rPr>
          <w:lang w:eastAsia="fr-FR"/>
        </w:rPr>
        <w:t xml:space="preserve">La circulaire du ministre de la fonction publique </w:t>
      </w:r>
      <w:r w:rsidR="00541F8D">
        <w:rPr>
          <w:rFonts w:asciiTheme="majorBidi" w:eastAsia="Times New Roman" w:hAnsiTheme="majorBidi" w:cstheme="majorBidi"/>
          <w:color w:val="000000"/>
          <w:lang w:eastAsia="fr-FR"/>
        </w:rPr>
        <w:t>n</w:t>
      </w:r>
      <w:r w:rsidR="00541F8D" w:rsidRPr="00050C02">
        <w:rPr>
          <w:rFonts w:asciiTheme="majorBidi" w:eastAsia="Times New Roman" w:hAnsiTheme="majorBidi" w:cstheme="majorBidi"/>
          <w:color w:val="000000"/>
          <w:vertAlign w:val="superscript"/>
          <w:lang w:eastAsia="fr-FR"/>
        </w:rPr>
        <w:t>o</w:t>
      </w:r>
      <w:r w:rsidR="00541F8D">
        <w:rPr>
          <w:rFonts w:asciiTheme="majorBidi" w:eastAsia="Times New Roman" w:hAnsiTheme="majorBidi" w:cstheme="majorBidi"/>
          <w:color w:val="000000"/>
          <w:lang w:eastAsia="fr-FR"/>
        </w:rPr>
        <w:t> </w:t>
      </w:r>
      <w:r w:rsidR="00CF1461" w:rsidRPr="001A4E49">
        <w:rPr>
          <w:lang w:eastAsia="fr-FR"/>
        </w:rPr>
        <w:t>1.19 du 5 février 2019 relative aux conditions pour postuler au</w:t>
      </w:r>
      <w:r w:rsidR="00805F0D">
        <w:rPr>
          <w:lang w:eastAsia="fr-FR"/>
        </w:rPr>
        <w:t>x</w:t>
      </w:r>
      <w:r w:rsidR="00CF1461" w:rsidRPr="001A4E49">
        <w:rPr>
          <w:lang w:eastAsia="fr-FR"/>
        </w:rPr>
        <w:t xml:space="preserve"> postes de chef de division ou de chef de service au sein des administrations publiques. </w:t>
      </w:r>
    </w:p>
    <w:p w14:paraId="005C9D7D" w14:textId="7A502990"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127.</w:t>
      </w:r>
      <w:r w:rsidRPr="00E26090">
        <w:rPr>
          <w:rFonts w:eastAsia="Times New Roman"/>
          <w:color w:val="000000" w:themeColor="text1"/>
          <w:lang w:eastAsia="fr-FR"/>
        </w:rPr>
        <w:tab/>
      </w:r>
      <w:r w:rsidR="00CF1461">
        <w:rPr>
          <w:rFonts w:eastAsia="Times New Roman"/>
          <w:lang w:eastAsia="fr-FR"/>
        </w:rPr>
        <w:t>En tant que mécanisme</w:t>
      </w:r>
      <w:r w:rsidR="00CF1461" w:rsidRPr="00E26090">
        <w:rPr>
          <w:rFonts w:eastAsia="Times New Roman"/>
          <w:lang w:eastAsia="fr-FR"/>
        </w:rPr>
        <w:t xml:space="preserve"> de promo</w:t>
      </w:r>
      <w:r w:rsidR="00CF1461">
        <w:rPr>
          <w:rFonts w:eastAsia="Times New Roman"/>
          <w:lang w:eastAsia="fr-FR"/>
        </w:rPr>
        <w:t>tion</w:t>
      </w:r>
      <w:r w:rsidR="00CF1461" w:rsidRPr="00E26090">
        <w:rPr>
          <w:rFonts w:eastAsia="Times New Roman"/>
          <w:lang w:eastAsia="fr-FR"/>
        </w:rPr>
        <w:t xml:space="preserve"> </w:t>
      </w:r>
      <w:r w:rsidR="00CF1461">
        <w:rPr>
          <w:rFonts w:eastAsia="Times New Roman"/>
          <w:lang w:eastAsia="fr-FR"/>
        </w:rPr>
        <w:t xml:space="preserve">de </w:t>
      </w:r>
      <w:r w:rsidR="00CF1461" w:rsidRPr="00E26090">
        <w:rPr>
          <w:rFonts w:eastAsia="Times New Roman"/>
          <w:lang w:eastAsia="fr-FR"/>
        </w:rPr>
        <w:t xml:space="preserve">l’égalité en matière d’accès aux postes de </w:t>
      </w:r>
      <w:r w:rsidR="00CF1461" w:rsidRPr="002B7D22">
        <w:rPr>
          <w:rFonts w:eastAsia="Times New Roman"/>
          <w:lang w:eastAsia="fr-FR"/>
        </w:rPr>
        <w:t>responsabilité</w:t>
      </w:r>
      <w:r w:rsidR="00CF1461" w:rsidRPr="00E26090">
        <w:rPr>
          <w:rFonts w:eastAsia="Times New Roman"/>
          <w:lang w:eastAsia="fr-FR"/>
        </w:rPr>
        <w:t xml:space="preserve">, il y lieu de </w:t>
      </w:r>
      <w:r w:rsidR="00CF1461">
        <w:rPr>
          <w:rFonts w:eastAsia="Times New Roman"/>
          <w:lang w:eastAsia="fr-FR"/>
        </w:rPr>
        <w:t>citer</w:t>
      </w:r>
      <w:r w:rsidR="00CF1461" w:rsidRPr="00E26090">
        <w:rPr>
          <w:rFonts w:eastAsia="Times New Roman"/>
          <w:lang w:eastAsia="fr-FR"/>
        </w:rPr>
        <w:t xml:space="preserve"> la </w:t>
      </w:r>
      <w:r w:rsidR="00C927C9">
        <w:rPr>
          <w:rFonts w:eastAsia="Times New Roman"/>
          <w:lang w:eastAsia="fr-FR"/>
        </w:rPr>
        <w:t>L</w:t>
      </w:r>
      <w:r w:rsidR="00CF1461" w:rsidRPr="00E26090">
        <w:rPr>
          <w:rFonts w:eastAsia="Times New Roman"/>
          <w:lang w:eastAsia="fr-FR"/>
        </w:rPr>
        <w:t xml:space="preserve">oi organique </w:t>
      </w:r>
      <w:r w:rsidR="00541F8D">
        <w:rPr>
          <w:rFonts w:asciiTheme="majorBidi" w:eastAsia="Times New Roman" w:hAnsiTheme="majorBidi" w:cstheme="majorBidi"/>
          <w:color w:val="000000"/>
          <w:lang w:eastAsia="fr-FR"/>
        </w:rPr>
        <w:t>n</w:t>
      </w:r>
      <w:r w:rsidR="00541F8D" w:rsidRPr="00050C02">
        <w:rPr>
          <w:rFonts w:asciiTheme="majorBidi" w:eastAsia="Times New Roman" w:hAnsiTheme="majorBidi" w:cstheme="majorBidi"/>
          <w:color w:val="000000"/>
          <w:vertAlign w:val="superscript"/>
          <w:lang w:eastAsia="fr-FR"/>
        </w:rPr>
        <w:t>o</w:t>
      </w:r>
      <w:r w:rsidR="00541F8D">
        <w:rPr>
          <w:rFonts w:asciiTheme="majorBidi" w:eastAsia="Times New Roman" w:hAnsiTheme="majorBidi" w:cstheme="majorBidi"/>
          <w:color w:val="000000"/>
          <w:lang w:eastAsia="fr-FR"/>
        </w:rPr>
        <w:t> </w:t>
      </w:r>
      <w:r w:rsidR="00CF1461" w:rsidRPr="00E26090">
        <w:rPr>
          <w:rFonts w:eastAsia="Times New Roman"/>
          <w:lang w:eastAsia="fr-FR"/>
        </w:rPr>
        <w:t xml:space="preserve">02-12 promulguée par le Dahir </w:t>
      </w:r>
      <w:r w:rsidR="00541F8D">
        <w:rPr>
          <w:rFonts w:asciiTheme="majorBidi" w:eastAsia="Times New Roman" w:hAnsiTheme="majorBidi" w:cstheme="majorBidi"/>
          <w:color w:val="000000"/>
          <w:lang w:eastAsia="fr-FR"/>
        </w:rPr>
        <w:t>n</w:t>
      </w:r>
      <w:r w:rsidR="00541F8D" w:rsidRPr="00050C02">
        <w:rPr>
          <w:rFonts w:asciiTheme="majorBidi" w:eastAsia="Times New Roman" w:hAnsiTheme="majorBidi" w:cstheme="majorBidi"/>
          <w:color w:val="000000"/>
          <w:vertAlign w:val="superscript"/>
          <w:lang w:eastAsia="fr-FR"/>
        </w:rPr>
        <w:t>o</w:t>
      </w:r>
      <w:r w:rsidR="00541F8D">
        <w:rPr>
          <w:rFonts w:asciiTheme="majorBidi" w:eastAsia="Times New Roman" w:hAnsiTheme="majorBidi" w:cstheme="majorBidi"/>
          <w:color w:val="000000"/>
          <w:lang w:eastAsia="fr-FR"/>
        </w:rPr>
        <w:t> </w:t>
      </w:r>
      <w:r w:rsidR="00CF1461" w:rsidRPr="00E26090">
        <w:rPr>
          <w:rFonts w:eastAsia="Times New Roman"/>
          <w:lang w:eastAsia="fr-FR"/>
        </w:rPr>
        <w:t>1</w:t>
      </w:r>
      <w:r w:rsidR="00CF1461">
        <w:rPr>
          <w:rFonts w:eastAsia="Times New Roman"/>
          <w:lang w:eastAsia="fr-FR"/>
        </w:rPr>
        <w:t>.</w:t>
      </w:r>
      <w:r w:rsidR="00CF1461" w:rsidRPr="00E26090">
        <w:rPr>
          <w:rFonts w:eastAsia="Times New Roman"/>
          <w:lang w:eastAsia="fr-FR"/>
        </w:rPr>
        <w:t>12</w:t>
      </w:r>
      <w:r w:rsidR="00CF1461">
        <w:rPr>
          <w:rFonts w:eastAsia="Times New Roman"/>
          <w:lang w:eastAsia="fr-FR"/>
        </w:rPr>
        <w:t>.</w:t>
      </w:r>
      <w:r w:rsidR="00CF1461" w:rsidRPr="00E26090">
        <w:rPr>
          <w:rFonts w:eastAsia="Times New Roman"/>
          <w:lang w:eastAsia="fr-FR"/>
        </w:rPr>
        <w:t xml:space="preserve">20 du 27 </w:t>
      </w:r>
      <w:proofErr w:type="spellStart"/>
      <w:r w:rsidR="00CF1461" w:rsidRPr="0081005D">
        <w:rPr>
          <w:rFonts w:eastAsia="Times New Roman"/>
          <w:i/>
          <w:iCs/>
          <w:lang w:eastAsia="fr-FR"/>
        </w:rPr>
        <w:t>chaâbane</w:t>
      </w:r>
      <w:proofErr w:type="spellEnd"/>
      <w:r w:rsidR="00CF1461" w:rsidRPr="00E26090">
        <w:rPr>
          <w:rFonts w:eastAsia="Times New Roman"/>
          <w:lang w:eastAsia="fr-FR"/>
        </w:rPr>
        <w:t xml:space="preserve"> 1433 (17 juillet 2012), relative à la nomination aux fonctions supérieures en application des dispositions des artic</w:t>
      </w:r>
      <w:r w:rsidR="005B02F8">
        <w:rPr>
          <w:rFonts w:eastAsia="Times New Roman"/>
          <w:lang w:eastAsia="fr-FR"/>
        </w:rPr>
        <w:t>les 49 et 92 de la Constitution</w:t>
      </w:r>
      <w:r w:rsidR="00CF1461" w:rsidRPr="003C06D3">
        <w:rPr>
          <w:rStyle w:val="Appelnotedebasdep"/>
        </w:rPr>
        <w:footnoteReference w:id="45"/>
      </w:r>
      <w:r w:rsidR="005B02F8">
        <w:rPr>
          <w:rFonts w:eastAsia="Times New Roman"/>
          <w:lang w:eastAsia="fr-FR"/>
        </w:rPr>
        <w:t>.</w:t>
      </w:r>
    </w:p>
    <w:p w14:paraId="7C127BC7" w14:textId="01D8EEDC"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128.</w:t>
      </w:r>
      <w:r>
        <w:rPr>
          <w:rFonts w:eastAsia="Times New Roman"/>
          <w:color w:val="000000" w:themeColor="text1"/>
          <w:lang w:eastAsia="fr-FR"/>
        </w:rPr>
        <w:tab/>
      </w:r>
      <w:r w:rsidR="00CF1461">
        <w:rPr>
          <w:rFonts w:eastAsia="Times New Roman"/>
          <w:lang w:eastAsia="fr-FR"/>
        </w:rPr>
        <w:t>L’</w:t>
      </w:r>
      <w:r w:rsidR="00CF1461" w:rsidRPr="00E26090">
        <w:rPr>
          <w:rFonts w:eastAsia="Times New Roman"/>
          <w:lang w:eastAsia="fr-FR"/>
        </w:rPr>
        <w:t xml:space="preserve">article 4 </w:t>
      </w:r>
      <w:r w:rsidR="00CF1461">
        <w:rPr>
          <w:rFonts w:eastAsia="Times New Roman"/>
          <w:lang w:eastAsia="fr-FR"/>
        </w:rPr>
        <w:t>de cette loi organique consacre « la non-discrimination, sous toutes ses formes, dans le choix des candidates et des candidats aux fonctions supérieures, y compris en raison de l’appartenance politique ou syndicale ou en raison de la langue, la religion, le sexe, le handicap ou pour tout autre motif incompatible avec les principes des droits de l’Homme et les dispositions de la Constitution ».</w:t>
      </w:r>
      <w:r w:rsidR="00CD5A97">
        <w:rPr>
          <w:rFonts w:eastAsia="Times New Roman"/>
          <w:lang w:eastAsia="fr-FR"/>
        </w:rPr>
        <w:t xml:space="preserve"> </w:t>
      </w:r>
    </w:p>
    <w:p w14:paraId="6C238A69" w14:textId="45AFBC55"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129.</w:t>
      </w:r>
      <w:r>
        <w:rPr>
          <w:rFonts w:eastAsia="Times New Roman"/>
          <w:color w:val="000000" w:themeColor="text1"/>
          <w:lang w:eastAsia="fr-FR"/>
        </w:rPr>
        <w:tab/>
      </w:r>
      <w:r w:rsidR="00CF1461">
        <w:rPr>
          <w:rFonts w:eastAsia="Times New Roman"/>
          <w:lang w:eastAsia="fr-FR"/>
        </w:rPr>
        <w:t xml:space="preserve">Au titre de la période 2012-2016, le nombre de nominations, par décret, aux emplois </w:t>
      </w:r>
      <w:r w:rsidR="00CF1461" w:rsidRPr="002B7D22">
        <w:rPr>
          <w:rFonts w:eastAsia="Times New Roman"/>
          <w:lang w:eastAsia="fr-FR"/>
        </w:rPr>
        <w:t>supérieurs</w:t>
      </w:r>
      <w:r w:rsidR="00CF1461">
        <w:rPr>
          <w:rFonts w:eastAsia="Times New Roman"/>
          <w:lang w:eastAsia="fr-FR"/>
        </w:rPr>
        <w:t>, après délibération en Conseil de gouvernement en application de l’article 92 de la Constitution s’élève à 687 nominations, réparties sur 31 départements avec 78 postes occupés par des</w:t>
      </w:r>
      <w:r w:rsidR="005A27F7">
        <w:rPr>
          <w:rFonts w:eastAsia="Times New Roman"/>
          <w:lang w:eastAsia="fr-FR"/>
        </w:rPr>
        <w:t xml:space="preserve"> femmes, soit un taux de 11,35</w:t>
      </w:r>
      <w:r w:rsidR="00372939">
        <w:rPr>
          <w:rFonts w:eastAsia="Times New Roman"/>
          <w:lang w:eastAsia="fr-FR"/>
        </w:rPr>
        <w:t> %</w:t>
      </w:r>
      <w:r w:rsidR="00CF1461" w:rsidRPr="003C06D3">
        <w:rPr>
          <w:rStyle w:val="Appelnotedebasdep"/>
        </w:rPr>
        <w:footnoteReference w:id="46"/>
      </w:r>
      <w:r w:rsidR="005A27F7">
        <w:rPr>
          <w:rFonts w:eastAsia="Times New Roman"/>
          <w:lang w:eastAsia="fr-FR"/>
        </w:rPr>
        <w:t>.</w:t>
      </w:r>
    </w:p>
    <w:p w14:paraId="2A81D5CF" w14:textId="0D06560E" w:rsidR="00CF1461" w:rsidRPr="007B174A" w:rsidRDefault="004B5A1A" w:rsidP="004B5A1A">
      <w:pPr>
        <w:pStyle w:val="SingleTxtG"/>
        <w:tabs>
          <w:tab w:val="clear" w:pos="1701"/>
          <w:tab w:val="clear" w:pos="2268"/>
          <w:tab w:val="clear" w:pos="2835"/>
        </w:tabs>
        <w:rPr>
          <w:rFonts w:asciiTheme="majorBidi" w:eastAsia="Times New Roman" w:hAnsiTheme="majorBidi" w:cstheme="majorBidi"/>
          <w:color w:val="000000"/>
          <w:sz w:val="2"/>
          <w:szCs w:val="2"/>
          <w:lang w:eastAsia="fr-FR"/>
        </w:rPr>
      </w:pPr>
      <w:r w:rsidRPr="007B174A">
        <w:rPr>
          <w:rFonts w:asciiTheme="majorBidi" w:eastAsia="Times New Roman" w:hAnsiTheme="majorBidi" w:cstheme="majorBidi"/>
          <w:color w:val="000000" w:themeColor="text1"/>
          <w:lang w:eastAsia="fr-FR"/>
        </w:rPr>
        <w:lastRenderedPageBreak/>
        <w:t>130.</w:t>
      </w:r>
      <w:r w:rsidRPr="007B174A">
        <w:rPr>
          <w:rFonts w:asciiTheme="majorBidi" w:eastAsia="Times New Roman" w:hAnsiTheme="majorBidi" w:cstheme="majorBidi"/>
          <w:color w:val="000000" w:themeColor="text1"/>
          <w:lang w:eastAsia="fr-FR"/>
        </w:rPr>
        <w:tab/>
      </w:r>
      <w:r w:rsidR="0081005D">
        <w:rPr>
          <w:rFonts w:eastAsia="Times New Roman"/>
          <w:lang w:eastAsia="fr-FR"/>
        </w:rPr>
        <w:t>À</w:t>
      </w:r>
      <w:r w:rsidR="00CF1461" w:rsidRPr="007B174A">
        <w:rPr>
          <w:rFonts w:eastAsia="Times New Roman"/>
          <w:lang w:eastAsia="fr-FR"/>
        </w:rPr>
        <w:t xml:space="preserve"> noter aussi l’ouverture récemment devant la femme de la fonction d’«</w:t>
      </w:r>
      <w:r w:rsidR="00374337">
        <w:rPr>
          <w:rFonts w:eastAsia="Times New Roman"/>
          <w:lang w:eastAsia="fr-FR"/>
        </w:rPr>
        <w:t> </w:t>
      </w:r>
      <w:proofErr w:type="spellStart"/>
      <w:r w:rsidR="00CF1461" w:rsidRPr="007B174A">
        <w:rPr>
          <w:rFonts w:eastAsia="Times New Roman"/>
          <w:lang w:eastAsia="fr-FR"/>
        </w:rPr>
        <w:t>Adoul</w:t>
      </w:r>
      <w:proofErr w:type="spellEnd"/>
      <w:r w:rsidR="005601DF">
        <w:rPr>
          <w:rFonts w:eastAsia="Times New Roman"/>
          <w:lang w:eastAsia="fr-FR"/>
        </w:rPr>
        <w:t xml:space="preserve"> </w:t>
      </w:r>
      <w:r w:rsidR="00CF1461" w:rsidRPr="007B174A">
        <w:rPr>
          <w:rFonts w:eastAsia="Times New Roman"/>
          <w:lang w:eastAsia="fr-FR"/>
        </w:rPr>
        <w:t>»</w:t>
      </w:r>
      <w:r w:rsidR="00CF1461" w:rsidRPr="003C06D3">
        <w:rPr>
          <w:rStyle w:val="Appelnotedebasdep"/>
        </w:rPr>
        <w:footnoteReference w:id="47"/>
      </w:r>
      <w:r w:rsidR="00CF1461" w:rsidRPr="007B174A">
        <w:rPr>
          <w:rFonts w:eastAsia="Times New Roman"/>
          <w:lang w:eastAsia="fr-FR"/>
        </w:rPr>
        <w:t>, jusque-là réservée aux hommes, qui a constitué une réelle avancée consacrant l’égalité homme/femme. Pour la première fois de l’histoire du Maroc, suite à la décision de Sa Majesté le Roi de janvier 2018 et après avis du Conseil supérieur des Oulémas, un concours d’accès à la fonction d’« </w:t>
      </w:r>
      <w:proofErr w:type="spellStart"/>
      <w:r w:rsidR="00CF1461" w:rsidRPr="007B174A">
        <w:rPr>
          <w:rFonts w:eastAsia="Times New Roman"/>
          <w:lang w:eastAsia="fr-FR"/>
        </w:rPr>
        <w:t>Adoul</w:t>
      </w:r>
      <w:proofErr w:type="spellEnd"/>
      <w:r w:rsidR="00CF1461" w:rsidRPr="007B174A">
        <w:rPr>
          <w:rFonts w:eastAsia="Times New Roman"/>
          <w:lang w:eastAsia="fr-FR"/>
        </w:rPr>
        <w:t> » a été organisé au niveau national où 7</w:t>
      </w:r>
      <w:r w:rsidR="00541F8D">
        <w:rPr>
          <w:rFonts w:eastAsia="Times New Roman"/>
          <w:lang w:eastAsia="fr-FR"/>
        </w:rPr>
        <w:t> </w:t>
      </w:r>
      <w:r w:rsidR="00CF1461" w:rsidRPr="007B174A">
        <w:rPr>
          <w:rFonts w:eastAsia="Times New Roman"/>
          <w:lang w:eastAsia="fr-FR"/>
        </w:rPr>
        <w:t>642 femmes s’étaient présentées et où 299 candidates ont obtenu le droit d’exercer la profession d’« </w:t>
      </w:r>
      <w:proofErr w:type="spellStart"/>
      <w:r w:rsidR="00CF1461" w:rsidRPr="007B174A">
        <w:rPr>
          <w:rFonts w:eastAsia="Times New Roman"/>
          <w:lang w:eastAsia="fr-FR"/>
        </w:rPr>
        <w:t>Adoul</w:t>
      </w:r>
      <w:proofErr w:type="spellEnd"/>
      <w:r w:rsidR="00CF1461" w:rsidRPr="007B174A">
        <w:rPr>
          <w:rFonts w:eastAsia="Times New Roman"/>
          <w:lang w:eastAsia="fr-FR"/>
        </w:rPr>
        <w:t> » (soit 40</w:t>
      </w:r>
      <w:r w:rsidR="00372939">
        <w:rPr>
          <w:rFonts w:eastAsia="Times New Roman"/>
          <w:lang w:eastAsia="fr-FR"/>
        </w:rPr>
        <w:t> %</w:t>
      </w:r>
      <w:r w:rsidR="00CF1461" w:rsidRPr="007B174A">
        <w:rPr>
          <w:rFonts w:eastAsia="Times New Roman"/>
          <w:lang w:eastAsia="fr-FR"/>
        </w:rPr>
        <w:t>) aux côtés de leurs 501 collègues masculins.</w:t>
      </w:r>
      <w:r w:rsidR="00CF1461" w:rsidRPr="007B174A">
        <w:rPr>
          <w:rFonts w:asciiTheme="majorBidi" w:eastAsia="Times New Roman" w:hAnsiTheme="majorBidi" w:cstheme="majorBidi"/>
          <w:color w:val="000000"/>
          <w:sz w:val="2"/>
          <w:szCs w:val="2"/>
          <w:lang w:eastAsia="fr-FR"/>
        </w:rPr>
        <w:tab/>
      </w:r>
    </w:p>
    <w:p w14:paraId="51F41CD2" w14:textId="77777777" w:rsidR="00CF1461" w:rsidRPr="00E26090" w:rsidRDefault="007B174A" w:rsidP="0089425B">
      <w:pPr>
        <w:pStyle w:val="H23G"/>
      </w:pPr>
      <w:r>
        <w:tab/>
      </w:r>
      <w:r>
        <w:tab/>
      </w:r>
      <w:r w:rsidR="00CF1461" w:rsidRPr="00E26090">
        <w:t>Participation au pouvoir et à la direction des affaires publiques à tous les échelons</w:t>
      </w:r>
    </w:p>
    <w:p w14:paraId="1D028E17" w14:textId="668175B5"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131.</w:t>
      </w:r>
      <w:r w:rsidRPr="00E26090">
        <w:rPr>
          <w:rFonts w:eastAsia="Times New Roman"/>
          <w:color w:val="000000" w:themeColor="text1"/>
          <w:lang w:eastAsia="fr-FR"/>
        </w:rPr>
        <w:tab/>
      </w:r>
      <w:r w:rsidR="00CF1461" w:rsidRPr="00E26090">
        <w:rPr>
          <w:rFonts w:eastAsia="Times New Roman"/>
          <w:lang w:eastAsia="fr-FR"/>
        </w:rPr>
        <w:t xml:space="preserve">L’intégration de la dimension genre dans les politiques publiques continue à </w:t>
      </w:r>
      <w:r w:rsidR="00CF1461" w:rsidRPr="002B7D22">
        <w:rPr>
          <w:rFonts w:eastAsia="Times New Roman"/>
          <w:lang w:eastAsia="fr-FR"/>
        </w:rPr>
        <w:t>bénéficier</w:t>
      </w:r>
      <w:r w:rsidR="00CF1461" w:rsidRPr="00E26090">
        <w:rPr>
          <w:rFonts w:eastAsia="Times New Roman"/>
          <w:lang w:eastAsia="fr-FR"/>
        </w:rPr>
        <w:t xml:space="preserve"> d’un contexte porteur marqué notamment par : la mise en place depuis 2010 d’un Comité de Concertation Interministériel consacré à l’Egalité des Sexes dans l’Administration Publique, l’adoption par le Conseil du Gouvernement, en juin 2013, du plan gouvernemental pour l’égalité en perspective de la parité « ICRAM » 2012-2015 ayant bénéficié d’un financement de l’Union Européenne.</w:t>
      </w:r>
      <w:r w:rsidR="00CD5A97">
        <w:rPr>
          <w:rFonts w:eastAsia="Times New Roman"/>
          <w:lang w:eastAsia="fr-FR"/>
        </w:rPr>
        <w:t xml:space="preserve"> </w:t>
      </w:r>
      <w:r w:rsidR="00CF1461" w:rsidRPr="00E26090">
        <w:rPr>
          <w:rFonts w:eastAsia="Times New Roman"/>
          <w:lang w:eastAsia="fr-FR"/>
        </w:rPr>
        <w:t>Récemment, un deuxième plan pour la période 2017-2021 « ICRAM2</w:t>
      </w:r>
      <w:r w:rsidR="005601DF">
        <w:rPr>
          <w:rFonts w:eastAsia="Times New Roman"/>
          <w:lang w:eastAsia="fr-FR"/>
        </w:rPr>
        <w:t xml:space="preserve"> </w:t>
      </w:r>
      <w:r w:rsidR="00CF1461" w:rsidRPr="00E26090">
        <w:rPr>
          <w:rFonts w:eastAsia="Times New Roman"/>
          <w:lang w:eastAsia="fr-FR"/>
        </w:rPr>
        <w:t xml:space="preserve">» a été adopté le 3 </w:t>
      </w:r>
      <w:r w:rsidR="00541F8D">
        <w:rPr>
          <w:rFonts w:eastAsia="Times New Roman"/>
          <w:lang w:eastAsia="fr-FR"/>
        </w:rPr>
        <w:t>a</w:t>
      </w:r>
      <w:r w:rsidR="00CF1461" w:rsidRPr="00E26090">
        <w:rPr>
          <w:rFonts w:eastAsia="Times New Roman"/>
          <w:lang w:eastAsia="fr-FR"/>
        </w:rPr>
        <w:t>oût 2017 par le Conseil de gouvernement. Comprenant 7 axes stratégiques et 24 objectifs, « ICRAM2</w:t>
      </w:r>
      <w:r w:rsidR="005601DF">
        <w:rPr>
          <w:rFonts w:eastAsia="Times New Roman"/>
          <w:lang w:eastAsia="fr-FR"/>
        </w:rPr>
        <w:t xml:space="preserve"> </w:t>
      </w:r>
      <w:r w:rsidR="00CF1461" w:rsidRPr="00E26090">
        <w:rPr>
          <w:rFonts w:eastAsia="Times New Roman"/>
          <w:lang w:eastAsia="fr-FR"/>
        </w:rPr>
        <w:t>» consiste à répondre à une vision commune fondée sur une approche basée sur les droits humains de « Renforcement de l’employabilité et de l’autonomisation économique des femmes ».</w:t>
      </w:r>
    </w:p>
    <w:p w14:paraId="0611CE1E" w14:textId="451C3747" w:rsidR="00CF1461" w:rsidRPr="008B75E4" w:rsidRDefault="004B5A1A" w:rsidP="004B5A1A">
      <w:pPr>
        <w:pStyle w:val="SingleTxtG"/>
        <w:tabs>
          <w:tab w:val="clear" w:pos="1701"/>
          <w:tab w:val="clear" w:pos="2268"/>
          <w:tab w:val="clear" w:pos="2835"/>
        </w:tabs>
        <w:rPr>
          <w:rFonts w:eastAsia="Times New Roman"/>
          <w:lang w:eastAsia="fr-FR"/>
        </w:rPr>
      </w:pPr>
      <w:r w:rsidRPr="008B75E4">
        <w:rPr>
          <w:rFonts w:eastAsia="Times New Roman"/>
          <w:color w:val="000000" w:themeColor="text1"/>
          <w:lang w:eastAsia="fr-FR"/>
        </w:rPr>
        <w:t>132.</w:t>
      </w:r>
      <w:r w:rsidRPr="008B75E4">
        <w:rPr>
          <w:rFonts w:eastAsia="Times New Roman"/>
          <w:color w:val="000000" w:themeColor="text1"/>
          <w:lang w:eastAsia="fr-FR"/>
        </w:rPr>
        <w:tab/>
      </w:r>
      <w:r w:rsidR="00CF1461">
        <w:rPr>
          <w:rFonts w:eastAsia="Times New Roman"/>
          <w:lang w:eastAsia="fr-FR"/>
        </w:rPr>
        <w:t>Quant à</w:t>
      </w:r>
      <w:r w:rsidR="00CF1461" w:rsidRPr="00E26090">
        <w:rPr>
          <w:rFonts w:eastAsia="Times New Roman"/>
          <w:lang w:eastAsia="fr-FR"/>
        </w:rPr>
        <w:t xml:space="preserve"> la présence des femmes dans le domaine de la presse et du journalisme, il est à relever le développement ces dernières années de l’effectif de femmes journalistes ayant obtenu la carte de presse professionnelle, atteignant en 2015, le nombre de 691sur un total de 2</w:t>
      </w:r>
      <w:r w:rsidR="00541F8D">
        <w:rPr>
          <w:rFonts w:eastAsia="Times New Roman"/>
          <w:lang w:eastAsia="fr-FR"/>
        </w:rPr>
        <w:t> </w:t>
      </w:r>
      <w:r w:rsidR="00CF1461" w:rsidRPr="00E26090">
        <w:rPr>
          <w:rFonts w:eastAsia="Times New Roman"/>
          <w:lang w:eastAsia="fr-FR"/>
        </w:rPr>
        <w:t>282 journalistes ayant obtenu la carte de presse, ce qui équivaut à une augmentation de 30,28</w:t>
      </w:r>
      <w:r w:rsidR="00372939">
        <w:rPr>
          <w:rFonts w:eastAsia="Times New Roman"/>
          <w:lang w:eastAsia="fr-FR"/>
        </w:rPr>
        <w:t> %</w:t>
      </w:r>
      <w:r w:rsidR="00CF1461" w:rsidRPr="00E26090">
        <w:rPr>
          <w:rFonts w:eastAsia="Times New Roman"/>
          <w:lang w:eastAsia="fr-FR"/>
        </w:rPr>
        <w:t>.</w:t>
      </w:r>
    </w:p>
    <w:p w14:paraId="741D0C7E" w14:textId="1145FD89" w:rsidR="00CF1461" w:rsidRPr="008A0649" w:rsidRDefault="004B5A1A" w:rsidP="004B5A1A">
      <w:pPr>
        <w:pStyle w:val="SingleTxtG"/>
        <w:tabs>
          <w:tab w:val="clear" w:pos="1701"/>
          <w:tab w:val="clear" w:pos="2268"/>
          <w:tab w:val="clear" w:pos="2835"/>
        </w:tabs>
        <w:rPr>
          <w:rFonts w:eastAsia="Times New Roman"/>
          <w:color w:val="000000"/>
          <w:lang w:eastAsia="fr-FR"/>
        </w:rPr>
      </w:pPr>
      <w:r w:rsidRPr="008A0649">
        <w:rPr>
          <w:rFonts w:eastAsia="Times New Roman"/>
          <w:color w:val="000000" w:themeColor="text1"/>
          <w:lang w:eastAsia="fr-FR"/>
        </w:rPr>
        <w:t>133.</w:t>
      </w:r>
      <w:r w:rsidRPr="008A0649">
        <w:rPr>
          <w:rFonts w:eastAsia="Times New Roman"/>
          <w:color w:val="000000" w:themeColor="text1"/>
          <w:lang w:eastAsia="fr-FR"/>
        </w:rPr>
        <w:tab/>
      </w:r>
      <w:r w:rsidR="00CF1461">
        <w:rPr>
          <w:rFonts w:eastAsia="Times New Roman"/>
          <w:color w:val="000000"/>
          <w:lang w:eastAsia="fr-FR"/>
        </w:rPr>
        <w:t>Toutefois,</w:t>
      </w:r>
      <w:r w:rsidR="00CF1461" w:rsidRPr="008A0649">
        <w:rPr>
          <w:rFonts w:eastAsia="Times New Roman"/>
          <w:color w:val="000000"/>
          <w:lang w:eastAsia="fr-FR"/>
        </w:rPr>
        <w:t xml:space="preserve"> </w:t>
      </w:r>
      <w:r w:rsidR="00CF1461" w:rsidRPr="00473B94">
        <w:rPr>
          <w:rFonts w:eastAsia="CharisSIL"/>
        </w:rPr>
        <w:t>d’après</w:t>
      </w:r>
      <w:r w:rsidR="00CF1461" w:rsidRPr="008A0649">
        <w:rPr>
          <w:rFonts w:eastAsia="Times New Roman"/>
          <w:color w:val="000000"/>
          <w:lang w:eastAsia="fr-FR"/>
        </w:rPr>
        <w:t xml:space="preserve"> les données de 2015, la parité est loin d’être atteinte dans l’administration. Le taux de féminisation des postes de responsabilité (hautes fonctions, services et divisions) est de 21,5</w:t>
      </w:r>
      <w:r w:rsidR="00372939">
        <w:rPr>
          <w:rFonts w:eastAsia="Times New Roman"/>
          <w:color w:val="000000"/>
          <w:lang w:eastAsia="fr-FR"/>
        </w:rPr>
        <w:t> %</w:t>
      </w:r>
      <w:r w:rsidR="00CF1461" w:rsidRPr="008A0649">
        <w:rPr>
          <w:rFonts w:eastAsia="Times New Roman"/>
          <w:color w:val="000000"/>
          <w:lang w:eastAsia="fr-FR"/>
        </w:rPr>
        <w:t xml:space="preserve">. Ce pourcentage est beaucoup plus faible au niveau des postes stratégiques. La </w:t>
      </w:r>
      <w:r w:rsidR="00CF1461" w:rsidRPr="002B7D22">
        <w:rPr>
          <w:rFonts w:eastAsia="Times New Roman"/>
          <w:lang w:eastAsia="fr-FR"/>
        </w:rPr>
        <w:t>Fonction</w:t>
      </w:r>
      <w:r w:rsidR="00CF1461" w:rsidRPr="008A0649">
        <w:rPr>
          <w:rFonts w:eastAsia="Times New Roman"/>
          <w:color w:val="000000"/>
          <w:lang w:eastAsia="fr-FR"/>
        </w:rPr>
        <w:t xml:space="preserve"> publique compte quelque 1</w:t>
      </w:r>
      <w:r w:rsidR="00541F8D">
        <w:rPr>
          <w:rFonts w:eastAsia="Times New Roman"/>
          <w:color w:val="000000"/>
          <w:lang w:eastAsia="fr-FR"/>
        </w:rPr>
        <w:t> </w:t>
      </w:r>
      <w:r w:rsidR="00CF1461" w:rsidRPr="008A0649">
        <w:rPr>
          <w:rFonts w:eastAsia="Times New Roman"/>
          <w:color w:val="000000"/>
          <w:lang w:eastAsia="fr-FR"/>
        </w:rPr>
        <w:t>944 femmes chefs de service, 299 femmes chefs de division, 54 directrices centrales, quatre secrétaires générales et 4</w:t>
      </w:r>
      <w:r w:rsidR="00541F8D">
        <w:rPr>
          <w:rFonts w:eastAsia="Times New Roman"/>
          <w:color w:val="000000"/>
          <w:lang w:eastAsia="fr-FR"/>
        </w:rPr>
        <w:t> </w:t>
      </w:r>
      <w:r w:rsidR="00CF1461" w:rsidRPr="008A0649">
        <w:rPr>
          <w:rFonts w:eastAsia="Times New Roman"/>
          <w:color w:val="000000"/>
          <w:lang w:eastAsia="fr-FR"/>
        </w:rPr>
        <w:t>inspectrices générales.</w:t>
      </w:r>
    </w:p>
    <w:p w14:paraId="19753570" w14:textId="735EA753" w:rsidR="00CF1461" w:rsidRPr="006A1332" w:rsidRDefault="004B5A1A" w:rsidP="004B5A1A">
      <w:pPr>
        <w:pStyle w:val="SingleTxtG"/>
        <w:tabs>
          <w:tab w:val="clear" w:pos="1701"/>
          <w:tab w:val="clear" w:pos="2268"/>
          <w:tab w:val="clear" w:pos="2835"/>
        </w:tabs>
        <w:rPr>
          <w:rFonts w:eastAsia="Times New Roman"/>
          <w:color w:val="000000"/>
          <w:lang w:eastAsia="fr-FR"/>
        </w:rPr>
      </w:pPr>
      <w:r w:rsidRPr="006A1332">
        <w:rPr>
          <w:rFonts w:eastAsia="Times New Roman"/>
          <w:color w:val="000000" w:themeColor="text1"/>
          <w:lang w:eastAsia="fr-FR"/>
        </w:rPr>
        <w:t>134.</w:t>
      </w:r>
      <w:r w:rsidRPr="006A1332">
        <w:rPr>
          <w:rFonts w:eastAsia="Times New Roman"/>
          <w:color w:val="000000" w:themeColor="text1"/>
          <w:lang w:eastAsia="fr-FR"/>
        </w:rPr>
        <w:tab/>
      </w:r>
      <w:r w:rsidR="00CF1461">
        <w:rPr>
          <w:rFonts w:eastAsia="Times New Roman"/>
          <w:color w:val="000000"/>
          <w:lang w:eastAsia="fr-FR"/>
        </w:rPr>
        <w:t>Ce même constat,</w:t>
      </w:r>
      <w:r w:rsidR="00CF1461" w:rsidRPr="006A1332">
        <w:rPr>
          <w:rFonts w:eastAsia="Times New Roman"/>
          <w:color w:val="000000"/>
          <w:lang w:eastAsia="fr-FR"/>
        </w:rPr>
        <w:t xml:space="preserve"> malgré </w:t>
      </w:r>
      <w:r w:rsidR="00CF1461">
        <w:rPr>
          <w:rFonts w:eastAsia="Times New Roman"/>
          <w:color w:val="000000"/>
          <w:lang w:eastAsia="fr-FR"/>
        </w:rPr>
        <w:t xml:space="preserve">une légère </w:t>
      </w:r>
      <w:r w:rsidR="00CF1461" w:rsidRPr="006A1332">
        <w:rPr>
          <w:rFonts w:eastAsia="Times New Roman"/>
          <w:color w:val="000000"/>
          <w:lang w:eastAsia="fr-FR"/>
        </w:rPr>
        <w:t>amélioration</w:t>
      </w:r>
      <w:r w:rsidR="00CF1461">
        <w:rPr>
          <w:rFonts w:eastAsia="Times New Roman"/>
          <w:color w:val="000000"/>
          <w:lang w:eastAsia="fr-FR"/>
        </w:rPr>
        <w:t>, reste valable e</w:t>
      </w:r>
      <w:r w:rsidR="00CF1461" w:rsidRPr="006A1332">
        <w:rPr>
          <w:rFonts w:eastAsia="Times New Roman"/>
          <w:color w:val="000000"/>
          <w:lang w:eastAsia="fr-FR"/>
        </w:rPr>
        <w:t>n ce qui concerne la présence de la femme parmi les hautes fonctions de l’Autorité (Wali</w:t>
      </w:r>
      <w:r w:rsidR="00CF1461">
        <w:rPr>
          <w:rFonts w:eastAsia="Times New Roman"/>
          <w:color w:val="000000"/>
          <w:lang w:eastAsia="fr-FR"/>
        </w:rPr>
        <w:t>, G</w:t>
      </w:r>
      <w:r w:rsidR="00CF1461" w:rsidRPr="006A1332">
        <w:rPr>
          <w:rFonts w:eastAsia="Times New Roman"/>
          <w:color w:val="000000"/>
          <w:lang w:eastAsia="fr-FR"/>
        </w:rPr>
        <w:t>ouverneur</w:t>
      </w:r>
      <w:r w:rsidR="00CF1461">
        <w:rPr>
          <w:rFonts w:eastAsia="Times New Roman"/>
          <w:color w:val="000000"/>
          <w:lang w:eastAsia="fr-FR"/>
        </w:rPr>
        <w:t xml:space="preserve"> etc.</w:t>
      </w:r>
      <w:r w:rsidR="00CF1461" w:rsidRPr="006A1332">
        <w:rPr>
          <w:rFonts w:eastAsia="Times New Roman"/>
          <w:color w:val="000000"/>
          <w:lang w:eastAsia="fr-FR"/>
        </w:rPr>
        <w:t xml:space="preserve">) ou sa </w:t>
      </w:r>
      <w:r w:rsidR="00CF1461" w:rsidRPr="002B7D22">
        <w:rPr>
          <w:rFonts w:eastAsia="Times New Roman"/>
          <w:lang w:eastAsia="fr-FR"/>
        </w:rPr>
        <w:t>représentation</w:t>
      </w:r>
      <w:r w:rsidR="00CF1461" w:rsidRPr="006A1332">
        <w:rPr>
          <w:rFonts w:eastAsia="Times New Roman"/>
          <w:color w:val="000000"/>
          <w:lang w:eastAsia="fr-FR"/>
        </w:rPr>
        <w:t xml:space="preserve"> dans la configuration gouvernementale. </w:t>
      </w:r>
    </w:p>
    <w:p w14:paraId="408FC04F" w14:textId="7108A2E9" w:rsidR="00CF1461" w:rsidRPr="008A0AD3" w:rsidRDefault="004B5A1A" w:rsidP="004B5A1A">
      <w:pPr>
        <w:pStyle w:val="SingleTxtG"/>
        <w:tabs>
          <w:tab w:val="clear" w:pos="1701"/>
          <w:tab w:val="clear" w:pos="2268"/>
          <w:tab w:val="clear" w:pos="2835"/>
        </w:tabs>
        <w:rPr>
          <w:rFonts w:eastAsia="Times New Roman"/>
          <w:color w:val="000000"/>
          <w:lang w:eastAsia="fr-FR"/>
        </w:rPr>
      </w:pPr>
      <w:r w:rsidRPr="008A0AD3">
        <w:rPr>
          <w:rFonts w:eastAsia="Times New Roman"/>
          <w:color w:val="000000" w:themeColor="text1"/>
          <w:lang w:eastAsia="fr-FR"/>
        </w:rPr>
        <w:t>135.</w:t>
      </w:r>
      <w:r w:rsidRPr="008A0AD3">
        <w:rPr>
          <w:rFonts w:eastAsia="Times New Roman"/>
          <w:color w:val="000000" w:themeColor="text1"/>
          <w:lang w:eastAsia="fr-FR"/>
        </w:rPr>
        <w:tab/>
      </w:r>
      <w:r w:rsidR="00CF1461">
        <w:rPr>
          <w:rFonts w:eastAsia="Times New Roman"/>
          <w:color w:val="000000"/>
          <w:lang w:eastAsia="fr-FR"/>
        </w:rPr>
        <w:t xml:space="preserve">D’où l’appel lancé par le CNDH à propos de la participation politique et publique de la </w:t>
      </w:r>
      <w:r w:rsidR="00CF1461" w:rsidRPr="002B7D22">
        <w:rPr>
          <w:rFonts w:eastAsia="Times New Roman"/>
          <w:lang w:eastAsia="fr-FR"/>
        </w:rPr>
        <w:t>femme</w:t>
      </w:r>
      <w:r w:rsidR="00CF1461">
        <w:rPr>
          <w:rFonts w:eastAsia="Times New Roman"/>
          <w:color w:val="000000"/>
          <w:lang w:eastAsia="fr-FR"/>
        </w:rPr>
        <w:t xml:space="preserve"> de « </w:t>
      </w:r>
      <w:r w:rsidR="00CF1461" w:rsidRPr="000B5B13">
        <w:rPr>
          <w:rFonts w:eastAsia="Times New Roman"/>
          <w:color w:val="000000"/>
          <w:lang w:eastAsia="fr-FR"/>
        </w:rPr>
        <w:t>la nécessité de recourir à des mécanismes institutionnels contraignants mais également, et surtout, à une révision des paradigmes et des orientations fondant les politiques publiques dans leur globalité</w:t>
      </w:r>
      <w:r w:rsidR="00CF1461">
        <w:rPr>
          <w:rFonts w:eastAsia="Times New Roman"/>
          <w:color w:val="000000"/>
          <w:lang w:eastAsia="fr-FR"/>
        </w:rPr>
        <w:t> »</w:t>
      </w:r>
      <w:r w:rsidR="00CF1461" w:rsidRPr="003C06D3">
        <w:rPr>
          <w:rStyle w:val="Appelnotedebasdep"/>
        </w:rPr>
        <w:footnoteReference w:id="48"/>
      </w:r>
      <w:r w:rsidR="005A27F7">
        <w:rPr>
          <w:rFonts w:eastAsia="Times New Roman"/>
          <w:color w:val="000000"/>
          <w:lang w:eastAsia="fr-FR"/>
        </w:rPr>
        <w:t>.</w:t>
      </w:r>
    </w:p>
    <w:p w14:paraId="65D1807F" w14:textId="77777777" w:rsidR="00CF1461" w:rsidRPr="00E26090" w:rsidRDefault="007B174A" w:rsidP="00A5588D">
      <w:pPr>
        <w:pStyle w:val="H1G"/>
      </w:pPr>
      <w:r>
        <w:rPr>
          <w:rFonts w:ascii="Arial" w:hAnsi="Arial"/>
          <w:color w:val="343434"/>
          <w:sz w:val="16"/>
          <w:szCs w:val="16"/>
        </w:rPr>
        <w:tab/>
      </w:r>
      <w:r>
        <w:rPr>
          <w:rFonts w:ascii="Arial" w:hAnsi="Arial"/>
          <w:color w:val="343434"/>
          <w:sz w:val="16"/>
          <w:szCs w:val="16"/>
        </w:rPr>
        <w:tab/>
      </w:r>
      <w:r>
        <w:rPr>
          <w:rFonts w:ascii="Arial" w:hAnsi="Arial"/>
          <w:color w:val="343434"/>
          <w:sz w:val="16"/>
          <w:szCs w:val="16"/>
        </w:rPr>
        <w:tab/>
      </w:r>
      <w:r w:rsidR="00CF1461" w:rsidRPr="00E26090">
        <w:t>Autres droits civils</w:t>
      </w:r>
    </w:p>
    <w:p w14:paraId="313B7442" w14:textId="77777777" w:rsidR="00CF1461" w:rsidRPr="00E26090" w:rsidRDefault="007B174A" w:rsidP="00377075">
      <w:pPr>
        <w:pStyle w:val="H23G"/>
        <w:rPr>
          <w:lang w:eastAsia="fr-FR"/>
        </w:rPr>
      </w:pPr>
      <w:r>
        <w:rPr>
          <w:lang w:eastAsia="fr-FR"/>
        </w:rPr>
        <w:tab/>
      </w:r>
      <w:r>
        <w:rPr>
          <w:lang w:eastAsia="fr-FR"/>
        </w:rPr>
        <w:tab/>
      </w:r>
      <w:r w:rsidR="00CF1461" w:rsidRPr="00E26090">
        <w:rPr>
          <w:lang w:eastAsia="fr-FR"/>
        </w:rPr>
        <w:t>Recommandation 12 du Comité</w:t>
      </w:r>
    </w:p>
    <w:p w14:paraId="50E7E5F0" w14:textId="638E9C22"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136.</w:t>
      </w:r>
      <w:r w:rsidRPr="00E26090">
        <w:rPr>
          <w:rFonts w:eastAsia="Times New Roman"/>
          <w:color w:val="000000" w:themeColor="text1"/>
          <w:lang w:eastAsia="fr-FR"/>
        </w:rPr>
        <w:tab/>
      </w:r>
      <w:r w:rsidR="00CF1461">
        <w:rPr>
          <w:rFonts w:eastAsia="Times New Roman"/>
          <w:lang w:eastAsia="fr-FR"/>
        </w:rPr>
        <w:t>En insistant sur la liberté du choix, la</w:t>
      </w:r>
      <w:r w:rsidR="00CF1461" w:rsidRPr="00E26090">
        <w:rPr>
          <w:rFonts w:eastAsia="Times New Roman"/>
          <w:lang w:eastAsia="fr-FR"/>
        </w:rPr>
        <w:t xml:space="preserve"> circulaire </w:t>
      </w:r>
      <w:r w:rsidR="00541F8D">
        <w:rPr>
          <w:rFonts w:asciiTheme="majorBidi" w:eastAsia="Times New Roman" w:hAnsiTheme="majorBidi" w:cstheme="majorBidi"/>
          <w:color w:val="000000"/>
          <w:lang w:eastAsia="fr-FR"/>
        </w:rPr>
        <w:t>n</w:t>
      </w:r>
      <w:r w:rsidR="00541F8D" w:rsidRPr="00050C02">
        <w:rPr>
          <w:rFonts w:asciiTheme="majorBidi" w:eastAsia="Times New Roman" w:hAnsiTheme="majorBidi" w:cstheme="majorBidi"/>
          <w:color w:val="000000"/>
          <w:vertAlign w:val="superscript"/>
          <w:lang w:eastAsia="fr-FR"/>
        </w:rPr>
        <w:t>o</w:t>
      </w:r>
      <w:r w:rsidR="00541F8D">
        <w:rPr>
          <w:rFonts w:asciiTheme="majorBidi" w:eastAsia="Times New Roman" w:hAnsiTheme="majorBidi" w:cstheme="majorBidi"/>
          <w:color w:val="000000"/>
          <w:lang w:eastAsia="fr-FR"/>
        </w:rPr>
        <w:t> </w:t>
      </w:r>
      <w:r w:rsidR="00CF1461" w:rsidRPr="00E26090">
        <w:rPr>
          <w:rFonts w:eastAsia="Times New Roman"/>
          <w:lang w:eastAsia="fr-FR"/>
        </w:rPr>
        <w:t xml:space="preserve">3220 </w:t>
      </w:r>
      <w:r w:rsidR="00CF1461">
        <w:rPr>
          <w:rFonts w:eastAsia="Times New Roman"/>
          <w:lang w:eastAsia="fr-FR"/>
        </w:rPr>
        <w:t>du</w:t>
      </w:r>
      <w:r w:rsidR="00CF1461" w:rsidRPr="00E26090">
        <w:rPr>
          <w:rFonts w:eastAsia="Times New Roman"/>
          <w:lang w:eastAsia="fr-FR"/>
        </w:rPr>
        <w:t xml:space="preserve"> ministère de l’Intérieur</w:t>
      </w:r>
      <w:r w:rsidR="00CF1461">
        <w:rPr>
          <w:rFonts w:eastAsia="Times New Roman"/>
          <w:lang w:eastAsia="fr-FR"/>
        </w:rPr>
        <w:t>,</w:t>
      </w:r>
      <w:r w:rsidR="00CF1461" w:rsidRPr="00E26090">
        <w:rPr>
          <w:rFonts w:eastAsia="Times New Roman"/>
          <w:lang w:eastAsia="fr-FR"/>
        </w:rPr>
        <w:t xml:space="preserve"> publié</w:t>
      </w:r>
      <w:r w:rsidR="00CF1461">
        <w:rPr>
          <w:rFonts w:eastAsia="Times New Roman"/>
          <w:lang w:eastAsia="fr-FR"/>
        </w:rPr>
        <w:t>e</w:t>
      </w:r>
      <w:r w:rsidR="00CF1461" w:rsidRPr="00E26090">
        <w:rPr>
          <w:rFonts w:eastAsia="Times New Roman"/>
          <w:lang w:eastAsia="fr-FR"/>
        </w:rPr>
        <w:t xml:space="preserve"> le 9 avril 2010</w:t>
      </w:r>
      <w:r w:rsidR="00CF1461">
        <w:rPr>
          <w:rFonts w:eastAsia="Times New Roman"/>
          <w:lang w:eastAsia="fr-FR"/>
        </w:rPr>
        <w:t>,</w:t>
      </w:r>
      <w:r w:rsidR="00CF1461" w:rsidRPr="00E26090">
        <w:rPr>
          <w:rFonts w:eastAsia="Times New Roman"/>
          <w:lang w:eastAsia="fr-FR"/>
        </w:rPr>
        <w:t xml:space="preserve"> a lev</w:t>
      </w:r>
      <w:r w:rsidR="00CF1461">
        <w:rPr>
          <w:rFonts w:eastAsia="Times New Roman"/>
          <w:lang w:eastAsia="fr-FR"/>
        </w:rPr>
        <w:t>é</w:t>
      </w:r>
      <w:r w:rsidR="00CF1461" w:rsidRPr="00E26090">
        <w:rPr>
          <w:rFonts w:eastAsia="Times New Roman"/>
          <w:lang w:eastAsia="fr-FR"/>
        </w:rPr>
        <w:t xml:space="preserve"> toute </w:t>
      </w:r>
      <w:r w:rsidR="00CF1461" w:rsidRPr="00473B94">
        <w:rPr>
          <w:rFonts w:eastAsia="CharisSIL"/>
        </w:rPr>
        <w:t>équivoque</w:t>
      </w:r>
      <w:r w:rsidR="00CF1461" w:rsidRPr="00E26090">
        <w:rPr>
          <w:rFonts w:eastAsia="Times New Roman"/>
          <w:lang w:eastAsia="fr-FR"/>
        </w:rPr>
        <w:t xml:space="preserve"> </w:t>
      </w:r>
      <w:r w:rsidR="00CF1461">
        <w:rPr>
          <w:rFonts w:eastAsia="Times New Roman"/>
          <w:lang w:eastAsia="fr-FR"/>
        </w:rPr>
        <w:t>au sujet du</w:t>
      </w:r>
      <w:r w:rsidR="00CF1461" w:rsidRPr="00E26090">
        <w:rPr>
          <w:rFonts w:eastAsia="Times New Roman"/>
          <w:lang w:eastAsia="fr-FR"/>
        </w:rPr>
        <w:t xml:space="preserve"> choix des prénoms notamment amazighs. Elle a en outre clarifié que l</w:t>
      </w:r>
      <w:r w:rsidR="00CF1461">
        <w:rPr>
          <w:rFonts w:eastAsia="Times New Roman"/>
          <w:lang w:eastAsia="fr-FR"/>
        </w:rPr>
        <w:t>e</w:t>
      </w:r>
      <w:r w:rsidR="00CF1461" w:rsidRPr="00E26090">
        <w:rPr>
          <w:rFonts w:eastAsia="Times New Roman"/>
          <w:lang w:eastAsia="fr-FR"/>
        </w:rPr>
        <w:t xml:space="preserve"> qualificatif « marocain » </w:t>
      </w:r>
      <w:r w:rsidR="00CF1461">
        <w:rPr>
          <w:rFonts w:eastAsia="Times New Roman"/>
          <w:lang w:eastAsia="fr-FR"/>
        </w:rPr>
        <w:t xml:space="preserve">de </w:t>
      </w:r>
      <w:r w:rsidR="00CF1461" w:rsidRPr="00E26090">
        <w:rPr>
          <w:rFonts w:eastAsia="Times New Roman"/>
          <w:lang w:eastAsia="fr-FR"/>
        </w:rPr>
        <w:t xml:space="preserve">l’article 21 de la loi </w:t>
      </w:r>
      <w:r w:rsidR="003D3EB1">
        <w:rPr>
          <w:rFonts w:eastAsia="Times New Roman"/>
          <w:lang w:eastAsia="fr-FR"/>
        </w:rPr>
        <w:t>n</w:t>
      </w:r>
      <w:r w:rsidR="003D3EB1" w:rsidRPr="00013F70">
        <w:rPr>
          <w:rFonts w:eastAsia="Times New Roman"/>
          <w:vertAlign w:val="superscript"/>
          <w:lang w:eastAsia="fr-FR"/>
        </w:rPr>
        <w:t>o</w:t>
      </w:r>
      <w:r w:rsidR="003D3EB1">
        <w:rPr>
          <w:rFonts w:eastAsia="Times New Roman"/>
          <w:lang w:eastAsia="fr-FR"/>
        </w:rPr>
        <w:t> </w:t>
      </w:r>
      <w:r w:rsidR="00CF1461" w:rsidRPr="00E26090">
        <w:rPr>
          <w:rFonts w:eastAsia="Times New Roman"/>
          <w:lang w:eastAsia="fr-FR"/>
        </w:rPr>
        <w:t>37</w:t>
      </w:r>
      <w:r w:rsidR="00CF1461">
        <w:rPr>
          <w:rFonts w:eastAsia="Times New Roman"/>
          <w:lang w:eastAsia="fr-FR"/>
        </w:rPr>
        <w:t>.</w:t>
      </w:r>
      <w:r w:rsidR="00CF1461" w:rsidRPr="00E26090">
        <w:rPr>
          <w:rFonts w:eastAsia="Times New Roman"/>
          <w:lang w:eastAsia="fr-FR"/>
        </w:rPr>
        <w:t xml:space="preserve">99 sur l’état civil, </w:t>
      </w:r>
      <w:r w:rsidR="00CF1461">
        <w:rPr>
          <w:rFonts w:eastAsia="Times New Roman"/>
          <w:lang w:eastAsia="fr-FR"/>
        </w:rPr>
        <w:t>renvoie à l’ensemble d</w:t>
      </w:r>
      <w:r w:rsidR="00CF1461" w:rsidRPr="00E26090">
        <w:rPr>
          <w:rFonts w:eastAsia="Times New Roman"/>
          <w:lang w:eastAsia="fr-FR"/>
        </w:rPr>
        <w:t>es composantes de la société marocaine (arabe, amazigh, islamique et hébraïque).</w:t>
      </w:r>
      <w:r w:rsidR="00CF1461">
        <w:rPr>
          <w:rFonts w:eastAsia="Times New Roman"/>
          <w:lang w:eastAsia="fr-FR"/>
        </w:rPr>
        <w:t xml:space="preserve"> </w:t>
      </w:r>
      <w:r w:rsidR="00CF1461" w:rsidRPr="00E26090">
        <w:rPr>
          <w:rFonts w:eastAsia="Times New Roman"/>
          <w:lang w:eastAsia="fr-FR"/>
        </w:rPr>
        <w:t xml:space="preserve">Elle prévoie également des démarches simples et souples pour </w:t>
      </w:r>
      <w:r w:rsidR="00CF1461">
        <w:rPr>
          <w:rFonts w:eastAsia="Times New Roman"/>
          <w:lang w:eastAsia="fr-FR"/>
        </w:rPr>
        <w:t xml:space="preserve">mieux </w:t>
      </w:r>
      <w:r w:rsidR="00CF1461" w:rsidRPr="00E26090">
        <w:rPr>
          <w:rFonts w:eastAsia="Times New Roman"/>
          <w:lang w:eastAsia="fr-FR"/>
        </w:rPr>
        <w:t>gérer les relations avec les citoyens.</w:t>
      </w:r>
    </w:p>
    <w:p w14:paraId="6B6CF97B" w14:textId="1E029158"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137.</w:t>
      </w:r>
      <w:r w:rsidRPr="00E26090">
        <w:rPr>
          <w:rFonts w:eastAsia="Times New Roman"/>
          <w:color w:val="000000" w:themeColor="text1"/>
          <w:lang w:eastAsia="fr-FR"/>
        </w:rPr>
        <w:tab/>
      </w:r>
      <w:r w:rsidR="00CF1461">
        <w:rPr>
          <w:rFonts w:eastAsia="Times New Roman"/>
          <w:lang w:eastAsia="fr-FR"/>
        </w:rPr>
        <w:t xml:space="preserve">Lors de sa réunion </w:t>
      </w:r>
      <w:r w:rsidR="00CF1461" w:rsidRPr="00E26090">
        <w:rPr>
          <w:rFonts w:eastAsia="Times New Roman"/>
          <w:lang w:eastAsia="fr-FR"/>
        </w:rPr>
        <w:t xml:space="preserve">tenue le 23 janvier 2014, </w:t>
      </w:r>
      <w:r w:rsidR="00CF1461">
        <w:rPr>
          <w:rFonts w:eastAsia="Times New Roman"/>
          <w:lang w:eastAsia="fr-FR"/>
        </w:rPr>
        <w:t>l</w:t>
      </w:r>
      <w:r w:rsidR="00CF1461" w:rsidRPr="00E26090">
        <w:rPr>
          <w:rFonts w:eastAsia="Times New Roman"/>
          <w:lang w:eastAsia="fr-FR"/>
        </w:rPr>
        <w:t xml:space="preserve">a Haute </w:t>
      </w:r>
      <w:r w:rsidR="00CF1461" w:rsidRPr="00473B94">
        <w:rPr>
          <w:rFonts w:eastAsia="CharisSIL"/>
        </w:rPr>
        <w:t>Commission</w:t>
      </w:r>
      <w:r w:rsidR="00CF1461" w:rsidRPr="00E26090">
        <w:rPr>
          <w:rFonts w:eastAsia="Times New Roman"/>
          <w:lang w:eastAsia="fr-FR"/>
        </w:rPr>
        <w:t xml:space="preserve"> d’état civil a insisté dans un communiqué diffusé</w:t>
      </w:r>
      <w:r w:rsidR="00CF1461">
        <w:rPr>
          <w:rFonts w:eastAsia="Times New Roman"/>
          <w:lang w:eastAsia="fr-FR"/>
        </w:rPr>
        <w:t>,</w:t>
      </w:r>
      <w:r w:rsidR="00CF1461" w:rsidRPr="00E26090">
        <w:rPr>
          <w:rFonts w:eastAsia="Times New Roman"/>
          <w:lang w:eastAsia="fr-FR"/>
        </w:rPr>
        <w:t xml:space="preserve"> sur la liberté de tout citoyen de choisir le prénom de son enfant, à condition qu’il ne porte atteinte à la morale ou à l’ordre public, sans distinction aucune </w:t>
      </w:r>
      <w:r w:rsidR="00CF1461" w:rsidRPr="00E26090">
        <w:rPr>
          <w:rFonts w:eastAsia="Times New Roman"/>
          <w:lang w:eastAsia="fr-FR"/>
        </w:rPr>
        <w:lastRenderedPageBreak/>
        <w:t>entre les prénoms arabes, amazighs, hassani et hébraïques et ce, conformément aux dispositions de la loi relative à l’état civil.</w:t>
      </w:r>
    </w:p>
    <w:p w14:paraId="4EABE6F5" w14:textId="7F5293F1"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138.</w:t>
      </w:r>
      <w:r>
        <w:rPr>
          <w:rFonts w:eastAsia="Times New Roman"/>
          <w:color w:val="000000" w:themeColor="text1"/>
          <w:lang w:eastAsia="fr-FR"/>
        </w:rPr>
        <w:tab/>
      </w:r>
      <w:r w:rsidR="00CF1461" w:rsidRPr="00E26090">
        <w:rPr>
          <w:rFonts w:eastAsia="Times New Roman"/>
          <w:lang w:eastAsia="fr-FR"/>
        </w:rPr>
        <w:t xml:space="preserve">La Haute Commission </w:t>
      </w:r>
      <w:r w:rsidR="00CF1461" w:rsidRPr="00DF325F">
        <w:rPr>
          <w:rFonts w:eastAsia="Times New Roman"/>
          <w:lang w:eastAsia="fr-FR"/>
        </w:rPr>
        <w:t>a également invité les officiers de l’</w:t>
      </w:r>
      <w:r w:rsidR="00CF1461">
        <w:rPr>
          <w:rFonts w:eastAsia="Times New Roman"/>
          <w:lang w:eastAsia="fr-FR"/>
        </w:rPr>
        <w:t>é</w:t>
      </w:r>
      <w:r w:rsidR="00CF1461" w:rsidRPr="00DF325F">
        <w:rPr>
          <w:rFonts w:eastAsia="Times New Roman"/>
          <w:lang w:eastAsia="fr-FR"/>
        </w:rPr>
        <w:t>tat civil à se conformer strictement aux dispositions de la circulaire</w:t>
      </w:r>
      <w:r w:rsidR="00CF1461">
        <w:rPr>
          <w:rFonts w:eastAsia="Times New Roman"/>
          <w:lang w:eastAsia="fr-FR"/>
        </w:rPr>
        <w:t xml:space="preserve"> </w:t>
      </w:r>
      <w:r w:rsidR="00541F8D">
        <w:rPr>
          <w:rFonts w:asciiTheme="majorBidi" w:eastAsia="Times New Roman" w:hAnsiTheme="majorBidi" w:cstheme="majorBidi"/>
          <w:color w:val="000000"/>
          <w:lang w:eastAsia="fr-FR"/>
        </w:rPr>
        <w:t>n</w:t>
      </w:r>
      <w:r w:rsidR="00541F8D" w:rsidRPr="00050C02">
        <w:rPr>
          <w:rFonts w:asciiTheme="majorBidi" w:eastAsia="Times New Roman" w:hAnsiTheme="majorBidi" w:cstheme="majorBidi"/>
          <w:color w:val="000000"/>
          <w:vertAlign w:val="superscript"/>
          <w:lang w:eastAsia="fr-FR"/>
        </w:rPr>
        <w:t>o</w:t>
      </w:r>
      <w:r w:rsidR="00541F8D">
        <w:rPr>
          <w:rFonts w:asciiTheme="majorBidi" w:eastAsia="Times New Roman" w:hAnsiTheme="majorBidi" w:cstheme="majorBidi"/>
          <w:color w:val="000000"/>
          <w:lang w:eastAsia="fr-FR"/>
        </w:rPr>
        <w:t> </w:t>
      </w:r>
      <w:r w:rsidR="00CF1461" w:rsidRPr="00E26090">
        <w:rPr>
          <w:rFonts w:eastAsia="Times New Roman"/>
          <w:lang w:eastAsia="fr-FR"/>
        </w:rPr>
        <w:t>3220</w:t>
      </w:r>
      <w:r w:rsidR="00CF1461" w:rsidRPr="00DF325F">
        <w:rPr>
          <w:rFonts w:eastAsia="Times New Roman"/>
          <w:lang w:eastAsia="fr-FR"/>
        </w:rPr>
        <w:t xml:space="preserve">, à faire preuve d’un maximum de flexibilité dans le traitement des demandes qui leur sont soumises, et en ouvrant la possibilité de contacter immédiatement le secrétariat général de la Haute Commission pour consultation, au cas où ils seraient dans l’incapacité de trancher sur le sens d’un prénom. </w:t>
      </w:r>
    </w:p>
    <w:p w14:paraId="33C827D6" w14:textId="07811D6D"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139.</w:t>
      </w:r>
      <w:r w:rsidRPr="00E26090">
        <w:rPr>
          <w:rFonts w:eastAsia="Times New Roman"/>
          <w:color w:val="000000" w:themeColor="text1"/>
          <w:lang w:eastAsia="fr-FR"/>
        </w:rPr>
        <w:tab/>
      </w:r>
      <w:r w:rsidR="00CF1461" w:rsidRPr="00DF325F">
        <w:rPr>
          <w:rFonts w:eastAsia="Times New Roman"/>
          <w:lang w:eastAsia="fr-FR"/>
        </w:rPr>
        <w:t>La Haute Commission a également</w:t>
      </w:r>
      <w:r w:rsidR="00CF1461" w:rsidRPr="00C934C9">
        <w:rPr>
          <w:rFonts w:eastAsia="Times New Roman"/>
          <w:color w:val="FF0000"/>
          <w:lang w:eastAsia="fr-FR"/>
        </w:rPr>
        <w:t xml:space="preserve"> </w:t>
      </w:r>
      <w:r w:rsidR="00CF1461" w:rsidRPr="00E26090">
        <w:rPr>
          <w:rFonts w:eastAsia="Times New Roman"/>
          <w:lang w:eastAsia="fr-FR"/>
        </w:rPr>
        <w:t xml:space="preserve">demandé aux officiers de l’état civil de retirer les listes publiées des prénoms en vertu de la loi abrogée </w:t>
      </w:r>
      <w:r w:rsidR="00541F8D">
        <w:rPr>
          <w:rFonts w:asciiTheme="majorBidi" w:eastAsia="Times New Roman" w:hAnsiTheme="majorBidi" w:cstheme="majorBidi"/>
          <w:color w:val="000000"/>
          <w:lang w:eastAsia="fr-FR"/>
        </w:rPr>
        <w:t>n</w:t>
      </w:r>
      <w:r w:rsidR="00541F8D" w:rsidRPr="00050C02">
        <w:rPr>
          <w:rFonts w:asciiTheme="majorBidi" w:eastAsia="Times New Roman" w:hAnsiTheme="majorBidi" w:cstheme="majorBidi"/>
          <w:color w:val="000000"/>
          <w:vertAlign w:val="superscript"/>
          <w:lang w:eastAsia="fr-FR"/>
        </w:rPr>
        <w:t>o</w:t>
      </w:r>
      <w:r w:rsidR="00541F8D">
        <w:rPr>
          <w:rFonts w:asciiTheme="majorBidi" w:eastAsia="Times New Roman" w:hAnsiTheme="majorBidi" w:cstheme="majorBidi"/>
          <w:color w:val="000000"/>
          <w:lang w:eastAsia="fr-FR"/>
        </w:rPr>
        <w:t> </w:t>
      </w:r>
      <w:r w:rsidR="00CF1461" w:rsidRPr="00E26090">
        <w:rPr>
          <w:rFonts w:eastAsia="Times New Roman"/>
          <w:lang w:eastAsia="fr-FR"/>
        </w:rPr>
        <w:t>37-99 relative à l’état civil, entrée en vigueur le 7 mai 2003.</w:t>
      </w:r>
    </w:p>
    <w:p w14:paraId="20AD06A0" w14:textId="46856BB0"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140.</w:t>
      </w:r>
      <w:r w:rsidRPr="00E26090">
        <w:rPr>
          <w:rFonts w:eastAsia="Times New Roman"/>
          <w:color w:val="000000" w:themeColor="text1"/>
          <w:lang w:eastAsia="fr-FR"/>
        </w:rPr>
        <w:tab/>
      </w:r>
      <w:r w:rsidR="00CF1461">
        <w:rPr>
          <w:rFonts w:eastAsia="Times New Roman"/>
          <w:lang w:eastAsia="fr-FR"/>
        </w:rPr>
        <w:t>Par ailleurs, s</w:t>
      </w:r>
      <w:r w:rsidR="00CF1461" w:rsidRPr="00E26090">
        <w:rPr>
          <w:rFonts w:eastAsia="Times New Roman"/>
          <w:lang w:eastAsia="fr-FR"/>
        </w:rPr>
        <w:t>uite à des difficultés lié</w:t>
      </w:r>
      <w:r w:rsidR="00CF1461">
        <w:rPr>
          <w:rFonts w:eastAsia="Times New Roman"/>
          <w:lang w:eastAsia="fr-FR"/>
        </w:rPr>
        <w:t>e</w:t>
      </w:r>
      <w:r w:rsidR="00CF1461" w:rsidRPr="00E26090">
        <w:rPr>
          <w:rFonts w:eastAsia="Times New Roman"/>
          <w:lang w:eastAsia="fr-FR"/>
        </w:rPr>
        <w:t xml:space="preserve">s à l’état civil rencontrées par les </w:t>
      </w:r>
      <w:r w:rsidR="00CF1461">
        <w:rPr>
          <w:rFonts w:eastAsia="Times New Roman"/>
          <w:lang w:eastAsia="fr-FR"/>
        </w:rPr>
        <w:t>m</w:t>
      </w:r>
      <w:r w:rsidR="00CF1461" w:rsidRPr="00E26090">
        <w:rPr>
          <w:rFonts w:eastAsia="Times New Roman"/>
          <w:lang w:eastAsia="fr-FR"/>
        </w:rPr>
        <w:t>arocains résidants à l’étranger, soulevée</w:t>
      </w:r>
      <w:r w:rsidR="00CF1461">
        <w:rPr>
          <w:rFonts w:eastAsia="Times New Roman"/>
          <w:lang w:eastAsia="fr-FR"/>
        </w:rPr>
        <w:t>s</w:t>
      </w:r>
      <w:r w:rsidR="00CF1461" w:rsidRPr="00E26090">
        <w:rPr>
          <w:rFonts w:eastAsia="Times New Roman"/>
          <w:lang w:eastAsia="fr-FR"/>
        </w:rPr>
        <w:t xml:space="preserve"> par S</w:t>
      </w:r>
      <w:r w:rsidR="00CF1461">
        <w:rPr>
          <w:rFonts w:eastAsia="Times New Roman"/>
          <w:lang w:eastAsia="fr-FR"/>
        </w:rPr>
        <w:t xml:space="preserve">a </w:t>
      </w:r>
      <w:r w:rsidR="00CF1461" w:rsidRPr="00E26090">
        <w:rPr>
          <w:rFonts w:eastAsia="Times New Roman"/>
          <w:lang w:eastAsia="fr-FR"/>
        </w:rPr>
        <w:t>M</w:t>
      </w:r>
      <w:r w:rsidR="00CF1461">
        <w:rPr>
          <w:rFonts w:eastAsia="Times New Roman"/>
          <w:lang w:eastAsia="fr-FR"/>
        </w:rPr>
        <w:t>ajesté</w:t>
      </w:r>
      <w:r w:rsidR="00CF1461" w:rsidRPr="00E26090">
        <w:rPr>
          <w:rFonts w:eastAsia="Times New Roman"/>
          <w:lang w:eastAsia="fr-FR"/>
        </w:rPr>
        <w:t xml:space="preserve"> le Roi lors du discours prononcé à l’occasion de la Fête du Trône du 30 juillet 2015, une circulaire conjointe du </w:t>
      </w:r>
      <w:r w:rsidR="00CF1461">
        <w:rPr>
          <w:rFonts w:eastAsia="Times New Roman"/>
          <w:lang w:eastAsia="fr-FR"/>
        </w:rPr>
        <w:t>MAEC et</w:t>
      </w:r>
      <w:r w:rsidR="00CF1461" w:rsidRPr="00E26090">
        <w:rPr>
          <w:rFonts w:eastAsia="Times New Roman"/>
          <w:lang w:eastAsia="fr-FR"/>
        </w:rPr>
        <w:t xml:space="preserve"> du </w:t>
      </w:r>
      <w:r w:rsidR="00CF1461">
        <w:rPr>
          <w:rFonts w:eastAsia="Times New Roman"/>
          <w:lang w:eastAsia="fr-FR"/>
        </w:rPr>
        <w:t>m</w:t>
      </w:r>
      <w:r w:rsidR="00CF1461" w:rsidRPr="00E26090">
        <w:rPr>
          <w:rFonts w:eastAsia="Times New Roman"/>
          <w:lang w:eastAsia="fr-FR"/>
        </w:rPr>
        <w:t xml:space="preserve">inistère de l’Intérieur, </w:t>
      </w:r>
      <w:r w:rsidR="00541F8D">
        <w:rPr>
          <w:rFonts w:asciiTheme="majorBidi" w:eastAsia="Times New Roman" w:hAnsiTheme="majorBidi" w:cstheme="majorBidi"/>
          <w:color w:val="000000"/>
          <w:lang w:eastAsia="fr-FR"/>
        </w:rPr>
        <w:t>n</w:t>
      </w:r>
      <w:r w:rsidR="00541F8D" w:rsidRPr="00050C02">
        <w:rPr>
          <w:rFonts w:asciiTheme="majorBidi" w:eastAsia="Times New Roman" w:hAnsiTheme="majorBidi" w:cstheme="majorBidi"/>
          <w:color w:val="000000"/>
          <w:vertAlign w:val="superscript"/>
          <w:lang w:eastAsia="fr-FR"/>
        </w:rPr>
        <w:t>o</w:t>
      </w:r>
      <w:r w:rsidR="00541F8D">
        <w:rPr>
          <w:rFonts w:asciiTheme="majorBidi" w:eastAsia="Times New Roman" w:hAnsiTheme="majorBidi" w:cstheme="majorBidi"/>
          <w:color w:val="000000"/>
          <w:lang w:eastAsia="fr-FR"/>
        </w:rPr>
        <w:t> </w:t>
      </w:r>
      <w:r w:rsidR="00CF1461" w:rsidRPr="00E26090">
        <w:rPr>
          <w:rFonts w:eastAsia="Times New Roman"/>
          <w:lang w:eastAsia="fr-FR"/>
        </w:rPr>
        <w:t>71 en date du 15 août 2015, a prescrit des mesures strictes pour garantir la liberté du choix des prénoms.</w:t>
      </w:r>
    </w:p>
    <w:p w14:paraId="28E3DF59" w14:textId="3808D94F"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141.</w:t>
      </w:r>
      <w:r>
        <w:rPr>
          <w:rFonts w:eastAsia="Times New Roman"/>
          <w:color w:val="000000" w:themeColor="text1"/>
          <w:lang w:eastAsia="fr-FR"/>
        </w:rPr>
        <w:tab/>
      </w:r>
      <w:r w:rsidR="00CF1461" w:rsidRPr="00E26090">
        <w:rPr>
          <w:rFonts w:eastAsia="Times New Roman"/>
          <w:lang w:eastAsia="fr-FR"/>
        </w:rPr>
        <w:t>La</w:t>
      </w:r>
      <w:r w:rsidR="00CD5A97">
        <w:rPr>
          <w:rFonts w:eastAsia="Times New Roman"/>
          <w:lang w:eastAsia="fr-FR"/>
        </w:rPr>
        <w:t xml:space="preserve"> </w:t>
      </w:r>
      <w:r w:rsidR="00541F8D">
        <w:rPr>
          <w:rFonts w:eastAsia="Times New Roman"/>
          <w:lang w:eastAsia="fr-FR"/>
        </w:rPr>
        <w:t>l</w:t>
      </w:r>
      <w:r w:rsidR="00CF1461" w:rsidRPr="00E26090">
        <w:rPr>
          <w:rFonts w:eastAsia="Times New Roman"/>
          <w:lang w:eastAsia="fr-FR"/>
        </w:rPr>
        <w:t xml:space="preserve">oi </w:t>
      </w:r>
      <w:r w:rsidR="00541F8D">
        <w:rPr>
          <w:rFonts w:asciiTheme="majorBidi" w:eastAsia="Times New Roman" w:hAnsiTheme="majorBidi" w:cstheme="majorBidi"/>
          <w:color w:val="000000"/>
          <w:lang w:eastAsia="fr-FR"/>
        </w:rPr>
        <w:t>n</w:t>
      </w:r>
      <w:r w:rsidR="00541F8D" w:rsidRPr="00050C02">
        <w:rPr>
          <w:rFonts w:asciiTheme="majorBidi" w:eastAsia="Times New Roman" w:hAnsiTheme="majorBidi" w:cstheme="majorBidi"/>
          <w:color w:val="000000"/>
          <w:vertAlign w:val="superscript"/>
          <w:lang w:eastAsia="fr-FR"/>
        </w:rPr>
        <w:t>o</w:t>
      </w:r>
      <w:r w:rsidR="00541F8D">
        <w:rPr>
          <w:rFonts w:asciiTheme="majorBidi" w:eastAsia="Times New Roman" w:hAnsiTheme="majorBidi" w:cstheme="majorBidi"/>
          <w:color w:val="000000"/>
          <w:lang w:eastAsia="fr-FR"/>
        </w:rPr>
        <w:t> </w:t>
      </w:r>
      <w:r w:rsidR="00CF1461" w:rsidRPr="00E26090">
        <w:rPr>
          <w:rFonts w:eastAsia="Times New Roman"/>
          <w:lang w:eastAsia="fr-FR"/>
        </w:rPr>
        <w:t>37</w:t>
      </w:r>
      <w:r w:rsidR="00CF1461">
        <w:rPr>
          <w:rFonts w:eastAsia="Times New Roman"/>
          <w:lang w:eastAsia="fr-FR"/>
        </w:rPr>
        <w:t>.</w:t>
      </w:r>
      <w:r w:rsidR="00CF1461" w:rsidRPr="00E26090">
        <w:rPr>
          <w:rFonts w:eastAsia="Times New Roman"/>
          <w:lang w:eastAsia="fr-FR"/>
        </w:rPr>
        <w:t>99 relative à l</w:t>
      </w:r>
      <w:r w:rsidR="00CD5A97">
        <w:rPr>
          <w:rFonts w:eastAsia="Times New Roman"/>
          <w:lang w:eastAsia="fr-FR"/>
        </w:rPr>
        <w:t>’</w:t>
      </w:r>
      <w:r w:rsidR="00CF1461" w:rsidRPr="00E26090">
        <w:rPr>
          <w:rFonts w:eastAsia="Times New Roman"/>
          <w:lang w:eastAsia="fr-FR"/>
        </w:rPr>
        <w:t xml:space="preserve">état civil promulguée par le dahir </w:t>
      </w:r>
      <w:r w:rsidR="00541F8D">
        <w:rPr>
          <w:rFonts w:asciiTheme="majorBidi" w:eastAsia="Times New Roman" w:hAnsiTheme="majorBidi" w:cstheme="majorBidi"/>
          <w:color w:val="000000"/>
          <w:lang w:eastAsia="fr-FR"/>
        </w:rPr>
        <w:t>n</w:t>
      </w:r>
      <w:r w:rsidR="00541F8D" w:rsidRPr="00050C02">
        <w:rPr>
          <w:rFonts w:asciiTheme="majorBidi" w:eastAsia="Times New Roman" w:hAnsiTheme="majorBidi" w:cstheme="majorBidi"/>
          <w:color w:val="000000"/>
          <w:vertAlign w:val="superscript"/>
          <w:lang w:eastAsia="fr-FR"/>
        </w:rPr>
        <w:t>o</w:t>
      </w:r>
      <w:r w:rsidR="00541F8D">
        <w:rPr>
          <w:rFonts w:asciiTheme="majorBidi" w:eastAsia="Times New Roman" w:hAnsiTheme="majorBidi" w:cstheme="majorBidi"/>
          <w:color w:val="000000"/>
          <w:lang w:eastAsia="fr-FR"/>
        </w:rPr>
        <w:t> </w:t>
      </w:r>
      <w:r w:rsidR="00CF1461" w:rsidRPr="00E26090">
        <w:rPr>
          <w:rFonts w:eastAsia="Times New Roman"/>
          <w:lang w:eastAsia="fr-FR"/>
        </w:rPr>
        <w:t>1</w:t>
      </w:r>
      <w:r w:rsidR="00CF1461">
        <w:rPr>
          <w:rFonts w:eastAsia="Times New Roman"/>
          <w:lang w:eastAsia="fr-FR"/>
        </w:rPr>
        <w:t>.</w:t>
      </w:r>
      <w:r w:rsidR="00CF1461" w:rsidRPr="00E26090">
        <w:rPr>
          <w:rFonts w:eastAsia="Times New Roman"/>
          <w:lang w:eastAsia="fr-FR"/>
        </w:rPr>
        <w:t>02</w:t>
      </w:r>
      <w:r w:rsidR="00CF1461">
        <w:rPr>
          <w:rFonts w:eastAsia="Times New Roman"/>
          <w:lang w:eastAsia="fr-FR"/>
        </w:rPr>
        <w:t>.</w:t>
      </w:r>
      <w:r w:rsidR="00CF1461" w:rsidRPr="00E26090">
        <w:rPr>
          <w:rFonts w:eastAsia="Times New Roman"/>
          <w:lang w:eastAsia="fr-FR"/>
        </w:rPr>
        <w:t xml:space="preserve">239 du 25 </w:t>
      </w:r>
      <w:proofErr w:type="spellStart"/>
      <w:r w:rsidR="00CF1461" w:rsidRPr="0081005D">
        <w:rPr>
          <w:rFonts w:eastAsia="Times New Roman"/>
          <w:i/>
          <w:iCs/>
          <w:lang w:eastAsia="fr-FR"/>
        </w:rPr>
        <w:t>rejeb</w:t>
      </w:r>
      <w:proofErr w:type="spellEnd"/>
      <w:r w:rsidR="00CF1461" w:rsidRPr="00E26090">
        <w:rPr>
          <w:rFonts w:eastAsia="Times New Roman"/>
          <w:lang w:eastAsia="fr-FR"/>
        </w:rPr>
        <w:t xml:space="preserve"> 1423 (3 octobre 2002)</w:t>
      </w:r>
      <w:r w:rsidR="00CF1461" w:rsidRPr="003C06D3">
        <w:rPr>
          <w:rStyle w:val="Appelnotedebasdep"/>
        </w:rPr>
        <w:footnoteReference w:id="49"/>
      </w:r>
      <w:r w:rsidR="00CF1461" w:rsidRPr="00E26090">
        <w:rPr>
          <w:rFonts w:eastAsia="Times New Roman"/>
          <w:lang w:eastAsia="fr-FR"/>
        </w:rPr>
        <w:t>, est certes animée par une volonté de promo</w:t>
      </w:r>
      <w:r w:rsidR="00CF1461">
        <w:rPr>
          <w:rFonts w:eastAsia="Times New Roman"/>
          <w:lang w:eastAsia="fr-FR"/>
        </w:rPr>
        <w:t>tion</w:t>
      </w:r>
      <w:r w:rsidR="00CF1461" w:rsidRPr="00E26090">
        <w:rPr>
          <w:rFonts w:eastAsia="Times New Roman"/>
          <w:lang w:eastAsia="fr-FR"/>
        </w:rPr>
        <w:t xml:space="preserve"> </w:t>
      </w:r>
      <w:r w:rsidR="00CF1461">
        <w:rPr>
          <w:rFonts w:eastAsia="Times New Roman"/>
          <w:lang w:eastAsia="fr-FR"/>
        </w:rPr>
        <w:t>d</w:t>
      </w:r>
      <w:r w:rsidR="00CF1461" w:rsidRPr="00E26090">
        <w:rPr>
          <w:rFonts w:eastAsia="Times New Roman"/>
          <w:lang w:eastAsia="fr-FR"/>
        </w:rPr>
        <w:t xml:space="preserve">es principes de liberté et d’égalité entre les citoyennes et les citoyens, conformément à la Constitution, interdisant certains signes distinctifs </w:t>
      </w:r>
      <w:r w:rsidR="00CF1461">
        <w:rPr>
          <w:rFonts w:eastAsia="Times New Roman"/>
          <w:lang w:eastAsia="fr-FR"/>
        </w:rPr>
        <w:t>du genre</w:t>
      </w:r>
      <w:r w:rsidR="005A27F7">
        <w:rPr>
          <w:rFonts w:eastAsia="Times New Roman"/>
          <w:lang w:eastAsia="fr-FR"/>
        </w:rPr>
        <w:t xml:space="preserve"> «</w:t>
      </w:r>
      <w:r w:rsidR="005601DF">
        <w:rPr>
          <w:rFonts w:eastAsia="Times New Roman"/>
          <w:lang w:eastAsia="fr-FR"/>
        </w:rPr>
        <w:t xml:space="preserve"> </w:t>
      </w:r>
      <w:r w:rsidR="005A27F7">
        <w:rPr>
          <w:rFonts w:eastAsia="Times New Roman"/>
          <w:lang w:eastAsia="fr-FR"/>
        </w:rPr>
        <w:t>Moulay</w:t>
      </w:r>
      <w:r w:rsidR="005601DF">
        <w:rPr>
          <w:rFonts w:eastAsia="Times New Roman"/>
          <w:lang w:eastAsia="fr-FR"/>
        </w:rPr>
        <w:t xml:space="preserve"> </w:t>
      </w:r>
      <w:r w:rsidR="005A27F7">
        <w:rPr>
          <w:rFonts w:eastAsia="Times New Roman"/>
          <w:lang w:eastAsia="fr-FR"/>
        </w:rPr>
        <w:t>», «</w:t>
      </w:r>
      <w:r w:rsidR="005601DF">
        <w:rPr>
          <w:rFonts w:eastAsia="Times New Roman"/>
          <w:lang w:eastAsia="fr-FR"/>
        </w:rPr>
        <w:t xml:space="preserve"> </w:t>
      </w:r>
      <w:r w:rsidR="005A27F7">
        <w:rPr>
          <w:rFonts w:eastAsia="Times New Roman"/>
          <w:lang w:eastAsia="fr-FR"/>
        </w:rPr>
        <w:t>Sidi</w:t>
      </w:r>
      <w:r w:rsidR="005601DF">
        <w:rPr>
          <w:rFonts w:eastAsia="Times New Roman"/>
          <w:lang w:eastAsia="fr-FR"/>
        </w:rPr>
        <w:t xml:space="preserve"> </w:t>
      </w:r>
      <w:r w:rsidR="005A27F7">
        <w:rPr>
          <w:rFonts w:eastAsia="Times New Roman"/>
          <w:lang w:eastAsia="fr-FR"/>
        </w:rPr>
        <w:t>», ou «</w:t>
      </w:r>
      <w:r w:rsidR="005601DF">
        <w:rPr>
          <w:rFonts w:eastAsia="Times New Roman"/>
          <w:lang w:eastAsia="fr-FR"/>
        </w:rPr>
        <w:t xml:space="preserve"> </w:t>
      </w:r>
      <w:r w:rsidR="005A27F7">
        <w:rPr>
          <w:rFonts w:eastAsia="Times New Roman"/>
          <w:lang w:eastAsia="fr-FR"/>
        </w:rPr>
        <w:t>Lalla</w:t>
      </w:r>
      <w:r w:rsidR="005601DF">
        <w:rPr>
          <w:rFonts w:eastAsia="Times New Roman"/>
          <w:lang w:eastAsia="fr-FR"/>
        </w:rPr>
        <w:t xml:space="preserve"> </w:t>
      </w:r>
      <w:r w:rsidR="005A27F7">
        <w:rPr>
          <w:rFonts w:eastAsia="Times New Roman"/>
          <w:lang w:eastAsia="fr-FR"/>
        </w:rPr>
        <w:t>»</w:t>
      </w:r>
      <w:r w:rsidR="00CF1461" w:rsidRPr="003C06D3">
        <w:rPr>
          <w:rStyle w:val="Appelnotedebasdep"/>
        </w:rPr>
        <w:footnoteReference w:id="50"/>
      </w:r>
      <w:r w:rsidR="005A27F7">
        <w:rPr>
          <w:rFonts w:eastAsia="Times New Roman"/>
          <w:lang w:eastAsia="fr-FR"/>
        </w:rPr>
        <w:t>,</w:t>
      </w:r>
      <w:r w:rsidR="00CF1461" w:rsidRPr="00E26090">
        <w:rPr>
          <w:rFonts w:eastAsia="Times New Roman"/>
          <w:lang w:eastAsia="fr-FR"/>
        </w:rPr>
        <w:t>et appelant à « retirer des bureaux de l’état civil les listes des prénoms publiées en vertu de l</w:t>
      </w:r>
      <w:r w:rsidR="00CD5A97">
        <w:rPr>
          <w:rFonts w:eastAsia="Times New Roman"/>
          <w:lang w:eastAsia="fr-FR"/>
        </w:rPr>
        <w:t>’</w:t>
      </w:r>
      <w:r w:rsidR="00CF1461" w:rsidRPr="00E26090">
        <w:rPr>
          <w:rFonts w:eastAsia="Times New Roman"/>
          <w:lang w:eastAsia="fr-FR"/>
        </w:rPr>
        <w:t xml:space="preserve">ancienne loi ». </w:t>
      </w:r>
    </w:p>
    <w:p w14:paraId="48FC2E27" w14:textId="10271EE6"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142.</w:t>
      </w:r>
      <w:r w:rsidRPr="00E26090">
        <w:rPr>
          <w:rFonts w:eastAsia="Times New Roman"/>
          <w:color w:val="000000" w:themeColor="text1"/>
          <w:lang w:eastAsia="fr-FR"/>
        </w:rPr>
        <w:tab/>
      </w:r>
      <w:r w:rsidR="00CF1461" w:rsidRPr="00E26090">
        <w:rPr>
          <w:rFonts w:eastAsia="Times New Roman"/>
          <w:lang w:eastAsia="fr-FR"/>
        </w:rPr>
        <w:t>Toutefois, malgré l</w:t>
      </w:r>
      <w:r w:rsidR="00CF1461">
        <w:rPr>
          <w:rFonts w:eastAsia="Times New Roman"/>
          <w:lang w:eastAsia="fr-FR"/>
        </w:rPr>
        <w:t xml:space="preserve">es ambitions affichées </w:t>
      </w:r>
      <w:r w:rsidR="00CF1461" w:rsidRPr="00E26090">
        <w:rPr>
          <w:rFonts w:eastAsia="Times New Roman"/>
          <w:lang w:eastAsia="fr-FR"/>
        </w:rPr>
        <w:t>de la circulaire d</w:t>
      </w:r>
      <w:r w:rsidR="00CF1461">
        <w:rPr>
          <w:rFonts w:eastAsia="Times New Roman"/>
          <w:lang w:eastAsia="fr-FR"/>
        </w:rPr>
        <w:t>e</w:t>
      </w:r>
      <w:r w:rsidR="00CF1461" w:rsidRPr="00E26090">
        <w:rPr>
          <w:rFonts w:eastAsia="Times New Roman"/>
          <w:lang w:eastAsia="fr-FR"/>
        </w:rPr>
        <w:t xml:space="preserve"> 2010, certains aspects se rapportant à la définition de la notion de «</w:t>
      </w:r>
      <w:r w:rsidR="00374337">
        <w:rPr>
          <w:rFonts w:eastAsia="Times New Roman"/>
          <w:lang w:eastAsia="fr-FR"/>
        </w:rPr>
        <w:t> </w:t>
      </w:r>
      <w:r w:rsidR="00CF1461" w:rsidRPr="00E26090">
        <w:rPr>
          <w:rFonts w:eastAsia="Times New Roman"/>
          <w:lang w:eastAsia="fr-FR"/>
        </w:rPr>
        <w:t>prénom à caractère marocain</w:t>
      </w:r>
      <w:r w:rsidR="00374337">
        <w:rPr>
          <w:rFonts w:eastAsia="Times New Roman"/>
          <w:lang w:eastAsia="fr-FR"/>
        </w:rPr>
        <w:t> </w:t>
      </w:r>
      <w:r w:rsidR="00CF1461" w:rsidRPr="00E26090">
        <w:rPr>
          <w:rFonts w:eastAsia="Times New Roman"/>
          <w:lang w:eastAsia="fr-FR"/>
        </w:rPr>
        <w:t>»</w:t>
      </w:r>
      <w:r w:rsidR="00CF1461" w:rsidRPr="003C06D3">
        <w:rPr>
          <w:rStyle w:val="Appelnotedebasdep"/>
        </w:rPr>
        <w:footnoteReference w:id="51"/>
      </w:r>
      <w:r w:rsidR="00CF1461" w:rsidRPr="00E26090">
        <w:rPr>
          <w:rFonts w:eastAsia="Times New Roman"/>
          <w:lang w:eastAsia="fr-FR"/>
        </w:rPr>
        <w:t xml:space="preserve"> dans cette circulaire</w:t>
      </w:r>
      <w:r w:rsidR="00CF1461">
        <w:rPr>
          <w:rFonts w:eastAsia="Times New Roman"/>
          <w:lang w:eastAsia="fr-FR"/>
        </w:rPr>
        <w:t>,</w:t>
      </w:r>
      <w:r w:rsidR="00CF1461" w:rsidRPr="00E26090">
        <w:rPr>
          <w:rFonts w:eastAsia="Times New Roman"/>
          <w:lang w:eastAsia="fr-FR"/>
        </w:rPr>
        <w:t xml:space="preserve"> ont continué</w:t>
      </w:r>
      <w:r w:rsidR="00CF1461">
        <w:rPr>
          <w:rFonts w:eastAsia="Times New Roman"/>
          <w:lang w:eastAsia="fr-FR"/>
        </w:rPr>
        <w:t xml:space="preserve"> –</w:t>
      </w:r>
      <w:r w:rsidR="005648B1">
        <w:rPr>
          <w:rFonts w:eastAsia="Times New Roman"/>
          <w:lang w:eastAsia="fr-FR"/>
        </w:rPr>
        <w:t xml:space="preserve"> </w:t>
      </w:r>
      <w:r w:rsidR="00CF1461">
        <w:rPr>
          <w:rFonts w:eastAsia="Times New Roman"/>
          <w:lang w:eastAsia="fr-FR"/>
        </w:rPr>
        <w:t>plutôt à tort et par ignorance</w:t>
      </w:r>
      <w:r w:rsidR="005648B1">
        <w:rPr>
          <w:rFonts w:eastAsia="Times New Roman"/>
          <w:lang w:eastAsia="fr-FR"/>
        </w:rPr>
        <w:t xml:space="preserve"> –</w:t>
      </w:r>
      <w:r w:rsidR="00CF1461" w:rsidRPr="00E26090">
        <w:rPr>
          <w:rFonts w:eastAsia="Times New Roman"/>
          <w:lang w:eastAsia="fr-FR"/>
        </w:rPr>
        <w:t xml:space="preserve"> à faire objet de discorde. </w:t>
      </w:r>
      <w:r w:rsidR="00CF1461">
        <w:rPr>
          <w:rFonts w:eastAsia="Times New Roman"/>
          <w:lang w:eastAsia="fr-FR"/>
        </w:rPr>
        <w:t>Sachant que c</w:t>
      </w:r>
      <w:r w:rsidR="00CF1461" w:rsidRPr="00E26090">
        <w:rPr>
          <w:rFonts w:eastAsia="Times New Roman"/>
          <w:lang w:eastAsia="fr-FR"/>
        </w:rPr>
        <w:t>ette dernière ne se limite pas seulement aux prénoms amazigh</w:t>
      </w:r>
      <w:r w:rsidR="00CF1461">
        <w:rPr>
          <w:rFonts w:eastAsia="Times New Roman"/>
          <w:lang w:eastAsia="fr-FR"/>
        </w:rPr>
        <w:t>s,</w:t>
      </w:r>
      <w:r w:rsidR="00CF1461" w:rsidRPr="00E26090">
        <w:rPr>
          <w:rFonts w:eastAsia="Times New Roman"/>
          <w:lang w:eastAsia="fr-FR"/>
        </w:rPr>
        <w:t xml:space="preserve"> </w:t>
      </w:r>
      <w:r w:rsidR="00CF1461">
        <w:rPr>
          <w:rFonts w:eastAsia="Times New Roman"/>
          <w:lang w:eastAsia="fr-FR"/>
        </w:rPr>
        <w:t>puisque</w:t>
      </w:r>
      <w:r w:rsidR="00CF1461" w:rsidRPr="00E26090">
        <w:rPr>
          <w:rFonts w:eastAsia="Times New Roman"/>
          <w:lang w:eastAsia="fr-FR"/>
        </w:rPr>
        <w:t xml:space="preserve"> même </w:t>
      </w:r>
      <w:r w:rsidR="00CF1461">
        <w:rPr>
          <w:rFonts w:eastAsia="Times New Roman"/>
          <w:lang w:eastAsia="fr-FR"/>
        </w:rPr>
        <w:t>d</w:t>
      </w:r>
      <w:r w:rsidR="00CF1461" w:rsidRPr="00E26090">
        <w:rPr>
          <w:rFonts w:eastAsia="Times New Roman"/>
          <w:lang w:eastAsia="fr-FR"/>
        </w:rPr>
        <w:t>es prénoms d’origine arabe f</w:t>
      </w:r>
      <w:r w:rsidR="00CF1461">
        <w:rPr>
          <w:rFonts w:eastAsia="Times New Roman"/>
          <w:lang w:eastAsia="fr-FR"/>
        </w:rPr>
        <w:t>ont aussi</w:t>
      </w:r>
      <w:r w:rsidR="00CF1461" w:rsidRPr="00E26090">
        <w:rPr>
          <w:rFonts w:eastAsia="Times New Roman"/>
          <w:lang w:eastAsia="fr-FR"/>
        </w:rPr>
        <w:t xml:space="preserve"> </w:t>
      </w:r>
      <w:r w:rsidR="00CF1461">
        <w:rPr>
          <w:rFonts w:eastAsia="Times New Roman"/>
          <w:lang w:eastAsia="fr-FR"/>
        </w:rPr>
        <w:t xml:space="preserve">parfois </w:t>
      </w:r>
      <w:r w:rsidR="005A27F7">
        <w:rPr>
          <w:rFonts w:eastAsia="Times New Roman"/>
          <w:lang w:eastAsia="fr-FR"/>
        </w:rPr>
        <w:t>objet de refus</w:t>
      </w:r>
      <w:r w:rsidR="00CF1461" w:rsidRPr="003C06D3">
        <w:rPr>
          <w:rStyle w:val="Appelnotedebasdep"/>
        </w:rPr>
        <w:footnoteReference w:id="52"/>
      </w:r>
      <w:r w:rsidR="005A27F7">
        <w:rPr>
          <w:rFonts w:eastAsia="Times New Roman"/>
          <w:lang w:eastAsia="fr-FR"/>
        </w:rPr>
        <w:t>.</w:t>
      </w:r>
      <w:r w:rsidR="00CF1461" w:rsidRPr="00E26090">
        <w:rPr>
          <w:rFonts w:eastAsia="Times New Roman"/>
          <w:vertAlign w:val="superscript"/>
          <w:lang w:eastAsia="fr-FR"/>
        </w:rPr>
        <w:t xml:space="preserve"> </w:t>
      </w:r>
    </w:p>
    <w:p w14:paraId="0D835953" w14:textId="139176B7"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143.</w:t>
      </w:r>
      <w:r w:rsidRPr="00E26090">
        <w:rPr>
          <w:rFonts w:eastAsia="Times New Roman"/>
          <w:color w:val="000000" w:themeColor="text1"/>
          <w:lang w:eastAsia="fr-FR"/>
        </w:rPr>
        <w:tab/>
      </w:r>
      <w:r w:rsidR="00CF1461">
        <w:rPr>
          <w:rFonts w:eastAsia="Times New Roman"/>
          <w:lang w:eastAsia="fr-FR"/>
        </w:rPr>
        <w:t xml:space="preserve">Tenant compte de ces difficultés, </w:t>
      </w:r>
      <w:r w:rsidR="00CF1461" w:rsidRPr="00E26090">
        <w:rPr>
          <w:rFonts w:eastAsia="Times New Roman"/>
          <w:lang w:eastAsia="fr-FR"/>
        </w:rPr>
        <w:t>des amendements de la loi relative à l’état civil sont prévus incessamment</w:t>
      </w:r>
      <w:r w:rsidR="00CF1461">
        <w:rPr>
          <w:rFonts w:eastAsia="Times New Roman"/>
          <w:lang w:eastAsia="fr-FR"/>
        </w:rPr>
        <w:t>,</w:t>
      </w:r>
      <w:r w:rsidR="00CF1461" w:rsidRPr="00E26090">
        <w:rPr>
          <w:rFonts w:eastAsia="Times New Roman"/>
          <w:lang w:eastAsia="fr-FR"/>
        </w:rPr>
        <w:t xml:space="preserve"> pour lever toute ambiguïté qui pourrait être interprétée dans le sens d’une restriction à la liberté du choix des prénoms. </w:t>
      </w:r>
    </w:p>
    <w:p w14:paraId="03067FC0" w14:textId="77777777" w:rsidR="00CF1461" w:rsidRPr="00E26090" w:rsidRDefault="007B174A" w:rsidP="00A5588D">
      <w:pPr>
        <w:pStyle w:val="H1G"/>
      </w:pPr>
      <w:r>
        <w:lastRenderedPageBreak/>
        <w:tab/>
      </w:r>
      <w:r>
        <w:tab/>
      </w:r>
      <w:r w:rsidR="00CF1461" w:rsidRPr="00E26090">
        <w:t>Droits économiques, sociaux et culturels</w:t>
      </w:r>
    </w:p>
    <w:p w14:paraId="2B5F9DE0" w14:textId="577CAE66" w:rsidR="00CF1461" w:rsidRPr="006F0B3C" w:rsidRDefault="007B174A" w:rsidP="00A5588D">
      <w:pPr>
        <w:pStyle w:val="H23G"/>
      </w:pPr>
      <w:r>
        <w:tab/>
      </w:r>
      <w:r>
        <w:tab/>
      </w:r>
      <w:r w:rsidR="00CF1461">
        <w:t>D</w:t>
      </w:r>
      <w:r w:rsidR="00CF1461" w:rsidRPr="006F0B3C">
        <w:t>roit au travail (choix du travail et de conditions de travail équitables et</w:t>
      </w:r>
      <w:r w:rsidR="00A5588D">
        <w:t> </w:t>
      </w:r>
      <w:r w:rsidR="00CF1461" w:rsidRPr="006F0B3C">
        <w:t>satisfaisantes)</w:t>
      </w:r>
    </w:p>
    <w:p w14:paraId="0E386BE7" w14:textId="5D86B318"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144.</w:t>
      </w:r>
      <w:r w:rsidRPr="00E26090">
        <w:rPr>
          <w:rFonts w:eastAsia="Times New Roman"/>
          <w:color w:val="000000" w:themeColor="text1"/>
          <w:lang w:eastAsia="fr-FR"/>
        </w:rPr>
        <w:tab/>
      </w:r>
      <w:r w:rsidR="00CF1461" w:rsidRPr="00E26090">
        <w:rPr>
          <w:rFonts w:eastAsia="Times New Roman"/>
          <w:lang w:eastAsia="fr-FR"/>
        </w:rPr>
        <w:t xml:space="preserve">L’accès équitable des femmes et des hommes aux droits économiques demeure un élément fondamental des droits de l’Homme. En effet, une participation plus forte de la femme au travail peut atténuer l’impact du repli de la population active et, partant, doper la croissance. Dans ce sens, les programmes mis en place par le Département de l’Emploi à savoir </w:t>
      </w:r>
      <w:proofErr w:type="spellStart"/>
      <w:r w:rsidR="00CF1461" w:rsidRPr="00E26090">
        <w:rPr>
          <w:rFonts w:eastAsia="Times New Roman"/>
          <w:lang w:eastAsia="fr-FR"/>
        </w:rPr>
        <w:t>Idmaj</w:t>
      </w:r>
      <w:proofErr w:type="spellEnd"/>
      <w:r w:rsidR="00CF1461" w:rsidRPr="00E26090">
        <w:rPr>
          <w:rFonts w:eastAsia="Times New Roman"/>
          <w:lang w:eastAsia="fr-FR"/>
        </w:rPr>
        <w:t xml:space="preserve"> et </w:t>
      </w:r>
      <w:proofErr w:type="spellStart"/>
      <w:r w:rsidR="00CF1461" w:rsidRPr="00E26090">
        <w:rPr>
          <w:rFonts w:eastAsia="Times New Roman"/>
          <w:lang w:eastAsia="fr-FR"/>
        </w:rPr>
        <w:t>Taehil</w:t>
      </w:r>
      <w:proofErr w:type="spellEnd"/>
      <w:r w:rsidR="00CF1461" w:rsidRPr="00E26090">
        <w:rPr>
          <w:rFonts w:eastAsia="Times New Roman"/>
          <w:lang w:eastAsia="fr-FR"/>
        </w:rPr>
        <w:t xml:space="preserve"> ont bénéficié aux femmes à des niveaux jugés satisfaisants. Toutefois, l’accès des femmes aux services du programme </w:t>
      </w:r>
      <w:proofErr w:type="spellStart"/>
      <w:r w:rsidR="00CF1461" w:rsidRPr="00E26090">
        <w:rPr>
          <w:rFonts w:eastAsia="Times New Roman"/>
          <w:lang w:eastAsia="fr-FR"/>
        </w:rPr>
        <w:t>Mouqawalati</w:t>
      </w:r>
      <w:proofErr w:type="spellEnd"/>
      <w:r w:rsidR="00CF1461" w:rsidRPr="00E26090">
        <w:rPr>
          <w:rFonts w:eastAsia="Times New Roman"/>
          <w:lang w:eastAsia="fr-FR"/>
        </w:rPr>
        <w:t xml:space="preserve"> demeure en dessous des attentes et confirme, le faible recours des femmes à l’entreprenariat. </w:t>
      </w:r>
    </w:p>
    <w:p w14:paraId="25903903" w14:textId="71C2E98D"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145.</w:t>
      </w:r>
      <w:r w:rsidRPr="00E26090">
        <w:rPr>
          <w:rFonts w:eastAsia="Times New Roman"/>
          <w:color w:val="000000" w:themeColor="text1"/>
          <w:lang w:eastAsia="fr-FR"/>
        </w:rPr>
        <w:tab/>
      </w:r>
      <w:r w:rsidR="00CF1461" w:rsidRPr="00E26090">
        <w:rPr>
          <w:rFonts w:eastAsia="Times New Roman"/>
          <w:lang w:eastAsia="fr-FR"/>
        </w:rPr>
        <w:t xml:space="preserve">La participation des femmes au marché du travail, </w:t>
      </w:r>
      <w:r w:rsidR="00F75BAF" w:rsidRPr="00E26090">
        <w:rPr>
          <w:rFonts w:eastAsia="Times New Roman"/>
          <w:lang w:eastAsia="fr-FR"/>
        </w:rPr>
        <w:t>quoiqu</w:t>
      </w:r>
      <w:r w:rsidR="00F75BAF">
        <w:rPr>
          <w:rFonts w:eastAsia="Times New Roman"/>
          <w:lang w:eastAsia="fr-FR"/>
        </w:rPr>
        <w:t>’encore</w:t>
      </w:r>
      <w:r w:rsidR="00CF1461" w:rsidRPr="00E26090">
        <w:rPr>
          <w:rFonts w:eastAsia="Times New Roman"/>
          <w:lang w:eastAsia="fr-FR"/>
        </w:rPr>
        <w:t xml:space="preserve"> modeste, a connu une amélioration de 24,7</w:t>
      </w:r>
      <w:r w:rsidR="00372939">
        <w:rPr>
          <w:rFonts w:eastAsia="Times New Roman"/>
          <w:lang w:eastAsia="fr-FR"/>
        </w:rPr>
        <w:t> %</w:t>
      </w:r>
      <w:r w:rsidR="00CF1461" w:rsidRPr="00E26090">
        <w:rPr>
          <w:rFonts w:eastAsia="Times New Roman"/>
          <w:lang w:eastAsia="fr-FR"/>
        </w:rPr>
        <w:t xml:space="preserve"> en 2012 à 25,3</w:t>
      </w:r>
      <w:r w:rsidR="00372939">
        <w:rPr>
          <w:rFonts w:eastAsia="Times New Roman"/>
          <w:lang w:eastAsia="fr-FR"/>
        </w:rPr>
        <w:t> %</w:t>
      </w:r>
      <w:r w:rsidR="00CF1461" w:rsidRPr="00E26090">
        <w:rPr>
          <w:rFonts w:eastAsia="Times New Roman"/>
          <w:lang w:eastAsia="fr-FR"/>
        </w:rPr>
        <w:t xml:space="preserve"> en 2014. Le niveau d’activité féminine observé explique, en grande partie, l’écart du taux d’emploi entre les hommes (65,3</w:t>
      </w:r>
      <w:r w:rsidR="00372939">
        <w:rPr>
          <w:rFonts w:eastAsia="Times New Roman"/>
          <w:lang w:eastAsia="fr-FR"/>
        </w:rPr>
        <w:t> %</w:t>
      </w:r>
      <w:r w:rsidR="00CF1461" w:rsidRPr="00E26090">
        <w:rPr>
          <w:rFonts w:eastAsia="Times New Roman"/>
          <w:lang w:eastAsia="fr-FR"/>
        </w:rPr>
        <w:t>) et les femmes (22,6</w:t>
      </w:r>
      <w:r w:rsidR="00372939">
        <w:rPr>
          <w:rFonts w:eastAsia="Times New Roman"/>
          <w:lang w:eastAsia="fr-FR"/>
        </w:rPr>
        <w:t> %</w:t>
      </w:r>
      <w:r w:rsidR="00CF1461" w:rsidRPr="00E26090">
        <w:rPr>
          <w:rFonts w:eastAsia="Times New Roman"/>
          <w:lang w:eastAsia="fr-FR"/>
        </w:rPr>
        <w:t>) en 2014. La part des femmes dans la population active occupée (taux de féminisation de l’emploi) a atteint 27</w:t>
      </w:r>
      <w:r w:rsidR="00372939">
        <w:rPr>
          <w:rFonts w:eastAsia="Times New Roman"/>
          <w:lang w:eastAsia="fr-FR"/>
        </w:rPr>
        <w:t> %</w:t>
      </w:r>
      <w:r w:rsidR="00CF1461" w:rsidRPr="00E26090">
        <w:rPr>
          <w:rFonts w:eastAsia="Times New Roman"/>
          <w:lang w:eastAsia="fr-FR"/>
        </w:rPr>
        <w:t xml:space="preserve"> en 2014, soit 2,7 fois moins que les hommes à occuper un emploi. En revanche, l’écart du taux de </w:t>
      </w:r>
      <w:r w:rsidR="00331C60" w:rsidRPr="00E26090">
        <w:rPr>
          <w:rFonts w:eastAsia="Times New Roman"/>
          <w:lang w:eastAsia="fr-FR"/>
        </w:rPr>
        <w:t>chômage entre</w:t>
      </w:r>
      <w:r w:rsidR="00CF1461" w:rsidRPr="00E26090">
        <w:rPr>
          <w:rFonts w:eastAsia="Times New Roman"/>
          <w:lang w:eastAsia="fr-FR"/>
        </w:rPr>
        <w:t xml:space="preserve"> les femmes et les hommes s’est réduit de 1,2 point de pourcentage en 2012 à 0,7 point de pourcentage en 2014. </w:t>
      </w:r>
    </w:p>
    <w:p w14:paraId="28E7F57E" w14:textId="653B5D50"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146.</w:t>
      </w:r>
      <w:r w:rsidRPr="00E26090">
        <w:rPr>
          <w:rFonts w:eastAsia="Times New Roman"/>
          <w:color w:val="000000" w:themeColor="text1"/>
          <w:lang w:eastAsia="fr-FR"/>
        </w:rPr>
        <w:tab/>
      </w:r>
      <w:r w:rsidR="00CF1461" w:rsidRPr="00E26090">
        <w:rPr>
          <w:rFonts w:eastAsia="Times New Roman"/>
          <w:lang w:eastAsia="fr-FR"/>
        </w:rPr>
        <w:t xml:space="preserve">Au niveau sectoriel, le </w:t>
      </w:r>
      <w:r w:rsidR="00CF1461">
        <w:rPr>
          <w:rFonts w:eastAsia="Times New Roman"/>
          <w:lang w:eastAsia="fr-FR"/>
        </w:rPr>
        <w:t>d</w:t>
      </w:r>
      <w:r w:rsidR="00CF1461" w:rsidRPr="00E26090">
        <w:rPr>
          <w:rFonts w:eastAsia="Times New Roman"/>
          <w:lang w:eastAsia="fr-FR"/>
        </w:rPr>
        <w:t xml:space="preserve">épartement de l’Agriculture a inscrit la promotion socio-économique des femmes rurales comme l’un des axes fondamentaux de sa politique de développement et ce, en partenariat avec plusieurs </w:t>
      </w:r>
      <w:r w:rsidR="00CF1461">
        <w:rPr>
          <w:rFonts w:eastAsia="Times New Roman"/>
          <w:lang w:eastAsia="fr-FR"/>
        </w:rPr>
        <w:t>d</w:t>
      </w:r>
      <w:r w:rsidR="00CF1461" w:rsidRPr="00E26090">
        <w:rPr>
          <w:rFonts w:eastAsia="Times New Roman"/>
          <w:lang w:eastAsia="fr-FR"/>
        </w:rPr>
        <w:t xml:space="preserve">épartements </w:t>
      </w:r>
      <w:r w:rsidR="00CF1461">
        <w:rPr>
          <w:rFonts w:eastAsia="Times New Roman"/>
          <w:lang w:eastAsia="fr-FR"/>
        </w:rPr>
        <w:t>m</w:t>
      </w:r>
      <w:r w:rsidR="00CF1461" w:rsidRPr="00E26090">
        <w:rPr>
          <w:rFonts w:eastAsia="Times New Roman"/>
          <w:lang w:eastAsia="fr-FR"/>
        </w:rPr>
        <w:t xml:space="preserve">inistériels, </w:t>
      </w:r>
      <w:r w:rsidR="00CF1461">
        <w:rPr>
          <w:rFonts w:eastAsia="Times New Roman"/>
          <w:lang w:eastAsia="fr-FR"/>
        </w:rPr>
        <w:t>o</w:t>
      </w:r>
      <w:r w:rsidR="00CF1461" w:rsidRPr="00E26090">
        <w:rPr>
          <w:rFonts w:eastAsia="Times New Roman"/>
          <w:lang w:eastAsia="fr-FR"/>
        </w:rPr>
        <w:t xml:space="preserve">rganismes </w:t>
      </w:r>
      <w:r w:rsidR="00CF1461">
        <w:rPr>
          <w:rFonts w:eastAsia="Times New Roman"/>
          <w:lang w:eastAsia="fr-FR"/>
        </w:rPr>
        <w:t>i</w:t>
      </w:r>
      <w:r w:rsidR="00CF1461" w:rsidRPr="00E26090">
        <w:rPr>
          <w:rFonts w:eastAsia="Times New Roman"/>
          <w:lang w:eastAsia="fr-FR"/>
        </w:rPr>
        <w:t xml:space="preserve">nternationaux et ONG pour le lancement </w:t>
      </w:r>
      <w:r w:rsidR="00CF1461">
        <w:rPr>
          <w:rFonts w:eastAsia="Times New Roman"/>
          <w:lang w:eastAsia="fr-FR"/>
        </w:rPr>
        <w:t xml:space="preserve">au niveau de </w:t>
      </w:r>
      <w:r w:rsidR="00CF1461" w:rsidRPr="00E26090">
        <w:rPr>
          <w:rFonts w:eastAsia="Times New Roman"/>
          <w:lang w:eastAsia="fr-FR"/>
        </w:rPr>
        <w:t xml:space="preserve">8 régions et 9 provinces pilotes du projet « appui à l’émancipation socio-économique des femmes rurales </w:t>
      </w:r>
      <w:r w:rsidR="00CF1461" w:rsidRPr="00473B94">
        <w:rPr>
          <w:rFonts w:eastAsia="CharisSIL"/>
        </w:rPr>
        <w:t>au</w:t>
      </w:r>
      <w:r w:rsidR="00CF1461" w:rsidRPr="00E26090">
        <w:rPr>
          <w:rFonts w:eastAsia="Times New Roman"/>
          <w:lang w:eastAsia="fr-FR"/>
        </w:rPr>
        <w:t xml:space="preserve"> Maroc à travers leur inc</w:t>
      </w:r>
      <w:r w:rsidR="005A27F7">
        <w:rPr>
          <w:rFonts w:eastAsia="Times New Roman"/>
          <w:lang w:eastAsia="fr-FR"/>
        </w:rPr>
        <w:t>lusion dans l’économie sociale</w:t>
      </w:r>
      <w:r w:rsidR="00331C60">
        <w:rPr>
          <w:rFonts w:eastAsia="Times New Roman"/>
          <w:lang w:eastAsia="fr-FR"/>
        </w:rPr>
        <w:t xml:space="preserve"> </w:t>
      </w:r>
      <w:r w:rsidR="005A27F7">
        <w:rPr>
          <w:rFonts w:eastAsia="Times New Roman"/>
          <w:lang w:eastAsia="fr-FR"/>
        </w:rPr>
        <w:t>»</w:t>
      </w:r>
      <w:r w:rsidR="00CF1461" w:rsidRPr="003C06D3">
        <w:rPr>
          <w:rStyle w:val="Appelnotedebasdep"/>
        </w:rPr>
        <w:footnoteReference w:id="53"/>
      </w:r>
      <w:r w:rsidR="005A27F7">
        <w:rPr>
          <w:rFonts w:eastAsia="Times New Roman"/>
          <w:lang w:eastAsia="fr-FR"/>
        </w:rPr>
        <w:t>.</w:t>
      </w:r>
      <w:r w:rsidR="00CF1461" w:rsidRPr="00E26090">
        <w:rPr>
          <w:rFonts w:eastAsia="Times New Roman"/>
          <w:lang w:eastAsia="fr-FR"/>
        </w:rPr>
        <w:t xml:space="preserve"> Pour ce qui est des activités liées à la pêche, de multiples actions ont été engagées pour la promotion de l</w:t>
      </w:r>
      <w:r w:rsidR="00CD5A97">
        <w:rPr>
          <w:rFonts w:eastAsia="Times New Roman"/>
          <w:lang w:eastAsia="fr-FR"/>
        </w:rPr>
        <w:t>’</w:t>
      </w:r>
      <w:r w:rsidR="00CF1461" w:rsidRPr="00E26090">
        <w:rPr>
          <w:rFonts w:eastAsia="Times New Roman"/>
          <w:lang w:eastAsia="fr-FR"/>
        </w:rPr>
        <w:t xml:space="preserve">égalité entre les hommes et les femmes dans </w:t>
      </w:r>
      <w:r w:rsidR="00CF1461">
        <w:rPr>
          <w:rFonts w:eastAsia="Times New Roman"/>
          <w:lang w:eastAsia="fr-FR"/>
        </w:rPr>
        <w:t>c</w:t>
      </w:r>
      <w:r w:rsidR="00CF1461" w:rsidRPr="00E26090">
        <w:rPr>
          <w:rFonts w:eastAsia="Times New Roman"/>
          <w:lang w:eastAsia="fr-FR"/>
        </w:rPr>
        <w:t xml:space="preserve">e </w:t>
      </w:r>
      <w:r w:rsidR="00CF1461">
        <w:rPr>
          <w:rFonts w:eastAsia="Times New Roman"/>
          <w:lang w:eastAsia="fr-FR"/>
        </w:rPr>
        <w:t>département</w:t>
      </w:r>
      <w:r w:rsidR="00CF1461" w:rsidRPr="00E26090">
        <w:rPr>
          <w:rFonts w:eastAsia="Times New Roman"/>
          <w:lang w:eastAsia="fr-FR"/>
        </w:rPr>
        <w:t xml:space="preserve"> dans le cadre du plan d’action de l’unité Genre et Développement et également en partenariat avec le programme Millenium-Challenge-</w:t>
      </w:r>
      <w:proofErr w:type="spellStart"/>
      <w:r w:rsidR="00CF1461" w:rsidRPr="00E26090">
        <w:rPr>
          <w:rFonts w:eastAsia="Times New Roman"/>
          <w:lang w:eastAsia="fr-FR"/>
        </w:rPr>
        <w:t>Account</w:t>
      </w:r>
      <w:proofErr w:type="spellEnd"/>
      <w:r w:rsidR="00CF1461" w:rsidRPr="00E26090">
        <w:rPr>
          <w:rFonts w:eastAsia="Times New Roman"/>
          <w:lang w:eastAsia="fr-FR"/>
        </w:rPr>
        <w:t>-Maroc.</w:t>
      </w:r>
    </w:p>
    <w:p w14:paraId="65C1AE99" w14:textId="4CB84BAB"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147.</w:t>
      </w:r>
      <w:r w:rsidRPr="00E26090">
        <w:rPr>
          <w:rFonts w:eastAsia="Times New Roman"/>
          <w:color w:val="000000" w:themeColor="text1"/>
          <w:lang w:eastAsia="fr-FR"/>
        </w:rPr>
        <w:tab/>
      </w:r>
      <w:r w:rsidR="00CF1461">
        <w:rPr>
          <w:rFonts w:eastAsia="Times New Roman"/>
          <w:lang w:eastAsia="fr-FR"/>
        </w:rPr>
        <w:t>Des</w:t>
      </w:r>
      <w:r w:rsidR="00CF1461" w:rsidRPr="00E26090">
        <w:rPr>
          <w:rFonts w:eastAsia="Times New Roman"/>
          <w:lang w:eastAsia="fr-FR"/>
        </w:rPr>
        <w:t xml:space="preserve"> efforts </w:t>
      </w:r>
      <w:r w:rsidR="00CF1461">
        <w:rPr>
          <w:rFonts w:eastAsia="Times New Roman"/>
          <w:lang w:eastAsia="fr-FR"/>
        </w:rPr>
        <w:t xml:space="preserve">ont été </w:t>
      </w:r>
      <w:r w:rsidR="00CF1461" w:rsidRPr="00E26090">
        <w:rPr>
          <w:rFonts w:eastAsia="Times New Roman"/>
          <w:lang w:eastAsia="fr-FR"/>
        </w:rPr>
        <w:t xml:space="preserve">déployés par l’Agence </w:t>
      </w:r>
      <w:r w:rsidR="00CF1461">
        <w:rPr>
          <w:rFonts w:eastAsia="Times New Roman"/>
          <w:lang w:eastAsia="fr-FR"/>
        </w:rPr>
        <w:t>n</w:t>
      </w:r>
      <w:r w:rsidR="00CF1461" w:rsidRPr="00E26090">
        <w:rPr>
          <w:rFonts w:eastAsia="Times New Roman"/>
          <w:lang w:eastAsia="fr-FR"/>
        </w:rPr>
        <w:t xml:space="preserve">ationale pour la </w:t>
      </w:r>
      <w:r w:rsidR="00CF1461">
        <w:rPr>
          <w:rFonts w:eastAsia="Times New Roman"/>
          <w:lang w:eastAsia="fr-FR"/>
        </w:rPr>
        <w:t>p</w:t>
      </w:r>
      <w:r w:rsidR="00CF1461" w:rsidRPr="00E26090">
        <w:rPr>
          <w:rFonts w:eastAsia="Times New Roman"/>
          <w:lang w:eastAsia="fr-FR"/>
        </w:rPr>
        <w:t xml:space="preserve">romotion des </w:t>
      </w:r>
      <w:r w:rsidR="00CF1461">
        <w:rPr>
          <w:rFonts w:eastAsia="Times New Roman"/>
          <w:lang w:eastAsia="fr-FR"/>
        </w:rPr>
        <w:t>p</w:t>
      </w:r>
      <w:r w:rsidR="00CF1461" w:rsidRPr="00E26090">
        <w:rPr>
          <w:rFonts w:eastAsia="Times New Roman"/>
          <w:lang w:eastAsia="fr-FR"/>
        </w:rPr>
        <w:t xml:space="preserve">etites et </w:t>
      </w:r>
      <w:r w:rsidR="00CF1461">
        <w:rPr>
          <w:rFonts w:eastAsia="Times New Roman"/>
          <w:lang w:eastAsia="fr-FR"/>
        </w:rPr>
        <w:t>m</w:t>
      </w:r>
      <w:r w:rsidR="00CF1461" w:rsidRPr="00E26090">
        <w:rPr>
          <w:rFonts w:eastAsia="Times New Roman"/>
          <w:lang w:eastAsia="fr-FR"/>
        </w:rPr>
        <w:t xml:space="preserve">oyennes </w:t>
      </w:r>
      <w:r w:rsidR="00CF1461">
        <w:rPr>
          <w:rFonts w:eastAsia="Times New Roman"/>
          <w:lang w:eastAsia="fr-FR"/>
        </w:rPr>
        <w:t>e</w:t>
      </w:r>
      <w:r w:rsidR="00CF1461" w:rsidRPr="00E26090">
        <w:rPr>
          <w:rFonts w:eastAsia="Times New Roman"/>
          <w:lang w:eastAsia="fr-FR"/>
        </w:rPr>
        <w:t>ntreprises (ANPME) via, notamment, le programme «</w:t>
      </w:r>
      <w:r w:rsidR="00331C60">
        <w:rPr>
          <w:rFonts w:eastAsia="Times New Roman"/>
          <w:lang w:eastAsia="fr-FR"/>
        </w:rPr>
        <w:t xml:space="preserve"> </w:t>
      </w:r>
      <w:r w:rsidR="00CF1461" w:rsidRPr="00E26090">
        <w:rPr>
          <w:rFonts w:eastAsia="Times New Roman"/>
          <w:lang w:eastAsia="fr-FR"/>
        </w:rPr>
        <w:t>Entre</w:t>
      </w:r>
      <w:r w:rsidR="00CF1461">
        <w:rPr>
          <w:rFonts w:eastAsia="Times New Roman"/>
          <w:lang w:eastAsia="fr-FR"/>
        </w:rPr>
        <w:t>-</w:t>
      </w:r>
      <w:r w:rsidR="00CF1461" w:rsidRPr="00E26090">
        <w:rPr>
          <w:rFonts w:eastAsia="Times New Roman"/>
          <w:lang w:eastAsia="fr-FR"/>
        </w:rPr>
        <w:t>Elles En Régions</w:t>
      </w:r>
      <w:r w:rsidR="00331C60">
        <w:rPr>
          <w:rFonts w:eastAsia="Times New Roman"/>
          <w:lang w:eastAsia="fr-FR"/>
        </w:rPr>
        <w:t xml:space="preserve"> </w:t>
      </w:r>
      <w:r w:rsidR="00CF1461" w:rsidRPr="00E26090">
        <w:rPr>
          <w:rFonts w:eastAsia="Times New Roman"/>
          <w:lang w:eastAsia="fr-FR"/>
        </w:rPr>
        <w:t xml:space="preserve">». </w:t>
      </w:r>
      <w:r w:rsidR="00CF1461">
        <w:rPr>
          <w:rFonts w:eastAsia="Times New Roman"/>
          <w:lang w:eastAsia="fr-FR"/>
        </w:rPr>
        <w:t>L</w:t>
      </w:r>
      <w:r w:rsidR="00CF1461" w:rsidRPr="00E26090">
        <w:rPr>
          <w:rFonts w:eastAsia="Times New Roman"/>
          <w:lang w:eastAsia="fr-FR"/>
        </w:rPr>
        <w:t xml:space="preserve">a Stratégie </w:t>
      </w:r>
      <w:r w:rsidR="00CF1461">
        <w:rPr>
          <w:rFonts w:eastAsia="Times New Roman"/>
          <w:lang w:eastAsia="fr-FR"/>
        </w:rPr>
        <w:t>n</w:t>
      </w:r>
      <w:r w:rsidR="00CF1461" w:rsidRPr="00E26090">
        <w:rPr>
          <w:rFonts w:eastAsia="Times New Roman"/>
          <w:lang w:eastAsia="fr-FR"/>
        </w:rPr>
        <w:t xml:space="preserve">ationale de </w:t>
      </w:r>
      <w:r w:rsidR="00CF1461">
        <w:rPr>
          <w:rFonts w:eastAsia="Times New Roman"/>
          <w:lang w:eastAsia="fr-FR"/>
        </w:rPr>
        <w:t>p</w:t>
      </w:r>
      <w:r w:rsidR="00CF1461" w:rsidRPr="00E26090">
        <w:rPr>
          <w:rFonts w:eastAsia="Times New Roman"/>
          <w:lang w:eastAsia="fr-FR"/>
        </w:rPr>
        <w:t xml:space="preserve">romotion de la </w:t>
      </w:r>
      <w:r w:rsidR="00CF1461">
        <w:rPr>
          <w:rFonts w:eastAsia="Times New Roman"/>
          <w:lang w:eastAsia="fr-FR"/>
        </w:rPr>
        <w:t>t</w:t>
      </w:r>
      <w:r w:rsidR="00CF1461" w:rsidRPr="00E26090">
        <w:rPr>
          <w:rFonts w:eastAsia="Times New Roman"/>
          <w:lang w:eastAsia="fr-FR"/>
        </w:rPr>
        <w:t xml:space="preserve">rès </w:t>
      </w:r>
      <w:r w:rsidR="00CF1461">
        <w:rPr>
          <w:rFonts w:eastAsia="Times New Roman"/>
          <w:lang w:eastAsia="fr-FR"/>
        </w:rPr>
        <w:t>p</w:t>
      </w:r>
      <w:r w:rsidR="00CF1461" w:rsidRPr="00E26090">
        <w:rPr>
          <w:rFonts w:eastAsia="Times New Roman"/>
          <w:lang w:eastAsia="fr-FR"/>
        </w:rPr>
        <w:t xml:space="preserve">etite entreprise s’intéresse également à la promotion de l’entreprenariat féminin, en proposant un soutien et un accompagnement aux petites entreprises formelles. </w:t>
      </w:r>
      <w:r w:rsidR="00CF1461">
        <w:rPr>
          <w:rFonts w:eastAsia="Times New Roman"/>
          <w:lang w:eastAsia="fr-FR"/>
        </w:rPr>
        <w:t>U</w:t>
      </w:r>
      <w:r w:rsidR="00CF1461" w:rsidRPr="00E26090">
        <w:rPr>
          <w:rFonts w:eastAsia="Times New Roman"/>
          <w:lang w:eastAsia="fr-FR"/>
        </w:rPr>
        <w:t>n protocole d</w:t>
      </w:r>
      <w:r w:rsidR="00CD5A97">
        <w:rPr>
          <w:rFonts w:eastAsia="Times New Roman"/>
          <w:lang w:eastAsia="fr-FR"/>
        </w:rPr>
        <w:t>’</w:t>
      </w:r>
      <w:r w:rsidR="00CF1461" w:rsidRPr="00E26090">
        <w:rPr>
          <w:rFonts w:eastAsia="Times New Roman"/>
          <w:lang w:eastAsia="fr-FR"/>
        </w:rPr>
        <w:t xml:space="preserve">accord, a été signé </w:t>
      </w:r>
      <w:r w:rsidR="00CF1461">
        <w:rPr>
          <w:rFonts w:eastAsia="Times New Roman"/>
          <w:lang w:eastAsia="fr-FR"/>
        </w:rPr>
        <w:t xml:space="preserve">à cet effet </w:t>
      </w:r>
      <w:r w:rsidR="00CF1461" w:rsidRPr="00E26090">
        <w:rPr>
          <w:rFonts w:eastAsia="Times New Roman"/>
          <w:lang w:eastAsia="fr-FR"/>
        </w:rPr>
        <w:t xml:space="preserve">en mars 2013, entre la Caisse </w:t>
      </w:r>
      <w:r w:rsidR="00CF1461">
        <w:rPr>
          <w:rFonts w:eastAsia="Times New Roman"/>
          <w:lang w:eastAsia="fr-FR"/>
        </w:rPr>
        <w:t>c</w:t>
      </w:r>
      <w:r w:rsidR="00CF1461" w:rsidRPr="00E26090">
        <w:rPr>
          <w:rFonts w:eastAsia="Times New Roman"/>
          <w:lang w:eastAsia="fr-FR"/>
        </w:rPr>
        <w:t xml:space="preserve">entrale de </w:t>
      </w:r>
      <w:r w:rsidR="00CF1461">
        <w:rPr>
          <w:rFonts w:eastAsia="Times New Roman"/>
          <w:lang w:eastAsia="fr-FR"/>
        </w:rPr>
        <w:t>g</w:t>
      </w:r>
      <w:r w:rsidR="00CF1461" w:rsidRPr="00E26090">
        <w:rPr>
          <w:rFonts w:eastAsia="Times New Roman"/>
          <w:lang w:eastAsia="fr-FR"/>
        </w:rPr>
        <w:t>arantie (CCG) et l</w:t>
      </w:r>
      <w:r w:rsidR="00CD5A97">
        <w:rPr>
          <w:rFonts w:eastAsia="Times New Roman"/>
          <w:lang w:eastAsia="fr-FR"/>
        </w:rPr>
        <w:t>’</w:t>
      </w:r>
      <w:r w:rsidR="00CF1461" w:rsidRPr="00E26090">
        <w:rPr>
          <w:rFonts w:eastAsia="Times New Roman"/>
          <w:lang w:eastAsia="fr-FR"/>
        </w:rPr>
        <w:t xml:space="preserve">Association des </w:t>
      </w:r>
      <w:r w:rsidR="00CF1461">
        <w:rPr>
          <w:rFonts w:eastAsia="Times New Roman"/>
          <w:lang w:eastAsia="fr-FR"/>
        </w:rPr>
        <w:t>f</w:t>
      </w:r>
      <w:r w:rsidR="00CF1461" w:rsidRPr="00E26090">
        <w:rPr>
          <w:rFonts w:eastAsia="Times New Roman"/>
          <w:lang w:eastAsia="fr-FR"/>
        </w:rPr>
        <w:t>emmes chefs d</w:t>
      </w:r>
      <w:r w:rsidR="00CD5A97">
        <w:rPr>
          <w:rFonts w:eastAsia="Times New Roman"/>
          <w:lang w:eastAsia="fr-FR"/>
        </w:rPr>
        <w:t>’</w:t>
      </w:r>
      <w:r w:rsidR="00CF1461">
        <w:rPr>
          <w:rFonts w:eastAsia="Times New Roman"/>
          <w:lang w:eastAsia="fr-FR"/>
        </w:rPr>
        <w:t>e</w:t>
      </w:r>
      <w:r w:rsidR="00CF1461" w:rsidRPr="00E26090">
        <w:rPr>
          <w:rFonts w:eastAsia="Times New Roman"/>
          <w:lang w:eastAsia="fr-FR"/>
        </w:rPr>
        <w:t xml:space="preserve">ntreprises du Maroc (AFEM), pour l’opérationnalisation du Fonds de </w:t>
      </w:r>
      <w:r w:rsidR="00CF1461">
        <w:rPr>
          <w:rFonts w:eastAsia="Times New Roman"/>
          <w:lang w:eastAsia="fr-FR"/>
        </w:rPr>
        <w:t>g</w:t>
      </w:r>
      <w:r w:rsidR="00CF1461" w:rsidRPr="00E26090">
        <w:rPr>
          <w:rFonts w:eastAsia="Times New Roman"/>
          <w:lang w:eastAsia="fr-FR"/>
        </w:rPr>
        <w:t xml:space="preserve">arantie </w:t>
      </w:r>
      <w:r w:rsidR="00CD5A97">
        <w:rPr>
          <w:rFonts w:eastAsia="Times New Roman"/>
          <w:lang w:eastAsia="fr-FR"/>
        </w:rPr>
        <w:t>« </w:t>
      </w:r>
      <w:proofErr w:type="spellStart"/>
      <w:r w:rsidR="00CF1461" w:rsidRPr="00E26090">
        <w:rPr>
          <w:rFonts w:eastAsia="Times New Roman"/>
          <w:lang w:eastAsia="fr-FR"/>
        </w:rPr>
        <w:t>Ilayki</w:t>
      </w:r>
      <w:proofErr w:type="spellEnd"/>
      <w:r w:rsidR="00CD5A97">
        <w:rPr>
          <w:rFonts w:eastAsia="Times New Roman"/>
          <w:lang w:eastAsia="fr-FR"/>
        </w:rPr>
        <w:t> »</w:t>
      </w:r>
      <w:r w:rsidR="00CF1461" w:rsidRPr="00E26090">
        <w:rPr>
          <w:rFonts w:eastAsia="Times New Roman"/>
          <w:lang w:eastAsia="fr-FR"/>
        </w:rPr>
        <w:t>, qui a pour objectifs l’encouragement et l’accompagnement du développement de l</w:t>
      </w:r>
      <w:r w:rsidR="00CD5A97">
        <w:rPr>
          <w:rFonts w:eastAsia="Times New Roman"/>
          <w:lang w:eastAsia="fr-FR"/>
        </w:rPr>
        <w:t>’</w:t>
      </w:r>
      <w:r w:rsidR="00CF1461" w:rsidRPr="00E26090">
        <w:rPr>
          <w:rFonts w:eastAsia="Times New Roman"/>
          <w:lang w:eastAsia="fr-FR"/>
        </w:rPr>
        <w:t>entreprise privée féminine, en permettant à la femme chef d</w:t>
      </w:r>
      <w:r w:rsidR="00CD5A97">
        <w:rPr>
          <w:rFonts w:eastAsia="Times New Roman"/>
          <w:lang w:eastAsia="fr-FR"/>
        </w:rPr>
        <w:t>’</w:t>
      </w:r>
      <w:r w:rsidR="00CF1461" w:rsidRPr="00E26090">
        <w:rPr>
          <w:rFonts w:eastAsia="Times New Roman"/>
          <w:lang w:eastAsia="fr-FR"/>
        </w:rPr>
        <w:t>entreprise d</w:t>
      </w:r>
      <w:r w:rsidR="00CD5A97">
        <w:rPr>
          <w:rFonts w:eastAsia="Times New Roman"/>
          <w:lang w:eastAsia="fr-FR"/>
        </w:rPr>
        <w:t>’</w:t>
      </w:r>
      <w:r w:rsidR="00CF1461" w:rsidRPr="00E26090">
        <w:rPr>
          <w:rFonts w:eastAsia="Times New Roman"/>
          <w:lang w:eastAsia="fr-FR"/>
        </w:rPr>
        <w:t>accéder au crédit pour développer son projet.</w:t>
      </w:r>
    </w:p>
    <w:p w14:paraId="52541CE4" w14:textId="78B82D8C"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148.</w:t>
      </w:r>
      <w:r w:rsidRPr="00E26090">
        <w:rPr>
          <w:rFonts w:eastAsia="Times New Roman"/>
          <w:color w:val="000000" w:themeColor="text1"/>
          <w:lang w:eastAsia="fr-FR"/>
        </w:rPr>
        <w:tab/>
      </w:r>
      <w:r w:rsidR="00CF1461" w:rsidRPr="00E26090">
        <w:rPr>
          <w:rFonts w:eastAsia="Times New Roman"/>
          <w:lang w:eastAsia="fr-FR"/>
        </w:rPr>
        <w:t xml:space="preserve">En matière de représentativité des femmes dans les organes </w:t>
      </w:r>
      <w:r w:rsidR="00CF1461" w:rsidRPr="00473B94">
        <w:rPr>
          <w:rFonts w:eastAsia="CharisSIL"/>
        </w:rPr>
        <w:t>de</w:t>
      </w:r>
      <w:r w:rsidR="00CF1461" w:rsidRPr="00E26090">
        <w:rPr>
          <w:rFonts w:eastAsia="Times New Roman"/>
          <w:lang w:eastAsia="fr-FR"/>
        </w:rPr>
        <w:t xml:space="preserve"> gouvernance des entreprises publiques et privées</w:t>
      </w:r>
      <w:r w:rsidR="00CF1461">
        <w:rPr>
          <w:rFonts w:eastAsia="Times New Roman"/>
          <w:lang w:eastAsia="fr-FR"/>
        </w:rPr>
        <w:t>, celle-ci</w:t>
      </w:r>
      <w:r w:rsidR="00CF1461" w:rsidRPr="00E26090">
        <w:rPr>
          <w:rFonts w:eastAsia="Times New Roman"/>
          <w:lang w:eastAsia="fr-FR"/>
        </w:rPr>
        <w:t xml:space="preserve"> reste</w:t>
      </w:r>
      <w:r w:rsidR="00CF1461">
        <w:rPr>
          <w:rFonts w:eastAsia="Times New Roman"/>
          <w:lang w:eastAsia="fr-FR"/>
        </w:rPr>
        <w:t xml:space="preserve"> relativement limitée</w:t>
      </w:r>
      <w:r w:rsidR="00CF1461" w:rsidRPr="00E26090">
        <w:rPr>
          <w:rFonts w:eastAsia="Times New Roman"/>
          <w:lang w:eastAsia="fr-FR"/>
        </w:rPr>
        <w:t xml:space="preserve">, rendant nécessaire l’inscription de </w:t>
      </w:r>
      <w:r w:rsidR="00CF1461">
        <w:rPr>
          <w:rFonts w:eastAsia="Times New Roman"/>
          <w:lang w:eastAsia="fr-FR"/>
        </w:rPr>
        <w:t xml:space="preserve">cet objectif </w:t>
      </w:r>
      <w:r w:rsidR="00CF1461" w:rsidRPr="00E26090">
        <w:rPr>
          <w:rFonts w:eastAsia="Times New Roman"/>
          <w:lang w:eastAsia="fr-FR"/>
        </w:rPr>
        <w:t xml:space="preserve">dans une démarche systémique </w:t>
      </w:r>
      <w:r w:rsidR="00CF1461">
        <w:rPr>
          <w:rFonts w:eastAsia="Times New Roman"/>
          <w:lang w:eastAsia="fr-FR"/>
        </w:rPr>
        <w:t>impliquant</w:t>
      </w:r>
      <w:r w:rsidR="00CF1461" w:rsidRPr="00E26090">
        <w:rPr>
          <w:rFonts w:eastAsia="Times New Roman"/>
          <w:lang w:eastAsia="fr-FR"/>
        </w:rPr>
        <w:t xml:space="preserve"> l’ensemble des parties prenantes. Un groupe de travail fédéré par le </w:t>
      </w:r>
      <w:r w:rsidR="00CF1461">
        <w:rPr>
          <w:rFonts w:eastAsia="Times New Roman"/>
          <w:lang w:eastAsia="fr-FR"/>
        </w:rPr>
        <w:t>m</w:t>
      </w:r>
      <w:r w:rsidR="00CF1461" w:rsidRPr="00E26090">
        <w:rPr>
          <w:rFonts w:eastAsia="Times New Roman"/>
          <w:lang w:eastAsia="fr-FR"/>
        </w:rPr>
        <w:t xml:space="preserve">inistère des </w:t>
      </w:r>
      <w:r w:rsidR="00CF1461">
        <w:rPr>
          <w:rFonts w:eastAsia="Times New Roman"/>
          <w:lang w:eastAsia="fr-FR"/>
        </w:rPr>
        <w:t>a</w:t>
      </w:r>
      <w:r w:rsidR="00CF1461" w:rsidRPr="00E26090">
        <w:rPr>
          <w:rFonts w:eastAsia="Times New Roman"/>
          <w:lang w:eastAsia="fr-FR"/>
        </w:rPr>
        <w:t xml:space="preserve">ffaires </w:t>
      </w:r>
      <w:r w:rsidR="00CF1461">
        <w:rPr>
          <w:rFonts w:eastAsia="Times New Roman"/>
          <w:lang w:eastAsia="fr-FR"/>
        </w:rPr>
        <w:t>g</w:t>
      </w:r>
      <w:r w:rsidR="00CF1461" w:rsidRPr="00E26090">
        <w:rPr>
          <w:rFonts w:eastAsia="Times New Roman"/>
          <w:lang w:eastAsia="fr-FR"/>
        </w:rPr>
        <w:t xml:space="preserve">énérales et de la </w:t>
      </w:r>
      <w:r w:rsidR="00CF1461">
        <w:rPr>
          <w:rFonts w:eastAsia="Times New Roman"/>
          <w:lang w:eastAsia="fr-FR"/>
        </w:rPr>
        <w:t>g</w:t>
      </w:r>
      <w:r w:rsidR="00CF1461" w:rsidRPr="00E26090">
        <w:rPr>
          <w:rFonts w:eastAsia="Times New Roman"/>
          <w:lang w:eastAsia="fr-FR"/>
        </w:rPr>
        <w:t>ouvernance</w:t>
      </w:r>
      <w:r w:rsidR="00CF1461">
        <w:rPr>
          <w:rFonts w:eastAsia="Times New Roman"/>
          <w:lang w:eastAsia="fr-FR"/>
        </w:rPr>
        <w:t xml:space="preserve">, </w:t>
      </w:r>
      <w:r w:rsidR="00CF1461" w:rsidRPr="00E26090">
        <w:rPr>
          <w:rFonts w:eastAsia="Times New Roman"/>
          <w:lang w:eastAsia="fr-FR"/>
        </w:rPr>
        <w:t>a réalisé une étude sur la représentativité des femmes dans les instances de gouvernance des grandes entreprises publiques et privées. Les résultats de l’étude conduite par ledit groupe, présentés en avril 2013, indiquent que moins de la moitié de ces entreprises comptent au moins une femme dans leur organe de gouvernance.</w:t>
      </w:r>
      <w:r w:rsidR="00CF1461" w:rsidRPr="001B249E">
        <w:rPr>
          <w:rFonts w:eastAsia="Times New Roman"/>
          <w:color w:val="FF0000"/>
          <w:lang w:eastAsia="fr-FR"/>
        </w:rPr>
        <w:t xml:space="preserve"> </w:t>
      </w:r>
    </w:p>
    <w:p w14:paraId="7FE53396" w14:textId="715F8682" w:rsidR="00CF1461" w:rsidRPr="001B249E" w:rsidRDefault="004B5A1A" w:rsidP="004B5A1A">
      <w:pPr>
        <w:pStyle w:val="SingleTxtG"/>
        <w:tabs>
          <w:tab w:val="clear" w:pos="1701"/>
          <w:tab w:val="clear" w:pos="2268"/>
          <w:tab w:val="clear" w:pos="2835"/>
        </w:tabs>
        <w:rPr>
          <w:rFonts w:eastAsia="Times New Roman"/>
          <w:lang w:eastAsia="fr-FR"/>
        </w:rPr>
      </w:pPr>
      <w:r w:rsidRPr="001B249E">
        <w:rPr>
          <w:rFonts w:eastAsia="Times New Roman"/>
          <w:color w:val="000000" w:themeColor="text1"/>
          <w:lang w:eastAsia="fr-FR"/>
        </w:rPr>
        <w:t>149.</w:t>
      </w:r>
      <w:r w:rsidRPr="001B249E">
        <w:rPr>
          <w:rFonts w:eastAsia="Times New Roman"/>
          <w:color w:val="000000" w:themeColor="text1"/>
          <w:lang w:eastAsia="fr-FR"/>
        </w:rPr>
        <w:tab/>
      </w:r>
      <w:r w:rsidR="00CF1461">
        <w:rPr>
          <w:rFonts w:eastAsia="Times New Roman"/>
          <w:lang w:eastAsia="fr-FR"/>
        </w:rPr>
        <w:t>M</w:t>
      </w:r>
      <w:r w:rsidR="00CF1461" w:rsidRPr="001B249E">
        <w:rPr>
          <w:rFonts w:eastAsia="Times New Roman"/>
          <w:lang w:eastAsia="fr-FR"/>
        </w:rPr>
        <w:t xml:space="preserve">algré ces programmes et initiatives, plusieurs handicaps sont à relever. Le premier constat préoccupant dressé par le rapport présenté par le CESE sur les discriminations à </w:t>
      </w:r>
      <w:r w:rsidR="00CF1461" w:rsidRPr="00473B94">
        <w:rPr>
          <w:rFonts w:eastAsia="CharisSIL"/>
        </w:rPr>
        <w:t>l’égard</w:t>
      </w:r>
      <w:r w:rsidR="00CF1461" w:rsidRPr="001B249E">
        <w:rPr>
          <w:rFonts w:eastAsia="Times New Roman"/>
          <w:lang w:eastAsia="fr-FR"/>
        </w:rPr>
        <w:t xml:space="preserve"> de</w:t>
      </w:r>
      <w:r w:rsidR="005A27F7">
        <w:rPr>
          <w:rFonts w:eastAsia="Times New Roman"/>
          <w:lang w:eastAsia="fr-FR"/>
        </w:rPr>
        <w:t>s femmes dans la vie</w:t>
      </w:r>
      <w:r w:rsidR="005648B1">
        <w:rPr>
          <w:rFonts w:eastAsia="Times New Roman"/>
          <w:lang w:eastAsia="fr-FR"/>
        </w:rPr>
        <w:t xml:space="preserve"> </w:t>
      </w:r>
      <w:r w:rsidR="005A27F7">
        <w:rPr>
          <w:rFonts w:eastAsia="Times New Roman"/>
          <w:lang w:eastAsia="fr-FR"/>
        </w:rPr>
        <w:t>économique</w:t>
      </w:r>
      <w:r w:rsidR="00CF1461" w:rsidRPr="003C06D3">
        <w:rPr>
          <w:rStyle w:val="Appelnotedebasdep"/>
        </w:rPr>
        <w:footnoteReference w:id="54"/>
      </w:r>
      <w:r w:rsidR="005A27F7">
        <w:rPr>
          <w:rFonts w:eastAsia="Times New Roman"/>
          <w:lang w:eastAsia="fr-FR"/>
        </w:rPr>
        <w:t xml:space="preserve">, </w:t>
      </w:r>
      <w:r w:rsidR="00CF1461" w:rsidRPr="001B249E">
        <w:rPr>
          <w:rFonts w:eastAsia="Times New Roman"/>
          <w:lang w:eastAsia="fr-FR"/>
        </w:rPr>
        <w:t xml:space="preserve">montre que la participation économique des </w:t>
      </w:r>
      <w:r w:rsidR="00CF1461" w:rsidRPr="001B249E">
        <w:rPr>
          <w:rFonts w:eastAsia="Times New Roman"/>
          <w:lang w:eastAsia="fr-FR"/>
        </w:rPr>
        <w:lastRenderedPageBreak/>
        <w:t>femmes a régressé ces dernières années : le taux d’activité des femmes est passé de 28,1</w:t>
      </w:r>
      <w:r w:rsidR="00372939">
        <w:rPr>
          <w:rFonts w:eastAsia="Times New Roman"/>
          <w:lang w:eastAsia="fr-FR"/>
        </w:rPr>
        <w:t> %</w:t>
      </w:r>
      <w:r w:rsidR="00CF1461" w:rsidRPr="001B249E">
        <w:rPr>
          <w:rFonts w:eastAsia="Times New Roman"/>
          <w:lang w:eastAsia="fr-FR"/>
        </w:rPr>
        <w:t xml:space="preserve"> en 2000 à 25,1</w:t>
      </w:r>
      <w:r w:rsidR="00372939">
        <w:rPr>
          <w:rFonts w:eastAsia="Times New Roman"/>
          <w:lang w:eastAsia="fr-FR"/>
        </w:rPr>
        <w:t> %</w:t>
      </w:r>
      <w:r w:rsidR="00CF1461" w:rsidRPr="001B249E">
        <w:rPr>
          <w:rFonts w:eastAsia="Times New Roman"/>
          <w:lang w:eastAsia="fr-FR"/>
        </w:rPr>
        <w:t xml:space="preserve"> en 2013. Parallèlement, le nombre de femmes au foyer a augmenté plus vite que la population féminine en âge d’activité. Des recommandations émises </w:t>
      </w:r>
      <w:r w:rsidR="00CF1461">
        <w:rPr>
          <w:rFonts w:eastAsia="Times New Roman"/>
          <w:lang w:eastAsia="fr-FR"/>
        </w:rPr>
        <w:t xml:space="preserve">à cet effet </w:t>
      </w:r>
      <w:r w:rsidR="00CF1461" w:rsidRPr="001B249E">
        <w:rPr>
          <w:rFonts w:eastAsia="Times New Roman"/>
          <w:lang w:eastAsia="fr-FR"/>
        </w:rPr>
        <w:t>par le CESE pour favoriser l’activité des femmes et faciliter leur accès à l’emploi, proposent de</w:t>
      </w:r>
      <w:r w:rsidR="005648B1">
        <w:rPr>
          <w:rFonts w:eastAsia="Times New Roman"/>
          <w:lang w:eastAsia="fr-FR"/>
        </w:rPr>
        <w:t> </w:t>
      </w:r>
      <w:r w:rsidR="00CF1461" w:rsidRPr="001B249E">
        <w:rPr>
          <w:rFonts w:eastAsia="Times New Roman"/>
          <w:lang w:eastAsia="fr-FR"/>
        </w:rPr>
        <w:t xml:space="preserve">: </w:t>
      </w:r>
    </w:p>
    <w:p w14:paraId="16F8FCC1" w14:textId="0A3A15B5" w:rsidR="00CF1461" w:rsidRPr="00571C91" w:rsidRDefault="004B5A1A" w:rsidP="004B5A1A">
      <w:pPr>
        <w:pStyle w:val="Bullet1G"/>
        <w:numPr>
          <w:ilvl w:val="0"/>
          <w:numId w:val="0"/>
        </w:numPr>
        <w:tabs>
          <w:tab w:val="left" w:pos="1701"/>
        </w:tabs>
        <w:ind w:left="1701" w:hanging="170"/>
        <w:rPr>
          <w:lang w:eastAsia="fr-FR"/>
        </w:rPr>
      </w:pPr>
      <w:r w:rsidRPr="00571C91">
        <w:rPr>
          <w:lang w:eastAsia="fr-FR"/>
        </w:rPr>
        <w:t>•</w:t>
      </w:r>
      <w:r w:rsidRPr="00571C91">
        <w:rPr>
          <w:lang w:eastAsia="fr-FR"/>
        </w:rPr>
        <w:tab/>
      </w:r>
      <w:r w:rsidR="00CF1461" w:rsidRPr="00571C91">
        <w:rPr>
          <w:lang w:eastAsia="fr-FR"/>
        </w:rPr>
        <w:t>Mettre en place des mesures incitatives et garantir le droit au financement, ainsi que des avantages fiscaux aux entreprises privées inclusives qui instaurent la parité dans leurs différentes instances</w:t>
      </w:r>
      <w:r w:rsidR="005A27F7">
        <w:rPr>
          <w:lang w:eastAsia="fr-FR"/>
        </w:rPr>
        <w:t xml:space="preserve"> </w:t>
      </w:r>
      <w:r w:rsidR="00CF1461">
        <w:rPr>
          <w:lang w:eastAsia="fr-FR"/>
        </w:rPr>
        <w:t>;</w:t>
      </w:r>
    </w:p>
    <w:p w14:paraId="690523F2" w14:textId="340A4D09" w:rsidR="00CF1461" w:rsidRPr="00620720" w:rsidRDefault="004B5A1A" w:rsidP="004B5A1A">
      <w:pPr>
        <w:pStyle w:val="Bullet1G"/>
        <w:numPr>
          <w:ilvl w:val="0"/>
          <w:numId w:val="0"/>
        </w:numPr>
        <w:tabs>
          <w:tab w:val="left" w:pos="1701"/>
        </w:tabs>
        <w:ind w:left="1701" w:hanging="170"/>
        <w:rPr>
          <w:lang w:eastAsia="fr-FR"/>
        </w:rPr>
      </w:pPr>
      <w:r w:rsidRPr="00620720">
        <w:rPr>
          <w:lang w:eastAsia="fr-FR"/>
        </w:rPr>
        <w:t>•</w:t>
      </w:r>
      <w:r w:rsidRPr="00620720">
        <w:rPr>
          <w:lang w:eastAsia="fr-FR"/>
        </w:rPr>
        <w:tab/>
      </w:r>
      <w:r w:rsidR="00CF1461" w:rsidRPr="00620720">
        <w:rPr>
          <w:lang w:eastAsia="fr-FR"/>
        </w:rPr>
        <w:t>Promouvoir la formation qualifiante et l’accès des filles à l’ensemble des filières offertes dans les formations à dominance masculine…</w:t>
      </w:r>
      <w:r w:rsidR="00CF1461" w:rsidRPr="003C06D3">
        <w:rPr>
          <w:rStyle w:val="Appelnotedebasdep"/>
        </w:rPr>
        <w:footnoteReference w:id="55"/>
      </w:r>
      <w:r w:rsidR="005A27F7">
        <w:rPr>
          <w:lang w:eastAsia="fr-FR"/>
        </w:rPr>
        <w:t>.</w:t>
      </w:r>
      <w:r w:rsidR="00CD5A97">
        <w:rPr>
          <w:lang w:eastAsia="fr-FR"/>
        </w:rPr>
        <w:t xml:space="preserve"> </w:t>
      </w:r>
    </w:p>
    <w:p w14:paraId="0540DEB9" w14:textId="12D2977D"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150.</w:t>
      </w:r>
      <w:r>
        <w:rPr>
          <w:rFonts w:eastAsia="Times New Roman"/>
          <w:color w:val="000000" w:themeColor="text1"/>
          <w:lang w:eastAsia="fr-FR"/>
        </w:rPr>
        <w:tab/>
      </w:r>
      <w:r w:rsidR="00CF1461" w:rsidRPr="002C7514">
        <w:rPr>
          <w:rFonts w:eastAsia="Times New Roman"/>
          <w:lang w:eastAsia="fr-FR"/>
        </w:rPr>
        <w:t>Il est à noter également que l’accès équitable des femmes et des hommes aux droits économiques traduit les principes énoncés dans la déclaration de l’OCDE sur l’investissement international et les entreprises multinationales</w:t>
      </w:r>
      <w:r w:rsidR="00CF1461">
        <w:rPr>
          <w:rFonts w:eastAsia="Times New Roman"/>
          <w:lang w:eastAsia="fr-FR"/>
        </w:rPr>
        <w:t>,</w:t>
      </w:r>
      <w:r w:rsidR="00CF1461" w:rsidRPr="002C7514">
        <w:rPr>
          <w:rFonts w:eastAsia="Times New Roman"/>
          <w:lang w:eastAsia="fr-FR"/>
        </w:rPr>
        <w:t xml:space="preserve"> adoptée par le Maroc. Ces principes sont prévus dans le chapitre « emploi et relations professionnelles » qui énonce un ensemble de normes à respecter dans le cadre d’une entreprise, notamment le respect du principe de l’égalité des chances et de traitement dans le travail et l’abolition de toute pratique de discrimination.</w:t>
      </w:r>
    </w:p>
    <w:p w14:paraId="24AD1096" w14:textId="54CAFD3D" w:rsidR="00CF1461" w:rsidRPr="00E26090" w:rsidRDefault="00CF1461" w:rsidP="0015383D">
      <w:pPr>
        <w:pStyle w:val="H23G"/>
      </w:pPr>
      <w:r w:rsidRPr="00E26090">
        <w:t xml:space="preserve"> </w:t>
      </w:r>
      <w:r w:rsidR="007B174A">
        <w:tab/>
      </w:r>
      <w:r w:rsidR="007B174A">
        <w:tab/>
      </w:r>
      <w:r w:rsidRPr="00E26090">
        <w:t>Égalité de rémunération pour un travail de valeur égale (</w:t>
      </w:r>
      <w:r w:rsidR="0015383D">
        <w:t>d</w:t>
      </w:r>
      <w:r w:rsidRPr="00E26090">
        <w:t>roit à un salaire satisfaisant)</w:t>
      </w:r>
    </w:p>
    <w:p w14:paraId="1E6218DF" w14:textId="30865AC7" w:rsidR="00CF1461" w:rsidRPr="00013F70" w:rsidRDefault="004B5A1A" w:rsidP="004B5A1A">
      <w:pPr>
        <w:pStyle w:val="SingleTxtG"/>
        <w:tabs>
          <w:tab w:val="clear" w:pos="1701"/>
          <w:tab w:val="clear" w:pos="2268"/>
          <w:tab w:val="clear" w:pos="2835"/>
        </w:tabs>
        <w:rPr>
          <w:rFonts w:eastAsia="Times New Roman"/>
          <w:color w:val="000000"/>
          <w:lang w:eastAsia="fr-FR"/>
        </w:rPr>
      </w:pPr>
      <w:r w:rsidRPr="00013F70">
        <w:rPr>
          <w:rFonts w:eastAsia="Times New Roman"/>
          <w:color w:val="000000" w:themeColor="text1"/>
          <w:lang w:eastAsia="fr-FR"/>
        </w:rPr>
        <w:t>151.</w:t>
      </w:r>
      <w:r w:rsidRPr="00013F70">
        <w:rPr>
          <w:rFonts w:eastAsia="Times New Roman"/>
          <w:color w:val="000000" w:themeColor="text1"/>
          <w:lang w:eastAsia="fr-FR"/>
        </w:rPr>
        <w:tab/>
      </w:r>
      <w:r w:rsidR="00CF1461" w:rsidRPr="00E26090">
        <w:rPr>
          <w:rFonts w:eastAsia="Times New Roman"/>
          <w:lang w:eastAsia="fr-FR"/>
        </w:rPr>
        <w:t xml:space="preserve">Le </w:t>
      </w:r>
      <w:r w:rsidR="00F26D77" w:rsidRPr="00E26090">
        <w:rPr>
          <w:rFonts w:eastAsia="Times New Roman"/>
          <w:lang w:eastAsia="fr-FR"/>
        </w:rPr>
        <w:t xml:space="preserve">Code </w:t>
      </w:r>
      <w:r w:rsidR="00CF1461" w:rsidRPr="00E26090">
        <w:rPr>
          <w:rFonts w:eastAsia="Times New Roman"/>
          <w:lang w:eastAsia="fr-FR"/>
        </w:rPr>
        <w:t xml:space="preserve">de travail interdit toute discrimination au travail, basée sur la différence entre les hommes et les femmes, conformément à l’article 9 du </w:t>
      </w:r>
      <w:r w:rsidR="00F26D77" w:rsidRPr="00E26090">
        <w:rPr>
          <w:rFonts w:eastAsia="Times New Roman"/>
          <w:lang w:eastAsia="fr-FR"/>
        </w:rPr>
        <w:t xml:space="preserve">Code </w:t>
      </w:r>
      <w:r w:rsidR="00CF1461" w:rsidRPr="00E26090">
        <w:rPr>
          <w:rFonts w:eastAsia="Times New Roman"/>
          <w:lang w:eastAsia="fr-FR"/>
        </w:rPr>
        <w:t xml:space="preserve">de travail, ainsi que la </w:t>
      </w:r>
      <w:r w:rsidR="00CF1461" w:rsidRPr="00473B94">
        <w:rPr>
          <w:rFonts w:eastAsia="CharisSIL"/>
        </w:rPr>
        <w:t>sanction</w:t>
      </w:r>
      <w:r w:rsidR="00CF1461" w:rsidRPr="00E26090">
        <w:rPr>
          <w:rFonts w:eastAsia="Times New Roman"/>
          <w:lang w:eastAsia="fr-FR"/>
        </w:rPr>
        <w:t xml:space="preserve"> qui en découle prévue dans l’article 12 qui fixe l’amende entre 15</w:t>
      </w:r>
      <w:r w:rsidR="005648B1">
        <w:rPr>
          <w:rFonts w:eastAsia="Times New Roman"/>
          <w:lang w:eastAsia="fr-FR"/>
        </w:rPr>
        <w:t> </w:t>
      </w:r>
      <w:r w:rsidR="00CF1461" w:rsidRPr="00E26090">
        <w:rPr>
          <w:rFonts w:eastAsia="Times New Roman"/>
          <w:lang w:eastAsia="fr-FR"/>
        </w:rPr>
        <w:t>000 et 30</w:t>
      </w:r>
      <w:r w:rsidR="00F26D77">
        <w:rPr>
          <w:rFonts w:eastAsia="Times New Roman"/>
          <w:lang w:eastAsia="fr-FR"/>
        </w:rPr>
        <w:t> </w:t>
      </w:r>
      <w:r w:rsidR="00CF1461" w:rsidRPr="00E26090">
        <w:rPr>
          <w:rFonts w:eastAsia="Times New Roman"/>
          <w:lang w:eastAsia="fr-FR"/>
        </w:rPr>
        <w:t>000</w:t>
      </w:r>
      <w:r w:rsidR="00F26D77">
        <w:rPr>
          <w:rFonts w:eastAsia="Times New Roman"/>
          <w:lang w:eastAsia="fr-FR"/>
        </w:rPr>
        <w:t> </w:t>
      </w:r>
      <w:proofErr w:type="spellStart"/>
      <w:r w:rsidR="00CF1461" w:rsidRPr="00E26090">
        <w:rPr>
          <w:rFonts w:eastAsia="Times New Roman"/>
          <w:lang w:eastAsia="fr-FR"/>
        </w:rPr>
        <w:t>D</w:t>
      </w:r>
      <w:r w:rsidR="00CF1461">
        <w:rPr>
          <w:rFonts w:eastAsia="Times New Roman"/>
          <w:lang w:eastAsia="fr-FR"/>
        </w:rPr>
        <w:t>hs</w:t>
      </w:r>
      <w:proofErr w:type="spellEnd"/>
      <w:r w:rsidR="00CF1461" w:rsidRPr="00E26090">
        <w:rPr>
          <w:rFonts w:eastAsia="Times New Roman"/>
          <w:lang w:eastAsia="fr-FR"/>
        </w:rPr>
        <w:t xml:space="preserve">. </w:t>
      </w:r>
    </w:p>
    <w:p w14:paraId="3460D657" w14:textId="224EAFB9"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152.</w:t>
      </w:r>
      <w:r w:rsidRPr="00E26090">
        <w:rPr>
          <w:rFonts w:eastAsia="Times New Roman"/>
          <w:color w:val="000000" w:themeColor="text1"/>
          <w:lang w:eastAsia="fr-FR"/>
        </w:rPr>
        <w:tab/>
      </w:r>
      <w:r w:rsidR="00CF1461" w:rsidRPr="00E26090">
        <w:rPr>
          <w:rFonts w:eastAsia="Times New Roman"/>
          <w:lang w:eastAsia="fr-FR"/>
        </w:rPr>
        <w:t xml:space="preserve">Le caractère contraignant de l’application du Salaire minimum est édicté par le fait que le </w:t>
      </w:r>
      <w:r w:rsidR="00CF1461" w:rsidRPr="00473B94">
        <w:rPr>
          <w:rFonts w:eastAsia="CharisSIL"/>
        </w:rPr>
        <w:t>salaire</w:t>
      </w:r>
      <w:r w:rsidR="00CF1461" w:rsidRPr="00E26090">
        <w:rPr>
          <w:rFonts w:eastAsia="Times New Roman"/>
          <w:lang w:eastAsia="fr-FR"/>
        </w:rPr>
        <w:t xml:space="preserve"> minimal est d’ordre public et ne saurait être écarté ni par accord individuel même avec le consentement du salarié, ni par une convention collective (art</w:t>
      </w:r>
      <w:r w:rsidR="00CF1461">
        <w:rPr>
          <w:rFonts w:eastAsia="Times New Roman"/>
          <w:lang w:eastAsia="fr-FR"/>
        </w:rPr>
        <w:t xml:space="preserve">. </w:t>
      </w:r>
      <w:r w:rsidR="00CF1461" w:rsidRPr="00E26090">
        <w:rPr>
          <w:rFonts w:eastAsia="Times New Roman"/>
          <w:lang w:eastAsia="fr-FR"/>
        </w:rPr>
        <w:t xml:space="preserve">360 du </w:t>
      </w:r>
      <w:r w:rsidR="005648B1" w:rsidRPr="00E26090">
        <w:rPr>
          <w:rFonts w:eastAsia="Times New Roman"/>
          <w:lang w:eastAsia="fr-FR"/>
        </w:rPr>
        <w:t xml:space="preserve">Code </w:t>
      </w:r>
      <w:r w:rsidR="00CF1461" w:rsidRPr="00E26090">
        <w:rPr>
          <w:rFonts w:eastAsia="Times New Roman"/>
          <w:lang w:eastAsia="fr-FR"/>
        </w:rPr>
        <w:t>d</w:t>
      </w:r>
      <w:r w:rsidR="00CF1461">
        <w:rPr>
          <w:rFonts w:eastAsia="Times New Roman"/>
          <w:lang w:eastAsia="fr-FR"/>
        </w:rPr>
        <w:t>e</w:t>
      </w:r>
      <w:r w:rsidR="00CF1461" w:rsidRPr="00E26090">
        <w:rPr>
          <w:rFonts w:eastAsia="Times New Roman"/>
          <w:lang w:eastAsia="fr-FR"/>
        </w:rPr>
        <w:t xml:space="preserve"> travail). Le paiement d’un salaire inférieur au minimum est une contravention</w:t>
      </w:r>
      <w:r w:rsidR="00CF1461" w:rsidRPr="00E26090">
        <w:rPr>
          <w:rFonts w:ascii="Cambria" w:eastAsia="Times New Roman" w:hAnsi="Cambria" w:cs="Century Schoolbook"/>
          <w:lang w:eastAsia="ja-JP"/>
        </w:rPr>
        <w:t xml:space="preserve"> </w:t>
      </w:r>
      <w:r w:rsidR="00CF1461" w:rsidRPr="00E26090">
        <w:rPr>
          <w:rFonts w:eastAsia="Times New Roman"/>
          <w:lang w:eastAsia="fr-FR"/>
        </w:rPr>
        <w:t>punie d’une amende, qui est appliquée autant de fois qu’il y a de travailleurs rémunérés dans des conditions illégales.</w:t>
      </w:r>
    </w:p>
    <w:p w14:paraId="020B8B58" w14:textId="5B172762"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153.</w:t>
      </w:r>
      <w:r w:rsidRPr="00E26090">
        <w:rPr>
          <w:rFonts w:eastAsia="Times New Roman"/>
          <w:color w:val="000000" w:themeColor="text1"/>
          <w:lang w:eastAsia="fr-FR"/>
        </w:rPr>
        <w:tab/>
      </w:r>
      <w:r w:rsidR="00CF1461" w:rsidRPr="00E26090">
        <w:rPr>
          <w:rFonts w:eastAsia="Times New Roman"/>
          <w:lang w:eastAsia="fr-FR"/>
        </w:rPr>
        <w:t xml:space="preserve">Les négociations directes avec les partenaires économiques et sociaux, dans le cadre du dialogue social sous l’égide du gouvernement, ont accéléré la fréquence des </w:t>
      </w:r>
      <w:r w:rsidR="00CF1461" w:rsidRPr="00473B94">
        <w:rPr>
          <w:rFonts w:eastAsia="CharisSIL"/>
        </w:rPr>
        <w:t>revalorisations</w:t>
      </w:r>
      <w:r w:rsidR="00CF1461" w:rsidRPr="00E26090">
        <w:rPr>
          <w:rFonts w:eastAsia="Times New Roman"/>
          <w:lang w:eastAsia="fr-FR"/>
        </w:rPr>
        <w:t xml:space="preserve"> du salaire minimum et ont donné naissance à </w:t>
      </w:r>
      <w:r w:rsidR="00CF1461">
        <w:rPr>
          <w:rFonts w:eastAsia="Times New Roman"/>
          <w:lang w:eastAsia="fr-FR"/>
        </w:rPr>
        <w:t>cinq</w:t>
      </w:r>
      <w:r w:rsidR="00CF1461" w:rsidRPr="00E26090">
        <w:rPr>
          <w:rFonts w:eastAsia="Times New Roman"/>
          <w:lang w:eastAsia="fr-FR"/>
        </w:rPr>
        <w:t xml:space="preserve"> accords signés le 1</w:t>
      </w:r>
      <w:r w:rsidR="00CF1461" w:rsidRPr="002123B0">
        <w:rPr>
          <w:rFonts w:eastAsia="Times New Roman"/>
          <w:vertAlign w:val="superscript"/>
          <w:lang w:eastAsia="fr-FR"/>
        </w:rPr>
        <w:t>er</w:t>
      </w:r>
      <w:r w:rsidR="00CF1461">
        <w:rPr>
          <w:rFonts w:eastAsia="Times New Roman"/>
          <w:lang w:eastAsia="fr-FR"/>
        </w:rPr>
        <w:t xml:space="preserve"> </w:t>
      </w:r>
      <w:r w:rsidR="00CF1461" w:rsidRPr="00E26090">
        <w:rPr>
          <w:rFonts w:eastAsia="Times New Roman"/>
          <w:lang w:eastAsia="fr-FR"/>
        </w:rPr>
        <w:t>août 1996, le 30 avril 2001, le 30 avril 2003</w:t>
      </w:r>
      <w:r w:rsidR="00CF1461">
        <w:rPr>
          <w:rFonts w:eastAsia="Times New Roman"/>
          <w:lang w:eastAsia="fr-FR"/>
        </w:rPr>
        <w:t xml:space="preserve">, </w:t>
      </w:r>
      <w:r w:rsidR="00CF1461" w:rsidRPr="00E26090">
        <w:rPr>
          <w:rFonts w:eastAsia="Times New Roman"/>
          <w:lang w:eastAsia="fr-FR"/>
        </w:rPr>
        <w:t>le 26 avril 2011</w:t>
      </w:r>
      <w:r w:rsidR="00CF1461">
        <w:rPr>
          <w:rFonts w:eastAsia="Times New Roman"/>
          <w:lang w:eastAsia="fr-FR"/>
        </w:rPr>
        <w:t xml:space="preserve"> et le 25 avril 2019</w:t>
      </w:r>
      <w:r w:rsidR="00CF1461" w:rsidRPr="00E26090">
        <w:rPr>
          <w:rFonts w:eastAsia="Times New Roman"/>
          <w:lang w:eastAsia="fr-FR"/>
        </w:rPr>
        <w:t>.</w:t>
      </w:r>
    </w:p>
    <w:p w14:paraId="0FED6A3E" w14:textId="38817FF8"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154.</w:t>
      </w:r>
      <w:r>
        <w:rPr>
          <w:rFonts w:eastAsia="Times New Roman"/>
          <w:color w:val="000000" w:themeColor="text1"/>
          <w:lang w:eastAsia="fr-FR"/>
        </w:rPr>
        <w:tab/>
      </w:r>
      <w:r w:rsidR="00CF1461">
        <w:rPr>
          <w:rFonts w:eastAsia="Times New Roman"/>
          <w:lang w:eastAsia="fr-FR"/>
        </w:rPr>
        <w:t xml:space="preserve">Le dernier </w:t>
      </w:r>
      <w:r w:rsidR="00CF1461" w:rsidRPr="004169CC">
        <w:rPr>
          <w:rFonts w:eastAsia="Times New Roman"/>
          <w:lang w:eastAsia="fr-FR"/>
        </w:rPr>
        <w:t>accord social</w:t>
      </w:r>
      <w:r w:rsidR="00CF1461" w:rsidRPr="003C06D3">
        <w:rPr>
          <w:rStyle w:val="Appelnotedebasdep"/>
        </w:rPr>
        <w:footnoteReference w:id="56"/>
      </w:r>
      <w:r w:rsidR="00CF1461" w:rsidRPr="004169CC">
        <w:rPr>
          <w:rFonts w:eastAsia="Times New Roman"/>
          <w:lang w:eastAsia="fr-FR"/>
        </w:rPr>
        <w:t xml:space="preserve"> prévoit une série de mesures importante visant essentiellement à renforcer la protection sociale, à améliorer les libertés syndicales, à</w:t>
      </w:r>
      <w:r w:rsidR="005648B1">
        <w:rPr>
          <w:rFonts w:eastAsia="Times New Roman"/>
          <w:lang w:eastAsia="fr-FR"/>
        </w:rPr>
        <w:t> </w:t>
      </w:r>
      <w:r w:rsidR="00CF1461" w:rsidRPr="004169CC">
        <w:rPr>
          <w:rFonts w:eastAsia="Times New Roman"/>
          <w:lang w:eastAsia="fr-FR"/>
        </w:rPr>
        <w:t>institutionnaliser le dialogue social, à œuvrer à la mise en place d</w:t>
      </w:r>
      <w:r w:rsidR="00CD5A97">
        <w:rPr>
          <w:rFonts w:eastAsia="Times New Roman"/>
          <w:lang w:eastAsia="fr-FR"/>
        </w:rPr>
        <w:t>’</w:t>
      </w:r>
      <w:r w:rsidR="00CF1461" w:rsidRPr="004169CC">
        <w:rPr>
          <w:rFonts w:eastAsia="Times New Roman"/>
          <w:lang w:eastAsia="fr-FR"/>
        </w:rPr>
        <w:t>un dialogue social permettant de réaliser la cohésion et la paix sociale, en plus d</w:t>
      </w:r>
      <w:r w:rsidR="00CD5A97">
        <w:rPr>
          <w:rFonts w:eastAsia="Times New Roman"/>
          <w:lang w:eastAsia="fr-FR"/>
        </w:rPr>
        <w:t>’</w:t>
      </w:r>
      <w:r w:rsidR="00CF1461" w:rsidRPr="004169CC">
        <w:rPr>
          <w:rFonts w:eastAsia="Times New Roman"/>
          <w:lang w:eastAsia="fr-FR"/>
        </w:rPr>
        <w:t>améliorer le pouvoir d</w:t>
      </w:r>
      <w:r w:rsidR="00CD5A97">
        <w:rPr>
          <w:rFonts w:eastAsia="Times New Roman"/>
          <w:lang w:eastAsia="fr-FR"/>
        </w:rPr>
        <w:t>’</w:t>
      </w:r>
      <w:r w:rsidR="00CF1461" w:rsidRPr="004169CC">
        <w:rPr>
          <w:rFonts w:eastAsia="Times New Roman"/>
          <w:lang w:eastAsia="fr-FR"/>
        </w:rPr>
        <w:t>achat des fonctionnaires et salariés à travers une augmentation générale des salaires des fonctionnaires des administrations publiques, des collectivités territoriales et des employés des institutions publiques à caractère administratif.</w:t>
      </w:r>
      <w:r w:rsidR="00CF1461">
        <w:rPr>
          <w:rFonts w:eastAsia="Times New Roman"/>
          <w:lang w:eastAsia="fr-FR"/>
        </w:rPr>
        <w:t xml:space="preserve"> </w:t>
      </w:r>
    </w:p>
    <w:p w14:paraId="221173A4" w14:textId="528EC96B" w:rsidR="00CF1461" w:rsidRPr="004169CC" w:rsidRDefault="004B5A1A" w:rsidP="004B5A1A">
      <w:pPr>
        <w:pStyle w:val="SingleTxtG"/>
        <w:tabs>
          <w:tab w:val="clear" w:pos="1701"/>
          <w:tab w:val="clear" w:pos="2268"/>
          <w:tab w:val="clear" w:pos="2835"/>
        </w:tabs>
        <w:rPr>
          <w:rFonts w:eastAsia="Times New Roman"/>
          <w:lang w:eastAsia="fr-FR"/>
        </w:rPr>
      </w:pPr>
      <w:r w:rsidRPr="004169CC">
        <w:rPr>
          <w:rFonts w:eastAsia="Times New Roman"/>
          <w:color w:val="000000" w:themeColor="text1"/>
          <w:lang w:eastAsia="fr-FR"/>
        </w:rPr>
        <w:t>155.</w:t>
      </w:r>
      <w:r w:rsidRPr="004169CC">
        <w:rPr>
          <w:rFonts w:eastAsia="Times New Roman"/>
          <w:color w:val="000000" w:themeColor="text1"/>
          <w:lang w:eastAsia="fr-FR"/>
        </w:rPr>
        <w:tab/>
      </w:r>
      <w:r w:rsidR="00A5588D">
        <w:rPr>
          <w:rFonts w:eastAsia="Times New Roman"/>
          <w:lang w:eastAsia="fr-FR"/>
        </w:rPr>
        <w:t>À</w:t>
      </w:r>
      <w:r w:rsidR="00CF1461" w:rsidRPr="004169CC">
        <w:rPr>
          <w:rFonts w:eastAsia="Times New Roman"/>
          <w:lang w:eastAsia="fr-FR"/>
        </w:rPr>
        <w:t xml:space="preserve"> cet effet, le gouvernement augmente de 10</w:t>
      </w:r>
      <w:r w:rsidR="00372939">
        <w:rPr>
          <w:rFonts w:eastAsia="Times New Roman"/>
          <w:lang w:eastAsia="fr-FR"/>
        </w:rPr>
        <w:t> %</w:t>
      </w:r>
      <w:r w:rsidR="00CF1461" w:rsidRPr="004169CC">
        <w:rPr>
          <w:rFonts w:eastAsia="Times New Roman"/>
          <w:lang w:eastAsia="fr-FR"/>
        </w:rPr>
        <w:t xml:space="preserve"> le Salaire minimum interprofessionnel garanti (SMIG) et le salaire minimum agricole garanti (SMAG) sur 2 tranches. Le SMIG horaire étant depuis 2015 de 13,46 </w:t>
      </w:r>
      <w:proofErr w:type="spellStart"/>
      <w:r w:rsidR="00CF1461">
        <w:rPr>
          <w:rFonts w:eastAsia="Times New Roman"/>
          <w:lang w:eastAsia="fr-FR"/>
        </w:rPr>
        <w:t>Dhs</w:t>
      </w:r>
      <w:proofErr w:type="spellEnd"/>
      <w:r w:rsidR="00CF1461" w:rsidRPr="004169CC">
        <w:rPr>
          <w:rFonts w:eastAsia="Times New Roman"/>
          <w:lang w:eastAsia="fr-FR"/>
        </w:rPr>
        <w:t xml:space="preserve"> (environ 2</w:t>
      </w:r>
      <w:r w:rsidR="005648B1">
        <w:rPr>
          <w:rFonts w:eastAsia="Times New Roman"/>
          <w:lang w:eastAsia="fr-FR"/>
        </w:rPr>
        <w:t> </w:t>
      </w:r>
      <w:r w:rsidR="00CF1461" w:rsidRPr="004169CC">
        <w:rPr>
          <w:rFonts w:eastAsia="Times New Roman"/>
          <w:lang w:eastAsia="fr-FR"/>
        </w:rPr>
        <w:t xml:space="preserve">500 </w:t>
      </w:r>
      <w:proofErr w:type="spellStart"/>
      <w:r w:rsidR="00CF1461">
        <w:rPr>
          <w:rFonts w:eastAsia="Times New Roman"/>
          <w:lang w:eastAsia="fr-FR"/>
        </w:rPr>
        <w:t>Dhs</w:t>
      </w:r>
      <w:proofErr w:type="spellEnd"/>
      <w:r w:rsidR="00CF1461" w:rsidRPr="004169CC">
        <w:rPr>
          <w:rFonts w:eastAsia="Times New Roman"/>
          <w:lang w:eastAsia="fr-FR"/>
        </w:rPr>
        <w:t xml:space="preserve"> par mois) et le SMAG </w:t>
      </w:r>
      <w:r w:rsidR="00CF1461" w:rsidRPr="00473B94">
        <w:rPr>
          <w:rFonts w:eastAsia="CharisSIL"/>
        </w:rPr>
        <w:t>journalier</w:t>
      </w:r>
      <w:r w:rsidR="00CF1461" w:rsidRPr="004169CC">
        <w:rPr>
          <w:rFonts w:eastAsia="Times New Roman"/>
          <w:lang w:eastAsia="fr-FR"/>
        </w:rPr>
        <w:t xml:space="preserve"> de 69,73 </w:t>
      </w:r>
      <w:proofErr w:type="spellStart"/>
      <w:r w:rsidR="00CF1461">
        <w:rPr>
          <w:rFonts w:eastAsia="Times New Roman"/>
          <w:lang w:eastAsia="fr-FR"/>
        </w:rPr>
        <w:t>Dhs</w:t>
      </w:r>
      <w:proofErr w:type="spellEnd"/>
      <w:r w:rsidR="00CF1461" w:rsidRPr="004169CC">
        <w:rPr>
          <w:rFonts w:eastAsia="Times New Roman"/>
          <w:lang w:eastAsia="fr-FR"/>
        </w:rPr>
        <w:t xml:space="preserve"> (environ 1</w:t>
      </w:r>
      <w:r w:rsidR="005648B1">
        <w:rPr>
          <w:rFonts w:eastAsia="Times New Roman"/>
          <w:lang w:eastAsia="fr-FR"/>
        </w:rPr>
        <w:t> </w:t>
      </w:r>
      <w:r w:rsidR="00CF1461" w:rsidRPr="004169CC">
        <w:rPr>
          <w:rFonts w:eastAsia="Times New Roman"/>
          <w:lang w:eastAsia="fr-FR"/>
        </w:rPr>
        <w:t xml:space="preserve">800 </w:t>
      </w:r>
      <w:proofErr w:type="spellStart"/>
      <w:r w:rsidR="00CF1461">
        <w:rPr>
          <w:rFonts w:eastAsia="Times New Roman"/>
          <w:lang w:eastAsia="fr-FR"/>
        </w:rPr>
        <w:t>Dhs</w:t>
      </w:r>
      <w:proofErr w:type="spellEnd"/>
      <w:r w:rsidR="00CF1461" w:rsidRPr="004169CC">
        <w:rPr>
          <w:rFonts w:eastAsia="Times New Roman"/>
          <w:lang w:eastAsia="fr-FR"/>
        </w:rPr>
        <w:t xml:space="preserve"> par mois). Pour le secteur privé, l</w:t>
      </w:r>
      <w:r w:rsidR="00CD5A97">
        <w:rPr>
          <w:rFonts w:eastAsia="Times New Roman"/>
          <w:lang w:eastAsia="fr-FR"/>
        </w:rPr>
        <w:t>’</w:t>
      </w:r>
      <w:r w:rsidR="00CF1461" w:rsidRPr="004169CC">
        <w:rPr>
          <w:rFonts w:eastAsia="Times New Roman"/>
          <w:lang w:eastAsia="fr-FR"/>
        </w:rPr>
        <w:t>accord prévoit une hausse du SMIG de 10</w:t>
      </w:r>
      <w:r w:rsidR="00372939">
        <w:rPr>
          <w:rFonts w:eastAsia="Times New Roman"/>
          <w:lang w:eastAsia="fr-FR"/>
        </w:rPr>
        <w:t> %</w:t>
      </w:r>
      <w:r w:rsidR="00CF1461" w:rsidRPr="004169CC">
        <w:rPr>
          <w:rFonts w:eastAsia="Times New Roman"/>
          <w:lang w:eastAsia="fr-FR"/>
        </w:rPr>
        <w:t xml:space="preserve"> sur deux ans, avec 5</w:t>
      </w:r>
      <w:r w:rsidR="00372939">
        <w:rPr>
          <w:rFonts w:eastAsia="Times New Roman"/>
          <w:lang w:eastAsia="fr-FR"/>
        </w:rPr>
        <w:t> %</w:t>
      </w:r>
      <w:r w:rsidR="00CF1461" w:rsidRPr="004169CC">
        <w:rPr>
          <w:rFonts w:eastAsia="Times New Roman"/>
          <w:lang w:eastAsia="fr-FR"/>
        </w:rPr>
        <w:t xml:space="preserve"> à partir de juillet 2019 et 5</w:t>
      </w:r>
      <w:r w:rsidR="00372939">
        <w:rPr>
          <w:rFonts w:eastAsia="Times New Roman"/>
          <w:lang w:eastAsia="fr-FR"/>
        </w:rPr>
        <w:t> %</w:t>
      </w:r>
      <w:r w:rsidR="00CF1461" w:rsidRPr="004169CC">
        <w:rPr>
          <w:rFonts w:eastAsia="Times New Roman"/>
          <w:lang w:eastAsia="fr-FR"/>
        </w:rPr>
        <w:t xml:space="preserve"> en juillet 2020. Outre une augmentation des allocations familiales de 100 </w:t>
      </w:r>
      <w:proofErr w:type="spellStart"/>
      <w:r w:rsidR="00CF1461">
        <w:rPr>
          <w:rFonts w:eastAsia="Times New Roman"/>
          <w:lang w:eastAsia="fr-FR"/>
        </w:rPr>
        <w:t>Dhs</w:t>
      </w:r>
      <w:proofErr w:type="spellEnd"/>
      <w:r w:rsidR="00CF1461" w:rsidRPr="004169CC">
        <w:rPr>
          <w:rFonts w:eastAsia="Times New Roman"/>
          <w:lang w:eastAsia="fr-FR"/>
        </w:rPr>
        <w:t xml:space="preserve"> pour chaque enfant dans la limite de trois enfants qui sera versée à partir du 1</w:t>
      </w:r>
      <w:r w:rsidR="00CF1461" w:rsidRPr="004169CC">
        <w:rPr>
          <w:rFonts w:eastAsia="Times New Roman"/>
          <w:vertAlign w:val="superscript"/>
          <w:lang w:eastAsia="fr-FR"/>
        </w:rPr>
        <w:t>er</w:t>
      </w:r>
      <w:r w:rsidR="00CF1461">
        <w:rPr>
          <w:rFonts w:eastAsia="Times New Roman"/>
          <w:lang w:eastAsia="fr-FR"/>
        </w:rPr>
        <w:t xml:space="preserve"> </w:t>
      </w:r>
      <w:r w:rsidR="00CF1461" w:rsidRPr="004169CC">
        <w:rPr>
          <w:rFonts w:eastAsia="Times New Roman"/>
          <w:lang w:eastAsia="fr-FR"/>
        </w:rPr>
        <w:t>juillet 2019.</w:t>
      </w:r>
    </w:p>
    <w:p w14:paraId="128E1E04" w14:textId="42E4FDB4"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156.</w:t>
      </w:r>
      <w:r w:rsidRPr="00E26090">
        <w:rPr>
          <w:rFonts w:eastAsia="Times New Roman"/>
          <w:color w:val="000000" w:themeColor="text1"/>
          <w:lang w:eastAsia="fr-FR"/>
        </w:rPr>
        <w:tab/>
      </w:r>
      <w:r w:rsidR="00CF1461" w:rsidRPr="004169CC">
        <w:rPr>
          <w:rFonts w:eastAsia="Times New Roman"/>
          <w:lang w:eastAsia="fr-FR"/>
        </w:rPr>
        <w:t>Pour les fonctionnaires, le gouvernement propose une augmentation couvrant toutes les échelles. Il s</w:t>
      </w:r>
      <w:r w:rsidR="00CD5A97">
        <w:rPr>
          <w:rFonts w:eastAsia="Times New Roman"/>
          <w:lang w:eastAsia="fr-FR"/>
        </w:rPr>
        <w:t>’</w:t>
      </w:r>
      <w:r w:rsidR="00CF1461" w:rsidRPr="004169CC">
        <w:rPr>
          <w:rFonts w:eastAsia="Times New Roman"/>
          <w:lang w:eastAsia="fr-FR"/>
        </w:rPr>
        <w:t>agit d</w:t>
      </w:r>
      <w:r w:rsidR="00CD5A97">
        <w:rPr>
          <w:rFonts w:eastAsia="Times New Roman"/>
          <w:lang w:eastAsia="fr-FR"/>
        </w:rPr>
        <w:t>’</w:t>
      </w:r>
      <w:r w:rsidR="00CF1461" w:rsidRPr="004169CC">
        <w:rPr>
          <w:rFonts w:eastAsia="Times New Roman"/>
          <w:lang w:eastAsia="fr-FR"/>
        </w:rPr>
        <w:t>une</w:t>
      </w:r>
      <w:r w:rsidR="00CF1461">
        <w:rPr>
          <w:rFonts w:eastAsia="Times New Roman"/>
          <w:lang w:eastAsia="fr-FR"/>
        </w:rPr>
        <w:t xml:space="preserve"> augmentation mensuelle de 500 </w:t>
      </w:r>
      <w:proofErr w:type="spellStart"/>
      <w:r w:rsidR="00CF1461">
        <w:rPr>
          <w:rFonts w:eastAsia="Times New Roman"/>
          <w:lang w:eastAsia="fr-FR"/>
        </w:rPr>
        <w:t>Dhs</w:t>
      </w:r>
      <w:proofErr w:type="spellEnd"/>
      <w:r w:rsidR="00CF1461" w:rsidRPr="004169CC">
        <w:rPr>
          <w:rFonts w:eastAsia="Times New Roman"/>
          <w:lang w:eastAsia="fr-FR"/>
        </w:rPr>
        <w:t xml:space="preserve"> net pour les échelles 6, 7, 8, 9 et pour les échelons de 1 à 5 de l</w:t>
      </w:r>
      <w:r w:rsidR="00CD5A97">
        <w:rPr>
          <w:rFonts w:eastAsia="Times New Roman"/>
          <w:lang w:eastAsia="fr-FR"/>
        </w:rPr>
        <w:t>’</w:t>
      </w:r>
      <w:r w:rsidR="00CF1461" w:rsidRPr="004169CC">
        <w:rPr>
          <w:rFonts w:eastAsia="Times New Roman"/>
          <w:lang w:eastAsia="fr-FR"/>
        </w:rPr>
        <w:t xml:space="preserve">échelle 10. Cette hausse consiste à verser 200 </w:t>
      </w:r>
      <w:proofErr w:type="spellStart"/>
      <w:r w:rsidR="00CF1461">
        <w:rPr>
          <w:rFonts w:eastAsia="Times New Roman"/>
          <w:lang w:eastAsia="fr-FR"/>
        </w:rPr>
        <w:t>Dhs</w:t>
      </w:r>
      <w:proofErr w:type="spellEnd"/>
      <w:r w:rsidR="00CF1461" w:rsidRPr="004169CC">
        <w:rPr>
          <w:rFonts w:eastAsia="Times New Roman"/>
          <w:lang w:eastAsia="fr-FR"/>
        </w:rPr>
        <w:t xml:space="preserve"> à partir du 1</w:t>
      </w:r>
      <w:r w:rsidR="00CF1461" w:rsidRPr="00013F70">
        <w:rPr>
          <w:rFonts w:eastAsia="Times New Roman"/>
          <w:vertAlign w:val="superscript"/>
          <w:lang w:eastAsia="fr-FR"/>
        </w:rPr>
        <w:t>er</w:t>
      </w:r>
      <w:r w:rsidR="005648B1">
        <w:rPr>
          <w:rFonts w:eastAsia="Times New Roman"/>
          <w:lang w:eastAsia="fr-FR"/>
        </w:rPr>
        <w:t xml:space="preserve"> </w:t>
      </w:r>
      <w:r w:rsidR="00CF1461" w:rsidRPr="004169CC">
        <w:rPr>
          <w:rFonts w:eastAsia="Times New Roman"/>
          <w:lang w:eastAsia="fr-FR"/>
        </w:rPr>
        <w:t xml:space="preserve">mai 2019, 200 </w:t>
      </w:r>
      <w:proofErr w:type="spellStart"/>
      <w:r w:rsidR="00CF1461">
        <w:rPr>
          <w:rFonts w:eastAsia="Times New Roman"/>
          <w:lang w:eastAsia="fr-FR"/>
        </w:rPr>
        <w:t>Dhs</w:t>
      </w:r>
      <w:proofErr w:type="spellEnd"/>
      <w:r w:rsidR="00CF1461" w:rsidRPr="004169CC">
        <w:rPr>
          <w:rFonts w:eastAsia="Times New Roman"/>
          <w:lang w:eastAsia="fr-FR"/>
        </w:rPr>
        <w:t xml:space="preserve"> en janvier 2020, et 100 dirhams en janvier 2021. L</w:t>
      </w:r>
      <w:r w:rsidR="00CD5A97">
        <w:rPr>
          <w:rFonts w:eastAsia="Times New Roman"/>
          <w:lang w:eastAsia="fr-FR"/>
        </w:rPr>
        <w:t>’</w:t>
      </w:r>
      <w:r w:rsidR="00CF1461" w:rsidRPr="004169CC">
        <w:rPr>
          <w:rFonts w:eastAsia="Times New Roman"/>
          <w:lang w:eastAsia="fr-FR"/>
        </w:rPr>
        <w:t xml:space="preserve">accord prévoit </w:t>
      </w:r>
      <w:r w:rsidR="00CF1461" w:rsidRPr="004169CC">
        <w:rPr>
          <w:rFonts w:eastAsia="Times New Roman"/>
          <w:lang w:eastAsia="fr-FR"/>
        </w:rPr>
        <w:lastRenderedPageBreak/>
        <w:t xml:space="preserve">également une hausse nette de 400 </w:t>
      </w:r>
      <w:proofErr w:type="spellStart"/>
      <w:r w:rsidR="00CF1461">
        <w:rPr>
          <w:rFonts w:eastAsia="Times New Roman"/>
          <w:lang w:eastAsia="fr-FR"/>
        </w:rPr>
        <w:t>Dhs</w:t>
      </w:r>
      <w:proofErr w:type="spellEnd"/>
      <w:r w:rsidR="00CF1461" w:rsidRPr="004169CC">
        <w:rPr>
          <w:rFonts w:eastAsia="Times New Roman"/>
          <w:lang w:eastAsia="fr-FR"/>
        </w:rPr>
        <w:t xml:space="preserve"> pour les </w:t>
      </w:r>
      <w:r w:rsidR="00CF1461" w:rsidRPr="00473B94">
        <w:rPr>
          <w:rFonts w:eastAsia="CharisSIL"/>
        </w:rPr>
        <w:t>fonctionnaires</w:t>
      </w:r>
      <w:r w:rsidR="00CF1461" w:rsidRPr="004169CC">
        <w:rPr>
          <w:rFonts w:eastAsia="Times New Roman"/>
          <w:lang w:eastAsia="fr-FR"/>
        </w:rPr>
        <w:t xml:space="preserve"> avec l</w:t>
      </w:r>
      <w:r w:rsidR="00CD5A97">
        <w:rPr>
          <w:rFonts w:eastAsia="Times New Roman"/>
          <w:lang w:eastAsia="fr-FR"/>
        </w:rPr>
        <w:t>’</w:t>
      </w:r>
      <w:r w:rsidR="00CF1461" w:rsidRPr="004169CC">
        <w:rPr>
          <w:rFonts w:eastAsia="Times New Roman"/>
          <w:lang w:eastAsia="fr-FR"/>
        </w:rPr>
        <w:t>échelon 6 et plus de l</w:t>
      </w:r>
      <w:r w:rsidR="00CD5A97">
        <w:rPr>
          <w:rFonts w:eastAsia="Times New Roman"/>
          <w:lang w:eastAsia="fr-FR"/>
        </w:rPr>
        <w:t>’</w:t>
      </w:r>
      <w:r w:rsidR="00CF1461" w:rsidRPr="004169CC">
        <w:rPr>
          <w:rFonts w:eastAsia="Times New Roman"/>
          <w:lang w:eastAsia="fr-FR"/>
        </w:rPr>
        <w:t xml:space="preserve">échelle 10. Cette hausse sera versée sur la base de 200 </w:t>
      </w:r>
      <w:proofErr w:type="spellStart"/>
      <w:r w:rsidR="00CF1461">
        <w:rPr>
          <w:rFonts w:eastAsia="Times New Roman"/>
          <w:lang w:eastAsia="fr-FR"/>
        </w:rPr>
        <w:t>Dhs</w:t>
      </w:r>
      <w:proofErr w:type="spellEnd"/>
      <w:r w:rsidR="00CF1461" w:rsidRPr="004169CC">
        <w:rPr>
          <w:rFonts w:eastAsia="Times New Roman"/>
          <w:lang w:eastAsia="fr-FR"/>
        </w:rPr>
        <w:t xml:space="preserve"> à partir du 1</w:t>
      </w:r>
      <w:r w:rsidR="00CF1461" w:rsidRPr="00F54703">
        <w:rPr>
          <w:rFonts w:eastAsia="Times New Roman"/>
          <w:vertAlign w:val="superscript"/>
          <w:lang w:eastAsia="fr-FR"/>
        </w:rPr>
        <w:t>er</w:t>
      </w:r>
      <w:r w:rsidR="00CF1461">
        <w:rPr>
          <w:rFonts w:eastAsia="Times New Roman"/>
          <w:lang w:eastAsia="fr-FR"/>
        </w:rPr>
        <w:t xml:space="preserve"> </w:t>
      </w:r>
      <w:r w:rsidR="00CF1461" w:rsidRPr="004169CC">
        <w:rPr>
          <w:rFonts w:eastAsia="Times New Roman"/>
          <w:lang w:eastAsia="fr-FR"/>
        </w:rPr>
        <w:t>mai 2019, de 100</w:t>
      </w:r>
      <w:r w:rsidR="005648B1">
        <w:rPr>
          <w:rFonts w:eastAsia="Times New Roman"/>
          <w:lang w:eastAsia="fr-FR"/>
        </w:rPr>
        <w:t> </w:t>
      </w:r>
      <w:proofErr w:type="spellStart"/>
      <w:r w:rsidR="00CF1461">
        <w:rPr>
          <w:rFonts w:eastAsia="Times New Roman"/>
          <w:lang w:eastAsia="fr-FR"/>
        </w:rPr>
        <w:t>Dhs</w:t>
      </w:r>
      <w:proofErr w:type="spellEnd"/>
      <w:r w:rsidR="00CF1461" w:rsidRPr="004169CC">
        <w:rPr>
          <w:rFonts w:eastAsia="Times New Roman"/>
          <w:lang w:eastAsia="fr-FR"/>
        </w:rPr>
        <w:t xml:space="preserve"> en janvier 2020 et de 100 </w:t>
      </w:r>
      <w:proofErr w:type="spellStart"/>
      <w:r w:rsidR="00CF1461">
        <w:rPr>
          <w:rFonts w:eastAsia="Times New Roman"/>
          <w:lang w:eastAsia="fr-FR"/>
        </w:rPr>
        <w:t>Dhs</w:t>
      </w:r>
      <w:proofErr w:type="spellEnd"/>
      <w:r w:rsidR="00CF1461" w:rsidRPr="004169CC">
        <w:rPr>
          <w:rFonts w:eastAsia="Times New Roman"/>
          <w:lang w:eastAsia="fr-FR"/>
        </w:rPr>
        <w:t xml:space="preserve"> en janvier 2021. Outre une augmentation des allocations familiales de 100 </w:t>
      </w:r>
      <w:proofErr w:type="spellStart"/>
      <w:r w:rsidR="00CF1461">
        <w:rPr>
          <w:rFonts w:eastAsia="Times New Roman"/>
          <w:lang w:eastAsia="fr-FR"/>
        </w:rPr>
        <w:t>Dhs</w:t>
      </w:r>
      <w:proofErr w:type="spellEnd"/>
      <w:r w:rsidR="00CF1461" w:rsidRPr="004169CC">
        <w:rPr>
          <w:rFonts w:eastAsia="Times New Roman"/>
          <w:lang w:eastAsia="fr-FR"/>
        </w:rPr>
        <w:t xml:space="preserve"> pour chaque enfant dans la limite de trois enfants qui sera versée à partir du 1</w:t>
      </w:r>
      <w:r w:rsidR="00CF1461" w:rsidRPr="004169CC">
        <w:rPr>
          <w:rFonts w:eastAsia="Times New Roman"/>
          <w:vertAlign w:val="superscript"/>
          <w:lang w:eastAsia="fr-FR"/>
        </w:rPr>
        <w:t>er</w:t>
      </w:r>
      <w:r w:rsidR="00CF1461">
        <w:rPr>
          <w:rFonts w:eastAsia="Times New Roman"/>
          <w:lang w:eastAsia="fr-FR"/>
        </w:rPr>
        <w:t xml:space="preserve"> </w:t>
      </w:r>
      <w:r w:rsidR="00CF1461" w:rsidRPr="004169CC">
        <w:rPr>
          <w:rFonts w:eastAsia="Times New Roman"/>
          <w:lang w:eastAsia="fr-FR"/>
        </w:rPr>
        <w:t>juillet 2019.</w:t>
      </w:r>
    </w:p>
    <w:p w14:paraId="71224535" w14:textId="5425A2D7" w:rsidR="00CF1461" w:rsidRPr="00272F61" w:rsidRDefault="004B5A1A" w:rsidP="004B5A1A">
      <w:pPr>
        <w:pStyle w:val="SingleTxtG"/>
        <w:tabs>
          <w:tab w:val="clear" w:pos="1701"/>
          <w:tab w:val="clear" w:pos="2268"/>
          <w:tab w:val="clear" w:pos="2835"/>
        </w:tabs>
        <w:rPr>
          <w:rFonts w:eastAsia="Times New Roman"/>
          <w:lang w:eastAsia="fr-FR"/>
        </w:rPr>
      </w:pPr>
      <w:r w:rsidRPr="00272F61">
        <w:rPr>
          <w:rFonts w:eastAsia="Times New Roman"/>
          <w:color w:val="000000" w:themeColor="text1"/>
          <w:lang w:eastAsia="fr-FR"/>
        </w:rPr>
        <w:t>157.</w:t>
      </w:r>
      <w:r w:rsidRPr="00272F61">
        <w:rPr>
          <w:rFonts w:eastAsia="Times New Roman"/>
          <w:color w:val="000000" w:themeColor="text1"/>
          <w:lang w:eastAsia="fr-FR"/>
        </w:rPr>
        <w:tab/>
      </w:r>
      <w:r w:rsidR="00CF1461">
        <w:rPr>
          <w:rFonts w:eastAsia="Times New Roman"/>
          <w:lang w:eastAsia="fr-FR"/>
        </w:rPr>
        <w:t>A</w:t>
      </w:r>
      <w:r w:rsidR="00CF1461" w:rsidRPr="00272F61">
        <w:rPr>
          <w:rFonts w:eastAsia="Times New Roman"/>
          <w:lang w:eastAsia="fr-FR"/>
        </w:rPr>
        <w:t>u titre de l’année 2018</w:t>
      </w:r>
      <w:r w:rsidR="00CF1461">
        <w:rPr>
          <w:rFonts w:eastAsia="Times New Roman"/>
          <w:lang w:eastAsia="fr-FR"/>
        </w:rPr>
        <w:t>, l</w:t>
      </w:r>
      <w:r w:rsidR="00CF1461" w:rsidRPr="00272F61">
        <w:rPr>
          <w:rFonts w:eastAsia="Times New Roman"/>
          <w:lang w:eastAsia="fr-FR"/>
        </w:rPr>
        <w:t>es agents chargés de l’inspection du travail ont effectué 34</w:t>
      </w:r>
      <w:r w:rsidR="005648B1">
        <w:rPr>
          <w:rFonts w:eastAsia="Times New Roman"/>
          <w:lang w:eastAsia="fr-FR"/>
        </w:rPr>
        <w:t> </w:t>
      </w:r>
      <w:r w:rsidR="00CF1461" w:rsidRPr="00272F61">
        <w:rPr>
          <w:rFonts w:eastAsia="Times New Roman"/>
          <w:lang w:eastAsia="fr-FR"/>
        </w:rPr>
        <w:t>897 visites d’inspection</w:t>
      </w:r>
      <w:r w:rsidR="00CF1461">
        <w:rPr>
          <w:rFonts w:eastAsia="Times New Roman"/>
          <w:lang w:eastAsia="fr-FR"/>
        </w:rPr>
        <w:t xml:space="preserve"> et enregistrés </w:t>
      </w:r>
      <w:r w:rsidR="00CF1461" w:rsidRPr="00272F61">
        <w:rPr>
          <w:rFonts w:eastAsia="Times New Roman"/>
          <w:lang w:eastAsia="fr-FR"/>
        </w:rPr>
        <w:t>743</w:t>
      </w:r>
      <w:r w:rsidR="005648B1">
        <w:rPr>
          <w:rFonts w:eastAsia="Times New Roman"/>
          <w:lang w:eastAsia="fr-FR"/>
        </w:rPr>
        <w:t> </w:t>
      </w:r>
      <w:r w:rsidR="00CF1461" w:rsidRPr="00272F61">
        <w:rPr>
          <w:rFonts w:eastAsia="Times New Roman"/>
          <w:lang w:eastAsia="fr-FR"/>
        </w:rPr>
        <w:t>025 observations dont 31</w:t>
      </w:r>
      <w:r w:rsidR="005648B1">
        <w:rPr>
          <w:rFonts w:eastAsia="Times New Roman"/>
          <w:lang w:eastAsia="fr-FR"/>
        </w:rPr>
        <w:t> </w:t>
      </w:r>
      <w:r w:rsidR="00CF1461" w:rsidRPr="00272F61">
        <w:rPr>
          <w:rFonts w:eastAsia="Times New Roman"/>
          <w:lang w:eastAsia="fr-FR"/>
        </w:rPr>
        <w:t>194 observations concernent le salaire minimum</w:t>
      </w:r>
      <w:r w:rsidR="00CF1461">
        <w:rPr>
          <w:rFonts w:eastAsia="Times New Roman"/>
          <w:lang w:eastAsia="fr-FR"/>
        </w:rPr>
        <w:t xml:space="preserve">. </w:t>
      </w:r>
    </w:p>
    <w:p w14:paraId="4AC60694" w14:textId="77777777" w:rsidR="00CF1461" w:rsidRPr="00E26090" w:rsidRDefault="007B174A" w:rsidP="0015383D">
      <w:pPr>
        <w:pStyle w:val="H23G"/>
        <w:rPr>
          <w:rFonts w:eastAsia="Times New Roman"/>
          <w:lang w:eastAsia="fr-FR"/>
        </w:rPr>
      </w:pPr>
      <w:r>
        <w:tab/>
      </w:r>
      <w:r>
        <w:tab/>
      </w:r>
      <w:r w:rsidR="00CF1461" w:rsidRPr="00E26090">
        <w:t xml:space="preserve">Droit de </w:t>
      </w:r>
      <w:r w:rsidR="00CF1461" w:rsidRPr="00E26090">
        <w:rPr>
          <w:rFonts w:eastAsia="Times New Roman"/>
        </w:rPr>
        <w:t>constituer u</w:t>
      </w:r>
      <w:r w:rsidR="00CF1461" w:rsidRPr="00E26090">
        <w:t>ne organisation syndicale et d’y adhérer</w:t>
      </w:r>
    </w:p>
    <w:p w14:paraId="29F72D37" w14:textId="39ECFFFF"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158.</w:t>
      </w:r>
      <w:r w:rsidRPr="00E26090">
        <w:rPr>
          <w:rFonts w:eastAsia="Times New Roman"/>
          <w:color w:val="000000" w:themeColor="text1"/>
          <w:lang w:eastAsia="fr-FR"/>
        </w:rPr>
        <w:tab/>
      </w:r>
      <w:r w:rsidR="00CF1461">
        <w:rPr>
          <w:rFonts w:eastAsia="Times New Roman"/>
          <w:lang w:eastAsia="fr-FR"/>
        </w:rPr>
        <w:t>L</w:t>
      </w:r>
      <w:r w:rsidR="00CF1461" w:rsidRPr="00E26090">
        <w:rPr>
          <w:rFonts w:eastAsia="Times New Roman"/>
          <w:lang w:eastAsia="fr-FR"/>
        </w:rPr>
        <w:t>a Constitution (art</w:t>
      </w:r>
      <w:r w:rsidR="00CF1461">
        <w:rPr>
          <w:rFonts w:eastAsia="Times New Roman"/>
          <w:lang w:eastAsia="fr-FR"/>
        </w:rPr>
        <w:t>.</w:t>
      </w:r>
      <w:r w:rsidR="005648B1">
        <w:rPr>
          <w:rFonts w:eastAsia="Times New Roman"/>
          <w:lang w:eastAsia="fr-FR"/>
        </w:rPr>
        <w:t> </w:t>
      </w:r>
      <w:r w:rsidR="00CF1461" w:rsidRPr="00E26090">
        <w:rPr>
          <w:rFonts w:eastAsia="Times New Roman"/>
          <w:lang w:eastAsia="fr-FR"/>
        </w:rPr>
        <w:t xml:space="preserve">8 et 29) et le Code de travail garantissent la liberté syndicale, l’indépendance de l’organisation syndicale, leur liberté de constitution et d’action et </w:t>
      </w:r>
      <w:r w:rsidR="00CF1461" w:rsidRPr="00473B94">
        <w:rPr>
          <w:rFonts w:eastAsia="CharisSIL"/>
        </w:rPr>
        <w:t>l’autonomie</w:t>
      </w:r>
      <w:r w:rsidR="00CF1461" w:rsidRPr="00E26090">
        <w:rPr>
          <w:rFonts w:eastAsia="Times New Roman"/>
          <w:lang w:eastAsia="fr-FR"/>
        </w:rPr>
        <w:t xml:space="preserve"> de gestion de ses activités et de ses ressources.</w:t>
      </w:r>
    </w:p>
    <w:p w14:paraId="0A8E5B78" w14:textId="3AD32085" w:rsidR="00CF1461" w:rsidRPr="00BE79CD" w:rsidRDefault="004B5A1A" w:rsidP="004B5A1A">
      <w:pPr>
        <w:pStyle w:val="SingleTxtG"/>
        <w:tabs>
          <w:tab w:val="clear" w:pos="1701"/>
          <w:tab w:val="clear" w:pos="2268"/>
          <w:tab w:val="clear" w:pos="2835"/>
        </w:tabs>
        <w:rPr>
          <w:rFonts w:eastAsia="Times New Roman"/>
          <w:lang w:eastAsia="fr-FR"/>
        </w:rPr>
      </w:pPr>
      <w:r w:rsidRPr="00BE79CD">
        <w:rPr>
          <w:rFonts w:eastAsia="Times New Roman"/>
          <w:color w:val="000000" w:themeColor="text1"/>
          <w:lang w:eastAsia="fr-FR"/>
        </w:rPr>
        <w:t>159.</w:t>
      </w:r>
      <w:r w:rsidRPr="00BE79CD">
        <w:rPr>
          <w:rFonts w:eastAsia="Times New Roman"/>
          <w:color w:val="000000" w:themeColor="text1"/>
          <w:lang w:eastAsia="fr-FR"/>
        </w:rPr>
        <w:tab/>
      </w:r>
      <w:r w:rsidR="00CF1461" w:rsidRPr="00BE79CD">
        <w:rPr>
          <w:rFonts w:eastAsia="Times New Roman"/>
          <w:lang w:eastAsia="fr-FR"/>
        </w:rPr>
        <w:t xml:space="preserve">L’article 403 du Code de travail a doté les syndicats professionnels de la personnalité morale. Les employeurs et les salariés peuvent adhérer librement au syndicat professionnel de leur choix. Il est à </w:t>
      </w:r>
      <w:r w:rsidR="00CF1461" w:rsidRPr="00BE79CD">
        <w:rPr>
          <w:rFonts w:eastAsia="CharisSIL"/>
        </w:rPr>
        <w:t>noter que l’atteinte à la liberté syndicale est incriminée en vertu de l’article 9 du Cod</w:t>
      </w:r>
      <w:r w:rsidR="00CF1461" w:rsidRPr="00BE79CD">
        <w:rPr>
          <w:rFonts w:eastAsia="Times New Roman"/>
          <w:lang w:eastAsia="fr-FR"/>
        </w:rPr>
        <w:t>e de travail, elle est sanctionnée par une amende pouvant aller jusqu’à 60</w:t>
      </w:r>
      <w:r w:rsidR="005648B1">
        <w:rPr>
          <w:rFonts w:eastAsia="Times New Roman"/>
          <w:lang w:eastAsia="fr-FR"/>
        </w:rPr>
        <w:t> </w:t>
      </w:r>
      <w:r w:rsidR="00CF1461" w:rsidRPr="00BE79CD">
        <w:rPr>
          <w:rFonts w:eastAsia="Times New Roman"/>
          <w:lang w:eastAsia="fr-FR"/>
        </w:rPr>
        <w:t xml:space="preserve">000 </w:t>
      </w:r>
      <w:proofErr w:type="spellStart"/>
      <w:r w:rsidR="00CF1461" w:rsidRPr="00BE79CD">
        <w:rPr>
          <w:rFonts w:eastAsia="Times New Roman"/>
          <w:lang w:eastAsia="fr-FR"/>
        </w:rPr>
        <w:t>Dhs</w:t>
      </w:r>
      <w:proofErr w:type="spellEnd"/>
      <w:r w:rsidR="00CF1461" w:rsidRPr="00BE79CD">
        <w:rPr>
          <w:rFonts w:eastAsia="Times New Roman"/>
          <w:lang w:eastAsia="fr-FR"/>
        </w:rPr>
        <w:t xml:space="preserve">. L’article 36 du </w:t>
      </w:r>
      <w:r w:rsidR="00F26D77" w:rsidRPr="00BE79CD">
        <w:rPr>
          <w:rFonts w:eastAsia="Times New Roman"/>
          <w:lang w:eastAsia="fr-FR"/>
        </w:rPr>
        <w:t xml:space="preserve">Code </w:t>
      </w:r>
      <w:r w:rsidR="00CF1461" w:rsidRPr="00BE79CD">
        <w:rPr>
          <w:rFonts w:eastAsia="Times New Roman"/>
          <w:lang w:eastAsia="fr-FR"/>
        </w:rPr>
        <w:t>de travail stipule par ailleurs que l’affiliation syndicale ne constitue pas un motif valable de sanctions disciplinaires ou de licenciement.</w:t>
      </w:r>
    </w:p>
    <w:p w14:paraId="1257BED2" w14:textId="026452EB"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160.</w:t>
      </w:r>
      <w:r w:rsidRPr="00E26090">
        <w:rPr>
          <w:rFonts w:eastAsia="Times New Roman"/>
          <w:color w:val="000000" w:themeColor="text1"/>
          <w:lang w:eastAsia="fr-FR"/>
        </w:rPr>
        <w:tab/>
      </w:r>
      <w:r w:rsidR="00CF1461" w:rsidRPr="00E26090">
        <w:rPr>
          <w:rFonts w:eastAsia="Times New Roman"/>
          <w:lang w:eastAsia="fr-FR"/>
        </w:rPr>
        <w:t>Par ailleurs, le Code d</w:t>
      </w:r>
      <w:r w:rsidR="00CF1461">
        <w:rPr>
          <w:rFonts w:eastAsia="Times New Roman"/>
          <w:lang w:eastAsia="fr-FR"/>
        </w:rPr>
        <w:t>e</w:t>
      </w:r>
      <w:r w:rsidR="00CF1461" w:rsidRPr="00E26090">
        <w:rPr>
          <w:rFonts w:eastAsia="Times New Roman"/>
          <w:lang w:eastAsia="fr-FR"/>
        </w:rPr>
        <w:t xml:space="preserve"> travail interdit toute discrimination se basant sur la sélection </w:t>
      </w:r>
      <w:r w:rsidR="00CF1461" w:rsidRPr="00473B94">
        <w:rPr>
          <w:rFonts w:eastAsia="CharisSIL"/>
        </w:rPr>
        <w:t>privative</w:t>
      </w:r>
      <w:r w:rsidR="00CF1461" w:rsidRPr="00E26090">
        <w:rPr>
          <w:rFonts w:eastAsia="Times New Roman"/>
          <w:lang w:eastAsia="fr-FR"/>
        </w:rPr>
        <w:t xml:space="preserve"> de la liberté syndicale ou de la négociation collective ou sur la race, la couleur, </w:t>
      </w:r>
      <w:r w:rsidR="00CF1461" w:rsidRPr="00473B94">
        <w:rPr>
          <w:rFonts w:eastAsia="CharisSIL"/>
        </w:rPr>
        <w:t>le</w:t>
      </w:r>
      <w:r w:rsidR="00CF1461" w:rsidRPr="00E26090">
        <w:rPr>
          <w:rFonts w:eastAsia="Times New Roman"/>
          <w:lang w:eastAsia="fr-FR"/>
        </w:rPr>
        <w:t xml:space="preserve"> sexe, la religion, l’opinion politique, l</w:t>
      </w:r>
      <w:r w:rsidR="00CD5A97">
        <w:rPr>
          <w:rFonts w:eastAsia="Times New Roman"/>
          <w:lang w:eastAsia="fr-FR"/>
        </w:rPr>
        <w:t>’</w:t>
      </w:r>
      <w:r w:rsidR="00CF1461" w:rsidRPr="00E26090">
        <w:rPr>
          <w:rFonts w:eastAsia="Times New Roman"/>
          <w:lang w:eastAsia="fr-FR"/>
        </w:rPr>
        <w:t>ascendance nationale ou l</w:t>
      </w:r>
      <w:r w:rsidR="00CD5A97">
        <w:rPr>
          <w:rFonts w:eastAsia="Times New Roman"/>
          <w:lang w:eastAsia="fr-FR"/>
        </w:rPr>
        <w:t>’</w:t>
      </w:r>
      <w:r w:rsidR="00CF1461" w:rsidRPr="00E26090">
        <w:rPr>
          <w:rFonts w:eastAsia="Times New Roman"/>
          <w:lang w:eastAsia="fr-FR"/>
        </w:rPr>
        <w:t>origine sociale, de nature à porter atteinte au principe de l</w:t>
      </w:r>
      <w:r w:rsidR="00CD5A97">
        <w:rPr>
          <w:rFonts w:eastAsia="Times New Roman"/>
          <w:lang w:eastAsia="fr-FR"/>
        </w:rPr>
        <w:t>’</w:t>
      </w:r>
      <w:r w:rsidR="00CF1461" w:rsidRPr="00E26090">
        <w:rPr>
          <w:rFonts w:eastAsia="Times New Roman"/>
          <w:lang w:eastAsia="fr-FR"/>
        </w:rPr>
        <w:t>égalité des chances et de traitement en matière d</w:t>
      </w:r>
      <w:r w:rsidR="00CD5A97">
        <w:rPr>
          <w:rFonts w:eastAsia="Times New Roman"/>
          <w:lang w:eastAsia="fr-FR"/>
        </w:rPr>
        <w:t>’</w:t>
      </w:r>
      <w:r w:rsidR="00CF1461" w:rsidRPr="00E26090">
        <w:rPr>
          <w:rFonts w:eastAsia="Times New Roman"/>
          <w:lang w:eastAsia="fr-FR"/>
        </w:rPr>
        <w:t>emploi.</w:t>
      </w:r>
    </w:p>
    <w:p w14:paraId="4B4048EB" w14:textId="1E60CB4F"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161.</w:t>
      </w:r>
      <w:r w:rsidRPr="00E26090">
        <w:rPr>
          <w:rFonts w:eastAsia="Times New Roman"/>
          <w:color w:val="000000" w:themeColor="text1"/>
          <w:lang w:eastAsia="fr-FR"/>
        </w:rPr>
        <w:tab/>
      </w:r>
      <w:r w:rsidR="00CF1461" w:rsidRPr="00E26090">
        <w:rPr>
          <w:rFonts w:eastAsia="Times New Roman"/>
          <w:lang w:eastAsia="fr-FR"/>
        </w:rPr>
        <w:t xml:space="preserve">Sur le terrain, les centrales syndicales de travailleurs et les organisations </w:t>
      </w:r>
      <w:r w:rsidR="00CF1461" w:rsidRPr="00473B94">
        <w:rPr>
          <w:rFonts w:eastAsia="CharisSIL"/>
        </w:rPr>
        <w:t>professionnelles</w:t>
      </w:r>
      <w:r w:rsidR="00CF1461" w:rsidRPr="00E26090">
        <w:rPr>
          <w:rFonts w:eastAsia="Times New Roman"/>
          <w:lang w:eastAsia="fr-FR"/>
        </w:rPr>
        <w:t xml:space="preserve"> d’employeurs sont implantées dans toutes les branches d’activité économique et prennent une part active aux réunions des commissions d’enquête et d’investigation ainsi qu’aux travaux du Conseil consultatif chargé du suivi du dialogue social, du CNDH et de la Commission nationale du dialogue social.</w:t>
      </w:r>
    </w:p>
    <w:p w14:paraId="7C3A35E9" w14:textId="71C16D9B"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162.</w:t>
      </w:r>
      <w:r w:rsidRPr="00E26090">
        <w:rPr>
          <w:rFonts w:eastAsia="Times New Roman"/>
          <w:color w:val="000000" w:themeColor="text1"/>
          <w:lang w:eastAsia="fr-FR"/>
        </w:rPr>
        <w:tab/>
      </w:r>
      <w:r w:rsidR="00A5588D">
        <w:rPr>
          <w:rFonts w:eastAsia="Times New Roman"/>
          <w:lang w:eastAsia="fr-FR"/>
        </w:rPr>
        <w:t>À</w:t>
      </w:r>
      <w:r w:rsidR="00CF1461" w:rsidRPr="00E26090">
        <w:rPr>
          <w:rFonts w:eastAsia="Times New Roman"/>
          <w:lang w:eastAsia="fr-FR"/>
        </w:rPr>
        <w:t xml:space="preserve"> signaler également, la création, en </w:t>
      </w:r>
      <w:r w:rsidR="005648B1">
        <w:rPr>
          <w:rFonts w:eastAsia="Times New Roman"/>
          <w:lang w:eastAsia="fr-FR"/>
        </w:rPr>
        <w:t>j</w:t>
      </w:r>
      <w:r w:rsidR="00CF1461" w:rsidRPr="00E26090">
        <w:rPr>
          <w:rFonts w:eastAsia="Times New Roman"/>
          <w:lang w:eastAsia="fr-FR"/>
        </w:rPr>
        <w:t xml:space="preserve">uillet 2012, d’un collectif syndical ODT-Travailleurs Immigrés </w:t>
      </w:r>
      <w:r w:rsidR="00CF1461">
        <w:rPr>
          <w:rFonts w:eastAsia="Times New Roman"/>
          <w:lang w:eastAsia="fr-FR"/>
        </w:rPr>
        <w:t>d</w:t>
      </w:r>
      <w:r w:rsidR="00CF1461" w:rsidRPr="00E26090">
        <w:rPr>
          <w:rFonts w:eastAsia="Times New Roman"/>
          <w:lang w:eastAsia="fr-FR"/>
        </w:rPr>
        <w:t xml:space="preserve">u Maroc affilié à l’Organisation Démocratique </w:t>
      </w:r>
      <w:r w:rsidR="00CF1461">
        <w:rPr>
          <w:rFonts w:eastAsia="Times New Roman"/>
          <w:lang w:eastAsia="fr-FR"/>
        </w:rPr>
        <w:t>du Travail</w:t>
      </w:r>
      <w:r w:rsidR="00CF1461" w:rsidRPr="00E26090">
        <w:rPr>
          <w:rFonts w:eastAsia="Times New Roman"/>
          <w:lang w:eastAsia="fr-FR"/>
        </w:rPr>
        <w:t>, en vue de défendre et protéger les droits des travailleurs et travailleuses migrants au Maroc.</w:t>
      </w:r>
    </w:p>
    <w:p w14:paraId="603323FA" w14:textId="77777777" w:rsidR="00CF1461" w:rsidRPr="00E26090" w:rsidRDefault="007B174A" w:rsidP="0015383D">
      <w:pPr>
        <w:pStyle w:val="H23G"/>
      </w:pPr>
      <w:r>
        <w:tab/>
      </w:r>
      <w:r>
        <w:tab/>
      </w:r>
      <w:r w:rsidR="00CF1461" w:rsidRPr="00E26090">
        <w:t>Droit au logement</w:t>
      </w:r>
    </w:p>
    <w:p w14:paraId="24F8233C" w14:textId="13D766A0"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163.</w:t>
      </w:r>
      <w:r w:rsidRPr="00E26090">
        <w:rPr>
          <w:rFonts w:eastAsia="Times New Roman"/>
          <w:color w:val="000000" w:themeColor="text1"/>
          <w:lang w:eastAsia="fr-FR"/>
        </w:rPr>
        <w:tab/>
      </w:r>
      <w:r w:rsidR="00CF1461" w:rsidRPr="00E26090">
        <w:rPr>
          <w:rFonts w:eastAsia="Times New Roman"/>
          <w:lang w:eastAsia="fr-FR"/>
        </w:rPr>
        <w:t>Les principales réalisations en matière d</w:t>
      </w:r>
      <w:r w:rsidR="00CF1461">
        <w:rPr>
          <w:rFonts w:eastAsia="Times New Roman"/>
          <w:lang w:eastAsia="fr-FR"/>
        </w:rPr>
        <w:t>e l</w:t>
      </w:r>
      <w:r w:rsidR="00CF1461" w:rsidRPr="00E26090">
        <w:rPr>
          <w:rFonts w:eastAsia="Times New Roman"/>
          <w:lang w:eastAsia="fr-FR"/>
        </w:rPr>
        <w:t xml:space="preserve">’habitat concernent essentiellement </w:t>
      </w:r>
      <w:r w:rsidR="00CF1461" w:rsidRPr="00473B94">
        <w:rPr>
          <w:rFonts w:eastAsia="CharisSIL"/>
        </w:rPr>
        <w:t>l’intensification</w:t>
      </w:r>
      <w:r w:rsidR="00CF1461" w:rsidRPr="00E26090">
        <w:rPr>
          <w:rFonts w:eastAsia="Times New Roman"/>
          <w:lang w:eastAsia="fr-FR"/>
        </w:rPr>
        <w:t xml:space="preserve"> de l’offre et sa diversification notamment le logement social (140</w:t>
      </w:r>
      <w:r w:rsidR="005648B1">
        <w:rPr>
          <w:rFonts w:eastAsia="Times New Roman"/>
          <w:lang w:eastAsia="fr-FR"/>
        </w:rPr>
        <w:t> </w:t>
      </w:r>
      <w:r w:rsidR="00CF1461" w:rsidRPr="00E26090">
        <w:rPr>
          <w:rFonts w:eastAsia="Times New Roman"/>
          <w:lang w:eastAsia="fr-FR"/>
        </w:rPr>
        <w:t xml:space="preserve">000 </w:t>
      </w:r>
      <w:proofErr w:type="spellStart"/>
      <w:r w:rsidR="00CF1461" w:rsidRPr="00E26090">
        <w:rPr>
          <w:rFonts w:eastAsia="Times New Roman"/>
          <w:lang w:eastAsia="fr-FR"/>
        </w:rPr>
        <w:t>Dhs</w:t>
      </w:r>
      <w:proofErr w:type="spellEnd"/>
      <w:r w:rsidR="00CF1461" w:rsidRPr="00E26090">
        <w:rPr>
          <w:rFonts w:eastAsia="Times New Roman"/>
          <w:lang w:eastAsia="fr-FR"/>
        </w:rPr>
        <w:t xml:space="preserve"> et 250</w:t>
      </w:r>
      <w:r w:rsidR="005648B1">
        <w:rPr>
          <w:rFonts w:eastAsia="Times New Roman"/>
          <w:lang w:eastAsia="fr-FR"/>
        </w:rPr>
        <w:t> </w:t>
      </w:r>
      <w:r w:rsidR="00CF1461" w:rsidRPr="00E26090">
        <w:rPr>
          <w:rFonts w:eastAsia="Times New Roman"/>
          <w:lang w:eastAsia="fr-FR"/>
        </w:rPr>
        <w:t xml:space="preserve">000 </w:t>
      </w:r>
      <w:proofErr w:type="spellStart"/>
      <w:r w:rsidR="00CF1461" w:rsidRPr="00E26090">
        <w:rPr>
          <w:rFonts w:eastAsia="Times New Roman"/>
          <w:lang w:eastAsia="fr-FR"/>
        </w:rPr>
        <w:t>Dhs</w:t>
      </w:r>
      <w:proofErr w:type="spellEnd"/>
      <w:r w:rsidR="00CF1461" w:rsidRPr="00E26090">
        <w:rPr>
          <w:rFonts w:eastAsia="Times New Roman"/>
          <w:lang w:eastAsia="fr-FR"/>
        </w:rPr>
        <w:t>), le logement pour la classe moyenne, le Programme National Villes sans bidonville, l’intervention dans l’habitat menaçant ruine et les programmes de mise à niveau urbaine.</w:t>
      </w:r>
    </w:p>
    <w:p w14:paraId="5E6C8079" w14:textId="65D0BC5F"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164.</w:t>
      </w:r>
      <w:r w:rsidRPr="00E26090">
        <w:rPr>
          <w:rFonts w:eastAsia="Times New Roman"/>
          <w:color w:val="000000" w:themeColor="text1"/>
          <w:lang w:eastAsia="fr-FR"/>
        </w:rPr>
        <w:tab/>
      </w:r>
      <w:r w:rsidR="00CF1461" w:rsidRPr="00473B94">
        <w:rPr>
          <w:rFonts w:eastAsia="CharisSIL"/>
        </w:rPr>
        <w:t>Grâce</w:t>
      </w:r>
      <w:r w:rsidR="00CF1461">
        <w:rPr>
          <w:rFonts w:eastAsia="Times New Roman"/>
          <w:lang w:eastAsia="fr-FR"/>
        </w:rPr>
        <w:t xml:space="preserve"> à ces politiques et à la mutualisation des efforts entre les secteurs privé </w:t>
      </w:r>
      <w:r w:rsidR="00CF1461" w:rsidRPr="00E26090">
        <w:rPr>
          <w:rFonts w:eastAsia="Times New Roman"/>
          <w:lang w:eastAsia="fr-FR"/>
        </w:rPr>
        <w:t>et</w:t>
      </w:r>
      <w:r w:rsidR="00CF1461">
        <w:rPr>
          <w:rFonts w:eastAsia="Times New Roman"/>
          <w:lang w:eastAsia="fr-FR"/>
        </w:rPr>
        <w:t xml:space="preserve"> public, le déficit en matière de logement</w:t>
      </w:r>
      <w:r w:rsidR="00CF1461" w:rsidRPr="00E26090">
        <w:rPr>
          <w:rFonts w:eastAsia="Times New Roman"/>
          <w:lang w:eastAsia="fr-FR"/>
        </w:rPr>
        <w:t xml:space="preserve"> a été réduit de </w:t>
      </w:r>
      <w:r w:rsidR="00CF1461">
        <w:rPr>
          <w:rFonts w:eastAsia="Times New Roman"/>
          <w:lang w:eastAsia="fr-FR"/>
        </w:rPr>
        <w:t>45</w:t>
      </w:r>
      <w:r w:rsidR="00372939">
        <w:rPr>
          <w:rFonts w:eastAsia="Times New Roman"/>
          <w:lang w:eastAsia="fr-FR"/>
        </w:rPr>
        <w:t> %</w:t>
      </w:r>
      <w:r w:rsidR="00CF1461">
        <w:rPr>
          <w:rFonts w:eastAsia="Times New Roman"/>
          <w:lang w:eastAsia="fr-FR"/>
        </w:rPr>
        <w:t xml:space="preserve"> pendant la période 2012-2017, passant de 840</w:t>
      </w:r>
      <w:r w:rsidR="005648B1">
        <w:rPr>
          <w:rFonts w:eastAsia="Times New Roman"/>
          <w:lang w:eastAsia="fr-FR"/>
        </w:rPr>
        <w:t> </w:t>
      </w:r>
      <w:r w:rsidR="00CF1461">
        <w:rPr>
          <w:rFonts w:eastAsia="Times New Roman"/>
          <w:lang w:eastAsia="fr-FR"/>
        </w:rPr>
        <w:t>000 unités à 465</w:t>
      </w:r>
      <w:r w:rsidR="005648B1">
        <w:rPr>
          <w:rFonts w:eastAsia="Times New Roman"/>
          <w:lang w:eastAsia="fr-FR"/>
        </w:rPr>
        <w:t> </w:t>
      </w:r>
      <w:r w:rsidR="00CF1461">
        <w:rPr>
          <w:rFonts w:eastAsia="Times New Roman"/>
          <w:lang w:eastAsia="fr-FR"/>
        </w:rPr>
        <w:t>000 unités.</w:t>
      </w:r>
      <w:r w:rsidR="00CF1461" w:rsidRPr="00E26090">
        <w:rPr>
          <w:rFonts w:eastAsia="Times New Roman"/>
          <w:lang w:eastAsia="fr-FR"/>
        </w:rPr>
        <w:t xml:space="preserve"> </w:t>
      </w:r>
    </w:p>
    <w:p w14:paraId="03898D55" w14:textId="26C16F1F" w:rsidR="00CF1461" w:rsidRPr="00E26090" w:rsidRDefault="004B5A1A" w:rsidP="00F26D77">
      <w:pPr>
        <w:pStyle w:val="SingleTxtG"/>
        <w:keepNext/>
        <w:keepLines/>
        <w:tabs>
          <w:tab w:val="clear" w:pos="1701"/>
          <w:tab w:val="clear" w:pos="2268"/>
          <w:tab w:val="clear" w:pos="2835"/>
        </w:tabs>
        <w:rPr>
          <w:rFonts w:eastAsia="Times New Roman"/>
          <w:lang w:eastAsia="fr-FR"/>
        </w:rPr>
      </w:pPr>
      <w:r w:rsidRPr="00E26090">
        <w:rPr>
          <w:rFonts w:eastAsia="Times New Roman"/>
          <w:color w:val="000000" w:themeColor="text1"/>
          <w:lang w:eastAsia="fr-FR"/>
        </w:rPr>
        <w:t>165.</w:t>
      </w:r>
      <w:r w:rsidRPr="00E26090">
        <w:rPr>
          <w:rFonts w:eastAsia="Times New Roman"/>
          <w:color w:val="000000" w:themeColor="text1"/>
          <w:lang w:eastAsia="fr-FR"/>
        </w:rPr>
        <w:tab/>
      </w:r>
      <w:r w:rsidR="00CF1461" w:rsidRPr="00E26090">
        <w:rPr>
          <w:rFonts w:eastAsia="Times New Roman"/>
          <w:lang w:eastAsia="fr-FR"/>
        </w:rPr>
        <w:t>Pour le Programme « Villes Sans Bidonvilles », il importe de signaler les acquis suivants</w:t>
      </w:r>
      <w:r w:rsidR="00CF1461">
        <w:rPr>
          <w:rFonts w:eastAsia="Times New Roman"/>
          <w:lang w:eastAsia="fr-FR"/>
        </w:rPr>
        <w:t xml:space="preserve"> et ce, depuis son</w:t>
      </w:r>
      <w:r w:rsidR="00CF1461" w:rsidRPr="00E26090">
        <w:rPr>
          <w:rFonts w:eastAsia="Times New Roman"/>
          <w:lang w:eastAsia="fr-FR"/>
        </w:rPr>
        <w:t> </w:t>
      </w:r>
      <w:r w:rsidR="00CF1461">
        <w:rPr>
          <w:rFonts w:eastAsia="Times New Roman"/>
          <w:lang w:eastAsia="fr-FR"/>
        </w:rPr>
        <w:t xml:space="preserve">lancement en 2004 à fin 2018 </w:t>
      </w:r>
      <w:r w:rsidR="00CF1461" w:rsidRPr="00E26090">
        <w:rPr>
          <w:rFonts w:eastAsia="Times New Roman"/>
          <w:lang w:eastAsia="fr-FR"/>
        </w:rPr>
        <w:t>:</w:t>
      </w:r>
    </w:p>
    <w:p w14:paraId="4EFFB485" w14:textId="4852ACF1" w:rsidR="00CF1461" w:rsidRDefault="004B5A1A" w:rsidP="004B5A1A">
      <w:pPr>
        <w:pStyle w:val="Bullet1G"/>
        <w:numPr>
          <w:ilvl w:val="0"/>
          <w:numId w:val="0"/>
        </w:numPr>
        <w:tabs>
          <w:tab w:val="left" w:pos="1701"/>
        </w:tabs>
        <w:ind w:left="1701" w:hanging="170"/>
        <w:rPr>
          <w:lang w:eastAsia="fr-FR"/>
        </w:rPr>
      </w:pPr>
      <w:r>
        <w:rPr>
          <w:lang w:eastAsia="fr-FR"/>
        </w:rPr>
        <w:t>•</w:t>
      </w:r>
      <w:r>
        <w:rPr>
          <w:lang w:eastAsia="fr-FR"/>
        </w:rPr>
        <w:tab/>
      </w:r>
      <w:r w:rsidR="00CF1461">
        <w:rPr>
          <w:lang w:eastAsia="fr-FR"/>
        </w:rPr>
        <w:t>Déclaration de 59 villes sans bidonvilles parmi les 85 villes concernées par ledit programme ;</w:t>
      </w:r>
    </w:p>
    <w:p w14:paraId="42BD2676" w14:textId="376F6A6D" w:rsidR="00CF1461" w:rsidRPr="00E26090" w:rsidRDefault="004B5A1A" w:rsidP="004B5A1A">
      <w:pPr>
        <w:pStyle w:val="Bullet1G"/>
        <w:numPr>
          <w:ilvl w:val="0"/>
          <w:numId w:val="0"/>
        </w:numPr>
        <w:tabs>
          <w:tab w:val="left" w:pos="1701"/>
        </w:tabs>
        <w:ind w:left="1701" w:hanging="170"/>
        <w:rPr>
          <w:lang w:eastAsia="fr-FR"/>
        </w:rPr>
      </w:pPr>
      <w:r w:rsidRPr="00E26090">
        <w:rPr>
          <w:lang w:eastAsia="fr-FR"/>
        </w:rPr>
        <w:t>•</w:t>
      </w:r>
      <w:r w:rsidRPr="00E26090">
        <w:rPr>
          <w:lang w:eastAsia="fr-FR"/>
        </w:rPr>
        <w:tab/>
      </w:r>
      <w:r w:rsidR="00CF1461">
        <w:rPr>
          <w:lang w:eastAsia="fr-FR"/>
        </w:rPr>
        <w:t>282</w:t>
      </w:r>
      <w:r w:rsidR="005648B1">
        <w:rPr>
          <w:lang w:eastAsia="fr-FR"/>
        </w:rPr>
        <w:t> </w:t>
      </w:r>
      <w:r w:rsidR="00CF1461">
        <w:rPr>
          <w:lang w:eastAsia="fr-FR"/>
        </w:rPr>
        <w:t>1</w:t>
      </w:r>
      <w:r w:rsidR="00CF1461" w:rsidRPr="00E26090">
        <w:rPr>
          <w:lang w:eastAsia="fr-FR"/>
        </w:rPr>
        <w:t>5</w:t>
      </w:r>
      <w:r w:rsidR="00CF1461">
        <w:rPr>
          <w:lang w:eastAsia="fr-FR"/>
        </w:rPr>
        <w:t>6</w:t>
      </w:r>
      <w:r w:rsidR="00CF1461" w:rsidRPr="00E26090">
        <w:rPr>
          <w:lang w:eastAsia="fr-FR"/>
        </w:rPr>
        <w:t xml:space="preserve"> ménages ont bénéficié de ce programme</w:t>
      </w:r>
      <w:r w:rsidR="00CF1461">
        <w:rPr>
          <w:lang w:eastAsia="fr-FR"/>
        </w:rPr>
        <w:t>, soit 60</w:t>
      </w:r>
      <w:r w:rsidR="00372939">
        <w:rPr>
          <w:lang w:eastAsia="fr-FR"/>
        </w:rPr>
        <w:t> %</w:t>
      </w:r>
      <w:r w:rsidR="00CF1461">
        <w:rPr>
          <w:lang w:eastAsia="fr-FR"/>
        </w:rPr>
        <w:t xml:space="preserve"> du nombre total des ménages concernés</w:t>
      </w:r>
      <w:r w:rsidR="00CF1461" w:rsidRPr="00E26090">
        <w:rPr>
          <w:lang w:eastAsia="fr-FR"/>
        </w:rPr>
        <w:t> ;</w:t>
      </w:r>
    </w:p>
    <w:p w14:paraId="6D795608" w14:textId="3202FB4C" w:rsidR="00CF1461" w:rsidRDefault="004B5A1A" w:rsidP="004B5A1A">
      <w:pPr>
        <w:pStyle w:val="Bullet1G"/>
        <w:numPr>
          <w:ilvl w:val="0"/>
          <w:numId w:val="0"/>
        </w:numPr>
        <w:tabs>
          <w:tab w:val="left" w:pos="1701"/>
        </w:tabs>
        <w:ind w:left="1701" w:hanging="170"/>
        <w:rPr>
          <w:lang w:eastAsia="fr-FR"/>
        </w:rPr>
      </w:pPr>
      <w:r>
        <w:rPr>
          <w:lang w:eastAsia="fr-FR"/>
        </w:rPr>
        <w:t>•</w:t>
      </w:r>
      <w:r>
        <w:rPr>
          <w:lang w:eastAsia="fr-FR"/>
        </w:rPr>
        <w:tab/>
      </w:r>
      <w:r w:rsidR="00CF1461">
        <w:rPr>
          <w:lang w:eastAsia="fr-FR"/>
        </w:rPr>
        <w:t>81</w:t>
      </w:r>
      <w:r w:rsidR="005648B1">
        <w:rPr>
          <w:lang w:eastAsia="fr-FR"/>
        </w:rPr>
        <w:t> </w:t>
      </w:r>
      <w:r w:rsidR="00CF1461">
        <w:rPr>
          <w:lang w:eastAsia="fr-FR"/>
        </w:rPr>
        <w:t>62</w:t>
      </w:r>
      <w:r w:rsidR="00CF1461" w:rsidRPr="00E26090">
        <w:rPr>
          <w:lang w:eastAsia="fr-FR"/>
        </w:rPr>
        <w:t>0 ménages sont concernés par les nouveaux projets</w:t>
      </w:r>
      <w:r w:rsidR="00CF1461">
        <w:rPr>
          <w:lang w:eastAsia="fr-FR"/>
        </w:rPr>
        <w:t> :</w:t>
      </w:r>
    </w:p>
    <w:p w14:paraId="62E65096" w14:textId="553C3A4A" w:rsidR="00CF1461" w:rsidRPr="002A4140" w:rsidRDefault="00CF1461" w:rsidP="00F26D77">
      <w:pPr>
        <w:pStyle w:val="Bullet2G"/>
        <w:rPr>
          <w:lang w:eastAsia="fr-FR"/>
        </w:rPr>
      </w:pPr>
      <w:r w:rsidRPr="002A4140">
        <w:rPr>
          <w:lang w:eastAsia="fr-FR"/>
        </w:rPr>
        <w:t>39</w:t>
      </w:r>
      <w:r w:rsidR="005648B1">
        <w:rPr>
          <w:lang w:eastAsia="fr-FR"/>
        </w:rPr>
        <w:t> </w:t>
      </w:r>
      <w:r w:rsidRPr="002A4140">
        <w:rPr>
          <w:lang w:eastAsia="fr-FR"/>
        </w:rPr>
        <w:t>245 ménages dont les unités sont disponibles ;</w:t>
      </w:r>
    </w:p>
    <w:p w14:paraId="38AE890C" w14:textId="28C46E52" w:rsidR="00CF1461" w:rsidRPr="0067558A" w:rsidRDefault="00CF1461" w:rsidP="00F26D77">
      <w:pPr>
        <w:pStyle w:val="Bullet2G"/>
        <w:rPr>
          <w:lang w:eastAsia="fr-FR"/>
        </w:rPr>
      </w:pPr>
      <w:r w:rsidRPr="0067558A">
        <w:rPr>
          <w:lang w:eastAsia="fr-FR"/>
        </w:rPr>
        <w:t>42</w:t>
      </w:r>
      <w:r w:rsidR="005648B1">
        <w:rPr>
          <w:lang w:eastAsia="fr-FR"/>
        </w:rPr>
        <w:t> </w:t>
      </w:r>
      <w:r w:rsidRPr="0067558A">
        <w:rPr>
          <w:lang w:eastAsia="fr-FR"/>
        </w:rPr>
        <w:t>375 ménages dont les unités sont en cours de travaux.</w:t>
      </w:r>
    </w:p>
    <w:p w14:paraId="1ACC632F" w14:textId="07E377ED" w:rsidR="00CF1461" w:rsidRPr="00013F70" w:rsidRDefault="004B5A1A" w:rsidP="004B5A1A">
      <w:pPr>
        <w:pStyle w:val="SingleTxtG"/>
        <w:tabs>
          <w:tab w:val="clear" w:pos="1701"/>
          <w:tab w:val="clear" w:pos="2268"/>
          <w:tab w:val="clear" w:pos="2835"/>
        </w:tabs>
        <w:rPr>
          <w:rFonts w:eastAsia="Times New Roman"/>
          <w:color w:val="000000"/>
          <w:lang w:eastAsia="fr-FR"/>
        </w:rPr>
      </w:pPr>
      <w:r w:rsidRPr="00013F70">
        <w:rPr>
          <w:rFonts w:eastAsia="Times New Roman"/>
          <w:color w:val="000000" w:themeColor="text1"/>
          <w:lang w:eastAsia="fr-FR"/>
        </w:rPr>
        <w:lastRenderedPageBreak/>
        <w:t>166.</w:t>
      </w:r>
      <w:r w:rsidRPr="00013F70">
        <w:rPr>
          <w:rFonts w:eastAsia="Times New Roman"/>
          <w:color w:val="000000" w:themeColor="text1"/>
          <w:lang w:eastAsia="fr-FR"/>
        </w:rPr>
        <w:tab/>
      </w:r>
      <w:r w:rsidR="00CF1461" w:rsidRPr="00E26090">
        <w:rPr>
          <w:rFonts w:eastAsia="Times New Roman"/>
          <w:lang w:eastAsia="fr-FR"/>
        </w:rPr>
        <w:t>Pour l’</w:t>
      </w:r>
      <w:r w:rsidR="00CF1461">
        <w:rPr>
          <w:rFonts w:eastAsia="Times New Roman"/>
          <w:lang w:eastAsia="fr-FR"/>
        </w:rPr>
        <w:t>h</w:t>
      </w:r>
      <w:r w:rsidR="00CF1461" w:rsidRPr="00E26090">
        <w:rPr>
          <w:rFonts w:eastAsia="Times New Roman"/>
          <w:lang w:eastAsia="fr-FR"/>
        </w:rPr>
        <w:t xml:space="preserve">abitat </w:t>
      </w:r>
      <w:r w:rsidR="00CF1461">
        <w:rPr>
          <w:rFonts w:eastAsia="Times New Roman"/>
          <w:lang w:eastAsia="fr-FR"/>
        </w:rPr>
        <w:t>m</w:t>
      </w:r>
      <w:r w:rsidR="00CF1461" w:rsidRPr="00E26090">
        <w:rPr>
          <w:rFonts w:eastAsia="Times New Roman"/>
          <w:lang w:eastAsia="fr-FR"/>
        </w:rPr>
        <w:t xml:space="preserve">enaçant </w:t>
      </w:r>
      <w:r w:rsidR="00CF1461">
        <w:rPr>
          <w:rFonts w:eastAsia="Times New Roman"/>
          <w:lang w:eastAsia="fr-FR"/>
        </w:rPr>
        <w:t>r</w:t>
      </w:r>
      <w:r w:rsidR="00CF1461" w:rsidRPr="00E26090">
        <w:rPr>
          <w:rFonts w:eastAsia="Times New Roman"/>
          <w:lang w:eastAsia="fr-FR"/>
        </w:rPr>
        <w:t>uine</w:t>
      </w:r>
      <w:r w:rsidR="00CF1461">
        <w:rPr>
          <w:rFonts w:eastAsia="Times New Roman"/>
          <w:lang w:eastAsia="fr-FR"/>
        </w:rPr>
        <w:t xml:space="preserve"> </w:t>
      </w:r>
      <w:r w:rsidR="00CF1461" w:rsidRPr="00E26090">
        <w:rPr>
          <w:rFonts w:eastAsia="Times New Roman"/>
          <w:lang w:eastAsia="fr-FR"/>
        </w:rPr>
        <w:t>(</w:t>
      </w:r>
      <w:r w:rsidR="00CF1461">
        <w:rPr>
          <w:rFonts w:eastAsia="Times New Roman"/>
          <w:lang w:eastAsia="fr-FR"/>
        </w:rPr>
        <w:t>HMR</w:t>
      </w:r>
      <w:r w:rsidR="00CF1461" w:rsidRPr="00E26090">
        <w:rPr>
          <w:rFonts w:eastAsia="Times New Roman"/>
          <w:lang w:eastAsia="fr-FR"/>
        </w:rPr>
        <w:t xml:space="preserve">), </w:t>
      </w:r>
      <w:r w:rsidR="00CF1461">
        <w:rPr>
          <w:rFonts w:eastAsia="Times New Roman"/>
          <w:lang w:eastAsia="fr-FR"/>
        </w:rPr>
        <w:t>la période de 2012-2018 a vu le conventionnement de 39 programmes au profit de 44</w:t>
      </w:r>
      <w:r w:rsidR="005648B1">
        <w:rPr>
          <w:rFonts w:eastAsia="Times New Roman"/>
          <w:lang w:eastAsia="fr-FR"/>
        </w:rPr>
        <w:t> </w:t>
      </w:r>
      <w:r w:rsidR="00CF1461">
        <w:rPr>
          <w:rFonts w:eastAsia="Times New Roman"/>
          <w:lang w:eastAsia="fr-FR"/>
        </w:rPr>
        <w:t xml:space="preserve">815 ménages avec un coût global de 3,62 </w:t>
      </w:r>
      <w:r w:rsidR="005648B1">
        <w:rPr>
          <w:rFonts w:eastAsia="Times New Roman"/>
          <w:lang w:eastAsia="fr-FR"/>
        </w:rPr>
        <w:t>m</w:t>
      </w:r>
      <w:r w:rsidR="00CF1461">
        <w:rPr>
          <w:rFonts w:eastAsia="Times New Roman"/>
          <w:lang w:eastAsia="fr-FR"/>
        </w:rPr>
        <w:t xml:space="preserve">illiards de </w:t>
      </w:r>
      <w:proofErr w:type="spellStart"/>
      <w:r w:rsidR="00CF1461">
        <w:rPr>
          <w:rFonts w:eastAsia="Times New Roman"/>
          <w:lang w:eastAsia="fr-FR"/>
        </w:rPr>
        <w:t>Dhs</w:t>
      </w:r>
      <w:proofErr w:type="spellEnd"/>
      <w:r w:rsidR="00CF1461">
        <w:rPr>
          <w:rFonts w:eastAsia="Times New Roman"/>
          <w:lang w:eastAsia="fr-FR"/>
        </w:rPr>
        <w:t xml:space="preserve"> et une subvention de 1 </w:t>
      </w:r>
      <w:r w:rsidR="005648B1">
        <w:rPr>
          <w:rFonts w:eastAsia="Times New Roman"/>
          <w:lang w:eastAsia="fr-FR"/>
        </w:rPr>
        <w:t>m</w:t>
      </w:r>
      <w:r w:rsidR="00CF1461">
        <w:rPr>
          <w:rFonts w:eastAsia="Times New Roman"/>
          <w:lang w:eastAsia="fr-FR"/>
        </w:rPr>
        <w:t xml:space="preserve">illiard de </w:t>
      </w:r>
      <w:proofErr w:type="spellStart"/>
      <w:r w:rsidR="00CF1461">
        <w:rPr>
          <w:rFonts w:eastAsia="Times New Roman"/>
          <w:lang w:eastAsia="fr-FR"/>
        </w:rPr>
        <w:t>Dhs</w:t>
      </w:r>
      <w:proofErr w:type="spellEnd"/>
      <w:r w:rsidR="00CF1461">
        <w:rPr>
          <w:rFonts w:eastAsia="Times New Roman"/>
          <w:lang w:eastAsia="fr-FR"/>
        </w:rPr>
        <w:t>.</w:t>
      </w:r>
    </w:p>
    <w:p w14:paraId="2E05C30A" w14:textId="77777777" w:rsidR="00CF1461" w:rsidRPr="00E26090" w:rsidRDefault="007B174A" w:rsidP="0015383D">
      <w:pPr>
        <w:pStyle w:val="H23G"/>
      </w:pPr>
      <w:r>
        <w:tab/>
      </w:r>
      <w:r>
        <w:tab/>
      </w:r>
      <w:r w:rsidR="00CF1461" w:rsidRPr="00E26090">
        <w:t>Droit aux services de santé publique</w:t>
      </w:r>
    </w:p>
    <w:p w14:paraId="2E181C9E" w14:textId="3D267857"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167.</w:t>
      </w:r>
      <w:r w:rsidRPr="00E26090">
        <w:rPr>
          <w:rFonts w:eastAsia="Times New Roman"/>
          <w:color w:val="000000" w:themeColor="text1"/>
          <w:lang w:eastAsia="fr-FR"/>
        </w:rPr>
        <w:tab/>
      </w:r>
      <w:r w:rsidR="00CF1461">
        <w:rPr>
          <w:rFonts w:eastAsia="Times New Roman"/>
          <w:lang w:eastAsia="fr-FR"/>
        </w:rPr>
        <w:t>L</w:t>
      </w:r>
      <w:r w:rsidR="00CF1461" w:rsidRPr="00E26090">
        <w:rPr>
          <w:rFonts w:eastAsia="Times New Roman"/>
          <w:lang w:eastAsia="fr-FR"/>
        </w:rPr>
        <w:t xml:space="preserve">a loi </w:t>
      </w:r>
      <w:r w:rsidR="005648B1" w:rsidRPr="0091537E">
        <w:t>n</w:t>
      </w:r>
      <w:r w:rsidR="005648B1" w:rsidRPr="00050C02">
        <w:rPr>
          <w:vertAlign w:val="superscript"/>
        </w:rPr>
        <w:t>o</w:t>
      </w:r>
      <w:r w:rsidR="005648B1">
        <w:t> </w:t>
      </w:r>
      <w:r w:rsidR="00CF1461" w:rsidRPr="00E26090">
        <w:rPr>
          <w:rFonts w:eastAsia="Times New Roman"/>
          <w:lang w:eastAsia="fr-FR"/>
        </w:rPr>
        <w:t xml:space="preserve">34-09 du 2 juillet 2011 relative au système de santé et l’offre des soins </w:t>
      </w:r>
      <w:r w:rsidR="00CF1461" w:rsidRPr="00473B94">
        <w:rPr>
          <w:rFonts w:eastAsia="CharisSIL"/>
        </w:rPr>
        <w:t>réaffirme</w:t>
      </w:r>
      <w:r w:rsidR="00CF1461" w:rsidRPr="00E26090">
        <w:rPr>
          <w:rFonts w:eastAsia="Times New Roman"/>
          <w:lang w:eastAsia="fr-FR"/>
        </w:rPr>
        <w:t xml:space="preserve"> notamment l’engagement du Maroc par rapport au droit à la santé en tant que droit humain fondamental.</w:t>
      </w:r>
    </w:p>
    <w:p w14:paraId="6E0EA5E6" w14:textId="13018A61"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168.</w:t>
      </w:r>
      <w:r w:rsidRPr="00E26090">
        <w:rPr>
          <w:rFonts w:eastAsia="Times New Roman"/>
          <w:color w:val="000000" w:themeColor="text1"/>
          <w:lang w:eastAsia="fr-FR"/>
        </w:rPr>
        <w:tab/>
      </w:r>
      <w:r w:rsidR="00CF1461" w:rsidRPr="00E26090">
        <w:rPr>
          <w:rFonts w:eastAsia="Times New Roman"/>
          <w:lang w:eastAsia="fr-FR"/>
        </w:rPr>
        <w:t xml:space="preserve">L’arrêté du Ministre de la Santé portant règlement </w:t>
      </w:r>
      <w:r w:rsidR="00CF1461">
        <w:rPr>
          <w:rFonts w:eastAsia="Times New Roman"/>
          <w:lang w:eastAsia="fr-FR"/>
        </w:rPr>
        <w:t xml:space="preserve">intérieur </w:t>
      </w:r>
      <w:r w:rsidR="00CF1461" w:rsidRPr="00E26090">
        <w:rPr>
          <w:rFonts w:eastAsia="Times New Roman"/>
          <w:lang w:eastAsia="fr-FR"/>
        </w:rPr>
        <w:t xml:space="preserve">des hôpitaux de Juillet 2010, </w:t>
      </w:r>
      <w:r w:rsidR="00CF1461" w:rsidRPr="00473B94">
        <w:rPr>
          <w:rFonts w:eastAsia="CharisSIL"/>
        </w:rPr>
        <w:t>stipule</w:t>
      </w:r>
      <w:r w:rsidR="00CF1461" w:rsidRPr="00E26090">
        <w:rPr>
          <w:rFonts w:eastAsia="Times New Roman"/>
          <w:lang w:eastAsia="fr-FR"/>
        </w:rPr>
        <w:t xml:space="preserve"> en son article 57 que : « les patients ou blessés non marocains sont admis, quels que soient leurs statuts, dans les mêmes conditions que les nationaux. Les modalités de facturation des prestations qui leur sont prodigués doivent s’effectuer dans les mêmes conditions sauf en cas d’existences de conventions de soins entre le Maroc et le pays dont le patient est ressortissant</w:t>
      </w:r>
      <w:r w:rsidR="005A27F7">
        <w:rPr>
          <w:rFonts w:eastAsia="Times New Roman"/>
          <w:lang w:eastAsia="fr-FR"/>
        </w:rPr>
        <w:t xml:space="preserve"> </w:t>
      </w:r>
      <w:r w:rsidR="00CF1461" w:rsidRPr="00E26090">
        <w:rPr>
          <w:rFonts w:eastAsia="Times New Roman"/>
          <w:lang w:eastAsia="fr-FR"/>
        </w:rPr>
        <w:t>».</w:t>
      </w:r>
    </w:p>
    <w:p w14:paraId="42FF53DA" w14:textId="6CB5BC31"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169.</w:t>
      </w:r>
      <w:r w:rsidRPr="00E26090">
        <w:rPr>
          <w:rFonts w:eastAsia="Times New Roman"/>
          <w:color w:val="000000" w:themeColor="text1"/>
          <w:lang w:eastAsia="fr-FR"/>
        </w:rPr>
        <w:tab/>
      </w:r>
      <w:r w:rsidR="00CF1461" w:rsidRPr="00E26090">
        <w:rPr>
          <w:rFonts w:eastAsia="Times New Roman"/>
          <w:lang w:eastAsia="fr-FR"/>
        </w:rPr>
        <w:t>Ce règlement assure l’accès des migrants en situation irrégulière aux soins hospitaliers sans crainte d’être arrêtés. En vertu des dispositions énoncées par l’article 91 du</w:t>
      </w:r>
      <w:r w:rsidR="00CF1461">
        <w:rPr>
          <w:rFonts w:eastAsia="Times New Roman"/>
          <w:lang w:eastAsia="fr-FR"/>
        </w:rPr>
        <w:t>dit règlement</w:t>
      </w:r>
      <w:r w:rsidR="00CF1461" w:rsidRPr="00E26090">
        <w:rPr>
          <w:rFonts w:eastAsia="Times New Roman"/>
          <w:lang w:eastAsia="fr-FR"/>
        </w:rPr>
        <w:t xml:space="preserve"> « le personnel de l’hôpital est tenu au respect de la dignité, de l’intimité, de l’appartenance ethnique, religieuse, politique, syndicale ou sociale des patients </w:t>
      </w:r>
      <w:r w:rsidR="00CF1461" w:rsidRPr="00473B94">
        <w:rPr>
          <w:rFonts w:eastAsia="CharisSIL"/>
        </w:rPr>
        <w:t>séjournant</w:t>
      </w:r>
      <w:r w:rsidR="00CF1461" w:rsidRPr="00E26090">
        <w:rPr>
          <w:rFonts w:eastAsia="Times New Roman"/>
          <w:lang w:eastAsia="fr-FR"/>
        </w:rPr>
        <w:t xml:space="preserve"> ou fréquentant les hôpitaux… »</w:t>
      </w:r>
      <w:r w:rsidR="00CF1461">
        <w:rPr>
          <w:rFonts w:eastAsia="Times New Roman"/>
          <w:lang w:eastAsia="fr-FR"/>
        </w:rPr>
        <w:t xml:space="preserve">. Et selon </w:t>
      </w:r>
      <w:r w:rsidR="00CF1461" w:rsidRPr="00E26090">
        <w:rPr>
          <w:rFonts w:eastAsia="Times New Roman"/>
          <w:lang w:eastAsia="fr-FR"/>
        </w:rPr>
        <w:t>l’article 92</w:t>
      </w:r>
      <w:r w:rsidR="00CF1461">
        <w:rPr>
          <w:rFonts w:eastAsia="Times New Roman"/>
          <w:lang w:eastAsia="fr-FR"/>
        </w:rPr>
        <w:t>,</w:t>
      </w:r>
      <w:r w:rsidR="00CF1461" w:rsidRPr="00E26090">
        <w:rPr>
          <w:rFonts w:eastAsia="Times New Roman"/>
          <w:lang w:eastAsia="fr-FR"/>
        </w:rPr>
        <w:t xml:space="preserve"> « sauf dispositions légales contraires, le personnel hospitalier est tenu d’observer le secret et la discrétion absolue sur tous les faits et informations concernant un patient hospitalisé, dont il peut avoir connaissance dans l’exercice ou à l’occasion de l’exercice de ses fonctions</w:t>
      </w:r>
      <w:r w:rsidR="005A27F7">
        <w:rPr>
          <w:rFonts w:eastAsia="Times New Roman"/>
          <w:lang w:eastAsia="fr-FR"/>
        </w:rPr>
        <w:t xml:space="preserve"> </w:t>
      </w:r>
      <w:r w:rsidR="00CF1461" w:rsidRPr="00E26090">
        <w:rPr>
          <w:rFonts w:eastAsia="Times New Roman"/>
          <w:lang w:eastAsia="fr-FR"/>
        </w:rPr>
        <w:t>».</w:t>
      </w:r>
    </w:p>
    <w:p w14:paraId="5840B03B" w14:textId="0F23F53F" w:rsidR="00CF1461" w:rsidRPr="00F77FC1" w:rsidRDefault="004B5A1A" w:rsidP="004B5A1A">
      <w:pPr>
        <w:pStyle w:val="SingleTxtG"/>
        <w:tabs>
          <w:tab w:val="clear" w:pos="1701"/>
          <w:tab w:val="clear" w:pos="2268"/>
          <w:tab w:val="clear" w:pos="2835"/>
        </w:tabs>
        <w:rPr>
          <w:rFonts w:eastAsia="Times New Roman"/>
          <w:lang w:eastAsia="fr-FR"/>
        </w:rPr>
      </w:pPr>
      <w:r w:rsidRPr="00F77FC1">
        <w:rPr>
          <w:rFonts w:eastAsia="Times New Roman"/>
          <w:color w:val="000000" w:themeColor="text1"/>
          <w:lang w:eastAsia="fr-FR"/>
        </w:rPr>
        <w:t>170.</w:t>
      </w:r>
      <w:r w:rsidRPr="00F77FC1">
        <w:rPr>
          <w:rFonts w:eastAsia="Times New Roman"/>
          <w:color w:val="000000" w:themeColor="text1"/>
          <w:lang w:eastAsia="fr-FR"/>
        </w:rPr>
        <w:tab/>
      </w:r>
      <w:r w:rsidR="00CF1461" w:rsidRPr="00F77FC1">
        <w:rPr>
          <w:rFonts w:eastAsia="Times New Roman"/>
          <w:lang w:eastAsia="fr-FR"/>
        </w:rPr>
        <w:t xml:space="preserve">En matière de couverture médicale de base, la loi </w:t>
      </w:r>
      <w:r w:rsidR="005648B1" w:rsidRPr="0091537E">
        <w:t>n</w:t>
      </w:r>
      <w:r w:rsidR="005648B1" w:rsidRPr="00050C02">
        <w:rPr>
          <w:vertAlign w:val="superscript"/>
        </w:rPr>
        <w:t>o</w:t>
      </w:r>
      <w:r w:rsidR="005648B1">
        <w:t> </w:t>
      </w:r>
      <w:r w:rsidR="00CF1461" w:rsidRPr="00F77FC1">
        <w:rPr>
          <w:rFonts w:eastAsia="Times New Roman"/>
          <w:lang w:eastAsia="fr-FR"/>
        </w:rPr>
        <w:t xml:space="preserve">65-00 </w:t>
      </w:r>
      <w:r w:rsidR="00CF1461">
        <w:rPr>
          <w:rFonts w:eastAsia="Times New Roman"/>
          <w:lang w:eastAsia="fr-FR"/>
        </w:rPr>
        <w:t>a institué deux systèmes</w:t>
      </w:r>
      <w:r w:rsidR="00CF1461" w:rsidRPr="00F77FC1">
        <w:rPr>
          <w:rFonts w:eastAsia="Times New Roman"/>
          <w:lang w:eastAsia="fr-FR"/>
        </w:rPr>
        <w:t xml:space="preserve"> : </w:t>
      </w:r>
      <w:r w:rsidR="00CF1461">
        <w:rPr>
          <w:rFonts w:eastAsia="Times New Roman"/>
          <w:lang w:eastAsia="fr-FR"/>
        </w:rPr>
        <w:t xml:space="preserve">(1) </w:t>
      </w:r>
      <w:r w:rsidR="00CF1461" w:rsidRPr="00F77FC1">
        <w:rPr>
          <w:rFonts w:eastAsia="Times New Roman"/>
          <w:lang w:eastAsia="fr-FR"/>
        </w:rPr>
        <w:t>l’Assurance Maladie Obligatoire de base (AMO)</w:t>
      </w:r>
      <w:r w:rsidR="00805F0D">
        <w:rPr>
          <w:rFonts w:eastAsia="Times New Roman"/>
          <w:lang w:eastAsia="fr-FR"/>
        </w:rPr>
        <w:t xml:space="preserve"> </w:t>
      </w:r>
      <w:r w:rsidR="00CF1461" w:rsidRPr="00F77FC1">
        <w:rPr>
          <w:rFonts w:eastAsia="Times New Roman"/>
          <w:lang w:eastAsia="fr-FR"/>
        </w:rPr>
        <w:t>couvr</w:t>
      </w:r>
      <w:r w:rsidR="00CF1461">
        <w:rPr>
          <w:rFonts w:eastAsia="Times New Roman"/>
          <w:lang w:eastAsia="fr-FR"/>
        </w:rPr>
        <w:t>ant</w:t>
      </w:r>
      <w:r w:rsidR="00CF1461" w:rsidRPr="00F77FC1">
        <w:rPr>
          <w:rFonts w:eastAsia="Times New Roman"/>
          <w:lang w:eastAsia="fr-FR"/>
        </w:rPr>
        <w:t xml:space="preserve"> 34</w:t>
      </w:r>
      <w:r w:rsidR="00372939">
        <w:rPr>
          <w:rFonts w:eastAsia="Times New Roman"/>
          <w:lang w:eastAsia="fr-FR"/>
        </w:rPr>
        <w:t> %</w:t>
      </w:r>
      <w:r w:rsidR="00CF1461" w:rsidRPr="00F77FC1">
        <w:rPr>
          <w:rFonts w:eastAsia="Times New Roman"/>
          <w:lang w:eastAsia="fr-FR"/>
        </w:rPr>
        <w:t xml:space="preserve"> de la population (salariés actifs et pensionnés du secteur formel) ainsi que certains groupes de populations </w:t>
      </w:r>
      <w:r w:rsidR="00CF1461">
        <w:rPr>
          <w:rFonts w:eastAsia="Times New Roman"/>
          <w:lang w:eastAsia="fr-FR"/>
        </w:rPr>
        <w:t>exerçant des métiers indépendants</w:t>
      </w:r>
      <w:r w:rsidR="00CF1461" w:rsidRPr="00F77FC1">
        <w:rPr>
          <w:rFonts w:eastAsia="Times New Roman"/>
          <w:lang w:eastAsia="fr-FR"/>
        </w:rPr>
        <w:t xml:space="preserve"> ; </w:t>
      </w:r>
      <w:r w:rsidR="00CF1461">
        <w:rPr>
          <w:rFonts w:eastAsia="Times New Roman"/>
          <w:lang w:eastAsia="fr-FR"/>
        </w:rPr>
        <w:t>et (2)</w:t>
      </w:r>
      <w:r w:rsidR="005648B1">
        <w:rPr>
          <w:rFonts w:eastAsia="Times New Roman"/>
          <w:lang w:eastAsia="fr-FR"/>
        </w:rPr>
        <w:t> </w:t>
      </w:r>
      <w:r w:rsidR="00CF1461" w:rsidRPr="00F77FC1">
        <w:rPr>
          <w:rFonts w:eastAsia="Times New Roman"/>
          <w:lang w:eastAsia="fr-FR"/>
        </w:rPr>
        <w:t>le Régime d’Assistance Médicale (RAMED)</w:t>
      </w:r>
      <w:r w:rsidR="00805F0D">
        <w:rPr>
          <w:rFonts w:eastAsia="Times New Roman"/>
          <w:lang w:eastAsia="fr-FR"/>
        </w:rPr>
        <w:t xml:space="preserve"> </w:t>
      </w:r>
      <w:r w:rsidR="00CF1461">
        <w:rPr>
          <w:rFonts w:eastAsia="Times New Roman"/>
          <w:lang w:eastAsia="fr-FR"/>
        </w:rPr>
        <w:t>destiné aux</w:t>
      </w:r>
      <w:r w:rsidR="00CF1461" w:rsidRPr="00F77FC1">
        <w:rPr>
          <w:rFonts w:eastAsia="Times New Roman"/>
          <w:lang w:eastAsia="fr-FR"/>
        </w:rPr>
        <w:t xml:space="preserve"> population</w:t>
      </w:r>
      <w:r w:rsidR="00CF1461">
        <w:rPr>
          <w:rFonts w:eastAsia="Times New Roman"/>
          <w:lang w:eastAsia="fr-FR"/>
        </w:rPr>
        <w:t>s</w:t>
      </w:r>
      <w:r w:rsidR="00CF1461" w:rsidRPr="00F77FC1">
        <w:rPr>
          <w:rFonts w:eastAsia="Times New Roman"/>
          <w:lang w:eastAsia="fr-FR"/>
        </w:rPr>
        <w:t xml:space="preserve"> démunie</w:t>
      </w:r>
      <w:r w:rsidR="00CF1461">
        <w:rPr>
          <w:rFonts w:eastAsia="Times New Roman"/>
          <w:lang w:eastAsia="fr-FR"/>
        </w:rPr>
        <w:t>s</w:t>
      </w:r>
      <w:r w:rsidR="00CF1461" w:rsidRPr="00F77FC1">
        <w:rPr>
          <w:rFonts w:eastAsia="Times New Roman"/>
          <w:lang w:eastAsia="fr-FR"/>
        </w:rPr>
        <w:t xml:space="preserve">, </w:t>
      </w:r>
      <w:r w:rsidR="00CF1461">
        <w:rPr>
          <w:rFonts w:eastAsia="Times New Roman"/>
          <w:lang w:eastAsia="fr-FR"/>
        </w:rPr>
        <w:t xml:space="preserve">qui </w:t>
      </w:r>
      <w:r w:rsidR="00CF1461" w:rsidRPr="00F77FC1">
        <w:rPr>
          <w:rFonts w:eastAsia="Times New Roman"/>
          <w:lang w:eastAsia="fr-FR"/>
        </w:rPr>
        <w:t>a contribué à l’amélioration du taux de couverture à 60</w:t>
      </w:r>
      <w:r w:rsidR="00372939">
        <w:rPr>
          <w:rFonts w:eastAsia="Times New Roman"/>
          <w:lang w:eastAsia="fr-FR"/>
        </w:rPr>
        <w:t> %</w:t>
      </w:r>
      <w:r w:rsidR="00CF1461">
        <w:rPr>
          <w:rFonts w:eastAsia="Times New Roman"/>
          <w:lang w:eastAsia="fr-FR"/>
        </w:rPr>
        <w:t xml:space="preserve">, enregistrant environ </w:t>
      </w:r>
      <w:r w:rsidR="00CF1461" w:rsidRPr="00F77FC1">
        <w:rPr>
          <w:rFonts w:eastAsia="Times New Roman"/>
          <w:lang w:eastAsia="fr-FR"/>
        </w:rPr>
        <w:t xml:space="preserve">12 millions </w:t>
      </w:r>
      <w:r w:rsidR="00CF1461">
        <w:rPr>
          <w:rFonts w:eastAsia="Times New Roman"/>
          <w:lang w:eastAsia="fr-FR"/>
        </w:rPr>
        <w:t xml:space="preserve">de </w:t>
      </w:r>
      <w:r w:rsidR="00CF1461" w:rsidRPr="00F77FC1">
        <w:rPr>
          <w:rFonts w:eastAsia="Times New Roman"/>
          <w:lang w:eastAsia="fr-FR"/>
        </w:rPr>
        <w:t xml:space="preserve">bénéficiaires en 2018. </w:t>
      </w:r>
    </w:p>
    <w:p w14:paraId="44B59FB3" w14:textId="23AAA064" w:rsidR="00CF1461" w:rsidRPr="00762824" w:rsidRDefault="004B5A1A" w:rsidP="004B5A1A">
      <w:pPr>
        <w:pStyle w:val="SingleTxtG"/>
        <w:tabs>
          <w:tab w:val="clear" w:pos="1701"/>
          <w:tab w:val="clear" w:pos="2268"/>
          <w:tab w:val="clear" w:pos="2835"/>
        </w:tabs>
        <w:rPr>
          <w:rFonts w:eastAsia="Times New Roman"/>
          <w:lang w:eastAsia="fr-FR"/>
        </w:rPr>
      </w:pPr>
      <w:r w:rsidRPr="00762824">
        <w:rPr>
          <w:rFonts w:eastAsia="Times New Roman"/>
          <w:color w:val="000000" w:themeColor="text1"/>
          <w:lang w:eastAsia="fr-FR"/>
        </w:rPr>
        <w:t>171.</w:t>
      </w:r>
      <w:r w:rsidRPr="00762824">
        <w:rPr>
          <w:rFonts w:eastAsia="Times New Roman"/>
          <w:color w:val="000000" w:themeColor="text1"/>
          <w:lang w:eastAsia="fr-FR"/>
        </w:rPr>
        <w:tab/>
      </w:r>
      <w:r w:rsidR="00CF1461" w:rsidRPr="00762824">
        <w:rPr>
          <w:rFonts w:eastAsia="Times New Roman"/>
          <w:lang w:eastAsia="fr-FR"/>
        </w:rPr>
        <w:t>D’autres régimes de couverture sont destinés à des catégories spécifiques : professions libérales</w:t>
      </w:r>
      <w:r w:rsidR="00CF1461" w:rsidRPr="00D80710">
        <w:rPr>
          <w:rFonts w:eastAsia="Times New Roman"/>
          <w:lang w:eastAsia="fr-FR"/>
        </w:rPr>
        <w:t xml:space="preserve"> et travailleurs indépendants</w:t>
      </w:r>
      <w:r w:rsidR="005648B1">
        <w:rPr>
          <w:rFonts w:eastAsia="Times New Roman"/>
          <w:lang w:eastAsia="fr-FR"/>
        </w:rPr>
        <w:t xml:space="preserve"> </w:t>
      </w:r>
      <w:r w:rsidR="00CF1461" w:rsidRPr="00762824">
        <w:rPr>
          <w:rFonts w:eastAsia="Times New Roman"/>
          <w:lang w:eastAsia="fr-FR"/>
        </w:rPr>
        <w:t>(33</w:t>
      </w:r>
      <w:r w:rsidR="00372939">
        <w:rPr>
          <w:rFonts w:eastAsia="Times New Roman"/>
          <w:lang w:eastAsia="fr-FR"/>
        </w:rPr>
        <w:t> %</w:t>
      </w:r>
      <w:r w:rsidR="00CF1461" w:rsidRPr="00762824">
        <w:rPr>
          <w:rFonts w:eastAsia="Times New Roman"/>
          <w:lang w:eastAsia="fr-FR"/>
        </w:rPr>
        <w:t xml:space="preserve"> de la population) et étudiants de l’enseignement supérieur public et privé. </w:t>
      </w:r>
      <w:r w:rsidR="00CF1461" w:rsidRPr="00082C91">
        <w:rPr>
          <w:rFonts w:eastAsia="Times New Roman"/>
          <w:lang w:eastAsia="fr-FR"/>
        </w:rPr>
        <w:t>L</w:t>
      </w:r>
      <w:r w:rsidR="00CD5A97">
        <w:rPr>
          <w:rFonts w:eastAsia="Times New Roman"/>
          <w:lang w:eastAsia="fr-FR"/>
        </w:rPr>
        <w:t>’</w:t>
      </w:r>
      <w:r w:rsidR="00CF1461" w:rsidRPr="00082C91">
        <w:rPr>
          <w:rFonts w:eastAsia="Times New Roman"/>
          <w:lang w:eastAsia="fr-FR"/>
        </w:rPr>
        <w:t>Assurance Maladie Obligatoire des Etudiants (AMOE) a profité</w:t>
      </w:r>
      <w:r w:rsidR="00CF1461">
        <w:rPr>
          <w:rFonts w:eastAsia="Times New Roman"/>
          <w:lang w:eastAsia="fr-FR"/>
        </w:rPr>
        <w:t xml:space="preserve">, </w:t>
      </w:r>
      <w:r w:rsidR="00CF1461" w:rsidRPr="007F3B8C">
        <w:rPr>
          <w:rFonts w:eastAsia="Times New Roman"/>
          <w:lang w:eastAsia="fr-FR"/>
        </w:rPr>
        <w:t>en 2019</w:t>
      </w:r>
      <w:r w:rsidR="00CF1461">
        <w:rPr>
          <w:rFonts w:eastAsia="Times New Roman"/>
          <w:lang w:eastAsia="fr-FR"/>
        </w:rPr>
        <w:t>,</w:t>
      </w:r>
      <w:r w:rsidR="00CF1461" w:rsidRPr="00082C91">
        <w:rPr>
          <w:rFonts w:eastAsia="Times New Roman"/>
          <w:lang w:eastAsia="fr-FR"/>
        </w:rPr>
        <w:t xml:space="preserve"> à plus que 116 000 étudi</w:t>
      </w:r>
      <w:r w:rsidR="00CF1461">
        <w:rPr>
          <w:rFonts w:eastAsia="Times New Roman"/>
          <w:lang w:eastAsia="fr-FR"/>
        </w:rPr>
        <w:t>ants du secteur public et privé.</w:t>
      </w:r>
      <w:r w:rsidR="00CF1461" w:rsidRPr="00762824">
        <w:rPr>
          <w:rFonts w:eastAsia="Times New Roman"/>
          <w:lang w:eastAsia="fr-FR"/>
        </w:rPr>
        <w:t xml:space="preserve"> </w:t>
      </w:r>
    </w:p>
    <w:p w14:paraId="06BC6ED2" w14:textId="131B9187" w:rsidR="00CF1461" w:rsidRPr="00013F70" w:rsidRDefault="004B5A1A" w:rsidP="004B5A1A">
      <w:pPr>
        <w:pStyle w:val="SingleTxtG"/>
        <w:tabs>
          <w:tab w:val="clear" w:pos="1701"/>
          <w:tab w:val="clear" w:pos="2268"/>
          <w:tab w:val="clear" w:pos="2835"/>
        </w:tabs>
        <w:rPr>
          <w:rFonts w:eastAsia="Times New Roman"/>
          <w:color w:val="000000"/>
          <w:lang w:eastAsia="fr-FR"/>
        </w:rPr>
      </w:pPr>
      <w:r w:rsidRPr="00013F70">
        <w:rPr>
          <w:rFonts w:eastAsia="Times New Roman"/>
          <w:color w:val="000000" w:themeColor="text1"/>
          <w:lang w:eastAsia="fr-FR"/>
        </w:rPr>
        <w:t>172.</w:t>
      </w:r>
      <w:r w:rsidRPr="00013F70">
        <w:rPr>
          <w:rFonts w:eastAsia="Times New Roman"/>
          <w:color w:val="000000" w:themeColor="text1"/>
          <w:lang w:eastAsia="fr-FR"/>
        </w:rPr>
        <w:tab/>
      </w:r>
      <w:r w:rsidR="00CF1461" w:rsidRPr="005776A4">
        <w:rPr>
          <w:rFonts w:eastAsia="Times New Roman"/>
          <w:lang w:eastAsia="fr-FR"/>
        </w:rPr>
        <w:t xml:space="preserve">En rapport avec la </w:t>
      </w:r>
      <w:r w:rsidR="00CF1461">
        <w:rPr>
          <w:rFonts w:eastAsia="Times New Roman"/>
          <w:lang w:eastAsia="fr-FR"/>
        </w:rPr>
        <w:t>SNIA</w:t>
      </w:r>
      <w:r w:rsidR="00CF1461" w:rsidRPr="005776A4">
        <w:rPr>
          <w:rFonts w:eastAsia="Times New Roman"/>
          <w:lang w:eastAsia="fr-FR"/>
        </w:rPr>
        <w:t xml:space="preserve">, </w:t>
      </w:r>
      <w:r w:rsidR="00CF1461">
        <w:rPr>
          <w:rFonts w:eastAsia="Times New Roman"/>
          <w:lang w:eastAsia="fr-FR"/>
        </w:rPr>
        <w:t>un</w:t>
      </w:r>
      <w:r w:rsidR="00CF1461" w:rsidRPr="00286342">
        <w:rPr>
          <w:rFonts w:eastAsia="Times New Roman"/>
          <w:lang w:eastAsia="fr-FR"/>
        </w:rPr>
        <w:t xml:space="preserve">e convention multipartite entre les Ministères de la Santé, de l’Intérieur, de l’Economie et des Finances et le Ministère Chargé des Marocains </w:t>
      </w:r>
      <w:r w:rsidR="00CF1461" w:rsidRPr="00473B94">
        <w:rPr>
          <w:rFonts w:eastAsia="CharisSIL"/>
        </w:rPr>
        <w:t>Résidents</w:t>
      </w:r>
      <w:r w:rsidR="00CF1461" w:rsidRPr="00286342">
        <w:rPr>
          <w:rFonts w:eastAsia="Times New Roman"/>
          <w:lang w:eastAsia="fr-FR"/>
        </w:rPr>
        <w:t xml:space="preserve"> à l’Etranger et Affaires de la Migration a été signée le 26 octobre 2015, pour assurer la couverture de base des migrants régularisés et des réfugiés résidents au Maroc. Cette couverture donnera à cette population le droit de bénéficier du même panier de soins </w:t>
      </w:r>
      <w:r w:rsidR="00CF1461">
        <w:rPr>
          <w:rFonts w:eastAsia="Times New Roman"/>
          <w:lang w:eastAsia="fr-FR"/>
        </w:rPr>
        <w:t>du</w:t>
      </w:r>
      <w:r w:rsidR="00CF1461" w:rsidRPr="00286342">
        <w:rPr>
          <w:rFonts w:eastAsia="Times New Roman"/>
          <w:lang w:eastAsia="fr-FR"/>
        </w:rPr>
        <w:t xml:space="preserve"> </w:t>
      </w:r>
      <w:r w:rsidR="00CF1461">
        <w:rPr>
          <w:rFonts w:eastAsia="Times New Roman"/>
          <w:lang w:eastAsia="fr-FR"/>
        </w:rPr>
        <w:t xml:space="preserve">régime </w:t>
      </w:r>
      <w:r w:rsidR="00CF1461" w:rsidRPr="00286342">
        <w:rPr>
          <w:rFonts w:eastAsia="Times New Roman"/>
          <w:lang w:eastAsia="fr-FR"/>
        </w:rPr>
        <w:t>R</w:t>
      </w:r>
      <w:r w:rsidR="00CF1461">
        <w:rPr>
          <w:rFonts w:eastAsia="Times New Roman"/>
          <w:lang w:eastAsia="fr-FR"/>
        </w:rPr>
        <w:t>AMED</w:t>
      </w:r>
      <w:r w:rsidR="00CF1461" w:rsidRPr="00286342">
        <w:rPr>
          <w:rFonts w:eastAsia="Times New Roman"/>
          <w:lang w:eastAsia="fr-FR"/>
        </w:rPr>
        <w:t>.</w:t>
      </w:r>
    </w:p>
    <w:p w14:paraId="05F42B22" w14:textId="2BACFA37" w:rsidR="00CF1461" w:rsidRPr="00E26090" w:rsidRDefault="007B174A" w:rsidP="0015383D">
      <w:pPr>
        <w:pStyle w:val="H23G"/>
      </w:pPr>
      <w:r>
        <w:tab/>
      </w:r>
      <w:r>
        <w:tab/>
      </w:r>
      <w:r w:rsidR="0015383D">
        <w:t>D</w:t>
      </w:r>
      <w:r w:rsidR="00CF1461" w:rsidRPr="00E26090">
        <w:t>roit à l’éducation et à la formation</w:t>
      </w:r>
    </w:p>
    <w:p w14:paraId="03277DB7" w14:textId="2EF89FEA"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173.</w:t>
      </w:r>
      <w:r w:rsidRPr="00E26090">
        <w:rPr>
          <w:rFonts w:eastAsia="Times New Roman"/>
          <w:color w:val="000000" w:themeColor="text1"/>
          <w:lang w:eastAsia="fr-FR"/>
        </w:rPr>
        <w:tab/>
      </w:r>
      <w:r w:rsidR="00CF1461" w:rsidRPr="00DB63C4">
        <w:rPr>
          <w:rFonts w:eastAsia="Times New Roman"/>
          <w:lang w:eastAsia="fr-FR"/>
        </w:rPr>
        <w:t>Dans le domaine de l’enseignement, pou</w:t>
      </w:r>
      <w:r w:rsidR="00331C60">
        <w:rPr>
          <w:rFonts w:eastAsia="Times New Roman"/>
          <w:lang w:eastAsia="fr-FR"/>
        </w:rPr>
        <w:t>r l’année scolaire 2017-</w:t>
      </w:r>
      <w:r w:rsidR="00F75BAF" w:rsidRPr="00DB63C4">
        <w:rPr>
          <w:rFonts w:eastAsia="Times New Roman"/>
          <w:lang w:eastAsia="fr-FR"/>
        </w:rPr>
        <w:t>2018, l’indice</w:t>
      </w:r>
      <w:r w:rsidR="00CF1461" w:rsidRPr="00DB63C4">
        <w:rPr>
          <w:rFonts w:eastAsia="Times New Roman"/>
          <w:lang w:eastAsia="fr-FR"/>
        </w:rPr>
        <w:t xml:space="preserve"> de la </w:t>
      </w:r>
      <w:r w:rsidR="00CF1461" w:rsidRPr="00473B94">
        <w:rPr>
          <w:rFonts w:eastAsia="CharisSIL"/>
        </w:rPr>
        <w:t>parité</w:t>
      </w:r>
      <w:r w:rsidR="00CF1461" w:rsidRPr="00DB63C4">
        <w:rPr>
          <w:rFonts w:eastAsia="Times New Roman"/>
          <w:lang w:eastAsia="fr-FR"/>
        </w:rPr>
        <w:t xml:space="preserve"> entre les sexes, mesuré par le rapport de l’effectif des filles et celui des garçons dans l’enseignement, a atteint, au niveau national, 95</w:t>
      </w:r>
      <w:r w:rsidR="00372939">
        <w:rPr>
          <w:rFonts w:eastAsia="Times New Roman"/>
          <w:lang w:eastAsia="fr-FR"/>
        </w:rPr>
        <w:t> %</w:t>
      </w:r>
      <w:r w:rsidR="00CF1461" w:rsidRPr="00DB63C4">
        <w:rPr>
          <w:rFonts w:eastAsia="Times New Roman"/>
          <w:lang w:eastAsia="fr-FR"/>
        </w:rPr>
        <w:t xml:space="preserve"> au primaire, 90</w:t>
      </w:r>
      <w:r w:rsidR="00372939">
        <w:rPr>
          <w:rFonts w:eastAsia="Times New Roman"/>
          <w:lang w:eastAsia="fr-FR"/>
        </w:rPr>
        <w:t> %</w:t>
      </w:r>
      <w:r w:rsidR="00CF1461" w:rsidRPr="00DB63C4">
        <w:rPr>
          <w:rFonts w:eastAsia="Times New Roman"/>
          <w:lang w:eastAsia="fr-FR"/>
        </w:rPr>
        <w:t xml:space="preserve"> au secondaire collégial, 105</w:t>
      </w:r>
      <w:r w:rsidR="00372939">
        <w:rPr>
          <w:rFonts w:eastAsia="Times New Roman"/>
          <w:lang w:eastAsia="fr-FR"/>
        </w:rPr>
        <w:t> %</w:t>
      </w:r>
      <w:r w:rsidR="00CF1461" w:rsidRPr="00DB63C4">
        <w:rPr>
          <w:rFonts w:eastAsia="Times New Roman"/>
          <w:lang w:eastAsia="fr-FR"/>
        </w:rPr>
        <w:t xml:space="preserve"> au secondaire qualifiant. En comparaison avec l’année scolaire 2011-2012, cet indice a enregistré un gain de 4 points au primaire, 13 points au secondaire qualifiant et 12 points au secondaire collégial.</w:t>
      </w:r>
    </w:p>
    <w:p w14:paraId="1D0E781A" w14:textId="6743CC11" w:rsidR="00CF1461" w:rsidRPr="00DB63C4" w:rsidRDefault="004B5A1A" w:rsidP="004B5A1A">
      <w:pPr>
        <w:pStyle w:val="SingleTxtG"/>
        <w:tabs>
          <w:tab w:val="clear" w:pos="1701"/>
          <w:tab w:val="clear" w:pos="2268"/>
          <w:tab w:val="clear" w:pos="2835"/>
        </w:tabs>
        <w:rPr>
          <w:rFonts w:asciiTheme="majorBidi" w:hAnsiTheme="majorBidi" w:cstheme="majorBidi"/>
        </w:rPr>
      </w:pPr>
      <w:r w:rsidRPr="00DB63C4">
        <w:rPr>
          <w:rFonts w:asciiTheme="majorBidi" w:hAnsiTheme="majorBidi" w:cstheme="majorBidi"/>
          <w:color w:val="000000" w:themeColor="text1"/>
        </w:rPr>
        <w:t>174.</w:t>
      </w:r>
      <w:r w:rsidRPr="00DB63C4">
        <w:rPr>
          <w:rFonts w:asciiTheme="majorBidi" w:hAnsiTheme="majorBidi" w:cstheme="majorBidi"/>
          <w:color w:val="000000" w:themeColor="text1"/>
        </w:rPr>
        <w:tab/>
      </w:r>
      <w:r w:rsidR="00CF1461" w:rsidRPr="00DB63C4">
        <w:rPr>
          <w:rFonts w:eastAsia="Times New Roman"/>
          <w:lang w:eastAsia="fr-FR"/>
        </w:rPr>
        <w:t>En milieu rural, cet indice a plus que doublé dans l’enseignement primaire, passa</w:t>
      </w:r>
      <w:r w:rsidR="00CF1461" w:rsidRPr="00473B94">
        <w:rPr>
          <w:rFonts w:eastAsia="CharisSIL"/>
        </w:rPr>
        <w:t>n</w:t>
      </w:r>
      <w:r w:rsidR="00CF1461" w:rsidRPr="00DB63C4">
        <w:rPr>
          <w:rFonts w:eastAsia="Times New Roman"/>
          <w:lang w:eastAsia="fr-FR"/>
        </w:rPr>
        <w:t>t de 42</w:t>
      </w:r>
      <w:r w:rsidR="00372939">
        <w:rPr>
          <w:rFonts w:eastAsia="Times New Roman"/>
          <w:lang w:eastAsia="fr-FR"/>
        </w:rPr>
        <w:t> %</w:t>
      </w:r>
      <w:r w:rsidR="00CF1461" w:rsidRPr="00DB63C4">
        <w:rPr>
          <w:rFonts w:eastAsia="Times New Roman"/>
          <w:lang w:eastAsia="fr-FR"/>
        </w:rPr>
        <w:t xml:space="preserve"> en 1991 à 94</w:t>
      </w:r>
      <w:r w:rsidR="00372939">
        <w:rPr>
          <w:rFonts w:eastAsia="Times New Roman"/>
          <w:lang w:eastAsia="fr-FR"/>
        </w:rPr>
        <w:t> %</w:t>
      </w:r>
      <w:r w:rsidR="00CF1461" w:rsidRPr="00DB63C4">
        <w:rPr>
          <w:rFonts w:eastAsia="Times New Roman"/>
          <w:lang w:eastAsia="fr-FR"/>
        </w:rPr>
        <w:t xml:space="preserve"> en 2018, alors qu’en milieu urbain, il est passé de 87</w:t>
      </w:r>
      <w:r w:rsidR="00372939">
        <w:rPr>
          <w:rFonts w:eastAsia="Times New Roman"/>
          <w:lang w:eastAsia="fr-FR"/>
        </w:rPr>
        <w:t> %</w:t>
      </w:r>
      <w:r w:rsidR="00CF1461" w:rsidRPr="00DB63C4">
        <w:rPr>
          <w:rFonts w:eastAsia="Times New Roman"/>
          <w:lang w:eastAsia="fr-FR"/>
        </w:rPr>
        <w:t xml:space="preserve"> à 96</w:t>
      </w:r>
      <w:r w:rsidR="00372939">
        <w:rPr>
          <w:rFonts w:eastAsia="Times New Roman"/>
          <w:lang w:eastAsia="fr-FR"/>
        </w:rPr>
        <w:t> %</w:t>
      </w:r>
      <w:r w:rsidR="00CF1461" w:rsidRPr="00DB63C4">
        <w:rPr>
          <w:rFonts w:eastAsia="Times New Roman"/>
          <w:lang w:eastAsia="fr-FR"/>
        </w:rPr>
        <w:t>. Cela montre que c’est en milieu rural que les améliorations ont été les plus significatives. Concernant l’enseignement secondaire collégial, cet indice est passé, entre 1991 et 2018, de 74</w:t>
      </w:r>
      <w:r w:rsidR="00372939">
        <w:rPr>
          <w:rFonts w:eastAsia="Times New Roman"/>
          <w:lang w:eastAsia="fr-FR"/>
        </w:rPr>
        <w:t> %</w:t>
      </w:r>
      <w:r w:rsidR="00CF1461" w:rsidRPr="00DB63C4">
        <w:rPr>
          <w:rFonts w:eastAsia="Times New Roman"/>
          <w:lang w:eastAsia="fr-FR"/>
        </w:rPr>
        <w:t xml:space="preserve"> à 96</w:t>
      </w:r>
      <w:r w:rsidR="00372939">
        <w:rPr>
          <w:rFonts w:eastAsia="Times New Roman"/>
          <w:lang w:eastAsia="fr-FR"/>
        </w:rPr>
        <w:t> %</w:t>
      </w:r>
      <w:r w:rsidR="00CF1461" w:rsidRPr="00DB63C4">
        <w:rPr>
          <w:rFonts w:eastAsia="Times New Roman"/>
          <w:lang w:eastAsia="fr-FR"/>
        </w:rPr>
        <w:t xml:space="preserve"> en milieu urbain et de 30,8</w:t>
      </w:r>
      <w:r w:rsidR="00372939">
        <w:rPr>
          <w:rFonts w:eastAsia="Times New Roman"/>
          <w:lang w:eastAsia="fr-FR"/>
        </w:rPr>
        <w:t> %</w:t>
      </w:r>
      <w:r w:rsidR="00CF1461" w:rsidRPr="00DB63C4">
        <w:rPr>
          <w:rFonts w:eastAsia="Times New Roman"/>
          <w:lang w:eastAsia="fr-FR"/>
        </w:rPr>
        <w:t xml:space="preserve"> à 77</w:t>
      </w:r>
      <w:r w:rsidR="00372939">
        <w:rPr>
          <w:rFonts w:eastAsia="Times New Roman"/>
          <w:lang w:eastAsia="fr-FR"/>
        </w:rPr>
        <w:t> %</w:t>
      </w:r>
      <w:r w:rsidR="00CF1461" w:rsidRPr="00DB63C4">
        <w:rPr>
          <w:rFonts w:eastAsia="Times New Roman"/>
          <w:lang w:eastAsia="fr-FR"/>
        </w:rPr>
        <w:t xml:space="preserve"> en milieu rural. Dans l’enseignement secondaire qualifiant, l’indice de parité a atteint 105</w:t>
      </w:r>
      <w:r w:rsidR="00372939">
        <w:rPr>
          <w:rFonts w:eastAsia="Times New Roman"/>
          <w:lang w:eastAsia="fr-FR"/>
        </w:rPr>
        <w:t> %</w:t>
      </w:r>
      <w:r w:rsidR="00CF1461" w:rsidRPr="00DB63C4">
        <w:rPr>
          <w:rFonts w:eastAsia="Times New Roman"/>
          <w:lang w:eastAsia="fr-FR"/>
        </w:rPr>
        <w:t xml:space="preserve"> en 2017-2018, avec un écart important entre les milieux de résidence, soit 107</w:t>
      </w:r>
      <w:r w:rsidR="00372939">
        <w:rPr>
          <w:rFonts w:eastAsia="Times New Roman"/>
          <w:lang w:eastAsia="fr-FR"/>
        </w:rPr>
        <w:t> %</w:t>
      </w:r>
      <w:r w:rsidR="00CF1461" w:rsidRPr="00DB63C4">
        <w:rPr>
          <w:rFonts w:eastAsia="Times New Roman"/>
          <w:lang w:eastAsia="fr-FR"/>
        </w:rPr>
        <w:t xml:space="preserve"> en milieu urbain et 91</w:t>
      </w:r>
      <w:r w:rsidR="00372939">
        <w:rPr>
          <w:rFonts w:eastAsia="Times New Roman"/>
          <w:lang w:eastAsia="fr-FR"/>
        </w:rPr>
        <w:t> %</w:t>
      </w:r>
      <w:r w:rsidR="00CF1461" w:rsidRPr="00DB63C4">
        <w:rPr>
          <w:rFonts w:eastAsia="Times New Roman"/>
          <w:lang w:eastAsia="fr-FR"/>
        </w:rPr>
        <w:t xml:space="preserve"> en milieu rural.</w:t>
      </w:r>
    </w:p>
    <w:p w14:paraId="4F222DC7" w14:textId="59E5FDBB" w:rsidR="00CF1461" w:rsidRDefault="004B5A1A" w:rsidP="004B5A1A">
      <w:pPr>
        <w:pStyle w:val="SingleTxtG"/>
        <w:tabs>
          <w:tab w:val="clear" w:pos="1701"/>
          <w:tab w:val="clear" w:pos="2268"/>
          <w:tab w:val="clear" w:pos="2835"/>
        </w:tabs>
        <w:rPr>
          <w:rFonts w:asciiTheme="majorBidi" w:hAnsiTheme="majorBidi" w:cstheme="majorBidi"/>
        </w:rPr>
      </w:pPr>
      <w:r>
        <w:rPr>
          <w:rFonts w:asciiTheme="majorBidi" w:hAnsiTheme="majorBidi" w:cstheme="majorBidi"/>
          <w:color w:val="000000" w:themeColor="text1"/>
        </w:rPr>
        <w:t>175.</w:t>
      </w:r>
      <w:r>
        <w:rPr>
          <w:rFonts w:asciiTheme="majorBidi" w:hAnsiTheme="majorBidi" w:cstheme="majorBidi"/>
          <w:color w:val="000000" w:themeColor="text1"/>
        </w:rPr>
        <w:tab/>
      </w:r>
      <w:r w:rsidR="00CF1461" w:rsidRPr="00DB63C4">
        <w:rPr>
          <w:rFonts w:asciiTheme="majorBidi" w:hAnsiTheme="majorBidi" w:cstheme="majorBidi"/>
        </w:rPr>
        <w:t>La vision stratégique relative à l’éducation et la formation 2015-2030 pr</w:t>
      </w:r>
      <w:r w:rsidR="00CF1461">
        <w:rPr>
          <w:rFonts w:asciiTheme="majorBidi" w:hAnsiTheme="majorBidi" w:cstheme="majorBidi"/>
        </w:rPr>
        <w:t>évoie</w:t>
      </w:r>
      <w:r w:rsidR="00CF1461" w:rsidRPr="00DB63C4">
        <w:rPr>
          <w:rFonts w:asciiTheme="majorBidi" w:hAnsiTheme="majorBidi" w:cstheme="majorBidi"/>
        </w:rPr>
        <w:t xml:space="preserve"> de </w:t>
      </w:r>
      <w:r w:rsidR="00CF1461" w:rsidRPr="00473B94">
        <w:rPr>
          <w:rFonts w:eastAsia="CharisSIL"/>
        </w:rPr>
        <w:t>généraliser</w:t>
      </w:r>
      <w:r w:rsidR="00CF1461" w:rsidRPr="00DB63C4">
        <w:rPr>
          <w:rFonts w:asciiTheme="majorBidi" w:hAnsiTheme="majorBidi" w:cstheme="majorBidi"/>
        </w:rPr>
        <w:t xml:space="preserve"> progressivement l’enseignement de l</w:t>
      </w:r>
      <w:r w:rsidR="00CF1461">
        <w:rPr>
          <w:rFonts w:asciiTheme="majorBidi" w:hAnsiTheme="majorBidi" w:cstheme="majorBidi"/>
        </w:rPr>
        <w:t>’</w:t>
      </w:r>
      <w:r w:rsidR="00CF1461" w:rsidRPr="00DB63C4">
        <w:rPr>
          <w:rFonts w:asciiTheme="majorBidi" w:hAnsiTheme="majorBidi" w:cstheme="majorBidi"/>
        </w:rPr>
        <w:t xml:space="preserve">Amazigh dans les cycles primaire et </w:t>
      </w:r>
      <w:r w:rsidR="00CF1461" w:rsidRPr="00DB63C4">
        <w:rPr>
          <w:rFonts w:asciiTheme="majorBidi" w:hAnsiTheme="majorBidi" w:cstheme="majorBidi"/>
        </w:rPr>
        <w:lastRenderedPageBreak/>
        <w:t>secondaire. En 2018 l</w:t>
      </w:r>
      <w:r w:rsidR="00CD5A97">
        <w:rPr>
          <w:rFonts w:asciiTheme="majorBidi" w:hAnsiTheme="majorBidi" w:cstheme="majorBidi"/>
        </w:rPr>
        <w:t>’</w:t>
      </w:r>
      <w:r w:rsidR="00CF1461" w:rsidRPr="00DB63C4">
        <w:rPr>
          <w:rFonts w:asciiTheme="majorBidi" w:hAnsiTheme="majorBidi" w:cstheme="majorBidi"/>
        </w:rPr>
        <w:t xml:space="preserve">effectif des professeurs spécialisés </w:t>
      </w:r>
      <w:r w:rsidR="00CF1461">
        <w:rPr>
          <w:rFonts w:asciiTheme="majorBidi" w:hAnsiTheme="majorBidi" w:cstheme="majorBidi"/>
        </w:rPr>
        <w:t xml:space="preserve">pour </w:t>
      </w:r>
      <w:r w:rsidR="00CF1461" w:rsidRPr="00DB63C4">
        <w:rPr>
          <w:rFonts w:asciiTheme="majorBidi" w:hAnsiTheme="majorBidi" w:cstheme="majorBidi"/>
        </w:rPr>
        <w:t>enseigner l</w:t>
      </w:r>
      <w:r w:rsidR="00CF1461">
        <w:rPr>
          <w:rFonts w:asciiTheme="majorBidi" w:hAnsiTheme="majorBidi" w:cstheme="majorBidi"/>
        </w:rPr>
        <w:t>’</w:t>
      </w:r>
      <w:r w:rsidR="00CF1461" w:rsidRPr="00DB63C4">
        <w:rPr>
          <w:rFonts w:asciiTheme="majorBidi" w:hAnsiTheme="majorBidi" w:cstheme="majorBidi"/>
        </w:rPr>
        <w:t>Amazigh est d’environ 500 et assurent un enseignement de cette langue à environ 600</w:t>
      </w:r>
      <w:r w:rsidR="005648B1">
        <w:rPr>
          <w:rFonts w:asciiTheme="majorBidi" w:hAnsiTheme="majorBidi" w:cstheme="majorBidi"/>
        </w:rPr>
        <w:t> </w:t>
      </w:r>
      <w:r w:rsidR="00CF1461" w:rsidRPr="00DB63C4">
        <w:rPr>
          <w:rFonts w:asciiTheme="majorBidi" w:hAnsiTheme="majorBidi" w:cstheme="majorBidi"/>
        </w:rPr>
        <w:t>000 élèves.</w:t>
      </w:r>
    </w:p>
    <w:p w14:paraId="6D42FBD7" w14:textId="7EA5C0AF" w:rsidR="00CF1461" w:rsidRDefault="004B5A1A" w:rsidP="004B5A1A">
      <w:pPr>
        <w:pStyle w:val="SingleTxtG"/>
        <w:tabs>
          <w:tab w:val="clear" w:pos="1701"/>
          <w:tab w:val="clear" w:pos="2268"/>
          <w:tab w:val="clear" w:pos="2835"/>
        </w:tabs>
        <w:rPr>
          <w:rFonts w:asciiTheme="majorBidi" w:hAnsiTheme="majorBidi" w:cstheme="majorBidi"/>
        </w:rPr>
      </w:pPr>
      <w:r>
        <w:rPr>
          <w:rFonts w:asciiTheme="majorBidi" w:hAnsiTheme="majorBidi" w:cstheme="majorBidi"/>
          <w:color w:val="000000" w:themeColor="text1"/>
        </w:rPr>
        <w:t>176.</w:t>
      </w:r>
      <w:r>
        <w:rPr>
          <w:rFonts w:asciiTheme="majorBidi" w:hAnsiTheme="majorBidi" w:cstheme="majorBidi"/>
          <w:color w:val="000000" w:themeColor="text1"/>
        </w:rPr>
        <w:tab/>
      </w:r>
      <w:r w:rsidR="00CF1461" w:rsidRPr="00DB63C4">
        <w:rPr>
          <w:rFonts w:asciiTheme="majorBidi" w:hAnsiTheme="majorBidi" w:cstheme="majorBidi"/>
        </w:rPr>
        <w:t>Les nouveaux manuels scolaires de l</w:t>
      </w:r>
      <w:r w:rsidR="00CD5A97">
        <w:rPr>
          <w:rFonts w:asciiTheme="majorBidi" w:hAnsiTheme="majorBidi" w:cstheme="majorBidi"/>
        </w:rPr>
        <w:t>’</w:t>
      </w:r>
      <w:r w:rsidR="00CF1461" w:rsidRPr="00DB63C4">
        <w:rPr>
          <w:rFonts w:asciiTheme="majorBidi" w:hAnsiTheme="majorBidi" w:cstheme="majorBidi"/>
        </w:rPr>
        <w:t xml:space="preserve">enseignement primaires sont conçus pour promouvoir </w:t>
      </w:r>
      <w:r w:rsidR="00CF1461" w:rsidRPr="00082C91">
        <w:rPr>
          <w:rFonts w:asciiTheme="majorBidi" w:hAnsiTheme="majorBidi" w:cstheme="majorBidi"/>
        </w:rPr>
        <w:t>la scolarisation des enfants en situation de handicap</w:t>
      </w:r>
      <w:r w:rsidR="00CF1461">
        <w:rPr>
          <w:rFonts w:asciiTheme="majorBidi" w:hAnsiTheme="majorBidi" w:cstheme="majorBidi"/>
        </w:rPr>
        <w:t xml:space="preserve"> et l’</w:t>
      </w:r>
      <w:r w:rsidR="00CF1461" w:rsidRPr="00DB63C4">
        <w:rPr>
          <w:rFonts w:asciiTheme="majorBidi" w:hAnsiTheme="majorBidi" w:cstheme="majorBidi"/>
        </w:rPr>
        <w:t xml:space="preserve">éducation à la diversité, </w:t>
      </w:r>
      <w:r w:rsidR="00CF1461">
        <w:rPr>
          <w:rFonts w:asciiTheme="majorBidi" w:hAnsiTheme="majorBidi" w:cstheme="majorBidi"/>
        </w:rPr>
        <w:t xml:space="preserve">à </w:t>
      </w:r>
      <w:r w:rsidR="00CF1461" w:rsidRPr="00DB63C4">
        <w:rPr>
          <w:rFonts w:asciiTheme="majorBidi" w:hAnsiTheme="majorBidi" w:cstheme="majorBidi"/>
        </w:rPr>
        <w:t xml:space="preserve">la tolérance et </w:t>
      </w:r>
      <w:r w:rsidR="00CF1461">
        <w:rPr>
          <w:rFonts w:asciiTheme="majorBidi" w:hAnsiTheme="majorBidi" w:cstheme="majorBidi"/>
        </w:rPr>
        <w:t xml:space="preserve">à </w:t>
      </w:r>
      <w:r w:rsidR="00CF1461" w:rsidRPr="00DB63C4">
        <w:rPr>
          <w:rFonts w:asciiTheme="majorBidi" w:hAnsiTheme="majorBidi" w:cstheme="majorBidi"/>
        </w:rPr>
        <w:t xml:space="preserve">la vie en commun, à travers </w:t>
      </w:r>
      <w:r w:rsidR="00CF1461">
        <w:rPr>
          <w:rFonts w:asciiTheme="majorBidi" w:hAnsiTheme="majorBidi" w:cstheme="majorBidi"/>
        </w:rPr>
        <w:t>d</w:t>
      </w:r>
      <w:r w:rsidR="00CF1461" w:rsidRPr="00DB63C4">
        <w:rPr>
          <w:rFonts w:asciiTheme="majorBidi" w:hAnsiTheme="majorBidi" w:cstheme="majorBidi"/>
        </w:rPr>
        <w:t xml:space="preserve">es </w:t>
      </w:r>
      <w:r w:rsidR="00CF1461" w:rsidRPr="00473B94">
        <w:rPr>
          <w:rFonts w:eastAsia="CharisSIL"/>
        </w:rPr>
        <w:t>contenus</w:t>
      </w:r>
      <w:r w:rsidR="00CF1461" w:rsidRPr="00DB63C4">
        <w:rPr>
          <w:rFonts w:asciiTheme="majorBidi" w:hAnsiTheme="majorBidi" w:cstheme="majorBidi"/>
        </w:rPr>
        <w:t xml:space="preserve">, </w:t>
      </w:r>
      <w:r w:rsidR="00CF1461">
        <w:rPr>
          <w:rFonts w:asciiTheme="majorBidi" w:hAnsiTheme="majorBidi" w:cstheme="majorBidi"/>
        </w:rPr>
        <w:t>d</w:t>
      </w:r>
      <w:r w:rsidR="00CF1461" w:rsidRPr="00DB63C4">
        <w:rPr>
          <w:rFonts w:asciiTheme="majorBidi" w:hAnsiTheme="majorBidi" w:cstheme="majorBidi"/>
        </w:rPr>
        <w:t xml:space="preserve">es </w:t>
      </w:r>
      <w:r w:rsidR="00CF1461">
        <w:rPr>
          <w:rFonts w:asciiTheme="majorBidi" w:hAnsiTheme="majorBidi" w:cstheme="majorBidi"/>
        </w:rPr>
        <w:t>situations de vie</w:t>
      </w:r>
      <w:r w:rsidR="00CF1461" w:rsidRPr="00DB63C4">
        <w:rPr>
          <w:rFonts w:asciiTheme="majorBidi" w:hAnsiTheme="majorBidi" w:cstheme="majorBidi"/>
        </w:rPr>
        <w:t xml:space="preserve"> et </w:t>
      </w:r>
      <w:r w:rsidR="00CF1461">
        <w:rPr>
          <w:rFonts w:asciiTheme="majorBidi" w:hAnsiTheme="majorBidi" w:cstheme="majorBidi"/>
        </w:rPr>
        <w:t>d</w:t>
      </w:r>
      <w:r w:rsidR="00CF1461" w:rsidRPr="00DB63C4">
        <w:rPr>
          <w:rFonts w:asciiTheme="majorBidi" w:hAnsiTheme="majorBidi" w:cstheme="majorBidi"/>
        </w:rPr>
        <w:t xml:space="preserve">es activités. Les personnages des contenus portent des prénoms </w:t>
      </w:r>
      <w:r w:rsidR="005648B1">
        <w:rPr>
          <w:rFonts w:asciiTheme="majorBidi" w:hAnsiTheme="majorBidi" w:cstheme="majorBidi"/>
        </w:rPr>
        <w:t>a</w:t>
      </w:r>
      <w:r w:rsidR="00CF1461" w:rsidRPr="00DB63C4">
        <w:rPr>
          <w:rFonts w:asciiTheme="majorBidi" w:hAnsiTheme="majorBidi" w:cstheme="majorBidi"/>
        </w:rPr>
        <w:t xml:space="preserve">rabes, </w:t>
      </w:r>
      <w:r w:rsidR="005648B1">
        <w:rPr>
          <w:rFonts w:asciiTheme="majorBidi" w:hAnsiTheme="majorBidi" w:cstheme="majorBidi"/>
        </w:rPr>
        <w:t>a</w:t>
      </w:r>
      <w:r w:rsidR="00CF1461" w:rsidRPr="00DB63C4">
        <w:rPr>
          <w:rFonts w:asciiTheme="majorBidi" w:hAnsiTheme="majorBidi" w:cstheme="majorBidi"/>
        </w:rPr>
        <w:t xml:space="preserve">mazighs </w:t>
      </w:r>
      <w:r w:rsidR="005648B1">
        <w:rPr>
          <w:rFonts w:asciiTheme="majorBidi" w:hAnsiTheme="majorBidi" w:cstheme="majorBidi"/>
        </w:rPr>
        <w:t>h</w:t>
      </w:r>
      <w:r w:rsidR="00CF1461" w:rsidRPr="00DB63C4">
        <w:rPr>
          <w:rFonts w:asciiTheme="majorBidi" w:hAnsiTheme="majorBidi" w:cstheme="majorBidi"/>
        </w:rPr>
        <w:t xml:space="preserve">assani et </w:t>
      </w:r>
      <w:r w:rsidR="005648B1">
        <w:rPr>
          <w:rFonts w:asciiTheme="majorBidi" w:hAnsiTheme="majorBidi" w:cstheme="majorBidi"/>
        </w:rPr>
        <w:t>a</w:t>
      </w:r>
      <w:r w:rsidR="00CF1461" w:rsidRPr="00DB63C4">
        <w:rPr>
          <w:rFonts w:asciiTheme="majorBidi" w:hAnsiTheme="majorBidi" w:cstheme="majorBidi"/>
        </w:rPr>
        <w:t>fricains (des prénoms étrangers subsahariens)</w:t>
      </w:r>
      <w:r w:rsidR="00CF1461">
        <w:rPr>
          <w:rFonts w:asciiTheme="majorBidi" w:hAnsiTheme="majorBidi" w:cstheme="majorBidi"/>
        </w:rPr>
        <w:t xml:space="preserve">, et les </w:t>
      </w:r>
      <w:r w:rsidR="00CF1461" w:rsidRPr="00DB63C4">
        <w:rPr>
          <w:rFonts w:asciiTheme="majorBidi" w:hAnsiTheme="majorBidi" w:cstheme="majorBidi"/>
        </w:rPr>
        <w:t>photos et i</w:t>
      </w:r>
      <w:r w:rsidR="00CF1461">
        <w:rPr>
          <w:rFonts w:asciiTheme="majorBidi" w:hAnsiTheme="majorBidi" w:cstheme="majorBidi"/>
        </w:rPr>
        <w:t>llustrations montrent d</w:t>
      </w:r>
      <w:r w:rsidR="00CF1461" w:rsidRPr="00DB63C4">
        <w:rPr>
          <w:rFonts w:asciiTheme="majorBidi" w:hAnsiTheme="majorBidi" w:cstheme="majorBidi"/>
        </w:rPr>
        <w:t>es person</w:t>
      </w:r>
      <w:r w:rsidR="00CF1461">
        <w:rPr>
          <w:rFonts w:asciiTheme="majorBidi" w:hAnsiTheme="majorBidi" w:cstheme="majorBidi"/>
        </w:rPr>
        <w:t>nages</w:t>
      </w:r>
      <w:r w:rsidR="00CF1461" w:rsidRPr="00DB63C4">
        <w:rPr>
          <w:rFonts w:asciiTheme="majorBidi" w:hAnsiTheme="majorBidi" w:cstheme="majorBidi"/>
        </w:rPr>
        <w:t xml:space="preserve"> de couleur</w:t>
      </w:r>
      <w:r w:rsidR="00CF1461">
        <w:rPr>
          <w:rFonts w:asciiTheme="majorBidi" w:hAnsiTheme="majorBidi" w:cstheme="majorBidi"/>
        </w:rPr>
        <w:t xml:space="preserve">, </w:t>
      </w:r>
      <w:r w:rsidR="00CF1461" w:rsidRPr="00DB63C4">
        <w:rPr>
          <w:rFonts w:asciiTheme="majorBidi" w:hAnsiTheme="majorBidi" w:cstheme="majorBidi"/>
        </w:rPr>
        <w:t xml:space="preserve">en </w:t>
      </w:r>
      <w:r w:rsidR="00CF1461" w:rsidRPr="002B7D22">
        <w:rPr>
          <w:rFonts w:eastAsia="Times New Roman"/>
          <w:lang w:eastAsia="fr-FR"/>
        </w:rPr>
        <w:t>situation</w:t>
      </w:r>
      <w:r w:rsidR="00CF1461" w:rsidRPr="00DB63C4">
        <w:rPr>
          <w:rFonts w:asciiTheme="majorBidi" w:hAnsiTheme="majorBidi" w:cstheme="majorBidi"/>
        </w:rPr>
        <w:t xml:space="preserve"> d</w:t>
      </w:r>
      <w:r w:rsidR="00CF1461">
        <w:rPr>
          <w:rFonts w:asciiTheme="majorBidi" w:hAnsiTheme="majorBidi" w:cstheme="majorBidi"/>
        </w:rPr>
        <w:t>e handicap etc., afin</w:t>
      </w:r>
      <w:r w:rsidR="00374337">
        <w:rPr>
          <w:rFonts w:asciiTheme="majorBidi" w:hAnsiTheme="majorBidi" w:cstheme="majorBidi"/>
        </w:rPr>
        <w:t xml:space="preserve"> </w:t>
      </w:r>
      <w:r w:rsidR="00CF1461">
        <w:rPr>
          <w:rFonts w:asciiTheme="majorBidi" w:hAnsiTheme="majorBidi" w:cstheme="majorBidi"/>
        </w:rPr>
        <w:t xml:space="preserve">d’éviter tout </w:t>
      </w:r>
      <w:r w:rsidR="00CF1461" w:rsidRPr="00DB63C4">
        <w:rPr>
          <w:rFonts w:asciiTheme="majorBidi" w:hAnsiTheme="majorBidi" w:cstheme="majorBidi"/>
        </w:rPr>
        <w:t>stéréotype sexiste ou autre.</w:t>
      </w:r>
    </w:p>
    <w:p w14:paraId="3DC44B0F" w14:textId="6D5BB406" w:rsidR="00CF1461" w:rsidRPr="00DB63C4" w:rsidRDefault="004B5A1A" w:rsidP="004B5A1A">
      <w:pPr>
        <w:pStyle w:val="SingleTxtG"/>
        <w:tabs>
          <w:tab w:val="clear" w:pos="1701"/>
          <w:tab w:val="clear" w:pos="2268"/>
          <w:tab w:val="clear" w:pos="2835"/>
        </w:tabs>
        <w:rPr>
          <w:rFonts w:asciiTheme="majorBidi" w:hAnsiTheme="majorBidi" w:cstheme="majorBidi"/>
        </w:rPr>
      </w:pPr>
      <w:r w:rsidRPr="00DB63C4">
        <w:rPr>
          <w:rFonts w:asciiTheme="majorBidi" w:hAnsiTheme="majorBidi" w:cstheme="majorBidi"/>
          <w:color w:val="000000" w:themeColor="text1"/>
        </w:rPr>
        <w:t>177.</w:t>
      </w:r>
      <w:r w:rsidRPr="00DB63C4">
        <w:rPr>
          <w:rFonts w:asciiTheme="majorBidi" w:hAnsiTheme="majorBidi" w:cstheme="majorBidi"/>
          <w:color w:val="000000" w:themeColor="text1"/>
        </w:rPr>
        <w:tab/>
      </w:r>
      <w:r w:rsidR="00CF1461">
        <w:rPr>
          <w:rFonts w:asciiTheme="majorBidi" w:hAnsiTheme="majorBidi" w:cstheme="majorBidi"/>
        </w:rPr>
        <w:t>L</w:t>
      </w:r>
      <w:r w:rsidR="00CF1461" w:rsidRPr="00DB63C4">
        <w:rPr>
          <w:rFonts w:asciiTheme="majorBidi" w:hAnsiTheme="majorBidi" w:cstheme="majorBidi"/>
        </w:rPr>
        <w:t xml:space="preserve">e </w:t>
      </w:r>
      <w:r w:rsidR="00CF1461" w:rsidRPr="002B7D22">
        <w:rPr>
          <w:rFonts w:eastAsia="Times New Roman"/>
          <w:lang w:eastAsia="fr-FR"/>
        </w:rPr>
        <w:t>Gouvernement</w:t>
      </w:r>
      <w:r w:rsidR="00CF1461" w:rsidRPr="00DB63C4">
        <w:rPr>
          <w:rFonts w:asciiTheme="majorBidi" w:hAnsiTheme="majorBidi" w:cstheme="majorBidi"/>
        </w:rPr>
        <w:t xml:space="preserve"> </w:t>
      </w:r>
      <w:r w:rsidR="00CF1461">
        <w:rPr>
          <w:rFonts w:asciiTheme="majorBidi" w:hAnsiTheme="majorBidi" w:cstheme="majorBidi"/>
        </w:rPr>
        <w:t>a r</w:t>
      </w:r>
      <w:r w:rsidR="00CF1461" w:rsidRPr="00DB63C4">
        <w:rPr>
          <w:rFonts w:asciiTheme="majorBidi" w:hAnsiTheme="majorBidi" w:cstheme="majorBidi"/>
        </w:rPr>
        <w:t>enforc</w:t>
      </w:r>
      <w:r w:rsidR="00CF1461">
        <w:rPr>
          <w:rFonts w:asciiTheme="majorBidi" w:hAnsiTheme="majorBidi" w:cstheme="majorBidi"/>
        </w:rPr>
        <w:t>é</w:t>
      </w:r>
      <w:r w:rsidR="00CF1461" w:rsidRPr="00DB63C4">
        <w:rPr>
          <w:rFonts w:asciiTheme="majorBidi" w:hAnsiTheme="majorBidi" w:cstheme="majorBidi"/>
        </w:rPr>
        <w:t xml:space="preserve"> </w:t>
      </w:r>
      <w:r w:rsidR="00CF1461">
        <w:rPr>
          <w:rFonts w:asciiTheme="majorBidi" w:hAnsiTheme="majorBidi" w:cstheme="majorBidi"/>
        </w:rPr>
        <w:t>l</w:t>
      </w:r>
      <w:r w:rsidR="00CF1461" w:rsidRPr="00DB63C4">
        <w:rPr>
          <w:rFonts w:asciiTheme="majorBidi" w:hAnsiTheme="majorBidi" w:cstheme="majorBidi"/>
        </w:rPr>
        <w:t xml:space="preserve">es budgets alloués aux programmes sociaux </w:t>
      </w:r>
      <w:r w:rsidR="00CF1461">
        <w:rPr>
          <w:rFonts w:asciiTheme="majorBidi" w:hAnsiTheme="majorBidi" w:cstheme="majorBidi"/>
        </w:rPr>
        <w:t xml:space="preserve">favorisant l’éducation permettant ainsi </w:t>
      </w:r>
      <w:r w:rsidR="00CF1461" w:rsidRPr="00DB63C4">
        <w:rPr>
          <w:rFonts w:asciiTheme="majorBidi" w:hAnsiTheme="majorBidi" w:cstheme="majorBidi"/>
        </w:rPr>
        <w:t>:</w:t>
      </w:r>
    </w:p>
    <w:p w14:paraId="2E806447" w14:textId="1F71D742" w:rsidR="00CF1461" w:rsidRPr="001A4E49" w:rsidRDefault="004B5A1A" w:rsidP="004B5A1A">
      <w:pPr>
        <w:pStyle w:val="Bullet1G"/>
        <w:numPr>
          <w:ilvl w:val="0"/>
          <w:numId w:val="0"/>
        </w:numPr>
        <w:tabs>
          <w:tab w:val="left" w:pos="1701"/>
        </w:tabs>
        <w:ind w:left="1701" w:hanging="170"/>
        <w:rPr>
          <w:lang w:eastAsia="fr-FR"/>
        </w:rPr>
      </w:pPr>
      <w:r w:rsidRPr="001A4E49">
        <w:rPr>
          <w:lang w:eastAsia="fr-FR"/>
        </w:rPr>
        <w:t>•</w:t>
      </w:r>
      <w:r w:rsidRPr="001A4E49">
        <w:rPr>
          <w:lang w:eastAsia="fr-FR"/>
        </w:rPr>
        <w:tab/>
      </w:r>
      <w:r w:rsidR="007B174A">
        <w:rPr>
          <w:lang w:eastAsia="fr-FR"/>
        </w:rPr>
        <w:t>L</w:t>
      </w:r>
      <w:r w:rsidR="00CF1461" w:rsidRPr="00514287">
        <w:rPr>
          <w:lang w:eastAsia="fr-FR"/>
        </w:rPr>
        <w:t>’augmentation</w:t>
      </w:r>
      <w:r w:rsidR="00CF1461" w:rsidRPr="001A4E49">
        <w:rPr>
          <w:lang w:eastAsia="fr-FR"/>
        </w:rPr>
        <w:t xml:space="preserve"> des élèves bénéficiaires du programme TAYSSIR, qui a passé en 2017-2018 de 706 359 enfants (appartenant à 434 communes rurales) </w:t>
      </w:r>
      <w:r w:rsidR="005648B1">
        <w:rPr>
          <w:lang w:eastAsia="fr-FR"/>
        </w:rPr>
        <w:t>à</w:t>
      </w:r>
      <w:r w:rsidR="00CF1461" w:rsidRPr="001A4E49">
        <w:rPr>
          <w:lang w:eastAsia="fr-FR"/>
        </w:rPr>
        <w:t xml:space="preserve"> 2</w:t>
      </w:r>
      <w:r w:rsidR="005648B1">
        <w:rPr>
          <w:lang w:eastAsia="fr-FR"/>
        </w:rPr>
        <w:t> </w:t>
      </w:r>
      <w:r w:rsidR="00CF1461" w:rsidRPr="001A4E49">
        <w:rPr>
          <w:lang w:eastAsia="fr-FR"/>
        </w:rPr>
        <w:t>087</w:t>
      </w:r>
      <w:r w:rsidR="005648B1">
        <w:rPr>
          <w:lang w:eastAsia="fr-FR"/>
        </w:rPr>
        <w:t> </w:t>
      </w:r>
      <w:r w:rsidR="00CF1461" w:rsidRPr="001A4E49">
        <w:rPr>
          <w:lang w:eastAsia="fr-FR"/>
        </w:rPr>
        <w:t>200 enfants en 2018-2019 avec un budget de 2</w:t>
      </w:r>
      <w:r w:rsidR="005648B1">
        <w:rPr>
          <w:lang w:eastAsia="fr-FR"/>
        </w:rPr>
        <w:t> </w:t>
      </w:r>
      <w:r w:rsidR="00CF1461" w:rsidRPr="001A4E49">
        <w:rPr>
          <w:lang w:eastAsia="fr-FR"/>
        </w:rPr>
        <w:t xml:space="preserve">170 millions de </w:t>
      </w:r>
      <w:proofErr w:type="spellStart"/>
      <w:r w:rsidR="00CF1461">
        <w:rPr>
          <w:lang w:eastAsia="fr-FR"/>
        </w:rPr>
        <w:t>Dhs</w:t>
      </w:r>
      <w:proofErr w:type="spellEnd"/>
      <w:r w:rsidR="005A27F7">
        <w:rPr>
          <w:lang w:eastAsia="fr-FR"/>
        </w:rPr>
        <w:t> ;</w:t>
      </w:r>
    </w:p>
    <w:p w14:paraId="0E93CBDE" w14:textId="56E161CD" w:rsidR="00CF1461" w:rsidRPr="00E26090" w:rsidRDefault="004B5A1A" w:rsidP="004B5A1A">
      <w:pPr>
        <w:pStyle w:val="Bullet1G"/>
        <w:numPr>
          <w:ilvl w:val="0"/>
          <w:numId w:val="0"/>
        </w:numPr>
        <w:tabs>
          <w:tab w:val="left" w:pos="1701"/>
        </w:tabs>
        <w:ind w:left="1701" w:hanging="170"/>
        <w:rPr>
          <w:rFonts w:asciiTheme="majorBidi" w:hAnsiTheme="majorBidi" w:cstheme="majorBidi"/>
        </w:rPr>
      </w:pPr>
      <w:r w:rsidRPr="00E26090">
        <w:t>•</w:t>
      </w:r>
      <w:r w:rsidRPr="00E26090">
        <w:tab/>
      </w:r>
      <w:r w:rsidR="007B174A">
        <w:rPr>
          <w:lang w:eastAsia="fr-FR"/>
        </w:rPr>
        <w:t>L</w:t>
      </w:r>
      <w:r w:rsidR="00CF1461" w:rsidRPr="001A4E49">
        <w:rPr>
          <w:lang w:eastAsia="fr-FR"/>
        </w:rPr>
        <w:t>’élargissement du réseau des cantines scolaires et des internats, l’augmentation du nombre de bénéficiaires de bourses, le développement du transport scolaire dans les zones cloisonnées, constituent autant d’actions visant à prévenir le</w:t>
      </w:r>
      <w:r w:rsidR="00CF1461" w:rsidRPr="00DB63C4">
        <w:rPr>
          <w:rFonts w:asciiTheme="majorBidi" w:hAnsiTheme="majorBidi" w:cstheme="majorBidi"/>
        </w:rPr>
        <w:t xml:space="preserve"> décrochage et l’abandon scolaire</w:t>
      </w:r>
      <w:r w:rsidR="00CF1461">
        <w:rPr>
          <w:rFonts w:asciiTheme="majorBidi" w:hAnsiTheme="majorBidi" w:cstheme="majorBidi"/>
        </w:rPr>
        <w:t>, etc</w:t>
      </w:r>
      <w:r w:rsidR="00CF1461" w:rsidRPr="00DB63C4">
        <w:rPr>
          <w:rFonts w:asciiTheme="majorBidi" w:hAnsiTheme="majorBidi" w:cstheme="majorBidi"/>
        </w:rPr>
        <w:t>.</w:t>
      </w:r>
      <w:r w:rsidR="00CF1461" w:rsidRPr="00E26090">
        <w:rPr>
          <w:rFonts w:asciiTheme="majorBidi" w:hAnsiTheme="majorBidi" w:cstheme="majorBidi"/>
        </w:rPr>
        <w:t xml:space="preserve"> </w:t>
      </w:r>
    </w:p>
    <w:p w14:paraId="5700AF7B" w14:textId="0534D523"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178.</w:t>
      </w:r>
      <w:r>
        <w:rPr>
          <w:rFonts w:eastAsia="Times New Roman"/>
          <w:color w:val="000000" w:themeColor="text1"/>
          <w:lang w:eastAsia="fr-FR"/>
        </w:rPr>
        <w:tab/>
      </w:r>
      <w:r w:rsidR="00CF1461" w:rsidRPr="00CA1D1F">
        <w:rPr>
          <w:rFonts w:asciiTheme="majorBidi" w:hAnsiTheme="majorBidi" w:cstheme="majorBidi"/>
        </w:rPr>
        <w:t xml:space="preserve">En phase avec la SNIA, la circulaire </w:t>
      </w:r>
      <w:r w:rsidR="005648B1" w:rsidRPr="0091537E">
        <w:t>n</w:t>
      </w:r>
      <w:r w:rsidR="005648B1" w:rsidRPr="00050C02">
        <w:rPr>
          <w:vertAlign w:val="superscript"/>
        </w:rPr>
        <w:t>o</w:t>
      </w:r>
      <w:r w:rsidR="005648B1">
        <w:t> </w:t>
      </w:r>
      <w:r w:rsidR="00CF1461" w:rsidRPr="00CA1D1F">
        <w:rPr>
          <w:rFonts w:asciiTheme="majorBidi" w:hAnsiTheme="majorBidi" w:cstheme="majorBidi"/>
        </w:rPr>
        <w:t xml:space="preserve">13.487 du 9 octobre 2013 du MEN, permet à </w:t>
      </w:r>
      <w:r w:rsidR="00CF1461" w:rsidRPr="00CA1D1F">
        <w:rPr>
          <w:rFonts w:eastAsia="CharisSIL"/>
        </w:rPr>
        <w:t>partir</w:t>
      </w:r>
      <w:r w:rsidR="00CF1461" w:rsidRPr="00CA1D1F">
        <w:rPr>
          <w:rFonts w:asciiTheme="majorBidi" w:hAnsiTheme="majorBidi" w:cstheme="majorBidi"/>
        </w:rPr>
        <w:t xml:space="preserve"> de la rentrée scolaire 2013-2014, d’inscrire les élèves étrangers subsahariens dans les établissements de l’éducation et de l’enseignement public et privé et aussi de leur permettre de bénéficier des cours de l’éducation non formelle. </w:t>
      </w:r>
      <w:r w:rsidR="00CF1461" w:rsidRPr="00CA1D1F">
        <w:rPr>
          <w:rFonts w:eastAsia="Times New Roman"/>
          <w:lang w:eastAsia="fr-FR"/>
        </w:rPr>
        <w:t xml:space="preserve">Au titre de </w:t>
      </w:r>
      <w:r w:rsidR="00CF1461" w:rsidRPr="00CA1D1F">
        <w:rPr>
          <w:rFonts w:eastAsia="CharisSIL"/>
        </w:rPr>
        <w:t>l’année</w:t>
      </w:r>
      <w:r w:rsidR="00CF1461" w:rsidRPr="00CA1D1F">
        <w:rPr>
          <w:rFonts w:eastAsia="Times New Roman"/>
          <w:lang w:eastAsia="fr-FR"/>
        </w:rPr>
        <w:t xml:space="preserve"> scolaire 2017-2018, le nombre d’élèves, issus de la migration et de l’asile, inscrits dans le système formel atteint 7</w:t>
      </w:r>
      <w:r w:rsidR="005648B1">
        <w:rPr>
          <w:rFonts w:eastAsia="Times New Roman"/>
          <w:lang w:eastAsia="fr-FR"/>
        </w:rPr>
        <w:t> </w:t>
      </w:r>
      <w:r w:rsidR="00CF1461" w:rsidRPr="00CA1D1F">
        <w:rPr>
          <w:rFonts w:eastAsia="Times New Roman"/>
          <w:lang w:eastAsia="fr-FR"/>
        </w:rPr>
        <w:t>000 bénéficiaires et 460 bénéficiaires dans l</w:t>
      </w:r>
      <w:r w:rsidR="00CD5A97">
        <w:rPr>
          <w:rFonts w:eastAsia="Times New Roman"/>
          <w:lang w:eastAsia="fr-FR"/>
        </w:rPr>
        <w:t>’</w:t>
      </w:r>
      <w:r w:rsidR="00CF1461" w:rsidRPr="00CA1D1F">
        <w:rPr>
          <w:rFonts w:eastAsia="Times New Roman"/>
          <w:lang w:eastAsia="fr-FR"/>
        </w:rPr>
        <w:t>enseignement non formel.</w:t>
      </w:r>
    </w:p>
    <w:p w14:paraId="5058E57D" w14:textId="77777777" w:rsidR="00CF1461" w:rsidRDefault="007B174A" w:rsidP="0015383D">
      <w:pPr>
        <w:pStyle w:val="H23G"/>
      </w:pPr>
      <w:r>
        <w:tab/>
      </w:r>
      <w:r>
        <w:tab/>
      </w:r>
      <w:r w:rsidR="00CF1461" w:rsidRPr="00E26090">
        <w:t>Droit de participer, sur un pied d’égalité, aux activités culturelles</w:t>
      </w:r>
    </w:p>
    <w:p w14:paraId="7D68C426" w14:textId="0BEC5991" w:rsidR="00CF1461" w:rsidRDefault="004B5A1A" w:rsidP="004B5A1A">
      <w:pPr>
        <w:pStyle w:val="SingleTxtG"/>
        <w:tabs>
          <w:tab w:val="clear" w:pos="1701"/>
          <w:tab w:val="clear" w:pos="2268"/>
          <w:tab w:val="clear" w:pos="2835"/>
        </w:tabs>
        <w:rPr>
          <w:rFonts w:eastAsia="Times New Roman"/>
        </w:rPr>
      </w:pPr>
      <w:r>
        <w:rPr>
          <w:rFonts w:eastAsia="Times New Roman"/>
          <w:color w:val="000000" w:themeColor="text1"/>
        </w:rPr>
        <w:t>179.</w:t>
      </w:r>
      <w:r>
        <w:rPr>
          <w:rFonts w:eastAsia="Times New Roman"/>
          <w:color w:val="000000" w:themeColor="text1"/>
        </w:rPr>
        <w:tab/>
      </w:r>
      <w:r w:rsidR="00CF1461" w:rsidRPr="00E26090">
        <w:rPr>
          <w:rFonts w:eastAsia="Times New Roman"/>
        </w:rPr>
        <w:t xml:space="preserve">Le Gouvernement a pris en charge l’objectif d’élargissement de l’accès des populations aux infrastructures culturelles dans le souci de favoriser l’épanouissement </w:t>
      </w:r>
      <w:r w:rsidR="00CF1461" w:rsidRPr="00473B94">
        <w:rPr>
          <w:rFonts w:eastAsia="CharisSIL"/>
        </w:rPr>
        <w:t>individuel</w:t>
      </w:r>
      <w:r w:rsidR="00CF1461" w:rsidRPr="00E26090">
        <w:rPr>
          <w:rFonts w:eastAsia="Times New Roman"/>
        </w:rPr>
        <w:t xml:space="preserve"> et collectif des citoyens. </w:t>
      </w:r>
    </w:p>
    <w:p w14:paraId="3739DA8B" w14:textId="23EE66D9" w:rsidR="00CF1461" w:rsidRPr="00E26090" w:rsidRDefault="004B5A1A" w:rsidP="004B5A1A">
      <w:pPr>
        <w:pStyle w:val="SingleTxtG"/>
        <w:tabs>
          <w:tab w:val="clear" w:pos="1701"/>
          <w:tab w:val="clear" w:pos="2268"/>
          <w:tab w:val="clear" w:pos="2835"/>
        </w:tabs>
        <w:rPr>
          <w:rFonts w:eastAsia="Times New Roman"/>
        </w:rPr>
      </w:pPr>
      <w:r w:rsidRPr="00E26090">
        <w:rPr>
          <w:rFonts w:eastAsia="Times New Roman"/>
          <w:color w:val="000000" w:themeColor="text1"/>
        </w:rPr>
        <w:t>180.</w:t>
      </w:r>
      <w:r w:rsidRPr="00E26090">
        <w:rPr>
          <w:rFonts w:eastAsia="Times New Roman"/>
          <w:color w:val="000000" w:themeColor="text1"/>
        </w:rPr>
        <w:tab/>
      </w:r>
      <w:r w:rsidR="00CF1461">
        <w:rPr>
          <w:rFonts w:eastAsia="Times New Roman"/>
        </w:rPr>
        <w:t>D</w:t>
      </w:r>
      <w:r w:rsidR="00CF1461" w:rsidRPr="00E26090">
        <w:rPr>
          <w:rFonts w:eastAsia="Times New Roman"/>
        </w:rPr>
        <w:t>es mécanismes de diffusion de l</w:t>
      </w:r>
      <w:r w:rsidR="00CD5A97">
        <w:rPr>
          <w:rFonts w:eastAsia="Times New Roman"/>
        </w:rPr>
        <w:t>’</w:t>
      </w:r>
      <w:r w:rsidR="00CF1461" w:rsidRPr="00E26090">
        <w:rPr>
          <w:rFonts w:eastAsia="Times New Roman"/>
        </w:rPr>
        <w:t>information liée au Patrimoine culturel</w:t>
      </w:r>
      <w:r w:rsidR="00CF1461">
        <w:rPr>
          <w:rFonts w:eastAsia="Times New Roman"/>
        </w:rPr>
        <w:t>,</w:t>
      </w:r>
      <w:r w:rsidR="00CF1461" w:rsidRPr="00E26090">
        <w:rPr>
          <w:rFonts w:eastAsia="Times New Roman"/>
        </w:rPr>
        <w:t xml:space="preserve"> s</w:t>
      </w:r>
      <w:r w:rsidR="00CD5A97">
        <w:rPr>
          <w:rFonts w:eastAsia="Times New Roman"/>
        </w:rPr>
        <w:t>’</w:t>
      </w:r>
      <w:r w:rsidR="00CF1461" w:rsidRPr="00E26090">
        <w:rPr>
          <w:rFonts w:eastAsia="Times New Roman"/>
        </w:rPr>
        <w:t>adressent aux professionnels œuvrant dans le domaine et au grand public</w:t>
      </w:r>
      <w:r w:rsidR="00CF1461">
        <w:rPr>
          <w:rFonts w:eastAsia="Times New Roman"/>
        </w:rPr>
        <w:t xml:space="preserve"> et</w:t>
      </w:r>
      <w:r w:rsidR="00CF1461" w:rsidRPr="00E26090">
        <w:rPr>
          <w:rFonts w:eastAsia="Times New Roman"/>
        </w:rPr>
        <w:t xml:space="preserve"> spécialement à la jeunesse</w:t>
      </w:r>
      <w:r w:rsidR="00CF1461" w:rsidRPr="001A212D">
        <w:rPr>
          <w:rFonts w:eastAsia="Times New Roman"/>
        </w:rPr>
        <w:t xml:space="preserve"> </w:t>
      </w:r>
      <w:r w:rsidR="00CF1461">
        <w:rPr>
          <w:rFonts w:eastAsia="Times New Roman"/>
        </w:rPr>
        <w:t xml:space="preserve">ont été </w:t>
      </w:r>
      <w:r w:rsidR="00CF1461">
        <w:rPr>
          <w:rFonts w:eastAsia="Times New Roman"/>
          <w:lang w:eastAsia="fr-FR"/>
        </w:rPr>
        <w:t>renforcés</w:t>
      </w:r>
      <w:r w:rsidR="00CF1461">
        <w:rPr>
          <w:rFonts w:eastAsia="Times New Roman"/>
        </w:rPr>
        <w:t xml:space="preserve"> pour permettre la valorisation de </w:t>
      </w:r>
      <w:r w:rsidR="00CF1461" w:rsidRPr="00E26090">
        <w:rPr>
          <w:rFonts w:eastAsia="Times New Roman"/>
        </w:rPr>
        <w:t>la richesse et la diversité du patrimoine culturel</w:t>
      </w:r>
      <w:r w:rsidR="005A27F7">
        <w:rPr>
          <w:rFonts w:eastAsia="Times New Roman"/>
        </w:rPr>
        <w:t xml:space="preserve"> matériel et immatériel du pays</w:t>
      </w:r>
      <w:r w:rsidR="00CF1461" w:rsidRPr="003C06D3">
        <w:rPr>
          <w:rStyle w:val="Appelnotedebasdep"/>
        </w:rPr>
        <w:footnoteReference w:id="57"/>
      </w:r>
      <w:r w:rsidR="005A27F7">
        <w:rPr>
          <w:rFonts w:eastAsia="Times New Roman"/>
        </w:rPr>
        <w:t>.</w:t>
      </w:r>
      <w:r w:rsidR="00CF1461">
        <w:rPr>
          <w:rFonts w:eastAsia="Times New Roman"/>
        </w:rPr>
        <w:t xml:space="preserve"> </w:t>
      </w:r>
    </w:p>
    <w:p w14:paraId="4181E056" w14:textId="3D6D449F" w:rsidR="00CF1461" w:rsidRPr="00013F70" w:rsidRDefault="004B5A1A" w:rsidP="004B5A1A">
      <w:pPr>
        <w:pStyle w:val="SingleTxtG"/>
        <w:tabs>
          <w:tab w:val="clear" w:pos="1701"/>
          <w:tab w:val="clear" w:pos="2268"/>
          <w:tab w:val="clear" w:pos="2835"/>
        </w:tabs>
        <w:rPr>
          <w:rFonts w:eastAsia="Times New Roman"/>
          <w:color w:val="000000"/>
          <w:lang w:eastAsia="fr-FR"/>
        </w:rPr>
      </w:pPr>
      <w:r w:rsidRPr="00013F70">
        <w:rPr>
          <w:rFonts w:eastAsia="Times New Roman"/>
          <w:color w:val="000000" w:themeColor="text1"/>
          <w:lang w:eastAsia="fr-FR"/>
        </w:rPr>
        <w:t>181.</w:t>
      </w:r>
      <w:r w:rsidRPr="00013F70">
        <w:rPr>
          <w:rFonts w:eastAsia="Times New Roman"/>
          <w:color w:val="000000" w:themeColor="text1"/>
          <w:lang w:eastAsia="fr-FR"/>
        </w:rPr>
        <w:tab/>
      </w:r>
      <w:r w:rsidR="00CF1461" w:rsidRPr="00E26090">
        <w:rPr>
          <w:rFonts w:eastAsia="Times New Roman"/>
        </w:rPr>
        <w:t xml:space="preserve">Concernant les personnes en situation de handicap, des mesures ont été prises pour faciliter leur accès à la culture, </w:t>
      </w:r>
      <w:r w:rsidR="00CF1461">
        <w:rPr>
          <w:rFonts w:eastAsia="Times New Roman"/>
        </w:rPr>
        <w:t>notamment le</w:t>
      </w:r>
      <w:r w:rsidR="00CF1461" w:rsidRPr="00E26090">
        <w:rPr>
          <w:rFonts w:eastAsia="Times New Roman"/>
        </w:rPr>
        <w:t xml:space="preserve"> dispositif de soutien à l’édition et au livre qui exige le </w:t>
      </w:r>
      <w:r w:rsidR="00CF1461" w:rsidRPr="00473B94">
        <w:rPr>
          <w:rFonts w:eastAsia="CharisSIL"/>
        </w:rPr>
        <w:t>respect</w:t>
      </w:r>
      <w:r w:rsidR="00CF1461" w:rsidRPr="00E26090">
        <w:rPr>
          <w:rFonts w:eastAsia="Times New Roman"/>
        </w:rPr>
        <w:t xml:space="preserve"> des normes d’accessibilité des déficients visuels aux sites des revues culturelles électroniques et qui favorise le soutien à l’édition réservée aux personnes à besoin spécifiques (les déficients visuels). </w:t>
      </w:r>
      <w:r w:rsidR="00CF1461">
        <w:rPr>
          <w:rFonts w:eastAsia="Times New Roman"/>
        </w:rPr>
        <w:t>Ainsi que</w:t>
      </w:r>
      <w:r w:rsidR="00CF1461" w:rsidRPr="00E26090">
        <w:rPr>
          <w:rFonts w:eastAsia="Times New Roman"/>
        </w:rPr>
        <w:t xml:space="preserve"> la mise en place de «</w:t>
      </w:r>
      <w:r w:rsidR="005A27F7">
        <w:rPr>
          <w:rFonts w:eastAsia="Times New Roman"/>
        </w:rPr>
        <w:t xml:space="preserve"> </w:t>
      </w:r>
      <w:r w:rsidR="00CF1461" w:rsidRPr="00E26090">
        <w:rPr>
          <w:rFonts w:eastAsia="Times New Roman"/>
        </w:rPr>
        <w:t>Coin de malvoyants</w:t>
      </w:r>
      <w:r w:rsidR="005A27F7">
        <w:rPr>
          <w:rFonts w:eastAsia="Times New Roman"/>
        </w:rPr>
        <w:t xml:space="preserve"> </w:t>
      </w:r>
      <w:r w:rsidR="00CF1461" w:rsidRPr="00E26090">
        <w:rPr>
          <w:rFonts w:eastAsia="Times New Roman"/>
        </w:rPr>
        <w:t>» au sein des bibliothèques et l’organisation</w:t>
      </w:r>
      <w:r w:rsidR="00CF1461">
        <w:rPr>
          <w:rFonts w:eastAsia="Times New Roman"/>
        </w:rPr>
        <w:t>,</w:t>
      </w:r>
      <w:r w:rsidR="00CF1461" w:rsidRPr="00E26090">
        <w:rPr>
          <w:rFonts w:eastAsia="Times New Roman"/>
        </w:rPr>
        <w:t xml:space="preserve"> chaque année, d’un championnat national de jeux para-</w:t>
      </w:r>
      <w:r w:rsidR="00CF1461" w:rsidRPr="00E26090">
        <w:rPr>
          <w:rFonts w:eastAsia="Times New Roman"/>
          <w:lang w:eastAsia="fr-FR"/>
        </w:rPr>
        <w:t>olympiques</w:t>
      </w:r>
      <w:r w:rsidR="00CF1461" w:rsidRPr="00E26090">
        <w:rPr>
          <w:rFonts w:eastAsia="Times New Roman"/>
        </w:rPr>
        <w:t xml:space="preserve"> pour personnes handicapées, ainsi qu’un festival pour les personnes à besoins spécifiques.</w:t>
      </w:r>
    </w:p>
    <w:p w14:paraId="2E8814EA" w14:textId="6A905081" w:rsidR="00CF1461" w:rsidRPr="00013F70" w:rsidRDefault="004B5A1A" w:rsidP="004B5A1A">
      <w:pPr>
        <w:pStyle w:val="SingleTxtG"/>
        <w:tabs>
          <w:tab w:val="clear" w:pos="1701"/>
          <w:tab w:val="clear" w:pos="2268"/>
          <w:tab w:val="clear" w:pos="2835"/>
        </w:tabs>
        <w:rPr>
          <w:rFonts w:eastAsia="Times New Roman"/>
          <w:color w:val="000000"/>
          <w:lang w:eastAsia="fr-FR"/>
        </w:rPr>
      </w:pPr>
      <w:r w:rsidRPr="00013F70">
        <w:rPr>
          <w:rFonts w:eastAsia="Times New Roman"/>
          <w:color w:val="000000" w:themeColor="text1"/>
          <w:lang w:eastAsia="fr-FR"/>
        </w:rPr>
        <w:t>182.</w:t>
      </w:r>
      <w:r w:rsidRPr="00013F70">
        <w:rPr>
          <w:rFonts w:eastAsia="Times New Roman"/>
          <w:color w:val="000000" w:themeColor="text1"/>
          <w:lang w:eastAsia="fr-FR"/>
        </w:rPr>
        <w:tab/>
      </w:r>
      <w:r w:rsidR="00CF1461" w:rsidRPr="00E26090">
        <w:rPr>
          <w:rFonts w:eastAsia="Times New Roman"/>
          <w:lang w:eastAsia="fr-FR"/>
        </w:rPr>
        <w:t xml:space="preserve">La </w:t>
      </w:r>
      <w:r w:rsidR="00CF1461" w:rsidRPr="00473B94">
        <w:rPr>
          <w:rFonts w:eastAsia="CharisSIL"/>
        </w:rPr>
        <w:t>sauvegarde</w:t>
      </w:r>
      <w:r w:rsidR="00CF1461" w:rsidRPr="00E26090">
        <w:rPr>
          <w:rFonts w:eastAsia="Times New Roman"/>
          <w:lang w:eastAsia="fr-FR"/>
        </w:rPr>
        <w:t>, la mise en valeur et la transmission des expressions culturelles et des savoir-faire sont considérées, de plus en plus, une priorité nationale</w:t>
      </w:r>
      <w:r w:rsidR="00CF1461">
        <w:rPr>
          <w:rFonts w:eastAsia="Times New Roman"/>
          <w:lang w:eastAsia="fr-FR"/>
        </w:rPr>
        <w:t>.</w:t>
      </w:r>
      <w:r w:rsidR="00CF1461" w:rsidRPr="00E26090">
        <w:rPr>
          <w:rFonts w:eastAsia="Times New Roman"/>
          <w:lang w:eastAsia="fr-FR"/>
        </w:rPr>
        <w:t xml:space="preserve"> Cela se traduit par la multiplication des festivals et des </w:t>
      </w:r>
      <w:r w:rsidR="00CF1461">
        <w:rPr>
          <w:rFonts w:eastAsia="Times New Roman"/>
          <w:lang w:eastAsia="fr-FR"/>
        </w:rPr>
        <w:t>«</w:t>
      </w:r>
      <w:r w:rsidR="005A27F7">
        <w:rPr>
          <w:rFonts w:eastAsia="Times New Roman"/>
          <w:lang w:eastAsia="fr-FR"/>
        </w:rPr>
        <w:t xml:space="preserve"> </w:t>
      </w:r>
      <w:proofErr w:type="spellStart"/>
      <w:r w:rsidR="00CF1461" w:rsidRPr="00E26090">
        <w:rPr>
          <w:rFonts w:eastAsia="Times New Roman"/>
          <w:lang w:eastAsia="fr-FR"/>
        </w:rPr>
        <w:t>moussems</w:t>
      </w:r>
      <w:proofErr w:type="spellEnd"/>
      <w:r w:rsidR="005A27F7">
        <w:rPr>
          <w:rFonts w:eastAsia="Times New Roman"/>
          <w:lang w:eastAsia="fr-FR"/>
        </w:rPr>
        <w:t xml:space="preserve"> </w:t>
      </w:r>
      <w:r w:rsidR="00CF1461">
        <w:rPr>
          <w:rFonts w:eastAsia="Times New Roman"/>
          <w:lang w:eastAsia="fr-FR"/>
        </w:rPr>
        <w:t>»</w:t>
      </w:r>
      <w:r w:rsidR="00CF1461" w:rsidRPr="00E26090">
        <w:rPr>
          <w:rFonts w:eastAsia="Times New Roman"/>
          <w:lang w:eastAsia="fr-FR"/>
        </w:rPr>
        <w:t xml:space="preserve"> sur tout le territoire marocain et ce, dans le but de promouvoir les spécificités régionales et ses composantes socioculturelles. On peut citer en l’occurrence le festival international de Tan-Tan, classé par l’Unesco, patrimoine immatériel de l’Humanité depuis 2005, dédié à la célébration de la culture et les traditions des tribus hassani (Poésie, chants et danses, musique, jeux traditionnels, art culinaire, produits de terroirs, lieux de culte, savoir-faire artisanal, paysages naturels), ainsi que les </w:t>
      </w:r>
      <w:r w:rsidR="00CF1461" w:rsidRPr="00E26090">
        <w:rPr>
          <w:rFonts w:eastAsia="Times New Roman"/>
          <w:lang w:eastAsia="fr-FR"/>
        </w:rPr>
        <w:lastRenderedPageBreak/>
        <w:t xml:space="preserve">festivals Mers et Désert à Dakhla, </w:t>
      </w:r>
      <w:proofErr w:type="spellStart"/>
      <w:r w:rsidR="00CF1461" w:rsidRPr="00E26090">
        <w:rPr>
          <w:rFonts w:eastAsia="Times New Roman"/>
          <w:lang w:eastAsia="fr-FR"/>
        </w:rPr>
        <w:t>Rawafed</w:t>
      </w:r>
      <w:proofErr w:type="spellEnd"/>
      <w:r w:rsidR="00CF1461" w:rsidRPr="00E26090">
        <w:rPr>
          <w:rFonts w:eastAsia="Times New Roman"/>
          <w:lang w:eastAsia="fr-FR"/>
        </w:rPr>
        <w:t xml:space="preserve"> </w:t>
      </w:r>
      <w:proofErr w:type="spellStart"/>
      <w:r w:rsidR="00CF1461" w:rsidRPr="00E26090">
        <w:rPr>
          <w:rFonts w:eastAsia="Times New Roman"/>
          <w:lang w:eastAsia="fr-FR"/>
        </w:rPr>
        <w:t>Azawan</w:t>
      </w:r>
      <w:proofErr w:type="spellEnd"/>
      <w:r w:rsidR="00CF1461" w:rsidRPr="00E26090">
        <w:rPr>
          <w:rFonts w:eastAsia="Times New Roman"/>
          <w:lang w:eastAsia="fr-FR"/>
        </w:rPr>
        <w:t xml:space="preserve"> à Laayoune, </w:t>
      </w:r>
      <w:proofErr w:type="spellStart"/>
      <w:r w:rsidR="00CF1461" w:rsidRPr="00E26090">
        <w:rPr>
          <w:rFonts w:eastAsia="Times New Roman"/>
          <w:lang w:eastAsia="fr-FR"/>
        </w:rPr>
        <w:t>Almadih</w:t>
      </w:r>
      <w:proofErr w:type="spellEnd"/>
      <w:r w:rsidR="00CF1461" w:rsidRPr="00E26090">
        <w:rPr>
          <w:rFonts w:eastAsia="Times New Roman"/>
          <w:lang w:eastAsia="fr-FR"/>
        </w:rPr>
        <w:t xml:space="preserve"> à Smara- </w:t>
      </w:r>
      <w:proofErr w:type="spellStart"/>
      <w:r w:rsidR="00CF1461" w:rsidRPr="00E26090">
        <w:rPr>
          <w:rFonts w:eastAsia="Times New Roman"/>
          <w:lang w:eastAsia="fr-FR"/>
        </w:rPr>
        <w:t>Aousserd</w:t>
      </w:r>
      <w:proofErr w:type="spellEnd"/>
      <w:r w:rsidR="00CF1461" w:rsidRPr="00E26090">
        <w:rPr>
          <w:rFonts w:eastAsia="Times New Roman"/>
          <w:lang w:eastAsia="fr-FR"/>
        </w:rPr>
        <w:t xml:space="preserve">. Pour la composante tant amazighe qu’arabe, on peut citer le festival des arts populaires à Marrakech, le festival </w:t>
      </w:r>
      <w:proofErr w:type="spellStart"/>
      <w:r w:rsidR="00CF1461" w:rsidRPr="00E26090">
        <w:rPr>
          <w:rFonts w:eastAsia="Times New Roman"/>
          <w:lang w:eastAsia="fr-FR"/>
        </w:rPr>
        <w:t>Timitar</w:t>
      </w:r>
      <w:proofErr w:type="spellEnd"/>
      <w:r w:rsidR="00CF1461" w:rsidRPr="00E26090">
        <w:rPr>
          <w:rFonts w:eastAsia="Times New Roman"/>
          <w:lang w:eastAsia="fr-FR"/>
        </w:rPr>
        <w:t xml:space="preserve"> des Musiques Populaires à Agadir,</w:t>
      </w:r>
      <w:r w:rsidR="00CF1461" w:rsidRPr="00E26090">
        <w:rPr>
          <w:rFonts w:eastAsia="Times New Roman"/>
        </w:rPr>
        <w:t xml:space="preserve"> le festival de Musique </w:t>
      </w:r>
      <w:proofErr w:type="spellStart"/>
      <w:r w:rsidR="00CF1461" w:rsidRPr="00E26090">
        <w:rPr>
          <w:rFonts w:eastAsia="Times New Roman"/>
        </w:rPr>
        <w:t>Gnaoua</w:t>
      </w:r>
      <w:proofErr w:type="spellEnd"/>
      <w:r w:rsidR="00CF1461" w:rsidRPr="00E26090">
        <w:rPr>
          <w:rFonts w:eastAsia="Times New Roman"/>
        </w:rPr>
        <w:t xml:space="preserve"> d</w:t>
      </w:r>
      <w:r w:rsidR="00CD5A97">
        <w:rPr>
          <w:rFonts w:eastAsia="Times New Roman"/>
        </w:rPr>
        <w:t>’</w:t>
      </w:r>
      <w:r w:rsidR="00CF1461" w:rsidRPr="00E26090">
        <w:rPr>
          <w:rFonts w:eastAsia="Times New Roman"/>
        </w:rPr>
        <w:t>Essaouira, le festival culturel d</w:t>
      </w:r>
      <w:r w:rsidR="00CD5A97">
        <w:rPr>
          <w:rFonts w:eastAsia="Times New Roman"/>
        </w:rPr>
        <w:t>’</w:t>
      </w:r>
      <w:proofErr w:type="spellStart"/>
      <w:r w:rsidR="00CF1461" w:rsidRPr="00E26090">
        <w:rPr>
          <w:rFonts w:eastAsia="Times New Roman"/>
        </w:rPr>
        <w:t>Asilah</w:t>
      </w:r>
      <w:proofErr w:type="spellEnd"/>
      <w:r w:rsidR="00CF1461" w:rsidRPr="00E26090">
        <w:rPr>
          <w:rFonts w:eastAsia="Times New Roman"/>
        </w:rPr>
        <w:t xml:space="preserve">, le </w:t>
      </w:r>
      <w:proofErr w:type="spellStart"/>
      <w:r w:rsidR="00CF1461" w:rsidRPr="00E26090">
        <w:rPr>
          <w:rFonts w:eastAsia="Times New Roman"/>
        </w:rPr>
        <w:t>m</w:t>
      </w:r>
      <w:r w:rsidR="00CF1461" w:rsidRPr="00E26090">
        <w:rPr>
          <w:rFonts w:eastAsia="Times New Roman"/>
          <w:lang w:eastAsia="fr-FR"/>
        </w:rPr>
        <w:t>oussem</w:t>
      </w:r>
      <w:proofErr w:type="spellEnd"/>
      <w:r w:rsidR="00CF1461" w:rsidRPr="00E26090">
        <w:rPr>
          <w:rFonts w:eastAsia="Times New Roman"/>
          <w:lang w:eastAsia="fr-FR"/>
        </w:rPr>
        <w:t xml:space="preserve"> des Fiançailles à </w:t>
      </w:r>
      <w:proofErr w:type="spellStart"/>
      <w:r w:rsidR="00CF1461" w:rsidRPr="00E26090">
        <w:rPr>
          <w:rFonts w:eastAsia="Times New Roman"/>
          <w:lang w:eastAsia="fr-FR"/>
        </w:rPr>
        <w:t>Imilchil</w:t>
      </w:r>
      <w:proofErr w:type="spellEnd"/>
      <w:r w:rsidR="00CF1461" w:rsidRPr="00E26090">
        <w:rPr>
          <w:rFonts w:eastAsia="Times New Roman"/>
          <w:lang w:eastAsia="fr-FR"/>
        </w:rPr>
        <w:t xml:space="preserve">, le festival </w:t>
      </w:r>
      <w:proofErr w:type="spellStart"/>
      <w:r w:rsidR="00CF1461" w:rsidRPr="00E26090">
        <w:rPr>
          <w:rFonts w:eastAsia="Times New Roman"/>
          <w:lang w:eastAsia="fr-FR"/>
        </w:rPr>
        <w:t>Ahouach</w:t>
      </w:r>
      <w:proofErr w:type="spellEnd"/>
      <w:r w:rsidR="00CF1461" w:rsidRPr="00E26090">
        <w:rPr>
          <w:rFonts w:eastAsia="Times New Roman"/>
          <w:lang w:eastAsia="fr-FR"/>
        </w:rPr>
        <w:t xml:space="preserve"> à Ouarzazate et bien d’autres festivals dans d’autres régions du pays. </w:t>
      </w:r>
    </w:p>
    <w:p w14:paraId="35972E66" w14:textId="77777777" w:rsidR="00CF1461" w:rsidRPr="00E26090" w:rsidRDefault="007B174A" w:rsidP="007B174A">
      <w:pPr>
        <w:pStyle w:val="H1G"/>
        <w:rPr>
          <w:lang w:eastAsia="fr-FR"/>
        </w:rPr>
      </w:pPr>
      <w:r>
        <w:rPr>
          <w:lang w:eastAsia="fr-FR"/>
        </w:rPr>
        <w:tab/>
      </w:r>
      <w:r>
        <w:rPr>
          <w:lang w:eastAsia="fr-FR"/>
        </w:rPr>
        <w:tab/>
      </w:r>
      <w:r w:rsidR="00CF1461" w:rsidRPr="00E26090">
        <w:rPr>
          <w:lang w:eastAsia="fr-FR"/>
        </w:rPr>
        <w:t>Article 6</w:t>
      </w:r>
    </w:p>
    <w:p w14:paraId="03DBCD49" w14:textId="77777777" w:rsidR="00CF1461" w:rsidRDefault="007B174A" w:rsidP="00A5588D">
      <w:pPr>
        <w:pStyle w:val="H1G"/>
      </w:pPr>
      <w:r>
        <w:tab/>
      </w:r>
      <w:r>
        <w:tab/>
      </w:r>
      <w:r w:rsidR="00CF1461" w:rsidRPr="00E26090">
        <w:tab/>
        <w:t>L’État de droit sous l’angle judiciaire</w:t>
      </w:r>
    </w:p>
    <w:p w14:paraId="225F0EE9" w14:textId="77777777" w:rsidR="00CF1461" w:rsidRDefault="007B174A" w:rsidP="00377075">
      <w:pPr>
        <w:pStyle w:val="H23G"/>
      </w:pPr>
      <w:r>
        <w:tab/>
      </w:r>
      <w:r>
        <w:tab/>
      </w:r>
      <w:r w:rsidR="00CF1461" w:rsidRPr="00E26090">
        <w:t>Recommandations 16</w:t>
      </w:r>
      <w:r w:rsidR="00CF1461">
        <w:t>,</w:t>
      </w:r>
      <w:r w:rsidR="00CF1461" w:rsidRPr="00E26090">
        <w:t xml:space="preserve"> 17</w:t>
      </w:r>
      <w:r w:rsidR="00CF1461">
        <w:t xml:space="preserve"> et 18</w:t>
      </w:r>
      <w:r w:rsidR="00CF1461" w:rsidRPr="00E26090">
        <w:t xml:space="preserve"> du Comité</w:t>
      </w:r>
    </w:p>
    <w:p w14:paraId="33CBCC9F" w14:textId="018347D0" w:rsidR="00CF1461" w:rsidRPr="00C97B55" w:rsidRDefault="004B5A1A" w:rsidP="004B5A1A">
      <w:pPr>
        <w:pStyle w:val="SingleTxtG"/>
        <w:tabs>
          <w:tab w:val="clear" w:pos="1701"/>
          <w:tab w:val="clear" w:pos="2268"/>
          <w:tab w:val="clear" w:pos="2835"/>
        </w:tabs>
        <w:rPr>
          <w:rFonts w:eastAsia="Times New Roman"/>
          <w:lang w:eastAsia="fr-FR"/>
        </w:rPr>
      </w:pPr>
      <w:r w:rsidRPr="00C97B55">
        <w:rPr>
          <w:rFonts w:eastAsia="Times New Roman"/>
          <w:color w:val="000000" w:themeColor="text1"/>
          <w:lang w:eastAsia="fr-FR"/>
        </w:rPr>
        <w:t>183.</w:t>
      </w:r>
      <w:r w:rsidRPr="00C97B55">
        <w:rPr>
          <w:rFonts w:eastAsia="Times New Roman"/>
          <w:color w:val="000000" w:themeColor="text1"/>
          <w:lang w:eastAsia="fr-FR"/>
        </w:rPr>
        <w:tab/>
      </w:r>
      <w:r w:rsidR="00CF1461" w:rsidRPr="00C97B55">
        <w:rPr>
          <w:rFonts w:eastAsia="Times New Roman"/>
          <w:lang w:eastAsia="fr-FR"/>
        </w:rPr>
        <w:t>Porté</w:t>
      </w:r>
      <w:r w:rsidR="00CF1461">
        <w:rPr>
          <w:rFonts w:eastAsia="Times New Roman"/>
          <w:lang w:eastAsia="fr-FR"/>
        </w:rPr>
        <w:t>e</w:t>
      </w:r>
      <w:r w:rsidR="00CF1461" w:rsidRPr="00C97B55">
        <w:rPr>
          <w:rFonts w:eastAsia="Times New Roman"/>
          <w:lang w:eastAsia="fr-FR"/>
        </w:rPr>
        <w:t xml:space="preserve"> depuis longtemps notamment par les ONG féminines, la question de savoir pourquoi la loi n’octroie pas le droit à l’épouse</w:t>
      </w:r>
      <w:r w:rsidR="005648B1">
        <w:rPr>
          <w:rFonts w:eastAsia="Times New Roman"/>
          <w:lang w:eastAsia="fr-FR"/>
        </w:rPr>
        <w:t xml:space="preserve"> </w:t>
      </w:r>
      <w:r w:rsidR="00CF1461" w:rsidRPr="00C97B55">
        <w:rPr>
          <w:rFonts w:eastAsia="Times New Roman"/>
          <w:lang w:eastAsia="fr-FR"/>
        </w:rPr>
        <w:t xml:space="preserve">marocaine de transmettre sa nationalité à son </w:t>
      </w:r>
      <w:r w:rsidR="00CF1461" w:rsidRPr="00473B94">
        <w:rPr>
          <w:rFonts w:eastAsia="CharisSIL"/>
        </w:rPr>
        <w:t>conjoint</w:t>
      </w:r>
      <w:r w:rsidR="00CF1461" w:rsidRPr="00C97B55">
        <w:rPr>
          <w:rFonts w:eastAsia="Times New Roman"/>
          <w:lang w:eastAsia="fr-FR"/>
        </w:rPr>
        <w:t xml:space="preserve"> étranger</w:t>
      </w:r>
      <w:r w:rsidR="00CF1461">
        <w:rPr>
          <w:rFonts w:eastAsia="Times New Roman"/>
          <w:lang w:eastAsia="fr-FR"/>
        </w:rPr>
        <w:t>,</w:t>
      </w:r>
      <w:r w:rsidR="00CF1461" w:rsidRPr="00C97B55">
        <w:rPr>
          <w:rFonts w:eastAsia="Times New Roman"/>
          <w:lang w:eastAsia="fr-FR"/>
        </w:rPr>
        <w:t xml:space="preserve"> alors qu’elle a le droit de la transmettre à ses </w:t>
      </w:r>
      <w:r w:rsidR="00B1425B" w:rsidRPr="00C97B55">
        <w:rPr>
          <w:rFonts w:eastAsia="Times New Roman"/>
          <w:lang w:eastAsia="fr-FR"/>
        </w:rPr>
        <w:t>enfants</w:t>
      </w:r>
      <w:r w:rsidR="00CF1461" w:rsidRPr="00C97B55">
        <w:rPr>
          <w:rFonts w:eastAsia="Times New Roman"/>
          <w:lang w:eastAsia="fr-FR"/>
        </w:rPr>
        <w:t>, l’évolution de la situation remarquée ces dernières années</w:t>
      </w:r>
      <w:r w:rsidR="00CF1461">
        <w:rPr>
          <w:rFonts w:eastAsia="Times New Roman"/>
          <w:lang w:eastAsia="fr-FR"/>
        </w:rPr>
        <w:t>,</w:t>
      </w:r>
      <w:r w:rsidR="00CF1461" w:rsidRPr="00C97B55">
        <w:rPr>
          <w:rFonts w:eastAsia="Times New Roman"/>
          <w:lang w:eastAsia="fr-FR"/>
        </w:rPr>
        <w:t xml:space="preserve"> renflouée par les acquis en termes de droits humains consacrés par la Constitution, a permis de renverser la donne. </w:t>
      </w:r>
    </w:p>
    <w:p w14:paraId="2C75D0A5" w14:textId="3571312C"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184.</w:t>
      </w:r>
      <w:r>
        <w:rPr>
          <w:rFonts w:eastAsia="Times New Roman"/>
          <w:color w:val="000000" w:themeColor="text1"/>
          <w:lang w:eastAsia="fr-FR"/>
        </w:rPr>
        <w:tab/>
      </w:r>
      <w:r w:rsidR="00CF1461">
        <w:rPr>
          <w:rFonts w:eastAsia="Times New Roman"/>
          <w:lang w:eastAsia="fr-FR"/>
        </w:rPr>
        <w:t>C’est dans ce sens qu’il faut lire la p</w:t>
      </w:r>
      <w:r w:rsidR="00CF1461" w:rsidRPr="00046F9B">
        <w:rPr>
          <w:rFonts w:eastAsia="Times New Roman"/>
          <w:lang w:eastAsia="fr-FR"/>
        </w:rPr>
        <w:t>roposition de loi</w:t>
      </w:r>
      <w:r w:rsidR="00CF1461">
        <w:rPr>
          <w:rFonts w:eastAsia="Times New Roman"/>
          <w:lang w:eastAsia="fr-FR"/>
        </w:rPr>
        <w:t xml:space="preserve">, émanent de plusieurs </w:t>
      </w:r>
      <w:r w:rsidR="00CF1461" w:rsidRPr="00E863A5">
        <w:rPr>
          <w:rFonts w:eastAsia="Times New Roman"/>
          <w:lang w:eastAsia="fr-FR"/>
        </w:rPr>
        <w:t xml:space="preserve">groupes </w:t>
      </w:r>
      <w:r w:rsidR="00CF1461" w:rsidRPr="002B7D22">
        <w:rPr>
          <w:rFonts w:eastAsia="Times New Roman"/>
          <w:lang w:eastAsia="fr-FR"/>
        </w:rPr>
        <w:t>parlementaires</w:t>
      </w:r>
      <w:r w:rsidR="00CF1461">
        <w:rPr>
          <w:rFonts w:eastAsia="Times New Roman"/>
          <w:lang w:eastAsia="fr-FR"/>
        </w:rPr>
        <w:t>,</w:t>
      </w:r>
      <w:r w:rsidR="00CF1461" w:rsidRPr="00046F9B">
        <w:rPr>
          <w:rFonts w:eastAsia="Times New Roman"/>
          <w:lang w:eastAsia="fr-FR"/>
        </w:rPr>
        <w:t xml:space="preserve"> modifiant et complétant l</w:t>
      </w:r>
      <w:r w:rsidR="00CD5A97">
        <w:rPr>
          <w:rFonts w:eastAsia="Times New Roman"/>
          <w:lang w:eastAsia="fr-FR"/>
        </w:rPr>
        <w:t>’</w:t>
      </w:r>
      <w:r w:rsidR="00CF1461" w:rsidRPr="00046F9B">
        <w:rPr>
          <w:rFonts w:eastAsia="Times New Roman"/>
          <w:lang w:eastAsia="fr-FR"/>
        </w:rPr>
        <w:t xml:space="preserve">article 10 du dahir </w:t>
      </w:r>
      <w:r w:rsidR="005648B1" w:rsidRPr="0091537E">
        <w:t>n</w:t>
      </w:r>
      <w:r w:rsidR="005648B1" w:rsidRPr="00050C02">
        <w:rPr>
          <w:vertAlign w:val="superscript"/>
        </w:rPr>
        <w:t>o</w:t>
      </w:r>
      <w:r w:rsidR="005648B1">
        <w:t> </w:t>
      </w:r>
      <w:r w:rsidR="00CF1461" w:rsidRPr="00046F9B">
        <w:rPr>
          <w:rFonts w:eastAsia="Times New Roman"/>
          <w:lang w:eastAsia="fr-FR"/>
        </w:rPr>
        <w:t xml:space="preserve">1.58.250 du 21 </w:t>
      </w:r>
      <w:proofErr w:type="spellStart"/>
      <w:r w:rsidR="00CF1461" w:rsidRPr="00046F9B">
        <w:rPr>
          <w:rFonts w:eastAsia="Times New Roman"/>
          <w:lang w:eastAsia="fr-FR"/>
        </w:rPr>
        <w:t>safar</w:t>
      </w:r>
      <w:proofErr w:type="spellEnd"/>
      <w:r w:rsidR="00CF1461" w:rsidRPr="00046F9B">
        <w:rPr>
          <w:rFonts w:eastAsia="Times New Roman"/>
          <w:lang w:eastAsia="fr-FR"/>
        </w:rPr>
        <w:t xml:space="preserve"> 1378 (6</w:t>
      </w:r>
      <w:r w:rsidR="005648B1">
        <w:rPr>
          <w:rFonts w:eastAsia="Times New Roman"/>
          <w:lang w:eastAsia="fr-FR"/>
        </w:rPr>
        <w:t> </w:t>
      </w:r>
      <w:r w:rsidR="00CF1461" w:rsidRPr="00046F9B">
        <w:rPr>
          <w:rFonts w:eastAsia="Times New Roman"/>
          <w:lang w:eastAsia="fr-FR"/>
        </w:rPr>
        <w:t>septembre 1958) portant code de la nationalité marocaine</w:t>
      </w:r>
      <w:r w:rsidR="00CF1461">
        <w:rPr>
          <w:rFonts w:eastAsia="Times New Roman"/>
          <w:lang w:eastAsia="fr-FR"/>
        </w:rPr>
        <w:t>, qui a été déposée</w:t>
      </w:r>
      <w:r w:rsidR="00CF1461" w:rsidRPr="00046F9B">
        <w:t xml:space="preserve"> </w:t>
      </w:r>
      <w:r w:rsidR="00CF1461" w:rsidRPr="00046F9B">
        <w:rPr>
          <w:rFonts w:eastAsia="Times New Roman"/>
          <w:lang w:eastAsia="fr-FR"/>
        </w:rPr>
        <w:t xml:space="preserve">à la Chambre </w:t>
      </w:r>
      <w:r w:rsidR="00CF1461">
        <w:rPr>
          <w:rFonts w:eastAsia="Times New Roman"/>
          <w:lang w:eastAsia="fr-FR"/>
        </w:rPr>
        <w:t>des Représentants en date du</w:t>
      </w:r>
      <w:r w:rsidR="00CF1461" w:rsidRPr="00046F9B">
        <w:rPr>
          <w:rFonts w:eastAsia="Times New Roman"/>
          <w:lang w:eastAsia="fr-FR"/>
        </w:rPr>
        <w:t xml:space="preserve"> 17 </w:t>
      </w:r>
      <w:r w:rsidR="005648B1">
        <w:rPr>
          <w:rFonts w:eastAsia="Times New Roman"/>
          <w:lang w:eastAsia="fr-FR"/>
        </w:rPr>
        <w:t>n</w:t>
      </w:r>
      <w:r w:rsidR="00CF1461" w:rsidRPr="00046F9B">
        <w:rPr>
          <w:rFonts w:eastAsia="Times New Roman"/>
          <w:lang w:eastAsia="fr-FR"/>
        </w:rPr>
        <w:t>ovembre 2017</w:t>
      </w:r>
      <w:r w:rsidR="00CF1461">
        <w:rPr>
          <w:rFonts w:eastAsia="Times New Roman"/>
          <w:lang w:eastAsia="fr-FR"/>
        </w:rPr>
        <w:t xml:space="preserve"> et transmise, pour une 1</w:t>
      </w:r>
      <w:r w:rsidR="00CF1461" w:rsidRPr="00795D2E">
        <w:rPr>
          <w:rFonts w:eastAsia="Times New Roman"/>
          <w:vertAlign w:val="superscript"/>
          <w:lang w:eastAsia="fr-FR"/>
        </w:rPr>
        <w:t>ère</w:t>
      </w:r>
      <w:r w:rsidR="00CF1461">
        <w:rPr>
          <w:rFonts w:eastAsia="Times New Roman"/>
          <w:lang w:eastAsia="fr-FR"/>
        </w:rPr>
        <w:t xml:space="preserve"> lecture, </w:t>
      </w:r>
      <w:r w:rsidR="00CF1461" w:rsidRPr="00046F9B">
        <w:rPr>
          <w:rFonts w:eastAsia="Times New Roman"/>
          <w:lang w:eastAsia="fr-FR"/>
        </w:rPr>
        <w:t>à la Commission de justice, de législation et des droits de l</w:t>
      </w:r>
      <w:r w:rsidR="00CD5A97">
        <w:rPr>
          <w:rFonts w:eastAsia="Times New Roman"/>
          <w:lang w:eastAsia="fr-FR"/>
        </w:rPr>
        <w:t>’</w:t>
      </w:r>
      <w:r w:rsidR="00CF1461">
        <w:rPr>
          <w:rFonts w:eastAsia="Times New Roman"/>
          <w:lang w:eastAsia="fr-FR"/>
        </w:rPr>
        <w:t>H</w:t>
      </w:r>
      <w:r w:rsidR="00CF1461" w:rsidRPr="00046F9B">
        <w:rPr>
          <w:rFonts w:eastAsia="Times New Roman"/>
          <w:lang w:eastAsia="fr-FR"/>
        </w:rPr>
        <w:t xml:space="preserve">omme </w:t>
      </w:r>
      <w:r w:rsidR="00CF1461">
        <w:rPr>
          <w:rFonts w:eastAsia="Times New Roman"/>
          <w:lang w:eastAsia="fr-FR"/>
        </w:rPr>
        <w:t>le</w:t>
      </w:r>
      <w:r w:rsidR="00CF1461" w:rsidRPr="00046F9B">
        <w:rPr>
          <w:rFonts w:eastAsia="Times New Roman"/>
          <w:lang w:eastAsia="fr-FR"/>
        </w:rPr>
        <w:t xml:space="preserve"> 4 </w:t>
      </w:r>
      <w:r w:rsidR="00CF1461">
        <w:rPr>
          <w:rFonts w:eastAsia="Times New Roman"/>
          <w:lang w:eastAsia="fr-FR"/>
        </w:rPr>
        <w:t>d</w:t>
      </w:r>
      <w:r w:rsidR="00CF1461" w:rsidRPr="00046F9B">
        <w:rPr>
          <w:rFonts w:eastAsia="Times New Roman"/>
          <w:lang w:eastAsia="fr-FR"/>
        </w:rPr>
        <w:t>écembre 2017</w:t>
      </w:r>
      <w:r w:rsidR="00CF1461">
        <w:rPr>
          <w:rFonts w:eastAsia="Times New Roman"/>
          <w:lang w:eastAsia="fr-FR"/>
        </w:rPr>
        <w:t>.</w:t>
      </w:r>
    </w:p>
    <w:p w14:paraId="3ED21E76" w14:textId="595BE51B" w:rsidR="00CF1461" w:rsidRPr="00013F70" w:rsidRDefault="004B5A1A" w:rsidP="004B5A1A">
      <w:pPr>
        <w:pStyle w:val="SingleTxtG"/>
        <w:tabs>
          <w:tab w:val="clear" w:pos="1701"/>
          <w:tab w:val="clear" w:pos="2268"/>
          <w:tab w:val="clear" w:pos="2835"/>
        </w:tabs>
        <w:rPr>
          <w:rFonts w:eastAsia="Times New Roman"/>
          <w:color w:val="000000"/>
          <w:lang w:eastAsia="fr-FR"/>
        </w:rPr>
      </w:pPr>
      <w:r w:rsidRPr="00013F70">
        <w:rPr>
          <w:rFonts w:eastAsia="Times New Roman"/>
          <w:color w:val="000000" w:themeColor="text1"/>
          <w:lang w:eastAsia="fr-FR"/>
        </w:rPr>
        <w:t>185.</w:t>
      </w:r>
      <w:r w:rsidRPr="00013F70">
        <w:rPr>
          <w:rFonts w:eastAsia="Times New Roman"/>
          <w:color w:val="000000" w:themeColor="text1"/>
          <w:lang w:eastAsia="fr-FR"/>
        </w:rPr>
        <w:tab/>
      </w:r>
      <w:r w:rsidR="00CF1461" w:rsidRPr="00C97B55">
        <w:rPr>
          <w:rFonts w:eastAsia="Times New Roman"/>
          <w:lang w:eastAsia="fr-FR"/>
        </w:rPr>
        <w:t>L</w:t>
      </w:r>
      <w:r w:rsidR="00CD5A97">
        <w:rPr>
          <w:rFonts w:eastAsia="Times New Roman"/>
          <w:lang w:eastAsia="fr-FR"/>
        </w:rPr>
        <w:t>’</w:t>
      </w:r>
      <w:r w:rsidR="00CF1461" w:rsidRPr="00C97B55">
        <w:rPr>
          <w:rFonts w:eastAsia="Times New Roman"/>
          <w:lang w:eastAsia="fr-FR"/>
        </w:rPr>
        <w:t>amendement visé en vertu de cette proposition de loi permettrait au marié étranger à une marocaine ou un étranger qui est marié à une marocaine</w:t>
      </w:r>
      <w:r w:rsidR="00CF1461">
        <w:rPr>
          <w:rFonts w:eastAsia="Times New Roman"/>
          <w:lang w:eastAsia="fr-FR"/>
        </w:rPr>
        <w:t>,</w:t>
      </w:r>
      <w:r w:rsidR="00CF1461" w:rsidRPr="00C97B55">
        <w:rPr>
          <w:rFonts w:eastAsia="Times New Roman"/>
          <w:lang w:eastAsia="fr-FR"/>
        </w:rPr>
        <w:t xml:space="preserve"> après cinq ans au moins de leur séjour ensemble au Maroc</w:t>
      </w:r>
      <w:r w:rsidR="00CF1461">
        <w:rPr>
          <w:rFonts w:eastAsia="Times New Roman"/>
          <w:lang w:eastAsia="fr-FR"/>
        </w:rPr>
        <w:t>,</w:t>
      </w:r>
      <w:r w:rsidR="00CF1461" w:rsidRPr="00C97B55">
        <w:rPr>
          <w:rFonts w:eastAsia="Times New Roman"/>
          <w:lang w:eastAsia="fr-FR"/>
        </w:rPr>
        <w:t xml:space="preserve"> et de manière régulière, à présenter au cours de la relation conjugale au </w:t>
      </w:r>
      <w:r w:rsidR="00CF1461">
        <w:rPr>
          <w:rFonts w:eastAsia="Times New Roman"/>
          <w:lang w:eastAsia="fr-FR"/>
        </w:rPr>
        <w:t>M</w:t>
      </w:r>
      <w:r w:rsidR="00CF1461" w:rsidRPr="00C97B55">
        <w:rPr>
          <w:rFonts w:eastAsia="Times New Roman"/>
          <w:lang w:eastAsia="fr-FR"/>
        </w:rPr>
        <w:t>inistre de la Justice l’autorisation d</w:t>
      </w:r>
      <w:r w:rsidR="00CD5A97">
        <w:rPr>
          <w:rFonts w:eastAsia="Times New Roman"/>
          <w:lang w:eastAsia="fr-FR"/>
        </w:rPr>
        <w:t>’</w:t>
      </w:r>
      <w:r w:rsidR="00CF1461" w:rsidRPr="00C97B55">
        <w:rPr>
          <w:rFonts w:eastAsia="Times New Roman"/>
          <w:lang w:eastAsia="fr-FR"/>
        </w:rPr>
        <w:t>acquérir la nationalité marocaine.</w:t>
      </w:r>
      <w:r w:rsidR="00CF1461">
        <w:rPr>
          <w:rFonts w:eastAsia="Times New Roman"/>
          <w:lang w:eastAsia="fr-FR"/>
        </w:rPr>
        <w:t xml:space="preserve"> Cette proposition de loi cherche à apporter réponse </w:t>
      </w:r>
      <w:r w:rsidR="00CF1461" w:rsidRPr="00C97B55">
        <w:rPr>
          <w:rFonts w:eastAsia="Times New Roman"/>
          <w:lang w:eastAsia="fr-FR"/>
        </w:rPr>
        <w:t>aux multiples problèmes qui se pose</w:t>
      </w:r>
      <w:r w:rsidR="00CF1461">
        <w:rPr>
          <w:rFonts w:eastAsia="Times New Roman"/>
          <w:lang w:eastAsia="fr-FR"/>
        </w:rPr>
        <w:t>nt</w:t>
      </w:r>
      <w:r w:rsidR="00CF1461" w:rsidRPr="00C97B55">
        <w:rPr>
          <w:rFonts w:eastAsia="Times New Roman"/>
          <w:lang w:eastAsia="fr-FR"/>
        </w:rPr>
        <w:t xml:space="preserve"> </w:t>
      </w:r>
      <w:r w:rsidR="00CF1461" w:rsidRPr="008E0730">
        <w:rPr>
          <w:rFonts w:eastAsia="Times New Roman"/>
          <w:lang w:eastAsia="fr-FR"/>
        </w:rPr>
        <w:t xml:space="preserve">aux étrangers mariés à des </w:t>
      </w:r>
      <w:r w:rsidR="00CF1461">
        <w:rPr>
          <w:rFonts w:eastAsia="Times New Roman"/>
          <w:lang w:eastAsia="fr-FR"/>
        </w:rPr>
        <w:t>m</w:t>
      </w:r>
      <w:r w:rsidR="00CF1461" w:rsidRPr="008E0730">
        <w:rPr>
          <w:rFonts w:eastAsia="Times New Roman"/>
          <w:lang w:eastAsia="fr-FR"/>
        </w:rPr>
        <w:t>arocaines</w:t>
      </w:r>
      <w:r w:rsidR="00CF1461" w:rsidRPr="00C97B55">
        <w:rPr>
          <w:rFonts w:eastAsia="Times New Roman"/>
          <w:lang w:eastAsia="fr-FR"/>
        </w:rPr>
        <w:t>, particulièrement en ce qui concerne la résidence, l’entrée et la sortie du territoire national</w:t>
      </w:r>
      <w:r w:rsidR="00CF1461">
        <w:rPr>
          <w:rFonts w:eastAsia="Times New Roman"/>
          <w:lang w:eastAsia="fr-FR"/>
        </w:rPr>
        <w:t xml:space="preserve"> ; outre les </w:t>
      </w:r>
      <w:r w:rsidR="00CF1461" w:rsidRPr="00C97B55">
        <w:rPr>
          <w:rFonts w:eastAsia="Times New Roman"/>
          <w:lang w:eastAsia="fr-FR"/>
        </w:rPr>
        <w:t xml:space="preserve">innombrables gênes au niveau administratif et </w:t>
      </w:r>
      <w:r w:rsidR="00CF1461">
        <w:rPr>
          <w:rFonts w:eastAsia="Times New Roman"/>
          <w:lang w:eastAsia="fr-FR"/>
        </w:rPr>
        <w:t xml:space="preserve">en matière </w:t>
      </w:r>
      <w:r w:rsidR="00CF1461" w:rsidRPr="00C97B55">
        <w:rPr>
          <w:rFonts w:eastAsia="Times New Roman"/>
          <w:lang w:eastAsia="fr-FR"/>
        </w:rPr>
        <w:t xml:space="preserve">de propriété </w:t>
      </w:r>
      <w:r w:rsidR="00CF1461">
        <w:rPr>
          <w:rFonts w:eastAsia="Times New Roman"/>
          <w:lang w:eastAsia="fr-FR"/>
        </w:rPr>
        <w:t>chez les</w:t>
      </w:r>
      <w:r w:rsidR="00CF1461" w:rsidRPr="00C97B55">
        <w:rPr>
          <w:rFonts w:eastAsia="Times New Roman"/>
          <w:lang w:eastAsia="fr-FR"/>
        </w:rPr>
        <w:t xml:space="preserve"> familles binationales</w:t>
      </w:r>
      <w:r w:rsidR="00CF1461" w:rsidRPr="00013F70">
        <w:rPr>
          <w:rStyle w:val="Appelnotedebasdep"/>
        </w:rPr>
        <w:footnoteReference w:id="58"/>
      </w:r>
      <w:r w:rsidR="00B1425B" w:rsidRPr="00013F70">
        <w:rPr>
          <w:rFonts w:eastAsia="Times New Roman"/>
          <w:color w:val="000000"/>
          <w:lang w:eastAsia="fr-FR"/>
        </w:rPr>
        <w:t>.</w:t>
      </w:r>
      <w:r w:rsidR="00CF1461" w:rsidRPr="00013F70">
        <w:rPr>
          <w:rFonts w:eastAsia="Times New Roman"/>
          <w:color w:val="000000"/>
          <w:lang w:eastAsia="fr-FR"/>
        </w:rPr>
        <w:t xml:space="preserve"> </w:t>
      </w:r>
    </w:p>
    <w:p w14:paraId="1DE76A83" w14:textId="46EF096A" w:rsidR="00CF1461" w:rsidRPr="00C97B55" w:rsidRDefault="004B5A1A" w:rsidP="004B5A1A">
      <w:pPr>
        <w:pStyle w:val="SingleTxtG"/>
        <w:tabs>
          <w:tab w:val="clear" w:pos="1701"/>
          <w:tab w:val="clear" w:pos="2268"/>
          <w:tab w:val="clear" w:pos="2835"/>
        </w:tabs>
        <w:rPr>
          <w:rFonts w:eastAsia="Times New Roman"/>
          <w:lang w:eastAsia="fr-FR"/>
        </w:rPr>
      </w:pPr>
      <w:r w:rsidRPr="00C97B55">
        <w:rPr>
          <w:rFonts w:eastAsia="Times New Roman"/>
          <w:color w:val="000000" w:themeColor="text1"/>
          <w:lang w:eastAsia="fr-FR"/>
        </w:rPr>
        <w:t>186.</w:t>
      </w:r>
      <w:r w:rsidRPr="00C97B55">
        <w:rPr>
          <w:rFonts w:eastAsia="Times New Roman"/>
          <w:color w:val="000000" w:themeColor="text1"/>
          <w:lang w:eastAsia="fr-FR"/>
        </w:rPr>
        <w:tab/>
      </w:r>
      <w:r w:rsidR="00CF1461" w:rsidRPr="00473B94">
        <w:rPr>
          <w:rFonts w:eastAsia="CharisSIL"/>
        </w:rPr>
        <w:t>Rappelons</w:t>
      </w:r>
      <w:r w:rsidR="00CF1461" w:rsidRPr="00C97B55">
        <w:rPr>
          <w:rFonts w:eastAsia="Times New Roman"/>
          <w:lang w:eastAsia="fr-FR"/>
        </w:rPr>
        <w:t xml:space="preserve"> </w:t>
      </w:r>
      <w:r w:rsidR="00CF1461">
        <w:rPr>
          <w:rFonts w:eastAsia="Times New Roman"/>
          <w:lang w:eastAsia="fr-FR"/>
        </w:rPr>
        <w:t xml:space="preserve">par ailleurs </w:t>
      </w:r>
      <w:r w:rsidR="00CF1461" w:rsidRPr="00C97B55">
        <w:rPr>
          <w:rFonts w:eastAsia="Times New Roman"/>
          <w:lang w:eastAsia="fr-FR"/>
        </w:rPr>
        <w:t xml:space="preserve">que l’initiative prise par le Maroc en date du 8 </w:t>
      </w:r>
      <w:r w:rsidR="00F26D77">
        <w:rPr>
          <w:rFonts w:eastAsia="Times New Roman"/>
          <w:lang w:eastAsia="fr-FR"/>
        </w:rPr>
        <w:t>a</w:t>
      </w:r>
      <w:r w:rsidR="00CF1461" w:rsidRPr="00C97B55">
        <w:rPr>
          <w:rFonts w:eastAsia="Times New Roman"/>
          <w:lang w:eastAsia="fr-FR"/>
        </w:rPr>
        <w:t xml:space="preserve">vril 2011 </w:t>
      </w:r>
      <w:r w:rsidR="00331C60" w:rsidRPr="00C97B55">
        <w:rPr>
          <w:rFonts w:eastAsia="Times New Roman"/>
          <w:lang w:eastAsia="fr-FR"/>
        </w:rPr>
        <w:t>pour retirer</w:t>
      </w:r>
      <w:r w:rsidR="00CF1461" w:rsidRPr="00C97B55">
        <w:rPr>
          <w:rFonts w:eastAsia="Times New Roman"/>
          <w:lang w:eastAsia="fr-FR"/>
        </w:rPr>
        <w:t xml:space="preserve"> ses réserves sur le paragraphe 2 de l</w:t>
      </w:r>
      <w:r w:rsidR="00CD5A97">
        <w:rPr>
          <w:rFonts w:eastAsia="Times New Roman"/>
          <w:lang w:eastAsia="fr-FR"/>
        </w:rPr>
        <w:t>’</w:t>
      </w:r>
      <w:r w:rsidR="00CF1461" w:rsidRPr="00C97B55">
        <w:rPr>
          <w:rFonts w:eastAsia="Times New Roman"/>
          <w:lang w:eastAsia="fr-FR"/>
        </w:rPr>
        <w:t xml:space="preserve">article 9 de </w:t>
      </w:r>
      <w:r w:rsidR="00331C60" w:rsidRPr="00C97B55">
        <w:rPr>
          <w:rFonts w:eastAsia="Times New Roman"/>
          <w:lang w:eastAsia="fr-FR"/>
        </w:rPr>
        <w:t>la CEDAW</w:t>
      </w:r>
      <w:r w:rsidR="00CF1461" w:rsidRPr="00C97B55">
        <w:rPr>
          <w:rFonts w:eastAsia="Times New Roman"/>
          <w:lang w:eastAsia="fr-FR"/>
        </w:rPr>
        <w:t xml:space="preserve"> portant sur des droits égaux entre la femme et l</w:t>
      </w:r>
      <w:r w:rsidR="00CD5A97">
        <w:rPr>
          <w:rFonts w:eastAsia="Times New Roman"/>
          <w:lang w:eastAsia="fr-FR"/>
        </w:rPr>
        <w:t>’</w:t>
      </w:r>
      <w:r w:rsidR="00CF1461" w:rsidRPr="00C97B55">
        <w:rPr>
          <w:rFonts w:eastAsia="Times New Roman"/>
          <w:lang w:eastAsia="fr-FR"/>
        </w:rPr>
        <w:t xml:space="preserve">homme en ce qui concerne la nationalité de leurs enfants, </w:t>
      </w:r>
      <w:r w:rsidR="00CF1461">
        <w:rPr>
          <w:rFonts w:eastAsia="Times New Roman"/>
          <w:lang w:eastAsia="fr-FR"/>
        </w:rPr>
        <w:t>a</w:t>
      </w:r>
      <w:r w:rsidR="00CF1461" w:rsidRPr="00C97B55">
        <w:rPr>
          <w:rFonts w:eastAsia="Times New Roman"/>
          <w:lang w:eastAsia="fr-FR"/>
        </w:rPr>
        <w:t xml:space="preserve"> préparé le terrain pour la révision de la législation sur la nationalité. </w:t>
      </w:r>
    </w:p>
    <w:p w14:paraId="51EDEEAB" w14:textId="439F263A" w:rsidR="00CF1461" w:rsidRPr="00CF574F" w:rsidRDefault="004B5A1A" w:rsidP="004B5A1A">
      <w:pPr>
        <w:pStyle w:val="SingleTxtG"/>
        <w:tabs>
          <w:tab w:val="clear" w:pos="1701"/>
          <w:tab w:val="clear" w:pos="2268"/>
          <w:tab w:val="clear" w:pos="2835"/>
        </w:tabs>
        <w:rPr>
          <w:rFonts w:eastAsia="Times New Roman"/>
          <w:lang w:eastAsia="fr-FR"/>
        </w:rPr>
      </w:pPr>
      <w:r w:rsidRPr="00CF574F">
        <w:rPr>
          <w:rFonts w:eastAsia="Times New Roman"/>
          <w:color w:val="000000" w:themeColor="text1"/>
          <w:lang w:eastAsia="fr-FR"/>
        </w:rPr>
        <w:t>187.</w:t>
      </w:r>
      <w:r w:rsidRPr="00CF574F">
        <w:rPr>
          <w:rFonts w:eastAsia="Times New Roman"/>
          <w:color w:val="000000" w:themeColor="text1"/>
          <w:lang w:eastAsia="fr-FR"/>
        </w:rPr>
        <w:tab/>
      </w:r>
      <w:r w:rsidR="00CF1461" w:rsidRPr="00CF574F">
        <w:rPr>
          <w:rFonts w:eastAsia="Times New Roman"/>
          <w:lang w:eastAsia="fr-FR"/>
        </w:rPr>
        <w:t>En 2014, le Maroc a célébré les dix ans de mise en œuvre de la «</w:t>
      </w:r>
      <w:r w:rsidR="00331C60">
        <w:rPr>
          <w:rFonts w:eastAsia="Times New Roman"/>
          <w:lang w:eastAsia="fr-FR"/>
        </w:rPr>
        <w:t xml:space="preserve"> </w:t>
      </w:r>
      <w:proofErr w:type="spellStart"/>
      <w:r w:rsidR="00CF1461" w:rsidRPr="00CF574F">
        <w:rPr>
          <w:rFonts w:eastAsia="Times New Roman"/>
          <w:lang w:eastAsia="fr-FR"/>
        </w:rPr>
        <w:t>Moudawana</w:t>
      </w:r>
      <w:proofErr w:type="spellEnd"/>
      <w:r w:rsidR="00331C60">
        <w:rPr>
          <w:rFonts w:eastAsia="Times New Roman"/>
          <w:lang w:eastAsia="fr-FR"/>
        </w:rPr>
        <w:t xml:space="preserve"> </w:t>
      </w:r>
      <w:r w:rsidR="00CF1461" w:rsidRPr="00CF574F">
        <w:rPr>
          <w:rFonts w:eastAsia="Times New Roman"/>
          <w:lang w:eastAsia="fr-FR"/>
        </w:rPr>
        <w:t xml:space="preserve">». Entré en vigueur le 5 février 2004, ce </w:t>
      </w:r>
      <w:r w:rsidR="00F26D77">
        <w:rPr>
          <w:rFonts w:eastAsia="Times New Roman"/>
          <w:lang w:eastAsia="fr-FR"/>
        </w:rPr>
        <w:t>c</w:t>
      </w:r>
      <w:r w:rsidR="00CF1461" w:rsidRPr="00CF574F">
        <w:rPr>
          <w:rFonts w:eastAsia="Times New Roman"/>
          <w:lang w:eastAsia="fr-FR"/>
        </w:rPr>
        <w:t xml:space="preserve">ode </w:t>
      </w:r>
      <w:r w:rsidR="00CF1461">
        <w:rPr>
          <w:rFonts w:eastAsia="Times New Roman"/>
          <w:lang w:eastAsia="fr-FR"/>
        </w:rPr>
        <w:t>promeut l</w:t>
      </w:r>
      <w:r w:rsidR="00CD5A97">
        <w:rPr>
          <w:rFonts w:eastAsia="Times New Roman"/>
          <w:lang w:eastAsia="fr-FR"/>
        </w:rPr>
        <w:t>’</w:t>
      </w:r>
      <w:r w:rsidR="00CF1461" w:rsidRPr="00CF574F">
        <w:rPr>
          <w:rFonts w:eastAsia="Times New Roman"/>
          <w:lang w:eastAsia="fr-FR"/>
        </w:rPr>
        <w:t>égalité entre les époux en droits et devoirs, le statut de la femme, la protection des intérêts sociaux et financiers de l</w:t>
      </w:r>
      <w:r w:rsidR="00CD5A97">
        <w:rPr>
          <w:rFonts w:eastAsia="Times New Roman"/>
          <w:lang w:eastAsia="fr-FR"/>
        </w:rPr>
        <w:t>’</w:t>
      </w:r>
      <w:r w:rsidR="00CF1461" w:rsidRPr="00CF574F">
        <w:rPr>
          <w:rFonts w:eastAsia="Times New Roman"/>
          <w:lang w:eastAsia="fr-FR"/>
        </w:rPr>
        <w:t xml:space="preserve">enfant </w:t>
      </w:r>
      <w:r w:rsidR="00CF1461">
        <w:rPr>
          <w:rFonts w:eastAsia="Times New Roman"/>
          <w:lang w:eastAsia="fr-FR"/>
        </w:rPr>
        <w:t xml:space="preserve">et </w:t>
      </w:r>
      <w:r w:rsidR="00CF1461" w:rsidRPr="00CF574F">
        <w:rPr>
          <w:rFonts w:eastAsia="Times New Roman"/>
          <w:lang w:eastAsia="fr-FR"/>
        </w:rPr>
        <w:t>conf</w:t>
      </w:r>
      <w:r w:rsidR="00CF1461">
        <w:rPr>
          <w:rFonts w:eastAsia="Times New Roman"/>
          <w:lang w:eastAsia="fr-FR"/>
        </w:rPr>
        <w:t>ère</w:t>
      </w:r>
      <w:r w:rsidR="00CF1461" w:rsidRPr="00CF574F">
        <w:rPr>
          <w:rFonts w:eastAsia="Times New Roman"/>
          <w:lang w:eastAsia="fr-FR"/>
        </w:rPr>
        <w:t xml:space="preserve"> à la justice un rôle central dans le domaine de la vie privée qu</w:t>
      </w:r>
      <w:r w:rsidR="00CD5A97">
        <w:rPr>
          <w:rFonts w:eastAsia="Times New Roman"/>
          <w:lang w:eastAsia="fr-FR"/>
        </w:rPr>
        <w:t>’</w:t>
      </w:r>
      <w:r w:rsidR="00CF1461" w:rsidRPr="00CF574F">
        <w:rPr>
          <w:rFonts w:eastAsia="Times New Roman"/>
          <w:lang w:eastAsia="fr-FR"/>
        </w:rPr>
        <w:t>est la famille.</w:t>
      </w:r>
    </w:p>
    <w:p w14:paraId="2FE9F01C" w14:textId="457DB021" w:rsidR="00CF1461" w:rsidRPr="00C97B55" w:rsidRDefault="004B5A1A" w:rsidP="004B5A1A">
      <w:pPr>
        <w:pStyle w:val="SingleTxtG"/>
        <w:tabs>
          <w:tab w:val="clear" w:pos="1701"/>
          <w:tab w:val="clear" w:pos="2268"/>
          <w:tab w:val="clear" w:pos="2835"/>
        </w:tabs>
        <w:rPr>
          <w:rFonts w:eastAsia="Times New Roman"/>
          <w:lang w:eastAsia="fr-FR"/>
        </w:rPr>
      </w:pPr>
      <w:r w:rsidRPr="00C97B55">
        <w:rPr>
          <w:rFonts w:eastAsia="Times New Roman"/>
          <w:color w:val="000000" w:themeColor="text1"/>
          <w:lang w:eastAsia="fr-FR"/>
        </w:rPr>
        <w:t>188.</w:t>
      </w:r>
      <w:r w:rsidRPr="00C97B55">
        <w:rPr>
          <w:rFonts w:eastAsia="Times New Roman"/>
          <w:color w:val="000000" w:themeColor="text1"/>
          <w:lang w:eastAsia="fr-FR"/>
        </w:rPr>
        <w:tab/>
      </w:r>
      <w:r w:rsidR="00CF1461" w:rsidRPr="00C97B55">
        <w:rPr>
          <w:rFonts w:eastAsia="Times New Roman"/>
          <w:lang w:eastAsia="fr-FR"/>
        </w:rPr>
        <w:t xml:space="preserve">En coopération avec ONU-Femmes, </w:t>
      </w:r>
      <w:r w:rsidR="00CF1461">
        <w:rPr>
          <w:rFonts w:eastAsia="Times New Roman"/>
          <w:lang w:eastAsia="fr-FR"/>
        </w:rPr>
        <w:t>d</w:t>
      </w:r>
      <w:r w:rsidR="00CF1461" w:rsidRPr="00C97B55">
        <w:rPr>
          <w:rFonts w:eastAsia="Times New Roman"/>
          <w:lang w:eastAsia="fr-FR"/>
        </w:rPr>
        <w:t>es manuels sur les Procédures de la justice de la famille ont été élaborés et des études réalisées</w:t>
      </w:r>
      <w:r w:rsidR="00CF1461" w:rsidRPr="003C06D3">
        <w:rPr>
          <w:rStyle w:val="Appelnotedebasdep"/>
        </w:rPr>
        <w:footnoteReference w:id="59"/>
      </w:r>
      <w:r w:rsidR="00CF1461" w:rsidRPr="00F26D77">
        <w:rPr>
          <w:rStyle w:val="Appelnotedebasdep"/>
          <w:vertAlign w:val="baseline"/>
        </w:rPr>
        <w:t> </w:t>
      </w:r>
      <w:r w:rsidR="00CF1461" w:rsidRPr="00F26D77">
        <w:rPr>
          <w:rFonts w:eastAsia="Times New Roman"/>
          <w:lang w:eastAsia="fr-FR"/>
        </w:rPr>
        <w:t>;</w:t>
      </w:r>
      <w:r w:rsidR="00CF1461" w:rsidRPr="00C97B55">
        <w:rPr>
          <w:rFonts w:eastAsia="Times New Roman"/>
          <w:lang w:eastAsia="fr-FR"/>
        </w:rPr>
        <w:t xml:space="preserve"> de même qu’</w:t>
      </w:r>
      <w:r w:rsidR="00CF1461">
        <w:rPr>
          <w:rFonts w:eastAsia="Times New Roman"/>
          <w:lang w:eastAsia="fr-FR"/>
        </w:rPr>
        <w:t>ont</w:t>
      </w:r>
      <w:r w:rsidR="00CF1461" w:rsidRPr="00C97B55">
        <w:rPr>
          <w:rFonts w:eastAsia="Times New Roman"/>
          <w:lang w:eastAsia="fr-FR"/>
        </w:rPr>
        <w:t xml:space="preserve"> été renforc</w:t>
      </w:r>
      <w:r w:rsidR="00CF1461">
        <w:rPr>
          <w:rFonts w:eastAsia="Times New Roman"/>
          <w:lang w:eastAsia="fr-FR"/>
        </w:rPr>
        <w:t>ées l</w:t>
      </w:r>
      <w:r w:rsidR="00CF1461" w:rsidRPr="00C97B55">
        <w:rPr>
          <w:rFonts w:eastAsia="Times New Roman"/>
          <w:lang w:eastAsia="fr-FR"/>
        </w:rPr>
        <w:t>es capacités de 86 cellules judiciaires de prise en charge des femmes et des enfants au sein de tous les tribunaux de première instance et des cours d’appel du pays durant la période 2012-2016.</w:t>
      </w:r>
    </w:p>
    <w:p w14:paraId="3CAD41C8" w14:textId="50B832B2" w:rsidR="00CF1461" w:rsidRPr="00B044D4" w:rsidRDefault="004B5A1A" w:rsidP="004B5A1A">
      <w:pPr>
        <w:pStyle w:val="SingleTxtG"/>
        <w:tabs>
          <w:tab w:val="clear" w:pos="1701"/>
          <w:tab w:val="clear" w:pos="2268"/>
          <w:tab w:val="clear" w:pos="2835"/>
        </w:tabs>
        <w:rPr>
          <w:rFonts w:asciiTheme="majorBidi" w:hAnsiTheme="majorBidi" w:cstheme="majorBidi"/>
          <w:color w:val="212529"/>
        </w:rPr>
      </w:pPr>
      <w:r w:rsidRPr="00B044D4">
        <w:rPr>
          <w:rFonts w:asciiTheme="majorBidi" w:hAnsiTheme="majorBidi" w:cstheme="majorBidi"/>
          <w:color w:val="000000" w:themeColor="text1"/>
        </w:rPr>
        <w:t>189.</w:t>
      </w:r>
      <w:r w:rsidRPr="00B044D4">
        <w:rPr>
          <w:rFonts w:asciiTheme="majorBidi" w:hAnsiTheme="majorBidi" w:cstheme="majorBidi"/>
          <w:color w:val="000000" w:themeColor="text1"/>
        </w:rPr>
        <w:tab/>
      </w:r>
      <w:r w:rsidR="00CF1461" w:rsidRPr="00B044D4">
        <w:rPr>
          <w:rFonts w:asciiTheme="majorBidi" w:hAnsiTheme="majorBidi" w:cstheme="majorBidi"/>
          <w:color w:val="212529"/>
        </w:rPr>
        <w:t xml:space="preserve">Avec la publication en 2018 du décret </w:t>
      </w:r>
      <w:r w:rsidR="00BD28D2" w:rsidRPr="0091537E">
        <w:t>n</w:t>
      </w:r>
      <w:r w:rsidR="00BD28D2" w:rsidRPr="00050C02">
        <w:rPr>
          <w:vertAlign w:val="superscript"/>
        </w:rPr>
        <w:t>o</w:t>
      </w:r>
      <w:r w:rsidR="00BD28D2">
        <w:t> </w:t>
      </w:r>
      <w:r w:rsidR="00CF1461" w:rsidRPr="00B044D4">
        <w:rPr>
          <w:rFonts w:asciiTheme="majorBidi" w:hAnsiTheme="majorBidi" w:cstheme="majorBidi"/>
          <w:color w:val="212529"/>
        </w:rPr>
        <w:t xml:space="preserve">2.18.249 portant application des dispositions de la </w:t>
      </w:r>
      <w:r w:rsidR="00CF1461" w:rsidRPr="00B044D4">
        <w:rPr>
          <w:rFonts w:eastAsia="Times New Roman"/>
          <w:lang w:eastAsia="fr-FR"/>
        </w:rPr>
        <w:t>loi</w:t>
      </w:r>
      <w:r w:rsidR="00CF1461" w:rsidRPr="00B044D4">
        <w:rPr>
          <w:rFonts w:asciiTheme="majorBidi" w:hAnsiTheme="majorBidi" w:cstheme="majorBidi"/>
          <w:color w:val="212529"/>
        </w:rPr>
        <w:t xml:space="preserve"> </w:t>
      </w:r>
      <w:r w:rsidR="00BD28D2" w:rsidRPr="0091537E">
        <w:t>n</w:t>
      </w:r>
      <w:r w:rsidR="00BD28D2" w:rsidRPr="00050C02">
        <w:rPr>
          <w:vertAlign w:val="superscript"/>
        </w:rPr>
        <w:t>o</w:t>
      </w:r>
      <w:r w:rsidR="00BD28D2">
        <w:t> </w:t>
      </w:r>
      <w:r w:rsidR="00CF1461" w:rsidRPr="00B044D4">
        <w:rPr>
          <w:rFonts w:asciiTheme="majorBidi" w:hAnsiTheme="majorBidi" w:cstheme="majorBidi"/>
          <w:color w:val="212529"/>
        </w:rPr>
        <w:t>41.10 fixant les conditions et procédures pour bénéficier des prestations du Fonds d</w:t>
      </w:r>
      <w:r w:rsidR="00CD5A97">
        <w:rPr>
          <w:rFonts w:asciiTheme="majorBidi" w:hAnsiTheme="majorBidi" w:cstheme="majorBidi"/>
          <w:color w:val="212529"/>
        </w:rPr>
        <w:t>’</w:t>
      </w:r>
      <w:r w:rsidR="00CF1461" w:rsidRPr="00B044D4">
        <w:rPr>
          <w:rFonts w:asciiTheme="majorBidi" w:hAnsiTheme="majorBidi" w:cstheme="majorBidi"/>
          <w:color w:val="212529"/>
        </w:rPr>
        <w:t xml:space="preserve">entraide familiale créé en 2011, les épouses démunies peuvent désormais prétendre aux subventions accordées par le Fonds. Le nouveau décret permet une augmentation du plafond </w:t>
      </w:r>
      <w:r w:rsidR="00CF1461" w:rsidRPr="00B044D4">
        <w:rPr>
          <w:rFonts w:asciiTheme="majorBidi" w:hAnsiTheme="majorBidi" w:cstheme="majorBidi"/>
          <w:color w:val="212529"/>
        </w:rPr>
        <w:lastRenderedPageBreak/>
        <w:t xml:space="preserve">du montant </w:t>
      </w:r>
      <w:r w:rsidR="00CF1461" w:rsidRPr="002B7D22">
        <w:rPr>
          <w:rFonts w:eastAsia="Times New Roman"/>
          <w:lang w:eastAsia="fr-FR"/>
        </w:rPr>
        <w:t>mensuel</w:t>
      </w:r>
      <w:r w:rsidR="00CF1461" w:rsidRPr="00B044D4">
        <w:rPr>
          <w:rFonts w:asciiTheme="majorBidi" w:hAnsiTheme="majorBidi" w:cstheme="majorBidi"/>
          <w:color w:val="212529"/>
        </w:rPr>
        <w:t xml:space="preserve"> accordé aux membres d’une même famille lorsqu</w:t>
      </w:r>
      <w:r w:rsidR="00CD5A97">
        <w:rPr>
          <w:rFonts w:asciiTheme="majorBidi" w:hAnsiTheme="majorBidi" w:cstheme="majorBidi"/>
          <w:color w:val="212529"/>
        </w:rPr>
        <w:t>’</w:t>
      </w:r>
      <w:r w:rsidR="00CF1461" w:rsidRPr="00B044D4">
        <w:rPr>
          <w:rFonts w:asciiTheme="majorBidi" w:hAnsiTheme="majorBidi" w:cstheme="majorBidi"/>
          <w:color w:val="212529"/>
        </w:rPr>
        <w:t>il s’agit d’une famille composée d’une épouse démunie et de ses enfants mineurs auxquels une pension alimentaire est due. Le montant total autorisé passe de 1</w:t>
      </w:r>
      <w:r w:rsidR="00BD28D2">
        <w:rPr>
          <w:rFonts w:asciiTheme="majorBidi" w:hAnsiTheme="majorBidi" w:cstheme="majorBidi"/>
          <w:color w:val="212529"/>
        </w:rPr>
        <w:t> </w:t>
      </w:r>
      <w:r w:rsidR="00CF1461" w:rsidRPr="00B044D4">
        <w:rPr>
          <w:rFonts w:asciiTheme="majorBidi" w:hAnsiTheme="majorBidi" w:cstheme="majorBidi"/>
          <w:color w:val="212529"/>
        </w:rPr>
        <w:t>050 à 1</w:t>
      </w:r>
      <w:r w:rsidR="00BD28D2">
        <w:rPr>
          <w:rFonts w:asciiTheme="majorBidi" w:hAnsiTheme="majorBidi" w:cstheme="majorBidi"/>
          <w:color w:val="212529"/>
        </w:rPr>
        <w:t> </w:t>
      </w:r>
      <w:r w:rsidR="00CF1461" w:rsidRPr="00B044D4">
        <w:rPr>
          <w:rFonts w:asciiTheme="majorBidi" w:hAnsiTheme="majorBidi" w:cstheme="majorBidi"/>
          <w:color w:val="212529"/>
        </w:rPr>
        <w:t xml:space="preserve">400 </w:t>
      </w:r>
      <w:proofErr w:type="spellStart"/>
      <w:r w:rsidR="00CF1461" w:rsidRPr="00B044D4">
        <w:rPr>
          <w:rFonts w:asciiTheme="majorBidi" w:hAnsiTheme="majorBidi" w:cstheme="majorBidi"/>
          <w:color w:val="212529"/>
        </w:rPr>
        <w:t>Dhs</w:t>
      </w:r>
      <w:proofErr w:type="spellEnd"/>
      <w:r w:rsidR="00CF1461" w:rsidRPr="00B044D4">
        <w:rPr>
          <w:rFonts w:asciiTheme="majorBidi" w:hAnsiTheme="majorBidi" w:cstheme="majorBidi"/>
          <w:color w:val="212529"/>
        </w:rPr>
        <w:t>, selon le</w:t>
      </w:r>
      <w:r w:rsidR="00B1425B">
        <w:rPr>
          <w:rFonts w:asciiTheme="majorBidi" w:hAnsiTheme="majorBidi" w:cstheme="majorBidi"/>
          <w:color w:val="212529"/>
        </w:rPr>
        <w:t>s dispositions du nouveau texte</w:t>
      </w:r>
      <w:r w:rsidR="00CF1461" w:rsidRPr="003C06D3">
        <w:rPr>
          <w:rStyle w:val="Appelnotedebasdep"/>
        </w:rPr>
        <w:footnoteReference w:id="60"/>
      </w:r>
      <w:r w:rsidR="00B1425B">
        <w:rPr>
          <w:rFonts w:asciiTheme="majorBidi" w:hAnsiTheme="majorBidi" w:cstheme="majorBidi"/>
          <w:color w:val="212529"/>
        </w:rPr>
        <w:t>.</w:t>
      </w:r>
      <w:r w:rsidR="00CF1461" w:rsidRPr="00B044D4">
        <w:rPr>
          <w:rFonts w:asciiTheme="majorBidi" w:hAnsiTheme="majorBidi" w:cstheme="majorBidi"/>
          <w:color w:val="212529"/>
        </w:rPr>
        <w:t> </w:t>
      </w:r>
    </w:p>
    <w:p w14:paraId="5DC166CD" w14:textId="2B35F9AD"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190.</w:t>
      </w:r>
      <w:r>
        <w:rPr>
          <w:rFonts w:eastAsia="Times New Roman"/>
          <w:color w:val="000000" w:themeColor="text1"/>
          <w:lang w:eastAsia="fr-FR"/>
        </w:rPr>
        <w:tab/>
      </w:r>
      <w:r w:rsidR="00CF1461">
        <w:rPr>
          <w:rFonts w:eastAsia="Times New Roman"/>
          <w:lang w:eastAsia="fr-FR"/>
        </w:rPr>
        <w:t>L</w:t>
      </w:r>
      <w:r w:rsidR="00CF1461" w:rsidRPr="00C97B55">
        <w:rPr>
          <w:rFonts w:eastAsia="Times New Roman"/>
          <w:lang w:eastAsia="fr-FR"/>
        </w:rPr>
        <w:t>es femmes divorcées ou abandonnées bénéficient de l</w:t>
      </w:r>
      <w:r w:rsidR="00CD5A97">
        <w:rPr>
          <w:rFonts w:eastAsia="Times New Roman"/>
          <w:lang w:eastAsia="fr-FR"/>
        </w:rPr>
        <w:t>’</w:t>
      </w:r>
      <w:r w:rsidR="00CF1461" w:rsidRPr="00C97B55">
        <w:rPr>
          <w:rFonts w:eastAsia="Times New Roman"/>
          <w:lang w:eastAsia="fr-FR"/>
        </w:rPr>
        <w:t>exonération au titre des frais de justice sur les plaintes présentées devant le</w:t>
      </w:r>
      <w:r w:rsidR="00CF1461">
        <w:rPr>
          <w:rFonts w:eastAsia="Times New Roman"/>
          <w:lang w:eastAsia="fr-FR"/>
        </w:rPr>
        <w:t>s</w:t>
      </w:r>
      <w:r w:rsidR="00CF1461" w:rsidRPr="00C97B55">
        <w:rPr>
          <w:rFonts w:eastAsia="Times New Roman"/>
          <w:lang w:eastAsia="fr-FR"/>
        </w:rPr>
        <w:t xml:space="preserve"> tribuna</w:t>
      </w:r>
      <w:r w:rsidR="00CF1461">
        <w:rPr>
          <w:rFonts w:eastAsia="Times New Roman"/>
          <w:lang w:eastAsia="fr-FR"/>
        </w:rPr>
        <w:t>ux</w:t>
      </w:r>
      <w:r w:rsidR="00CF1461" w:rsidRPr="00C97B55">
        <w:rPr>
          <w:rFonts w:eastAsia="Times New Roman"/>
          <w:lang w:eastAsia="fr-FR"/>
        </w:rPr>
        <w:t xml:space="preserve"> les concernant.</w:t>
      </w:r>
    </w:p>
    <w:p w14:paraId="5F91BBCF" w14:textId="521FDB89"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191.</w:t>
      </w:r>
      <w:r>
        <w:rPr>
          <w:rFonts w:eastAsia="Times New Roman"/>
          <w:color w:val="000000" w:themeColor="text1"/>
          <w:lang w:eastAsia="fr-FR"/>
        </w:rPr>
        <w:tab/>
      </w:r>
      <w:r w:rsidR="00CF1461" w:rsidRPr="00F74A11">
        <w:rPr>
          <w:rFonts w:eastAsia="Times New Roman"/>
          <w:lang w:eastAsia="fr-FR"/>
        </w:rPr>
        <w:t>En ce qui concerne les plaintes déposées, les poursuites engagées, les condamnations et les peines prononcées, malgré l’insuffisance remarquée à ce sujet du fait des efforts encore modestes de promotion de la législation et autres voies de recours relatives à la discrimination raciale</w:t>
      </w:r>
      <w:r w:rsidR="00CF1461">
        <w:rPr>
          <w:rFonts w:eastAsia="Times New Roman"/>
          <w:lang w:eastAsia="fr-FR"/>
        </w:rPr>
        <w:t>,</w:t>
      </w:r>
      <w:r w:rsidR="00CF1461" w:rsidRPr="00F74A11">
        <w:rPr>
          <w:rFonts w:eastAsia="Times New Roman"/>
          <w:lang w:eastAsia="fr-FR"/>
        </w:rPr>
        <w:t xml:space="preserve"> régulièrement rappelé à juste titre à l’occasion du processus de consultation en marge de la préparation du </w:t>
      </w:r>
      <w:r w:rsidR="00CF1461">
        <w:rPr>
          <w:rFonts w:eastAsia="Times New Roman"/>
          <w:lang w:eastAsia="fr-FR"/>
        </w:rPr>
        <w:t xml:space="preserve">présent </w:t>
      </w:r>
      <w:r w:rsidR="00CF1461" w:rsidRPr="00F74A11">
        <w:rPr>
          <w:rFonts w:eastAsia="Times New Roman"/>
          <w:lang w:eastAsia="fr-FR"/>
        </w:rPr>
        <w:t xml:space="preserve">rapport national, il y a lieu </w:t>
      </w:r>
      <w:r w:rsidR="00CF1461">
        <w:rPr>
          <w:rFonts w:eastAsia="Times New Roman"/>
          <w:lang w:eastAsia="fr-FR"/>
        </w:rPr>
        <w:t xml:space="preserve">de </w:t>
      </w:r>
      <w:r w:rsidR="00CF1461" w:rsidRPr="00F74A11">
        <w:rPr>
          <w:rFonts w:eastAsia="Times New Roman"/>
          <w:lang w:eastAsia="fr-FR"/>
        </w:rPr>
        <w:t>mentionner plusieurs poursuites judiciaires et jugements rendus contre des personnes devant le</w:t>
      </w:r>
      <w:r w:rsidR="00CF1461">
        <w:rPr>
          <w:rFonts w:eastAsia="Times New Roman"/>
          <w:lang w:eastAsia="fr-FR"/>
        </w:rPr>
        <w:t>s</w:t>
      </w:r>
      <w:r w:rsidR="00CF1461" w:rsidRPr="00F74A11">
        <w:rPr>
          <w:rFonts w:eastAsia="Times New Roman"/>
          <w:lang w:eastAsia="fr-FR"/>
        </w:rPr>
        <w:t xml:space="preserve"> Tribuna</w:t>
      </w:r>
      <w:r w:rsidR="00CF1461">
        <w:rPr>
          <w:rFonts w:eastAsia="Times New Roman"/>
          <w:lang w:eastAsia="fr-FR"/>
        </w:rPr>
        <w:t>ux</w:t>
      </w:r>
      <w:r w:rsidR="00CF1461" w:rsidRPr="00F74A11">
        <w:rPr>
          <w:rFonts w:eastAsia="Times New Roman"/>
          <w:lang w:eastAsia="fr-FR"/>
        </w:rPr>
        <w:t xml:space="preserve"> de première instance de Fès, de Tétouan et de Tanger, pour incitation à la discrimination, à la haine et à la violence lors d</w:t>
      </w:r>
      <w:r w:rsidR="00CD5A97">
        <w:rPr>
          <w:rFonts w:eastAsia="Times New Roman"/>
          <w:lang w:eastAsia="fr-FR"/>
        </w:rPr>
        <w:t>’</w:t>
      </w:r>
      <w:r w:rsidR="00CF1461" w:rsidRPr="00F74A11">
        <w:rPr>
          <w:rFonts w:eastAsia="Times New Roman"/>
          <w:lang w:eastAsia="fr-FR"/>
        </w:rPr>
        <w:t>une manifestation sportive, conformément aux articles 308.3, 308.5 et 595 du Code pénal.</w:t>
      </w:r>
    </w:p>
    <w:p w14:paraId="74DEDF45" w14:textId="68C7C00F"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192.</w:t>
      </w:r>
      <w:r>
        <w:rPr>
          <w:rFonts w:eastAsia="Times New Roman"/>
          <w:color w:val="000000" w:themeColor="text1"/>
          <w:lang w:eastAsia="fr-FR"/>
        </w:rPr>
        <w:tab/>
      </w:r>
      <w:r w:rsidR="00CF1461" w:rsidRPr="00E314A0">
        <w:rPr>
          <w:rFonts w:eastAsia="Times New Roman"/>
          <w:lang w:eastAsia="fr-FR"/>
        </w:rPr>
        <w:t>En tant que mécanisme de recours, le CNDH a traité entre autres au cours de 2018-2019, 30</w:t>
      </w:r>
      <w:r w:rsidR="00BD28D2">
        <w:rPr>
          <w:rFonts w:eastAsia="Times New Roman"/>
          <w:lang w:eastAsia="fr-FR"/>
        </w:rPr>
        <w:t> </w:t>
      </w:r>
      <w:r w:rsidR="00CF1461" w:rsidRPr="00E314A0">
        <w:rPr>
          <w:rFonts w:eastAsia="Times New Roman"/>
          <w:lang w:eastAsia="fr-FR"/>
        </w:rPr>
        <w:t xml:space="preserve">plaintes relatives aux discriminations en lien avec l’héritage des terres patrimoniales, 10 plaintes de discriminations d’accès au droit à l’éducation sur la base de handicap et 4 plaintes en lien avec la tenue vestimentaire entravant l’accès à l’emploi, en entamant pour chaque catégorie une procédure de suivi. Le CNDH fait également le suivi régulier des plaintes d’immigrés notamment ceux en situation irrégulière au sujet de discrimination </w:t>
      </w:r>
      <w:r w:rsidR="00CF1461">
        <w:rPr>
          <w:rFonts w:eastAsia="Times New Roman"/>
          <w:lang w:eastAsia="fr-FR"/>
        </w:rPr>
        <w:t xml:space="preserve">pour </w:t>
      </w:r>
      <w:r w:rsidR="00CF1461" w:rsidRPr="00E314A0">
        <w:rPr>
          <w:rFonts w:eastAsia="Times New Roman"/>
          <w:lang w:eastAsia="fr-FR"/>
        </w:rPr>
        <w:t xml:space="preserve">l’accès aux soins </w:t>
      </w:r>
      <w:r w:rsidR="00CF1461">
        <w:rPr>
          <w:rFonts w:eastAsia="Times New Roman"/>
          <w:lang w:eastAsia="fr-FR"/>
        </w:rPr>
        <w:t>en raison de nationalité</w:t>
      </w:r>
      <w:r w:rsidR="00CF1461" w:rsidRPr="00E314A0">
        <w:rPr>
          <w:rFonts w:eastAsia="Times New Roman"/>
          <w:lang w:eastAsia="fr-FR"/>
        </w:rPr>
        <w:t>.</w:t>
      </w:r>
      <w:r w:rsidR="00CD5A97">
        <w:rPr>
          <w:rFonts w:eastAsia="Times New Roman"/>
          <w:lang w:eastAsia="fr-FR"/>
        </w:rPr>
        <w:t xml:space="preserve"> </w:t>
      </w:r>
    </w:p>
    <w:p w14:paraId="25284990" w14:textId="77777777" w:rsidR="00CF1461" w:rsidRPr="00E26090" w:rsidRDefault="007B174A" w:rsidP="00377075">
      <w:pPr>
        <w:pStyle w:val="H23G"/>
        <w:rPr>
          <w:lang w:eastAsia="fr-FR"/>
        </w:rPr>
      </w:pPr>
      <w:r>
        <w:rPr>
          <w:lang w:eastAsia="fr-FR"/>
        </w:rPr>
        <w:tab/>
      </w:r>
      <w:r>
        <w:rPr>
          <w:lang w:eastAsia="fr-FR"/>
        </w:rPr>
        <w:tab/>
      </w:r>
      <w:r w:rsidR="00CF1461" w:rsidRPr="00E26090">
        <w:rPr>
          <w:lang w:eastAsia="fr-FR"/>
        </w:rPr>
        <w:t>Recommandation 19 du Comité</w:t>
      </w:r>
    </w:p>
    <w:p w14:paraId="159AD795" w14:textId="539A7D5A" w:rsidR="00CF1461" w:rsidRPr="00A83E8E" w:rsidRDefault="004B5A1A" w:rsidP="004B5A1A">
      <w:pPr>
        <w:pStyle w:val="SingleTxtG"/>
        <w:tabs>
          <w:tab w:val="clear" w:pos="1701"/>
          <w:tab w:val="clear" w:pos="2268"/>
          <w:tab w:val="clear" w:pos="2835"/>
        </w:tabs>
        <w:rPr>
          <w:rFonts w:eastAsia="Times New Roman"/>
          <w:lang w:eastAsia="fr-FR"/>
        </w:rPr>
      </w:pPr>
      <w:r w:rsidRPr="00A83E8E">
        <w:rPr>
          <w:rFonts w:eastAsia="Times New Roman"/>
          <w:color w:val="000000" w:themeColor="text1"/>
          <w:lang w:eastAsia="fr-FR"/>
        </w:rPr>
        <w:t>193.</w:t>
      </w:r>
      <w:r w:rsidRPr="00A83E8E">
        <w:rPr>
          <w:rFonts w:eastAsia="Times New Roman"/>
          <w:color w:val="000000" w:themeColor="text1"/>
          <w:lang w:eastAsia="fr-FR"/>
        </w:rPr>
        <w:tab/>
      </w:r>
      <w:r w:rsidR="00CF1461" w:rsidRPr="00C97B55">
        <w:rPr>
          <w:rFonts w:eastAsia="Times New Roman"/>
          <w:lang w:eastAsia="fr-FR"/>
        </w:rPr>
        <w:t xml:space="preserve">Pour garantir les droits des justiciables non </w:t>
      </w:r>
      <w:r w:rsidR="00CF1461" w:rsidRPr="00A83E8E">
        <w:rPr>
          <w:rFonts w:eastAsia="Times New Roman"/>
          <w:lang w:eastAsia="fr-FR"/>
        </w:rPr>
        <w:t>arabophones, l</w:t>
      </w:r>
      <w:r w:rsidR="00CD5A97">
        <w:rPr>
          <w:rFonts w:eastAsia="Times New Roman"/>
          <w:lang w:eastAsia="fr-FR"/>
        </w:rPr>
        <w:t>’</w:t>
      </w:r>
      <w:r w:rsidR="00CF1461" w:rsidRPr="00A83E8E">
        <w:rPr>
          <w:rFonts w:eastAsia="Times New Roman"/>
          <w:lang w:eastAsia="fr-FR"/>
        </w:rPr>
        <w:t>article 318 du CPP prévoit que : «</w:t>
      </w:r>
      <w:r w:rsidR="00B1425B">
        <w:rPr>
          <w:rFonts w:eastAsia="Times New Roman"/>
          <w:lang w:eastAsia="fr-FR"/>
        </w:rPr>
        <w:t xml:space="preserve"> </w:t>
      </w:r>
      <w:r w:rsidR="00CF1461" w:rsidRPr="00A83E8E">
        <w:rPr>
          <w:rFonts w:eastAsia="Times New Roman"/>
          <w:lang w:eastAsia="fr-FR"/>
        </w:rPr>
        <w:t xml:space="preserve">le tribunal peut nommer un traducteur pour la victime ou au requérant de droit civil, si celui-ci parle une langue ou un dialecte difficile à comprendre </w:t>
      </w:r>
      <w:r w:rsidR="00CF1461" w:rsidRPr="00C97B55">
        <w:rPr>
          <w:rFonts w:eastAsia="Times New Roman"/>
          <w:lang w:eastAsia="fr-FR"/>
        </w:rPr>
        <w:t>».</w:t>
      </w:r>
    </w:p>
    <w:p w14:paraId="704D206E" w14:textId="105701AA" w:rsidR="00CF1461" w:rsidRPr="00C97B55" w:rsidRDefault="004B5A1A" w:rsidP="004B5A1A">
      <w:pPr>
        <w:pStyle w:val="SingleTxtG"/>
        <w:rPr>
          <w:rFonts w:eastAsia="Times New Roman"/>
          <w:lang w:eastAsia="fr-FR"/>
        </w:rPr>
      </w:pPr>
      <w:r w:rsidRPr="00C97B55">
        <w:rPr>
          <w:rFonts w:eastAsia="Times New Roman"/>
          <w:color w:val="000000" w:themeColor="text1"/>
          <w:lang w:eastAsia="fr-FR"/>
        </w:rPr>
        <w:t>194.</w:t>
      </w:r>
      <w:r w:rsidRPr="00C97B55">
        <w:rPr>
          <w:rFonts w:eastAsia="Times New Roman"/>
          <w:color w:val="000000" w:themeColor="text1"/>
          <w:lang w:eastAsia="fr-FR"/>
        </w:rPr>
        <w:tab/>
      </w:r>
      <w:r w:rsidR="00F26D77" w:rsidRPr="00A83E8E">
        <w:rPr>
          <w:rFonts w:eastAsia="Times New Roman"/>
          <w:lang w:eastAsia="fr-FR"/>
        </w:rPr>
        <w:t>Également</w:t>
      </w:r>
      <w:r w:rsidR="00CF1461" w:rsidRPr="00A83E8E">
        <w:rPr>
          <w:rFonts w:eastAsia="Times New Roman"/>
          <w:lang w:eastAsia="fr-FR"/>
        </w:rPr>
        <w:t>, l’article 120 du CPP prévoit que « lorsque les témoins parlent une langue, un dialecte ou un idiome difficilement intelligibles pour les inculpés, les parties, les autres témoins ou pour lui-même, le juge d</w:t>
      </w:r>
      <w:r w:rsidR="00CD5A97">
        <w:rPr>
          <w:rFonts w:eastAsia="Times New Roman"/>
          <w:lang w:eastAsia="fr-FR"/>
        </w:rPr>
        <w:t>’</w:t>
      </w:r>
      <w:r w:rsidR="00CF1461" w:rsidRPr="00A83E8E">
        <w:rPr>
          <w:rFonts w:eastAsia="Times New Roman"/>
          <w:lang w:eastAsia="fr-FR"/>
        </w:rPr>
        <w:t>instruction, soit d</w:t>
      </w:r>
      <w:r w:rsidR="00CD5A97">
        <w:rPr>
          <w:rFonts w:eastAsia="Times New Roman"/>
          <w:lang w:eastAsia="fr-FR"/>
        </w:rPr>
        <w:t>’</w:t>
      </w:r>
      <w:r w:rsidR="00CF1461" w:rsidRPr="00A83E8E">
        <w:rPr>
          <w:rFonts w:eastAsia="Times New Roman"/>
          <w:lang w:eastAsia="fr-FR"/>
        </w:rPr>
        <w:t>office, soit à la demande de l</w:t>
      </w:r>
      <w:r w:rsidR="00CD5A97">
        <w:rPr>
          <w:rFonts w:eastAsia="Times New Roman"/>
          <w:lang w:eastAsia="fr-FR"/>
        </w:rPr>
        <w:t>’</w:t>
      </w:r>
      <w:r w:rsidR="00CF1461" w:rsidRPr="00A83E8E">
        <w:rPr>
          <w:rFonts w:eastAsia="Times New Roman"/>
          <w:lang w:eastAsia="fr-FR"/>
        </w:rPr>
        <w:t>inculpé, fait appel comme interprète à toute personne capable d</w:t>
      </w:r>
      <w:r w:rsidR="00CD5A97">
        <w:rPr>
          <w:rFonts w:eastAsia="Times New Roman"/>
          <w:lang w:eastAsia="fr-FR"/>
        </w:rPr>
        <w:t>’</w:t>
      </w:r>
      <w:r w:rsidR="00CF1461" w:rsidRPr="00A83E8E">
        <w:rPr>
          <w:rFonts w:eastAsia="Times New Roman"/>
          <w:lang w:eastAsia="fr-FR"/>
        </w:rPr>
        <w:t>assurer la traduction, âgée de 18 ans au moins et non appelée à témoigner dans l</w:t>
      </w:r>
      <w:r w:rsidR="00CD5A97">
        <w:rPr>
          <w:rFonts w:eastAsia="Times New Roman"/>
          <w:lang w:eastAsia="fr-FR"/>
        </w:rPr>
        <w:t>’</w:t>
      </w:r>
      <w:r w:rsidR="00CF1461" w:rsidRPr="00A83E8E">
        <w:rPr>
          <w:rFonts w:eastAsia="Times New Roman"/>
          <w:lang w:eastAsia="fr-FR"/>
        </w:rPr>
        <w:t>affaire. L</w:t>
      </w:r>
      <w:r w:rsidR="00CD5A97">
        <w:rPr>
          <w:rFonts w:eastAsia="Times New Roman"/>
          <w:lang w:eastAsia="fr-FR"/>
        </w:rPr>
        <w:t>’</w:t>
      </w:r>
      <w:r w:rsidR="00CF1461" w:rsidRPr="00A83E8E">
        <w:rPr>
          <w:rFonts w:eastAsia="Times New Roman"/>
          <w:lang w:eastAsia="fr-FR"/>
        </w:rPr>
        <w:t>interprète, s</w:t>
      </w:r>
      <w:r w:rsidR="00CD5A97">
        <w:rPr>
          <w:rFonts w:eastAsia="Times New Roman"/>
          <w:lang w:eastAsia="fr-FR"/>
        </w:rPr>
        <w:t>’</w:t>
      </w:r>
      <w:r w:rsidR="00CF1461" w:rsidRPr="00A83E8E">
        <w:rPr>
          <w:rFonts w:eastAsia="Times New Roman"/>
          <w:lang w:eastAsia="fr-FR"/>
        </w:rPr>
        <w:t>il n</w:t>
      </w:r>
      <w:r w:rsidR="00CD5A97">
        <w:rPr>
          <w:rFonts w:eastAsia="Times New Roman"/>
          <w:lang w:eastAsia="fr-FR"/>
        </w:rPr>
        <w:t>’</w:t>
      </w:r>
      <w:r w:rsidR="00CF1461" w:rsidRPr="00A83E8E">
        <w:rPr>
          <w:rFonts w:eastAsia="Times New Roman"/>
          <w:lang w:eastAsia="fr-FR"/>
        </w:rPr>
        <w:t xml:space="preserve">est pas déjà assermenté, doit prêter serment </w:t>
      </w:r>
      <w:r w:rsidR="00CF1461" w:rsidRPr="00C97B55">
        <w:rPr>
          <w:rFonts w:eastAsia="Times New Roman"/>
          <w:lang w:eastAsia="fr-FR"/>
        </w:rPr>
        <w:t>de traduire fidèlement. En cas de contestation soulevée au cours de la traduction sur la fidélité de celle-ci, le juge apprécie l</w:t>
      </w:r>
      <w:r w:rsidR="00CD5A97">
        <w:rPr>
          <w:rFonts w:eastAsia="Times New Roman"/>
          <w:lang w:eastAsia="fr-FR"/>
        </w:rPr>
        <w:t>’</w:t>
      </w:r>
      <w:r w:rsidR="00CF1461" w:rsidRPr="00C97B55">
        <w:rPr>
          <w:rFonts w:eastAsia="Times New Roman"/>
          <w:lang w:eastAsia="fr-FR"/>
        </w:rPr>
        <w:t>opportunité de la désignation d</w:t>
      </w:r>
      <w:r w:rsidR="00CD5A97">
        <w:rPr>
          <w:rFonts w:eastAsia="Times New Roman"/>
          <w:lang w:eastAsia="fr-FR"/>
        </w:rPr>
        <w:t>’</w:t>
      </w:r>
      <w:r w:rsidR="00CF1461" w:rsidRPr="00C97B55">
        <w:rPr>
          <w:rFonts w:eastAsia="Times New Roman"/>
          <w:lang w:eastAsia="fr-FR"/>
        </w:rPr>
        <w:t>un autre interprète</w:t>
      </w:r>
      <w:r w:rsidR="00CF1461">
        <w:rPr>
          <w:rFonts w:eastAsia="Times New Roman"/>
          <w:lang w:eastAsia="fr-FR"/>
        </w:rPr>
        <w:t xml:space="preserve"> </w:t>
      </w:r>
      <w:r w:rsidR="00B1425B">
        <w:rPr>
          <w:rFonts w:eastAsia="Times New Roman"/>
          <w:lang w:eastAsia="fr-FR"/>
        </w:rPr>
        <w:t>»</w:t>
      </w:r>
      <w:r w:rsidR="00CF1461" w:rsidRPr="003C06D3">
        <w:rPr>
          <w:rStyle w:val="Appelnotedebasdep"/>
        </w:rPr>
        <w:footnoteReference w:id="61"/>
      </w:r>
      <w:r w:rsidR="00B1425B">
        <w:rPr>
          <w:rFonts w:eastAsia="Times New Roman"/>
          <w:lang w:eastAsia="fr-FR"/>
        </w:rPr>
        <w:t>.</w:t>
      </w:r>
    </w:p>
    <w:p w14:paraId="59E209BB" w14:textId="1DA2A67D" w:rsidR="00CF1461" w:rsidRPr="00C97B55" w:rsidRDefault="004B5A1A" w:rsidP="004B5A1A">
      <w:pPr>
        <w:pStyle w:val="SingleTxtG"/>
        <w:tabs>
          <w:tab w:val="clear" w:pos="1701"/>
          <w:tab w:val="clear" w:pos="2268"/>
          <w:tab w:val="clear" w:pos="2835"/>
        </w:tabs>
        <w:rPr>
          <w:rFonts w:eastAsia="Times New Roman"/>
          <w:lang w:eastAsia="fr-FR"/>
        </w:rPr>
      </w:pPr>
      <w:r w:rsidRPr="00C97B55">
        <w:rPr>
          <w:rFonts w:eastAsia="Times New Roman"/>
          <w:color w:val="000000" w:themeColor="text1"/>
          <w:lang w:eastAsia="fr-FR"/>
        </w:rPr>
        <w:t>195.</w:t>
      </w:r>
      <w:r w:rsidRPr="00C97B55">
        <w:rPr>
          <w:rFonts w:eastAsia="Times New Roman"/>
          <w:color w:val="000000" w:themeColor="text1"/>
          <w:lang w:eastAsia="fr-FR"/>
        </w:rPr>
        <w:tab/>
      </w:r>
      <w:r w:rsidR="00CF1461" w:rsidRPr="00E400C0">
        <w:rPr>
          <w:rFonts w:eastAsia="Times New Roman"/>
          <w:lang w:eastAsia="fr-FR"/>
        </w:rPr>
        <w:t>Par ailleurs, l</w:t>
      </w:r>
      <w:r w:rsidR="00CD5A97">
        <w:rPr>
          <w:rFonts w:eastAsia="Times New Roman"/>
          <w:lang w:eastAsia="fr-FR"/>
        </w:rPr>
        <w:t>’</w:t>
      </w:r>
      <w:r w:rsidR="00CF1461" w:rsidRPr="00E400C0">
        <w:rPr>
          <w:rFonts w:eastAsia="Times New Roman"/>
          <w:lang w:eastAsia="fr-FR"/>
        </w:rPr>
        <w:t xml:space="preserve">article 14 </w:t>
      </w:r>
      <w:r w:rsidR="00CF1461">
        <w:rPr>
          <w:rFonts w:eastAsia="Times New Roman"/>
          <w:lang w:eastAsia="fr-FR"/>
        </w:rPr>
        <w:t xml:space="preserve">de la </w:t>
      </w:r>
      <w:r w:rsidR="00CF1461" w:rsidRPr="00E400C0">
        <w:rPr>
          <w:rFonts w:eastAsia="Times New Roman"/>
          <w:lang w:eastAsia="fr-FR"/>
        </w:rPr>
        <w:t xml:space="preserve">loi </w:t>
      </w:r>
      <w:r w:rsidR="00BD28D2" w:rsidRPr="0091537E">
        <w:t>n</w:t>
      </w:r>
      <w:r w:rsidR="00BD28D2" w:rsidRPr="00050C02">
        <w:rPr>
          <w:vertAlign w:val="superscript"/>
        </w:rPr>
        <w:t>o</w:t>
      </w:r>
      <w:r w:rsidR="00BD28D2">
        <w:t> </w:t>
      </w:r>
      <w:r w:rsidR="00CF1461" w:rsidRPr="00E400C0">
        <w:rPr>
          <w:rFonts w:eastAsia="Times New Roman"/>
          <w:lang w:eastAsia="fr-FR"/>
        </w:rPr>
        <w:t>38.15 relative à l</w:t>
      </w:r>
      <w:r w:rsidR="00CD5A97">
        <w:rPr>
          <w:rFonts w:eastAsia="Times New Roman"/>
          <w:lang w:eastAsia="fr-FR"/>
        </w:rPr>
        <w:t>’</w:t>
      </w:r>
      <w:r w:rsidR="00CF1461" w:rsidRPr="00E400C0">
        <w:rPr>
          <w:rFonts w:eastAsia="Times New Roman"/>
          <w:lang w:eastAsia="fr-FR"/>
        </w:rPr>
        <w:t>organisation judiciaire du Royaume, stipule qu’en perspective de l’activation du caractère officiel de la langue Amazigh</w:t>
      </w:r>
      <w:r w:rsidR="00CF1461">
        <w:rPr>
          <w:rFonts w:eastAsia="Times New Roman"/>
          <w:lang w:eastAsia="fr-FR"/>
        </w:rPr>
        <w:t xml:space="preserve"> conformément à l’article 5 de la Constitution</w:t>
      </w:r>
      <w:r w:rsidR="00CF1461" w:rsidRPr="00E400C0">
        <w:rPr>
          <w:rFonts w:eastAsia="Times New Roman"/>
          <w:lang w:eastAsia="fr-FR"/>
        </w:rPr>
        <w:t xml:space="preserve">, « la Cour, les parties au différend et les témoins ont droit, au cours des audiences, à un interprète </w:t>
      </w:r>
      <w:r w:rsidR="00CF1461">
        <w:rPr>
          <w:rFonts w:eastAsia="Times New Roman"/>
          <w:lang w:eastAsia="fr-FR"/>
        </w:rPr>
        <w:t>affecté</w:t>
      </w:r>
      <w:r w:rsidR="00CF1461" w:rsidRPr="00E400C0">
        <w:rPr>
          <w:rFonts w:eastAsia="Times New Roman"/>
          <w:lang w:eastAsia="fr-FR"/>
        </w:rPr>
        <w:t xml:space="preserve"> par le tribunal ou à désigner une personne pour assurer la traduction et ce après qu’elle ait prêté serment</w:t>
      </w:r>
      <w:r w:rsidR="00CF1461">
        <w:rPr>
          <w:rFonts w:eastAsia="Times New Roman"/>
          <w:lang w:eastAsia="fr-FR"/>
        </w:rPr>
        <w:t> »</w:t>
      </w:r>
      <w:r w:rsidR="00CF1461" w:rsidRPr="003C06D3">
        <w:rPr>
          <w:rStyle w:val="Appelnotedebasdep"/>
        </w:rPr>
        <w:footnoteReference w:id="62"/>
      </w:r>
      <w:r w:rsidR="00B1425B">
        <w:rPr>
          <w:rFonts w:eastAsia="Times New Roman"/>
          <w:lang w:eastAsia="fr-FR"/>
        </w:rPr>
        <w:t>.</w:t>
      </w:r>
    </w:p>
    <w:p w14:paraId="4F9C28D1" w14:textId="34F7B334" w:rsidR="00CF1461" w:rsidRPr="00623D7A" w:rsidRDefault="004B5A1A" w:rsidP="004B5A1A">
      <w:pPr>
        <w:pStyle w:val="SingleTxtG"/>
        <w:tabs>
          <w:tab w:val="clear" w:pos="1701"/>
          <w:tab w:val="clear" w:pos="2268"/>
          <w:tab w:val="clear" w:pos="2835"/>
        </w:tabs>
        <w:rPr>
          <w:rFonts w:eastAsia="Times New Roman"/>
          <w:lang w:eastAsia="fr-FR"/>
        </w:rPr>
      </w:pPr>
      <w:r w:rsidRPr="00623D7A">
        <w:rPr>
          <w:rFonts w:eastAsia="Times New Roman"/>
          <w:color w:val="000000" w:themeColor="text1"/>
          <w:lang w:eastAsia="fr-FR"/>
        </w:rPr>
        <w:t>196.</w:t>
      </w:r>
      <w:r w:rsidRPr="00623D7A">
        <w:rPr>
          <w:rFonts w:eastAsia="Times New Roman"/>
          <w:color w:val="000000" w:themeColor="text1"/>
          <w:lang w:eastAsia="fr-FR"/>
        </w:rPr>
        <w:tab/>
      </w:r>
      <w:r w:rsidR="00CF1461" w:rsidRPr="00623D7A">
        <w:rPr>
          <w:rFonts w:eastAsia="Times New Roman"/>
          <w:lang w:eastAsia="fr-FR"/>
        </w:rPr>
        <w:t>S’agissant du droit d</w:t>
      </w:r>
      <w:r w:rsidR="00CD5A97">
        <w:rPr>
          <w:rFonts w:eastAsia="Times New Roman"/>
          <w:lang w:eastAsia="fr-FR"/>
        </w:rPr>
        <w:t>’</w:t>
      </w:r>
      <w:r w:rsidR="00CF1461" w:rsidRPr="00623D7A">
        <w:rPr>
          <w:rFonts w:eastAsia="Times New Roman"/>
          <w:lang w:eastAsia="fr-FR"/>
        </w:rPr>
        <w:t xml:space="preserve">ester en justice pour les Amazighs, l’article 30 de </w:t>
      </w:r>
      <w:r w:rsidR="00CF1461">
        <w:rPr>
          <w:rFonts w:eastAsia="Times New Roman"/>
          <w:lang w:eastAsia="fr-FR"/>
        </w:rPr>
        <w:t xml:space="preserve">la </w:t>
      </w:r>
      <w:r w:rsidR="00C927C9">
        <w:rPr>
          <w:rFonts w:eastAsia="Times New Roman"/>
          <w:lang w:eastAsia="fr-FR"/>
        </w:rPr>
        <w:t>L</w:t>
      </w:r>
      <w:r w:rsidR="00CF1461" w:rsidRPr="00623D7A">
        <w:rPr>
          <w:rFonts w:eastAsia="Times New Roman"/>
          <w:lang w:eastAsia="fr-FR"/>
        </w:rPr>
        <w:t xml:space="preserve">oi organique </w:t>
      </w:r>
      <w:r w:rsidR="00BD28D2" w:rsidRPr="0091537E">
        <w:t>n</w:t>
      </w:r>
      <w:r w:rsidR="00BD28D2" w:rsidRPr="00050C02">
        <w:rPr>
          <w:vertAlign w:val="superscript"/>
        </w:rPr>
        <w:t>o</w:t>
      </w:r>
      <w:r w:rsidR="00BD28D2">
        <w:t> </w:t>
      </w:r>
      <w:r w:rsidR="00CF1461" w:rsidRPr="00623D7A">
        <w:rPr>
          <w:rFonts w:eastAsia="Times New Roman"/>
          <w:lang w:eastAsia="fr-FR"/>
        </w:rPr>
        <w:t>26.16 stipule que</w:t>
      </w:r>
      <w:r w:rsidR="00BD28D2">
        <w:rPr>
          <w:rFonts w:eastAsia="Times New Roman"/>
          <w:lang w:eastAsia="fr-FR"/>
        </w:rPr>
        <w:t> </w:t>
      </w:r>
      <w:r w:rsidR="00CF1461" w:rsidRPr="00623D7A">
        <w:rPr>
          <w:rFonts w:eastAsia="Times New Roman"/>
          <w:lang w:eastAsia="fr-FR"/>
        </w:rPr>
        <w:t>: «</w:t>
      </w:r>
      <w:r w:rsidR="00BD28D2">
        <w:rPr>
          <w:rFonts w:eastAsia="Times New Roman"/>
          <w:lang w:eastAsia="fr-FR"/>
        </w:rPr>
        <w:t> </w:t>
      </w:r>
      <w:r w:rsidR="00CF1461" w:rsidRPr="00623D7A">
        <w:rPr>
          <w:rFonts w:eastAsia="Times New Roman"/>
          <w:lang w:eastAsia="fr-FR"/>
        </w:rPr>
        <w:t>l</w:t>
      </w:r>
      <w:r w:rsidR="00CD5A97">
        <w:rPr>
          <w:rFonts w:eastAsia="Times New Roman"/>
          <w:lang w:eastAsia="fr-FR"/>
        </w:rPr>
        <w:t>’</w:t>
      </w:r>
      <w:r w:rsidR="00CF1461" w:rsidRPr="00623D7A">
        <w:rPr>
          <w:rFonts w:eastAsia="Times New Roman"/>
          <w:lang w:eastAsia="fr-FR"/>
        </w:rPr>
        <w:t xml:space="preserve">État garantit aux justiciables </w:t>
      </w:r>
      <w:proofErr w:type="spellStart"/>
      <w:r w:rsidR="00CF1461" w:rsidRPr="00623D7A">
        <w:rPr>
          <w:rFonts w:eastAsia="Times New Roman"/>
          <w:lang w:eastAsia="fr-FR"/>
        </w:rPr>
        <w:t>amazighones</w:t>
      </w:r>
      <w:proofErr w:type="spellEnd"/>
      <w:r w:rsidR="00CF1461" w:rsidRPr="00623D7A">
        <w:rPr>
          <w:rFonts w:eastAsia="Times New Roman"/>
          <w:lang w:eastAsia="fr-FR"/>
        </w:rPr>
        <w:t>, à leur demande, le droit d</w:t>
      </w:r>
      <w:r w:rsidR="00CD5A97">
        <w:rPr>
          <w:rFonts w:eastAsia="Times New Roman"/>
          <w:lang w:eastAsia="fr-FR"/>
        </w:rPr>
        <w:t>’</w:t>
      </w:r>
      <w:r w:rsidR="00CF1461" w:rsidRPr="00623D7A">
        <w:rPr>
          <w:rFonts w:eastAsia="Times New Roman"/>
          <w:lang w:eastAsia="fr-FR"/>
        </w:rPr>
        <w:t>utiliser la langue amazighe lors des procédures d’enquête, au cours des audiences ou des témoignages devant la Cour, ainsi que pour les diverses procédures de convocation</w:t>
      </w:r>
      <w:r w:rsidR="00CF1461" w:rsidRPr="002B7D22">
        <w:rPr>
          <w:rFonts w:eastAsia="Times New Roman"/>
          <w:lang w:eastAsia="fr-FR"/>
        </w:rPr>
        <w:t xml:space="preserve"> </w:t>
      </w:r>
      <w:r w:rsidR="00CF1461" w:rsidRPr="00623D7A">
        <w:rPr>
          <w:rFonts w:eastAsia="Times New Roman"/>
          <w:lang w:eastAsia="fr-FR"/>
        </w:rPr>
        <w:t>et de notification. À cette fin, l’État fournit le service de traduction gratuitement aux parties. Les parties ont le droit d</w:t>
      </w:r>
      <w:r w:rsidR="00CD5A97">
        <w:rPr>
          <w:rFonts w:eastAsia="Times New Roman"/>
          <w:lang w:eastAsia="fr-FR"/>
        </w:rPr>
        <w:t>’</w:t>
      </w:r>
      <w:r w:rsidR="00CF1461" w:rsidRPr="00623D7A">
        <w:rPr>
          <w:rFonts w:eastAsia="Times New Roman"/>
          <w:lang w:eastAsia="fr-FR"/>
        </w:rPr>
        <w:t xml:space="preserve">entendre, sur demande, la prononciation des jugements </w:t>
      </w:r>
      <w:r w:rsidR="00CF1461" w:rsidRPr="00623D7A">
        <w:rPr>
          <w:rFonts w:eastAsia="Times New Roman"/>
          <w:lang w:eastAsia="fr-FR"/>
        </w:rPr>
        <w:lastRenderedPageBreak/>
        <w:t xml:space="preserve">en langue amazighe. </w:t>
      </w:r>
      <w:r w:rsidR="00CF1461">
        <w:rPr>
          <w:rFonts w:eastAsia="Times New Roman"/>
          <w:lang w:eastAsia="fr-FR"/>
        </w:rPr>
        <w:t>De même</w:t>
      </w:r>
      <w:r w:rsidR="00CF1461" w:rsidRPr="00623D7A">
        <w:rPr>
          <w:rFonts w:eastAsia="Times New Roman"/>
          <w:lang w:eastAsia="fr-FR"/>
        </w:rPr>
        <w:t>, l’État veille à relever les compétences des juges et des fonctionnaires des tribunaux concernés en matière de langue amazighe ».</w:t>
      </w:r>
    </w:p>
    <w:p w14:paraId="34D6CA9E" w14:textId="72E6D36F"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197.</w:t>
      </w:r>
      <w:r>
        <w:rPr>
          <w:rFonts w:eastAsia="Times New Roman"/>
          <w:color w:val="000000" w:themeColor="text1"/>
          <w:lang w:eastAsia="fr-FR"/>
        </w:rPr>
        <w:tab/>
      </w:r>
      <w:r w:rsidR="00CF1461">
        <w:rPr>
          <w:rFonts w:eastAsia="Times New Roman"/>
          <w:lang w:eastAsia="fr-FR"/>
        </w:rPr>
        <w:t>Au demeurant</w:t>
      </w:r>
      <w:r w:rsidR="00CF1461" w:rsidRPr="00C97B55">
        <w:rPr>
          <w:rFonts w:eastAsia="Times New Roman"/>
          <w:lang w:eastAsia="fr-FR"/>
        </w:rPr>
        <w:t xml:space="preserve">, les tribunaux marocains </w:t>
      </w:r>
      <w:r w:rsidR="00CF1461">
        <w:rPr>
          <w:rFonts w:eastAsia="Times New Roman"/>
          <w:lang w:eastAsia="fr-FR"/>
        </w:rPr>
        <w:t>sont</w:t>
      </w:r>
      <w:r w:rsidR="00CF1461" w:rsidRPr="00C97B55">
        <w:rPr>
          <w:rFonts w:eastAsia="Times New Roman"/>
          <w:lang w:eastAsia="fr-FR"/>
        </w:rPr>
        <w:t xml:space="preserve"> soucieux d</w:t>
      </w:r>
      <w:r w:rsidR="00CD5A97">
        <w:rPr>
          <w:rFonts w:eastAsia="Times New Roman"/>
          <w:lang w:eastAsia="fr-FR"/>
        </w:rPr>
        <w:t>’</w:t>
      </w:r>
      <w:r w:rsidR="00CF1461" w:rsidRPr="00C97B55">
        <w:rPr>
          <w:rFonts w:eastAsia="Times New Roman"/>
          <w:lang w:eastAsia="fr-FR"/>
        </w:rPr>
        <w:t xml:space="preserve">assurer la traduction en langue Amazighe pour tout justiciable qui en demande, au travers de juges </w:t>
      </w:r>
      <w:r w:rsidR="00CF1461">
        <w:rPr>
          <w:rFonts w:eastAsia="Times New Roman"/>
          <w:lang w:eastAsia="fr-FR"/>
        </w:rPr>
        <w:t>et avocats amazighophones</w:t>
      </w:r>
      <w:r w:rsidR="00CF1461" w:rsidRPr="00C97B55">
        <w:rPr>
          <w:rFonts w:eastAsia="Times New Roman"/>
          <w:lang w:eastAsia="fr-FR"/>
        </w:rPr>
        <w:t xml:space="preserve">, ou en confiant cette tâche à un citoyen privé après prestation de serment. </w:t>
      </w:r>
    </w:p>
    <w:p w14:paraId="2F27F06F" w14:textId="6CFB0790" w:rsidR="00CF1461" w:rsidRPr="00C97B55" w:rsidRDefault="004B5A1A" w:rsidP="004B5A1A">
      <w:pPr>
        <w:pStyle w:val="SingleTxtG"/>
        <w:tabs>
          <w:tab w:val="clear" w:pos="1701"/>
          <w:tab w:val="clear" w:pos="2268"/>
          <w:tab w:val="clear" w:pos="2835"/>
        </w:tabs>
        <w:rPr>
          <w:rFonts w:eastAsia="Times New Roman"/>
          <w:lang w:eastAsia="fr-FR"/>
        </w:rPr>
      </w:pPr>
      <w:r w:rsidRPr="00C97B55">
        <w:rPr>
          <w:rFonts w:eastAsia="Times New Roman"/>
          <w:color w:val="000000" w:themeColor="text1"/>
          <w:lang w:eastAsia="fr-FR"/>
        </w:rPr>
        <w:t>198.</w:t>
      </w:r>
      <w:r w:rsidRPr="00C97B55">
        <w:rPr>
          <w:rFonts w:eastAsia="Times New Roman"/>
          <w:color w:val="000000" w:themeColor="text1"/>
          <w:lang w:eastAsia="fr-FR"/>
        </w:rPr>
        <w:tab/>
      </w:r>
      <w:r w:rsidR="00CF1461" w:rsidRPr="00C97B55">
        <w:rPr>
          <w:rFonts w:eastAsia="Times New Roman"/>
          <w:lang w:eastAsia="fr-FR"/>
        </w:rPr>
        <w:t xml:space="preserve">Des manquements en raison de </w:t>
      </w:r>
      <w:r w:rsidR="00CF1461">
        <w:rPr>
          <w:rFonts w:eastAsia="Times New Roman"/>
          <w:lang w:eastAsia="fr-FR"/>
        </w:rPr>
        <w:t xml:space="preserve">la </w:t>
      </w:r>
      <w:r w:rsidR="00CF1461" w:rsidRPr="00C97B55">
        <w:rPr>
          <w:rFonts w:eastAsia="Times New Roman"/>
          <w:lang w:eastAsia="fr-FR"/>
        </w:rPr>
        <w:t>rareté de</w:t>
      </w:r>
      <w:r w:rsidR="00CF1461">
        <w:rPr>
          <w:rFonts w:eastAsia="Times New Roman"/>
          <w:lang w:eastAsia="fr-FR"/>
        </w:rPr>
        <w:t>s</w:t>
      </w:r>
      <w:r w:rsidR="00CF1461" w:rsidRPr="00C97B55">
        <w:rPr>
          <w:rFonts w:eastAsia="Times New Roman"/>
          <w:lang w:eastAsia="fr-FR"/>
        </w:rPr>
        <w:t xml:space="preserve"> ressources peuvent être enregistrés çà et là comme en font écho les </w:t>
      </w:r>
      <w:r w:rsidR="00CF1461">
        <w:rPr>
          <w:rFonts w:eastAsia="Times New Roman"/>
          <w:lang w:eastAsia="fr-FR"/>
        </w:rPr>
        <w:t>associations</w:t>
      </w:r>
      <w:r w:rsidR="00CF1461" w:rsidRPr="00C97B55">
        <w:rPr>
          <w:rFonts w:eastAsia="Times New Roman"/>
          <w:lang w:eastAsia="fr-FR"/>
        </w:rPr>
        <w:t xml:space="preserve"> de défense de l’</w:t>
      </w:r>
      <w:r w:rsidR="00CF1461">
        <w:rPr>
          <w:rFonts w:eastAsia="Times New Roman"/>
          <w:lang w:eastAsia="fr-FR"/>
        </w:rPr>
        <w:t>a</w:t>
      </w:r>
      <w:r w:rsidR="00CF1461" w:rsidRPr="00C97B55">
        <w:rPr>
          <w:rFonts w:eastAsia="Times New Roman"/>
          <w:lang w:eastAsia="fr-FR"/>
        </w:rPr>
        <w:t>mazigh</w:t>
      </w:r>
      <w:r w:rsidR="00CF1461">
        <w:rPr>
          <w:rFonts w:eastAsia="Times New Roman"/>
          <w:lang w:eastAsia="fr-FR"/>
        </w:rPr>
        <w:t>e</w:t>
      </w:r>
      <w:r w:rsidR="00CF1461" w:rsidRPr="00C97B55">
        <w:rPr>
          <w:rFonts w:eastAsia="Times New Roman"/>
          <w:lang w:eastAsia="fr-FR"/>
        </w:rPr>
        <w:t xml:space="preserve"> ou de</w:t>
      </w:r>
      <w:r w:rsidR="00CF1461">
        <w:rPr>
          <w:rFonts w:eastAsia="Times New Roman"/>
          <w:lang w:eastAsia="fr-FR"/>
        </w:rPr>
        <w:t>s</w:t>
      </w:r>
      <w:r w:rsidR="00CF1461" w:rsidRPr="00C97B55">
        <w:rPr>
          <w:rFonts w:eastAsia="Times New Roman"/>
          <w:lang w:eastAsia="fr-FR"/>
        </w:rPr>
        <w:t xml:space="preserve"> migrants, mais les mesures d’accompagnement de la </w:t>
      </w:r>
      <w:r w:rsidR="00CF1461">
        <w:rPr>
          <w:rFonts w:eastAsia="Times New Roman"/>
          <w:lang w:eastAsia="fr-FR"/>
        </w:rPr>
        <w:t>SNIA</w:t>
      </w:r>
      <w:r w:rsidR="00CF1461" w:rsidRPr="00C97B55">
        <w:rPr>
          <w:rFonts w:eastAsia="Times New Roman"/>
          <w:lang w:eastAsia="fr-FR"/>
        </w:rPr>
        <w:t xml:space="preserve"> ainsi que la mise en œuvre progressive de la </w:t>
      </w:r>
      <w:r w:rsidR="00C927C9">
        <w:rPr>
          <w:rFonts w:eastAsia="Times New Roman"/>
          <w:lang w:eastAsia="fr-FR"/>
        </w:rPr>
        <w:t>L</w:t>
      </w:r>
      <w:r w:rsidR="00CF1461" w:rsidRPr="00C97B55">
        <w:rPr>
          <w:rFonts w:eastAsia="Times New Roman"/>
          <w:lang w:eastAsia="fr-FR"/>
        </w:rPr>
        <w:t xml:space="preserve">oi organique relative à l’activation du caractère officiel de la langue amazighe, apporteront certainement des réponses à ces lacunes. </w:t>
      </w:r>
    </w:p>
    <w:p w14:paraId="2A3F8E6B" w14:textId="77777777" w:rsidR="00CF1461" w:rsidRPr="00E26090" w:rsidRDefault="007B174A" w:rsidP="007B174A">
      <w:pPr>
        <w:pStyle w:val="H1G"/>
        <w:rPr>
          <w:lang w:eastAsia="fr-FR"/>
        </w:rPr>
      </w:pPr>
      <w:r>
        <w:rPr>
          <w:lang w:eastAsia="fr-FR"/>
        </w:rPr>
        <w:tab/>
      </w:r>
      <w:r>
        <w:rPr>
          <w:lang w:eastAsia="fr-FR"/>
        </w:rPr>
        <w:tab/>
      </w:r>
      <w:r w:rsidR="00CF1461" w:rsidRPr="00E26090">
        <w:rPr>
          <w:lang w:eastAsia="fr-FR"/>
        </w:rPr>
        <w:t>Article 7</w:t>
      </w:r>
    </w:p>
    <w:p w14:paraId="63476C45" w14:textId="77777777" w:rsidR="00CF1461" w:rsidRPr="00E26090" w:rsidRDefault="007B174A" w:rsidP="00377075">
      <w:pPr>
        <w:pStyle w:val="H23G"/>
        <w:rPr>
          <w:lang w:eastAsia="fr-FR"/>
        </w:rPr>
      </w:pPr>
      <w:r>
        <w:rPr>
          <w:lang w:eastAsia="fr-FR"/>
        </w:rPr>
        <w:tab/>
      </w:r>
      <w:r>
        <w:rPr>
          <w:lang w:eastAsia="fr-FR"/>
        </w:rPr>
        <w:tab/>
      </w:r>
      <w:r w:rsidR="00CF1461" w:rsidRPr="00E26090">
        <w:rPr>
          <w:lang w:eastAsia="fr-FR"/>
        </w:rPr>
        <w:t>Recommandation 20 du Comité</w:t>
      </w:r>
    </w:p>
    <w:p w14:paraId="46118542" w14:textId="32CC0B5D" w:rsidR="00CF1461" w:rsidRPr="008B75E4" w:rsidRDefault="004B5A1A" w:rsidP="004B5A1A">
      <w:pPr>
        <w:pStyle w:val="SingleTxtG"/>
        <w:tabs>
          <w:tab w:val="clear" w:pos="1701"/>
          <w:tab w:val="clear" w:pos="2268"/>
          <w:tab w:val="clear" w:pos="2835"/>
        </w:tabs>
        <w:rPr>
          <w:rFonts w:eastAsia="Times New Roman"/>
          <w:lang w:eastAsia="fr-FR"/>
        </w:rPr>
      </w:pPr>
      <w:r w:rsidRPr="008B75E4">
        <w:rPr>
          <w:rFonts w:eastAsia="Times New Roman"/>
          <w:color w:val="000000" w:themeColor="text1"/>
          <w:lang w:eastAsia="fr-FR"/>
        </w:rPr>
        <w:t>199.</w:t>
      </w:r>
      <w:r w:rsidRPr="008B75E4">
        <w:rPr>
          <w:rFonts w:eastAsia="Times New Roman"/>
          <w:color w:val="000000" w:themeColor="text1"/>
          <w:lang w:eastAsia="fr-FR"/>
        </w:rPr>
        <w:tab/>
      </w:r>
      <w:r w:rsidR="00CF1461" w:rsidRPr="00E26090">
        <w:rPr>
          <w:rFonts w:eastAsia="Times New Roman"/>
          <w:lang w:eastAsia="fr-FR"/>
        </w:rPr>
        <w:t>La formation aux droits de l</w:t>
      </w:r>
      <w:r w:rsidR="00CD5A97">
        <w:rPr>
          <w:rFonts w:eastAsia="Times New Roman"/>
          <w:lang w:eastAsia="fr-FR"/>
        </w:rPr>
        <w:t>’</w:t>
      </w:r>
      <w:r w:rsidR="00CF1461">
        <w:rPr>
          <w:rFonts w:eastAsia="Times New Roman"/>
          <w:lang w:eastAsia="fr-FR"/>
        </w:rPr>
        <w:t>H</w:t>
      </w:r>
      <w:r w:rsidR="00CF1461" w:rsidRPr="00E26090">
        <w:rPr>
          <w:rFonts w:eastAsia="Times New Roman"/>
          <w:lang w:eastAsia="fr-FR"/>
        </w:rPr>
        <w:t>omme et la diffusion de la culture des droits de l</w:t>
      </w:r>
      <w:r w:rsidR="00CD5A97">
        <w:rPr>
          <w:rFonts w:eastAsia="Times New Roman"/>
          <w:lang w:eastAsia="fr-FR"/>
        </w:rPr>
        <w:t>’</w:t>
      </w:r>
      <w:r w:rsidR="00CF1461" w:rsidRPr="00E26090">
        <w:rPr>
          <w:rFonts w:eastAsia="Times New Roman"/>
          <w:lang w:eastAsia="fr-FR"/>
        </w:rPr>
        <w:t>Homme et son appropriation collective ont toujours été une priorité pour le Royaume du Maroc, qui a notamment adhéré au Programme mondial pour l</w:t>
      </w:r>
      <w:r w:rsidR="00CD5A97">
        <w:rPr>
          <w:rFonts w:eastAsia="Times New Roman"/>
          <w:lang w:eastAsia="fr-FR"/>
        </w:rPr>
        <w:t>’</w:t>
      </w:r>
      <w:r w:rsidR="00CF1461" w:rsidRPr="00E26090">
        <w:rPr>
          <w:rFonts w:eastAsia="Times New Roman"/>
          <w:lang w:eastAsia="fr-FR"/>
        </w:rPr>
        <w:t>éducation aux droits de l</w:t>
      </w:r>
      <w:r w:rsidR="00CD5A97">
        <w:rPr>
          <w:rFonts w:eastAsia="Times New Roman"/>
          <w:lang w:eastAsia="fr-FR"/>
        </w:rPr>
        <w:t>’</w:t>
      </w:r>
      <w:r w:rsidR="00F04096">
        <w:rPr>
          <w:rFonts w:eastAsia="Times New Roman"/>
          <w:lang w:eastAsia="fr-FR"/>
        </w:rPr>
        <w:t>H</w:t>
      </w:r>
      <w:r w:rsidR="00CF1461" w:rsidRPr="00E26090">
        <w:rPr>
          <w:rFonts w:eastAsia="Times New Roman"/>
          <w:lang w:eastAsia="fr-FR"/>
        </w:rPr>
        <w:t xml:space="preserve">omme </w:t>
      </w:r>
      <w:r w:rsidR="00CF1461">
        <w:rPr>
          <w:rFonts w:eastAsia="Times New Roman"/>
          <w:lang w:eastAsia="fr-FR"/>
        </w:rPr>
        <w:t>dès sa 1</w:t>
      </w:r>
      <w:r w:rsidR="00CF1461" w:rsidRPr="00884366">
        <w:rPr>
          <w:rFonts w:eastAsia="Times New Roman"/>
          <w:vertAlign w:val="superscript"/>
          <w:lang w:eastAsia="fr-FR"/>
        </w:rPr>
        <w:t>ère</w:t>
      </w:r>
      <w:r w:rsidR="00CF1461">
        <w:rPr>
          <w:rFonts w:eastAsia="Times New Roman"/>
          <w:lang w:eastAsia="fr-FR"/>
        </w:rPr>
        <w:t xml:space="preserve"> phase </w:t>
      </w:r>
      <w:r w:rsidR="00CF1461" w:rsidRPr="00E26090">
        <w:rPr>
          <w:rFonts w:eastAsia="Times New Roman"/>
          <w:lang w:eastAsia="fr-FR"/>
        </w:rPr>
        <w:t>et continue, au niveau régional, d’apporter son appui au Plan arabe pour l’éducation aux droits de l’Homme</w:t>
      </w:r>
      <w:r w:rsidR="00CF1461">
        <w:rPr>
          <w:rFonts w:eastAsia="Times New Roman"/>
          <w:lang w:eastAsia="fr-FR"/>
        </w:rPr>
        <w:t>.</w:t>
      </w:r>
    </w:p>
    <w:p w14:paraId="293207ED" w14:textId="0F7E1C6D" w:rsidR="00CF1461" w:rsidRPr="00C86E92" w:rsidRDefault="004B5A1A" w:rsidP="004B5A1A">
      <w:pPr>
        <w:pStyle w:val="SingleTxtG"/>
        <w:tabs>
          <w:tab w:val="clear" w:pos="1701"/>
          <w:tab w:val="clear" w:pos="2268"/>
          <w:tab w:val="clear" w:pos="2835"/>
        </w:tabs>
        <w:rPr>
          <w:rFonts w:eastAsia="Times New Roman"/>
          <w:lang w:eastAsia="fr-FR"/>
        </w:rPr>
      </w:pPr>
      <w:r w:rsidRPr="00C86E92">
        <w:rPr>
          <w:rFonts w:eastAsia="Times New Roman"/>
          <w:color w:val="000000" w:themeColor="text1"/>
          <w:lang w:eastAsia="fr-FR"/>
        </w:rPr>
        <w:t>200.</w:t>
      </w:r>
      <w:r w:rsidRPr="00C86E92">
        <w:rPr>
          <w:rFonts w:eastAsia="Times New Roman"/>
          <w:color w:val="000000" w:themeColor="text1"/>
          <w:lang w:eastAsia="fr-FR"/>
        </w:rPr>
        <w:tab/>
      </w:r>
      <w:r w:rsidR="00CF1461">
        <w:rPr>
          <w:rFonts w:eastAsia="Times New Roman"/>
          <w:lang w:eastAsia="fr-FR"/>
        </w:rPr>
        <w:t>En milieu scolaire, l’année</w:t>
      </w:r>
      <w:r w:rsidR="00CF1461" w:rsidRPr="00C86E92">
        <w:rPr>
          <w:rFonts w:eastAsia="Times New Roman"/>
          <w:lang w:eastAsia="fr-FR"/>
        </w:rPr>
        <w:t xml:space="preserve"> 2018 </w:t>
      </w:r>
      <w:r w:rsidR="00CF1461">
        <w:rPr>
          <w:rFonts w:eastAsia="Times New Roman"/>
          <w:lang w:eastAsia="fr-FR"/>
        </w:rPr>
        <w:t xml:space="preserve">a été marquée par le lancement </w:t>
      </w:r>
      <w:r w:rsidR="00CF1461" w:rsidRPr="00C86E92">
        <w:rPr>
          <w:rFonts w:eastAsia="Times New Roman"/>
          <w:lang w:eastAsia="fr-FR"/>
        </w:rPr>
        <w:t xml:space="preserve">du projet « Appui à la promotion de la tolérance, du civisme, de la citoyenneté et à la prévention des comportements à risques » </w:t>
      </w:r>
      <w:r w:rsidR="00CF1461">
        <w:rPr>
          <w:rFonts w:eastAsia="Times New Roman"/>
          <w:lang w:eastAsia="fr-FR"/>
        </w:rPr>
        <w:t xml:space="preserve">en partenariat entre le </w:t>
      </w:r>
      <w:r w:rsidR="00CF1461" w:rsidRPr="00C86E92">
        <w:rPr>
          <w:rFonts w:eastAsia="Times New Roman"/>
          <w:lang w:eastAsia="fr-FR"/>
        </w:rPr>
        <w:t>MENFP</w:t>
      </w:r>
      <w:r w:rsidR="00CF1461">
        <w:rPr>
          <w:rFonts w:eastAsia="Times New Roman"/>
          <w:lang w:eastAsia="fr-FR"/>
        </w:rPr>
        <w:t xml:space="preserve">, le </w:t>
      </w:r>
      <w:r w:rsidR="00CF1461" w:rsidRPr="00C86E92">
        <w:rPr>
          <w:rFonts w:eastAsia="Times New Roman"/>
          <w:lang w:eastAsia="fr-FR"/>
        </w:rPr>
        <w:t>PNUD et l</w:t>
      </w:r>
      <w:r w:rsidR="00CF1461">
        <w:rPr>
          <w:rFonts w:eastAsia="Times New Roman"/>
          <w:lang w:eastAsia="fr-FR"/>
        </w:rPr>
        <w:t>’</w:t>
      </w:r>
      <w:r w:rsidR="00CF1461" w:rsidRPr="00C86E92">
        <w:rPr>
          <w:rFonts w:eastAsia="Times New Roman"/>
          <w:lang w:eastAsia="fr-FR"/>
        </w:rPr>
        <w:t>a</w:t>
      </w:r>
      <w:r w:rsidR="00CF1461">
        <w:rPr>
          <w:rFonts w:eastAsia="Times New Roman"/>
          <w:lang w:eastAsia="fr-FR"/>
        </w:rPr>
        <w:t xml:space="preserve">ssociation </w:t>
      </w:r>
      <w:proofErr w:type="spellStart"/>
      <w:r w:rsidR="00CF1461" w:rsidRPr="00C86E92">
        <w:rPr>
          <w:rFonts w:eastAsia="Times New Roman"/>
          <w:lang w:eastAsia="fr-FR"/>
        </w:rPr>
        <w:t>Rabita</w:t>
      </w:r>
      <w:proofErr w:type="spellEnd"/>
      <w:r w:rsidR="00CF1461" w:rsidRPr="00C86E92">
        <w:rPr>
          <w:rFonts w:eastAsia="Times New Roman"/>
          <w:lang w:eastAsia="fr-FR"/>
        </w:rPr>
        <w:t xml:space="preserve"> Mohammadia des Oulémas </w:t>
      </w:r>
      <w:r w:rsidR="00CF1461">
        <w:rPr>
          <w:rFonts w:eastAsia="Times New Roman"/>
          <w:lang w:eastAsia="fr-FR"/>
        </w:rPr>
        <w:t>ayant notamment pour objectifs de</w:t>
      </w:r>
      <w:r w:rsidR="00CF1461" w:rsidRPr="00C86E92">
        <w:rPr>
          <w:rFonts w:eastAsia="Times New Roman"/>
          <w:lang w:eastAsia="fr-FR"/>
        </w:rPr>
        <w:t xml:space="preserve"> </w:t>
      </w:r>
      <w:r w:rsidR="00CF1461">
        <w:rPr>
          <w:rFonts w:eastAsia="Times New Roman"/>
          <w:lang w:eastAsia="fr-FR"/>
        </w:rPr>
        <w:t>m</w:t>
      </w:r>
      <w:r w:rsidR="00CF1461" w:rsidRPr="00C86E92">
        <w:rPr>
          <w:rFonts w:eastAsia="Times New Roman"/>
          <w:lang w:eastAsia="fr-FR"/>
        </w:rPr>
        <w:t>ettre en place :</w:t>
      </w:r>
    </w:p>
    <w:p w14:paraId="7F66C57E" w14:textId="45C41C4A" w:rsidR="00CF1461" w:rsidRPr="007B174A" w:rsidRDefault="004B5A1A" w:rsidP="004B5A1A">
      <w:pPr>
        <w:pStyle w:val="Bullet1G"/>
        <w:numPr>
          <w:ilvl w:val="0"/>
          <w:numId w:val="0"/>
        </w:numPr>
        <w:tabs>
          <w:tab w:val="left" w:pos="1701"/>
        </w:tabs>
        <w:ind w:left="1701" w:hanging="170"/>
      </w:pPr>
      <w:r w:rsidRPr="007B174A">
        <w:t>•</w:t>
      </w:r>
      <w:r w:rsidRPr="007B174A">
        <w:tab/>
      </w:r>
      <w:r w:rsidR="007B174A" w:rsidRPr="007B174A">
        <w:t>U</w:t>
      </w:r>
      <w:r w:rsidR="00CF1461" w:rsidRPr="007B174A">
        <w:t>ne plateforme de recherche-action sur les valeurs, le civisme et la participation sociale des jeunes à la vie scolaire ;</w:t>
      </w:r>
    </w:p>
    <w:p w14:paraId="24B36E08" w14:textId="1C4A433C" w:rsidR="00CF1461" w:rsidRPr="007B174A" w:rsidRDefault="004B5A1A" w:rsidP="004B5A1A">
      <w:pPr>
        <w:pStyle w:val="Bullet1G"/>
        <w:numPr>
          <w:ilvl w:val="0"/>
          <w:numId w:val="0"/>
        </w:numPr>
        <w:tabs>
          <w:tab w:val="left" w:pos="1701"/>
        </w:tabs>
        <w:ind w:left="1701" w:hanging="170"/>
      </w:pPr>
      <w:r w:rsidRPr="007B174A">
        <w:t>•</w:t>
      </w:r>
      <w:r w:rsidRPr="007B174A">
        <w:tab/>
      </w:r>
      <w:r w:rsidR="007B174A" w:rsidRPr="007B174A">
        <w:t>U</w:t>
      </w:r>
      <w:r w:rsidR="00CF1461" w:rsidRPr="007B174A">
        <w:t>n réseau de coordinateurs de la vie scolaire (200 établissements secondaires en phase pilote, 4</w:t>
      </w:r>
      <w:r w:rsidR="00F26D77">
        <w:t> </w:t>
      </w:r>
      <w:r w:rsidR="00CF1461" w:rsidRPr="007B174A">
        <w:t xml:space="preserve">000 soit la totalité à l’horizon de 2022) et élaboration de plans d’action au niveau des collèges et lycées du Maroc. </w:t>
      </w:r>
    </w:p>
    <w:p w14:paraId="1290FB1B" w14:textId="137959BC" w:rsidR="00CF1461" w:rsidRPr="00013F70" w:rsidRDefault="004B5A1A" w:rsidP="004B5A1A">
      <w:pPr>
        <w:pStyle w:val="SingleTxtG"/>
        <w:tabs>
          <w:tab w:val="clear" w:pos="1701"/>
          <w:tab w:val="clear" w:pos="2268"/>
          <w:tab w:val="clear" w:pos="2835"/>
        </w:tabs>
        <w:rPr>
          <w:rFonts w:eastAsia="Times New Roman"/>
          <w:lang w:eastAsia="fr-FR"/>
        </w:rPr>
      </w:pPr>
      <w:r w:rsidRPr="00013F70">
        <w:rPr>
          <w:rFonts w:eastAsia="Times New Roman"/>
          <w:color w:val="000000" w:themeColor="text1"/>
          <w:lang w:eastAsia="fr-FR"/>
        </w:rPr>
        <w:t>201.</w:t>
      </w:r>
      <w:r w:rsidRPr="00013F70">
        <w:rPr>
          <w:rFonts w:eastAsia="Times New Roman"/>
          <w:color w:val="000000" w:themeColor="text1"/>
          <w:lang w:eastAsia="fr-FR"/>
        </w:rPr>
        <w:tab/>
      </w:r>
      <w:r w:rsidR="00CF1461" w:rsidRPr="00085949">
        <w:rPr>
          <w:rFonts w:eastAsia="Times New Roman"/>
          <w:lang w:eastAsia="fr-FR"/>
        </w:rPr>
        <w:t>En matière de renforcement des capacités des responsables de l</w:t>
      </w:r>
      <w:r w:rsidR="00CD5A97">
        <w:rPr>
          <w:rFonts w:eastAsia="Times New Roman"/>
          <w:lang w:eastAsia="fr-FR"/>
        </w:rPr>
        <w:t>’</w:t>
      </w:r>
      <w:r w:rsidR="00CF1461" w:rsidRPr="00085949">
        <w:rPr>
          <w:rFonts w:eastAsia="Times New Roman"/>
          <w:lang w:eastAsia="fr-FR"/>
        </w:rPr>
        <w:t xml:space="preserve">application de la loi dans le domaine de la culture des </w:t>
      </w:r>
      <w:r w:rsidR="00F04096">
        <w:rPr>
          <w:rFonts w:eastAsia="Times New Roman"/>
          <w:lang w:eastAsia="fr-FR"/>
        </w:rPr>
        <w:t>d</w:t>
      </w:r>
      <w:r w:rsidR="00CF1461" w:rsidRPr="00085949">
        <w:rPr>
          <w:rFonts w:eastAsia="Times New Roman"/>
          <w:lang w:eastAsia="fr-FR"/>
        </w:rPr>
        <w:t>roits de l’Homme, plusieurs administrations sont concernées. L</w:t>
      </w:r>
      <w:r w:rsidR="00CF1461">
        <w:rPr>
          <w:rFonts w:eastAsia="Times New Roman"/>
          <w:lang w:eastAsia="fr-FR"/>
        </w:rPr>
        <w:t>a</w:t>
      </w:r>
      <w:r w:rsidR="00CF1461" w:rsidRPr="00133D66">
        <w:rPr>
          <w:rFonts w:eastAsia="Times New Roman"/>
          <w:color w:val="FF0000"/>
          <w:lang w:eastAsia="fr-FR"/>
        </w:rPr>
        <w:t xml:space="preserve"> </w:t>
      </w:r>
      <w:r w:rsidR="00CF1461" w:rsidRPr="00133D66">
        <w:rPr>
          <w:rFonts w:eastAsia="Times New Roman"/>
          <w:lang w:eastAsia="fr-FR"/>
        </w:rPr>
        <w:t xml:space="preserve">Gendarmerie royale </w:t>
      </w:r>
      <w:r w:rsidR="00CF1461" w:rsidRPr="00085949">
        <w:rPr>
          <w:rFonts w:eastAsia="Times New Roman"/>
          <w:lang w:eastAsia="fr-FR"/>
        </w:rPr>
        <w:t>e</w:t>
      </w:r>
      <w:r w:rsidR="00CF1461">
        <w:rPr>
          <w:rFonts w:eastAsia="Times New Roman"/>
          <w:lang w:eastAsia="fr-FR"/>
        </w:rPr>
        <w:t>t</w:t>
      </w:r>
      <w:r w:rsidR="00CF1461" w:rsidRPr="00085949">
        <w:rPr>
          <w:rFonts w:eastAsia="Times New Roman"/>
          <w:lang w:eastAsia="fr-FR"/>
        </w:rPr>
        <w:t xml:space="preserve"> </w:t>
      </w:r>
      <w:r w:rsidR="00CF1461">
        <w:rPr>
          <w:rFonts w:eastAsia="Times New Roman"/>
          <w:lang w:eastAsia="fr-FR"/>
        </w:rPr>
        <w:t xml:space="preserve">le </w:t>
      </w:r>
      <w:r w:rsidR="00CF1461" w:rsidRPr="00085949">
        <w:rPr>
          <w:rFonts w:eastAsia="Times New Roman"/>
          <w:lang w:eastAsia="fr-FR"/>
        </w:rPr>
        <w:t xml:space="preserve">MI à travers les services de sécurité (DGSN, DGST et FA) </w:t>
      </w:r>
      <w:r w:rsidR="00CF1461">
        <w:rPr>
          <w:rFonts w:eastAsia="Times New Roman"/>
          <w:lang w:eastAsia="fr-FR"/>
        </w:rPr>
        <w:t>continuent</w:t>
      </w:r>
      <w:r w:rsidR="00CF1461" w:rsidRPr="00085949">
        <w:rPr>
          <w:rFonts w:eastAsia="Times New Roman"/>
          <w:lang w:eastAsia="fr-FR"/>
        </w:rPr>
        <w:t xml:space="preserve"> de promouvoir la dissémination de la culture des droits de l’</w:t>
      </w:r>
      <w:r w:rsidR="00F04096">
        <w:rPr>
          <w:rFonts w:eastAsia="Times New Roman"/>
          <w:lang w:eastAsia="fr-FR"/>
        </w:rPr>
        <w:t>H</w:t>
      </w:r>
      <w:r w:rsidR="00CF1461" w:rsidRPr="00085949">
        <w:rPr>
          <w:rFonts w:eastAsia="Times New Roman"/>
          <w:lang w:eastAsia="fr-FR"/>
        </w:rPr>
        <w:t>omme au profit de son personnel, tous grades confondus, à travers l’instauration de modules de formation y afférents lors des stages de base, des formations continues et spécialisées.</w:t>
      </w:r>
    </w:p>
    <w:p w14:paraId="5EFDF840" w14:textId="44E1CC84" w:rsidR="00CF1461" w:rsidRPr="00085949" w:rsidRDefault="004B5A1A" w:rsidP="004B5A1A">
      <w:pPr>
        <w:pStyle w:val="SingleTxtG"/>
        <w:keepNext/>
        <w:keepLines/>
        <w:tabs>
          <w:tab w:val="clear" w:pos="1701"/>
          <w:tab w:val="clear" w:pos="2268"/>
          <w:tab w:val="clear" w:pos="2835"/>
        </w:tabs>
        <w:rPr>
          <w:rFonts w:eastAsia="Times New Roman"/>
          <w:lang w:eastAsia="fr-FR"/>
        </w:rPr>
      </w:pPr>
      <w:r w:rsidRPr="00085949">
        <w:rPr>
          <w:rFonts w:eastAsia="Times New Roman"/>
          <w:color w:val="000000" w:themeColor="text1"/>
          <w:lang w:eastAsia="fr-FR"/>
        </w:rPr>
        <w:t>202.</w:t>
      </w:r>
      <w:r w:rsidRPr="00085949">
        <w:rPr>
          <w:rFonts w:eastAsia="Times New Roman"/>
          <w:color w:val="000000" w:themeColor="text1"/>
          <w:lang w:eastAsia="fr-FR"/>
        </w:rPr>
        <w:tab/>
      </w:r>
      <w:r w:rsidR="00A5588D">
        <w:rPr>
          <w:rFonts w:eastAsia="Times New Roman"/>
          <w:lang w:eastAsia="fr-FR"/>
        </w:rPr>
        <w:t>À</w:t>
      </w:r>
      <w:r w:rsidR="00CF1461">
        <w:rPr>
          <w:rFonts w:eastAsia="Times New Roman"/>
          <w:lang w:eastAsia="fr-FR"/>
        </w:rPr>
        <w:t xml:space="preserve"> partir de</w:t>
      </w:r>
      <w:r w:rsidR="00CF1461" w:rsidRPr="00085949">
        <w:rPr>
          <w:rFonts w:eastAsia="Times New Roman"/>
          <w:lang w:eastAsia="fr-FR"/>
        </w:rPr>
        <w:t xml:space="preserve"> 2016, les actions de formation continue </w:t>
      </w:r>
      <w:r w:rsidR="00CF1461">
        <w:rPr>
          <w:rFonts w:eastAsia="Times New Roman"/>
          <w:lang w:eastAsia="fr-FR"/>
        </w:rPr>
        <w:t xml:space="preserve">citées ci-après </w:t>
      </w:r>
      <w:r w:rsidR="00CF1461" w:rsidRPr="00085949">
        <w:rPr>
          <w:rFonts w:eastAsia="Times New Roman"/>
          <w:lang w:eastAsia="fr-FR"/>
        </w:rPr>
        <w:t>ont été entreprises :</w:t>
      </w:r>
    </w:p>
    <w:p w14:paraId="502986FE" w14:textId="4113CD1B" w:rsidR="00CF1461" w:rsidRDefault="004B5A1A" w:rsidP="004B5A1A">
      <w:pPr>
        <w:pStyle w:val="Bullet1G"/>
        <w:numPr>
          <w:ilvl w:val="0"/>
          <w:numId w:val="0"/>
        </w:numPr>
        <w:tabs>
          <w:tab w:val="left" w:pos="1701"/>
        </w:tabs>
        <w:ind w:left="1701" w:hanging="170"/>
        <w:rPr>
          <w:lang w:eastAsia="fr-FR"/>
        </w:rPr>
      </w:pPr>
      <w:r>
        <w:rPr>
          <w:lang w:eastAsia="fr-FR"/>
        </w:rPr>
        <w:t>•</w:t>
      </w:r>
      <w:r>
        <w:rPr>
          <w:lang w:eastAsia="fr-FR"/>
        </w:rPr>
        <w:tab/>
      </w:r>
      <w:r w:rsidR="00CF1461" w:rsidRPr="00085949">
        <w:rPr>
          <w:lang w:eastAsia="fr-FR"/>
        </w:rPr>
        <w:t xml:space="preserve">37 </w:t>
      </w:r>
      <w:r w:rsidR="00CF1461" w:rsidRPr="001A4E49">
        <w:rPr>
          <w:rFonts w:cs="Arial"/>
          <w:lang w:eastAsia="fr-FR"/>
        </w:rPr>
        <w:t>sessions</w:t>
      </w:r>
      <w:r w:rsidR="00CF1461" w:rsidRPr="00085949">
        <w:rPr>
          <w:lang w:eastAsia="fr-FR"/>
        </w:rPr>
        <w:t xml:space="preserve"> de formation sur les « droits de l’homme et le respect des libertés » </w:t>
      </w:r>
      <w:r w:rsidR="00CF1461">
        <w:rPr>
          <w:lang w:eastAsia="fr-FR"/>
        </w:rPr>
        <w:t>destinées</w:t>
      </w:r>
      <w:r w:rsidR="00CF1461" w:rsidRPr="00085949">
        <w:rPr>
          <w:lang w:eastAsia="fr-FR"/>
        </w:rPr>
        <w:t xml:space="preserve"> au profit du personnel des services déconcentrés ont été organisées </w:t>
      </w:r>
      <w:r w:rsidR="00CF1461">
        <w:rPr>
          <w:lang w:eastAsia="fr-FR"/>
        </w:rPr>
        <w:t xml:space="preserve">en 2016 </w:t>
      </w:r>
      <w:r w:rsidR="00CF1461" w:rsidRPr="00085949">
        <w:rPr>
          <w:lang w:eastAsia="fr-FR"/>
        </w:rPr>
        <w:t>au siège de la Direction de la Police Judiciaire</w:t>
      </w:r>
      <w:r w:rsidR="00CF1461">
        <w:rPr>
          <w:lang w:eastAsia="fr-FR"/>
        </w:rPr>
        <w:t> ;</w:t>
      </w:r>
    </w:p>
    <w:p w14:paraId="642C8CA6" w14:textId="792FFD42" w:rsidR="00CF1461" w:rsidRPr="00085949" w:rsidRDefault="004B5A1A" w:rsidP="004B5A1A">
      <w:pPr>
        <w:pStyle w:val="Bullet1G"/>
        <w:numPr>
          <w:ilvl w:val="0"/>
          <w:numId w:val="0"/>
        </w:numPr>
        <w:tabs>
          <w:tab w:val="left" w:pos="1701"/>
        </w:tabs>
        <w:ind w:left="1701" w:hanging="170"/>
        <w:rPr>
          <w:lang w:eastAsia="fr-FR"/>
        </w:rPr>
      </w:pPr>
      <w:r w:rsidRPr="00085949">
        <w:rPr>
          <w:lang w:eastAsia="fr-FR"/>
        </w:rPr>
        <w:t>•</w:t>
      </w:r>
      <w:r w:rsidRPr="00085949">
        <w:rPr>
          <w:lang w:eastAsia="fr-FR"/>
        </w:rPr>
        <w:tab/>
      </w:r>
      <w:r w:rsidR="00CF1461" w:rsidRPr="00085949">
        <w:rPr>
          <w:lang w:eastAsia="fr-FR"/>
        </w:rPr>
        <w:t xml:space="preserve">24 </w:t>
      </w:r>
      <w:r w:rsidR="00CF1461" w:rsidRPr="001A4E49">
        <w:rPr>
          <w:rFonts w:cs="Arial"/>
          <w:lang w:eastAsia="fr-FR"/>
        </w:rPr>
        <w:t>sessions</w:t>
      </w:r>
      <w:r w:rsidR="00CF1461" w:rsidRPr="00085949">
        <w:rPr>
          <w:lang w:eastAsia="fr-FR"/>
        </w:rPr>
        <w:t xml:space="preserve"> de formation sur les « droits de l’homme et la déontologie policière » ont été </w:t>
      </w:r>
      <w:r w:rsidR="00CF1461">
        <w:rPr>
          <w:lang w:eastAsia="fr-FR"/>
        </w:rPr>
        <w:t>également dispensées</w:t>
      </w:r>
      <w:r w:rsidR="00CF1461" w:rsidRPr="00085949">
        <w:rPr>
          <w:lang w:eastAsia="fr-FR"/>
        </w:rPr>
        <w:t xml:space="preserve"> au profit de 475 OPJ relevant de la Préfecture de Police de Fès</w:t>
      </w:r>
      <w:r w:rsidR="00CF1461">
        <w:rPr>
          <w:lang w:eastAsia="fr-FR"/>
        </w:rPr>
        <w:t> ;</w:t>
      </w:r>
    </w:p>
    <w:p w14:paraId="1C1C95FF" w14:textId="68D2C72D" w:rsidR="00CF1461" w:rsidRPr="00085949" w:rsidRDefault="004B5A1A" w:rsidP="004B5A1A">
      <w:pPr>
        <w:pStyle w:val="Bullet1G"/>
        <w:numPr>
          <w:ilvl w:val="0"/>
          <w:numId w:val="0"/>
        </w:numPr>
        <w:tabs>
          <w:tab w:val="left" w:pos="1701"/>
        </w:tabs>
        <w:ind w:left="1701" w:hanging="170"/>
        <w:rPr>
          <w:lang w:eastAsia="fr-FR"/>
        </w:rPr>
      </w:pPr>
      <w:r w:rsidRPr="00085949">
        <w:rPr>
          <w:lang w:eastAsia="fr-FR"/>
        </w:rPr>
        <w:t>•</w:t>
      </w:r>
      <w:r w:rsidRPr="00085949">
        <w:rPr>
          <w:lang w:eastAsia="fr-FR"/>
        </w:rPr>
        <w:tab/>
      </w:r>
      <w:r w:rsidR="00CF1461" w:rsidRPr="00085949">
        <w:rPr>
          <w:lang w:eastAsia="fr-FR"/>
        </w:rPr>
        <w:t xml:space="preserve">En février 2017, 2 sessions de formation de formateurs ont été </w:t>
      </w:r>
      <w:r w:rsidR="00CF1461">
        <w:rPr>
          <w:lang w:eastAsia="fr-FR"/>
        </w:rPr>
        <w:t>organisées</w:t>
      </w:r>
      <w:r w:rsidR="00CF1461" w:rsidRPr="00085949">
        <w:rPr>
          <w:lang w:eastAsia="fr-FR"/>
        </w:rPr>
        <w:t xml:space="preserve"> au profit de </w:t>
      </w:r>
      <w:r w:rsidR="00CF1461" w:rsidRPr="001A4E49">
        <w:rPr>
          <w:rFonts w:cs="Arial"/>
          <w:lang w:eastAsia="fr-FR"/>
        </w:rPr>
        <w:t>38</w:t>
      </w:r>
      <w:r w:rsidR="00CF1461" w:rsidRPr="00085949">
        <w:rPr>
          <w:lang w:eastAsia="fr-FR"/>
        </w:rPr>
        <w:t xml:space="preserve"> points focaux désignés au niveau des 19 commandements, afin d’assurer la formation continue des fonct</w:t>
      </w:r>
      <w:r w:rsidR="00B1425B">
        <w:rPr>
          <w:lang w:eastAsia="fr-FR"/>
        </w:rPr>
        <w:t>ionnaires de police en activité ;</w:t>
      </w:r>
    </w:p>
    <w:p w14:paraId="0FB31B60" w14:textId="0CC47BEC" w:rsidR="007B174A" w:rsidRPr="007B174A" w:rsidRDefault="004B5A1A" w:rsidP="004B5A1A">
      <w:pPr>
        <w:pStyle w:val="Bullet1G"/>
        <w:numPr>
          <w:ilvl w:val="0"/>
          <w:numId w:val="0"/>
        </w:numPr>
        <w:tabs>
          <w:tab w:val="left" w:pos="1701"/>
        </w:tabs>
        <w:ind w:left="1701" w:hanging="170"/>
        <w:rPr>
          <w:rFonts w:eastAsia="Times New Roman"/>
          <w:lang w:eastAsia="fr-FR"/>
        </w:rPr>
      </w:pPr>
      <w:r w:rsidRPr="007B174A">
        <w:rPr>
          <w:rFonts w:eastAsia="Times New Roman"/>
          <w:lang w:eastAsia="fr-FR"/>
        </w:rPr>
        <w:t>•</w:t>
      </w:r>
      <w:r w:rsidRPr="007B174A">
        <w:rPr>
          <w:rFonts w:eastAsia="Times New Roman"/>
          <w:lang w:eastAsia="fr-FR"/>
        </w:rPr>
        <w:tab/>
      </w:r>
      <w:r w:rsidR="00CF1461">
        <w:rPr>
          <w:lang w:eastAsia="fr-FR"/>
        </w:rPr>
        <w:t xml:space="preserve">En </w:t>
      </w:r>
      <w:r w:rsidR="00CF1461" w:rsidRPr="00085949">
        <w:rPr>
          <w:lang w:eastAsia="fr-FR"/>
        </w:rPr>
        <w:t xml:space="preserve">2017, une formation sur « la gestion </w:t>
      </w:r>
      <w:r w:rsidR="00CF1461">
        <w:rPr>
          <w:lang w:eastAsia="fr-FR"/>
        </w:rPr>
        <w:t>pacifique</w:t>
      </w:r>
      <w:r w:rsidR="00CF1461" w:rsidRPr="00085949">
        <w:rPr>
          <w:lang w:eastAsia="fr-FR"/>
        </w:rPr>
        <w:t xml:space="preserve"> des foules » a été organisée à l’Institut Royale de Police au profit du staff exécutif (500 fonctionnaires) dans le but de consacrer les règles de proportionnalité de la force et </w:t>
      </w:r>
      <w:r w:rsidR="00CF1461">
        <w:rPr>
          <w:lang w:eastAsia="fr-FR"/>
        </w:rPr>
        <w:t>l</w:t>
      </w:r>
      <w:r w:rsidR="00CF1461" w:rsidRPr="00085949">
        <w:rPr>
          <w:lang w:eastAsia="fr-FR"/>
        </w:rPr>
        <w:t>’extrême retenue lors des missions d</w:t>
      </w:r>
      <w:r w:rsidR="00CF1461">
        <w:rPr>
          <w:lang w:eastAsia="fr-FR"/>
        </w:rPr>
        <w:t>e</w:t>
      </w:r>
      <w:r w:rsidR="00B1425B">
        <w:rPr>
          <w:lang w:eastAsia="fr-FR"/>
        </w:rPr>
        <w:t xml:space="preserve"> maintien de l’ordre ;</w:t>
      </w:r>
    </w:p>
    <w:p w14:paraId="652DED24" w14:textId="0A557DB7" w:rsidR="00CF1461" w:rsidRPr="007B174A" w:rsidRDefault="004B5A1A" w:rsidP="004B5A1A">
      <w:pPr>
        <w:pStyle w:val="Bullet1G"/>
        <w:numPr>
          <w:ilvl w:val="0"/>
          <w:numId w:val="0"/>
        </w:numPr>
        <w:tabs>
          <w:tab w:val="left" w:pos="1701"/>
        </w:tabs>
        <w:ind w:left="1701" w:hanging="170"/>
        <w:rPr>
          <w:rFonts w:eastAsia="Times New Roman"/>
          <w:lang w:eastAsia="fr-FR"/>
        </w:rPr>
      </w:pPr>
      <w:r w:rsidRPr="007B174A">
        <w:rPr>
          <w:rFonts w:eastAsia="Times New Roman"/>
          <w:lang w:eastAsia="fr-FR"/>
        </w:rPr>
        <w:t>•</w:t>
      </w:r>
      <w:r w:rsidRPr="007B174A">
        <w:rPr>
          <w:rFonts w:eastAsia="Times New Roman"/>
          <w:lang w:eastAsia="fr-FR"/>
        </w:rPr>
        <w:tab/>
      </w:r>
      <w:r w:rsidR="00CF1461" w:rsidRPr="007B174A">
        <w:rPr>
          <w:rFonts w:eastAsia="Times New Roman"/>
          <w:lang w:eastAsia="fr-FR"/>
        </w:rPr>
        <w:t xml:space="preserve">En 2018, une </w:t>
      </w:r>
      <w:r w:rsidR="00CF1461" w:rsidRPr="007B174A">
        <w:rPr>
          <w:rFonts w:eastAsia="Times New Roman" w:cs="Arial"/>
          <w:lang w:eastAsia="fr-FR"/>
        </w:rPr>
        <w:t>journée</w:t>
      </w:r>
      <w:r w:rsidR="00CF1461" w:rsidRPr="007B174A">
        <w:rPr>
          <w:rFonts w:eastAsia="Times New Roman"/>
          <w:lang w:eastAsia="fr-FR"/>
        </w:rPr>
        <w:t xml:space="preserve"> d’étude a été organisée au siège de la Direction de la sécurité publique au profit des responsables chargés de la formation continue au sein des unités constituées (GMMO – GIR – GMS et groupe de protection des locaux de la DGSN).</w:t>
      </w:r>
    </w:p>
    <w:p w14:paraId="2DEF71EB" w14:textId="4A1C4890" w:rsidR="00CF1461" w:rsidRPr="008B75E4" w:rsidRDefault="004B5A1A" w:rsidP="004B5A1A">
      <w:pPr>
        <w:pStyle w:val="SingleTxtG"/>
        <w:tabs>
          <w:tab w:val="clear" w:pos="1701"/>
          <w:tab w:val="clear" w:pos="2268"/>
          <w:tab w:val="clear" w:pos="2835"/>
        </w:tabs>
        <w:rPr>
          <w:rFonts w:eastAsia="Times New Roman"/>
          <w:rtl/>
          <w:lang w:eastAsia="fr-FR"/>
        </w:rPr>
      </w:pPr>
      <w:r w:rsidRPr="008B75E4">
        <w:rPr>
          <w:rFonts w:eastAsia="Times New Roman"/>
          <w:color w:val="000000" w:themeColor="text1"/>
          <w:rtl/>
          <w:lang w:eastAsia="fr-FR"/>
        </w:rPr>
        <w:lastRenderedPageBreak/>
        <w:t>203</w:t>
      </w:r>
      <w:r w:rsidR="00805F0D">
        <w:rPr>
          <w:rFonts w:eastAsia="Times New Roman"/>
          <w:color w:val="000000" w:themeColor="text1"/>
          <w:lang w:eastAsia="fr-FR"/>
        </w:rPr>
        <w:t>.</w:t>
      </w:r>
      <w:r w:rsidRPr="008B75E4">
        <w:rPr>
          <w:rFonts w:eastAsia="Times New Roman"/>
          <w:color w:val="000000" w:themeColor="text1"/>
          <w:rtl/>
          <w:lang w:eastAsia="fr-FR"/>
        </w:rPr>
        <w:tab/>
      </w:r>
      <w:r w:rsidR="00CF1461" w:rsidRPr="00085949">
        <w:rPr>
          <w:rFonts w:eastAsia="Times New Roman"/>
          <w:lang w:eastAsia="fr-FR"/>
        </w:rPr>
        <w:t>Cette formation continue est accompagnée d’une sensibilisation soutenue du personnel de la DGSN à travers des circulaires et des notes directoriales de cadrage, mettant l’accent sur la stricte application de la loi, plus particulièrement, le respect des droits et de la dignité des citoyens et des étrangers.</w:t>
      </w:r>
      <w:r w:rsidR="00CD5A97">
        <w:rPr>
          <w:rFonts w:eastAsia="Times New Roman"/>
          <w:lang w:eastAsia="fr-FR"/>
        </w:rPr>
        <w:t xml:space="preserve"> </w:t>
      </w:r>
    </w:p>
    <w:p w14:paraId="55F2172A" w14:textId="2F4F9D60"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204.</w:t>
      </w:r>
      <w:r w:rsidRPr="00E26090">
        <w:rPr>
          <w:rFonts w:eastAsia="Times New Roman"/>
          <w:color w:val="000000" w:themeColor="text1"/>
          <w:lang w:eastAsia="fr-FR"/>
        </w:rPr>
        <w:tab/>
      </w:r>
      <w:r w:rsidR="00CF1461">
        <w:rPr>
          <w:rFonts w:eastAsia="Times New Roman"/>
          <w:lang w:eastAsia="fr-FR"/>
        </w:rPr>
        <w:t xml:space="preserve">Envers les détenus, </w:t>
      </w:r>
      <w:r w:rsidR="00CF1461" w:rsidRPr="00E26090">
        <w:rPr>
          <w:rFonts w:eastAsia="Times New Roman"/>
          <w:lang w:eastAsia="fr-FR"/>
        </w:rPr>
        <w:t xml:space="preserve">la DGAPR </w:t>
      </w:r>
      <w:r w:rsidR="00CF1461">
        <w:rPr>
          <w:rFonts w:eastAsia="Times New Roman"/>
          <w:lang w:eastAsia="fr-FR"/>
        </w:rPr>
        <w:t>assure d</w:t>
      </w:r>
      <w:r w:rsidR="00CF1461" w:rsidRPr="00E26090">
        <w:rPr>
          <w:rFonts w:eastAsia="Times New Roman"/>
          <w:lang w:eastAsia="fr-FR"/>
        </w:rPr>
        <w:t>es programmes de formation et de formation continue sur les normes des droits humains</w:t>
      </w:r>
      <w:r w:rsidR="00CF1461">
        <w:rPr>
          <w:rFonts w:eastAsia="Times New Roman"/>
          <w:lang w:eastAsia="fr-FR"/>
        </w:rPr>
        <w:t>, en</w:t>
      </w:r>
      <w:r w:rsidR="00CF1461" w:rsidRPr="00E26090">
        <w:rPr>
          <w:rFonts w:eastAsia="Times New Roman"/>
          <w:lang w:eastAsia="fr-FR"/>
        </w:rPr>
        <w:t xml:space="preserve"> particulier </w:t>
      </w:r>
      <w:r w:rsidR="00CF1461">
        <w:rPr>
          <w:rFonts w:eastAsia="Times New Roman"/>
          <w:lang w:eastAsia="fr-FR"/>
        </w:rPr>
        <w:t>les</w:t>
      </w:r>
      <w:r w:rsidR="00CF1461" w:rsidRPr="00E26090">
        <w:rPr>
          <w:rFonts w:eastAsia="Times New Roman"/>
          <w:lang w:eastAsia="fr-FR"/>
        </w:rPr>
        <w:t xml:space="preserve"> règles minima pour le traitement des détenus, </w:t>
      </w:r>
      <w:r w:rsidR="00CF1461">
        <w:rPr>
          <w:rFonts w:eastAsia="Times New Roman"/>
          <w:lang w:eastAsia="fr-FR"/>
        </w:rPr>
        <w:t xml:space="preserve">les </w:t>
      </w:r>
      <w:r w:rsidR="00CF1461" w:rsidRPr="00E26090">
        <w:rPr>
          <w:rFonts w:eastAsia="Times New Roman"/>
          <w:lang w:eastAsia="fr-FR"/>
        </w:rPr>
        <w:t>Principes fondamentaux relatifs au traitement des détenus et les Règles des NU pour la protection des mineurs privés de liberté</w:t>
      </w:r>
      <w:r w:rsidR="00CF1461">
        <w:rPr>
          <w:rFonts w:eastAsia="Times New Roman"/>
          <w:lang w:eastAsia="fr-FR"/>
        </w:rPr>
        <w:t xml:space="preserve">. </w:t>
      </w:r>
    </w:p>
    <w:p w14:paraId="436F9B72" w14:textId="48346A87"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205.</w:t>
      </w:r>
      <w:r w:rsidRPr="00E26090">
        <w:rPr>
          <w:rFonts w:eastAsia="Times New Roman"/>
          <w:color w:val="000000" w:themeColor="text1"/>
          <w:lang w:eastAsia="fr-FR"/>
        </w:rPr>
        <w:tab/>
      </w:r>
      <w:r w:rsidR="00CF1461" w:rsidRPr="00E26090">
        <w:rPr>
          <w:rFonts w:eastAsia="Times New Roman"/>
          <w:lang w:eastAsia="fr-FR"/>
        </w:rPr>
        <w:t>Sur le volet de la promotion, au niveau sociétal, de la culture des droits de l’Homme et du «</w:t>
      </w:r>
      <w:r w:rsidR="00F04096">
        <w:rPr>
          <w:rFonts w:eastAsia="Times New Roman"/>
          <w:lang w:eastAsia="fr-FR"/>
        </w:rPr>
        <w:t> </w:t>
      </w:r>
      <w:r w:rsidR="00CF1461" w:rsidRPr="00E26090">
        <w:rPr>
          <w:rFonts w:eastAsia="Times New Roman"/>
          <w:lang w:eastAsia="fr-FR"/>
        </w:rPr>
        <w:t>vivre ensemble</w:t>
      </w:r>
      <w:r w:rsidR="00F04096">
        <w:rPr>
          <w:rFonts w:eastAsia="Times New Roman"/>
          <w:lang w:eastAsia="fr-FR"/>
        </w:rPr>
        <w:t> </w:t>
      </w:r>
      <w:r w:rsidR="00CF1461" w:rsidRPr="00E26090">
        <w:rPr>
          <w:rFonts w:eastAsia="Times New Roman"/>
          <w:lang w:eastAsia="fr-FR"/>
        </w:rPr>
        <w:t>», compte tenu de sa diversité culturelle et spirituelle, le Maroc continue ses efforts en faveur d</w:t>
      </w:r>
      <w:r w:rsidR="00CF1461">
        <w:rPr>
          <w:rFonts w:eastAsia="Times New Roman"/>
          <w:lang w:eastAsia="fr-FR"/>
        </w:rPr>
        <w:t xml:space="preserve">e la </w:t>
      </w:r>
      <w:r w:rsidR="00CF1461" w:rsidRPr="00E26090">
        <w:rPr>
          <w:rFonts w:eastAsia="Times New Roman"/>
          <w:lang w:eastAsia="fr-FR"/>
        </w:rPr>
        <w:t>culture de la paix, de la tolérance, d’un Islam modéré fondé sur le respect et d’ouverture sur les autres cultures et religions.</w:t>
      </w:r>
    </w:p>
    <w:p w14:paraId="2BAB418D" w14:textId="49F39060"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206.</w:t>
      </w:r>
      <w:r w:rsidRPr="00E26090">
        <w:rPr>
          <w:rFonts w:eastAsia="Times New Roman"/>
          <w:color w:val="000000" w:themeColor="text1"/>
          <w:lang w:eastAsia="fr-FR"/>
        </w:rPr>
        <w:tab/>
      </w:r>
      <w:r w:rsidR="00A5588D">
        <w:rPr>
          <w:rFonts w:eastAsia="Times New Roman"/>
          <w:lang w:eastAsia="fr-FR"/>
        </w:rPr>
        <w:t>À</w:t>
      </w:r>
      <w:r w:rsidR="00CF1461">
        <w:rPr>
          <w:rFonts w:eastAsia="Times New Roman"/>
          <w:lang w:eastAsia="fr-FR"/>
        </w:rPr>
        <w:t xml:space="preserve"> l’endroit d</w:t>
      </w:r>
      <w:r w:rsidR="00CF1461" w:rsidRPr="00E26090">
        <w:rPr>
          <w:rFonts w:eastAsia="Times New Roman"/>
          <w:lang w:eastAsia="fr-FR"/>
        </w:rPr>
        <w:t>es marocains de confession juive, chaque année, a lieu en décembre le grand pèlerinage juif au Maroc, la « </w:t>
      </w:r>
      <w:proofErr w:type="spellStart"/>
      <w:r w:rsidR="00CF1461">
        <w:rPr>
          <w:rFonts w:eastAsia="Times New Roman"/>
          <w:lang w:eastAsia="fr-FR"/>
        </w:rPr>
        <w:t>H</w:t>
      </w:r>
      <w:r w:rsidR="00CF1461" w:rsidRPr="00E26090">
        <w:rPr>
          <w:rFonts w:eastAsia="Times New Roman"/>
          <w:lang w:eastAsia="fr-FR"/>
        </w:rPr>
        <w:t>iloula</w:t>
      </w:r>
      <w:proofErr w:type="spellEnd"/>
      <w:r w:rsidR="00CF1461" w:rsidRPr="00E26090">
        <w:rPr>
          <w:rFonts w:eastAsia="Times New Roman"/>
          <w:lang w:eastAsia="fr-FR"/>
        </w:rPr>
        <w:t> ». Du nord au sud, d’est en ouest, plus de 650</w:t>
      </w:r>
      <w:r w:rsidR="00BD28D2">
        <w:rPr>
          <w:rFonts w:eastAsia="Times New Roman"/>
          <w:lang w:eastAsia="fr-FR"/>
        </w:rPr>
        <w:t> </w:t>
      </w:r>
      <w:r w:rsidR="00CF1461" w:rsidRPr="00E26090">
        <w:rPr>
          <w:rFonts w:eastAsia="Times New Roman"/>
          <w:lang w:eastAsia="fr-FR"/>
        </w:rPr>
        <w:t>saints Juifs Marocains, disséminés à travers les différentes régions du pays.</w:t>
      </w:r>
    </w:p>
    <w:p w14:paraId="63FE8F98" w14:textId="12ABCB72"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207.</w:t>
      </w:r>
      <w:r w:rsidRPr="00E26090">
        <w:rPr>
          <w:rFonts w:eastAsia="Times New Roman"/>
          <w:color w:val="000000" w:themeColor="text1"/>
          <w:lang w:eastAsia="fr-FR"/>
        </w:rPr>
        <w:tab/>
      </w:r>
      <w:r w:rsidR="00CF1461" w:rsidRPr="00E26090">
        <w:rPr>
          <w:rFonts w:eastAsia="Times New Roman"/>
          <w:lang w:eastAsia="fr-FR"/>
        </w:rPr>
        <w:t xml:space="preserve">Cette sollicitude séculaire continue à susciter l’intérêt comme en témoigne </w:t>
      </w:r>
      <w:r w:rsidR="00CF1461">
        <w:rPr>
          <w:rFonts w:eastAsia="Times New Roman"/>
          <w:lang w:eastAsia="fr-FR"/>
        </w:rPr>
        <w:t xml:space="preserve">le </w:t>
      </w:r>
      <w:r w:rsidR="00CF1461" w:rsidRPr="00E26090">
        <w:rPr>
          <w:rFonts w:eastAsia="Times New Roman"/>
          <w:lang w:eastAsia="fr-FR"/>
        </w:rPr>
        <w:t xml:space="preserve">Message Royal </w:t>
      </w:r>
      <w:r w:rsidR="00CF1461">
        <w:rPr>
          <w:rFonts w:eastAsia="Times New Roman"/>
          <w:lang w:eastAsia="fr-FR"/>
        </w:rPr>
        <w:t xml:space="preserve">du </w:t>
      </w:r>
      <w:r w:rsidR="00CF1461" w:rsidRPr="00E26090">
        <w:rPr>
          <w:rFonts w:eastAsia="Times New Roman"/>
          <w:lang w:eastAsia="fr-FR"/>
        </w:rPr>
        <w:t>14 février 2013</w:t>
      </w:r>
      <w:r w:rsidR="00CF1461">
        <w:rPr>
          <w:rFonts w:eastAsia="Times New Roman"/>
          <w:lang w:eastAsia="fr-FR"/>
        </w:rPr>
        <w:t xml:space="preserve">, </w:t>
      </w:r>
      <w:r w:rsidR="00CF1461" w:rsidRPr="00E26090">
        <w:rPr>
          <w:rFonts w:eastAsia="Times New Roman"/>
          <w:lang w:eastAsia="fr-FR"/>
        </w:rPr>
        <w:t>à l’occasion de la Cérémonie d</w:t>
      </w:r>
      <w:r w:rsidR="00CD5A97">
        <w:rPr>
          <w:rFonts w:eastAsia="Times New Roman"/>
          <w:lang w:eastAsia="fr-FR"/>
        </w:rPr>
        <w:t>’</w:t>
      </w:r>
      <w:r w:rsidR="00CF1461" w:rsidRPr="00E26090">
        <w:rPr>
          <w:rFonts w:eastAsia="Times New Roman"/>
          <w:lang w:eastAsia="fr-FR"/>
        </w:rPr>
        <w:t>inauguration</w:t>
      </w:r>
      <w:r w:rsidR="00CF1461">
        <w:rPr>
          <w:rFonts w:eastAsia="Times New Roman"/>
          <w:lang w:eastAsia="fr-FR"/>
        </w:rPr>
        <w:t>, suite à sa restauration,</w:t>
      </w:r>
      <w:r w:rsidR="00CF1461" w:rsidRPr="00E26090">
        <w:rPr>
          <w:rFonts w:eastAsia="Times New Roman"/>
          <w:lang w:eastAsia="fr-FR"/>
        </w:rPr>
        <w:t xml:space="preserve"> de la synagogue </w:t>
      </w:r>
      <w:r w:rsidR="00CD5A97">
        <w:rPr>
          <w:rFonts w:eastAsia="Times New Roman"/>
          <w:lang w:eastAsia="fr-FR"/>
        </w:rPr>
        <w:t>« </w:t>
      </w:r>
      <w:proofErr w:type="spellStart"/>
      <w:r w:rsidR="00CF1461" w:rsidRPr="00E26090">
        <w:rPr>
          <w:rFonts w:eastAsia="Times New Roman"/>
          <w:lang w:eastAsia="fr-FR"/>
        </w:rPr>
        <w:t>Slat</w:t>
      </w:r>
      <w:proofErr w:type="spellEnd"/>
      <w:r w:rsidR="00CF1461" w:rsidRPr="00E26090">
        <w:rPr>
          <w:rFonts w:eastAsia="Times New Roman"/>
          <w:lang w:eastAsia="fr-FR"/>
        </w:rPr>
        <w:t xml:space="preserve"> Al</w:t>
      </w:r>
      <w:r w:rsidR="00CF1461">
        <w:rPr>
          <w:rFonts w:eastAsia="Times New Roman"/>
          <w:lang w:eastAsia="fr-FR"/>
        </w:rPr>
        <w:t>-</w:t>
      </w:r>
      <w:proofErr w:type="spellStart"/>
      <w:r w:rsidR="00CF1461" w:rsidRPr="00E26090">
        <w:rPr>
          <w:rFonts w:eastAsia="Times New Roman"/>
          <w:lang w:eastAsia="fr-FR"/>
        </w:rPr>
        <w:t>Fassyines</w:t>
      </w:r>
      <w:proofErr w:type="spellEnd"/>
      <w:r w:rsidR="00CD5A97">
        <w:rPr>
          <w:rFonts w:eastAsia="Times New Roman"/>
          <w:lang w:eastAsia="fr-FR"/>
        </w:rPr>
        <w:t> »</w:t>
      </w:r>
      <w:r w:rsidR="00CF1461" w:rsidRPr="00E26090">
        <w:rPr>
          <w:rFonts w:eastAsia="Times New Roman"/>
          <w:lang w:eastAsia="fr-FR"/>
        </w:rPr>
        <w:t xml:space="preserve"> à Fès</w:t>
      </w:r>
      <w:r w:rsidR="00CF1461">
        <w:rPr>
          <w:rFonts w:eastAsia="Times New Roman"/>
          <w:lang w:eastAsia="fr-FR"/>
        </w:rPr>
        <w:t xml:space="preserve">, et lu en son nom par </w:t>
      </w:r>
      <w:r w:rsidR="00BD28D2" w:rsidRPr="0006082D">
        <w:rPr>
          <w:rFonts w:eastAsia="Times New Roman"/>
          <w:lang w:eastAsia="fr-FR"/>
        </w:rPr>
        <w:t>l</w:t>
      </w:r>
      <w:r w:rsidR="00BD28D2">
        <w:rPr>
          <w:rFonts w:eastAsia="Times New Roman"/>
          <w:lang w:eastAsia="fr-FR"/>
        </w:rPr>
        <w:t>’</w:t>
      </w:r>
      <w:r w:rsidR="00BD28D2" w:rsidRPr="0006082D">
        <w:rPr>
          <w:rFonts w:eastAsia="Times New Roman"/>
          <w:lang w:eastAsia="fr-FR"/>
        </w:rPr>
        <w:t>e</w:t>
      </w:r>
      <w:r w:rsidR="00BD28D2">
        <w:rPr>
          <w:rFonts w:eastAsia="Times New Roman"/>
          <w:lang w:eastAsia="fr-FR"/>
        </w:rPr>
        <w:t>x</w:t>
      </w:r>
      <w:r w:rsidR="00BD28D2" w:rsidRPr="0006082D">
        <w:rPr>
          <w:rFonts w:eastAsia="Times New Roman"/>
          <w:lang w:eastAsia="fr-FR"/>
        </w:rPr>
        <w:t>-Chef</w:t>
      </w:r>
      <w:r w:rsidR="00CF1461" w:rsidRPr="0006082D">
        <w:rPr>
          <w:rFonts w:eastAsia="Times New Roman"/>
          <w:lang w:eastAsia="fr-FR"/>
        </w:rPr>
        <w:t xml:space="preserve"> d</w:t>
      </w:r>
      <w:r w:rsidR="00CF1461">
        <w:rPr>
          <w:rFonts w:eastAsia="Times New Roman"/>
          <w:lang w:eastAsia="fr-FR"/>
        </w:rPr>
        <w:t>e</w:t>
      </w:r>
      <w:r w:rsidR="00CF1461" w:rsidRPr="0006082D">
        <w:rPr>
          <w:rFonts w:eastAsia="Times New Roman"/>
          <w:lang w:eastAsia="fr-FR"/>
        </w:rPr>
        <w:t xml:space="preserve"> </w:t>
      </w:r>
      <w:r w:rsidR="00CF1461">
        <w:rPr>
          <w:rFonts w:eastAsia="Times New Roman"/>
          <w:lang w:eastAsia="fr-FR"/>
        </w:rPr>
        <w:t>G</w:t>
      </w:r>
      <w:r w:rsidR="00CF1461" w:rsidRPr="0006082D">
        <w:rPr>
          <w:rFonts w:eastAsia="Times New Roman"/>
          <w:lang w:eastAsia="fr-FR"/>
        </w:rPr>
        <w:t>ouvernement</w:t>
      </w:r>
      <w:r w:rsidR="00CF1461" w:rsidRPr="00E26090">
        <w:rPr>
          <w:rFonts w:eastAsia="Times New Roman"/>
          <w:lang w:eastAsia="fr-FR"/>
        </w:rPr>
        <w:t>. «</w:t>
      </w:r>
      <w:r w:rsidR="00CD5A97">
        <w:rPr>
          <w:rFonts w:eastAsia="Times New Roman"/>
          <w:lang w:eastAsia="fr-FR"/>
        </w:rPr>
        <w:t> </w:t>
      </w:r>
      <w:r w:rsidR="00CF1461" w:rsidRPr="00E26090">
        <w:rPr>
          <w:rFonts w:eastAsia="Times New Roman"/>
          <w:lang w:eastAsia="fr-FR"/>
        </w:rPr>
        <w:t>C</w:t>
      </w:r>
      <w:r w:rsidR="00CD5A97">
        <w:rPr>
          <w:rFonts w:eastAsia="Times New Roman"/>
          <w:lang w:eastAsia="fr-FR"/>
        </w:rPr>
        <w:t>’</w:t>
      </w:r>
      <w:r w:rsidR="00CF1461" w:rsidRPr="00E26090">
        <w:rPr>
          <w:rFonts w:eastAsia="Times New Roman"/>
          <w:lang w:eastAsia="fr-FR"/>
        </w:rPr>
        <w:t>est précisément cette particularité hébraïque qui constitue aujourd</w:t>
      </w:r>
      <w:r w:rsidR="00CD5A97">
        <w:rPr>
          <w:rFonts w:eastAsia="Times New Roman"/>
          <w:lang w:eastAsia="fr-FR"/>
        </w:rPr>
        <w:t>’</w:t>
      </w:r>
      <w:r w:rsidR="00CF1461" w:rsidRPr="00E26090">
        <w:rPr>
          <w:rFonts w:eastAsia="Times New Roman"/>
          <w:lang w:eastAsia="fr-FR"/>
        </w:rPr>
        <w:t>hui, ainsi que l</w:t>
      </w:r>
      <w:r w:rsidR="00CD5A97">
        <w:rPr>
          <w:rFonts w:eastAsia="Times New Roman"/>
          <w:lang w:eastAsia="fr-FR"/>
        </w:rPr>
        <w:t>’</w:t>
      </w:r>
      <w:r w:rsidR="00CF1461" w:rsidRPr="00E26090">
        <w:rPr>
          <w:rFonts w:eastAsia="Times New Roman"/>
          <w:lang w:eastAsia="fr-FR"/>
        </w:rPr>
        <w:t>a consacré la Constitution du Royaume, l</w:t>
      </w:r>
      <w:r w:rsidR="00CD5A97">
        <w:rPr>
          <w:rFonts w:eastAsia="Times New Roman"/>
          <w:lang w:eastAsia="fr-FR"/>
        </w:rPr>
        <w:t>’</w:t>
      </w:r>
      <w:r w:rsidR="00CF1461" w:rsidRPr="00E26090">
        <w:rPr>
          <w:rFonts w:eastAsia="Times New Roman"/>
          <w:lang w:eastAsia="fr-FR"/>
        </w:rPr>
        <w:t>un des affluents séculaires de l</w:t>
      </w:r>
      <w:r w:rsidR="00CD5A97">
        <w:rPr>
          <w:rFonts w:eastAsia="Times New Roman"/>
          <w:lang w:eastAsia="fr-FR"/>
        </w:rPr>
        <w:t>’</w:t>
      </w:r>
      <w:r w:rsidR="00CF1461" w:rsidRPr="00E26090">
        <w:rPr>
          <w:rFonts w:eastAsia="Times New Roman"/>
          <w:lang w:eastAsia="fr-FR"/>
        </w:rPr>
        <w:t>identité nationale, et c</w:t>
      </w:r>
      <w:r w:rsidR="00CD5A97">
        <w:rPr>
          <w:rFonts w:eastAsia="Times New Roman"/>
          <w:lang w:eastAsia="fr-FR"/>
        </w:rPr>
        <w:t>’</w:t>
      </w:r>
      <w:r w:rsidR="00CF1461" w:rsidRPr="00E26090">
        <w:rPr>
          <w:rFonts w:eastAsia="Times New Roman"/>
          <w:lang w:eastAsia="fr-FR"/>
        </w:rPr>
        <w:t>est pourquoi Nous appelons à la restauration de tous les temples juifs dans les différentes villes du Royaume, de sorte qu</w:t>
      </w:r>
      <w:r w:rsidR="00CD5A97">
        <w:rPr>
          <w:rFonts w:eastAsia="Times New Roman"/>
          <w:lang w:eastAsia="fr-FR"/>
        </w:rPr>
        <w:t>’</w:t>
      </w:r>
      <w:r w:rsidR="00CF1461" w:rsidRPr="00E26090">
        <w:rPr>
          <w:rFonts w:eastAsia="Times New Roman"/>
          <w:lang w:eastAsia="fr-FR"/>
        </w:rPr>
        <w:t>ils ne soient plus seulement des lieux de culte, mais également un espace de dialogue culturel et de renouveau des valeurs fondatrices</w:t>
      </w:r>
      <w:r w:rsidR="00B1425B">
        <w:rPr>
          <w:rFonts w:eastAsia="Times New Roman"/>
          <w:lang w:eastAsia="fr-FR"/>
        </w:rPr>
        <w:t xml:space="preserve"> de la civilisation marocaine »</w:t>
      </w:r>
      <w:r w:rsidR="00CF1461" w:rsidRPr="003C06D3">
        <w:rPr>
          <w:rStyle w:val="Appelnotedebasdep"/>
        </w:rPr>
        <w:footnoteReference w:id="63"/>
      </w:r>
      <w:r w:rsidR="00B1425B">
        <w:rPr>
          <w:rFonts w:eastAsia="Times New Roman"/>
          <w:lang w:eastAsia="fr-FR"/>
        </w:rPr>
        <w:t>.</w:t>
      </w:r>
    </w:p>
    <w:p w14:paraId="37D79E19" w14:textId="4F2D29DC" w:rsidR="00CF1461" w:rsidRPr="00013F70" w:rsidRDefault="004B5A1A" w:rsidP="004B5A1A">
      <w:pPr>
        <w:pStyle w:val="SingleTxtG"/>
        <w:tabs>
          <w:tab w:val="clear" w:pos="1701"/>
          <w:tab w:val="clear" w:pos="2268"/>
          <w:tab w:val="clear" w:pos="2835"/>
        </w:tabs>
        <w:rPr>
          <w:rFonts w:eastAsia="Times New Roman"/>
          <w:lang w:eastAsia="fr-FR"/>
        </w:rPr>
      </w:pPr>
      <w:r w:rsidRPr="00013F70">
        <w:rPr>
          <w:rFonts w:eastAsia="Times New Roman"/>
          <w:color w:val="000000" w:themeColor="text1"/>
          <w:lang w:eastAsia="fr-FR"/>
        </w:rPr>
        <w:t>208.</w:t>
      </w:r>
      <w:r w:rsidRPr="00013F70">
        <w:rPr>
          <w:rFonts w:eastAsia="Times New Roman"/>
          <w:color w:val="000000" w:themeColor="text1"/>
          <w:lang w:eastAsia="fr-FR"/>
        </w:rPr>
        <w:tab/>
      </w:r>
      <w:r w:rsidR="00CF1461" w:rsidRPr="004B06AA">
        <w:rPr>
          <w:rFonts w:asciiTheme="majorBidi" w:hAnsiTheme="majorBidi" w:cstheme="majorBidi"/>
        </w:rPr>
        <w:t>L</w:t>
      </w:r>
      <w:r w:rsidR="00CF1461">
        <w:rPr>
          <w:rFonts w:asciiTheme="majorBidi" w:hAnsiTheme="majorBidi" w:cstheme="majorBidi"/>
        </w:rPr>
        <w:t>e Royaume</w:t>
      </w:r>
      <w:r w:rsidR="00CF1461" w:rsidRPr="004B06AA">
        <w:rPr>
          <w:rFonts w:asciiTheme="majorBidi" w:hAnsiTheme="majorBidi" w:cstheme="majorBidi"/>
        </w:rPr>
        <w:t xml:space="preserve"> a continué d’appuyer la restauration </w:t>
      </w:r>
      <w:r w:rsidR="00CF1461">
        <w:rPr>
          <w:rFonts w:asciiTheme="majorBidi" w:hAnsiTheme="majorBidi" w:cstheme="majorBidi"/>
        </w:rPr>
        <w:t xml:space="preserve">des musées, </w:t>
      </w:r>
      <w:r w:rsidR="00CF1461" w:rsidRPr="004B06AA">
        <w:rPr>
          <w:rFonts w:asciiTheme="majorBidi" w:hAnsiTheme="majorBidi" w:cstheme="majorBidi"/>
        </w:rPr>
        <w:t xml:space="preserve">des synagogues et des cimetières juifs dans tout le pays. Ces efforts étaient nécessaires pour préserver le patrimoine religieux et </w:t>
      </w:r>
      <w:r w:rsidR="00CF1461" w:rsidRPr="002B7D22">
        <w:rPr>
          <w:rFonts w:eastAsia="Times New Roman"/>
          <w:lang w:eastAsia="fr-FR"/>
        </w:rPr>
        <w:t>culturel</w:t>
      </w:r>
      <w:r w:rsidR="00CF1461" w:rsidRPr="004B06AA">
        <w:rPr>
          <w:rFonts w:asciiTheme="majorBidi" w:hAnsiTheme="majorBidi" w:cstheme="majorBidi"/>
        </w:rPr>
        <w:t xml:space="preserve"> du pays et pour servir de symbole de la tolérance. Depuis 2012, environ 170 cimetières et lieux religieux juifs répartis dans 40 provinces </w:t>
      </w:r>
      <w:r w:rsidR="00CF1461">
        <w:rPr>
          <w:rFonts w:asciiTheme="majorBidi" w:hAnsiTheme="majorBidi" w:cstheme="majorBidi"/>
        </w:rPr>
        <w:t xml:space="preserve">du pays </w:t>
      </w:r>
      <w:r w:rsidR="00B1425B">
        <w:rPr>
          <w:rFonts w:asciiTheme="majorBidi" w:hAnsiTheme="majorBidi" w:cstheme="majorBidi"/>
        </w:rPr>
        <w:t>ont été restaurés</w:t>
      </w:r>
      <w:r w:rsidR="00CF1461" w:rsidRPr="003C06D3">
        <w:rPr>
          <w:rStyle w:val="Appelnotedebasdep"/>
        </w:rPr>
        <w:footnoteReference w:id="64"/>
      </w:r>
      <w:r w:rsidR="00B1425B">
        <w:rPr>
          <w:rFonts w:asciiTheme="majorBidi" w:hAnsiTheme="majorBidi" w:cstheme="majorBidi"/>
        </w:rPr>
        <w:t>.</w:t>
      </w:r>
      <w:r w:rsidR="00CF1461">
        <w:rPr>
          <w:rFonts w:asciiTheme="majorBidi" w:hAnsiTheme="majorBidi" w:cstheme="majorBidi"/>
        </w:rPr>
        <w:t xml:space="preserve"> </w:t>
      </w:r>
    </w:p>
    <w:p w14:paraId="65D903CA" w14:textId="51FF68F4"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209.</w:t>
      </w:r>
      <w:r>
        <w:rPr>
          <w:rFonts w:eastAsia="Times New Roman"/>
          <w:color w:val="000000" w:themeColor="text1"/>
          <w:lang w:eastAsia="fr-FR"/>
        </w:rPr>
        <w:tab/>
      </w:r>
      <w:r w:rsidR="00A5588D">
        <w:rPr>
          <w:rFonts w:eastAsia="Times New Roman"/>
          <w:lang w:eastAsia="fr-FR"/>
        </w:rPr>
        <w:t>À</w:t>
      </w:r>
      <w:r w:rsidR="00CF1461" w:rsidRPr="00435B7F">
        <w:rPr>
          <w:rFonts w:eastAsia="Times New Roman"/>
          <w:lang w:eastAsia="fr-FR"/>
        </w:rPr>
        <w:t xml:space="preserve"> l’endroit de la chrétienté, le Royaume continue à maintenir une tradition d’ouverture. Reconnue officiellement au Maroc par une lettre de Feu SM le Roi Hassan Il au Pape Jean-Paul II, datée du 30 décembre 1983, l’Eglise Catholique peut ainsi exercer publiquement et librement ses activités pastorales propres et posséder des biens pour ses œuvres éducatives ou de bienfaisance. </w:t>
      </w:r>
    </w:p>
    <w:p w14:paraId="51734D00" w14:textId="586A1FB5" w:rsidR="00CF1461" w:rsidRPr="00E26090" w:rsidRDefault="004B5A1A" w:rsidP="004B5A1A">
      <w:pPr>
        <w:pStyle w:val="SingleTxtG"/>
        <w:tabs>
          <w:tab w:val="clear" w:pos="1701"/>
          <w:tab w:val="clear" w:pos="2268"/>
          <w:tab w:val="clear" w:pos="2835"/>
        </w:tabs>
        <w:rPr>
          <w:rFonts w:eastAsia="Times New Roman"/>
          <w:lang w:eastAsia="fr-FR"/>
        </w:rPr>
      </w:pPr>
      <w:r w:rsidRPr="00E26090">
        <w:rPr>
          <w:rFonts w:eastAsia="Times New Roman"/>
          <w:color w:val="000000" w:themeColor="text1"/>
          <w:lang w:eastAsia="fr-FR"/>
        </w:rPr>
        <w:t>210.</w:t>
      </w:r>
      <w:r w:rsidRPr="00E26090">
        <w:rPr>
          <w:rFonts w:eastAsia="Times New Roman"/>
          <w:color w:val="000000" w:themeColor="text1"/>
          <w:lang w:eastAsia="fr-FR"/>
        </w:rPr>
        <w:tab/>
      </w:r>
      <w:r w:rsidR="00CF1461" w:rsidRPr="00E26090">
        <w:rPr>
          <w:rFonts w:eastAsia="Times New Roman"/>
          <w:lang w:eastAsia="fr-FR"/>
        </w:rPr>
        <w:t xml:space="preserve">Avec l’afflux de ressortissants venus d’Afrique subsaharienne (étudiants, migrants, cadres, etc.), à partir des années 1990, </w:t>
      </w:r>
      <w:r w:rsidR="00CF1461" w:rsidRPr="008E690B">
        <w:rPr>
          <w:rFonts w:eastAsia="Times New Roman"/>
          <w:lang w:eastAsia="fr-FR"/>
        </w:rPr>
        <w:t xml:space="preserve">l’Église évangélique au Maroc (EEAM) </w:t>
      </w:r>
      <w:r w:rsidR="00CF1461" w:rsidRPr="00E26090">
        <w:rPr>
          <w:rFonts w:eastAsia="Times New Roman"/>
          <w:lang w:eastAsia="fr-FR"/>
        </w:rPr>
        <w:t>connait une mutation sociologique profonde. L’Eglise protestante officiellement reconnue est présente dans plusieurs villes du pays, l’EEAM réunit une population à 95</w:t>
      </w:r>
      <w:r w:rsidR="00372939">
        <w:rPr>
          <w:rFonts w:eastAsia="Times New Roman"/>
          <w:lang w:eastAsia="fr-FR"/>
        </w:rPr>
        <w:t> %</w:t>
      </w:r>
      <w:r w:rsidR="00CF1461" w:rsidRPr="00E26090">
        <w:rPr>
          <w:rFonts w:eastAsia="Times New Roman"/>
          <w:lang w:eastAsia="fr-FR"/>
        </w:rPr>
        <w:t xml:space="preserve"> africaine, très diversifiée sur le plan culturel et confessionnel.</w:t>
      </w:r>
    </w:p>
    <w:p w14:paraId="4F5DD310" w14:textId="4FCBCC51" w:rsidR="00CF1461" w:rsidRPr="008B75E4" w:rsidRDefault="004B5A1A" w:rsidP="004B5A1A">
      <w:pPr>
        <w:pStyle w:val="SingleTxtG"/>
        <w:tabs>
          <w:tab w:val="clear" w:pos="1701"/>
          <w:tab w:val="clear" w:pos="2268"/>
          <w:tab w:val="clear" w:pos="2835"/>
        </w:tabs>
        <w:rPr>
          <w:rFonts w:eastAsia="Times New Roman"/>
          <w:lang w:eastAsia="fr-FR"/>
        </w:rPr>
      </w:pPr>
      <w:r w:rsidRPr="008B75E4">
        <w:rPr>
          <w:rFonts w:eastAsia="Times New Roman"/>
          <w:color w:val="000000" w:themeColor="text1"/>
          <w:lang w:eastAsia="fr-FR"/>
        </w:rPr>
        <w:t>211.</w:t>
      </w:r>
      <w:r w:rsidRPr="008B75E4">
        <w:rPr>
          <w:rFonts w:eastAsia="Times New Roman"/>
          <w:color w:val="000000" w:themeColor="text1"/>
          <w:lang w:eastAsia="fr-FR"/>
        </w:rPr>
        <w:tab/>
      </w:r>
      <w:r w:rsidR="00CF1461" w:rsidRPr="00E26090">
        <w:rPr>
          <w:rFonts w:eastAsia="Times New Roman"/>
          <w:lang w:eastAsia="fr-FR"/>
        </w:rPr>
        <w:t xml:space="preserve">La jeunesse de l’Eglise évangélique au Maroc (JEEAM) organise régulièrement des Camps d’été au Temple de l’Eglise évangélique au Maroc, à Casablanca. Les campeurs venus des principales villes du Maroc (Rabat, Fès, Marrakech, Tanger etc.) débattent des thèmes majeurs pour </w:t>
      </w:r>
      <w:r w:rsidR="00B1425B">
        <w:rPr>
          <w:rFonts w:eastAsia="Times New Roman"/>
          <w:lang w:eastAsia="fr-FR"/>
        </w:rPr>
        <w:t>l’épanouissement de la jeunesse</w:t>
      </w:r>
      <w:r w:rsidR="00CF1461" w:rsidRPr="003C06D3">
        <w:rPr>
          <w:rStyle w:val="Appelnotedebasdep"/>
        </w:rPr>
        <w:footnoteReference w:id="65"/>
      </w:r>
      <w:r w:rsidR="00B1425B">
        <w:rPr>
          <w:rFonts w:eastAsia="Times New Roman"/>
          <w:lang w:eastAsia="fr-FR"/>
        </w:rPr>
        <w:t>.</w:t>
      </w:r>
      <w:r w:rsidR="00CF1461" w:rsidRPr="007278CC">
        <w:rPr>
          <w:rFonts w:eastAsia="Times New Roman"/>
          <w:color w:val="FF0000"/>
          <w:lang w:eastAsia="fr-FR"/>
        </w:rPr>
        <w:t xml:space="preserve"> </w:t>
      </w:r>
    </w:p>
    <w:p w14:paraId="5D76F363" w14:textId="463DE6CB" w:rsidR="00CF1461" w:rsidRPr="00013F70" w:rsidRDefault="004B5A1A" w:rsidP="004B5A1A">
      <w:pPr>
        <w:pStyle w:val="SingleTxtG"/>
        <w:tabs>
          <w:tab w:val="clear" w:pos="1701"/>
          <w:tab w:val="clear" w:pos="2268"/>
          <w:tab w:val="clear" w:pos="2835"/>
        </w:tabs>
        <w:rPr>
          <w:rFonts w:eastAsia="Times New Roman"/>
          <w:lang w:eastAsia="fr-FR"/>
        </w:rPr>
      </w:pPr>
      <w:r w:rsidRPr="00013F70">
        <w:rPr>
          <w:rFonts w:eastAsia="Times New Roman"/>
          <w:color w:val="000000" w:themeColor="text1"/>
          <w:lang w:eastAsia="fr-FR"/>
        </w:rPr>
        <w:t>212.</w:t>
      </w:r>
      <w:r w:rsidRPr="00013F70">
        <w:rPr>
          <w:rFonts w:eastAsia="Times New Roman"/>
          <w:color w:val="000000" w:themeColor="text1"/>
          <w:lang w:eastAsia="fr-FR"/>
        </w:rPr>
        <w:tab/>
      </w:r>
      <w:r w:rsidR="00CF1461" w:rsidRPr="00E26090">
        <w:rPr>
          <w:rFonts w:eastAsia="Times New Roman"/>
          <w:lang w:eastAsia="fr-FR"/>
        </w:rPr>
        <w:t xml:space="preserve">En 2012, le Maroc a appuyé l’organisation </w:t>
      </w:r>
      <w:r w:rsidR="00CF1461">
        <w:rPr>
          <w:rFonts w:eastAsia="Times New Roman"/>
          <w:lang w:eastAsia="fr-FR"/>
        </w:rPr>
        <w:t>de l’</w:t>
      </w:r>
      <w:r w:rsidR="00CF1461" w:rsidRPr="00E26090">
        <w:rPr>
          <w:rFonts w:eastAsia="Times New Roman"/>
          <w:lang w:eastAsia="fr-FR"/>
        </w:rPr>
        <w:t xml:space="preserve">atelier final des experts du HCDH </w:t>
      </w:r>
      <w:r w:rsidR="00CF1461">
        <w:rPr>
          <w:rFonts w:eastAsia="Times New Roman"/>
          <w:lang w:eastAsia="fr-FR"/>
        </w:rPr>
        <w:t>qui</w:t>
      </w:r>
      <w:r w:rsidR="00CF1461" w:rsidRPr="00E26090">
        <w:rPr>
          <w:rFonts w:eastAsia="Times New Roman"/>
          <w:lang w:eastAsia="fr-FR"/>
        </w:rPr>
        <w:t xml:space="preserve"> a abouti à l</w:t>
      </w:r>
      <w:r w:rsidR="00CD5A97">
        <w:rPr>
          <w:rFonts w:eastAsia="Times New Roman"/>
          <w:lang w:eastAsia="fr-FR"/>
        </w:rPr>
        <w:t>’</w:t>
      </w:r>
      <w:r w:rsidR="00CF1461" w:rsidRPr="00E26090">
        <w:rPr>
          <w:rFonts w:eastAsia="Times New Roman"/>
          <w:lang w:eastAsia="fr-FR"/>
        </w:rPr>
        <w:t>élaboration du Plan d</w:t>
      </w:r>
      <w:r w:rsidR="00CD5A97">
        <w:rPr>
          <w:rFonts w:eastAsia="Times New Roman"/>
          <w:lang w:eastAsia="fr-FR"/>
        </w:rPr>
        <w:t>’</w:t>
      </w:r>
      <w:r w:rsidR="00CF1461" w:rsidRPr="00E26090">
        <w:rPr>
          <w:rFonts w:eastAsia="Times New Roman"/>
          <w:lang w:eastAsia="fr-FR"/>
        </w:rPr>
        <w:t>action de Rabat sur l</w:t>
      </w:r>
      <w:r w:rsidR="00CD5A97">
        <w:rPr>
          <w:rFonts w:eastAsia="Times New Roman"/>
          <w:lang w:eastAsia="fr-FR"/>
        </w:rPr>
        <w:t>’</w:t>
      </w:r>
      <w:r w:rsidR="00CF1461" w:rsidRPr="00E26090">
        <w:rPr>
          <w:rFonts w:eastAsia="Times New Roman"/>
          <w:lang w:eastAsia="fr-FR"/>
        </w:rPr>
        <w:t xml:space="preserve">interdiction de tout appel à la haine </w:t>
      </w:r>
      <w:r w:rsidR="00CF1461" w:rsidRPr="00E26090">
        <w:rPr>
          <w:rFonts w:eastAsia="Times New Roman"/>
          <w:lang w:eastAsia="fr-FR"/>
        </w:rPr>
        <w:lastRenderedPageBreak/>
        <w:t>nationale, raciale ou religieuse qui constitue une incitation à la discrimination, à l</w:t>
      </w:r>
      <w:r w:rsidR="00CD5A97">
        <w:rPr>
          <w:rFonts w:eastAsia="Times New Roman"/>
          <w:lang w:eastAsia="fr-FR"/>
        </w:rPr>
        <w:t>’</w:t>
      </w:r>
      <w:r w:rsidR="00CF1461" w:rsidRPr="00E26090">
        <w:rPr>
          <w:rFonts w:eastAsia="Times New Roman"/>
          <w:lang w:eastAsia="fr-FR"/>
        </w:rPr>
        <w:t>hostilité ou la violence, adopté par le CDH lor</w:t>
      </w:r>
      <w:r w:rsidR="00B1425B">
        <w:rPr>
          <w:rFonts w:eastAsia="Times New Roman"/>
          <w:lang w:eastAsia="fr-FR"/>
        </w:rPr>
        <w:t>s de sa session de janvier 2013</w:t>
      </w:r>
      <w:r w:rsidR="00CF1461" w:rsidRPr="003C06D3">
        <w:rPr>
          <w:rStyle w:val="Appelnotedebasdep"/>
        </w:rPr>
        <w:footnoteReference w:id="66"/>
      </w:r>
      <w:r w:rsidR="00B1425B">
        <w:rPr>
          <w:rFonts w:eastAsia="Times New Roman"/>
          <w:lang w:eastAsia="fr-FR"/>
        </w:rPr>
        <w:t>.</w:t>
      </w:r>
    </w:p>
    <w:p w14:paraId="3764105B" w14:textId="528B54B8" w:rsidR="00CF1461" w:rsidRPr="00615545" w:rsidRDefault="004B5A1A" w:rsidP="004B5A1A">
      <w:pPr>
        <w:pStyle w:val="SingleTxtG"/>
        <w:tabs>
          <w:tab w:val="clear" w:pos="1701"/>
          <w:tab w:val="clear" w:pos="2268"/>
          <w:tab w:val="clear" w:pos="2835"/>
        </w:tabs>
        <w:rPr>
          <w:rFonts w:eastAsia="Times New Roman"/>
          <w:lang w:eastAsia="fr-FR"/>
        </w:rPr>
      </w:pPr>
      <w:r w:rsidRPr="00615545">
        <w:rPr>
          <w:rFonts w:eastAsia="Times New Roman"/>
          <w:color w:val="000000" w:themeColor="text1"/>
          <w:lang w:eastAsia="fr-FR"/>
        </w:rPr>
        <w:t>213.</w:t>
      </w:r>
      <w:r w:rsidRPr="00615545">
        <w:rPr>
          <w:rFonts w:eastAsia="Times New Roman"/>
          <w:color w:val="000000" w:themeColor="text1"/>
          <w:lang w:eastAsia="fr-FR"/>
        </w:rPr>
        <w:tab/>
      </w:r>
      <w:r w:rsidR="00CF1461" w:rsidRPr="00615545">
        <w:rPr>
          <w:rFonts w:eastAsia="Times New Roman"/>
          <w:lang w:eastAsia="fr-FR"/>
        </w:rPr>
        <w:t>Enfin</w:t>
      </w:r>
      <w:r w:rsidR="00CF1461">
        <w:rPr>
          <w:rFonts w:eastAsia="Times New Roman"/>
          <w:lang w:eastAsia="fr-FR"/>
        </w:rPr>
        <w:t>,</w:t>
      </w:r>
      <w:r w:rsidR="00CF1461" w:rsidRPr="00615545">
        <w:rPr>
          <w:rFonts w:eastAsia="Times New Roman"/>
          <w:lang w:eastAsia="fr-FR"/>
        </w:rPr>
        <w:t xml:space="preserve"> dans le</w:t>
      </w:r>
      <w:r w:rsidR="00BD28D2">
        <w:rPr>
          <w:rFonts w:eastAsia="Times New Roman"/>
          <w:lang w:eastAsia="fr-FR"/>
        </w:rPr>
        <w:t xml:space="preserve"> </w:t>
      </w:r>
      <w:r w:rsidR="00CF1461" w:rsidRPr="00615545">
        <w:rPr>
          <w:rFonts w:eastAsia="Times New Roman"/>
          <w:lang w:eastAsia="fr-FR"/>
        </w:rPr>
        <w:t xml:space="preserve">sillage de la mise en œuvre la SNIA et dans le cadre de lutte contre le racisme et en faveur du « vivre ensemble », Il importe de souligner l’initiative juridique proposant une loi incriminant les actes de racisme et de discrimination raciale à l’encontre des étrangers. </w:t>
      </w:r>
      <w:r w:rsidR="00CF1461">
        <w:rPr>
          <w:rFonts w:eastAsia="Times New Roman"/>
          <w:lang w:eastAsia="fr-FR"/>
        </w:rPr>
        <w:t>C</w:t>
      </w:r>
      <w:r w:rsidR="00CF1461" w:rsidRPr="00615545">
        <w:rPr>
          <w:rFonts w:eastAsia="Times New Roman"/>
          <w:lang w:eastAsia="fr-FR"/>
        </w:rPr>
        <w:t xml:space="preserve">e texte porte sur le renforcement de l’incrimination pénale de toute forme de racisme à l’encontre des subsahariens vivants au Maroc, et propose d’alourdir les peines privatives de liberté ainsi que les amendes prévues par les dispositions </w:t>
      </w:r>
      <w:r w:rsidR="00CF1461">
        <w:rPr>
          <w:rFonts w:eastAsia="Times New Roman"/>
          <w:lang w:eastAsia="fr-FR"/>
        </w:rPr>
        <w:t xml:space="preserve">de l’article </w:t>
      </w:r>
      <w:r w:rsidR="00CF1461" w:rsidRPr="00615545">
        <w:rPr>
          <w:rFonts w:eastAsia="Times New Roman"/>
          <w:lang w:eastAsia="fr-FR"/>
        </w:rPr>
        <w:t>431</w:t>
      </w:r>
      <w:r w:rsidR="00CF1461">
        <w:rPr>
          <w:rFonts w:eastAsia="Times New Roman"/>
          <w:lang w:eastAsia="fr-FR"/>
        </w:rPr>
        <w:t>.</w:t>
      </w:r>
      <w:r w:rsidR="00CF1461" w:rsidRPr="00615545">
        <w:rPr>
          <w:rFonts w:eastAsia="Times New Roman"/>
          <w:lang w:eastAsia="fr-FR"/>
        </w:rPr>
        <w:t>1 à 4 du CP contre tout acte de discriminati</w:t>
      </w:r>
      <w:r w:rsidR="00CF1461">
        <w:rPr>
          <w:rFonts w:eastAsia="Times New Roman"/>
          <w:lang w:eastAsia="fr-FR"/>
        </w:rPr>
        <w:t>on basée sur la couleur de peau</w:t>
      </w:r>
      <w:r w:rsidR="00CF1461" w:rsidRPr="003C06D3">
        <w:rPr>
          <w:rStyle w:val="Appelnotedebasdep"/>
        </w:rPr>
        <w:footnoteReference w:id="67"/>
      </w:r>
      <w:r w:rsidR="00B1425B">
        <w:rPr>
          <w:rFonts w:eastAsia="Times New Roman"/>
          <w:lang w:eastAsia="fr-FR"/>
        </w:rPr>
        <w:t>.</w:t>
      </w:r>
    </w:p>
    <w:p w14:paraId="14D44269" w14:textId="72F23FED"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214.</w:t>
      </w:r>
      <w:r>
        <w:rPr>
          <w:rFonts w:eastAsia="Times New Roman"/>
          <w:color w:val="000000" w:themeColor="text1"/>
          <w:lang w:eastAsia="fr-FR"/>
        </w:rPr>
        <w:tab/>
      </w:r>
      <w:r w:rsidR="00CF1461">
        <w:rPr>
          <w:rFonts w:eastAsia="Times New Roman"/>
          <w:lang w:eastAsia="fr-FR"/>
        </w:rPr>
        <w:t xml:space="preserve">S’agissant de l’action de la société civile, force est de souligner la campagne de </w:t>
      </w:r>
      <w:r w:rsidR="00CF1461" w:rsidRPr="00E26090">
        <w:rPr>
          <w:rFonts w:eastAsia="Times New Roman"/>
          <w:lang w:eastAsia="fr-FR"/>
        </w:rPr>
        <w:t xml:space="preserve">l’association « </w:t>
      </w:r>
      <w:proofErr w:type="spellStart"/>
      <w:r w:rsidR="00CF1461" w:rsidRPr="00E26090">
        <w:rPr>
          <w:rFonts w:eastAsia="Times New Roman"/>
          <w:lang w:eastAsia="fr-FR"/>
        </w:rPr>
        <w:t>Bladi</w:t>
      </w:r>
      <w:r w:rsidR="00CF1461">
        <w:rPr>
          <w:rFonts w:eastAsia="Times New Roman"/>
          <w:lang w:eastAsia="fr-FR"/>
        </w:rPr>
        <w:t>-</w:t>
      </w:r>
      <w:r w:rsidR="00CF1461" w:rsidRPr="00E26090">
        <w:rPr>
          <w:rFonts w:eastAsia="Times New Roman"/>
          <w:lang w:eastAsia="fr-FR"/>
        </w:rPr>
        <w:t>Bladek</w:t>
      </w:r>
      <w:proofErr w:type="spellEnd"/>
      <w:r w:rsidR="00BD28D2">
        <w:rPr>
          <w:rFonts w:eastAsia="Times New Roman"/>
          <w:lang w:eastAsia="fr-FR"/>
        </w:rPr>
        <w:t xml:space="preserve"> </w:t>
      </w:r>
      <w:r w:rsidR="00CF1461" w:rsidRPr="00E26090">
        <w:rPr>
          <w:rFonts w:eastAsia="Times New Roman"/>
          <w:lang w:eastAsia="fr-FR"/>
        </w:rPr>
        <w:t>» (mon pays est ton pays)</w:t>
      </w:r>
      <w:r w:rsidR="00CF1461">
        <w:rPr>
          <w:rFonts w:eastAsia="Times New Roman"/>
          <w:lang w:eastAsia="fr-FR"/>
        </w:rPr>
        <w:t xml:space="preserve">, </w:t>
      </w:r>
      <w:r w:rsidR="00CF1461" w:rsidRPr="00E26090">
        <w:rPr>
          <w:rFonts w:eastAsia="Times New Roman"/>
          <w:lang w:eastAsia="fr-FR"/>
        </w:rPr>
        <w:t>lancé</w:t>
      </w:r>
      <w:r w:rsidR="00CF1461">
        <w:rPr>
          <w:rFonts w:eastAsia="Times New Roman"/>
          <w:lang w:eastAsia="fr-FR"/>
        </w:rPr>
        <w:t>e</w:t>
      </w:r>
      <w:r w:rsidR="00CF1461" w:rsidRPr="00E26090">
        <w:rPr>
          <w:rFonts w:eastAsia="Times New Roman"/>
          <w:lang w:eastAsia="fr-FR"/>
        </w:rPr>
        <w:t xml:space="preserve"> en juin 2013 </w:t>
      </w:r>
      <w:r w:rsidR="00CF1461">
        <w:rPr>
          <w:rFonts w:eastAsia="Times New Roman"/>
          <w:lang w:eastAsia="fr-FR"/>
        </w:rPr>
        <w:t>afin de sensibiliser et</w:t>
      </w:r>
      <w:r w:rsidR="00CF1461" w:rsidRPr="00E26090">
        <w:rPr>
          <w:rFonts w:eastAsia="Times New Roman"/>
          <w:lang w:eastAsia="fr-FR"/>
        </w:rPr>
        <w:t xml:space="preserve"> pointer du doigt les formes de discrimination envers les populations sub</w:t>
      </w:r>
      <w:r w:rsidR="00B1425B">
        <w:rPr>
          <w:rFonts w:eastAsia="Times New Roman"/>
          <w:lang w:eastAsia="fr-FR"/>
        </w:rPr>
        <w:t>sahariennes qui vivent au Maroc</w:t>
      </w:r>
      <w:r w:rsidR="00CF1461" w:rsidRPr="003C06D3">
        <w:rPr>
          <w:rStyle w:val="Appelnotedebasdep"/>
        </w:rPr>
        <w:footnoteReference w:id="68"/>
      </w:r>
      <w:r w:rsidR="00B1425B">
        <w:rPr>
          <w:rFonts w:eastAsia="Times New Roman"/>
          <w:lang w:eastAsia="fr-FR"/>
        </w:rPr>
        <w:t>.</w:t>
      </w:r>
      <w:r w:rsidR="00CF1461" w:rsidRPr="00E26090">
        <w:rPr>
          <w:rFonts w:eastAsia="Times New Roman"/>
          <w:lang w:eastAsia="fr-FR"/>
        </w:rPr>
        <w:t xml:space="preserve"> Ou encore la campagne nationale contre le racisme envers les migrants subsahariens, lancée le 21 mars 2014, à l’occasion de la journée internationale pour l’élimination de la discrimination raciale</w:t>
      </w:r>
      <w:r w:rsidR="00CF1461">
        <w:rPr>
          <w:rFonts w:eastAsia="Times New Roman"/>
          <w:lang w:eastAsia="fr-FR"/>
        </w:rPr>
        <w:t>, s</w:t>
      </w:r>
      <w:r w:rsidR="00CF1461" w:rsidRPr="00E26090">
        <w:rPr>
          <w:rFonts w:eastAsia="Times New Roman"/>
          <w:lang w:eastAsia="fr-FR"/>
        </w:rPr>
        <w:t xml:space="preserve">ous le thème </w:t>
      </w:r>
      <w:r w:rsidR="00CD5A97">
        <w:rPr>
          <w:rFonts w:eastAsia="Times New Roman"/>
          <w:lang w:eastAsia="fr-FR"/>
        </w:rPr>
        <w:t>« </w:t>
      </w:r>
      <w:r w:rsidR="00CF1461" w:rsidRPr="00E26090">
        <w:rPr>
          <w:rFonts w:eastAsia="Times New Roman"/>
          <w:lang w:eastAsia="fr-FR"/>
        </w:rPr>
        <w:t xml:space="preserve">Je ne m’appelle </w:t>
      </w:r>
      <w:r w:rsidR="00CD5A97" w:rsidRPr="004B402F">
        <w:rPr>
          <w:rFonts w:eastAsia="Times New Roman"/>
          <w:lang w:eastAsia="fr-FR"/>
        </w:rPr>
        <w:t>“</w:t>
      </w:r>
      <w:r w:rsidR="00CF1461" w:rsidRPr="00E26090">
        <w:rPr>
          <w:rFonts w:eastAsia="Times New Roman"/>
          <w:lang w:eastAsia="fr-FR"/>
        </w:rPr>
        <w:t xml:space="preserve">pas un </w:t>
      </w:r>
      <w:proofErr w:type="spellStart"/>
      <w:r w:rsidR="00CF1461" w:rsidRPr="00E26090">
        <w:rPr>
          <w:rFonts w:eastAsia="Times New Roman"/>
          <w:lang w:eastAsia="fr-FR"/>
        </w:rPr>
        <w:t>noir</w:t>
      </w:r>
      <w:r w:rsidR="00CD5A97">
        <w:rPr>
          <w:rFonts w:eastAsia="Times New Roman"/>
          <w:lang w:eastAsia="fr-FR"/>
        </w:rPr>
        <w:t>ˮ</w:t>
      </w:r>
      <w:proofErr w:type="spellEnd"/>
      <w:r w:rsidR="00CF1461" w:rsidRPr="00E26090">
        <w:rPr>
          <w:rFonts w:eastAsia="Times New Roman"/>
          <w:lang w:eastAsia="fr-FR"/>
        </w:rPr>
        <w:t>, j’ai un nom !</w:t>
      </w:r>
      <w:r w:rsidR="00CD5A97">
        <w:rPr>
          <w:rFonts w:eastAsia="Times New Roman"/>
          <w:lang w:eastAsia="fr-FR"/>
        </w:rPr>
        <w:t> »</w:t>
      </w:r>
      <w:r w:rsidR="00CF1461" w:rsidRPr="00E26090">
        <w:rPr>
          <w:rFonts w:eastAsia="Times New Roman"/>
          <w:lang w:eastAsia="fr-FR"/>
        </w:rPr>
        <w:t xml:space="preserve">, en marocain : </w:t>
      </w:r>
      <w:r w:rsidR="00CD5A97">
        <w:rPr>
          <w:rFonts w:eastAsia="Times New Roman"/>
          <w:lang w:eastAsia="fr-FR"/>
        </w:rPr>
        <w:t>« </w:t>
      </w:r>
      <w:proofErr w:type="spellStart"/>
      <w:r w:rsidR="00CF1461" w:rsidRPr="00E26090">
        <w:rPr>
          <w:rFonts w:eastAsia="Times New Roman"/>
          <w:lang w:eastAsia="fr-FR"/>
        </w:rPr>
        <w:t>Massmiytich</w:t>
      </w:r>
      <w:proofErr w:type="spellEnd"/>
      <w:r w:rsidR="00CF1461" w:rsidRPr="00E26090">
        <w:rPr>
          <w:rFonts w:eastAsia="Times New Roman"/>
          <w:lang w:eastAsia="fr-FR"/>
        </w:rPr>
        <w:t xml:space="preserve"> </w:t>
      </w:r>
      <w:proofErr w:type="spellStart"/>
      <w:r w:rsidR="00CF1461" w:rsidRPr="00E26090">
        <w:rPr>
          <w:rFonts w:eastAsia="Times New Roman"/>
          <w:lang w:eastAsia="fr-FR"/>
        </w:rPr>
        <w:t>A</w:t>
      </w:r>
      <w:r w:rsidR="00CF1461">
        <w:rPr>
          <w:rFonts w:eastAsia="Times New Roman"/>
          <w:lang w:eastAsia="fr-FR"/>
        </w:rPr>
        <w:t>a</w:t>
      </w:r>
      <w:r w:rsidR="00CF1461" w:rsidRPr="00E26090">
        <w:rPr>
          <w:rFonts w:eastAsia="Times New Roman"/>
          <w:lang w:eastAsia="fr-FR"/>
        </w:rPr>
        <w:t>zzi</w:t>
      </w:r>
      <w:proofErr w:type="spellEnd"/>
      <w:r w:rsidR="00CF1461" w:rsidRPr="00E26090">
        <w:rPr>
          <w:rFonts w:eastAsia="Times New Roman"/>
          <w:lang w:eastAsia="fr-FR"/>
        </w:rPr>
        <w:t> !</w:t>
      </w:r>
      <w:r w:rsidR="00CD5A97">
        <w:rPr>
          <w:rFonts w:eastAsia="Times New Roman"/>
          <w:lang w:eastAsia="fr-FR"/>
        </w:rPr>
        <w:t> »</w:t>
      </w:r>
      <w:r w:rsidR="00CF1461">
        <w:rPr>
          <w:rFonts w:eastAsia="Times New Roman"/>
          <w:lang w:eastAsia="fr-FR"/>
        </w:rPr>
        <w:t>.</w:t>
      </w:r>
      <w:r w:rsidR="00CF1461" w:rsidRPr="00E26090">
        <w:rPr>
          <w:rFonts w:eastAsia="Times New Roman"/>
          <w:lang w:eastAsia="fr-FR"/>
        </w:rPr>
        <w:t xml:space="preserve"> </w:t>
      </w:r>
      <w:r w:rsidR="00CF1461">
        <w:rPr>
          <w:rFonts w:eastAsia="Times New Roman"/>
          <w:lang w:eastAsia="fr-FR"/>
        </w:rPr>
        <w:t>C</w:t>
      </w:r>
      <w:r w:rsidR="00CF1461" w:rsidRPr="00E26090">
        <w:rPr>
          <w:rFonts w:eastAsia="Times New Roman"/>
          <w:lang w:eastAsia="fr-FR"/>
        </w:rPr>
        <w:t xml:space="preserve">ette campagne-choc organisée par la coalition </w:t>
      </w:r>
      <w:r w:rsidR="00CD5A97">
        <w:rPr>
          <w:rFonts w:eastAsia="Times New Roman"/>
          <w:lang w:eastAsia="fr-FR"/>
        </w:rPr>
        <w:t>« </w:t>
      </w:r>
      <w:r w:rsidR="00CF1461" w:rsidRPr="00E26090">
        <w:rPr>
          <w:rFonts w:eastAsia="Times New Roman"/>
          <w:lang w:eastAsia="fr-FR"/>
        </w:rPr>
        <w:t>Papiers pour Tous</w:t>
      </w:r>
      <w:r w:rsidR="00CD5A97">
        <w:rPr>
          <w:rFonts w:eastAsia="Times New Roman"/>
          <w:lang w:eastAsia="fr-FR"/>
        </w:rPr>
        <w:t> »</w:t>
      </w:r>
      <w:r w:rsidR="00CF1461" w:rsidRPr="00E26090">
        <w:rPr>
          <w:rFonts w:eastAsia="Times New Roman"/>
          <w:lang w:eastAsia="fr-FR"/>
        </w:rPr>
        <w:t xml:space="preserve"> contre le racisme quotidien envers les migrants subsahariens au Maroc</w:t>
      </w:r>
      <w:r w:rsidR="00CF1461">
        <w:rPr>
          <w:rFonts w:eastAsia="Times New Roman"/>
          <w:lang w:eastAsia="fr-FR"/>
        </w:rPr>
        <w:t>,</w:t>
      </w:r>
      <w:r w:rsidR="00CF1461" w:rsidRPr="006B1A80">
        <w:rPr>
          <w:rFonts w:eastAsia="Times New Roman"/>
          <w:lang w:eastAsia="fr-FR"/>
        </w:rPr>
        <w:t xml:space="preserve"> fondée le 4 janvier </w:t>
      </w:r>
      <w:r w:rsidR="00CF1461">
        <w:rPr>
          <w:rFonts w:eastAsia="Times New Roman"/>
          <w:lang w:eastAsia="fr-FR"/>
        </w:rPr>
        <w:t>2014</w:t>
      </w:r>
      <w:r w:rsidR="00CF1461" w:rsidRPr="006B1A80">
        <w:rPr>
          <w:rFonts w:eastAsia="Times New Roman"/>
          <w:lang w:eastAsia="fr-FR"/>
        </w:rPr>
        <w:t xml:space="preserve"> au lendemain de la décision du </w:t>
      </w:r>
      <w:r w:rsidR="00CF1461">
        <w:rPr>
          <w:rFonts w:eastAsia="Times New Roman"/>
          <w:lang w:eastAsia="fr-FR"/>
        </w:rPr>
        <w:t>Maroc</w:t>
      </w:r>
      <w:r w:rsidR="00CF1461" w:rsidRPr="006B1A80">
        <w:rPr>
          <w:rFonts w:eastAsia="Times New Roman"/>
          <w:lang w:eastAsia="fr-FR"/>
        </w:rPr>
        <w:t xml:space="preserve"> de régulariser le séjour des subsahariens clandestins</w:t>
      </w:r>
      <w:r w:rsidR="00CF1461">
        <w:rPr>
          <w:rFonts w:eastAsia="Times New Roman"/>
          <w:lang w:eastAsia="fr-FR"/>
        </w:rPr>
        <w:t>,</w:t>
      </w:r>
      <w:r w:rsidR="00CF1461" w:rsidRPr="00E26090">
        <w:rPr>
          <w:rFonts w:eastAsia="Times New Roman"/>
          <w:lang w:eastAsia="fr-FR"/>
        </w:rPr>
        <w:t xml:space="preserve"> a choisi le mot </w:t>
      </w:r>
      <w:r w:rsidR="00CD5A97">
        <w:rPr>
          <w:rFonts w:eastAsia="Times New Roman"/>
          <w:lang w:eastAsia="fr-FR"/>
        </w:rPr>
        <w:t>« </w:t>
      </w:r>
      <w:proofErr w:type="spellStart"/>
      <w:r w:rsidR="00CF1461" w:rsidRPr="00E26090">
        <w:rPr>
          <w:rFonts w:eastAsia="Times New Roman"/>
          <w:lang w:eastAsia="fr-FR"/>
        </w:rPr>
        <w:t>A</w:t>
      </w:r>
      <w:r w:rsidR="00CF1461">
        <w:rPr>
          <w:rFonts w:eastAsia="Times New Roman"/>
          <w:lang w:eastAsia="fr-FR"/>
        </w:rPr>
        <w:t>a</w:t>
      </w:r>
      <w:r w:rsidR="00CF1461" w:rsidRPr="00E26090">
        <w:rPr>
          <w:rFonts w:eastAsia="Times New Roman"/>
          <w:lang w:eastAsia="fr-FR"/>
        </w:rPr>
        <w:t>zzi</w:t>
      </w:r>
      <w:proofErr w:type="spellEnd"/>
      <w:r w:rsidR="00CD5A97">
        <w:rPr>
          <w:rFonts w:eastAsia="Times New Roman"/>
          <w:lang w:eastAsia="fr-FR"/>
        </w:rPr>
        <w:t> »</w:t>
      </w:r>
      <w:r w:rsidR="00CF1461" w:rsidRPr="00E26090">
        <w:rPr>
          <w:rFonts w:eastAsia="Times New Roman"/>
          <w:lang w:eastAsia="fr-FR"/>
        </w:rPr>
        <w:t xml:space="preserve"> péjorativement utilisé pour qualifier les migrants subsahariens, afin de </w:t>
      </w:r>
      <w:r w:rsidR="00CF1461">
        <w:rPr>
          <w:rFonts w:eastAsia="Times New Roman"/>
          <w:lang w:eastAsia="fr-FR"/>
        </w:rPr>
        <w:t xml:space="preserve">marquer les esprits et </w:t>
      </w:r>
      <w:r w:rsidR="00CF1461" w:rsidRPr="00E26090">
        <w:rPr>
          <w:rFonts w:eastAsia="Times New Roman"/>
          <w:lang w:eastAsia="fr-FR"/>
        </w:rPr>
        <w:t xml:space="preserve">secouer </w:t>
      </w:r>
      <w:r w:rsidR="00CF1461">
        <w:rPr>
          <w:rFonts w:eastAsia="Times New Roman"/>
          <w:lang w:eastAsia="fr-FR"/>
        </w:rPr>
        <w:t xml:space="preserve">parmi </w:t>
      </w:r>
      <w:r w:rsidR="00CF1461" w:rsidRPr="00E26090">
        <w:rPr>
          <w:rFonts w:eastAsia="Times New Roman"/>
          <w:lang w:eastAsia="fr-FR"/>
        </w:rPr>
        <w:t xml:space="preserve">les Marocains </w:t>
      </w:r>
      <w:r w:rsidR="00CF1461">
        <w:rPr>
          <w:rFonts w:eastAsia="Times New Roman"/>
          <w:lang w:eastAsia="fr-FR"/>
        </w:rPr>
        <w:t xml:space="preserve">ceux </w:t>
      </w:r>
      <w:r w:rsidR="00CF1461" w:rsidRPr="00E26090">
        <w:rPr>
          <w:rFonts w:eastAsia="Times New Roman"/>
          <w:lang w:eastAsia="fr-FR"/>
        </w:rPr>
        <w:t>qui n’admettent pas encore leurs comportements discriminatoires.</w:t>
      </w:r>
    </w:p>
    <w:p w14:paraId="2E047755" w14:textId="59679E24" w:rsidR="00CF1461" w:rsidRPr="002B7D22" w:rsidRDefault="004B5A1A" w:rsidP="004B5A1A">
      <w:pPr>
        <w:pStyle w:val="SingleTxtG"/>
        <w:tabs>
          <w:tab w:val="clear" w:pos="1701"/>
          <w:tab w:val="clear" w:pos="2268"/>
          <w:tab w:val="clear" w:pos="2835"/>
        </w:tabs>
        <w:rPr>
          <w:rFonts w:eastAsia="Times New Roman"/>
          <w:lang w:eastAsia="fr-FR"/>
        </w:rPr>
      </w:pPr>
      <w:r w:rsidRPr="002B7D22">
        <w:rPr>
          <w:rFonts w:eastAsia="Times New Roman"/>
          <w:color w:val="000000" w:themeColor="text1"/>
          <w:lang w:eastAsia="fr-FR"/>
        </w:rPr>
        <w:t>215.</w:t>
      </w:r>
      <w:r w:rsidRPr="002B7D22">
        <w:rPr>
          <w:rFonts w:eastAsia="Times New Roman"/>
          <w:color w:val="000000" w:themeColor="text1"/>
          <w:lang w:eastAsia="fr-FR"/>
        </w:rPr>
        <w:tab/>
      </w:r>
      <w:r w:rsidR="00A5588D">
        <w:rPr>
          <w:rFonts w:eastAsia="Times New Roman"/>
          <w:lang w:eastAsia="fr-FR"/>
        </w:rPr>
        <w:t>À</w:t>
      </w:r>
      <w:r w:rsidR="00CF1461" w:rsidRPr="002B7D22">
        <w:rPr>
          <w:rFonts w:eastAsia="Times New Roman"/>
          <w:lang w:eastAsia="fr-FR"/>
        </w:rPr>
        <w:t xml:space="preserve"> </w:t>
      </w:r>
      <w:r w:rsidR="00CF1461" w:rsidRPr="00024D86">
        <w:rPr>
          <w:rFonts w:eastAsia="Times New Roman"/>
          <w:lang w:eastAsia="fr-FR"/>
        </w:rPr>
        <w:t xml:space="preserve">noter aussi </w:t>
      </w:r>
      <w:r w:rsidR="00CF1461">
        <w:rPr>
          <w:rFonts w:eastAsia="Times New Roman"/>
          <w:lang w:eastAsia="fr-FR"/>
        </w:rPr>
        <w:t>l’importance d</w:t>
      </w:r>
      <w:r w:rsidR="00CF1461" w:rsidRPr="00024D86">
        <w:rPr>
          <w:rFonts w:eastAsia="Times New Roman"/>
          <w:lang w:eastAsia="fr-FR"/>
        </w:rPr>
        <w:t>es multiples supports</w:t>
      </w:r>
      <w:r w:rsidR="00CF1461" w:rsidRPr="002B7D22">
        <w:rPr>
          <w:rFonts w:eastAsia="Times New Roman"/>
          <w:lang w:eastAsia="fr-FR"/>
        </w:rPr>
        <w:t xml:space="preserve"> de communication autour de la migration, le discours de la haine et le vivre-ensemble produits à </w:t>
      </w:r>
      <w:r w:rsidR="00CF1461" w:rsidRPr="002C0C0E">
        <w:rPr>
          <w:rFonts w:eastAsia="Times New Roman"/>
          <w:lang w:eastAsia="fr-FR"/>
        </w:rPr>
        <w:t xml:space="preserve">l’occasion de la campagne nationale sous le thème </w:t>
      </w:r>
      <w:r w:rsidR="00CD5A97">
        <w:rPr>
          <w:rFonts w:eastAsia="Times New Roman"/>
          <w:lang w:eastAsia="fr-FR"/>
        </w:rPr>
        <w:t>« </w:t>
      </w:r>
      <w:r w:rsidR="00CF1461" w:rsidRPr="002C0C0E">
        <w:rPr>
          <w:rFonts w:eastAsia="Times New Roman"/>
          <w:lang w:eastAsia="fr-FR"/>
        </w:rPr>
        <w:t>Non au discours de la haine au Maroc</w:t>
      </w:r>
      <w:r w:rsidR="00CD5A97">
        <w:rPr>
          <w:rFonts w:eastAsia="Times New Roman"/>
          <w:lang w:eastAsia="fr-FR"/>
        </w:rPr>
        <w:t> »</w:t>
      </w:r>
      <w:r w:rsidR="00CF1461">
        <w:rPr>
          <w:rFonts w:eastAsia="Times New Roman"/>
          <w:lang w:eastAsia="fr-FR"/>
        </w:rPr>
        <w:t xml:space="preserve"> menée en partenariat avec le Conseil de l’Europe</w:t>
      </w:r>
      <w:r w:rsidR="00CF1461" w:rsidRPr="002C0C0E">
        <w:rPr>
          <w:rFonts w:eastAsia="Times New Roman"/>
          <w:lang w:eastAsia="fr-FR"/>
        </w:rPr>
        <w:t xml:space="preserve">, de la campagne contre les discriminations raciales et </w:t>
      </w:r>
      <w:r w:rsidR="00CF1461">
        <w:rPr>
          <w:rFonts w:eastAsia="Times New Roman"/>
          <w:lang w:eastAsia="fr-FR"/>
        </w:rPr>
        <w:t xml:space="preserve">à l’occasion de </w:t>
      </w:r>
      <w:r w:rsidR="00CF1461" w:rsidRPr="002C0C0E">
        <w:rPr>
          <w:rFonts w:eastAsia="Times New Roman"/>
          <w:lang w:eastAsia="fr-FR"/>
        </w:rPr>
        <w:t>la semaine</w:t>
      </w:r>
      <w:r w:rsidR="00CD5A97">
        <w:rPr>
          <w:rFonts w:eastAsia="Times New Roman"/>
          <w:lang w:eastAsia="fr-FR"/>
        </w:rPr>
        <w:t xml:space="preserve"> </w:t>
      </w:r>
      <w:r w:rsidR="00CF1461" w:rsidRPr="002C0C0E">
        <w:rPr>
          <w:rFonts w:eastAsia="Times New Roman"/>
          <w:lang w:eastAsia="fr-FR"/>
        </w:rPr>
        <w:t>du festival annuel «</w:t>
      </w:r>
      <w:r w:rsidR="00CD5A97">
        <w:rPr>
          <w:rFonts w:eastAsia="Times New Roman"/>
          <w:lang w:eastAsia="fr-FR"/>
        </w:rPr>
        <w:t> </w:t>
      </w:r>
      <w:r w:rsidR="00CF1461" w:rsidRPr="002C0C0E">
        <w:rPr>
          <w:rFonts w:eastAsia="Times New Roman"/>
          <w:lang w:eastAsia="fr-FR"/>
        </w:rPr>
        <w:t>Migrant’ Scène</w:t>
      </w:r>
      <w:r w:rsidR="00CD5A97">
        <w:rPr>
          <w:rFonts w:eastAsia="Times New Roman"/>
          <w:lang w:eastAsia="fr-FR"/>
        </w:rPr>
        <w:t> </w:t>
      </w:r>
      <w:r w:rsidR="00CF1461" w:rsidRPr="002C0C0E">
        <w:rPr>
          <w:rFonts w:eastAsia="Times New Roman"/>
          <w:lang w:eastAsia="fr-FR"/>
        </w:rPr>
        <w:t xml:space="preserve">», organisé depuis 2010 par le Groupe antiraciste d’accompagnement et de défense des étrangers et migrants (GADEM) et l’association DABATEAR, en partenariat avec </w:t>
      </w:r>
      <w:r w:rsidR="00CF1461" w:rsidRPr="002B7D22">
        <w:rPr>
          <w:rFonts w:eastAsia="Times New Roman"/>
          <w:lang w:eastAsia="fr-FR"/>
        </w:rPr>
        <w:t>le Comité inter-mouvements auprès des évacués (Cimade) France.</w:t>
      </w:r>
    </w:p>
    <w:p w14:paraId="7C62D2C3" w14:textId="595C25A9" w:rsidR="00CF1461" w:rsidRPr="002B7D22" w:rsidRDefault="004B5A1A" w:rsidP="004B5A1A">
      <w:pPr>
        <w:pStyle w:val="SingleTxtG"/>
        <w:tabs>
          <w:tab w:val="clear" w:pos="1701"/>
          <w:tab w:val="clear" w:pos="2268"/>
          <w:tab w:val="clear" w:pos="2835"/>
        </w:tabs>
        <w:rPr>
          <w:rFonts w:eastAsia="Times New Roman"/>
          <w:lang w:eastAsia="fr-FR"/>
        </w:rPr>
      </w:pPr>
      <w:r w:rsidRPr="002B7D22">
        <w:rPr>
          <w:rFonts w:eastAsia="Times New Roman"/>
          <w:color w:val="000000" w:themeColor="text1"/>
          <w:lang w:eastAsia="fr-FR"/>
        </w:rPr>
        <w:t>216.</w:t>
      </w:r>
      <w:r w:rsidRPr="002B7D22">
        <w:rPr>
          <w:rFonts w:eastAsia="Times New Roman"/>
          <w:color w:val="000000" w:themeColor="text1"/>
          <w:lang w:eastAsia="fr-FR"/>
        </w:rPr>
        <w:tab/>
      </w:r>
      <w:r w:rsidR="00CF1461" w:rsidRPr="002B7D22">
        <w:rPr>
          <w:rFonts w:eastAsia="Times New Roman"/>
          <w:lang w:eastAsia="fr-FR"/>
        </w:rPr>
        <w:t>D’autres acteurs associatifs versés davantage dans le domaine de plaidoyer et de défense des droits des personnes migrantes au Maroc, notamment en matière de protection Juridique, de protection de l’Enfance et pour l’accès aux Service de Santé, continuent à raffermir leur place dans le paysage national. C’est notamment l’ambition affichée de la Plateforme Natio</w:t>
      </w:r>
      <w:r w:rsidR="00B1425B">
        <w:rPr>
          <w:rFonts w:eastAsia="Times New Roman"/>
          <w:lang w:eastAsia="fr-FR"/>
        </w:rPr>
        <w:t>nale Protection Migrants (PNPM)</w:t>
      </w:r>
      <w:r w:rsidR="00CF1461" w:rsidRPr="003C06D3">
        <w:rPr>
          <w:rStyle w:val="Appelnotedebasdep"/>
        </w:rPr>
        <w:footnoteReference w:id="69"/>
      </w:r>
      <w:r w:rsidR="00B1425B">
        <w:rPr>
          <w:rFonts w:eastAsia="Times New Roman"/>
          <w:lang w:eastAsia="fr-FR"/>
        </w:rPr>
        <w:t>.</w:t>
      </w:r>
    </w:p>
    <w:p w14:paraId="763C8FB4" w14:textId="34BDA76D" w:rsidR="00CF1461" w:rsidRPr="007D6EC9" w:rsidRDefault="004B5A1A" w:rsidP="004B5A1A">
      <w:pPr>
        <w:pStyle w:val="SingleTxtG"/>
        <w:tabs>
          <w:tab w:val="clear" w:pos="1701"/>
          <w:tab w:val="clear" w:pos="2268"/>
          <w:tab w:val="clear" w:pos="2835"/>
        </w:tabs>
        <w:rPr>
          <w:rFonts w:eastAsia="Times New Roman"/>
          <w:lang w:eastAsia="fr-FR"/>
        </w:rPr>
      </w:pPr>
      <w:r w:rsidRPr="007D6EC9">
        <w:rPr>
          <w:rFonts w:eastAsia="Times New Roman"/>
          <w:color w:val="000000" w:themeColor="text1"/>
          <w:lang w:eastAsia="fr-FR"/>
        </w:rPr>
        <w:t>217.</w:t>
      </w:r>
      <w:r w:rsidRPr="007D6EC9">
        <w:rPr>
          <w:rFonts w:eastAsia="Times New Roman"/>
          <w:color w:val="000000" w:themeColor="text1"/>
          <w:lang w:eastAsia="fr-FR"/>
        </w:rPr>
        <w:tab/>
      </w:r>
      <w:r w:rsidR="00A5588D">
        <w:rPr>
          <w:rFonts w:eastAsia="Times New Roman"/>
          <w:lang w:eastAsia="fr-FR"/>
        </w:rPr>
        <w:t>À</w:t>
      </w:r>
      <w:r w:rsidR="00CF1461" w:rsidRPr="007D6EC9">
        <w:rPr>
          <w:rFonts w:eastAsia="Times New Roman"/>
          <w:lang w:eastAsia="fr-FR"/>
        </w:rPr>
        <w:t xml:space="preserve"> signaler également l’initiative menée </w:t>
      </w:r>
      <w:r w:rsidR="00CF1461">
        <w:rPr>
          <w:rFonts w:eastAsia="Times New Roman"/>
          <w:lang w:eastAsia="fr-FR"/>
        </w:rPr>
        <w:t xml:space="preserve">depuis </w:t>
      </w:r>
      <w:r w:rsidR="00CF1461" w:rsidRPr="007D6EC9">
        <w:rPr>
          <w:rFonts w:eastAsia="Times New Roman"/>
          <w:lang w:eastAsia="fr-FR"/>
        </w:rPr>
        <w:t xml:space="preserve">décembre 2016 par </w:t>
      </w:r>
      <w:r w:rsidR="00CF1461">
        <w:rPr>
          <w:rFonts w:eastAsia="Times New Roman"/>
          <w:lang w:eastAsia="fr-FR"/>
        </w:rPr>
        <w:t>le</w:t>
      </w:r>
      <w:r w:rsidR="00CF1461" w:rsidRPr="007D6EC9">
        <w:rPr>
          <w:rFonts w:eastAsia="Times New Roman"/>
          <w:lang w:eastAsia="fr-FR"/>
        </w:rPr>
        <w:t xml:space="preserve"> Conseil civil de lutte contre toutes les formes de discrimination</w:t>
      </w:r>
      <w:r w:rsidR="00CF1461">
        <w:rPr>
          <w:rFonts w:eastAsia="Times New Roman"/>
          <w:lang w:eastAsia="fr-FR"/>
        </w:rPr>
        <w:t>,</w:t>
      </w:r>
      <w:r w:rsidR="00CF1461" w:rsidRPr="007D6EC9">
        <w:rPr>
          <w:rFonts w:eastAsia="Times New Roman"/>
          <w:lang w:eastAsia="fr-FR"/>
        </w:rPr>
        <w:t xml:space="preserve"> qui </w:t>
      </w:r>
      <w:r w:rsidR="00CF1461">
        <w:rPr>
          <w:rFonts w:eastAsia="Times New Roman"/>
          <w:lang w:eastAsia="fr-FR"/>
        </w:rPr>
        <w:t xml:space="preserve">a </w:t>
      </w:r>
      <w:r w:rsidR="00CF1461" w:rsidRPr="007D6EC9">
        <w:rPr>
          <w:rFonts w:eastAsia="Times New Roman"/>
          <w:lang w:eastAsia="fr-FR"/>
        </w:rPr>
        <w:t>publié en 2018 un état des lieu</w:t>
      </w:r>
      <w:r w:rsidR="00CF1461">
        <w:rPr>
          <w:rFonts w:eastAsia="Times New Roman"/>
          <w:lang w:eastAsia="fr-FR"/>
        </w:rPr>
        <w:t>x de la discrimination au Maroc</w:t>
      </w:r>
      <w:r w:rsidR="00CF1461" w:rsidRPr="007D6EC9">
        <w:rPr>
          <w:rFonts w:eastAsia="Times New Roman"/>
          <w:lang w:eastAsia="fr-FR"/>
        </w:rPr>
        <w:t>. Le recours de l’étude</w:t>
      </w:r>
      <w:r w:rsidR="00CF1461">
        <w:rPr>
          <w:rFonts w:eastAsia="Times New Roman"/>
          <w:lang w:eastAsia="fr-FR"/>
        </w:rPr>
        <w:t xml:space="preserve"> </w:t>
      </w:r>
      <w:r w:rsidR="00CF1461" w:rsidRPr="007D6EC9">
        <w:rPr>
          <w:rFonts w:eastAsia="Times New Roman"/>
          <w:lang w:eastAsia="fr-FR"/>
        </w:rPr>
        <w:t xml:space="preserve">aux témoignages sur le vécu des discriminations </w:t>
      </w:r>
      <w:r w:rsidR="00CF1461">
        <w:rPr>
          <w:rFonts w:eastAsia="Times New Roman"/>
          <w:lang w:eastAsia="fr-FR"/>
        </w:rPr>
        <w:t>dé</w:t>
      </w:r>
      <w:r w:rsidR="00CF1461" w:rsidRPr="007D6EC9">
        <w:rPr>
          <w:rFonts w:eastAsia="Times New Roman"/>
          <w:lang w:eastAsia="fr-FR"/>
        </w:rPr>
        <w:t>montre</w:t>
      </w:r>
      <w:r w:rsidR="00CF1461">
        <w:rPr>
          <w:rFonts w:eastAsia="Times New Roman"/>
          <w:lang w:eastAsia="fr-FR"/>
        </w:rPr>
        <w:t>, selon le rapport de ce collectif associatif,</w:t>
      </w:r>
      <w:r w:rsidR="00CF1461" w:rsidRPr="007D6EC9">
        <w:rPr>
          <w:rFonts w:eastAsia="Times New Roman"/>
          <w:lang w:eastAsia="fr-FR"/>
        </w:rPr>
        <w:t xml:space="preserve"> le caractère systémique </w:t>
      </w:r>
      <w:r w:rsidR="00CF1461" w:rsidRPr="007D6EC9">
        <w:rPr>
          <w:rFonts w:eastAsia="Times New Roman"/>
          <w:lang w:eastAsia="fr-FR"/>
        </w:rPr>
        <w:lastRenderedPageBreak/>
        <w:t>et transversal des injustices qui entravent la jouissance de certaines catégories de personnes de leurs droits civils, sociaux, économiques, culturels</w:t>
      </w:r>
      <w:r w:rsidR="00CF1461">
        <w:rPr>
          <w:rFonts w:eastAsia="Times New Roman"/>
          <w:lang w:eastAsia="fr-FR"/>
        </w:rPr>
        <w:t>,</w:t>
      </w:r>
      <w:r w:rsidR="00B1425B">
        <w:rPr>
          <w:rFonts w:eastAsia="Times New Roman"/>
          <w:lang w:eastAsia="fr-FR"/>
        </w:rPr>
        <w:t xml:space="preserve"> </w:t>
      </w:r>
      <w:proofErr w:type="spellStart"/>
      <w:r w:rsidR="00B1425B">
        <w:rPr>
          <w:rFonts w:eastAsia="Times New Roman"/>
          <w:lang w:eastAsia="fr-FR"/>
        </w:rPr>
        <w:t>etc</w:t>
      </w:r>
      <w:proofErr w:type="spellEnd"/>
      <w:r w:rsidR="00CF1461" w:rsidRPr="003C06D3">
        <w:rPr>
          <w:rStyle w:val="Appelnotedebasdep"/>
        </w:rPr>
        <w:footnoteReference w:id="70"/>
      </w:r>
      <w:r w:rsidR="00B1425B">
        <w:rPr>
          <w:rFonts w:eastAsia="Times New Roman"/>
          <w:lang w:eastAsia="fr-FR"/>
        </w:rPr>
        <w:t>.</w:t>
      </w:r>
    </w:p>
    <w:p w14:paraId="0C61D8D1" w14:textId="249FEECE" w:rsidR="00CF1461" w:rsidRDefault="004B5A1A" w:rsidP="004B5A1A">
      <w:pPr>
        <w:pStyle w:val="SingleTxtG"/>
        <w:tabs>
          <w:tab w:val="clear" w:pos="1701"/>
          <w:tab w:val="clear" w:pos="2268"/>
          <w:tab w:val="clear" w:pos="2835"/>
        </w:tabs>
        <w:rPr>
          <w:rFonts w:eastAsia="Times New Roman"/>
          <w:lang w:eastAsia="fr-FR"/>
        </w:rPr>
      </w:pPr>
      <w:r>
        <w:rPr>
          <w:rFonts w:eastAsia="Times New Roman"/>
          <w:color w:val="000000" w:themeColor="text1"/>
          <w:lang w:eastAsia="fr-FR"/>
        </w:rPr>
        <w:t>218.</w:t>
      </w:r>
      <w:r>
        <w:rPr>
          <w:rFonts w:eastAsia="Times New Roman"/>
          <w:color w:val="000000" w:themeColor="text1"/>
          <w:lang w:eastAsia="fr-FR"/>
        </w:rPr>
        <w:tab/>
      </w:r>
      <w:r w:rsidR="00CF1461" w:rsidRPr="00E26090">
        <w:rPr>
          <w:rFonts w:eastAsia="Times New Roman"/>
          <w:lang w:eastAsia="fr-FR"/>
        </w:rPr>
        <w:t xml:space="preserve">Ces </w:t>
      </w:r>
      <w:r w:rsidR="00CF1461">
        <w:rPr>
          <w:rFonts w:eastAsia="Times New Roman"/>
          <w:lang w:eastAsia="fr-FR"/>
        </w:rPr>
        <w:t xml:space="preserve">multiples </w:t>
      </w:r>
      <w:r w:rsidR="00CF1461" w:rsidRPr="00E26090">
        <w:rPr>
          <w:rFonts w:eastAsia="Times New Roman"/>
          <w:lang w:eastAsia="fr-FR"/>
        </w:rPr>
        <w:t xml:space="preserve">initiatives </w:t>
      </w:r>
      <w:r w:rsidR="00CF1461">
        <w:rPr>
          <w:rFonts w:eastAsia="Times New Roman"/>
          <w:lang w:eastAsia="fr-FR"/>
        </w:rPr>
        <w:t xml:space="preserve">de la société civile </w:t>
      </w:r>
      <w:r w:rsidR="00CF1461" w:rsidRPr="00E26090">
        <w:rPr>
          <w:rFonts w:eastAsia="Times New Roman"/>
          <w:lang w:eastAsia="fr-FR"/>
        </w:rPr>
        <w:t xml:space="preserve">qui demeurent </w:t>
      </w:r>
      <w:r w:rsidR="00CF1461">
        <w:rPr>
          <w:rFonts w:eastAsia="Times New Roman"/>
          <w:lang w:eastAsia="fr-FR"/>
        </w:rPr>
        <w:t>pionnières</w:t>
      </w:r>
      <w:r w:rsidR="00CF1461" w:rsidRPr="00E26090">
        <w:rPr>
          <w:rFonts w:eastAsia="Times New Roman"/>
          <w:lang w:eastAsia="fr-FR"/>
        </w:rPr>
        <w:t xml:space="preserve"> en leur genre, méritent d’être accompagnées et renforcées. </w:t>
      </w:r>
    </w:p>
    <w:p w14:paraId="20C7771C" w14:textId="144A3F99" w:rsidR="00CF1461" w:rsidRPr="002B7D22" w:rsidRDefault="002B7D22" w:rsidP="002B7D22">
      <w:pPr>
        <w:spacing w:before="240"/>
        <w:ind w:left="1134" w:right="1134"/>
        <w:jc w:val="center"/>
        <w:rPr>
          <w:u w:val="single"/>
        </w:rPr>
      </w:pPr>
      <w:r>
        <w:rPr>
          <w:u w:val="single"/>
        </w:rPr>
        <w:tab/>
      </w:r>
      <w:r>
        <w:rPr>
          <w:u w:val="single"/>
        </w:rPr>
        <w:tab/>
      </w:r>
      <w:r>
        <w:rPr>
          <w:u w:val="single"/>
        </w:rPr>
        <w:tab/>
      </w:r>
      <w:r w:rsidR="00CD5A97">
        <w:rPr>
          <w:u w:val="single"/>
        </w:rPr>
        <w:tab/>
      </w:r>
    </w:p>
    <w:sectPr w:rsidR="00CF1461" w:rsidRPr="002B7D22" w:rsidSect="00013F7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762FE" w14:textId="77777777" w:rsidR="001D6B10" w:rsidRDefault="001D6B10">
      <w:pPr>
        <w:spacing w:line="240" w:lineRule="auto"/>
      </w:pPr>
      <w:r>
        <w:separator/>
      </w:r>
    </w:p>
  </w:endnote>
  <w:endnote w:type="continuationSeparator" w:id="0">
    <w:p w14:paraId="3FBD2150" w14:textId="77777777" w:rsidR="001D6B10" w:rsidRDefault="001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harisSIL">
    <w:altName w:val="MS Mincho"/>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7CD60" w14:textId="0D33B24F" w:rsidR="001D6B10" w:rsidRDefault="001D6B10">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4F3C47">
      <w:rPr>
        <w:b/>
        <w:noProof/>
        <w:sz w:val="18"/>
      </w:rPr>
      <w:t>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69C5" w14:textId="6BC8678C" w:rsidR="001D6B10" w:rsidRDefault="001D6B10">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4F3C47">
      <w:rPr>
        <w:b/>
        <w:noProof/>
        <w:sz w:val="18"/>
      </w:rPr>
      <w:t>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1E86" w14:textId="5D481CDE" w:rsidR="00DC2775" w:rsidRPr="00DC2775" w:rsidRDefault="00DC2775" w:rsidP="00DC2775">
    <w:pPr>
      <w:pStyle w:val="Pieddepage"/>
      <w:tabs>
        <w:tab w:val="left" w:pos="6520"/>
        <w:tab w:val="right" w:pos="9638"/>
      </w:tabs>
      <w:spacing w:before="120"/>
      <w:rPr>
        <w:sz w:val="20"/>
      </w:rPr>
    </w:pPr>
    <w:r>
      <w:rPr>
        <w:sz w:val="20"/>
      </w:rPr>
      <w:t>GE.21-18987  (F)</w:t>
    </w:r>
    <w:bookmarkStart w:id="1" w:name="_GoBack"/>
    <w:bookmarkEnd w:id="1"/>
    <w:r>
      <w:rPr>
        <w:sz w:val="20"/>
      </w:rPr>
      <w:tab/>
    </w:r>
    <w:r w:rsidRPr="00DC2775">
      <w:rPr>
        <w:noProof/>
        <w:sz w:val="20"/>
        <w:lang w:eastAsia="fr-CH"/>
      </w:rPr>
      <w:drawing>
        <wp:inline distT="0" distB="0" distL="0" distR="0" wp14:anchorId="3390EE7B" wp14:editId="5A19B348">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741A5CE" wp14:editId="6DA8D5EE">
          <wp:extent cx="561975" cy="5619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035CC" w14:textId="77777777" w:rsidR="001D6B10" w:rsidRDefault="001D6B10">
      <w:pPr>
        <w:pStyle w:val="Pieddepage"/>
        <w:tabs>
          <w:tab w:val="right" w:pos="2155"/>
        </w:tabs>
        <w:spacing w:after="80" w:line="240" w:lineRule="atLeast"/>
        <w:ind w:left="680"/>
        <w:rPr>
          <w:u w:val="single"/>
        </w:rPr>
      </w:pPr>
      <w:r>
        <w:rPr>
          <w:u w:val="single"/>
        </w:rPr>
        <w:tab/>
      </w:r>
    </w:p>
  </w:footnote>
  <w:footnote w:type="continuationSeparator" w:id="0">
    <w:p w14:paraId="23119AED" w14:textId="77777777" w:rsidR="001D6B10" w:rsidRDefault="001D6B10">
      <w:pPr>
        <w:pStyle w:val="Pieddepage"/>
        <w:tabs>
          <w:tab w:val="right" w:pos="2155"/>
        </w:tabs>
        <w:spacing w:after="80" w:line="240" w:lineRule="atLeast"/>
        <w:ind w:left="680"/>
        <w:rPr>
          <w:u w:val="single"/>
        </w:rPr>
      </w:pPr>
      <w:r>
        <w:rPr>
          <w:u w:val="single"/>
        </w:rPr>
        <w:tab/>
      </w:r>
    </w:p>
  </w:footnote>
  <w:footnote w:type="continuationNotice" w:id="1">
    <w:p w14:paraId="13F83FB0" w14:textId="77777777" w:rsidR="001D6B10" w:rsidRDefault="001D6B10">
      <w:pPr>
        <w:spacing w:line="240" w:lineRule="auto"/>
        <w:rPr>
          <w:sz w:val="2"/>
          <w:szCs w:val="2"/>
        </w:rPr>
      </w:pPr>
    </w:p>
  </w:footnote>
  <w:footnote w:id="2">
    <w:p w14:paraId="19ED3036" w14:textId="55FDB735" w:rsidR="001D6B10" w:rsidRDefault="001D6B10" w:rsidP="00372939">
      <w:pPr>
        <w:pStyle w:val="Notedebasdepage"/>
      </w:pPr>
      <w:r>
        <w:tab/>
      </w:r>
      <w:r>
        <w:rPr>
          <w:rStyle w:val="Appelnotedebasdep"/>
          <w:sz w:val="20"/>
          <w:vertAlign w:val="baseline"/>
        </w:rPr>
        <w:t>*</w:t>
      </w:r>
      <w:r>
        <w:rPr>
          <w:sz w:val="20"/>
        </w:rPr>
        <w:tab/>
      </w:r>
      <w:r>
        <w:t>Le présent document n’a pas été revu par les services d’édition.</w:t>
      </w:r>
    </w:p>
  </w:footnote>
  <w:footnote w:id="3">
    <w:p w14:paraId="4FE0B416" w14:textId="78A76F74" w:rsidR="001D6B10" w:rsidRPr="002F3A41" w:rsidRDefault="001D6B10" w:rsidP="00013F70">
      <w:pPr>
        <w:pStyle w:val="Notedebasdepage"/>
        <w:rPr>
          <w:lang w:val="fr-FR"/>
        </w:rPr>
      </w:pPr>
      <w:r>
        <w:rPr>
          <w:rStyle w:val="Appelnotedebasdep"/>
        </w:rPr>
        <w:tab/>
      </w:r>
      <w:r w:rsidRPr="002F3A41">
        <w:rPr>
          <w:rStyle w:val="Appelnotedebasdep"/>
          <w:sz w:val="20"/>
          <w:vertAlign w:val="baseline"/>
        </w:rPr>
        <w:t>**</w:t>
      </w:r>
      <w:r>
        <w:rPr>
          <w:sz w:val="20"/>
        </w:rPr>
        <w:tab/>
      </w:r>
      <w:r w:rsidRPr="002F3A41">
        <w:rPr>
          <w:lang w:val="fr-FR"/>
        </w:rPr>
        <w:t>Les annexes au présent rapport sont accessibles sur la page Web du Comité.</w:t>
      </w:r>
    </w:p>
  </w:footnote>
  <w:footnote w:id="4">
    <w:p w14:paraId="7A69A03B" w14:textId="4A6B9D71" w:rsidR="001D6B10" w:rsidRPr="00800107" w:rsidRDefault="001D6B10" w:rsidP="00013F70">
      <w:pPr>
        <w:pStyle w:val="Notedebasdepage"/>
        <w:rPr>
          <w:sz w:val="2"/>
          <w:szCs w:val="2"/>
        </w:rPr>
      </w:pPr>
      <w:r>
        <w:tab/>
      </w:r>
      <w:r>
        <w:rPr>
          <w:rStyle w:val="Appelnotedebasdep"/>
        </w:rPr>
        <w:footnoteRef/>
      </w:r>
      <w:r>
        <w:tab/>
      </w:r>
      <w:r w:rsidRPr="00595FE4">
        <w:t>Voir en annexe 1</w:t>
      </w:r>
      <w:r>
        <w:t xml:space="preserve">, </w:t>
      </w:r>
      <w:r w:rsidRPr="00595FE4">
        <w:t xml:space="preserve">le compte rendu </w:t>
      </w:r>
      <w:r>
        <w:t xml:space="preserve">et conclusions </w:t>
      </w:r>
      <w:r w:rsidRPr="00595FE4">
        <w:t>d</w:t>
      </w:r>
      <w:r>
        <w:t>u</w:t>
      </w:r>
      <w:r w:rsidRPr="00595FE4">
        <w:t xml:space="preserve"> processus de consultation nationale en marge de</w:t>
      </w:r>
      <w:r>
        <w:t> </w:t>
      </w:r>
      <w:r w:rsidRPr="00595FE4">
        <w:t xml:space="preserve">la préparation du présent rapport. </w:t>
      </w:r>
    </w:p>
  </w:footnote>
  <w:footnote w:id="5">
    <w:p w14:paraId="4134FB62" w14:textId="77777777" w:rsidR="001D6B10" w:rsidRPr="00AF1007" w:rsidRDefault="001D6B10" w:rsidP="00013F70">
      <w:pPr>
        <w:pStyle w:val="Notedebasdepage"/>
      </w:pPr>
      <w:r>
        <w:tab/>
      </w:r>
      <w:r>
        <w:rPr>
          <w:rStyle w:val="Appelnotedebasdep"/>
        </w:rPr>
        <w:footnoteRef/>
      </w:r>
      <w:r>
        <w:tab/>
      </w:r>
      <w:r w:rsidRPr="00AF1007">
        <w:t>HRI/CORE/MAR/2012</w:t>
      </w:r>
      <w:r>
        <w:t>.</w:t>
      </w:r>
    </w:p>
  </w:footnote>
  <w:footnote w:id="6">
    <w:p w14:paraId="289CB37F" w14:textId="101FFFD7" w:rsidR="001D6B10" w:rsidRDefault="001D6B10" w:rsidP="00013F70">
      <w:pPr>
        <w:pStyle w:val="Notedebasdepage"/>
      </w:pPr>
      <w:r>
        <w:tab/>
      </w:r>
      <w:r>
        <w:rPr>
          <w:rStyle w:val="Appelnotedebasdep"/>
        </w:rPr>
        <w:footnoteRef/>
      </w:r>
      <w:r>
        <w:tab/>
      </w:r>
      <w:hyperlink r:id="rId1" w:history="1">
        <w:r w:rsidRPr="005C17C0">
          <w:rPr>
            <w:rStyle w:val="Lienhypertexte"/>
            <w:rFonts w:asciiTheme="majorBidi" w:hAnsiTheme="majorBidi" w:cstheme="majorBidi"/>
            <w:szCs w:val="18"/>
          </w:rPr>
          <w:t>https://tbinternet.ohchr.org/_layouts/15/TreatyBodyExternal/CoreDocuments.aspx?Lang=fr</w:t>
        </w:r>
      </w:hyperlink>
      <w:r>
        <w:rPr>
          <w:rStyle w:val="Lienhypertexte"/>
          <w:rFonts w:asciiTheme="majorBidi" w:hAnsiTheme="majorBidi" w:cstheme="majorBidi"/>
          <w:szCs w:val="18"/>
        </w:rPr>
        <w:t>.</w:t>
      </w:r>
      <w:r>
        <w:rPr>
          <w:color w:val="1F497D"/>
        </w:rPr>
        <w:t xml:space="preserve"> </w:t>
      </w:r>
    </w:p>
  </w:footnote>
  <w:footnote w:id="7">
    <w:p w14:paraId="1E9EE143" w14:textId="36A681D8" w:rsidR="001D6B10" w:rsidRPr="001F5822" w:rsidRDefault="001D6B10" w:rsidP="00013F70">
      <w:pPr>
        <w:pStyle w:val="Notedebasdepage"/>
        <w:rPr>
          <w:rStyle w:val="Lienhypertexte"/>
          <w:rFonts w:asciiTheme="majorBidi" w:hAnsiTheme="majorBidi" w:cstheme="majorBidi"/>
          <w:szCs w:val="18"/>
        </w:rPr>
      </w:pPr>
      <w:r>
        <w:tab/>
      </w:r>
      <w:r>
        <w:rPr>
          <w:rStyle w:val="Appelnotedebasdep"/>
        </w:rPr>
        <w:footnoteRef/>
      </w:r>
      <w:r>
        <w:tab/>
      </w:r>
      <w:r w:rsidRPr="001F5822">
        <w:t>Voir</w:t>
      </w:r>
      <w:r>
        <w:t xml:space="preserve"> l’état des amendements à cet article in : </w:t>
      </w:r>
      <w:hyperlink r:id="rId2" w:history="1">
        <w:r w:rsidRPr="001F5822">
          <w:rPr>
            <w:rStyle w:val="Lienhypertexte"/>
            <w:rFonts w:asciiTheme="majorBidi" w:hAnsiTheme="majorBidi" w:cstheme="majorBidi"/>
            <w:szCs w:val="18"/>
          </w:rPr>
          <w:t>https://treaties.un.org/Pages/ViewDetails.aspx?src=TREATY&amp;mtdsg_no=IV-2-a&amp;chapter=4&amp;clang=_fr</w:t>
        </w:r>
      </w:hyperlink>
      <w:r>
        <w:rPr>
          <w:rStyle w:val="Lienhypertexte"/>
          <w:rFonts w:asciiTheme="majorBidi" w:hAnsiTheme="majorBidi" w:cstheme="majorBidi"/>
          <w:szCs w:val="18"/>
        </w:rPr>
        <w:t xml:space="preserve">. </w:t>
      </w:r>
    </w:p>
  </w:footnote>
  <w:footnote w:id="8">
    <w:p w14:paraId="50347DD0" w14:textId="77777777" w:rsidR="001D6B10" w:rsidRPr="00751595" w:rsidRDefault="001D6B10" w:rsidP="00013F70">
      <w:pPr>
        <w:pStyle w:val="Notedebasdepage"/>
      </w:pPr>
      <w:r>
        <w:tab/>
      </w:r>
      <w:r>
        <w:rPr>
          <w:rStyle w:val="Appelnotedebasdep"/>
        </w:rPr>
        <w:footnoteRef/>
      </w:r>
      <w:r>
        <w:tab/>
      </w:r>
      <w:r w:rsidRPr="00751595">
        <w:t>L’a</w:t>
      </w:r>
      <w:r w:rsidRPr="00591A22">
        <w:t>rabe dialectal.</w:t>
      </w:r>
    </w:p>
  </w:footnote>
  <w:footnote w:id="9">
    <w:p w14:paraId="08CB706E" w14:textId="2CD011CA" w:rsidR="001D6B10" w:rsidRDefault="001D6B10" w:rsidP="00013F70">
      <w:pPr>
        <w:pStyle w:val="Notedebasdepage"/>
      </w:pPr>
      <w:r>
        <w:tab/>
      </w:r>
      <w:r w:rsidRPr="008E263A">
        <w:rPr>
          <w:vertAlign w:val="superscript"/>
        </w:rPr>
        <w:footnoteRef/>
      </w:r>
      <w:r>
        <w:tab/>
      </w:r>
      <w:r w:rsidRPr="002175DC">
        <w:t>Les indicateurs du RGPH 2014 selon les thèmes de démographie, handicap, éducation et alphabétisation, langues</w:t>
      </w:r>
      <w:r>
        <w:t xml:space="preserve"> </w:t>
      </w:r>
      <w:r w:rsidRPr="002175DC">
        <w:t>locales utilisées, activité et emploi et conditions d’habitat, par région, province, communes et centres urbains et au</w:t>
      </w:r>
      <w:r>
        <w:t xml:space="preserve"> </w:t>
      </w:r>
      <w:r w:rsidRPr="002175DC">
        <w:t xml:space="preserve">niveau national, sont accessibles sur le lien : </w:t>
      </w:r>
      <w:hyperlink r:id="rId3" w:history="1">
        <w:r w:rsidRPr="00A76BCE">
          <w:rPr>
            <w:rStyle w:val="Lienhypertexte"/>
            <w:rFonts w:asciiTheme="majorBidi" w:hAnsiTheme="majorBidi" w:cstheme="majorBidi"/>
            <w:szCs w:val="18"/>
          </w:rPr>
          <w:t>http://rgphentableaux.hcp.ma/Default1/</w:t>
        </w:r>
      </w:hyperlink>
      <w:r>
        <w:rPr>
          <w:rStyle w:val="Lienhypertexte"/>
          <w:rFonts w:asciiTheme="majorBidi" w:hAnsiTheme="majorBidi" w:cstheme="majorBidi"/>
          <w:szCs w:val="18"/>
        </w:rPr>
        <w:t>.</w:t>
      </w:r>
      <w:r>
        <w:t xml:space="preserve"> </w:t>
      </w:r>
    </w:p>
  </w:footnote>
  <w:footnote w:id="10">
    <w:p w14:paraId="7FA4D398" w14:textId="271F403C" w:rsidR="001D6B10" w:rsidRPr="00741281" w:rsidRDefault="001D6B10" w:rsidP="00013F70">
      <w:pPr>
        <w:pStyle w:val="Notedebasdepage"/>
      </w:pPr>
      <w:r>
        <w:tab/>
      </w:r>
      <w:r>
        <w:rPr>
          <w:rStyle w:val="Appelnotedebasdep"/>
        </w:rPr>
        <w:footnoteRef/>
      </w:r>
      <w:r>
        <w:tab/>
      </w:r>
      <w:r w:rsidRPr="00741281">
        <w:t>Source</w:t>
      </w:r>
      <w:r w:rsidR="00F26D77">
        <w:t> </w:t>
      </w:r>
      <w:r w:rsidRPr="00741281">
        <w:t>: Ministère de l’Intérieur.</w:t>
      </w:r>
    </w:p>
  </w:footnote>
  <w:footnote w:id="11">
    <w:p w14:paraId="715671CA" w14:textId="1D83CBE6" w:rsidR="001D6B10" w:rsidRPr="008E263A" w:rsidRDefault="001D6B10" w:rsidP="00013F70">
      <w:pPr>
        <w:pStyle w:val="Notedebasdepage"/>
      </w:pPr>
      <w:r>
        <w:tab/>
      </w:r>
      <w:r w:rsidRPr="008E263A">
        <w:rPr>
          <w:vertAlign w:val="superscript"/>
        </w:rPr>
        <w:footnoteRef/>
      </w:r>
      <w:r>
        <w:tab/>
      </w:r>
      <w:r w:rsidRPr="008E263A">
        <w:t>Radioscopie de l’immigration au Maroc, Présentation des résultats de l’étude sur l’élaboration de la SNIA,</w:t>
      </w:r>
      <w:r>
        <w:t xml:space="preserve"> </w:t>
      </w:r>
      <w:r w:rsidRPr="008E263A">
        <w:t xml:space="preserve">MCMREAM, 10 </w:t>
      </w:r>
      <w:r>
        <w:t>s</w:t>
      </w:r>
      <w:r w:rsidRPr="008E263A">
        <w:t>eptembre 2014</w:t>
      </w:r>
      <w:r>
        <w:t>.</w:t>
      </w:r>
    </w:p>
  </w:footnote>
  <w:footnote w:id="12">
    <w:p w14:paraId="032B98D4" w14:textId="57E8B43D" w:rsidR="001D6B10" w:rsidRDefault="001D6B10" w:rsidP="00374337">
      <w:pPr>
        <w:pStyle w:val="Notedebasdepage"/>
      </w:pPr>
      <w:r>
        <w:tab/>
      </w:r>
      <w:r>
        <w:rPr>
          <w:rStyle w:val="Appelnotedebasdep"/>
        </w:rPr>
        <w:footnoteRef/>
      </w:r>
      <w:r>
        <w:tab/>
      </w:r>
      <w:r w:rsidRPr="00CE589A">
        <w:t>Source : Représentation du HCR à Rabat.</w:t>
      </w:r>
    </w:p>
  </w:footnote>
  <w:footnote w:id="13">
    <w:p w14:paraId="3A92BCB5" w14:textId="3EA21852" w:rsidR="001D6B10" w:rsidRPr="00AC555A" w:rsidRDefault="001D6B10" w:rsidP="00013F70">
      <w:pPr>
        <w:pStyle w:val="Notedebasdepage"/>
      </w:pPr>
      <w:r>
        <w:tab/>
      </w:r>
      <w:r w:rsidRPr="00AC555A">
        <w:rPr>
          <w:rStyle w:val="Appelnotedebasdep"/>
          <w:szCs w:val="18"/>
        </w:rPr>
        <w:footnoteRef/>
      </w:r>
      <w:r>
        <w:tab/>
      </w:r>
      <w:r w:rsidRPr="00AC555A">
        <w:t xml:space="preserve">Dahir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AC555A">
        <w:t xml:space="preserve">47-17-1 du 30 </w:t>
      </w:r>
      <w:proofErr w:type="spellStart"/>
      <w:r w:rsidRPr="00374337">
        <w:rPr>
          <w:i/>
          <w:iCs/>
        </w:rPr>
        <w:t>hijja</w:t>
      </w:r>
      <w:proofErr w:type="spellEnd"/>
      <w:r w:rsidRPr="00AC555A">
        <w:t xml:space="preserve"> 1438 (21 septembre 2017) portant promulgation de la loi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AC555A">
        <w:t>14-79 relative à</w:t>
      </w:r>
      <w:r>
        <w:t xml:space="preserve"> </w:t>
      </w:r>
      <w:r w:rsidRPr="00AC555A">
        <w:t>l’Autorité pour la Parité et la Lutte contre toutes les Formes de Discrimination (B</w:t>
      </w:r>
      <w:r>
        <w:t xml:space="preserve">O </w:t>
      </w:r>
      <w:r w:rsidRPr="0091537E">
        <w:t>n</w:t>
      </w:r>
      <w:r w:rsidRPr="00050C02">
        <w:rPr>
          <w:vertAlign w:val="superscript"/>
        </w:rPr>
        <w:t>o</w:t>
      </w:r>
      <w:r>
        <w:t> 6612, du 12 octobre 2017).</w:t>
      </w:r>
    </w:p>
  </w:footnote>
  <w:footnote w:id="14">
    <w:p w14:paraId="2A5E2E5F" w14:textId="749FB755" w:rsidR="001D6B10" w:rsidRPr="00AC555A" w:rsidRDefault="001D6B10" w:rsidP="00013F70">
      <w:pPr>
        <w:pStyle w:val="Notedebasdepage"/>
      </w:pPr>
      <w:r>
        <w:tab/>
      </w:r>
      <w:r w:rsidRPr="00AC555A">
        <w:rPr>
          <w:rStyle w:val="Appelnotedebasdep"/>
          <w:szCs w:val="18"/>
        </w:rPr>
        <w:footnoteRef/>
      </w:r>
      <w:r>
        <w:tab/>
      </w:r>
      <w:r w:rsidRPr="00AC555A">
        <w:t xml:space="preserve">Dahir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AC555A">
        <w:t xml:space="preserve">1-14-212 du 14 </w:t>
      </w:r>
      <w:proofErr w:type="spellStart"/>
      <w:r w:rsidRPr="00374337">
        <w:rPr>
          <w:i/>
          <w:iCs/>
        </w:rPr>
        <w:t>rabii</w:t>
      </w:r>
      <w:proofErr w:type="spellEnd"/>
      <w:r w:rsidRPr="00AC555A">
        <w:t xml:space="preserve"> II (2 janvier 2018) portant promulgation de de la loi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AC555A">
        <w:t xml:space="preserve">89-15 relative au Conseil Consultatif de la Jeunesse et de l’Action Associative (BO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AC555A">
        <w:t>6640 du 18-1-2018).</w:t>
      </w:r>
    </w:p>
  </w:footnote>
  <w:footnote w:id="15">
    <w:p w14:paraId="7A25A8FB" w14:textId="64D996D3" w:rsidR="001D6B10" w:rsidRPr="00AC555A" w:rsidRDefault="001D6B10" w:rsidP="00013F70">
      <w:pPr>
        <w:pStyle w:val="Notedebasdepage"/>
      </w:pPr>
      <w:r>
        <w:tab/>
      </w:r>
      <w:r w:rsidRPr="00AC555A">
        <w:rPr>
          <w:rStyle w:val="Appelnotedebasdep"/>
          <w:szCs w:val="18"/>
        </w:rPr>
        <w:footnoteRef/>
      </w:r>
      <w:r>
        <w:tab/>
      </w:r>
      <w:r w:rsidRPr="00AC555A">
        <w:t xml:space="preserve">Dahir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AC555A">
        <w:t xml:space="preserve">1-16-102 du 15 </w:t>
      </w:r>
      <w:proofErr w:type="spellStart"/>
      <w:r w:rsidRPr="00374337">
        <w:rPr>
          <w:i/>
          <w:iCs/>
        </w:rPr>
        <w:t>choual</w:t>
      </w:r>
      <w:proofErr w:type="spellEnd"/>
      <w:r w:rsidRPr="00AC555A">
        <w:t xml:space="preserve"> 1437 (20 juillet 2016) portant promulgation de la loi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AC555A">
        <w:t xml:space="preserve">78-14 relative au Conseil Consultatif de la Famille et de l’Enfance (B.O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AC555A">
        <w:t>6496 du 1</w:t>
      </w:r>
      <w:r w:rsidRPr="00AC555A">
        <w:rPr>
          <w:vertAlign w:val="superscript"/>
        </w:rPr>
        <w:t>er</w:t>
      </w:r>
      <w:r w:rsidRPr="00AC555A">
        <w:t xml:space="preserve"> -9-2016).</w:t>
      </w:r>
    </w:p>
  </w:footnote>
  <w:footnote w:id="16">
    <w:p w14:paraId="11D0A76A" w14:textId="77777777" w:rsidR="001D6B10" w:rsidRPr="00AC555A" w:rsidRDefault="001D6B10" w:rsidP="00013F70">
      <w:pPr>
        <w:pStyle w:val="Notedebasdepage"/>
      </w:pPr>
      <w:r>
        <w:tab/>
      </w:r>
      <w:r w:rsidRPr="00AC555A">
        <w:rPr>
          <w:rStyle w:val="Appelnotedebasdep"/>
          <w:szCs w:val="18"/>
        </w:rPr>
        <w:footnoteRef/>
      </w:r>
      <w:r>
        <w:tab/>
      </w:r>
      <w:r w:rsidRPr="00AC555A">
        <w:t xml:space="preserve">Les </w:t>
      </w:r>
      <w:r>
        <w:t>22</w:t>
      </w:r>
      <w:r w:rsidRPr="00AC555A">
        <w:t xml:space="preserve"> lois organiques adoptées sont :</w:t>
      </w:r>
    </w:p>
    <w:p w14:paraId="0CB3354C" w14:textId="0A7BFD63" w:rsidR="001D6B10" w:rsidRPr="00AC555A" w:rsidRDefault="001D6B10" w:rsidP="00013F70">
      <w:pPr>
        <w:pStyle w:val="Notedebasdepage"/>
      </w:pPr>
      <w:r>
        <w:tab/>
      </w:r>
      <w:r>
        <w:tab/>
      </w:r>
      <w:r w:rsidRPr="00AC555A">
        <w:t>La loi organique relative aux partis politiques (</w:t>
      </w:r>
      <w:r>
        <w:t>a</w:t>
      </w:r>
      <w:r w:rsidRPr="00AC555A">
        <w:t>rt.</w:t>
      </w:r>
      <w:r>
        <w:t> </w:t>
      </w:r>
      <w:r w:rsidRPr="00AC555A">
        <w:t>7 de la Constitution), adoptée en octobre 2011, modifiée et complétée en juillet 2015 et août 2016</w:t>
      </w:r>
      <w:r>
        <w:t> </w:t>
      </w:r>
      <w:r w:rsidRPr="00AC555A">
        <w:t>;</w:t>
      </w:r>
    </w:p>
    <w:p w14:paraId="52106965" w14:textId="51B4858C" w:rsidR="001D6B10" w:rsidRPr="00AC555A" w:rsidRDefault="001D6B10" w:rsidP="00013F70">
      <w:pPr>
        <w:pStyle w:val="Notedebasdepage"/>
      </w:pPr>
      <w:r>
        <w:tab/>
      </w:r>
      <w:r>
        <w:tab/>
      </w:r>
      <w:r w:rsidRPr="00AC555A">
        <w:t>La loi organique relative à la Chambre des Représentants (</w:t>
      </w:r>
      <w:r>
        <w:t>a</w:t>
      </w:r>
      <w:r w:rsidRPr="00AC555A">
        <w:t>rt.</w:t>
      </w:r>
      <w:r>
        <w:t> </w:t>
      </w:r>
      <w:r w:rsidRPr="00AC555A">
        <w:t>62/C), adoptée en octobre 2011, modifiée et complétée le 10 aout 2016</w:t>
      </w:r>
      <w:r>
        <w:t> </w:t>
      </w:r>
      <w:r w:rsidRPr="00AC555A">
        <w:t>;</w:t>
      </w:r>
    </w:p>
    <w:p w14:paraId="5AA817CA" w14:textId="1BE55CA4" w:rsidR="001D6B10" w:rsidRPr="00AC555A" w:rsidRDefault="001D6B10" w:rsidP="00013F70">
      <w:pPr>
        <w:pStyle w:val="Notedebasdepage"/>
      </w:pPr>
      <w:r>
        <w:tab/>
      </w:r>
      <w:r>
        <w:tab/>
      </w:r>
      <w:r w:rsidRPr="00AC555A">
        <w:t>La loi organique relative à la Chambre des Conseillers (Art.63/C), adoptée en novembre 2011, modifiée et complétée en juillet 2015</w:t>
      </w:r>
      <w:r>
        <w:t> </w:t>
      </w:r>
      <w:r w:rsidRPr="00AC555A">
        <w:t>;</w:t>
      </w:r>
    </w:p>
    <w:p w14:paraId="7DA580E3" w14:textId="157429BF" w:rsidR="001D6B10" w:rsidRPr="00AC555A" w:rsidRDefault="001D6B10" w:rsidP="00013F70">
      <w:pPr>
        <w:pStyle w:val="Notedebasdepage"/>
      </w:pPr>
      <w:r>
        <w:tab/>
      </w:r>
      <w:r>
        <w:tab/>
      </w:r>
      <w:r w:rsidRPr="00AC555A">
        <w:t>La loi organique relative à l’élection des membres des conseils des collectivités territoriales (</w:t>
      </w:r>
      <w:r>
        <w:t>a</w:t>
      </w:r>
      <w:r w:rsidRPr="00AC555A">
        <w:t>rt.</w:t>
      </w:r>
      <w:r>
        <w:t> </w:t>
      </w:r>
      <w:r w:rsidRPr="00AC555A">
        <w:t>146/C), adoptée en novembre 2011, modifiée et complétée en juillet 2015</w:t>
      </w:r>
      <w:r>
        <w:t> </w:t>
      </w:r>
      <w:r w:rsidRPr="00AC555A">
        <w:t>;</w:t>
      </w:r>
    </w:p>
    <w:p w14:paraId="514E82DE" w14:textId="24724EB8" w:rsidR="001D6B10" w:rsidRPr="00AC555A" w:rsidRDefault="001D6B10" w:rsidP="00013F70">
      <w:pPr>
        <w:pStyle w:val="Notedebasdepage"/>
      </w:pPr>
      <w:r>
        <w:tab/>
      </w:r>
      <w:r>
        <w:tab/>
      </w:r>
      <w:r w:rsidRPr="00AC555A">
        <w:t>La loi organique relative aux nominations aux fonctions supérieures (</w:t>
      </w:r>
      <w:r>
        <w:t>a</w:t>
      </w:r>
      <w:r w:rsidRPr="00AC555A">
        <w:t>rt.</w:t>
      </w:r>
      <w:r>
        <w:t> </w:t>
      </w:r>
      <w:r w:rsidRPr="00AC555A">
        <w:t>49/C), adoptée en juillet 2012, modifiée et complétée le 10 aout 2016</w:t>
      </w:r>
      <w:r>
        <w:t> </w:t>
      </w:r>
      <w:r w:rsidRPr="00AC555A">
        <w:t>;</w:t>
      </w:r>
    </w:p>
    <w:p w14:paraId="4BFF68F9" w14:textId="5042A383" w:rsidR="001D6B10" w:rsidRPr="00AC555A" w:rsidRDefault="001D6B10" w:rsidP="00013F70">
      <w:pPr>
        <w:pStyle w:val="Notedebasdepage"/>
      </w:pPr>
      <w:r>
        <w:tab/>
      </w:r>
      <w:r>
        <w:tab/>
      </w:r>
      <w:r w:rsidRPr="00AC555A">
        <w:t>La loi organique relative au Conseil Économique, Social et Environnemental (</w:t>
      </w:r>
      <w:r>
        <w:t>a</w:t>
      </w:r>
      <w:r w:rsidRPr="00AC555A">
        <w:t>rt.</w:t>
      </w:r>
      <w:r>
        <w:t> </w:t>
      </w:r>
      <w:r w:rsidRPr="00AC555A">
        <w:t>153/C), adoptée en juillet 2014</w:t>
      </w:r>
      <w:r>
        <w:t> </w:t>
      </w:r>
      <w:r w:rsidRPr="00AC555A">
        <w:t>;</w:t>
      </w:r>
    </w:p>
    <w:p w14:paraId="206AE8A2" w14:textId="2787BB0C" w:rsidR="001D6B10" w:rsidRPr="00AC555A" w:rsidRDefault="001D6B10" w:rsidP="00013F70">
      <w:pPr>
        <w:pStyle w:val="Notedebasdepage"/>
      </w:pPr>
      <w:r>
        <w:tab/>
      </w:r>
      <w:r>
        <w:tab/>
      </w:r>
      <w:r w:rsidRPr="00AC555A">
        <w:t>La loi organique relative aux commissions d’enquête parlementaire (</w:t>
      </w:r>
      <w:r>
        <w:t>a</w:t>
      </w:r>
      <w:r w:rsidRPr="00AC555A">
        <w:t>rt.</w:t>
      </w:r>
      <w:r>
        <w:t> </w:t>
      </w:r>
      <w:r w:rsidRPr="00AC555A">
        <w:t>67/C), adoptée en juillet 2014</w:t>
      </w:r>
      <w:r>
        <w:t> ;</w:t>
      </w:r>
    </w:p>
    <w:p w14:paraId="406B4FF7" w14:textId="1D1F88C3" w:rsidR="001D6B10" w:rsidRPr="00AC555A" w:rsidRDefault="001D6B10" w:rsidP="00013F70">
      <w:pPr>
        <w:pStyle w:val="Notedebasdepage"/>
      </w:pPr>
      <w:r>
        <w:tab/>
      </w:r>
      <w:r>
        <w:tab/>
      </w:r>
      <w:r w:rsidRPr="00AC555A">
        <w:t>La loi organique relative à la Cour Constitutionnelle (</w:t>
      </w:r>
      <w:r>
        <w:t>art. 131/C), adoptée en aout 2014 ;</w:t>
      </w:r>
    </w:p>
    <w:p w14:paraId="6FE78AA6" w14:textId="5DCE6CAA" w:rsidR="001D6B10" w:rsidRPr="00AC555A" w:rsidRDefault="001D6B10" w:rsidP="00013F70">
      <w:pPr>
        <w:pStyle w:val="Notedebasdepage"/>
      </w:pPr>
      <w:r>
        <w:tab/>
      </w:r>
      <w:r>
        <w:tab/>
      </w:r>
      <w:r w:rsidRPr="00AC555A">
        <w:t>La loi organique relative à la conduite des travaux du gouvernement et au statut de ses membres (</w:t>
      </w:r>
      <w:r>
        <w:t>a</w:t>
      </w:r>
      <w:r w:rsidRPr="00AC555A">
        <w:t>rt.</w:t>
      </w:r>
      <w:r>
        <w:t> </w:t>
      </w:r>
      <w:r w:rsidRPr="00AC555A">
        <w:t>87), adoptée en mars 2015</w:t>
      </w:r>
      <w:r>
        <w:t> ;</w:t>
      </w:r>
    </w:p>
    <w:p w14:paraId="20BEECEE" w14:textId="532BAF11" w:rsidR="001D6B10" w:rsidRPr="00AC555A" w:rsidRDefault="001D6B10" w:rsidP="00013F70">
      <w:pPr>
        <w:pStyle w:val="Notedebasdepage"/>
      </w:pPr>
      <w:r>
        <w:tab/>
      </w:r>
      <w:r>
        <w:tab/>
      </w:r>
      <w:r w:rsidRPr="00AC555A">
        <w:t>La loi organique relative à la loi de finances (</w:t>
      </w:r>
      <w:r>
        <w:t>a</w:t>
      </w:r>
      <w:r w:rsidRPr="00AC555A">
        <w:t>rt.</w:t>
      </w:r>
      <w:r>
        <w:t> </w:t>
      </w:r>
      <w:r w:rsidRPr="00AC555A">
        <w:t>75/C), adoptée en juin 2015</w:t>
      </w:r>
      <w:r>
        <w:t> ;</w:t>
      </w:r>
    </w:p>
    <w:p w14:paraId="57942C38" w14:textId="4DE7FBF0" w:rsidR="001D6B10" w:rsidRPr="00AC555A" w:rsidRDefault="001D6B10" w:rsidP="00013F70">
      <w:pPr>
        <w:pStyle w:val="Notedebasdepage"/>
      </w:pPr>
      <w:r>
        <w:tab/>
      </w:r>
      <w:r>
        <w:tab/>
      </w:r>
      <w:r w:rsidRPr="00AC555A">
        <w:t>La loi organique relative aux régions (</w:t>
      </w:r>
      <w:r>
        <w:t>a</w:t>
      </w:r>
      <w:r w:rsidRPr="00AC555A">
        <w:t>rt.</w:t>
      </w:r>
      <w:r>
        <w:t> </w:t>
      </w:r>
      <w:r w:rsidRPr="00AC555A">
        <w:t>146/C), adoptée en juillet 2015</w:t>
      </w:r>
      <w:r>
        <w:t> ;</w:t>
      </w:r>
    </w:p>
    <w:p w14:paraId="6A713E4D" w14:textId="57B8FB15" w:rsidR="001D6B10" w:rsidRPr="00AC555A" w:rsidRDefault="001D6B10" w:rsidP="00013F70">
      <w:pPr>
        <w:pStyle w:val="Notedebasdepage"/>
      </w:pPr>
      <w:r>
        <w:tab/>
      </w:r>
      <w:r>
        <w:tab/>
      </w:r>
      <w:r w:rsidRPr="00AC555A">
        <w:t>La loi organique relative aux provinces et préfectures (</w:t>
      </w:r>
      <w:r>
        <w:t>a</w:t>
      </w:r>
      <w:r w:rsidRPr="00AC555A">
        <w:t>rt.</w:t>
      </w:r>
      <w:r>
        <w:t> </w:t>
      </w:r>
      <w:r w:rsidRPr="00AC555A">
        <w:t>146/C), adoptée en juillet 2015</w:t>
      </w:r>
      <w:r>
        <w:t> ;</w:t>
      </w:r>
    </w:p>
    <w:p w14:paraId="157007A3" w14:textId="6E8526BF" w:rsidR="001D6B10" w:rsidRPr="00AC555A" w:rsidRDefault="001D6B10" w:rsidP="00013F70">
      <w:pPr>
        <w:pStyle w:val="Notedebasdepage"/>
      </w:pPr>
      <w:r>
        <w:tab/>
      </w:r>
      <w:r>
        <w:tab/>
      </w:r>
      <w:r>
        <w:tab/>
      </w:r>
      <w:r w:rsidRPr="00AC555A">
        <w:t>La loi organique relative aux Communes (</w:t>
      </w:r>
      <w:r>
        <w:t>a</w:t>
      </w:r>
      <w:r w:rsidRPr="00AC555A">
        <w:t>rt.</w:t>
      </w:r>
      <w:r>
        <w:t> </w:t>
      </w:r>
      <w:r w:rsidRPr="00AC555A">
        <w:t>146/C), adoptée en juillet 2015</w:t>
      </w:r>
      <w:r>
        <w:t> ;</w:t>
      </w:r>
    </w:p>
    <w:p w14:paraId="05E1AEC4" w14:textId="052C7097" w:rsidR="001D6B10" w:rsidRPr="00AC555A" w:rsidRDefault="001D6B10" w:rsidP="00013F70">
      <w:pPr>
        <w:pStyle w:val="Notedebasdepage"/>
      </w:pPr>
      <w:r>
        <w:tab/>
      </w:r>
      <w:r>
        <w:tab/>
      </w:r>
      <w:r w:rsidRPr="00AC555A">
        <w:t>La loi organique relative au statut des magistrats (</w:t>
      </w:r>
      <w:r>
        <w:t>a</w:t>
      </w:r>
      <w:r w:rsidRPr="00AC555A">
        <w:t>rt.</w:t>
      </w:r>
      <w:r>
        <w:t> </w:t>
      </w:r>
      <w:r w:rsidRPr="00AC555A">
        <w:t>112/C), adoptée le 24 mars 2016</w:t>
      </w:r>
      <w:r>
        <w:t> ;</w:t>
      </w:r>
    </w:p>
    <w:p w14:paraId="3DFA51AC" w14:textId="14E8066F" w:rsidR="001D6B10" w:rsidRPr="00AC555A" w:rsidRDefault="001D6B10" w:rsidP="00013F70">
      <w:pPr>
        <w:pStyle w:val="Notedebasdepage"/>
      </w:pPr>
      <w:r>
        <w:tab/>
      </w:r>
      <w:r>
        <w:tab/>
      </w:r>
      <w:r w:rsidRPr="00AC555A">
        <w:t>La loi organique relative au Conseil supérieur du pouvoir judiciaire (</w:t>
      </w:r>
      <w:r>
        <w:t>a</w:t>
      </w:r>
      <w:r w:rsidRPr="00AC555A">
        <w:t>rt.</w:t>
      </w:r>
      <w:r>
        <w:t> </w:t>
      </w:r>
      <w:r w:rsidRPr="00AC555A">
        <w:t>116/C), adoptée le 24 mars 2016</w:t>
      </w:r>
      <w:r>
        <w:t> ;</w:t>
      </w:r>
    </w:p>
    <w:p w14:paraId="471BFD5D" w14:textId="244B7EEE" w:rsidR="001D6B10" w:rsidRPr="00AC555A" w:rsidRDefault="001D6B10" w:rsidP="00013F70">
      <w:pPr>
        <w:pStyle w:val="Notedebasdepage"/>
      </w:pPr>
      <w:r>
        <w:tab/>
      </w:r>
      <w:r>
        <w:tab/>
      </w:r>
      <w:r w:rsidRPr="00AC555A">
        <w:t>La loi organique relative au Conseil de Régence (</w:t>
      </w:r>
      <w:r>
        <w:t>a</w:t>
      </w:r>
      <w:r w:rsidRPr="00AC555A">
        <w:t>rt.</w:t>
      </w:r>
      <w:r>
        <w:t> </w:t>
      </w:r>
      <w:r w:rsidRPr="00AC555A">
        <w:t>44/C), adoptée en juin 2016</w:t>
      </w:r>
      <w:r>
        <w:t> ;</w:t>
      </w:r>
    </w:p>
    <w:p w14:paraId="17D3B660" w14:textId="7F51498C" w:rsidR="001D6B10" w:rsidRPr="00AC555A" w:rsidRDefault="001D6B10" w:rsidP="00013F70">
      <w:pPr>
        <w:pStyle w:val="Notedebasdepage"/>
      </w:pPr>
      <w:r>
        <w:tab/>
      </w:r>
      <w:r>
        <w:tab/>
      </w:r>
      <w:r w:rsidRPr="00AC555A">
        <w:t>La loi organique relative à l’exercice du droit de présentation des pétitions aux pouvoirs publics (</w:t>
      </w:r>
      <w:r>
        <w:t>a</w:t>
      </w:r>
      <w:r w:rsidRPr="00AC555A">
        <w:t>rt.</w:t>
      </w:r>
      <w:r>
        <w:t> </w:t>
      </w:r>
      <w:r w:rsidRPr="00AC555A">
        <w:t>15/C), adoptée le 28 juillet 2016</w:t>
      </w:r>
      <w:r>
        <w:t> ;</w:t>
      </w:r>
    </w:p>
    <w:p w14:paraId="30082F55" w14:textId="6C7F7EEF" w:rsidR="001D6B10" w:rsidRPr="00AC555A" w:rsidRDefault="001D6B10" w:rsidP="00013F70">
      <w:pPr>
        <w:pStyle w:val="Notedebasdepage"/>
      </w:pPr>
      <w:r>
        <w:tab/>
      </w:r>
      <w:r>
        <w:tab/>
      </w:r>
      <w:r w:rsidRPr="00AC555A">
        <w:t>La loi organique relative à l’exercice du droit de présentation des motions en matière législative (</w:t>
      </w:r>
      <w:r>
        <w:t>a</w:t>
      </w:r>
      <w:r w:rsidRPr="00AC555A">
        <w:t>rt.</w:t>
      </w:r>
      <w:r>
        <w:t> </w:t>
      </w:r>
      <w:r w:rsidRPr="00AC555A">
        <w:t>14/C), adoptée le 28 juillet 2016</w:t>
      </w:r>
      <w:r>
        <w:t> ;</w:t>
      </w:r>
    </w:p>
    <w:p w14:paraId="450C9B08" w14:textId="2C7168D1" w:rsidR="001D6B10" w:rsidRPr="009922C8" w:rsidRDefault="001D6B10" w:rsidP="00013F70">
      <w:pPr>
        <w:pStyle w:val="Notedebasdepage"/>
        <w:rPr>
          <w:color w:val="535353"/>
          <w:sz w:val="2"/>
          <w:szCs w:val="2"/>
          <w:shd w:val="clear" w:color="auto" w:fill="FFFFFF"/>
        </w:rPr>
      </w:pPr>
      <w:r>
        <w:tab/>
      </w:r>
      <w:r>
        <w:tab/>
      </w:r>
      <w:r w:rsidRPr="009922C8">
        <w:t xml:space="preserve">La loi organique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9922C8">
        <w:t>86.15 portant sur les exceptions d’inconstitutionnalité des lois (</w:t>
      </w:r>
      <w:r>
        <w:t>a</w:t>
      </w:r>
      <w:r w:rsidRPr="009922C8">
        <w:t>rt.</w:t>
      </w:r>
      <w:r>
        <w:t> </w:t>
      </w:r>
      <w:r w:rsidRPr="009922C8">
        <w:t>133/C) votée à la chambre des Représentants le 6 février 2018. Mais suite à la décision émise son sujet par la Cour Constitutionnelle du 6 mars 2018, le Gouvernement est tenu d’y apporter des révisions en conséquence</w:t>
      </w:r>
      <w:r>
        <w:t> ;</w:t>
      </w:r>
    </w:p>
    <w:p w14:paraId="0FA462DE" w14:textId="78596F0F" w:rsidR="001D6B10" w:rsidRPr="009922C8" w:rsidRDefault="001D6B10" w:rsidP="00013F70">
      <w:pPr>
        <w:pStyle w:val="Notedebasdepage"/>
        <w:rPr>
          <w:rFonts w:eastAsia="Calibri"/>
        </w:rPr>
      </w:pPr>
      <w:r>
        <w:rPr>
          <w:rFonts w:eastAsia="Calibri"/>
        </w:rPr>
        <w:tab/>
      </w:r>
      <w:r>
        <w:rPr>
          <w:rFonts w:eastAsia="Calibri"/>
        </w:rPr>
        <w:tab/>
      </w:r>
      <w:r w:rsidRPr="009922C8">
        <w:rPr>
          <w:rFonts w:eastAsia="Calibri"/>
        </w:rPr>
        <w:t xml:space="preserve">La loi organique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9922C8">
        <w:rPr>
          <w:rFonts w:eastAsia="Calibri"/>
        </w:rPr>
        <w:t>26.16 définissant le processus de mise en œuvre du caractère officiel de l</w:t>
      </w:r>
      <w:r>
        <w:rPr>
          <w:rFonts w:eastAsia="Calibri"/>
        </w:rPr>
        <w:t>’</w:t>
      </w:r>
      <w:r w:rsidRPr="009922C8">
        <w:rPr>
          <w:rFonts w:eastAsia="Calibri"/>
        </w:rPr>
        <w:t>amazigh, ainsi que les modalités de son intégration dans l</w:t>
      </w:r>
      <w:r>
        <w:rPr>
          <w:rFonts w:eastAsia="Calibri"/>
        </w:rPr>
        <w:t>’</w:t>
      </w:r>
      <w:r w:rsidRPr="009922C8">
        <w:rPr>
          <w:rFonts w:eastAsia="Calibri"/>
        </w:rPr>
        <w:t>enseignement et dans les domaines prioritaires de la vie publique (</w:t>
      </w:r>
      <w:r>
        <w:rPr>
          <w:rFonts w:eastAsia="Calibri"/>
        </w:rPr>
        <w:t>a</w:t>
      </w:r>
      <w:r w:rsidRPr="009922C8">
        <w:rPr>
          <w:rFonts w:eastAsia="Calibri"/>
        </w:rPr>
        <w:t>rt.</w:t>
      </w:r>
      <w:r>
        <w:rPr>
          <w:rFonts w:eastAsia="Calibri"/>
        </w:rPr>
        <w:t> </w:t>
      </w:r>
      <w:r w:rsidRPr="009922C8">
        <w:rPr>
          <w:rFonts w:eastAsia="Calibri"/>
        </w:rPr>
        <w:t xml:space="preserve">5/C), a été publiée au 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9922C8">
        <w:rPr>
          <w:rFonts w:eastAsia="Calibri"/>
        </w:rPr>
        <w:t>6816, du 26 septembre 2019</w:t>
      </w:r>
      <w:r>
        <w:rPr>
          <w:rFonts w:eastAsia="Calibri"/>
        </w:rPr>
        <w:t> ;</w:t>
      </w:r>
    </w:p>
    <w:p w14:paraId="307193C6" w14:textId="62AEC6EB" w:rsidR="001D6B10" w:rsidRPr="00A50274" w:rsidRDefault="001D6B10" w:rsidP="00013F70">
      <w:pPr>
        <w:pStyle w:val="Notedebasdepage"/>
        <w:rPr>
          <w:sz w:val="2"/>
          <w:szCs w:val="2"/>
        </w:rPr>
      </w:pPr>
      <w:r>
        <w:rPr>
          <w:rFonts w:eastAsia="Calibri"/>
        </w:rPr>
        <w:tab/>
      </w:r>
      <w:r>
        <w:rPr>
          <w:rFonts w:eastAsia="Calibri"/>
        </w:rPr>
        <w:tab/>
      </w:r>
      <w:r w:rsidRPr="009922C8">
        <w:rPr>
          <w:rFonts w:eastAsia="Calibri"/>
        </w:rPr>
        <w:t xml:space="preserve">La loi organique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9922C8">
        <w:rPr>
          <w:rFonts w:eastAsia="Calibri"/>
        </w:rPr>
        <w:t>04.16 portant création du Conseil national des langues et de la culture marocaine (</w:t>
      </w:r>
      <w:r>
        <w:rPr>
          <w:rFonts w:eastAsia="Calibri"/>
        </w:rPr>
        <w:t>a</w:t>
      </w:r>
      <w:r w:rsidRPr="009922C8">
        <w:rPr>
          <w:rFonts w:eastAsia="Calibri"/>
        </w:rPr>
        <w:t>rt.</w:t>
      </w:r>
      <w:r>
        <w:rPr>
          <w:rFonts w:eastAsia="Calibri"/>
        </w:rPr>
        <w:t> </w:t>
      </w:r>
      <w:r w:rsidRPr="009922C8">
        <w:rPr>
          <w:rFonts w:eastAsia="Calibri"/>
        </w:rPr>
        <w:t xml:space="preserve">5/C) a été publiée au 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9922C8">
        <w:rPr>
          <w:rFonts w:eastAsia="Calibri"/>
        </w:rPr>
        <w:t>6870, du 2 avril 2020.</w:t>
      </w:r>
    </w:p>
  </w:footnote>
  <w:footnote w:id="17">
    <w:p w14:paraId="57CF0198" w14:textId="1BD7AF6D" w:rsidR="001D6B10" w:rsidRPr="00355382" w:rsidRDefault="001D6B10" w:rsidP="00F26D77">
      <w:pPr>
        <w:pStyle w:val="Notedebasdepage"/>
        <w:rPr>
          <w:sz w:val="2"/>
          <w:szCs w:val="2"/>
        </w:rPr>
      </w:pPr>
      <w:r>
        <w:tab/>
      </w:r>
      <w:r>
        <w:rPr>
          <w:rStyle w:val="Appelnotedebasdep"/>
        </w:rPr>
        <w:footnoteRef/>
      </w:r>
      <w:r>
        <w:tab/>
      </w:r>
      <w:r w:rsidRPr="00355382">
        <w:rPr>
          <w:rFonts w:eastAsia="Times New Roman"/>
          <w:color w:val="000000"/>
          <w:lang w:eastAsia="fr-FR"/>
        </w:rPr>
        <w:t xml:space="preserve">Voir 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355382">
        <w:rPr>
          <w:rFonts w:eastAsia="Times New Roman"/>
          <w:color w:val="000000"/>
          <w:lang w:eastAsia="fr-FR"/>
        </w:rPr>
        <w:t xml:space="preserve">6632 du 02 </w:t>
      </w:r>
      <w:proofErr w:type="spellStart"/>
      <w:r w:rsidRPr="00355382">
        <w:rPr>
          <w:rFonts w:eastAsia="Times New Roman"/>
          <w:color w:val="000000"/>
          <w:lang w:eastAsia="fr-FR"/>
        </w:rPr>
        <w:t>rabii</w:t>
      </w:r>
      <w:proofErr w:type="spellEnd"/>
      <w:r w:rsidRPr="00355382">
        <w:rPr>
          <w:rFonts w:eastAsia="Times New Roman"/>
          <w:color w:val="000000"/>
          <w:lang w:eastAsia="fr-FR"/>
        </w:rPr>
        <w:t xml:space="preserve"> II, 1439 (21-12-2017).</w:t>
      </w:r>
    </w:p>
  </w:footnote>
  <w:footnote w:id="18">
    <w:p w14:paraId="3B7CFAB0" w14:textId="43B7CA69" w:rsidR="001D6B10" w:rsidRPr="00A50274" w:rsidRDefault="001D6B10" w:rsidP="00F26D77">
      <w:pPr>
        <w:pStyle w:val="Notedebasdepage"/>
        <w:rPr>
          <w:rFonts w:eastAsia="Times New Roman"/>
          <w:color w:val="000000"/>
          <w:lang w:eastAsia="fr-FR"/>
        </w:rPr>
      </w:pPr>
      <w:r>
        <w:tab/>
      </w:r>
      <w:r>
        <w:rPr>
          <w:rStyle w:val="Appelnotedebasdep"/>
        </w:rPr>
        <w:footnoteRef/>
      </w:r>
      <w:r>
        <w:tab/>
      </w:r>
      <w:r w:rsidRPr="00A50274">
        <w:rPr>
          <w:rFonts w:eastAsia="Times New Roman"/>
          <w:color w:val="000000"/>
          <w:lang w:eastAsia="fr-FR"/>
        </w:rPr>
        <w:t xml:space="preserve">Dahir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A50274">
        <w:rPr>
          <w:rFonts w:eastAsia="Times New Roman"/>
          <w:color w:val="000000"/>
          <w:lang w:eastAsia="fr-FR"/>
        </w:rPr>
        <w:t>1</w:t>
      </w:r>
      <w:r>
        <w:rPr>
          <w:rFonts w:eastAsia="Times New Roman"/>
          <w:color w:val="000000"/>
          <w:lang w:eastAsia="fr-FR"/>
        </w:rPr>
        <w:t>.</w:t>
      </w:r>
      <w:r w:rsidRPr="00A50274">
        <w:rPr>
          <w:rFonts w:eastAsia="Times New Roman"/>
          <w:color w:val="000000"/>
          <w:lang w:eastAsia="fr-FR"/>
        </w:rPr>
        <w:t>11</w:t>
      </w:r>
      <w:r>
        <w:rPr>
          <w:rFonts w:eastAsia="Times New Roman"/>
          <w:color w:val="000000"/>
          <w:lang w:eastAsia="fr-FR"/>
        </w:rPr>
        <w:t>.</w:t>
      </w:r>
      <w:r w:rsidRPr="00A50274">
        <w:rPr>
          <w:rFonts w:eastAsia="Times New Roman"/>
          <w:color w:val="000000"/>
          <w:lang w:eastAsia="fr-FR"/>
        </w:rPr>
        <w:t xml:space="preserve">164 du 19 </w:t>
      </w:r>
      <w:proofErr w:type="spellStart"/>
      <w:r w:rsidRPr="0081005D">
        <w:rPr>
          <w:rFonts w:eastAsia="Times New Roman"/>
          <w:i/>
          <w:iCs/>
          <w:color w:val="000000"/>
          <w:lang w:eastAsia="fr-FR"/>
        </w:rPr>
        <w:t>kaada</w:t>
      </w:r>
      <w:proofErr w:type="spellEnd"/>
      <w:r w:rsidRPr="00A50274">
        <w:rPr>
          <w:rFonts w:eastAsia="Times New Roman"/>
          <w:color w:val="000000"/>
          <w:lang w:eastAsia="fr-FR"/>
        </w:rPr>
        <w:t xml:space="preserve"> 1432 (17 octobre 2011) portant promulgation de la loi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A50274">
        <w:rPr>
          <w:rFonts w:eastAsia="Times New Roman"/>
          <w:color w:val="000000"/>
          <w:lang w:eastAsia="fr-FR"/>
        </w:rPr>
        <w:t>37</w:t>
      </w:r>
      <w:r>
        <w:rPr>
          <w:rFonts w:eastAsia="Times New Roman"/>
          <w:color w:val="000000"/>
          <w:lang w:eastAsia="fr-FR"/>
        </w:rPr>
        <w:t>.</w:t>
      </w:r>
      <w:r w:rsidRPr="00A50274">
        <w:rPr>
          <w:rFonts w:eastAsia="Times New Roman"/>
          <w:color w:val="000000"/>
          <w:lang w:eastAsia="fr-FR"/>
        </w:rPr>
        <w:t xml:space="preserve">10 modifiant et complétant la loi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A50274">
        <w:rPr>
          <w:rFonts w:eastAsia="Times New Roman"/>
          <w:color w:val="000000"/>
          <w:lang w:eastAsia="fr-FR"/>
        </w:rPr>
        <w:t>22</w:t>
      </w:r>
      <w:r>
        <w:rPr>
          <w:rFonts w:eastAsia="Times New Roman"/>
          <w:color w:val="000000"/>
          <w:lang w:eastAsia="fr-FR"/>
        </w:rPr>
        <w:t>.</w:t>
      </w:r>
      <w:r w:rsidRPr="00A50274">
        <w:rPr>
          <w:rFonts w:eastAsia="Times New Roman"/>
          <w:color w:val="000000"/>
          <w:lang w:eastAsia="fr-FR"/>
        </w:rPr>
        <w:t>01 relative à la procédure pénale en matière de protection des</w:t>
      </w:r>
      <w:r>
        <w:rPr>
          <w:rFonts w:eastAsia="Times New Roman"/>
          <w:color w:val="000000"/>
          <w:lang w:eastAsia="fr-FR"/>
        </w:rPr>
        <w:t> </w:t>
      </w:r>
      <w:r w:rsidRPr="00A50274">
        <w:rPr>
          <w:rFonts w:eastAsia="Times New Roman"/>
          <w:color w:val="000000"/>
          <w:lang w:eastAsia="fr-FR"/>
        </w:rPr>
        <w:t xml:space="preserve">victimes, des témoins, des experts et des dénonciateurs en ce qui concerne les infractions de corruption, de détournement, de trafic d’influence et autres. In 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A50274">
        <w:rPr>
          <w:rFonts w:eastAsia="Times New Roman"/>
          <w:color w:val="000000"/>
          <w:lang w:eastAsia="fr-FR"/>
        </w:rPr>
        <w:t xml:space="preserve">5988 du 22 </w:t>
      </w:r>
      <w:proofErr w:type="spellStart"/>
      <w:r w:rsidRPr="0081005D">
        <w:rPr>
          <w:rFonts w:eastAsia="Times New Roman"/>
          <w:i/>
          <w:iCs/>
          <w:color w:val="000000"/>
          <w:lang w:eastAsia="fr-FR"/>
        </w:rPr>
        <w:t>kaada</w:t>
      </w:r>
      <w:proofErr w:type="spellEnd"/>
      <w:r w:rsidRPr="00A50274">
        <w:rPr>
          <w:rFonts w:eastAsia="Times New Roman"/>
          <w:color w:val="000000"/>
          <w:lang w:eastAsia="fr-FR"/>
        </w:rPr>
        <w:t xml:space="preserve"> 1432 </w:t>
      </w:r>
      <w:r>
        <w:rPr>
          <w:rFonts w:eastAsia="Times New Roman"/>
          <w:color w:val="000000"/>
          <w:lang w:eastAsia="fr-FR"/>
        </w:rPr>
        <w:br/>
      </w:r>
      <w:r w:rsidRPr="00A50274">
        <w:rPr>
          <w:rFonts w:eastAsia="Times New Roman"/>
          <w:color w:val="000000"/>
          <w:lang w:eastAsia="fr-FR"/>
        </w:rPr>
        <w:t>(20-10-2011).</w:t>
      </w:r>
    </w:p>
  </w:footnote>
  <w:footnote w:id="19">
    <w:p w14:paraId="44A9FCF1" w14:textId="388CD1CF" w:rsidR="001D6B10" w:rsidRPr="00667FC7" w:rsidRDefault="001D6B10" w:rsidP="00013F70">
      <w:pPr>
        <w:pStyle w:val="Notedebasdepage"/>
        <w:rPr>
          <w:sz w:val="4"/>
          <w:szCs w:val="4"/>
        </w:rPr>
      </w:pPr>
      <w:r>
        <w:tab/>
      </w:r>
      <w:r>
        <w:rPr>
          <w:rStyle w:val="Appelnotedebasdep"/>
        </w:rPr>
        <w:footnoteRef/>
      </w:r>
      <w:r>
        <w:tab/>
      </w:r>
      <w:r>
        <w:rPr>
          <w:rFonts w:eastAsia="Calibri"/>
        </w:rPr>
        <w:t>Voir le D</w:t>
      </w:r>
      <w:r w:rsidRPr="000B08BD">
        <w:rPr>
          <w:rFonts w:eastAsia="Calibri"/>
        </w:rPr>
        <w:t xml:space="preserve">ahir portant création du Médiateur, </w:t>
      </w:r>
      <w:r>
        <w:rPr>
          <w:rFonts w:eastAsia="Calibri"/>
        </w:rPr>
        <w:t xml:space="preserve">in </w:t>
      </w:r>
      <w:r w:rsidRPr="000B08BD">
        <w:rPr>
          <w:rFonts w:eastAsia="Calibri"/>
        </w:rPr>
        <w:t xml:space="preserve">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0B08BD">
        <w:rPr>
          <w:rFonts w:eastAsia="Calibri"/>
        </w:rPr>
        <w:t xml:space="preserve">5926 du 17 </w:t>
      </w:r>
      <w:r>
        <w:rPr>
          <w:rFonts w:eastAsia="Calibri"/>
        </w:rPr>
        <w:t>m</w:t>
      </w:r>
      <w:r w:rsidRPr="000B08BD">
        <w:rPr>
          <w:rFonts w:eastAsia="Calibri"/>
        </w:rPr>
        <w:t>ars 2011</w:t>
      </w:r>
      <w:r>
        <w:rPr>
          <w:rFonts w:eastAsia="Calibri"/>
        </w:rPr>
        <w:t xml:space="preserve">, et le </w:t>
      </w:r>
      <w:r w:rsidRPr="000B08BD">
        <w:rPr>
          <w:rFonts w:eastAsia="Calibri"/>
        </w:rPr>
        <w:t>Dahir 1.19.43, en</w:t>
      </w:r>
      <w:r>
        <w:rPr>
          <w:rFonts w:eastAsia="Calibri"/>
        </w:rPr>
        <w:t> </w:t>
      </w:r>
      <w:r w:rsidRPr="000B08BD">
        <w:rPr>
          <w:rFonts w:eastAsia="Calibri"/>
        </w:rPr>
        <w:t xml:space="preserve">application de la loi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0B08BD">
        <w:rPr>
          <w:rFonts w:eastAsia="Calibri"/>
        </w:rPr>
        <w:t xml:space="preserve">14.16 relative à la réorganisation, la composition, les compétences et les règles de l’Institution du Médiateur, au 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0B08BD">
        <w:rPr>
          <w:rFonts w:eastAsia="Calibri"/>
        </w:rPr>
        <w:t xml:space="preserve">6765, du 25 </w:t>
      </w:r>
      <w:proofErr w:type="spellStart"/>
      <w:r w:rsidRPr="000B08BD">
        <w:rPr>
          <w:rFonts w:eastAsia="Calibri"/>
        </w:rPr>
        <w:t>rajab</w:t>
      </w:r>
      <w:proofErr w:type="spellEnd"/>
      <w:r w:rsidRPr="000B08BD">
        <w:rPr>
          <w:rFonts w:eastAsia="Calibri"/>
        </w:rPr>
        <w:t xml:space="preserve"> 1440 (1</w:t>
      </w:r>
      <w:r w:rsidRPr="00013F70">
        <w:rPr>
          <w:rFonts w:eastAsia="Calibri"/>
          <w:vertAlign w:val="superscript"/>
        </w:rPr>
        <w:t>er</w:t>
      </w:r>
      <w:r w:rsidRPr="000B08BD">
        <w:rPr>
          <w:rFonts w:eastAsia="Calibri"/>
        </w:rPr>
        <w:t xml:space="preserve"> avril 2019).</w:t>
      </w:r>
    </w:p>
  </w:footnote>
  <w:footnote w:id="20">
    <w:p w14:paraId="48597C92" w14:textId="3594F196" w:rsidR="001D6B10" w:rsidRPr="000C5108" w:rsidRDefault="001D6B10" w:rsidP="00013F70">
      <w:pPr>
        <w:pStyle w:val="Notedebasdepage"/>
      </w:pPr>
      <w:r>
        <w:tab/>
      </w:r>
      <w:r>
        <w:rPr>
          <w:rStyle w:val="Appelnotedebasdep"/>
        </w:rPr>
        <w:footnoteRef/>
      </w:r>
      <w:r>
        <w:tab/>
      </w:r>
      <w:r w:rsidRPr="000C5108">
        <w:t xml:space="preserve">En témoigne </w:t>
      </w:r>
      <w:r>
        <w:t xml:space="preserve">entre autres, </w:t>
      </w:r>
      <w:r w:rsidRPr="000C5108">
        <w:t xml:space="preserve">l’organisation </w:t>
      </w:r>
      <w:r>
        <w:t xml:space="preserve">à Bruxelles en partenariat avec le Conseil européen des Oulémas marocains de rencontres sur « la gestion des mosquées en Europe » et « le rôle de l’imam dans le contexte européen » respectivement en 2016 et 2017 ; ainsi que la mise en œuvre du projet de formation linguistique, culturelle et de réhabilitation des imams marocains dans le Land de </w:t>
      </w:r>
      <w:proofErr w:type="spellStart"/>
      <w:r>
        <w:t>Hessen</w:t>
      </w:r>
      <w:proofErr w:type="spellEnd"/>
      <w:r>
        <w:t xml:space="preserve"> en Allemagne durant la période 2015-2017. </w:t>
      </w:r>
    </w:p>
  </w:footnote>
  <w:footnote w:id="21">
    <w:p w14:paraId="2C0CD0C5" w14:textId="0D59D15D" w:rsidR="001D6B10" w:rsidRPr="004B402F" w:rsidRDefault="001D6B10" w:rsidP="00013F70">
      <w:pPr>
        <w:pStyle w:val="Notedebasdepage"/>
        <w:rPr>
          <w:lang w:val="es-ES"/>
        </w:rPr>
      </w:pPr>
      <w:r>
        <w:tab/>
      </w:r>
      <w:r>
        <w:rPr>
          <w:rStyle w:val="Appelnotedebasdep"/>
        </w:rPr>
        <w:footnoteRef/>
      </w:r>
      <w:r w:rsidRPr="004B402F">
        <w:rPr>
          <w:lang w:val="es-ES"/>
        </w:rPr>
        <w:tab/>
        <w:t xml:space="preserve">BO </w:t>
      </w:r>
      <w:r w:rsidRPr="004B402F">
        <w:rPr>
          <w:rFonts w:asciiTheme="majorBidi" w:eastAsia="Times New Roman" w:hAnsiTheme="majorBidi" w:cstheme="majorBidi"/>
          <w:color w:val="000000"/>
          <w:lang w:val="es-ES" w:eastAsia="fr-FR"/>
        </w:rPr>
        <w:t>n</w:t>
      </w:r>
      <w:r w:rsidRPr="004B402F">
        <w:rPr>
          <w:rFonts w:asciiTheme="majorBidi" w:eastAsia="Times New Roman" w:hAnsiTheme="majorBidi" w:cstheme="majorBidi"/>
          <w:color w:val="000000"/>
          <w:vertAlign w:val="superscript"/>
          <w:lang w:val="es-ES" w:eastAsia="fr-FR"/>
        </w:rPr>
        <w:t>o</w:t>
      </w:r>
      <w:r w:rsidRPr="004B402F">
        <w:rPr>
          <w:rFonts w:asciiTheme="majorBidi" w:eastAsia="Times New Roman" w:hAnsiTheme="majorBidi" w:cstheme="majorBidi"/>
          <w:color w:val="000000"/>
          <w:lang w:val="es-ES" w:eastAsia="fr-FR"/>
        </w:rPr>
        <w:t> </w:t>
      </w:r>
      <w:r w:rsidRPr="004B402F">
        <w:rPr>
          <w:lang w:val="es-ES"/>
        </w:rPr>
        <w:t xml:space="preserve">6392 du 18 </w:t>
      </w:r>
      <w:r w:rsidRPr="004B402F">
        <w:rPr>
          <w:i/>
          <w:iCs/>
          <w:lang w:val="es-ES"/>
        </w:rPr>
        <w:t>kaada</w:t>
      </w:r>
      <w:r w:rsidRPr="004B402F">
        <w:rPr>
          <w:lang w:val="es-ES"/>
        </w:rPr>
        <w:t xml:space="preserve"> 1436 (3 septembre 2015).</w:t>
      </w:r>
    </w:p>
  </w:footnote>
  <w:footnote w:id="22">
    <w:p w14:paraId="7DDE6A19" w14:textId="45472F73" w:rsidR="001D6B10" w:rsidRPr="001C15D0" w:rsidRDefault="001D6B10" w:rsidP="0081005D">
      <w:pPr>
        <w:pStyle w:val="Notedebasdepage"/>
        <w:rPr>
          <w:sz w:val="16"/>
          <w:szCs w:val="16"/>
        </w:rPr>
      </w:pPr>
      <w:r w:rsidRPr="004B402F">
        <w:rPr>
          <w:lang w:val="es-ES"/>
        </w:rPr>
        <w:tab/>
      </w:r>
      <w:r>
        <w:rPr>
          <w:rStyle w:val="Appelnotedebasdep"/>
        </w:rPr>
        <w:footnoteRef/>
      </w:r>
      <w:r>
        <w:tab/>
      </w:r>
      <w:r w:rsidRPr="001C15D0">
        <w:t>Voir</w:t>
      </w:r>
      <w:r w:rsidR="00F26D77">
        <w:t> </w:t>
      </w:r>
      <w:r w:rsidRPr="001C15D0">
        <w:t xml:space="preserve">: </w:t>
      </w:r>
      <w:hyperlink r:id="rId4" w:history="1">
        <w:r w:rsidRPr="001C15D0">
          <w:rPr>
            <w:color w:val="0000FF"/>
            <w:u w:val="single"/>
          </w:rPr>
          <w:t>https://fr.unesco.org/creativity/governance/periodic-reports/2017/morocco</w:t>
        </w:r>
      </w:hyperlink>
      <w:r>
        <w:rPr>
          <w:color w:val="0000FF"/>
          <w:u w:val="single"/>
        </w:rPr>
        <w:t>.</w:t>
      </w:r>
    </w:p>
  </w:footnote>
  <w:footnote w:id="23">
    <w:p w14:paraId="589940C3" w14:textId="6D85F560" w:rsidR="001D6B10" w:rsidRPr="00E3306F" w:rsidRDefault="001D6B10" w:rsidP="00013F70">
      <w:pPr>
        <w:pStyle w:val="Notedebasdepage"/>
        <w:rPr>
          <w:sz w:val="2"/>
          <w:szCs w:val="2"/>
        </w:rPr>
      </w:pPr>
      <w:r>
        <w:tab/>
      </w:r>
      <w:r>
        <w:rPr>
          <w:rStyle w:val="Appelnotedebasdep"/>
        </w:rPr>
        <w:footnoteRef/>
      </w:r>
      <w:r>
        <w:tab/>
      </w:r>
      <w:r w:rsidRPr="0048149E">
        <w:t>E</w:t>
      </w:r>
      <w:r>
        <w:t xml:space="preserve">n date </w:t>
      </w:r>
      <w:r w:rsidRPr="00163B83">
        <w:t xml:space="preserve">du </w:t>
      </w:r>
      <w:r w:rsidRPr="00667FC7">
        <w:t>16/09/2019</w:t>
      </w:r>
      <w:r w:rsidRPr="00163B83">
        <w:t xml:space="preserve">, le cours moyen </w:t>
      </w:r>
      <w:r>
        <w:t xml:space="preserve">de change </w:t>
      </w:r>
      <w:r w:rsidRPr="0053117C">
        <w:t>de référence</w:t>
      </w:r>
      <w:r>
        <w:t xml:space="preserve"> fixé par la Banque du Maroc : 1 </w:t>
      </w:r>
      <w:r w:rsidR="0081005D">
        <w:t>d</w:t>
      </w:r>
      <w:r>
        <w:t xml:space="preserve">ollar USA vaut </w:t>
      </w:r>
      <w:r w:rsidRPr="00667FC7">
        <w:t xml:space="preserve">9,6765 </w:t>
      </w:r>
      <w:proofErr w:type="spellStart"/>
      <w:r>
        <w:t>Dhs</w:t>
      </w:r>
      <w:proofErr w:type="spellEnd"/>
      <w:r>
        <w:t>.</w:t>
      </w:r>
    </w:p>
  </w:footnote>
  <w:footnote w:id="24">
    <w:p w14:paraId="0A56572E" w14:textId="77777777" w:rsidR="001D6B10" w:rsidRPr="004023B4" w:rsidRDefault="001D6B10" w:rsidP="00013F70">
      <w:pPr>
        <w:pStyle w:val="Notedebasdepage"/>
        <w:rPr>
          <w:rFonts w:eastAsia="Times New Roman" w:cs="Arial"/>
          <w:lang w:eastAsia="fr-FR"/>
        </w:rPr>
      </w:pPr>
      <w:r>
        <w:tab/>
      </w:r>
      <w:r>
        <w:rPr>
          <w:rStyle w:val="Appelnotedebasdep"/>
        </w:rPr>
        <w:footnoteRef/>
      </w:r>
      <w:r>
        <w:tab/>
      </w:r>
      <w:r w:rsidRPr="004023B4">
        <w:rPr>
          <w:rFonts w:eastAsia="Times New Roman" w:cs="Arial"/>
          <w:lang w:eastAsia="fr-FR"/>
        </w:rPr>
        <w:t>Voir le rapport national de suivi de la convention Unesco de 2005 sur la diversité des expressions culturelles</w:t>
      </w:r>
      <w:r>
        <w:rPr>
          <w:rFonts w:eastAsia="Times New Roman" w:cs="Arial"/>
          <w:lang w:eastAsia="fr-FR"/>
        </w:rPr>
        <w:t>,</w:t>
      </w:r>
      <w:r w:rsidRPr="004023B4">
        <w:rPr>
          <w:rFonts w:eastAsia="Times New Roman" w:cs="Arial"/>
          <w:lang w:eastAsia="fr-FR"/>
        </w:rPr>
        <w:t xml:space="preserve"> 2017</w:t>
      </w:r>
      <w:r>
        <w:rPr>
          <w:rFonts w:eastAsia="Times New Roman" w:cs="Arial"/>
          <w:lang w:eastAsia="fr-FR"/>
        </w:rPr>
        <w:t>.</w:t>
      </w:r>
    </w:p>
  </w:footnote>
  <w:footnote w:id="25">
    <w:p w14:paraId="2D5B2720" w14:textId="77777777" w:rsidR="001D6B10" w:rsidRPr="00271879" w:rsidRDefault="001D6B10" w:rsidP="00013F70">
      <w:pPr>
        <w:pStyle w:val="Notedebasdepage"/>
        <w:rPr>
          <w:sz w:val="2"/>
          <w:szCs w:val="2"/>
        </w:rPr>
      </w:pPr>
      <w:r>
        <w:tab/>
      </w:r>
      <w:r>
        <w:rPr>
          <w:rStyle w:val="Appelnotedebasdep"/>
        </w:rPr>
        <w:footnoteRef/>
      </w:r>
      <w:r>
        <w:tab/>
      </w:r>
      <w:r w:rsidRPr="00CF406B">
        <w:rPr>
          <w:rFonts w:eastAsia="Times New Roman" w:cs="Arial"/>
          <w:lang w:eastAsia="fr-FR"/>
        </w:rPr>
        <w:t xml:space="preserve">Chiffres annoncés par le Chef de </w:t>
      </w:r>
      <w:r>
        <w:rPr>
          <w:rFonts w:eastAsia="Times New Roman" w:cs="Arial"/>
          <w:lang w:eastAsia="fr-FR"/>
        </w:rPr>
        <w:t>G</w:t>
      </w:r>
      <w:r w:rsidRPr="00CF406B">
        <w:rPr>
          <w:rFonts w:eastAsia="Times New Roman" w:cs="Arial"/>
          <w:lang w:eastAsia="fr-FR"/>
        </w:rPr>
        <w:t xml:space="preserve">ouvernement à la </w:t>
      </w:r>
      <w:r>
        <w:rPr>
          <w:rFonts w:eastAsia="Times New Roman" w:cs="Arial"/>
          <w:lang w:eastAsia="fr-FR"/>
        </w:rPr>
        <w:t>C</w:t>
      </w:r>
      <w:r w:rsidRPr="00CF406B">
        <w:rPr>
          <w:rFonts w:eastAsia="Times New Roman" w:cs="Arial"/>
          <w:lang w:eastAsia="fr-FR"/>
        </w:rPr>
        <w:t xml:space="preserve">hambre des </w:t>
      </w:r>
      <w:r>
        <w:rPr>
          <w:rFonts w:eastAsia="Times New Roman" w:cs="Arial"/>
          <w:lang w:eastAsia="fr-FR"/>
        </w:rPr>
        <w:t>R</w:t>
      </w:r>
      <w:r w:rsidRPr="00CF406B">
        <w:rPr>
          <w:rFonts w:eastAsia="Times New Roman" w:cs="Arial"/>
          <w:lang w:eastAsia="fr-FR"/>
        </w:rPr>
        <w:t xml:space="preserve">eprésentants, le 22 juillet 2019, lors la séance mensuelle de débat sur les politiques publiques. </w:t>
      </w:r>
    </w:p>
  </w:footnote>
  <w:footnote w:id="26">
    <w:p w14:paraId="1CF8BEEF" w14:textId="4EBE4631" w:rsidR="001D6B10" w:rsidRPr="00271879" w:rsidRDefault="001D6B10" w:rsidP="00013F70">
      <w:pPr>
        <w:pStyle w:val="Notedebasdepage"/>
        <w:rPr>
          <w:sz w:val="2"/>
          <w:szCs w:val="2"/>
        </w:rPr>
      </w:pPr>
      <w:r>
        <w:tab/>
      </w:r>
      <w:r>
        <w:rPr>
          <w:rStyle w:val="Appelnotedebasdep"/>
        </w:rPr>
        <w:footnoteRef/>
      </w:r>
      <w:r>
        <w:tab/>
        <w:t>U</w:t>
      </w:r>
      <w:r w:rsidRPr="00F00EEC">
        <w:t>ne Commission ministérielle permanente pour le développement des zones rurales et de montagne</w:t>
      </w:r>
      <w:r>
        <w:t xml:space="preserve"> a été mise en place</w:t>
      </w:r>
      <w:r w:rsidRPr="00F00EEC">
        <w:t xml:space="preserve">. Celle-ci a tenu sa deuxième réunion, sous la présidence du </w:t>
      </w:r>
      <w:r>
        <w:t>C</w:t>
      </w:r>
      <w:r w:rsidRPr="00F00EEC">
        <w:t xml:space="preserve">hef de gouvernement, le 24 juillet 2019 et où ont été exposés le </w:t>
      </w:r>
      <w:r>
        <w:t>P</w:t>
      </w:r>
      <w:r w:rsidRPr="00F00EEC">
        <w:t>rogramme de réduction des disparités sociales et territoriales pour la période 2017-2023, le bilan 2017</w:t>
      </w:r>
      <w:r>
        <w:t>-</w:t>
      </w:r>
      <w:r w:rsidRPr="00F00EEC">
        <w:t xml:space="preserve">2018, ainsi que </w:t>
      </w:r>
      <w:r>
        <w:t>le</w:t>
      </w:r>
      <w:r w:rsidRPr="00F00EEC">
        <w:t xml:space="preserve"> plan d</w:t>
      </w:r>
      <w:r>
        <w:t>’</w:t>
      </w:r>
      <w:r w:rsidRPr="00F00EEC">
        <w:t>action de</w:t>
      </w:r>
      <w:r>
        <w:t> </w:t>
      </w:r>
      <w:r w:rsidRPr="00F00EEC">
        <w:t xml:space="preserve">2019 de ce </w:t>
      </w:r>
      <w:r>
        <w:t>P</w:t>
      </w:r>
      <w:r w:rsidRPr="00F00EEC">
        <w:t xml:space="preserve">rogramme. </w:t>
      </w:r>
    </w:p>
  </w:footnote>
  <w:footnote w:id="27">
    <w:p w14:paraId="0DC1952B" w14:textId="52CBE4C6" w:rsidR="001D6B10" w:rsidRPr="00D217E2" w:rsidRDefault="001D6B10" w:rsidP="00013F70">
      <w:pPr>
        <w:pStyle w:val="Notedebasdepage"/>
        <w:rPr>
          <w:rFonts w:eastAsia="Times New Roman" w:cs="Arial"/>
          <w:lang w:eastAsia="fr-FR"/>
        </w:rPr>
      </w:pPr>
      <w:r>
        <w:tab/>
      </w:r>
      <w:r>
        <w:rPr>
          <w:rStyle w:val="Appelnotedebasdep"/>
        </w:rPr>
        <w:footnoteRef/>
      </w:r>
      <w:r>
        <w:tab/>
      </w:r>
      <w:r w:rsidRPr="00D217E2">
        <w:rPr>
          <w:rFonts w:eastAsia="Times New Roman" w:cs="Arial"/>
          <w:lang w:eastAsia="fr-FR"/>
        </w:rPr>
        <w:t>Voir : La question des inégalités sociales : Clés de compréhension, enjeux et réponses de politiques publiques. Direction des Etudes et des Prévisions Financières, octobre 2018, p. 23</w:t>
      </w:r>
      <w:r>
        <w:rPr>
          <w:rFonts w:eastAsia="Times New Roman" w:cs="Arial"/>
          <w:lang w:eastAsia="fr-FR"/>
        </w:rPr>
        <w:t>.</w:t>
      </w:r>
    </w:p>
  </w:footnote>
  <w:footnote w:id="28">
    <w:p w14:paraId="56844AE4" w14:textId="6AE25DAC" w:rsidR="001D6B10" w:rsidRDefault="001D6B10" w:rsidP="00013F70">
      <w:pPr>
        <w:pStyle w:val="Notedebasdepage"/>
      </w:pPr>
      <w:r>
        <w:tab/>
      </w:r>
      <w:r>
        <w:rPr>
          <w:rStyle w:val="Appelnotedebasdep"/>
        </w:rPr>
        <w:footnoteRef/>
      </w:r>
      <w:r>
        <w:tab/>
      </w:r>
      <w:r w:rsidRPr="00A60026">
        <w:rPr>
          <w:rFonts w:eastAsia="Times New Roman" w:cs="Arial"/>
          <w:lang w:eastAsia="fr-FR"/>
        </w:rPr>
        <w:t>D</w:t>
      </w:r>
      <w:r w:rsidRPr="00C66087">
        <w:rPr>
          <w:rFonts w:eastAsia="Times New Roman" w:cs="Arial"/>
          <w:lang w:eastAsia="fr-FR"/>
        </w:rPr>
        <w:t xml:space="preserve">’une enveloppe budgétaire de 77 </w:t>
      </w:r>
      <w:r>
        <w:rPr>
          <w:rFonts w:eastAsia="Times New Roman" w:cs="Arial"/>
          <w:lang w:eastAsia="fr-FR"/>
        </w:rPr>
        <w:t>m</w:t>
      </w:r>
      <w:r w:rsidRPr="00C66087">
        <w:rPr>
          <w:rFonts w:eastAsia="Times New Roman" w:cs="Arial"/>
          <w:lang w:eastAsia="fr-FR"/>
        </w:rPr>
        <w:t xml:space="preserve">illiards de </w:t>
      </w:r>
      <w:proofErr w:type="spellStart"/>
      <w:r>
        <w:rPr>
          <w:rFonts w:eastAsia="Times New Roman" w:cs="Arial"/>
          <w:lang w:eastAsia="fr-FR"/>
        </w:rPr>
        <w:t>Dhs</w:t>
      </w:r>
      <w:proofErr w:type="spellEnd"/>
      <w:r w:rsidRPr="00C66087">
        <w:rPr>
          <w:rFonts w:eastAsia="Times New Roman" w:cs="Arial"/>
          <w:lang w:eastAsia="fr-FR"/>
        </w:rPr>
        <w:t xml:space="preserve"> (dont 17 milliards alloués à Ed Dakhla Oued Ed-</w:t>
      </w:r>
      <w:proofErr w:type="spellStart"/>
      <w:r w:rsidRPr="00C66087">
        <w:rPr>
          <w:rFonts w:eastAsia="Times New Roman" w:cs="Arial"/>
          <w:lang w:eastAsia="fr-FR"/>
        </w:rPr>
        <w:t>Dahab</w:t>
      </w:r>
      <w:proofErr w:type="spellEnd"/>
      <w:r w:rsidRPr="00C66087">
        <w:rPr>
          <w:rFonts w:eastAsia="Times New Roman" w:cs="Arial"/>
          <w:lang w:eastAsia="fr-FR"/>
        </w:rPr>
        <w:t>) affectée à la réalisation de 200 projets structurants, notamment, ceux ayant trait au renforcement de la connexion territoriale des régions du Sud aux autres régions du Maroc. Il s’agit en</w:t>
      </w:r>
      <w:r w:rsidR="00F26D77">
        <w:rPr>
          <w:rFonts w:eastAsia="Times New Roman" w:cs="Arial"/>
          <w:lang w:eastAsia="fr-FR"/>
        </w:rPr>
        <w:t> </w:t>
      </w:r>
      <w:r w:rsidRPr="00C66087">
        <w:rPr>
          <w:rFonts w:eastAsia="Times New Roman" w:cs="Arial"/>
          <w:lang w:eastAsia="fr-FR"/>
        </w:rPr>
        <w:t xml:space="preserve">particulier de la construction de la route atlantique rapide Tiznit-Dakhla (8,5 milliards de dirhams dans une première phase), la construction du Port Atlantique de Dakhla (6 </w:t>
      </w:r>
      <w:r>
        <w:rPr>
          <w:rFonts w:eastAsia="Times New Roman" w:cs="Arial"/>
          <w:lang w:eastAsia="fr-FR"/>
        </w:rPr>
        <w:t>m</w:t>
      </w:r>
      <w:r w:rsidRPr="00C66087">
        <w:rPr>
          <w:rFonts w:eastAsia="Times New Roman" w:cs="Arial"/>
          <w:lang w:eastAsia="fr-FR"/>
        </w:rPr>
        <w:t xml:space="preserve">illiards de </w:t>
      </w:r>
      <w:proofErr w:type="spellStart"/>
      <w:r>
        <w:rPr>
          <w:rFonts w:eastAsia="Times New Roman" w:cs="Arial"/>
          <w:lang w:eastAsia="fr-FR"/>
        </w:rPr>
        <w:t>Dhs</w:t>
      </w:r>
      <w:proofErr w:type="spellEnd"/>
      <w:r w:rsidRPr="00C66087">
        <w:rPr>
          <w:rFonts w:eastAsia="Times New Roman" w:cs="Arial"/>
          <w:lang w:eastAsia="fr-FR"/>
        </w:rPr>
        <w:t>), le</w:t>
      </w:r>
      <w:r>
        <w:rPr>
          <w:rFonts w:eastAsia="Times New Roman" w:cs="Arial"/>
          <w:lang w:eastAsia="fr-FR"/>
        </w:rPr>
        <w:t> </w:t>
      </w:r>
      <w:r w:rsidRPr="00C66087">
        <w:rPr>
          <w:rFonts w:eastAsia="Times New Roman" w:cs="Arial"/>
          <w:lang w:eastAsia="fr-FR"/>
        </w:rPr>
        <w:t>raccordement de la ville de Dakhla au réseau électrique national (</w:t>
      </w:r>
      <w:r>
        <w:rPr>
          <w:rFonts w:eastAsia="Times New Roman" w:cs="Arial"/>
          <w:lang w:eastAsia="fr-FR"/>
        </w:rPr>
        <w:t>2</w:t>
      </w:r>
      <w:r w:rsidRPr="00C66087">
        <w:rPr>
          <w:rFonts w:eastAsia="Times New Roman" w:cs="Arial"/>
          <w:lang w:eastAsia="fr-FR"/>
        </w:rPr>
        <w:t>,</w:t>
      </w:r>
      <w:r>
        <w:rPr>
          <w:rFonts w:eastAsia="Times New Roman" w:cs="Arial"/>
          <w:lang w:eastAsia="fr-FR"/>
        </w:rPr>
        <w:t>360</w:t>
      </w:r>
      <w:r w:rsidRPr="00C66087">
        <w:rPr>
          <w:rFonts w:eastAsia="Times New Roman" w:cs="Arial"/>
          <w:lang w:eastAsia="fr-FR"/>
        </w:rPr>
        <w:t xml:space="preserve"> </w:t>
      </w:r>
      <w:r>
        <w:rPr>
          <w:rFonts w:eastAsia="Times New Roman" w:cs="Arial"/>
          <w:lang w:eastAsia="fr-FR"/>
        </w:rPr>
        <w:t>m</w:t>
      </w:r>
      <w:r w:rsidRPr="00C66087">
        <w:rPr>
          <w:rFonts w:eastAsia="Times New Roman" w:cs="Arial"/>
          <w:lang w:eastAsia="fr-FR"/>
        </w:rPr>
        <w:t xml:space="preserve">illiards de </w:t>
      </w:r>
      <w:proofErr w:type="spellStart"/>
      <w:r>
        <w:rPr>
          <w:rFonts w:eastAsia="Times New Roman" w:cs="Arial"/>
          <w:lang w:eastAsia="fr-FR"/>
        </w:rPr>
        <w:t>Dhs</w:t>
      </w:r>
      <w:proofErr w:type="spellEnd"/>
      <w:r w:rsidRPr="00C66087">
        <w:rPr>
          <w:rFonts w:eastAsia="Times New Roman" w:cs="Arial"/>
          <w:lang w:eastAsia="fr-FR"/>
        </w:rPr>
        <w:t>) et le</w:t>
      </w:r>
      <w:r w:rsidR="00F26D77">
        <w:rPr>
          <w:rFonts w:eastAsia="Times New Roman" w:cs="Arial"/>
          <w:lang w:eastAsia="fr-FR"/>
        </w:rPr>
        <w:t> </w:t>
      </w:r>
      <w:r w:rsidRPr="00C66087">
        <w:rPr>
          <w:rFonts w:eastAsia="Times New Roman" w:cs="Arial"/>
          <w:lang w:eastAsia="fr-FR"/>
        </w:rPr>
        <w:t>renforcement et l’extension de la couverture en service mobile (2G/3G/4G) au niveau des trois</w:t>
      </w:r>
      <w:r w:rsidR="00F26D77">
        <w:rPr>
          <w:rFonts w:eastAsia="Times New Roman" w:cs="Arial"/>
          <w:lang w:eastAsia="fr-FR"/>
        </w:rPr>
        <w:t> </w:t>
      </w:r>
      <w:r w:rsidRPr="00C66087">
        <w:rPr>
          <w:rFonts w:eastAsia="Times New Roman" w:cs="Arial"/>
          <w:lang w:eastAsia="fr-FR"/>
        </w:rPr>
        <w:t xml:space="preserve">régions du Sud (1 </w:t>
      </w:r>
      <w:r>
        <w:rPr>
          <w:rFonts w:eastAsia="Times New Roman" w:cs="Arial"/>
          <w:lang w:eastAsia="fr-FR"/>
        </w:rPr>
        <w:t>m</w:t>
      </w:r>
      <w:r w:rsidRPr="00C66087">
        <w:rPr>
          <w:rFonts w:eastAsia="Times New Roman" w:cs="Arial"/>
          <w:lang w:eastAsia="fr-FR"/>
        </w:rPr>
        <w:t xml:space="preserve">illiards de </w:t>
      </w:r>
      <w:proofErr w:type="spellStart"/>
      <w:r>
        <w:rPr>
          <w:rFonts w:eastAsia="Times New Roman" w:cs="Arial"/>
          <w:lang w:eastAsia="fr-FR"/>
        </w:rPr>
        <w:t>Dhs</w:t>
      </w:r>
      <w:proofErr w:type="spellEnd"/>
      <w:r w:rsidRPr="00C66087">
        <w:rPr>
          <w:rFonts w:eastAsia="Times New Roman" w:cs="Arial"/>
          <w:lang w:eastAsia="fr-FR"/>
        </w:rPr>
        <w:t>)</w:t>
      </w:r>
      <w:r>
        <w:rPr>
          <w:rFonts w:eastAsia="Times New Roman" w:cs="Arial"/>
          <w:lang w:eastAsia="fr-FR"/>
        </w:rPr>
        <w:t>.</w:t>
      </w:r>
    </w:p>
  </w:footnote>
  <w:footnote w:id="29">
    <w:p w14:paraId="46B18481" w14:textId="1946D87A" w:rsidR="001D6B10" w:rsidRPr="00A64FDE" w:rsidRDefault="001D6B10" w:rsidP="00F26D77">
      <w:pPr>
        <w:pStyle w:val="Notedebasdepage"/>
        <w:rPr>
          <w:sz w:val="4"/>
          <w:szCs w:val="4"/>
        </w:rPr>
      </w:pPr>
      <w:r>
        <w:tab/>
      </w:r>
      <w:r>
        <w:rPr>
          <w:rStyle w:val="Appelnotedebasdep"/>
        </w:rPr>
        <w:footnoteRef/>
      </w:r>
      <w:r>
        <w:tab/>
      </w:r>
      <w:r w:rsidRPr="00FE4C58">
        <w:t xml:space="preserve">Code </w:t>
      </w:r>
      <w:r w:rsidR="00F26D77">
        <w:t>p</w:t>
      </w:r>
      <w:r w:rsidRPr="00FE4C58">
        <w:t>énal</w:t>
      </w:r>
      <w:r>
        <w:t xml:space="preserve"> (</w:t>
      </w:r>
      <w:r w:rsidR="00F26D77">
        <w:t>v</w:t>
      </w:r>
      <w:r>
        <w:t>ersion française)</w:t>
      </w:r>
      <w:r w:rsidRPr="00FE4C58">
        <w:t>. Direction de Législation. Ministère de la Justice. Version consolidée en date du 5 juillet 2018</w:t>
      </w:r>
      <w:r w:rsidR="00A5588D">
        <w:t>.</w:t>
      </w:r>
    </w:p>
  </w:footnote>
  <w:footnote w:id="30">
    <w:p w14:paraId="4A5B6FB9" w14:textId="21CC80E6" w:rsidR="001D6B10" w:rsidRDefault="001D6B10" w:rsidP="00F26D77">
      <w:pPr>
        <w:pStyle w:val="Notedebasdepage"/>
      </w:pPr>
      <w:r>
        <w:tab/>
      </w:r>
      <w:r>
        <w:rPr>
          <w:rStyle w:val="Appelnotedebasdep"/>
        </w:rPr>
        <w:footnoteRef/>
      </w:r>
      <w:r>
        <w:tab/>
      </w:r>
      <w:r w:rsidRPr="00277934">
        <w:t xml:space="preserve">Dahir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277934">
        <w:t>1-16-104</w:t>
      </w:r>
      <w:r>
        <w:t>,</w:t>
      </w:r>
      <w:r w:rsidRPr="00277934">
        <w:t xml:space="preserve"> du 13 </w:t>
      </w:r>
      <w:proofErr w:type="spellStart"/>
      <w:r w:rsidRPr="00374337">
        <w:rPr>
          <w:i/>
          <w:iCs/>
        </w:rPr>
        <w:t>chaoual</w:t>
      </w:r>
      <w:proofErr w:type="spellEnd"/>
      <w:r w:rsidRPr="00277934">
        <w:t xml:space="preserve"> 1437 (18 juillet 2016) portant promulgation de la loi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277934">
        <w:t>73-15 modifiant et</w:t>
      </w:r>
      <w:r>
        <w:t xml:space="preserve"> co</w:t>
      </w:r>
      <w:r w:rsidRPr="00277934">
        <w:t xml:space="preserve">mplétant certaines dispositions du </w:t>
      </w:r>
      <w:r>
        <w:t>CP</w:t>
      </w:r>
      <w:r w:rsidRPr="00277934">
        <w:t>.</w:t>
      </w:r>
      <w:r>
        <w:t xml:space="preserve"> In 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277934">
        <w:t xml:space="preserve">6522 </w:t>
      </w:r>
      <w:proofErr w:type="spellStart"/>
      <w:r w:rsidRPr="00374337">
        <w:rPr>
          <w:i/>
          <w:iCs/>
        </w:rPr>
        <w:t>rabii</w:t>
      </w:r>
      <w:proofErr w:type="spellEnd"/>
      <w:r w:rsidRPr="00277934">
        <w:t xml:space="preserve"> I</w:t>
      </w:r>
      <w:r>
        <w:t>,</w:t>
      </w:r>
      <w:r w:rsidRPr="00277934">
        <w:t xml:space="preserve"> 1438 (1</w:t>
      </w:r>
      <w:r w:rsidRPr="00277934">
        <w:rPr>
          <w:vertAlign w:val="superscript"/>
        </w:rPr>
        <w:t>er</w:t>
      </w:r>
      <w:r>
        <w:t>-</w:t>
      </w:r>
      <w:r w:rsidRPr="00277934">
        <w:t>12-2016)</w:t>
      </w:r>
      <w:r>
        <w:t>.</w:t>
      </w:r>
    </w:p>
  </w:footnote>
  <w:footnote w:id="31">
    <w:p w14:paraId="33DF3A93" w14:textId="6CDB9A09" w:rsidR="001D6B10" w:rsidRDefault="001D6B10" w:rsidP="00F26D77">
      <w:pPr>
        <w:pStyle w:val="Notedebasdepage"/>
      </w:pPr>
      <w:r>
        <w:tab/>
      </w:r>
      <w:r>
        <w:rPr>
          <w:rStyle w:val="Appelnotedebasdep"/>
        </w:rPr>
        <w:footnoteRef/>
      </w:r>
      <w:r>
        <w:tab/>
        <w:t>« </w:t>
      </w:r>
      <w:r w:rsidRPr="00CF2E47">
        <w:t>Est interdite aux agences de recrutement privées toute discrimination basée sur la race, la couleur, le</w:t>
      </w:r>
      <w:r>
        <w:t> </w:t>
      </w:r>
      <w:r w:rsidRPr="00CF2E47">
        <w:t>sexe, la religion, l</w:t>
      </w:r>
      <w:r>
        <w:t>’</w:t>
      </w:r>
      <w:r w:rsidRPr="00CF2E47">
        <w:t>opinion politique, l</w:t>
      </w:r>
      <w:r>
        <w:t>’</w:t>
      </w:r>
      <w:r w:rsidRPr="00CF2E47">
        <w:t>ascendance nationale ou l</w:t>
      </w:r>
      <w:r>
        <w:t>’</w:t>
      </w:r>
      <w:r w:rsidRPr="00CF2E47">
        <w:t>origine sociale, de nature à porter atteinte au principe de l</w:t>
      </w:r>
      <w:r>
        <w:t>’</w:t>
      </w:r>
      <w:r w:rsidRPr="00CF2E47">
        <w:t>égalité des chances et de traitement en matière d</w:t>
      </w:r>
      <w:r>
        <w:t>’</w:t>
      </w:r>
      <w:r w:rsidRPr="00CF2E47">
        <w:t>emploi. Il est également interdit aux agences de recrutement privées de pratiquer toute discrimination se basant sur la sélection privative de la liberté syndicale ou de la négociation collective. N</w:t>
      </w:r>
      <w:r>
        <w:t>’</w:t>
      </w:r>
      <w:r w:rsidRPr="00CF2E47">
        <w:t>est pas considérée comme mesure discriminatoire, toute offre de service spéciale ou la réalisation de programmes destinés spécialement à aider les demandeurs d</w:t>
      </w:r>
      <w:r>
        <w:t>’</w:t>
      </w:r>
      <w:r w:rsidRPr="00CF2E47">
        <w:t>emploi les plus défavorisés dans leur recherche d</w:t>
      </w:r>
      <w:r>
        <w:t>’</w:t>
      </w:r>
      <w:r w:rsidRPr="00CF2E47">
        <w:t>un emploi</w:t>
      </w:r>
      <w:r>
        <w:t> » (art. 478).</w:t>
      </w:r>
    </w:p>
  </w:footnote>
  <w:footnote w:id="32">
    <w:p w14:paraId="15D6DF8A" w14:textId="01F75973" w:rsidR="001D6B10" w:rsidRDefault="001D6B10" w:rsidP="00013F70">
      <w:pPr>
        <w:pStyle w:val="Notedebasdepage"/>
      </w:pPr>
      <w:r>
        <w:tab/>
      </w:r>
      <w:r>
        <w:rPr>
          <w:rStyle w:val="Appelnotedebasdep"/>
        </w:rPr>
        <w:footnoteRef/>
      </w:r>
      <w:r>
        <w:tab/>
      </w:r>
      <w:r w:rsidRPr="00330D27">
        <w:t xml:space="preserve">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330D27">
        <w:t xml:space="preserve">5956 </w:t>
      </w:r>
      <w:r w:rsidRPr="00013F70">
        <w:rPr>
          <w:i/>
          <w:iCs/>
        </w:rPr>
        <w:t>bis</w:t>
      </w:r>
      <w:r w:rsidRPr="00330D27">
        <w:t xml:space="preserve"> du 27 </w:t>
      </w:r>
      <w:proofErr w:type="spellStart"/>
      <w:r w:rsidRPr="0081005D">
        <w:rPr>
          <w:i/>
          <w:iCs/>
        </w:rPr>
        <w:t>rejab</w:t>
      </w:r>
      <w:proofErr w:type="spellEnd"/>
      <w:r w:rsidRPr="00330D27">
        <w:t xml:space="preserve"> 1432 (30 juin 2011)</w:t>
      </w:r>
      <w:r>
        <w:t>.</w:t>
      </w:r>
    </w:p>
  </w:footnote>
  <w:footnote w:id="33">
    <w:p w14:paraId="14198550" w14:textId="3FB139F0" w:rsidR="001D6B10" w:rsidRPr="000F0772" w:rsidRDefault="001D6B10" w:rsidP="00F26D77">
      <w:pPr>
        <w:pStyle w:val="Notedebasdepage"/>
        <w:rPr>
          <w:sz w:val="2"/>
          <w:szCs w:val="2"/>
        </w:rPr>
      </w:pPr>
      <w:r>
        <w:tab/>
      </w:r>
      <w:r>
        <w:rPr>
          <w:rStyle w:val="Appelnotedebasdep"/>
        </w:rPr>
        <w:footnoteRef/>
      </w:r>
      <w:r>
        <w:tab/>
      </w:r>
      <w:r w:rsidRPr="00D85455">
        <w:t xml:space="preserve">Dahir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D85455">
        <w:t xml:space="preserve">1-16-122 du 6 </w:t>
      </w:r>
      <w:proofErr w:type="spellStart"/>
      <w:r w:rsidRPr="0081005D">
        <w:rPr>
          <w:i/>
          <w:iCs/>
        </w:rPr>
        <w:t>kaada</w:t>
      </w:r>
      <w:proofErr w:type="spellEnd"/>
      <w:r w:rsidRPr="00D85455">
        <w:t xml:space="preserve"> 1437 (10 août 2016) portant promulgation de la loi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D85455">
        <w:t>88-13 relative à</w:t>
      </w:r>
      <w:r>
        <w:t> </w:t>
      </w:r>
      <w:r w:rsidRPr="00D85455">
        <w:t>la presse et à l</w:t>
      </w:r>
      <w:r>
        <w:t>’</w:t>
      </w:r>
      <w:r w:rsidRPr="00D85455">
        <w:t xml:space="preserve">édition. </w:t>
      </w:r>
      <w:r>
        <w:t xml:space="preserve">In </w:t>
      </w:r>
      <w:r w:rsidRPr="000F0772">
        <w:t xml:space="preserve">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0F0772">
        <w:t>6522, du 1</w:t>
      </w:r>
      <w:r w:rsidRPr="000F0772">
        <w:rPr>
          <w:vertAlign w:val="superscript"/>
        </w:rPr>
        <w:t>er</w:t>
      </w:r>
      <w:r w:rsidRPr="000F0772">
        <w:t xml:space="preserve"> </w:t>
      </w:r>
      <w:proofErr w:type="spellStart"/>
      <w:r w:rsidRPr="0081005D">
        <w:rPr>
          <w:i/>
          <w:iCs/>
        </w:rPr>
        <w:t>rabii</w:t>
      </w:r>
      <w:proofErr w:type="spellEnd"/>
      <w:r w:rsidRPr="000F0772">
        <w:t xml:space="preserve"> </w:t>
      </w:r>
      <w:r>
        <w:t>I</w:t>
      </w:r>
      <w:r w:rsidRPr="000F0772">
        <w:t>, 1438 (1</w:t>
      </w:r>
      <w:r w:rsidRPr="000F0772">
        <w:rPr>
          <w:vertAlign w:val="superscript"/>
        </w:rPr>
        <w:t>er</w:t>
      </w:r>
      <w:r w:rsidRPr="000F0772">
        <w:t>-I2-2016).</w:t>
      </w:r>
    </w:p>
  </w:footnote>
  <w:footnote w:id="34">
    <w:p w14:paraId="321C06A2" w14:textId="25BF03AF" w:rsidR="001D6B10" w:rsidRPr="003E73FF" w:rsidRDefault="001D6B10" w:rsidP="00013F70">
      <w:pPr>
        <w:pStyle w:val="Notedebasdepage"/>
        <w:rPr>
          <w:sz w:val="2"/>
          <w:szCs w:val="2"/>
        </w:rPr>
      </w:pPr>
      <w:r>
        <w:tab/>
      </w:r>
      <w:r>
        <w:rPr>
          <w:rStyle w:val="Appelnotedebasdep"/>
        </w:rPr>
        <w:footnoteRef/>
      </w:r>
      <w:r>
        <w:tab/>
      </w:r>
      <w:r w:rsidRPr="00E71EDF">
        <w:t xml:space="preserve">Dahir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E71EDF">
        <w:t xml:space="preserve">1.16.155 du 21 </w:t>
      </w:r>
      <w:proofErr w:type="spellStart"/>
      <w:r w:rsidRPr="0081005D">
        <w:rPr>
          <w:i/>
          <w:iCs/>
        </w:rPr>
        <w:t>kaada</w:t>
      </w:r>
      <w:proofErr w:type="spellEnd"/>
      <w:r w:rsidRPr="00E71EDF">
        <w:t xml:space="preserve"> 1437 (25 août 2016) portant promulgation de la loi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E71EDF">
        <w:t xml:space="preserve">66.16 modifiant et complétant la loi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E71EDF">
        <w:t xml:space="preserve">77.03 relative à la communication audiovisuelle. In 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E71EDF">
        <w:t xml:space="preserve">6526, du 15 </w:t>
      </w:r>
      <w:proofErr w:type="spellStart"/>
      <w:r w:rsidRPr="0081005D">
        <w:rPr>
          <w:i/>
          <w:iCs/>
        </w:rPr>
        <w:t>rabii</w:t>
      </w:r>
      <w:proofErr w:type="spellEnd"/>
      <w:r w:rsidRPr="00E71EDF">
        <w:t xml:space="preserve"> I</w:t>
      </w:r>
      <w:r>
        <w:t> </w:t>
      </w:r>
      <w:r w:rsidRPr="00E71EDF">
        <w:t>1438 (15-12-2016).</w:t>
      </w:r>
    </w:p>
  </w:footnote>
  <w:footnote w:id="35">
    <w:p w14:paraId="78375402" w14:textId="241A834D" w:rsidR="001D6B10" w:rsidRPr="00247DE1" w:rsidRDefault="001D6B10" w:rsidP="00013F70">
      <w:pPr>
        <w:pStyle w:val="Notedebasdepage"/>
      </w:pPr>
      <w:r>
        <w:tab/>
      </w:r>
      <w:r>
        <w:rPr>
          <w:rStyle w:val="Appelnotedebasdep"/>
        </w:rPr>
        <w:footnoteRef/>
      </w:r>
      <w:r>
        <w:tab/>
        <w:t>D</w:t>
      </w:r>
      <w:r w:rsidRPr="00E26090">
        <w:rPr>
          <w:rFonts w:eastAsia="Times New Roman"/>
          <w:lang w:eastAsia="fr-FR"/>
        </w:rPr>
        <w:t xml:space="preserve">écret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E26090">
        <w:rPr>
          <w:rFonts w:eastAsia="Times New Roman"/>
          <w:lang w:eastAsia="fr-FR"/>
        </w:rPr>
        <w:t xml:space="preserve">2.12.596 </w:t>
      </w:r>
      <w:r>
        <w:rPr>
          <w:rFonts w:eastAsia="Times New Roman"/>
          <w:lang w:eastAsia="fr-FR"/>
        </w:rPr>
        <w:t>du</w:t>
      </w:r>
      <w:r w:rsidRPr="00E26090">
        <w:rPr>
          <w:rFonts w:eastAsia="Times New Roman"/>
          <w:lang w:eastAsia="fr-FR"/>
        </w:rPr>
        <w:t xml:space="preserve"> 25 </w:t>
      </w:r>
      <w:proofErr w:type="spellStart"/>
      <w:r w:rsidRPr="0081005D">
        <w:rPr>
          <w:rFonts w:eastAsia="Times New Roman"/>
          <w:i/>
          <w:iCs/>
          <w:lang w:eastAsia="fr-FR"/>
        </w:rPr>
        <w:t>kaada</w:t>
      </w:r>
      <w:proofErr w:type="spellEnd"/>
      <w:r w:rsidRPr="00E26090">
        <w:rPr>
          <w:rFonts w:eastAsia="Times New Roman"/>
          <w:lang w:eastAsia="fr-FR"/>
        </w:rPr>
        <w:t xml:space="preserve"> 1433</w:t>
      </w:r>
      <w:r>
        <w:rPr>
          <w:rFonts w:eastAsia="Times New Roman"/>
          <w:lang w:eastAsia="fr-FR"/>
        </w:rPr>
        <w:t>. In B</w:t>
      </w:r>
      <w:r w:rsidRPr="00247DE1">
        <w:t xml:space="preserve">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247DE1">
        <w:t xml:space="preserve">60.93, du 22 </w:t>
      </w:r>
      <w:r w:rsidR="0081005D">
        <w:t>o</w:t>
      </w:r>
      <w:r w:rsidRPr="00247DE1">
        <w:t>ctobre 2012.</w:t>
      </w:r>
    </w:p>
  </w:footnote>
  <w:footnote w:id="36">
    <w:p w14:paraId="4EF06128" w14:textId="282BEE86" w:rsidR="001D6B10" w:rsidRDefault="001D6B10" w:rsidP="0081005D">
      <w:pPr>
        <w:pStyle w:val="Notedebasdepage"/>
      </w:pPr>
      <w:r>
        <w:tab/>
      </w:r>
      <w:r>
        <w:rPr>
          <w:rStyle w:val="Appelnotedebasdep"/>
        </w:rPr>
        <w:footnoteRef/>
      </w:r>
      <w:r>
        <w:tab/>
      </w:r>
      <w:r w:rsidRPr="0091537E">
        <w:t xml:space="preserve">Dahir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91537E">
        <w:t xml:space="preserve">1-09-15 du 22 </w:t>
      </w:r>
      <w:proofErr w:type="spellStart"/>
      <w:r w:rsidRPr="0081005D">
        <w:rPr>
          <w:i/>
          <w:iCs/>
        </w:rPr>
        <w:t>safar</w:t>
      </w:r>
      <w:proofErr w:type="spellEnd"/>
      <w:r w:rsidRPr="0091537E">
        <w:t xml:space="preserve"> 1430 (18 février 2009) portant promulgation de la loi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91537E">
        <w:t>09-08 relative à</w:t>
      </w:r>
      <w:r>
        <w:t> </w:t>
      </w:r>
      <w:r w:rsidRPr="0091537E">
        <w:t>la protection des personnes physiques à l’égard du traitement des données à caractère personnel)</w:t>
      </w:r>
      <w:r>
        <w:t>. In </w:t>
      </w:r>
      <w:r w:rsidRPr="0091537E">
        <w:t xml:space="preserve">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91537E">
        <w:t>5714 du 5 mars 2009.</w:t>
      </w:r>
    </w:p>
  </w:footnote>
  <w:footnote w:id="37">
    <w:p w14:paraId="11A9C92A" w14:textId="2CE8872C" w:rsidR="001D6B10" w:rsidRDefault="001D6B10" w:rsidP="00374337">
      <w:pPr>
        <w:pStyle w:val="Notedebasdepage"/>
      </w:pPr>
      <w:r>
        <w:tab/>
      </w:r>
      <w:r>
        <w:rPr>
          <w:rStyle w:val="Appelnotedebasdep"/>
        </w:rPr>
        <w:footnoteRef/>
      </w:r>
      <w:r>
        <w:tab/>
      </w:r>
      <w:r w:rsidRPr="00FE4C58">
        <w:t xml:space="preserve">Code </w:t>
      </w:r>
      <w:r>
        <w:t>de procédure p</w:t>
      </w:r>
      <w:r w:rsidRPr="00FE4C58">
        <w:t>énal</w:t>
      </w:r>
      <w:r>
        <w:t>e</w:t>
      </w:r>
      <w:r w:rsidRPr="00A64FDE">
        <w:t xml:space="preserve"> </w:t>
      </w:r>
      <w:r>
        <w:t>(version arabe).</w:t>
      </w:r>
      <w:r w:rsidRPr="00FE4C58">
        <w:t xml:space="preserve"> Direction de Législation. Ministère de la Justice. Version consolidée en date du </w:t>
      </w:r>
      <w:r>
        <w:t>25 mars</w:t>
      </w:r>
      <w:r w:rsidRPr="00FE4C58">
        <w:t xml:space="preserve"> 201</w:t>
      </w:r>
      <w:r>
        <w:t xml:space="preserve">9. </w:t>
      </w:r>
    </w:p>
  </w:footnote>
  <w:footnote w:id="38">
    <w:p w14:paraId="39971352" w14:textId="780FB9A5" w:rsidR="001D6B10" w:rsidRPr="004C026C" w:rsidRDefault="001D6B10" w:rsidP="00013F70">
      <w:pPr>
        <w:pStyle w:val="Notedebasdepage"/>
        <w:rPr>
          <w:sz w:val="2"/>
          <w:szCs w:val="2"/>
        </w:rPr>
      </w:pPr>
      <w:r>
        <w:tab/>
      </w:r>
      <w:r>
        <w:rPr>
          <w:rStyle w:val="Appelnotedebasdep"/>
        </w:rPr>
        <w:footnoteRef/>
      </w:r>
      <w:r>
        <w:tab/>
      </w:r>
      <w:r w:rsidRPr="00671E95">
        <w:t>1</w:t>
      </w:r>
      <w:r>
        <w:t> </w:t>
      </w:r>
      <w:r w:rsidRPr="00671E95">
        <w:t>755 visites des autorités judiciaires dans les établissements pénitentiaires au niveau national ont été enregistrées en 2016. Ainsi que 66 visites des comités régionaux dans les établissements pénitentiaires et 52 visites de ces mêmes comités dans les institutions psychiatriques en 2016.</w:t>
      </w:r>
      <w:r>
        <w:t xml:space="preserve"> </w:t>
      </w:r>
      <w:r w:rsidRPr="00671E95">
        <w:t>S’agissant des lieux de détention provisoire, 7</w:t>
      </w:r>
      <w:r>
        <w:t> </w:t>
      </w:r>
      <w:r w:rsidRPr="00671E95">
        <w:t>500 visites ont été enregistrées au niveau national en 2016.</w:t>
      </w:r>
      <w:r>
        <w:t xml:space="preserve"> </w:t>
      </w:r>
      <w:r w:rsidRPr="00671E95">
        <w:t>Et dans les postes de police et de la gendarmerie, 7</w:t>
      </w:r>
      <w:r>
        <w:t> </w:t>
      </w:r>
      <w:r w:rsidRPr="00671E95">
        <w:t>154 visites ont été enregistrées au cours de l</w:t>
      </w:r>
      <w:r>
        <w:t>’</w:t>
      </w:r>
      <w:r w:rsidRPr="00671E95">
        <w:t>année 2017 (</w:t>
      </w:r>
      <w:r>
        <w:t>d</w:t>
      </w:r>
      <w:r w:rsidRPr="00671E95">
        <w:t>onnées de la Présidence du Ministère public).</w:t>
      </w:r>
    </w:p>
  </w:footnote>
  <w:footnote w:id="39">
    <w:p w14:paraId="73CCFA11" w14:textId="77777777" w:rsidR="001D6B10" w:rsidRPr="00A4028A" w:rsidRDefault="001D6B10" w:rsidP="00013F70">
      <w:pPr>
        <w:pStyle w:val="Notedebasdepage"/>
      </w:pPr>
      <w:r>
        <w:tab/>
      </w:r>
      <w:r>
        <w:rPr>
          <w:rStyle w:val="Appelnotedebasdep"/>
        </w:rPr>
        <w:footnoteRef/>
      </w:r>
      <w:r>
        <w:tab/>
      </w:r>
      <w:r w:rsidRPr="00A4028A">
        <w:t xml:space="preserve">Voir DGAPR, </w:t>
      </w:r>
      <w:r>
        <w:t>Rapport</w:t>
      </w:r>
      <w:r w:rsidRPr="00A4028A">
        <w:t xml:space="preserve"> d’activités 2017, p. 168.</w:t>
      </w:r>
    </w:p>
  </w:footnote>
  <w:footnote w:id="40">
    <w:p w14:paraId="19A250BE" w14:textId="0E51E854" w:rsidR="001D6B10" w:rsidRPr="005C2354" w:rsidRDefault="001D6B10" w:rsidP="00013F70">
      <w:pPr>
        <w:pStyle w:val="Notedebasdepage"/>
        <w:rPr>
          <w:sz w:val="2"/>
          <w:szCs w:val="2"/>
        </w:rPr>
      </w:pPr>
      <w:r>
        <w:tab/>
      </w:r>
      <w:r>
        <w:rPr>
          <w:rStyle w:val="Appelnotedebasdep"/>
        </w:rPr>
        <w:footnoteRef/>
      </w:r>
      <w:r>
        <w:tab/>
      </w:r>
      <w:r w:rsidRPr="0091537E">
        <w:t>Le paragraphe 3 de la Déclaration du Comité sur la discrimination raciale et mesures de lutte contre le</w:t>
      </w:r>
      <w:r>
        <w:t> </w:t>
      </w:r>
      <w:r w:rsidRPr="0091537E">
        <w:t>terrorisme, « Souligne que les mesures prises pour lutter contre le terrorisme doivent être conformes à la Charte des Nations Unies et ne sont considérées comme légitimes que si elles respectent les principes fondamentaux et les normes universellement reconnues du droit international, notamment du droit international relatif aux droits de l’homme et du droit international humanitaire ».</w:t>
      </w:r>
    </w:p>
  </w:footnote>
  <w:footnote w:id="41">
    <w:p w14:paraId="3F50DBCE" w14:textId="0D0890F8" w:rsidR="001D6B10" w:rsidRPr="00B900EA" w:rsidRDefault="001D6B10" w:rsidP="00F26D77">
      <w:pPr>
        <w:pStyle w:val="Notedebasdepage"/>
        <w:rPr>
          <w:sz w:val="2"/>
          <w:szCs w:val="2"/>
        </w:rPr>
      </w:pPr>
      <w:r>
        <w:tab/>
      </w:r>
      <w:r w:rsidRPr="0091537E">
        <w:rPr>
          <w:rStyle w:val="Appelnotedebasdep"/>
          <w:szCs w:val="24"/>
        </w:rPr>
        <w:footnoteRef/>
      </w:r>
      <w:r>
        <w:tab/>
      </w:r>
      <w:r w:rsidRPr="0091537E">
        <w:t>Il s’agit du :</w:t>
      </w:r>
      <w:r>
        <w:t xml:space="preserve"> </w:t>
      </w:r>
      <w:r w:rsidRPr="0091537E">
        <w:t>Mémorandum sur l’avant-projet de Code de procédure pénale. Série Contribut</w:t>
      </w:r>
      <w:r>
        <w:t xml:space="preserve">ion au Débat Public -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t xml:space="preserve">7 2014 ; </w:t>
      </w:r>
      <w:r w:rsidRPr="0091537E">
        <w:t xml:space="preserve">Mémorandum relatif au </w:t>
      </w:r>
      <w:r>
        <w:t>p</w:t>
      </w:r>
      <w:r w:rsidRPr="0091537E">
        <w:t xml:space="preserve">rojet de loi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91537E">
        <w:t xml:space="preserve">86.14 modifiant et complétant les dispositions du </w:t>
      </w:r>
      <w:r>
        <w:t>CP</w:t>
      </w:r>
      <w:r w:rsidRPr="0091537E">
        <w:t xml:space="preserve"> et d</w:t>
      </w:r>
      <w:r>
        <w:t>u CPP</w:t>
      </w:r>
      <w:r w:rsidRPr="0091537E">
        <w:t xml:space="preserve"> relatives à la lutte contre le terrorisme</w:t>
      </w:r>
      <w:r>
        <w:t>,</w:t>
      </w:r>
      <w:r w:rsidRPr="0091537E">
        <w:t xml:space="preserve"> </w:t>
      </w:r>
      <w:r>
        <w:t>j</w:t>
      </w:r>
      <w:r w:rsidRPr="0091537E">
        <w:t>anvier 2015.</w:t>
      </w:r>
    </w:p>
  </w:footnote>
  <w:footnote w:id="42">
    <w:p w14:paraId="1C0D407D" w14:textId="77777777" w:rsidR="001D6B10" w:rsidRPr="00BE1DDF" w:rsidRDefault="001D6B10" w:rsidP="00013F70">
      <w:pPr>
        <w:pStyle w:val="Notedebasdepage"/>
      </w:pPr>
      <w:r>
        <w:tab/>
      </w:r>
      <w:r>
        <w:rPr>
          <w:rStyle w:val="Appelnotedebasdep"/>
        </w:rPr>
        <w:footnoteRef/>
      </w:r>
      <w:r>
        <w:tab/>
      </w:r>
      <w:r w:rsidRPr="00BE1DDF">
        <w:t>Voir DGAPR, Bilan d’activités 2017, p. 17.</w:t>
      </w:r>
    </w:p>
  </w:footnote>
  <w:footnote w:id="43">
    <w:p w14:paraId="436FACF0" w14:textId="2492C536" w:rsidR="001D6B10" w:rsidRDefault="001D6B10" w:rsidP="00013F70">
      <w:pPr>
        <w:pStyle w:val="Notedebasdepage"/>
      </w:pPr>
      <w:r>
        <w:tab/>
      </w:r>
      <w:r>
        <w:rPr>
          <w:rStyle w:val="Appelnotedebasdep"/>
        </w:rPr>
        <w:footnoteRef/>
      </w:r>
      <w:r>
        <w:tab/>
      </w:r>
      <w:r w:rsidRPr="003F0BBA">
        <w:t xml:space="preserve">Publiée au 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3F0BBA">
        <w:t xml:space="preserve">6526, en date du </w:t>
      </w:r>
      <w:r>
        <w:t xml:space="preserve">15 </w:t>
      </w:r>
      <w:proofErr w:type="spellStart"/>
      <w:r w:rsidRPr="0081005D">
        <w:rPr>
          <w:i/>
          <w:iCs/>
        </w:rPr>
        <w:t>rabii</w:t>
      </w:r>
      <w:proofErr w:type="spellEnd"/>
      <w:r>
        <w:t xml:space="preserve"> I 1438 (</w:t>
      </w:r>
      <w:r w:rsidRPr="003F0BBA">
        <w:t>15-12-2016</w:t>
      </w:r>
      <w:r>
        <w:t>).</w:t>
      </w:r>
    </w:p>
  </w:footnote>
  <w:footnote w:id="44">
    <w:p w14:paraId="2E4A4F80" w14:textId="17FD38E8" w:rsidR="001D6B10" w:rsidRPr="001C1296" w:rsidRDefault="001D6B10" w:rsidP="00013F70">
      <w:pPr>
        <w:pStyle w:val="Notedebasdepage"/>
      </w:pPr>
      <w:r>
        <w:tab/>
      </w:r>
      <w:r>
        <w:rPr>
          <w:rStyle w:val="Appelnotedebasdep"/>
        </w:rPr>
        <w:footnoteRef/>
      </w:r>
      <w:r>
        <w:tab/>
        <w:t>À</w:t>
      </w:r>
      <w:r w:rsidRPr="001C1296">
        <w:t xml:space="preserve"> la Chambre des Représentants, suite aux élections législatives du 7 octobre 2016, la représentativité des femmes a marqué une nette amélioration : 81 femmes sur 395 députés, contre 67 femmes en 2011, soit une augmentation de 20,5</w:t>
      </w:r>
      <w:r>
        <w:t> %</w:t>
      </w:r>
      <w:r w:rsidRPr="001C1296">
        <w:t>.</w:t>
      </w:r>
    </w:p>
  </w:footnote>
  <w:footnote w:id="45">
    <w:p w14:paraId="73D8B2F2" w14:textId="6DCB2D70" w:rsidR="001D6B10" w:rsidRPr="005E52A4" w:rsidRDefault="001D6B10" w:rsidP="00013F70">
      <w:pPr>
        <w:pStyle w:val="Notedebasdepage"/>
      </w:pPr>
      <w:r>
        <w:tab/>
      </w:r>
      <w:r>
        <w:rPr>
          <w:rStyle w:val="Appelnotedebasdep"/>
        </w:rPr>
        <w:footnoteRef/>
      </w:r>
      <w:r>
        <w:tab/>
      </w:r>
      <w:r w:rsidRPr="00F92AE0">
        <w:t>BO</w:t>
      </w:r>
      <w:r>
        <w:t xml:space="preserve">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F92AE0">
        <w:t>6070</w:t>
      </w:r>
      <w:r w:rsidRPr="003F0BBA">
        <w:t xml:space="preserve">, </w:t>
      </w:r>
      <w:r>
        <w:t>daté de</w:t>
      </w:r>
      <w:r w:rsidRPr="00F92AE0">
        <w:t xml:space="preserve"> 13 </w:t>
      </w:r>
      <w:r w:rsidR="00374337" w:rsidRPr="00F92AE0">
        <w:t xml:space="preserve">Ramadan </w:t>
      </w:r>
      <w:r w:rsidRPr="00F92AE0">
        <w:t>1433 (2-8-2012)</w:t>
      </w:r>
      <w:r>
        <w:t xml:space="preserve">, </w:t>
      </w:r>
      <w:r w:rsidRPr="00FB087E">
        <w:t>modifiée et complétée le 10 ao</w:t>
      </w:r>
      <w:r>
        <w:t>û</w:t>
      </w:r>
      <w:r w:rsidRPr="00FB087E">
        <w:t>t 2016</w:t>
      </w:r>
      <w:r w:rsidRPr="00F92AE0">
        <w:t>.</w:t>
      </w:r>
    </w:p>
  </w:footnote>
  <w:footnote w:id="46">
    <w:p w14:paraId="5B55D8C3" w14:textId="164A98A9" w:rsidR="001D6B10" w:rsidRDefault="001D6B10" w:rsidP="00013F70">
      <w:pPr>
        <w:pStyle w:val="Notedebasdepage"/>
      </w:pPr>
      <w:r>
        <w:tab/>
      </w:r>
      <w:r>
        <w:rPr>
          <w:rStyle w:val="Appelnotedebasdep"/>
        </w:rPr>
        <w:footnoteRef/>
      </w:r>
      <w:r>
        <w:tab/>
      </w:r>
      <w:r w:rsidRPr="009E633D">
        <w:t xml:space="preserve">Ministère de l’Economie et des Finances. Rapport sur les ressources humaines. Projet de </w:t>
      </w:r>
      <w:r w:rsidR="00F26D77">
        <w:t>l</w:t>
      </w:r>
      <w:r w:rsidRPr="009E633D">
        <w:t>oi de</w:t>
      </w:r>
      <w:r w:rsidR="00F26D77">
        <w:t> </w:t>
      </w:r>
      <w:r w:rsidR="0081005D">
        <w:t>f</w:t>
      </w:r>
      <w:r w:rsidRPr="009E633D">
        <w:t>inances pour l’année budgétaire 2018.</w:t>
      </w:r>
    </w:p>
  </w:footnote>
  <w:footnote w:id="47">
    <w:p w14:paraId="07698B95" w14:textId="17416779" w:rsidR="001D6B10" w:rsidRPr="007E2571" w:rsidRDefault="001D6B10" w:rsidP="00013F70">
      <w:pPr>
        <w:pStyle w:val="Notedebasdepage"/>
      </w:pPr>
      <w:r>
        <w:tab/>
      </w:r>
      <w:r>
        <w:rPr>
          <w:rStyle w:val="Appelnotedebasdep"/>
        </w:rPr>
        <w:footnoteRef/>
      </w:r>
      <w:r>
        <w:tab/>
      </w:r>
      <w:r w:rsidRPr="007E2571">
        <w:t xml:space="preserve">Les « </w:t>
      </w:r>
      <w:proofErr w:type="spellStart"/>
      <w:r w:rsidRPr="007E2571">
        <w:t>Adouls</w:t>
      </w:r>
      <w:proofErr w:type="spellEnd"/>
      <w:r w:rsidRPr="007E2571">
        <w:t xml:space="preserve"> », profession libérale organisée dans le cadre d’un ordre national des </w:t>
      </w:r>
      <w:r>
        <w:t>« </w:t>
      </w:r>
      <w:proofErr w:type="spellStart"/>
      <w:r w:rsidRPr="007E2571">
        <w:t>Adouls</w:t>
      </w:r>
      <w:proofErr w:type="spellEnd"/>
      <w:r>
        <w:t> »</w:t>
      </w:r>
      <w:r w:rsidRPr="007E2571">
        <w:t>, subdivisé en conseils régionaux dans les circonscriptions des cours d’appel, sont considérés comme</w:t>
      </w:r>
      <w:r w:rsidR="0081005D">
        <w:t> </w:t>
      </w:r>
      <w:r w:rsidRPr="007E2571">
        <w:t>des auxiliaires de la justice.</w:t>
      </w:r>
    </w:p>
  </w:footnote>
  <w:footnote w:id="48">
    <w:p w14:paraId="771C8554" w14:textId="360F1597" w:rsidR="001D6B10" w:rsidRDefault="001D6B10" w:rsidP="00013F70">
      <w:pPr>
        <w:pStyle w:val="Notedebasdepage"/>
      </w:pPr>
      <w:r>
        <w:tab/>
      </w:r>
      <w:r>
        <w:rPr>
          <w:rStyle w:val="Appelnotedebasdep"/>
        </w:rPr>
        <w:footnoteRef/>
      </w:r>
      <w:r>
        <w:tab/>
      </w:r>
      <w:r w:rsidRPr="0099292E">
        <w:t>Rapport sur l’</w:t>
      </w:r>
      <w:r>
        <w:t>État</w:t>
      </w:r>
      <w:r w:rsidRPr="0099292E">
        <w:t xml:space="preserve"> de l’égalité </w:t>
      </w:r>
      <w:r>
        <w:t>e</w:t>
      </w:r>
      <w:r w:rsidRPr="0099292E">
        <w:t xml:space="preserve">t de la parité au Maroc. Résumé exécutif - </w:t>
      </w:r>
      <w:r w:rsidR="00735965">
        <w:t>j</w:t>
      </w:r>
      <w:r w:rsidRPr="0099292E">
        <w:t>uillet 2015, p</w:t>
      </w:r>
      <w:r>
        <w:t>p</w:t>
      </w:r>
      <w:r w:rsidRPr="0099292E">
        <w:t>.</w:t>
      </w:r>
      <w:r>
        <w:t> 12-13.</w:t>
      </w:r>
    </w:p>
  </w:footnote>
  <w:footnote w:id="49">
    <w:p w14:paraId="1C33DC2E" w14:textId="42A6A9CE" w:rsidR="001D6B10" w:rsidRDefault="001D6B10" w:rsidP="00013F70">
      <w:pPr>
        <w:pStyle w:val="Notedebasdepage"/>
      </w:pPr>
      <w:r>
        <w:tab/>
      </w:r>
      <w:r>
        <w:rPr>
          <w:rStyle w:val="Appelnotedebasdep"/>
        </w:rPr>
        <w:footnoteRef/>
      </w:r>
      <w:r>
        <w:tab/>
      </w:r>
      <w:r w:rsidRPr="001A0BEB">
        <w:rPr>
          <w:rFonts w:eastAsia="Times New Roman"/>
          <w:lang w:eastAsia="fr-FR"/>
        </w:rPr>
        <w:t xml:space="preserve">B.O </w:t>
      </w:r>
      <w:r>
        <w:rPr>
          <w:rFonts w:asciiTheme="majorBidi" w:eastAsia="Times New Roman" w:hAnsiTheme="majorBidi" w:cstheme="majorBidi"/>
          <w:color w:val="000000"/>
          <w:lang w:eastAsia="fr-FR"/>
        </w:rPr>
        <w:t>n</w:t>
      </w:r>
      <w:r w:rsidRPr="00050C02">
        <w:rPr>
          <w:rFonts w:asciiTheme="majorBidi" w:eastAsia="Times New Roman" w:hAnsiTheme="majorBidi" w:cstheme="majorBidi"/>
          <w:color w:val="000000"/>
          <w:vertAlign w:val="superscript"/>
          <w:lang w:eastAsia="fr-FR"/>
        </w:rPr>
        <w:t>o</w:t>
      </w:r>
      <w:r>
        <w:rPr>
          <w:rFonts w:asciiTheme="majorBidi" w:eastAsia="Times New Roman" w:hAnsiTheme="majorBidi" w:cstheme="majorBidi"/>
          <w:color w:val="000000"/>
          <w:lang w:eastAsia="fr-FR"/>
        </w:rPr>
        <w:t> </w:t>
      </w:r>
      <w:r w:rsidRPr="001A0BEB">
        <w:rPr>
          <w:rFonts w:eastAsia="Times New Roman"/>
          <w:lang w:eastAsia="fr-FR"/>
        </w:rPr>
        <w:t>5054</w:t>
      </w:r>
      <w:r>
        <w:rPr>
          <w:rFonts w:eastAsia="Times New Roman"/>
          <w:lang w:eastAsia="fr-FR"/>
        </w:rPr>
        <w:t>,</w:t>
      </w:r>
      <w:r w:rsidRPr="001A0BEB">
        <w:rPr>
          <w:rFonts w:eastAsia="Times New Roman"/>
          <w:lang w:eastAsia="fr-FR"/>
        </w:rPr>
        <w:t xml:space="preserve"> du 7 novembre 2002</w:t>
      </w:r>
      <w:r>
        <w:rPr>
          <w:rFonts w:eastAsia="Times New Roman"/>
          <w:lang w:eastAsia="fr-FR"/>
        </w:rPr>
        <w:t>.</w:t>
      </w:r>
    </w:p>
  </w:footnote>
  <w:footnote w:id="50">
    <w:p w14:paraId="0C92A383" w14:textId="619FA436" w:rsidR="001D6B10" w:rsidRPr="0091537E" w:rsidRDefault="001D6B10" w:rsidP="00013F70">
      <w:pPr>
        <w:pStyle w:val="Notedebasdepage"/>
      </w:pPr>
      <w:r>
        <w:tab/>
      </w:r>
      <w:r w:rsidRPr="0091537E">
        <w:rPr>
          <w:rStyle w:val="Appelnotedebasdep"/>
          <w:szCs w:val="24"/>
          <w:lang w:val="fr-FR"/>
        </w:rPr>
        <w:footnoteRef/>
      </w:r>
      <w:r>
        <w:tab/>
      </w:r>
      <w:r w:rsidRPr="0091537E">
        <w:t>Le prénom choisi par la personne faisant la déclaration de naissance en vue de l</w:t>
      </w:r>
      <w:r>
        <w:t>’</w:t>
      </w:r>
      <w:r w:rsidRPr="0091537E">
        <w:t>inscription sur les registres de l</w:t>
      </w:r>
      <w:r>
        <w:t>’</w:t>
      </w:r>
      <w:r w:rsidRPr="0091537E">
        <w:t>état civil doit présenter un caractère marocain et ne doit être ni un nom de famille ni un nom composé de plus de deux prénoms, ni un nom de ville, de village ou de tribu, comme il ne doit pas être de nature à porter atteinte aux bonnes mœurs ou à l</w:t>
      </w:r>
      <w:r>
        <w:t>’</w:t>
      </w:r>
      <w:r w:rsidRPr="0091537E">
        <w:t>ordre public.</w:t>
      </w:r>
    </w:p>
    <w:p w14:paraId="7097810C" w14:textId="5A3A0217" w:rsidR="001D6B10" w:rsidRPr="000366F9" w:rsidRDefault="001D6B10" w:rsidP="00013F70">
      <w:pPr>
        <w:pStyle w:val="Notedebasdepage"/>
        <w:rPr>
          <w:sz w:val="2"/>
          <w:szCs w:val="2"/>
        </w:rPr>
      </w:pPr>
      <w:r>
        <w:tab/>
      </w:r>
      <w:r>
        <w:tab/>
      </w:r>
      <w:r w:rsidRPr="0091537E">
        <w:t>L</w:t>
      </w:r>
      <w:r>
        <w:t>e</w:t>
      </w:r>
      <w:r w:rsidRPr="0091537E">
        <w:t xml:space="preserve"> prénom déclaré doit précéder le nom de famille lors de l</w:t>
      </w:r>
      <w:r>
        <w:t>’</w:t>
      </w:r>
      <w:r w:rsidRPr="0091537E">
        <w:t>inscription sur le registre de l</w:t>
      </w:r>
      <w:r>
        <w:t>’</w:t>
      </w:r>
      <w:r w:rsidRPr="0091537E">
        <w:t>état civil et ne doit comporter aucun sobriquet ou titre tel que « Moulay », «</w:t>
      </w:r>
      <w:r>
        <w:t xml:space="preserve"> </w:t>
      </w:r>
      <w:r w:rsidRPr="0091537E">
        <w:t>Sidi</w:t>
      </w:r>
      <w:r>
        <w:t xml:space="preserve"> </w:t>
      </w:r>
      <w:r w:rsidRPr="0091537E">
        <w:t>», ou «</w:t>
      </w:r>
      <w:r>
        <w:t xml:space="preserve"> </w:t>
      </w:r>
      <w:r w:rsidRPr="0091537E">
        <w:t>Lalla</w:t>
      </w:r>
      <w:r>
        <w:t xml:space="preserve"> </w:t>
      </w:r>
      <w:r w:rsidRPr="0091537E">
        <w:t>» (</w:t>
      </w:r>
      <w:r>
        <w:t>a</w:t>
      </w:r>
      <w:r w:rsidRPr="0091537E">
        <w:t>rt</w:t>
      </w:r>
      <w:r>
        <w:t>.</w:t>
      </w:r>
      <w:r w:rsidRPr="0091537E">
        <w:t xml:space="preserve"> 21)</w:t>
      </w:r>
      <w:r>
        <w:t>.</w:t>
      </w:r>
    </w:p>
  </w:footnote>
  <w:footnote w:id="51">
    <w:p w14:paraId="7F3EACDB" w14:textId="6CB65DA4" w:rsidR="001D6B10" w:rsidRPr="0091537E" w:rsidRDefault="001D6B10" w:rsidP="00013F70">
      <w:pPr>
        <w:pStyle w:val="Notedebasdepage"/>
      </w:pPr>
      <w:r>
        <w:tab/>
      </w:r>
      <w:r w:rsidRPr="00904681">
        <w:rPr>
          <w:rStyle w:val="Appelnotedebasdep"/>
        </w:rPr>
        <w:footnoteRef/>
      </w:r>
      <w:r>
        <w:tab/>
      </w:r>
      <w:r w:rsidRPr="0091537E">
        <w:t xml:space="preserve">« On entend par </w:t>
      </w:r>
      <w:r w:rsidRPr="00D63CD8">
        <w:t>“caractère</w:t>
      </w:r>
      <w:r w:rsidRPr="0091537E">
        <w:t xml:space="preserve"> marocain</w:t>
      </w:r>
      <w:r w:rsidRPr="00D63CD8">
        <w:t>”</w:t>
      </w:r>
      <w:r w:rsidRPr="0091537E">
        <w:t xml:space="preserve"> les spécificités de la société marocaine, du nord au sud et d</w:t>
      </w:r>
      <w:r>
        <w:t>’</w:t>
      </w:r>
      <w:r w:rsidRPr="0091537E">
        <w:t>est en ouest, et faisant que le prénom soit si fréquent au Maroc à tel point qu’il fasse partie des us et coutumes et traditionnellement porté</w:t>
      </w:r>
      <w:r w:rsidR="00F26D77">
        <w:t> </w:t>
      </w:r>
      <w:r>
        <w:t>;</w:t>
      </w:r>
      <w:r w:rsidRPr="0091537E">
        <w:t xml:space="preserve"> ainsi devient-t-il familier à l</w:t>
      </w:r>
      <w:r>
        <w:t>’</w:t>
      </w:r>
      <w:r w:rsidRPr="0091537E">
        <w:t>oreille marocaine, au contexte et auprès de toutes les composantes de la société marocaine. Il s’agit d’un prénom communément porté et qui ne pose de difficultés pour le reconnaître.</w:t>
      </w:r>
    </w:p>
    <w:p w14:paraId="47C41212" w14:textId="0D984F1A" w:rsidR="001D6B10" w:rsidRPr="000366F9" w:rsidRDefault="001D6B10" w:rsidP="00F26D77">
      <w:pPr>
        <w:pStyle w:val="Notedebasdepage"/>
        <w:rPr>
          <w:sz w:val="2"/>
          <w:szCs w:val="2"/>
        </w:rPr>
      </w:pPr>
      <w:r>
        <w:tab/>
      </w:r>
      <w:r>
        <w:tab/>
      </w:r>
      <w:r w:rsidRPr="0091537E">
        <w:t>Ainsi, les prénoms marocains sont</w:t>
      </w:r>
      <w:r>
        <w:t> </w:t>
      </w:r>
      <w:r w:rsidRPr="0091537E">
        <w:t>:</w:t>
      </w:r>
      <w:r>
        <w:t xml:space="preserve"> L</w:t>
      </w:r>
      <w:r w:rsidRPr="0091537E">
        <w:t>es prénoms arabes usités au Maroc depuis l’antiquité</w:t>
      </w:r>
      <w:r>
        <w:t> </w:t>
      </w:r>
      <w:r w:rsidRPr="0091537E">
        <w:t>;</w:t>
      </w:r>
      <w:r>
        <w:t xml:space="preserve"> L</w:t>
      </w:r>
      <w:r w:rsidRPr="0091537E">
        <w:t xml:space="preserve">es noms d’Allah lorsque précédés par le qualificatif </w:t>
      </w:r>
      <w:r w:rsidR="00F26D77" w:rsidRPr="00D63CD8">
        <w:t>“</w:t>
      </w:r>
      <w:proofErr w:type="spellStart"/>
      <w:r w:rsidRPr="0091537E">
        <w:t>abd</w:t>
      </w:r>
      <w:proofErr w:type="spellEnd"/>
      <w:r w:rsidR="00F26D77" w:rsidRPr="00D63CD8">
        <w:t>”</w:t>
      </w:r>
      <w:r>
        <w:t> </w:t>
      </w:r>
      <w:r w:rsidRPr="0091537E">
        <w:t>;</w:t>
      </w:r>
      <w:r>
        <w:t xml:space="preserve"> </w:t>
      </w:r>
      <w:r w:rsidRPr="0091537E">
        <w:t>Les prénoms amazighs dont la signification peut varier d</w:t>
      </w:r>
      <w:r>
        <w:t>’</w:t>
      </w:r>
      <w:r w:rsidRPr="0091537E">
        <w:t>une région à l’autre</w:t>
      </w:r>
      <w:r w:rsidR="00F26D77">
        <w:t> </w:t>
      </w:r>
      <w:r>
        <w:t xml:space="preserve">; </w:t>
      </w:r>
      <w:r w:rsidRPr="0091537E">
        <w:t>Les prénoms en cours au Maroc ces dernières années, avec une prononciation correcte de langue arabe ou d’origine musulmane</w:t>
      </w:r>
      <w:r w:rsidR="00F26D77">
        <w:t> </w:t>
      </w:r>
      <w:r>
        <w:t>; L</w:t>
      </w:r>
      <w:r w:rsidRPr="0091537E">
        <w:t>es prénoms hébreux pour les Juifs marocains. » (</w:t>
      </w:r>
      <w:r>
        <w:t>c</w:t>
      </w:r>
      <w:r w:rsidRPr="0091537E">
        <w:t>irculaire D-3220</w:t>
      </w:r>
      <w:r>
        <w:t>,</w:t>
      </w:r>
      <w:r w:rsidRPr="00F11AB8">
        <w:t xml:space="preserve"> </w:t>
      </w:r>
      <w:r w:rsidRPr="0091537E">
        <w:t>p.</w:t>
      </w:r>
      <w:r>
        <w:t> </w:t>
      </w:r>
      <w:r w:rsidRPr="0091537E">
        <w:t>2).</w:t>
      </w:r>
    </w:p>
  </w:footnote>
  <w:footnote w:id="52">
    <w:p w14:paraId="47F61E18" w14:textId="730F5F55" w:rsidR="001D6B10" w:rsidRDefault="001D6B10" w:rsidP="00013F70">
      <w:pPr>
        <w:pStyle w:val="Notedebasdepage"/>
      </w:pPr>
      <w:r>
        <w:tab/>
      </w:r>
      <w:r w:rsidRPr="00904681">
        <w:rPr>
          <w:rStyle w:val="Appelnotedebasdep"/>
        </w:rPr>
        <w:footnoteRef/>
      </w:r>
      <w:r>
        <w:tab/>
        <w:t>L</w:t>
      </w:r>
      <w:r w:rsidRPr="0091537E">
        <w:t xml:space="preserve">e cas </w:t>
      </w:r>
      <w:r>
        <w:t xml:space="preserve">par exemple </w:t>
      </w:r>
      <w:r w:rsidRPr="0091537E">
        <w:t>du refus au niveau du consulat marocain de Pontoise (France) de l’inscription d’une fille avec le prénom «</w:t>
      </w:r>
      <w:r>
        <w:t> </w:t>
      </w:r>
      <w:proofErr w:type="spellStart"/>
      <w:r w:rsidRPr="0091537E">
        <w:t>Rawane</w:t>
      </w:r>
      <w:proofErr w:type="spellEnd"/>
      <w:r w:rsidRPr="0091537E">
        <w:t> »</w:t>
      </w:r>
      <w:r>
        <w:t>. L</w:t>
      </w:r>
      <w:r w:rsidRPr="0091537E">
        <w:t xml:space="preserve">a raison </w:t>
      </w:r>
      <w:r>
        <w:t xml:space="preserve">invoquée de ce refus </w:t>
      </w:r>
      <w:r w:rsidRPr="0091537E">
        <w:t xml:space="preserve">étant que ce prénom </w:t>
      </w:r>
      <w:r>
        <w:t>est</w:t>
      </w:r>
      <w:r w:rsidRPr="0091537E">
        <w:t xml:space="preserve"> </w:t>
      </w:r>
      <w:r>
        <w:t>d’</w:t>
      </w:r>
      <w:r w:rsidRPr="0091537E">
        <w:t>origine perse dont la transcription en arabe signifierait « esclave ». Saisie à cet effet, la Haute commission de l’état civil a finalement autorisé le prénom « </w:t>
      </w:r>
      <w:proofErr w:type="spellStart"/>
      <w:r w:rsidRPr="0091537E">
        <w:t>Rawane</w:t>
      </w:r>
      <w:proofErr w:type="spellEnd"/>
      <w:r w:rsidRPr="0091537E">
        <w:t> » pour les enfants marocains. La</w:t>
      </w:r>
      <w:r>
        <w:t> </w:t>
      </w:r>
      <w:r w:rsidRPr="0091537E">
        <w:t xml:space="preserve">décision </w:t>
      </w:r>
      <w:r>
        <w:t xml:space="preserve">de </w:t>
      </w:r>
      <w:r w:rsidRPr="0091537E">
        <w:t>la Haute commission a été rendue</w:t>
      </w:r>
      <w:r>
        <w:t xml:space="preserve"> le</w:t>
      </w:r>
      <w:r w:rsidRPr="0091537E">
        <w:t xml:space="preserve"> jeudi 23 janvier 2014.</w:t>
      </w:r>
    </w:p>
  </w:footnote>
  <w:footnote w:id="53">
    <w:p w14:paraId="47ED6B97" w14:textId="77777777" w:rsidR="001D6B10" w:rsidRPr="0091537E" w:rsidRDefault="001D6B10" w:rsidP="00013F70">
      <w:pPr>
        <w:pStyle w:val="Notedebasdepage"/>
      </w:pPr>
      <w:r>
        <w:tab/>
      </w:r>
      <w:r w:rsidRPr="0091537E">
        <w:rPr>
          <w:rStyle w:val="Appelnotedebasdep"/>
          <w:szCs w:val="22"/>
        </w:rPr>
        <w:footnoteRef/>
      </w:r>
      <w:r>
        <w:tab/>
      </w:r>
      <w:r w:rsidRPr="0091537E">
        <w:t>Il s’agit de Souss</w:t>
      </w:r>
      <w:r>
        <w:t>-</w:t>
      </w:r>
      <w:r w:rsidRPr="0091537E">
        <w:t>Massa-Draa (Tiznit et Zagora), Doukkala-</w:t>
      </w:r>
      <w:proofErr w:type="spellStart"/>
      <w:r w:rsidRPr="0091537E">
        <w:t>Abda</w:t>
      </w:r>
      <w:proofErr w:type="spellEnd"/>
      <w:r w:rsidRPr="0091537E">
        <w:t xml:space="preserve"> (Safi), Chaouia</w:t>
      </w:r>
      <w:r>
        <w:t>-</w:t>
      </w:r>
      <w:proofErr w:type="spellStart"/>
      <w:r w:rsidRPr="0091537E">
        <w:t>Ouardigha</w:t>
      </w:r>
      <w:proofErr w:type="spellEnd"/>
      <w:r w:rsidRPr="0091537E">
        <w:t xml:space="preserve"> (Settat), Oriental (Nador), Taza</w:t>
      </w:r>
      <w:r>
        <w:t>-</w:t>
      </w:r>
      <w:proofErr w:type="spellStart"/>
      <w:r w:rsidRPr="0091537E">
        <w:t>Taounate</w:t>
      </w:r>
      <w:proofErr w:type="spellEnd"/>
      <w:r w:rsidRPr="0091537E">
        <w:t>-Al-Hocei</w:t>
      </w:r>
      <w:r>
        <w:t>m</w:t>
      </w:r>
      <w:r w:rsidRPr="0091537E">
        <w:t>a (</w:t>
      </w:r>
      <w:proofErr w:type="spellStart"/>
      <w:r w:rsidRPr="0091537E">
        <w:t>Taounate</w:t>
      </w:r>
      <w:proofErr w:type="spellEnd"/>
      <w:r w:rsidRPr="0091537E">
        <w:t>), Tadla-Beni</w:t>
      </w:r>
      <w:r>
        <w:t>-</w:t>
      </w:r>
      <w:r w:rsidRPr="0091537E">
        <w:t>Mellal (</w:t>
      </w:r>
      <w:proofErr w:type="spellStart"/>
      <w:r w:rsidRPr="0091537E">
        <w:t>Azilal</w:t>
      </w:r>
      <w:proofErr w:type="spellEnd"/>
      <w:r w:rsidRPr="0091537E">
        <w:t xml:space="preserve">), </w:t>
      </w:r>
      <w:proofErr w:type="spellStart"/>
      <w:r w:rsidRPr="0091537E">
        <w:t>Guelmim</w:t>
      </w:r>
      <w:proofErr w:type="spellEnd"/>
      <w:r w:rsidRPr="0091537E">
        <w:t>-Smar</w:t>
      </w:r>
      <w:r>
        <w:t>a</w:t>
      </w:r>
      <w:r w:rsidRPr="0091537E">
        <w:t xml:space="preserve"> (Tata), Marrakech-</w:t>
      </w:r>
      <w:proofErr w:type="spellStart"/>
      <w:r w:rsidRPr="0091537E">
        <w:t>Tansift</w:t>
      </w:r>
      <w:proofErr w:type="spellEnd"/>
      <w:r w:rsidRPr="0091537E">
        <w:t>-Al Haouz (Essaouira).</w:t>
      </w:r>
    </w:p>
  </w:footnote>
  <w:footnote w:id="54">
    <w:p w14:paraId="7A4556C5" w14:textId="7D0E0348" w:rsidR="001D6B10" w:rsidRPr="00571C91" w:rsidRDefault="001D6B10" w:rsidP="00013F70">
      <w:pPr>
        <w:pStyle w:val="Notedebasdepage"/>
        <w:rPr>
          <w:sz w:val="2"/>
          <w:szCs w:val="2"/>
        </w:rPr>
      </w:pPr>
      <w:r>
        <w:tab/>
      </w:r>
      <w:r w:rsidRPr="0091537E">
        <w:rPr>
          <w:rStyle w:val="Appelnotedebasdep"/>
          <w:szCs w:val="24"/>
        </w:rPr>
        <w:footnoteRef/>
      </w:r>
      <w:r>
        <w:tab/>
      </w:r>
      <w:r w:rsidRPr="0091537E">
        <w:t>Promotion de l’égalité entre les femmes et les hommes</w:t>
      </w:r>
      <w:r>
        <w:t xml:space="preserve"> </w:t>
      </w:r>
      <w:r w:rsidRPr="0091537E">
        <w:t>dans la vie économique, sociale, culturelle et politique. Les discriminations à l’égard des femmes dans la vie économique : réalités et</w:t>
      </w:r>
      <w:r>
        <w:t> </w:t>
      </w:r>
      <w:r w:rsidRPr="0091537E">
        <w:t>recommandations. Auto-Saisine n</w:t>
      </w:r>
      <w:r w:rsidRPr="00013F70">
        <w:rPr>
          <w:vertAlign w:val="superscript"/>
        </w:rPr>
        <w:t>o</w:t>
      </w:r>
      <w:r>
        <w:t> </w:t>
      </w:r>
      <w:r w:rsidRPr="0091537E">
        <w:t>18/2014.</w:t>
      </w:r>
    </w:p>
  </w:footnote>
  <w:footnote w:id="55">
    <w:p w14:paraId="511EB861" w14:textId="77777777" w:rsidR="001D6B10" w:rsidRPr="00571C91" w:rsidRDefault="001D6B10" w:rsidP="00013F70">
      <w:pPr>
        <w:pStyle w:val="Notedebasdepage"/>
      </w:pPr>
      <w:r>
        <w:rPr>
          <w:szCs w:val="24"/>
        </w:rPr>
        <w:tab/>
      </w:r>
      <w:r w:rsidRPr="00571C91">
        <w:rPr>
          <w:rStyle w:val="Appelnotedebasdep"/>
          <w:szCs w:val="24"/>
          <w:lang w:val="fr-FR"/>
        </w:rPr>
        <w:footnoteRef/>
      </w:r>
      <w:r>
        <w:rPr>
          <w:szCs w:val="24"/>
        </w:rPr>
        <w:tab/>
      </w:r>
      <w:r w:rsidRPr="00571C91">
        <w:t>Ibid. p. 65.</w:t>
      </w:r>
    </w:p>
  </w:footnote>
  <w:footnote w:id="56">
    <w:p w14:paraId="2CB3B40A" w14:textId="7E6F061E" w:rsidR="001D6B10" w:rsidRDefault="001D6B10" w:rsidP="00F26D77">
      <w:pPr>
        <w:pStyle w:val="Notedebasdepage"/>
      </w:pPr>
      <w:r>
        <w:tab/>
      </w:r>
      <w:r>
        <w:rPr>
          <w:rStyle w:val="Appelnotedebasdep"/>
        </w:rPr>
        <w:footnoteRef/>
      </w:r>
      <w:r>
        <w:tab/>
      </w:r>
      <w:r w:rsidRPr="004169CC">
        <w:t>Accord entériné lors du Conseil de gouvernement, tenu jeudi 2 mai 2019.</w:t>
      </w:r>
    </w:p>
  </w:footnote>
  <w:footnote w:id="57">
    <w:p w14:paraId="2222D5A6" w14:textId="3C06645D" w:rsidR="001D6B10" w:rsidRDefault="001D6B10" w:rsidP="00013F70">
      <w:pPr>
        <w:pStyle w:val="Notedebasdepage"/>
      </w:pPr>
      <w:r>
        <w:tab/>
      </w:r>
      <w:r>
        <w:rPr>
          <w:rStyle w:val="Appelnotedebasdep"/>
        </w:rPr>
        <w:footnoteRef/>
      </w:r>
      <w:r>
        <w:tab/>
      </w:r>
      <w:r w:rsidRPr="00391840">
        <w:t>Que le patrimoine soit matériel ou immatériel, il est aujourd’hui confronté à divers écueils qui en fragilisent la transmission. La prise de conscience récente dans la société et les compétences dont on dispose aujourd’hui permettent d’en assurer la transmission aux générations futures. La préservation du patrimoine national culturel est aujourd’hui plus qu’une nécessité, une urgence. Voir</w:t>
      </w:r>
      <w:r>
        <w:t> :</w:t>
      </w:r>
      <w:r w:rsidRPr="00391840">
        <w:t xml:space="preserve"> Éléments pour une vision </w:t>
      </w:r>
      <w:r>
        <w:t>« </w:t>
      </w:r>
      <w:r w:rsidRPr="00391840">
        <w:t>patrimoine 2020</w:t>
      </w:r>
      <w:r>
        <w:t> »</w:t>
      </w:r>
      <w:r w:rsidRPr="00391840">
        <w:t>. Minist</w:t>
      </w:r>
      <w:r>
        <w:t>è</w:t>
      </w:r>
      <w:r w:rsidRPr="00391840">
        <w:t>re de la Culture, 2014</w:t>
      </w:r>
      <w:r>
        <w:t>, p. 10</w:t>
      </w:r>
      <w:r w:rsidRPr="00391840">
        <w:t>.</w:t>
      </w:r>
    </w:p>
  </w:footnote>
  <w:footnote w:id="58">
    <w:p w14:paraId="7C5161E9" w14:textId="1B553E8A" w:rsidR="001D6B10" w:rsidRDefault="001D6B10" w:rsidP="00013F70">
      <w:pPr>
        <w:pStyle w:val="Notedebasdepage"/>
      </w:pPr>
      <w:r>
        <w:tab/>
      </w:r>
      <w:r>
        <w:rPr>
          <w:rStyle w:val="Appelnotedebasdep"/>
        </w:rPr>
        <w:footnoteRef/>
      </w:r>
      <w:r>
        <w:tab/>
      </w:r>
      <w:r w:rsidRPr="0099292E">
        <w:t xml:space="preserve">Le CNDH a d’ailleurs formulé </w:t>
      </w:r>
      <w:r>
        <w:t xml:space="preserve">dans ce sens </w:t>
      </w:r>
      <w:r w:rsidRPr="0099292E">
        <w:t>une recommandation incitant à « Reconnaître aux femmes le droit de transmettre leur nationalité à leur époux étranger dans les mêmes conditions exigées pour l’épouse étrangère ». Rapport sur l’</w:t>
      </w:r>
      <w:r>
        <w:t>État</w:t>
      </w:r>
      <w:r w:rsidRPr="0099292E">
        <w:t xml:space="preserve"> de l’égalité </w:t>
      </w:r>
      <w:r>
        <w:t>e</w:t>
      </w:r>
      <w:r w:rsidRPr="0099292E">
        <w:t>t de la parité au Maroc.</w:t>
      </w:r>
      <w:r>
        <w:t xml:space="preserve"> </w:t>
      </w:r>
      <w:r w:rsidRPr="0099292E">
        <w:t>Résumé</w:t>
      </w:r>
      <w:r w:rsidR="00F26D77">
        <w:t> </w:t>
      </w:r>
      <w:r w:rsidRPr="0099292E">
        <w:t xml:space="preserve">exécutif - </w:t>
      </w:r>
      <w:r>
        <w:t>j</w:t>
      </w:r>
      <w:r w:rsidRPr="0099292E">
        <w:t>uillet 2015, p.</w:t>
      </w:r>
      <w:r>
        <w:t xml:space="preserve"> </w:t>
      </w:r>
      <w:r w:rsidRPr="0099292E">
        <w:t>5.</w:t>
      </w:r>
    </w:p>
  </w:footnote>
  <w:footnote w:id="59">
    <w:p w14:paraId="59261B68" w14:textId="2CAEB765" w:rsidR="001D6B10" w:rsidRPr="0091537E" w:rsidRDefault="001D6B10" w:rsidP="00013F70">
      <w:pPr>
        <w:pStyle w:val="Notedebasdepage"/>
        <w:rPr>
          <w:rFonts w:eastAsia="Times New Roman"/>
          <w:lang w:eastAsia="fr-FR"/>
        </w:rPr>
      </w:pPr>
      <w:r>
        <w:rPr>
          <w:sz w:val="24"/>
          <w:szCs w:val="24"/>
        </w:rPr>
        <w:tab/>
      </w:r>
      <w:r w:rsidRPr="0091537E">
        <w:rPr>
          <w:rStyle w:val="Appelnotedebasdep"/>
          <w:szCs w:val="24"/>
        </w:rPr>
        <w:footnoteRef/>
      </w:r>
      <w:r>
        <w:rPr>
          <w:sz w:val="24"/>
          <w:szCs w:val="24"/>
        </w:rPr>
        <w:tab/>
      </w:r>
      <w:r w:rsidRPr="0091537E">
        <w:rPr>
          <w:rFonts w:eastAsia="Times New Roman"/>
          <w:lang w:eastAsia="fr-FR"/>
        </w:rPr>
        <w:t>Il s’agit notamment de l’étude intitulée « Protection des droits des femmes à travers la jurisprudence marocaine : étude documentaire et analytique de l</w:t>
      </w:r>
      <w:r>
        <w:rPr>
          <w:rFonts w:eastAsia="Times New Roman"/>
          <w:lang w:eastAsia="fr-FR"/>
        </w:rPr>
        <w:t>’</w:t>
      </w:r>
      <w:r w:rsidRPr="0091537E">
        <w:rPr>
          <w:rFonts w:eastAsia="Times New Roman"/>
          <w:lang w:eastAsia="fr-FR"/>
        </w:rPr>
        <w:t>indépendance à 2013 ». Rabat 2014</w:t>
      </w:r>
      <w:r>
        <w:rPr>
          <w:rFonts w:eastAsia="Times New Roman"/>
          <w:lang w:eastAsia="fr-FR"/>
        </w:rPr>
        <w:t>.</w:t>
      </w:r>
    </w:p>
  </w:footnote>
  <w:footnote w:id="60">
    <w:p w14:paraId="25F6570C" w14:textId="74E7925C" w:rsidR="001D6B10" w:rsidRPr="007040A1" w:rsidRDefault="001D6B10" w:rsidP="00013F70">
      <w:pPr>
        <w:pStyle w:val="Notedebasdepage"/>
        <w:rPr>
          <w:sz w:val="2"/>
          <w:szCs w:val="2"/>
        </w:rPr>
      </w:pPr>
      <w:r>
        <w:tab/>
      </w:r>
      <w:r>
        <w:rPr>
          <w:rStyle w:val="Appelnotedebasdep"/>
        </w:rPr>
        <w:footnoteRef/>
      </w:r>
      <w:r>
        <w:tab/>
      </w:r>
      <w:r w:rsidRPr="007D7426">
        <w:rPr>
          <w:color w:val="212529"/>
        </w:rPr>
        <w:t xml:space="preserve">Dahir </w:t>
      </w:r>
      <w:r w:rsidRPr="0091537E">
        <w:t>n</w:t>
      </w:r>
      <w:r w:rsidRPr="00050C02">
        <w:rPr>
          <w:vertAlign w:val="superscript"/>
        </w:rPr>
        <w:t>o</w:t>
      </w:r>
      <w:r>
        <w:t> </w:t>
      </w:r>
      <w:r w:rsidRPr="007D7426">
        <w:rPr>
          <w:color w:val="212529"/>
        </w:rPr>
        <w:t xml:space="preserve">1-18-20 du 5 </w:t>
      </w:r>
      <w:proofErr w:type="spellStart"/>
      <w:r w:rsidRPr="0081005D">
        <w:rPr>
          <w:i/>
          <w:iCs/>
          <w:color w:val="212529"/>
        </w:rPr>
        <w:t>joumada</w:t>
      </w:r>
      <w:proofErr w:type="spellEnd"/>
      <w:r w:rsidRPr="007D7426">
        <w:rPr>
          <w:color w:val="212529"/>
        </w:rPr>
        <w:t xml:space="preserve"> II 1439 (22 fév</w:t>
      </w:r>
      <w:r w:rsidR="00F26D77">
        <w:rPr>
          <w:color w:val="212529"/>
        </w:rPr>
        <w:t>r</w:t>
      </w:r>
      <w:r w:rsidRPr="007D7426">
        <w:rPr>
          <w:color w:val="212529"/>
        </w:rPr>
        <w:t xml:space="preserve">ier 2018) portant promulgation de la loi </w:t>
      </w:r>
      <w:r w:rsidRPr="0091537E">
        <w:t>n</w:t>
      </w:r>
      <w:r w:rsidRPr="00050C02">
        <w:rPr>
          <w:vertAlign w:val="superscript"/>
        </w:rPr>
        <w:t>o</w:t>
      </w:r>
      <w:r>
        <w:t> </w:t>
      </w:r>
      <w:r w:rsidRPr="007D7426">
        <w:rPr>
          <w:color w:val="212529"/>
        </w:rPr>
        <w:t xml:space="preserve">83-17 modifiant la loi </w:t>
      </w:r>
      <w:r w:rsidRPr="0091537E">
        <w:t>n</w:t>
      </w:r>
      <w:r w:rsidRPr="00050C02">
        <w:rPr>
          <w:vertAlign w:val="superscript"/>
        </w:rPr>
        <w:t>o</w:t>
      </w:r>
      <w:r>
        <w:t> </w:t>
      </w:r>
      <w:r w:rsidRPr="007D7426">
        <w:rPr>
          <w:color w:val="212529"/>
        </w:rPr>
        <w:t xml:space="preserve">41.10 fixant les conditions et procédures pour bénéficier des prestations du Fonds d’entraide familiale. BO </w:t>
      </w:r>
      <w:r w:rsidRPr="0091537E">
        <w:t>n</w:t>
      </w:r>
      <w:r w:rsidRPr="00050C02">
        <w:rPr>
          <w:vertAlign w:val="superscript"/>
        </w:rPr>
        <w:t>o</w:t>
      </w:r>
      <w:r>
        <w:t> </w:t>
      </w:r>
      <w:r w:rsidRPr="007D7426">
        <w:rPr>
          <w:color w:val="212529"/>
        </w:rPr>
        <w:t xml:space="preserve">6656 du 26 </w:t>
      </w:r>
      <w:proofErr w:type="spellStart"/>
      <w:r w:rsidRPr="0081005D">
        <w:rPr>
          <w:i/>
          <w:iCs/>
          <w:color w:val="212529"/>
        </w:rPr>
        <w:t>joumada</w:t>
      </w:r>
      <w:proofErr w:type="spellEnd"/>
      <w:r w:rsidRPr="007D7426">
        <w:rPr>
          <w:color w:val="212529"/>
        </w:rPr>
        <w:t xml:space="preserve"> II 1439 (15 mars 2018).</w:t>
      </w:r>
    </w:p>
  </w:footnote>
  <w:footnote w:id="61">
    <w:p w14:paraId="76764145" w14:textId="6240A2E2" w:rsidR="001D6B10" w:rsidRDefault="001D6B10" w:rsidP="00013F70">
      <w:pPr>
        <w:pStyle w:val="Notedebasdepage"/>
      </w:pPr>
      <w:r>
        <w:tab/>
      </w:r>
      <w:r>
        <w:rPr>
          <w:rStyle w:val="Appelnotedebasdep"/>
        </w:rPr>
        <w:footnoteRef/>
      </w:r>
      <w:r>
        <w:tab/>
      </w:r>
      <w:r w:rsidRPr="00FE4C58">
        <w:t xml:space="preserve">Code </w:t>
      </w:r>
      <w:r>
        <w:t>de procédure p</w:t>
      </w:r>
      <w:r w:rsidRPr="00FE4C58">
        <w:t>énal</w:t>
      </w:r>
      <w:r>
        <w:t>e</w:t>
      </w:r>
      <w:r w:rsidRPr="00A64FDE">
        <w:t xml:space="preserve"> </w:t>
      </w:r>
      <w:r>
        <w:t>(version arabe).</w:t>
      </w:r>
    </w:p>
  </w:footnote>
  <w:footnote w:id="62">
    <w:p w14:paraId="31B2F312" w14:textId="64B5AB1D" w:rsidR="001D6B10" w:rsidRDefault="001D6B10" w:rsidP="00013F70">
      <w:pPr>
        <w:pStyle w:val="Notedebasdepage"/>
      </w:pPr>
      <w:r>
        <w:tab/>
      </w:r>
      <w:r>
        <w:rPr>
          <w:rStyle w:val="Appelnotedebasdep"/>
        </w:rPr>
        <w:footnoteRef/>
      </w:r>
      <w:r>
        <w:tab/>
      </w:r>
      <w:r w:rsidRPr="00AF67F2">
        <w:rPr>
          <w:lang w:bidi="ar-MA"/>
        </w:rPr>
        <w:t xml:space="preserve">La loi </w:t>
      </w:r>
      <w:r w:rsidRPr="0091537E">
        <w:t>n</w:t>
      </w:r>
      <w:r w:rsidRPr="00050C02">
        <w:rPr>
          <w:vertAlign w:val="superscript"/>
        </w:rPr>
        <w:t>o</w:t>
      </w:r>
      <w:r>
        <w:t> </w:t>
      </w:r>
      <w:r w:rsidRPr="00AF67F2">
        <w:rPr>
          <w:lang w:bidi="ar-MA"/>
        </w:rPr>
        <w:t>38.15 relative à l</w:t>
      </w:r>
      <w:r>
        <w:rPr>
          <w:lang w:bidi="ar-MA"/>
        </w:rPr>
        <w:t>’</w:t>
      </w:r>
      <w:r w:rsidRPr="00AF67F2">
        <w:rPr>
          <w:lang w:bidi="ar-MA"/>
        </w:rPr>
        <w:t xml:space="preserve">organisation judiciaire du Royaume, </w:t>
      </w:r>
      <w:r>
        <w:rPr>
          <w:lang w:bidi="ar-MA"/>
        </w:rPr>
        <w:t>a</w:t>
      </w:r>
      <w:r w:rsidRPr="00966EAA">
        <w:rPr>
          <w:lang w:bidi="ar-MA"/>
        </w:rPr>
        <w:t>dopté en seconde lecture et à la majorité par la Commission de justice, de législation et des droits de l</w:t>
      </w:r>
      <w:r>
        <w:rPr>
          <w:lang w:bidi="ar-MA"/>
        </w:rPr>
        <w:t>’</w:t>
      </w:r>
      <w:r w:rsidRPr="00966EAA">
        <w:rPr>
          <w:lang w:bidi="ar-MA"/>
        </w:rPr>
        <w:t>homme à la Chambre des Représentants, le 16 octobre 2018.</w:t>
      </w:r>
    </w:p>
  </w:footnote>
  <w:footnote w:id="63">
    <w:p w14:paraId="3923CEE2" w14:textId="1189A171" w:rsidR="001D6B10" w:rsidRDefault="001D6B10" w:rsidP="00013F70">
      <w:pPr>
        <w:pStyle w:val="Notedebasdepage"/>
      </w:pPr>
      <w:r>
        <w:tab/>
      </w:r>
      <w:r>
        <w:rPr>
          <w:rStyle w:val="Appelnotedebasdep"/>
        </w:rPr>
        <w:footnoteRef/>
      </w:r>
      <w:r>
        <w:tab/>
      </w:r>
      <w:r>
        <w:rPr>
          <w:rFonts w:eastAsia="Calibri"/>
        </w:rPr>
        <w:t>À</w:t>
      </w:r>
      <w:r w:rsidRPr="003C4043">
        <w:rPr>
          <w:rFonts w:eastAsia="Calibri"/>
        </w:rPr>
        <w:t xml:space="preserve"> </w:t>
      </w:r>
      <w:r>
        <w:rPr>
          <w:rFonts w:eastAsia="Calibri"/>
        </w:rPr>
        <w:t>signaler dans ce sens l</w:t>
      </w:r>
      <w:r w:rsidRPr="00AE5D72">
        <w:rPr>
          <w:color w:val="222222"/>
        </w:rPr>
        <w:t>a rénovation du Musée du judaïsme marocain de Casablanca, rouvert le</w:t>
      </w:r>
      <w:r>
        <w:rPr>
          <w:color w:val="222222"/>
        </w:rPr>
        <w:t> </w:t>
      </w:r>
      <w:r w:rsidRPr="00AE5D72">
        <w:rPr>
          <w:color w:val="222222"/>
        </w:rPr>
        <w:t>11</w:t>
      </w:r>
      <w:r>
        <w:rPr>
          <w:color w:val="222222"/>
        </w:rPr>
        <w:t> </w:t>
      </w:r>
      <w:r w:rsidRPr="00AE5D72">
        <w:rPr>
          <w:color w:val="222222"/>
        </w:rPr>
        <w:t>avril 2013</w:t>
      </w:r>
      <w:r>
        <w:rPr>
          <w:color w:val="222222"/>
        </w:rPr>
        <w:t> ;</w:t>
      </w:r>
      <w:r w:rsidRPr="00AE5D72">
        <w:rPr>
          <w:color w:val="222222"/>
        </w:rPr>
        <w:t xml:space="preserve"> </w:t>
      </w:r>
      <w:r>
        <w:rPr>
          <w:color w:val="222222"/>
        </w:rPr>
        <w:t>ainsi que l</w:t>
      </w:r>
      <w:r w:rsidRPr="00B90C76">
        <w:rPr>
          <w:rFonts w:eastAsia="Calibri"/>
        </w:rPr>
        <w:t xml:space="preserve">a mise en œuvre en 2016, sous instructions royales, de plusieurs </w:t>
      </w:r>
      <w:r w:rsidRPr="00B90C76">
        <w:rPr>
          <w:rFonts w:eastAsia="Times New Roman"/>
          <w:color w:val="333333"/>
          <w:lang w:eastAsia="fr-FR"/>
        </w:rPr>
        <w:t>projets de</w:t>
      </w:r>
      <w:r>
        <w:rPr>
          <w:rFonts w:eastAsia="Times New Roman"/>
          <w:color w:val="333333"/>
          <w:lang w:eastAsia="fr-FR"/>
        </w:rPr>
        <w:t> </w:t>
      </w:r>
      <w:r w:rsidRPr="00B90C76">
        <w:rPr>
          <w:rFonts w:eastAsia="Times New Roman"/>
          <w:color w:val="333333"/>
          <w:lang w:eastAsia="fr-FR"/>
        </w:rPr>
        <w:t xml:space="preserve">restauration des cimetières juifs, de rénovation des </w:t>
      </w:r>
      <w:r>
        <w:rPr>
          <w:rFonts w:eastAsia="Times New Roman"/>
          <w:color w:val="333333"/>
          <w:lang w:eastAsia="fr-FR"/>
        </w:rPr>
        <w:t>« </w:t>
      </w:r>
      <w:r w:rsidRPr="00B90C76">
        <w:rPr>
          <w:rFonts w:eastAsia="Times New Roman"/>
          <w:color w:val="333333"/>
          <w:lang w:eastAsia="fr-FR"/>
        </w:rPr>
        <w:t>Mellahs</w:t>
      </w:r>
      <w:r>
        <w:rPr>
          <w:rFonts w:eastAsia="Times New Roman"/>
          <w:color w:val="333333"/>
          <w:lang w:eastAsia="fr-FR"/>
        </w:rPr>
        <w:t> »</w:t>
      </w:r>
      <w:r w:rsidRPr="00B90C76">
        <w:rPr>
          <w:rFonts w:eastAsia="Times New Roman"/>
          <w:color w:val="333333"/>
          <w:lang w:eastAsia="fr-FR"/>
        </w:rPr>
        <w:t xml:space="preserve"> et de réaménagement des sites religieux juifs, notamment le </w:t>
      </w:r>
      <w:r w:rsidRPr="00B90C76">
        <w:rPr>
          <w:rFonts w:eastAsia="Calibri"/>
        </w:rPr>
        <w:t>programme global de requalification urbaine de Hay El Mellah de Marrakech.</w:t>
      </w:r>
    </w:p>
  </w:footnote>
  <w:footnote w:id="64">
    <w:p w14:paraId="2DC489AC" w14:textId="631E391B" w:rsidR="001D6B10" w:rsidRPr="004B06AA" w:rsidRDefault="001D6B10" w:rsidP="00013F70">
      <w:pPr>
        <w:pStyle w:val="Notedebasdepage"/>
        <w:rPr>
          <w:color w:val="222222"/>
        </w:rPr>
      </w:pPr>
      <w:r>
        <w:tab/>
      </w:r>
      <w:r>
        <w:rPr>
          <w:rStyle w:val="Appelnotedebasdep"/>
        </w:rPr>
        <w:footnoteRef/>
      </w:r>
      <w:r>
        <w:tab/>
      </w:r>
      <w:r w:rsidRPr="004B06AA">
        <w:rPr>
          <w:color w:val="222222"/>
        </w:rPr>
        <w:t>Voir la partie dédiée au Maroc dans le rapport sur la liberté de religion du Département d</w:t>
      </w:r>
      <w:r>
        <w:rPr>
          <w:color w:val="222222"/>
        </w:rPr>
        <w:t>’</w:t>
      </w:r>
      <w:r w:rsidRPr="004B06AA">
        <w:rPr>
          <w:color w:val="222222"/>
        </w:rPr>
        <w:t>État américain pour 2018, résumé exécutif, p. 11.</w:t>
      </w:r>
    </w:p>
  </w:footnote>
  <w:footnote w:id="65">
    <w:p w14:paraId="67E24F98" w14:textId="56F42A0A" w:rsidR="001D6B10" w:rsidRDefault="001D6B10" w:rsidP="00013F70">
      <w:pPr>
        <w:pStyle w:val="Notedebasdepage"/>
      </w:pPr>
      <w:r>
        <w:tab/>
      </w:r>
      <w:r>
        <w:rPr>
          <w:rStyle w:val="Appelnotedebasdep"/>
        </w:rPr>
        <w:footnoteRef/>
      </w:r>
      <w:r>
        <w:tab/>
      </w:r>
      <w:r w:rsidRPr="007E00D7">
        <w:rPr>
          <w:rFonts w:eastAsia="Calibri"/>
        </w:rPr>
        <w:t>Voir :</w:t>
      </w:r>
      <w:r>
        <w:t xml:space="preserve"> </w:t>
      </w:r>
      <w:hyperlink r:id="rId5" w:history="1">
        <w:r w:rsidRPr="00C04F34">
          <w:rPr>
            <w:rStyle w:val="Lienhypertexte"/>
            <w:rFonts w:asciiTheme="majorBidi" w:eastAsia="Calibri" w:hAnsiTheme="majorBidi" w:cstheme="majorBidi"/>
            <w:szCs w:val="18"/>
          </w:rPr>
          <w:t>www.cevaa.org/camp-d2019ete-des-jeunes-du-maroc-une-invitation-a-ne-pas-manquer</w:t>
        </w:r>
      </w:hyperlink>
      <w:r>
        <w:rPr>
          <w:rStyle w:val="Lienhypertexte"/>
          <w:rFonts w:asciiTheme="majorBidi" w:eastAsia="Calibri" w:hAnsiTheme="majorBidi" w:cstheme="majorBidi"/>
          <w:szCs w:val="18"/>
        </w:rPr>
        <w:t>.</w:t>
      </w:r>
      <w:r>
        <w:rPr>
          <w:rFonts w:eastAsia="Calibri"/>
        </w:rPr>
        <w:t xml:space="preserve"> </w:t>
      </w:r>
    </w:p>
  </w:footnote>
  <w:footnote w:id="66">
    <w:p w14:paraId="70145853" w14:textId="77777777" w:rsidR="001D6B10" w:rsidRPr="00B27869" w:rsidRDefault="001D6B10" w:rsidP="00013F70">
      <w:pPr>
        <w:pStyle w:val="Notedebasdepage"/>
        <w:rPr>
          <w:rFonts w:eastAsia="Calibri"/>
        </w:rPr>
      </w:pPr>
      <w:r>
        <w:tab/>
      </w:r>
      <w:r>
        <w:rPr>
          <w:rStyle w:val="Appelnotedebasdep"/>
        </w:rPr>
        <w:footnoteRef/>
      </w:r>
      <w:r>
        <w:tab/>
      </w:r>
      <w:r w:rsidRPr="00B27869">
        <w:rPr>
          <w:rFonts w:eastAsia="Calibri"/>
        </w:rPr>
        <w:t>A/HRC/22/17/Add.4</w:t>
      </w:r>
      <w:r>
        <w:rPr>
          <w:rFonts w:eastAsia="Calibri"/>
        </w:rPr>
        <w:t>.</w:t>
      </w:r>
    </w:p>
  </w:footnote>
  <w:footnote w:id="67">
    <w:p w14:paraId="578D6DC0" w14:textId="77777777" w:rsidR="001D6B10" w:rsidRPr="00634FDD" w:rsidRDefault="001D6B10" w:rsidP="00013F70">
      <w:pPr>
        <w:pStyle w:val="Notedebasdepage"/>
        <w:rPr>
          <w:sz w:val="2"/>
          <w:szCs w:val="2"/>
        </w:rPr>
      </w:pPr>
      <w:r>
        <w:tab/>
      </w:r>
      <w:r>
        <w:rPr>
          <w:rStyle w:val="Appelnotedebasdep"/>
        </w:rPr>
        <w:footnoteRef/>
      </w:r>
      <w:r>
        <w:tab/>
      </w:r>
      <w:r w:rsidRPr="00634FDD">
        <w:rPr>
          <w:rFonts w:eastAsia="Times New Roman"/>
          <w:lang w:eastAsia="fr-FR"/>
        </w:rPr>
        <w:t xml:space="preserve">Il s’agit là de deux propositions </w:t>
      </w:r>
      <w:r>
        <w:rPr>
          <w:rFonts w:eastAsia="Times New Roman"/>
          <w:lang w:eastAsia="fr-FR"/>
        </w:rPr>
        <w:t>de loi : la 1</w:t>
      </w:r>
      <w:r w:rsidRPr="003F01EC">
        <w:rPr>
          <w:rFonts w:eastAsia="Times New Roman"/>
          <w:vertAlign w:val="superscript"/>
          <w:lang w:eastAsia="fr-FR"/>
        </w:rPr>
        <w:t>ère</w:t>
      </w:r>
      <w:r>
        <w:rPr>
          <w:rFonts w:eastAsia="Times New Roman"/>
          <w:lang w:eastAsia="fr-FR"/>
        </w:rPr>
        <w:t xml:space="preserve"> issue </w:t>
      </w:r>
      <w:r w:rsidRPr="00634FDD">
        <w:rPr>
          <w:rFonts w:eastAsia="Times New Roman"/>
          <w:lang w:eastAsia="fr-FR"/>
        </w:rPr>
        <w:t xml:space="preserve">du groupe parlementaire du Parti de l’Authenticité et de la Modernité, déposé le 15 juillet 2013, et </w:t>
      </w:r>
      <w:r>
        <w:rPr>
          <w:rFonts w:eastAsia="Times New Roman"/>
          <w:lang w:eastAsia="fr-FR"/>
        </w:rPr>
        <w:t>la 2</w:t>
      </w:r>
      <w:r w:rsidRPr="00EB5A6C">
        <w:rPr>
          <w:rFonts w:eastAsia="Times New Roman"/>
          <w:vertAlign w:val="superscript"/>
          <w:lang w:eastAsia="fr-FR"/>
        </w:rPr>
        <w:t>ème</w:t>
      </w:r>
      <w:r>
        <w:rPr>
          <w:rFonts w:eastAsia="Times New Roman"/>
          <w:lang w:eastAsia="fr-FR"/>
        </w:rPr>
        <w:t xml:space="preserve"> émanent </w:t>
      </w:r>
      <w:r w:rsidRPr="00634FDD">
        <w:rPr>
          <w:rFonts w:eastAsia="Times New Roman"/>
          <w:lang w:eastAsia="fr-FR"/>
        </w:rPr>
        <w:t>du groupe parlementaire de l’Istiqlal, déposée le 15 mai 2014.</w:t>
      </w:r>
    </w:p>
  </w:footnote>
  <w:footnote w:id="68">
    <w:p w14:paraId="209C5353" w14:textId="6A8767CA" w:rsidR="001D6B10" w:rsidRPr="00665202" w:rsidRDefault="001D6B10" w:rsidP="0081005D">
      <w:pPr>
        <w:pStyle w:val="Notedebasdepage"/>
        <w:rPr>
          <w:sz w:val="2"/>
          <w:szCs w:val="2"/>
        </w:rPr>
      </w:pPr>
      <w:r>
        <w:tab/>
      </w:r>
      <w:r>
        <w:rPr>
          <w:rStyle w:val="Appelnotedebasdep"/>
        </w:rPr>
        <w:footnoteRef/>
      </w:r>
      <w:r>
        <w:tab/>
      </w:r>
      <w:r>
        <w:rPr>
          <w:rFonts w:eastAsia="Times New Roman"/>
          <w:lang w:eastAsia="fr-FR"/>
        </w:rPr>
        <w:t>À</w:t>
      </w:r>
      <w:r w:rsidRPr="00AB6C38">
        <w:rPr>
          <w:rFonts w:eastAsia="Times New Roman"/>
          <w:lang w:eastAsia="fr-FR"/>
        </w:rPr>
        <w:t xml:space="preserve"> signaler également le spot produit à l’occasion de la campagne menée par l’association « </w:t>
      </w:r>
      <w:proofErr w:type="spellStart"/>
      <w:r w:rsidRPr="00AB6C38">
        <w:rPr>
          <w:rFonts w:eastAsia="Times New Roman"/>
          <w:lang w:eastAsia="fr-FR"/>
        </w:rPr>
        <w:t>Bladi-Bladek</w:t>
      </w:r>
      <w:proofErr w:type="spellEnd"/>
      <w:r w:rsidRPr="00AB6C38">
        <w:rPr>
          <w:rFonts w:eastAsia="Times New Roman"/>
          <w:lang w:eastAsia="fr-FR"/>
        </w:rPr>
        <w:t xml:space="preserve"> » en 2016. Réalisé par Leila Alaoui, </w:t>
      </w:r>
      <w:r>
        <w:rPr>
          <w:rFonts w:eastAsia="Times New Roman"/>
          <w:lang w:eastAsia="fr-FR"/>
        </w:rPr>
        <w:t xml:space="preserve">la photographe franco-marocaine </w:t>
      </w:r>
      <w:r w:rsidRPr="00AB6C38">
        <w:rPr>
          <w:rFonts w:eastAsia="Times New Roman"/>
          <w:lang w:eastAsia="fr-FR"/>
        </w:rPr>
        <w:t xml:space="preserve">tuée en janvier de cette année dans l’attentat terroriste de Ouagadougou, ce spot cherche à dénoncer le racisme anti-noirs au Maroc à travers des situations de vie montrant à quel point il est difficile pour ces immigrés africains de se faire accepter. </w:t>
      </w:r>
    </w:p>
  </w:footnote>
  <w:footnote w:id="69">
    <w:p w14:paraId="283555DE" w14:textId="77777777" w:rsidR="001D6B10" w:rsidRPr="00B83605" w:rsidRDefault="001D6B10" w:rsidP="00013F70">
      <w:pPr>
        <w:pStyle w:val="Notedebasdepage"/>
        <w:rPr>
          <w:rFonts w:eastAsia="Times New Roman"/>
          <w:lang w:eastAsia="fr-FR"/>
        </w:rPr>
      </w:pPr>
      <w:r>
        <w:tab/>
      </w:r>
      <w:r>
        <w:rPr>
          <w:rStyle w:val="Appelnotedebasdep"/>
        </w:rPr>
        <w:footnoteRef/>
      </w:r>
      <w:r>
        <w:tab/>
      </w:r>
      <w:r w:rsidRPr="00B83605">
        <w:rPr>
          <w:rFonts w:eastAsia="Times New Roman"/>
          <w:lang w:eastAsia="fr-FR"/>
        </w:rPr>
        <w:t xml:space="preserve">Les associations membres de la PNPM sont : Association de Lutte contre le Sida (ALCS), Association Meilleur </w:t>
      </w:r>
      <w:r>
        <w:rPr>
          <w:rFonts w:eastAsia="Times New Roman"/>
          <w:lang w:eastAsia="fr-FR"/>
        </w:rPr>
        <w:t>A</w:t>
      </w:r>
      <w:r w:rsidRPr="00B83605">
        <w:rPr>
          <w:rFonts w:eastAsia="Times New Roman"/>
          <w:lang w:eastAsia="fr-FR"/>
        </w:rPr>
        <w:t xml:space="preserve">venir pour Nos Enfants (AMANE), </w:t>
      </w:r>
      <w:proofErr w:type="spellStart"/>
      <w:r w:rsidRPr="00B83605">
        <w:rPr>
          <w:rFonts w:eastAsia="Times New Roman"/>
          <w:lang w:eastAsia="fr-FR"/>
        </w:rPr>
        <w:t>Alianza</w:t>
      </w:r>
      <w:proofErr w:type="spellEnd"/>
      <w:r w:rsidRPr="00B83605">
        <w:rPr>
          <w:rFonts w:eastAsia="Times New Roman"/>
          <w:lang w:eastAsia="fr-FR"/>
        </w:rPr>
        <w:t xml:space="preserve"> </w:t>
      </w:r>
      <w:proofErr w:type="spellStart"/>
      <w:r w:rsidRPr="00B83605">
        <w:rPr>
          <w:rFonts w:eastAsia="Times New Roman"/>
          <w:lang w:eastAsia="fr-FR"/>
        </w:rPr>
        <w:t>Por</w:t>
      </w:r>
      <w:proofErr w:type="spellEnd"/>
      <w:r w:rsidRPr="00B83605">
        <w:rPr>
          <w:rFonts w:eastAsia="Times New Roman"/>
          <w:lang w:eastAsia="fr-FR"/>
        </w:rPr>
        <w:t xml:space="preserve"> la </w:t>
      </w:r>
      <w:proofErr w:type="spellStart"/>
      <w:r w:rsidRPr="00B83605">
        <w:rPr>
          <w:rFonts w:eastAsia="Times New Roman"/>
          <w:lang w:eastAsia="fr-FR"/>
        </w:rPr>
        <w:t>Solidaridad</w:t>
      </w:r>
      <w:proofErr w:type="spellEnd"/>
      <w:r w:rsidRPr="00B83605">
        <w:rPr>
          <w:rFonts w:eastAsia="Times New Roman"/>
          <w:lang w:eastAsia="fr-FR"/>
        </w:rPr>
        <w:t xml:space="preserve"> (APS), Caritas, Comité Européen pour la Formation et l’Agriculture (CEFA), Délégations des Migrations Nador (DDM), Association Droit et justice (D&amp;J), Diaspora Congolaise au Maroc (DICOMA), la Fondation Orient Occident (FOO), Médecins du Monde Belgique (</w:t>
      </w:r>
      <w:proofErr w:type="spellStart"/>
      <w:r w:rsidRPr="00B83605">
        <w:rPr>
          <w:rFonts w:eastAsia="Times New Roman"/>
          <w:lang w:eastAsia="fr-FR"/>
        </w:rPr>
        <w:t>MdM</w:t>
      </w:r>
      <w:proofErr w:type="spellEnd"/>
      <w:r w:rsidRPr="00B83605">
        <w:rPr>
          <w:rFonts w:eastAsia="Times New Roman"/>
          <w:lang w:eastAsia="fr-FR"/>
        </w:rPr>
        <w:t xml:space="preserve"> BE), l’Organisation Marocaine des droits de l’Homme (OMDH), Clinique Juridique Hijra (CJH) et Maroc Solidarité Médico-sociale (MS2).</w:t>
      </w:r>
    </w:p>
  </w:footnote>
  <w:footnote w:id="70">
    <w:p w14:paraId="212C00C3" w14:textId="6FFDA49C" w:rsidR="001D6B10" w:rsidRPr="003C06D3" w:rsidRDefault="001D6B10" w:rsidP="00013F70">
      <w:pPr>
        <w:pStyle w:val="Notedebasdepage"/>
      </w:pPr>
      <w:r>
        <w:rPr>
          <w:lang w:eastAsia="fr-FR"/>
        </w:rPr>
        <w:tab/>
      </w:r>
      <w:r>
        <w:rPr>
          <w:rStyle w:val="Appelnotedebasdep"/>
        </w:rPr>
        <w:footnoteRef/>
      </w:r>
      <w:r>
        <w:rPr>
          <w:lang w:eastAsia="fr-FR"/>
        </w:rPr>
        <w:tab/>
        <w:t>Voir « État</w:t>
      </w:r>
      <w:r w:rsidRPr="00AC69DC">
        <w:rPr>
          <w:lang w:eastAsia="fr-FR"/>
        </w:rPr>
        <w:t xml:space="preserve"> des lieux de la discrimination au Maroc. Rapport du Conseil civil de lutte contre toutes les formes de discriminations.</w:t>
      </w:r>
      <w:r>
        <w:rPr>
          <w:lang w:eastAsia="fr-FR"/>
        </w:rPr>
        <w:t> »</w:t>
      </w:r>
      <w:r w:rsidRPr="00AC69DC">
        <w:rPr>
          <w:lang w:eastAsia="fr-FR"/>
        </w:rPr>
        <w:t xml:space="preserve"> Mai 2018</w:t>
      </w:r>
      <w:r>
        <w:rPr>
          <w:lang w:eastAsia="fr-FR"/>
        </w:rPr>
        <w:t xml:space="preserve"> in : </w:t>
      </w:r>
      <w:hyperlink r:id="rId6" w:history="1">
        <w:r w:rsidRPr="00FF3537">
          <w:rPr>
            <w:color w:val="0000FF"/>
            <w:u w:val="single"/>
          </w:rPr>
          <w:t>http://prometheus.ma/rapport-du-conseil-civil-de-lutte-contre-toutes-les-formes-de-discrimination/</w:t>
        </w:r>
      </w:hyperlink>
      <w:r w:rsidRPr="00FF353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71F3" w14:textId="77777777" w:rsidR="001D6B10" w:rsidRDefault="001D6B10">
    <w:pPr>
      <w:pStyle w:val="En-tte"/>
    </w:pPr>
    <w:r>
      <w:t>CERD/C/MAR/19-21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4B98" w14:textId="77777777" w:rsidR="001D6B10" w:rsidRDefault="001D6B10">
    <w:pPr>
      <w:pStyle w:val="En-tte"/>
      <w:jc w:val="right"/>
    </w:pPr>
    <w:r>
      <w:t>CERD/C/MAR/19-21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6E24C118"/>
    <w:lvl w:ilvl="0" w:tplc="9274F75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CAE47B4" w:tentative="1">
      <w:start w:val="1"/>
      <w:numFmt w:val="lowerLetter"/>
      <w:lvlText w:val="%2."/>
      <w:lvlJc w:val="left"/>
      <w:pPr>
        <w:tabs>
          <w:tab w:val="num" w:pos="1440"/>
        </w:tabs>
        <w:ind w:left="1440" w:hanging="360"/>
      </w:pPr>
    </w:lvl>
    <w:lvl w:ilvl="2" w:tplc="3BC8B494" w:tentative="1">
      <w:start w:val="1"/>
      <w:numFmt w:val="lowerRoman"/>
      <w:lvlText w:val="%3."/>
      <w:lvlJc w:val="right"/>
      <w:pPr>
        <w:tabs>
          <w:tab w:val="num" w:pos="2160"/>
        </w:tabs>
        <w:ind w:left="2160" w:hanging="180"/>
      </w:pPr>
    </w:lvl>
    <w:lvl w:ilvl="3" w:tplc="1AD8227C" w:tentative="1">
      <w:start w:val="1"/>
      <w:numFmt w:val="decimal"/>
      <w:lvlText w:val="%4."/>
      <w:lvlJc w:val="left"/>
      <w:pPr>
        <w:tabs>
          <w:tab w:val="num" w:pos="2880"/>
        </w:tabs>
        <w:ind w:left="2880" w:hanging="360"/>
      </w:pPr>
    </w:lvl>
    <w:lvl w:ilvl="4" w:tplc="76BECA30" w:tentative="1">
      <w:start w:val="1"/>
      <w:numFmt w:val="lowerLetter"/>
      <w:lvlText w:val="%5."/>
      <w:lvlJc w:val="left"/>
      <w:pPr>
        <w:tabs>
          <w:tab w:val="num" w:pos="3600"/>
        </w:tabs>
        <w:ind w:left="3600" w:hanging="360"/>
      </w:pPr>
    </w:lvl>
    <w:lvl w:ilvl="5" w:tplc="41EAF93E" w:tentative="1">
      <w:start w:val="1"/>
      <w:numFmt w:val="lowerRoman"/>
      <w:lvlText w:val="%6."/>
      <w:lvlJc w:val="right"/>
      <w:pPr>
        <w:tabs>
          <w:tab w:val="num" w:pos="4320"/>
        </w:tabs>
        <w:ind w:left="4320" w:hanging="180"/>
      </w:pPr>
    </w:lvl>
    <w:lvl w:ilvl="6" w:tplc="5F3AB0BE" w:tentative="1">
      <w:start w:val="1"/>
      <w:numFmt w:val="decimal"/>
      <w:lvlText w:val="%7."/>
      <w:lvlJc w:val="left"/>
      <w:pPr>
        <w:tabs>
          <w:tab w:val="num" w:pos="5040"/>
        </w:tabs>
        <w:ind w:left="5040" w:hanging="360"/>
      </w:pPr>
    </w:lvl>
    <w:lvl w:ilvl="7" w:tplc="E208DE72" w:tentative="1">
      <w:start w:val="1"/>
      <w:numFmt w:val="lowerLetter"/>
      <w:lvlText w:val="%8."/>
      <w:lvlJc w:val="left"/>
      <w:pPr>
        <w:tabs>
          <w:tab w:val="num" w:pos="5760"/>
        </w:tabs>
        <w:ind w:left="5760" w:hanging="360"/>
      </w:pPr>
    </w:lvl>
    <w:lvl w:ilvl="8" w:tplc="784C940E" w:tentative="1">
      <w:start w:val="1"/>
      <w:numFmt w:val="lowerRoman"/>
      <w:lvlText w:val="%9."/>
      <w:lvlJc w:val="right"/>
      <w:pPr>
        <w:tabs>
          <w:tab w:val="num" w:pos="6480"/>
        </w:tabs>
        <w:ind w:left="6480" w:hanging="180"/>
      </w:pPr>
    </w:lvl>
  </w:abstractNum>
  <w:abstractNum w:abstractNumId="1" w15:restartNumberingAfterBreak="0">
    <w:nsid w:val="21310120"/>
    <w:multiLevelType w:val="hybridMultilevel"/>
    <w:tmpl w:val="34F862E6"/>
    <w:lvl w:ilvl="0" w:tplc="8DF8DBE4">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6E1931"/>
    <w:multiLevelType w:val="hybridMultilevel"/>
    <w:tmpl w:val="29F02CC6"/>
    <w:lvl w:ilvl="0" w:tplc="4C083148">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 w15:restartNumberingAfterBreak="0">
    <w:nsid w:val="277857A2"/>
    <w:multiLevelType w:val="hybridMultilevel"/>
    <w:tmpl w:val="5F7EC6CE"/>
    <w:lvl w:ilvl="0" w:tplc="040C0001">
      <w:start w:val="1"/>
      <w:numFmt w:val="bullet"/>
      <w:lvlText w:val=""/>
      <w:lvlJc w:val="left"/>
      <w:pPr>
        <w:ind w:left="720" w:hanging="360"/>
      </w:pPr>
      <w:rPr>
        <w:rFonts w:ascii="Symbol" w:hAnsi="Symbol" w:hint="default"/>
      </w:rPr>
    </w:lvl>
    <w:lvl w:ilvl="1" w:tplc="21A884B8">
      <w:start w:val="1"/>
      <w:numFmt w:val="bullet"/>
      <w:lvlText w:val=""/>
      <w:lvlJc w:val="left"/>
      <w:pPr>
        <w:ind w:left="1440" w:hanging="360"/>
      </w:pPr>
      <w:rPr>
        <w:rFonts w:ascii="Wingdings" w:hAnsi="Wingdings" w:hint="default"/>
        <w:color w:val="auto"/>
        <w:sz w:val="14"/>
        <w:szCs w:val="1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CC114E"/>
    <w:multiLevelType w:val="hybridMultilevel"/>
    <w:tmpl w:val="8BFA93DC"/>
    <w:lvl w:ilvl="0" w:tplc="00DA2742">
      <w:numFmt w:val="bullet"/>
      <w:lvlText w:val="-"/>
      <w:lvlJc w:val="left"/>
      <w:pPr>
        <w:ind w:left="720" w:hanging="360"/>
      </w:pPr>
      <w:rPr>
        <w:rFonts w:ascii="Calibri" w:eastAsiaTheme="minorHAnsi" w:hAnsi="Calibri" w:cs="Calibri" w:hint="default"/>
        <w:color w:val="535353"/>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1C0EB7"/>
    <w:multiLevelType w:val="hybridMultilevel"/>
    <w:tmpl w:val="7CB843B4"/>
    <w:lvl w:ilvl="0" w:tplc="A13E5020">
      <w:start w:val="1"/>
      <w:numFmt w:val="decimal"/>
      <w:lvlText w:val="%1."/>
      <w:lvlJc w:val="left"/>
      <w:pPr>
        <w:ind w:left="1854" w:hanging="360"/>
      </w:pPr>
      <w:rPr>
        <w:rFonts w:hint="default"/>
        <w:b w:val="0"/>
        <w:i w:val="0"/>
        <w:color w:val="000000" w:themeColor="text1"/>
        <w:sz w:val="20"/>
        <w:szCs w:val="2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BD42F82"/>
    <w:multiLevelType w:val="hybridMultilevel"/>
    <w:tmpl w:val="AB44F310"/>
    <w:lvl w:ilvl="0" w:tplc="7B1EC652">
      <w:start w:val="1"/>
      <w:numFmt w:val="decimal"/>
      <w:lvlText w:val="%1."/>
      <w:lvlJc w:val="left"/>
      <w:pPr>
        <w:ind w:left="1854" w:hanging="360"/>
      </w:pPr>
      <w:rPr>
        <w:rFonts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ACF4EB2"/>
    <w:multiLevelType w:val="hybridMultilevel"/>
    <w:tmpl w:val="AE82671E"/>
    <w:lvl w:ilvl="0" w:tplc="0DEC9848">
      <w:start w:val="1"/>
      <w:numFmt w:val="bullet"/>
      <w:pStyle w:val="Bullet2G"/>
      <w:lvlText w:val="•"/>
      <w:lvlJc w:val="left"/>
      <w:pPr>
        <w:tabs>
          <w:tab w:val="num" w:pos="2268"/>
        </w:tabs>
        <w:ind w:left="2268" w:hanging="170"/>
      </w:pPr>
      <w:rPr>
        <w:rFonts w:ascii="Times New Roman" w:hAnsi="Times New Roman" w:cs="Times New Roman" w:hint="default"/>
      </w:rPr>
    </w:lvl>
    <w:lvl w:ilvl="1" w:tplc="8FAE72BC" w:tentative="1">
      <w:start w:val="1"/>
      <w:numFmt w:val="bullet"/>
      <w:lvlText w:val="o"/>
      <w:lvlJc w:val="left"/>
      <w:pPr>
        <w:tabs>
          <w:tab w:val="num" w:pos="3708"/>
        </w:tabs>
        <w:ind w:left="3708" w:hanging="360"/>
      </w:pPr>
      <w:rPr>
        <w:rFonts w:ascii="Courier New" w:hAnsi="Courier New" w:hint="default"/>
      </w:rPr>
    </w:lvl>
    <w:lvl w:ilvl="2" w:tplc="22C89334" w:tentative="1">
      <w:start w:val="1"/>
      <w:numFmt w:val="bullet"/>
      <w:lvlText w:val=""/>
      <w:lvlJc w:val="left"/>
      <w:pPr>
        <w:tabs>
          <w:tab w:val="num" w:pos="4428"/>
        </w:tabs>
        <w:ind w:left="4428" w:hanging="360"/>
      </w:pPr>
      <w:rPr>
        <w:rFonts w:ascii="Wingdings" w:hAnsi="Wingdings" w:hint="default"/>
      </w:rPr>
    </w:lvl>
    <w:lvl w:ilvl="3" w:tplc="D520AF98" w:tentative="1">
      <w:start w:val="1"/>
      <w:numFmt w:val="bullet"/>
      <w:lvlText w:val=""/>
      <w:lvlJc w:val="left"/>
      <w:pPr>
        <w:tabs>
          <w:tab w:val="num" w:pos="5148"/>
        </w:tabs>
        <w:ind w:left="5148" w:hanging="360"/>
      </w:pPr>
      <w:rPr>
        <w:rFonts w:ascii="Symbol" w:hAnsi="Symbol" w:hint="default"/>
      </w:rPr>
    </w:lvl>
    <w:lvl w:ilvl="4" w:tplc="098A2E74" w:tentative="1">
      <w:start w:val="1"/>
      <w:numFmt w:val="bullet"/>
      <w:lvlText w:val="o"/>
      <w:lvlJc w:val="left"/>
      <w:pPr>
        <w:tabs>
          <w:tab w:val="num" w:pos="5868"/>
        </w:tabs>
        <w:ind w:left="5868" w:hanging="360"/>
      </w:pPr>
      <w:rPr>
        <w:rFonts w:ascii="Courier New" w:hAnsi="Courier New" w:hint="default"/>
      </w:rPr>
    </w:lvl>
    <w:lvl w:ilvl="5" w:tplc="8DB02CB0" w:tentative="1">
      <w:start w:val="1"/>
      <w:numFmt w:val="bullet"/>
      <w:lvlText w:val=""/>
      <w:lvlJc w:val="left"/>
      <w:pPr>
        <w:tabs>
          <w:tab w:val="num" w:pos="6588"/>
        </w:tabs>
        <w:ind w:left="6588" w:hanging="360"/>
      </w:pPr>
      <w:rPr>
        <w:rFonts w:ascii="Wingdings" w:hAnsi="Wingdings" w:hint="default"/>
      </w:rPr>
    </w:lvl>
    <w:lvl w:ilvl="6" w:tplc="AAD420CC" w:tentative="1">
      <w:start w:val="1"/>
      <w:numFmt w:val="bullet"/>
      <w:lvlText w:val=""/>
      <w:lvlJc w:val="left"/>
      <w:pPr>
        <w:tabs>
          <w:tab w:val="num" w:pos="7308"/>
        </w:tabs>
        <w:ind w:left="7308" w:hanging="360"/>
      </w:pPr>
      <w:rPr>
        <w:rFonts w:ascii="Symbol" w:hAnsi="Symbol" w:hint="default"/>
      </w:rPr>
    </w:lvl>
    <w:lvl w:ilvl="7" w:tplc="74AA15B6" w:tentative="1">
      <w:start w:val="1"/>
      <w:numFmt w:val="bullet"/>
      <w:lvlText w:val="o"/>
      <w:lvlJc w:val="left"/>
      <w:pPr>
        <w:tabs>
          <w:tab w:val="num" w:pos="8028"/>
        </w:tabs>
        <w:ind w:left="8028" w:hanging="360"/>
      </w:pPr>
      <w:rPr>
        <w:rFonts w:ascii="Courier New" w:hAnsi="Courier New" w:hint="default"/>
      </w:rPr>
    </w:lvl>
    <w:lvl w:ilvl="8" w:tplc="6B76F8C2"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5D955E9"/>
    <w:multiLevelType w:val="hybridMultilevel"/>
    <w:tmpl w:val="DA408604"/>
    <w:lvl w:ilvl="0" w:tplc="C30ADEB8">
      <w:start w:val="1"/>
      <w:numFmt w:val="bullet"/>
      <w:lvlText w:val=""/>
      <w:lvlJc w:val="left"/>
      <w:pPr>
        <w:ind w:left="2487" w:hanging="360"/>
      </w:pPr>
      <w:rPr>
        <w:rFonts w:ascii="Wingdings" w:hAnsi="Wingdings" w:hint="default"/>
        <w:sz w:val="14"/>
        <w:szCs w:val="14"/>
      </w:rPr>
    </w:lvl>
    <w:lvl w:ilvl="1" w:tplc="040C0003" w:tentative="1">
      <w:start w:val="1"/>
      <w:numFmt w:val="bullet"/>
      <w:lvlText w:val="o"/>
      <w:lvlJc w:val="left"/>
      <w:pPr>
        <w:ind w:left="2569" w:hanging="360"/>
      </w:pPr>
      <w:rPr>
        <w:rFonts w:ascii="Courier New" w:hAnsi="Courier New" w:cs="Courier New" w:hint="default"/>
      </w:rPr>
    </w:lvl>
    <w:lvl w:ilvl="2" w:tplc="040C0005" w:tentative="1">
      <w:start w:val="1"/>
      <w:numFmt w:val="bullet"/>
      <w:lvlText w:val=""/>
      <w:lvlJc w:val="left"/>
      <w:pPr>
        <w:ind w:left="3289" w:hanging="360"/>
      </w:pPr>
      <w:rPr>
        <w:rFonts w:ascii="Wingdings" w:hAnsi="Wingdings" w:hint="default"/>
      </w:rPr>
    </w:lvl>
    <w:lvl w:ilvl="3" w:tplc="040C0001" w:tentative="1">
      <w:start w:val="1"/>
      <w:numFmt w:val="bullet"/>
      <w:lvlText w:val=""/>
      <w:lvlJc w:val="left"/>
      <w:pPr>
        <w:ind w:left="4009" w:hanging="360"/>
      </w:pPr>
      <w:rPr>
        <w:rFonts w:ascii="Symbol" w:hAnsi="Symbol" w:hint="default"/>
      </w:rPr>
    </w:lvl>
    <w:lvl w:ilvl="4" w:tplc="040C0003" w:tentative="1">
      <w:start w:val="1"/>
      <w:numFmt w:val="bullet"/>
      <w:lvlText w:val="o"/>
      <w:lvlJc w:val="left"/>
      <w:pPr>
        <w:ind w:left="4729" w:hanging="360"/>
      </w:pPr>
      <w:rPr>
        <w:rFonts w:ascii="Courier New" w:hAnsi="Courier New" w:cs="Courier New" w:hint="default"/>
      </w:rPr>
    </w:lvl>
    <w:lvl w:ilvl="5" w:tplc="040C0005" w:tentative="1">
      <w:start w:val="1"/>
      <w:numFmt w:val="bullet"/>
      <w:lvlText w:val=""/>
      <w:lvlJc w:val="left"/>
      <w:pPr>
        <w:ind w:left="5449" w:hanging="360"/>
      </w:pPr>
      <w:rPr>
        <w:rFonts w:ascii="Wingdings" w:hAnsi="Wingdings" w:hint="default"/>
      </w:rPr>
    </w:lvl>
    <w:lvl w:ilvl="6" w:tplc="040C0001" w:tentative="1">
      <w:start w:val="1"/>
      <w:numFmt w:val="bullet"/>
      <w:lvlText w:val=""/>
      <w:lvlJc w:val="left"/>
      <w:pPr>
        <w:ind w:left="6169" w:hanging="360"/>
      </w:pPr>
      <w:rPr>
        <w:rFonts w:ascii="Symbol" w:hAnsi="Symbol" w:hint="default"/>
      </w:rPr>
    </w:lvl>
    <w:lvl w:ilvl="7" w:tplc="040C0003" w:tentative="1">
      <w:start w:val="1"/>
      <w:numFmt w:val="bullet"/>
      <w:lvlText w:val="o"/>
      <w:lvlJc w:val="left"/>
      <w:pPr>
        <w:ind w:left="6889" w:hanging="360"/>
      </w:pPr>
      <w:rPr>
        <w:rFonts w:ascii="Courier New" w:hAnsi="Courier New" w:cs="Courier New" w:hint="default"/>
      </w:rPr>
    </w:lvl>
    <w:lvl w:ilvl="8" w:tplc="040C0005" w:tentative="1">
      <w:start w:val="1"/>
      <w:numFmt w:val="bullet"/>
      <w:lvlText w:val=""/>
      <w:lvlJc w:val="left"/>
      <w:pPr>
        <w:ind w:left="7609" w:hanging="360"/>
      </w:pPr>
      <w:rPr>
        <w:rFonts w:ascii="Wingdings" w:hAnsi="Wingdings" w:hint="default"/>
      </w:rPr>
    </w:lvl>
  </w:abstractNum>
  <w:abstractNum w:abstractNumId="9" w15:restartNumberingAfterBreak="0">
    <w:nsid w:val="50C02EA2"/>
    <w:multiLevelType w:val="hybridMultilevel"/>
    <w:tmpl w:val="2026A284"/>
    <w:lvl w:ilvl="0" w:tplc="168C4932">
      <w:start w:val="1"/>
      <w:numFmt w:val="decimal"/>
      <w:lvlText w:val="%1)"/>
      <w:lvlJc w:val="left"/>
      <w:pPr>
        <w:ind w:left="720" w:hanging="360"/>
      </w:pPr>
      <w:rPr>
        <w:rFonts w:hint="default"/>
        <w:sz w:val="22"/>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0E68BB"/>
    <w:multiLevelType w:val="multilevel"/>
    <w:tmpl w:val="DBA872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2540107"/>
    <w:multiLevelType w:val="hybridMultilevel"/>
    <w:tmpl w:val="3340A33A"/>
    <w:lvl w:ilvl="0" w:tplc="9B5473BC">
      <w:start w:val="1"/>
      <w:numFmt w:val="lowerLetter"/>
      <w:lvlText w:val="%1)"/>
      <w:lvlJc w:val="left"/>
      <w:pPr>
        <w:ind w:left="1353" w:hanging="360"/>
      </w:pPr>
      <w:rPr>
        <w:rFonts w:hint="default"/>
        <w:b/>
        <w:bCs/>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8AD07B2"/>
    <w:multiLevelType w:val="hybridMultilevel"/>
    <w:tmpl w:val="9E9409C8"/>
    <w:lvl w:ilvl="0" w:tplc="9CB2CDFE">
      <w:start w:val="1"/>
      <w:numFmt w:val="bullet"/>
      <w:pStyle w:val="Bullet1G"/>
      <w:lvlText w:val="•"/>
      <w:lvlJc w:val="left"/>
      <w:pPr>
        <w:tabs>
          <w:tab w:val="num" w:pos="1701"/>
        </w:tabs>
        <w:ind w:left="1701" w:hanging="170"/>
      </w:pPr>
      <w:rPr>
        <w:rFonts w:ascii="Times New Roman" w:hAnsi="Times New Roman" w:cs="Times New Roman" w:hint="default"/>
        <w:color w:val="auto"/>
      </w:rPr>
    </w:lvl>
    <w:lvl w:ilvl="1" w:tplc="8318B9F8" w:tentative="1">
      <w:start w:val="1"/>
      <w:numFmt w:val="bullet"/>
      <w:lvlText w:val="o"/>
      <w:lvlJc w:val="left"/>
      <w:pPr>
        <w:tabs>
          <w:tab w:val="num" w:pos="3141"/>
        </w:tabs>
        <w:ind w:left="3141" w:hanging="360"/>
      </w:pPr>
      <w:rPr>
        <w:rFonts w:ascii="Courier New" w:hAnsi="Courier New" w:hint="default"/>
      </w:rPr>
    </w:lvl>
    <w:lvl w:ilvl="2" w:tplc="FB3602C4" w:tentative="1">
      <w:start w:val="1"/>
      <w:numFmt w:val="bullet"/>
      <w:lvlText w:val=""/>
      <w:lvlJc w:val="left"/>
      <w:pPr>
        <w:tabs>
          <w:tab w:val="num" w:pos="3861"/>
        </w:tabs>
        <w:ind w:left="3861" w:hanging="360"/>
      </w:pPr>
      <w:rPr>
        <w:rFonts w:ascii="Wingdings" w:hAnsi="Wingdings" w:hint="default"/>
      </w:rPr>
    </w:lvl>
    <w:lvl w:ilvl="3" w:tplc="8CB6C9A8" w:tentative="1">
      <w:start w:val="1"/>
      <w:numFmt w:val="bullet"/>
      <w:lvlText w:val=""/>
      <w:lvlJc w:val="left"/>
      <w:pPr>
        <w:tabs>
          <w:tab w:val="num" w:pos="4581"/>
        </w:tabs>
        <w:ind w:left="4581" w:hanging="360"/>
      </w:pPr>
      <w:rPr>
        <w:rFonts w:ascii="Symbol" w:hAnsi="Symbol" w:hint="default"/>
      </w:rPr>
    </w:lvl>
    <w:lvl w:ilvl="4" w:tplc="ED70A450" w:tentative="1">
      <w:start w:val="1"/>
      <w:numFmt w:val="bullet"/>
      <w:lvlText w:val="o"/>
      <w:lvlJc w:val="left"/>
      <w:pPr>
        <w:tabs>
          <w:tab w:val="num" w:pos="5301"/>
        </w:tabs>
        <w:ind w:left="5301" w:hanging="360"/>
      </w:pPr>
      <w:rPr>
        <w:rFonts w:ascii="Courier New" w:hAnsi="Courier New" w:hint="default"/>
      </w:rPr>
    </w:lvl>
    <w:lvl w:ilvl="5" w:tplc="33FEEEEA" w:tentative="1">
      <w:start w:val="1"/>
      <w:numFmt w:val="bullet"/>
      <w:lvlText w:val=""/>
      <w:lvlJc w:val="left"/>
      <w:pPr>
        <w:tabs>
          <w:tab w:val="num" w:pos="6021"/>
        </w:tabs>
        <w:ind w:left="6021" w:hanging="360"/>
      </w:pPr>
      <w:rPr>
        <w:rFonts w:ascii="Wingdings" w:hAnsi="Wingdings" w:hint="default"/>
      </w:rPr>
    </w:lvl>
    <w:lvl w:ilvl="6" w:tplc="0956641C" w:tentative="1">
      <w:start w:val="1"/>
      <w:numFmt w:val="bullet"/>
      <w:lvlText w:val=""/>
      <w:lvlJc w:val="left"/>
      <w:pPr>
        <w:tabs>
          <w:tab w:val="num" w:pos="6741"/>
        </w:tabs>
        <w:ind w:left="6741" w:hanging="360"/>
      </w:pPr>
      <w:rPr>
        <w:rFonts w:ascii="Symbol" w:hAnsi="Symbol" w:hint="default"/>
      </w:rPr>
    </w:lvl>
    <w:lvl w:ilvl="7" w:tplc="04EE89CA" w:tentative="1">
      <w:start w:val="1"/>
      <w:numFmt w:val="bullet"/>
      <w:lvlText w:val="o"/>
      <w:lvlJc w:val="left"/>
      <w:pPr>
        <w:tabs>
          <w:tab w:val="num" w:pos="7461"/>
        </w:tabs>
        <w:ind w:left="7461" w:hanging="360"/>
      </w:pPr>
      <w:rPr>
        <w:rFonts w:ascii="Courier New" w:hAnsi="Courier New" w:hint="default"/>
      </w:rPr>
    </w:lvl>
    <w:lvl w:ilvl="8" w:tplc="7CA0A03E"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4EC6531"/>
    <w:multiLevelType w:val="hybridMultilevel"/>
    <w:tmpl w:val="9C6A294E"/>
    <w:lvl w:ilvl="0" w:tplc="FD1262D6">
      <w:start w:val="1"/>
      <w:numFmt w:val="decimal"/>
      <w:lvlText w:val="%1."/>
      <w:lvlJc w:val="left"/>
      <w:pPr>
        <w:ind w:left="1636" w:hanging="360"/>
      </w:pPr>
      <w:rPr>
        <w:rFonts w:asciiTheme="majorBidi" w:hAnsiTheme="majorBidi" w:cstheme="majorBidi" w:hint="default"/>
        <w:b/>
        <w:bCs/>
        <w:color w:val="auto"/>
        <w:sz w:val="20"/>
        <w:szCs w:val="16"/>
        <w:vertAlign w:val="baseline"/>
        <w:lang w:val="fr-FR"/>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784B1EA4"/>
    <w:multiLevelType w:val="hybridMultilevel"/>
    <w:tmpl w:val="BB285FDC"/>
    <w:lvl w:ilvl="0" w:tplc="6BDAF7B6">
      <w:start w:val="2"/>
      <w:numFmt w:val="bullet"/>
      <w:lvlText w:val="-"/>
      <w:lvlJc w:val="left"/>
      <w:pPr>
        <w:ind w:left="2204" w:hanging="360"/>
      </w:pPr>
      <w:rPr>
        <w:rFonts w:ascii="Times New Roman" w:eastAsiaTheme="minorHAnsi" w:hAnsi="Times New Roman" w:cs="Times New Roman" w:hint="default"/>
        <w:b/>
        <w:sz w:val="22"/>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num w:numId="1">
    <w:abstractNumId w:val="12"/>
  </w:num>
  <w:num w:numId="2">
    <w:abstractNumId w:val="7"/>
  </w:num>
  <w:num w:numId="3">
    <w:abstractNumId w:val="0"/>
  </w:num>
  <w:num w:numId="4">
    <w:abstractNumId w:val="13"/>
  </w:num>
  <w:num w:numId="5">
    <w:abstractNumId w:val="11"/>
  </w:num>
  <w:num w:numId="6">
    <w:abstractNumId w:val="2"/>
  </w:num>
  <w:num w:numId="7">
    <w:abstractNumId w:val="8"/>
  </w:num>
  <w:num w:numId="8">
    <w:abstractNumId w:val="4"/>
  </w:num>
  <w:num w:numId="9">
    <w:abstractNumId w:val="1"/>
  </w:num>
  <w:num w:numId="10">
    <w:abstractNumId w:val="9"/>
  </w:num>
  <w:num w:numId="11">
    <w:abstractNumId w:val="10"/>
  </w:num>
  <w:num w:numId="12">
    <w:abstractNumId w:val="14"/>
  </w:num>
  <w:num w:numId="13">
    <w:abstractNumId w:val="3"/>
  </w:num>
  <w:num w:numId="14">
    <w:abstractNumId w:val="6"/>
  </w:num>
  <w:num w:numId="15">
    <w:abstractNumId w:val="5"/>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ar-SA" w:vendorID="64" w:dllVersion="0" w:nlCheck="1" w:checkStyle="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F2"/>
    <w:rsid w:val="000015EE"/>
    <w:rsid w:val="00013F70"/>
    <w:rsid w:val="000C61D4"/>
    <w:rsid w:val="000D0237"/>
    <w:rsid w:val="000E38E6"/>
    <w:rsid w:val="00112CDC"/>
    <w:rsid w:val="00123F08"/>
    <w:rsid w:val="001469F0"/>
    <w:rsid w:val="0015383D"/>
    <w:rsid w:val="00171C85"/>
    <w:rsid w:val="001D6B10"/>
    <w:rsid w:val="00236952"/>
    <w:rsid w:val="002B7D22"/>
    <w:rsid w:val="002C4DF2"/>
    <w:rsid w:val="002D2347"/>
    <w:rsid w:val="002F3A41"/>
    <w:rsid w:val="00331C60"/>
    <w:rsid w:val="00361D91"/>
    <w:rsid w:val="00372939"/>
    <w:rsid w:val="00374337"/>
    <w:rsid w:val="00377075"/>
    <w:rsid w:val="00394BF2"/>
    <w:rsid w:val="003B20C2"/>
    <w:rsid w:val="003C06D3"/>
    <w:rsid w:val="003D3EB1"/>
    <w:rsid w:val="0044331C"/>
    <w:rsid w:val="00490956"/>
    <w:rsid w:val="00495BD0"/>
    <w:rsid w:val="004B402F"/>
    <w:rsid w:val="004B5A1A"/>
    <w:rsid w:val="004B7829"/>
    <w:rsid w:val="004D7615"/>
    <w:rsid w:val="004F3C47"/>
    <w:rsid w:val="00503E65"/>
    <w:rsid w:val="00541F8D"/>
    <w:rsid w:val="005446F2"/>
    <w:rsid w:val="005601DF"/>
    <w:rsid w:val="005648B1"/>
    <w:rsid w:val="0056756F"/>
    <w:rsid w:val="00585725"/>
    <w:rsid w:val="005A27F7"/>
    <w:rsid w:val="005A71D7"/>
    <w:rsid w:val="005B02F8"/>
    <w:rsid w:val="005E376E"/>
    <w:rsid w:val="006C3E8E"/>
    <w:rsid w:val="00716E45"/>
    <w:rsid w:val="00735965"/>
    <w:rsid w:val="00762A06"/>
    <w:rsid w:val="00771DB9"/>
    <w:rsid w:val="007B174A"/>
    <w:rsid w:val="007F41D4"/>
    <w:rsid w:val="00801E89"/>
    <w:rsid w:val="00805F0D"/>
    <w:rsid w:val="00807342"/>
    <w:rsid w:val="0081005D"/>
    <w:rsid w:val="00816BCC"/>
    <w:rsid w:val="00855577"/>
    <w:rsid w:val="0089425B"/>
    <w:rsid w:val="008B4A68"/>
    <w:rsid w:val="008B75E4"/>
    <w:rsid w:val="009354AA"/>
    <w:rsid w:val="00951A78"/>
    <w:rsid w:val="009B69CC"/>
    <w:rsid w:val="009D7380"/>
    <w:rsid w:val="009F6C48"/>
    <w:rsid w:val="00A36DD4"/>
    <w:rsid w:val="00A5588D"/>
    <w:rsid w:val="00B1425B"/>
    <w:rsid w:val="00B456FD"/>
    <w:rsid w:val="00B61590"/>
    <w:rsid w:val="00B750ED"/>
    <w:rsid w:val="00BD28D2"/>
    <w:rsid w:val="00BD41D4"/>
    <w:rsid w:val="00C54F2D"/>
    <w:rsid w:val="00C61A71"/>
    <w:rsid w:val="00C927C9"/>
    <w:rsid w:val="00CB392D"/>
    <w:rsid w:val="00CD5A97"/>
    <w:rsid w:val="00CE2153"/>
    <w:rsid w:val="00CF1461"/>
    <w:rsid w:val="00D0493D"/>
    <w:rsid w:val="00D23C83"/>
    <w:rsid w:val="00D63CD8"/>
    <w:rsid w:val="00D87853"/>
    <w:rsid w:val="00D91809"/>
    <w:rsid w:val="00D92C25"/>
    <w:rsid w:val="00DA079B"/>
    <w:rsid w:val="00DA1FF8"/>
    <w:rsid w:val="00DC2775"/>
    <w:rsid w:val="00E20C0B"/>
    <w:rsid w:val="00E40864"/>
    <w:rsid w:val="00E471D8"/>
    <w:rsid w:val="00E73B8D"/>
    <w:rsid w:val="00E81B3B"/>
    <w:rsid w:val="00EF0C6B"/>
    <w:rsid w:val="00EF2480"/>
    <w:rsid w:val="00EF6E5A"/>
    <w:rsid w:val="00EF7EE2"/>
    <w:rsid w:val="00F04096"/>
    <w:rsid w:val="00F14D38"/>
    <w:rsid w:val="00F24398"/>
    <w:rsid w:val="00F26D77"/>
    <w:rsid w:val="00F70368"/>
    <w:rsid w:val="00F728B0"/>
    <w:rsid w:val="00F75BAF"/>
    <w:rsid w:val="00F76336"/>
    <w:rsid w:val="00FC0F1D"/>
    <w:rsid w:val="00FC368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BB347E"/>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semiHidden/>
    <w:qFormat/>
    <w:pPr>
      <w:outlineLvl w:val="1"/>
    </w:pPr>
  </w:style>
  <w:style w:type="paragraph" w:styleId="Titre3">
    <w:name w:val="heading 3"/>
    <w:basedOn w:val="Normal"/>
    <w:next w:val="Normal"/>
    <w:link w:val="Titre3Car"/>
    <w:uiPriority w:val="9"/>
    <w:semiHidden/>
    <w:qFormat/>
    <w:pPr>
      <w:outlineLvl w:val="2"/>
    </w:pPr>
  </w:style>
  <w:style w:type="paragraph" w:styleId="Titre4">
    <w:name w:val="heading 4"/>
    <w:basedOn w:val="Normal"/>
    <w:next w:val="Normal"/>
    <w:link w:val="Titre4Car"/>
    <w:uiPriority w:val="9"/>
    <w:semiHidden/>
    <w:qFormat/>
    <w:pPr>
      <w:outlineLvl w:val="3"/>
    </w:pPr>
  </w:style>
  <w:style w:type="paragraph" w:styleId="Titre5">
    <w:name w:val="heading 5"/>
    <w:basedOn w:val="Normal"/>
    <w:next w:val="Normal"/>
    <w:link w:val="Titre5Car"/>
    <w:uiPriority w:val="9"/>
    <w:semiHidden/>
    <w:qFormat/>
    <w:pPr>
      <w:outlineLvl w:val="4"/>
    </w:pPr>
  </w:style>
  <w:style w:type="paragraph" w:styleId="Titre6">
    <w:name w:val="heading 6"/>
    <w:basedOn w:val="Normal"/>
    <w:next w:val="Normal"/>
    <w:link w:val="Titre6Car"/>
    <w:uiPriority w:val="9"/>
    <w:semiHidden/>
    <w:qFormat/>
    <w:pPr>
      <w:outlineLvl w:val="5"/>
    </w:pPr>
  </w:style>
  <w:style w:type="paragraph" w:styleId="Titre7">
    <w:name w:val="heading 7"/>
    <w:basedOn w:val="Normal"/>
    <w:next w:val="Normal"/>
    <w:link w:val="Titre7Car"/>
    <w:uiPriority w:val="9"/>
    <w:semiHidden/>
    <w:qFormat/>
    <w:pPr>
      <w:outlineLvl w:val="6"/>
    </w:pPr>
  </w:style>
  <w:style w:type="paragraph" w:styleId="Titre8">
    <w:name w:val="heading 8"/>
    <w:basedOn w:val="Normal"/>
    <w:next w:val="Normal"/>
    <w:link w:val="Titre8Car"/>
    <w:uiPriority w:val="9"/>
    <w:semiHidden/>
    <w:qFormat/>
    <w:pPr>
      <w:outlineLvl w:val="7"/>
    </w:pPr>
  </w:style>
  <w:style w:type="paragraph" w:styleId="Titre9">
    <w:name w:val="heading 9"/>
    <w:basedOn w:val="Normal"/>
    <w:next w:val="Normal"/>
    <w:link w:val="Titre9Car"/>
    <w:uiPriority w:val="9"/>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pPr>
      <w:spacing w:line="240" w:lineRule="auto"/>
    </w:pPr>
    <w:rPr>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pPr>
      <w:tabs>
        <w:tab w:val="left" w:pos="1701"/>
        <w:tab w:val="left" w:pos="2268"/>
        <w:tab w:val="left" w:pos="2835"/>
      </w:tabs>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customStyle="1" w:styleId="Bullet2G">
    <w:name w:val="_Bullet 2_G"/>
    <w:basedOn w:val="Normal"/>
    <w:qFormat/>
    <w:pPr>
      <w:numPr>
        <w:numId w:val="2"/>
      </w:numPr>
      <w:spacing w:after="120"/>
      <w:ind w:right="1134"/>
      <w:jc w:val="both"/>
    </w:pPr>
  </w:style>
  <w:style w:type="paragraph" w:customStyle="1" w:styleId="ParNoG">
    <w:name w:val="_ParNo_G"/>
    <w:basedOn w:val="Normal"/>
    <w:qFormat/>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CD5A97"/>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1"/>
    <w:uiPriority w:val="99"/>
    <w:qFormat/>
    <w:pPr>
      <w:tabs>
        <w:tab w:val="right" w:pos="1021"/>
      </w:tabs>
      <w:spacing w:line="220" w:lineRule="exact"/>
      <w:ind w:left="1134" w:right="1134" w:hanging="1134"/>
    </w:pPr>
    <w:rPr>
      <w:sz w:val="18"/>
    </w:rPr>
  </w:style>
  <w:style w:type="character" w:customStyle="1" w:styleId="NotedebasdepageCar1">
    <w:name w:val="Note de bas de page Car1"/>
    <w:aliases w:val="5_G Car"/>
    <w:basedOn w:val="Policepardfaut"/>
    <w:link w:val="Notedebasdepage"/>
    <w:uiPriority w:val="99"/>
    <w:rPr>
      <w:rFonts w:ascii="Times New Roman" w:hAnsi="Times New Roman" w:cs="Times New Roman"/>
      <w:sz w:val="18"/>
      <w:szCs w:val="20"/>
    </w:rPr>
  </w:style>
  <w:style w:type="paragraph" w:styleId="Notedefin">
    <w:name w:val="endnote text"/>
    <w:aliases w:val="2_G"/>
    <w:basedOn w:val="Notedebasdepage"/>
    <w:link w:val="NotedefinCar"/>
    <w:uiPriority w:val="99"/>
    <w:qFormat/>
  </w:style>
  <w:style w:type="character" w:customStyle="1" w:styleId="NotedefinCar">
    <w:name w:val="Note de fin Car"/>
    <w:aliases w:val="2_G Car"/>
    <w:basedOn w:val="Policepardfaut"/>
    <w:link w:val="Notedefin"/>
    <w:uiPriority w:val="99"/>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uiPriority w:val="9"/>
    <w:rPr>
      <w:rFonts w:ascii="Times New Roman" w:hAnsi="Times New Roman" w:cs="Times New Roman"/>
      <w:sz w:val="20"/>
      <w:szCs w:val="20"/>
    </w:rPr>
  </w:style>
  <w:style w:type="character" w:customStyle="1" w:styleId="Titre2Car">
    <w:name w:val="Titre 2 Car"/>
    <w:basedOn w:val="Policepardfaut"/>
    <w:link w:val="Titre2"/>
    <w:uiPriority w:val="9"/>
    <w:semiHidden/>
    <w:rPr>
      <w:rFonts w:ascii="Times New Roman" w:hAnsi="Times New Roman" w:cs="Times New Roman"/>
      <w:sz w:val="20"/>
      <w:szCs w:val="20"/>
    </w:rPr>
  </w:style>
  <w:style w:type="character" w:customStyle="1" w:styleId="Titre3Car">
    <w:name w:val="Titre 3 Car"/>
    <w:basedOn w:val="Policepardfaut"/>
    <w:link w:val="Titre3"/>
    <w:uiPriority w:val="9"/>
    <w:semiHidden/>
    <w:rPr>
      <w:rFonts w:ascii="Times New Roman" w:hAnsi="Times New Roman" w:cs="Times New Roman"/>
      <w:sz w:val="20"/>
      <w:szCs w:val="20"/>
    </w:rPr>
  </w:style>
  <w:style w:type="character" w:customStyle="1" w:styleId="Titre4Car">
    <w:name w:val="Titre 4 Car"/>
    <w:basedOn w:val="Policepardfaut"/>
    <w:link w:val="Titre4"/>
    <w:uiPriority w:val="9"/>
    <w:semiHidden/>
    <w:rPr>
      <w:rFonts w:ascii="Times New Roman" w:hAnsi="Times New Roman" w:cs="Times New Roman"/>
      <w:sz w:val="20"/>
      <w:szCs w:val="20"/>
    </w:rPr>
  </w:style>
  <w:style w:type="character" w:customStyle="1" w:styleId="Titre5Car">
    <w:name w:val="Titre 5 Car"/>
    <w:basedOn w:val="Policepardfaut"/>
    <w:link w:val="Titre5"/>
    <w:uiPriority w:val="9"/>
    <w:semiHidden/>
    <w:rPr>
      <w:rFonts w:ascii="Times New Roman" w:hAnsi="Times New Roman" w:cs="Times New Roman"/>
      <w:sz w:val="20"/>
      <w:szCs w:val="20"/>
    </w:rPr>
  </w:style>
  <w:style w:type="character" w:customStyle="1" w:styleId="Titre6Car">
    <w:name w:val="Titre 6 Car"/>
    <w:basedOn w:val="Policepardfaut"/>
    <w:link w:val="Titre6"/>
    <w:uiPriority w:val="9"/>
    <w:semiHidden/>
    <w:rPr>
      <w:rFonts w:ascii="Times New Roman" w:hAnsi="Times New Roman" w:cs="Times New Roman"/>
      <w:sz w:val="20"/>
      <w:szCs w:val="20"/>
    </w:rPr>
  </w:style>
  <w:style w:type="character" w:customStyle="1" w:styleId="Titre7Car">
    <w:name w:val="Titre 7 Car"/>
    <w:basedOn w:val="Policepardfaut"/>
    <w:link w:val="Titre7"/>
    <w:uiPriority w:val="9"/>
    <w:semiHidden/>
    <w:rPr>
      <w:rFonts w:ascii="Times New Roman" w:hAnsi="Times New Roman" w:cs="Times New Roman"/>
      <w:sz w:val="20"/>
      <w:szCs w:val="20"/>
    </w:rPr>
  </w:style>
  <w:style w:type="character" w:customStyle="1" w:styleId="Titre8Car">
    <w:name w:val="Titre 8 Car"/>
    <w:basedOn w:val="Policepardfaut"/>
    <w:link w:val="Titre8"/>
    <w:uiPriority w:val="9"/>
    <w:semiHidden/>
    <w:rPr>
      <w:rFonts w:ascii="Times New Roman" w:hAnsi="Times New Roman" w:cs="Times New Roman"/>
      <w:sz w:val="20"/>
      <w:szCs w:val="20"/>
    </w:rPr>
  </w:style>
  <w:style w:type="character" w:customStyle="1" w:styleId="Titre9Car">
    <w:name w:val="Titre 9 Car"/>
    <w:basedOn w:val="Policepardfaut"/>
    <w:link w:val="Titre9"/>
    <w:uiPriority w:val="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paragraph" w:styleId="Paragraphedeliste">
    <w:name w:val="List Paragraph"/>
    <w:basedOn w:val="Normal"/>
    <w:link w:val="ParagraphedelisteCar"/>
    <w:uiPriority w:val="34"/>
    <w:qFormat/>
    <w:rsid w:val="00CF1461"/>
    <w:pPr>
      <w:suppressAutoHyphens w:val="0"/>
      <w:kinsoku/>
      <w:overflowPunct/>
      <w:autoSpaceDE/>
      <w:autoSpaceDN/>
      <w:adjustRightInd/>
      <w:snapToGrid/>
      <w:spacing w:line="240" w:lineRule="auto"/>
      <w:ind w:left="720" w:firstLine="360"/>
      <w:contextualSpacing/>
    </w:pPr>
    <w:rPr>
      <w:rFonts w:asciiTheme="minorHAnsi" w:hAnsiTheme="minorHAnsi" w:cstheme="minorBidi"/>
      <w:sz w:val="22"/>
      <w:szCs w:val="22"/>
      <w:lang w:val="fr-FR"/>
    </w:rPr>
  </w:style>
  <w:style w:type="character" w:customStyle="1" w:styleId="ParagraphedelisteCar">
    <w:name w:val="Paragraphe de liste Car"/>
    <w:link w:val="Paragraphedeliste"/>
    <w:uiPriority w:val="34"/>
    <w:rsid w:val="00CF1461"/>
    <w:rPr>
      <w:lang w:val="fr-FR"/>
    </w:rPr>
  </w:style>
  <w:style w:type="paragraph" w:styleId="Lgende">
    <w:name w:val="caption"/>
    <w:basedOn w:val="Normal"/>
    <w:next w:val="Normal"/>
    <w:uiPriority w:val="35"/>
    <w:semiHidden/>
    <w:unhideWhenUsed/>
    <w:qFormat/>
    <w:rsid w:val="00CF1461"/>
    <w:pPr>
      <w:suppressAutoHyphens w:val="0"/>
      <w:kinsoku/>
      <w:overflowPunct/>
      <w:autoSpaceDE/>
      <w:autoSpaceDN/>
      <w:adjustRightInd/>
      <w:snapToGrid/>
      <w:spacing w:line="240" w:lineRule="auto"/>
      <w:ind w:firstLine="360"/>
    </w:pPr>
    <w:rPr>
      <w:rFonts w:asciiTheme="minorHAnsi" w:hAnsiTheme="minorHAnsi" w:cstheme="minorBidi"/>
      <w:b/>
      <w:bCs/>
      <w:sz w:val="18"/>
      <w:szCs w:val="18"/>
      <w:lang w:val="fr-FR"/>
    </w:rPr>
  </w:style>
  <w:style w:type="paragraph" w:styleId="Titre">
    <w:name w:val="Title"/>
    <w:basedOn w:val="Normal"/>
    <w:next w:val="Normal"/>
    <w:link w:val="TitreCar"/>
    <w:uiPriority w:val="10"/>
    <w:qFormat/>
    <w:rsid w:val="00CF1461"/>
    <w:pPr>
      <w:pBdr>
        <w:top w:val="single" w:sz="8" w:space="10" w:color="A7BFDE"/>
        <w:bottom w:val="single" w:sz="24" w:space="15" w:color="9BBB59"/>
      </w:pBdr>
      <w:suppressAutoHyphens w:val="0"/>
      <w:kinsoku/>
      <w:overflowPunct/>
      <w:autoSpaceDE/>
      <w:autoSpaceDN/>
      <w:adjustRightInd/>
      <w:snapToGrid/>
      <w:spacing w:line="240" w:lineRule="auto"/>
      <w:jc w:val="center"/>
    </w:pPr>
    <w:rPr>
      <w:rFonts w:ascii="Cambria" w:eastAsia="Times New Roman" w:hAnsi="Cambria"/>
      <w:i/>
      <w:iCs/>
      <w:color w:val="243F60"/>
      <w:sz w:val="60"/>
      <w:szCs w:val="60"/>
      <w:lang w:val="fr-FR"/>
    </w:rPr>
  </w:style>
  <w:style w:type="character" w:customStyle="1" w:styleId="TitreCar">
    <w:name w:val="Titre Car"/>
    <w:basedOn w:val="Policepardfaut"/>
    <w:link w:val="Titre"/>
    <w:uiPriority w:val="10"/>
    <w:rsid w:val="00CF1461"/>
    <w:rPr>
      <w:rFonts w:ascii="Cambria" w:eastAsia="Times New Roman" w:hAnsi="Cambria" w:cs="Times New Roman"/>
      <w:i/>
      <w:iCs/>
      <w:color w:val="243F60"/>
      <w:sz w:val="60"/>
      <w:szCs w:val="60"/>
      <w:lang w:val="fr-FR"/>
    </w:rPr>
  </w:style>
  <w:style w:type="paragraph" w:styleId="Sous-titre">
    <w:name w:val="Subtitle"/>
    <w:basedOn w:val="Normal"/>
    <w:next w:val="Normal"/>
    <w:link w:val="Sous-titreCar"/>
    <w:uiPriority w:val="11"/>
    <w:qFormat/>
    <w:rsid w:val="00CF1461"/>
    <w:pPr>
      <w:suppressAutoHyphens w:val="0"/>
      <w:kinsoku/>
      <w:overflowPunct/>
      <w:autoSpaceDE/>
      <w:autoSpaceDN/>
      <w:adjustRightInd/>
      <w:snapToGrid/>
      <w:spacing w:before="200" w:after="900" w:line="240" w:lineRule="auto"/>
      <w:jc w:val="right"/>
    </w:pPr>
    <w:rPr>
      <w:rFonts w:ascii="Calibri" w:hAnsiTheme="minorHAnsi" w:cstheme="minorBidi"/>
      <w:i/>
      <w:iCs/>
      <w:sz w:val="24"/>
      <w:szCs w:val="24"/>
      <w:lang w:val="fr-FR"/>
    </w:rPr>
  </w:style>
  <w:style w:type="character" w:customStyle="1" w:styleId="Sous-titreCar">
    <w:name w:val="Sous-titre Car"/>
    <w:basedOn w:val="Policepardfaut"/>
    <w:link w:val="Sous-titre"/>
    <w:uiPriority w:val="11"/>
    <w:rsid w:val="00CF1461"/>
    <w:rPr>
      <w:rFonts w:ascii="Calibri"/>
      <w:i/>
      <w:iCs/>
      <w:sz w:val="24"/>
      <w:szCs w:val="24"/>
      <w:lang w:val="fr-FR"/>
    </w:rPr>
  </w:style>
  <w:style w:type="character" w:styleId="lev">
    <w:name w:val="Strong"/>
    <w:uiPriority w:val="22"/>
    <w:qFormat/>
    <w:rsid w:val="00CF1461"/>
    <w:rPr>
      <w:b/>
      <w:bCs/>
      <w:spacing w:val="0"/>
    </w:rPr>
  </w:style>
  <w:style w:type="character" w:styleId="Accentuation">
    <w:name w:val="Emphasis"/>
    <w:uiPriority w:val="20"/>
    <w:qFormat/>
    <w:rsid w:val="00CF1461"/>
    <w:rPr>
      <w:b/>
      <w:bCs/>
      <w:i/>
      <w:iCs/>
      <w:color w:val="5A5A5A"/>
    </w:rPr>
  </w:style>
  <w:style w:type="paragraph" w:styleId="Sansinterligne">
    <w:name w:val="No Spacing"/>
    <w:basedOn w:val="Normal"/>
    <w:link w:val="SansinterligneCar"/>
    <w:uiPriority w:val="1"/>
    <w:qFormat/>
    <w:rsid w:val="00CF1461"/>
    <w:pPr>
      <w:suppressAutoHyphens w:val="0"/>
      <w:kinsoku/>
      <w:overflowPunct/>
      <w:autoSpaceDE/>
      <w:autoSpaceDN/>
      <w:adjustRightInd/>
      <w:snapToGrid/>
      <w:spacing w:line="240" w:lineRule="auto"/>
    </w:pPr>
    <w:rPr>
      <w:rFonts w:asciiTheme="minorHAnsi" w:hAnsiTheme="minorHAnsi" w:cstheme="minorBidi"/>
      <w:sz w:val="22"/>
      <w:szCs w:val="22"/>
      <w:lang w:val="fr-FR"/>
    </w:rPr>
  </w:style>
  <w:style w:type="character" w:customStyle="1" w:styleId="SansinterligneCar">
    <w:name w:val="Sans interligne Car"/>
    <w:link w:val="Sansinterligne"/>
    <w:uiPriority w:val="1"/>
    <w:rsid w:val="00CF1461"/>
    <w:rPr>
      <w:lang w:val="fr-FR"/>
    </w:rPr>
  </w:style>
  <w:style w:type="paragraph" w:styleId="Citation">
    <w:name w:val="Quote"/>
    <w:basedOn w:val="Normal"/>
    <w:next w:val="Normal"/>
    <w:link w:val="CitationCar"/>
    <w:uiPriority w:val="29"/>
    <w:qFormat/>
    <w:rsid w:val="00CF1461"/>
    <w:pPr>
      <w:suppressAutoHyphens w:val="0"/>
      <w:kinsoku/>
      <w:overflowPunct/>
      <w:autoSpaceDE/>
      <w:autoSpaceDN/>
      <w:adjustRightInd/>
      <w:snapToGrid/>
      <w:spacing w:line="240" w:lineRule="auto"/>
      <w:ind w:firstLine="360"/>
    </w:pPr>
    <w:rPr>
      <w:rFonts w:ascii="Cambria" w:eastAsia="Times New Roman" w:hAnsi="Cambria"/>
      <w:i/>
      <w:iCs/>
      <w:color w:val="5A5A5A"/>
      <w:sz w:val="22"/>
      <w:szCs w:val="22"/>
      <w:lang w:val="fr-FR"/>
    </w:rPr>
  </w:style>
  <w:style w:type="character" w:customStyle="1" w:styleId="CitationCar">
    <w:name w:val="Citation Car"/>
    <w:basedOn w:val="Policepardfaut"/>
    <w:link w:val="Citation"/>
    <w:uiPriority w:val="29"/>
    <w:rsid w:val="00CF1461"/>
    <w:rPr>
      <w:rFonts w:ascii="Cambria" w:eastAsia="Times New Roman" w:hAnsi="Cambria" w:cs="Times New Roman"/>
      <w:i/>
      <w:iCs/>
      <w:color w:val="5A5A5A"/>
      <w:lang w:val="fr-FR"/>
    </w:rPr>
  </w:style>
  <w:style w:type="paragraph" w:styleId="Citationintense">
    <w:name w:val="Intense Quote"/>
    <w:basedOn w:val="Normal"/>
    <w:next w:val="Normal"/>
    <w:link w:val="CitationintenseCar"/>
    <w:uiPriority w:val="30"/>
    <w:qFormat/>
    <w:rsid w:val="00CF1461"/>
    <w:pPr>
      <w:pBdr>
        <w:top w:val="single" w:sz="12" w:space="10" w:color="B8CCE4"/>
        <w:left w:val="single" w:sz="36" w:space="4" w:color="4F81BD"/>
        <w:bottom w:val="single" w:sz="24" w:space="10" w:color="9BBB59"/>
        <w:right w:val="single" w:sz="36" w:space="4" w:color="4F81BD"/>
      </w:pBdr>
      <w:shd w:val="clear" w:color="auto" w:fill="4F81BD"/>
      <w:suppressAutoHyphens w:val="0"/>
      <w:kinsoku/>
      <w:overflowPunct/>
      <w:autoSpaceDE/>
      <w:autoSpaceDN/>
      <w:adjustRightInd/>
      <w:snapToGrid/>
      <w:spacing w:before="320" w:after="320" w:line="300" w:lineRule="auto"/>
      <w:ind w:left="1440" w:right="1440" w:firstLine="360"/>
    </w:pPr>
    <w:rPr>
      <w:rFonts w:ascii="Cambria" w:eastAsia="Times New Roman" w:hAnsi="Cambria"/>
      <w:i/>
      <w:iCs/>
      <w:color w:val="FFFFFF"/>
      <w:sz w:val="24"/>
      <w:szCs w:val="24"/>
      <w:lang w:val="fr-FR"/>
    </w:rPr>
  </w:style>
  <w:style w:type="character" w:customStyle="1" w:styleId="CitationintenseCar">
    <w:name w:val="Citation intense Car"/>
    <w:basedOn w:val="Policepardfaut"/>
    <w:link w:val="Citationintense"/>
    <w:uiPriority w:val="30"/>
    <w:rsid w:val="00CF1461"/>
    <w:rPr>
      <w:rFonts w:ascii="Cambria" w:eastAsia="Times New Roman" w:hAnsi="Cambria" w:cs="Times New Roman"/>
      <w:i/>
      <w:iCs/>
      <w:color w:val="FFFFFF"/>
      <w:sz w:val="24"/>
      <w:szCs w:val="24"/>
      <w:shd w:val="clear" w:color="auto" w:fill="4F81BD"/>
      <w:lang w:val="fr-FR"/>
    </w:rPr>
  </w:style>
  <w:style w:type="character" w:styleId="Accentuationlgre">
    <w:name w:val="Subtle Emphasis"/>
    <w:uiPriority w:val="19"/>
    <w:qFormat/>
    <w:rsid w:val="00CF1461"/>
    <w:rPr>
      <w:i/>
      <w:iCs/>
      <w:color w:val="5A5A5A"/>
    </w:rPr>
  </w:style>
  <w:style w:type="character" w:styleId="Accentuationintense">
    <w:name w:val="Intense Emphasis"/>
    <w:uiPriority w:val="21"/>
    <w:qFormat/>
    <w:rsid w:val="00CF1461"/>
    <w:rPr>
      <w:b/>
      <w:bCs/>
      <w:i/>
      <w:iCs/>
      <w:color w:val="4F81BD"/>
      <w:sz w:val="22"/>
      <w:szCs w:val="22"/>
    </w:rPr>
  </w:style>
  <w:style w:type="character" w:styleId="Rfrencelgre">
    <w:name w:val="Subtle Reference"/>
    <w:uiPriority w:val="31"/>
    <w:qFormat/>
    <w:rsid w:val="00CF1461"/>
    <w:rPr>
      <w:color w:val="auto"/>
      <w:u w:val="single" w:color="9BBB59"/>
    </w:rPr>
  </w:style>
  <w:style w:type="character" w:styleId="Rfrenceintense">
    <w:name w:val="Intense Reference"/>
    <w:uiPriority w:val="32"/>
    <w:qFormat/>
    <w:rsid w:val="00CF1461"/>
    <w:rPr>
      <w:b/>
      <w:bCs/>
      <w:color w:val="76923C"/>
      <w:u w:val="single" w:color="9BBB59"/>
    </w:rPr>
  </w:style>
  <w:style w:type="character" w:styleId="Titredulivre">
    <w:name w:val="Book Title"/>
    <w:uiPriority w:val="33"/>
    <w:qFormat/>
    <w:rsid w:val="00CF1461"/>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CF1461"/>
    <w:pPr>
      <w:keepNext w:val="0"/>
      <w:keepLines w:val="0"/>
      <w:pBdr>
        <w:bottom w:val="single" w:sz="12" w:space="1" w:color="365F91"/>
      </w:pBdr>
      <w:tabs>
        <w:tab w:val="clear" w:pos="1701"/>
        <w:tab w:val="clear" w:pos="2268"/>
        <w:tab w:val="clear" w:pos="2835"/>
      </w:tabs>
      <w:suppressAutoHyphens w:val="0"/>
      <w:kinsoku/>
      <w:overflowPunct/>
      <w:autoSpaceDE/>
      <w:autoSpaceDN/>
      <w:adjustRightInd/>
      <w:snapToGrid/>
      <w:spacing w:before="600" w:after="80"/>
      <w:ind w:left="0"/>
      <w:outlineLvl w:val="9"/>
    </w:pPr>
    <w:rPr>
      <w:rFonts w:ascii="Cambria" w:eastAsia="Times New Roman" w:hAnsi="Cambria"/>
      <w:b/>
      <w:bCs/>
      <w:color w:val="365F91"/>
      <w:sz w:val="24"/>
      <w:szCs w:val="24"/>
      <w:lang w:val="fr-FR" w:bidi="en-US"/>
    </w:rPr>
  </w:style>
  <w:style w:type="numbering" w:customStyle="1" w:styleId="Aucuneliste1">
    <w:name w:val="Aucune liste1"/>
    <w:next w:val="Aucuneliste"/>
    <w:uiPriority w:val="99"/>
    <w:semiHidden/>
    <w:unhideWhenUsed/>
    <w:rsid w:val="00CF1461"/>
  </w:style>
  <w:style w:type="paragraph" w:customStyle="1" w:styleId="Notedebasdepage1">
    <w:name w:val="Note de bas de page1"/>
    <w:basedOn w:val="Normal"/>
    <w:next w:val="Notedebasdepage"/>
    <w:link w:val="NotedebasdepageCar"/>
    <w:uiPriority w:val="99"/>
    <w:semiHidden/>
    <w:unhideWhenUsed/>
    <w:rsid w:val="00CF1461"/>
    <w:pPr>
      <w:suppressAutoHyphens w:val="0"/>
      <w:kinsoku/>
      <w:overflowPunct/>
      <w:autoSpaceDE/>
      <w:autoSpaceDN/>
      <w:adjustRightInd/>
      <w:snapToGrid/>
      <w:spacing w:line="240" w:lineRule="auto"/>
      <w:ind w:firstLine="360"/>
    </w:pPr>
    <w:rPr>
      <w:rFonts w:asciiTheme="minorHAnsi" w:eastAsia="Calibri" w:hAnsiTheme="minorHAnsi" w:cstheme="minorBidi"/>
      <w:lang w:val="fr-FR"/>
    </w:rPr>
  </w:style>
  <w:style w:type="character" w:customStyle="1" w:styleId="NotedebasdepageCar">
    <w:name w:val="Note de bas de page Car"/>
    <w:basedOn w:val="Policepardfaut"/>
    <w:link w:val="Notedebasdepage1"/>
    <w:uiPriority w:val="99"/>
    <w:semiHidden/>
    <w:rsid w:val="00CF1461"/>
    <w:rPr>
      <w:rFonts w:eastAsia="Calibri"/>
      <w:sz w:val="20"/>
      <w:szCs w:val="20"/>
      <w:lang w:val="fr-FR"/>
    </w:rPr>
  </w:style>
  <w:style w:type="table" w:customStyle="1" w:styleId="Grilledutableau1">
    <w:name w:val="Grille du tableau1"/>
    <w:basedOn w:val="TableauNormal"/>
    <w:next w:val="Grilledutableau"/>
    <w:uiPriority w:val="59"/>
    <w:rsid w:val="00CF1461"/>
    <w:pPr>
      <w:spacing w:after="0" w:line="240" w:lineRule="auto"/>
      <w:ind w:firstLine="36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461"/>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Default">
    <w:name w:val="Default"/>
    <w:rsid w:val="00CF1461"/>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paragraph" w:customStyle="1" w:styleId="Pa2">
    <w:name w:val="Pa2"/>
    <w:basedOn w:val="Normal"/>
    <w:next w:val="Normal"/>
    <w:uiPriority w:val="99"/>
    <w:rsid w:val="00CF1461"/>
    <w:pPr>
      <w:suppressAutoHyphens w:val="0"/>
      <w:kinsoku/>
      <w:overflowPunct/>
      <w:snapToGrid/>
      <w:spacing w:line="241" w:lineRule="atLeast"/>
    </w:pPr>
    <w:rPr>
      <w:rFonts w:ascii="Myriad Pro" w:eastAsia="Times New Roman" w:hAnsi="Myriad Pro" w:cstheme="minorBidi"/>
      <w:sz w:val="24"/>
      <w:szCs w:val="24"/>
      <w:lang w:val="fr-FR" w:eastAsia="fr-FR"/>
    </w:rPr>
  </w:style>
  <w:style w:type="paragraph" w:customStyle="1" w:styleId="texte">
    <w:name w:val="texte"/>
    <w:basedOn w:val="Normal"/>
    <w:rsid w:val="00CF1461"/>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customStyle="1" w:styleId="hps">
    <w:name w:val="hps"/>
    <w:rsid w:val="00CF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rgphentableaux.hcp.ma/Default1/" TargetMode="External"/><Relationship Id="rId2" Type="http://schemas.openxmlformats.org/officeDocument/2006/relationships/hyperlink" Target="https://treaties.un.org/Pages/ViewDetails.aspx?src=TREATY&amp;mtdsg_no=IV-2-a&amp;chapter=4&amp;clang=_fr" TargetMode="External"/><Relationship Id="rId1" Type="http://schemas.openxmlformats.org/officeDocument/2006/relationships/hyperlink" Target="https://tbinternet.ohchr.org/_layouts/15/TreatyBodyExternal/CoreDocuments.aspx?Lang=fr" TargetMode="External"/><Relationship Id="rId6" Type="http://schemas.openxmlformats.org/officeDocument/2006/relationships/hyperlink" Target="http://prometheus.ma/rapport-du-conseil-civil-de-lutte-contre-toutes-les-formes-de-discrimination/" TargetMode="External"/><Relationship Id="rId5" Type="http://schemas.openxmlformats.org/officeDocument/2006/relationships/hyperlink" Target="http://www.cevaa.org/camp-d2019ete-des-jeunes-du-maroc-une-invitation-a-ne-pas-manquer" TargetMode="External"/><Relationship Id="rId4" Type="http://schemas.openxmlformats.org/officeDocument/2006/relationships/hyperlink" Target="https://fr.unesco.org/creativity/governance/periodic-reports/2017/moroc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BE314-5C9C-44F7-82D4-49D7F111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18437</Words>
  <Characters>96611</Characters>
  <Application>Microsoft Office Word</Application>
  <DocSecurity>0</DocSecurity>
  <Lines>1533</Lines>
  <Paragraphs>515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CERD/C/MAR/19-21</vt:lpstr>
      <vt:lpstr>CERD/C/MAR/19-21</vt:lpstr>
      <vt:lpstr>a/hthhhh</vt:lpstr>
    </vt:vector>
  </TitlesOfParts>
  <Company>DCM</Company>
  <LinksUpToDate>false</LinksUpToDate>
  <CharactersWithSpaces>114533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CERD/C/MAR/19-21</dc:title>
  <dc:subject/>
  <dc:creator>Gloria de la Rosa</dc:creator>
  <cp:keywords/>
  <cp:lastModifiedBy>Corinne ROBERT</cp:lastModifiedBy>
  <cp:revision>3</cp:revision>
  <cp:lastPrinted>2021-12-16T06:02:00Z</cp:lastPrinted>
  <dcterms:created xsi:type="dcterms:W3CDTF">2021-12-16T06:02:00Z</dcterms:created>
  <dcterms:modified xsi:type="dcterms:W3CDTF">2021-12-16T06:04:00Z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CERD</vt:lpwstr>
  </property>
  <property fmtid="{D5CDD505-2E9C-101B-9397-08002B2CF9AE}" pid="7" name="count">
    <vt:lpwstr>du Maroc </vt:lpwstr>
  </property>
  <property fmtid="{D5CDD505-2E9C-101B-9397-08002B2CF9AE}" pid="8" name="countw">
    <vt:lpwstr>Maroc </vt:lpwstr>
  </property>
  <property fmtid="{D5CDD505-2E9C-101B-9397-08002B2CF9AE}" pid="9" name="countwd">
    <vt:lpwstr>le Maroc </vt:lpwstr>
  </property>
  <property fmtid="{D5CDD505-2E9C-101B-9397-08002B2CF9AE}" pid="10" name="date">
    <vt:lpwstr>6 janvier 2021</vt:lpwstr>
  </property>
  <property fmtid="{D5CDD505-2E9C-101B-9397-08002B2CF9AE}" pid="11" name="Date-Generated">
    <vt:filetime>2021-01-06T09:56:41Z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rapport du Maroc  valant dix-neuvième à vingt et unième rapports périodiques</vt:lpwstr>
  </property>
  <property fmtid="{D5CDD505-2E9C-101B-9397-08002B2CF9AE}" pid="20" name="preps">
    <vt:lpwstr>rapport du Maroc  valant dix-neuvième à vingt et unième rapports périodiques</vt:lpwstr>
  </property>
  <property fmtid="{D5CDD505-2E9C-101B-9397-08002B2CF9AE}" pid="21" name="prepw">
    <vt:lpwstr>rapport valant dix-neuvième à vingt et unième rapports périodiques</vt:lpwstr>
  </property>
  <property fmtid="{D5CDD505-2E9C-101B-9397-08002B2CF9AE}" pid="22" name="prepwc">
    <vt:lpwstr>Rapport valant dix-neuvième à vingt et unième rapports périodiques</vt:lpwstr>
  </property>
  <property fmtid="{D5CDD505-2E9C-101B-9397-08002B2CF9AE}" pid="23" name="prepws">
    <vt:lpwstr>rapport valant dix-neuvième à vingt et unième rapports périodiques</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C/MAR/19-21</vt:lpwstr>
  </property>
  <property fmtid="{D5CDD505-2E9C-101B-9397-08002B2CF9AE}" pid="28" name="symh">
    <vt:lpwstr>CERD/C/MAR/19-21</vt:lpwstr>
  </property>
  <property fmtid="{D5CDD505-2E9C-101B-9397-08002B2CF9AE}" pid="29" name="tlang">
    <vt:lpwstr/>
  </property>
  <property fmtid="{D5CDD505-2E9C-101B-9397-08002B2CF9AE}" pid="30" name="virs">
    <vt:lpwstr>Anglais, espagnol et français seulement</vt:lpwstr>
  </property>
</Properties>
</file>