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75358B" w:rsidRPr="0035527D" w:rsidTr="000F6336">
        <w:trPr>
          <w:trHeight w:val="851"/>
        </w:trPr>
        <w:tc>
          <w:tcPr>
            <w:tcW w:w="1259" w:type="dxa"/>
            <w:tcBorders>
              <w:top w:val="nil"/>
              <w:left w:val="nil"/>
              <w:bottom w:val="single" w:sz="4" w:space="0" w:color="auto"/>
              <w:right w:val="nil"/>
            </w:tcBorders>
            <w:vAlign w:val="bottom"/>
          </w:tcPr>
          <w:p w:rsidR="0075358B" w:rsidRPr="0035527D" w:rsidRDefault="0075358B" w:rsidP="000F6336">
            <w:pPr>
              <w:jc w:val="right"/>
            </w:pPr>
          </w:p>
        </w:tc>
        <w:tc>
          <w:tcPr>
            <w:tcW w:w="2236" w:type="dxa"/>
            <w:tcBorders>
              <w:top w:val="nil"/>
              <w:left w:val="nil"/>
              <w:bottom w:val="single" w:sz="4" w:space="0" w:color="auto"/>
              <w:right w:val="nil"/>
            </w:tcBorders>
            <w:vAlign w:val="bottom"/>
          </w:tcPr>
          <w:p w:rsidR="0075358B" w:rsidRPr="0035527D" w:rsidRDefault="003115CF" w:rsidP="00C013D0">
            <w:r w:rsidRPr="0035527D">
              <w:rPr>
                <w:rFonts w:ascii="TimesNewRoman" w:hAnsi="TimesNewRoman" w:cs="TimesNewRoman"/>
                <w:sz w:val="28"/>
                <w:szCs w:val="28"/>
                <w:lang w:eastAsia="en-GB"/>
              </w:rPr>
              <w:t>Naciones Unidas</w:t>
            </w:r>
          </w:p>
        </w:tc>
        <w:tc>
          <w:tcPr>
            <w:tcW w:w="6144" w:type="dxa"/>
            <w:gridSpan w:val="2"/>
            <w:tcBorders>
              <w:top w:val="nil"/>
              <w:left w:val="nil"/>
              <w:bottom w:val="single" w:sz="4" w:space="0" w:color="auto"/>
              <w:right w:val="nil"/>
            </w:tcBorders>
            <w:vAlign w:val="bottom"/>
          </w:tcPr>
          <w:p w:rsidR="0075358B" w:rsidRPr="0035527D" w:rsidRDefault="00035EF0" w:rsidP="00B245D0">
            <w:pPr>
              <w:jc w:val="right"/>
            </w:pPr>
            <w:r w:rsidRPr="0035527D">
              <w:rPr>
                <w:sz w:val="40"/>
              </w:rPr>
              <w:t>CMW</w:t>
            </w:r>
            <w:r w:rsidRPr="0035527D">
              <w:t>/C/</w:t>
            </w:r>
            <w:r w:rsidR="00EF0E57" w:rsidRPr="0035527D">
              <w:t>COL</w:t>
            </w:r>
            <w:r w:rsidRPr="0035527D">
              <w:t>/CO/</w:t>
            </w:r>
            <w:r w:rsidR="00980412" w:rsidRPr="0035527D">
              <w:t>2</w:t>
            </w:r>
          </w:p>
        </w:tc>
      </w:tr>
      <w:tr w:rsidR="0075358B" w:rsidRPr="0035527D" w:rsidTr="000F6336">
        <w:trPr>
          <w:trHeight w:val="2835"/>
        </w:trPr>
        <w:tc>
          <w:tcPr>
            <w:tcW w:w="1259" w:type="dxa"/>
            <w:tcBorders>
              <w:top w:val="single" w:sz="4" w:space="0" w:color="auto"/>
              <w:left w:val="nil"/>
              <w:bottom w:val="single" w:sz="12" w:space="0" w:color="auto"/>
              <w:right w:val="nil"/>
            </w:tcBorders>
          </w:tcPr>
          <w:p w:rsidR="00980412" w:rsidRPr="0035527D" w:rsidRDefault="00980412" w:rsidP="000F6336"/>
          <w:p w:rsidR="0075358B" w:rsidRPr="0035527D" w:rsidRDefault="003115CF" w:rsidP="000F6336">
            <w:r w:rsidRPr="0035527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15CF" w:rsidRPr="0035527D" w:rsidRDefault="003115CF" w:rsidP="003115CF">
            <w:pPr>
              <w:suppressAutoHyphens w:val="0"/>
              <w:autoSpaceDE w:val="0"/>
              <w:autoSpaceDN w:val="0"/>
              <w:adjustRightInd w:val="0"/>
              <w:spacing w:line="240" w:lineRule="auto"/>
              <w:rPr>
                <w:rFonts w:ascii="TimesNewRoman,Bold" w:hAnsi="TimesNewRoman,Bold" w:cs="TimesNewRoman,Bold"/>
                <w:b/>
                <w:bCs/>
                <w:sz w:val="34"/>
                <w:szCs w:val="34"/>
                <w:lang w:eastAsia="en-GB"/>
              </w:rPr>
            </w:pPr>
            <w:r w:rsidRPr="0035527D">
              <w:rPr>
                <w:rFonts w:ascii="TimesNewRoman,Bold" w:hAnsi="TimesNewRoman,Bold" w:cs="TimesNewRoman,Bold"/>
                <w:b/>
                <w:bCs/>
                <w:sz w:val="34"/>
                <w:szCs w:val="34"/>
                <w:lang w:eastAsia="en-GB"/>
              </w:rPr>
              <w:t>Convención Internacional sobre</w:t>
            </w:r>
          </w:p>
          <w:p w:rsidR="003115CF" w:rsidRPr="0035527D" w:rsidRDefault="003115CF" w:rsidP="003115CF">
            <w:pPr>
              <w:suppressAutoHyphens w:val="0"/>
              <w:autoSpaceDE w:val="0"/>
              <w:autoSpaceDN w:val="0"/>
              <w:adjustRightInd w:val="0"/>
              <w:spacing w:line="240" w:lineRule="auto"/>
              <w:rPr>
                <w:rFonts w:ascii="TimesNewRoman,Bold" w:hAnsi="TimesNewRoman,Bold" w:cs="TimesNewRoman,Bold"/>
                <w:b/>
                <w:bCs/>
                <w:sz w:val="34"/>
                <w:szCs w:val="34"/>
                <w:lang w:eastAsia="en-GB"/>
              </w:rPr>
            </w:pPr>
            <w:r w:rsidRPr="0035527D">
              <w:rPr>
                <w:rFonts w:ascii="TimesNewRoman,Bold" w:hAnsi="TimesNewRoman,Bold" w:cs="TimesNewRoman,Bold"/>
                <w:b/>
                <w:bCs/>
                <w:sz w:val="34"/>
                <w:szCs w:val="34"/>
                <w:lang w:eastAsia="en-GB"/>
              </w:rPr>
              <w:t>la protección de los derechos de</w:t>
            </w:r>
          </w:p>
          <w:p w:rsidR="003115CF" w:rsidRPr="0035527D" w:rsidRDefault="003115CF" w:rsidP="003115CF">
            <w:pPr>
              <w:suppressAutoHyphens w:val="0"/>
              <w:autoSpaceDE w:val="0"/>
              <w:autoSpaceDN w:val="0"/>
              <w:adjustRightInd w:val="0"/>
              <w:spacing w:line="240" w:lineRule="auto"/>
              <w:rPr>
                <w:rFonts w:ascii="TimesNewRoman,Bold" w:hAnsi="TimesNewRoman,Bold" w:cs="TimesNewRoman,Bold"/>
                <w:b/>
                <w:bCs/>
                <w:sz w:val="34"/>
                <w:szCs w:val="34"/>
                <w:lang w:eastAsia="en-GB"/>
              </w:rPr>
            </w:pPr>
            <w:r w:rsidRPr="0035527D">
              <w:rPr>
                <w:rFonts w:ascii="TimesNewRoman,Bold" w:hAnsi="TimesNewRoman,Bold" w:cs="TimesNewRoman,Bold"/>
                <w:b/>
                <w:bCs/>
                <w:sz w:val="34"/>
                <w:szCs w:val="34"/>
                <w:lang w:eastAsia="en-GB"/>
              </w:rPr>
              <w:t>todos los trabajadores migratorios</w:t>
            </w:r>
          </w:p>
          <w:p w:rsidR="0075358B" w:rsidRPr="0035527D" w:rsidRDefault="003115CF" w:rsidP="003115CF">
            <w:r w:rsidRPr="0035527D">
              <w:rPr>
                <w:rFonts w:ascii="TimesNewRoman,Bold" w:hAnsi="TimesNewRoman,Bold" w:cs="TimesNewRoman,Bold"/>
                <w:b/>
                <w:bCs/>
                <w:sz w:val="34"/>
                <w:szCs w:val="34"/>
                <w:lang w:eastAsia="en-GB"/>
              </w:rPr>
              <w:t>y de sus familiares</w:t>
            </w:r>
          </w:p>
        </w:tc>
        <w:tc>
          <w:tcPr>
            <w:tcW w:w="2930" w:type="dxa"/>
            <w:tcBorders>
              <w:top w:val="single" w:sz="4" w:space="0" w:color="auto"/>
              <w:left w:val="nil"/>
              <w:bottom w:val="single" w:sz="12" w:space="0" w:color="auto"/>
              <w:right w:val="nil"/>
            </w:tcBorders>
          </w:tcPr>
          <w:p w:rsidR="00035EF0" w:rsidRPr="0035527D" w:rsidRDefault="00035EF0" w:rsidP="00035EF0">
            <w:pPr>
              <w:spacing w:before="240" w:line="240" w:lineRule="exact"/>
            </w:pPr>
            <w:r w:rsidRPr="0035527D">
              <w:t xml:space="preserve">Distr. </w:t>
            </w:r>
            <w:r w:rsidR="00B245D0" w:rsidRPr="0035527D">
              <w:t>general</w:t>
            </w:r>
          </w:p>
          <w:p w:rsidR="00035EF0" w:rsidRPr="0035527D" w:rsidRDefault="00E72D83" w:rsidP="00035EF0">
            <w:pPr>
              <w:spacing w:line="240" w:lineRule="exact"/>
            </w:pPr>
            <w:r>
              <w:t>27</w:t>
            </w:r>
            <w:r w:rsidR="0033098A" w:rsidRPr="0035527D">
              <w:t xml:space="preserve"> de</w:t>
            </w:r>
            <w:r w:rsidR="00731D4C" w:rsidRPr="0035527D">
              <w:t xml:space="preserve"> mayo</w:t>
            </w:r>
            <w:r w:rsidR="00DF7195" w:rsidRPr="0035527D">
              <w:t xml:space="preserve"> </w:t>
            </w:r>
            <w:r w:rsidR="00980412" w:rsidRPr="0035527D">
              <w:t xml:space="preserve">de </w:t>
            </w:r>
            <w:r w:rsidR="00DF7195" w:rsidRPr="0035527D">
              <w:t>201</w:t>
            </w:r>
            <w:r w:rsidR="00EF0E57" w:rsidRPr="0035527D">
              <w:t>3</w:t>
            </w:r>
          </w:p>
          <w:p w:rsidR="00035EF0" w:rsidRPr="0035527D" w:rsidRDefault="00035EF0" w:rsidP="00035EF0">
            <w:pPr>
              <w:spacing w:line="240" w:lineRule="exact"/>
            </w:pPr>
          </w:p>
          <w:p w:rsidR="0075358B" w:rsidRPr="0035527D" w:rsidRDefault="00035EF0" w:rsidP="00035EF0">
            <w:pPr>
              <w:spacing w:line="240" w:lineRule="exact"/>
            </w:pPr>
            <w:r w:rsidRPr="0035527D">
              <w:t>Original: español</w:t>
            </w:r>
          </w:p>
        </w:tc>
      </w:tr>
    </w:tbl>
    <w:p w:rsidR="003115CF" w:rsidRPr="0035527D" w:rsidRDefault="003115CF" w:rsidP="003115CF">
      <w:pPr>
        <w:suppressAutoHyphens w:val="0"/>
        <w:autoSpaceDE w:val="0"/>
        <w:autoSpaceDN w:val="0"/>
        <w:adjustRightInd w:val="0"/>
        <w:spacing w:line="240" w:lineRule="auto"/>
        <w:rPr>
          <w:rFonts w:ascii="TimesNewRoman,Bold" w:hAnsi="TimesNewRoman,Bold" w:cs="TimesNewRoman,Bold"/>
          <w:b/>
          <w:bCs/>
          <w:sz w:val="24"/>
          <w:szCs w:val="24"/>
          <w:lang w:eastAsia="en-GB"/>
        </w:rPr>
      </w:pPr>
      <w:r w:rsidRPr="0035527D">
        <w:rPr>
          <w:rFonts w:ascii="TimesNewRoman,Bold" w:hAnsi="TimesNewRoman,Bold" w:cs="TimesNewRoman,Bold"/>
          <w:b/>
          <w:bCs/>
          <w:sz w:val="24"/>
          <w:szCs w:val="24"/>
          <w:lang w:eastAsia="en-GB"/>
        </w:rPr>
        <w:t>Comité de Protección de los Derechos de Todos los</w:t>
      </w:r>
    </w:p>
    <w:p w:rsidR="003115CF" w:rsidRPr="0035527D" w:rsidRDefault="003115CF" w:rsidP="003115CF">
      <w:pPr>
        <w:suppressAutoHyphens w:val="0"/>
        <w:autoSpaceDE w:val="0"/>
        <w:autoSpaceDN w:val="0"/>
        <w:adjustRightInd w:val="0"/>
        <w:spacing w:line="240" w:lineRule="auto"/>
        <w:rPr>
          <w:rFonts w:ascii="TimesNewRoman,Bold" w:hAnsi="TimesNewRoman,Bold" w:cs="TimesNewRoman,Bold"/>
          <w:b/>
          <w:bCs/>
          <w:sz w:val="24"/>
          <w:szCs w:val="24"/>
          <w:lang w:eastAsia="en-GB"/>
        </w:rPr>
      </w:pPr>
      <w:r w:rsidRPr="0035527D">
        <w:rPr>
          <w:rFonts w:ascii="TimesNewRoman,Bold" w:hAnsi="TimesNewRoman,Bold" w:cs="TimesNewRoman,Bold"/>
          <w:b/>
          <w:bCs/>
          <w:sz w:val="24"/>
          <w:szCs w:val="24"/>
          <w:lang w:eastAsia="en-GB"/>
        </w:rPr>
        <w:t>Trabajadores Migratorios y de sus Familiares</w:t>
      </w:r>
    </w:p>
    <w:p w:rsidR="00525414" w:rsidRPr="0035527D" w:rsidRDefault="00525414" w:rsidP="000A7525">
      <w:pPr>
        <w:pStyle w:val="HChG"/>
      </w:pPr>
      <w:r w:rsidRPr="0035527D">
        <w:tab/>
      </w:r>
      <w:r w:rsidRPr="0035527D">
        <w:tab/>
        <w:t xml:space="preserve">Observaciones finales </w:t>
      </w:r>
      <w:r w:rsidR="006E40B3" w:rsidRPr="0035527D">
        <w:t>sobre el segundo informe periódico de</w:t>
      </w:r>
      <w:r w:rsidR="006E40B3" w:rsidRPr="0035527D" w:rsidDel="006E40B3">
        <w:t xml:space="preserve"> </w:t>
      </w:r>
      <w:r w:rsidR="006E40B3" w:rsidRPr="0035527D">
        <w:t>Colombia</w:t>
      </w:r>
      <w:r w:rsidR="005E1E69" w:rsidRPr="0035527D">
        <w:t>,</w:t>
      </w:r>
      <w:r w:rsidR="00731D4C" w:rsidRPr="0035527D">
        <w:t xml:space="preserve"> aprobadas por el Comité en su 18</w:t>
      </w:r>
      <w:r w:rsidR="005E1E69" w:rsidRPr="0035527D">
        <w:t>º</w:t>
      </w:r>
      <w:r w:rsidR="00731D4C" w:rsidRPr="0035527D">
        <w:t xml:space="preserve"> período de sesiones (15</w:t>
      </w:r>
      <w:r w:rsidR="005E1E69" w:rsidRPr="0035527D">
        <w:t xml:space="preserve"> a </w:t>
      </w:r>
      <w:r w:rsidR="00731D4C" w:rsidRPr="0035527D">
        <w:t>26 de abril de 2013)</w:t>
      </w:r>
    </w:p>
    <w:p w:rsidR="00035EF0" w:rsidRPr="0035527D" w:rsidRDefault="00035EF0" w:rsidP="000C0D1B">
      <w:pPr>
        <w:pStyle w:val="SingleTxtG"/>
      </w:pPr>
      <w:r w:rsidRPr="0035527D">
        <w:t>1.</w:t>
      </w:r>
      <w:r w:rsidRPr="0035527D">
        <w:tab/>
        <w:t xml:space="preserve">El Comité examinó el </w:t>
      </w:r>
      <w:r w:rsidR="00EF0E57" w:rsidRPr="0035527D">
        <w:t>segundo</w:t>
      </w:r>
      <w:r w:rsidRPr="0035527D">
        <w:t xml:space="preserve"> informe </w:t>
      </w:r>
      <w:r w:rsidR="005E1E69" w:rsidRPr="0035527D">
        <w:t xml:space="preserve">periódico </w:t>
      </w:r>
      <w:r w:rsidRPr="0035527D">
        <w:t>de</w:t>
      </w:r>
      <w:r w:rsidR="002D197F" w:rsidRPr="0035527D">
        <w:t xml:space="preserve"> </w:t>
      </w:r>
      <w:r w:rsidR="00EF0E57" w:rsidRPr="0035527D">
        <w:t>Colombia</w:t>
      </w:r>
      <w:r w:rsidRPr="0035527D">
        <w:t xml:space="preserve"> (CMW/C/</w:t>
      </w:r>
      <w:r w:rsidR="00EF0E57" w:rsidRPr="0035527D">
        <w:t>COL</w:t>
      </w:r>
      <w:r w:rsidRPr="0035527D">
        <w:t>/</w:t>
      </w:r>
      <w:r w:rsidR="00EF0E57" w:rsidRPr="0035527D">
        <w:t>2</w:t>
      </w:r>
      <w:r w:rsidRPr="0035527D">
        <w:t xml:space="preserve">) en sus sesiones </w:t>
      </w:r>
      <w:r w:rsidR="002A0077" w:rsidRPr="0035527D">
        <w:t>214</w:t>
      </w:r>
      <w:r w:rsidR="00F40A01" w:rsidRPr="0035527D">
        <w:t>ª</w:t>
      </w:r>
      <w:r w:rsidRPr="0035527D">
        <w:t xml:space="preserve"> y</w:t>
      </w:r>
      <w:r w:rsidR="002D197F" w:rsidRPr="0035527D">
        <w:t xml:space="preserve"> </w:t>
      </w:r>
      <w:r w:rsidR="002A0077" w:rsidRPr="0035527D">
        <w:t>215</w:t>
      </w:r>
      <w:r w:rsidR="00F40A01" w:rsidRPr="0035527D">
        <w:t>ª</w:t>
      </w:r>
      <w:r w:rsidR="00DC40D7" w:rsidRPr="0035527D">
        <w:t xml:space="preserve"> </w:t>
      </w:r>
      <w:r w:rsidRPr="0035527D">
        <w:t>(véanse CMW/C/SR.</w:t>
      </w:r>
      <w:r w:rsidR="002A0077" w:rsidRPr="0035527D">
        <w:t>214</w:t>
      </w:r>
      <w:r w:rsidRPr="0035527D">
        <w:t xml:space="preserve"> y </w:t>
      </w:r>
      <w:r w:rsidR="002A0077" w:rsidRPr="0035527D">
        <w:t>215</w:t>
      </w:r>
      <w:r w:rsidRPr="0035527D">
        <w:t xml:space="preserve">), celebradas los días </w:t>
      </w:r>
      <w:r w:rsidR="002D197F" w:rsidRPr="0035527D">
        <w:t>1</w:t>
      </w:r>
      <w:r w:rsidR="00EF0E57" w:rsidRPr="0035527D">
        <w:t>5</w:t>
      </w:r>
      <w:r w:rsidRPr="0035527D">
        <w:t xml:space="preserve"> y </w:t>
      </w:r>
      <w:r w:rsidR="002D197F" w:rsidRPr="0035527D">
        <w:t>1</w:t>
      </w:r>
      <w:r w:rsidR="00EF0E57" w:rsidRPr="0035527D">
        <w:t>6</w:t>
      </w:r>
      <w:r w:rsidRPr="0035527D">
        <w:t xml:space="preserve"> de </w:t>
      </w:r>
      <w:r w:rsidR="00EF0E57" w:rsidRPr="0035527D">
        <w:t>abril</w:t>
      </w:r>
      <w:r w:rsidRPr="0035527D">
        <w:t xml:space="preserve"> de 201</w:t>
      </w:r>
      <w:r w:rsidR="00EF0E57" w:rsidRPr="0035527D">
        <w:t>3</w:t>
      </w:r>
      <w:r w:rsidRPr="0035527D">
        <w:t xml:space="preserve">, y aprobó las observaciones finales siguientes en su </w:t>
      </w:r>
      <w:r w:rsidR="002A0077" w:rsidRPr="0035527D">
        <w:t>228</w:t>
      </w:r>
      <w:r w:rsidR="00F40A01" w:rsidRPr="0035527D">
        <w:t>ª</w:t>
      </w:r>
      <w:r w:rsidRPr="0035527D">
        <w:t xml:space="preserve"> sesión</w:t>
      </w:r>
      <w:r w:rsidR="005E1E69" w:rsidRPr="0035527D">
        <w:t xml:space="preserve"> (CMW/C/SR.228)</w:t>
      </w:r>
      <w:r w:rsidRPr="0035527D">
        <w:t xml:space="preserve">, celebrada el día </w:t>
      </w:r>
      <w:r w:rsidR="00EF0E57" w:rsidRPr="0035527D">
        <w:t>2</w:t>
      </w:r>
      <w:r w:rsidR="002A0077" w:rsidRPr="0035527D">
        <w:t>4</w:t>
      </w:r>
      <w:r w:rsidRPr="0035527D">
        <w:t xml:space="preserve"> de </w:t>
      </w:r>
      <w:r w:rsidR="00EF0E57" w:rsidRPr="0035527D">
        <w:t>abril</w:t>
      </w:r>
      <w:r w:rsidR="00CD584C" w:rsidRPr="0035527D">
        <w:t xml:space="preserve"> </w:t>
      </w:r>
      <w:r w:rsidRPr="0035527D">
        <w:t>de 201</w:t>
      </w:r>
      <w:r w:rsidR="00EF0E57" w:rsidRPr="0035527D">
        <w:t>3</w:t>
      </w:r>
      <w:r w:rsidRPr="0035527D">
        <w:t>.</w:t>
      </w:r>
    </w:p>
    <w:p w:rsidR="00035EF0" w:rsidRPr="0035527D" w:rsidRDefault="00035EF0" w:rsidP="00525414">
      <w:pPr>
        <w:pStyle w:val="H1G"/>
        <w:rPr>
          <w:szCs w:val="24"/>
        </w:rPr>
      </w:pPr>
      <w:r w:rsidRPr="0035527D">
        <w:tab/>
      </w:r>
      <w:r w:rsidR="00867C81" w:rsidRPr="0035527D">
        <w:t>A.</w:t>
      </w:r>
      <w:r w:rsidRPr="0035527D">
        <w:tab/>
        <w:t>Introducción</w:t>
      </w:r>
    </w:p>
    <w:p w:rsidR="00035EF0" w:rsidRPr="0035527D" w:rsidRDefault="00035EF0" w:rsidP="00035EF0">
      <w:pPr>
        <w:pStyle w:val="SingleTxtG"/>
      </w:pPr>
      <w:r w:rsidRPr="0035527D">
        <w:t>2.</w:t>
      </w:r>
      <w:r w:rsidRPr="0035527D">
        <w:tab/>
        <w:t xml:space="preserve">El Comité celebra la presentación del </w:t>
      </w:r>
      <w:r w:rsidR="00EF0E57" w:rsidRPr="0035527D">
        <w:t>segundo</w:t>
      </w:r>
      <w:r w:rsidRPr="0035527D">
        <w:t xml:space="preserve"> informe de</w:t>
      </w:r>
      <w:r w:rsidR="005819DB" w:rsidRPr="0035527D">
        <w:t>l Estado parte</w:t>
      </w:r>
      <w:r w:rsidRPr="0035527D">
        <w:t xml:space="preserve">, así como las respuestas a su lista de cuestiones </w:t>
      </w:r>
      <w:r w:rsidR="005E1E69" w:rsidRPr="0035527D">
        <w:t xml:space="preserve">(CMW/C/COL/Q/2/Add.1) </w:t>
      </w:r>
      <w:r w:rsidRPr="0035527D">
        <w:t>y la información adicional expuesta de forma oral por la delegación</w:t>
      </w:r>
      <w:r w:rsidR="005E1E69" w:rsidRPr="0035527D">
        <w:t>,</w:t>
      </w:r>
      <w:r w:rsidRPr="0035527D">
        <w:t xml:space="preserve"> que han permitido al Comité una mejor comprensión de la aplicación de la Convención en </w:t>
      </w:r>
      <w:r w:rsidR="00AA1D57" w:rsidRPr="0035527D">
        <w:t>el Estado parte</w:t>
      </w:r>
      <w:r w:rsidRPr="0035527D">
        <w:t>. El Comité agradece el diálogo franco y constructivo entablado</w:t>
      </w:r>
      <w:r w:rsidR="00A9461D" w:rsidRPr="0035527D">
        <w:t xml:space="preserve"> con la</w:t>
      </w:r>
      <w:r w:rsidRPr="0035527D">
        <w:t xml:space="preserve"> delegación</w:t>
      </w:r>
      <w:r w:rsidR="005613CC" w:rsidRPr="0035527D">
        <w:t>.</w:t>
      </w:r>
      <w:r w:rsidRPr="0035527D">
        <w:t xml:space="preserve"> </w:t>
      </w:r>
    </w:p>
    <w:p w:rsidR="00035EF0" w:rsidRPr="0035527D" w:rsidRDefault="00035EF0" w:rsidP="000C0D1B">
      <w:pPr>
        <w:pStyle w:val="SingleTxtG"/>
      </w:pPr>
      <w:r w:rsidRPr="0035527D">
        <w:t>3.</w:t>
      </w:r>
      <w:r w:rsidRPr="0035527D">
        <w:tab/>
        <w:t xml:space="preserve">El Comité reconoce que </w:t>
      </w:r>
      <w:r w:rsidR="00AA1D57" w:rsidRPr="0035527D">
        <w:t>Colombia</w:t>
      </w:r>
      <w:r w:rsidRPr="0035527D">
        <w:t>, como país de origen</w:t>
      </w:r>
      <w:r w:rsidR="005819DB" w:rsidRPr="0035527D">
        <w:t xml:space="preserve"> </w:t>
      </w:r>
      <w:r w:rsidRPr="0035527D">
        <w:t>de trabajadores migrat</w:t>
      </w:r>
      <w:r w:rsidR="000C0D1B" w:rsidRPr="0035527D">
        <w:t>orio</w:t>
      </w:r>
      <w:r w:rsidRPr="0035527D">
        <w:t xml:space="preserve">s, ha avanzado en la protección de los derechos de sus connacionales en el exterior. Sin embargo, presenta grandes retos para la protección de los derechos de los trabajadores migratorios </w:t>
      </w:r>
      <w:r w:rsidR="0098232B" w:rsidRPr="0035527D">
        <w:t xml:space="preserve">también </w:t>
      </w:r>
      <w:r w:rsidR="003316C5" w:rsidRPr="0035527D">
        <w:t xml:space="preserve">en </w:t>
      </w:r>
      <w:r w:rsidRPr="0035527D">
        <w:t xml:space="preserve">su calidad de país de tránsito y de destino. </w:t>
      </w:r>
    </w:p>
    <w:p w:rsidR="00035EF0" w:rsidRPr="0035527D" w:rsidRDefault="00035EF0" w:rsidP="00035EF0">
      <w:pPr>
        <w:pStyle w:val="SingleTxtG"/>
      </w:pPr>
      <w:r w:rsidRPr="0035527D">
        <w:t>4.</w:t>
      </w:r>
      <w:r w:rsidRPr="0035527D">
        <w:tab/>
        <w:t xml:space="preserve">El Comité observa que algunos de los países en los cuales se da empleo a trabajadores migratorios </w:t>
      </w:r>
      <w:r w:rsidR="00AA1D57" w:rsidRPr="0035527D">
        <w:t>colombianos</w:t>
      </w:r>
      <w:r w:rsidRPr="0035527D">
        <w:t xml:space="preserve"> siguen </w:t>
      </w:r>
      <w:r w:rsidR="00DC40D7" w:rsidRPr="0035527D">
        <w:t xml:space="preserve">sin ser </w:t>
      </w:r>
      <w:r w:rsidRPr="0035527D">
        <w:t>parte de la Convención, lo cual podría constituir un obstáculo para el disfrute de los derechos que les asisten en virtud de la Convención.</w:t>
      </w:r>
    </w:p>
    <w:p w:rsidR="00035EF0" w:rsidRPr="0035527D" w:rsidRDefault="00035EF0" w:rsidP="00940A21">
      <w:pPr>
        <w:pStyle w:val="H1G"/>
      </w:pPr>
      <w:r w:rsidRPr="0035527D">
        <w:tab/>
      </w:r>
      <w:r w:rsidR="00867C81" w:rsidRPr="0035527D">
        <w:t>B.</w:t>
      </w:r>
      <w:r w:rsidRPr="0035527D">
        <w:tab/>
        <w:t>Aspectos positivos</w:t>
      </w:r>
    </w:p>
    <w:p w:rsidR="00035EF0" w:rsidRPr="0035527D" w:rsidRDefault="00035EF0" w:rsidP="000C0D1B">
      <w:pPr>
        <w:pStyle w:val="SingleTxtG"/>
      </w:pPr>
      <w:r w:rsidRPr="0035527D">
        <w:t>5.</w:t>
      </w:r>
      <w:r w:rsidRPr="0035527D">
        <w:tab/>
        <w:t xml:space="preserve">El Comité acoge los esfuerzos del Estado parte para promover y proteger los derechos de los trabajadores migratorios </w:t>
      </w:r>
      <w:r w:rsidR="000B1528" w:rsidRPr="0035527D">
        <w:t>colombianos</w:t>
      </w:r>
      <w:r w:rsidRPr="0035527D">
        <w:t xml:space="preserve"> en el exterior y saluda</w:t>
      </w:r>
      <w:r w:rsidR="00687D27" w:rsidRPr="0035527D">
        <w:t xml:space="preserve"> la </w:t>
      </w:r>
      <w:r w:rsidR="000B1528" w:rsidRPr="0035527D">
        <w:t>entrada en vigor de la Ley 1465 (2011), por medio de la cual se crea el Sistema Nacional de Migraciones</w:t>
      </w:r>
      <w:r w:rsidR="002869A7" w:rsidRPr="0035527D">
        <w:t xml:space="preserve"> (SNM)</w:t>
      </w:r>
      <w:r w:rsidR="000B1528" w:rsidRPr="0035527D">
        <w:t xml:space="preserve">, cuyo objetivo es fortalecer los vínculos del Estado parte con la comunidades colombianas en el exterior, así como </w:t>
      </w:r>
      <w:r w:rsidR="00C727F0" w:rsidRPr="0035527D">
        <w:t xml:space="preserve">la puesta en marcha </w:t>
      </w:r>
      <w:r w:rsidR="00303C38" w:rsidRPr="0035527D">
        <w:t xml:space="preserve">del Plan de Retorno Positivo en 2009. </w:t>
      </w:r>
    </w:p>
    <w:p w:rsidR="001B6C51" w:rsidRPr="0035527D" w:rsidRDefault="00F620EC" w:rsidP="00016930">
      <w:pPr>
        <w:pStyle w:val="SingleTxtG"/>
        <w:rPr>
          <w:snapToGrid w:val="0"/>
        </w:rPr>
      </w:pPr>
      <w:r w:rsidRPr="0035527D">
        <w:t>6</w:t>
      </w:r>
      <w:r w:rsidR="00035EF0" w:rsidRPr="0035527D">
        <w:t>.</w:t>
      </w:r>
      <w:r w:rsidR="00035EF0" w:rsidRPr="0035527D">
        <w:tab/>
      </w:r>
      <w:r w:rsidR="00656B19" w:rsidRPr="0035527D">
        <w:rPr>
          <w:snapToGrid w:val="0"/>
        </w:rPr>
        <w:t xml:space="preserve">El Comité celebra que el Estado </w:t>
      </w:r>
      <w:r w:rsidR="00593E51" w:rsidRPr="0035527D">
        <w:rPr>
          <w:snapToGrid w:val="0"/>
        </w:rPr>
        <w:t>p</w:t>
      </w:r>
      <w:r w:rsidR="00016930" w:rsidRPr="0035527D">
        <w:rPr>
          <w:snapToGrid w:val="0"/>
        </w:rPr>
        <w:t xml:space="preserve">arte haya suscrito el “Memorando de Entendimiento entre la República del Ecuador y la República de Colombia para la prevención e investigación del Delito de la Trata de Personas, y la asistencia y protección de las víctimas de la misma”, en septiembre de 2012. </w:t>
      </w:r>
    </w:p>
    <w:p w:rsidR="00035EF0" w:rsidRPr="0035527D" w:rsidRDefault="00F620EC" w:rsidP="00035EF0">
      <w:pPr>
        <w:pStyle w:val="SingleTxtG"/>
      </w:pPr>
      <w:r w:rsidRPr="0035527D">
        <w:t>7</w:t>
      </w:r>
      <w:r w:rsidR="00035EF0" w:rsidRPr="0035527D">
        <w:t>.</w:t>
      </w:r>
      <w:r w:rsidR="00035EF0" w:rsidRPr="0035527D">
        <w:tab/>
        <w:t>El Comité celebra asimismo la adhesión a los siguientes instrumentos internacionales de derechos humanos:</w:t>
      </w:r>
    </w:p>
    <w:p w:rsidR="00F9450D" w:rsidRPr="0035527D" w:rsidRDefault="00035EF0" w:rsidP="00B23B9F">
      <w:pPr>
        <w:pStyle w:val="SingleTxtG"/>
        <w:ind w:firstLine="567"/>
      </w:pPr>
      <w:r w:rsidRPr="0035527D">
        <w:t>a)</w:t>
      </w:r>
      <w:r w:rsidRPr="0035527D">
        <w:tab/>
        <w:t>La Convención sobre los derechos de las personas con discapacidad</w:t>
      </w:r>
      <w:r w:rsidR="00DA4492" w:rsidRPr="0035527D">
        <w:t>,</w:t>
      </w:r>
      <w:r w:rsidRPr="0035527D">
        <w:t xml:space="preserve"> en 20</w:t>
      </w:r>
      <w:r w:rsidR="00B23B9F" w:rsidRPr="0035527D">
        <w:t>11</w:t>
      </w:r>
      <w:r w:rsidRPr="0035527D">
        <w:t>;</w:t>
      </w:r>
      <w:r w:rsidR="006E7855" w:rsidRPr="0035527D">
        <w:t xml:space="preserve"> </w:t>
      </w:r>
    </w:p>
    <w:p w:rsidR="006E7855" w:rsidRPr="0035527D" w:rsidRDefault="00B23B9F" w:rsidP="00321B4F">
      <w:pPr>
        <w:pStyle w:val="SingleTxtG"/>
        <w:ind w:firstLine="567"/>
      </w:pPr>
      <w:r w:rsidRPr="0035527D">
        <w:t>b</w:t>
      </w:r>
      <w:r w:rsidR="00F9450D" w:rsidRPr="0035527D">
        <w:t>)</w:t>
      </w:r>
      <w:r w:rsidR="00F9450D" w:rsidRPr="0035527D">
        <w:tab/>
      </w:r>
      <w:r w:rsidR="00BA5D1E" w:rsidRPr="0035527D">
        <w:t xml:space="preserve">La Convención Internacional para la protección de todas las personas contra las desapariciones forzadas en </w:t>
      </w:r>
      <w:r w:rsidRPr="0035527D">
        <w:t>2012</w:t>
      </w:r>
      <w:r w:rsidR="00432CFD" w:rsidRPr="0035527D">
        <w:t xml:space="preserve">; </w:t>
      </w:r>
    </w:p>
    <w:p w:rsidR="00016930" w:rsidRPr="0035527D" w:rsidRDefault="006E7855" w:rsidP="00321B4F">
      <w:pPr>
        <w:pStyle w:val="SingleTxtG"/>
        <w:ind w:firstLine="567"/>
      </w:pPr>
      <w:r w:rsidRPr="0035527D">
        <w:t>c)</w:t>
      </w:r>
      <w:r w:rsidRPr="0035527D">
        <w:tab/>
        <w:t>La Convención sobre el Estatuto de los Apátridas y la Convención para reducir los casos de apátridas, en 2012</w:t>
      </w:r>
      <w:r w:rsidR="00016930" w:rsidRPr="0035527D">
        <w:t>;</w:t>
      </w:r>
    </w:p>
    <w:p w:rsidR="006E7855" w:rsidRPr="0035527D" w:rsidRDefault="00016930" w:rsidP="00321B4F">
      <w:pPr>
        <w:pStyle w:val="SingleTxtG"/>
        <w:ind w:firstLine="567"/>
      </w:pPr>
      <w:r w:rsidRPr="0035527D">
        <w:t xml:space="preserve">d) </w:t>
      </w:r>
      <w:r w:rsidRPr="0035527D">
        <w:tab/>
        <w:t>El Convenio N</w:t>
      </w:r>
      <w:r w:rsidR="00DA4492" w:rsidRPr="0035527D">
        <w:t>º</w:t>
      </w:r>
      <w:r w:rsidRPr="0035527D">
        <w:t xml:space="preserve"> 189 de la </w:t>
      </w:r>
      <w:r w:rsidR="00315657" w:rsidRPr="0035527D">
        <w:t>Organización Internacional del Trabajo (</w:t>
      </w:r>
      <w:r w:rsidRPr="0035527D">
        <w:t>OIT</w:t>
      </w:r>
      <w:r w:rsidR="00315657" w:rsidRPr="0035527D">
        <w:t>)</w:t>
      </w:r>
      <w:r w:rsidRPr="0035527D">
        <w:t xml:space="preserve"> sobre </w:t>
      </w:r>
      <w:r w:rsidR="00DA4492" w:rsidRPr="0035527D">
        <w:t xml:space="preserve">el trabajo decente para las trabajadoras y los </w:t>
      </w:r>
      <w:r w:rsidRPr="0035527D">
        <w:t>trabajadores domésticos, en 2012</w:t>
      </w:r>
      <w:r w:rsidR="00315657" w:rsidRPr="0035527D">
        <w:t>.</w:t>
      </w:r>
      <w:r w:rsidR="006E7855" w:rsidRPr="0035527D">
        <w:t xml:space="preserve"> </w:t>
      </w:r>
    </w:p>
    <w:p w:rsidR="00035EF0" w:rsidRPr="0035527D" w:rsidRDefault="00B23B9F" w:rsidP="00940A21">
      <w:pPr>
        <w:pStyle w:val="H1G"/>
      </w:pPr>
      <w:r w:rsidRPr="0035527D">
        <w:tab/>
      </w:r>
      <w:r w:rsidR="00035EF0" w:rsidRPr="0035527D">
        <w:t>C.</w:t>
      </w:r>
      <w:r w:rsidR="00DC40D7" w:rsidRPr="0035527D">
        <w:t xml:space="preserve"> </w:t>
      </w:r>
      <w:r w:rsidR="00035EF0" w:rsidRPr="0035527D">
        <w:tab/>
        <w:t>Principales motivos de preocupación, sugerencias y recomendaciones</w:t>
      </w:r>
    </w:p>
    <w:p w:rsidR="00035EF0" w:rsidRPr="0035527D" w:rsidRDefault="00035EF0" w:rsidP="00035EF0">
      <w:pPr>
        <w:pStyle w:val="H23G"/>
      </w:pPr>
      <w:r w:rsidRPr="0035527D">
        <w:tab/>
      </w:r>
      <w:r w:rsidR="00100590" w:rsidRPr="0035527D">
        <w:t>1</w:t>
      </w:r>
      <w:r w:rsidRPr="0035527D">
        <w:t>.</w:t>
      </w:r>
      <w:r w:rsidRPr="0035527D">
        <w:tab/>
        <w:t>Medidas generales de aplicación (artículos 73 y 84)</w:t>
      </w:r>
    </w:p>
    <w:p w:rsidR="00035EF0" w:rsidRPr="0035527D" w:rsidRDefault="00035EF0" w:rsidP="00035EF0">
      <w:pPr>
        <w:pStyle w:val="H23G"/>
        <w:rPr>
          <w:szCs w:val="24"/>
        </w:rPr>
      </w:pPr>
      <w:r w:rsidRPr="0035527D">
        <w:tab/>
      </w:r>
      <w:r w:rsidRPr="0035527D">
        <w:tab/>
        <w:t>Legislación y aplicación</w:t>
      </w:r>
    </w:p>
    <w:p w:rsidR="00143DB8" w:rsidRPr="0035527D" w:rsidRDefault="00F620EC" w:rsidP="00930EC9">
      <w:pPr>
        <w:pStyle w:val="SingleTxtG"/>
      </w:pPr>
      <w:r w:rsidRPr="0035527D">
        <w:t>8</w:t>
      </w:r>
      <w:r w:rsidR="00143DB8" w:rsidRPr="0035527D">
        <w:t>.</w:t>
      </w:r>
      <w:r w:rsidR="00143DB8" w:rsidRPr="0035527D">
        <w:tab/>
      </w:r>
      <w:r w:rsidR="00DE4A90" w:rsidRPr="0035527D">
        <w:t xml:space="preserve">El Comité toma nota de </w:t>
      </w:r>
      <w:r w:rsidR="00930EC9" w:rsidRPr="0035527D">
        <w:t xml:space="preserve">que la Convención fue aprobada en el Estado parte por medio de la ley 146 (1994), así como de la adopción de </w:t>
      </w:r>
      <w:r w:rsidR="00DE4A90" w:rsidRPr="0035527D">
        <w:t>las Ley</w:t>
      </w:r>
      <w:r w:rsidR="00930EC9" w:rsidRPr="0035527D">
        <w:t>es</w:t>
      </w:r>
      <w:r w:rsidR="00DE4A90" w:rsidRPr="0035527D">
        <w:t xml:space="preserve"> 1465 (2011) </w:t>
      </w:r>
      <w:r w:rsidR="00930EC9" w:rsidRPr="0035527D">
        <w:t xml:space="preserve">y </w:t>
      </w:r>
      <w:r w:rsidR="00DE4A90" w:rsidRPr="0035527D">
        <w:t>1565 (2012)</w:t>
      </w:r>
      <w:r w:rsidR="00930EC9" w:rsidRPr="0035527D">
        <w:t xml:space="preserve">, centradas en la protección y el retorno de los trabajadores migratorios nacionales del Estado parte. </w:t>
      </w:r>
      <w:r w:rsidR="007615E4" w:rsidRPr="0035527D">
        <w:t>Sin embargo, l</w:t>
      </w:r>
      <w:r w:rsidR="00930EC9" w:rsidRPr="0035527D">
        <w:t xml:space="preserve">e preocupa </w:t>
      </w:r>
      <w:r w:rsidR="00143DB8" w:rsidRPr="0035527D">
        <w:t xml:space="preserve">la ausencia </w:t>
      </w:r>
      <w:r w:rsidR="00DA4492" w:rsidRPr="0035527D">
        <w:t xml:space="preserve">de </w:t>
      </w:r>
      <w:r w:rsidR="00143DB8" w:rsidRPr="0035527D">
        <w:t xml:space="preserve">un marco </w:t>
      </w:r>
      <w:r w:rsidR="007615E4" w:rsidRPr="0035527D">
        <w:t>regulatorio</w:t>
      </w:r>
      <w:r w:rsidR="00143DB8" w:rsidRPr="0035527D">
        <w:t xml:space="preserve"> </w:t>
      </w:r>
      <w:r w:rsidR="00DA4492" w:rsidRPr="0035527D">
        <w:t xml:space="preserve">integral </w:t>
      </w:r>
      <w:r w:rsidR="00DE4A90" w:rsidRPr="0035527D">
        <w:t xml:space="preserve">en materia migratoria </w:t>
      </w:r>
      <w:r w:rsidR="00143DB8" w:rsidRPr="0035527D">
        <w:t>que se ajuste a las disposiciones de la Convención y otros instrumentos internacionales aplicables.</w:t>
      </w:r>
      <w:r w:rsidR="003916B1">
        <w:t xml:space="preserve"> </w:t>
      </w:r>
    </w:p>
    <w:p w:rsidR="00143DB8" w:rsidRPr="003916B1" w:rsidRDefault="00F620EC" w:rsidP="003916B1">
      <w:pPr>
        <w:pStyle w:val="SingleTxtG"/>
        <w:rPr>
          <w:b/>
        </w:rPr>
      </w:pPr>
      <w:r w:rsidRPr="003916B1">
        <w:t>9</w:t>
      </w:r>
      <w:r w:rsidR="00143DB8" w:rsidRPr="003916B1">
        <w:t>.</w:t>
      </w:r>
      <w:r w:rsidR="00143DB8" w:rsidRPr="003916B1">
        <w:tab/>
      </w:r>
      <w:r w:rsidR="00143DB8" w:rsidRPr="003916B1">
        <w:rPr>
          <w:b/>
        </w:rPr>
        <w:t>El Comité recomienda que el Estado parte tome las medidas necesarias para la elaboración de un</w:t>
      </w:r>
      <w:r w:rsidR="007615E4" w:rsidRPr="003916B1">
        <w:rPr>
          <w:b/>
        </w:rPr>
        <w:t xml:space="preserve"> marco regulatorio comprensivo en materia migratoria</w:t>
      </w:r>
      <w:r w:rsidR="00143DB8" w:rsidRPr="003916B1">
        <w:rPr>
          <w:b/>
        </w:rPr>
        <w:t xml:space="preserve"> </w:t>
      </w:r>
      <w:r w:rsidR="0051249F" w:rsidRPr="003916B1">
        <w:rPr>
          <w:b/>
        </w:rPr>
        <w:t xml:space="preserve">conforme con las normas internacionales de protección de los derechos de los trabajadores migratorios y de sus familiares y, en particular, </w:t>
      </w:r>
      <w:r w:rsidR="00143DB8" w:rsidRPr="003916B1">
        <w:rPr>
          <w:b/>
        </w:rPr>
        <w:t>de conformidad con la Convención</w:t>
      </w:r>
      <w:r w:rsidR="0051249F" w:rsidRPr="003916B1">
        <w:rPr>
          <w:b/>
        </w:rPr>
        <w:t>.</w:t>
      </w:r>
      <w:r w:rsidR="00143DB8" w:rsidRPr="003916B1">
        <w:rPr>
          <w:b/>
        </w:rPr>
        <w:t xml:space="preserve"> </w:t>
      </w:r>
    </w:p>
    <w:p w:rsidR="00643D08" w:rsidRPr="003916B1" w:rsidRDefault="00017203" w:rsidP="003916B1">
      <w:pPr>
        <w:pStyle w:val="SingleTxtG"/>
      </w:pPr>
      <w:r w:rsidRPr="003916B1">
        <w:t>1</w:t>
      </w:r>
      <w:r w:rsidR="00BA5D1E" w:rsidRPr="003916B1">
        <w:t>0</w:t>
      </w:r>
      <w:r w:rsidR="003916B1">
        <w:t>.</w:t>
      </w:r>
      <w:r w:rsidR="003916B1">
        <w:tab/>
      </w:r>
      <w:r w:rsidRPr="003916B1">
        <w:t xml:space="preserve">El Comité </w:t>
      </w:r>
      <w:r w:rsidR="007615E4" w:rsidRPr="003916B1">
        <w:t>toma nota de las explicaciones del Estado parte sobre la posible revisión de las reservas formuladas a los artículos 46 y 47 de la Convención</w:t>
      </w:r>
      <w:r w:rsidR="00AE382B" w:rsidRPr="003916B1">
        <w:t>.</w:t>
      </w:r>
      <w:r w:rsidR="007615E4" w:rsidRPr="003916B1">
        <w:t xml:space="preserve"> Así también, le </w:t>
      </w:r>
      <w:r w:rsidR="00643D08" w:rsidRPr="003916B1">
        <w:t xml:space="preserve">reitera </w:t>
      </w:r>
      <w:r w:rsidR="007615E4" w:rsidRPr="003916B1">
        <w:t>su preocupación por la</w:t>
      </w:r>
      <w:r w:rsidR="00AE382B" w:rsidRPr="003916B1">
        <w:t xml:space="preserve"> existencia de estas reservas y de la reserva al artículo 15 de la Convención, las cuales </w:t>
      </w:r>
      <w:r w:rsidR="00643D08" w:rsidRPr="003916B1">
        <w:t xml:space="preserve">no parecen presentar ningún conflicto entre los objetivos de las disposiciones de la Convención y la legislación en la materia del Estado parte. </w:t>
      </w:r>
    </w:p>
    <w:p w:rsidR="00B64AFB" w:rsidRPr="0035527D" w:rsidRDefault="00B64AFB" w:rsidP="00F936CA">
      <w:pPr>
        <w:pStyle w:val="SingleTxtG"/>
        <w:rPr>
          <w:b/>
        </w:rPr>
      </w:pPr>
      <w:r w:rsidRPr="003916B1">
        <w:t>11.</w:t>
      </w:r>
      <w:r w:rsidRPr="003916B1">
        <w:tab/>
      </w:r>
      <w:r w:rsidRPr="0035527D">
        <w:rPr>
          <w:b/>
        </w:rPr>
        <w:t>El Comité reitera su recomendación al Estado parte para que tome las medidas necesarias para retirar las reservas formuladas a los artículos 15, 46 y 47 de la Convención.</w:t>
      </w:r>
    </w:p>
    <w:p w:rsidR="00B64AFB" w:rsidRPr="0035527D" w:rsidRDefault="00112DFA" w:rsidP="00F936CA">
      <w:pPr>
        <w:pStyle w:val="SingleTxtG"/>
      </w:pPr>
      <w:r w:rsidRPr="0035527D">
        <w:t>12.</w:t>
      </w:r>
      <w:r w:rsidRPr="0035527D">
        <w:tab/>
        <w:t xml:space="preserve">El Comité observa que el Estado parte no ha considerado formular la declaraciones previstas en los artículos 76 y 77 de la Convención. </w:t>
      </w:r>
    </w:p>
    <w:p w:rsidR="00112DFA" w:rsidRPr="0035527D" w:rsidRDefault="00112DFA" w:rsidP="00F936CA">
      <w:pPr>
        <w:pStyle w:val="SingleTxtG"/>
        <w:rPr>
          <w:b/>
        </w:rPr>
      </w:pPr>
      <w:r w:rsidRPr="003916B1">
        <w:t>13.</w:t>
      </w:r>
      <w:r w:rsidRPr="003916B1">
        <w:tab/>
      </w:r>
      <w:r w:rsidRPr="0035527D">
        <w:rPr>
          <w:b/>
        </w:rPr>
        <w:t xml:space="preserve">El Comité alienta al Estado parte para que haga las declaraciones previstas en los artículos 76 y 77 de la Convención. </w:t>
      </w:r>
    </w:p>
    <w:p w:rsidR="00512D15" w:rsidRPr="0035527D" w:rsidRDefault="00512D15" w:rsidP="00512D15">
      <w:pPr>
        <w:pStyle w:val="SingleTxtG"/>
      </w:pPr>
      <w:r w:rsidRPr="0035527D">
        <w:t>14.</w:t>
      </w:r>
      <w:r w:rsidRPr="0035527D">
        <w:tab/>
        <w:t>El Comité reitera su preocupación sobre el hecho de que el Estado parte no ha ratificado los Convenios de la OIT N</w:t>
      </w:r>
      <w:r w:rsidR="00CC6171" w:rsidRPr="0035527D">
        <w:t>º</w:t>
      </w:r>
      <w:r w:rsidRPr="0035527D">
        <w:t xml:space="preserve"> 97 relativo a los trabajadores migrantes (revisado en 1949) y N</w:t>
      </w:r>
      <w:r w:rsidR="00CC6171" w:rsidRPr="0035527D">
        <w:t>º</w:t>
      </w:r>
      <w:r w:rsidRPr="0035527D">
        <w:t xml:space="preserve"> 143, </w:t>
      </w:r>
      <w:r w:rsidR="00BA7698" w:rsidRPr="0035527D">
        <w:t xml:space="preserve">sobre </w:t>
      </w:r>
      <w:r w:rsidRPr="0035527D">
        <w:t>las migraciones en condiciones abusivas y la promoción de la igualdad de oportunidades y de trato de los trabajadores migrantes, de 1975</w:t>
      </w:r>
      <w:r w:rsidR="001569E5" w:rsidRPr="0035527D">
        <w:t xml:space="preserve">, así como al </w:t>
      </w:r>
      <w:r w:rsidRPr="0035527D">
        <w:t>Protocolo contra el trafico ilícito de migrantes por tierra, mar y aire de 2000, que complementa la Convención de las Naciones Unidas contra la Delincuencia Organizada Transnacional</w:t>
      </w:r>
      <w:r w:rsidR="001569E5" w:rsidRPr="0035527D">
        <w:t xml:space="preserve">. </w:t>
      </w:r>
    </w:p>
    <w:p w:rsidR="007C377A" w:rsidRPr="0035527D" w:rsidRDefault="001569E5" w:rsidP="00143DB8">
      <w:pPr>
        <w:pStyle w:val="SingleTxtG"/>
        <w:rPr>
          <w:b/>
        </w:rPr>
      </w:pPr>
      <w:r w:rsidRPr="003916B1">
        <w:t>15.</w:t>
      </w:r>
      <w:r w:rsidRPr="003916B1">
        <w:tab/>
      </w:r>
      <w:r w:rsidRPr="0035527D">
        <w:rPr>
          <w:b/>
        </w:rPr>
        <w:t>El Comité recomienda al Estado parte que tome las medidas necesarias para ratificar los Convenios N</w:t>
      </w:r>
      <w:r w:rsidR="00BA7698" w:rsidRPr="0035527D">
        <w:rPr>
          <w:b/>
        </w:rPr>
        <w:t>º</w:t>
      </w:r>
      <w:r w:rsidRPr="0035527D">
        <w:rPr>
          <w:b/>
        </w:rPr>
        <w:t xml:space="preserve"> 97 y </w:t>
      </w:r>
      <w:r w:rsidR="00CC6171" w:rsidRPr="0035527D">
        <w:rPr>
          <w:b/>
        </w:rPr>
        <w:t>143</w:t>
      </w:r>
      <w:r w:rsidR="007C13E7" w:rsidRPr="0035527D">
        <w:rPr>
          <w:b/>
        </w:rPr>
        <w:t xml:space="preserve"> </w:t>
      </w:r>
      <w:r w:rsidRPr="0035527D">
        <w:rPr>
          <w:b/>
        </w:rPr>
        <w:t>de la OIT, así como al Protocolo contra el tráfico ilícito de migrantes por tierra, mar y aire.</w:t>
      </w:r>
    </w:p>
    <w:p w:rsidR="00035EF0" w:rsidRPr="0035527D" w:rsidRDefault="007C377A" w:rsidP="00035EF0">
      <w:pPr>
        <w:pStyle w:val="H23G"/>
        <w:rPr>
          <w:rFonts w:ascii="TimesNewRoman,Bold" w:eastAsia="SimSun" w:hAnsi="TimesNewRoman,Bold" w:cs="TimesNewRoman,Bold"/>
          <w:lang w:eastAsia="zh-CN"/>
        </w:rPr>
      </w:pPr>
      <w:r w:rsidRPr="0035527D">
        <w:tab/>
      </w:r>
      <w:r w:rsidRPr="0035527D">
        <w:tab/>
      </w:r>
      <w:r w:rsidR="00035EF0" w:rsidRPr="0035527D">
        <w:t>Recopilación de datos</w:t>
      </w:r>
    </w:p>
    <w:p w:rsidR="00035EF0" w:rsidRPr="0035527D" w:rsidRDefault="00035EF0" w:rsidP="00317626">
      <w:pPr>
        <w:pStyle w:val="SingleTxtG"/>
      </w:pPr>
      <w:r w:rsidRPr="0035527D">
        <w:t>1</w:t>
      </w:r>
      <w:r w:rsidR="00F620EC" w:rsidRPr="0035527D">
        <w:t>6</w:t>
      </w:r>
      <w:r w:rsidRPr="0035527D">
        <w:t>.</w:t>
      </w:r>
      <w:r w:rsidRPr="0035527D">
        <w:tab/>
        <w:t xml:space="preserve">El Comité toma nota de los esfuerzos para </w:t>
      </w:r>
      <w:r w:rsidR="00AB3CDC" w:rsidRPr="0035527D">
        <w:t>mejorar la recopilación de datos sobre los flujos migratorios, en particular en los puestos de control migratorio.</w:t>
      </w:r>
      <w:r w:rsidR="003456BE" w:rsidRPr="0035527D">
        <w:t xml:space="preserve"> </w:t>
      </w:r>
      <w:r w:rsidRPr="0035527D">
        <w:t xml:space="preserve">Sin embargo, lamenta </w:t>
      </w:r>
      <w:r w:rsidR="003456BE" w:rsidRPr="0035527D">
        <w:t xml:space="preserve">la poca información </w:t>
      </w:r>
      <w:r w:rsidR="00172CE9" w:rsidRPr="0035527D">
        <w:t xml:space="preserve">estadística </w:t>
      </w:r>
      <w:r w:rsidR="003456BE" w:rsidRPr="0035527D">
        <w:t xml:space="preserve">proporcionada y </w:t>
      </w:r>
      <w:r w:rsidRPr="0035527D">
        <w:rPr>
          <w:rFonts w:ascii="TimesNewRoman" w:eastAsia="SimSun" w:hAnsi="TimesNewRoman" w:cs="TimesNewRoman"/>
          <w:lang w:eastAsia="zh-CN"/>
        </w:rPr>
        <w:t>también la falta de información con relación a distint</w:t>
      </w:r>
      <w:r w:rsidR="009A298B" w:rsidRPr="0035527D">
        <w:rPr>
          <w:rFonts w:ascii="TimesNewRoman" w:eastAsia="SimSun" w:hAnsi="TimesNewRoman" w:cs="TimesNewRoman"/>
          <w:lang w:eastAsia="zh-CN"/>
        </w:rPr>
        <w:t>o</w:t>
      </w:r>
      <w:r w:rsidRPr="0035527D">
        <w:rPr>
          <w:rFonts w:ascii="TimesNewRoman" w:eastAsia="SimSun" w:hAnsi="TimesNewRoman" w:cs="TimesNewRoman"/>
          <w:lang w:eastAsia="zh-CN"/>
        </w:rPr>
        <w:t xml:space="preserve">s criterios necesarios para la evaluación de la efectiva implementación de la Convención, en particular en lo que respecta a los migrantes en tránsito, las mujeres migrantes, los niños migrantes no acompañados y los trabajadores migratorios fronterizos y de temporada. </w:t>
      </w:r>
    </w:p>
    <w:p w:rsidR="00BA72FF" w:rsidRPr="0035527D" w:rsidRDefault="00D7391A" w:rsidP="00AB3CDC">
      <w:pPr>
        <w:pStyle w:val="SingleTxtG"/>
        <w:rPr>
          <w:b/>
          <w:bCs/>
        </w:rPr>
      </w:pPr>
      <w:r w:rsidRPr="003916B1">
        <w:t>1</w:t>
      </w:r>
      <w:r w:rsidR="00F620EC" w:rsidRPr="003916B1">
        <w:t>7</w:t>
      </w:r>
      <w:r w:rsidRPr="003916B1">
        <w:t>.</w:t>
      </w:r>
      <w:r w:rsidR="00035EF0" w:rsidRPr="003916B1">
        <w:tab/>
      </w:r>
      <w:r w:rsidR="00035EF0" w:rsidRPr="0035527D">
        <w:rPr>
          <w:b/>
          <w:bCs/>
        </w:rPr>
        <w:t xml:space="preserve">El Comité recomienda que el Estado parte intensifique sus esfuerzos para </w:t>
      </w:r>
      <w:r w:rsidR="00172CE9" w:rsidRPr="0035527D">
        <w:rPr>
          <w:b/>
          <w:bCs/>
        </w:rPr>
        <w:t xml:space="preserve">que el sistema de estadísticas migratorias </w:t>
      </w:r>
      <w:r w:rsidR="00035EF0" w:rsidRPr="0035527D">
        <w:rPr>
          <w:b/>
          <w:bCs/>
        </w:rPr>
        <w:t>tenga en cuenta todos los aspectos de la Convención, e incluya datos detallados sobre la situación de los trabajadores migratorios en el Estado parte, los que estén en tránsito y los emigrantes</w:t>
      </w:r>
      <w:r w:rsidR="00A53E7A" w:rsidRPr="0035527D">
        <w:rPr>
          <w:b/>
          <w:bCs/>
        </w:rPr>
        <w:t>,</w:t>
      </w:r>
      <w:r w:rsidR="00035EF0" w:rsidRPr="0035527D">
        <w:rPr>
          <w:b/>
          <w:bCs/>
        </w:rPr>
        <w:t xml:space="preserve"> y</w:t>
      </w:r>
      <w:r w:rsidRPr="0035527D">
        <w:rPr>
          <w:b/>
          <w:bCs/>
        </w:rPr>
        <w:t xml:space="preserve"> lo</w:t>
      </w:r>
      <w:r w:rsidR="00035EF0" w:rsidRPr="0035527D">
        <w:rPr>
          <w:b/>
          <w:bCs/>
        </w:rPr>
        <w:t xml:space="preserve"> alienta a recopilar información y estadísticas desagregadas por sexo, edad, motivos de ingreso y salida del país y trabajo desempeñado. Cuando no sea posible obtener información precisa, por ejemplo con relación a los trabajadores migratorios en situación irregular, el Comité agradecería recibir </w:t>
      </w:r>
      <w:r w:rsidR="007C13E7" w:rsidRPr="0035527D">
        <w:rPr>
          <w:b/>
          <w:bCs/>
        </w:rPr>
        <w:t xml:space="preserve">como mínimo </w:t>
      </w:r>
      <w:r w:rsidR="00035EF0" w:rsidRPr="0035527D">
        <w:rPr>
          <w:b/>
          <w:bCs/>
        </w:rPr>
        <w:t>datos basados en estudios o en cálculos aproximados</w:t>
      </w:r>
      <w:r w:rsidR="00035EF0" w:rsidRPr="0035527D">
        <w:rPr>
          <w:rFonts w:ascii="TimesNewRoman,Bold" w:eastAsia="SimSun" w:hAnsi="TimesNewRoman,Bold" w:cs="TimesNewRoman,Bold"/>
          <w:b/>
          <w:bCs/>
          <w:lang w:eastAsia="zh-CN"/>
        </w:rPr>
        <w:t>.</w:t>
      </w:r>
    </w:p>
    <w:p w:rsidR="00035EF0" w:rsidRPr="0035527D" w:rsidRDefault="00BA72FF" w:rsidP="00035EF0">
      <w:pPr>
        <w:pStyle w:val="H23G"/>
      </w:pPr>
      <w:r w:rsidRPr="0035527D">
        <w:tab/>
      </w:r>
      <w:r w:rsidRPr="0035527D">
        <w:tab/>
      </w:r>
      <w:r w:rsidR="00035EF0" w:rsidRPr="0035527D">
        <w:t>Formación y difusión de la Convención</w:t>
      </w:r>
    </w:p>
    <w:p w:rsidR="00035EF0" w:rsidRPr="0035527D" w:rsidRDefault="00035EF0" w:rsidP="00317626">
      <w:pPr>
        <w:pStyle w:val="SingleTxtG"/>
      </w:pPr>
      <w:r w:rsidRPr="0035527D">
        <w:t>1</w:t>
      </w:r>
      <w:r w:rsidR="00F620EC" w:rsidRPr="0035527D">
        <w:t>8</w:t>
      </w:r>
      <w:r w:rsidRPr="0035527D">
        <w:t>.</w:t>
      </w:r>
      <w:r w:rsidRPr="0035527D">
        <w:tab/>
        <w:t xml:space="preserve">El Comité </w:t>
      </w:r>
      <w:r w:rsidR="00F60937" w:rsidRPr="0035527D">
        <w:t xml:space="preserve">observa con inquietud </w:t>
      </w:r>
      <w:r w:rsidR="005B2EC1" w:rsidRPr="0035527D">
        <w:t>la falta de</w:t>
      </w:r>
      <w:r w:rsidR="00F60937" w:rsidRPr="0035527D">
        <w:t xml:space="preserve"> información que demuestre que el Estado parte haya </w:t>
      </w:r>
      <w:r w:rsidRPr="0035527D">
        <w:t>desarrollado y realizado programas específicos y de carácter permanente que capaciten sobre el contenido de la Convención</w:t>
      </w:r>
      <w:r w:rsidR="00F60937" w:rsidRPr="0035527D">
        <w:t xml:space="preserve"> a los funcionarios pertinentes, como los funcionarios de</w:t>
      </w:r>
      <w:r w:rsidR="00F81EC0" w:rsidRPr="0035527D">
        <w:t xml:space="preserve"> </w:t>
      </w:r>
      <w:r w:rsidR="00F60937" w:rsidRPr="0035527D">
        <w:t xml:space="preserve">la </w:t>
      </w:r>
      <w:r w:rsidR="005B2EC1" w:rsidRPr="0035527D">
        <w:t>Unidad Especial Administrativa de Migración</w:t>
      </w:r>
      <w:r w:rsidR="00F81EC0" w:rsidRPr="0035527D">
        <w:t xml:space="preserve"> Colombia. </w:t>
      </w:r>
    </w:p>
    <w:p w:rsidR="00035EF0" w:rsidRPr="0035527D" w:rsidRDefault="00D7391A" w:rsidP="00D7391A">
      <w:pPr>
        <w:pStyle w:val="SingleTxtG"/>
      </w:pPr>
      <w:r w:rsidRPr="003916B1">
        <w:t>1</w:t>
      </w:r>
      <w:r w:rsidR="00F620EC" w:rsidRPr="003916B1">
        <w:t>9</w:t>
      </w:r>
      <w:r w:rsidR="00F60937" w:rsidRPr="003916B1">
        <w:t>.</w:t>
      </w:r>
      <w:r w:rsidR="00035EF0" w:rsidRPr="003916B1">
        <w:rPr>
          <w:bCs/>
        </w:rPr>
        <w:tab/>
      </w:r>
      <w:r w:rsidR="00035EF0" w:rsidRPr="0035527D">
        <w:rPr>
          <w:b/>
          <w:bCs/>
        </w:rPr>
        <w:t xml:space="preserve">El Comité </w:t>
      </w:r>
      <w:r w:rsidR="00035EF0" w:rsidRPr="0035527D">
        <w:rPr>
          <w:rFonts w:eastAsia="SimSun"/>
          <w:b/>
          <w:bCs/>
          <w:lang w:eastAsia="zh-CN"/>
        </w:rPr>
        <w:t>re</w:t>
      </w:r>
      <w:r w:rsidR="00F60937" w:rsidRPr="0035527D">
        <w:rPr>
          <w:rFonts w:eastAsia="SimSun"/>
          <w:b/>
          <w:bCs/>
          <w:lang w:eastAsia="zh-CN"/>
        </w:rPr>
        <w:t>comienda</w:t>
      </w:r>
      <w:r w:rsidR="00035EF0" w:rsidRPr="0035527D">
        <w:rPr>
          <w:rFonts w:eastAsia="SimSun"/>
          <w:b/>
          <w:bCs/>
          <w:lang w:eastAsia="zh-CN"/>
        </w:rPr>
        <w:t xml:space="preserve"> </w:t>
      </w:r>
      <w:r w:rsidR="00035EF0" w:rsidRPr="0035527D">
        <w:rPr>
          <w:b/>
          <w:bCs/>
        </w:rPr>
        <w:t xml:space="preserve">al Estado parte </w:t>
      </w:r>
      <w:r w:rsidRPr="0035527D">
        <w:rPr>
          <w:b/>
          <w:bCs/>
        </w:rPr>
        <w:t>que</w:t>
      </w:r>
      <w:r w:rsidR="00F60937" w:rsidRPr="0035527D">
        <w:rPr>
          <w:b/>
          <w:bCs/>
        </w:rPr>
        <w:t xml:space="preserve"> desarroll</w:t>
      </w:r>
      <w:r w:rsidRPr="0035527D">
        <w:rPr>
          <w:b/>
          <w:bCs/>
        </w:rPr>
        <w:t>e</w:t>
      </w:r>
      <w:r w:rsidR="00F60937" w:rsidRPr="0035527D">
        <w:rPr>
          <w:b/>
          <w:bCs/>
        </w:rPr>
        <w:t xml:space="preserve"> </w:t>
      </w:r>
      <w:r w:rsidR="00035EF0" w:rsidRPr="0035527D">
        <w:rPr>
          <w:b/>
          <w:bCs/>
        </w:rPr>
        <w:t>progra</w:t>
      </w:r>
      <w:r w:rsidR="00F60937" w:rsidRPr="0035527D">
        <w:rPr>
          <w:b/>
          <w:bCs/>
        </w:rPr>
        <w:t xml:space="preserve">mas de educación y capacitación, de carácter permanente, </w:t>
      </w:r>
      <w:r w:rsidR="00035EF0" w:rsidRPr="0035527D">
        <w:rPr>
          <w:b/>
          <w:bCs/>
        </w:rPr>
        <w:t>sobre el contenido de la Convención</w:t>
      </w:r>
      <w:r w:rsidR="00F60937" w:rsidRPr="0035527D">
        <w:rPr>
          <w:b/>
          <w:bCs/>
        </w:rPr>
        <w:t>.</w:t>
      </w:r>
      <w:r w:rsidR="00035EF0" w:rsidRPr="0035527D">
        <w:rPr>
          <w:b/>
          <w:bCs/>
        </w:rPr>
        <w:t xml:space="preserve"> Así mismo, recomienda que la formación incluya a todos los funcionarios que trabajan en actividades relacionadas con la migración, incluso a nivel local</w:t>
      </w:r>
      <w:r w:rsidR="00F60937" w:rsidRPr="0035527D">
        <w:rPr>
          <w:b/>
          <w:bCs/>
        </w:rPr>
        <w:t>.</w:t>
      </w:r>
      <w:r w:rsidR="00035EF0" w:rsidRPr="0035527D">
        <w:rPr>
          <w:b/>
          <w:bCs/>
        </w:rPr>
        <w:t xml:space="preserve"> </w:t>
      </w:r>
      <w:r w:rsidR="00035EF0" w:rsidRPr="0035527D">
        <w:rPr>
          <w:rFonts w:eastAsia="SimSun"/>
          <w:b/>
          <w:bCs/>
          <w:lang w:eastAsia="zh-CN"/>
        </w:rPr>
        <w:t xml:space="preserve">El Comité alienta al Estado parte a </w:t>
      </w:r>
      <w:r w:rsidR="00614829" w:rsidRPr="0035527D">
        <w:rPr>
          <w:rFonts w:eastAsia="SimSun"/>
          <w:b/>
          <w:bCs/>
          <w:lang w:eastAsia="zh-CN"/>
        </w:rPr>
        <w:t>garantizar</w:t>
      </w:r>
      <w:r w:rsidR="00035EF0" w:rsidRPr="0035527D">
        <w:rPr>
          <w:rFonts w:eastAsia="SimSun"/>
          <w:b/>
          <w:bCs/>
          <w:lang w:eastAsia="zh-CN"/>
        </w:rPr>
        <w:t xml:space="preserve"> que los trabajadores migratorios tengan acceso a información sobre los derechos que les asisten en virtud de la Convención, y a colaborar con las organizaciones de la sociedad civil en la difusión de información y la promoción de la Convención.</w:t>
      </w:r>
      <w:r w:rsidR="00035EF0" w:rsidRPr="0035527D">
        <w:t xml:space="preserve"> </w:t>
      </w:r>
    </w:p>
    <w:p w:rsidR="005B2EC1" w:rsidRPr="0035527D" w:rsidRDefault="005B2EC1" w:rsidP="005B2EC1">
      <w:pPr>
        <w:pStyle w:val="H23G"/>
      </w:pPr>
      <w:r w:rsidRPr="0035527D">
        <w:rPr>
          <w:rFonts w:eastAsia="SimSun"/>
          <w:lang w:eastAsia="zh-CN"/>
        </w:rPr>
        <w:tab/>
      </w:r>
      <w:r w:rsidRPr="0035527D">
        <w:rPr>
          <w:rFonts w:eastAsia="SimSun"/>
          <w:lang w:eastAsia="zh-CN"/>
        </w:rPr>
        <w:tab/>
        <w:t>Participación de la sociedad civil</w:t>
      </w:r>
    </w:p>
    <w:p w:rsidR="005B2EC1" w:rsidRPr="0035527D" w:rsidRDefault="005B2EC1" w:rsidP="005B2EC1">
      <w:pPr>
        <w:pStyle w:val="SingleTxtG"/>
      </w:pPr>
      <w:r w:rsidRPr="0035527D">
        <w:t>2</w:t>
      </w:r>
      <w:r w:rsidR="00F620EC" w:rsidRPr="0035527D">
        <w:t>0</w:t>
      </w:r>
      <w:r w:rsidRPr="0035527D">
        <w:t>.</w:t>
      </w:r>
      <w:r w:rsidRPr="0035527D">
        <w:tab/>
        <w:t>Preocupa al Comité la participación limitada de la sociedad civil en la aplicación de la Convención, en particular en la preparación de informes.</w:t>
      </w:r>
      <w:r w:rsidRPr="0035527D">
        <w:rPr>
          <w:rStyle w:val="FootnoteReference"/>
        </w:rPr>
        <w:t xml:space="preserve"> </w:t>
      </w:r>
    </w:p>
    <w:p w:rsidR="002833F2" w:rsidRPr="0035527D" w:rsidRDefault="005B2EC1" w:rsidP="00FA38C9">
      <w:pPr>
        <w:pStyle w:val="SingleTxtG"/>
      </w:pPr>
      <w:r w:rsidRPr="0035527D">
        <w:t>2</w:t>
      </w:r>
      <w:r w:rsidR="00F620EC" w:rsidRPr="0035527D">
        <w:t>1</w:t>
      </w:r>
      <w:r w:rsidRPr="0035527D">
        <w:t>.</w:t>
      </w:r>
      <w:r w:rsidRPr="0035527D">
        <w:tab/>
      </w:r>
      <w:r w:rsidRPr="0035527D">
        <w:rPr>
          <w:b/>
          <w:bCs/>
        </w:rPr>
        <w:t xml:space="preserve">El Comité alienta al Estado </w:t>
      </w:r>
      <w:r w:rsidR="00A53E7A" w:rsidRPr="0035527D">
        <w:rPr>
          <w:b/>
          <w:bCs/>
        </w:rPr>
        <w:t>p</w:t>
      </w:r>
      <w:r w:rsidRPr="0035527D">
        <w:rPr>
          <w:b/>
          <w:bCs/>
        </w:rPr>
        <w:t xml:space="preserve">arte a examinar medidas más activas para hacer que la sociedad civil participe </w:t>
      </w:r>
      <w:r w:rsidR="007C13E7" w:rsidRPr="0035527D">
        <w:rPr>
          <w:b/>
          <w:bCs/>
        </w:rPr>
        <w:t xml:space="preserve">de manera constante </w:t>
      </w:r>
      <w:r w:rsidRPr="0035527D">
        <w:rPr>
          <w:b/>
          <w:bCs/>
        </w:rPr>
        <w:t>en la aplicación de la Convención así como en la elaboración y preparación del próximo informe.</w:t>
      </w:r>
      <w:r w:rsidRPr="0035527D">
        <w:t xml:space="preserve"> </w:t>
      </w:r>
    </w:p>
    <w:p w:rsidR="00035EF0" w:rsidRPr="0035527D" w:rsidRDefault="00035EF0" w:rsidP="00035EF0">
      <w:pPr>
        <w:pStyle w:val="H23G"/>
      </w:pPr>
      <w:r w:rsidRPr="0035527D">
        <w:tab/>
      </w:r>
      <w:r w:rsidR="00100590" w:rsidRPr="0035527D">
        <w:t>2</w:t>
      </w:r>
      <w:r w:rsidRPr="0035527D">
        <w:t>.</w:t>
      </w:r>
      <w:r w:rsidRPr="0035527D">
        <w:tab/>
        <w:t>Derechos humanos de todos los trabajadores migratorios y de sus familiares (artículos 8 a 35)</w:t>
      </w:r>
    </w:p>
    <w:p w:rsidR="00695AAF" w:rsidRPr="0035527D" w:rsidRDefault="00F16200" w:rsidP="004109D7">
      <w:pPr>
        <w:pStyle w:val="SingleTxtG"/>
        <w:rPr>
          <w:snapToGrid w:val="0"/>
        </w:rPr>
      </w:pPr>
      <w:r w:rsidRPr="0035527D">
        <w:t>2</w:t>
      </w:r>
      <w:r w:rsidR="00E1369E" w:rsidRPr="0035527D">
        <w:t>2</w:t>
      </w:r>
      <w:r w:rsidRPr="0035527D">
        <w:rPr>
          <w:snapToGrid w:val="0"/>
        </w:rPr>
        <w:t>.</w:t>
      </w:r>
      <w:r w:rsidRPr="0035527D">
        <w:rPr>
          <w:snapToGrid w:val="0"/>
        </w:rPr>
        <w:tab/>
        <w:t xml:space="preserve">El Comité </w:t>
      </w:r>
      <w:r w:rsidR="00447B69" w:rsidRPr="0035527D">
        <w:rPr>
          <w:snapToGrid w:val="0"/>
        </w:rPr>
        <w:t xml:space="preserve">toma nota </w:t>
      </w:r>
      <w:r w:rsidR="00A53E7A" w:rsidRPr="0035527D">
        <w:rPr>
          <w:snapToGrid w:val="0"/>
        </w:rPr>
        <w:t xml:space="preserve">de </w:t>
      </w:r>
      <w:r w:rsidR="00AE2B96" w:rsidRPr="0035527D">
        <w:rPr>
          <w:snapToGrid w:val="0"/>
        </w:rPr>
        <w:t xml:space="preserve">que la Unidad Administrativa </w:t>
      </w:r>
      <w:r w:rsidR="00A53E7A" w:rsidRPr="0035527D">
        <w:rPr>
          <w:snapToGrid w:val="0"/>
        </w:rPr>
        <w:t xml:space="preserve">Especial </w:t>
      </w:r>
      <w:r w:rsidR="00AE2B96" w:rsidRPr="0035527D">
        <w:rPr>
          <w:snapToGrid w:val="0"/>
        </w:rPr>
        <w:t>Migración Colombia es la autoridad de vigilancia y con</w:t>
      </w:r>
      <w:r w:rsidR="00163340" w:rsidRPr="0035527D">
        <w:rPr>
          <w:snapToGrid w:val="0"/>
        </w:rPr>
        <w:t>trol migratorio del Estado parte</w:t>
      </w:r>
      <w:r w:rsidR="00AE2B96" w:rsidRPr="0035527D">
        <w:rPr>
          <w:snapToGrid w:val="0"/>
        </w:rPr>
        <w:t xml:space="preserve">. </w:t>
      </w:r>
      <w:r w:rsidR="00AC7F05" w:rsidRPr="0035527D">
        <w:rPr>
          <w:snapToGrid w:val="0"/>
        </w:rPr>
        <w:t>Sin embargo, observa con preocupación la falta de información detallada sobre las operaciones de veri</w:t>
      </w:r>
      <w:r w:rsidR="00AE2B96" w:rsidRPr="0035527D">
        <w:rPr>
          <w:snapToGrid w:val="0"/>
        </w:rPr>
        <w:t>ficación del estatus migratorio llevadas a cabo por sus funcionarios</w:t>
      </w:r>
      <w:r w:rsidR="00AB3CDC" w:rsidRPr="0035527D">
        <w:rPr>
          <w:snapToGrid w:val="0"/>
        </w:rPr>
        <w:t xml:space="preserve">, </w:t>
      </w:r>
      <w:r w:rsidR="00BF5C26" w:rsidRPr="0035527D">
        <w:rPr>
          <w:snapToGrid w:val="0"/>
        </w:rPr>
        <w:t xml:space="preserve">así como sobre </w:t>
      </w:r>
      <w:r w:rsidR="00695AAF" w:rsidRPr="0035527D">
        <w:rPr>
          <w:snapToGrid w:val="0"/>
        </w:rPr>
        <w:t>los procedimientos</w:t>
      </w:r>
      <w:r w:rsidR="00BF5C26" w:rsidRPr="0035527D">
        <w:rPr>
          <w:snapToGrid w:val="0"/>
        </w:rPr>
        <w:t xml:space="preserve"> y criterios</w:t>
      </w:r>
      <w:r w:rsidR="00695AAF" w:rsidRPr="0035527D">
        <w:rPr>
          <w:snapToGrid w:val="0"/>
        </w:rPr>
        <w:t xml:space="preserve"> </w:t>
      </w:r>
      <w:r w:rsidR="00BF5C26" w:rsidRPr="0035527D">
        <w:rPr>
          <w:snapToGrid w:val="0"/>
        </w:rPr>
        <w:t xml:space="preserve">para diferenciar, en la práctica, a los </w:t>
      </w:r>
      <w:r w:rsidR="00695AAF" w:rsidRPr="0035527D">
        <w:rPr>
          <w:snapToGrid w:val="0"/>
        </w:rPr>
        <w:t xml:space="preserve">trabajadores migratorios en </w:t>
      </w:r>
      <w:r w:rsidR="00CD3326" w:rsidRPr="0035527D">
        <w:rPr>
          <w:snapToGrid w:val="0"/>
        </w:rPr>
        <w:t xml:space="preserve">tránsito </w:t>
      </w:r>
      <w:r w:rsidR="00BF5C26" w:rsidRPr="0035527D">
        <w:rPr>
          <w:snapToGrid w:val="0"/>
        </w:rPr>
        <w:t xml:space="preserve">y en situación irregular </w:t>
      </w:r>
      <w:r w:rsidR="00CD3326" w:rsidRPr="0035527D">
        <w:rPr>
          <w:snapToGrid w:val="0"/>
        </w:rPr>
        <w:t xml:space="preserve">por el Estado parte </w:t>
      </w:r>
      <w:r w:rsidR="00BF5C26" w:rsidRPr="0035527D">
        <w:rPr>
          <w:snapToGrid w:val="0"/>
        </w:rPr>
        <w:t>de las personas solicitantes de refugio</w:t>
      </w:r>
      <w:r w:rsidR="00695AAF" w:rsidRPr="0035527D">
        <w:rPr>
          <w:snapToGrid w:val="0"/>
        </w:rPr>
        <w:t>. También le preocupa la falta de información sobre el tipo de instalaciones y las condiciones en las que se mantienen retenid</w:t>
      </w:r>
      <w:r w:rsidR="006628C0" w:rsidRPr="0035527D">
        <w:rPr>
          <w:snapToGrid w:val="0"/>
        </w:rPr>
        <w:t>o</w:t>
      </w:r>
      <w:r w:rsidR="00695AAF" w:rsidRPr="0035527D">
        <w:rPr>
          <w:snapToGrid w:val="0"/>
        </w:rPr>
        <w:t>s a los trabajadores migratorios y sus familiares</w:t>
      </w:r>
      <w:r w:rsidR="00BF5C26" w:rsidRPr="0035527D">
        <w:rPr>
          <w:snapToGrid w:val="0"/>
        </w:rPr>
        <w:t>, en particular</w:t>
      </w:r>
      <w:r w:rsidR="00163340" w:rsidRPr="0035527D">
        <w:rPr>
          <w:snapToGrid w:val="0"/>
        </w:rPr>
        <w:t xml:space="preserve"> las salas transitorias migratorias</w:t>
      </w:r>
      <w:r w:rsidR="00695AAF" w:rsidRPr="0035527D">
        <w:rPr>
          <w:snapToGrid w:val="0"/>
        </w:rPr>
        <w:t>.</w:t>
      </w:r>
    </w:p>
    <w:p w:rsidR="00F16335" w:rsidRPr="0035527D" w:rsidRDefault="00695AAF" w:rsidP="00F16335">
      <w:pPr>
        <w:pStyle w:val="SingleTxtG"/>
        <w:rPr>
          <w:b/>
          <w:snapToGrid w:val="0"/>
        </w:rPr>
      </w:pPr>
      <w:r w:rsidRPr="003916B1">
        <w:rPr>
          <w:snapToGrid w:val="0"/>
        </w:rPr>
        <w:t>23.</w:t>
      </w:r>
      <w:r w:rsidRPr="003916B1">
        <w:rPr>
          <w:snapToGrid w:val="0"/>
        </w:rPr>
        <w:tab/>
      </w:r>
      <w:r w:rsidRPr="0035527D">
        <w:rPr>
          <w:b/>
          <w:snapToGrid w:val="0"/>
        </w:rPr>
        <w:t>El Comité recomienda que el Estado parte</w:t>
      </w:r>
      <w:r w:rsidR="009C7CC1" w:rsidRPr="0035527D">
        <w:rPr>
          <w:b/>
          <w:snapToGrid w:val="0"/>
        </w:rPr>
        <w:t xml:space="preserve"> tome las medidas necesarias para asegurar que las operaciones de verificación del estatus migratorio </w:t>
      </w:r>
      <w:r w:rsidR="0051249F" w:rsidRPr="0035527D">
        <w:rPr>
          <w:b/>
          <w:snapToGrid w:val="0"/>
        </w:rPr>
        <w:t xml:space="preserve">se lleven a cabo respetando los derechos de las personas verificadas, en particular su derecho a la integridad. Así también, le recomienda que </w:t>
      </w:r>
      <w:r w:rsidR="009C7CC1" w:rsidRPr="0035527D">
        <w:rPr>
          <w:b/>
          <w:snapToGrid w:val="0"/>
        </w:rPr>
        <w:t xml:space="preserve">los procedimientos de </w:t>
      </w:r>
      <w:r w:rsidR="007C13E7" w:rsidRPr="0035527D">
        <w:rPr>
          <w:b/>
          <w:snapToGrid w:val="0"/>
        </w:rPr>
        <w:t xml:space="preserve">retención </w:t>
      </w:r>
      <w:r w:rsidR="009C7CC1" w:rsidRPr="0035527D">
        <w:rPr>
          <w:b/>
          <w:snapToGrid w:val="0"/>
        </w:rPr>
        <w:t>de trabajadores migratorios y sus familiares en situación irregular</w:t>
      </w:r>
      <w:r w:rsidR="00163340" w:rsidRPr="0035527D">
        <w:rPr>
          <w:b/>
          <w:snapToGrid w:val="0"/>
        </w:rPr>
        <w:t>, entre ellos los que se encuentran en tránsito,</w:t>
      </w:r>
      <w:r w:rsidR="009C7CC1" w:rsidRPr="0035527D">
        <w:rPr>
          <w:b/>
          <w:snapToGrid w:val="0"/>
        </w:rPr>
        <w:t xml:space="preserve"> se lleven a cabo de conformidad con los artículos 16 y 17 de la Convención. </w:t>
      </w:r>
      <w:r w:rsidR="0051249F" w:rsidRPr="0035527D">
        <w:rPr>
          <w:b/>
          <w:snapToGrid w:val="0"/>
        </w:rPr>
        <w:t>El Comité invita al Estado parte a velar por</w:t>
      </w:r>
      <w:r w:rsidR="006628C0" w:rsidRPr="0035527D">
        <w:rPr>
          <w:b/>
          <w:snapToGrid w:val="0"/>
        </w:rPr>
        <w:t xml:space="preserve"> </w:t>
      </w:r>
      <w:r w:rsidR="0051249F" w:rsidRPr="0035527D">
        <w:rPr>
          <w:b/>
          <w:snapToGrid w:val="0"/>
        </w:rPr>
        <w:t xml:space="preserve">que las condiciones de </w:t>
      </w:r>
      <w:r w:rsidR="00163340" w:rsidRPr="0035527D">
        <w:rPr>
          <w:b/>
          <w:snapToGrid w:val="0"/>
        </w:rPr>
        <w:t>las salas transitorias migratorias</w:t>
      </w:r>
      <w:r w:rsidR="0051249F" w:rsidRPr="0035527D">
        <w:rPr>
          <w:b/>
          <w:snapToGrid w:val="0"/>
        </w:rPr>
        <w:t xml:space="preserve"> se ajusten a los estándares internacionales.</w:t>
      </w:r>
      <w:r w:rsidR="003916B1">
        <w:rPr>
          <w:b/>
          <w:snapToGrid w:val="0"/>
        </w:rPr>
        <w:t xml:space="preserve"> </w:t>
      </w:r>
    </w:p>
    <w:p w:rsidR="00F16200" w:rsidRPr="0035527D" w:rsidRDefault="00D06A36" w:rsidP="00695AAF">
      <w:pPr>
        <w:pStyle w:val="SingleTxtG"/>
        <w:rPr>
          <w:snapToGrid w:val="0"/>
        </w:rPr>
      </w:pPr>
      <w:r w:rsidRPr="0035527D">
        <w:rPr>
          <w:snapToGrid w:val="0"/>
        </w:rPr>
        <w:t>24.</w:t>
      </w:r>
      <w:r w:rsidRPr="0035527D">
        <w:rPr>
          <w:snapToGrid w:val="0"/>
        </w:rPr>
        <w:tab/>
      </w:r>
      <w:r w:rsidR="00940A43" w:rsidRPr="0035527D">
        <w:rPr>
          <w:snapToGrid w:val="0"/>
        </w:rPr>
        <w:t xml:space="preserve">El Comité toma nota </w:t>
      </w:r>
      <w:r w:rsidR="003430A9" w:rsidRPr="0035527D">
        <w:rPr>
          <w:snapToGrid w:val="0"/>
        </w:rPr>
        <w:t xml:space="preserve">de que en el Estado parte </w:t>
      </w:r>
      <w:r w:rsidR="003430A9" w:rsidRPr="0035527D">
        <w:t xml:space="preserve">los actos administrativos de </w:t>
      </w:r>
      <w:r w:rsidR="005C32D7" w:rsidRPr="0035527D">
        <w:t xml:space="preserve">deportación y </w:t>
      </w:r>
      <w:r w:rsidR="003430A9" w:rsidRPr="0035527D">
        <w:t xml:space="preserve">expulsión pueden ser apelados a través de los recursos establecidos en el Código de Procedimiento Administrativo y de lo Contencioso (Ley 1437 de 2011). Sin embargo, le preocupa la falta de información sobre el </w:t>
      </w:r>
      <w:r w:rsidR="00163340" w:rsidRPr="0035527D">
        <w:t xml:space="preserve">ejercicio en la práctica de este derecho por los trabajadores migratorios y sus familiares sujetos a un proceso de deportación y/o expulsión. </w:t>
      </w:r>
      <w:r w:rsidR="00C85E78" w:rsidRPr="0035527D">
        <w:rPr>
          <w:snapToGrid w:val="0"/>
        </w:rPr>
        <w:t xml:space="preserve">Así también reitera sus preocupaciones sobre la imposibilidad de interponer recurso alguno cuando el acto administrativo de expulsión ha sido determinado por las razones previstas en el artículo 105 del Decreto 4000 de 2004; y, también </w:t>
      </w:r>
      <w:r w:rsidR="007C13E7" w:rsidRPr="0035527D">
        <w:rPr>
          <w:snapToGrid w:val="0"/>
        </w:rPr>
        <w:t xml:space="preserve">cuando </w:t>
      </w:r>
      <w:r w:rsidR="00C85E78" w:rsidRPr="0035527D">
        <w:t>el Ministerio de Relaciones Exteriores ha decidido cancelar una visa.</w:t>
      </w:r>
    </w:p>
    <w:p w:rsidR="005C32D7" w:rsidRPr="0035527D" w:rsidRDefault="00F16200" w:rsidP="005C32D7">
      <w:pPr>
        <w:pStyle w:val="SingleTxtG"/>
        <w:rPr>
          <w:b/>
          <w:bCs/>
        </w:rPr>
      </w:pPr>
      <w:r w:rsidRPr="003916B1">
        <w:t>2</w:t>
      </w:r>
      <w:r w:rsidR="00F620EC" w:rsidRPr="003916B1">
        <w:t>5</w:t>
      </w:r>
      <w:r w:rsidRPr="003916B1">
        <w:rPr>
          <w:snapToGrid w:val="0"/>
        </w:rPr>
        <w:t>.</w:t>
      </w:r>
      <w:r w:rsidRPr="003916B1">
        <w:rPr>
          <w:snapToGrid w:val="0"/>
        </w:rPr>
        <w:tab/>
      </w:r>
      <w:r w:rsidR="007D30BB" w:rsidRPr="0035527D">
        <w:rPr>
          <w:b/>
          <w:bCs/>
        </w:rPr>
        <w:t xml:space="preserve">El Comité recomienda </w:t>
      </w:r>
      <w:r w:rsidR="00D92C90" w:rsidRPr="0035527D">
        <w:rPr>
          <w:b/>
          <w:bCs/>
        </w:rPr>
        <w:t>que el</w:t>
      </w:r>
      <w:r w:rsidR="00614829" w:rsidRPr="0035527D">
        <w:rPr>
          <w:b/>
          <w:bCs/>
        </w:rPr>
        <w:t xml:space="preserve"> </w:t>
      </w:r>
      <w:r w:rsidR="007D30BB" w:rsidRPr="0035527D">
        <w:rPr>
          <w:b/>
          <w:bCs/>
        </w:rPr>
        <w:t xml:space="preserve">Estado parte tome las medidas necesarias para </w:t>
      </w:r>
      <w:r w:rsidR="003430A9" w:rsidRPr="0035527D">
        <w:rPr>
          <w:b/>
          <w:bCs/>
        </w:rPr>
        <w:t xml:space="preserve">que </w:t>
      </w:r>
      <w:r w:rsidR="00B33695" w:rsidRPr="0035527D">
        <w:rPr>
          <w:b/>
          <w:bCs/>
        </w:rPr>
        <w:t xml:space="preserve">los migrantes sujetos a un proceso </w:t>
      </w:r>
      <w:r w:rsidR="005C32D7" w:rsidRPr="0035527D">
        <w:rPr>
          <w:b/>
          <w:bCs/>
        </w:rPr>
        <w:t xml:space="preserve">administrativo de deportación o </w:t>
      </w:r>
      <w:r w:rsidR="00B33695" w:rsidRPr="0035527D">
        <w:rPr>
          <w:b/>
          <w:bCs/>
        </w:rPr>
        <w:t xml:space="preserve">expulsión conozcan </w:t>
      </w:r>
      <w:r w:rsidR="00163340" w:rsidRPr="0035527D">
        <w:rPr>
          <w:b/>
          <w:bCs/>
        </w:rPr>
        <w:t xml:space="preserve">y ejerzan </w:t>
      </w:r>
      <w:r w:rsidR="005C32D7" w:rsidRPr="0035527D">
        <w:rPr>
          <w:b/>
          <w:bCs/>
        </w:rPr>
        <w:t xml:space="preserve">su derecho a interponer recursos y tengan la oportunidad de ejercer este derecho. El Comité también recomienda al Estado parte que adopte las medidas necesarias para </w:t>
      </w:r>
      <w:r w:rsidR="007D30BB" w:rsidRPr="0035527D">
        <w:rPr>
          <w:b/>
          <w:bCs/>
        </w:rPr>
        <w:t xml:space="preserve">que </w:t>
      </w:r>
      <w:r w:rsidR="005C32D7" w:rsidRPr="0035527D">
        <w:rPr>
          <w:b/>
          <w:bCs/>
        </w:rPr>
        <w:t xml:space="preserve">en todos los casos, </w:t>
      </w:r>
      <w:r w:rsidR="007D30BB" w:rsidRPr="0035527D">
        <w:rPr>
          <w:b/>
          <w:bCs/>
        </w:rPr>
        <w:t xml:space="preserve">los </w:t>
      </w:r>
      <w:r w:rsidR="005C32D7" w:rsidRPr="0035527D">
        <w:rPr>
          <w:b/>
          <w:bCs/>
        </w:rPr>
        <w:t>interesados tengan derecho a exponer las razones que les asis</w:t>
      </w:r>
      <w:r w:rsidR="00C74EAF" w:rsidRPr="0035527D">
        <w:rPr>
          <w:b/>
          <w:bCs/>
        </w:rPr>
        <w:t>tan para oponerse a su deportación y expulsión</w:t>
      </w:r>
      <w:r w:rsidR="005C32D7" w:rsidRPr="0035527D">
        <w:rPr>
          <w:b/>
          <w:bCs/>
        </w:rPr>
        <w:t>, de</w:t>
      </w:r>
      <w:r w:rsidR="007D30BB" w:rsidRPr="0035527D">
        <w:rPr>
          <w:b/>
          <w:bCs/>
        </w:rPr>
        <w:t xml:space="preserve"> conformidad con el artículo 22 de la Convención</w:t>
      </w:r>
      <w:r w:rsidR="005C32D7" w:rsidRPr="0035527D">
        <w:rPr>
          <w:b/>
          <w:bCs/>
        </w:rPr>
        <w:t xml:space="preserve">. </w:t>
      </w:r>
    </w:p>
    <w:p w:rsidR="00DA7AB4" w:rsidRPr="0035527D" w:rsidRDefault="00DA7AB4" w:rsidP="002823C7">
      <w:pPr>
        <w:pStyle w:val="SingleTxtG"/>
      </w:pPr>
      <w:r w:rsidRPr="0035527D">
        <w:t>2</w:t>
      </w:r>
      <w:r w:rsidR="00F620EC" w:rsidRPr="0035527D">
        <w:t>6</w:t>
      </w:r>
      <w:r w:rsidRPr="0035527D">
        <w:t>.</w:t>
      </w:r>
      <w:r w:rsidR="002823C7" w:rsidRPr="0035527D">
        <w:t xml:space="preserve"> </w:t>
      </w:r>
      <w:r w:rsidR="002823C7" w:rsidRPr="0035527D">
        <w:tab/>
        <w:t xml:space="preserve">El Comité toma nota </w:t>
      </w:r>
      <w:r w:rsidR="00100590" w:rsidRPr="0035527D">
        <w:t xml:space="preserve">de </w:t>
      </w:r>
      <w:r w:rsidR="002823C7" w:rsidRPr="0035527D">
        <w:t xml:space="preserve">que dentro de las prioridades del Ministerio del Trabajo se encuentra la gestión de la migración internacional y la garantía del principio de no discriminación entre trabajadores nacionales y extranjeros. Sin embargo, al Comité le preocupa la falta de </w:t>
      </w:r>
      <w:r w:rsidR="007C13E7" w:rsidRPr="0035527D">
        <w:t>medidas concretas</w:t>
      </w:r>
      <w:r w:rsidR="000616DB" w:rsidRPr="0035527D">
        <w:t xml:space="preserve"> y</w:t>
      </w:r>
      <w:r w:rsidR="007C13E7" w:rsidRPr="0035527D">
        <w:t xml:space="preserve"> de información sobre</w:t>
      </w:r>
      <w:r w:rsidR="000616DB" w:rsidRPr="0035527D">
        <w:t xml:space="preserve"> lo</w:t>
      </w:r>
      <w:r w:rsidR="002823C7" w:rsidRPr="0035527D">
        <w:t xml:space="preserve">s mecanismos existentes </w:t>
      </w:r>
      <w:r w:rsidR="000616DB" w:rsidRPr="0035527D">
        <w:t>que</w:t>
      </w:r>
      <w:r w:rsidR="002823C7" w:rsidRPr="0035527D">
        <w:t xml:space="preserve"> garantiza</w:t>
      </w:r>
      <w:r w:rsidR="000616DB" w:rsidRPr="0035527D">
        <w:t>n</w:t>
      </w:r>
      <w:r w:rsidR="002823C7" w:rsidRPr="0035527D">
        <w:t xml:space="preserve"> y protege</w:t>
      </w:r>
      <w:r w:rsidR="000616DB" w:rsidRPr="0035527D">
        <w:t>n</w:t>
      </w:r>
      <w:r w:rsidR="002823C7" w:rsidRPr="0035527D">
        <w:t xml:space="preserve"> l</w:t>
      </w:r>
      <w:r w:rsidR="004A253B" w:rsidRPr="0035527D">
        <w:t xml:space="preserve">os derechos laborales </w:t>
      </w:r>
      <w:r w:rsidR="002823C7" w:rsidRPr="0035527D">
        <w:t>de todos los trabajadores migratorios en el Estado parte</w:t>
      </w:r>
      <w:r w:rsidR="00C85E78" w:rsidRPr="0035527D">
        <w:t>.</w:t>
      </w:r>
      <w:r w:rsidR="003916B1">
        <w:t xml:space="preserve"> </w:t>
      </w:r>
    </w:p>
    <w:p w:rsidR="00B55D5F" w:rsidRPr="0035527D" w:rsidRDefault="002823C7" w:rsidP="00B55D5F">
      <w:pPr>
        <w:pStyle w:val="SingleTxtG"/>
        <w:rPr>
          <w:b/>
        </w:rPr>
      </w:pPr>
      <w:r w:rsidRPr="003916B1">
        <w:t>27.</w:t>
      </w:r>
      <w:r w:rsidRPr="0035527D">
        <w:rPr>
          <w:b/>
        </w:rPr>
        <w:tab/>
      </w:r>
      <w:r w:rsidR="00875757" w:rsidRPr="0035527D">
        <w:rPr>
          <w:b/>
        </w:rPr>
        <w:t xml:space="preserve">El Comité recomienda que el Estado parte, garantice tanto en la legislación como en la práctica, </w:t>
      </w:r>
      <w:r w:rsidR="00694FE9" w:rsidRPr="0035527D">
        <w:rPr>
          <w:b/>
        </w:rPr>
        <w:t xml:space="preserve">los derechos laborales </w:t>
      </w:r>
      <w:r w:rsidR="00875757" w:rsidRPr="0035527D">
        <w:rPr>
          <w:b/>
        </w:rPr>
        <w:t>de todos los trabajadores migratorios</w:t>
      </w:r>
      <w:r w:rsidR="007C13E7" w:rsidRPr="0035527D">
        <w:rPr>
          <w:b/>
        </w:rPr>
        <w:t xml:space="preserve"> en Colombia</w:t>
      </w:r>
      <w:r w:rsidR="00694FE9" w:rsidRPr="0035527D">
        <w:rPr>
          <w:b/>
        </w:rPr>
        <w:t>, en particular de los trabajadores migratorios no calificados,</w:t>
      </w:r>
      <w:r w:rsidR="00875757" w:rsidRPr="0035527D">
        <w:rPr>
          <w:b/>
        </w:rPr>
        <w:t xml:space="preserve"> de conformidad con l</w:t>
      </w:r>
      <w:r w:rsidR="002E7601" w:rsidRPr="0035527D">
        <w:rPr>
          <w:b/>
        </w:rPr>
        <w:t>os</w:t>
      </w:r>
      <w:r w:rsidR="00875757" w:rsidRPr="0035527D">
        <w:rPr>
          <w:b/>
        </w:rPr>
        <w:t xml:space="preserve"> artículo</w:t>
      </w:r>
      <w:r w:rsidR="002E7601" w:rsidRPr="0035527D">
        <w:rPr>
          <w:b/>
        </w:rPr>
        <w:t>s</w:t>
      </w:r>
      <w:r w:rsidR="00875757" w:rsidRPr="0035527D">
        <w:rPr>
          <w:b/>
        </w:rPr>
        <w:t xml:space="preserve"> 25</w:t>
      </w:r>
      <w:r w:rsidR="002E7601" w:rsidRPr="0035527D">
        <w:rPr>
          <w:b/>
        </w:rPr>
        <w:t>, 26</w:t>
      </w:r>
      <w:r w:rsidR="004A253B" w:rsidRPr="0035527D">
        <w:rPr>
          <w:b/>
        </w:rPr>
        <w:t xml:space="preserve"> y</w:t>
      </w:r>
      <w:r w:rsidR="002E7601" w:rsidRPr="0035527D">
        <w:rPr>
          <w:b/>
        </w:rPr>
        <w:t xml:space="preserve"> 27 </w:t>
      </w:r>
      <w:r w:rsidR="00875757" w:rsidRPr="0035527D">
        <w:rPr>
          <w:b/>
        </w:rPr>
        <w:t>de la Convención.</w:t>
      </w:r>
    </w:p>
    <w:p w:rsidR="00035EF0" w:rsidRPr="0035527D" w:rsidRDefault="00035EF0" w:rsidP="00035EF0">
      <w:pPr>
        <w:pStyle w:val="H23G"/>
      </w:pPr>
      <w:r w:rsidRPr="0035527D">
        <w:tab/>
      </w:r>
      <w:r w:rsidR="00100590" w:rsidRPr="0035527D">
        <w:t>3</w:t>
      </w:r>
      <w:r w:rsidRPr="0035527D">
        <w:t>.</w:t>
      </w:r>
      <w:r w:rsidRPr="0035527D">
        <w:tab/>
        <w:t>Otros derechos de los trabajadores migratorios y de sus familiares que estén documentados o se encuentren en situación regular (artículos 36 a 56)</w:t>
      </w:r>
    </w:p>
    <w:p w:rsidR="0030012E" w:rsidRPr="0035527D" w:rsidRDefault="00F620EC" w:rsidP="00035EF0">
      <w:pPr>
        <w:pStyle w:val="SingleTxtG"/>
      </w:pPr>
      <w:r w:rsidRPr="0035527D">
        <w:t>28</w:t>
      </w:r>
      <w:r w:rsidR="00035EF0" w:rsidRPr="0035527D">
        <w:t>.</w:t>
      </w:r>
      <w:r w:rsidR="00035EF0" w:rsidRPr="0035527D">
        <w:tab/>
        <w:t xml:space="preserve">El Comité </w:t>
      </w:r>
      <w:r w:rsidR="0030012E" w:rsidRPr="0035527D">
        <w:t xml:space="preserve">toma nota del Convenio Modificatorio entre el Estado parte y la República del Ecuador para facilitar los movimientos de trabajadores de temporada y fronterizos entre los dos países. Sin embargo, le preocupa la falta de información </w:t>
      </w:r>
      <w:r w:rsidR="008E4698" w:rsidRPr="0035527D">
        <w:t xml:space="preserve">detallada </w:t>
      </w:r>
      <w:r w:rsidR="0030012E" w:rsidRPr="0035527D">
        <w:t xml:space="preserve">sobre medidas específicas adoptadas para proteger los derechos de los trabajadores fronterizos y de temporada de conformidad con la Convención. </w:t>
      </w:r>
    </w:p>
    <w:p w:rsidR="0030012E" w:rsidRPr="0035527D" w:rsidRDefault="00F620EC" w:rsidP="00035EF0">
      <w:pPr>
        <w:pStyle w:val="SingleTxtG"/>
        <w:rPr>
          <w:b/>
        </w:rPr>
      </w:pPr>
      <w:r w:rsidRPr="003916B1">
        <w:t>29</w:t>
      </w:r>
      <w:r w:rsidR="0030012E" w:rsidRPr="003916B1">
        <w:t>.</w:t>
      </w:r>
      <w:r w:rsidR="0030012E" w:rsidRPr="0035527D">
        <w:rPr>
          <w:b/>
        </w:rPr>
        <w:tab/>
        <w:t xml:space="preserve">El Comité invita al Estado parte a informarle en su siguiente informe periódico sobre las medidas adoptadas para garantizar a los trabajadores fronterizos y de temporada los derechos reconocidos </w:t>
      </w:r>
      <w:r w:rsidR="007B5D9C" w:rsidRPr="0035527D">
        <w:rPr>
          <w:b/>
        </w:rPr>
        <w:t>que puedan corresponderles en virtud de su presencia y su trabajo en el territorio del Estado parte</w:t>
      </w:r>
      <w:r w:rsidR="007C13E7" w:rsidRPr="0035527D">
        <w:rPr>
          <w:b/>
        </w:rPr>
        <w:t>, de conformidad con el artículo 57 de la Convención</w:t>
      </w:r>
      <w:r w:rsidR="007B5D9C" w:rsidRPr="0035527D">
        <w:rPr>
          <w:b/>
        </w:rPr>
        <w:t>.</w:t>
      </w:r>
      <w:r w:rsidR="003916B1">
        <w:rPr>
          <w:b/>
        </w:rPr>
        <w:t xml:space="preserve"> </w:t>
      </w:r>
    </w:p>
    <w:p w:rsidR="00035EF0" w:rsidRPr="0035527D" w:rsidRDefault="007B5D9C" w:rsidP="007B5D9C">
      <w:pPr>
        <w:pStyle w:val="SingleTxtG"/>
      </w:pPr>
      <w:r w:rsidRPr="0035527D">
        <w:t>3</w:t>
      </w:r>
      <w:r w:rsidR="00F620EC" w:rsidRPr="0035527D">
        <w:t>0</w:t>
      </w:r>
      <w:r w:rsidRPr="0035527D">
        <w:t>.</w:t>
      </w:r>
      <w:r w:rsidRPr="0035527D">
        <w:tab/>
        <w:t xml:space="preserve">El Comité reitera su </w:t>
      </w:r>
      <w:r w:rsidR="00035EF0" w:rsidRPr="0035527D">
        <w:t xml:space="preserve">preocupación </w:t>
      </w:r>
      <w:r w:rsidRPr="0035527D">
        <w:t xml:space="preserve">por el hecho de que no exista información clara sobre cómo se les garantiza en el Estado parte el derecho de asociación a los trabajadores migratorios. </w:t>
      </w:r>
    </w:p>
    <w:p w:rsidR="00035EF0" w:rsidRPr="0035527D" w:rsidRDefault="00241C58" w:rsidP="00592D96">
      <w:pPr>
        <w:pStyle w:val="SingleTxtG"/>
        <w:rPr>
          <w:b/>
          <w:bCs/>
        </w:rPr>
      </w:pPr>
      <w:r w:rsidRPr="003916B1">
        <w:t>3</w:t>
      </w:r>
      <w:r w:rsidR="00F620EC" w:rsidRPr="003916B1">
        <w:t>1</w:t>
      </w:r>
      <w:r w:rsidRPr="003916B1">
        <w:t>.</w:t>
      </w:r>
      <w:r w:rsidR="00035EF0" w:rsidRPr="003916B1">
        <w:tab/>
      </w:r>
      <w:r w:rsidR="00035EF0" w:rsidRPr="0035527D">
        <w:rPr>
          <w:b/>
          <w:bCs/>
        </w:rPr>
        <w:t xml:space="preserve">El Comité </w:t>
      </w:r>
      <w:r w:rsidR="00270A9F" w:rsidRPr="0035527D">
        <w:rPr>
          <w:b/>
          <w:bCs/>
        </w:rPr>
        <w:t xml:space="preserve">recomienda </w:t>
      </w:r>
      <w:r w:rsidR="00035EF0" w:rsidRPr="0035527D">
        <w:rPr>
          <w:b/>
          <w:bCs/>
        </w:rPr>
        <w:t>y alienta al Estado parte a que adopte las medidas necesarias para garantizar a los trabajadores migratorios y a sus familiares el derecho a formar asociaciones y sindic</w:t>
      </w:r>
      <w:r w:rsidR="00592D96" w:rsidRPr="0035527D">
        <w:rPr>
          <w:b/>
          <w:bCs/>
        </w:rPr>
        <w:t>a</w:t>
      </w:r>
      <w:r w:rsidR="00035EF0" w:rsidRPr="0035527D">
        <w:rPr>
          <w:b/>
          <w:bCs/>
        </w:rPr>
        <w:t xml:space="preserve">tos y a formar parte de sus órganos ejecutivos, de conformidad con el artículo 40 de la Convención y con el Convenio Nº 87 de la OIT </w:t>
      </w:r>
      <w:r w:rsidR="00823C0D" w:rsidRPr="0035527D">
        <w:rPr>
          <w:b/>
          <w:bCs/>
        </w:rPr>
        <w:t xml:space="preserve">relativo a </w:t>
      </w:r>
      <w:r w:rsidR="00035EF0" w:rsidRPr="0035527D">
        <w:rPr>
          <w:b/>
          <w:bCs/>
        </w:rPr>
        <w:t xml:space="preserve">la libertad sindical y </w:t>
      </w:r>
      <w:r w:rsidR="00823C0D" w:rsidRPr="0035527D">
        <w:rPr>
          <w:b/>
          <w:bCs/>
        </w:rPr>
        <w:t xml:space="preserve">a </w:t>
      </w:r>
      <w:r w:rsidR="00035EF0" w:rsidRPr="0035527D">
        <w:rPr>
          <w:b/>
          <w:bCs/>
        </w:rPr>
        <w:t>la protección del derecho de sindicación</w:t>
      </w:r>
      <w:r w:rsidR="00823C0D" w:rsidRPr="0035527D">
        <w:rPr>
          <w:b/>
          <w:bCs/>
        </w:rPr>
        <w:t>, de 1948,</w:t>
      </w:r>
      <w:r w:rsidR="00812E4F" w:rsidRPr="0035527D">
        <w:rPr>
          <w:b/>
          <w:bCs/>
        </w:rPr>
        <w:t xml:space="preserve"> ratificado por el Estado parte</w:t>
      </w:r>
      <w:r w:rsidR="00035EF0" w:rsidRPr="0035527D">
        <w:rPr>
          <w:b/>
          <w:bCs/>
        </w:rPr>
        <w:t>.</w:t>
      </w:r>
    </w:p>
    <w:p w:rsidR="00035EF0" w:rsidRPr="0035527D" w:rsidRDefault="00035EF0" w:rsidP="00035EF0">
      <w:pPr>
        <w:pStyle w:val="H23G"/>
      </w:pPr>
      <w:r w:rsidRPr="0035527D">
        <w:tab/>
      </w:r>
      <w:r w:rsidR="00100590" w:rsidRPr="0035527D">
        <w:t>4</w:t>
      </w:r>
      <w:r w:rsidRPr="0035527D">
        <w:t>.</w:t>
      </w:r>
      <w:r w:rsidRPr="0035527D">
        <w:tab/>
        <w:t>Promoción de condiciones satisfactorias, equitativas, dignas y lícitas en relación con la migración internacional de los trabajadores y sus familiares (artículos 64 a 71)</w:t>
      </w:r>
    </w:p>
    <w:p w:rsidR="00150EFE" w:rsidRPr="0035527D" w:rsidRDefault="00F620EC" w:rsidP="001B571B">
      <w:pPr>
        <w:pStyle w:val="SingleTxtG"/>
      </w:pPr>
      <w:r w:rsidRPr="0035527D">
        <w:t>32</w:t>
      </w:r>
      <w:r w:rsidR="001B571B" w:rsidRPr="0035527D">
        <w:t>.</w:t>
      </w:r>
      <w:r w:rsidR="001B571B" w:rsidRPr="0035527D">
        <w:tab/>
        <w:t>El Comité toma nota del papel del Ministerio de Relaciones Exteriores como eje articulador de la Política Integral Migratoria del Estado parte</w:t>
      </w:r>
      <w:r w:rsidR="009629C9" w:rsidRPr="0035527D">
        <w:t>, así como de la creación del SNM</w:t>
      </w:r>
      <w:r w:rsidR="001B571B" w:rsidRPr="0035527D">
        <w:t xml:space="preserve">. Sin embargo, le preocupa </w:t>
      </w:r>
      <w:r w:rsidR="009629C9" w:rsidRPr="0035527D">
        <w:t xml:space="preserve">que tanto dicha política </w:t>
      </w:r>
      <w:r w:rsidR="00FD67F2" w:rsidRPr="0035527D">
        <w:t xml:space="preserve">como el mandato del </w:t>
      </w:r>
      <w:r w:rsidR="009629C9" w:rsidRPr="0035527D">
        <w:t xml:space="preserve">SNM </w:t>
      </w:r>
      <w:r w:rsidR="00FD67F2" w:rsidRPr="0035527D">
        <w:t xml:space="preserve">relegan la situación de los trabajadores migratorios y de sus familiares en el Estado parte, en particular de aquellos que se encuentran en tránsito. </w:t>
      </w:r>
      <w:r w:rsidR="007C13E7" w:rsidRPr="0035527D">
        <w:t xml:space="preserve">Al Comité también </w:t>
      </w:r>
      <w:r w:rsidR="00FD67F2" w:rsidRPr="0035527D">
        <w:t xml:space="preserve">le preocupa la falta de información detallada sobre la coordinación en materia migratoria entre las instituciones competentes a nivel nacional y local. </w:t>
      </w:r>
    </w:p>
    <w:p w:rsidR="001B571B" w:rsidRPr="0035527D" w:rsidRDefault="00F620EC" w:rsidP="001B571B">
      <w:pPr>
        <w:pStyle w:val="SingleTxtG"/>
        <w:rPr>
          <w:b/>
          <w:bCs/>
          <w:lang w:eastAsia="en-GB"/>
        </w:rPr>
      </w:pPr>
      <w:r w:rsidRPr="003916B1">
        <w:rPr>
          <w:bCs/>
          <w:lang w:eastAsia="en-GB"/>
        </w:rPr>
        <w:t>33</w:t>
      </w:r>
      <w:r w:rsidR="001B571B" w:rsidRPr="003916B1">
        <w:rPr>
          <w:bCs/>
          <w:lang w:eastAsia="en-GB"/>
        </w:rPr>
        <w:t xml:space="preserve">. </w:t>
      </w:r>
      <w:r w:rsidR="001B571B" w:rsidRPr="003916B1">
        <w:rPr>
          <w:bCs/>
          <w:lang w:eastAsia="en-GB"/>
        </w:rPr>
        <w:tab/>
      </w:r>
      <w:r w:rsidR="001B571B" w:rsidRPr="0035527D">
        <w:rPr>
          <w:b/>
          <w:bCs/>
          <w:lang w:eastAsia="en-GB"/>
        </w:rPr>
        <w:t>El Comité recomienda al Estado parte que tome las medidas necesarias para</w:t>
      </w:r>
      <w:r w:rsidR="00FD67F2" w:rsidRPr="0035527D">
        <w:rPr>
          <w:b/>
          <w:bCs/>
          <w:lang w:eastAsia="en-GB"/>
        </w:rPr>
        <w:t xml:space="preserve"> formular y ejecutar una política migratoria que atienda todas las cuestiones de la migración internacional, de conformidad con el artículo 65 de la Convención. También lo insta a</w:t>
      </w:r>
      <w:r w:rsidR="001B571B" w:rsidRPr="0035527D">
        <w:rPr>
          <w:b/>
          <w:bCs/>
          <w:lang w:eastAsia="en-GB"/>
        </w:rPr>
        <w:t xml:space="preserve"> </w:t>
      </w:r>
      <w:r w:rsidR="00150EFE" w:rsidRPr="0035527D">
        <w:rPr>
          <w:b/>
          <w:bCs/>
          <w:lang w:eastAsia="en-GB"/>
        </w:rPr>
        <w:t xml:space="preserve">definir de manera </w:t>
      </w:r>
      <w:r w:rsidR="00736AAE" w:rsidRPr="0035527D">
        <w:rPr>
          <w:b/>
          <w:bCs/>
          <w:lang w:eastAsia="en-GB"/>
        </w:rPr>
        <w:t xml:space="preserve">clara </w:t>
      </w:r>
      <w:r w:rsidR="00150EFE" w:rsidRPr="0035527D">
        <w:rPr>
          <w:b/>
          <w:bCs/>
          <w:lang w:eastAsia="en-GB"/>
        </w:rPr>
        <w:t xml:space="preserve">los roles de los órganos competentes en materia migratoria, así como </w:t>
      </w:r>
      <w:r w:rsidR="001B571B" w:rsidRPr="0035527D">
        <w:rPr>
          <w:b/>
          <w:bCs/>
          <w:lang w:eastAsia="en-GB"/>
        </w:rPr>
        <w:t xml:space="preserve">intensificar esfuerzos </w:t>
      </w:r>
      <w:r w:rsidR="001B571B" w:rsidRPr="0035527D">
        <w:rPr>
          <w:b/>
          <w:bCs/>
        </w:rPr>
        <w:t>encaminados</w:t>
      </w:r>
      <w:r w:rsidR="001B571B" w:rsidRPr="0035527D">
        <w:rPr>
          <w:b/>
          <w:bCs/>
          <w:lang w:eastAsia="en-GB"/>
        </w:rPr>
        <w:t xml:space="preserve"> a lograr una coordinación efectiva y eficaz entre </w:t>
      </w:r>
      <w:r w:rsidR="00150EFE" w:rsidRPr="0035527D">
        <w:rPr>
          <w:b/>
          <w:bCs/>
          <w:lang w:eastAsia="en-GB"/>
        </w:rPr>
        <w:t>éstos</w:t>
      </w:r>
      <w:r w:rsidR="001B571B" w:rsidRPr="0035527D">
        <w:rPr>
          <w:b/>
          <w:bCs/>
          <w:lang w:eastAsia="en-GB"/>
        </w:rPr>
        <w:t xml:space="preserve"> a nivel nacional como local, en especial en zonas fronterizas.</w:t>
      </w:r>
      <w:r w:rsidR="00150EFE" w:rsidRPr="0035527D">
        <w:rPr>
          <w:b/>
          <w:bCs/>
          <w:lang w:eastAsia="en-GB"/>
        </w:rPr>
        <w:t xml:space="preserve"> </w:t>
      </w:r>
    </w:p>
    <w:p w:rsidR="00C85469" w:rsidRPr="0035527D" w:rsidRDefault="00F620EC" w:rsidP="00152383">
      <w:pPr>
        <w:pStyle w:val="SingleTxtG"/>
      </w:pPr>
      <w:r w:rsidRPr="0035527D">
        <w:t>34</w:t>
      </w:r>
      <w:r w:rsidR="00035EF0" w:rsidRPr="0035527D">
        <w:t>.</w:t>
      </w:r>
      <w:r w:rsidR="00035EF0" w:rsidRPr="0035527D">
        <w:tab/>
        <w:t xml:space="preserve">El Comité </w:t>
      </w:r>
      <w:r w:rsidR="00AA2638" w:rsidRPr="0035527D">
        <w:t xml:space="preserve">toma nota </w:t>
      </w:r>
      <w:r w:rsidR="00A957FC" w:rsidRPr="0035527D">
        <w:t xml:space="preserve">de </w:t>
      </w:r>
      <w:r w:rsidR="00C85966" w:rsidRPr="0035527D">
        <w:t xml:space="preserve">los esfuerzos para apoyar a los </w:t>
      </w:r>
      <w:r w:rsidR="00AA2638" w:rsidRPr="0035527D">
        <w:t xml:space="preserve">trabajadores migratorios </w:t>
      </w:r>
      <w:r w:rsidR="00C85966" w:rsidRPr="0035527D">
        <w:t>colombianos</w:t>
      </w:r>
      <w:r w:rsidR="00AA2638" w:rsidRPr="0035527D">
        <w:t xml:space="preserve"> que han </w:t>
      </w:r>
      <w:r w:rsidR="00C85966" w:rsidRPr="0035527D">
        <w:t>retornado al Estado parte</w:t>
      </w:r>
      <w:r w:rsidR="007C5255" w:rsidRPr="0035527D">
        <w:t xml:space="preserve"> a través del Plan de Retorno Positivo y de los Centros de Referencia y Oportunidades para Retornados del Exterior.</w:t>
      </w:r>
      <w:r w:rsidR="00AA2638" w:rsidRPr="0035527D">
        <w:t xml:space="preserve"> Sin embargo, le preocupa </w:t>
      </w:r>
      <w:r w:rsidR="00762022" w:rsidRPr="0035527D">
        <w:t xml:space="preserve">que estos esfuerzos </w:t>
      </w:r>
      <w:r w:rsidR="00C85469" w:rsidRPr="0035527D">
        <w:t xml:space="preserve">estén más concentrados en la reinserción económica de los retornados que en su reintegración social y cultural. </w:t>
      </w:r>
    </w:p>
    <w:p w:rsidR="00C85469" w:rsidRPr="0035527D" w:rsidRDefault="00F620EC" w:rsidP="00C85469">
      <w:pPr>
        <w:pStyle w:val="SingleTxtG"/>
        <w:rPr>
          <w:b/>
          <w:bCs/>
          <w:lang w:eastAsia="en-GB"/>
        </w:rPr>
      </w:pPr>
      <w:r w:rsidRPr="003916B1">
        <w:rPr>
          <w:bCs/>
          <w:lang w:eastAsia="en-GB"/>
        </w:rPr>
        <w:t>35</w:t>
      </w:r>
      <w:r w:rsidR="003916B1" w:rsidRPr="003916B1">
        <w:rPr>
          <w:bCs/>
          <w:lang w:eastAsia="en-GB"/>
        </w:rPr>
        <w:t>.</w:t>
      </w:r>
      <w:r w:rsidR="003916B1">
        <w:rPr>
          <w:b/>
          <w:bCs/>
          <w:lang w:eastAsia="en-GB"/>
        </w:rPr>
        <w:tab/>
      </w:r>
      <w:r w:rsidR="00C85469" w:rsidRPr="0035527D">
        <w:rPr>
          <w:b/>
          <w:bCs/>
          <w:lang w:eastAsia="en-GB"/>
        </w:rPr>
        <w:t>El Comité recomienda que el Estado parte desarrolle un programa con arreglo a los principios de la Convención, con miras a asistir a los migrantes que regresan para su reinserción duradera en el tejido económico, social y cultural de Colombia.</w:t>
      </w:r>
    </w:p>
    <w:p w:rsidR="003579BE" w:rsidRPr="0035527D" w:rsidRDefault="00F620EC" w:rsidP="009469B4">
      <w:pPr>
        <w:pStyle w:val="SingleTxtG"/>
      </w:pPr>
      <w:r w:rsidRPr="0035527D">
        <w:t>36</w:t>
      </w:r>
      <w:r w:rsidR="00C85469" w:rsidRPr="0035527D">
        <w:t>.</w:t>
      </w:r>
      <w:r w:rsidR="00C85469" w:rsidRPr="0035527D">
        <w:tab/>
        <w:t xml:space="preserve">El Comité </w:t>
      </w:r>
      <w:r w:rsidR="0027182A" w:rsidRPr="0035527D">
        <w:t xml:space="preserve">expresa su preocupación por el incremento </w:t>
      </w:r>
      <w:r w:rsidR="003579BE" w:rsidRPr="0035527D">
        <w:t xml:space="preserve">sostenido en los últimos años del número de trabajadores migratorios </w:t>
      </w:r>
      <w:r w:rsidR="00A957FC" w:rsidRPr="0035527D">
        <w:t xml:space="preserve">en el Estado parte </w:t>
      </w:r>
      <w:r w:rsidR="003579BE" w:rsidRPr="0035527D">
        <w:t xml:space="preserve">en tránsito hacia </w:t>
      </w:r>
      <w:r w:rsidR="00A957FC" w:rsidRPr="0035527D">
        <w:t xml:space="preserve">los </w:t>
      </w:r>
      <w:r w:rsidR="003579BE" w:rsidRPr="0035527D">
        <w:t xml:space="preserve">Estados Unidos </w:t>
      </w:r>
      <w:r w:rsidR="00A957FC" w:rsidRPr="0035527D">
        <w:t xml:space="preserve">de América </w:t>
      </w:r>
      <w:r w:rsidR="003579BE" w:rsidRPr="0035527D">
        <w:t xml:space="preserve">y Canadá. También le preocupa la información recibida por el Estado parte sobre el aumento </w:t>
      </w:r>
      <w:r w:rsidR="0027182A" w:rsidRPr="0035527D">
        <w:t>en los casos reportados de tráfico</w:t>
      </w:r>
      <w:r w:rsidR="003579BE" w:rsidRPr="0035527D">
        <w:t xml:space="preserve"> ilícito</w:t>
      </w:r>
      <w:r w:rsidR="0027182A" w:rsidRPr="0035527D">
        <w:t xml:space="preserve"> de migrantes en tránsito por </w:t>
      </w:r>
      <w:r w:rsidR="003579BE" w:rsidRPr="0035527D">
        <w:t xml:space="preserve">su territorio, </w:t>
      </w:r>
      <w:r w:rsidR="00FD67F2" w:rsidRPr="0035527D">
        <w:t xml:space="preserve">en particular de cubanos y chinos, </w:t>
      </w:r>
      <w:r w:rsidR="003579BE" w:rsidRPr="0035527D">
        <w:t xml:space="preserve">así como la ausencia de información detallada sobre medidas adoptadas o </w:t>
      </w:r>
      <w:r w:rsidR="00A957FC" w:rsidRPr="0035527D">
        <w:t>pendientes de adopción</w:t>
      </w:r>
      <w:r w:rsidR="003579BE" w:rsidRPr="0035527D">
        <w:t xml:space="preserve"> para p</w:t>
      </w:r>
      <w:r w:rsidR="003D6165" w:rsidRPr="0035527D">
        <w:t>revenir y combatir la migración irregular de sus nacionales</w:t>
      </w:r>
      <w:r w:rsidR="003579BE" w:rsidRPr="0035527D">
        <w:t xml:space="preserve">. </w:t>
      </w:r>
    </w:p>
    <w:p w:rsidR="00C85469" w:rsidRPr="0035527D" w:rsidRDefault="00F620EC" w:rsidP="00A533C6">
      <w:pPr>
        <w:pStyle w:val="SingleTxtG"/>
      </w:pPr>
      <w:r w:rsidRPr="003916B1">
        <w:t>37</w:t>
      </w:r>
      <w:r w:rsidR="003579BE" w:rsidRPr="003916B1">
        <w:t>.</w:t>
      </w:r>
      <w:r w:rsidR="003579BE" w:rsidRPr="0035527D">
        <w:rPr>
          <w:b/>
        </w:rPr>
        <w:tab/>
        <w:t xml:space="preserve">El Comité recomienda que el Estado parte </w:t>
      </w:r>
      <w:r w:rsidR="00E55E22" w:rsidRPr="0035527D">
        <w:rPr>
          <w:b/>
        </w:rPr>
        <w:t xml:space="preserve">adopte medidas para detectar y eliminar los movimientos ilegales o clandestinos de trabajadores migratorios en tránsito por su territorio, así como </w:t>
      </w:r>
      <w:r w:rsidR="005C2CA8" w:rsidRPr="0035527D">
        <w:rPr>
          <w:b/>
        </w:rPr>
        <w:t xml:space="preserve">investigar, perseguir y sancionar </w:t>
      </w:r>
      <w:r w:rsidR="00E55E22" w:rsidRPr="0035527D">
        <w:rPr>
          <w:b/>
        </w:rPr>
        <w:t>a las personas, grupos o entidades que organicen o dirijan esos movimientos</w:t>
      </w:r>
      <w:r w:rsidR="005C2CA8" w:rsidRPr="0035527D">
        <w:rPr>
          <w:b/>
        </w:rPr>
        <w:t xml:space="preserve">. </w:t>
      </w:r>
      <w:r w:rsidR="003D6165" w:rsidRPr="0035527D">
        <w:rPr>
          <w:b/>
        </w:rPr>
        <w:t xml:space="preserve">También le recomienda la intensificación de campañas </w:t>
      </w:r>
      <w:r w:rsidR="00736AAE" w:rsidRPr="0035527D">
        <w:rPr>
          <w:b/>
        </w:rPr>
        <w:t xml:space="preserve">informativas </w:t>
      </w:r>
      <w:r w:rsidR="003D6165" w:rsidRPr="0035527D">
        <w:rPr>
          <w:b/>
        </w:rPr>
        <w:t xml:space="preserve">a nivel local, dirigidas a la población en general, sobre los riesgos de la migración irregular. </w:t>
      </w:r>
    </w:p>
    <w:p w:rsidR="00532720" w:rsidRPr="0035527D" w:rsidRDefault="00F620EC" w:rsidP="00BE4249">
      <w:pPr>
        <w:pStyle w:val="SingleTxtG"/>
        <w:rPr>
          <w:snapToGrid w:val="0"/>
        </w:rPr>
      </w:pPr>
      <w:r w:rsidRPr="0035527D">
        <w:t>38</w:t>
      </w:r>
      <w:r w:rsidR="00035EF0" w:rsidRPr="0035527D">
        <w:t>.</w:t>
      </w:r>
      <w:r w:rsidR="00035EF0" w:rsidRPr="0035527D">
        <w:tab/>
        <w:t xml:space="preserve">El Comité toma nota </w:t>
      </w:r>
      <w:r w:rsidR="00A957FC" w:rsidRPr="0035527D">
        <w:t xml:space="preserve">de </w:t>
      </w:r>
      <w:r w:rsidR="00035EF0" w:rsidRPr="0035527D">
        <w:t>los</w:t>
      </w:r>
      <w:r w:rsidR="003428E6" w:rsidRPr="0035527D">
        <w:t xml:space="preserve"> constantes</w:t>
      </w:r>
      <w:r w:rsidR="00035EF0" w:rsidRPr="0035527D">
        <w:t xml:space="preserve"> esfuerzos</w:t>
      </w:r>
      <w:r w:rsidR="00B72870" w:rsidRPr="0035527D">
        <w:t xml:space="preserve"> llevados a cabo por el Estado parte</w:t>
      </w:r>
      <w:r w:rsidR="00035EF0" w:rsidRPr="0035527D">
        <w:t xml:space="preserve"> para combatir el delito de la trata de personas</w:t>
      </w:r>
      <w:r w:rsidR="00914E57" w:rsidRPr="0035527D">
        <w:t>.</w:t>
      </w:r>
      <w:r w:rsidR="00AE1DFE" w:rsidRPr="0035527D">
        <w:t xml:space="preserve"> </w:t>
      </w:r>
      <w:r w:rsidR="00035EF0" w:rsidRPr="0035527D">
        <w:t xml:space="preserve">Sin embargo, </w:t>
      </w:r>
      <w:r w:rsidR="00532720" w:rsidRPr="0035527D">
        <w:t xml:space="preserve">reitera su preocupación sobre el hecho de que el Estado parte es uno de los mayores países de origen de víctimas de trata, sobre todo mujeres y niñas. Asimismo, </w:t>
      </w:r>
      <w:r w:rsidR="009B467C" w:rsidRPr="0035527D">
        <w:t xml:space="preserve">le preocupa </w:t>
      </w:r>
      <w:r w:rsidR="00AE1DFE" w:rsidRPr="0035527D">
        <w:t xml:space="preserve">el retraso significativo en la aprobación de la reglamentación de la Ley 985 de 2005, </w:t>
      </w:r>
      <w:r w:rsidR="00BE4249" w:rsidRPr="0035527D">
        <w:t>sobre la prevención,</w:t>
      </w:r>
      <w:r w:rsidR="003916B1">
        <w:t xml:space="preserve"> </w:t>
      </w:r>
      <w:r w:rsidR="009B467C" w:rsidRPr="0035527D">
        <w:t>protección y asistencia a las víctimas de trata</w:t>
      </w:r>
      <w:r w:rsidR="000C47F7" w:rsidRPr="0035527D">
        <w:t>, así como la ausencia de información sobre mecanismos de protección en marcha para las víctimas.</w:t>
      </w:r>
      <w:r w:rsidR="00AE1DFE" w:rsidRPr="0035527D">
        <w:t xml:space="preserve"> </w:t>
      </w:r>
    </w:p>
    <w:p w:rsidR="00035EF0" w:rsidRPr="0035527D" w:rsidRDefault="00F620EC" w:rsidP="00505316">
      <w:pPr>
        <w:pStyle w:val="SingleTxtG"/>
        <w:rPr>
          <w:b/>
          <w:bCs/>
        </w:rPr>
      </w:pPr>
      <w:r w:rsidRPr="003916B1">
        <w:t>39</w:t>
      </w:r>
      <w:r w:rsidR="0074313F" w:rsidRPr="003916B1">
        <w:t>.</w:t>
      </w:r>
      <w:r w:rsidR="00035EF0" w:rsidRPr="003916B1">
        <w:tab/>
      </w:r>
      <w:r w:rsidR="00035EF0" w:rsidRPr="0035527D">
        <w:rPr>
          <w:b/>
          <w:bCs/>
        </w:rPr>
        <w:t xml:space="preserve">El Comité recomienda que el Estado parte </w:t>
      </w:r>
      <w:r w:rsidR="007C13E7" w:rsidRPr="0035527D">
        <w:rPr>
          <w:b/>
          <w:bCs/>
        </w:rPr>
        <w:t xml:space="preserve">continúe </w:t>
      </w:r>
      <w:r w:rsidR="00505316" w:rsidRPr="0035527D">
        <w:rPr>
          <w:b/>
          <w:bCs/>
        </w:rPr>
        <w:t xml:space="preserve">sus esfuerzos </w:t>
      </w:r>
      <w:r w:rsidR="00035EF0" w:rsidRPr="0035527D">
        <w:rPr>
          <w:b/>
          <w:bCs/>
        </w:rPr>
        <w:t>para combatir la trata de per</w:t>
      </w:r>
      <w:r w:rsidR="00505316" w:rsidRPr="0035527D">
        <w:rPr>
          <w:b/>
          <w:bCs/>
        </w:rPr>
        <w:t xml:space="preserve">sonas, en particular mediante: </w:t>
      </w:r>
    </w:p>
    <w:p w:rsidR="00035EF0" w:rsidRPr="0035527D" w:rsidRDefault="00505316" w:rsidP="006204FF">
      <w:pPr>
        <w:pStyle w:val="SingleTxtG"/>
        <w:ind w:firstLine="567"/>
        <w:rPr>
          <w:b/>
          <w:bCs/>
        </w:rPr>
      </w:pPr>
      <w:r w:rsidRPr="0035527D">
        <w:rPr>
          <w:b/>
          <w:bCs/>
        </w:rPr>
        <w:t>a</w:t>
      </w:r>
      <w:r w:rsidR="00035EF0" w:rsidRPr="0035527D">
        <w:rPr>
          <w:b/>
          <w:bCs/>
        </w:rPr>
        <w:t>)</w:t>
      </w:r>
      <w:r w:rsidR="00035EF0" w:rsidRPr="0035527D">
        <w:rPr>
          <w:b/>
          <w:bCs/>
        </w:rPr>
        <w:tab/>
        <w:t xml:space="preserve">La </w:t>
      </w:r>
      <w:r w:rsidR="003D6165" w:rsidRPr="0035527D">
        <w:rPr>
          <w:b/>
          <w:bCs/>
        </w:rPr>
        <w:t xml:space="preserve">adopción de la </w:t>
      </w:r>
      <w:r w:rsidR="00035EF0" w:rsidRPr="0035527D">
        <w:rPr>
          <w:b/>
          <w:bCs/>
        </w:rPr>
        <w:t>reglament</w:t>
      </w:r>
      <w:r w:rsidR="00BE4249" w:rsidRPr="0035527D">
        <w:rPr>
          <w:b/>
          <w:bCs/>
        </w:rPr>
        <w:t>ación</w:t>
      </w:r>
      <w:r w:rsidR="003D6165" w:rsidRPr="0035527D">
        <w:rPr>
          <w:b/>
          <w:bCs/>
        </w:rPr>
        <w:t xml:space="preserve"> de la Ley 985 de 2005</w:t>
      </w:r>
      <w:r w:rsidR="00035EF0" w:rsidRPr="0035527D">
        <w:rPr>
          <w:b/>
          <w:bCs/>
        </w:rPr>
        <w:t xml:space="preserve"> para garantizar </w:t>
      </w:r>
      <w:r w:rsidR="003D6165" w:rsidRPr="0035527D">
        <w:rPr>
          <w:b/>
          <w:bCs/>
        </w:rPr>
        <w:t>su</w:t>
      </w:r>
      <w:r w:rsidR="00035EF0" w:rsidRPr="0035527D">
        <w:rPr>
          <w:b/>
          <w:bCs/>
        </w:rPr>
        <w:t xml:space="preserve"> aplicación</w:t>
      </w:r>
      <w:r w:rsidR="003D6165" w:rsidRPr="0035527D">
        <w:rPr>
          <w:b/>
          <w:bCs/>
        </w:rPr>
        <w:t>;</w:t>
      </w:r>
      <w:r w:rsidR="00035EF0" w:rsidRPr="0035527D">
        <w:rPr>
          <w:b/>
          <w:bCs/>
        </w:rPr>
        <w:t xml:space="preserve"> </w:t>
      </w:r>
    </w:p>
    <w:p w:rsidR="00035EF0" w:rsidRPr="0035527D" w:rsidRDefault="00505316" w:rsidP="006204FF">
      <w:pPr>
        <w:pStyle w:val="SingleTxtG"/>
        <w:ind w:firstLine="567"/>
        <w:rPr>
          <w:b/>
          <w:bCs/>
        </w:rPr>
      </w:pPr>
      <w:r w:rsidRPr="0035527D">
        <w:rPr>
          <w:b/>
          <w:bCs/>
        </w:rPr>
        <w:t>b</w:t>
      </w:r>
      <w:r w:rsidR="00035EF0" w:rsidRPr="0035527D">
        <w:rPr>
          <w:b/>
          <w:bCs/>
        </w:rPr>
        <w:t>)</w:t>
      </w:r>
      <w:r w:rsidR="00035EF0" w:rsidRPr="0035527D">
        <w:rPr>
          <w:b/>
          <w:bCs/>
        </w:rPr>
        <w:tab/>
        <w:t xml:space="preserve">La capacitación permanente </w:t>
      </w:r>
      <w:r w:rsidR="003D6165" w:rsidRPr="0035527D">
        <w:rPr>
          <w:b/>
          <w:bCs/>
        </w:rPr>
        <w:t>de</w:t>
      </w:r>
      <w:r w:rsidR="00035EF0" w:rsidRPr="0035527D">
        <w:rPr>
          <w:b/>
          <w:bCs/>
        </w:rPr>
        <w:t xml:space="preserve"> funcionarios y funcionarias públicas, en especial para la </w:t>
      </w:r>
      <w:r w:rsidR="003D6165" w:rsidRPr="0035527D">
        <w:rPr>
          <w:b/>
          <w:bCs/>
        </w:rPr>
        <w:t>Policía Nacional, Migración Colombia</w:t>
      </w:r>
      <w:r w:rsidR="00035EF0" w:rsidRPr="0035527D">
        <w:rPr>
          <w:b/>
          <w:bCs/>
        </w:rPr>
        <w:t xml:space="preserve">, Jueces y Tribunales Penales, Agentes Fiscales, Inspectores/as del Trabajo, profesoras/es, profesionales de la salud a nivel nacional y representantes y funcionarios de embajadas y consulados </w:t>
      </w:r>
      <w:r w:rsidR="003D6165" w:rsidRPr="0035527D">
        <w:rPr>
          <w:b/>
          <w:bCs/>
        </w:rPr>
        <w:t>colombianos</w:t>
      </w:r>
      <w:r w:rsidR="0074313F" w:rsidRPr="0035527D">
        <w:rPr>
          <w:b/>
          <w:bCs/>
        </w:rPr>
        <w:t xml:space="preserve"> sobre el fenómeno de la trata</w:t>
      </w:r>
      <w:r w:rsidR="00035EF0" w:rsidRPr="0035527D">
        <w:rPr>
          <w:b/>
          <w:bCs/>
        </w:rPr>
        <w:t>;</w:t>
      </w:r>
    </w:p>
    <w:p w:rsidR="00035EF0" w:rsidRPr="0035527D" w:rsidRDefault="0074313F" w:rsidP="006204FF">
      <w:pPr>
        <w:pStyle w:val="SingleTxtG"/>
        <w:ind w:firstLine="567"/>
        <w:rPr>
          <w:b/>
          <w:bCs/>
        </w:rPr>
      </w:pPr>
      <w:r w:rsidRPr="0035527D">
        <w:rPr>
          <w:b/>
          <w:bCs/>
        </w:rPr>
        <w:t>c</w:t>
      </w:r>
      <w:r w:rsidR="00035EF0" w:rsidRPr="0035527D">
        <w:rPr>
          <w:b/>
          <w:bCs/>
        </w:rPr>
        <w:t>)</w:t>
      </w:r>
      <w:r w:rsidR="00035EF0" w:rsidRPr="0035527D">
        <w:rPr>
          <w:b/>
          <w:bCs/>
        </w:rPr>
        <w:tab/>
        <w:t xml:space="preserve">La recopilación sistemática de datos desglosados con miras a combatir mejor la trata de personas; </w:t>
      </w:r>
    </w:p>
    <w:p w:rsidR="00035EF0" w:rsidRPr="0035527D" w:rsidRDefault="0074313F" w:rsidP="006204FF">
      <w:pPr>
        <w:pStyle w:val="SingleTxtG"/>
        <w:ind w:firstLine="567"/>
        <w:rPr>
          <w:b/>
          <w:bCs/>
        </w:rPr>
      </w:pPr>
      <w:r w:rsidRPr="0035527D">
        <w:rPr>
          <w:b/>
          <w:bCs/>
        </w:rPr>
        <w:t>d</w:t>
      </w:r>
      <w:r w:rsidR="00035EF0" w:rsidRPr="0035527D">
        <w:rPr>
          <w:b/>
          <w:bCs/>
        </w:rPr>
        <w:t>)</w:t>
      </w:r>
      <w:r w:rsidR="00035EF0" w:rsidRPr="0035527D">
        <w:rPr>
          <w:b/>
          <w:bCs/>
        </w:rPr>
        <w:tab/>
        <w:t>La adopción de medidas para que los responsables de la trata de personas sean juzgados y sancionados adecuadamente</w:t>
      </w:r>
      <w:r w:rsidRPr="0035527D">
        <w:rPr>
          <w:b/>
          <w:bCs/>
        </w:rPr>
        <w:t>, incluso funcionarios públicos</w:t>
      </w:r>
      <w:r w:rsidR="00035EF0" w:rsidRPr="0035527D">
        <w:rPr>
          <w:b/>
          <w:bCs/>
        </w:rPr>
        <w:t>;</w:t>
      </w:r>
    </w:p>
    <w:p w:rsidR="00035EF0" w:rsidRPr="0035527D" w:rsidRDefault="0074313F" w:rsidP="006204FF">
      <w:pPr>
        <w:pStyle w:val="SingleTxtG"/>
        <w:ind w:firstLine="567"/>
        <w:rPr>
          <w:b/>
          <w:bCs/>
        </w:rPr>
      </w:pPr>
      <w:r w:rsidRPr="0035527D">
        <w:rPr>
          <w:b/>
          <w:bCs/>
        </w:rPr>
        <w:t>e</w:t>
      </w:r>
      <w:r w:rsidR="00035EF0" w:rsidRPr="0035527D">
        <w:rPr>
          <w:b/>
          <w:bCs/>
        </w:rPr>
        <w:t>)</w:t>
      </w:r>
      <w:r w:rsidR="00035EF0" w:rsidRPr="0035527D">
        <w:rPr>
          <w:b/>
          <w:bCs/>
        </w:rPr>
        <w:tab/>
        <w:t>La intensificación de campañas para la prevención de la trata de personas;</w:t>
      </w:r>
    </w:p>
    <w:p w:rsidR="00035EF0" w:rsidRPr="0035527D" w:rsidRDefault="0074313F" w:rsidP="006204FF">
      <w:pPr>
        <w:pStyle w:val="SingleTxtG"/>
        <w:ind w:firstLine="567"/>
        <w:rPr>
          <w:b/>
          <w:bCs/>
        </w:rPr>
      </w:pPr>
      <w:r w:rsidRPr="0035527D">
        <w:rPr>
          <w:b/>
          <w:bCs/>
        </w:rPr>
        <w:t>f)</w:t>
      </w:r>
      <w:r w:rsidRPr="0035527D">
        <w:rPr>
          <w:b/>
          <w:bCs/>
        </w:rPr>
        <w:tab/>
        <w:t>El desarrollo de mecanismos efectivos de identificación y protección a las víctimas de trata;</w:t>
      </w:r>
    </w:p>
    <w:p w:rsidR="00872DC4" w:rsidRPr="0035527D" w:rsidRDefault="0074313F" w:rsidP="00872DC4">
      <w:pPr>
        <w:pStyle w:val="SingleTxtG"/>
        <w:ind w:firstLine="567"/>
        <w:rPr>
          <w:b/>
          <w:bCs/>
        </w:rPr>
      </w:pPr>
      <w:r w:rsidRPr="0035527D">
        <w:rPr>
          <w:b/>
          <w:bCs/>
        </w:rPr>
        <w:t>g)</w:t>
      </w:r>
      <w:r w:rsidRPr="0035527D">
        <w:rPr>
          <w:b/>
          <w:bCs/>
        </w:rPr>
        <w:tab/>
        <w:t>La generación de una estrategia para asegurar el respeto de los derechos de las víctimas</w:t>
      </w:r>
      <w:r w:rsidR="00245F69" w:rsidRPr="0035527D">
        <w:rPr>
          <w:b/>
          <w:bCs/>
        </w:rPr>
        <w:t xml:space="preserve">, evitar su </w:t>
      </w:r>
      <w:r w:rsidR="005128C2" w:rsidRPr="0035527D">
        <w:rPr>
          <w:b/>
          <w:bCs/>
        </w:rPr>
        <w:t>revictimización</w:t>
      </w:r>
      <w:r w:rsidRPr="0035527D">
        <w:rPr>
          <w:b/>
          <w:bCs/>
        </w:rPr>
        <w:t xml:space="preserve"> y la generación de proyectos de vida </w:t>
      </w:r>
      <w:r w:rsidR="00A957FC" w:rsidRPr="0035527D">
        <w:rPr>
          <w:b/>
          <w:bCs/>
        </w:rPr>
        <w:t xml:space="preserve">que tengan </w:t>
      </w:r>
      <w:r w:rsidRPr="0035527D">
        <w:rPr>
          <w:b/>
          <w:bCs/>
        </w:rPr>
        <w:t>en cuenta las consecuencias físicas, psicológicas y sociales que sufren las víctimas de trata;</w:t>
      </w:r>
    </w:p>
    <w:p w:rsidR="00065E65" w:rsidRPr="0035527D" w:rsidRDefault="00065E65" w:rsidP="00872DC4">
      <w:pPr>
        <w:pStyle w:val="SingleTxtG"/>
        <w:ind w:firstLine="567"/>
        <w:rPr>
          <w:b/>
          <w:bCs/>
        </w:rPr>
      </w:pPr>
      <w:r w:rsidRPr="0035527D">
        <w:rPr>
          <w:b/>
          <w:bCs/>
        </w:rPr>
        <w:t>h)</w:t>
      </w:r>
      <w:r w:rsidRPr="0035527D">
        <w:rPr>
          <w:b/>
          <w:bCs/>
        </w:rPr>
        <w:tab/>
      </w:r>
      <w:r w:rsidR="00A957FC" w:rsidRPr="0035527D">
        <w:rPr>
          <w:b/>
          <w:bCs/>
        </w:rPr>
        <w:t xml:space="preserve">La intensificación de </w:t>
      </w:r>
      <w:r w:rsidRPr="0035527D">
        <w:rPr>
          <w:b/>
          <w:bCs/>
        </w:rPr>
        <w:t xml:space="preserve">la cooperación internacional, regional y bilateral mediante acuerdos con los países de origen, tránsito y destino para prevenir la trata de personas. </w:t>
      </w:r>
    </w:p>
    <w:p w:rsidR="002E7601" w:rsidRPr="0035527D" w:rsidRDefault="00F620EC" w:rsidP="002E7601">
      <w:pPr>
        <w:pStyle w:val="SingleTxtG"/>
      </w:pPr>
      <w:r w:rsidRPr="0035527D">
        <w:t>40</w:t>
      </w:r>
      <w:r w:rsidR="004A7431" w:rsidRPr="0035527D">
        <w:t>.</w:t>
      </w:r>
      <w:r w:rsidR="004A7431" w:rsidRPr="0035527D">
        <w:tab/>
        <w:t xml:space="preserve">El Comité toma nota con beneplácito la información proporcionada sobre el proceso de regularización del estatus migratorio de los trabajadores migratorios en situación irregular en el Estado parte llevado a cabo del 14 de noviembre de 2008 y hasta el 14 de mayo </w:t>
      </w:r>
      <w:r w:rsidR="00A957FC" w:rsidRPr="0035527D">
        <w:t xml:space="preserve">de </w:t>
      </w:r>
      <w:r w:rsidR="004A7431" w:rsidRPr="0035527D">
        <w:t xml:space="preserve">2009. </w:t>
      </w:r>
      <w:r w:rsidR="002E7601" w:rsidRPr="0035527D">
        <w:t xml:space="preserve">Sin embargo, inquieta al Comité </w:t>
      </w:r>
      <w:r w:rsidR="000C47F7" w:rsidRPr="0035527D">
        <w:t xml:space="preserve">la falta de claridad sobre la situación de aquellos migrantes cuyas solicitudes no fueron admitidas en el proceso de regularización. </w:t>
      </w:r>
    </w:p>
    <w:p w:rsidR="002E7601" w:rsidRPr="0035527D" w:rsidRDefault="00F620EC" w:rsidP="005128C2">
      <w:pPr>
        <w:pStyle w:val="SingleTxtG"/>
        <w:rPr>
          <w:b/>
          <w:bCs/>
        </w:rPr>
      </w:pPr>
      <w:r w:rsidRPr="003916B1">
        <w:t>41</w:t>
      </w:r>
      <w:r w:rsidR="002E7601" w:rsidRPr="003916B1">
        <w:t>.</w:t>
      </w:r>
      <w:r w:rsidR="002E7601" w:rsidRPr="0035527D">
        <w:tab/>
      </w:r>
      <w:r w:rsidR="002E7601" w:rsidRPr="0035527D">
        <w:rPr>
          <w:b/>
          <w:bCs/>
        </w:rPr>
        <w:t xml:space="preserve">El Comité alienta al Estado parte a redoblar esfuerzos para diseñar, implementar y difundir </w:t>
      </w:r>
      <w:r w:rsidR="005128C2" w:rsidRPr="0035527D">
        <w:rPr>
          <w:b/>
          <w:bCs/>
        </w:rPr>
        <w:t xml:space="preserve">procesos </w:t>
      </w:r>
      <w:r w:rsidR="002E7601" w:rsidRPr="0035527D">
        <w:rPr>
          <w:b/>
          <w:bCs/>
        </w:rPr>
        <w:t>integral</w:t>
      </w:r>
      <w:r w:rsidR="005128C2" w:rsidRPr="0035527D">
        <w:rPr>
          <w:b/>
          <w:bCs/>
        </w:rPr>
        <w:t>es</w:t>
      </w:r>
      <w:r w:rsidR="002E7601" w:rsidRPr="0035527D">
        <w:rPr>
          <w:b/>
          <w:bCs/>
        </w:rPr>
        <w:t xml:space="preserve"> de regularización migratoria </w:t>
      </w:r>
      <w:r w:rsidR="005128C2" w:rsidRPr="0035527D">
        <w:rPr>
          <w:b/>
          <w:bCs/>
        </w:rPr>
        <w:t xml:space="preserve">de fácil acceso </w:t>
      </w:r>
      <w:r w:rsidR="002E7601" w:rsidRPr="0035527D">
        <w:rPr>
          <w:b/>
          <w:bCs/>
        </w:rPr>
        <w:t xml:space="preserve">para los trabajadores migratorios y sus familiares en situación irregular, </w:t>
      </w:r>
      <w:r w:rsidR="005128C2" w:rsidRPr="0035527D">
        <w:rPr>
          <w:b/>
          <w:bCs/>
        </w:rPr>
        <w:t xml:space="preserve">y que cumplan </w:t>
      </w:r>
      <w:r w:rsidR="002E7601" w:rsidRPr="0035527D">
        <w:rPr>
          <w:b/>
          <w:bCs/>
        </w:rPr>
        <w:t>con el principio de no discriminación.</w:t>
      </w:r>
      <w:r w:rsidR="005128C2" w:rsidRPr="0035527D">
        <w:rPr>
          <w:b/>
          <w:bCs/>
        </w:rPr>
        <w:t xml:space="preserve"> </w:t>
      </w:r>
    </w:p>
    <w:p w:rsidR="00035EF0" w:rsidRPr="0035527D" w:rsidRDefault="00525414" w:rsidP="00525414">
      <w:pPr>
        <w:pStyle w:val="H23G"/>
      </w:pPr>
      <w:r w:rsidRPr="0035527D">
        <w:tab/>
      </w:r>
      <w:r w:rsidR="00100590" w:rsidRPr="0035527D">
        <w:t>5</w:t>
      </w:r>
      <w:r w:rsidRPr="0035527D">
        <w:t>.</w:t>
      </w:r>
      <w:r w:rsidRPr="0035527D">
        <w:tab/>
      </w:r>
      <w:r w:rsidR="00035EF0" w:rsidRPr="0035527D">
        <w:t>Seguimiento y difusión</w:t>
      </w:r>
    </w:p>
    <w:p w:rsidR="00035EF0" w:rsidRPr="0035527D" w:rsidRDefault="00035EF0" w:rsidP="00525414">
      <w:pPr>
        <w:pStyle w:val="H23G"/>
        <w:rPr>
          <w:szCs w:val="24"/>
        </w:rPr>
      </w:pPr>
      <w:r w:rsidRPr="0035527D">
        <w:tab/>
      </w:r>
      <w:r w:rsidR="00525414" w:rsidRPr="0035527D">
        <w:tab/>
      </w:r>
      <w:r w:rsidRPr="0035527D">
        <w:t>Seguimiento</w:t>
      </w:r>
    </w:p>
    <w:p w:rsidR="00035EF0" w:rsidRPr="0035527D" w:rsidRDefault="00F620EC" w:rsidP="00ED1EEF">
      <w:pPr>
        <w:pStyle w:val="SingleTxtG"/>
        <w:rPr>
          <w:b/>
          <w:bCs/>
        </w:rPr>
      </w:pPr>
      <w:r w:rsidRPr="003916B1">
        <w:t>42</w:t>
      </w:r>
      <w:r w:rsidR="00525414" w:rsidRPr="003916B1">
        <w:t>.</w:t>
      </w:r>
      <w:r w:rsidR="00525414" w:rsidRPr="0035527D">
        <w:tab/>
      </w:r>
      <w:r w:rsidR="00035EF0" w:rsidRPr="0035527D">
        <w:rPr>
          <w:b/>
          <w:bCs/>
        </w:rPr>
        <w:t xml:space="preserve">El Comité pide al Estado parte que, en su </w:t>
      </w:r>
      <w:r w:rsidR="007C13E7" w:rsidRPr="0035527D">
        <w:rPr>
          <w:b/>
          <w:bCs/>
        </w:rPr>
        <w:t>tercer</w:t>
      </w:r>
      <w:r w:rsidR="00736AAE" w:rsidRPr="0035527D">
        <w:rPr>
          <w:b/>
          <w:bCs/>
        </w:rPr>
        <w:t xml:space="preserve"> </w:t>
      </w:r>
      <w:r w:rsidR="00035EF0" w:rsidRPr="0035527D">
        <w:rPr>
          <w:b/>
          <w:bCs/>
        </w:rPr>
        <w:t>informe periódico, proporcione información detallada sobre las medidas que haya adoptado para dar cumplimiento a las recomendaciones formuladas en las presentes observaciones finales.</w:t>
      </w:r>
      <w:r w:rsidR="00DC40D7" w:rsidRPr="0035527D">
        <w:rPr>
          <w:b/>
          <w:bCs/>
        </w:rPr>
        <w:t xml:space="preserve"> </w:t>
      </w:r>
      <w:r w:rsidR="00035EF0" w:rsidRPr="0035527D">
        <w:rPr>
          <w:b/>
          <w:bCs/>
        </w:rPr>
        <w:t>El Comité recomienda al Estado parte que tome todas las disposiciones apropiadas para que se apliquen las presentes recomendaciones, entre otras cosas, transmitiéndolas a</w:t>
      </w:r>
      <w:r w:rsidR="0001017C" w:rsidRPr="0035527D">
        <w:rPr>
          <w:b/>
          <w:bCs/>
        </w:rPr>
        <w:t>l Congreso</w:t>
      </w:r>
      <w:r w:rsidR="00035EF0" w:rsidRPr="0035527D">
        <w:rPr>
          <w:b/>
          <w:bCs/>
        </w:rPr>
        <w:t>, así como a las autoridades locales, para que las examinen y se adopten las medidas pertinentes.</w:t>
      </w:r>
    </w:p>
    <w:p w:rsidR="00035EF0" w:rsidRPr="0035527D" w:rsidRDefault="00525414" w:rsidP="00525414">
      <w:pPr>
        <w:pStyle w:val="H23G"/>
        <w:rPr>
          <w:szCs w:val="24"/>
        </w:rPr>
      </w:pPr>
      <w:r w:rsidRPr="0035527D">
        <w:tab/>
      </w:r>
      <w:r w:rsidR="00035EF0" w:rsidRPr="0035527D">
        <w:tab/>
        <w:t>Difusión</w:t>
      </w:r>
    </w:p>
    <w:p w:rsidR="00035EF0" w:rsidRPr="0035527D" w:rsidRDefault="00023365" w:rsidP="00035EF0">
      <w:pPr>
        <w:pStyle w:val="SingleTxtG"/>
      </w:pPr>
      <w:r w:rsidRPr="003916B1">
        <w:t>4</w:t>
      </w:r>
      <w:r w:rsidR="00F620EC" w:rsidRPr="003916B1">
        <w:t>3</w:t>
      </w:r>
      <w:r w:rsidR="00525414" w:rsidRPr="003916B1">
        <w:t>.</w:t>
      </w:r>
      <w:r w:rsidR="00525414" w:rsidRPr="0035527D">
        <w:tab/>
      </w:r>
      <w:r w:rsidR="00035EF0" w:rsidRPr="0035527D">
        <w:rPr>
          <w:b/>
          <w:bCs/>
        </w:rPr>
        <w:t>El Comité pide asimismo al Estado parte que difunda las presentes observaciones finales, en especial a los organismos públicos</w:t>
      </w:r>
      <w:r w:rsidR="000E5767" w:rsidRPr="0035527D">
        <w:rPr>
          <w:b/>
          <w:bCs/>
        </w:rPr>
        <w:t>,</w:t>
      </w:r>
      <w:r w:rsidR="00035EF0" w:rsidRPr="0035527D">
        <w:rPr>
          <w:b/>
          <w:bCs/>
        </w:rPr>
        <w:t xml:space="preserve"> al poder judicial</w:t>
      </w:r>
      <w:r w:rsidR="000E5767" w:rsidRPr="0035527D">
        <w:rPr>
          <w:b/>
          <w:bCs/>
        </w:rPr>
        <w:t xml:space="preserve"> y a</w:t>
      </w:r>
      <w:r w:rsidR="00035EF0" w:rsidRPr="0035527D">
        <w:rPr>
          <w:b/>
          <w:bCs/>
        </w:rPr>
        <w:t xml:space="preserve"> las organizaciones no gubernamentales y demás integrantes de la sociedad civil, </w:t>
      </w:r>
      <w:r w:rsidR="0048169D" w:rsidRPr="0035527D">
        <w:rPr>
          <w:b/>
          <w:bCs/>
        </w:rPr>
        <w:t>así como a las universidades y público en general</w:t>
      </w:r>
      <w:r w:rsidR="0033098A" w:rsidRPr="0035527D">
        <w:rPr>
          <w:b/>
          <w:bCs/>
        </w:rPr>
        <w:t>,</w:t>
      </w:r>
      <w:r w:rsidR="0048169D" w:rsidRPr="0035527D">
        <w:rPr>
          <w:b/>
          <w:bCs/>
        </w:rPr>
        <w:t xml:space="preserve"> </w:t>
      </w:r>
      <w:r w:rsidR="00035EF0" w:rsidRPr="0035527D">
        <w:rPr>
          <w:b/>
          <w:bCs/>
        </w:rPr>
        <w:t xml:space="preserve">y que adopte las medidas necesarias para darlas a conocer a los trabajadores migratorios </w:t>
      </w:r>
      <w:r w:rsidR="002C78F2" w:rsidRPr="0035527D">
        <w:rPr>
          <w:b/>
          <w:bCs/>
        </w:rPr>
        <w:t xml:space="preserve">colombianos </w:t>
      </w:r>
      <w:r w:rsidR="00035EF0" w:rsidRPr="0035527D">
        <w:rPr>
          <w:b/>
          <w:bCs/>
        </w:rPr>
        <w:t xml:space="preserve">en el exterior y a los trabajadores migratorios extranjeros en tránsito o residentes en </w:t>
      </w:r>
      <w:r w:rsidR="005128C2" w:rsidRPr="0035527D">
        <w:rPr>
          <w:b/>
          <w:bCs/>
        </w:rPr>
        <w:t>Colombia</w:t>
      </w:r>
      <w:r w:rsidR="00035EF0" w:rsidRPr="0035527D">
        <w:rPr>
          <w:b/>
          <w:bCs/>
        </w:rPr>
        <w:t>.</w:t>
      </w:r>
    </w:p>
    <w:p w:rsidR="00035EF0" w:rsidRPr="0035527D" w:rsidRDefault="00525414" w:rsidP="00525414">
      <w:pPr>
        <w:pStyle w:val="H23G"/>
        <w:rPr>
          <w:szCs w:val="24"/>
        </w:rPr>
      </w:pPr>
      <w:r w:rsidRPr="0035527D">
        <w:tab/>
      </w:r>
      <w:r w:rsidR="00100590" w:rsidRPr="0035527D">
        <w:t>6</w:t>
      </w:r>
      <w:r w:rsidR="00035EF0" w:rsidRPr="0035527D">
        <w:t>.</w:t>
      </w:r>
      <w:r w:rsidR="00035EF0" w:rsidRPr="0035527D">
        <w:tab/>
        <w:t>Próximo informe periódico</w:t>
      </w:r>
    </w:p>
    <w:p w:rsidR="00035EF0" w:rsidRPr="0035527D" w:rsidRDefault="00023365" w:rsidP="00520B68">
      <w:pPr>
        <w:pStyle w:val="SingleTxtG"/>
        <w:rPr>
          <w:b/>
          <w:bCs/>
        </w:rPr>
      </w:pPr>
      <w:r w:rsidRPr="003916B1">
        <w:t>4</w:t>
      </w:r>
      <w:r w:rsidR="00F620EC" w:rsidRPr="003916B1">
        <w:t>4</w:t>
      </w:r>
      <w:r w:rsidR="00525414" w:rsidRPr="003916B1">
        <w:t>.</w:t>
      </w:r>
      <w:r w:rsidR="00525414" w:rsidRPr="0035527D">
        <w:tab/>
      </w:r>
      <w:r w:rsidR="00035EF0" w:rsidRPr="0035527D">
        <w:rPr>
          <w:b/>
          <w:bCs/>
        </w:rPr>
        <w:t xml:space="preserve">El Comité pide al Estado parte que presente su </w:t>
      </w:r>
      <w:r w:rsidR="005128C2" w:rsidRPr="0035527D">
        <w:rPr>
          <w:b/>
          <w:bCs/>
        </w:rPr>
        <w:t>tercer</w:t>
      </w:r>
      <w:r w:rsidR="00592D96" w:rsidRPr="0035527D">
        <w:rPr>
          <w:b/>
          <w:bCs/>
        </w:rPr>
        <w:t xml:space="preserve"> </w:t>
      </w:r>
      <w:r w:rsidR="00035EF0" w:rsidRPr="0035527D">
        <w:rPr>
          <w:b/>
          <w:bCs/>
        </w:rPr>
        <w:t>informe periódico a más tardar el 1</w:t>
      </w:r>
      <w:r w:rsidR="000E5767" w:rsidRPr="0035527D">
        <w:rPr>
          <w:b/>
          <w:bCs/>
        </w:rPr>
        <w:t>º</w:t>
      </w:r>
      <w:r w:rsidR="00035EF0" w:rsidRPr="0035527D">
        <w:rPr>
          <w:b/>
          <w:bCs/>
        </w:rPr>
        <w:t xml:space="preserve"> de </w:t>
      </w:r>
      <w:r w:rsidR="005128C2" w:rsidRPr="0035527D">
        <w:rPr>
          <w:b/>
          <w:bCs/>
        </w:rPr>
        <w:t>mayo</w:t>
      </w:r>
      <w:r w:rsidR="00035EF0" w:rsidRPr="0035527D">
        <w:rPr>
          <w:b/>
          <w:bCs/>
        </w:rPr>
        <w:t xml:space="preserve"> de </w:t>
      </w:r>
      <w:r w:rsidR="00520B68" w:rsidRPr="0035527D">
        <w:rPr>
          <w:b/>
          <w:bCs/>
        </w:rPr>
        <w:t>201</w:t>
      </w:r>
      <w:r w:rsidR="005128C2" w:rsidRPr="0035527D">
        <w:rPr>
          <w:b/>
          <w:bCs/>
        </w:rPr>
        <w:t>8</w:t>
      </w:r>
      <w:r w:rsidR="00035EF0" w:rsidRPr="0035527D">
        <w:rPr>
          <w:b/>
          <w:bCs/>
        </w:rPr>
        <w:t>.</w:t>
      </w:r>
      <w:r w:rsidR="007C13E7" w:rsidRPr="0035527D">
        <w:rPr>
          <w:b/>
          <w:bCs/>
        </w:rPr>
        <w:t xml:space="preserve"> </w:t>
      </w:r>
      <w:r w:rsidR="00B80ADB" w:rsidRPr="0035527D">
        <w:rPr>
          <w:rStyle w:val="hps"/>
          <w:b/>
        </w:rPr>
        <w:t>Alternativamente</w:t>
      </w:r>
      <w:r w:rsidR="007C13E7" w:rsidRPr="0035527D">
        <w:rPr>
          <w:b/>
        </w:rPr>
        <w:t xml:space="preserve">, el Estado </w:t>
      </w:r>
      <w:r w:rsidR="00A957FC" w:rsidRPr="0035527D">
        <w:rPr>
          <w:rStyle w:val="hps"/>
          <w:b/>
        </w:rPr>
        <w:t>p</w:t>
      </w:r>
      <w:r w:rsidR="007C13E7" w:rsidRPr="0035527D">
        <w:rPr>
          <w:rStyle w:val="hps"/>
          <w:b/>
        </w:rPr>
        <w:t>arte podría</w:t>
      </w:r>
      <w:r w:rsidR="007C13E7" w:rsidRPr="0035527D">
        <w:rPr>
          <w:b/>
        </w:rPr>
        <w:t xml:space="preserve"> </w:t>
      </w:r>
      <w:r w:rsidR="007C13E7" w:rsidRPr="0035527D">
        <w:rPr>
          <w:rStyle w:val="hps"/>
          <w:b/>
        </w:rPr>
        <w:t>acogerse al</w:t>
      </w:r>
      <w:r w:rsidR="007C13E7" w:rsidRPr="0035527D">
        <w:rPr>
          <w:b/>
        </w:rPr>
        <w:t xml:space="preserve"> </w:t>
      </w:r>
      <w:r w:rsidR="007C13E7" w:rsidRPr="0035527D">
        <w:rPr>
          <w:rStyle w:val="hps"/>
          <w:b/>
        </w:rPr>
        <w:t>procedimiento para la</w:t>
      </w:r>
      <w:r w:rsidR="007C13E7" w:rsidRPr="0035527D">
        <w:rPr>
          <w:b/>
        </w:rPr>
        <w:t xml:space="preserve"> </w:t>
      </w:r>
      <w:r w:rsidR="007C13E7" w:rsidRPr="0035527D">
        <w:rPr>
          <w:rStyle w:val="hps"/>
          <w:b/>
        </w:rPr>
        <w:t>presentación de informes simplificado</w:t>
      </w:r>
      <w:r w:rsidR="007C13E7" w:rsidRPr="0035527D">
        <w:rPr>
          <w:b/>
        </w:rPr>
        <w:t xml:space="preserve">, </w:t>
      </w:r>
      <w:r w:rsidR="005B2118" w:rsidRPr="0035527D">
        <w:rPr>
          <w:rStyle w:val="hps"/>
          <w:b/>
        </w:rPr>
        <w:t>conforme al</w:t>
      </w:r>
      <w:r w:rsidR="007C13E7" w:rsidRPr="0035527D">
        <w:rPr>
          <w:rStyle w:val="hps"/>
          <w:b/>
        </w:rPr>
        <w:t xml:space="preserve"> cual</w:t>
      </w:r>
      <w:r w:rsidR="005B2118" w:rsidRPr="0035527D">
        <w:rPr>
          <w:rStyle w:val="hps"/>
          <w:b/>
        </w:rPr>
        <w:t>, el</w:t>
      </w:r>
      <w:r w:rsidR="007C13E7" w:rsidRPr="0035527D">
        <w:rPr>
          <w:b/>
        </w:rPr>
        <w:t xml:space="preserve"> </w:t>
      </w:r>
      <w:r w:rsidR="007C13E7" w:rsidRPr="0035527D">
        <w:rPr>
          <w:rStyle w:val="hps"/>
          <w:b/>
        </w:rPr>
        <w:t xml:space="preserve">Comité </w:t>
      </w:r>
      <w:r w:rsidR="005B2118" w:rsidRPr="0035527D">
        <w:rPr>
          <w:rStyle w:val="hps"/>
          <w:b/>
        </w:rPr>
        <w:t>elabora</w:t>
      </w:r>
      <w:r w:rsidR="007C13E7" w:rsidRPr="0035527D">
        <w:rPr>
          <w:b/>
        </w:rPr>
        <w:t xml:space="preserve"> </w:t>
      </w:r>
      <w:r w:rsidR="005B2118" w:rsidRPr="0035527D">
        <w:rPr>
          <w:b/>
        </w:rPr>
        <w:t xml:space="preserve">una </w:t>
      </w:r>
      <w:r w:rsidR="007C13E7" w:rsidRPr="0035527D">
        <w:rPr>
          <w:rStyle w:val="hps"/>
          <w:b/>
        </w:rPr>
        <w:t>lista de cuestiones</w:t>
      </w:r>
      <w:r w:rsidR="007C13E7" w:rsidRPr="0035527D">
        <w:rPr>
          <w:b/>
        </w:rPr>
        <w:t xml:space="preserve"> </w:t>
      </w:r>
      <w:r w:rsidR="005B2118" w:rsidRPr="0035527D">
        <w:rPr>
          <w:rStyle w:val="hps"/>
          <w:b/>
        </w:rPr>
        <w:t>que es después transmitida</w:t>
      </w:r>
      <w:r w:rsidR="007C13E7" w:rsidRPr="0035527D">
        <w:rPr>
          <w:b/>
        </w:rPr>
        <w:t xml:space="preserve"> </w:t>
      </w:r>
      <w:r w:rsidR="007C13E7" w:rsidRPr="0035527D">
        <w:rPr>
          <w:rStyle w:val="hps"/>
          <w:b/>
        </w:rPr>
        <w:t xml:space="preserve">al Estado </w:t>
      </w:r>
      <w:r w:rsidR="00A957FC" w:rsidRPr="0035527D">
        <w:rPr>
          <w:rStyle w:val="hps"/>
          <w:b/>
        </w:rPr>
        <w:t>p</w:t>
      </w:r>
      <w:r w:rsidR="007C13E7" w:rsidRPr="0035527D">
        <w:rPr>
          <w:rStyle w:val="hps"/>
          <w:b/>
        </w:rPr>
        <w:t>arte</w:t>
      </w:r>
      <w:r w:rsidR="007C13E7" w:rsidRPr="0035527D">
        <w:rPr>
          <w:b/>
        </w:rPr>
        <w:t xml:space="preserve"> </w:t>
      </w:r>
      <w:r w:rsidR="005B2118" w:rsidRPr="0035527D">
        <w:rPr>
          <w:rStyle w:val="hps"/>
          <w:b/>
        </w:rPr>
        <w:t>para</w:t>
      </w:r>
      <w:r w:rsidR="007C13E7" w:rsidRPr="0035527D">
        <w:rPr>
          <w:rStyle w:val="hps"/>
          <w:b/>
        </w:rPr>
        <w:t xml:space="preserve"> </w:t>
      </w:r>
      <w:r w:rsidR="005B2118" w:rsidRPr="0035527D">
        <w:rPr>
          <w:rStyle w:val="hps"/>
          <w:b/>
        </w:rPr>
        <w:t xml:space="preserve">ser </w:t>
      </w:r>
      <w:r w:rsidR="007C13E7" w:rsidRPr="0035527D">
        <w:rPr>
          <w:rStyle w:val="hps"/>
          <w:b/>
        </w:rPr>
        <w:t>resp</w:t>
      </w:r>
      <w:r w:rsidR="005B2118" w:rsidRPr="0035527D">
        <w:rPr>
          <w:rStyle w:val="hps"/>
          <w:b/>
        </w:rPr>
        <w:t>ondida</w:t>
      </w:r>
      <w:r w:rsidR="007C13E7" w:rsidRPr="0035527D">
        <w:rPr>
          <w:rStyle w:val="hps"/>
          <w:b/>
        </w:rPr>
        <w:t>.</w:t>
      </w:r>
      <w:r w:rsidR="007C13E7" w:rsidRPr="0035527D">
        <w:rPr>
          <w:b/>
        </w:rPr>
        <w:t xml:space="preserve"> </w:t>
      </w:r>
      <w:r w:rsidR="007C13E7" w:rsidRPr="0035527D">
        <w:rPr>
          <w:rStyle w:val="hps"/>
          <w:b/>
        </w:rPr>
        <w:t>Las respuestas del</w:t>
      </w:r>
      <w:r w:rsidR="007C13E7" w:rsidRPr="0035527D">
        <w:rPr>
          <w:b/>
        </w:rPr>
        <w:t xml:space="preserve"> </w:t>
      </w:r>
      <w:r w:rsidR="007C13E7" w:rsidRPr="0035527D">
        <w:rPr>
          <w:rStyle w:val="hps"/>
          <w:b/>
        </w:rPr>
        <w:t xml:space="preserve">Estado </w:t>
      </w:r>
      <w:r w:rsidR="00A957FC" w:rsidRPr="0035527D">
        <w:rPr>
          <w:rStyle w:val="hps"/>
          <w:b/>
        </w:rPr>
        <w:t>p</w:t>
      </w:r>
      <w:r w:rsidR="007C13E7" w:rsidRPr="0035527D">
        <w:rPr>
          <w:rStyle w:val="hps"/>
          <w:b/>
        </w:rPr>
        <w:t>arte a</w:t>
      </w:r>
      <w:r w:rsidR="007C13E7" w:rsidRPr="0035527D">
        <w:rPr>
          <w:b/>
        </w:rPr>
        <w:t xml:space="preserve"> </w:t>
      </w:r>
      <w:r w:rsidR="007C13E7" w:rsidRPr="0035527D">
        <w:rPr>
          <w:rStyle w:val="hps"/>
          <w:b/>
        </w:rPr>
        <w:t>la lista de cuestiones</w:t>
      </w:r>
      <w:r w:rsidR="007C13E7" w:rsidRPr="0035527D">
        <w:rPr>
          <w:b/>
        </w:rPr>
        <w:t xml:space="preserve"> </w:t>
      </w:r>
      <w:r w:rsidR="007C13E7" w:rsidRPr="0035527D">
        <w:rPr>
          <w:rStyle w:val="hps"/>
          <w:b/>
        </w:rPr>
        <w:t>constitu</w:t>
      </w:r>
      <w:r w:rsidR="00A957FC" w:rsidRPr="0035527D">
        <w:rPr>
          <w:rStyle w:val="hps"/>
          <w:b/>
        </w:rPr>
        <w:t>irá</w:t>
      </w:r>
      <w:r w:rsidR="007C13E7" w:rsidRPr="0035527D">
        <w:rPr>
          <w:rStyle w:val="hps"/>
          <w:b/>
        </w:rPr>
        <w:t>n</w:t>
      </w:r>
      <w:r w:rsidR="007C13E7" w:rsidRPr="0035527D">
        <w:rPr>
          <w:b/>
        </w:rPr>
        <w:t xml:space="preserve"> </w:t>
      </w:r>
      <w:r w:rsidR="007C13E7" w:rsidRPr="0035527D">
        <w:rPr>
          <w:rStyle w:val="hps"/>
          <w:b/>
        </w:rPr>
        <w:t>el informe del</w:t>
      </w:r>
      <w:r w:rsidR="007C13E7" w:rsidRPr="0035527D">
        <w:rPr>
          <w:b/>
        </w:rPr>
        <w:t xml:space="preserve"> </w:t>
      </w:r>
      <w:r w:rsidR="007C13E7" w:rsidRPr="0035527D">
        <w:rPr>
          <w:rStyle w:val="hps"/>
          <w:b/>
        </w:rPr>
        <w:t>Estado Parte</w:t>
      </w:r>
      <w:r w:rsidR="007C13E7" w:rsidRPr="0035527D">
        <w:rPr>
          <w:b/>
        </w:rPr>
        <w:t xml:space="preserve"> </w:t>
      </w:r>
      <w:r w:rsidR="007C13E7" w:rsidRPr="0035527D">
        <w:rPr>
          <w:rStyle w:val="hps"/>
          <w:b/>
        </w:rPr>
        <w:t>en virtud del artículo</w:t>
      </w:r>
      <w:r w:rsidR="007C13E7" w:rsidRPr="0035527D">
        <w:rPr>
          <w:b/>
        </w:rPr>
        <w:t xml:space="preserve"> </w:t>
      </w:r>
      <w:r w:rsidR="007C13E7" w:rsidRPr="0035527D">
        <w:rPr>
          <w:rStyle w:val="hps"/>
          <w:b/>
        </w:rPr>
        <w:t>73 de la Convención</w:t>
      </w:r>
      <w:r w:rsidR="007C13E7" w:rsidRPr="0035527D">
        <w:rPr>
          <w:b/>
        </w:rPr>
        <w:t xml:space="preserve">, </w:t>
      </w:r>
      <w:r w:rsidR="007C13E7" w:rsidRPr="0035527D">
        <w:rPr>
          <w:rStyle w:val="hps"/>
          <w:b/>
        </w:rPr>
        <w:t>sin la</w:t>
      </w:r>
      <w:r w:rsidR="007C13E7" w:rsidRPr="0035527D">
        <w:rPr>
          <w:b/>
        </w:rPr>
        <w:t xml:space="preserve"> </w:t>
      </w:r>
      <w:r w:rsidR="007C13E7" w:rsidRPr="0035527D">
        <w:rPr>
          <w:rStyle w:val="hps"/>
          <w:b/>
        </w:rPr>
        <w:t>necesidad de un</w:t>
      </w:r>
      <w:r w:rsidR="007C13E7" w:rsidRPr="0035527D">
        <w:rPr>
          <w:b/>
        </w:rPr>
        <w:t xml:space="preserve"> </w:t>
      </w:r>
      <w:r w:rsidR="007C13E7" w:rsidRPr="0035527D">
        <w:rPr>
          <w:rStyle w:val="hps"/>
          <w:b/>
        </w:rPr>
        <w:t>informe periódico</w:t>
      </w:r>
      <w:r w:rsidR="007C13E7" w:rsidRPr="0035527D">
        <w:rPr>
          <w:b/>
        </w:rPr>
        <w:t xml:space="preserve"> </w:t>
      </w:r>
      <w:r w:rsidR="007C13E7" w:rsidRPr="0035527D">
        <w:rPr>
          <w:rStyle w:val="hps"/>
          <w:b/>
        </w:rPr>
        <w:t>tradicional</w:t>
      </w:r>
      <w:r w:rsidR="007C13E7" w:rsidRPr="0035527D">
        <w:rPr>
          <w:b/>
        </w:rPr>
        <w:t xml:space="preserve"> </w:t>
      </w:r>
      <w:r w:rsidR="0033098A" w:rsidRPr="0035527D">
        <w:rPr>
          <w:rStyle w:val="hps"/>
          <w:b/>
        </w:rPr>
        <w:t>que sea</w:t>
      </w:r>
      <w:r w:rsidR="007C13E7" w:rsidRPr="0035527D">
        <w:rPr>
          <w:b/>
        </w:rPr>
        <w:t xml:space="preserve"> </w:t>
      </w:r>
      <w:r w:rsidR="007C13E7" w:rsidRPr="0035527D">
        <w:rPr>
          <w:rStyle w:val="hps"/>
          <w:b/>
        </w:rPr>
        <w:t>presentado por el</w:t>
      </w:r>
      <w:r w:rsidR="007C13E7" w:rsidRPr="0035527D">
        <w:rPr>
          <w:b/>
        </w:rPr>
        <w:t xml:space="preserve"> </w:t>
      </w:r>
      <w:r w:rsidR="007C13E7" w:rsidRPr="0035527D">
        <w:rPr>
          <w:rStyle w:val="hps"/>
          <w:b/>
        </w:rPr>
        <w:t>Estado Parte.</w:t>
      </w:r>
      <w:r w:rsidR="007C13E7" w:rsidRPr="0035527D">
        <w:rPr>
          <w:b/>
        </w:rPr>
        <w:t xml:space="preserve"> </w:t>
      </w:r>
      <w:r w:rsidR="007C13E7" w:rsidRPr="0035527D">
        <w:rPr>
          <w:rStyle w:val="hps"/>
          <w:b/>
        </w:rPr>
        <w:t>Este</w:t>
      </w:r>
      <w:r w:rsidR="007C13E7" w:rsidRPr="0035527D">
        <w:rPr>
          <w:b/>
        </w:rPr>
        <w:t xml:space="preserve"> </w:t>
      </w:r>
      <w:r w:rsidR="007C13E7" w:rsidRPr="0035527D">
        <w:rPr>
          <w:rStyle w:val="hps"/>
          <w:b/>
        </w:rPr>
        <w:t xml:space="preserve">nuevo procedimiento </w:t>
      </w:r>
      <w:r w:rsidR="005B2118" w:rsidRPr="0035527D">
        <w:rPr>
          <w:rStyle w:val="hps"/>
          <w:b/>
        </w:rPr>
        <w:t>opcional</w:t>
      </w:r>
      <w:r w:rsidR="007C13E7" w:rsidRPr="0035527D">
        <w:rPr>
          <w:b/>
        </w:rPr>
        <w:t xml:space="preserve"> </w:t>
      </w:r>
      <w:r w:rsidR="007C13E7" w:rsidRPr="0035527D">
        <w:rPr>
          <w:rStyle w:val="hps"/>
          <w:b/>
        </w:rPr>
        <w:t>fue adoptad</w:t>
      </w:r>
      <w:r w:rsidR="005B2118" w:rsidRPr="0035527D">
        <w:rPr>
          <w:rStyle w:val="hps"/>
          <w:b/>
        </w:rPr>
        <w:t>o</w:t>
      </w:r>
      <w:r w:rsidR="007C13E7" w:rsidRPr="0035527D">
        <w:rPr>
          <w:rStyle w:val="hps"/>
          <w:b/>
        </w:rPr>
        <w:t xml:space="preserve"> por</w:t>
      </w:r>
      <w:r w:rsidR="007C13E7" w:rsidRPr="0035527D">
        <w:rPr>
          <w:b/>
        </w:rPr>
        <w:t xml:space="preserve"> </w:t>
      </w:r>
      <w:r w:rsidR="007C13E7" w:rsidRPr="0035527D">
        <w:rPr>
          <w:rStyle w:val="hps"/>
          <w:b/>
        </w:rPr>
        <w:t>el Comité en su</w:t>
      </w:r>
      <w:r w:rsidR="007C13E7" w:rsidRPr="0035527D">
        <w:rPr>
          <w:b/>
        </w:rPr>
        <w:t xml:space="preserve"> </w:t>
      </w:r>
      <w:r w:rsidR="00A957FC" w:rsidRPr="0035527D">
        <w:rPr>
          <w:rStyle w:val="hps"/>
          <w:b/>
        </w:rPr>
        <w:t>14º</w:t>
      </w:r>
      <w:r w:rsidR="007C13E7" w:rsidRPr="0035527D">
        <w:rPr>
          <w:rStyle w:val="hps"/>
          <w:b/>
        </w:rPr>
        <w:t xml:space="preserve"> período de sesiones</w:t>
      </w:r>
      <w:r w:rsidR="007C13E7" w:rsidRPr="0035527D">
        <w:rPr>
          <w:b/>
        </w:rPr>
        <w:t xml:space="preserve">, en abril de </w:t>
      </w:r>
      <w:r w:rsidR="007C13E7" w:rsidRPr="0035527D">
        <w:rPr>
          <w:rStyle w:val="hps"/>
          <w:b/>
        </w:rPr>
        <w:t>2011 (</w:t>
      </w:r>
      <w:r w:rsidR="0033098A" w:rsidRPr="0035527D">
        <w:rPr>
          <w:rStyle w:val="hps"/>
          <w:b/>
        </w:rPr>
        <w:t xml:space="preserve">véase </w:t>
      </w:r>
      <w:r w:rsidR="007C13E7" w:rsidRPr="0035527D">
        <w:rPr>
          <w:b/>
        </w:rPr>
        <w:t>A/66/48</w:t>
      </w:r>
      <w:r w:rsidR="00A957FC" w:rsidRPr="0035527D">
        <w:rPr>
          <w:b/>
        </w:rPr>
        <w:t>, párr. 26</w:t>
      </w:r>
      <w:r w:rsidR="007C13E7" w:rsidRPr="0035527D">
        <w:rPr>
          <w:b/>
        </w:rPr>
        <w:t>).</w:t>
      </w:r>
    </w:p>
    <w:p w:rsidR="00035EF0" w:rsidRPr="0035527D" w:rsidRDefault="009843A2" w:rsidP="009843A2">
      <w:pPr>
        <w:pStyle w:val="SingleTxtG"/>
        <w:spacing w:before="240" w:after="0"/>
        <w:jc w:val="center"/>
        <w:rPr>
          <w:u w:val="single"/>
        </w:rPr>
      </w:pPr>
      <w:r w:rsidRPr="0035527D">
        <w:rPr>
          <w:u w:val="single"/>
        </w:rPr>
        <w:tab/>
      </w:r>
      <w:r w:rsidRPr="0035527D">
        <w:rPr>
          <w:u w:val="single"/>
        </w:rPr>
        <w:tab/>
      </w:r>
      <w:r w:rsidRPr="0035527D">
        <w:rPr>
          <w:u w:val="single"/>
        </w:rPr>
        <w:tab/>
      </w:r>
    </w:p>
    <w:sectPr w:rsidR="00035EF0" w:rsidRPr="0035527D" w:rsidSect="00035EF0">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182" w:rsidRDefault="00D76182"/>
  </w:endnote>
  <w:endnote w:type="continuationSeparator" w:id="0">
    <w:p w:rsidR="00D76182" w:rsidRDefault="00D76182"/>
  </w:endnote>
  <w:endnote w:type="continuationNotice" w:id="1">
    <w:p w:rsidR="00D76182" w:rsidRDefault="00D7618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552" w:rsidRPr="00035EF0" w:rsidRDefault="00FC3552" w:rsidP="00792313">
    <w:pPr>
      <w:pStyle w:val="Footer"/>
      <w:tabs>
        <w:tab w:val="right" w:pos="9638"/>
      </w:tabs>
    </w:pPr>
    <w:r w:rsidRPr="00035EF0">
      <w:rPr>
        <w:sz w:val="18"/>
      </w:rPr>
      <w:fldChar w:fldCharType="begin"/>
    </w:r>
    <w:r w:rsidRPr="00035EF0">
      <w:rPr>
        <w:sz w:val="18"/>
      </w:rPr>
      <w:instrText xml:space="preserve"> PAGE  \* MERGEFORMAT </w:instrText>
    </w:r>
    <w:r w:rsidRPr="00035EF0">
      <w:rPr>
        <w:sz w:val="18"/>
      </w:rPr>
      <w:fldChar w:fldCharType="separate"/>
    </w:r>
    <w:r w:rsidR="00E657CC">
      <w:rPr>
        <w:noProof/>
        <w:sz w:val="18"/>
      </w:rPr>
      <w:t>2</w:t>
    </w:r>
    <w:r w:rsidRPr="00035EF0">
      <w:rPr>
        <w:sz w:val="18"/>
      </w:rPr>
      <w:fldChar w:fldCharType="end"/>
    </w:r>
    <w:r>
      <w:rPr>
        <w:b/>
        <w:sz w:val="18"/>
      </w:rPr>
      <w:tab/>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552" w:rsidRPr="00035EF0" w:rsidRDefault="00FC3552" w:rsidP="00792313">
    <w:pPr>
      <w:pStyle w:val="Footer"/>
      <w:tabs>
        <w:tab w:val="right" w:pos="9638"/>
      </w:tabs>
      <w:rPr>
        <w:sz w:val="18"/>
      </w:rPr>
    </w:pPr>
    <w:r>
      <w:tab/>
    </w:r>
    <w:r w:rsidRPr="00035EF0">
      <w:rPr>
        <w:b/>
        <w:sz w:val="18"/>
      </w:rPr>
      <w:fldChar w:fldCharType="begin"/>
    </w:r>
    <w:r w:rsidRPr="00035EF0">
      <w:rPr>
        <w:b/>
        <w:sz w:val="18"/>
      </w:rPr>
      <w:instrText xml:space="preserve"> PAGE  \* MERGEFORMAT </w:instrText>
    </w:r>
    <w:r w:rsidRPr="00035EF0">
      <w:rPr>
        <w:b/>
        <w:sz w:val="18"/>
      </w:rPr>
      <w:fldChar w:fldCharType="separate"/>
    </w:r>
    <w:r w:rsidR="00E657CC">
      <w:rPr>
        <w:b/>
        <w:noProof/>
        <w:sz w:val="18"/>
      </w:rPr>
      <w:t>7</w:t>
    </w:r>
    <w:r w:rsidRPr="00035EF0">
      <w:rPr>
        <w:b/>
        <w:sz w:val="18"/>
      </w:rPr>
      <w:fldChar w:fldCharType="end"/>
    </w:r>
    <w:r>
      <w:rPr>
        <w:b/>
        <w:sz w:val="18"/>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552" w:rsidRPr="00035EF0" w:rsidRDefault="00FC3552" w:rsidP="00613A70">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4.9pt;margin-top:-8.35pt;width:85.5pt;height:18pt;z-index:1" wrapcoords="18189 0 0 9900 -189 12600 -189 17100 758 19800 19516 19800 20274 19800 21032 14400 21600 14400 21600 8100 20653 0 18189 0">
          <v:imagedata r:id="rId1" o:title="recycle_Spanish"/>
          <w10:anchorlock/>
        </v:shape>
      </w:pict>
    </w:r>
    <w:r>
      <w:t>GE.13-</w:t>
    </w:r>
    <w:r w:rsidR="00E657CC">
      <w:t>44018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182" w:rsidRPr="000B175B" w:rsidRDefault="00D76182" w:rsidP="000B175B">
      <w:pPr>
        <w:tabs>
          <w:tab w:val="right" w:pos="2155"/>
        </w:tabs>
        <w:spacing w:after="80"/>
        <w:ind w:left="680"/>
        <w:rPr>
          <w:u w:val="single"/>
        </w:rPr>
      </w:pPr>
      <w:r>
        <w:rPr>
          <w:u w:val="single"/>
        </w:rPr>
        <w:tab/>
      </w:r>
    </w:p>
  </w:footnote>
  <w:footnote w:type="continuationSeparator" w:id="0">
    <w:p w:rsidR="00D76182" w:rsidRPr="00FC68B7" w:rsidRDefault="00D76182" w:rsidP="00FC68B7">
      <w:pPr>
        <w:tabs>
          <w:tab w:val="left" w:pos="2155"/>
        </w:tabs>
        <w:spacing w:after="80"/>
        <w:ind w:left="680"/>
        <w:rPr>
          <w:u w:val="single"/>
        </w:rPr>
      </w:pPr>
      <w:r>
        <w:rPr>
          <w:u w:val="single"/>
        </w:rPr>
        <w:tab/>
      </w:r>
    </w:p>
  </w:footnote>
  <w:footnote w:type="continuationNotice" w:id="1">
    <w:p w:rsidR="00D76182" w:rsidRDefault="00D7618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552" w:rsidRPr="00035EF0" w:rsidRDefault="00FC3552">
    <w:pPr>
      <w:pStyle w:val="Header"/>
    </w:pPr>
    <w:r>
      <w:t>CMW/C/COL/CO/2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552" w:rsidRPr="00035EF0" w:rsidRDefault="00FC3552" w:rsidP="00035EF0">
    <w:pPr>
      <w:pStyle w:val="Header"/>
      <w:jc w:val="right"/>
    </w:pPr>
    <w:r>
      <w:t>CMW/C/COL/CO/2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7CC" w:rsidRDefault="00E657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0F98"/>
    <w:multiLevelType w:val="hybridMultilevel"/>
    <w:tmpl w:val="2B281CC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3C6F3B"/>
    <w:multiLevelType w:val="hybridMultilevel"/>
    <w:tmpl w:val="8D3E0C50"/>
    <w:lvl w:ilvl="0" w:tplc="44BE8BF4">
      <w:start w:val="2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AAD4109"/>
    <w:multiLevelType w:val="hybridMultilevel"/>
    <w:tmpl w:val="ABE62DA0"/>
    <w:lvl w:ilvl="0" w:tplc="BA8E8FA2">
      <w:start w:val="20"/>
      <w:numFmt w:val="decimal"/>
      <w:lvlText w:val="%1."/>
      <w:lvlJc w:val="left"/>
      <w:pPr>
        <w:tabs>
          <w:tab w:val="num" w:pos="720"/>
        </w:tabs>
        <w:ind w:left="720" w:hanging="360"/>
      </w:pPr>
      <w:rPr>
        <w:rFonts w:ascii="TimesNewRoman,Bold" w:eastAsia="SimSun" w:hAnsi="TimesNewRoman,Bold" w:cs="TimesNewRoman,Bold"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BF452B"/>
    <w:multiLevelType w:val="hybridMultilevel"/>
    <w:tmpl w:val="439AD51E"/>
    <w:lvl w:ilvl="0" w:tplc="E0BC2FBA">
      <w:start w:val="26"/>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C83496"/>
    <w:multiLevelType w:val="hybridMultilevel"/>
    <w:tmpl w:val="58E84F6A"/>
    <w:lvl w:ilvl="0" w:tplc="5226F6D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FE2513"/>
    <w:multiLevelType w:val="hybridMultilevel"/>
    <w:tmpl w:val="66125056"/>
    <w:lvl w:ilvl="0" w:tplc="D59A33BE">
      <w:start w:val="26"/>
      <w:numFmt w:val="decimal"/>
      <w:lvlText w:val="%1."/>
      <w:lvlJc w:val="left"/>
      <w:pPr>
        <w:tabs>
          <w:tab w:val="num" w:pos="960"/>
        </w:tabs>
        <w:ind w:left="960" w:hanging="360"/>
      </w:pPr>
      <w:rPr>
        <w:rFonts w:hint="default"/>
        <w:b/>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7">
    <w:nsid w:val="189968FF"/>
    <w:multiLevelType w:val="hybridMultilevel"/>
    <w:tmpl w:val="5052F474"/>
    <w:lvl w:ilvl="0" w:tplc="539E4F9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253887"/>
    <w:multiLevelType w:val="hybridMultilevel"/>
    <w:tmpl w:val="497EC7CC"/>
    <w:lvl w:ilvl="0" w:tplc="FAE4B376">
      <w:start w:val="1"/>
      <w:numFmt w:val="bullet"/>
      <w:pStyle w:val="H1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2937B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1F5B1E3B"/>
    <w:multiLevelType w:val="multilevel"/>
    <w:tmpl w:val="C3A04ECC"/>
    <w:lvl w:ilvl="0">
      <w:start w:val="1"/>
      <w:numFmt w:val="decimal"/>
      <w:lvlText w:val="%1."/>
      <w:lvlJc w:val="left"/>
      <w:pPr>
        <w:tabs>
          <w:tab w:val="num" w:pos="720"/>
        </w:tabs>
        <w:ind w:left="720" w:hanging="360"/>
      </w:pPr>
      <w:rPr>
        <w:b w:val="0"/>
        <w:bCs/>
        <w:lang w:val="es-ES_tradnl"/>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460"/>
        </w:tabs>
        <w:ind w:left="2460" w:hanging="480"/>
      </w:pPr>
      <w:rPr>
        <w:rFonts w:hint="default"/>
      </w:rPr>
    </w:lvl>
    <w:lvl w:ilvl="3">
      <w:start w:val="270"/>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9294EC4"/>
    <w:multiLevelType w:val="hybridMultilevel"/>
    <w:tmpl w:val="C3A04ECC"/>
    <w:lvl w:ilvl="0" w:tplc="7A3A9ECC">
      <w:start w:val="1"/>
      <w:numFmt w:val="decimal"/>
      <w:lvlText w:val="%1."/>
      <w:lvlJc w:val="left"/>
      <w:pPr>
        <w:tabs>
          <w:tab w:val="num" w:pos="720"/>
        </w:tabs>
        <w:ind w:left="720" w:hanging="360"/>
      </w:pPr>
      <w:rPr>
        <w:b w:val="0"/>
        <w:bCs/>
        <w:lang w:val="es-ES_tradnl"/>
      </w:rPr>
    </w:lvl>
    <w:lvl w:ilvl="1" w:tplc="FB4E93B0">
      <w:start w:val="1"/>
      <w:numFmt w:val="lowerLetter"/>
      <w:lvlText w:val="%2."/>
      <w:lvlJc w:val="left"/>
      <w:pPr>
        <w:tabs>
          <w:tab w:val="num" w:pos="1440"/>
        </w:tabs>
        <w:ind w:left="1440" w:hanging="360"/>
      </w:pPr>
      <w:rPr>
        <w:rFonts w:hint="default"/>
      </w:rPr>
    </w:lvl>
    <w:lvl w:ilvl="2" w:tplc="65B06BB4">
      <w:start w:val="1"/>
      <w:numFmt w:val="lowerLetter"/>
      <w:lvlText w:val="%3.)"/>
      <w:lvlJc w:val="left"/>
      <w:pPr>
        <w:tabs>
          <w:tab w:val="num" w:pos="2460"/>
        </w:tabs>
        <w:ind w:left="2460" w:hanging="480"/>
      </w:pPr>
      <w:rPr>
        <w:rFonts w:hint="default"/>
      </w:rPr>
    </w:lvl>
    <w:lvl w:ilvl="3" w:tplc="DAE89838">
      <w:start w:val="270"/>
      <w:numFmt w:val="decimal"/>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E0F2182"/>
    <w:multiLevelType w:val="hybridMultilevel"/>
    <w:tmpl w:val="4CC0C784"/>
    <w:lvl w:ilvl="0" w:tplc="69FAF986">
      <w:start w:val="2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2406EE"/>
    <w:multiLevelType w:val="hybridMultilevel"/>
    <w:tmpl w:val="1EECBAB6"/>
    <w:lvl w:ilvl="0" w:tplc="9C9A6498">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1A12325"/>
    <w:multiLevelType w:val="hybridMultilevel"/>
    <w:tmpl w:val="FF0E5B48"/>
    <w:lvl w:ilvl="0" w:tplc="6D5E22D8">
      <w:start w:val="1"/>
      <w:numFmt w:val="bullet"/>
      <w:pStyle w:val="PageNumber"/>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67E0122"/>
    <w:multiLevelType w:val="multilevel"/>
    <w:tmpl w:val="1EECBAB6"/>
    <w:lvl w:ilvl="0">
      <w:start w:val="2"/>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81F089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2472C83"/>
    <w:multiLevelType w:val="hybridMultilevel"/>
    <w:tmpl w:val="AB1847D4"/>
    <w:lvl w:ilvl="0" w:tplc="B65A53BC">
      <w:start w:val="2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BB62512"/>
    <w:multiLevelType w:val="hybridMultilevel"/>
    <w:tmpl w:val="CF2A1368"/>
    <w:lvl w:ilvl="0" w:tplc="65B06BB4">
      <w:start w:val="1"/>
      <w:numFmt w:val="lowerLetter"/>
      <w:lvlText w:val="%1.)"/>
      <w:lvlJc w:val="left"/>
      <w:pPr>
        <w:tabs>
          <w:tab w:val="num" w:pos="2580"/>
        </w:tabs>
        <w:ind w:left="2580" w:hanging="480"/>
      </w:pPr>
      <w:rPr>
        <w:rFonts w:hint="default"/>
      </w:r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19">
    <w:nsid w:val="5CC0733D"/>
    <w:multiLevelType w:val="hybridMultilevel"/>
    <w:tmpl w:val="AA389E0C"/>
    <w:lvl w:ilvl="0" w:tplc="9C9A6498">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0365132"/>
    <w:multiLevelType w:val="hybridMultilevel"/>
    <w:tmpl w:val="A6C67EC8"/>
    <w:lvl w:ilvl="0" w:tplc="97E0FFBE">
      <w:start w:val="2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22F7428"/>
    <w:multiLevelType w:val="hybridMultilevel"/>
    <w:tmpl w:val="6778DC04"/>
    <w:lvl w:ilvl="0" w:tplc="C32E30CC">
      <w:start w:val="2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C8E1BD0"/>
    <w:multiLevelType w:val="hybridMultilevel"/>
    <w:tmpl w:val="EC9A7764"/>
    <w:lvl w:ilvl="0" w:tplc="0409000F">
      <w:start w:val="1"/>
      <w:numFmt w:val="decimal"/>
      <w:lvlText w:val="%1."/>
      <w:lvlJc w:val="left"/>
      <w:pPr>
        <w:tabs>
          <w:tab w:val="num" w:pos="720"/>
        </w:tabs>
        <w:ind w:left="720" w:hanging="360"/>
      </w:pPr>
    </w:lvl>
    <w:lvl w:ilvl="1" w:tplc="7C66D132">
      <w:start w:val="1"/>
      <w:numFmt w:val="lowerLetter"/>
      <w:lvlText w:val="(%2)"/>
      <w:lvlJc w:val="left"/>
      <w:pPr>
        <w:tabs>
          <w:tab w:val="num" w:pos="1800"/>
        </w:tabs>
        <w:ind w:left="1800" w:hanging="720"/>
      </w:pPr>
      <w:rPr>
        <w:rFonts w:hint="default"/>
      </w:rPr>
    </w:lvl>
    <w:lvl w:ilvl="2" w:tplc="994C8F70">
      <w:start w:val="1"/>
      <w:numFmt w:val="lowerLetter"/>
      <w:lvlText w:val="%3)"/>
      <w:lvlJc w:val="left"/>
      <w:pPr>
        <w:tabs>
          <w:tab w:val="num" w:pos="2340"/>
        </w:tabs>
        <w:ind w:left="2340" w:hanging="360"/>
      </w:pPr>
      <w:rPr>
        <w:rFonts w:hint="default"/>
        <w:b/>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8"/>
  </w:num>
  <w:num w:numId="3">
    <w:abstractNumId w:val="9"/>
  </w:num>
  <w:num w:numId="4">
    <w:abstractNumId w:val="16"/>
  </w:num>
  <w:num w:numId="5">
    <w:abstractNumId w:val="1"/>
  </w:num>
  <w:num w:numId="6">
    <w:abstractNumId w:val="18"/>
  </w:num>
  <w:num w:numId="7">
    <w:abstractNumId w:val="11"/>
  </w:num>
  <w:num w:numId="8">
    <w:abstractNumId w:val="19"/>
  </w:num>
  <w:num w:numId="9">
    <w:abstractNumId w:val="7"/>
  </w:num>
  <w:num w:numId="10">
    <w:abstractNumId w:val="22"/>
  </w:num>
  <w:num w:numId="11">
    <w:abstractNumId w:val="0"/>
  </w:num>
  <w:num w:numId="12">
    <w:abstractNumId w:val="3"/>
  </w:num>
  <w:num w:numId="13">
    <w:abstractNumId w:val="17"/>
  </w:num>
  <w:num w:numId="14">
    <w:abstractNumId w:val="2"/>
  </w:num>
  <w:num w:numId="15">
    <w:abstractNumId w:val="21"/>
  </w:num>
  <w:num w:numId="16">
    <w:abstractNumId w:val="6"/>
  </w:num>
  <w:num w:numId="17">
    <w:abstractNumId w:val="12"/>
  </w:num>
  <w:num w:numId="18">
    <w:abstractNumId w:val="20"/>
  </w:num>
  <w:num w:numId="19">
    <w:abstractNumId w:val="4"/>
  </w:num>
  <w:num w:numId="20">
    <w:abstractNumId w:val="13"/>
  </w:num>
  <w:num w:numId="21">
    <w:abstractNumId w:val="15"/>
  </w:num>
  <w:num w:numId="22">
    <w:abstractNumId w:val="5"/>
  </w:num>
  <w:num w:numId="23">
    <w:abstractNumId w:val="10"/>
  </w:num>
  <w:num w:numId="24">
    <w:abstractNumId w:val="11"/>
    <w:lvlOverride w:ilvl="0">
      <w:startOverride w:val="1"/>
    </w:lvlOverride>
    <w:lvlOverride w:ilvl="1">
      <w:startOverride w:val="1"/>
    </w:lvlOverride>
    <w:lvlOverride w:ilvl="2">
      <w:startOverride w:val="1"/>
    </w:lvlOverride>
    <w:lvlOverride w:ilvl="3">
      <w:startOverride w:val="27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fr-CH" w:vendorID="64" w:dllVersion="131078" w:nlCheck="1" w:checkStyle="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5EF0"/>
    <w:rsid w:val="00002BE7"/>
    <w:rsid w:val="0001017C"/>
    <w:rsid w:val="00016930"/>
    <w:rsid w:val="00017203"/>
    <w:rsid w:val="00017E07"/>
    <w:rsid w:val="00023365"/>
    <w:rsid w:val="00025E03"/>
    <w:rsid w:val="0003269E"/>
    <w:rsid w:val="000328F5"/>
    <w:rsid w:val="00035EF0"/>
    <w:rsid w:val="000403D1"/>
    <w:rsid w:val="000449AA"/>
    <w:rsid w:val="000462F3"/>
    <w:rsid w:val="00050F6B"/>
    <w:rsid w:val="00053D3B"/>
    <w:rsid w:val="00055FEC"/>
    <w:rsid w:val="000616DB"/>
    <w:rsid w:val="00062BF7"/>
    <w:rsid w:val="00065E65"/>
    <w:rsid w:val="000663DE"/>
    <w:rsid w:val="000716B9"/>
    <w:rsid w:val="000720D1"/>
    <w:rsid w:val="00072C8C"/>
    <w:rsid w:val="00073E70"/>
    <w:rsid w:val="00084A77"/>
    <w:rsid w:val="00085831"/>
    <w:rsid w:val="00091419"/>
    <w:rsid w:val="0009148D"/>
    <w:rsid w:val="000931C0"/>
    <w:rsid w:val="000A0BA2"/>
    <w:rsid w:val="000A7525"/>
    <w:rsid w:val="000B1528"/>
    <w:rsid w:val="000B175B"/>
    <w:rsid w:val="000B3A0F"/>
    <w:rsid w:val="000C0D1B"/>
    <w:rsid w:val="000C47F7"/>
    <w:rsid w:val="000C769B"/>
    <w:rsid w:val="000E0415"/>
    <w:rsid w:val="000E5162"/>
    <w:rsid w:val="000E5767"/>
    <w:rsid w:val="000E6CD5"/>
    <w:rsid w:val="000E77B2"/>
    <w:rsid w:val="000F2A94"/>
    <w:rsid w:val="000F3538"/>
    <w:rsid w:val="000F6336"/>
    <w:rsid w:val="00100590"/>
    <w:rsid w:val="0010601E"/>
    <w:rsid w:val="00106F99"/>
    <w:rsid w:val="00112DFA"/>
    <w:rsid w:val="001242E8"/>
    <w:rsid w:val="00124902"/>
    <w:rsid w:val="00130628"/>
    <w:rsid w:val="00131F0A"/>
    <w:rsid w:val="00135695"/>
    <w:rsid w:val="00143DB8"/>
    <w:rsid w:val="00146D32"/>
    <w:rsid w:val="001509BA"/>
    <w:rsid w:val="00150EFE"/>
    <w:rsid w:val="00152383"/>
    <w:rsid w:val="001569E5"/>
    <w:rsid w:val="00163340"/>
    <w:rsid w:val="0016595F"/>
    <w:rsid w:val="00166B67"/>
    <w:rsid w:val="0017178D"/>
    <w:rsid w:val="00172CE9"/>
    <w:rsid w:val="0017416B"/>
    <w:rsid w:val="00181906"/>
    <w:rsid w:val="001834A6"/>
    <w:rsid w:val="00184F17"/>
    <w:rsid w:val="00191069"/>
    <w:rsid w:val="001957DF"/>
    <w:rsid w:val="001A50CB"/>
    <w:rsid w:val="001A6172"/>
    <w:rsid w:val="001A7C14"/>
    <w:rsid w:val="001B32F4"/>
    <w:rsid w:val="001B4B04"/>
    <w:rsid w:val="001B571B"/>
    <w:rsid w:val="001B6C51"/>
    <w:rsid w:val="001C0527"/>
    <w:rsid w:val="001C4FE7"/>
    <w:rsid w:val="001C6663"/>
    <w:rsid w:val="001C7895"/>
    <w:rsid w:val="001D26DF"/>
    <w:rsid w:val="001F0D0E"/>
    <w:rsid w:val="001F3F91"/>
    <w:rsid w:val="0020168B"/>
    <w:rsid w:val="0021151C"/>
    <w:rsid w:val="00211E0B"/>
    <w:rsid w:val="00211E72"/>
    <w:rsid w:val="00214047"/>
    <w:rsid w:val="00216077"/>
    <w:rsid w:val="0022130F"/>
    <w:rsid w:val="00222C78"/>
    <w:rsid w:val="002339A2"/>
    <w:rsid w:val="00237785"/>
    <w:rsid w:val="00237931"/>
    <w:rsid w:val="00241466"/>
    <w:rsid w:val="00241C58"/>
    <w:rsid w:val="00245F69"/>
    <w:rsid w:val="002508ED"/>
    <w:rsid w:val="00252F74"/>
    <w:rsid w:val="00253D58"/>
    <w:rsid w:val="00263791"/>
    <w:rsid w:val="00270A9F"/>
    <w:rsid w:val="00270AF3"/>
    <w:rsid w:val="0027182A"/>
    <w:rsid w:val="002823C7"/>
    <w:rsid w:val="002833F2"/>
    <w:rsid w:val="002869A7"/>
    <w:rsid w:val="0029299D"/>
    <w:rsid w:val="002A0077"/>
    <w:rsid w:val="002B4D25"/>
    <w:rsid w:val="002C0119"/>
    <w:rsid w:val="002C21F0"/>
    <w:rsid w:val="002C78F2"/>
    <w:rsid w:val="002D0A40"/>
    <w:rsid w:val="002D197F"/>
    <w:rsid w:val="002D2A7F"/>
    <w:rsid w:val="002D3755"/>
    <w:rsid w:val="002E7601"/>
    <w:rsid w:val="0030012E"/>
    <w:rsid w:val="00303C38"/>
    <w:rsid w:val="00307C6D"/>
    <w:rsid w:val="003107A2"/>
    <w:rsid w:val="003107FA"/>
    <w:rsid w:val="003115CF"/>
    <w:rsid w:val="00315657"/>
    <w:rsid w:val="00317626"/>
    <w:rsid w:val="00321B4F"/>
    <w:rsid w:val="003229D8"/>
    <w:rsid w:val="00324010"/>
    <w:rsid w:val="00325E9E"/>
    <w:rsid w:val="0033098A"/>
    <w:rsid w:val="003316C5"/>
    <w:rsid w:val="003357A0"/>
    <w:rsid w:val="00335A2F"/>
    <w:rsid w:val="003428E6"/>
    <w:rsid w:val="003430A9"/>
    <w:rsid w:val="003456BE"/>
    <w:rsid w:val="00345786"/>
    <w:rsid w:val="0035527D"/>
    <w:rsid w:val="003579BE"/>
    <w:rsid w:val="003615A1"/>
    <w:rsid w:val="003916B1"/>
    <w:rsid w:val="0039277A"/>
    <w:rsid w:val="003972E0"/>
    <w:rsid w:val="003976BF"/>
    <w:rsid w:val="003A06B7"/>
    <w:rsid w:val="003A3EF2"/>
    <w:rsid w:val="003A5CB3"/>
    <w:rsid w:val="003C2CC4"/>
    <w:rsid w:val="003D0468"/>
    <w:rsid w:val="003D1034"/>
    <w:rsid w:val="003D4B23"/>
    <w:rsid w:val="003D6165"/>
    <w:rsid w:val="003F0506"/>
    <w:rsid w:val="00407601"/>
    <w:rsid w:val="004109D7"/>
    <w:rsid w:val="00414F01"/>
    <w:rsid w:val="00421182"/>
    <w:rsid w:val="0042473C"/>
    <w:rsid w:val="00424C80"/>
    <w:rsid w:val="004325CB"/>
    <w:rsid w:val="00432CFD"/>
    <w:rsid w:val="004370D9"/>
    <w:rsid w:val="00437DC5"/>
    <w:rsid w:val="0044503A"/>
    <w:rsid w:val="00446DE4"/>
    <w:rsid w:val="00447B69"/>
    <w:rsid w:val="00451346"/>
    <w:rsid w:val="00451EC3"/>
    <w:rsid w:val="00461992"/>
    <w:rsid w:val="00476D79"/>
    <w:rsid w:val="0048169D"/>
    <w:rsid w:val="004859EC"/>
    <w:rsid w:val="00496A15"/>
    <w:rsid w:val="004A022D"/>
    <w:rsid w:val="004A253B"/>
    <w:rsid w:val="004A7431"/>
    <w:rsid w:val="004B1AE6"/>
    <w:rsid w:val="004B1F2E"/>
    <w:rsid w:val="004B3763"/>
    <w:rsid w:val="004B3F75"/>
    <w:rsid w:val="004B65BA"/>
    <w:rsid w:val="004C40EC"/>
    <w:rsid w:val="004D7923"/>
    <w:rsid w:val="004F55ED"/>
    <w:rsid w:val="0050144E"/>
    <w:rsid w:val="00501AB9"/>
    <w:rsid w:val="00505316"/>
    <w:rsid w:val="0051249F"/>
    <w:rsid w:val="005128C2"/>
    <w:rsid w:val="00512D15"/>
    <w:rsid w:val="005163D0"/>
    <w:rsid w:val="00520B68"/>
    <w:rsid w:val="0052176C"/>
    <w:rsid w:val="005247F9"/>
    <w:rsid w:val="00525414"/>
    <w:rsid w:val="005261E5"/>
    <w:rsid w:val="0052723F"/>
    <w:rsid w:val="00532720"/>
    <w:rsid w:val="00540077"/>
    <w:rsid w:val="005420F2"/>
    <w:rsid w:val="00542574"/>
    <w:rsid w:val="005436AB"/>
    <w:rsid w:val="00546DBF"/>
    <w:rsid w:val="00546FDF"/>
    <w:rsid w:val="005552B5"/>
    <w:rsid w:val="005613CC"/>
    <w:rsid w:val="00571365"/>
    <w:rsid w:val="005819DB"/>
    <w:rsid w:val="005907FD"/>
    <w:rsid w:val="00592D96"/>
    <w:rsid w:val="00593E51"/>
    <w:rsid w:val="00595216"/>
    <w:rsid w:val="005B048C"/>
    <w:rsid w:val="005B2029"/>
    <w:rsid w:val="005B2118"/>
    <w:rsid w:val="005B2EC1"/>
    <w:rsid w:val="005B3DB3"/>
    <w:rsid w:val="005B6E48"/>
    <w:rsid w:val="005B7315"/>
    <w:rsid w:val="005B7840"/>
    <w:rsid w:val="005C2CA8"/>
    <w:rsid w:val="005C32D7"/>
    <w:rsid w:val="005E0D5C"/>
    <w:rsid w:val="005E1E69"/>
    <w:rsid w:val="005F153B"/>
    <w:rsid w:val="005F2EA0"/>
    <w:rsid w:val="005F3A81"/>
    <w:rsid w:val="005F3B4E"/>
    <w:rsid w:val="00602159"/>
    <w:rsid w:val="00611FC4"/>
    <w:rsid w:val="00612989"/>
    <w:rsid w:val="00613A70"/>
    <w:rsid w:val="00614829"/>
    <w:rsid w:val="006176FB"/>
    <w:rsid w:val="006204FF"/>
    <w:rsid w:val="00621152"/>
    <w:rsid w:val="00624700"/>
    <w:rsid w:val="006301B4"/>
    <w:rsid w:val="00633DBF"/>
    <w:rsid w:val="00635210"/>
    <w:rsid w:val="00640B26"/>
    <w:rsid w:val="00643D08"/>
    <w:rsid w:val="0064546F"/>
    <w:rsid w:val="00656B19"/>
    <w:rsid w:val="006570B3"/>
    <w:rsid w:val="006628C0"/>
    <w:rsid w:val="00670741"/>
    <w:rsid w:val="00687D27"/>
    <w:rsid w:val="0069417E"/>
    <w:rsid w:val="00694FE9"/>
    <w:rsid w:val="00695AAF"/>
    <w:rsid w:val="00696459"/>
    <w:rsid w:val="006A3EB7"/>
    <w:rsid w:val="006A7392"/>
    <w:rsid w:val="006A7FAE"/>
    <w:rsid w:val="006B1FCC"/>
    <w:rsid w:val="006B3189"/>
    <w:rsid w:val="006B7D65"/>
    <w:rsid w:val="006C23CE"/>
    <w:rsid w:val="006E04DE"/>
    <w:rsid w:val="006E40B3"/>
    <w:rsid w:val="006E564B"/>
    <w:rsid w:val="006E7855"/>
    <w:rsid w:val="006F2F98"/>
    <w:rsid w:val="00701081"/>
    <w:rsid w:val="00715F81"/>
    <w:rsid w:val="0072632A"/>
    <w:rsid w:val="00731636"/>
    <w:rsid w:val="00731D4C"/>
    <w:rsid w:val="00736AAE"/>
    <w:rsid w:val="0074200B"/>
    <w:rsid w:val="0074313F"/>
    <w:rsid w:val="00744F62"/>
    <w:rsid w:val="00752182"/>
    <w:rsid w:val="0075300F"/>
    <w:rsid w:val="0075358B"/>
    <w:rsid w:val="00754B14"/>
    <w:rsid w:val="00756DED"/>
    <w:rsid w:val="007615E4"/>
    <w:rsid w:val="00762022"/>
    <w:rsid w:val="007734EF"/>
    <w:rsid w:val="00775DED"/>
    <w:rsid w:val="007824CB"/>
    <w:rsid w:val="00785107"/>
    <w:rsid w:val="00792313"/>
    <w:rsid w:val="007A32E7"/>
    <w:rsid w:val="007A5EB0"/>
    <w:rsid w:val="007A6296"/>
    <w:rsid w:val="007B5D9C"/>
    <w:rsid w:val="007B6BA5"/>
    <w:rsid w:val="007C13E7"/>
    <w:rsid w:val="007C1B62"/>
    <w:rsid w:val="007C2555"/>
    <w:rsid w:val="007C3390"/>
    <w:rsid w:val="007C377A"/>
    <w:rsid w:val="007C4F4B"/>
    <w:rsid w:val="007C5255"/>
    <w:rsid w:val="007D2CDC"/>
    <w:rsid w:val="007D30BB"/>
    <w:rsid w:val="007D5327"/>
    <w:rsid w:val="007E3B11"/>
    <w:rsid w:val="007F6611"/>
    <w:rsid w:val="00812E4F"/>
    <w:rsid w:val="0081408F"/>
    <w:rsid w:val="00814862"/>
    <w:rsid w:val="008155C3"/>
    <w:rsid w:val="008175E9"/>
    <w:rsid w:val="0082037E"/>
    <w:rsid w:val="0082243E"/>
    <w:rsid w:val="00822A99"/>
    <w:rsid w:val="00823C0D"/>
    <w:rsid w:val="008242D7"/>
    <w:rsid w:val="008275C6"/>
    <w:rsid w:val="00850C4D"/>
    <w:rsid w:val="0085549E"/>
    <w:rsid w:val="00856CD2"/>
    <w:rsid w:val="00856EA6"/>
    <w:rsid w:val="00863EC1"/>
    <w:rsid w:val="0086644A"/>
    <w:rsid w:val="00867C81"/>
    <w:rsid w:val="00871FD5"/>
    <w:rsid w:val="00872DC4"/>
    <w:rsid w:val="00875757"/>
    <w:rsid w:val="00880573"/>
    <w:rsid w:val="00882061"/>
    <w:rsid w:val="0088278E"/>
    <w:rsid w:val="00890140"/>
    <w:rsid w:val="00893F6D"/>
    <w:rsid w:val="008979B1"/>
    <w:rsid w:val="008A1F5C"/>
    <w:rsid w:val="008A6B25"/>
    <w:rsid w:val="008A6C4F"/>
    <w:rsid w:val="008C1E4D"/>
    <w:rsid w:val="008C2170"/>
    <w:rsid w:val="008D59FD"/>
    <w:rsid w:val="008D6172"/>
    <w:rsid w:val="008E0E46"/>
    <w:rsid w:val="008E4698"/>
    <w:rsid w:val="008E46FF"/>
    <w:rsid w:val="008F1729"/>
    <w:rsid w:val="00907C3F"/>
    <w:rsid w:val="00914E57"/>
    <w:rsid w:val="0091632D"/>
    <w:rsid w:val="0092289A"/>
    <w:rsid w:val="00925548"/>
    <w:rsid w:val="00930EC9"/>
    <w:rsid w:val="00932CF7"/>
    <w:rsid w:val="00936AD3"/>
    <w:rsid w:val="0093707B"/>
    <w:rsid w:val="009400EB"/>
    <w:rsid w:val="00940A21"/>
    <w:rsid w:val="00940A43"/>
    <w:rsid w:val="009427E3"/>
    <w:rsid w:val="0094434C"/>
    <w:rsid w:val="009469B4"/>
    <w:rsid w:val="00950D4B"/>
    <w:rsid w:val="00953781"/>
    <w:rsid w:val="00955255"/>
    <w:rsid w:val="00955518"/>
    <w:rsid w:val="00956D9B"/>
    <w:rsid w:val="009629C9"/>
    <w:rsid w:val="00963CBA"/>
    <w:rsid w:val="009654B7"/>
    <w:rsid w:val="00980412"/>
    <w:rsid w:val="0098232B"/>
    <w:rsid w:val="009843A2"/>
    <w:rsid w:val="00991261"/>
    <w:rsid w:val="009A0B83"/>
    <w:rsid w:val="009A24C4"/>
    <w:rsid w:val="009A298B"/>
    <w:rsid w:val="009A6853"/>
    <w:rsid w:val="009A7997"/>
    <w:rsid w:val="009B3800"/>
    <w:rsid w:val="009B467C"/>
    <w:rsid w:val="009B52E7"/>
    <w:rsid w:val="009C7213"/>
    <w:rsid w:val="009C7CC1"/>
    <w:rsid w:val="009D2E45"/>
    <w:rsid w:val="009D50DB"/>
    <w:rsid w:val="009F1611"/>
    <w:rsid w:val="00A05E0B"/>
    <w:rsid w:val="00A1427D"/>
    <w:rsid w:val="00A23251"/>
    <w:rsid w:val="00A23C00"/>
    <w:rsid w:val="00A36368"/>
    <w:rsid w:val="00A4634F"/>
    <w:rsid w:val="00A533C6"/>
    <w:rsid w:val="00A53E7A"/>
    <w:rsid w:val="00A561C0"/>
    <w:rsid w:val="00A71910"/>
    <w:rsid w:val="00A72F22"/>
    <w:rsid w:val="00A748A6"/>
    <w:rsid w:val="00A879A4"/>
    <w:rsid w:val="00A87E95"/>
    <w:rsid w:val="00A92E29"/>
    <w:rsid w:val="00A9461D"/>
    <w:rsid w:val="00A957FC"/>
    <w:rsid w:val="00AA1D57"/>
    <w:rsid w:val="00AA2638"/>
    <w:rsid w:val="00AA66B1"/>
    <w:rsid w:val="00AB3CDC"/>
    <w:rsid w:val="00AB66A3"/>
    <w:rsid w:val="00AB6A64"/>
    <w:rsid w:val="00AC589A"/>
    <w:rsid w:val="00AC7F05"/>
    <w:rsid w:val="00AD09E9"/>
    <w:rsid w:val="00AD0E80"/>
    <w:rsid w:val="00AE1DFE"/>
    <w:rsid w:val="00AE2B96"/>
    <w:rsid w:val="00AE382B"/>
    <w:rsid w:val="00AE7758"/>
    <w:rsid w:val="00AF0576"/>
    <w:rsid w:val="00AF3829"/>
    <w:rsid w:val="00B037F0"/>
    <w:rsid w:val="00B2276B"/>
    <w:rsid w:val="00B23B9F"/>
    <w:rsid w:val="00B245D0"/>
    <w:rsid w:val="00B24BFA"/>
    <w:rsid w:val="00B30179"/>
    <w:rsid w:val="00B31938"/>
    <w:rsid w:val="00B3317B"/>
    <w:rsid w:val="00B334DC"/>
    <w:rsid w:val="00B33695"/>
    <w:rsid w:val="00B3631A"/>
    <w:rsid w:val="00B3742B"/>
    <w:rsid w:val="00B502F3"/>
    <w:rsid w:val="00B53013"/>
    <w:rsid w:val="00B5541C"/>
    <w:rsid w:val="00B55D5F"/>
    <w:rsid w:val="00B56BE0"/>
    <w:rsid w:val="00B621DC"/>
    <w:rsid w:val="00B64AFB"/>
    <w:rsid w:val="00B65884"/>
    <w:rsid w:val="00B67F5E"/>
    <w:rsid w:val="00B72870"/>
    <w:rsid w:val="00B73E65"/>
    <w:rsid w:val="00B80ADB"/>
    <w:rsid w:val="00B80D67"/>
    <w:rsid w:val="00B81E12"/>
    <w:rsid w:val="00B944D5"/>
    <w:rsid w:val="00B97FA8"/>
    <w:rsid w:val="00BA5D1E"/>
    <w:rsid w:val="00BA72FF"/>
    <w:rsid w:val="00BA7698"/>
    <w:rsid w:val="00BB14B4"/>
    <w:rsid w:val="00BC1385"/>
    <w:rsid w:val="00BC532F"/>
    <w:rsid w:val="00BC74E9"/>
    <w:rsid w:val="00BC760A"/>
    <w:rsid w:val="00BD0D14"/>
    <w:rsid w:val="00BD64C9"/>
    <w:rsid w:val="00BE03A3"/>
    <w:rsid w:val="00BE1130"/>
    <w:rsid w:val="00BE4249"/>
    <w:rsid w:val="00BE53B4"/>
    <w:rsid w:val="00BE618E"/>
    <w:rsid w:val="00BE6B88"/>
    <w:rsid w:val="00BF5C26"/>
    <w:rsid w:val="00C013D0"/>
    <w:rsid w:val="00C022CC"/>
    <w:rsid w:val="00C24693"/>
    <w:rsid w:val="00C2680E"/>
    <w:rsid w:val="00C311EB"/>
    <w:rsid w:val="00C35F0B"/>
    <w:rsid w:val="00C42C72"/>
    <w:rsid w:val="00C44A43"/>
    <w:rsid w:val="00C463DD"/>
    <w:rsid w:val="00C50002"/>
    <w:rsid w:val="00C63D32"/>
    <w:rsid w:val="00C64458"/>
    <w:rsid w:val="00C672D0"/>
    <w:rsid w:val="00C727F0"/>
    <w:rsid w:val="00C745C3"/>
    <w:rsid w:val="00C74EAF"/>
    <w:rsid w:val="00C830D0"/>
    <w:rsid w:val="00C85469"/>
    <w:rsid w:val="00C85966"/>
    <w:rsid w:val="00C85E78"/>
    <w:rsid w:val="00CA3BC3"/>
    <w:rsid w:val="00CB0AB8"/>
    <w:rsid w:val="00CB2A6F"/>
    <w:rsid w:val="00CC0B55"/>
    <w:rsid w:val="00CC1450"/>
    <w:rsid w:val="00CC6171"/>
    <w:rsid w:val="00CC7BA7"/>
    <w:rsid w:val="00CD1D6B"/>
    <w:rsid w:val="00CD3326"/>
    <w:rsid w:val="00CD584C"/>
    <w:rsid w:val="00CE4A8F"/>
    <w:rsid w:val="00CF7D43"/>
    <w:rsid w:val="00D06A36"/>
    <w:rsid w:val="00D1083B"/>
    <w:rsid w:val="00D11129"/>
    <w:rsid w:val="00D2031B"/>
    <w:rsid w:val="00D20459"/>
    <w:rsid w:val="00D22332"/>
    <w:rsid w:val="00D23E1C"/>
    <w:rsid w:val="00D25FE2"/>
    <w:rsid w:val="00D333C8"/>
    <w:rsid w:val="00D33523"/>
    <w:rsid w:val="00D35B63"/>
    <w:rsid w:val="00D43252"/>
    <w:rsid w:val="00D451FD"/>
    <w:rsid w:val="00D45E41"/>
    <w:rsid w:val="00D47989"/>
    <w:rsid w:val="00D479B1"/>
    <w:rsid w:val="00D550F9"/>
    <w:rsid w:val="00D55B85"/>
    <w:rsid w:val="00D70C38"/>
    <w:rsid w:val="00D7391A"/>
    <w:rsid w:val="00D76182"/>
    <w:rsid w:val="00D842FE"/>
    <w:rsid w:val="00D92C90"/>
    <w:rsid w:val="00D93EDC"/>
    <w:rsid w:val="00D978C6"/>
    <w:rsid w:val="00DA4492"/>
    <w:rsid w:val="00DA67AD"/>
    <w:rsid w:val="00DA7AB4"/>
    <w:rsid w:val="00DB0F88"/>
    <w:rsid w:val="00DB18CE"/>
    <w:rsid w:val="00DC40D7"/>
    <w:rsid w:val="00DD691F"/>
    <w:rsid w:val="00DE3EC0"/>
    <w:rsid w:val="00DE3F04"/>
    <w:rsid w:val="00DE4A90"/>
    <w:rsid w:val="00DF6857"/>
    <w:rsid w:val="00DF7195"/>
    <w:rsid w:val="00E0270C"/>
    <w:rsid w:val="00E04D64"/>
    <w:rsid w:val="00E12B6B"/>
    <w:rsid w:val="00E130AB"/>
    <w:rsid w:val="00E1369E"/>
    <w:rsid w:val="00E14F65"/>
    <w:rsid w:val="00E32690"/>
    <w:rsid w:val="00E431C3"/>
    <w:rsid w:val="00E438D9"/>
    <w:rsid w:val="00E53B0F"/>
    <w:rsid w:val="00E54C07"/>
    <w:rsid w:val="00E55E22"/>
    <w:rsid w:val="00E5644E"/>
    <w:rsid w:val="00E657CC"/>
    <w:rsid w:val="00E71F18"/>
    <w:rsid w:val="00E7260F"/>
    <w:rsid w:val="00E72D83"/>
    <w:rsid w:val="00E8607D"/>
    <w:rsid w:val="00E8746C"/>
    <w:rsid w:val="00E96630"/>
    <w:rsid w:val="00EA0082"/>
    <w:rsid w:val="00EA45EC"/>
    <w:rsid w:val="00EB09DA"/>
    <w:rsid w:val="00EB0BE4"/>
    <w:rsid w:val="00EB0FB9"/>
    <w:rsid w:val="00EB6356"/>
    <w:rsid w:val="00ED1EEF"/>
    <w:rsid w:val="00ED3744"/>
    <w:rsid w:val="00ED7A2A"/>
    <w:rsid w:val="00EE3111"/>
    <w:rsid w:val="00EF0104"/>
    <w:rsid w:val="00EF0684"/>
    <w:rsid w:val="00EF0E57"/>
    <w:rsid w:val="00EF1D7F"/>
    <w:rsid w:val="00EF5B1C"/>
    <w:rsid w:val="00EF5BDB"/>
    <w:rsid w:val="00F00E23"/>
    <w:rsid w:val="00F07FD9"/>
    <w:rsid w:val="00F100E2"/>
    <w:rsid w:val="00F116CA"/>
    <w:rsid w:val="00F16200"/>
    <w:rsid w:val="00F16335"/>
    <w:rsid w:val="00F23933"/>
    <w:rsid w:val="00F40A01"/>
    <w:rsid w:val="00F40E75"/>
    <w:rsid w:val="00F4425B"/>
    <w:rsid w:val="00F46A7A"/>
    <w:rsid w:val="00F52936"/>
    <w:rsid w:val="00F6030C"/>
    <w:rsid w:val="00F60937"/>
    <w:rsid w:val="00F620EC"/>
    <w:rsid w:val="00F81EC0"/>
    <w:rsid w:val="00F872FB"/>
    <w:rsid w:val="00F928F6"/>
    <w:rsid w:val="00F936CA"/>
    <w:rsid w:val="00F9450D"/>
    <w:rsid w:val="00F95092"/>
    <w:rsid w:val="00FA38C9"/>
    <w:rsid w:val="00FA5724"/>
    <w:rsid w:val="00FA7DF3"/>
    <w:rsid w:val="00FB3AF1"/>
    <w:rsid w:val="00FC3552"/>
    <w:rsid w:val="00FC68B7"/>
    <w:rsid w:val="00FD5492"/>
    <w:rsid w:val="00FD5E5E"/>
    <w:rsid w:val="00FD67F2"/>
    <w:rsid w:val="00FD6A6D"/>
    <w:rsid w:val="00FD7C12"/>
    <w:rsid w:val="00FE4B3B"/>
    <w:rsid w:val="00FE4F1F"/>
    <w:rsid w:val="00FF2725"/>
    <w:rsid w:val="00FF36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0119"/>
    <w:pPr>
      <w:suppressAutoHyphens/>
      <w:spacing w:line="240" w:lineRule="atLeast"/>
    </w:pPr>
    <w:rPr>
      <w:lang w:val="es-ES"/>
    </w:rPr>
  </w:style>
  <w:style w:type="paragraph" w:styleId="Heading1">
    <w:name w:val="heading 1"/>
    <w:aliases w:val="Table_G"/>
    <w:basedOn w:val="SingleTxtG"/>
    <w:next w:val="SingleTxtG"/>
    <w:qFormat/>
    <w:rsid w:val="002C0119"/>
    <w:pPr>
      <w:spacing w:after="0" w:line="240" w:lineRule="auto"/>
      <w:ind w:right="0"/>
      <w:jc w:val="left"/>
      <w:outlineLvl w:val="0"/>
    </w:pPr>
    <w:rPr>
      <w:lang w:val="en-GB"/>
    </w:rPr>
  </w:style>
  <w:style w:type="paragraph" w:styleId="Heading2">
    <w:name w:val="heading 2"/>
    <w:basedOn w:val="Normal"/>
    <w:next w:val="Normal"/>
    <w:link w:val="Heading2Char"/>
    <w:qFormat/>
    <w:rsid w:val="002C0119"/>
    <w:pPr>
      <w:spacing w:line="240" w:lineRule="auto"/>
      <w:outlineLvl w:val="1"/>
    </w:pPr>
    <w:rPr>
      <w:lang w:val="en-GB"/>
    </w:rPr>
  </w:style>
  <w:style w:type="paragraph" w:styleId="Heading3">
    <w:name w:val="heading 3"/>
    <w:basedOn w:val="Normal"/>
    <w:next w:val="Normal"/>
    <w:link w:val="Heading3Char"/>
    <w:qFormat/>
    <w:rsid w:val="002C0119"/>
    <w:pPr>
      <w:spacing w:line="240" w:lineRule="auto"/>
      <w:outlineLvl w:val="2"/>
    </w:pPr>
    <w:rPr>
      <w:lang w:val="en-GB"/>
    </w:rPr>
  </w:style>
  <w:style w:type="paragraph" w:styleId="Heading4">
    <w:name w:val="heading 4"/>
    <w:basedOn w:val="Normal"/>
    <w:next w:val="Normal"/>
    <w:link w:val="Heading4Char"/>
    <w:qFormat/>
    <w:rsid w:val="002C0119"/>
    <w:pPr>
      <w:spacing w:line="240" w:lineRule="auto"/>
      <w:outlineLvl w:val="3"/>
    </w:pPr>
    <w:rPr>
      <w:lang w:val="en-GB"/>
    </w:rPr>
  </w:style>
  <w:style w:type="paragraph" w:styleId="Heading5">
    <w:name w:val="heading 5"/>
    <w:basedOn w:val="Normal"/>
    <w:next w:val="Normal"/>
    <w:qFormat/>
    <w:rsid w:val="002C0119"/>
    <w:pPr>
      <w:spacing w:line="240" w:lineRule="auto"/>
      <w:outlineLvl w:val="4"/>
    </w:pPr>
    <w:rPr>
      <w:lang w:val="en-GB"/>
    </w:rPr>
  </w:style>
  <w:style w:type="paragraph" w:styleId="Heading6">
    <w:name w:val="heading 6"/>
    <w:basedOn w:val="Normal"/>
    <w:next w:val="Normal"/>
    <w:qFormat/>
    <w:rsid w:val="002C0119"/>
    <w:pPr>
      <w:spacing w:line="240" w:lineRule="auto"/>
      <w:outlineLvl w:val="5"/>
    </w:pPr>
    <w:rPr>
      <w:lang w:val="en-GB"/>
    </w:rPr>
  </w:style>
  <w:style w:type="paragraph" w:styleId="Heading7">
    <w:name w:val="heading 7"/>
    <w:basedOn w:val="Normal"/>
    <w:next w:val="Normal"/>
    <w:qFormat/>
    <w:rsid w:val="002C0119"/>
    <w:pPr>
      <w:spacing w:line="240" w:lineRule="auto"/>
      <w:outlineLvl w:val="6"/>
    </w:pPr>
    <w:rPr>
      <w:lang w:val="en-GB"/>
    </w:rPr>
  </w:style>
  <w:style w:type="paragraph" w:styleId="Heading8">
    <w:name w:val="heading 8"/>
    <w:basedOn w:val="Normal"/>
    <w:next w:val="Normal"/>
    <w:qFormat/>
    <w:rsid w:val="002C0119"/>
    <w:pPr>
      <w:spacing w:line="240" w:lineRule="auto"/>
      <w:outlineLvl w:val="7"/>
    </w:pPr>
    <w:rPr>
      <w:lang w:val="en-GB"/>
    </w:rPr>
  </w:style>
  <w:style w:type="paragraph" w:styleId="Heading9">
    <w:name w:val="heading 9"/>
    <w:basedOn w:val="Normal"/>
    <w:next w:val="Normal"/>
    <w:qFormat/>
    <w:rsid w:val="002C0119"/>
    <w:pPr>
      <w:spacing w:line="240" w:lineRule="auto"/>
      <w:outlineLvl w:val="8"/>
    </w:pPr>
    <w:rPr>
      <w:lang w:val="en-GB"/>
    </w:rPr>
  </w:style>
  <w:style w:type="character" w:default="1" w:styleId="DefaultParagraphFont">
    <w:name w:val="Default Paragraph Font"/>
    <w:semiHidden/>
    <w:rsid w:val="002C011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2C0119"/>
  </w:style>
  <w:style w:type="paragraph" w:customStyle="1" w:styleId="SingleTxtG">
    <w:name w:val="_ Single Txt_G"/>
    <w:basedOn w:val="Normal"/>
    <w:pPr>
      <w:spacing w:after="120"/>
      <w:ind w:left="1134" w:right="1134"/>
      <w:jc w:val="both"/>
    </w:pPr>
  </w:style>
  <w:style w:type="character" w:customStyle="1" w:styleId="Heading2Char">
    <w:name w:val="Heading 2 Char"/>
    <w:link w:val="Heading2"/>
    <w:rsid w:val="00035EF0"/>
    <w:rPr>
      <w:lang w:val="en-GB" w:eastAsia="en-US" w:bidi="ar-SA"/>
    </w:rPr>
  </w:style>
  <w:style w:type="character" w:customStyle="1" w:styleId="Heading3Char">
    <w:name w:val="Heading 3 Char"/>
    <w:link w:val="Heading3"/>
    <w:rsid w:val="00035EF0"/>
    <w:rPr>
      <w:lang w:val="en-GB" w:eastAsia="en-US" w:bidi="ar-SA"/>
    </w:rPr>
  </w:style>
  <w:style w:type="character" w:customStyle="1" w:styleId="Heading4Char">
    <w:name w:val="Heading 4 Char"/>
    <w:link w:val="Heading4"/>
    <w:rsid w:val="00035EF0"/>
    <w:rPr>
      <w:lang w:val="en-GB" w:eastAsia="en-US" w:bidi="ar-SA"/>
    </w:r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2C0119"/>
    <w:rPr>
      <w:rFonts w:ascii="Times New Roman" w:hAnsi="Times New Roman"/>
      <w:sz w:val="18"/>
      <w:vertAlign w:val="superscript"/>
    </w:rPr>
  </w:style>
  <w:style w:type="character" w:styleId="EndnoteReference">
    <w:name w:val="endnote reference"/>
    <w:aliases w:val="1_G"/>
    <w:basedOn w:val="FootnoteReference"/>
    <w:rsid w:val="002C0119"/>
  </w:style>
  <w:style w:type="paragraph" w:styleId="Header">
    <w:name w:val="header"/>
    <w:aliases w:val="6_G"/>
    <w:basedOn w:val="Normal"/>
    <w:rsid w:val="002C0119"/>
    <w:pPr>
      <w:pBdr>
        <w:bottom w:val="single" w:sz="4" w:space="4" w:color="auto"/>
      </w:pBdr>
      <w:spacing w:line="240" w:lineRule="auto"/>
    </w:pPr>
    <w:rPr>
      <w:b/>
      <w:sz w:val="18"/>
      <w:lang w:val="en-GB"/>
    </w:rPr>
  </w:style>
  <w:style w:type="table" w:styleId="TableGrid">
    <w:name w:val="Table Grid"/>
    <w:basedOn w:val="TableNormal"/>
    <w:semiHidden/>
    <w:rsid w:val="002C0119"/>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6301B4"/>
    <w:rPr>
      <w:color w:val="auto"/>
      <w:u w:val="none"/>
    </w:rPr>
  </w:style>
  <w:style w:type="character" w:styleId="FollowedHyperlink">
    <w:name w:val="FollowedHyperlink"/>
    <w:semiHidden/>
    <w:rsid w:val="006301B4"/>
    <w:rPr>
      <w:color w:val="auto"/>
      <w:u w:val="none"/>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2C0119"/>
    <w:pPr>
      <w:tabs>
        <w:tab w:val="right" w:pos="1021"/>
      </w:tabs>
      <w:spacing w:line="220" w:lineRule="exact"/>
      <w:ind w:left="1134" w:right="1134" w:hanging="1134"/>
    </w:pPr>
    <w:rPr>
      <w:sz w:val="18"/>
      <w:lang/>
    </w:rPr>
  </w:style>
  <w:style w:type="paragraph" w:styleId="EndnoteText">
    <w:name w:val="endnote text"/>
    <w:aliases w:val="2_G"/>
    <w:basedOn w:val="FootnoteText"/>
    <w:rsid w:val="002C0119"/>
  </w:style>
  <w:style w:type="character" w:styleId="PageNumber">
    <w:name w:val="page number"/>
    <w:aliases w:val="7_G"/>
    <w:rsid w:val="002C0119"/>
    <w:rPr>
      <w:rFonts w:ascii="Times New Roman" w:hAnsi="Times New Roman"/>
      <w:b/>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
      </w:numPr>
      <w:spacing w:after="120"/>
      <w:ind w:right="1134"/>
      <w:jc w:val="both"/>
    </w:pPr>
  </w:style>
  <w:style w:type="paragraph" w:styleId="Footer">
    <w:name w:val="footer"/>
    <w:aliases w:val="3_G"/>
    <w:basedOn w:val="Normal"/>
    <w:rsid w:val="002C0119"/>
    <w:pPr>
      <w:spacing w:line="240" w:lineRule="auto"/>
    </w:pPr>
    <w:rPr>
      <w:sz w:val="16"/>
      <w:lang w:val="en-GB"/>
    </w:rPr>
  </w:style>
  <w:style w:type="paragraph" w:customStyle="1" w:styleId="Bullet2G">
    <w:name w:val="_Bullet 2_G"/>
    <w:basedOn w:val="Normal"/>
    <w:rsid w:val="003C2CC4"/>
    <w:pPr>
      <w:numPr>
        <w:numId w:val="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3631A"/>
    <w:pPr>
      <w:keepNext/>
      <w:keepLines/>
      <w:tabs>
        <w:tab w:val="right" w:pos="851"/>
      </w:tabs>
      <w:spacing w:before="240" w:after="120" w:line="240" w:lineRule="exact"/>
      <w:ind w:left="1134" w:right="1134" w:hanging="1134"/>
    </w:pPr>
  </w:style>
  <w:style w:type="paragraph" w:styleId="NormalWeb">
    <w:name w:val="Normal (Web)"/>
    <w:basedOn w:val="Normal"/>
    <w:rsid w:val="00035EF0"/>
    <w:pPr>
      <w:suppressAutoHyphens w:val="0"/>
      <w:spacing w:before="100" w:beforeAutospacing="1" w:after="100" w:afterAutospacing="1" w:line="240" w:lineRule="auto"/>
    </w:pPr>
    <w:rPr>
      <w:rFonts w:ascii="Verdana" w:eastAsia="SimSun" w:hAnsi="Verdana"/>
      <w:color w:val="555555"/>
      <w:sz w:val="17"/>
      <w:szCs w:val="17"/>
      <w:lang w:val="en-US" w:eastAsia="zh-CN"/>
    </w:rPr>
  </w:style>
  <w:style w:type="character" w:customStyle="1" w:styleId="apple-converted-space">
    <w:name w:val="apple-converted-space"/>
    <w:basedOn w:val="DefaultParagraphFont"/>
    <w:rsid w:val="00035EF0"/>
  </w:style>
  <w:style w:type="paragraph" w:styleId="BalloonText">
    <w:name w:val="Balloon Text"/>
    <w:basedOn w:val="Normal"/>
    <w:semiHidden/>
    <w:rsid w:val="00CD584C"/>
    <w:rPr>
      <w:rFonts w:ascii="Tahoma" w:hAnsi="Tahoma" w:cs="Tahoma"/>
      <w:sz w:val="16"/>
      <w:szCs w:val="16"/>
    </w:rPr>
  </w:style>
  <w:style w:type="character" w:styleId="CommentReference">
    <w:name w:val="annotation reference"/>
    <w:rsid w:val="00053D3B"/>
    <w:rPr>
      <w:sz w:val="16"/>
      <w:szCs w:val="16"/>
    </w:rPr>
  </w:style>
  <w:style w:type="paragraph" w:styleId="CommentText">
    <w:name w:val="annotation text"/>
    <w:basedOn w:val="Normal"/>
    <w:link w:val="CommentTextChar"/>
    <w:rsid w:val="00053D3B"/>
  </w:style>
  <w:style w:type="character" w:customStyle="1" w:styleId="CommentTextChar">
    <w:name w:val="Comment Text Char"/>
    <w:link w:val="CommentText"/>
    <w:rsid w:val="00053D3B"/>
    <w:rPr>
      <w:lang w:val="es-ES" w:eastAsia="en-US"/>
    </w:rPr>
  </w:style>
  <w:style w:type="paragraph" w:styleId="CommentSubject">
    <w:name w:val="annotation subject"/>
    <w:basedOn w:val="CommentText"/>
    <w:next w:val="CommentText"/>
    <w:link w:val="CommentSubjectChar"/>
    <w:rsid w:val="00053D3B"/>
    <w:rPr>
      <w:b/>
      <w:bCs/>
    </w:rPr>
  </w:style>
  <w:style w:type="character" w:customStyle="1" w:styleId="CommentSubjectChar">
    <w:name w:val="Comment Subject Char"/>
    <w:link w:val="CommentSubject"/>
    <w:rsid w:val="00053D3B"/>
    <w:rPr>
      <w:b/>
      <w:bCs/>
      <w:lang w:val="es-ES" w:eastAsia="en-US"/>
    </w:rPr>
  </w:style>
  <w:style w:type="character" w:customStyle="1" w:styleId="FootnoteTextChar">
    <w:name w:val="Footnote Text Char"/>
    <w:aliases w:val="5_G Char"/>
    <w:link w:val="FootnoteText"/>
    <w:rsid w:val="00DA7AB4"/>
    <w:rPr>
      <w:sz w:val="18"/>
      <w:lang w:eastAsia="en-US"/>
    </w:rPr>
  </w:style>
  <w:style w:type="character" w:customStyle="1" w:styleId="hps">
    <w:name w:val="hps"/>
    <w:rsid w:val="007C13E7"/>
  </w:style>
</w:styles>
</file>

<file path=word/webSettings.xml><?xml version="1.0" encoding="utf-8"?>
<w:webSettings xmlns:r="http://schemas.openxmlformats.org/officeDocument/2006/relationships" xmlns:w="http://schemas.openxmlformats.org/wordprocessingml/2006/main">
  <w:divs>
    <w:div w:id="925846832">
      <w:bodyDiv w:val="1"/>
      <w:marLeft w:val="0"/>
      <w:marRight w:val="0"/>
      <w:marTop w:val="0"/>
      <w:marBottom w:val="0"/>
      <w:divBdr>
        <w:top w:val="none" w:sz="0" w:space="0" w:color="auto"/>
        <w:left w:val="none" w:sz="0" w:space="0" w:color="auto"/>
        <w:bottom w:val="none" w:sz="0" w:space="0" w:color="auto"/>
        <w:right w:val="none" w:sz="0" w:space="0" w:color="auto"/>
      </w:divBdr>
    </w:div>
    <w:div w:id="167545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3126</Words>
  <Characters>17821</Characters>
  <Application>Microsoft Office Outlook</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Naciones Unidas</vt:lpstr>
    </vt:vector>
  </TitlesOfParts>
  <Company>CSD</Company>
  <LinksUpToDate>false</LinksUpToDate>
  <CharactersWithSpaces>20906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OHCHR</dc:creator>
  <cp:keywords/>
  <cp:lastModifiedBy>DCM</cp:lastModifiedBy>
  <cp:revision>2</cp:revision>
  <cp:lastPrinted>2013-05-15T14:29:00Z</cp:lastPrinted>
  <dcterms:created xsi:type="dcterms:W3CDTF">2013-05-28T08:22:00Z</dcterms:created>
  <dcterms:modified xsi:type="dcterms:W3CDTF">2013-05-28T08:22:00Z</dcterms:modified>
</cp:coreProperties>
</file>