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5ADBC8CF" w14:textId="77777777" w:rsidTr="008F3CA0">
        <w:trPr>
          <w:trHeight w:hRule="exact" w:val="851"/>
        </w:trPr>
        <w:tc>
          <w:tcPr>
            <w:tcW w:w="1276" w:type="dxa"/>
            <w:tcBorders>
              <w:bottom w:val="single" w:sz="4" w:space="0" w:color="auto"/>
            </w:tcBorders>
          </w:tcPr>
          <w:p w14:paraId="463845A9" w14:textId="77777777" w:rsidR="000354E9" w:rsidRPr="00DB58B5" w:rsidRDefault="000354E9" w:rsidP="00FC307B"/>
        </w:tc>
        <w:tc>
          <w:tcPr>
            <w:tcW w:w="2268" w:type="dxa"/>
            <w:tcBorders>
              <w:bottom w:val="single" w:sz="4" w:space="0" w:color="auto"/>
            </w:tcBorders>
            <w:vAlign w:val="bottom"/>
          </w:tcPr>
          <w:p w14:paraId="77D52BF3"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03F506" w14:textId="4B6B904F" w:rsidR="000354E9" w:rsidRPr="00DB58B5" w:rsidRDefault="00FC307B" w:rsidP="00FC307B">
            <w:pPr>
              <w:jc w:val="right"/>
            </w:pPr>
            <w:r w:rsidRPr="00FC307B">
              <w:rPr>
                <w:sz w:val="40"/>
              </w:rPr>
              <w:t>CRC</w:t>
            </w:r>
            <w:r>
              <w:t>/C/89/D/41/2018</w:t>
            </w:r>
          </w:p>
        </w:tc>
      </w:tr>
      <w:tr w:rsidR="000354E9" w:rsidRPr="00DB58B5" w14:paraId="04DD6529" w14:textId="77777777" w:rsidTr="008F3CA0">
        <w:trPr>
          <w:trHeight w:hRule="exact" w:val="2835"/>
        </w:trPr>
        <w:tc>
          <w:tcPr>
            <w:tcW w:w="1276" w:type="dxa"/>
            <w:tcBorders>
              <w:top w:val="single" w:sz="4" w:space="0" w:color="auto"/>
              <w:bottom w:val="single" w:sz="12" w:space="0" w:color="auto"/>
            </w:tcBorders>
          </w:tcPr>
          <w:p w14:paraId="3CB3A10A" w14:textId="77777777" w:rsidR="000354E9" w:rsidRPr="00DB58B5" w:rsidRDefault="000354E9" w:rsidP="008F3CA0">
            <w:pPr>
              <w:spacing w:before="120"/>
              <w:jc w:val="center"/>
            </w:pPr>
            <w:r>
              <w:rPr>
                <w:noProof/>
                <w:lang w:eastAsia="fr-CH"/>
              </w:rPr>
              <w:drawing>
                <wp:inline distT="0" distB="0" distL="0" distR="0" wp14:anchorId="5AAC37B5" wp14:editId="1BE20B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35CF6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6723B428" w14:textId="77777777" w:rsidR="000354E9" w:rsidRDefault="00FC307B" w:rsidP="008F3CA0">
            <w:pPr>
              <w:spacing w:before="240"/>
            </w:pPr>
            <w:r>
              <w:t>Distr. générale</w:t>
            </w:r>
          </w:p>
          <w:p w14:paraId="3EACD548" w14:textId="77777777" w:rsidR="00FC307B" w:rsidRDefault="00FC307B" w:rsidP="00FC307B">
            <w:pPr>
              <w:spacing w:line="240" w:lineRule="exact"/>
            </w:pPr>
            <w:r>
              <w:t>10 mars 2022</w:t>
            </w:r>
          </w:p>
          <w:p w14:paraId="4E909118" w14:textId="77777777" w:rsidR="00FC307B" w:rsidRDefault="00FC307B" w:rsidP="00FC307B">
            <w:pPr>
              <w:spacing w:line="240" w:lineRule="exact"/>
            </w:pPr>
            <w:r>
              <w:t>Français</w:t>
            </w:r>
          </w:p>
          <w:p w14:paraId="75637DC8" w14:textId="7C3A2FBC" w:rsidR="00FC307B" w:rsidRPr="00DB58B5" w:rsidRDefault="00FC307B" w:rsidP="00FC307B">
            <w:pPr>
              <w:spacing w:line="240" w:lineRule="exact"/>
            </w:pPr>
            <w:r>
              <w:t>Original : espagnol</w:t>
            </w:r>
          </w:p>
        </w:tc>
      </w:tr>
    </w:tbl>
    <w:p w14:paraId="3C7E80FB" w14:textId="77777777" w:rsidR="002D14A3" w:rsidRDefault="002D14A3" w:rsidP="002D14A3">
      <w:pPr>
        <w:spacing w:before="120"/>
        <w:rPr>
          <w:b/>
          <w:sz w:val="24"/>
          <w:szCs w:val="24"/>
        </w:rPr>
      </w:pPr>
      <w:r w:rsidRPr="00DA3BE9">
        <w:rPr>
          <w:b/>
          <w:sz w:val="24"/>
          <w:szCs w:val="24"/>
        </w:rPr>
        <w:t>Comité des droits de l’enfant</w:t>
      </w:r>
    </w:p>
    <w:p w14:paraId="60B23F36" w14:textId="5436E888" w:rsidR="00FC307B" w:rsidRPr="00747E50" w:rsidRDefault="00FC307B" w:rsidP="00FC307B">
      <w:pPr>
        <w:pStyle w:val="HChG"/>
        <w:rPr>
          <w:lang w:val="fr-FR"/>
        </w:rPr>
      </w:pPr>
      <w:r>
        <w:rPr>
          <w:lang w:val="fr-FR"/>
        </w:rPr>
        <w:tab/>
      </w:r>
      <w:r>
        <w:rPr>
          <w:lang w:val="fr-FR"/>
        </w:rPr>
        <w:tab/>
        <w:t xml:space="preserve">Décision adoptée par le Comité au titre du Protocole facultatif à la Convention relative aux droits de l’enfant établissant une procédure de présentation </w:t>
      </w:r>
      <w:r>
        <w:rPr>
          <w:lang w:val="fr-FR"/>
        </w:rPr>
        <w:br/>
      </w:r>
      <w:r>
        <w:rPr>
          <w:lang w:val="fr-FR"/>
        </w:rPr>
        <w:t xml:space="preserve">de communications, concernant </w:t>
      </w:r>
      <w:r>
        <w:rPr>
          <w:lang w:val="fr-FR"/>
        </w:rPr>
        <w:br/>
      </w:r>
      <w:r>
        <w:rPr>
          <w:lang w:val="fr-FR"/>
        </w:rPr>
        <w:t>la communication n</w:t>
      </w:r>
      <w:r w:rsidRPr="00B50588">
        <w:rPr>
          <w:vertAlign w:val="superscript"/>
          <w:lang w:val="fr-FR"/>
        </w:rPr>
        <w:t>o</w:t>
      </w:r>
      <w:r>
        <w:rPr>
          <w:lang w:val="fr-FR"/>
        </w:rPr>
        <w:t> 41/2018</w:t>
      </w:r>
      <w:r w:rsidRPr="00FC307B">
        <w:rPr>
          <w:rStyle w:val="Appelnotedebasdep"/>
          <w:b w:val="0"/>
          <w:bCs/>
          <w:sz w:val="20"/>
          <w:vertAlign w:val="baseline"/>
          <w:lang w:val="fr-FR"/>
        </w:rPr>
        <w:footnoteReference w:customMarkFollows="1" w:id="2"/>
        <w:t>*</w:t>
      </w:r>
      <w:r w:rsidRPr="00FC307B">
        <w:rPr>
          <w:sz w:val="20"/>
          <w:vertAlign w:val="superscript"/>
          <w:lang w:val="fr-FR"/>
        </w:rPr>
        <w:t>,</w:t>
      </w:r>
      <w:r w:rsidRPr="00FC307B">
        <w:rPr>
          <w:sz w:val="20"/>
          <w:lang w:val="fr-FR"/>
        </w:rPr>
        <w:t xml:space="preserve"> </w:t>
      </w:r>
      <w:r w:rsidRPr="00FC307B">
        <w:rPr>
          <w:rStyle w:val="Appelnotedebasdep"/>
          <w:b w:val="0"/>
          <w:bCs/>
          <w:sz w:val="20"/>
          <w:vertAlign w:val="baseline"/>
          <w:lang w:val="fr-FR"/>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FC307B" w:rsidRPr="00CC549F" w14:paraId="161D4CD3" w14:textId="77777777" w:rsidTr="002E2BF4">
        <w:tc>
          <w:tcPr>
            <w:tcW w:w="2694" w:type="dxa"/>
          </w:tcPr>
          <w:p w14:paraId="312FE16C" w14:textId="77777777" w:rsidR="00FC307B" w:rsidRDefault="00FC307B" w:rsidP="002E2BF4">
            <w:pPr>
              <w:pStyle w:val="SingleTxtG"/>
              <w:ind w:left="0" w:right="0"/>
              <w:jc w:val="left"/>
              <w:rPr>
                <w:i/>
              </w:rPr>
            </w:pPr>
            <w:r>
              <w:rPr>
                <w:i/>
                <w:iCs/>
                <w:lang w:val="fr-FR"/>
              </w:rPr>
              <w:t>Communication présentée par </w:t>
            </w:r>
            <w:r w:rsidRPr="00CC549F">
              <w:rPr>
                <w:lang w:val="fr-FR"/>
              </w:rPr>
              <w:t>:</w:t>
            </w:r>
          </w:p>
        </w:tc>
        <w:tc>
          <w:tcPr>
            <w:tcW w:w="4111" w:type="dxa"/>
          </w:tcPr>
          <w:p w14:paraId="14E7A7CE" w14:textId="661C5D09" w:rsidR="00FC307B" w:rsidRPr="00747E50" w:rsidRDefault="00FC307B" w:rsidP="002E2BF4">
            <w:pPr>
              <w:pStyle w:val="SingleTxtG"/>
              <w:ind w:left="0" w:right="0"/>
              <w:jc w:val="left"/>
              <w:rPr>
                <w:lang w:val="fr-FR"/>
              </w:rPr>
            </w:pPr>
            <w:r>
              <w:rPr>
                <w:lang w:val="fr-FR"/>
              </w:rPr>
              <w:t>M. A. B. (représenté par un conseil, Francisco</w:t>
            </w:r>
            <w:r>
              <w:rPr>
                <w:lang w:val="fr-FR"/>
              </w:rPr>
              <w:t> </w:t>
            </w:r>
            <w:proofErr w:type="spellStart"/>
            <w:r>
              <w:rPr>
                <w:lang w:val="fr-FR"/>
              </w:rPr>
              <w:t>Solans</w:t>
            </w:r>
            <w:proofErr w:type="spellEnd"/>
            <w:r>
              <w:rPr>
                <w:lang w:val="fr-FR"/>
              </w:rPr>
              <w:t xml:space="preserve"> </w:t>
            </w:r>
            <w:proofErr w:type="spellStart"/>
            <w:r>
              <w:rPr>
                <w:lang w:val="fr-FR"/>
              </w:rPr>
              <w:t>Puyuelo</w:t>
            </w:r>
            <w:proofErr w:type="spellEnd"/>
            <w:r>
              <w:rPr>
                <w:lang w:val="fr-FR"/>
              </w:rPr>
              <w:t>)</w:t>
            </w:r>
          </w:p>
        </w:tc>
      </w:tr>
      <w:tr w:rsidR="00FC307B" w14:paraId="104AC823" w14:textId="77777777" w:rsidTr="002E2BF4">
        <w:tc>
          <w:tcPr>
            <w:tcW w:w="2694" w:type="dxa"/>
          </w:tcPr>
          <w:p w14:paraId="7D18FCF6" w14:textId="77777777" w:rsidR="00FC307B" w:rsidRDefault="00FC307B" w:rsidP="002E2BF4">
            <w:pPr>
              <w:pStyle w:val="SingleTxtG"/>
              <w:ind w:left="0" w:right="0"/>
              <w:jc w:val="left"/>
              <w:rPr>
                <w:i/>
              </w:rPr>
            </w:pPr>
            <w:r>
              <w:rPr>
                <w:i/>
                <w:iCs/>
                <w:lang w:val="fr-FR"/>
              </w:rPr>
              <w:t>Victime(s) présumée(s) </w:t>
            </w:r>
            <w:r w:rsidRPr="00CC549F">
              <w:rPr>
                <w:lang w:val="fr-FR"/>
              </w:rPr>
              <w:t>:</w:t>
            </w:r>
          </w:p>
        </w:tc>
        <w:tc>
          <w:tcPr>
            <w:tcW w:w="4111" w:type="dxa"/>
          </w:tcPr>
          <w:p w14:paraId="42AD600E" w14:textId="77777777" w:rsidR="00FC307B" w:rsidRDefault="00FC307B" w:rsidP="002E2BF4">
            <w:pPr>
              <w:pStyle w:val="SingleTxtG"/>
              <w:ind w:left="0" w:right="0"/>
              <w:jc w:val="left"/>
            </w:pPr>
            <w:r>
              <w:rPr>
                <w:lang w:val="fr-FR"/>
              </w:rPr>
              <w:t>L’auteur</w:t>
            </w:r>
          </w:p>
        </w:tc>
      </w:tr>
      <w:tr w:rsidR="00FC307B" w14:paraId="36D66508" w14:textId="77777777" w:rsidTr="002E2BF4">
        <w:tc>
          <w:tcPr>
            <w:tcW w:w="2694" w:type="dxa"/>
          </w:tcPr>
          <w:p w14:paraId="1FECB265" w14:textId="77777777" w:rsidR="00FC307B" w:rsidRDefault="00FC307B" w:rsidP="002E2BF4">
            <w:pPr>
              <w:pStyle w:val="SingleTxtG"/>
              <w:ind w:left="0" w:right="0"/>
              <w:jc w:val="left"/>
              <w:rPr>
                <w:i/>
              </w:rPr>
            </w:pPr>
            <w:r>
              <w:rPr>
                <w:i/>
                <w:iCs/>
                <w:lang w:val="fr-FR"/>
              </w:rPr>
              <w:t>État partie </w:t>
            </w:r>
            <w:r w:rsidRPr="00CC549F">
              <w:rPr>
                <w:lang w:val="fr-FR"/>
              </w:rPr>
              <w:t>:</w:t>
            </w:r>
          </w:p>
        </w:tc>
        <w:tc>
          <w:tcPr>
            <w:tcW w:w="4111" w:type="dxa"/>
          </w:tcPr>
          <w:p w14:paraId="568491B3" w14:textId="0876A728" w:rsidR="00FC307B" w:rsidRDefault="00FC307B" w:rsidP="002E2BF4">
            <w:pPr>
              <w:pStyle w:val="SingleTxtG"/>
              <w:ind w:left="0" w:right="0"/>
              <w:jc w:val="left"/>
            </w:pPr>
            <w:r>
              <w:rPr>
                <w:lang w:val="fr-FR"/>
              </w:rPr>
              <w:t>Espagne</w:t>
            </w:r>
          </w:p>
        </w:tc>
      </w:tr>
      <w:tr w:rsidR="00FC307B" w:rsidRPr="00CC549F" w14:paraId="43F71B26" w14:textId="77777777" w:rsidTr="002E2BF4">
        <w:tc>
          <w:tcPr>
            <w:tcW w:w="2694" w:type="dxa"/>
          </w:tcPr>
          <w:p w14:paraId="59EEB80D" w14:textId="77777777" w:rsidR="00FC307B" w:rsidRDefault="00FC307B" w:rsidP="002E2BF4">
            <w:pPr>
              <w:pStyle w:val="SingleTxtG"/>
              <w:ind w:left="0" w:right="0"/>
              <w:jc w:val="left"/>
              <w:rPr>
                <w:i/>
              </w:rPr>
            </w:pPr>
            <w:r>
              <w:rPr>
                <w:i/>
                <w:iCs/>
                <w:lang w:val="fr-FR"/>
              </w:rPr>
              <w:t>Date de la communication </w:t>
            </w:r>
            <w:r w:rsidRPr="00CC549F">
              <w:rPr>
                <w:lang w:val="fr-FR"/>
              </w:rPr>
              <w:t>:</w:t>
            </w:r>
          </w:p>
        </w:tc>
        <w:tc>
          <w:tcPr>
            <w:tcW w:w="4111" w:type="dxa"/>
          </w:tcPr>
          <w:p w14:paraId="3617A3E3" w14:textId="77777777" w:rsidR="00FC307B" w:rsidRPr="00747E50" w:rsidRDefault="00FC307B" w:rsidP="002E2BF4">
            <w:pPr>
              <w:pStyle w:val="SingleTxtG"/>
              <w:ind w:left="0" w:right="0"/>
              <w:jc w:val="left"/>
              <w:rPr>
                <w:lang w:val="fr-FR"/>
              </w:rPr>
            </w:pPr>
            <w:r>
              <w:rPr>
                <w:lang w:val="fr-FR"/>
              </w:rPr>
              <w:t>9 février 2018 (date de la lettre initiale)</w:t>
            </w:r>
          </w:p>
        </w:tc>
      </w:tr>
      <w:tr w:rsidR="00FC307B" w:rsidRPr="00CC549F" w14:paraId="6B300603" w14:textId="77777777" w:rsidTr="002E2BF4">
        <w:tc>
          <w:tcPr>
            <w:tcW w:w="2694" w:type="dxa"/>
          </w:tcPr>
          <w:p w14:paraId="79D958EB" w14:textId="77777777" w:rsidR="00FC307B" w:rsidRDefault="00FC307B" w:rsidP="002E2BF4">
            <w:pPr>
              <w:pStyle w:val="SingleTxtG"/>
              <w:ind w:left="0" w:right="0"/>
              <w:jc w:val="left"/>
              <w:rPr>
                <w:i/>
              </w:rPr>
            </w:pPr>
            <w:r>
              <w:rPr>
                <w:i/>
                <w:iCs/>
                <w:lang w:val="fr-FR"/>
              </w:rPr>
              <w:t>Objet </w:t>
            </w:r>
            <w:r w:rsidRPr="00CC549F">
              <w:rPr>
                <w:lang w:val="fr-FR"/>
              </w:rPr>
              <w:t>:</w:t>
            </w:r>
          </w:p>
        </w:tc>
        <w:tc>
          <w:tcPr>
            <w:tcW w:w="4111" w:type="dxa"/>
            <w:vAlign w:val="bottom"/>
          </w:tcPr>
          <w:p w14:paraId="22352097" w14:textId="77777777" w:rsidR="00FC307B" w:rsidRPr="00747E50" w:rsidRDefault="00FC307B" w:rsidP="002E2BF4">
            <w:pPr>
              <w:pStyle w:val="SingleTxtG"/>
              <w:ind w:left="0" w:right="0"/>
              <w:jc w:val="left"/>
              <w:rPr>
                <w:lang w:val="fr-FR"/>
              </w:rPr>
            </w:pPr>
            <w:r>
              <w:rPr>
                <w:lang w:val="fr-FR"/>
              </w:rPr>
              <w:t>Procédure de détermination de l’âge d’un enfant non accompagné</w:t>
            </w:r>
          </w:p>
        </w:tc>
      </w:tr>
      <w:tr w:rsidR="00FC307B" w:rsidRPr="00CC549F" w14:paraId="4D6E18DB" w14:textId="77777777" w:rsidTr="002E2BF4">
        <w:tc>
          <w:tcPr>
            <w:tcW w:w="2694" w:type="dxa"/>
          </w:tcPr>
          <w:p w14:paraId="2C639408" w14:textId="77777777" w:rsidR="00FC307B" w:rsidRDefault="00FC307B" w:rsidP="002E2BF4">
            <w:pPr>
              <w:pStyle w:val="SingleTxtG"/>
              <w:ind w:left="0" w:right="0"/>
              <w:jc w:val="left"/>
              <w:rPr>
                <w:i/>
              </w:rPr>
            </w:pPr>
            <w:r>
              <w:rPr>
                <w:i/>
                <w:iCs/>
                <w:lang w:val="fr-FR"/>
              </w:rPr>
              <w:t>Question(s) de fond </w:t>
            </w:r>
            <w:r w:rsidRPr="00CC549F">
              <w:rPr>
                <w:lang w:val="fr-FR"/>
              </w:rPr>
              <w:t>:</w:t>
            </w:r>
          </w:p>
        </w:tc>
        <w:tc>
          <w:tcPr>
            <w:tcW w:w="4111" w:type="dxa"/>
            <w:vAlign w:val="bottom"/>
          </w:tcPr>
          <w:p w14:paraId="0332C2F6" w14:textId="77777777" w:rsidR="00FC307B" w:rsidRPr="00747E50" w:rsidRDefault="00FC307B" w:rsidP="002E2BF4">
            <w:pPr>
              <w:pStyle w:val="SingleTxtG"/>
              <w:ind w:left="0" w:right="0"/>
              <w:jc w:val="left"/>
              <w:rPr>
                <w:lang w:val="fr-FR"/>
              </w:rPr>
            </w:pPr>
            <w:r>
              <w:rPr>
                <w:lang w:val="fr-FR"/>
              </w:rPr>
              <w:t>Intérêt supérieur de l’enfant ; droit à l’identité ; droit d’être entendu ; droit à un tuteur ; droit au développement ; droit à une protection et à une aide spéciales de l’État</w:t>
            </w:r>
          </w:p>
        </w:tc>
      </w:tr>
      <w:tr w:rsidR="00FC307B" w14:paraId="4E054008" w14:textId="77777777" w:rsidTr="002E2BF4">
        <w:tc>
          <w:tcPr>
            <w:tcW w:w="2694" w:type="dxa"/>
          </w:tcPr>
          <w:p w14:paraId="13BC59F6" w14:textId="77777777" w:rsidR="00FC307B" w:rsidRPr="00747E50" w:rsidRDefault="00FC307B" w:rsidP="002E2BF4">
            <w:pPr>
              <w:pStyle w:val="SingleTxtG"/>
              <w:ind w:left="0" w:right="0"/>
              <w:jc w:val="left"/>
              <w:rPr>
                <w:i/>
                <w:lang w:val="fr-FR"/>
              </w:rPr>
            </w:pPr>
            <w:r>
              <w:rPr>
                <w:i/>
                <w:iCs/>
                <w:lang w:val="fr-FR"/>
              </w:rPr>
              <w:t>Article(s) de la Convention </w:t>
            </w:r>
            <w:r w:rsidRPr="00CC549F">
              <w:rPr>
                <w:lang w:val="fr-FR"/>
              </w:rPr>
              <w:t>:</w:t>
            </w:r>
          </w:p>
        </w:tc>
        <w:tc>
          <w:tcPr>
            <w:tcW w:w="4111" w:type="dxa"/>
            <w:vAlign w:val="bottom"/>
          </w:tcPr>
          <w:p w14:paraId="3BD3F906" w14:textId="10F10DCC" w:rsidR="00FC307B" w:rsidRDefault="00FC307B" w:rsidP="002E2BF4">
            <w:pPr>
              <w:pStyle w:val="SingleTxtG"/>
              <w:ind w:left="0" w:right="0"/>
              <w:jc w:val="left"/>
            </w:pPr>
            <w:r>
              <w:rPr>
                <w:lang w:val="fr-FR"/>
              </w:rPr>
              <w:t>3, 8, 18 (par.</w:t>
            </w:r>
            <w:r>
              <w:rPr>
                <w:lang w:val="fr-FR"/>
              </w:rPr>
              <w:t xml:space="preserve"> </w:t>
            </w:r>
            <w:r>
              <w:rPr>
                <w:lang w:val="fr-FR"/>
              </w:rPr>
              <w:t>2), 20, 27 et 29</w:t>
            </w:r>
          </w:p>
        </w:tc>
      </w:tr>
    </w:tbl>
    <w:p w14:paraId="3A765F7A" w14:textId="77777777" w:rsidR="00FC307B" w:rsidRPr="00747E50" w:rsidRDefault="00FC307B" w:rsidP="00FC307B">
      <w:pPr>
        <w:pStyle w:val="SingleTxtG"/>
        <w:rPr>
          <w:lang w:val="fr-FR"/>
        </w:rPr>
      </w:pPr>
      <w:r>
        <w:rPr>
          <w:lang w:val="fr-FR"/>
        </w:rPr>
        <w:t>1.</w:t>
      </w:r>
      <w:r>
        <w:rPr>
          <w:lang w:val="fr-FR"/>
        </w:rPr>
        <w:tab/>
        <w:t>L’auteur de la communication est M. A. B., de nationalité guinéenne, âgé de 14 ans au moment de la présentation de la communication. Il affirme que l’État partie a violé les droits qu’il tient de l’article 3, lu conjointement avec les articles 18 (par. 2) et 20 (par. 1) et les articles 8, 20, 27 et 29 de la Convention. Le Protocole facultatif est entré en vigueur pour l’État partie le 14 avril 2014.</w:t>
      </w:r>
    </w:p>
    <w:p w14:paraId="6A39ACBA" w14:textId="77777777" w:rsidR="00FC307B" w:rsidRPr="00747E50" w:rsidRDefault="00FC307B" w:rsidP="00FC307B">
      <w:pPr>
        <w:pStyle w:val="SingleTxtG"/>
        <w:rPr>
          <w:lang w:val="fr-FR"/>
        </w:rPr>
      </w:pPr>
      <w:r>
        <w:rPr>
          <w:lang w:val="fr-FR"/>
        </w:rPr>
        <w:t>2.</w:t>
      </w:r>
      <w:r>
        <w:rPr>
          <w:lang w:val="fr-FR"/>
        </w:rPr>
        <w:tab/>
        <w:t>Le 22 janvier 2018, l’auteur a été intercepté par la police des frontières de l’État partie à bord d’une embarcation au large d’</w:t>
      </w:r>
      <w:r w:rsidRPr="00DA6D5B">
        <w:rPr>
          <w:lang w:val="fr-FR"/>
        </w:rPr>
        <w:t>Almería</w:t>
      </w:r>
      <w:r>
        <w:rPr>
          <w:lang w:val="fr-FR"/>
        </w:rPr>
        <w:t>. Il n’avait pas de papiers, mais a dit être mineur. Il a été emmené à l’hôpital, où a été réalisée une radiographie de son poignet gauche, qui a permis de conclure qu’il avait 18 ans. Le ministère public a émis une décision le déclarant majeur. Le 23 janvier, un arrêté d’expulsion a été pris contre lui et le juge d’instruction d’Almería a ordonné son placement dans un centre pour migrants. Le 8 février 2018, par l’intermédiaire de la Croix-Rouge, l’auteur a obtenu une copie de son acte de naissance, qu’il a présenté au Bureau du Procureur, demandant à être reconnu comme mineur. Sa demande a été rejetée le jour même au motif que la validité du document ne pouvait être établie et que l’examen médical qui avait été pratiqué avait déjà permis de conclure qu’il était majeur.</w:t>
      </w:r>
    </w:p>
    <w:p w14:paraId="41A43A81" w14:textId="77777777" w:rsidR="00FC307B" w:rsidRPr="00747E50" w:rsidRDefault="00FC307B" w:rsidP="00FC307B">
      <w:pPr>
        <w:pStyle w:val="SingleTxtG"/>
        <w:rPr>
          <w:lang w:val="fr-FR"/>
        </w:rPr>
      </w:pPr>
      <w:r>
        <w:rPr>
          <w:lang w:val="fr-FR"/>
        </w:rPr>
        <w:lastRenderedPageBreak/>
        <w:t>3.</w:t>
      </w:r>
      <w:r>
        <w:rPr>
          <w:lang w:val="fr-FR"/>
        </w:rPr>
        <w:tab/>
        <w:t xml:space="preserve">Le 22 février 2018, le Groupe de travail des communications, agissant au nom du Comité et se fondant sur l’article 6 du Protocole facultatif, a demandé à l’État partie de prendre des mesures provisoires tendant à suspendre l’exécution de l’arrêté d’expulsion de l’auteur tant que sa communication serait à l’examen et à transférer l’intéressé dans un centre de protection pour mineurs. </w:t>
      </w:r>
    </w:p>
    <w:p w14:paraId="54654605" w14:textId="77777777" w:rsidR="00FC307B" w:rsidRPr="00747E50" w:rsidRDefault="00FC307B" w:rsidP="00FC307B">
      <w:pPr>
        <w:pStyle w:val="SingleTxtG"/>
        <w:rPr>
          <w:lang w:val="fr-FR"/>
        </w:rPr>
      </w:pPr>
      <w:r>
        <w:rPr>
          <w:lang w:val="fr-FR"/>
        </w:rPr>
        <w:t>4.</w:t>
      </w:r>
      <w:r>
        <w:rPr>
          <w:lang w:val="fr-FR"/>
        </w:rPr>
        <w:tab/>
        <w:t>Le 11 février 2019, l’État partie a présenté ses observations sur la recevabilité et le fond de la communication. Malgré plusieurs rappels du secrétariat, l’auteur n’a pas soumis de commentaires au sujet des observations de l’État partie sur la recevabilité et le fond.</w:t>
      </w:r>
    </w:p>
    <w:p w14:paraId="4C3C21E1" w14:textId="77777777" w:rsidR="00FC307B" w:rsidRPr="00747E50" w:rsidRDefault="00FC307B" w:rsidP="00FC307B">
      <w:pPr>
        <w:pStyle w:val="SingleTxtG"/>
        <w:rPr>
          <w:u w:val="single"/>
          <w:lang w:val="fr-FR"/>
        </w:rPr>
      </w:pPr>
      <w:r>
        <w:rPr>
          <w:lang w:val="fr-FR"/>
        </w:rPr>
        <w:t>5.</w:t>
      </w:r>
      <w:r>
        <w:rPr>
          <w:lang w:val="fr-FR"/>
        </w:rPr>
        <w:tab/>
        <w:t>Réuni le 8 février 2022, le Comité constate que le conseil de l’auteur n’a pas soumis de commentaires au sujet de la recevabilité et du fond de la communication. Il en conclut que l’auteur s’est désintéressé de la communication n</w:t>
      </w:r>
      <w:r w:rsidRPr="00722259">
        <w:rPr>
          <w:vertAlign w:val="superscript"/>
          <w:lang w:val="fr-FR"/>
        </w:rPr>
        <w:t>o</w:t>
      </w:r>
      <w:r>
        <w:rPr>
          <w:lang w:val="fr-FR"/>
        </w:rPr>
        <w:t> 41/2018 et décide de mettre fin à l’examen de celle-ci, conformément à l’article 26 de son règlement intérieur au titre du Protocole facultatif à la Convention relative aux droits de l’enfant établissant une procédure de présentation de communications.</w:t>
      </w:r>
    </w:p>
    <w:p w14:paraId="3D49595F" w14:textId="57D46B32" w:rsidR="007341B7" w:rsidRPr="00FC307B" w:rsidRDefault="00FC307B" w:rsidP="00FC307B">
      <w:pPr>
        <w:pStyle w:val="SingleTxtG"/>
        <w:spacing w:before="240" w:after="0"/>
        <w:jc w:val="center"/>
        <w:rPr>
          <w:lang w:val="fr-FR"/>
        </w:rPr>
      </w:pPr>
      <w:r w:rsidRPr="00747E50">
        <w:rPr>
          <w:u w:val="single"/>
          <w:lang w:val="fr-FR"/>
        </w:rPr>
        <w:tab/>
      </w:r>
      <w:r w:rsidRPr="00747E50">
        <w:rPr>
          <w:u w:val="single"/>
          <w:lang w:val="fr-FR"/>
        </w:rPr>
        <w:tab/>
      </w:r>
      <w:r w:rsidRPr="00747E50">
        <w:rPr>
          <w:u w:val="single"/>
          <w:lang w:val="fr-FR"/>
        </w:rPr>
        <w:tab/>
      </w:r>
      <w:r w:rsidRPr="00747E50">
        <w:rPr>
          <w:u w:val="single"/>
          <w:lang w:val="fr-FR"/>
        </w:rPr>
        <w:tab/>
      </w:r>
    </w:p>
    <w:sectPr w:rsidR="007341B7" w:rsidRPr="00FC307B" w:rsidSect="00FC30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BEFD" w14:textId="77777777" w:rsidR="00DD1208" w:rsidRDefault="00DD1208" w:rsidP="00F95C08">
      <w:pPr>
        <w:spacing w:line="240" w:lineRule="auto"/>
      </w:pPr>
    </w:p>
  </w:endnote>
  <w:endnote w:type="continuationSeparator" w:id="0">
    <w:p w14:paraId="0CCF2201" w14:textId="77777777" w:rsidR="00DD1208" w:rsidRPr="00AC3823" w:rsidRDefault="00DD1208" w:rsidP="00AC3823">
      <w:pPr>
        <w:pStyle w:val="Pieddepage"/>
      </w:pPr>
    </w:p>
  </w:endnote>
  <w:endnote w:type="continuationNotice" w:id="1">
    <w:p w14:paraId="2E879F43" w14:textId="77777777" w:rsidR="00DD1208" w:rsidRDefault="00DD12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2BA" w14:textId="2220074E" w:rsidR="00FC307B" w:rsidRPr="00FC307B" w:rsidRDefault="00FC307B" w:rsidP="00FC307B">
    <w:pPr>
      <w:pStyle w:val="Pieddepage"/>
      <w:tabs>
        <w:tab w:val="right" w:pos="9638"/>
      </w:tabs>
    </w:pPr>
    <w:r w:rsidRPr="00FC307B">
      <w:rPr>
        <w:b/>
        <w:sz w:val="18"/>
      </w:rPr>
      <w:fldChar w:fldCharType="begin"/>
    </w:r>
    <w:r w:rsidRPr="00FC307B">
      <w:rPr>
        <w:b/>
        <w:sz w:val="18"/>
      </w:rPr>
      <w:instrText xml:space="preserve"> PAGE  \* MERGEFORMAT </w:instrText>
    </w:r>
    <w:r w:rsidRPr="00FC307B">
      <w:rPr>
        <w:b/>
        <w:sz w:val="18"/>
      </w:rPr>
      <w:fldChar w:fldCharType="separate"/>
    </w:r>
    <w:r w:rsidRPr="00FC307B">
      <w:rPr>
        <w:b/>
        <w:noProof/>
        <w:sz w:val="18"/>
      </w:rPr>
      <w:t>2</w:t>
    </w:r>
    <w:r w:rsidRPr="00FC307B">
      <w:rPr>
        <w:b/>
        <w:sz w:val="18"/>
      </w:rPr>
      <w:fldChar w:fldCharType="end"/>
    </w:r>
    <w:r>
      <w:rPr>
        <w:b/>
        <w:sz w:val="18"/>
      </w:rPr>
      <w:tab/>
    </w:r>
    <w:r>
      <w:t>GE.22-03589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4F96" w14:textId="727B1530" w:rsidR="00FC307B" w:rsidRPr="00FC307B" w:rsidRDefault="00FC307B" w:rsidP="00FC307B">
    <w:pPr>
      <w:pStyle w:val="Pieddepage"/>
      <w:tabs>
        <w:tab w:val="right" w:pos="9638"/>
      </w:tabs>
      <w:rPr>
        <w:b/>
        <w:sz w:val="18"/>
      </w:rPr>
    </w:pPr>
    <w:r>
      <w:t>GE.22-03589</w:t>
    </w:r>
    <w:r>
      <w:tab/>
    </w:r>
    <w:r w:rsidRPr="00FC307B">
      <w:rPr>
        <w:b/>
        <w:sz w:val="18"/>
      </w:rPr>
      <w:fldChar w:fldCharType="begin"/>
    </w:r>
    <w:r w:rsidRPr="00FC307B">
      <w:rPr>
        <w:b/>
        <w:sz w:val="18"/>
      </w:rPr>
      <w:instrText xml:space="preserve"> PAGE  \* MERGEFORMAT </w:instrText>
    </w:r>
    <w:r w:rsidRPr="00FC307B">
      <w:rPr>
        <w:b/>
        <w:sz w:val="18"/>
      </w:rPr>
      <w:fldChar w:fldCharType="separate"/>
    </w:r>
    <w:r w:rsidRPr="00FC307B">
      <w:rPr>
        <w:b/>
        <w:noProof/>
        <w:sz w:val="18"/>
      </w:rPr>
      <w:t>3</w:t>
    </w:r>
    <w:r w:rsidRPr="00FC30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2B98" w14:textId="59A5F6D9" w:rsidR="002D14A3" w:rsidRPr="00FC307B" w:rsidRDefault="00FC307B" w:rsidP="00FC307B">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1B6FCE08" wp14:editId="3083F2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22-03589  (F)</w:t>
    </w:r>
    <w:r>
      <w:rPr>
        <w:noProof/>
        <w:sz w:val="20"/>
      </w:rPr>
      <w:drawing>
        <wp:anchor distT="0" distB="0" distL="114300" distR="114300" simplePos="0" relativeHeight="251660288" behindDoc="0" locked="0" layoutInCell="1" allowOverlap="1" wp14:anchorId="655AB168" wp14:editId="53E5EE1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160822    160822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74EE" w14:textId="77777777" w:rsidR="00DD1208" w:rsidRPr="00AC3823" w:rsidRDefault="00DD1208" w:rsidP="00AC3823">
      <w:pPr>
        <w:pStyle w:val="Pieddepage"/>
        <w:tabs>
          <w:tab w:val="right" w:pos="2155"/>
        </w:tabs>
        <w:spacing w:after="80" w:line="240" w:lineRule="atLeast"/>
        <w:ind w:left="680"/>
        <w:rPr>
          <w:u w:val="single"/>
        </w:rPr>
      </w:pPr>
      <w:r>
        <w:rPr>
          <w:u w:val="single"/>
        </w:rPr>
        <w:tab/>
      </w:r>
    </w:p>
  </w:footnote>
  <w:footnote w:type="continuationSeparator" w:id="0">
    <w:p w14:paraId="1D12913A" w14:textId="77777777" w:rsidR="00DD1208" w:rsidRPr="00AC3823" w:rsidRDefault="00DD1208" w:rsidP="00AC3823">
      <w:pPr>
        <w:pStyle w:val="Pieddepage"/>
        <w:tabs>
          <w:tab w:val="right" w:pos="2155"/>
        </w:tabs>
        <w:spacing w:after="80" w:line="240" w:lineRule="atLeast"/>
        <w:ind w:left="680"/>
        <w:rPr>
          <w:u w:val="single"/>
        </w:rPr>
      </w:pPr>
      <w:r>
        <w:rPr>
          <w:u w:val="single"/>
        </w:rPr>
        <w:tab/>
      </w:r>
    </w:p>
  </w:footnote>
  <w:footnote w:type="continuationNotice" w:id="1">
    <w:p w14:paraId="57E9C7D0" w14:textId="77777777" w:rsidR="00DD1208" w:rsidRPr="00AC3823" w:rsidRDefault="00DD1208">
      <w:pPr>
        <w:spacing w:line="240" w:lineRule="auto"/>
        <w:rPr>
          <w:sz w:val="2"/>
          <w:szCs w:val="2"/>
        </w:rPr>
      </w:pPr>
    </w:p>
  </w:footnote>
  <w:footnote w:id="2">
    <w:p w14:paraId="453A5D83" w14:textId="77777777" w:rsidR="00FC307B" w:rsidRPr="00747E50" w:rsidRDefault="00FC307B" w:rsidP="00FC307B">
      <w:pPr>
        <w:pStyle w:val="Notedebasdepage"/>
        <w:rPr>
          <w:sz w:val="20"/>
          <w:lang w:val="fr-FR"/>
        </w:rPr>
      </w:pPr>
      <w:r>
        <w:rPr>
          <w:lang w:val="fr-FR"/>
        </w:rPr>
        <w:tab/>
      </w:r>
      <w:r w:rsidRPr="00FC307B">
        <w:rPr>
          <w:sz w:val="20"/>
          <w:lang w:val="fr-FR"/>
        </w:rPr>
        <w:t>*</w:t>
      </w:r>
      <w:r>
        <w:rPr>
          <w:lang w:val="fr-FR"/>
        </w:rPr>
        <w:tab/>
        <w:t>Adoptée par le Comité à sa quatre-vingt-neuvième session (31 janvier-11 février 2022).</w:t>
      </w:r>
    </w:p>
  </w:footnote>
  <w:footnote w:id="3">
    <w:p w14:paraId="6B2248D9" w14:textId="1048FD08" w:rsidR="00FC307B" w:rsidRPr="00747E50" w:rsidRDefault="00FC307B" w:rsidP="00FC307B">
      <w:pPr>
        <w:pStyle w:val="Notedebasdepage"/>
        <w:rPr>
          <w:sz w:val="20"/>
          <w:lang w:val="fr-FR"/>
        </w:rPr>
      </w:pPr>
      <w:r>
        <w:rPr>
          <w:lang w:val="fr-FR"/>
        </w:rPr>
        <w:tab/>
      </w:r>
      <w:r w:rsidRPr="00FC307B">
        <w:rPr>
          <w:sz w:val="20"/>
          <w:lang w:val="fr-FR"/>
        </w:rPr>
        <w:t>**</w:t>
      </w:r>
      <w:r>
        <w:rPr>
          <w:lang w:val="fr-FR"/>
        </w:rPr>
        <w:tab/>
        <w:t>Les membres du Comité dont le nom suit ont participé à l’examen de la communication</w:t>
      </w:r>
      <w:r>
        <w:rPr>
          <w:lang w:val="fr-FR"/>
        </w:rPr>
        <w:t> </w:t>
      </w:r>
      <w:r>
        <w:rPr>
          <w:lang w:val="fr-FR"/>
        </w:rPr>
        <w:t>: Suzanne</w:t>
      </w:r>
      <w:r>
        <w:rPr>
          <w:lang w:val="fr-FR"/>
        </w:rPr>
        <w:t> </w:t>
      </w:r>
      <w:r>
        <w:rPr>
          <w:lang w:val="fr-FR"/>
        </w:rPr>
        <w:t>Aho, Hynd Ayoubi Idrissi, Rinchen Chophel, Bragi Gudbrandsson, Philip Jaffé, Sopio</w:t>
      </w:r>
      <w:r>
        <w:rPr>
          <w:lang w:val="fr-FR"/>
        </w:rPr>
        <w:t> </w:t>
      </w:r>
      <w:r>
        <w:rPr>
          <w:lang w:val="fr-FR"/>
        </w:rPr>
        <w:t xml:space="preserve">Kiladze, Gehad Madi, Benyam Dawit Mezmur, Clarence Nelson, Otani Mikiko, </w:t>
      </w:r>
      <w:r>
        <w:rPr>
          <w:lang w:val="fr-FR"/>
        </w:rPr>
        <w:br/>
      </w:r>
      <w:r>
        <w:rPr>
          <w:lang w:val="fr-FR"/>
        </w:rPr>
        <w:t>Luis Ernesto Pedernera Reyna, Zara Ratou, José Ángel Rodríguez Reyes, Ann Marie Skelton, Velina</w:t>
      </w:r>
      <w:r>
        <w:rPr>
          <w:lang w:val="fr-FR"/>
        </w:rPr>
        <w:t> </w:t>
      </w:r>
      <w:r>
        <w:rPr>
          <w:lang w:val="fr-FR"/>
        </w:rPr>
        <w:t>Todorova et Benoit Van Keirsbilck.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0938" w14:textId="7997E5C1" w:rsidR="00FC307B" w:rsidRPr="00FC307B" w:rsidRDefault="00FC307B">
    <w:pPr>
      <w:pStyle w:val="En-tte"/>
    </w:pPr>
    <w:fldSimple w:instr=" TITLE  \* MERGEFORMAT ">
      <w:r>
        <w:t>CRC/C/89/D/41/2018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0E38" w14:textId="06469EAC" w:rsidR="00FC307B" w:rsidRPr="00FC307B" w:rsidRDefault="00FC307B" w:rsidP="00FC307B">
    <w:pPr>
      <w:pStyle w:val="En-tte"/>
      <w:jc w:val="right"/>
    </w:pPr>
    <w:fldSimple w:instr=" TITLE  \* MERGEFORMAT ">
      <w:r>
        <w:t>CRC/C/89/D/41/2018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08"/>
    <w:rsid w:val="00017F94"/>
    <w:rsid w:val="00023842"/>
    <w:rsid w:val="000334F9"/>
    <w:rsid w:val="000354E9"/>
    <w:rsid w:val="0007796D"/>
    <w:rsid w:val="000B7790"/>
    <w:rsid w:val="00111F2F"/>
    <w:rsid w:val="0014365E"/>
    <w:rsid w:val="00176178"/>
    <w:rsid w:val="001F525A"/>
    <w:rsid w:val="00223272"/>
    <w:rsid w:val="0024779E"/>
    <w:rsid w:val="00260A30"/>
    <w:rsid w:val="002D14A3"/>
    <w:rsid w:val="00311E81"/>
    <w:rsid w:val="00340ED0"/>
    <w:rsid w:val="00411C8E"/>
    <w:rsid w:val="00446FE5"/>
    <w:rsid w:val="00452396"/>
    <w:rsid w:val="00485B35"/>
    <w:rsid w:val="004D7A2C"/>
    <w:rsid w:val="005505B7"/>
    <w:rsid w:val="00573BE5"/>
    <w:rsid w:val="00586ED3"/>
    <w:rsid w:val="00596AA9"/>
    <w:rsid w:val="0071601D"/>
    <w:rsid w:val="007341B7"/>
    <w:rsid w:val="00760CBC"/>
    <w:rsid w:val="007A62E6"/>
    <w:rsid w:val="007F61AD"/>
    <w:rsid w:val="0080684C"/>
    <w:rsid w:val="00840413"/>
    <w:rsid w:val="00871C75"/>
    <w:rsid w:val="008776DC"/>
    <w:rsid w:val="008C54BD"/>
    <w:rsid w:val="008F3CA0"/>
    <w:rsid w:val="009705C8"/>
    <w:rsid w:val="00A30353"/>
    <w:rsid w:val="00AC3823"/>
    <w:rsid w:val="00AE323C"/>
    <w:rsid w:val="00B00181"/>
    <w:rsid w:val="00B24A9B"/>
    <w:rsid w:val="00B57144"/>
    <w:rsid w:val="00B765F7"/>
    <w:rsid w:val="00BA0CA9"/>
    <w:rsid w:val="00C02897"/>
    <w:rsid w:val="00D3439C"/>
    <w:rsid w:val="00DB1831"/>
    <w:rsid w:val="00DD1208"/>
    <w:rsid w:val="00DD3BFD"/>
    <w:rsid w:val="00DF6678"/>
    <w:rsid w:val="00F660DF"/>
    <w:rsid w:val="00F95C08"/>
    <w:rsid w:val="00FC30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95E706"/>
  <w15:docId w15:val="{2ABA0799-AB89-497A-BDED-290CBBE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uiPriority w:val="99"/>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uiPriority w:val="99"/>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FC307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512</Words>
  <Characters>2919</Characters>
  <Application>Microsoft Office Word</Application>
  <DocSecurity>0</DocSecurity>
  <Lines>324</Lines>
  <Paragraphs>137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CRC/C/89/D/41/2018</dc:title>
  <dc:subject/>
  <dc:creator>Sandrine CLERE</dc:creator>
  <cp:keywords/>
  <cp:lastModifiedBy>Sandrine Clere</cp:lastModifiedBy>
  <cp:revision>2</cp:revision>
  <cp:lastPrinted>2014-05-14T10:59:00Z</cp:lastPrinted>
  <dcterms:created xsi:type="dcterms:W3CDTF">2022-08-16T12:20:00Z</dcterms:created>
  <dcterms:modified xsi:type="dcterms:W3CDTF">2022-08-16T12:20:00Z</dcterms:modified>
</cp:coreProperties>
</file>