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9C8CF72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293C71" w14:textId="77777777" w:rsidR="002D5AAC" w:rsidRDefault="002D5AAC" w:rsidP="00007A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B006995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9DF623F" w14:textId="77777777" w:rsidR="002D5AAC" w:rsidRDefault="00007AFC" w:rsidP="00007AFC">
            <w:pPr>
              <w:jc w:val="right"/>
            </w:pPr>
            <w:proofErr w:type="spellStart"/>
            <w:r w:rsidRPr="00007AFC">
              <w:rPr>
                <w:sz w:val="40"/>
              </w:rPr>
              <w:t>CAT</w:t>
            </w:r>
            <w:proofErr w:type="spellEnd"/>
            <w:r>
              <w:t>/C/</w:t>
            </w:r>
            <w:proofErr w:type="spellStart"/>
            <w:r>
              <w:t>TLS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/1</w:t>
            </w:r>
          </w:p>
        </w:tc>
      </w:tr>
      <w:tr w:rsidR="002D5AAC" w:rsidRPr="006D6CCE" w14:paraId="179C8081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CB29F9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AD4391" wp14:editId="0505DB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15FBF8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E7009A6" w14:textId="77777777" w:rsidR="002D5AAC" w:rsidRPr="00007AFC" w:rsidRDefault="00007AFC" w:rsidP="00F90E40">
            <w:pPr>
              <w:spacing w:before="240"/>
              <w:rPr>
                <w:lang w:val="en-US"/>
              </w:rPr>
            </w:pPr>
            <w:r w:rsidRPr="00007AFC">
              <w:rPr>
                <w:lang w:val="en-US"/>
              </w:rPr>
              <w:t>Distr.: General</w:t>
            </w:r>
          </w:p>
          <w:p w14:paraId="4B2EF3C1" w14:textId="77777777" w:rsidR="00007AFC" w:rsidRPr="00007AFC" w:rsidRDefault="00007AFC" w:rsidP="00007AFC">
            <w:pPr>
              <w:spacing w:line="240" w:lineRule="exact"/>
              <w:rPr>
                <w:lang w:val="en-US"/>
              </w:rPr>
            </w:pPr>
            <w:r w:rsidRPr="00007AFC">
              <w:rPr>
                <w:lang w:val="en-US"/>
              </w:rPr>
              <w:t>15 December 2017</w:t>
            </w:r>
          </w:p>
          <w:p w14:paraId="634A13C5" w14:textId="77777777" w:rsidR="00007AFC" w:rsidRPr="00007AFC" w:rsidRDefault="00007AFC" w:rsidP="00007AFC">
            <w:pPr>
              <w:spacing w:line="240" w:lineRule="exact"/>
              <w:rPr>
                <w:lang w:val="en-US"/>
              </w:rPr>
            </w:pPr>
            <w:r w:rsidRPr="00007AFC">
              <w:rPr>
                <w:lang w:val="en-US"/>
              </w:rPr>
              <w:t>Russian</w:t>
            </w:r>
          </w:p>
          <w:p w14:paraId="2BE5528C" w14:textId="77777777" w:rsidR="00007AFC" w:rsidRPr="00007AFC" w:rsidRDefault="00007AFC" w:rsidP="00007AFC">
            <w:pPr>
              <w:spacing w:line="240" w:lineRule="exact"/>
              <w:rPr>
                <w:lang w:val="en-US"/>
              </w:rPr>
            </w:pPr>
            <w:r w:rsidRPr="00007AFC">
              <w:rPr>
                <w:lang w:val="en-US"/>
              </w:rPr>
              <w:t>Original: English</w:t>
            </w:r>
          </w:p>
        </w:tc>
      </w:tr>
    </w:tbl>
    <w:p w14:paraId="69FA9ED1" w14:textId="77777777" w:rsidR="00007AFC" w:rsidRPr="00007AFC" w:rsidRDefault="00007AFC" w:rsidP="00007AFC">
      <w:pPr>
        <w:spacing w:before="120"/>
        <w:rPr>
          <w:b/>
          <w:sz w:val="24"/>
          <w:szCs w:val="24"/>
        </w:rPr>
      </w:pPr>
      <w:r w:rsidRPr="00007AFC">
        <w:rPr>
          <w:b/>
          <w:sz w:val="24"/>
          <w:szCs w:val="24"/>
        </w:rPr>
        <w:t>Комитет против пыток</w:t>
      </w:r>
    </w:p>
    <w:p w14:paraId="4EAB9C7B" w14:textId="77777777" w:rsidR="00007AFC" w:rsidRPr="00007AFC" w:rsidRDefault="00007AFC" w:rsidP="00007AFC">
      <w:pPr>
        <w:pStyle w:val="HChGR"/>
      </w:pPr>
      <w:r>
        <w:tab/>
      </w:r>
      <w:r>
        <w:tab/>
      </w:r>
      <w:r w:rsidRPr="00007AFC">
        <w:t>Заключительные замечания по первоначальному докладу Тимора-</w:t>
      </w:r>
      <w:proofErr w:type="spellStart"/>
      <w:r w:rsidRPr="00007AFC">
        <w:t>Лешти</w:t>
      </w:r>
      <w:proofErr w:type="spellEnd"/>
      <w:r w:rsidRPr="00007AFC">
        <w:rPr>
          <w:b w:val="0"/>
          <w:sz w:val="20"/>
        </w:rPr>
        <w:footnoteReference w:customMarkFollows="1" w:id="1"/>
        <w:t>*</w:t>
      </w:r>
    </w:p>
    <w:p w14:paraId="289EEB62" w14:textId="1CBA8A23" w:rsidR="00007AFC" w:rsidRPr="00007AFC" w:rsidRDefault="00007AFC" w:rsidP="00007AFC">
      <w:pPr>
        <w:pStyle w:val="SingleTxtGR"/>
      </w:pPr>
      <w:r w:rsidRPr="00007AFC">
        <w:t>1.</w:t>
      </w:r>
      <w:r w:rsidRPr="00007AFC">
        <w:tab/>
        <w:t>Комитет против пыток рассмотрел первоначальный доклад Тимора</w:t>
      </w:r>
      <w:r w:rsidRPr="00007AFC">
        <w:rPr>
          <w:bCs/>
        </w:rPr>
        <w:t>-</w:t>
      </w:r>
      <w:proofErr w:type="spellStart"/>
      <w:r w:rsidRPr="00007AFC">
        <w:rPr>
          <w:bCs/>
        </w:rPr>
        <w:t>Лешти</w:t>
      </w:r>
      <w:proofErr w:type="spellEnd"/>
      <w:r w:rsidRPr="00007AFC">
        <w:t xml:space="preserve"> (</w:t>
      </w:r>
      <w:proofErr w:type="spellStart"/>
      <w:r w:rsidRPr="00007AFC">
        <w:t>CAT</w:t>
      </w:r>
      <w:proofErr w:type="spellEnd"/>
      <w:r w:rsidRPr="00007AFC">
        <w:t>/C/</w:t>
      </w:r>
      <w:proofErr w:type="spellStart"/>
      <w:r w:rsidRPr="00007AFC">
        <w:t>TLS</w:t>
      </w:r>
      <w:proofErr w:type="spellEnd"/>
      <w:r w:rsidRPr="00007AFC">
        <w:t>/1)</w:t>
      </w:r>
      <w:r w:rsidR="009B354D">
        <w:t xml:space="preserve"> </w:t>
      </w:r>
      <w:r w:rsidRPr="00007AFC">
        <w:t xml:space="preserve">на своих 1594-м и 1597-м заседаниях (см. </w:t>
      </w:r>
      <w:proofErr w:type="spellStart"/>
      <w:r w:rsidRPr="00007AFC">
        <w:t>CAT</w:t>
      </w:r>
      <w:proofErr w:type="spellEnd"/>
      <w:r w:rsidRPr="00007AFC">
        <w:t>/C/SR.1594 и 1597), состоявшихся 22 и 23 ноября 2017 года, и принял настоящее заключительные замечания на своем 1610-м заседании, состоявшемся 4 декабря 2017 года.</w:t>
      </w:r>
    </w:p>
    <w:p w14:paraId="73B8DA20" w14:textId="77777777" w:rsidR="00007AFC" w:rsidRPr="00007AFC" w:rsidRDefault="00007AFC" w:rsidP="00007AFC">
      <w:pPr>
        <w:pStyle w:val="H1GR"/>
      </w:pPr>
      <w:r>
        <w:tab/>
      </w:r>
      <w:r w:rsidRPr="00007AFC">
        <w:t>A.</w:t>
      </w:r>
      <w:r w:rsidRPr="00007AFC">
        <w:tab/>
        <w:t>Введение</w:t>
      </w:r>
    </w:p>
    <w:p w14:paraId="1595016D" w14:textId="77777777" w:rsidR="00007AFC" w:rsidRPr="00007AFC" w:rsidRDefault="00007AFC" w:rsidP="00007AFC">
      <w:pPr>
        <w:pStyle w:val="SingleTxtGR"/>
      </w:pPr>
      <w:r w:rsidRPr="00007AFC">
        <w:t>2.</w:t>
      </w:r>
      <w:r w:rsidRPr="00007AFC">
        <w:tab/>
        <w:t>Комитет приветствует представление первоначального доклада Тимором-</w:t>
      </w:r>
      <w:proofErr w:type="spellStart"/>
      <w:r w:rsidRPr="00007AFC">
        <w:t>Лешти</w:t>
      </w:r>
      <w:proofErr w:type="spellEnd"/>
      <w:r w:rsidRPr="00007AFC">
        <w:t xml:space="preserve"> и содержащуюся в нем информацию. Вместе с тем он сожалеет, что доклад был представлен с более чем 11-летним опозданием, вследствие чего Комитет не мог провести периодический анализ осуществления государством-участником положений Конвенции после его присоединения к ней в 2003 году.</w:t>
      </w:r>
    </w:p>
    <w:p w14:paraId="1064798F" w14:textId="77777777" w:rsidR="00007AFC" w:rsidRPr="00007AFC" w:rsidRDefault="00007AFC" w:rsidP="00007AFC">
      <w:pPr>
        <w:pStyle w:val="SingleTxtGR"/>
      </w:pPr>
      <w:r w:rsidRPr="00007AFC">
        <w:t>3.</w:t>
      </w:r>
      <w:r w:rsidRPr="00007AFC">
        <w:tab/>
        <w:t>Комитет выражает признательность за предоставленную ему возможность провести конструктивный диалог с делегацией государства-участника, полученные ответы на вопросы и озабоченности, сформулированные в ходе рассмотрения доклада.</w:t>
      </w:r>
    </w:p>
    <w:p w14:paraId="799816F2" w14:textId="77777777" w:rsidR="00007AFC" w:rsidRPr="00007AFC" w:rsidRDefault="00007AFC" w:rsidP="00007AFC">
      <w:pPr>
        <w:pStyle w:val="H1GR"/>
      </w:pPr>
      <w:r>
        <w:tab/>
      </w:r>
      <w:r w:rsidRPr="00007AFC">
        <w:t>B.</w:t>
      </w:r>
      <w:r w:rsidRPr="00007AFC">
        <w:tab/>
        <w:t>Позитивные аспекты</w:t>
      </w:r>
    </w:p>
    <w:p w14:paraId="5AB5445D" w14:textId="77777777" w:rsidR="00007AFC" w:rsidRPr="00007AFC" w:rsidRDefault="00007AFC" w:rsidP="00007AFC">
      <w:pPr>
        <w:pStyle w:val="SingleTxtGR"/>
      </w:pPr>
      <w:r w:rsidRPr="00007AFC">
        <w:t>4.</w:t>
      </w:r>
      <w:r w:rsidRPr="00007AFC">
        <w:tab/>
        <w:t>Комитет приветствует ратификацию государством-участником следующих международных договоров или присоединение к ним с момента вступления в силу Конвенции для государства-участника в 2003 году:</w:t>
      </w:r>
    </w:p>
    <w:p w14:paraId="770C86C3" w14:textId="77777777" w:rsidR="00007AFC" w:rsidRPr="00007AFC" w:rsidRDefault="00007AFC" w:rsidP="00007AFC">
      <w:pPr>
        <w:pStyle w:val="SingleTxtGR"/>
      </w:pPr>
      <w:r w:rsidRPr="00007AFC">
        <w:tab/>
        <w:t>a)</w:t>
      </w:r>
      <w:r w:rsidRPr="00007AFC">
        <w:tab/>
        <w:t>Конвенции о правах ребенка, 16 апреля 2003 года;</w:t>
      </w:r>
    </w:p>
    <w:p w14:paraId="369AE505" w14:textId="77777777" w:rsidR="00007AFC" w:rsidRPr="00007AFC" w:rsidRDefault="00007AFC" w:rsidP="00007AFC">
      <w:pPr>
        <w:pStyle w:val="SingleTxtGR"/>
      </w:pPr>
      <w:r w:rsidRPr="00007AFC">
        <w:tab/>
        <w:t>b)</w:t>
      </w:r>
      <w:r w:rsidRPr="00007AFC">
        <w:tab/>
        <w:t>Международной конвенции о ликвидации всех форм расовой дискриминации, 16 апреля 2003 года;</w:t>
      </w:r>
    </w:p>
    <w:p w14:paraId="6F50C628" w14:textId="77777777" w:rsidR="00007AFC" w:rsidRPr="00007AFC" w:rsidRDefault="00007AFC" w:rsidP="00007AFC">
      <w:pPr>
        <w:pStyle w:val="SingleTxtGR"/>
      </w:pPr>
      <w:r w:rsidRPr="00007AFC">
        <w:tab/>
        <w:t>c)</w:t>
      </w:r>
      <w:r w:rsidRPr="00007AFC">
        <w:tab/>
        <w:t>Конвенции о ликвидации всех форм дискриминации в отношении женщин, 16 апреля 2003 года;</w:t>
      </w:r>
    </w:p>
    <w:p w14:paraId="08CEE877" w14:textId="77777777" w:rsidR="00007AFC" w:rsidRPr="00007AFC" w:rsidRDefault="00007AFC" w:rsidP="00007AFC">
      <w:pPr>
        <w:pStyle w:val="SingleTxtGR"/>
      </w:pPr>
      <w:r w:rsidRPr="00007AFC">
        <w:tab/>
        <w:t>d)</w:t>
      </w:r>
      <w:r w:rsidRPr="00007AFC">
        <w:tab/>
        <w:t>Международного пакта об экономических, социальных и культурных правах, 16 апреля 2003 года;</w:t>
      </w:r>
    </w:p>
    <w:p w14:paraId="04B8E17E" w14:textId="77777777" w:rsidR="00007AFC" w:rsidRPr="00007AFC" w:rsidRDefault="00007AFC" w:rsidP="00007AFC">
      <w:pPr>
        <w:pStyle w:val="SingleTxtGR"/>
      </w:pPr>
      <w:r w:rsidRPr="00007AFC">
        <w:tab/>
        <w:t>e)</w:t>
      </w:r>
      <w:r w:rsidRPr="00007AFC">
        <w:tab/>
        <w:t>Факультативного протокола к Конвенции о правах ребенка, касающегося торговли детьми, детской проституции и детской порнографии, 16 апреля 2003 года;</w:t>
      </w:r>
    </w:p>
    <w:p w14:paraId="43AF6475" w14:textId="25640D1A" w:rsidR="00007AFC" w:rsidRPr="00007AFC" w:rsidRDefault="00007AFC" w:rsidP="00007AFC">
      <w:pPr>
        <w:pStyle w:val="SingleTxtGR"/>
      </w:pPr>
      <w:r w:rsidRPr="00007AFC">
        <w:lastRenderedPageBreak/>
        <w:tab/>
        <w:t>f)</w:t>
      </w:r>
      <w:r w:rsidRPr="00007AFC">
        <w:tab/>
        <w:t>Международного пакта о гражданских и политических правах, 18</w:t>
      </w:r>
      <w:r w:rsidR="009B354D">
        <w:t> </w:t>
      </w:r>
      <w:r w:rsidRPr="00007AFC">
        <w:t>сентября 2003 года;</w:t>
      </w:r>
    </w:p>
    <w:p w14:paraId="3AADB37F" w14:textId="77777777" w:rsidR="00007AFC" w:rsidRPr="00007AFC" w:rsidRDefault="00007AFC" w:rsidP="00007AFC">
      <w:pPr>
        <w:pStyle w:val="SingleTxtGR"/>
      </w:pPr>
      <w:r w:rsidRPr="00007AFC">
        <w:tab/>
        <w:t>g)</w:t>
      </w:r>
      <w:r w:rsidRPr="00007AFC">
        <w:tab/>
        <w:t>второго Факультативного протокола к Международному пакту о гражданских и политических правах, направленного на отмену смертной казни, 18 сентября 2003 года;</w:t>
      </w:r>
    </w:p>
    <w:p w14:paraId="34CBE48E" w14:textId="77777777" w:rsidR="00007AFC" w:rsidRPr="00007AFC" w:rsidRDefault="00007AFC" w:rsidP="00007AFC">
      <w:pPr>
        <w:pStyle w:val="SingleTxtGR"/>
      </w:pPr>
      <w:r w:rsidRPr="00007AFC">
        <w:tab/>
        <w:t>h)</w:t>
      </w:r>
      <w:r w:rsidRPr="00007AFC">
        <w:tab/>
        <w:t>Международной конвенции о защите прав всех трудящихся-мигрантов и членов их семей, 30 января 2004 года;</w:t>
      </w:r>
    </w:p>
    <w:p w14:paraId="0D0BF820" w14:textId="77777777" w:rsidR="00007AFC" w:rsidRPr="00007AFC" w:rsidRDefault="00007AFC" w:rsidP="00007AFC">
      <w:pPr>
        <w:pStyle w:val="SingleTxtGR"/>
      </w:pPr>
      <w:r w:rsidRPr="00007AFC">
        <w:tab/>
        <w:t>i)</w:t>
      </w:r>
      <w:r w:rsidRPr="00007AFC">
        <w:tab/>
        <w:t>Факультативного протокола к Конвенции о правах ребенка, касающегося участия детей в вооруженных конфликтах, 2 августа 2004 года.</w:t>
      </w:r>
    </w:p>
    <w:p w14:paraId="1F3AA39E" w14:textId="77777777" w:rsidR="00007AFC" w:rsidRPr="00007AFC" w:rsidRDefault="00007AFC" w:rsidP="00007AFC">
      <w:pPr>
        <w:pStyle w:val="SingleTxtGR"/>
      </w:pPr>
      <w:r w:rsidRPr="00007AFC">
        <w:t>5.</w:t>
      </w:r>
      <w:r w:rsidRPr="00007AFC">
        <w:tab/>
        <w:t>Комитет также приветствует следующие законодательные меры, принятые государством-участником в областях, имеющих отношение к Конвенции:</w:t>
      </w:r>
    </w:p>
    <w:p w14:paraId="27A39C86" w14:textId="54C1D0F1" w:rsidR="00007AFC" w:rsidRPr="00007AFC" w:rsidRDefault="00CE6B76" w:rsidP="00007AFC">
      <w:pPr>
        <w:pStyle w:val="SingleTxtGR"/>
      </w:pPr>
      <w:r>
        <w:tab/>
      </w:r>
      <w:r w:rsidR="00007AFC" w:rsidRPr="00007AFC">
        <w:t>a)</w:t>
      </w:r>
      <w:r w:rsidR="00007AFC" w:rsidRPr="00007AFC">
        <w:tab/>
        <w:t>принятие 26 мая 2004 года Закона № 7/2004, предусматривающего создание Бюро омбудсмена по правам человека и вопросам правосудия;</w:t>
      </w:r>
    </w:p>
    <w:p w14:paraId="4AB87607" w14:textId="62636024" w:rsidR="00007AFC" w:rsidRPr="00007AFC" w:rsidRDefault="00CE6B76" w:rsidP="00007AFC">
      <w:pPr>
        <w:pStyle w:val="SingleTxtGR"/>
      </w:pPr>
      <w:r>
        <w:tab/>
      </w:r>
      <w:r w:rsidR="00007AFC" w:rsidRPr="00007AFC">
        <w:t>b)</w:t>
      </w:r>
      <w:r w:rsidR="00007AFC" w:rsidRPr="00007AFC">
        <w:tab/>
        <w:t>принятие 6 мая 2009 года Закона № 2/2009 о защите свидетелей;</w:t>
      </w:r>
    </w:p>
    <w:p w14:paraId="2194D0F9" w14:textId="04A4CFC1" w:rsidR="00007AFC" w:rsidRPr="00007AFC" w:rsidRDefault="00CE6B76" w:rsidP="00007AFC">
      <w:pPr>
        <w:pStyle w:val="SingleTxtGR"/>
      </w:pPr>
      <w:r>
        <w:tab/>
      </w:r>
      <w:r w:rsidR="00007AFC" w:rsidRPr="00007AFC">
        <w:t>c)</w:t>
      </w:r>
      <w:r w:rsidR="00007AFC" w:rsidRPr="00007AFC">
        <w:tab/>
        <w:t>принятие 3 мая 2010 года Закона № 7/2010 о борьбе с насилием в семье.</w:t>
      </w:r>
    </w:p>
    <w:p w14:paraId="65219F8B" w14:textId="77777777" w:rsidR="00007AFC" w:rsidRPr="00007AFC" w:rsidRDefault="00007AFC" w:rsidP="00007AFC">
      <w:pPr>
        <w:pStyle w:val="SingleTxtGR"/>
      </w:pPr>
      <w:r w:rsidRPr="00007AFC">
        <w:t>6.</w:t>
      </w:r>
      <w:r w:rsidRPr="00007AFC">
        <w:tab/>
        <w:t>Комитет приветствует инициативы государства-участника по внесению изменений в свои стратегии и процедуры в целях усиления защиты прав человека и активизации применения Конвенции, в частности:</w:t>
      </w:r>
    </w:p>
    <w:p w14:paraId="55F29573" w14:textId="49C38DCD" w:rsidR="00007AFC" w:rsidRPr="00007AFC" w:rsidRDefault="00CE6B76" w:rsidP="00007AFC">
      <w:pPr>
        <w:pStyle w:val="SingleTxtGR"/>
      </w:pPr>
      <w:r>
        <w:tab/>
      </w:r>
      <w:r w:rsidR="00007AFC" w:rsidRPr="00007AFC">
        <w:t>a)</w:t>
      </w:r>
      <w:r w:rsidR="00007AFC" w:rsidRPr="00007AFC">
        <w:tab/>
        <w:t>принятие второго Национального плана действий по борьб</w:t>
      </w:r>
      <w:r>
        <w:t>е с гендерным насилием (на 2017–</w:t>
      </w:r>
      <w:r w:rsidR="00007AFC" w:rsidRPr="00007AFC">
        <w:t>2021 годы);</w:t>
      </w:r>
    </w:p>
    <w:p w14:paraId="565C4394" w14:textId="1E0B7523" w:rsidR="00007AFC" w:rsidRPr="00007AFC" w:rsidRDefault="00CE6B76" w:rsidP="00007AFC">
      <w:pPr>
        <w:pStyle w:val="SingleTxtGR"/>
      </w:pPr>
      <w:r>
        <w:tab/>
      </w:r>
      <w:r w:rsidR="00007AFC" w:rsidRPr="00007AFC">
        <w:t>b)</w:t>
      </w:r>
      <w:r w:rsidR="00007AFC" w:rsidRPr="00007AFC">
        <w:tab/>
        <w:t xml:space="preserve">принятие Национального плана действий в защиту прав детей </w:t>
      </w:r>
      <w:r>
        <w:br/>
      </w:r>
      <w:r w:rsidR="00007AFC" w:rsidRPr="00007AFC">
        <w:t>(на 2016</w:t>
      </w:r>
      <w:r w:rsidRPr="00CE6B76">
        <w:t>–</w:t>
      </w:r>
      <w:r w:rsidR="00007AFC" w:rsidRPr="00007AFC">
        <w:t>2020 годы), в котором заявлено о необходимости решения вопроса о телесных наказаниях;</w:t>
      </w:r>
    </w:p>
    <w:p w14:paraId="2C9966B3" w14:textId="2928CA06" w:rsidR="00007AFC" w:rsidRPr="00007AFC" w:rsidRDefault="00CE6B76" w:rsidP="00007AFC">
      <w:pPr>
        <w:pStyle w:val="SingleTxtGR"/>
      </w:pPr>
      <w:r>
        <w:tab/>
      </w:r>
      <w:r w:rsidR="00007AFC" w:rsidRPr="00007AFC">
        <w:t>c)</w:t>
      </w:r>
      <w:r w:rsidR="00007AFC" w:rsidRPr="00007AFC">
        <w:tab/>
        <w:t>создание Министерством юстиции сетевой службы поддержки тюремных учреждений в качестве платформы для обмена данными мониторинга пенитенциарных учреждений, в состав которой входят представители различных министерств, национальных правозащитных учреждений и организаций гражданского общества.</w:t>
      </w:r>
    </w:p>
    <w:p w14:paraId="1405A404" w14:textId="77777777" w:rsidR="00007AFC" w:rsidRPr="00007AFC" w:rsidRDefault="00007AFC" w:rsidP="00007AFC">
      <w:pPr>
        <w:pStyle w:val="SingleTxtGR"/>
      </w:pPr>
      <w:r w:rsidRPr="00007AFC">
        <w:t>7.</w:t>
      </w:r>
      <w:r w:rsidRPr="00007AFC">
        <w:tab/>
        <w:t xml:space="preserve">Комитет приветствует опубликование в 2005 году заключительного доклада Комиссии по приему беженцев, установлению истины и </w:t>
      </w:r>
      <w:proofErr w:type="spellStart"/>
      <w:r w:rsidRPr="00007AFC">
        <w:t>примерению</w:t>
      </w:r>
      <w:proofErr w:type="spellEnd"/>
      <w:r w:rsidRPr="00007AFC">
        <w:t xml:space="preserve">, в котором изложены результаты проведенных ею расследований нарушений прав человека </w:t>
      </w:r>
      <w:proofErr w:type="spellStart"/>
      <w:r w:rsidRPr="00007AFC">
        <w:t>тиморского</w:t>
      </w:r>
      <w:proofErr w:type="spellEnd"/>
      <w:r w:rsidRPr="00007AFC">
        <w:t xml:space="preserve"> народа в период с апреля 1974 года по октябрь 1999 года.</w:t>
      </w:r>
    </w:p>
    <w:p w14:paraId="3771EFC4" w14:textId="6D430BDE" w:rsidR="00007AFC" w:rsidRPr="00007AFC" w:rsidRDefault="00CE6B76" w:rsidP="00CE6B76">
      <w:pPr>
        <w:pStyle w:val="H1GR"/>
      </w:pPr>
      <w:r>
        <w:tab/>
      </w:r>
      <w:r w:rsidR="00007AFC" w:rsidRPr="00007AFC">
        <w:t>C.</w:t>
      </w:r>
      <w:r w:rsidR="00007AFC" w:rsidRPr="00007AFC">
        <w:tab/>
        <w:t>Основные вопросы, вызывающие озабоченность, и</w:t>
      </w:r>
      <w:r w:rsidR="009B354D">
        <w:t> </w:t>
      </w:r>
      <w:r w:rsidR="00007AFC" w:rsidRPr="00007AFC">
        <w:t>рекомендации</w:t>
      </w:r>
    </w:p>
    <w:p w14:paraId="29080287" w14:textId="5A981CF3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 xml:space="preserve">Грубые нарушения прав человека, включая пытки, совершенные во время индонезийской оккупации и в период после проведения референдума </w:t>
      </w:r>
      <w:r>
        <w:br/>
        <w:t>(1975–</w:t>
      </w:r>
      <w:r w:rsidR="00007AFC" w:rsidRPr="00007AFC">
        <w:t>1999 годы)</w:t>
      </w:r>
    </w:p>
    <w:p w14:paraId="3355C418" w14:textId="67073FE3" w:rsidR="00007AFC" w:rsidRPr="00007AFC" w:rsidRDefault="00007AFC" w:rsidP="00007AFC">
      <w:pPr>
        <w:pStyle w:val="SingleTxtGR"/>
      </w:pPr>
      <w:r w:rsidRPr="00007AFC">
        <w:t>8.</w:t>
      </w:r>
      <w:r w:rsidRPr="00007AFC">
        <w:tab/>
        <w:t xml:space="preserve">Приветствуя создание в июле 2017 года Национального центра «Довольно!», выполняющего функции мемориального института, Комитет по-прежнему серьезно обеспокоен тем, что государство-участник до сих пор не выполняет ряд ключевых рекомендаций Комиссии по приему беженцев, установлению истины и </w:t>
      </w:r>
      <w:proofErr w:type="gramStart"/>
      <w:r w:rsidRPr="00007AFC">
        <w:t>примирению</w:t>
      </w:r>
      <w:proofErr w:type="gramEnd"/>
      <w:r w:rsidRPr="00007AFC">
        <w:t xml:space="preserve"> и Комиссии по установлению истины и добрососедским отношениям, которые были учреждены Индонезией и Тимором-</w:t>
      </w:r>
      <w:proofErr w:type="spellStart"/>
      <w:r w:rsidRPr="00007AFC">
        <w:t>Лешти</w:t>
      </w:r>
      <w:proofErr w:type="spellEnd"/>
      <w:r w:rsidRPr="00007AFC">
        <w:t>. В этой связи он обеспокоен отсутствием каких-либо согласованных усилий, направленных на привлечение к правовой ответственности лиц, несущих ответственность за убийство или исчезновение 18</w:t>
      </w:r>
      <w:r w:rsidR="009B354D">
        <w:t xml:space="preserve"> </w:t>
      </w:r>
      <w:r w:rsidRPr="00007AFC">
        <w:t>600 человек (согласно оценкам), а также лиц, в отношении</w:t>
      </w:r>
      <w:r w:rsidR="009B354D">
        <w:t xml:space="preserve"> которых выдвинуто более 11 000 </w:t>
      </w:r>
      <w:r w:rsidRPr="00007AFC">
        <w:t xml:space="preserve">утверждений о пытках и более </w:t>
      </w:r>
      <w:r w:rsidR="00CE6B76">
        <w:br/>
      </w:r>
      <w:r w:rsidRPr="00007AFC">
        <w:t>1</w:t>
      </w:r>
      <w:r w:rsidR="00CE6B76" w:rsidRPr="00CE6B76">
        <w:t xml:space="preserve"> </w:t>
      </w:r>
      <w:r w:rsidRPr="00007AFC">
        <w:t>000 утверждений о применении сексуального насилия, в том числе об их при</w:t>
      </w:r>
      <w:r w:rsidRPr="00007AFC">
        <w:lastRenderedPageBreak/>
        <w:t>частности к изнасилованиям и сексуальному рабству, которые были задокументированы Комиссией по приему беженцев, установлению истины и примирению. Кроме того, Комитет считает, что принятое в 2014 году решение государства-участника о высылке судей, прокуроров и других иностранных судебных работников, которые осуществляли повседневную деятельность в рамках судебной системы, препятствует эффективному расследованию преступлений против человечности и других совершенных в прошлом грубых нарушений прав человека, судебному преследованию и наказанию виновных, затрудняет усилия жертв, направленные на получение возмещения, и вызывает обеспокоенность по поводу независи</w:t>
      </w:r>
      <w:r w:rsidR="00CE6B76">
        <w:t xml:space="preserve">мости судебной власти в стране. </w:t>
      </w:r>
      <w:r w:rsidRPr="00007AFC">
        <w:t>Комитет выражает сожаление в связи с тем, что государство-участник не представило информацию о принятии мер по 396 делам, по которым было завершено расследование и которые, согласно сообщениям, были переданы в июне 2013 года подразделению по расследованию тяжких преступлений при Гене</w:t>
      </w:r>
      <w:r w:rsidR="009B354D">
        <w:t>ральном прокуроре Тимора-</w:t>
      </w:r>
      <w:proofErr w:type="spellStart"/>
      <w:r w:rsidR="009B354D">
        <w:t>Лешти</w:t>
      </w:r>
      <w:proofErr w:type="spellEnd"/>
      <w:r w:rsidR="009B354D">
        <w:t xml:space="preserve">. </w:t>
      </w:r>
      <w:r w:rsidR="00DC6B32">
        <w:t>Комитет также выражает сожаление</w:t>
      </w:r>
      <w:r w:rsidRPr="00007AFC">
        <w:t xml:space="preserve"> по поводу того, что парламент не принял законодательство о возмещении вреда за совершенные в прошлом нарушения п</w:t>
      </w:r>
      <w:r w:rsidR="00CE6B76">
        <w:t>рав человека (см. статьи 2 и 12</w:t>
      </w:r>
      <w:r w:rsidRPr="00007AFC">
        <w:t>–14).</w:t>
      </w:r>
    </w:p>
    <w:p w14:paraId="7C509865" w14:textId="3F46F793" w:rsidR="00007AFC" w:rsidRPr="00007AFC" w:rsidRDefault="00007AFC" w:rsidP="00007AFC">
      <w:pPr>
        <w:pStyle w:val="SingleTxtGR"/>
      </w:pPr>
      <w:r w:rsidRPr="00007AFC">
        <w:t>9.</w:t>
      </w:r>
      <w:r w:rsidRPr="00007AFC">
        <w:tab/>
      </w:r>
      <w:r w:rsidRPr="00007AFC">
        <w:rPr>
          <w:b/>
          <w:bCs/>
        </w:rPr>
        <w:t>Комитет отмечает, что делегация государства-участника выразила то мнение, что поддержание надлежащих отношений с Индонезией соответствует национальным интересам государства-участника и что национальный подход к совершенным в прошлом нарушен</w:t>
      </w:r>
      <w:r w:rsidR="009B354D">
        <w:rPr>
          <w:b/>
          <w:bCs/>
        </w:rPr>
        <w:t xml:space="preserve">иям отражает эту озабоченность. </w:t>
      </w:r>
      <w:r w:rsidRPr="00007AFC">
        <w:rPr>
          <w:b/>
          <w:bCs/>
        </w:rPr>
        <w:t>С пониманием относясь к тому сложному контексту, в котором государство-участник до сих пор предпринимало свои усилия, Комитет напоминает о том, что запрет на применение пыток не допускает отступлений и что обязательства государства-участника по Конвенции требуют от него</w:t>
      </w:r>
      <w:r w:rsidR="009B354D">
        <w:rPr>
          <w:b/>
          <w:bCs/>
        </w:rPr>
        <w:t xml:space="preserve"> осуществления </w:t>
      </w:r>
      <w:r w:rsidRPr="00007AFC">
        <w:rPr>
          <w:b/>
          <w:bCs/>
        </w:rPr>
        <w:t>дальнейших действий для предотвращения безнаказанности виновных и предоставления возмещения многочисленным жертвам пыток, проживающим на территории государства-участника</w:t>
      </w:r>
      <w:r w:rsidR="009B354D">
        <w:rPr>
          <w:b/>
          <w:bCs/>
        </w:rPr>
        <w:t xml:space="preserve">. </w:t>
      </w:r>
      <w:r w:rsidRPr="00007AFC">
        <w:rPr>
          <w:b/>
          <w:bCs/>
        </w:rPr>
        <w:t>Комитет призывает государство-участник:</w:t>
      </w:r>
    </w:p>
    <w:p w14:paraId="3AF34610" w14:textId="74437550" w:rsidR="00007AFC" w:rsidRPr="00007AFC" w:rsidRDefault="00CE6B76" w:rsidP="00007AFC">
      <w:pPr>
        <w:pStyle w:val="SingleTxtGR"/>
      </w:pPr>
      <w:r>
        <w:tab/>
      </w:r>
      <w:r w:rsidR="00007AFC" w:rsidRPr="00CE6B76">
        <w:rPr>
          <w:b/>
        </w:rPr>
        <w:t>а)</w:t>
      </w:r>
      <w:r w:rsidR="00007AFC" w:rsidRPr="00CE6B76">
        <w:rPr>
          <w:b/>
        </w:rPr>
        <w:tab/>
      </w:r>
      <w:r w:rsidR="00007AFC" w:rsidRPr="00007AFC">
        <w:rPr>
          <w:b/>
        </w:rPr>
        <w:t>о</w:t>
      </w:r>
      <w:r w:rsidR="00007AFC" w:rsidRPr="00007AFC">
        <w:rPr>
          <w:b/>
          <w:bCs/>
        </w:rPr>
        <w:t xml:space="preserve">беспечить широкое распространение среди общественности рекомендаций Комиссии по приему беженцев, установлению истины и </w:t>
      </w:r>
      <w:proofErr w:type="gramStart"/>
      <w:r w:rsidR="00007AFC" w:rsidRPr="00007AFC">
        <w:rPr>
          <w:b/>
          <w:bCs/>
        </w:rPr>
        <w:t>примирению</w:t>
      </w:r>
      <w:proofErr w:type="gramEnd"/>
      <w:r w:rsidR="00007AFC" w:rsidRPr="00007AFC">
        <w:rPr>
          <w:b/>
          <w:bCs/>
        </w:rPr>
        <w:t xml:space="preserve"> и Комиссии по установлению истины и добрососедским отношениям, касающихся прав жертв на пр</w:t>
      </w:r>
      <w:r w:rsidR="009B354D">
        <w:rPr>
          <w:b/>
          <w:bCs/>
        </w:rPr>
        <w:t xml:space="preserve">авосудие, установление истины и </w:t>
      </w:r>
      <w:r w:rsidR="00007AFC" w:rsidRPr="00007AFC">
        <w:rPr>
          <w:b/>
          <w:bCs/>
        </w:rPr>
        <w:t>получение возмещения, а также их полное и эффективное осуществление;</w:t>
      </w:r>
    </w:p>
    <w:p w14:paraId="21D3B8E5" w14:textId="5F6948D2" w:rsidR="00007AFC" w:rsidRPr="00CE6B76" w:rsidRDefault="00CE6B76" w:rsidP="00007AFC">
      <w:pPr>
        <w:pStyle w:val="SingleTxtGR"/>
        <w:rPr>
          <w:b/>
        </w:rPr>
      </w:pPr>
      <w:r w:rsidRPr="009B354D">
        <w:tab/>
      </w:r>
      <w:r w:rsidR="00007AFC" w:rsidRPr="00CE6B76">
        <w:rPr>
          <w:b/>
          <w:lang w:val="en-GB"/>
        </w:rPr>
        <w:t>b</w:t>
      </w:r>
      <w:r w:rsidR="00007AFC" w:rsidRPr="00CE6B76">
        <w:rPr>
          <w:b/>
        </w:rPr>
        <w:t>)</w:t>
      </w:r>
      <w:r w:rsidR="00007AFC" w:rsidRPr="00CE6B76">
        <w:rPr>
          <w:b/>
        </w:rPr>
        <w:tab/>
      </w:r>
      <w:r w:rsidR="00007AFC" w:rsidRPr="00CE6B76">
        <w:rPr>
          <w:b/>
          <w:bCs/>
        </w:rPr>
        <w:t>принять эффективные меры по возобновлению деятельности специальных коллегий по расследованию тяжких преступлений и во</w:t>
      </w:r>
      <w:r w:rsidR="00DC6B32">
        <w:rPr>
          <w:b/>
          <w:bCs/>
        </w:rPr>
        <w:t>-</w:t>
      </w:r>
      <w:proofErr w:type="spellStart"/>
      <w:r w:rsidR="00007AFC" w:rsidRPr="00CE6B76">
        <w:rPr>
          <w:b/>
          <w:bCs/>
        </w:rPr>
        <w:t>зобновлению</w:t>
      </w:r>
      <w:proofErr w:type="spellEnd"/>
      <w:r w:rsidR="00007AFC" w:rsidRPr="00CE6B76">
        <w:rPr>
          <w:b/>
          <w:bCs/>
        </w:rPr>
        <w:t xml:space="preserve"> уголовного преследования в связи с утверждениями о совершении преступлений, заключающихся в применении пытки, включая сексуальное насилие и насильственное исчезновение;</w:t>
      </w:r>
    </w:p>
    <w:p w14:paraId="5268DDF1" w14:textId="4B52C371" w:rsidR="00007AFC" w:rsidRPr="00CE6B76" w:rsidRDefault="00CE6B76" w:rsidP="00007AFC">
      <w:pPr>
        <w:pStyle w:val="SingleTxtGR"/>
        <w:rPr>
          <w:b/>
        </w:rPr>
      </w:pPr>
      <w:r w:rsidRPr="004C54C4">
        <w:rPr>
          <w:b/>
        </w:rPr>
        <w:tab/>
      </w:r>
      <w:r w:rsidR="00007AFC" w:rsidRPr="00CE6B76">
        <w:rPr>
          <w:b/>
          <w:lang w:val="en-GB"/>
        </w:rPr>
        <w:t>c</w:t>
      </w:r>
      <w:r w:rsidR="00007AFC" w:rsidRPr="00CE6B76">
        <w:rPr>
          <w:b/>
        </w:rPr>
        <w:t>)</w:t>
      </w:r>
      <w:r w:rsidR="00007AFC" w:rsidRPr="00CE6B76">
        <w:rPr>
          <w:b/>
        </w:rPr>
        <w:tab/>
      </w:r>
      <w:r w:rsidR="00007AFC" w:rsidRPr="00CE6B76">
        <w:rPr>
          <w:b/>
          <w:bCs/>
        </w:rPr>
        <w:t>наладить сотр</w:t>
      </w:r>
      <w:r w:rsidR="009B354D">
        <w:rPr>
          <w:b/>
          <w:bCs/>
        </w:rPr>
        <w:t xml:space="preserve">удничество с властями Индонезии </w:t>
      </w:r>
      <w:r w:rsidR="00007AFC" w:rsidRPr="00CE6B76">
        <w:rPr>
          <w:b/>
          <w:bCs/>
        </w:rPr>
        <w:t>по вопросу о выдаче лиц, в отношении которых специальные коллегии по расследованию тяжких преступлений выдали ордер на арест за совершен</w:t>
      </w:r>
      <w:r w:rsidR="009B354D">
        <w:rPr>
          <w:b/>
          <w:bCs/>
        </w:rPr>
        <w:t xml:space="preserve">ие преступлений, включая пытки, </w:t>
      </w:r>
      <w:r w:rsidR="00007AFC" w:rsidRPr="00CE6B76">
        <w:rPr>
          <w:b/>
          <w:bCs/>
        </w:rPr>
        <w:t>а также акти</w:t>
      </w:r>
      <w:r w:rsidR="00DC6B32">
        <w:rPr>
          <w:b/>
          <w:bCs/>
        </w:rPr>
        <w:t>визировать усилия по обеспечению</w:t>
      </w:r>
      <w:r w:rsidR="00007AFC" w:rsidRPr="00CE6B76">
        <w:rPr>
          <w:b/>
          <w:bCs/>
        </w:rPr>
        <w:t xml:space="preserve"> привлечения к уголовной ответственности лиц, соверш</w:t>
      </w:r>
      <w:r w:rsidR="009B354D">
        <w:rPr>
          <w:b/>
          <w:bCs/>
        </w:rPr>
        <w:t xml:space="preserve">ивших преступления в прошлом, и </w:t>
      </w:r>
      <w:r w:rsidR="00007AFC" w:rsidRPr="00CE6B76">
        <w:rPr>
          <w:b/>
          <w:bCs/>
        </w:rPr>
        <w:t>особенно тех лиц, которые несут наибольшую ответственностью за их совершение;</w:t>
      </w:r>
    </w:p>
    <w:p w14:paraId="1C173B99" w14:textId="7CC82514" w:rsidR="00007AFC" w:rsidRPr="00CE6B76" w:rsidRDefault="00CE6B76" w:rsidP="00007AFC">
      <w:pPr>
        <w:pStyle w:val="SingleTxtGR"/>
        <w:rPr>
          <w:b/>
        </w:rPr>
      </w:pPr>
      <w:r w:rsidRPr="009B354D">
        <w:rPr>
          <w:b/>
        </w:rPr>
        <w:tab/>
      </w:r>
      <w:r w:rsidR="00007AFC" w:rsidRPr="00CE6B76">
        <w:rPr>
          <w:b/>
          <w:lang w:val="en-GB"/>
        </w:rPr>
        <w:t>d</w:t>
      </w:r>
      <w:r w:rsidR="00007AFC" w:rsidRPr="00CE6B76">
        <w:rPr>
          <w:b/>
        </w:rPr>
        <w:t>)</w:t>
      </w:r>
      <w:r w:rsidR="00007AFC" w:rsidRPr="00CE6B76">
        <w:rPr>
          <w:b/>
        </w:rPr>
        <w:tab/>
      </w:r>
      <w:r w:rsidR="00007AFC" w:rsidRPr="00CE6B76">
        <w:rPr>
          <w:b/>
          <w:bCs/>
        </w:rPr>
        <w:t>рассмотреть вопрос о включении в базу данных о жертвах данных о подозреваемых и свидетелях, которые были собраны Группой по расследованию тяжких преступлений Организации Объединенных Наций и предоставлены национальным властям в 2013</w:t>
      </w:r>
      <w:r w:rsidR="009B354D" w:rsidRPr="009B354D">
        <w:rPr>
          <w:b/>
          <w:bCs/>
        </w:rPr>
        <w:t xml:space="preserve"> </w:t>
      </w:r>
      <w:r w:rsidR="009B354D">
        <w:rPr>
          <w:b/>
          <w:bCs/>
        </w:rPr>
        <w:t xml:space="preserve">году для </w:t>
      </w:r>
      <w:r w:rsidR="00007AFC" w:rsidRPr="00CE6B76">
        <w:rPr>
          <w:b/>
          <w:bCs/>
        </w:rPr>
        <w:t>их хранения в доступном для общественности национальном архиве;</w:t>
      </w:r>
    </w:p>
    <w:p w14:paraId="42561647" w14:textId="63E40007" w:rsidR="00007AFC" w:rsidRPr="00007AFC" w:rsidRDefault="00CE6B76" w:rsidP="00007AFC">
      <w:pPr>
        <w:pStyle w:val="SingleTxtGR"/>
      </w:pPr>
      <w:r w:rsidRPr="009B354D">
        <w:rPr>
          <w:b/>
        </w:rPr>
        <w:tab/>
      </w:r>
      <w:r w:rsidR="00007AFC" w:rsidRPr="00CE6B76">
        <w:rPr>
          <w:b/>
          <w:lang w:val="en-GB"/>
        </w:rPr>
        <w:t>e</w:t>
      </w:r>
      <w:r w:rsidR="00007AFC" w:rsidRPr="00CE6B76">
        <w:rPr>
          <w:b/>
        </w:rPr>
        <w:t>)</w:t>
      </w:r>
      <w:r w:rsidR="00007AFC" w:rsidRPr="00CE6B76">
        <w:rPr>
          <w:b/>
          <w:bCs/>
        </w:rPr>
        <w:tab/>
        <w:t>в оперативном порядке обеспечить подготовку новой редакции предлагаемого законодательства в целях обеспечения правовой защиты для всех жертв нарушений прав человека, как это рекомендовано Национальным цен</w:t>
      </w:r>
      <w:r w:rsidR="00007AFC" w:rsidRPr="00007AFC">
        <w:rPr>
          <w:b/>
          <w:bCs/>
        </w:rPr>
        <w:t xml:space="preserve">тром </w:t>
      </w:r>
      <w:r w:rsidR="00007AFC" w:rsidRPr="00007AFC">
        <w:rPr>
          <w:b/>
        </w:rPr>
        <w:t>«</w:t>
      </w:r>
      <w:proofErr w:type="gramStart"/>
      <w:r w:rsidR="00007AFC" w:rsidRPr="00007AFC">
        <w:rPr>
          <w:b/>
        </w:rPr>
        <w:t>Довольно!»</w:t>
      </w:r>
      <w:proofErr w:type="gramEnd"/>
      <w:r w:rsidR="00007AFC" w:rsidRPr="00007AFC">
        <w:rPr>
          <w:b/>
        </w:rPr>
        <w:t>,</w:t>
      </w:r>
      <w:r w:rsidR="009B354D">
        <w:rPr>
          <w:b/>
          <w:bCs/>
        </w:rPr>
        <w:t xml:space="preserve"> </w:t>
      </w:r>
      <w:r w:rsidR="00007AFC" w:rsidRPr="00007AFC">
        <w:rPr>
          <w:b/>
          <w:bCs/>
        </w:rPr>
        <w:t xml:space="preserve">и обеспечить, чтобы все жертвы пыток и жестокого обращения, включая сексуальное насилие, получили возмещение, </w:t>
      </w:r>
      <w:r w:rsidR="00007AFC" w:rsidRPr="00007AFC">
        <w:rPr>
          <w:b/>
          <w:bCs/>
        </w:rPr>
        <w:lastRenderedPageBreak/>
        <w:t>включая компенсацию и средства для возможно более полной реабилитации.</w:t>
      </w:r>
    </w:p>
    <w:p w14:paraId="7BA17662" w14:textId="665F779F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Насильственные исчезновения</w:t>
      </w:r>
    </w:p>
    <w:p w14:paraId="7C479093" w14:textId="7E45405D" w:rsidR="00007AFC" w:rsidRPr="00007AFC" w:rsidRDefault="00007AFC" w:rsidP="00007AFC">
      <w:pPr>
        <w:pStyle w:val="SingleTxtGR"/>
      </w:pPr>
      <w:r w:rsidRPr="00007AFC">
        <w:t>10.</w:t>
      </w:r>
      <w:r w:rsidRPr="00007AFC">
        <w:tab/>
        <w:t>Комитет обеспокоен тем, что в расследовании многих предполагаемых случаев насильственного исчезновения, которые произошли в госу</w:t>
      </w:r>
      <w:r w:rsidR="00CE6B76">
        <w:t>дарстве-участнике в период 1975–</w:t>
      </w:r>
      <w:r w:rsidRPr="00007AFC">
        <w:t>1999 годов, достигнут лишь незначительный прогресс</w:t>
      </w:r>
      <w:r w:rsidR="00CE6B76">
        <w:t xml:space="preserve">. </w:t>
      </w:r>
      <w:r w:rsidRPr="00007AFC">
        <w:t>Он</w:t>
      </w:r>
      <w:r w:rsidR="00CE6B76">
        <w:rPr>
          <w:lang w:val="en-US"/>
        </w:rPr>
        <w:t> </w:t>
      </w:r>
      <w:r w:rsidRPr="00007AFC">
        <w:t>также с озабоченностью отмечает, что государство-участник до сих пор не создало комиссию по вопросу о насильственных исчезновениях для сбора данных о всех случаях исчезновений, имевших место в этот период, и определения местонахождения примерно 4</w:t>
      </w:r>
      <w:r w:rsidR="009B354D">
        <w:t xml:space="preserve"> 500 </w:t>
      </w:r>
      <w:r w:rsidRPr="00007AFC">
        <w:t>детей из Тимора-</w:t>
      </w:r>
      <w:proofErr w:type="spellStart"/>
      <w:r w:rsidRPr="00007AFC">
        <w:t>Лешти</w:t>
      </w:r>
      <w:proofErr w:type="spellEnd"/>
      <w:r w:rsidRPr="00007AFC">
        <w:t>, которые были насильно вывезены в Индонезию во время оккупации, как это было рекомендовано двусторонней Комиссией по установлению истины и добрососедским отношениям (статьи 2, 12</w:t>
      </w:r>
      <w:r w:rsidR="00CE6B76" w:rsidRPr="00CE6B76">
        <w:t>–</w:t>
      </w:r>
      <w:r w:rsidRPr="00007AFC">
        <w:t>14 и 16).</w:t>
      </w:r>
    </w:p>
    <w:p w14:paraId="608244B9" w14:textId="1ECA691F" w:rsidR="00007AFC" w:rsidRPr="00007AFC" w:rsidRDefault="00007AFC" w:rsidP="00007AFC">
      <w:pPr>
        <w:pStyle w:val="SingleTxtGR"/>
      </w:pPr>
      <w:r w:rsidRPr="00007AFC">
        <w:t>11.</w:t>
      </w:r>
      <w:r w:rsidRPr="00007AFC">
        <w:tab/>
      </w:r>
      <w:r w:rsidRPr="00007AFC">
        <w:rPr>
          <w:b/>
          <w:bCs/>
        </w:rPr>
        <w:t>Комитет настоятельно призывает государство-участник удвоить свои усилия по определению судьбы и местонахождения всех лиц, пропавших без вести в период 1975</w:t>
      </w:r>
      <w:r w:rsidR="00CE6B76" w:rsidRPr="00CE6B76">
        <w:rPr>
          <w:b/>
          <w:bCs/>
        </w:rPr>
        <w:t>–</w:t>
      </w:r>
      <w:r w:rsidR="009B354D">
        <w:rPr>
          <w:b/>
          <w:bCs/>
        </w:rPr>
        <w:t xml:space="preserve">1999 годов. </w:t>
      </w:r>
      <w:r w:rsidRPr="00007AFC">
        <w:rPr>
          <w:b/>
          <w:bCs/>
        </w:rPr>
        <w:t>В частности, государству-участнику следует:</w:t>
      </w:r>
    </w:p>
    <w:p w14:paraId="009347A6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а)</w:t>
      </w:r>
      <w:r w:rsidRPr="00CE6B76">
        <w:rPr>
          <w:b/>
        </w:rPr>
        <w:tab/>
      </w:r>
      <w:r w:rsidRPr="00CE6B76">
        <w:rPr>
          <w:b/>
          <w:bCs/>
        </w:rPr>
        <w:t>принять надлежащие меры по обеспечению эффективного и беспристрастного расследования всех невыясненных случаев предполагаемых насильственных исчезновений; обеспечению, насколько это возможно, преследования и наказания виновных; и предоставлению компенсации семьям жертв;</w:t>
      </w:r>
    </w:p>
    <w:p w14:paraId="2D306800" w14:textId="755F332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</w:r>
      <w:r w:rsidRPr="00CE6B76">
        <w:rPr>
          <w:b/>
          <w:lang w:val="en-GB"/>
        </w:rPr>
        <w:t>b</w:t>
      </w:r>
      <w:r w:rsidRPr="00CE6B76">
        <w:rPr>
          <w:b/>
        </w:rPr>
        <w:t>)</w:t>
      </w:r>
      <w:r w:rsidRPr="00CE6B76">
        <w:rPr>
          <w:b/>
        </w:rPr>
        <w:tab/>
      </w:r>
      <w:r w:rsidRPr="00CE6B76">
        <w:rPr>
          <w:b/>
          <w:bCs/>
        </w:rPr>
        <w:t>в сотрудничестве с Индонезией предпринять новые усилия по установлению местонахождения пропавших без вести лиц, привлечению к уголовной ответственности виновных и содействию возвращению останков пог</w:t>
      </w:r>
      <w:r w:rsidR="009B354D">
        <w:rPr>
          <w:b/>
          <w:bCs/>
        </w:rPr>
        <w:t xml:space="preserve">ибших. </w:t>
      </w:r>
      <w:r w:rsidRPr="00CE6B76">
        <w:rPr>
          <w:b/>
          <w:bCs/>
        </w:rPr>
        <w:t>В частности, государству-участнику следует в первоочередном порядке создать комиссию по вопросу о насильственных исчезновениях и обеспечить, чтобы эта комиссия была уполномочена создать базу данных и проводить сбор данных об исчезновениях в разбивке по полу, возрасту, географическим регионам, типам, местам исчезновения и, где это возможно, данных о дате и месте эксгумации для определения местонахождения детей, насильственно вывезенных из Тимора-</w:t>
      </w:r>
      <w:proofErr w:type="spellStart"/>
      <w:r w:rsidRPr="00CE6B76">
        <w:rPr>
          <w:b/>
          <w:bCs/>
        </w:rPr>
        <w:t>Лешти</w:t>
      </w:r>
      <w:proofErr w:type="spellEnd"/>
      <w:r w:rsidRPr="00CE6B76">
        <w:rPr>
          <w:b/>
          <w:bCs/>
        </w:rPr>
        <w:t xml:space="preserve"> в Индонезию, и проведения дальнейшего расследования невыясненных случаев исчезновения в период до 1999 года;</w:t>
      </w:r>
    </w:p>
    <w:p w14:paraId="3512806C" w14:textId="563D56C9" w:rsidR="00007AFC" w:rsidRPr="00007AFC" w:rsidRDefault="00007AFC" w:rsidP="00007AFC">
      <w:pPr>
        <w:pStyle w:val="SingleTxtGR"/>
      </w:pPr>
      <w:r w:rsidRPr="00CE6B76">
        <w:rPr>
          <w:b/>
        </w:rPr>
        <w:tab/>
      </w:r>
      <w:r w:rsidRPr="00CE6B76">
        <w:rPr>
          <w:b/>
          <w:lang w:val="en-GB"/>
        </w:rPr>
        <w:t>c</w:t>
      </w:r>
      <w:r w:rsidRPr="00CE6B76">
        <w:rPr>
          <w:b/>
        </w:rPr>
        <w:t>)</w:t>
      </w:r>
      <w:r w:rsidRPr="00CE6B76">
        <w:rPr>
          <w:b/>
          <w:bCs/>
        </w:rPr>
        <w:tab/>
        <w:t>рассмотреть возможность предоставления финансовой поддержки усилиям</w:t>
      </w:r>
      <w:r w:rsidRPr="00007AFC">
        <w:rPr>
          <w:b/>
          <w:bCs/>
        </w:rPr>
        <w:t xml:space="preserve"> организаций гражданского общества и Бюро омбудсмена </w:t>
      </w:r>
      <w:r w:rsidRPr="00007AFC">
        <w:rPr>
          <w:b/>
        </w:rPr>
        <w:t>по правам человека и вопросам правосудия</w:t>
      </w:r>
      <w:r w:rsidRPr="00007AFC">
        <w:rPr>
          <w:b/>
          <w:bCs/>
        </w:rPr>
        <w:t>, направленным на определение местонахождения детей, которые были разлучены со своими родителями, и их воссоединение</w:t>
      </w:r>
      <w:r w:rsidR="009B354D">
        <w:rPr>
          <w:b/>
          <w:bCs/>
        </w:rPr>
        <w:t xml:space="preserve"> со своими семьями в </w:t>
      </w:r>
      <w:r w:rsidRPr="00007AFC">
        <w:rPr>
          <w:b/>
          <w:bCs/>
        </w:rPr>
        <w:t>Тимор</w:t>
      </w:r>
      <w:r w:rsidR="00DC6B32">
        <w:rPr>
          <w:b/>
          <w:bCs/>
        </w:rPr>
        <w:t>е</w:t>
      </w:r>
      <w:r w:rsidRPr="00007AFC">
        <w:rPr>
          <w:b/>
          <w:bCs/>
        </w:rPr>
        <w:t>-</w:t>
      </w:r>
      <w:proofErr w:type="spellStart"/>
      <w:r w:rsidRPr="00007AFC">
        <w:rPr>
          <w:b/>
          <w:bCs/>
        </w:rPr>
        <w:t>Лешти</w:t>
      </w:r>
      <w:proofErr w:type="spellEnd"/>
      <w:r w:rsidRPr="00007AFC">
        <w:rPr>
          <w:b/>
          <w:bCs/>
        </w:rPr>
        <w:t>;</w:t>
      </w:r>
    </w:p>
    <w:p w14:paraId="21D58BF6" w14:textId="77777777" w:rsidR="00007AFC" w:rsidRPr="00007AFC" w:rsidRDefault="00007AFC" w:rsidP="00007AFC">
      <w:pPr>
        <w:pStyle w:val="SingleTxtGR"/>
      </w:pPr>
      <w:r w:rsidRPr="00007AFC">
        <w:tab/>
      </w:r>
      <w:r w:rsidRPr="00CE6B76">
        <w:rPr>
          <w:b/>
        </w:rPr>
        <w:t>d)</w:t>
      </w:r>
      <w:r w:rsidRPr="00007AFC">
        <w:tab/>
      </w:r>
      <w:r w:rsidRPr="00007AFC">
        <w:rPr>
          <w:b/>
          <w:bCs/>
        </w:rPr>
        <w:t>рассмотреть вопрос о ратификации Международной конвенции для защиты всех лиц от насильственных исчезновений.</w:t>
      </w:r>
    </w:p>
    <w:p w14:paraId="46742095" w14:textId="79429D17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Безнаказанность за совершение пыток и применение неправомерного обращения</w:t>
      </w:r>
    </w:p>
    <w:p w14:paraId="7012D0C6" w14:textId="59D1660E" w:rsidR="00007AFC" w:rsidRPr="00007AFC" w:rsidRDefault="00007AFC" w:rsidP="00007AFC">
      <w:pPr>
        <w:pStyle w:val="SingleTxtGR"/>
      </w:pPr>
      <w:r w:rsidRPr="00007AFC">
        <w:t>12.</w:t>
      </w:r>
      <w:r w:rsidRPr="00007AFC">
        <w:tab/>
        <w:t>Комитет обеспокоен неоднократными утверждениями государства-участника о том, что за отчетный период властями не были зарегистрировано каких-либо случаев</w:t>
      </w:r>
      <w:r w:rsidR="009B354D">
        <w:t xml:space="preserve"> пыток. </w:t>
      </w:r>
      <w:r w:rsidRPr="00007AFC">
        <w:t xml:space="preserve">В этой связи Комитет вновь заявляет о своей озабоченности по поводу утверждений о широком распространении случаев предполагаемого применения пыток или неправомерного обращения со стороны сотрудников полиции на острове </w:t>
      </w:r>
      <w:proofErr w:type="spellStart"/>
      <w:r w:rsidRPr="00007AFC">
        <w:t>Атауро</w:t>
      </w:r>
      <w:proofErr w:type="spellEnd"/>
      <w:r w:rsidRPr="00007AFC">
        <w:t xml:space="preserve">, в округе </w:t>
      </w:r>
      <w:proofErr w:type="spellStart"/>
      <w:r w:rsidRPr="00007AFC">
        <w:t>Окуси</w:t>
      </w:r>
      <w:proofErr w:type="spellEnd"/>
      <w:r w:rsidRPr="00007AFC">
        <w:t xml:space="preserve"> и городе </w:t>
      </w:r>
      <w:proofErr w:type="spellStart"/>
      <w:r w:rsidRPr="00007AFC">
        <w:t>Мальяна</w:t>
      </w:r>
      <w:proofErr w:type="spellEnd"/>
      <w:r w:rsidRPr="00007AFC">
        <w:t xml:space="preserve"> и </w:t>
      </w:r>
      <w:proofErr w:type="spellStart"/>
      <w:r w:rsidRPr="00007AFC">
        <w:t>невозбуждении</w:t>
      </w:r>
      <w:proofErr w:type="spellEnd"/>
      <w:r w:rsidRPr="00007AFC">
        <w:t xml:space="preserve"> против них уголовного преследования, а в более широком смысле </w:t>
      </w:r>
      <w:r w:rsidR="00DC6B32">
        <w:t xml:space="preserve">– </w:t>
      </w:r>
      <w:r w:rsidRPr="00007AFC">
        <w:t xml:space="preserve">полученной Комитетом информацией о многочисленных утверждениях относительно применении пыток и неправомерного обращения, включая применение полицией чрезмерной силы, а также сообщениями о безнаказанном совершении силами </w:t>
      </w:r>
      <w:proofErr w:type="spellStart"/>
      <w:r w:rsidRPr="00007AFC">
        <w:t>бе</w:t>
      </w:r>
      <w:r w:rsidR="009B354D">
        <w:t>-</w:t>
      </w:r>
      <w:r w:rsidRPr="00007AFC">
        <w:t>зопасности</w:t>
      </w:r>
      <w:proofErr w:type="spellEnd"/>
      <w:r w:rsidRPr="00007AFC">
        <w:t xml:space="preserve"> таких злоупотреблений</w:t>
      </w:r>
      <w:r w:rsidR="009B354D">
        <w:t xml:space="preserve">. </w:t>
      </w:r>
      <w:r w:rsidRPr="00007AFC">
        <w:t xml:space="preserve">Кроме того, Комитет сожалеет по поводу отсутствия информации от государства-участника о результатах проведенных им </w:t>
      </w:r>
      <w:r w:rsidRPr="00007AFC">
        <w:lastRenderedPageBreak/>
        <w:t>расследований по многочисленным утверждениям о применении пыток и неправомерного обращения сотрудниками полиции и военнослужащими в 2014 и 2015</w:t>
      </w:r>
      <w:r w:rsidR="00CE6B76">
        <w:rPr>
          <w:lang w:val="en-US"/>
        </w:rPr>
        <w:t> </w:t>
      </w:r>
      <w:r w:rsidRPr="00007AFC">
        <w:t xml:space="preserve">годах </w:t>
      </w:r>
      <w:r w:rsidR="00741D8D">
        <w:t xml:space="preserve">в контексте совместной операции </w:t>
      </w:r>
      <w:r w:rsidRPr="00007AFC">
        <w:t xml:space="preserve">против Революционного совета </w:t>
      </w:r>
      <w:proofErr w:type="spellStart"/>
      <w:r w:rsidRPr="00007AFC">
        <w:t>маубере</w:t>
      </w:r>
      <w:proofErr w:type="spellEnd"/>
      <w:r w:rsidRPr="00007AFC">
        <w:t xml:space="preserve">, в частности в деревне </w:t>
      </w:r>
      <w:proofErr w:type="spellStart"/>
      <w:r w:rsidRPr="00007AFC">
        <w:t>Лалулай</w:t>
      </w:r>
      <w:proofErr w:type="spellEnd"/>
      <w:r w:rsidRPr="00007AFC">
        <w:t xml:space="preserve">, муниципалитет </w:t>
      </w:r>
      <w:proofErr w:type="spellStart"/>
      <w:r w:rsidRPr="00007AFC">
        <w:t>Баукау</w:t>
      </w:r>
      <w:proofErr w:type="spellEnd"/>
      <w:r w:rsidRPr="00007AFC">
        <w:t>, в ходе которой к ряду лиц, включая женщин и детей, были применены произвольные задержания, побои и угрозы</w:t>
      </w:r>
      <w:r w:rsidR="00741D8D">
        <w:t xml:space="preserve"> со стороны властей, пытавшихся </w:t>
      </w:r>
      <w:r w:rsidRPr="00007AFC">
        <w:t>получить от них информацию о местонахождении членов группы (ст</w:t>
      </w:r>
      <w:r w:rsidR="00DC6B32">
        <w:t>атьи</w:t>
      </w:r>
      <w:r w:rsidRPr="00007AFC">
        <w:t xml:space="preserve"> 2, 4, 12</w:t>
      </w:r>
      <w:r w:rsidR="00CE6B76" w:rsidRPr="00CE6B76">
        <w:t>–</w:t>
      </w:r>
      <w:r w:rsidRPr="00007AFC">
        <w:t>14 и 16).</w:t>
      </w:r>
    </w:p>
    <w:p w14:paraId="1CE03FF5" w14:textId="77777777" w:rsidR="00007AFC" w:rsidRPr="00007AFC" w:rsidRDefault="00007AFC" w:rsidP="00007AFC">
      <w:pPr>
        <w:pStyle w:val="SingleTxtGR"/>
      </w:pPr>
      <w:r w:rsidRPr="00007AFC">
        <w:t>13.</w:t>
      </w:r>
      <w:r w:rsidRPr="00007AFC">
        <w:tab/>
      </w:r>
      <w:r w:rsidRPr="00007AFC">
        <w:rPr>
          <w:b/>
          <w:bCs/>
        </w:rPr>
        <w:t>Комитет настоятельно призывает государство-участник:</w:t>
      </w:r>
    </w:p>
    <w:p w14:paraId="62024F93" w14:textId="77777777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а)</w:t>
      </w:r>
      <w:r w:rsidRPr="00CE6B76">
        <w:rPr>
          <w:b/>
        </w:rPr>
        <w:tab/>
        <w:t>обеспечить, чтобы все случаи пыток и жестокого обращения, а также сообщения о них расследовались оперативным, эффективным и беспристрастным образом, а подозреваемые привлекались к ответственности и в случае признания их виновными согласно требованиям статьи 4 Конвенции несли наказание, соразмерное содеянному ими;</w:t>
      </w:r>
    </w:p>
    <w:p w14:paraId="0DB3B5BD" w14:textId="13CB3A28" w:rsidR="00007AFC" w:rsidRPr="00007AFC" w:rsidRDefault="00007AFC" w:rsidP="00007AFC">
      <w:pPr>
        <w:pStyle w:val="SingleTxtGR"/>
      </w:pPr>
      <w:r w:rsidRPr="00CE6B76">
        <w:rPr>
          <w:b/>
        </w:rPr>
        <w:tab/>
        <w:t>b)</w:t>
      </w:r>
      <w:r w:rsidRPr="00CE6B76">
        <w:rPr>
          <w:b/>
        </w:rPr>
        <w:tab/>
      </w:r>
      <w:r w:rsidRPr="00CE6B76">
        <w:rPr>
          <w:b/>
          <w:bCs/>
        </w:rPr>
        <w:t>следить</w:t>
      </w:r>
      <w:r w:rsidRPr="00CE6B76">
        <w:rPr>
          <w:b/>
        </w:rPr>
        <w:t xml:space="preserve"> за </w:t>
      </w:r>
      <w:r w:rsidRPr="00CE6B76">
        <w:rPr>
          <w:b/>
          <w:bCs/>
        </w:rPr>
        <w:t>ходом расследований по недавним утверждениям о применени</w:t>
      </w:r>
      <w:r w:rsidRPr="00007AFC">
        <w:rPr>
          <w:b/>
          <w:bCs/>
        </w:rPr>
        <w:t xml:space="preserve">и пыток и неправомерного обращения со стороны сотрудников полиции и военнослужащих, в частности по вышеупомянутым случаям в </w:t>
      </w:r>
      <w:proofErr w:type="spellStart"/>
      <w:r w:rsidRPr="00007AFC">
        <w:rPr>
          <w:b/>
          <w:bCs/>
        </w:rPr>
        <w:t>Лалулае</w:t>
      </w:r>
      <w:proofErr w:type="spellEnd"/>
      <w:r w:rsidRPr="00007AFC">
        <w:rPr>
          <w:b/>
          <w:bCs/>
        </w:rPr>
        <w:t xml:space="preserve">, </w:t>
      </w:r>
      <w:proofErr w:type="spellStart"/>
      <w:r w:rsidRPr="00007AFC">
        <w:rPr>
          <w:b/>
          <w:bCs/>
        </w:rPr>
        <w:t>Окуси</w:t>
      </w:r>
      <w:proofErr w:type="spellEnd"/>
      <w:r w:rsidRPr="00007AFC">
        <w:rPr>
          <w:b/>
          <w:bCs/>
        </w:rPr>
        <w:t xml:space="preserve"> и </w:t>
      </w:r>
      <w:proofErr w:type="spellStart"/>
      <w:r w:rsidRPr="00007AFC">
        <w:rPr>
          <w:b/>
          <w:bCs/>
        </w:rPr>
        <w:t>Мальяне</w:t>
      </w:r>
      <w:proofErr w:type="spellEnd"/>
      <w:r w:rsidRPr="00007AFC">
        <w:rPr>
          <w:b/>
          <w:bCs/>
        </w:rPr>
        <w:t>, и представить информацию</w:t>
      </w:r>
      <w:r w:rsidR="00741D8D">
        <w:rPr>
          <w:b/>
          <w:bCs/>
        </w:rPr>
        <w:t xml:space="preserve"> об </w:t>
      </w:r>
      <w:r w:rsidRPr="00007AFC">
        <w:rPr>
          <w:b/>
          <w:bCs/>
        </w:rPr>
        <w:t>итогах этих расследований в следующем периодическом докладе государства-участника Комитету, в том числе о том, были ли в связи с ними возбуждены уголовные дела и получили ли жертвы возмещение.</w:t>
      </w:r>
    </w:p>
    <w:p w14:paraId="424FC663" w14:textId="3BAD2ACF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Утверждения о неправомерном обращении со стороны сотрудников полиции</w:t>
      </w:r>
    </w:p>
    <w:p w14:paraId="097A9CAF" w14:textId="4C005B2E" w:rsidR="00007AFC" w:rsidRPr="00007AFC" w:rsidRDefault="00007AFC" w:rsidP="00007AFC">
      <w:pPr>
        <w:pStyle w:val="SingleTxtGR"/>
      </w:pPr>
      <w:r w:rsidRPr="00007AFC">
        <w:t>14.</w:t>
      </w:r>
      <w:r w:rsidRPr="00007AFC">
        <w:tab/>
        <w:t>Комитет с озабоченностью отмечает, что согласно авторитетным исследованиям, в том числе обследованиям населения, о службах полиции, действующих как самостоятельно, так и в рамках совместных операций с подразделениями вооруженных сил, сложилось то мнение, что они причастны к применению чрезмерной силы, что они не заслуживают доверия и что их действия являются причиной ужесточения ц</w:t>
      </w:r>
      <w:r w:rsidR="00741D8D">
        <w:t xml:space="preserve">икла насилия и безнаказанности. </w:t>
      </w:r>
      <w:r w:rsidRPr="00007AFC">
        <w:t>Кроме того, согласно полученной информации, высокопоставленные должностные лица в ряде случаев поощряли применение полицией чрезмерной силы в отношении лиц, подозреваемых в совершении преступле</w:t>
      </w:r>
      <w:r w:rsidR="00741D8D">
        <w:t xml:space="preserve">ний. </w:t>
      </w:r>
      <w:r w:rsidRPr="00007AFC">
        <w:t>Комитет также выражает сожаление по поводу того, что государство-участник не представило какие-либо данные о вынесении конкретных приговоров, если таковые имеются, представшим перед судом в отчетный период сотрудникам полиции по обвинениям в неправомерном обращении, включая применение чрезмерной силы; данные о дисциплинарных взысканиях в отношении нарушителей; или какую-либо информацию о предположительно совершивших подобные действия лицах, которые были отстранены от государственной службы до завершения расследования жалобы (статьи 1–13 и</w:t>
      </w:r>
      <w:r w:rsidR="00741D8D">
        <w:t> </w:t>
      </w:r>
      <w:r w:rsidRPr="00007AFC">
        <w:t>16).</w:t>
      </w:r>
    </w:p>
    <w:p w14:paraId="3FD99B73" w14:textId="77777777" w:rsidR="00007AFC" w:rsidRPr="00007AFC" w:rsidRDefault="00007AFC" w:rsidP="00007AFC">
      <w:pPr>
        <w:pStyle w:val="SingleTxtGR"/>
      </w:pPr>
      <w:r w:rsidRPr="00007AFC">
        <w:t>15.</w:t>
      </w:r>
      <w:r w:rsidRPr="00007AFC">
        <w:tab/>
      </w:r>
      <w:r w:rsidRPr="00007AFC">
        <w:rPr>
          <w:b/>
          <w:bCs/>
        </w:rPr>
        <w:t>Государству-участнику следует:</w:t>
      </w:r>
    </w:p>
    <w:p w14:paraId="1A2D5542" w14:textId="77777777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а)</w:t>
      </w:r>
      <w:r w:rsidRPr="00CE6B76">
        <w:rPr>
          <w:b/>
        </w:rPr>
        <w:tab/>
      </w:r>
      <w:r w:rsidRPr="00CE6B76">
        <w:rPr>
          <w:b/>
          <w:bCs/>
        </w:rPr>
        <w:t xml:space="preserve">обеспечить, чтобы должностные лица высокого уровня </w:t>
      </w:r>
      <w:r w:rsidRPr="00CE6B76">
        <w:rPr>
          <w:b/>
        </w:rPr>
        <w:t xml:space="preserve">недвусмысленно подтвердили </w:t>
      </w:r>
      <w:proofErr w:type="gramStart"/>
      <w:r w:rsidRPr="00CE6B76">
        <w:rPr>
          <w:b/>
        </w:rPr>
        <w:t>абсолютный</w:t>
      </w:r>
      <w:proofErr w:type="gramEnd"/>
      <w:r w:rsidRPr="00CE6B76">
        <w:rPr>
          <w:b/>
        </w:rPr>
        <w:t xml:space="preserve"> запрет на пытки и публично заявили о том, что любое лицо, совершающее такие действия или иным образом причастное к применению пыток или одобряющее их, будет привлекаться по закону к личной ответственности за совершение таких действий, подвергаться уголовному преследованию и нести соответствующее наказание;</w:t>
      </w:r>
    </w:p>
    <w:p w14:paraId="582C8D95" w14:textId="77777777" w:rsidR="00007AFC" w:rsidRPr="00007AFC" w:rsidRDefault="00007AFC" w:rsidP="00007AFC">
      <w:pPr>
        <w:pStyle w:val="SingleTxtGR"/>
      </w:pPr>
      <w:r w:rsidRPr="00CE6B76">
        <w:rPr>
          <w:b/>
        </w:rPr>
        <w:tab/>
        <w:t>b)</w:t>
      </w:r>
      <w:r w:rsidRPr="00007AFC">
        <w:rPr>
          <w:b/>
        </w:rPr>
        <w:tab/>
        <w:t>обеспечить, чтобы по всем заявлениям о применении чрезмерной силы сотрудниками правоохранительных органов проводились оперативные, беспристрастные и эффективные расследования, чтобы виновные привлекались к ответственности, а жертвы получали надлежащее</w:t>
      </w:r>
      <w:r w:rsidRPr="00007AFC">
        <w:rPr>
          <w:b/>
          <w:bCs/>
        </w:rPr>
        <w:t xml:space="preserve"> возмещение;</w:t>
      </w:r>
    </w:p>
    <w:p w14:paraId="40406758" w14:textId="77777777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c)</w:t>
      </w:r>
      <w:r w:rsidRPr="00CE6B76">
        <w:rPr>
          <w:b/>
          <w:bCs/>
        </w:rPr>
        <w:tab/>
        <w:t xml:space="preserve">активизировать свои усилия, </w:t>
      </w:r>
      <w:r w:rsidRPr="00CE6B76">
        <w:rPr>
          <w:b/>
        </w:rPr>
        <w:t>направленные на организацию систематической профессиональной подготовки для всех сотрудников право</w:t>
      </w:r>
      <w:r w:rsidRPr="00CE6B76">
        <w:rPr>
          <w:b/>
        </w:rPr>
        <w:lastRenderedPageBreak/>
        <w:t>охранительных органов по вопросам применения силы,</w:t>
      </w:r>
      <w:r w:rsidRPr="00CE6B76">
        <w:rPr>
          <w:b/>
          <w:bCs/>
        </w:rPr>
        <w:t xml:space="preserve"> принимая во внимание </w:t>
      </w:r>
      <w:r w:rsidRPr="00CE6B76">
        <w:rPr>
          <w:b/>
        </w:rPr>
        <w:t>Основные принципы применения силы и огнестрельного оружия должностными лицами по поддержанию правопорядка;</w:t>
      </w:r>
    </w:p>
    <w:p w14:paraId="01C96920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d)</w:t>
      </w:r>
      <w:r w:rsidRPr="00CE6B76">
        <w:rPr>
          <w:b/>
        </w:rPr>
        <w:tab/>
      </w:r>
      <w:r w:rsidRPr="00CE6B76">
        <w:rPr>
          <w:b/>
          <w:bCs/>
        </w:rPr>
        <w:t xml:space="preserve">предоставить всем сотрудникам полиции и сотрудникам других правоохранительных органов форменную одежду с надлежащей идентифицирующей информацией для обеспечения индивидуальной ответственности и </w:t>
      </w:r>
      <w:proofErr w:type="gramStart"/>
      <w:r w:rsidRPr="00CE6B76">
        <w:rPr>
          <w:b/>
          <w:bCs/>
        </w:rPr>
        <w:t>защиты от применения пыток</w:t>
      </w:r>
      <w:proofErr w:type="gramEnd"/>
      <w:r w:rsidRPr="00CE6B76">
        <w:rPr>
          <w:b/>
          <w:bCs/>
        </w:rPr>
        <w:t xml:space="preserve"> и жестокого обращения;</w:t>
      </w:r>
    </w:p>
    <w:p w14:paraId="26D28F0C" w14:textId="77777777" w:rsidR="00007AFC" w:rsidRPr="00007AFC" w:rsidRDefault="00007AFC" w:rsidP="00007AFC">
      <w:pPr>
        <w:pStyle w:val="SingleTxtGR"/>
      </w:pPr>
      <w:r w:rsidRPr="00CE6B76">
        <w:rPr>
          <w:b/>
        </w:rPr>
        <w:tab/>
        <w:t>e) </w:t>
      </w:r>
      <w:r w:rsidRPr="00CE6B76">
        <w:rPr>
          <w:b/>
          <w:bCs/>
        </w:rPr>
        <w:tab/>
        <w:t>об</w:t>
      </w:r>
      <w:r w:rsidRPr="00007AFC">
        <w:rPr>
          <w:b/>
          <w:bCs/>
        </w:rPr>
        <w:t xml:space="preserve">еспечить систематический сбор данных о сообщениях, касающихся применения сотрудниками полицией чрезмерной силы, направляемых в органы полиции, Бюро омбудсмена </w:t>
      </w:r>
      <w:r w:rsidRPr="00007AFC">
        <w:rPr>
          <w:b/>
        </w:rPr>
        <w:t>по правам человека и вопросам правосудия</w:t>
      </w:r>
      <w:r w:rsidRPr="00007AFC">
        <w:rPr>
          <w:b/>
          <w:bCs/>
        </w:rPr>
        <w:t xml:space="preserve"> или в другие официальные органы, и отслеживать ход проводимых в этой связи расследований, в том числе фиксировать, привели ли какие-либо расследования к дисциплинарной ответственности и/или уголовному преследованию, и их результаты, включая назначенные наказания, и представлять эту информацию Комитету.</w:t>
      </w:r>
    </w:p>
    <w:p w14:paraId="76C68F75" w14:textId="6CB57D6F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Оперативное, тщательное и беспристрастное расследование</w:t>
      </w:r>
    </w:p>
    <w:p w14:paraId="3A7A7304" w14:textId="6954A400" w:rsidR="00007AFC" w:rsidRPr="00007AFC" w:rsidRDefault="00007AFC" w:rsidP="00007AFC">
      <w:pPr>
        <w:pStyle w:val="SingleTxtGR"/>
      </w:pPr>
      <w:r w:rsidRPr="00007AFC">
        <w:t>16.</w:t>
      </w:r>
      <w:r w:rsidRPr="00007AFC">
        <w:tab/>
        <w:t xml:space="preserve">Принимая к сведению создание в 2014 году экспертно-криминалистического и следственного подразделения полиции, находящегося в ведении Министерства юстиции, Комитет выражает озабоченность по поводу того, что государство-участник не представило информацию о деятельности этого подразделения по расследованию утверждений о применении пыток или неправомерного обращения за отчетный период </w:t>
      </w:r>
      <w:r w:rsidR="00741D8D">
        <w:t>(статьи</w:t>
      </w:r>
      <w:r w:rsidRPr="00007AFC">
        <w:t xml:space="preserve"> 2, 12, 13 </w:t>
      </w:r>
      <w:r w:rsidR="00741D8D">
        <w:t>и</w:t>
      </w:r>
      <w:r w:rsidRPr="00007AFC">
        <w:t xml:space="preserve"> 16)</w:t>
      </w:r>
      <w:r w:rsidR="00741D8D">
        <w:t>.</w:t>
      </w:r>
    </w:p>
    <w:p w14:paraId="069B2F82" w14:textId="77777777" w:rsidR="00007AFC" w:rsidRPr="00007AFC" w:rsidRDefault="00007AFC" w:rsidP="00007AFC">
      <w:pPr>
        <w:pStyle w:val="SingleTxtGR"/>
      </w:pPr>
      <w:r w:rsidRPr="00007AFC">
        <w:t>17.</w:t>
      </w:r>
      <w:r w:rsidRPr="00007AFC">
        <w:tab/>
      </w:r>
      <w:r w:rsidRPr="00007AFC">
        <w:rPr>
          <w:b/>
          <w:bCs/>
        </w:rPr>
        <w:t>Комитет настоятельно призывает государство-участник:</w:t>
      </w:r>
    </w:p>
    <w:p w14:paraId="0A7A338B" w14:textId="77777777" w:rsidR="00007AFC" w:rsidRPr="00007AFC" w:rsidRDefault="00007AFC" w:rsidP="00007AFC">
      <w:pPr>
        <w:pStyle w:val="SingleTxtGR"/>
      </w:pPr>
      <w:r w:rsidRPr="00007AFC">
        <w:rPr>
          <w:b/>
        </w:rPr>
        <w:tab/>
        <w:t>а)</w:t>
      </w:r>
      <w:r w:rsidRPr="00007AFC">
        <w:rPr>
          <w:b/>
        </w:rPr>
        <w:tab/>
        <w:t>обеспечить проведение оперативных и беспристрастных расследований по всем жалобам на применение пыток или неправомерное обращение независимым органом и исключить какую-либо институциональную или иерархическую связь между следователями этого органа и подозреваемыми в совершении соответствующих деяний</w:t>
      </w:r>
      <w:r w:rsidRPr="00007AFC">
        <w:rPr>
          <w:b/>
          <w:bCs/>
        </w:rPr>
        <w:t>, а также укрепить потенциал экспертно-криминалистического и следственного подразделения полиции для проведения таких расследований;</w:t>
      </w:r>
    </w:p>
    <w:p w14:paraId="0D182082" w14:textId="77777777" w:rsidR="00007AFC" w:rsidRPr="00007AFC" w:rsidRDefault="00007AFC" w:rsidP="00007AFC">
      <w:pPr>
        <w:pStyle w:val="SingleTxtGR"/>
      </w:pPr>
      <w:r w:rsidRPr="00007AFC">
        <w:rPr>
          <w:b/>
        </w:rPr>
        <w:tab/>
        <w:t>b)</w:t>
      </w:r>
      <w:r w:rsidRPr="00007AFC">
        <w:rPr>
          <w:b/>
          <w:bCs/>
        </w:rPr>
        <w:t xml:space="preserve"> </w:t>
      </w:r>
      <w:r w:rsidRPr="00007AFC">
        <w:rPr>
          <w:b/>
          <w:bCs/>
        </w:rPr>
        <w:tab/>
      </w:r>
      <w:r w:rsidRPr="00007AFC">
        <w:rPr>
          <w:b/>
        </w:rPr>
        <w:t>обеспечить, чтобы органы власти всегда инициировали официальное расследование, если имеются разумные основания полагать, что был совершен акт пытки или неправомерного обращения;</w:t>
      </w:r>
    </w:p>
    <w:p w14:paraId="71A3D9DD" w14:textId="0130D8FE" w:rsidR="00007AFC" w:rsidRPr="00007AFC" w:rsidRDefault="00007AFC" w:rsidP="00007AFC">
      <w:pPr>
        <w:pStyle w:val="SingleTxtGR"/>
      </w:pPr>
      <w:r w:rsidRPr="00007AFC">
        <w:tab/>
      </w:r>
      <w:r w:rsidRPr="00CE6B76">
        <w:rPr>
          <w:b/>
        </w:rPr>
        <w:t>c)</w:t>
      </w:r>
      <w:r w:rsidRPr="00007AFC">
        <w:rPr>
          <w:b/>
          <w:bCs/>
        </w:rPr>
        <w:tab/>
      </w:r>
      <w:r w:rsidRPr="00007AFC">
        <w:rPr>
          <w:b/>
        </w:rPr>
        <w:t>обеспечить, чтобы в случаях предполагаемого применении пыток или неправомерного обращения подозреваемые незамедлительно отстранялись от исполнения своих должностных обязанностей на весь период проведения расследования, особенно если существует опасность того, что в противном случае они могут повторить деяние, вменяемое им в вину, прибегнуть к репрессиям против предполагаемых жертв или воспрепятствовать расследованию;</w:t>
      </w:r>
    </w:p>
    <w:p w14:paraId="35E9EDCB" w14:textId="77777777" w:rsidR="00007AFC" w:rsidRPr="00007AFC" w:rsidRDefault="00007AFC" w:rsidP="00007AFC">
      <w:pPr>
        <w:pStyle w:val="SingleTxtGR"/>
      </w:pPr>
      <w:r w:rsidRPr="00007AFC">
        <w:tab/>
      </w:r>
      <w:r w:rsidRPr="00CE6B76">
        <w:rPr>
          <w:b/>
        </w:rPr>
        <w:t>d)</w:t>
      </w:r>
      <w:r w:rsidRPr="00CE6B76">
        <w:rPr>
          <w:b/>
          <w:bCs/>
        </w:rPr>
        <w:tab/>
        <w:t>с</w:t>
      </w:r>
      <w:r w:rsidRPr="00007AFC">
        <w:rPr>
          <w:b/>
          <w:bCs/>
        </w:rPr>
        <w:t xml:space="preserve">компилировать данные о расследованиях, проводимых экспертно-криминалистическим и </w:t>
      </w:r>
      <w:r w:rsidRPr="00007AFC">
        <w:rPr>
          <w:b/>
        </w:rPr>
        <w:t>следственным подразделением полиции,</w:t>
      </w:r>
      <w:r w:rsidRPr="00007AFC">
        <w:rPr>
          <w:b/>
          <w:bCs/>
        </w:rPr>
        <w:t xml:space="preserve"> и об их результатах и представить эту информацию в следующем периодическом докладе государства-участника Комитету.</w:t>
      </w:r>
    </w:p>
    <w:p w14:paraId="6A545DFC" w14:textId="5C765810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Основные правовые гарантии</w:t>
      </w:r>
    </w:p>
    <w:p w14:paraId="41A67333" w14:textId="00452259" w:rsidR="00007AFC" w:rsidRPr="00007AFC" w:rsidRDefault="00007AFC" w:rsidP="00007AFC">
      <w:pPr>
        <w:pStyle w:val="SingleTxtGR"/>
      </w:pPr>
      <w:r w:rsidRPr="00007AFC">
        <w:t>18.</w:t>
      </w:r>
      <w:r w:rsidRPr="00007AFC">
        <w:tab/>
        <w:t xml:space="preserve">Комитет принимает к сведению процессуальные гарантии, предусмотренные в статье 60 Уголовно-процессуального кодекса, а именно права задержанных лиц быть доставленными к судье в течение 72 часов после ареста, быть проинформированными о причинах их ареста и об их правах, хранить молчание, иметь доступ к независимому адвокату, при необходимости </w:t>
      </w:r>
      <w:r w:rsidR="00741D8D">
        <w:t>–</w:t>
      </w:r>
      <w:r w:rsidRPr="00007AFC">
        <w:t xml:space="preserve"> в рамках оказания правовой помощи, и вступать в контакт с родственниками.</w:t>
      </w:r>
      <w:r w:rsidR="00741D8D">
        <w:t xml:space="preserve"> </w:t>
      </w:r>
      <w:r w:rsidRPr="00007AFC">
        <w:t>В то же время он выражает сожаление по поводу недостатка информации о действующих мерах и процеду</w:t>
      </w:r>
      <w:r w:rsidRPr="00007AFC">
        <w:lastRenderedPageBreak/>
        <w:t>рах, направленных на обеспечение практического применения этих и других основных правовых гарантий в целях предупреждения пыток и неправомерного обращения.</w:t>
      </w:r>
      <w:r w:rsidR="00741D8D">
        <w:t xml:space="preserve"> </w:t>
      </w:r>
      <w:r w:rsidRPr="00007AFC">
        <w:t>В этой связи он ссылается на сообщения о том, что задержанные часто лишены сво</w:t>
      </w:r>
      <w:r w:rsidR="00741D8D">
        <w:t xml:space="preserve">евременного доступа к адвокату. </w:t>
      </w:r>
      <w:r w:rsidRPr="00007AFC">
        <w:t>Кроме того, он обеспокоен утверждениями, касающимися отсутствия точного учета задержанных, и несоблюдением семидесятидвухчасового предельного срока, в течении которого задержанные должны быть доставлены к судье (статья 2).</w:t>
      </w:r>
    </w:p>
    <w:p w14:paraId="299E3F86" w14:textId="77777777" w:rsidR="00007AFC" w:rsidRPr="00007AFC" w:rsidRDefault="00007AFC" w:rsidP="00007AFC">
      <w:pPr>
        <w:pStyle w:val="SingleTxtGR"/>
      </w:pPr>
      <w:r w:rsidRPr="00007AFC">
        <w:t>19.</w:t>
      </w:r>
      <w:r w:rsidRPr="00007AFC">
        <w:tab/>
      </w:r>
      <w:r w:rsidRPr="00007AFC">
        <w:rPr>
          <w:b/>
          <w:bCs/>
        </w:rPr>
        <w:t>Государству-участнику следует:</w:t>
      </w:r>
    </w:p>
    <w:p w14:paraId="36F7C2E9" w14:textId="5DB11874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а)</w:t>
      </w:r>
      <w:r w:rsidRPr="00CE6B76">
        <w:rPr>
          <w:b/>
        </w:rPr>
        <w:tab/>
        <w:t>обеспечить, чтобы в законодательстве и на практике всем задержанным сразу же после их лишения свободы предоставлялись все основные правовые гарантии неприменения пыток, включая права на безотлагательную помощь адвоката, незамедлительный доступ к независимому врачу, даже если по просьбе властей уже было проведено медицинское освидетельствование, на уведомление о причинах ареста и характере любых обвинений, выдвинутых против них, на понятном им языке, на регистрацию в месте содержания под стражей,</w:t>
      </w:r>
      <w:r w:rsidR="00D730EA">
        <w:rPr>
          <w:b/>
        </w:rPr>
        <w:t xml:space="preserve"> </w:t>
      </w:r>
      <w:r w:rsidRPr="00CE6B76">
        <w:rPr>
          <w:b/>
        </w:rPr>
        <w:t>оперативное информирование близкого родственника или третьей стороны об их задержании и на безотлагательное препровождение к судье;</w:t>
      </w:r>
    </w:p>
    <w:p w14:paraId="59FD2635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</w:r>
      <w:r w:rsidRPr="00CE6B76">
        <w:rPr>
          <w:b/>
          <w:lang w:val="en-GB"/>
        </w:rPr>
        <w:t>b</w:t>
      </w:r>
      <w:r w:rsidRPr="00CE6B76">
        <w:rPr>
          <w:b/>
        </w:rPr>
        <w:t>)</w:t>
      </w:r>
      <w:r w:rsidRPr="00CE6B76">
        <w:rPr>
          <w:b/>
          <w:bCs/>
        </w:rPr>
        <w:tab/>
      </w:r>
      <w:r w:rsidRPr="00CE6B76">
        <w:rPr>
          <w:b/>
        </w:rPr>
        <w:t>обеспечить, чтобы во всех полицейских участках имелся тест стандартных оперативных процедур с изложением этих основополагающих правовых гарантий в целях повышения уровня осведомленности сотрудников полиции и населения об этих требованиях;</w:t>
      </w:r>
    </w:p>
    <w:p w14:paraId="5FAF969E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c)</w:t>
      </w:r>
      <w:r w:rsidRPr="00CE6B76">
        <w:rPr>
          <w:b/>
        </w:rPr>
        <w:tab/>
      </w:r>
      <w:r w:rsidRPr="00CE6B76">
        <w:rPr>
          <w:b/>
          <w:bCs/>
        </w:rPr>
        <w:t>обеспечить на практике возможность оказания правовой помощи всем лицам, лишенным свободы, в частности путем найма государственных защитников во всех муниципалитетах страны;</w:t>
      </w:r>
    </w:p>
    <w:p w14:paraId="6E3223A8" w14:textId="22983760" w:rsidR="00007AFC" w:rsidRPr="00007AFC" w:rsidRDefault="00007AFC" w:rsidP="00007AFC">
      <w:pPr>
        <w:pStyle w:val="SingleTxtGR"/>
      </w:pPr>
      <w:r w:rsidRPr="00CE6B76">
        <w:rPr>
          <w:b/>
        </w:rPr>
        <w:tab/>
        <w:t>d)</w:t>
      </w:r>
      <w:r w:rsidRPr="00007AFC">
        <w:tab/>
      </w:r>
      <w:r w:rsidRPr="00007AFC">
        <w:rPr>
          <w:b/>
          <w:bCs/>
        </w:rPr>
        <w:t xml:space="preserve">усилить независимый мониторинг полицейских участков, который бы обеспечивал соблюдение службами полиции основных гарантий на практике, в том числе путем предоставления достаточных ресурсов </w:t>
      </w:r>
      <w:r w:rsidRPr="00007AFC">
        <w:rPr>
          <w:b/>
        </w:rPr>
        <w:t>Бюро омбудсмена по правам человека и вопросам правосудия</w:t>
      </w:r>
      <w:r w:rsidR="00741D8D">
        <w:rPr>
          <w:b/>
          <w:bCs/>
        </w:rPr>
        <w:t xml:space="preserve"> </w:t>
      </w:r>
      <w:r w:rsidRPr="00007AFC">
        <w:rPr>
          <w:b/>
          <w:bCs/>
        </w:rPr>
        <w:t>для проведения необъявленных посещений всех полицейских участков на регулярной основе;</w:t>
      </w:r>
    </w:p>
    <w:p w14:paraId="148ED254" w14:textId="77777777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e)</w:t>
      </w:r>
      <w:r w:rsidRPr="00CE6B76">
        <w:rPr>
          <w:b/>
        </w:rPr>
        <w:tab/>
      </w:r>
      <w:r w:rsidRPr="00CE6B76">
        <w:rPr>
          <w:b/>
          <w:bCs/>
        </w:rPr>
        <w:t xml:space="preserve"> ввести единую форму учетного реестра задержаний для использования во всех полицейских участках, обеспечить внесение сотрудниками полиции точной и подробной информации о каждом случае лишения свободы в такие реестры и поставить задачу по созданию центрального реестра;</w:t>
      </w:r>
    </w:p>
    <w:p w14:paraId="4627A261" w14:textId="3FEF66FF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</w:r>
      <w:r w:rsidRPr="00CE6B76">
        <w:rPr>
          <w:b/>
          <w:lang w:val="en-GB"/>
        </w:rPr>
        <w:t>f</w:t>
      </w:r>
      <w:r w:rsidRPr="00CE6B76">
        <w:rPr>
          <w:b/>
        </w:rPr>
        <w:t>)</w:t>
      </w:r>
      <w:r w:rsidRPr="00CE6B76">
        <w:rPr>
          <w:b/>
          <w:bCs/>
        </w:rPr>
        <w:tab/>
        <w:t xml:space="preserve">рассмотреть вопрос о создание автономного надзорного органа полиции, который был бы уполномочен получать жалобы, касающиеся отказа со стороны сотрудников полиции применять на практике основные гарантии, в том числе от </w:t>
      </w:r>
      <w:r w:rsidRPr="00CE6B76">
        <w:rPr>
          <w:b/>
        </w:rPr>
        <w:t>Бюро омбудсмена по правам человека и вопросам правосудия</w:t>
      </w:r>
      <w:r w:rsidR="00741D8D">
        <w:rPr>
          <w:b/>
          <w:bCs/>
        </w:rPr>
        <w:t xml:space="preserve">, </w:t>
      </w:r>
      <w:r w:rsidRPr="00CE6B76">
        <w:rPr>
          <w:b/>
          <w:bCs/>
        </w:rPr>
        <w:t>и принимать официальные решения о вынесении дисциплинарных взысканий;</w:t>
      </w:r>
    </w:p>
    <w:p w14:paraId="798D301D" w14:textId="77777777" w:rsidR="00007AFC" w:rsidRPr="00007AFC" w:rsidRDefault="00007AFC" w:rsidP="00007AFC">
      <w:pPr>
        <w:pStyle w:val="SingleTxtGR"/>
      </w:pPr>
      <w:r w:rsidRPr="00CE6B76">
        <w:rPr>
          <w:b/>
          <w:bCs/>
        </w:rPr>
        <w:tab/>
        <w:t>g)</w:t>
      </w:r>
      <w:r w:rsidRPr="00CE6B76">
        <w:rPr>
          <w:b/>
          <w:bCs/>
        </w:rPr>
        <w:tab/>
      </w:r>
      <w:r w:rsidRPr="00007AFC">
        <w:rPr>
          <w:b/>
          <w:bCs/>
        </w:rPr>
        <w:t xml:space="preserve">провести сбор данных о любых случаях применении к сотрудникам полиции дисциплинарных взысканий в случае </w:t>
      </w:r>
      <w:proofErr w:type="spellStart"/>
      <w:r w:rsidRPr="00007AFC">
        <w:rPr>
          <w:b/>
          <w:bCs/>
        </w:rPr>
        <w:t>непредоставления</w:t>
      </w:r>
      <w:proofErr w:type="spellEnd"/>
      <w:r w:rsidRPr="00007AFC">
        <w:rPr>
          <w:b/>
          <w:bCs/>
        </w:rPr>
        <w:t xml:space="preserve"> ими основных гарантий и представить соответствующую информацию в следующем периодическом докладе государства-участника Комитету.</w:t>
      </w:r>
    </w:p>
    <w:p w14:paraId="387BB050" w14:textId="3DD09823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Определение и криминализация пытки</w:t>
      </w:r>
    </w:p>
    <w:p w14:paraId="7C27B690" w14:textId="12C19564" w:rsidR="00007AFC" w:rsidRPr="00007AFC" w:rsidRDefault="00007AFC" w:rsidP="00007AFC">
      <w:pPr>
        <w:pStyle w:val="SingleTxtGR"/>
      </w:pPr>
      <w:r w:rsidRPr="00007AFC">
        <w:t>20.</w:t>
      </w:r>
      <w:r w:rsidRPr="00007AFC">
        <w:tab/>
        <w:t>Комитет с озабоченностью отмечает, что в соответствии с положениями Уголовного кодекса государства-участника акты пыток и неправомерного обращения рассматриваются в качестве правонарушения,</w:t>
      </w:r>
      <w:r w:rsidR="00741D8D">
        <w:t xml:space="preserve"> имеющего один и тот же состав. </w:t>
      </w:r>
      <w:r w:rsidRPr="00007AFC">
        <w:t>Кроме того, определение, данное в статье 167</w:t>
      </w:r>
      <w:r w:rsidR="00DC6B32">
        <w:t>,</w:t>
      </w:r>
      <w:r w:rsidRPr="00007AFC">
        <w:t xml:space="preserve"> ограничивается действиями, совершаемыми непосредственно лицами, на которые возложены определенные государственные функции, что могло бы воспрепятствовать преследованию государственных должностных лиц, работающих в не упомянутых непосредственным образом областях, или иных лиц, выполняющих делегированные им </w:t>
      </w:r>
      <w:r w:rsidRPr="00007AFC">
        <w:lastRenderedPageBreak/>
        <w:t>функции, либо должностных лиц, согласных с причинением сильной боли или страдания другими лицами или попустительствующих такой практике. Комитет также отмечает, что в определении пытки, содержащемся в Уголовном кодексе, не упоминаются боль и страдание, причиняемые с целью дискриминации любого характера, как это предусмотрено в Конвенции. И наконец, он обеспокоен тем, что Уголовный кодекс не позволяет обеспечить назначение соответствующих мер наказания за акты пыток, поскольку за применение пыток в нем установлено минимальное наказание в виде лишения свободы всего лишь на два года (см. статьи</w:t>
      </w:r>
      <w:r w:rsidR="00CE6B76">
        <w:rPr>
          <w:lang w:val="en-US"/>
        </w:rPr>
        <w:t> </w:t>
      </w:r>
      <w:r w:rsidRPr="00007AFC">
        <w:t>1 и 4).</w:t>
      </w:r>
    </w:p>
    <w:p w14:paraId="1A93B9C9" w14:textId="77777777" w:rsidR="00007AFC" w:rsidRPr="00007AFC" w:rsidRDefault="00007AFC" w:rsidP="00007AFC">
      <w:pPr>
        <w:pStyle w:val="SingleTxtGR"/>
      </w:pPr>
      <w:r w:rsidRPr="00007AFC">
        <w:t>21.</w:t>
      </w:r>
      <w:r w:rsidRPr="00007AFC">
        <w:tab/>
        <w:t>Г</w:t>
      </w:r>
      <w:r w:rsidRPr="00007AFC">
        <w:rPr>
          <w:b/>
          <w:bCs/>
        </w:rPr>
        <w:t>осударству-участнику следует привести статью 167 Уголовного кодекса в соответствие с положениями статьи 1 Конвенции и для этого:</w:t>
      </w:r>
    </w:p>
    <w:p w14:paraId="304B1715" w14:textId="77777777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а) </w:t>
      </w:r>
      <w:r w:rsidRPr="00CE6B76">
        <w:rPr>
          <w:b/>
        </w:rPr>
        <w:tab/>
        <w:t>о</w:t>
      </w:r>
      <w:r w:rsidRPr="00CE6B76">
        <w:rPr>
          <w:b/>
          <w:bCs/>
        </w:rPr>
        <w:t>пределить пытку как отдельное преступление, отличное от неправомерного обращения;</w:t>
      </w:r>
    </w:p>
    <w:p w14:paraId="4BC149E9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b)</w:t>
      </w:r>
      <w:r w:rsidRPr="00CE6B76">
        <w:rPr>
          <w:b/>
        </w:rPr>
        <w:tab/>
        <w:t>о</w:t>
      </w:r>
      <w:r w:rsidRPr="00CE6B76">
        <w:rPr>
          <w:b/>
          <w:bCs/>
        </w:rPr>
        <w:t>беспечить, чтобы в определение было включено положение о применении пыток по подстрекательству или с ведома либо при попустительстве государственного должностного лица или любого другого лица, выступающего в официальном качестве;</w:t>
      </w:r>
    </w:p>
    <w:p w14:paraId="513D3BD9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c)</w:t>
      </w:r>
      <w:r w:rsidRPr="00CE6B76">
        <w:rPr>
          <w:b/>
        </w:rPr>
        <w:tab/>
      </w:r>
      <w:r w:rsidRPr="00CE6B76">
        <w:rPr>
          <w:b/>
          <w:bCs/>
        </w:rPr>
        <w:t>прямо указать дискриминацию любого характера среди целей причинения пыток;</w:t>
      </w:r>
    </w:p>
    <w:p w14:paraId="352DC342" w14:textId="468F21B0" w:rsidR="00007AFC" w:rsidRPr="00007AFC" w:rsidRDefault="00007AFC" w:rsidP="00007AFC">
      <w:pPr>
        <w:pStyle w:val="SingleTxtGR"/>
      </w:pPr>
      <w:r w:rsidRPr="00CE6B76">
        <w:rPr>
          <w:b/>
        </w:rPr>
        <w:tab/>
        <w:t>d)</w:t>
      </w:r>
      <w:r w:rsidRPr="00CE6B76">
        <w:rPr>
          <w:b/>
          <w:bCs/>
        </w:rPr>
        <w:tab/>
        <w:t>обеспечить наказуемость преступления пытки за счет определения соотв</w:t>
      </w:r>
      <w:r w:rsidRPr="00007AFC">
        <w:rPr>
          <w:b/>
          <w:bCs/>
        </w:rPr>
        <w:t>етствующих мер наказания, соразмерных его тяжести, в соответствии с пунктом 2 статьи 4 Конвенции. Комитет обращает внимание государства-участника</w:t>
      </w:r>
      <w:r w:rsidRPr="00007AFC">
        <w:rPr>
          <w:b/>
        </w:rPr>
        <w:t xml:space="preserve"> на свое замечание общего порядка № 2 (2007) об имплементации статьи 2 государствами-участниками, в котором указано, что серьезные расхождения между определением, содержащимся в Конвенции, и определением, включенным во внутреннее право, открывают реальные или потенциальные лазейки для безнаказанности</w:t>
      </w:r>
      <w:r w:rsidRPr="00007AFC">
        <w:t xml:space="preserve"> </w:t>
      </w:r>
      <w:r w:rsidRPr="00007AFC">
        <w:rPr>
          <w:b/>
        </w:rPr>
        <w:t>(пункт 9).</w:t>
      </w:r>
    </w:p>
    <w:p w14:paraId="37A88322" w14:textId="003F5441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Утверждения о применении пыток и неправомерного обращения в</w:t>
      </w:r>
      <w:r>
        <w:rPr>
          <w:lang w:val="en-US"/>
        </w:rPr>
        <w:t> </w:t>
      </w:r>
      <w:r w:rsidR="00007AFC" w:rsidRPr="00007AFC">
        <w:t>тюрьмах</w:t>
      </w:r>
    </w:p>
    <w:p w14:paraId="56BB861E" w14:textId="6435DD82" w:rsidR="00007AFC" w:rsidRPr="00007AFC" w:rsidRDefault="00007AFC" w:rsidP="00007AFC">
      <w:pPr>
        <w:pStyle w:val="SingleTxtGR"/>
      </w:pPr>
      <w:r w:rsidRPr="00007AFC">
        <w:t>22.</w:t>
      </w:r>
      <w:r w:rsidRPr="00007AFC">
        <w:tab/>
        <w:t xml:space="preserve">Принимая к сведению разъяснения, представленные делегацией относительно использования «камер безопасности» для размещения поступающих заключенных, Комитет выражает сожалеет по поводу того, что эта практика подразумевает применение режима одиночного заключения ко всем заключенным в </w:t>
      </w:r>
      <w:r w:rsidR="00741D8D">
        <w:t xml:space="preserve">первые дни отбывания наказания. </w:t>
      </w:r>
      <w:r w:rsidRPr="00007AFC">
        <w:t>Комитет сожалеет, что делегация не представила информацию, имеющую отношение к озабоченности Комитета, вызванной сообщениями о том, что все вновь прибывающие заключенные в течение первых дней лишения свободы подвергаются со стороны тюремного персонала не только одиночному заключению, но и регулярным избиениям и/или унижающему достоинство обращению в качестве своеобразного ритуала посвящения (см. статьи</w:t>
      </w:r>
      <w:r w:rsidR="00741D8D">
        <w:t> </w:t>
      </w:r>
      <w:r w:rsidRPr="00007AFC">
        <w:t>2, 11 и 16).</w:t>
      </w:r>
    </w:p>
    <w:p w14:paraId="731513C6" w14:textId="77777777" w:rsidR="00007AFC" w:rsidRPr="00007AFC" w:rsidRDefault="00007AFC" w:rsidP="00007AFC">
      <w:pPr>
        <w:pStyle w:val="SingleTxtGR"/>
      </w:pPr>
      <w:r w:rsidRPr="00007AFC">
        <w:t>23.</w:t>
      </w:r>
      <w:r w:rsidRPr="00007AFC">
        <w:tab/>
        <w:t>Г</w:t>
      </w:r>
      <w:r w:rsidRPr="00007AFC">
        <w:rPr>
          <w:b/>
          <w:bCs/>
        </w:rPr>
        <w:t>осударству-участнику следует:</w:t>
      </w:r>
    </w:p>
    <w:p w14:paraId="0AA47BD5" w14:textId="77777777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а)</w:t>
      </w:r>
      <w:r w:rsidRPr="00CE6B76">
        <w:rPr>
          <w:b/>
        </w:rPr>
        <w:tab/>
      </w:r>
      <w:r w:rsidRPr="00CE6B76">
        <w:rPr>
          <w:b/>
          <w:bCs/>
        </w:rPr>
        <w:t>провести независимое расследование утверждений о том, что во всех пенитенциарных учреждений государства-участника поступившие заключенные обычно избиваются тюремным персоналом в течение первых дней после прибытия, и обеспечить, чтобы нашедшие подтверждение в ходе расследования утверждения о пытках или неправомерном обращении становились основанием для судебного преследования и наказания виновных, а в случаях, когда это предусмотрено соответствующими нормативными документами, также для вынесения дисциплинарных наказаний;</w:t>
      </w:r>
    </w:p>
    <w:p w14:paraId="632F593E" w14:textId="524B4982" w:rsidR="00007AFC" w:rsidRPr="00007AFC" w:rsidRDefault="00007AFC" w:rsidP="00007AFC">
      <w:pPr>
        <w:pStyle w:val="SingleTxtGR"/>
      </w:pPr>
      <w:r w:rsidRPr="00CE6B76">
        <w:rPr>
          <w:b/>
        </w:rPr>
        <w:tab/>
        <w:t>b)</w:t>
      </w:r>
      <w:r w:rsidRPr="00CE6B76">
        <w:rPr>
          <w:b/>
          <w:bCs/>
        </w:rPr>
        <w:tab/>
        <w:t>пр</w:t>
      </w:r>
      <w:r w:rsidRPr="00007AFC">
        <w:rPr>
          <w:b/>
          <w:bCs/>
        </w:rPr>
        <w:t>ивести свое законодательство и практику в соответствие с международными стандартами, в первую очередь</w:t>
      </w:r>
      <w:r w:rsidR="00CE6B76">
        <w:rPr>
          <w:b/>
          <w:bCs/>
        </w:rPr>
        <w:t xml:space="preserve"> с правилами 43–</w:t>
      </w:r>
      <w:r w:rsidRPr="00007AFC">
        <w:rPr>
          <w:b/>
          <w:bCs/>
        </w:rPr>
        <w:t>46 Стандартных минимальных правил Организации Объединенных Наций обращения с заключенными (</w:t>
      </w:r>
      <w:r w:rsidRPr="00007AFC">
        <w:rPr>
          <w:b/>
        </w:rPr>
        <w:t xml:space="preserve">Правила Нельсона </w:t>
      </w:r>
      <w:proofErr w:type="spellStart"/>
      <w:r w:rsidRPr="00007AFC">
        <w:rPr>
          <w:b/>
        </w:rPr>
        <w:t>Манделы</w:t>
      </w:r>
      <w:proofErr w:type="spellEnd"/>
      <w:r w:rsidRPr="00007AFC">
        <w:rPr>
          <w:b/>
          <w:bCs/>
        </w:rPr>
        <w:t>), которые предписы</w:t>
      </w:r>
      <w:r w:rsidRPr="00007AFC">
        <w:rPr>
          <w:b/>
          <w:bCs/>
        </w:rPr>
        <w:lastRenderedPageBreak/>
        <w:t>вают, среди прочего, запрет на применение при любых обст</w:t>
      </w:r>
      <w:r w:rsidR="00741D8D">
        <w:rPr>
          <w:b/>
          <w:bCs/>
        </w:rPr>
        <w:t xml:space="preserve">оятельствах таких методов, как </w:t>
      </w:r>
      <w:r w:rsidRPr="00007AFC">
        <w:rPr>
          <w:b/>
          <w:bCs/>
        </w:rPr>
        <w:t>помещение заключенного в карцер и примен</w:t>
      </w:r>
      <w:r w:rsidR="00741D8D">
        <w:rPr>
          <w:b/>
          <w:bCs/>
        </w:rPr>
        <w:t xml:space="preserve">ение к нему телесных наказаний; </w:t>
      </w:r>
      <w:r w:rsidRPr="00007AFC">
        <w:rPr>
          <w:b/>
          <w:bCs/>
        </w:rPr>
        <w:t>применение одиночного заключения только в исключительных случаях в качестве крайней меры</w:t>
      </w:r>
      <w:r w:rsidRPr="00007AFC">
        <w:t xml:space="preserve"> </w:t>
      </w:r>
      <w:r w:rsidRPr="00007AFC">
        <w:rPr>
          <w:b/>
        </w:rPr>
        <w:t>в течение как можно более короткого времени при условии осуществления независимого контроля и только с санкции компетентного органа</w:t>
      </w:r>
      <w:r w:rsidR="00741D8D">
        <w:rPr>
          <w:b/>
          <w:bCs/>
        </w:rPr>
        <w:t xml:space="preserve">; </w:t>
      </w:r>
      <w:r w:rsidRPr="00007AFC">
        <w:rPr>
          <w:b/>
          <w:bCs/>
        </w:rPr>
        <w:t>недопустимость одиночного заключения в зависимости от выне</w:t>
      </w:r>
      <w:r w:rsidR="00741D8D">
        <w:rPr>
          <w:b/>
          <w:bCs/>
        </w:rPr>
        <w:t xml:space="preserve">сенного заключенному приговора; </w:t>
      </w:r>
      <w:r w:rsidRPr="00007AFC">
        <w:rPr>
          <w:b/>
          <w:bCs/>
        </w:rPr>
        <w:t>и запрет на применение одиночного заключения и аналогичных мер в отношении женщин и детей;</w:t>
      </w:r>
    </w:p>
    <w:p w14:paraId="2A7F8893" w14:textId="77777777" w:rsidR="00007AFC" w:rsidRPr="00007AFC" w:rsidRDefault="00007AFC" w:rsidP="00007AFC">
      <w:pPr>
        <w:pStyle w:val="SingleTxtGR"/>
      </w:pPr>
      <w:r w:rsidRPr="00CE6B76">
        <w:rPr>
          <w:b/>
        </w:rPr>
        <w:tab/>
        <w:t>c)</w:t>
      </w:r>
      <w:r w:rsidRPr="00CE6B76">
        <w:rPr>
          <w:b/>
        </w:rPr>
        <w:tab/>
      </w:r>
      <w:r w:rsidRPr="00007AFC">
        <w:rPr>
          <w:b/>
          <w:bCs/>
        </w:rPr>
        <w:t xml:space="preserve">обеспечить информирование должностными лицами высокого уровня всех сотрудников </w:t>
      </w:r>
      <w:r w:rsidRPr="00007AFC">
        <w:rPr>
          <w:b/>
        </w:rPr>
        <w:t xml:space="preserve">пенитенциарной </w:t>
      </w:r>
      <w:r w:rsidRPr="00007AFC">
        <w:rPr>
          <w:b/>
          <w:bCs/>
        </w:rPr>
        <w:t xml:space="preserve">службы о том, что применение телесных наказаний к заключенным приравнивается к пыткам или неправомерному обращению, что в связи с их применением не будет допускаться снисхождения и что их применение приведет к дисциплинарному или уголовному наказанию лиц, непосредственно совершающих эти деяния, и </w:t>
      </w:r>
      <w:r w:rsidRPr="00007AFC">
        <w:rPr>
          <w:b/>
        </w:rPr>
        <w:t>вышестоящих должностных лиц</w:t>
      </w:r>
      <w:r w:rsidRPr="00007AFC">
        <w:rPr>
          <w:b/>
          <w:bCs/>
        </w:rPr>
        <w:t>, которые отдают распоряжения о применении такой практики, подстрекают к ней или соглашаются на ее применение либо попустительствуют ей.</w:t>
      </w:r>
    </w:p>
    <w:p w14:paraId="79A73C33" w14:textId="71683A33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Условия содержания под стражей</w:t>
      </w:r>
    </w:p>
    <w:p w14:paraId="1FBD77B3" w14:textId="6E9D6EC5" w:rsidR="00007AFC" w:rsidRPr="00007AFC" w:rsidRDefault="00007AFC" w:rsidP="00007AFC">
      <w:pPr>
        <w:pStyle w:val="SingleTxtGR"/>
      </w:pPr>
      <w:r w:rsidRPr="00007AFC">
        <w:t>24.</w:t>
      </w:r>
      <w:r w:rsidRPr="00007AFC">
        <w:tab/>
        <w:t xml:space="preserve">По признанию делегации, перенаселенность мест содержания под стражей является одной из основных проблем, стоящих перед пенитенциарной системой. Комитет с удовлетворением отмечает усилия государства-участника по улучшению условий содержания под стражей, в частности запланированное строительство центра содержания под стражей несовершеннолетних и двух тюрем в муниципалитетах </w:t>
      </w:r>
      <w:proofErr w:type="spellStart"/>
      <w:r w:rsidRPr="00007AFC">
        <w:t>Баукау</w:t>
      </w:r>
      <w:proofErr w:type="spellEnd"/>
      <w:r w:rsidRPr="00007AFC">
        <w:t xml:space="preserve"> и </w:t>
      </w:r>
      <w:proofErr w:type="spellStart"/>
      <w:r w:rsidRPr="00007AFC">
        <w:t>Мануфахи</w:t>
      </w:r>
      <w:proofErr w:type="spellEnd"/>
      <w:r w:rsidRPr="00007AFC">
        <w:t>, а также установку камер видеонаблюдения для</w:t>
      </w:r>
      <w:r w:rsidR="00741D8D">
        <w:t xml:space="preserve"> сдерживания насилия в тюрьмах. </w:t>
      </w:r>
      <w:r w:rsidRPr="00007AFC">
        <w:t>Принимая к сведению меры по раздельному содержанию разных категорий задержанных, Комитет по-прежнему обеспокоен сообщениями о том, что строгое соблюдение правила, касающегося раздельного содержания несовершеннолетних и взрослых, задержанных до суда и осужденных заключенных</w:t>
      </w:r>
      <w:r w:rsidR="00CE6B76">
        <w:t xml:space="preserve">, а также </w:t>
      </w:r>
      <w:r w:rsidRPr="00007AFC">
        <w:t>женщин и мужчин</w:t>
      </w:r>
      <w:r w:rsidR="00741D8D">
        <w:t xml:space="preserve"> </w:t>
      </w:r>
      <w:r w:rsidRPr="00007AFC">
        <w:t>не всегда гарантировано</w:t>
      </w:r>
      <w:r w:rsidRPr="00007AFC">
        <w:rPr>
          <w:i/>
          <w:iCs/>
        </w:rPr>
        <w:t>.</w:t>
      </w:r>
      <w:r w:rsidR="00741D8D">
        <w:rPr>
          <w:i/>
          <w:iCs/>
        </w:rPr>
        <w:t xml:space="preserve"> </w:t>
      </w:r>
      <w:r w:rsidRPr="00007AFC">
        <w:rPr>
          <w:iCs/>
        </w:rPr>
        <w:t xml:space="preserve">Принимая к сведению информацию делегации </w:t>
      </w:r>
      <w:r w:rsidRPr="00007AFC">
        <w:t>о том, что государство-участник ставит задачу по строительству центра для отдельного содержания под стражей несовершеннолетних, Комитет</w:t>
      </w:r>
      <w:r w:rsidRPr="00007AFC">
        <w:rPr>
          <w:iCs/>
        </w:rPr>
        <w:t xml:space="preserve"> в то же время </w:t>
      </w:r>
      <w:r w:rsidRPr="00007AFC">
        <w:t>выражает сожаление по поводу отсутствия планов строительства отдельного места содержания под стражей для женщин (см. статьи 11 и 16).</w:t>
      </w:r>
    </w:p>
    <w:p w14:paraId="42A5DB94" w14:textId="77777777" w:rsidR="00007AFC" w:rsidRPr="00007AFC" w:rsidRDefault="00007AFC" w:rsidP="00007AFC">
      <w:pPr>
        <w:pStyle w:val="SingleTxtGR"/>
      </w:pPr>
      <w:r w:rsidRPr="00007AFC">
        <w:t>25.</w:t>
      </w:r>
      <w:r w:rsidRPr="00007AFC">
        <w:rPr>
          <w:b/>
          <w:bCs/>
        </w:rPr>
        <w:tab/>
        <w:t>Государству-участнику следует:</w:t>
      </w:r>
    </w:p>
    <w:p w14:paraId="6FE59687" w14:textId="5AAFFBA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а)</w:t>
      </w:r>
      <w:r w:rsidRPr="00CE6B76">
        <w:rPr>
          <w:b/>
          <w:bCs/>
        </w:rPr>
        <w:tab/>
        <w:t>уменьшить перенаселенность пенитенциарных учреждений и других учреждений содержания под стражей, в том числе путем применения мер наказания, н</w:t>
      </w:r>
      <w:r w:rsidR="00741D8D">
        <w:rPr>
          <w:b/>
          <w:bCs/>
        </w:rPr>
        <w:t xml:space="preserve">е связанных с лишением свободы. </w:t>
      </w:r>
      <w:r w:rsidRPr="00CE6B76">
        <w:rPr>
          <w:b/>
          <w:bCs/>
        </w:rPr>
        <w:t xml:space="preserve">В этой связи Комитет обращает внимание государства-участника на Правила Нельсона </w:t>
      </w:r>
      <w:proofErr w:type="spellStart"/>
      <w:r w:rsidRPr="00CE6B76">
        <w:rPr>
          <w:b/>
          <w:bCs/>
        </w:rPr>
        <w:t>Манделы</w:t>
      </w:r>
      <w:proofErr w:type="spellEnd"/>
      <w:r w:rsidRPr="00CE6B76">
        <w:rPr>
          <w:b/>
          <w:bCs/>
        </w:rPr>
        <w:t xml:space="preserve"> и </w:t>
      </w:r>
      <w:r w:rsidRPr="00CE6B76">
        <w:rPr>
          <w:b/>
        </w:rPr>
        <w:t>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 (</w:t>
      </w:r>
      <w:proofErr w:type="spellStart"/>
      <w:r w:rsidRPr="00CE6B76">
        <w:rPr>
          <w:b/>
        </w:rPr>
        <w:t>Бангкокские</w:t>
      </w:r>
      <w:proofErr w:type="spellEnd"/>
      <w:r w:rsidRPr="00CE6B76">
        <w:rPr>
          <w:b/>
        </w:rPr>
        <w:t xml:space="preserve"> правила);</w:t>
      </w:r>
    </w:p>
    <w:p w14:paraId="55CCAA1C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b)</w:t>
      </w:r>
      <w:r w:rsidRPr="00CE6B76">
        <w:rPr>
          <w:b/>
          <w:bCs/>
        </w:rPr>
        <w:tab/>
      </w:r>
      <w:r w:rsidRPr="00CE6B76">
        <w:rPr>
          <w:b/>
        </w:rPr>
        <w:t>обеспечить в законодательном порядке и на практике недопустимость чрезмерно продолжительного досудебного содержания под стражей;</w:t>
      </w:r>
    </w:p>
    <w:p w14:paraId="27A6D1C2" w14:textId="77777777" w:rsidR="00007AFC" w:rsidRPr="00007AFC" w:rsidRDefault="00007AFC" w:rsidP="00007AFC">
      <w:pPr>
        <w:pStyle w:val="SingleTxtGR"/>
      </w:pPr>
      <w:r w:rsidRPr="00CE6B76">
        <w:rPr>
          <w:b/>
        </w:rPr>
        <w:tab/>
        <w:t>c)</w:t>
      </w:r>
      <w:r w:rsidRPr="00CE6B76">
        <w:rPr>
          <w:b/>
        </w:rPr>
        <w:tab/>
        <w:t>неу</w:t>
      </w:r>
      <w:r w:rsidRPr="00007AFC">
        <w:rPr>
          <w:b/>
        </w:rPr>
        <w:t xml:space="preserve">коснительно </w:t>
      </w:r>
      <w:r w:rsidRPr="00DC6B32">
        <w:rPr>
          <w:b/>
        </w:rPr>
        <w:t>о</w:t>
      </w:r>
      <w:r w:rsidRPr="00007AFC">
        <w:rPr>
          <w:b/>
          <w:bCs/>
        </w:rPr>
        <w:t>беспечивать раздельное содержание задержанных до суда и осужденных по приговору суда заключенных, несовершеннолетних и взрослых, а также женщин и мужчин во всех местах содержания под стражей и стремится к созданию мест отдельного содержания под стражей для несовершеннолетних, а также для женщин и обеспечивать предоставление соответствующих услуг для членов обеих групп;</w:t>
      </w:r>
    </w:p>
    <w:p w14:paraId="45C9D44C" w14:textId="77777777" w:rsidR="00007AFC" w:rsidRPr="00007AFC" w:rsidRDefault="00007AFC" w:rsidP="00007AFC">
      <w:pPr>
        <w:pStyle w:val="SingleTxtGR"/>
      </w:pPr>
      <w:r w:rsidRPr="00CE6B76">
        <w:rPr>
          <w:b/>
        </w:rPr>
        <w:tab/>
        <w:t>d)</w:t>
      </w:r>
      <w:r w:rsidRPr="00CE6B76">
        <w:rPr>
          <w:b/>
          <w:bCs/>
        </w:rPr>
        <w:tab/>
      </w:r>
      <w:r w:rsidRPr="00007AFC">
        <w:rPr>
          <w:b/>
          <w:bCs/>
        </w:rPr>
        <w:t xml:space="preserve">продолжить работу по установке оборудования для </w:t>
      </w:r>
      <w:r w:rsidRPr="00007AFC">
        <w:rPr>
          <w:b/>
        </w:rPr>
        <w:t xml:space="preserve">видеонаблюдения во всех помещениях в местах лишения свободы, где могут находиться </w:t>
      </w:r>
      <w:r w:rsidRPr="00007AFC">
        <w:rPr>
          <w:b/>
        </w:rPr>
        <w:lastRenderedPageBreak/>
        <w:t>задержанные, за исключением тех, где такое видеонаблюдение может нарушить права задержанных на частную жизнь и на конфиденциальный характер общения с адвокатом или с врачом</w:t>
      </w:r>
      <w:r w:rsidRPr="00007AFC">
        <w:rPr>
          <w:b/>
          <w:bCs/>
        </w:rPr>
        <w:t xml:space="preserve">. </w:t>
      </w:r>
      <w:r w:rsidRPr="00007AFC">
        <w:rPr>
          <w:b/>
        </w:rPr>
        <w:t>Материалы видеозаписи должны храниться в защищенных помещениях и предоставляться следователям, задержанным и адвокатам.</w:t>
      </w:r>
    </w:p>
    <w:p w14:paraId="6AE232C3" w14:textId="55E80269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Механизм подачи и рассмотрения жалоб в тюремном учреждении</w:t>
      </w:r>
    </w:p>
    <w:p w14:paraId="02C243CD" w14:textId="77777777" w:rsidR="00007AFC" w:rsidRPr="00007AFC" w:rsidRDefault="00007AFC" w:rsidP="00007AFC">
      <w:pPr>
        <w:pStyle w:val="SingleTxtGR"/>
      </w:pPr>
      <w:r w:rsidRPr="00007AFC">
        <w:t>26.</w:t>
      </w:r>
      <w:r w:rsidRPr="00007AFC">
        <w:tab/>
        <w:t>Комитет выражает сожаление в связи с тем, что государство-участник не представило информацию о наличии у него механизма подачи и рассмотрения жалоб в тюремном учреждении (статья 13).</w:t>
      </w:r>
    </w:p>
    <w:p w14:paraId="71AFC4BE" w14:textId="77777777" w:rsidR="00007AFC" w:rsidRPr="00007AFC" w:rsidRDefault="00007AFC" w:rsidP="00007AFC">
      <w:pPr>
        <w:pStyle w:val="SingleTxtGR"/>
      </w:pPr>
      <w:r w:rsidRPr="00007AFC">
        <w:t>27.</w:t>
      </w:r>
      <w:r w:rsidRPr="00007AFC">
        <w:rPr>
          <w:b/>
          <w:bCs/>
        </w:rPr>
        <w:tab/>
        <w:t>Государству-участнику следует:</w:t>
      </w:r>
    </w:p>
    <w:p w14:paraId="7F1BB2D8" w14:textId="77777777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а)</w:t>
      </w:r>
      <w:r w:rsidRPr="00CE6B76">
        <w:rPr>
          <w:b/>
          <w:bCs/>
        </w:rPr>
        <w:tab/>
        <w:t>учредить полностью независимый механизм рассмотрения жалоб, доступный на конфиденциальной основе для лиц, лишенных свободы, и уполномоченный проводить оперативное, беспристрастные и эффективное расследование по всем утверждениям и жалобам в отношении применения пыток и неправомерного обращения;</w:t>
      </w:r>
    </w:p>
    <w:p w14:paraId="64A9091E" w14:textId="77777777" w:rsidR="00007AFC" w:rsidRPr="00007AFC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b)</w:t>
      </w:r>
      <w:r w:rsidRPr="00CE6B76">
        <w:rPr>
          <w:b/>
          <w:bCs/>
        </w:rPr>
        <w:tab/>
      </w:r>
      <w:r w:rsidRPr="00007AFC">
        <w:rPr>
          <w:b/>
          <w:bCs/>
        </w:rPr>
        <w:t>о</w:t>
      </w:r>
      <w:r w:rsidRPr="00007AFC">
        <w:rPr>
          <w:b/>
        </w:rPr>
        <w:t>беспечить, чтобы все лица, подозреваемые в применении пыток или неправомерном обращении, незамедлительно отстранялись от выполнения должностных обязанностей на весь период проведения расследований, особенно при наличии опасности того, что в противном случае они могут повторить деяние, вменяемое им в вину, прибегнуть к репрессиям против предполагаемых жертв или воспрепятствовать расследованию</w:t>
      </w:r>
      <w:r w:rsidRPr="00007AFC">
        <w:rPr>
          <w:b/>
          <w:bCs/>
        </w:rPr>
        <w:t>.</w:t>
      </w:r>
    </w:p>
    <w:p w14:paraId="43CFBF75" w14:textId="191923E4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Инспектирование центров содержания под стражей</w:t>
      </w:r>
    </w:p>
    <w:p w14:paraId="13F0B323" w14:textId="2BF5505A" w:rsidR="00007AFC" w:rsidRPr="00007AFC" w:rsidRDefault="00007AFC" w:rsidP="00007AFC">
      <w:pPr>
        <w:pStyle w:val="SingleTxtGR"/>
      </w:pPr>
      <w:r w:rsidRPr="00007AFC">
        <w:t>28.</w:t>
      </w:r>
      <w:r w:rsidRPr="00007AFC">
        <w:tab/>
        <w:t>Приветствуя создание Министерством юстиции сетевой службы поддержки пенитенциарных</w:t>
      </w:r>
      <w:r w:rsidR="00D730EA">
        <w:t xml:space="preserve"> </w:t>
      </w:r>
      <w:r w:rsidRPr="00007AFC">
        <w:t>учреждений и принимая к сведению разъяснения делегации относительно деятельности по надзору за тюрьмами со стороны Министерства здравоохранения, Министерства юстиции и Бюро омбудсмена по правам человека и вопросам правосудия, Комитет выражает сожаление по поводу того, что государство-участник не представило информацию о конкретных мерах, принятых тюремными властями или органами прокуратуры в связи с рекомендациями и жалобами в отношении неправомерного обращении, полученными представителями этих государственных ведомств и других государственных органов.</w:t>
      </w:r>
    </w:p>
    <w:p w14:paraId="14151212" w14:textId="77777777" w:rsidR="00007AFC" w:rsidRPr="00007AFC" w:rsidRDefault="00007AFC" w:rsidP="00007AFC">
      <w:pPr>
        <w:pStyle w:val="SingleTxtGR"/>
      </w:pPr>
      <w:r w:rsidRPr="00007AFC">
        <w:t>29.</w:t>
      </w:r>
      <w:r w:rsidRPr="00007AFC">
        <w:rPr>
          <w:b/>
          <w:bCs/>
        </w:rPr>
        <w:tab/>
        <w:t>Государству-участнику следует:</w:t>
      </w:r>
    </w:p>
    <w:p w14:paraId="0762F38A" w14:textId="42B6ACB4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а)</w:t>
      </w:r>
      <w:r w:rsidRPr="00CE6B76">
        <w:rPr>
          <w:b/>
        </w:rPr>
        <w:tab/>
        <w:t>о</w:t>
      </w:r>
      <w:r w:rsidRPr="00CE6B76">
        <w:rPr>
          <w:b/>
          <w:bCs/>
        </w:rPr>
        <w:t xml:space="preserve">беспечить, чтобы сотрудники </w:t>
      </w:r>
      <w:r w:rsidRPr="00CE6B76">
        <w:rPr>
          <w:b/>
        </w:rPr>
        <w:t>Бюро омбудсмена по правам человека и вопросам правосудия</w:t>
      </w:r>
      <w:r w:rsidRPr="00CE6B76">
        <w:rPr>
          <w:b/>
          <w:bCs/>
        </w:rPr>
        <w:t xml:space="preserve"> и представители неправительственных правозащитных организаций имели доступ во все места лишения свободы без предварительного уведомления или разрешения</w:t>
      </w:r>
      <w:r w:rsidR="00741D8D">
        <w:rPr>
          <w:b/>
          <w:bCs/>
        </w:rPr>
        <w:t xml:space="preserve">, </w:t>
      </w:r>
      <w:r w:rsidRPr="00CE6B76">
        <w:rPr>
          <w:b/>
          <w:bCs/>
        </w:rPr>
        <w:t xml:space="preserve">и обеспечить, чтобы </w:t>
      </w:r>
      <w:r w:rsidRPr="00CE6B76">
        <w:rPr>
          <w:b/>
        </w:rPr>
        <w:t>Бюро омбудсмена по правам человека и вопросам правосудия</w:t>
      </w:r>
      <w:r w:rsidRPr="00CE6B76">
        <w:rPr>
          <w:b/>
          <w:bCs/>
        </w:rPr>
        <w:t xml:space="preserve"> располагало достаточными ресурсами для проведения регулярного мониторинга всех мест содержания под стражей и осуществления последующей деятельности в связи с ответными мерами властей в связи с жалобами, которые оно доводит до их внимания;</w:t>
      </w:r>
    </w:p>
    <w:p w14:paraId="7A25B50B" w14:textId="102E9289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</w:r>
      <w:r w:rsidRPr="00CE6B76">
        <w:rPr>
          <w:b/>
          <w:lang w:val="en-GB"/>
        </w:rPr>
        <w:t>b</w:t>
      </w:r>
      <w:r w:rsidRPr="00CE6B76">
        <w:rPr>
          <w:b/>
        </w:rPr>
        <w:t>)</w:t>
      </w:r>
      <w:r w:rsidRPr="00CE6B76">
        <w:rPr>
          <w:b/>
          <w:bCs/>
        </w:rPr>
        <w:tab/>
        <w:t>обеспечить эффективную последующую деятельность по осуществлению рекомендаций, выносимых в рамках мониторинга центров содержания задержанных и проводить систематический сбор данных об итогах рассмотрения любых жалоб на неправомерное обращение,</w:t>
      </w:r>
      <w:r w:rsidR="00741D8D" w:rsidRPr="00741D8D">
        <w:rPr>
          <w:b/>
        </w:rPr>
        <w:t xml:space="preserve"> </w:t>
      </w:r>
      <w:r w:rsidRPr="00CE6B76">
        <w:rPr>
          <w:b/>
          <w:bCs/>
        </w:rPr>
        <w:t>полученных наблюдателями, в том числе о любых проведенных расследованиях и привлечении к уголовной или дисциплинарной ответственности по итогам рассмотрения таких жалоб;</w:t>
      </w:r>
    </w:p>
    <w:p w14:paraId="139F64E1" w14:textId="77777777" w:rsidR="00007AFC" w:rsidRPr="00007AFC" w:rsidRDefault="00007AFC" w:rsidP="00007AFC">
      <w:pPr>
        <w:pStyle w:val="SingleTxtGR"/>
      </w:pPr>
      <w:r w:rsidRPr="00CE6B76">
        <w:rPr>
          <w:b/>
        </w:rPr>
        <w:tab/>
        <w:t>c)</w:t>
      </w:r>
      <w:r w:rsidRPr="00CE6B76">
        <w:rPr>
          <w:b/>
          <w:bCs/>
        </w:rPr>
        <w:tab/>
        <w:t>рас</w:t>
      </w:r>
      <w:r w:rsidRPr="00007AFC">
        <w:rPr>
          <w:b/>
          <w:bCs/>
        </w:rPr>
        <w:t>смотреть вопрос о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наказания.</w:t>
      </w:r>
    </w:p>
    <w:p w14:paraId="64EDC535" w14:textId="2F8C7D6B" w:rsidR="00007AFC" w:rsidRPr="00007AFC" w:rsidRDefault="00CE6B76" w:rsidP="00CE6B76">
      <w:pPr>
        <w:pStyle w:val="H23GR"/>
      </w:pPr>
      <w:r>
        <w:lastRenderedPageBreak/>
        <w:tab/>
      </w:r>
      <w:r>
        <w:tab/>
      </w:r>
      <w:r w:rsidR="00007AFC" w:rsidRPr="00007AFC">
        <w:t>Предоставление убежища и недопустимость принудительного возвращения</w:t>
      </w:r>
    </w:p>
    <w:p w14:paraId="10B3684F" w14:textId="3659EEC1" w:rsidR="00007AFC" w:rsidRPr="00007AFC" w:rsidRDefault="00007AFC" w:rsidP="00007AFC">
      <w:pPr>
        <w:pStyle w:val="SingleTxtGR"/>
      </w:pPr>
      <w:r w:rsidRPr="00007AFC">
        <w:t>30.</w:t>
      </w:r>
      <w:r w:rsidRPr="00007AFC">
        <w:tab/>
        <w:t>Отмечая представленную делегацией информацию, Комитет по-прежнему обеспокоен сообщениями о том, что в течение отчетного периода государство-участник</w:t>
      </w:r>
      <w:r w:rsidR="00741D8D">
        <w:rPr>
          <w:i/>
          <w:iCs/>
        </w:rPr>
        <w:t xml:space="preserve"> </w:t>
      </w:r>
      <w:r w:rsidRPr="00007AFC">
        <w:t xml:space="preserve">нарушало принцип недопустимости принудительного </w:t>
      </w:r>
      <w:r w:rsidR="00741D8D">
        <w:t xml:space="preserve">возвращения. </w:t>
      </w:r>
      <w:r w:rsidRPr="00007AFC">
        <w:t xml:space="preserve">Особое беспокойство вызывает принудительное возвращение в Индонезию в июле 2013 года группы в составе 95 потенциальных просителей убежища, представлявших меньшинство </w:t>
      </w:r>
      <w:proofErr w:type="spellStart"/>
      <w:r w:rsidRPr="00007AFC">
        <w:t>рохинья</w:t>
      </w:r>
      <w:proofErr w:type="spellEnd"/>
      <w:r w:rsidRPr="00007AFC">
        <w:t>, проживающее в Бангладеш и Мьянме</w:t>
      </w:r>
      <w:r w:rsidR="00741D8D">
        <w:t xml:space="preserve">. </w:t>
      </w:r>
      <w:r w:rsidRPr="00007AFC">
        <w:t>Принимая к сведению принятый в 2017 году новый Закон об иммиграции и предоставлении убежища, Комитет выражает озабоченность по поводу того, что новым Законом сохранено временное ограничение, составляющее 72 часа, на подачу ходатайств о предоставлении убежища и что подача обжалования на решение об отклонении ходатайства о предоставлении убежища не означает автоматического приостановления его действия</w:t>
      </w:r>
      <w:r w:rsidR="00DC6B32">
        <w:t>.</w:t>
      </w:r>
    </w:p>
    <w:p w14:paraId="4DB5614F" w14:textId="77777777" w:rsidR="00007AFC" w:rsidRPr="00007AFC" w:rsidRDefault="00007AFC" w:rsidP="00007AFC">
      <w:pPr>
        <w:pStyle w:val="SingleTxtGR"/>
      </w:pPr>
      <w:r w:rsidRPr="00007AFC">
        <w:t>31.</w:t>
      </w:r>
      <w:r w:rsidRPr="00007AFC">
        <w:rPr>
          <w:b/>
          <w:bCs/>
        </w:rPr>
        <w:tab/>
        <w:t>Государству-участнику следует:</w:t>
      </w:r>
    </w:p>
    <w:p w14:paraId="4262FFE5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а)</w:t>
      </w:r>
      <w:r w:rsidRPr="00CE6B76">
        <w:rPr>
          <w:b/>
        </w:rPr>
        <w:tab/>
        <w:t>обеспечить, чтобы никто не подвергался высылке, возвращению или экстрадиции какого-либо лица в другое государство, если имеются обоснованные причины полагать, что там ему будет угрожать личная и предсказуемая опасность быть подвергнутым пыткам, в том числе путем внесения поправки в Закон об иммиграции и предоставлении убежища, отменяющей ограничение, составляющее 72 часа, на подачу ходатайства о предоставлении убежища;</w:t>
      </w:r>
    </w:p>
    <w:p w14:paraId="6AFFD91E" w14:textId="46F5B9D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b)</w:t>
      </w:r>
      <w:r w:rsidRPr="00CE6B76">
        <w:rPr>
          <w:b/>
        </w:rPr>
        <w:tab/>
      </w:r>
      <w:r w:rsidRPr="00CE6B76">
        <w:rPr>
          <w:b/>
          <w:bCs/>
        </w:rPr>
        <w:t>гарантировать всем лицам, находящимся на территории или под юрисдикцией государства-участника</w:t>
      </w:r>
      <w:r w:rsidR="00DC6B32">
        <w:rPr>
          <w:b/>
          <w:bCs/>
        </w:rPr>
        <w:t>,</w:t>
      </w:r>
      <w:r w:rsidRPr="00CE6B76">
        <w:rPr>
          <w:b/>
          <w:bCs/>
        </w:rPr>
        <w:t xml:space="preserve"> эффективный доступ к процедуре определения статуса беженца;</w:t>
      </w:r>
    </w:p>
    <w:p w14:paraId="7439476F" w14:textId="77777777" w:rsidR="00007AFC" w:rsidRPr="00007AFC" w:rsidRDefault="00007AFC" w:rsidP="00007AFC">
      <w:pPr>
        <w:pStyle w:val="SingleTxtGR"/>
      </w:pPr>
      <w:r w:rsidRPr="00CE6B76">
        <w:rPr>
          <w:b/>
        </w:rPr>
        <w:tab/>
        <w:t>c)</w:t>
      </w:r>
      <w:r w:rsidRPr="00CE6B76">
        <w:rPr>
          <w:b/>
        </w:rPr>
        <w:tab/>
        <w:t>обе</w:t>
      </w:r>
      <w:r w:rsidRPr="00007AFC">
        <w:rPr>
          <w:b/>
        </w:rPr>
        <w:t>спечить введение в действие процессуальных гарантий соблюдения запрета на принудительное возвращение и получение эффективных средств правовой защиты в связи с обжалованием решений о произвольном возвращении, включая пересмотр решений об отказе в предоставлении убежища независимым судебным органом.</w:t>
      </w:r>
    </w:p>
    <w:p w14:paraId="5476711F" w14:textId="1C3E643E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Гендерное насилие в отношении женщин</w:t>
      </w:r>
    </w:p>
    <w:p w14:paraId="5EDE9F95" w14:textId="1CC52AD4" w:rsidR="00007AFC" w:rsidRPr="00007AFC" w:rsidRDefault="00007AFC" w:rsidP="00007AFC">
      <w:pPr>
        <w:pStyle w:val="SingleTxtGR"/>
      </w:pPr>
      <w:r w:rsidRPr="00007AFC">
        <w:t>32.</w:t>
      </w:r>
      <w:r w:rsidRPr="00007AFC">
        <w:tab/>
        <w:t>Отмечая определенные достижения государства-участника в повышении осведомленности о гендерном насилии в отношении женщин и противодействии ему, Комитет обеспокоен сообщениями о широком распространении гендерного насилия в отношении женщин, включая насили</w:t>
      </w:r>
      <w:r w:rsidR="00741D8D">
        <w:t xml:space="preserve">е в семье, неудовлетворительным </w:t>
      </w:r>
      <w:r w:rsidRPr="00007AFC">
        <w:t>информированием о нем и незначительными размерами наказания за такие преступления, а также ограниченностью медицинской, психологической и правовой помощи, предоставляемой</w:t>
      </w:r>
      <w:r w:rsidR="00741D8D">
        <w:t xml:space="preserve"> жертвам. </w:t>
      </w:r>
      <w:r w:rsidRPr="00007AFC">
        <w:t>Еще одним поводом для обеспокоенности является нежелание государства-участника установить уголовную ответственность за изнасилование и инцест в к</w:t>
      </w:r>
      <w:r w:rsidR="00741D8D">
        <w:t xml:space="preserve">ачестве отдельных преступлений. </w:t>
      </w:r>
      <w:r w:rsidRPr="00007AFC">
        <w:t xml:space="preserve">Комитет также выражает сожаление по поводу отсутствия в докладе государства-участника количественной информации о жалобах, расследованиях, судебных преследованиях, </w:t>
      </w:r>
      <w:r w:rsidR="00741D8D" w:rsidRPr="00007AFC">
        <w:t>осуждениях</w:t>
      </w:r>
      <w:r w:rsidRPr="00007AFC">
        <w:t xml:space="preserve"> и приговорах, вынесенных за рассматриваемый период по делам о гендерном насилии в отношении женщин </w:t>
      </w:r>
      <w:r w:rsidR="00CE6B76">
        <w:t>(статьи</w:t>
      </w:r>
      <w:r w:rsidRPr="00007AFC">
        <w:t xml:space="preserve"> 2, 12</w:t>
      </w:r>
      <w:r w:rsidR="00CE6B76">
        <w:t xml:space="preserve">, </w:t>
      </w:r>
      <w:r w:rsidRPr="00007AFC">
        <w:t>13 и</w:t>
      </w:r>
      <w:r w:rsidR="00CE6B76">
        <w:t> </w:t>
      </w:r>
      <w:r w:rsidRPr="00007AFC">
        <w:t>16).</w:t>
      </w:r>
    </w:p>
    <w:p w14:paraId="1D9CF17F" w14:textId="77777777" w:rsidR="00007AFC" w:rsidRPr="00007AFC" w:rsidRDefault="00007AFC" w:rsidP="00007AFC">
      <w:pPr>
        <w:pStyle w:val="SingleTxtGR"/>
      </w:pPr>
      <w:r w:rsidRPr="00007AFC">
        <w:t>33.</w:t>
      </w:r>
      <w:r w:rsidRPr="00007AFC">
        <w:tab/>
      </w:r>
      <w:r w:rsidRPr="00007AFC">
        <w:rPr>
          <w:b/>
          <w:bCs/>
        </w:rPr>
        <w:t>Государству-участнику следует:</w:t>
      </w:r>
    </w:p>
    <w:p w14:paraId="28E94ADD" w14:textId="64D59844" w:rsidR="00007AFC" w:rsidRPr="00CE6B76" w:rsidRDefault="00007AFC" w:rsidP="00007AFC">
      <w:pPr>
        <w:pStyle w:val="SingleTxtGR"/>
        <w:rPr>
          <w:b/>
        </w:rPr>
      </w:pPr>
      <w:r w:rsidRPr="00007AFC">
        <w:tab/>
      </w:r>
      <w:r w:rsidRPr="00CE6B76">
        <w:rPr>
          <w:b/>
        </w:rPr>
        <w:t>а)</w:t>
      </w:r>
      <w:r w:rsidRPr="00CE6B76">
        <w:rPr>
          <w:b/>
          <w:bCs/>
        </w:rPr>
        <w:tab/>
      </w:r>
      <w:r w:rsidRPr="00CE6B76">
        <w:rPr>
          <w:b/>
        </w:rPr>
        <w:t>обеспечить тщательное расследование всех случа</w:t>
      </w:r>
      <w:r w:rsidR="00DC6B32">
        <w:rPr>
          <w:b/>
        </w:rPr>
        <w:t>е</w:t>
      </w:r>
      <w:r w:rsidRPr="00CE6B76">
        <w:rPr>
          <w:b/>
        </w:rPr>
        <w:t>в гендерного насилия в отношении женщин, привлечение виновных к судебной ответственности и назначение им соответствующих наказаний, а также предоставление жертвам возмещения ущерба, включая адекватную компенсацию;</w:t>
      </w:r>
    </w:p>
    <w:p w14:paraId="18E9BCD4" w14:textId="77777777" w:rsidR="00007AFC" w:rsidRPr="00007AFC" w:rsidRDefault="00007AFC" w:rsidP="00007AFC">
      <w:pPr>
        <w:pStyle w:val="SingleTxtGR"/>
      </w:pPr>
      <w:r w:rsidRPr="00CE6B76">
        <w:rPr>
          <w:b/>
        </w:rPr>
        <w:tab/>
        <w:t>b)</w:t>
      </w:r>
      <w:r w:rsidRPr="00CE6B76">
        <w:rPr>
          <w:b/>
        </w:rPr>
        <w:tab/>
      </w:r>
      <w:r w:rsidRPr="00007AFC">
        <w:rPr>
          <w:b/>
        </w:rPr>
        <w:t>включить в</w:t>
      </w:r>
      <w:r w:rsidRPr="00007AFC">
        <w:t xml:space="preserve"> </w:t>
      </w:r>
      <w:r w:rsidRPr="00007AFC">
        <w:rPr>
          <w:b/>
        </w:rPr>
        <w:t>Уголовный кодекс определения</w:t>
      </w:r>
      <w:r w:rsidRPr="00007AFC">
        <w:t xml:space="preserve"> </w:t>
      </w:r>
      <w:r w:rsidRPr="00007AFC">
        <w:rPr>
          <w:b/>
        </w:rPr>
        <w:t>изнасилования в браке и инцеста в качестве отдельных видов уголовных преступлений, за совершение которых должны быть установлены соответствующие наказания;</w:t>
      </w:r>
    </w:p>
    <w:p w14:paraId="59FDE1DD" w14:textId="7777777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lastRenderedPageBreak/>
        <w:tab/>
        <w:t>c)</w:t>
      </w:r>
      <w:r w:rsidRPr="00CE6B76">
        <w:rPr>
          <w:b/>
          <w:bCs/>
        </w:rPr>
        <w:tab/>
      </w:r>
      <w:r w:rsidRPr="00CE6B76">
        <w:rPr>
          <w:b/>
        </w:rPr>
        <w:t>обеспечить, чтобы все жертвы гендерного насилия имели доступ к приютам и могли получить необходимое медицинское обслуживание, психологическую поддержку и юридическую помощь;</w:t>
      </w:r>
    </w:p>
    <w:p w14:paraId="7BCEB4BF" w14:textId="3945CBB7" w:rsidR="00007AFC" w:rsidRPr="00CE6B76" w:rsidRDefault="00007AFC" w:rsidP="00007AFC">
      <w:pPr>
        <w:pStyle w:val="SingleTxtGR"/>
        <w:rPr>
          <w:b/>
        </w:rPr>
      </w:pPr>
      <w:r w:rsidRPr="00CE6B76">
        <w:rPr>
          <w:b/>
        </w:rPr>
        <w:tab/>
        <w:t>d)</w:t>
      </w:r>
      <w:r w:rsidRPr="00CE6B76">
        <w:rPr>
          <w:b/>
          <w:bCs/>
        </w:rPr>
        <w:tab/>
        <w:t>осуществлять программы по повышению осведомленности общественности, стимулирующие женщин обращаться за помощью к национальным властям за защитой от гендерного насилия и проводить мониторинг действий полиции и прокуратуры, с тем чтобы органы власти поощряли женщин, ищущих защиту от насилия по признаку пола,</w:t>
      </w:r>
      <w:r w:rsidR="00741D8D">
        <w:rPr>
          <w:b/>
          <w:bCs/>
        </w:rPr>
        <w:t xml:space="preserve"> и </w:t>
      </w:r>
      <w:r w:rsidRPr="00CE6B76">
        <w:rPr>
          <w:b/>
          <w:bCs/>
        </w:rPr>
        <w:t>соответствующим образом реагировали на их обращения;</w:t>
      </w:r>
    </w:p>
    <w:p w14:paraId="43F8FEF2" w14:textId="77777777" w:rsidR="00007AFC" w:rsidRPr="00007AFC" w:rsidRDefault="00007AFC" w:rsidP="00007AFC">
      <w:pPr>
        <w:pStyle w:val="SingleTxtGR"/>
        <w:rPr>
          <w:b/>
          <w:bCs/>
        </w:rPr>
      </w:pPr>
      <w:r w:rsidRPr="00CE6B76">
        <w:rPr>
          <w:b/>
        </w:rPr>
        <w:tab/>
        <w:t>e)</w:t>
      </w:r>
      <w:r w:rsidRPr="00CE6B76">
        <w:rPr>
          <w:b/>
        </w:rPr>
        <w:tab/>
        <w:t>п</w:t>
      </w:r>
      <w:r w:rsidRPr="00CE6B76">
        <w:rPr>
          <w:b/>
          <w:bCs/>
        </w:rPr>
        <w:t>роводить эффективную учебную подготовку по вопросам борьбы с г</w:t>
      </w:r>
      <w:r w:rsidRPr="00007AFC">
        <w:rPr>
          <w:b/>
          <w:bCs/>
        </w:rPr>
        <w:t>ендерным насилием для сотрудников правоохранительных органов, судей, юристов и социальных работников, которые находятся в непосредственном контакте с жертвами.</w:t>
      </w:r>
    </w:p>
    <w:p w14:paraId="4259519F" w14:textId="05C11D49" w:rsidR="00007AFC" w:rsidRPr="00007AFC" w:rsidRDefault="00CE6B76" w:rsidP="00CE6B76">
      <w:pPr>
        <w:pStyle w:val="H23GR"/>
      </w:pPr>
      <w:r>
        <w:tab/>
      </w:r>
      <w:r>
        <w:tab/>
      </w:r>
      <w:r w:rsidR="00007AFC" w:rsidRPr="00007AFC">
        <w:t>Аборт</w:t>
      </w:r>
    </w:p>
    <w:p w14:paraId="779D1414" w14:textId="31084BB7" w:rsidR="00007AFC" w:rsidRPr="00007AFC" w:rsidRDefault="00007AFC" w:rsidP="00007AFC">
      <w:pPr>
        <w:pStyle w:val="SingleTxtGR"/>
      </w:pPr>
      <w:r w:rsidRPr="00007AFC">
        <w:t>34.</w:t>
      </w:r>
      <w:r w:rsidRPr="00007AFC">
        <w:tab/>
        <w:t>Комитет выражает особую обеспокоенность по поводу того, что в соответствии с внесенной в 2009 году поправкой в Уголовный кодекс государства-участника производство аборта является уголовно наказуемым преступлением, кроме случав, когда это необходимо для защиты жизни матери, и что в Коде</w:t>
      </w:r>
      <w:r w:rsidR="00741D8D">
        <w:t xml:space="preserve">ксе не предусмотрены исключения </w:t>
      </w:r>
      <w:r w:rsidRPr="00007AFC">
        <w:t>из этого правила на случаи, когда сохранение беременности может явиться причиной сильной боли и страданий, особенно в результате изнасилования, инцеста или серьезных нарушений в развитии плода.</w:t>
      </w:r>
    </w:p>
    <w:p w14:paraId="601842DE" w14:textId="5408A8C0" w:rsidR="00007AFC" w:rsidRPr="00007AFC" w:rsidRDefault="00007AFC" w:rsidP="00007AFC">
      <w:pPr>
        <w:pStyle w:val="SingleTxtGR"/>
      </w:pPr>
      <w:r w:rsidRPr="00007AFC">
        <w:t>35.</w:t>
      </w:r>
      <w:r w:rsidRPr="00007AFC">
        <w:tab/>
      </w:r>
      <w:r w:rsidRPr="00007AFC">
        <w:rPr>
          <w:b/>
        </w:rPr>
        <w:t>Государству-участнику следует пересмотреть свое законодательство, с тем чтобы обеспечить правовые исключения из запрета на производство аборта при определенных обстоятельствах, когда продолжение беременности может привести к причинению сильной боли и страданий, например в тех случаях, когда беременность наступила в результате изнасилования или инцеста, либо в случаях летальной аномалии плода, в соответствии с обязательством, взятым на себя Тимором-</w:t>
      </w:r>
      <w:proofErr w:type="spellStart"/>
      <w:r w:rsidRPr="00007AFC">
        <w:rPr>
          <w:b/>
        </w:rPr>
        <w:t>Лешти</w:t>
      </w:r>
      <w:proofErr w:type="spellEnd"/>
      <w:r w:rsidRPr="00007AFC">
        <w:rPr>
          <w:b/>
        </w:rPr>
        <w:t xml:space="preserve"> в ходе универсального периодического обзора в ноябре 2017 года (см.</w:t>
      </w:r>
      <w:r w:rsidR="00DC6B32" w:rsidRPr="00007AFC">
        <w:rPr>
          <w:b/>
        </w:rPr>
        <w:t xml:space="preserve"> A/</w:t>
      </w:r>
      <w:proofErr w:type="spellStart"/>
      <w:r w:rsidR="00DC6B32" w:rsidRPr="00007AFC">
        <w:rPr>
          <w:b/>
        </w:rPr>
        <w:t>HRC</w:t>
      </w:r>
      <w:proofErr w:type="spellEnd"/>
      <w:r w:rsidR="00DC6B32" w:rsidRPr="00007AFC">
        <w:rPr>
          <w:b/>
        </w:rPr>
        <w:t>/34/11/Add.1</w:t>
      </w:r>
      <w:r w:rsidR="00DC6B32">
        <w:rPr>
          <w:b/>
        </w:rPr>
        <w:t>,</w:t>
      </w:r>
      <w:r w:rsidRPr="00007AFC">
        <w:rPr>
          <w:b/>
        </w:rPr>
        <w:t xml:space="preserve"> пункт 5)</w:t>
      </w:r>
      <w:r w:rsidR="00DC6B32">
        <w:rPr>
          <w:b/>
        </w:rPr>
        <w:t>.</w:t>
      </w:r>
    </w:p>
    <w:p w14:paraId="1DCA2561" w14:textId="66AF51FC" w:rsidR="00007AFC" w:rsidRPr="00007AFC" w:rsidRDefault="00BF2539" w:rsidP="00BF2539">
      <w:pPr>
        <w:pStyle w:val="H23GR"/>
      </w:pPr>
      <w:r>
        <w:tab/>
      </w:r>
      <w:r>
        <w:tab/>
      </w:r>
      <w:r w:rsidR="00007AFC" w:rsidRPr="00007AFC">
        <w:t>Возмещение вреда</w:t>
      </w:r>
    </w:p>
    <w:p w14:paraId="6F08AED6" w14:textId="1E0F0C95" w:rsidR="00007AFC" w:rsidRPr="00007AFC" w:rsidRDefault="00007AFC" w:rsidP="00007AFC">
      <w:pPr>
        <w:pStyle w:val="SingleTxtGR"/>
      </w:pPr>
      <w:r w:rsidRPr="00007AFC">
        <w:t>36.</w:t>
      </w:r>
      <w:r w:rsidRPr="00007AFC">
        <w:tab/>
        <w:t>Комитет с озабоченностью отмечает отсутствие правовой базы, регулирующей вопросы выплаты возмещения жертвам пыток и неправомерного</w:t>
      </w:r>
      <w:r w:rsidR="00741D8D">
        <w:t xml:space="preserve"> обращения. </w:t>
      </w:r>
      <w:r w:rsidRPr="00007AFC">
        <w:t xml:space="preserve">Кроме того, он выражает сожаление по поводу того, что государство-участник не представило информацию о мерах по возмещению и компенсации по распоряжению судов или других государственных органов и об их фактическом предоставлении жертвам пыток или неправомерного </w:t>
      </w:r>
      <w:proofErr w:type="gramStart"/>
      <w:r w:rsidRPr="00007AFC">
        <w:t>обращения</w:t>
      </w:r>
      <w:proofErr w:type="gramEnd"/>
      <w:r w:rsidRPr="00007AFC">
        <w:t xml:space="preserve"> или их</w:t>
      </w:r>
      <w:r w:rsidR="00741D8D">
        <w:t xml:space="preserve"> семьям после вступления в силу </w:t>
      </w:r>
      <w:r w:rsidRPr="00007AFC">
        <w:t>Конвенции для государства-участника</w:t>
      </w:r>
      <w:r w:rsidR="00741D8D">
        <w:t xml:space="preserve">. </w:t>
      </w:r>
      <w:r w:rsidRPr="00007AFC">
        <w:t>Комитет также сожалеет по поводу того, что государство-участник не представило никакой информации о программах возмещения или мерах, направленных на поддержку и облегчение работы неправительственных организаций, которые занимаются вопросами предоставления реабилитации жертвам пыток и неправомерного обращения (статья 14).</w:t>
      </w:r>
    </w:p>
    <w:p w14:paraId="3B283537" w14:textId="14D54B3B" w:rsidR="00007AFC" w:rsidRPr="00007AFC" w:rsidRDefault="00007AFC" w:rsidP="00007AFC">
      <w:pPr>
        <w:pStyle w:val="SingleTxtGR"/>
      </w:pPr>
      <w:r w:rsidRPr="00007AFC">
        <w:t>37.</w:t>
      </w:r>
      <w:r w:rsidRPr="00007AFC">
        <w:tab/>
      </w:r>
      <w:r w:rsidRPr="00007AFC">
        <w:rPr>
          <w:b/>
        </w:rPr>
        <w:t>Государству-участнику следует обеспечить, чтобы все жертвы пыток и неправомерного обращения получили возмещение, в том числе наделить их подкрепляемым правовой санкцией правом на справедливую и адекватную компенсацию и средствами для возможно более полной реабилитации.</w:t>
      </w:r>
      <w:r w:rsidR="00741D8D">
        <w:rPr>
          <w:b/>
          <w:bCs/>
        </w:rPr>
        <w:t xml:space="preserve"> </w:t>
      </w:r>
      <w:r w:rsidRPr="00007AFC">
        <w:rPr>
          <w:b/>
          <w:bCs/>
        </w:rPr>
        <w:t>Комитет обращает внимание государства-участника на свое замечание общего порядка № 3 (2012)</w:t>
      </w:r>
      <w:r w:rsidR="00BF2539">
        <w:rPr>
          <w:b/>
        </w:rPr>
        <w:t xml:space="preserve"> </w:t>
      </w:r>
      <w:r w:rsidRPr="00007AFC">
        <w:rPr>
          <w:b/>
        </w:rPr>
        <w:t>об осуществлении статьи 14 государствами-участниками, в котором он разъясняет содержание и сферу охвата обязательств государств-участников по статье 14 Конвенции в отношении предоставления жертвам пыток полного возмещения</w:t>
      </w:r>
      <w:r w:rsidRPr="00007AFC">
        <w:rPr>
          <w:b/>
          <w:bCs/>
        </w:rPr>
        <w:t>.</w:t>
      </w:r>
    </w:p>
    <w:p w14:paraId="108E40FF" w14:textId="39E3C4C2" w:rsidR="00007AFC" w:rsidRPr="00007AFC" w:rsidRDefault="00BF2539" w:rsidP="00BF2539">
      <w:pPr>
        <w:pStyle w:val="H23GR"/>
      </w:pPr>
      <w:r>
        <w:lastRenderedPageBreak/>
        <w:tab/>
      </w:r>
      <w:r>
        <w:tab/>
      </w:r>
      <w:r w:rsidR="00007AFC" w:rsidRPr="00007AFC">
        <w:t>Признательные показания, полученные под принуждением</w:t>
      </w:r>
    </w:p>
    <w:p w14:paraId="3C602B16" w14:textId="7E41C6DF" w:rsidR="00007AFC" w:rsidRPr="00007AFC" w:rsidRDefault="00007AFC" w:rsidP="00007AFC">
      <w:pPr>
        <w:pStyle w:val="SingleTxtGR"/>
      </w:pPr>
      <w:r w:rsidRPr="00007AFC">
        <w:t>38.</w:t>
      </w:r>
      <w:r w:rsidRPr="00007AFC">
        <w:tab/>
        <w:t>Принимая к сведению гарантии, закрепленные в пункте 4 статьи 34 Конституции и пункте 1 статьи 110 Уголовно-процессуального кодекса относительно недопустимости показаний, полученных</w:t>
      </w:r>
      <w:r w:rsidRPr="00007AFC">
        <w:rPr>
          <w:i/>
          <w:iCs/>
        </w:rPr>
        <w:t>,</w:t>
      </w:r>
      <w:r w:rsidRPr="00007AFC">
        <w:t xml:space="preserve"> среди прочего, под пытками, принуждением или в результате посягательства на физическую или моральную неприкосновенность личности, Комитет выражает сожаление по поводу того, что </w:t>
      </w:r>
      <w:proofErr w:type="spellStart"/>
      <w:r w:rsidRPr="00007AFC">
        <w:t>го</w:t>
      </w:r>
      <w:proofErr w:type="spellEnd"/>
      <w:r w:rsidR="00DC6B32">
        <w:t>-</w:t>
      </w:r>
      <w:proofErr w:type="spellStart"/>
      <w:r w:rsidRPr="00007AFC">
        <w:t>сударство</w:t>
      </w:r>
      <w:proofErr w:type="spellEnd"/>
      <w:r w:rsidRPr="00007AFC">
        <w:t>-участник не представило примеры дел, прекращенных судами, доказательства или свидетельские показания в рамках которых были получен в результате применения пыток или неправомерного обращения (статья 15).</w:t>
      </w:r>
    </w:p>
    <w:p w14:paraId="5061CA86" w14:textId="76574566" w:rsidR="00007AFC" w:rsidRPr="00007AFC" w:rsidRDefault="00007AFC" w:rsidP="00007AFC">
      <w:pPr>
        <w:pStyle w:val="SingleTxtGR"/>
      </w:pPr>
      <w:r w:rsidRPr="00007AFC">
        <w:t>39.</w:t>
      </w:r>
      <w:r w:rsidRPr="00007AFC">
        <w:tab/>
      </w:r>
      <w:r w:rsidRPr="00007AFC">
        <w:rPr>
          <w:b/>
        </w:rPr>
        <w:t>Государству-участнику следует принять эффективные меры для практического обеспечения неприемлемости признательных показаний, полученных путем применения пыток или неправомерного обращения.</w:t>
      </w:r>
      <w:r w:rsidR="00BF2539">
        <w:rPr>
          <w:b/>
          <w:bCs/>
        </w:rPr>
        <w:t xml:space="preserve"> </w:t>
      </w:r>
      <w:r w:rsidRPr="00007AFC">
        <w:rPr>
          <w:b/>
        </w:rPr>
        <w:t>Следует также расширять программы профессиональной подготовки судей и прокуроров, с тем чтобы они могли эффективно выявлять случаи применения пыток и неправомерного обращения и проводить расследования по всем утверждениям о совершении таких действий.</w:t>
      </w:r>
      <w:r w:rsidR="00BF2539">
        <w:rPr>
          <w:b/>
          <w:bCs/>
        </w:rPr>
        <w:t xml:space="preserve"> </w:t>
      </w:r>
      <w:r w:rsidRPr="00007AFC">
        <w:rPr>
          <w:b/>
        </w:rPr>
        <w:t>Государству-участнику следует также представить Комитету информацию о любых делах, в которых признательные показания были сочтены неприемлемыми на основании того, что они были получены под пытками, и сообщить о том, подверглись ли какие-либо должностные лица преследованию и наказанию за принуждение к даче показаний подобными методами.</w:t>
      </w:r>
    </w:p>
    <w:p w14:paraId="52A36739" w14:textId="61672940" w:rsidR="00007AFC" w:rsidRPr="00007AFC" w:rsidRDefault="00BF2539" w:rsidP="00BF2539">
      <w:pPr>
        <w:pStyle w:val="H23GR"/>
      </w:pPr>
      <w:r>
        <w:tab/>
      </w:r>
      <w:r>
        <w:tab/>
      </w:r>
      <w:r w:rsidR="00007AFC" w:rsidRPr="00007AFC">
        <w:t>Телесные наказания</w:t>
      </w:r>
    </w:p>
    <w:p w14:paraId="61BBC8CD" w14:textId="0A3FD352" w:rsidR="00007AFC" w:rsidRPr="00007AFC" w:rsidRDefault="00007AFC" w:rsidP="00007AFC">
      <w:pPr>
        <w:pStyle w:val="SingleTxtGR"/>
      </w:pPr>
      <w:r w:rsidRPr="00007AFC">
        <w:t>40.</w:t>
      </w:r>
      <w:r w:rsidRPr="00007AFC">
        <w:tab/>
        <w:t>Отмечая, что Министерство образования проводит политику нулевой терпимости в отношении применения насилия к детям в образовательных учреждениях, Комитет обеспокоен тем, что национальным законодательством до сих пор не установлен прямой запрет на телесные наказания детей в семье, школе и учреждениях альтернативного и дневного ухода и что оно по-прежнему находит повсеместное применение</w:t>
      </w:r>
      <w:r w:rsidR="00BF2539">
        <w:t xml:space="preserve"> (статьи</w:t>
      </w:r>
      <w:r w:rsidRPr="00007AFC">
        <w:t xml:space="preserve"> 2 и 16).</w:t>
      </w:r>
    </w:p>
    <w:p w14:paraId="7C134B2B" w14:textId="077DE470" w:rsidR="00007AFC" w:rsidRPr="00007AFC" w:rsidRDefault="00007AFC" w:rsidP="00007AFC">
      <w:pPr>
        <w:pStyle w:val="SingleTxtGR"/>
      </w:pPr>
      <w:r w:rsidRPr="00007AFC">
        <w:t>41.</w:t>
      </w:r>
      <w:r w:rsidRPr="00007AFC">
        <w:tab/>
      </w:r>
      <w:r w:rsidRPr="00007AFC">
        <w:rPr>
          <w:b/>
          <w:bCs/>
        </w:rPr>
        <w:t>Государству-участнику следует внести изменения в законодательство и/или принять законодательство с целью установления прямого и однозначного запрета на применение телесного наказания во всех учреждениях и принять необходимые меры для предотвращения применения такого наказания, в том числе путем строгого пр</w:t>
      </w:r>
      <w:r w:rsidR="00741D8D">
        <w:rPr>
          <w:b/>
          <w:bCs/>
        </w:rPr>
        <w:t xml:space="preserve">именения принятых Министерством </w:t>
      </w:r>
      <w:r w:rsidRPr="00007AFC">
        <w:rPr>
          <w:b/>
          <w:bCs/>
        </w:rPr>
        <w:t xml:space="preserve">руководящих принципов </w:t>
      </w:r>
      <w:r w:rsidR="00741D8D">
        <w:rPr>
          <w:b/>
          <w:bCs/>
        </w:rPr>
        <w:t xml:space="preserve">поддержания учебной дисциплины. </w:t>
      </w:r>
      <w:r w:rsidRPr="00007AFC">
        <w:rPr>
          <w:b/>
          <w:bCs/>
        </w:rPr>
        <w:t>Ему следует поощрять ненасильственные формы поддержания дисциплины в качестве альтернатив телесному наказанию и проводить информационно-пропагандистские кампании по повышению осведомленности о вредных последствиях такого наказания.</w:t>
      </w:r>
    </w:p>
    <w:p w14:paraId="0B37A3A4" w14:textId="3718322B" w:rsidR="00007AFC" w:rsidRPr="00007AFC" w:rsidRDefault="00BF2539" w:rsidP="00BF2539">
      <w:pPr>
        <w:pStyle w:val="H23GR"/>
      </w:pPr>
      <w:r>
        <w:tab/>
      </w:r>
      <w:r>
        <w:tab/>
      </w:r>
      <w:r w:rsidR="00007AFC" w:rsidRPr="00007AFC">
        <w:t>Лица с психическими расстройствами</w:t>
      </w:r>
    </w:p>
    <w:p w14:paraId="708D7728" w14:textId="6EDBC49E" w:rsidR="00007AFC" w:rsidRPr="00007AFC" w:rsidRDefault="00007AFC" w:rsidP="00007AFC">
      <w:pPr>
        <w:pStyle w:val="SingleTxtGR"/>
      </w:pPr>
      <w:r w:rsidRPr="00007AFC">
        <w:t>42.</w:t>
      </w:r>
      <w:r w:rsidRPr="00007AFC">
        <w:tab/>
        <w:t>Комитет выражает обеспокоенность по поводу ограниченности доступа в государстве-участнике к психиатрическим услугам для лиц с психическими расстройствами, в следствие чего они вынуждены оставаться со своими семьями, а</w:t>
      </w:r>
      <w:r w:rsidR="00741D8D">
        <w:t> </w:t>
      </w:r>
      <w:r w:rsidRPr="00007AFC">
        <w:t xml:space="preserve">также по поводу заслуживающих доверия сообщений, согласно которым в </w:t>
      </w:r>
      <w:proofErr w:type="spellStart"/>
      <w:r w:rsidRPr="00007AFC">
        <w:t>го</w:t>
      </w:r>
      <w:proofErr w:type="spellEnd"/>
      <w:r w:rsidR="00DC6B32">
        <w:t>-</w:t>
      </w:r>
      <w:proofErr w:type="spellStart"/>
      <w:r w:rsidRPr="00007AFC">
        <w:t>сударстве</w:t>
      </w:r>
      <w:proofErr w:type="spellEnd"/>
      <w:r w:rsidRPr="00007AFC">
        <w:t>-участнике имеет место немало случаев, когда лица с психическими расстройствами подвергаются жестокому обращению со стороны членов семьи или общины, включая их содержание в закрытых помещениях или удерживание силой в унижающих достоинство условиях.</w:t>
      </w:r>
    </w:p>
    <w:p w14:paraId="7E213CA7" w14:textId="77777777" w:rsidR="00007AFC" w:rsidRPr="00007AFC" w:rsidRDefault="00007AFC" w:rsidP="00007AFC">
      <w:pPr>
        <w:pStyle w:val="SingleTxtGR"/>
      </w:pPr>
      <w:r w:rsidRPr="00007AFC">
        <w:t>43.</w:t>
      </w:r>
      <w:r w:rsidRPr="00007AFC">
        <w:tab/>
        <w:t>Г</w:t>
      </w:r>
      <w:r w:rsidRPr="00007AFC">
        <w:rPr>
          <w:b/>
          <w:bCs/>
        </w:rPr>
        <w:t>осударству-участнику следует принять безотлагательные меры для защиты инвалидов от грубого и неправомерного обращения и с этой целью следует принять решение о приоритетном увеличении инвестиций в службы охраны психического здоровья и подготовку сотрудников полиции и других соответствующих должностных лиц по вопросу о необходимости вмешатель</w:t>
      </w:r>
      <w:r w:rsidRPr="00007AFC">
        <w:rPr>
          <w:b/>
          <w:bCs/>
        </w:rPr>
        <w:lastRenderedPageBreak/>
        <w:t>ства в случаях, когда члены семьи или общины занимаются такой практикой. Государству-участнику следует также рассмотреть вопрос о ратификации Конвенции о правах инвалидов.</w:t>
      </w:r>
    </w:p>
    <w:p w14:paraId="5C20CE13" w14:textId="45EE1228" w:rsidR="00007AFC" w:rsidRPr="00007AFC" w:rsidRDefault="00BF2539" w:rsidP="00BF2539">
      <w:pPr>
        <w:pStyle w:val="H23GR"/>
      </w:pPr>
      <w:r>
        <w:tab/>
      </w:r>
      <w:r>
        <w:tab/>
      </w:r>
      <w:r w:rsidR="00007AFC" w:rsidRPr="00007AFC">
        <w:t>Насилие в отношении лесбиянок, гомосексуалистов, бисексуалов и</w:t>
      </w:r>
      <w:r w:rsidR="00741D8D">
        <w:t> </w:t>
      </w:r>
      <w:r w:rsidR="00007AFC" w:rsidRPr="00007AFC">
        <w:t>транссексуалов</w:t>
      </w:r>
    </w:p>
    <w:p w14:paraId="718E8F08" w14:textId="381B5D27" w:rsidR="00007AFC" w:rsidRPr="00007AFC" w:rsidRDefault="00007AFC" w:rsidP="00007AFC">
      <w:pPr>
        <w:pStyle w:val="SingleTxtGR"/>
      </w:pPr>
      <w:r w:rsidRPr="00007AFC">
        <w:t>44.</w:t>
      </w:r>
      <w:r w:rsidRPr="00007AFC">
        <w:tab/>
        <w:t>Приветствуя публичное осуждение государством-участником дискриминации лиц по признаку сексуальной ориентации или гендерной идентичности, Комитет по-прежнему обеспокоен сообщениями о применении к лесбиянкам, гомосексуалистам</w:t>
      </w:r>
      <w:r w:rsidR="00741D8D">
        <w:t xml:space="preserve">, бисексуалам и транссексуалам </w:t>
      </w:r>
      <w:r w:rsidRPr="00007AFC">
        <w:t>грубого физического обращения.</w:t>
      </w:r>
    </w:p>
    <w:p w14:paraId="051227D6" w14:textId="431477B9" w:rsidR="00007AFC" w:rsidRPr="00007AFC" w:rsidRDefault="00007AFC" w:rsidP="00007AFC">
      <w:pPr>
        <w:pStyle w:val="SingleTxtGR"/>
      </w:pPr>
      <w:r w:rsidRPr="00007AFC">
        <w:t>45.</w:t>
      </w:r>
      <w:r w:rsidRPr="00007AFC">
        <w:tab/>
      </w:r>
      <w:r w:rsidRPr="00007AFC">
        <w:rPr>
          <w:b/>
        </w:rPr>
        <w:t>Государству-участнику следует принять эффективные меры для предупреждения насилия на почве реальной или предполагаемой сексуальной ориентации и гендерной идентичности и обеспечить оперативное, эффективное и беспристрастное расследование всех актов насилия, привлечение к ответственности виновных и возмещение ущерба по</w:t>
      </w:r>
      <w:r w:rsidR="00DC6B32">
        <w:rPr>
          <w:b/>
        </w:rPr>
        <w:t>страдавшим</w:t>
      </w:r>
      <w:r w:rsidRPr="00007AFC">
        <w:rPr>
          <w:b/>
        </w:rPr>
        <w:t>.</w:t>
      </w:r>
    </w:p>
    <w:p w14:paraId="248EEF05" w14:textId="67A03C77" w:rsidR="00007AFC" w:rsidRPr="00007AFC" w:rsidRDefault="00BF2539" w:rsidP="00BF2539">
      <w:pPr>
        <w:pStyle w:val="H23GR"/>
      </w:pPr>
      <w:r>
        <w:tab/>
      </w:r>
      <w:r>
        <w:tab/>
      </w:r>
      <w:r w:rsidR="00007AFC" w:rsidRPr="00007AFC">
        <w:t>Подготовка кадров</w:t>
      </w:r>
    </w:p>
    <w:p w14:paraId="1A746816" w14:textId="79366367" w:rsidR="00007AFC" w:rsidRPr="00007AFC" w:rsidRDefault="00007AFC" w:rsidP="00007AFC">
      <w:pPr>
        <w:pStyle w:val="SingleTxtGR"/>
      </w:pPr>
      <w:r w:rsidRPr="00007AFC">
        <w:t>46.</w:t>
      </w:r>
      <w:r w:rsidRPr="00007AFC">
        <w:tab/>
        <w:t>Принимая к сведению существующие учебные программы по правам человека для сотрудников полиции, тюрем и судебных органов, Комитет тем не менее по-прежнему обеспокоен отсутствием информации о результатах проводимой профессиональной подготовки.</w:t>
      </w:r>
      <w:r w:rsidR="00741D8D">
        <w:t xml:space="preserve"> </w:t>
      </w:r>
      <w:r w:rsidRPr="00007AFC">
        <w:t>Кроме того, он выражает сожаление по поводу того, что не налажена специализированная подготовка сотрудников правоохранительных органов, судей, прокуроров, судебно-медицинских экспертов и медицинского персонала по вопросам выявления и документирования физических и психологических последствий пыток и других жестоких, бесчеловечных или унижающих достоинство видов обращения и наказания (статья 10).</w:t>
      </w:r>
    </w:p>
    <w:p w14:paraId="7EC9E297" w14:textId="77777777" w:rsidR="00007AFC" w:rsidRPr="00007AFC" w:rsidRDefault="00007AFC" w:rsidP="00007AFC">
      <w:pPr>
        <w:pStyle w:val="SingleTxtGR"/>
      </w:pPr>
      <w:r w:rsidRPr="00007AFC">
        <w:t>47.</w:t>
      </w:r>
      <w:r w:rsidRPr="00007AFC">
        <w:tab/>
      </w:r>
      <w:r w:rsidRPr="00007AFC">
        <w:rPr>
          <w:b/>
          <w:bCs/>
        </w:rPr>
        <w:t>Государству-участнику следует:</w:t>
      </w:r>
    </w:p>
    <w:p w14:paraId="2206A974" w14:textId="59F03607" w:rsidR="00007AFC" w:rsidRPr="00BF2539" w:rsidRDefault="00007AFC" w:rsidP="00007AFC">
      <w:pPr>
        <w:pStyle w:val="SingleTxtGR"/>
        <w:rPr>
          <w:b/>
        </w:rPr>
      </w:pPr>
      <w:r w:rsidRPr="00BF2539">
        <w:rPr>
          <w:b/>
        </w:rPr>
        <w:tab/>
        <w:t>а)</w:t>
      </w:r>
      <w:r w:rsidRPr="00BF2539">
        <w:rPr>
          <w:b/>
        </w:rPr>
        <w:tab/>
        <w:t xml:space="preserve">продолжить разработку обязательных учебных программ </w:t>
      </w:r>
      <w:r w:rsidR="00741D8D">
        <w:rPr>
          <w:b/>
        </w:rPr>
        <w:t xml:space="preserve">в </w:t>
      </w:r>
      <w:r w:rsidRPr="00BF2539">
        <w:rPr>
          <w:b/>
        </w:rPr>
        <w:t>целях обеспечения надлежащего ознакомления всех государственных должностных</w:t>
      </w:r>
      <w:r w:rsidR="00741D8D">
        <w:rPr>
          <w:b/>
        </w:rPr>
        <w:t xml:space="preserve"> лиц, в </w:t>
      </w:r>
      <w:r w:rsidRPr="00BF2539">
        <w:rPr>
          <w:b/>
        </w:rPr>
        <w:t>частности сотрудников правоохранительных органов, военнослужащих, работников пенитенциарной системы и медицинского персонала тюрем,</w:t>
      </w:r>
      <w:r w:rsidR="00741D8D">
        <w:rPr>
          <w:b/>
        </w:rPr>
        <w:t xml:space="preserve"> с положениями Конвенции и </w:t>
      </w:r>
      <w:r w:rsidRPr="00BF2539">
        <w:rPr>
          <w:b/>
        </w:rPr>
        <w:t xml:space="preserve">их полного осведомления о том, что ее нарушения недопустимы и подлежат расследованию, а виновные будут подвергнуты уголовному преследованию; </w:t>
      </w:r>
    </w:p>
    <w:p w14:paraId="749F7E82" w14:textId="77777777" w:rsidR="00007AFC" w:rsidRPr="00BF2539" w:rsidRDefault="00007AFC" w:rsidP="00007AFC">
      <w:pPr>
        <w:pStyle w:val="SingleTxtGR"/>
        <w:rPr>
          <w:b/>
        </w:rPr>
      </w:pPr>
      <w:r w:rsidRPr="00BF2539">
        <w:rPr>
          <w:b/>
        </w:rPr>
        <w:tab/>
        <w:t>b)</w:t>
      </w:r>
      <w:r w:rsidRPr="00BF2539">
        <w:rPr>
          <w:b/>
        </w:rPr>
        <w:tab/>
        <w:t>разработать программы обучения ненасильственным методам проведения расследований и применять методологию оценки эффективности учебных программ с точки зрения уменьшения числа случаев применения пыток и неправомерного обращения и обеспечения расследования подобных действий и уголовного преследования виновных</w:t>
      </w:r>
      <w:r w:rsidRPr="00BF2539">
        <w:rPr>
          <w:b/>
          <w:bCs/>
        </w:rPr>
        <w:t>;</w:t>
      </w:r>
    </w:p>
    <w:p w14:paraId="25C54A59" w14:textId="77777777" w:rsidR="00007AFC" w:rsidRPr="00007AFC" w:rsidRDefault="00007AFC" w:rsidP="00007AFC">
      <w:pPr>
        <w:pStyle w:val="SingleTxtGR"/>
      </w:pPr>
      <w:r w:rsidRPr="00BF2539">
        <w:rPr>
          <w:b/>
        </w:rPr>
        <w:tab/>
        <w:t>c)</w:t>
      </w:r>
      <w:r w:rsidRPr="00BF2539">
        <w:rPr>
          <w:b/>
        </w:rPr>
        <w:tab/>
        <w:t>обеспечить специализированную подготовку всех соответствую</w:t>
      </w:r>
      <w:r w:rsidRPr="00007AFC">
        <w:rPr>
          <w:b/>
        </w:rPr>
        <w:t>щих сотрудников, включая медицинский персонал, по вопросам выявления случаев пыток и жестокого обращения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протокол);</w:t>
      </w:r>
    </w:p>
    <w:p w14:paraId="1CC1FB65" w14:textId="77777777" w:rsidR="00007AFC" w:rsidRPr="00007AFC" w:rsidRDefault="00007AFC" w:rsidP="00007AFC">
      <w:pPr>
        <w:pStyle w:val="SingleTxtGR"/>
      </w:pPr>
      <w:r w:rsidRPr="00BF2539">
        <w:rPr>
          <w:b/>
        </w:rPr>
        <w:tab/>
        <w:t>d)</w:t>
      </w:r>
      <w:r w:rsidRPr="00BF2539">
        <w:rPr>
          <w:b/>
        </w:rPr>
        <w:tab/>
      </w:r>
      <w:r w:rsidRPr="00BF2539">
        <w:rPr>
          <w:b/>
          <w:bCs/>
        </w:rPr>
        <w:t>раз</w:t>
      </w:r>
      <w:r w:rsidRPr="00007AFC">
        <w:rPr>
          <w:b/>
          <w:bCs/>
        </w:rPr>
        <w:t>работать программы дальнейшей профессиональной подготовки и наращивания потенциала в секторе правосудия в целях изучения прокурорами и судьями положений Конвенции и национального законодательства, устанавливающего запрет на применение пыток и неправомерного обращения.</w:t>
      </w:r>
    </w:p>
    <w:p w14:paraId="58D61AF8" w14:textId="4652D5A7" w:rsidR="00007AFC" w:rsidRPr="00007AFC" w:rsidRDefault="00BF2539" w:rsidP="00BF2539">
      <w:pPr>
        <w:pStyle w:val="H23GR"/>
      </w:pPr>
      <w:r>
        <w:tab/>
      </w:r>
      <w:r>
        <w:tab/>
      </w:r>
      <w:r w:rsidR="00007AFC" w:rsidRPr="00007AFC">
        <w:t>Процедура последующих действий</w:t>
      </w:r>
    </w:p>
    <w:p w14:paraId="28D58EA9" w14:textId="18D28D31" w:rsidR="00007AFC" w:rsidRPr="00007AFC" w:rsidRDefault="00007AFC" w:rsidP="00007AFC">
      <w:pPr>
        <w:pStyle w:val="SingleTxtGR"/>
      </w:pPr>
      <w:r w:rsidRPr="00007AFC">
        <w:t>48.</w:t>
      </w:r>
      <w:r w:rsidRPr="00007AFC">
        <w:tab/>
      </w:r>
      <w:r w:rsidRPr="00007AFC">
        <w:rPr>
          <w:b/>
        </w:rPr>
        <w:t>Комитет просит государство-участник представить к 6 декабря 2018</w:t>
      </w:r>
      <w:r w:rsidR="00BF2539">
        <w:rPr>
          <w:b/>
        </w:rPr>
        <w:t> </w:t>
      </w:r>
      <w:r w:rsidRPr="00007AFC">
        <w:rPr>
          <w:b/>
        </w:rPr>
        <w:t>года информацию о последующих мерах по выполнению рекомендаций Комитета в отношении совершенных в прошлом нарушений прав человека</w:t>
      </w:r>
      <w:r w:rsidRPr="00007AFC">
        <w:rPr>
          <w:b/>
          <w:bCs/>
        </w:rPr>
        <w:t xml:space="preserve">; </w:t>
      </w:r>
      <w:r w:rsidRPr="00007AFC">
        <w:rPr>
          <w:b/>
          <w:bCs/>
        </w:rPr>
        <w:lastRenderedPageBreak/>
        <w:t>расследовании недавних утверждений</w:t>
      </w:r>
      <w:r w:rsidR="00741D8D">
        <w:rPr>
          <w:b/>
          <w:bCs/>
        </w:rPr>
        <w:t xml:space="preserve"> о применении чрезмерной силы и </w:t>
      </w:r>
      <w:r w:rsidRPr="00007AFC">
        <w:rPr>
          <w:b/>
          <w:bCs/>
        </w:rPr>
        <w:t>жестокого обращения сотрудни</w:t>
      </w:r>
      <w:r w:rsidR="00741D8D">
        <w:rPr>
          <w:b/>
          <w:bCs/>
        </w:rPr>
        <w:t xml:space="preserve">ками полиции и военнослужащими; </w:t>
      </w:r>
      <w:r w:rsidRPr="00007AFC">
        <w:rPr>
          <w:b/>
          <w:bCs/>
        </w:rPr>
        <w:t>и расследовании всех жалоб на применение пыток и жестокого обращения (см.</w:t>
      </w:r>
      <w:r w:rsidR="00741D8D">
        <w:rPr>
          <w:b/>
          <w:bCs/>
        </w:rPr>
        <w:t> </w:t>
      </w:r>
      <w:r w:rsidRPr="00007AFC">
        <w:rPr>
          <w:b/>
          <w:bCs/>
        </w:rPr>
        <w:t xml:space="preserve">пункты </w:t>
      </w:r>
      <w:proofErr w:type="gramStart"/>
      <w:r w:rsidRPr="00007AFC">
        <w:rPr>
          <w:b/>
          <w:bCs/>
        </w:rPr>
        <w:t>9</w:t>
      </w:r>
      <w:proofErr w:type="gramEnd"/>
      <w:r w:rsidRPr="00007AFC">
        <w:rPr>
          <w:b/>
          <w:bCs/>
        </w:rPr>
        <w:t xml:space="preserve"> а)</w:t>
      </w:r>
      <w:r w:rsidR="00BF2539">
        <w:rPr>
          <w:b/>
          <w:bCs/>
        </w:rPr>
        <w:t>–</w:t>
      </w:r>
      <w:r w:rsidRPr="00007AFC">
        <w:rPr>
          <w:b/>
          <w:bCs/>
        </w:rPr>
        <w:t xml:space="preserve">d), 13 b) и 17 a) выше). </w:t>
      </w:r>
      <w:r w:rsidRPr="00007AFC">
        <w:rPr>
          <w:b/>
        </w:rPr>
        <w:t>В этом контексте государству-участнику предлагается проинформировать Комитет о своих планах по выполнению в предстоящий отчетный период некоторых или всех из оставшихся рекомендаций, содержащихся в заключительных замечаниях.</w:t>
      </w:r>
    </w:p>
    <w:p w14:paraId="23CEB8D2" w14:textId="096A9654" w:rsidR="00007AFC" w:rsidRPr="00007AFC" w:rsidRDefault="00BF2539" w:rsidP="00BF2539">
      <w:pPr>
        <w:pStyle w:val="H23GR"/>
      </w:pPr>
      <w:r>
        <w:tab/>
      </w:r>
      <w:r>
        <w:tab/>
      </w:r>
      <w:r w:rsidR="00007AFC" w:rsidRPr="00007AFC">
        <w:t>Прочие вопросы</w:t>
      </w:r>
    </w:p>
    <w:p w14:paraId="4C951872" w14:textId="77777777" w:rsidR="00007AFC" w:rsidRPr="00007AFC" w:rsidRDefault="00007AFC" w:rsidP="00007AFC">
      <w:pPr>
        <w:pStyle w:val="SingleTxtGR"/>
      </w:pPr>
      <w:r w:rsidRPr="00007AFC">
        <w:t>49.</w:t>
      </w:r>
      <w:r w:rsidRPr="00007AFC">
        <w:rPr>
          <w:b/>
          <w:bCs/>
        </w:rPr>
        <w:tab/>
      </w:r>
      <w:r w:rsidRPr="00007AFC">
        <w:rPr>
          <w:b/>
        </w:rPr>
        <w:t>Комитет обращается к государству-участнику с призывом изучить возможность того, чтобы сделать заявление по статье 22 Конвенции и признать тем самым компетенцию Комитета получать и рассматривать сообщения от частных лиц в рамках своей юрисдикции.</w:t>
      </w:r>
    </w:p>
    <w:p w14:paraId="0ED7A42F" w14:textId="3B1CD0B8" w:rsidR="00007AFC" w:rsidRPr="00007AFC" w:rsidRDefault="00007AFC" w:rsidP="00007AFC">
      <w:pPr>
        <w:pStyle w:val="SingleTxtGR"/>
      </w:pPr>
      <w:r w:rsidRPr="00007AFC">
        <w:t>50.</w:t>
      </w:r>
      <w:r w:rsidRPr="00007AFC">
        <w:rPr>
          <w:b/>
          <w:bCs/>
        </w:rPr>
        <w:tab/>
      </w:r>
      <w:proofErr w:type="gramStart"/>
      <w:r w:rsidRPr="00007AFC">
        <w:rPr>
          <w:b/>
        </w:rPr>
        <w:t>В</w:t>
      </w:r>
      <w:proofErr w:type="gramEnd"/>
      <w:r w:rsidRPr="00007AFC">
        <w:rPr>
          <w:b/>
        </w:rPr>
        <w:t xml:space="preserve"> свете обязательств, взятых на себя делегацией в ходе диалога с Комитетом, Комитет предлагает государству-участнику рассмотреть вопрос о присоединении к Факультативному протоколу к Конвенции.</w:t>
      </w:r>
      <w:r w:rsidR="00741D8D">
        <w:rPr>
          <w:b/>
          <w:bCs/>
        </w:rPr>
        <w:t xml:space="preserve"> </w:t>
      </w:r>
      <w:r w:rsidRPr="00007AFC">
        <w:rPr>
          <w:b/>
          <w:bCs/>
        </w:rPr>
        <w:t xml:space="preserve">Он также рекомендует государству-участнику </w:t>
      </w:r>
      <w:r w:rsidRPr="00007AFC">
        <w:rPr>
          <w:b/>
        </w:rPr>
        <w:t xml:space="preserve">в безотлагательном порядке удовлетворить просьбу </w:t>
      </w:r>
      <w:r w:rsidRPr="00007AFC">
        <w:rPr>
          <w:b/>
          <w:bCs/>
        </w:rPr>
        <w:t>Специального докладчика по вопросу о пытках и других жестоких, бесчеловечных или унижающих достоинство видах обращения и наказания посетить страну.</w:t>
      </w:r>
    </w:p>
    <w:p w14:paraId="01C25F97" w14:textId="77777777" w:rsidR="00007AFC" w:rsidRPr="00007AFC" w:rsidRDefault="00007AFC" w:rsidP="00007AFC">
      <w:pPr>
        <w:pStyle w:val="SingleTxtGR"/>
      </w:pPr>
      <w:r w:rsidRPr="00007AFC">
        <w:t>51.</w:t>
      </w:r>
      <w:r w:rsidRPr="00007AFC">
        <w:rPr>
          <w:b/>
          <w:bCs/>
        </w:rPr>
        <w:tab/>
      </w:r>
      <w:r w:rsidRPr="00007AFC">
        <w:rPr>
          <w:b/>
        </w:rPr>
        <w:t>Государству-участнику предлагается широко распространить доклад, представленный Комитету, а также настоящие заключительные замечания на соответствующих языках, в том числе через посредство официальных веб-сайтов, средств массовой информации и неправительственных организаций.</w:t>
      </w:r>
    </w:p>
    <w:p w14:paraId="18D9E665" w14:textId="3EE15C1A" w:rsidR="00007AFC" w:rsidRPr="00007AFC" w:rsidRDefault="00007AFC" w:rsidP="00007AFC">
      <w:pPr>
        <w:pStyle w:val="SingleTxtGR"/>
      </w:pPr>
      <w:r w:rsidRPr="00007AFC">
        <w:t>52.</w:t>
      </w:r>
      <w:r w:rsidRPr="00007AFC">
        <w:rPr>
          <w:b/>
          <w:bCs/>
        </w:rPr>
        <w:tab/>
        <w:t>Комитет предлагает государству-участнику представить свой следующий, второй по счету периодический доклад не позднее 6 декабря 2021</w:t>
      </w:r>
      <w:r w:rsidR="00741D8D">
        <w:rPr>
          <w:b/>
          <w:bCs/>
        </w:rPr>
        <w:t xml:space="preserve"> </w:t>
      </w:r>
      <w:r w:rsidRPr="00007AFC">
        <w:rPr>
          <w:b/>
          <w:bCs/>
        </w:rPr>
        <w:t>года.</w:t>
      </w:r>
      <w:r w:rsidR="00741D8D" w:rsidRPr="00741D8D">
        <w:t xml:space="preserve"> </w:t>
      </w:r>
      <w:r w:rsidRPr="00007AFC">
        <w:rPr>
          <w:b/>
          <w:bCs/>
        </w:rPr>
        <w:t xml:space="preserve">С этой целью Комитет предлагает государству-участнику </w:t>
      </w:r>
      <w:r w:rsidRPr="00007AFC">
        <w:rPr>
          <w:b/>
        </w:rPr>
        <w:t>дать до</w:t>
      </w:r>
      <w:r w:rsidRPr="00007AFC">
        <w:rPr>
          <w:b/>
          <w:bCs/>
        </w:rPr>
        <w:t xml:space="preserve"> 6 декабря 2018 года </w:t>
      </w:r>
      <w:r w:rsidRPr="00007AFC">
        <w:rPr>
          <w:b/>
        </w:rPr>
        <w:t>свое согласие на применение упрощенной процедуры отчетности, заключающейся в препровождении Комитетом государству-участнику перечня вопросов, предваряющего представление доклада.</w:t>
      </w:r>
      <w:r w:rsidR="00741D8D">
        <w:rPr>
          <w:b/>
          <w:bCs/>
        </w:rPr>
        <w:t xml:space="preserve"> </w:t>
      </w:r>
      <w:r w:rsidRPr="00007AFC">
        <w:rPr>
          <w:b/>
        </w:rPr>
        <w:t>В соответствии со статьей 19 Конвенции ответы государства-участника на этот перечень вопросов будут представлять собой его второй периодический доклад.</w:t>
      </w:r>
    </w:p>
    <w:p w14:paraId="14154964" w14:textId="3CF8A063" w:rsidR="00381C24" w:rsidRPr="00BF2539" w:rsidRDefault="00BF2539" w:rsidP="00BF253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F2539" w:rsidSect="00007A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B34D" w14:textId="77777777" w:rsidR="002F48AA" w:rsidRPr="00A312BC" w:rsidRDefault="002F48AA" w:rsidP="00A312BC"/>
  </w:endnote>
  <w:endnote w:type="continuationSeparator" w:id="0">
    <w:p w14:paraId="40D99D3D" w14:textId="77777777" w:rsidR="002F48AA" w:rsidRPr="00A312BC" w:rsidRDefault="002F48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D459" w14:textId="30562C49" w:rsidR="00007AFC" w:rsidRPr="00007AFC" w:rsidRDefault="00007AFC">
    <w:pPr>
      <w:pStyle w:val="a8"/>
    </w:pPr>
    <w:r w:rsidRPr="00007AFC">
      <w:rPr>
        <w:b/>
        <w:sz w:val="18"/>
      </w:rPr>
      <w:fldChar w:fldCharType="begin"/>
    </w:r>
    <w:r w:rsidRPr="00007AFC">
      <w:rPr>
        <w:b/>
        <w:sz w:val="18"/>
      </w:rPr>
      <w:instrText xml:space="preserve"> PAGE  \* MERGEFORMAT </w:instrText>
    </w:r>
    <w:r w:rsidRPr="00007AFC">
      <w:rPr>
        <w:b/>
        <w:sz w:val="18"/>
      </w:rPr>
      <w:fldChar w:fldCharType="separate"/>
    </w:r>
    <w:r w:rsidR="006D6CCE">
      <w:rPr>
        <w:b/>
        <w:noProof/>
        <w:sz w:val="18"/>
      </w:rPr>
      <w:t>14</w:t>
    </w:r>
    <w:r w:rsidRPr="00007AFC">
      <w:rPr>
        <w:b/>
        <w:sz w:val="18"/>
      </w:rPr>
      <w:fldChar w:fldCharType="end"/>
    </w:r>
    <w:r>
      <w:rPr>
        <w:b/>
        <w:sz w:val="18"/>
      </w:rPr>
      <w:tab/>
    </w:r>
    <w:r>
      <w:t>GE.17-22578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5918" w14:textId="5D9DEE99" w:rsidR="00007AFC" w:rsidRPr="00007AFC" w:rsidRDefault="00007AFC" w:rsidP="00007AFC">
    <w:pPr>
      <w:pStyle w:val="a8"/>
      <w:tabs>
        <w:tab w:val="clear" w:pos="9639"/>
        <w:tab w:val="right" w:pos="9638"/>
      </w:tabs>
      <w:rPr>
        <w:b/>
        <w:sz w:val="18"/>
      </w:rPr>
    </w:pPr>
    <w:r>
      <w:t>GE.17-22578</w:t>
    </w:r>
    <w:r>
      <w:tab/>
    </w:r>
    <w:r w:rsidRPr="00007AFC">
      <w:rPr>
        <w:b/>
        <w:sz w:val="18"/>
      </w:rPr>
      <w:fldChar w:fldCharType="begin"/>
    </w:r>
    <w:r w:rsidRPr="00007AFC">
      <w:rPr>
        <w:b/>
        <w:sz w:val="18"/>
      </w:rPr>
      <w:instrText xml:space="preserve"> PAGE  \* MERGEFORMAT </w:instrText>
    </w:r>
    <w:r w:rsidRPr="00007AFC">
      <w:rPr>
        <w:b/>
        <w:sz w:val="18"/>
      </w:rPr>
      <w:fldChar w:fldCharType="separate"/>
    </w:r>
    <w:r w:rsidR="006D6CCE">
      <w:rPr>
        <w:b/>
        <w:noProof/>
        <w:sz w:val="18"/>
      </w:rPr>
      <w:t>15</w:t>
    </w:r>
    <w:r w:rsidRPr="00007A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70B3" w14:textId="77777777" w:rsidR="00042B72" w:rsidRPr="00007AFC" w:rsidRDefault="00007AFC" w:rsidP="00007A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A378FB7" wp14:editId="609115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22578  (</w:t>
    </w:r>
    <w:proofErr w:type="gramEnd"/>
    <w:r>
      <w:t>R)</w:t>
    </w:r>
    <w:r>
      <w:rPr>
        <w:lang w:val="en-US"/>
      </w:rPr>
      <w:t xml:space="preserve">  110118  150118</w:t>
    </w:r>
    <w:r>
      <w:br/>
    </w:r>
    <w:r w:rsidRPr="00007AFC">
      <w:rPr>
        <w:rFonts w:ascii="C39T30Lfz" w:hAnsi="C39T30Lfz"/>
        <w:spacing w:val="0"/>
        <w:w w:val="100"/>
        <w:sz w:val="56"/>
      </w:rPr>
      <w:t></w:t>
    </w:r>
    <w:r w:rsidRPr="00007AFC">
      <w:rPr>
        <w:rFonts w:ascii="C39T30Lfz" w:hAnsi="C39T30Lfz"/>
        <w:spacing w:val="0"/>
        <w:w w:val="100"/>
        <w:sz w:val="56"/>
      </w:rPr>
      <w:t></w:t>
    </w:r>
    <w:r w:rsidRPr="00007AFC">
      <w:rPr>
        <w:rFonts w:ascii="C39T30Lfz" w:hAnsi="C39T30Lfz"/>
        <w:spacing w:val="0"/>
        <w:w w:val="100"/>
        <w:sz w:val="56"/>
      </w:rPr>
      <w:t></w:t>
    </w:r>
    <w:r w:rsidRPr="00007AFC">
      <w:rPr>
        <w:rFonts w:ascii="C39T30Lfz" w:hAnsi="C39T30Lfz"/>
        <w:spacing w:val="0"/>
        <w:w w:val="100"/>
        <w:sz w:val="56"/>
      </w:rPr>
      <w:t></w:t>
    </w:r>
    <w:r w:rsidRPr="00007AFC">
      <w:rPr>
        <w:rFonts w:ascii="C39T30Lfz" w:hAnsi="C39T30Lfz"/>
        <w:spacing w:val="0"/>
        <w:w w:val="100"/>
        <w:sz w:val="56"/>
      </w:rPr>
      <w:t></w:t>
    </w:r>
    <w:r w:rsidRPr="00007AFC">
      <w:rPr>
        <w:rFonts w:ascii="C39T30Lfz" w:hAnsi="C39T30Lfz"/>
        <w:spacing w:val="0"/>
        <w:w w:val="100"/>
        <w:sz w:val="56"/>
      </w:rPr>
      <w:t></w:t>
    </w:r>
    <w:r w:rsidRPr="00007AFC">
      <w:rPr>
        <w:rFonts w:ascii="C39T30Lfz" w:hAnsi="C39T30Lfz"/>
        <w:spacing w:val="0"/>
        <w:w w:val="100"/>
        <w:sz w:val="56"/>
      </w:rPr>
      <w:t></w:t>
    </w:r>
    <w:r w:rsidRPr="00007AFC">
      <w:rPr>
        <w:rFonts w:ascii="C39T30Lfz" w:hAnsi="C39T30Lfz"/>
        <w:spacing w:val="0"/>
        <w:w w:val="100"/>
        <w:sz w:val="56"/>
      </w:rPr>
      <w:t></w:t>
    </w:r>
    <w:r w:rsidRPr="00007AF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558C6E06" wp14:editId="0765CD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TLS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TLS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8ABDD" w14:textId="77777777" w:rsidR="002F48AA" w:rsidRPr="001075E9" w:rsidRDefault="002F48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5E8B7F" w14:textId="77777777" w:rsidR="002F48AA" w:rsidRDefault="002F48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8E26C0" w14:textId="3764E625" w:rsidR="00007AFC" w:rsidRPr="00CE6B76" w:rsidRDefault="00007AFC" w:rsidP="00007AFC">
      <w:pPr>
        <w:pStyle w:val="ad"/>
        <w:rPr>
          <w:szCs w:val="18"/>
          <w:lang w:val="ru-RU"/>
        </w:rPr>
      </w:pPr>
      <w:r>
        <w:rPr>
          <w:lang w:val="ru-RU"/>
        </w:rPr>
        <w:tab/>
      </w:r>
      <w:r w:rsidRPr="00007AFC">
        <w:rPr>
          <w:rStyle w:val="aa"/>
          <w:sz w:val="20"/>
          <w:vertAlign w:val="baseline"/>
          <w:lang w:val="ru-RU"/>
        </w:rPr>
        <w:t>*</w:t>
      </w:r>
      <w:r>
        <w:rPr>
          <w:rStyle w:val="aa"/>
          <w:lang w:val="ru-RU"/>
        </w:rPr>
        <w:tab/>
      </w:r>
      <w:r w:rsidRPr="00CE6B76">
        <w:rPr>
          <w:color w:val="333333"/>
          <w:szCs w:val="18"/>
          <w:shd w:val="clear" w:color="auto" w:fill="FFFFFF"/>
          <w:lang w:val="ru-RU"/>
        </w:rPr>
        <w:t>Приняты Комитетом на его шестьдесят второй сессии (6 ноября</w:t>
      </w:r>
      <w:r w:rsidR="00CE6B76" w:rsidRPr="00CE6B76">
        <w:rPr>
          <w:color w:val="333333"/>
          <w:szCs w:val="18"/>
          <w:shd w:val="clear" w:color="auto" w:fill="FFFFFF"/>
          <w:lang w:val="ru-RU"/>
        </w:rPr>
        <w:t xml:space="preserve"> </w:t>
      </w:r>
      <w:r w:rsidRPr="00CE6B76">
        <w:rPr>
          <w:color w:val="333333"/>
          <w:szCs w:val="18"/>
          <w:shd w:val="clear" w:color="auto" w:fill="FFFFFF"/>
          <w:lang w:val="ru-RU"/>
        </w:rPr>
        <w:t>−</w:t>
      </w:r>
      <w:r w:rsidR="00CE6B76" w:rsidRPr="00CE6B76">
        <w:rPr>
          <w:color w:val="333333"/>
          <w:szCs w:val="18"/>
          <w:shd w:val="clear" w:color="auto" w:fill="FFFFFF"/>
          <w:lang w:val="ru-RU"/>
        </w:rPr>
        <w:t xml:space="preserve"> </w:t>
      </w:r>
      <w:r w:rsidRPr="00CE6B76">
        <w:rPr>
          <w:color w:val="333333"/>
          <w:szCs w:val="18"/>
          <w:shd w:val="clear" w:color="auto" w:fill="FFFFFF"/>
          <w:lang w:val="ru-RU"/>
        </w:rPr>
        <w:t>6 декабря 2017</w:t>
      </w:r>
      <w:r w:rsidR="00CE6B76">
        <w:rPr>
          <w:color w:val="333333"/>
          <w:szCs w:val="18"/>
          <w:shd w:val="clear" w:color="auto" w:fill="FFFFFF"/>
          <w:lang w:val="en-US"/>
        </w:rPr>
        <w:t> </w:t>
      </w:r>
      <w:r w:rsidRPr="00CE6B76">
        <w:rPr>
          <w:color w:val="333333"/>
          <w:szCs w:val="18"/>
          <w:shd w:val="clear" w:color="auto" w:fill="FFFFFF"/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229E" w14:textId="04F30126" w:rsidR="00007AFC" w:rsidRPr="00007AFC" w:rsidRDefault="009A0F81">
    <w:pPr>
      <w:pStyle w:val="a5"/>
    </w:pPr>
    <w:fldSimple w:instr=" TITLE  \* MERGEFORMAT ">
      <w:r w:rsidR="006D6CCE">
        <w:t>CAT/C/TLS/CO/1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F558" w14:textId="362D4BBE" w:rsidR="00007AFC" w:rsidRPr="00007AFC" w:rsidRDefault="009A0F81" w:rsidP="00007AFC">
    <w:pPr>
      <w:pStyle w:val="a5"/>
      <w:jc w:val="right"/>
    </w:pPr>
    <w:fldSimple w:instr=" TITLE  \* MERGEFORMAT ">
      <w:r w:rsidR="006D6CCE">
        <w:t>CAT/C/TLS/CO/1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D193F"/>
    <w:multiLevelType w:val="multilevel"/>
    <w:tmpl w:val="6E68F270"/>
    <w:styleLink w:val="WWNum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D871FB"/>
    <w:multiLevelType w:val="multilevel"/>
    <w:tmpl w:val="F7587D12"/>
    <w:styleLink w:val="WWNum8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F4127D8"/>
    <w:multiLevelType w:val="multilevel"/>
    <w:tmpl w:val="694C0A2E"/>
    <w:styleLink w:val="WWNum2"/>
    <w:lvl w:ilvl="0">
      <w:numFmt w:val="bullet"/>
      <w:lvlText w:val="•"/>
      <w:lvlJc w:val="left"/>
      <w:pPr>
        <w:ind w:left="2268" w:hanging="17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1A9552A"/>
    <w:multiLevelType w:val="multilevel"/>
    <w:tmpl w:val="D7242B6A"/>
    <w:styleLink w:val="WWNum11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2355"/>
    <w:multiLevelType w:val="multilevel"/>
    <w:tmpl w:val="6CECF122"/>
    <w:styleLink w:val="WWNum1"/>
    <w:lvl w:ilvl="0">
      <w:numFmt w:val="bullet"/>
      <w:lvlText w:val="•"/>
      <w:lvlJc w:val="left"/>
      <w:pPr>
        <w:ind w:left="1701" w:hanging="17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D6176A6"/>
    <w:multiLevelType w:val="multilevel"/>
    <w:tmpl w:val="0AF8185E"/>
    <w:styleLink w:val="WWNum7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D7E08"/>
    <w:multiLevelType w:val="multilevel"/>
    <w:tmpl w:val="8B00EEA2"/>
    <w:styleLink w:val="WWNum6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8C82D97"/>
    <w:multiLevelType w:val="multilevel"/>
    <w:tmpl w:val="46048FA2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057364E"/>
    <w:multiLevelType w:val="multilevel"/>
    <w:tmpl w:val="10BC546C"/>
    <w:styleLink w:val="WWNum9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A7EF6"/>
    <w:multiLevelType w:val="multilevel"/>
    <w:tmpl w:val="F5FA0122"/>
    <w:styleLink w:val="WWNum13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E92177B"/>
    <w:multiLevelType w:val="multilevel"/>
    <w:tmpl w:val="FCDE5B7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10F213A"/>
    <w:multiLevelType w:val="multilevel"/>
    <w:tmpl w:val="B33207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761E2D67"/>
    <w:multiLevelType w:val="multilevel"/>
    <w:tmpl w:val="F91077BC"/>
    <w:styleLink w:val="WWNum1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78B7229"/>
    <w:multiLevelType w:val="multilevel"/>
    <w:tmpl w:val="D910CC9A"/>
    <w:styleLink w:val="WWNum3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11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8"/>
  </w:num>
  <w:num w:numId="18">
    <w:abstractNumId w:val="22"/>
  </w:num>
  <w:num w:numId="19">
    <w:abstractNumId w:val="29"/>
  </w:num>
  <w:num w:numId="20">
    <w:abstractNumId w:val="16"/>
  </w:num>
  <w:num w:numId="21">
    <w:abstractNumId w:val="13"/>
  </w:num>
  <w:num w:numId="22">
    <w:abstractNumId w:val="31"/>
  </w:num>
  <w:num w:numId="23">
    <w:abstractNumId w:val="21"/>
  </w:num>
  <w:num w:numId="24">
    <w:abstractNumId w:val="28"/>
  </w:num>
  <w:num w:numId="25">
    <w:abstractNumId w:val="19"/>
  </w:num>
  <w:num w:numId="26">
    <w:abstractNumId w:val="17"/>
  </w:num>
  <w:num w:numId="27">
    <w:abstractNumId w:val="12"/>
  </w:num>
  <w:num w:numId="28">
    <w:abstractNumId w:val="24"/>
  </w:num>
  <w:num w:numId="29">
    <w:abstractNumId w:val="10"/>
  </w:num>
  <w:num w:numId="30">
    <w:abstractNumId w:val="14"/>
  </w:num>
  <w:num w:numId="31">
    <w:abstractNumId w:val="30"/>
  </w:num>
  <w:num w:numId="32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A"/>
    <w:rsid w:val="00007AFC"/>
    <w:rsid w:val="00033EE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48AA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4C54C4"/>
    <w:rsid w:val="0050108D"/>
    <w:rsid w:val="00513081"/>
    <w:rsid w:val="00517901"/>
    <w:rsid w:val="00526683"/>
    <w:rsid w:val="00550706"/>
    <w:rsid w:val="005709E0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1E9B"/>
    <w:rsid w:val="006D461A"/>
    <w:rsid w:val="006D6CCE"/>
    <w:rsid w:val="006F35EE"/>
    <w:rsid w:val="006F5325"/>
    <w:rsid w:val="007021FF"/>
    <w:rsid w:val="00712895"/>
    <w:rsid w:val="00741D8D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0F81"/>
    <w:rsid w:val="009A24AC"/>
    <w:rsid w:val="009B354D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BF2539"/>
    <w:rsid w:val="00C106D6"/>
    <w:rsid w:val="00C23549"/>
    <w:rsid w:val="00C60F0C"/>
    <w:rsid w:val="00C805C9"/>
    <w:rsid w:val="00C92939"/>
    <w:rsid w:val="00CA1679"/>
    <w:rsid w:val="00CB151C"/>
    <w:rsid w:val="00CE5A1A"/>
    <w:rsid w:val="00CE6B76"/>
    <w:rsid w:val="00CF55F6"/>
    <w:rsid w:val="00D33D63"/>
    <w:rsid w:val="00D730EA"/>
    <w:rsid w:val="00D90028"/>
    <w:rsid w:val="00D90138"/>
    <w:rsid w:val="00DC6B32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267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FFEC9"/>
  <w15:docId w15:val="{5D253C89-D3DA-4678-A2B8-011093B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0">
    <w:name w:val="heading 1"/>
    <w:aliases w:val="Table_GR"/>
    <w:basedOn w:val="a"/>
    <w:next w:val="a"/>
    <w:link w:val="11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1">
    <w:name w:val="Заголовок 1 Знак"/>
    <w:aliases w:val="Table_GR Знак"/>
    <w:basedOn w:val="a0"/>
    <w:link w:val="10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unhideWhenUsed/>
    <w:rsid w:val="000814CD"/>
    <w:rPr>
      <w:color w:val="800080" w:themeColor="followedHyperlink"/>
      <w:u w:val="none"/>
    </w:rPr>
  </w:style>
  <w:style w:type="paragraph" w:customStyle="1" w:styleId="Standard">
    <w:name w:val="Standard"/>
    <w:rsid w:val="00007AFC"/>
    <w:pPr>
      <w:autoSpaceDN w:val="0"/>
      <w:spacing w:line="240" w:lineRule="atLeast"/>
      <w:textAlignment w:val="baseline"/>
    </w:pPr>
    <w:rPr>
      <w:spacing w:val="4"/>
      <w:w w:val="103"/>
      <w:kern w:val="3"/>
      <w:szCs w:val="22"/>
      <w:lang w:val="ru-RU" w:eastAsia="zh-CN"/>
    </w:rPr>
  </w:style>
  <w:style w:type="paragraph" w:customStyle="1" w:styleId="Heading">
    <w:name w:val="Heading"/>
    <w:basedOn w:val="Standard"/>
    <w:next w:val="Textbody"/>
    <w:rsid w:val="00007A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07AFC"/>
    <w:pPr>
      <w:spacing w:after="140" w:line="288" w:lineRule="auto"/>
    </w:pPr>
  </w:style>
  <w:style w:type="paragraph" w:styleId="af3">
    <w:name w:val="List"/>
    <w:basedOn w:val="Textbody"/>
    <w:rsid w:val="00007AFC"/>
    <w:rPr>
      <w:rFonts w:cs="Mangal"/>
      <w:sz w:val="24"/>
    </w:rPr>
  </w:style>
  <w:style w:type="paragraph" w:styleId="af4">
    <w:name w:val="caption"/>
    <w:basedOn w:val="Standard"/>
    <w:rsid w:val="00007A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07AFC"/>
    <w:pPr>
      <w:suppressLineNumbers/>
    </w:pPr>
    <w:rPr>
      <w:rFonts w:cs="Mangal"/>
      <w:sz w:val="24"/>
    </w:rPr>
  </w:style>
  <w:style w:type="paragraph" w:customStyle="1" w:styleId="hchg">
    <w:name w:val="hchg"/>
    <w:basedOn w:val="Standard"/>
    <w:rsid w:val="00007AFC"/>
    <w:pPr>
      <w:spacing w:before="280" w:after="280" w:line="240" w:lineRule="auto"/>
    </w:pPr>
    <w:rPr>
      <w:spacing w:val="0"/>
      <w:w w:val="100"/>
      <w:kern w:val="0"/>
      <w:sz w:val="24"/>
      <w:szCs w:val="24"/>
    </w:rPr>
  </w:style>
  <w:style w:type="paragraph" w:customStyle="1" w:styleId="singletxtg">
    <w:name w:val="singletxtg"/>
    <w:basedOn w:val="Standard"/>
    <w:rsid w:val="00007AFC"/>
    <w:pPr>
      <w:spacing w:before="280" w:after="280" w:line="240" w:lineRule="auto"/>
    </w:pPr>
    <w:rPr>
      <w:spacing w:val="0"/>
      <w:w w:val="100"/>
      <w:kern w:val="0"/>
      <w:sz w:val="24"/>
      <w:szCs w:val="24"/>
    </w:rPr>
  </w:style>
  <w:style w:type="paragraph" w:customStyle="1" w:styleId="h1g">
    <w:name w:val="h1g"/>
    <w:basedOn w:val="Standard"/>
    <w:rsid w:val="00007AFC"/>
    <w:pPr>
      <w:spacing w:before="280" w:after="280" w:line="240" w:lineRule="auto"/>
    </w:pPr>
    <w:rPr>
      <w:spacing w:val="0"/>
      <w:w w:val="100"/>
      <w:kern w:val="0"/>
      <w:sz w:val="24"/>
      <w:szCs w:val="24"/>
    </w:rPr>
  </w:style>
  <w:style w:type="paragraph" w:customStyle="1" w:styleId="h23g">
    <w:name w:val="h23g"/>
    <w:basedOn w:val="Standard"/>
    <w:rsid w:val="00007AFC"/>
    <w:pPr>
      <w:spacing w:before="280" w:after="280" w:line="240" w:lineRule="auto"/>
    </w:pPr>
    <w:rPr>
      <w:spacing w:val="0"/>
      <w:w w:val="100"/>
      <w:kern w:val="0"/>
      <w:sz w:val="24"/>
      <w:szCs w:val="24"/>
    </w:rPr>
  </w:style>
  <w:style w:type="paragraph" w:customStyle="1" w:styleId="Standarduser">
    <w:name w:val="Standard (user)"/>
    <w:rsid w:val="00007AFC"/>
    <w:pPr>
      <w:suppressAutoHyphens/>
      <w:autoSpaceDN w:val="0"/>
      <w:textAlignment w:val="baseline"/>
    </w:pPr>
    <w:rPr>
      <w:rFonts w:ascii="Calibri" w:eastAsia="SimSun" w:hAnsi="Calibri" w:cs="Tahoma"/>
      <w:color w:val="00000A"/>
      <w:kern w:val="3"/>
      <w:sz w:val="22"/>
      <w:szCs w:val="22"/>
      <w:lang w:val="ru-RU" w:eastAsia="zh-CN"/>
    </w:rPr>
  </w:style>
  <w:style w:type="paragraph" w:styleId="af5">
    <w:name w:val="annotation text"/>
    <w:basedOn w:val="Standard"/>
    <w:link w:val="af6"/>
    <w:rsid w:val="00007AFC"/>
    <w:pPr>
      <w:spacing w:line="240" w:lineRule="auto"/>
    </w:pPr>
    <w:rPr>
      <w:szCs w:val="20"/>
    </w:rPr>
  </w:style>
  <w:style w:type="character" w:customStyle="1" w:styleId="af6">
    <w:name w:val="Текст примечания Знак"/>
    <w:basedOn w:val="a0"/>
    <w:link w:val="af5"/>
    <w:rsid w:val="00007AFC"/>
    <w:rPr>
      <w:spacing w:val="4"/>
      <w:w w:val="103"/>
      <w:kern w:val="3"/>
      <w:lang w:val="ru-RU" w:eastAsia="zh-CN"/>
    </w:rPr>
  </w:style>
  <w:style w:type="paragraph" w:styleId="af7">
    <w:name w:val="annotation subject"/>
    <w:basedOn w:val="af5"/>
    <w:link w:val="af8"/>
    <w:rsid w:val="00007AFC"/>
    <w:rPr>
      <w:b/>
      <w:bCs/>
    </w:rPr>
  </w:style>
  <w:style w:type="character" w:customStyle="1" w:styleId="af8">
    <w:name w:val="Тема примечания Знак"/>
    <w:basedOn w:val="af6"/>
    <w:link w:val="af7"/>
    <w:rsid w:val="00007AFC"/>
    <w:rPr>
      <w:b/>
      <w:bCs/>
      <w:spacing w:val="4"/>
      <w:w w:val="103"/>
      <w:kern w:val="3"/>
      <w:lang w:val="ru-RU" w:eastAsia="zh-CN"/>
    </w:rPr>
  </w:style>
  <w:style w:type="paragraph" w:customStyle="1" w:styleId="Footnote">
    <w:name w:val="Footnote"/>
    <w:basedOn w:val="Standard"/>
    <w:rsid w:val="00007AFC"/>
  </w:style>
  <w:style w:type="character" w:customStyle="1" w:styleId="Internetlink">
    <w:name w:val="Internet link"/>
    <w:basedOn w:val="a0"/>
    <w:rsid w:val="00007AFC"/>
    <w:rPr>
      <w:color w:val="0000FF"/>
      <w:u w:val="none"/>
    </w:rPr>
  </w:style>
  <w:style w:type="character" w:styleId="af9">
    <w:name w:val="annotation reference"/>
    <w:basedOn w:val="a0"/>
    <w:rsid w:val="00007AFC"/>
    <w:rPr>
      <w:sz w:val="16"/>
      <w:szCs w:val="16"/>
    </w:rPr>
  </w:style>
  <w:style w:type="character" w:customStyle="1" w:styleId="ListLabel1">
    <w:name w:val="ListLabel 1"/>
    <w:rsid w:val="00007AFC"/>
    <w:rPr>
      <w:rFonts w:cs="Times New Roman"/>
    </w:rPr>
  </w:style>
  <w:style w:type="character" w:customStyle="1" w:styleId="ListLabel2">
    <w:name w:val="ListLabel 2"/>
    <w:rsid w:val="00007AFC"/>
    <w:rPr>
      <w:rFonts w:cs="Courier New"/>
    </w:rPr>
  </w:style>
  <w:style w:type="character" w:customStyle="1" w:styleId="ListLabel3">
    <w:name w:val="ListLabel 3"/>
    <w:rsid w:val="00007AFC"/>
    <w:rPr>
      <w:rFonts w:cs="Courier New"/>
    </w:rPr>
  </w:style>
  <w:style w:type="character" w:customStyle="1" w:styleId="ListLabel4">
    <w:name w:val="ListLabel 4"/>
    <w:rsid w:val="00007AFC"/>
    <w:rPr>
      <w:rFonts w:cs="Courier New"/>
    </w:rPr>
  </w:style>
  <w:style w:type="character" w:customStyle="1" w:styleId="ListLabel5">
    <w:name w:val="ListLabel 5"/>
    <w:rsid w:val="00007AFC"/>
    <w:rPr>
      <w:rFonts w:cs="Times New Roman"/>
    </w:rPr>
  </w:style>
  <w:style w:type="character" w:customStyle="1" w:styleId="ListLabel6">
    <w:name w:val="ListLabel 6"/>
    <w:rsid w:val="00007AFC"/>
    <w:rPr>
      <w:rFonts w:cs="Courier New"/>
    </w:rPr>
  </w:style>
  <w:style w:type="character" w:customStyle="1" w:styleId="ListLabel7">
    <w:name w:val="ListLabel 7"/>
    <w:rsid w:val="00007AFC"/>
    <w:rPr>
      <w:rFonts w:cs="Courier New"/>
    </w:rPr>
  </w:style>
  <w:style w:type="character" w:customStyle="1" w:styleId="ListLabel8">
    <w:name w:val="ListLabel 8"/>
    <w:rsid w:val="00007AFC"/>
    <w:rPr>
      <w:rFonts w:cs="Courier New"/>
    </w:rPr>
  </w:style>
  <w:style w:type="character" w:customStyle="1" w:styleId="FootnoteSymbol">
    <w:name w:val="Footnote Symbol"/>
    <w:rsid w:val="00007AFC"/>
  </w:style>
  <w:style w:type="character" w:customStyle="1" w:styleId="Footnoteanchor">
    <w:name w:val="Footnote anchor"/>
    <w:rsid w:val="00007AFC"/>
    <w:rPr>
      <w:position w:val="0"/>
      <w:vertAlign w:val="superscript"/>
    </w:rPr>
  </w:style>
  <w:style w:type="numbering" w:customStyle="1" w:styleId="1">
    <w:name w:val="Нет списка1"/>
    <w:basedOn w:val="a2"/>
    <w:rsid w:val="00007AFC"/>
    <w:pPr>
      <w:numPr>
        <w:numId w:val="19"/>
      </w:numPr>
    </w:pPr>
  </w:style>
  <w:style w:type="numbering" w:customStyle="1" w:styleId="WWNum1">
    <w:name w:val="WWNum1"/>
    <w:basedOn w:val="a2"/>
    <w:rsid w:val="00007AFC"/>
    <w:pPr>
      <w:numPr>
        <w:numId w:val="20"/>
      </w:numPr>
    </w:pPr>
  </w:style>
  <w:style w:type="numbering" w:customStyle="1" w:styleId="WWNum2">
    <w:name w:val="WWNum2"/>
    <w:basedOn w:val="a2"/>
    <w:rsid w:val="00007AFC"/>
    <w:pPr>
      <w:numPr>
        <w:numId w:val="21"/>
      </w:numPr>
    </w:pPr>
  </w:style>
  <w:style w:type="numbering" w:customStyle="1" w:styleId="WWNum3">
    <w:name w:val="WWNum3"/>
    <w:basedOn w:val="a2"/>
    <w:rsid w:val="00007AFC"/>
    <w:pPr>
      <w:numPr>
        <w:numId w:val="22"/>
      </w:numPr>
    </w:pPr>
  </w:style>
  <w:style w:type="numbering" w:customStyle="1" w:styleId="WWNum4">
    <w:name w:val="WWNum4"/>
    <w:basedOn w:val="a2"/>
    <w:rsid w:val="00007AFC"/>
    <w:pPr>
      <w:numPr>
        <w:numId w:val="23"/>
      </w:numPr>
    </w:pPr>
  </w:style>
  <w:style w:type="numbering" w:customStyle="1" w:styleId="WWNum5">
    <w:name w:val="WWNum5"/>
    <w:basedOn w:val="a2"/>
    <w:rsid w:val="00007AFC"/>
    <w:pPr>
      <w:numPr>
        <w:numId w:val="24"/>
      </w:numPr>
    </w:pPr>
  </w:style>
  <w:style w:type="numbering" w:customStyle="1" w:styleId="WWNum6">
    <w:name w:val="WWNum6"/>
    <w:basedOn w:val="a2"/>
    <w:rsid w:val="00007AFC"/>
    <w:pPr>
      <w:numPr>
        <w:numId w:val="25"/>
      </w:numPr>
    </w:pPr>
  </w:style>
  <w:style w:type="numbering" w:customStyle="1" w:styleId="WWNum7">
    <w:name w:val="WWNum7"/>
    <w:basedOn w:val="a2"/>
    <w:rsid w:val="00007AFC"/>
    <w:pPr>
      <w:numPr>
        <w:numId w:val="26"/>
      </w:numPr>
    </w:pPr>
  </w:style>
  <w:style w:type="numbering" w:customStyle="1" w:styleId="WWNum8">
    <w:name w:val="WWNum8"/>
    <w:basedOn w:val="a2"/>
    <w:rsid w:val="00007AFC"/>
    <w:pPr>
      <w:numPr>
        <w:numId w:val="27"/>
      </w:numPr>
    </w:pPr>
  </w:style>
  <w:style w:type="numbering" w:customStyle="1" w:styleId="WWNum9">
    <w:name w:val="WWNum9"/>
    <w:basedOn w:val="a2"/>
    <w:rsid w:val="00007AFC"/>
    <w:pPr>
      <w:numPr>
        <w:numId w:val="28"/>
      </w:numPr>
    </w:pPr>
  </w:style>
  <w:style w:type="numbering" w:customStyle="1" w:styleId="WWNum10">
    <w:name w:val="WWNum10"/>
    <w:basedOn w:val="a2"/>
    <w:rsid w:val="00007AFC"/>
    <w:pPr>
      <w:numPr>
        <w:numId w:val="29"/>
      </w:numPr>
    </w:pPr>
  </w:style>
  <w:style w:type="numbering" w:customStyle="1" w:styleId="WWNum11">
    <w:name w:val="WWNum11"/>
    <w:basedOn w:val="a2"/>
    <w:rsid w:val="00007AFC"/>
    <w:pPr>
      <w:numPr>
        <w:numId w:val="30"/>
      </w:numPr>
    </w:pPr>
  </w:style>
  <w:style w:type="numbering" w:customStyle="1" w:styleId="WWNum12">
    <w:name w:val="WWNum12"/>
    <w:basedOn w:val="a2"/>
    <w:rsid w:val="00007AFC"/>
    <w:pPr>
      <w:numPr>
        <w:numId w:val="31"/>
      </w:numPr>
    </w:pPr>
  </w:style>
  <w:style w:type="numbering" w:customStyle="1" w:styleId="WWNum13">
    <w:name w:val="WWNum13"/>
    <w:basedOn w:val="a2"/>
    <w:rsid w:val="00007AF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15</Pages>
  <Words>5817</Words>
  <Characters>41186</Characters>
  <Application>Microsoft Office Word</Application>
  <DocSecurity>0</DocSecurity>
  <Lines>761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CAT/C/TLS/CO/1</vt:lpstr>
      <vt:lpstr>A/</vt:lpstr>
    </vt:vector>
  </TitlesOfParts>
  <Company>DCM</Company>
  <LinksUpToDate>false</LinksUpToDate>
  <CharactersWithSpaces>46970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CAT/C/TLS/CO/1</dc:title>
  <dc:subject/>
  <dc:creator>Sharkina</dc:creator>
  <cp:keywords/>
  <cp:lastModifiedBy>Sharkina</cp:lastModifiedBy>
  <cp:revision>4</cp:revision>
  <cp:lastPrinted>2018-01-15T12:44:00Z</cp:lastPrinted>
  <dcterms:created xsi:type="dcterms:W3CDTF">2018-01-15T12:43:00Z</dcterms:created>
  <dcterms:modified xsi:type="dcterms:W3CDTF">2018-01-15T12:45:00Z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