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before="0" w:after="0"/>
        <w:jc w:val="left"/>
        <w:rPr>
          <w:rFonts w:hint="cs"/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.55pt;margin-top:-119.95pt;width:201.25pt;height:103.75pt;z-index:1;mso-position-horizontal-relative:page" filled="f" stroked="f">
            <o:lock v:ext="edit" aspectratio="t"/>
            <v:textbox style="mso-next-textbox:#_x0000_s2050" inset="0,0,0,0">
              <w:txbxContent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Cs w:val="22"/>
                      <w:lang w:eastAsia="en-US"/>
                    </w:rPr>
                    <w:t>Distr.</w:t>
                  </w: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lang w:val="en-GB" w:eastAsia="en-US"/>
                    </w:rPr>
                  </w:pPr>
                  <w:r>
                    <w:rPr>
                      <w:rFonts w:cs="Times New Roman"/>
                      <w:szCs w:val="22"/>
                      <w:lang w:val="en-GB" w:eastAsia="en-US"/>
                    </w:rPr>
                    <w:t>GENERAL</w:t>
                  </w: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lang w:eastAsia="en-US"/>
                    </w:rPr>
                  </w:pP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szCs w:val="22"/>
                      <w:lang w:eastAsia="en-US"/>
                    </w:rPr>
                  </w:pPr>
                  <w:r>
                    <w:fldChar w:fldCharType="begin"/>
                  </w:r>
                  <w:r>
                    <w:rPr>
                      <w:szCs w:val="22"/>
                      <w:lang w:eastAsia="en-US"/>
                    </w:rPr>
                    <w:instrText xml:space="preserve"> FILLIN  \* MERGEFORMAT </w:instrText>
                  </w:r>
                  <w:r>
                    <w:fldChar w:fldCharType="separate"/>
                  </w:r>
                  <w:r>
                    <w:rPr>
                      <w:szCs w:val="22"/>
                      <w:lang w:eastAsia="en-US"/>
                    </w:rPr>
                    <w:t>CCPR/CO/76/EGY/Add.3</w:t>
                  </w:r>
                  <w:r>
                    <w:rPr>
                      <w:szCs w:val="22"/>
                      <w:lang w:eastAsia="en-US"/>
                    </w:rPr>
                    <w:br/>
                    <w:t>18 November 2004</w:t>
                  </w:r>
                  <w:r>
                    <w:fldChar w:fldCharType="end"/>
                  </w: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lang w:eastAsia="en-US"/>
                    </w:rPr>
                  </w:pP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Cs w:val="22"/>
                      <w:lang w:eastAsia="en-US"/>
                    </w:rPr>
                    <w:t>ARABIC</w:t>
                  </w:r>
                </w:p>
                <w:p w:rsidR="00000000" w:rsidRDefault="00000000">
                  <w:pPr>
                    <w:bidi w:val="0"/>
                    <w:spacing w:before="0" w:after="0"/>
                    <w:jc w:val="left"/>
                    <w:rPr>
                      <w:rFonts w:cs="Times New Roman"/>
                      <w:szCs w:val="22"/>
                      <w:rtl/>
                      <w:lang w:eastAsia="en-US"/>
                    </w:rPr>
                  </w:pPr>
                  <w:r>
                    <w:rPr>
                      <w:rFonts w:cs="Times New Roman"/>
                      <w:szCs w:val="22"/>
                      <w:lang w:eastAsia="en-US"/>
                    </w:rPr>
                    <w:t>Original: ARABIC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hint="cs"/>
          <w:noProof/>
          <w:sz w:val="36"/>
          <w:szCs w:val="36"/>
          <w:rtl/>
          <w:lang w:val="ar-SA"/>
        </w:rPr>
        <w:t>اللجنة</w:t>
      </w:r>
      <w:r>
        <w:rPr>
          <w:sz w:val="36"/>
          <w:szCs w:val="36"/>
          <w:rtl/>
          <w:lang w:eastAsia="en-US"/>
        </w:rPr>
        <w:t xml:space="preserve"> </w:t>
      </w:r>
      <w:r>
        <w:rPr>
          <w:rFonts w:hint="cs"/>
          <w:sz w:val="36"/>
          <w:szCs w:val="36"/>
          <w:rtl/>
          <w:lang w:eastAsia="en-US"/>
        </w:rPr>
        <w:t>المعنية بحقوق الإنسان</w:t>
      </w:r>
    </w:p>
    <w:p w:rsidR="00000000" w:rsidRDefault="00000000">
      <w:pPr>
        <w:spacing w:before="0" w:after="0"/>
        <w:jc w:val="both"/>
        <w:rPr>
          <w:rFonts w:hint="cs"/>
          <w:rtl/>
        </w:rPr>
      </w:pPr>
    </w:p>
    <w:p w:rsidR="00000000" w:rsidRDefault="00000000">
      <w:pPr>
        <w:spacing w:before="0" w:after="0"/>
        <w:jc w:val="both"/>
        <w:rPr>
          <w:rFonts w:hint="cs"/>
          <w:rtl/>
        </w:rPr>
      </w:pPr>
    </w:p>
    <w:p w:rsidR="00000000" w:rsidRDefault="00000000">
      <w:pPr>
        <w:jc w:val="center"/>
        <w:rPr>
          <w:b/>
          <w:bCs/>
          <w:szCs w:val="36"/>
          <w:rtl/>
          <w:lang w:eastAsia="en-US"/>
        </w:rPr>
      </w:pPr>
      <w:r>
        <w:rPr>
          <w:rFonts w:hint="cs"/>
          <w:b/>
          <w:bCs/>
          <w:szCs w:val="36"/>
          <w:rtl/>
          <w:lang w:eastAsia="en-US"/>
        </w:rPr>
        <w:t>تعليقات حكومة مصر على الملاحظات الختامية</w:t>
      </w:r>
      <w:r>
        <w:rPr>
          <w:b/>
          <w:bCs/>
          <w:szCs w:val="36"/>
          <w:rtl/>
          <w:lang w:eastAsia="en-US"/>
        </w:rPr>
        <w:br/>
      </w:r>
      <w:r>
        <w:rPr>
          <w:rFonts w:hint="cs"/>
          <w:b/>
          <w:bCs/>
          <w:szCs w:val="36"/>
          <w:rtl/>
          <w:lang w:eastAsia="en-US"/>
        </w:rPr>
        <w:t>للجنة المعنية بحقوق الإنسان</w:t>
      </w:r>
    </w:p>
    <w:p w:rsidR="00000000" w:rsidRDefault="00000000">
      <w:pPr>
        <w:jc w:val="center"/>
        <w:rPr>
          <w:rFonts w:hint="cs"/>
          <w:b/>
          <w:bCs/>
          <w:szCs w:val="36"/>
          <w:rtl/>
          <w:lang w:eastAsia="en-US"/>
        </w:rPr>
      </w:pPr>
      <w:r>
        <w:rPr>
          <w:rFonts w:hint="cs"/>
          <w:b/>
          <w:bCs/>
          <w:szCs w:val="36"/>
          <w:rtl/>
          <w:lang w:eastAsia="en-US"/>
        </w:rPr>
        <w:t>مصر</w:t>
      </w:r>
    </w:p>
    <w:p w:rsidR="00000000" w:rsidRDefault="00000000">
      <w:pPr>
        <w:jc w:val="center"/>
        <w:rPr>
          <w:rFonts w:hint="cs"/>
          <w:b/>
          <w:bCs/>
          <w:szCs w:val="36"/>
          <w:rtl/>
          <w:lang w:eastAsia="en-US"/>
        </w:rPr>
      </w:pPr>
    </w:p>
    <w:p w:rsidR="00000000" w:rsidRDefault="00000000">
      <w:pPr>
        <w:jc w:val="center"/>
        <w:rPr>
          <w:rFonts w:hint="cs"/>
          <w:b/>
          <w:bCs/>
          <w:szCs w:val="36"/>
          <w:rtl/>
          <w:lang w:eastAsia="en-US"/>
        </w:rPr>
      </w:pPr>
    </w:p>
    <w:p w:rsidR="00000000" w:rsidRDefault="00000000">
      <w:pPr>
        <w:jc w:val="right"/>
        <w:rPr>
          <w:rtl/>
          <w:lang w:eastAsia="en-US"/>
        </w:rPr>
      </w:pPr>
      <w:r>
        <w:rPr>
          <w:rFonts w:hint="cs"/>
          <w:rtl/>
          <w:lang w:eastAsia="en-US"/>
        </w:rPr>
        <w:t>[21 تشرين الأول/أكتوبر 2004]</w:t>
      </w:r>
    </w:p>
    <w:p w:rsidR="00000000" w:rsidRDefault="00000000">
      <w:pPr>
        <w:jc w:val="center"/>
        <w:rPr>
          <w:rFonts w:hint="cs"/>
          <w:b/>
          <w:bCs/>
          <w:rtl/>
          <w:lang w:eastAsia="en-US"/>
        </w:rPr>
      </w:pPr>
      <w:r>
        <w:rPr>
          <w:rtl/>
          <w:lang w:eastAsia="en-US"/>
        </w:rPr>
        <w:br w:type="page"/>
      </w:r>
    </w:p>
    <w:p w:rsidR="00000000" w:rsidRDefault="00000000">
      <w:pPr>
        <w:jc w:val="center"/>
        <w:rPr>
          <w:rFonts w:hint="cs"/>
          <w:b/>
          <w:bCs/>
          <w:rtl/>
          <w:lang w:eastAsia="en-US"/>
        </w:rPr>
      </w:pPr>
    </w:p>
    <w:p w:rsidR="00000000" w:rsidRDefault="00000000">
      <w:pPr>
        <w:jc w:val="center"/>
        <w:rPr>
          <w:rFonts w:hint="cs"/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ما يتعلق</w:t>
      </w:r>
    </w:p>
    <w:p w:rsidR="00000000" w:rsidRDefault="00000000">
      <w:pPr>
        <w:jc w:val="center"/>
        <w:rPr>
          <w:rFonts w:hint="cs"/>
          <w:b/>
          <w:bCs/>
          <w:sz w:val="38"/>
          <w:szCs w:val="36"/>
          <w:rtl/>
          <w:lang w:eastAsia="en-US"/>
        </w:rPr>
      </w:pPr>
      <w:r>
        <w:rPr>
          <w:rFonts w:hint="cs"/>
          <w:b/>
          <w:bCs/>
          <w:sz w:val="38"/>
          <w:szCs w:val="36"/>
          <w:rtl/>
          <w:lang w:eastAsia="en-US"/>
        </w:rPr>
        <w:t>بمعاملة المواطنين المصريين المتهمين</w:t>
      </w:r>
      <w:r>
        <w:rPr>
          <w:b/>
          <w:bCs/>
          <w:sz w:val="38"/>
          <w:szCs w:val="36"/>
          <w:rtl/>
          <w:lang w:eastAsia="en-US"/>
        </w:rPr>
        <w:br/>
      </w:r>
      <w:r>
        <w:rPr>
          <w:rFonts w:hint="cs"/>
          <w:b/>
          <w:bCs/>
          <w:sz w:val="38"/>
          <w:szCs w:val="36"/>
          <w:rtl/>
          <w:lang w:eastAsia="en-US"/>
        </w:rPr>
        <w:t>بممارسة الإرهاب في الخارج الذين تم ترحيلهم إلى مصر</w:t>
      </w:r>
    </w:p>
    <w:p w:rsidR="00000000" w:rsidRDefault="00000000">
      <w:pPr>
        <w:jc w:val="center"/>
        <w:rPr>
          <w:rFonts w:hint="cs"/>
          <w:b/>
          <w:bCs/>
          <w:sz w:val="38"/>
          <w:szCs w:val="36"/>
          <w:rtl/>
          <w:lang w:eastAsia="en-US"/>
        </w:rPr>
      </w:pPr>
      <w:r>
        <w:rPr>
          <w:rFonts w:hint="cs"/>
          <w:b/>
          <w:bCs/>
          <w:sz w:val="38"/>
          <w:szCs w:val="36"/>
          <w:rtl/>
          <w:lang w:eastAsia="en-US"/>
        </w:rPr>
        <w:t xml:space="preserve">(الفقرة </w:t>
      </w:r>
      <w:r>
        <w:rPr>
          <w:b/>
          <w:bCs/>
          <w:sz w:val="28"/>
          <w:szCs w:val="36"/>
          <w:lang w:eastAsia="en-US"/>
        </w:rPr>
        <w:t>16 C</w:t>
      </w:r>
      <w:r>
        <w:rPr>
          <w:rFonts w:hint="cs"/>
          <w:b/>
          <w:bCs/>
          <w:sz w:val="38"/>
          <w:szCs w:val="36"/>
          <w:rtl/>
          <w:lang w:eastAsia="en-US"/>
        </w:rPr>
        <w:t xml:space="preserve"> من ملاحظات اللجنة)</w:t>
      </w:r>
    </w:p>
    <w:p w:rsidR="00000000" w:rsidRDefault="00000000">
      <w:pPr>
        <w:jc w:val="center"/>
        <w:rPr>
          <w:rFonts w:hint="cs"/>
          <w:b/>
          <w:bCs/>
          <w:sz w:val="38"/>
          <w:szCs w:val="36"/>
          <w:rtl/>
          <w:lang w:eastAsia="en-US"/>
        </w:rPr>
      </w:pPr>
    </w:p>
    <w:p w:rsidR="00000000" w:rsidRDefault="00000000">
      <w:pPr>
        <w:jc w:val="both"/>
        <w:rPr>
          <w:rFonts w:hint="cs"/>
          <w:sz w:val="38"/>
          <w:rtl/>
          <w:lang w:eastAsia="en-US"/>
        </w:rPr>
      </w:pPr>
      <w:r>
        <w:rPr>
          <w:rFonts w:hint="cs"/>
          <w:sz w:val="38"/>
          <w:szCs w:val="36"/>
          <w:rtl/>
          <w:lang w:eastAsia="en-US"/>
        </w:rPr>
        <w:tab/>
      </w:r>
      <w:r>
        <w:rPr>
          <w:rFonts w:hint="cs"/>
          <w:sz w:val="38"/>
          <w:rtl/>
          <w:lang w:eastAsia="en-US"/>
        </w:rPr>
        <w:t>أفادت السلطات المعنية بما يلي:</w:t>
      </w:r>
    </w:p>
    <w:p w:rsidR="00000000" w:rsidRDefault="00000000">
      <w:pPr>
        <w:ind w:left="720" w:hanging="720"/>
        <w:jc w:val="both"/>
        <w:rPr>
          <w:rFonts w:hint="cs"/>
          <w:sz w:val="38"/>
          <w:rtl/>
          <w:lang w:eastAsia="en-US"/>
        </w:rPr>
      </w:pPr>
      <w:r>
        <w:rPr>
          <w:rFonts w:hint="cs"/>
          <w:sz w:val="38"/>
          <w:rtl/>
          <w:lang w:eastAsia="en-US"/>
        </w:rPr>
        <w:t>1-</w:t>
      </w:r>
      <w:r>
        <w:rPr>
          <w:rFonts w:hint="cs"/>
          <w:sz w:val="38"/>
          <w:rtl/>
          <w:lang w:eastAsia="en-US"/>
        </w:rPr>
        <w:tab/>
        <w:t>أن التعامل مع العناصر الذين استعيدوا من الخارج كان في إطار الشرعية والإجراءات القانونية حيث تم عرضهم مباشرة على النيابات المتخصصة فور وصولهم إلى البلاد.</w:t>
      </w:r>
    </w:p>
    <w:p w:rsidR="00000000" w:rsidRDefault="00000000">
      <w:pPr>
        <w:ind w:left="720" w:hanging="720"/>
        <w:jc w:val="both"/>
        <w:rPr>
          <w:rFonts w:hint="cs"/>
          <w:sz w:val="38"/>
          <w:rtl/>
          <w:lang w:eastAsia="en-US"/>
        </w:rPr>
      </w:pPr>
      <w:r>
        <w:rPr>
          <w:rFonts w:hint="cs"/>
          <w:sz w:val="38"/>
          <w:rtl/>
          <w:lang w:eastAsia="en-US"/>
        </w:rPr>
        <w:t>2-</w:t>
      </w:r>
      <w:r>
        <w:rPr>
          <w:rFonts w:hint="cs"/>
          <w:sz w:val="38"/>
          <w:rtl/>
          <w:lang w:eastAsia="en-US"/>
        </w:rPr>
        <w:tab/>
        <w:t>وأن أياً من المذكورين لم يتقدم بأي شكاوى من سوء المعاملة حيث يسمح القانون المصري لهم بذلك سواء لدى إدارة السجن أو النيابة العامة.</w:t>
      </w:r>
    </w:p>
    <w:p w:rsidR="00000000" w:rsidRDefault="00000000">
      <w:pPr>
        <w:jc w:val="center"/>
        <w:rPr>
          <w:rFonts w:hint="cs"/>
          <w:sz w:val="38"/>
          <w:rtl/>
          <w:lang w:eastAsia="en-US"/>
        </w:rPr>
      </w:pPr>
      <w:r>
        <w:rPr>
          <w:rFonts w:hint="cs"/>
          <w:sz w:val="38"/>
          <w:rtl/>
          <w:lang w:eastAsia="en-US"/>
        </w:rPr>
        <w:t>- - - - -</w:t>
      </w:r>
    </w:p>
    <w:sectPr w:rsidR="00000000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984" w:left="850" w:header="567" w:footer="1417" w:gutter="0"/>
      <w:cols w:space="720"/>
      <w:formProt w:val="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BBC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GE.04-44646    081204    081204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2771"/>
    </w:tblGrid>
    <w:tr w:rsidR="004F4BBC" w:rsidTr="004F4BBC">
      <w:tblPrEx>
        <w:tblCellMar>
          <w:top w:w="0" w:type="dxa"/>
          <w:bottom w:w="0" w:type="dxa"/>
        </w:tblCellMar>
      </w:tblPrEx>
      <w:tc>
        <w:tcPr>
          <w:tcW w:w="2771" w:type="dxa"/>
        </w:tcPr>
        <w:p w:rsidR="00000000" w:rsidRDefault="004F4BBC">
          <w:pPr>
            <w:pStyle w:val="Header"/>
            <w:bidi w:val="0"/>
          </w:pPr>
          <w:r>
            <w:t>CCPR/CO/76/EGY/Add.3</w:t>
          </w:r>
        </w:p>
        <w:p w:rsidR="00000000" w:rsidRDefault="004F4BBC">
          <w:pPr>
            <w:pStyle w:val="Header"/>
            <w:bidi w:val="0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4F4BBC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BBC">
    <w:pPr>
      <w:pStyle w:val="Header"/>
      <w:bidi w:val="0"/>
      <w:jc w:val="center"/>
    </w:pPr>
    <w:r>
      <w:t>-</w:t>
    </w:r>
    <w:r>
      <w:rPr>
        <w:rFonts w:hint="cs"/>
        <w:rtl/>
      </w:rPr>
      <w:t>2</w:t>
    </w: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BBC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CCPR</w:t>
    </w:r>
  </w:p>
  <w:p w:rsidR="00000000" w:rsidRDefault="004F4BBC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000000" w:rsidRDefault="004F4BBC">
    <w:pPr>
      <w:pStyle w:val="Header"/>
      <w:bidi w:val="0"/>
      <w:rPr>
        <w:rtl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3267360" r:id="rId2"/>
      </w:pict>
    </w:r>
  </w:p>
  <w:p w:rsidR="00000000" w:rsidRDefault="004F4BBC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56.3pt;margin-top:2.25pt;width:173.4pt;height:95.2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000000" w:rsidRDefault="004F4BBC">
                <w:pPr>
                  <w:spacing w:before="0" w:after="0" w:line="640" w:lineRule="exact"/>
                  <w:jc w:val="left"/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العهـد الدولي الخاص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br/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>بالحقــوق المدنيـة</w:t>
                </w:r>
                <w:r>
                  <w:rPr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pacing w:val="0"/>
                    <w:sz w:val="56"/>
                    <w:szCs w:val="56"/>
                    <w:rtl/>
                  </w:rPr>
                  <w:t xml:space="preserve"> والسياسية</w:t>
                </w:r>
              </w:p>
            </w:txbxContent>
          </v:textbox>
          <w10:wrap type="tight" anchorx="page"/>
        </v:shape>
      </w:pict>
    </w:r>
  </w:p>
  <w:p w:rsidR="00000000" w:rsidRDefault="004F4BBC">
    <w:pPr>
      <w:pStyle w:val="Header"/>
      <w:bidi w:val="0"/>
      <w:rPr>
        <w:szCs w:val="22"/>
        <w:lang w:eastAsia="en-US"/>
      </w:rPr>
    </w:pPr>
  </w:p>
  <w:p w:rsidR="00000000" w:rsidRDefault="004F4BBC">
    <w:pPr>
      <w:pStyle w:val="Header"/>
      <w:bidi w:val="0"/>
      <w:rPr>
        <w:szCs w:val="22"/>
        <w:lang w:eastAsia="en-US"/>
      </w:rPr>
    </w:pPr>
  </w:p>
  <w:p w:rsidR="00000000" w:rsidRDefault="004F4BBC">
    <w:pPr>
      <w:pStyle w:val="Header"/>
      <w:bidi w:val="0"/>
      <w:rPr>
        <w:szCs w:val="22"/>
        <w:lang w:eastAsia="en-US"/>
      </w:rPr>
    </w:pPr>
  </w:p>
  <w:p w:rsidR="00000000" w:rsidRDefault="004F4BBC">
    <w:pPr>
      <w:pStyle w:val="Header"/>
      <w:bidi w:val="0"/>
      <w:rPr>
        <w:szCs w:val="22"/>
        <w:lang w:eastAsia="en-US"/>
      </w:rPr>
    </w:pPr>
  </w:p>
  <w:p w:rsidR="00000000" w:rsidRDefault="004F4BBC">
    <w:pPr>
      <w:pStyle w:val="Header"/>
      <w:bidi w:val="0"/>
      <w:rPr>
        <w:rtl/>
        <w:lang w:eastAsia="en-US"/>
      </w:rPr>
    </w:pPr>
  </w:p>
  <w:p w:rsidR="00000000" w:rsidRDefault="004F4BBC">
    <w:pPr>
      <w:pStyle w:val="Header"/>
      <w:bidi w:val="0"/>
      <w:rPr>
        <w:rtl/>
        <w:lang w:eastAsia="en-US"/>
      </w:rPr>
    </w:pPr>
  </w:p>
  <w:p w:rsidR="00000000" w:rsidRDefault="004F4BBC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86D17A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>
    <w:nsid w:val="FFFFFF7F"/>
    <w:multiLevelType w:val="singleLevel"/>
    <w:tmpl w:val="71BEECD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2">
    <w:nsid w:val="FFFFFF88"/>
    <w:multiLevelType w:val="singleLevel"/>
    <w:tmpl w:val="A156D0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3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4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righ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righ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606499D"/>
    <w:multiLevelType w:val="hybridMultilevel"/>
    <w:tmpl w:val="AEF43330"/>
    <w:lvl w:ilvl="0" w:tplc="08AAB484">
      <w:start w:val="1"/>
      <w:numFmt w:val="decimal"/>
      <w:lvlText w:val="%1-"/>
      <w:lvlJc w:val="left"/>
      <w:pPr>
        <w:tabs>
          <w:tab w:val="num" w:pos="360"/>
        </w:tabs>
        <w:ind w:left="0" w:right="0" w:firstLine="0"/>
      </w:pPr>
      <w:rPr>
        <w:rFonts w:hint="default"/>
        <w:effect w:val="antsRed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A9751ED"/>
    <w:multiLevelType w:val="hybridMultilevel"/>
    <w:tmpl w:val="4D4E38C0"/>
    <w:lvl w:ilvl="0" w:tplc="8B804F94">
      <w:start w:val="1"/>
      <w:numFmt w:val="arabicAbjad"/>
      <w:lvlText w:val="(%1)"/>
      <w:lvlJc w:val="left"/>
      <w:pPr>
        <w:tabs>
          <w:tab w:val="num" w:pos="720"/>
        </w:tabs>
        <w:ind w:left="720" w:right="72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3"/>
  </w:num>
  <w:num w:numId="50">
    <w:abstractNumId w:val="3"/>
  </w:num>
  <w:num w:numId="51">
    <w:abstractNumId w:val="3"/>
  </w:num>
  <w:num w:numId="52">
    <w:abstractNumId w:val="8"/>
  </w:num>
  <w:num w:numId="53">
    <w:abstractNumId w:val="8"/>
  </w:num>
  <w:num w:numId="54">
    <w:abstractNumId w:val="7"/>
  </w:num>
  <w:num w:numId="55">
    <w:abstractNumId w:val="11"/>
  </w:num>
  <w:num w:numId="56">
    <w:abstractNumId w:val="11"/>
  </w:num>
  <w:num w:numId="57">
    <w:abstractNumId w:val="11"/>
  </w:num>
  <w:num w:numId="58">
    <w:abstractNumId w:val="3"/>
  </w:num>
  <w:num w:numId="59">
    <w:abstractNumId w:val="6"/>
  </w:num>
  <w:num w:numId="60">
    <w:abstractNumId w:val="6"/>
  </w:num>
  <w:num w:numId="61">
    <w:abstractNumId w:val="9"/>
  </w:num>
  <w:num w:numId="62">
    <w:abstractNumId w:val="9"/>
  </w:num>
  <w:num w:numId="63">
    <w:abstractNumId w:val="9"/>
  </w:num>
  <w:num w:numId="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evenAndOddHeaders/>
  <w:drawingGridHorizontalSpacing w:val="113"/>
  <w:drawingGridVerticalSpacing w:val="299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4"/>
      </w:numPr>
      <w:tabs>
        <w:tab w:val="clear" w:pos="737"/>
      </w:tabs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9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53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semiHidden/>
    <w:pPr>
      <w:numPr>
        <w:numId w:val="58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60"/>
      </w:numPr>
      <w:jc w:val="both"/>
    </w:pPr>
  </w:style>
  <w:style w:type="paragraph" w:customStyle="1" w:styleId="-">
    <w:name w:val="(و) -"/>
    <w:basedOn w:val="Normal"/>
    <w:pPr>
      <w:numPr>
        <w:numId w:val="54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64"/>
      </w:numPr>
      <w:jc w:val="both"/>
    </w:pPr>
    <w:rPr>
      <w:sz w:val="21"/>
      <w:szCs w:val="28"/>
    </w:rPr>
  </w:style>
  <w:style w:type="paragraph" w:styleId="Footer">
    <w:name w:val="footer"/>
    <w:basedOn w:val="Normal"/>
    <w:semiHidden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63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semiHidden/>
    <w:pPr>
      <w:spacing w:before="0" w:after="0"/>
      <w:jc w:val="both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MPLATEX\FINALX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2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سحر</dc:creator>
  <cp:keywords/>
  <dc:description/>
  <cp:lastModifiedBy>سحر</cp:lastModifiedBy>
  <cp:revision>2</cp:revision>
  <cp:lastPrinted>2004-12-08T15:25:00Z</cp:lastPrinted>
  <dcterms:created xsi:type="dcterms:W3CDTF">2004-12-08T15:25:00Z</dcterms:created>
  <dcterms:modified xsi:type="dcterms:W3CDTF">2004-12-08T15:25:00Z</dcterms:modified>
</cp:coreProperties>
</file>