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1390" w:rsidRPr="006C5DE7" w:rsidTr="00915E94">
        <w:trPr>
          <w:trHeight w:hRule="exact" w:val="851"/>
        </w:trPr>
        <w:tc>
          <w:tcPr>
            <w:tcW w:w="1276" w:type="dxa"/>
            <w:tcBorders>
              <w:bottom w:val="single" w:sz="4" w:space="0" w:color="auto"/>
            </w:tcBorders>
          </w:tcPr>
          <w:p w:rsidR="00001390" w:rsidRPr="00DB58B5" w:rsidRDefault="00001390" w:rsidP="00915E94">
            <w:bookmarkStart w:id="0" w:name="_GoBack"/>
            <w:bookmarkEnd w:id="0"/>
          </w:p>
        </w:tc>
        <w:tc>
          <w:tcPr>
            <w:tcW w:w="2268" w:type="dxa"/>
            <w:tcBorders>
              <w:bottom w:val="single" w:sz="4" w:space="0" w:color="auto"/>
            </w:tcBorders>
            <w:vAlign w:val="bottom"/>
          </w:tcPr>
          <w:p w:rsidR="00001390" w:rsidRPr="00DB58B5" w:rsidRDefault="00001390" w:rsidP="00915E9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01390" w:rsidRPr="00C12B5C" w:rsidRDefault="00C12B5C" w:rsidP="00C12B5C">
            <w:pPr>
              <w:jc w:val="right"/>
              <w:rPr>
                <w:lang w:val="en-GB"/>
              </w:rPr>
            </w:pPr>
            <w:r w:rsidRPr="00C12B5C">
              <w:rPr>
                <w:sz w:val="40"/>
                <w:lang w:val="en-GB"/>
              </w:rPr>
              <w:t>CERD</w:t>
            </w:r>
            <w:r>
              <w:rPr>
                <w:lang w:val="en-GB"/>
              </w:rPr>
              <w:t>/C/RWA/CO/18-20</w:t>
            </w:r>
          </w:p>
        </w:tc>
      </w:tr>
      <w:tr w:rsidR="00001390" w:rsidRPr="00DB58B5" w:rsidTr="00915E94">
        <w:trPr>
          <w:trHeight w:hRule="exact" w:val="2835"/>
        </w:trPr>
        <w:tc>
          <w:tcPr>
            <w:tcW w:w="1276" w:type="dxa"/>
            <w:tcBorders>
              <w:top w:val="single" w:sz="4" w:space="0" w:color="auto"/>
              <w:bottom w:val="single" w:sz="12" w:space="0" w:color="auto"/>
            </w:tcBorders>
          </w:tcPr>
          <w:p w:rsidR="00001390" w:rsidRPr="00DB58B5" w:rsidRDefault="00A209E8" w:rsidP="00915E94">
            <w:pPr>
              <w:spacing w:before="120"/>
              <w:jc w:val="center"/>
            </w:pPr>
            <w:r>
              <w:rPr>
                <w:noProof/>
                <w:lang w:eastAsia="fr-CH"/>
              </w:rPr>
              <w:drawing>
                <wp:inline distT="0" distB="0" distL="0" distR="0" wp14:anchorId="1B170A60" wp14:editId="5DF5CB75">
                  <wp:extent cx="713105"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01390" w:rsidRPr="00740562" w:rsidRDefault="00001390" w:rsidP="00915E94">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001390" w:rsidRDefault="00001390" w:rsidP="00915E94">
            <w:pPr>
              <w:spacing w:before="240"/>
            </w:pPr>
            <w:r>
              <w:t xml:space="preserve">Distr. </w:t>
            </w:r>
            <w:r w:rsidR="00751C3F">
              <w:t>général</w:t>
            </w:r>
            <w:r w:rsidR="003B4B31">
              <w:t>e</w:t>
            </w:r>
          </w:p>
          <w:p w:rsidR="00001390" w:rsidRPr="00085E4E" w:rsidRDefault="007D79BA" w:rsidP="00915E94">
            <w:pPr>
              <w:suppressAutoHyphens w:val="0"/>
            </w:pPr>
            <w:r>
              <w:t>10</w:t>
            </w:r>
            <w:r w:rsidR="00D0252D">
              <w:t xml:space="preserve"> juin</w:t>
            </w:r>
            <w:r w:rsidR="000852B9">
              <w:t xml:space="preserve"> </w:t>
            </w:r>
            <w:r w:rsidR="00945167" w:rsidRPr="00085E4E">
              <w:t>201</w:t>
            </w:r>
            <w:r w:rsidR="00071CE6">
              <w:t>6</w:t>
            </w:r>
          </w:p>
          <w:p w:rsidR="00001390" w:rsidRPr="0083009C" w:rsidRDefault="00001390" w:rsidP="00915E94">
            <w:pPr>
              <w:suppressAutoHyphens w:val="0"/>
            </w:pPr>
          </w:p>
          <w:p w:rsidR="00001390" w:rsidRDefault="00001390" w:rsidP="00945167">
            <w:r w:rsidRPr="0083009C">
              <w:t>Original</w:t>
            </w:r>
            <w:r w:rsidR="007F16A9">
              <w:t> </w:t>
            </w:r>
            <w:r w:rsidRPr="0083009C">
              <w:t xml:space="preserve">: </w:t>
            </w:r>
            <w:r w:rsidR="00E06098">
              <w:t>f</w:t>
            </w:r>
            <w:r w:rsidR="00945167">
              <w:t>rançais</w:t>
            </w:r>
          </w:p>
          <w:p w:rsidR="00085E4E" w:rsidRPr="00DB58B5" w:rsidRDefault="00085E4E" w:rsidP="00085E4E"/>
        </w:tc>
      </w:tr>
    </w:tbl>
    <w:p w:rsidR="00001390" w:rsidRPr="00C56102" w:rsidRDefault="00001390" w:rsidP="00001390">
      <w:pPr>
        <w:spacing w:before="120"/>
        <w:rPr>
          <w:b/>
          <w:sz w:val="24"/>
          <w:szCs w:val="24"/>
        </w:rPr>
      </w:pPr>
      <w:r w:rsidRPr="00C56102">
        <w:rPr>
          <w:b/>
          <w:sz w:val="24"/>
          <w:szCs w:val="24"/>
        </w:rPr>
        <w:t>Comité pour l’élimination de la discrimination raciale</w:t>
      </w:r>
    </w:p>
    <w:p w:rsidR="00E30726" w:rsidRPr="00E30726" w:rsidRDefault="00001390" w:rsidP="009C33CA">
      <w:pPr>
        <w:pStyle w:val="HChG"/>
      </w:pPr>
      <w:r w:rsidRPr="001F3FDF">
        <w:tab/>
      </w:r>
      <w:r>
        <w:tab/>
      </w:r>
      <w:r w:rsidRPr="000D2D65">
        <w:t xml:space="preserve">Observations finales concernant </w:t>
      </w:r>
      <w:r>
        <w:t>le</w:t>
      </w:r>
      <w:r w:rsidR="00071CE6">
        <w:t>s</w:t>
      </w:r>
      <w:r>
        <w:t xml:space="preserve"> </w:t>
      </w:r>
      <w:r w:rsidR="00071CE6">
        <w:rPr>
          <w:lang w:val="fr-FR"/>
        </w:rPr>
        <w:t xml:space="preserve">dix-huitième </w:t>
      </w:r>
      <w:r w:rsidR="003B4B31">
        <w:rPr>
          <w:lang w:val="fr-FR"/>
        </w:rPr>
        <w:t>à</w:t>
      </w:r>
      <w:r w:rsidR="00071CE6" w:rsidRPr="005B14B0">
        <w:rPr>
          <w:lang w:val="fr-FR"/>
        </w:rPr>
        <w:t xml:space="preserve"> vingt</w:t>
      </w:r>
      <w:r w:rsidR="00071CE6">
        <w:rPr>
          <w:lang w:val="fr-FR"/>
        </w:rPr>
        <w:t>ième</w:t>
      </w:r>
      <w:r w:rsidR="00071CE6" w:rsidRPr="005B14B0">
        <w:rPr>
          <w:lang w:val="fr-FR"/>
        </w:rPr>
        <w:t xml:space="preserve"> </w:t>
      </w:r>
      <w:r w:rsidRPr="000D2D65">
        <w:t>rapport</w:t>
      </w:r>
      <w:r w:rsidR="00945167">
        <w:t>s</w:t>
      </w:r>
      <w:r w:rsidRPr="000D2D65">
        <w:t xml:space="preserve"> périodique</w:t>
      </w:r>
      <w:r w:rsidR="00945167">
        <w:t>s</w:t>
      </w:r>
      <w:r>
        <w:rPr>
          <w:rFonts w:ascii="Times New Roman Bold" w:hAnsi="Times New Roman Bold"/>
        </w:rPr>
        <w:t xml:space="preserve"> d</w:t>
      </w:r>
      <w:r w:rsidR="0039136C">
        <w:rPr>
          <w:rFonts w:ascii="Times New Roman Bold" w:hAnsi="Times New Roman Bold"/>
        </w:rPr>
        <w:t>u</w:t>
      </w:r>
      <w:r>
        <w:rPr>
          <w:rFonts w:ascii="Times New Roman Bold" w:hAnsi="Times New Roman Bold"/>
        </w:rPr>
        <w:t xml:space="preserve"> </w:t>
      </w:r>
      <w:r w:rsidR="00071CE6">
        <w:rPr>
          <w:rFonts w:ascii="Times New Roman Bold" w:hAnsi="Times New Roman Bold"/>
        </w:rPr>
        <w:t>Rwanda</w:t>
      </w:r>
      <w:r w:rsidR="00751C3F" w:rsidRPr="009C33CA">
        <w:rPr>
          <w:rStyle w:val="Appelnotedebasdep"/>
          <w:bCs/>
          <w:sz w:val="20"/>
          <w:vertAlign w:val="baseline"/>
        </w:rPr>
        <w:footnoteReference w:customMarkFollows="1" w:id="2"/>
        <w:t>*</w:t>
      </w:r>
      <w:r w:rsidR="003B4B31" w:rsidRPr="009C33CA">
        <w:rPr>
          <w:b w:val="0"/>
          <w:bCs/>
          <w:sz w:val="20"/>
        </w:rPr>
        <w:t xml:space="preserve"> </w:t>
      </w:r>
    </w:p>
    <w:p w:rsidR="00071CE6" w:rsidRDefault="00E518E0" w:rsidP="00E518E0">
      <w:pPr>
        <w:pStyle w:val="SingleTxtG"/>
      </w:pPr>
      <w:r>
        <w:t>1.</w:t>
      </w:r>
      <w:r>
        <w:tab/>
      </w:r>
      <w:r w:rsidR="00E30726" w:rsidRPr="00E30726">
        <w:t xml:space="preserve">Le Comité a examiné les </w:t>
      </w:r>
      <w:r w:rsidR="00E30726">
        <w:t xml:space="preserve">dix-huitième </w:t>
      </w:r>
      <w:r w:rsidR="00E30726" w:rsidRPr="00E30726">
        <w:t xml:space="preserve">à </w:t>
      </w:r>
      <w:r w:rsidR="00E30726">
        <w:t>ving</w:t>
      </w:r>
      <w:r w:rsidR="00E30726" w:rsidRPr="00E30726">
        <w:t>tième rapports périodiques d</w:t>
      </w:r>
      <w:r w:rsidR="00E30726">
        <w:t>u Rwanda</w:t>
      </w:r>
      <w:r w:rsidR="00E30726" w:rsidRPr="00E30726">
        <w:t xml:space="preserve"> (CERD/C/</w:t>
      </w:r>
      <w:r w:rsidR="00E30726">
        <w:t>RWA/18-20</w:t>
      </w:r>
      <w:r w:rsidR="00E30726" w:rsidRPr="00E30726">
        <w:t xml:space="preserve">), soumis en un seul document, à ses </w:t>
      </w:r>
      <w:r w:rsidR="00E30726" w:rsidRPr="00470444">
        <w:t>2428</w:t>
      </w:r>
      <w:r w:rsidR="00E30726" w:rsidRPr="009C33CA">
        <w:rPr>
          <w:vertAlign w:val="superscript"/>
        </w:rPr>
        <w:t>e</w:t>
      </w:r>
      <w:r w:rsidR="00E30726" w:rsidRPr="009C33CA">
        <w:t xml:space="preserve"> et 2429</w:t>
      </w:r>
      <w:r w:rsidR="00E30726" w:rsidRPr="009C33CA">
        <w:rPr>
          <w:vertAlign w:val="superscript"/>
        </w:rPr>
        <w:t>e</w:t>
      </w:r>
      <w:r w:rsidR="00E30726" w:rsidRPr="009C33CA">
        <w:t xml:space="preserve"> séances</w:t>
      </w:r>
      <w:r w:rsidR="00E30726" w:rsidRPr="00E30726">
        <w:t xml:space="preserve"> (voir CERD/C/SR.2</w:t>
      </w:r>
      <w:r w:rsidR="00E30726">
        <w:t>428</w:t>
      </w:r>
      <w:r w:rsidR="00E30726" w:rsidRPr="00E30726">
        <w:t xml:space="preserve"> et 24</w:t>
      </w:r>
      <w:r w:rsidR="00E30726">
        <w:t>29</w:t>
      </w:r>
      <w:r w:rsidR="00E30726" w:rsidRPr="00E30726">
        <w:t>), le</w:t>
      </w:r>
      <w:r w:rsidR="00E30726">
        <w:t>s</w:t>
      </w:r>
      <w:r w:rsidR="00E30726" w:rsidRPr="00E30726">
        <w:t xml:space="preserve"> </w:t>
      </w:r>
      <w:r w:rsidR="00E30726">
        <w:t xml:space="preserve">28 et 29 avril </w:t>
      </w:r>
      <w:r w:rsidR="00E30726" w:rsidRPr="00E30726">
        <w:t>201</w:t>
      </w:r>
      <w:r w:rsidR="00E30726">
        <w:t>6</w:t>
      </w:r>
      <w:r w:rsidR="00E30726" w:rsidRPr="00E30726">
        <w:t>. À s</w:t>
      </w:r>
      <w:r w:rsidR="0082252C">
        <w:t xml:space="preserve">a </w:t>
      </w:r>
      <w:r w:rsidR="0082252C" w:rsidRPr="00470444">
        <w:t>2441</w:t>
      </w:r>
      <w:r w:rsidR="0082252C" w:rsidRPr="009C33CA">
        <w:rPr>
          <w:vertAlign w:val="superscript"/>
        </w:rPr>
        <w:t>e</w:t>
      </w:r>
      <w:r w:rsidR="0082252C" w:rsidRPr="00470444">
        <w:t xml:space="preserve"> </w:t>
      </w:r>
      <w:r w:rsidR="00E30726" w:rsidRPr="00470444">
        <w:t>séance</w:t>
      </w:r>
      <w:r w:rsidR="00E30726" w:rsidRPr="00E30726">
        <w:t xml:space="preserve">, le </w:t>
      </w:r>
      <w:r w:rsidR="0082252C">
        <w:t xml:space="preserve">10 </w:t>
      </w:r>
      <w:r w:rsidR="00E30726">
        <w:t>mai</w:t>
      </w:r>
      <w:r w:rsidR="00E30726" w:rsidRPr="00E30726">
        <w:t xml:space="preserve"> 201</w:t>
      </w:r>
      <w:r w:rsidR="00E30726">
        <w:t>6</w:t>
      </w:r>
      <w:r w:rsidR="00E30726" w:rsidRPr="00E30726">
        <w:t xml:space="preserve">, il a adopté les présentes observations finales. </w:t>
      </w:r>
    </w:p>
    <w:p w:rsidR="00E30726" w:rsidRDefault="00E30726" w:rsidP="00E30726">
      <w:pPr>
        <w:pStyle w:val="H1G"/>
      </w:pPr>
      <w:r w:rsidRPr="00C03AC7">
        <w:tab/>
        <w:t>A.</w:t>
      </w:r>
      <w:r w:rsidRPr="00C03AC7">
        <w:tab/>
        <w:t xml:space="preserve">Introduction </w:t>
      </w:r>
    </w:p>
    <w:p w:rsidR="00E30726" w:rsidRPr="00711825" w:rsidRDefault="00E518E0" w:rsidP="00E518E0">
      <w:pPr>
        <w:pStyle w:val="SingleTxtG"/>
      </w:pPr>
      <w:r w:rsidRPr="00711825">
        <w:t>2.</w:t>
      </w:r>
      <w:r w:rsidRPr="00711825">
        <w:tab/>
      </w:r>
      <w:r w:rsidR="00E30726" w:rsidRPr="00E30726">
        <w:t>Le Comité accueille avec satisfaction</w:t>
      </w:r>
      <w:r w:rsidR="00711825">
        <w:t xml:space="preserve"> </w:t>
      </w:r>
      <w:r w:rsidR="00711825" w:rsidRPr="00E30726">
        <w:t xml:space="preserve">les </w:t>
      </w:r>
      <w:r w:rsidR="00711825">
        <w:t xml:space="preserve">dix-huitième </w:t>
      </w:r>
      <w:r w:rsidR="00711825" w:rsidRPr="00E30726">
        <w:t xml:space="preserve">à </w:t>
      </w:r>
      <w:r w:rsidR="00711825">
        <w:t>ving</w:t>
      </w:r>
      <w:r w:rsidR="00711825" w:rsidRPr="00E30726">
        <w:t>tième</w:t>
      </w:r>
      <w:r w:rsidR="00E30726" w:rsidRPr="00E30726">
        <w:t xml:space="preserve"> rapports périodiques de l’État partie, soumis en un seul document, qui comprennent des réponses aux préoccupations soulevées par le Comité dans ses précédentes observations finales. Le Comité apprécie la régularité avec laquelle l’État partie soumet ses rapports et se félicite du dialogue constructif et ouvert qu’il a eu avec la délégation de l’État partie. </w:t>
      </w:r>
    </w:p>
    <w:p w:rsidR="00711825" w:rsidRDefault="000852B9" w:rsidP="000852B9">
      <w:pPr>
        <w:pStyle w:val="H1G"/>
      </w:pPr>
      <w:r>
        <w:tab/>
      </w:r>
      <w:r w:rsidR="00711825">
        <w:t>B.</w:t>
      </w:r>
      <w:r>
        <w:tab/>
      </w:r>
      <w:r w:rsidR="00711825">
        <w:t>Mesures positives</w:t>
      </w:r>
    </w:p>
    <w:p w:rsidR="00711825" w:rsidRDefault="00E518E0" w:rsidP="00E518E0">
      <w:pPr>
        <w:pStyle w:val="SingleTxtG"/>
      </w:pPr>
      <w:r>
        <w:t>3.</w:t>
      </w:r>
      <w:r>
        <w:tab/>
      </w:r>
      <w:r w:rsidR="00711825" w:rsidRPr="00711825">
        <w:t>Le Comité salue les mesures législatives et politiques ci-après prises par l’État partie</w:t>
      </w:r>
      <w:r w:rsidR="00617F03">
        <w:t> </w:t>
      </w:r>
      <w:r w:rsidR="00711825" w:rsidRPr="00711825">
        <w:t xml:space="preserve">: </w:t>
      </w:r>
    </w:p>
    <w:p w:rsidR="00711825" w:rsidRDefault="00065151" w:rsidP="009C33CA">
      <w:pPr>
        <w:pStyle w:val="SingleTxtG"/>
        <w:ind w:firstLine="567"/>
      </w:pPr>
      <w:r>
        <w:t>a)</w:t>
      </w:r>
      <w:r>
        <w:tab/>
      </w:r>
      <w:r w:rsidR="00191C53">
        <w:t>La loi n</w:t>
      </w:r>
      <w:r w:rsidR="007F16A9" w:rsidRPr="009C33CA">
        <w:rPr>
          <w:vertAlign w:val="superscript"/>
        </w:rPr>
        <w:t>o</w:t>
      </w:r>
      <w:r w:rsidR="007F16A9">
        <w:t> </w:t>
      </w:r>
      <w:r w:rsidR="00191C53">
        <w:t>54/2011 du 14 décembre 2011 relative aux droits et à la protection de l’enfant</w:t>
      </w:r>
      <w:r w:rsidR="00617F03">
        <w:t> </w:t>
      </w:r>
      <w:r w:rsidR="00191C53">
        <w:t>;</w:t>
      </w:r>
    </w:p>
    <w:p w:rsidR="00711825" w:rsidRDefault="00065151" w:rsidP="009C33CA">
      <w:pPr>
        <w:pStyle w:val="SingleTxtG"/>
        <w:ind w:firstLine="567"/>
      </w:pPr>
      <w:r>
        <w:t>b)</w:t>
      </w:r>
      <w:r>
        <w:tab/>
      </w:r>
      <w:r w:rsidR="00191C53">
        <w:t xml:space="preserve">La loi </w:t>
      </w:r>
      <w:r w:rsidR="007F16A9">
        <w:t>n</w:t>
      </w:r>
      <w:r w:rsidR="007F16A9" w:rsidRPr="00523A38">
        <w:rPr>
          <w:vertAlign w:val="superscript"/>
        </w:rPr>
        <w:t>o</w:t>
      </w:r>
      <w:r w:rsidR="007F16A9">
        <w:t> </w:t>
      </w:r>
      <w:r w:rsidR="00191C53">
        <w:t>04/2012 du 17 février 2012 portant organisation et fonctionnement des organisations non gouvern</w:t>
      </w:r>
      <w:r w:rsidR="00D65955">
        <w:t>e</w:t>
      </w:r>
      <w:r w:rsidR="00191C53">
        <w:t>mentales</w:t>
      </w:r>
      <w:r w:rsidR="00617F03">
        <w:t> </w:t>
      </w:r>
      <w:r w:rsidR="00191C53">
        <w:t>;</w:t>
      </w:r>
    </w:p>
    <w:p w:rsidR="00711825" w:rsidRDefault="00065151" w:rsidP="009C33CA">
      <w:pPr>
        <w:pStyle w:val="SingleTxtG"/>
        <w:ind w:firstLine="567"/>
      </w:pPr>
      <w:r>
        <w:t>c)</w:t>
      </w:r>
      <w:r>
        <w:tab/>
      </w:r>
      <w:r w:rsidR="00191C53">
        <w:t xml:space="preserve">La loi </w:t>
      </w:r>
      <w:r w:rsidR="007F16A9">
        <w:t>n</w:t>
      </w:r>
      <w:r w:rsidR="007F16A9" w:rsidRPr="00523A38">
        <w:rPr>
          <w:vertAlign w:val="superscript"/>
        </w:rPr>
        <w:t>o</w:t>
      </w:r>
      <w:r w:rsidR="007F16A9">
        <w:t> </w:t>
      </w:r>
      <w:r w:rsidR="00191C53">
        <w:t>19/2013 du 25 mars 2013 qui consolide l’autonomie de la Commission nationale des droits de l’homme</w:t>
      </w:r>
      <w:r w:rsidR="00617F03">
        <w:t> </w:t>
      </w:r>
      <w:r w:rsidR="00191C53">
        <w:t>;</w:t>
      </w:r>
    </w:p>
    <w:p w:rsidR="001549F0" w:rsidRDefault="00065151" w:rsidP="009C33CA">
      <w:pPr>
        <w:pStyle w:val="SingleTxtG"/>
        <w:ind w:firstLine="567"/>
      </w:pPr>
      <w:r>
        <w:t>d)</w:t>
      </w:r>
      <w:r>
        <w:tab/>
      </w:r>
      <w:r w:rsidR="001549F0">
        <w:t xml:space="preserve">La loi </w:t>
      </w:r>
      <w:r w:rsidR="007F16A9">
        <w:t>n</w:t>
      </w:r>
      <w:r w:rsidR="007F16A9" w:rsidRPr="00523A38">
        <w:rPr>
          <w:vertAlign w:val="superscript"/>
        </w:rPr>
        <w:t>o</w:t>
      </w:r>
      <w:r w:rsidR="007F16A9">
        <w:t> </w:t>
      </w:r>
      <w:r w:rsidR="001549F0">
        <w:t>13</w:t>
      </w:r>
      <w:r w:rsidR="001549F0" w:rsidRPr="009C33CA">
        <w:rPr>
          <w:i/>
          <w:iCs/>
        </w:rPr>
        <w:t>ter</w:t>
      </w:r>
      <w:r w:rsidR="001549F0">
        <w:t>/2014 du 21 mai 2014 sur les réfugiés ;</w:t>
      </w:r>
    </w:p>
    <w:p w:rsidR="00711825" w:rsidRDefault="00065151" w:rsidP="009C33CA">
      <w:pPr>
        <w:pStyle w:val="SingleTxtG"/>
        <w:ind w:firstLine="567"/>
      </w:pPr>
      <w:r>
        <w:t>e)</w:t>
      </w:r>
      <w:r>
        <w:tab/>
      </w:r>
      <w:r w:rsidR="00191C53">
        <w:t>Le programme Vision 2020.</w:t>
      </w:r>
    </w:p>
    <w:p w:rsidR="00D65955" w:rsidRDefault="00E518E0" w:rsidP="00E518E0">
      <w:pPr>
        <w:pStyle w:val="SingleTxtG"/>
      </w:pPr>
      <w:r>
        <w:t>4.</w:t>
      </w:r>
      <w:r>
        <w:tab/>
      </w:r>
      <w:r w:rsidR="00191C53" w:rsidRPr="00D65955">
        <w:t>Le Comité note avec satisfaction l’accession par l’</w:t>
      </w:r>
      <w:r w:rsidR="007F16A9" w:rsidRPr="00D65955">
        <w:t>État</w:t>
      </w:r>
      <w:r w:rsidR="00191C53" w:rsidRPr="00D65955">
        <w:t xml:space="preserve"> partie</w:t>
      </w:r>
      <w:r w:rsidR="00D65955">
        <w:t xml:space="preserve">, le 30 juin 2015, au </w:t>
      </w:r>
      <w:r w:rsidR="00191C53" w:rsidRPr="00D65955">
        <w:t xml:space="preserve">Protocole facultatif </w:t>
      </w:r>
      <w:r w:rsidR="008026B9">
        <w:t xml:space="preserve">se rapportant </w:t>
      </w:r>
      <w:r w:rsidR="00191C53" w:rsidRPr="00D65955">
        <w:t xml:space="preserve">à la Convention contre la torture et </w:t>
      </w:r>
      <w:r w:rsidR="0035773E">
        <w:t xml:space="preserve">autres peines ou </w:t>
      </w:r>
      <w:r w:rsidR="00191C53" w:rsidRPr="00D65955">
        <w:t>traitements cruels, inhumains ou dégradants</w:t>
      </w:r>
      <w:r w:rsidR="00B1080A">
        <w:t>.</w:t>
      </w:r>
    </w:p>
    <w:p w:rsidR="00191C53" w:rsidRPr="00D65955" w:rsidRDefault="00E518E0" w:rsidP="00E518E0">
      <w:pPr>
        <w:pStyle w:val="SingleTxtG"/>
      </w:pPr>
      <w:r w:rsidRPr="00D65955">
        <w:lastRenderedPageBreak/>
        <w:t>5.</w:t>
      </w:r>
      <w:r w:rsidRPr="00D65955">
        <w:tab/>
      </w:r>
      <w:r w:rsidR="00191C53" w:rsidRPr="00D65955">
        <w:t>Le Comité note également avec satisfaction l’accueil par l’</w:t>
      </w:r>
      <w:r w:rsidR="00BE3778" w:rsidRPr="00D65955">
        <w:t>État</w:t>
      </w:r>
      <w:r w:rsidR="00191C53" w:rsidRPr="00D65955">
        <w:t xml:space="preserve"> partie d’un nombre important de réfugiés (140</w:t>
      </w:r>
      <w:r w:rsidR="00BE3778">
        <w:t> </w:t>
      </w:r>
      <w:r w:rsidR="00191C53" w:rsidRPr="00D65955">
        <w:t xml:space="preserve">000) et le fait que celui-ci ait octroyé une reconnaissance </w:t>
      </w:r>
      <w:r w:rsidR="00191C53" w:rsidRPr="002B6C28">
        <w:rPr>
          <w:i/>
        </w:rPr>
        <w:t>prima facie</w:t>
      </w:r>
      <w:r w:rsidR="00191C53" w:rsidRPr="00D65955">
        <w:t xml:space="preserve"> du statut de réfugié à tous les demandeurs d’a</w:t>
      </w:r>
      <w:r w:rsidR="00D65955">
        <w:t>s</w:t>
      </w:r>
      <w:r w:rsidR="00191C53" w:rsidRPr="00D65955">
        <w:t>ile burundais.</w:t>
      </w:r>
      <w:r w:rsidR="00D65955">
        <w:t xml:space="preserve"> Il souligne également les résultats économiques obtenus par l’</w:t>
      </w:r>
      <w:r w:rsidR="00BE3778">
        <w:t>État</w:t>
      </w:r>
      <w:r w:rsidR="00D65955">
        <w:t xml:space="preserve"> partie</w:t>
      </w:r>
      <w:r w:rsidR="00655291">
        <w:t xml:space="preserve"> dans plusieurs domaines</w:t>
      </w:r>
      <w:r w:rsidR="008723BC">
        <w:t>,</w:t>
      </w:r>
      <w:r w:rsidR="001549F0">
        <w:t xml:space="preserve"> </w:t>
      </w:r>
      <w:r w:rsidR="008723BC">
        <w:t xml:space="preserve">dont </w:t>
      </w:r>
      <w:r w:rsidR="001549F0">
        <w:t>l’éducation et la santé</w:t>
      </w:r>
      <w:r w:rsidR="0035773E">
        <w:t>,</w:t>
      </w:r>
      <w:r w:rsidR="00D65955">
        <w:t xml:space="preserve"> qui devraient favoriser la jouissance, sans discrimination, des droits prévus par la Convention.</w:t>
      </w:r>
    </w:p>
    <w:p w:rsidR="00711825" w:rsidRDefault="00B1080A" w:rsidP="00B1080A">
      <w:pPr>
        <w:pStyle w:val="H1G"/>
      </w:pPr>
      <w:r>
        <w:tab/>
      </w:r>
      <w:r w:rsidR="00711825">
        <w:t>C.</w:t>
      </w:r>
      <w:r>
        <w:tab/>
      </w:r>
      <w:r w:rsidR="00711825">
        <w:t>Préoccupations et recommandations</w:t>
      </w:r>
    </w:p>
    <w:p w:rsidR="00711825" w:rsidRDefault="00B1080A" w:rsidP="00B1080A">
      <w:pPr>
        <w:pStyle w:val="H23G"/>
      </w:pPr>
      <w:r>
        <w:tab/>
      </w:r>
      <w:r>
        <w:tab/>
      </w:r>
      <w:r w:rsidR="00711825">
        <w:t>Définition de la</w:t>
      </w:r>
      <w:r w:rsidR="00711825" w:rsidRPr="00711825">
        <w:t xml:space="preserve"> discrimination </w:t>
      </w:r>
    </w:p>
    <w:p w:rsidR="008357B3" w:rsidRDefault="00E518E0" w:rsidP="00E518E0">
      <w:pPr>
        <w:pStyle w:val="SingleTxtG"/>
      </w:pPr>
      <w:r>
        <w:t>6.</w:t>
      </w:r>
      <w:r>
        <w:tab/>
      </w:r>
      <w:r w:rsidR="008357B3">
        <w:t xml:space="preserve">Le Comité </w:t>
      </w:r>
      <w:r w:rsidR="00D65955">
        <w:t xml:space="preserve">réitère sa </w:t>
      </w:r>
      <w:r w:rsidR="00B075C5">
        <w:t>préoccupation</w:t>
      </w:r>
      <w:r w:rsidR="008357B3">
        <w:t xml:space="preserve"> que l’article 1</w:t>
      </w:r>
      <w:r w:rsidR="00D167A0">
        <w:t>6</w:t>
      </w:r>
      <w:r w:rsidR="008357B3">
        <w:t xml:space="preserve"> de la Constitution de l’</w:t>
      </w:r>
      <w:r w:rsidR="00BE3778">
        <w:t>État</w:t>
      </w:r>
      <w:r w:rsidR="008357B3">
        <w:t xml:space="preserve"> partie ne comporte pas </w:t>
      </w:r>
      <w:r w:rsidR="00A926AE">
        <w:t xml:space="preserve">de </w:t>
      </w:r>
      <w:r w:rsidR="008357B3">
        <w:t xml:space="preserve">définition de la discrimination raciale prévoyant tous les différents critères </w:t>
      </w:r>
      <w:r w:rsidR="00B075C5">
        <w:t xml:space="preserve">ainsi que les </w:t>
      </w:r>
      <w:r w:rsidR="008357B3">
        <w:t xml:space="preserve">motifs </w:t>
      </w:r>
      <w:r w:rsidR="007A58BF">
        <w:t>d’origine nationale et d’ascendance</w:t>
      </w:r>
      <w:r w:rsidR="00D65955">
        <w:t xml:space="preserve">, tel que prévu </w:t>
      </w:r>
      <w:r w:rsidR="008357B3">
        <w:t>à l’articl</w:t>
      </w:r>
      <w:r w:rsidR="007A58BF">
        <w:t>e premier</w:t>
      </w:r>
      <w:r w:rsidR="008357B3">
        <w:t xml:space="preserve"> de la Convention (art.</w:t>
      </w:r>
      <w:r w:rsidR="00ED69E2">
        <w:t> </w:t>
      </w:r>
      <w:r w:rsidR="008357B3">
        <w:t>1).</w:t>
      </w:r>
    </w:p>
    <w:p w:rsidR="008357B3" w:rsidRPr="007B54DC" w:rsidRDefault="00E518E0" w:rsidP="00E518E0">
      <w:pPr>
        <w:pStyle w:val="SingleTxtG"/>
      </w:pPr>
      <w:r w:rsidRPr="007B54DC">
        <w:t>7.</w:t>
      </w:r>
      <w:r w:rsidRPr="007B54DC">
        <w:tab/>
      </w:r>
      <w:r w:rsidR="008357B3" w:rsidRPr="008357B3">
        <w:rPr>
          <w:b/>
          <w:bCs/>
        </w:rPr>
        <w:t>Le Comité recommande à l’État partie d’inclure</w:t>
      </w:r>
      <w:r w:rsidR="00A926AE">
        <w:rPr>
          <w:b/>
          <w:bCs/>
        </w:rPr>
        <w:t>,</w:t>
      </w:r>
      <w:r w:rsidR="008357B3" w:rsidRPr="008357B3">
        <w:rPr>
          <w:b/>
          <w:bCs/>
        </w:rPr>
        <w:t xml:space="preserve"> </w:t>
      </w:r>
      <w:r w:rsidR="008357B3">
        <w:rPr>
          <w:b/>
          <w:bCs/>
        </w:rPr>
        <w:t>à l’article</w:t>
      </w:r>
      <w:r w:rsidR="00BE3778">
        <w:rPr>
          <w:b/>
          <w:bCs/>
        </w:rPr>
        <w:t> </w:t>
      </w:r>
      <w:r w:rsidR="008357B3">
        <w:rPr>
          <w:b/>
          <w:bCs/>
        </w:rPr>
        <w:t>1</w:t>
      </w:r>
      <w:r w:rsidR="00D167A0">
        <w:rPr>
          <w:b/>
          <w:bCs/>
        </w:rPr>
        <w:t>6</w:t>
      </w:r>
      <w:r w:rsidR="008357B3">
        <w:rPr>
          <w:b/>
          <w:bCs/>
        </w:rPr>
        <w:t xml:space="preserve"> de sa Constitution</w:t>
      </w:r>
      <w:r w:rsidR="0082252C">
        <w:rPr>
          <w:b/>
          <w:bCs/>
        </w:rPr>
        <w:t xml:space="preserve"> ainsi que dans sa législation nationale</w:t>
      </w:r>
      <w:r w:rsidR="008357B3">
        <w:rPr>
          <w:b/>
          <w:bCs/>
        </w:rPr>
        <w:t xml:space="preserve">, </w:t>
      </w:r>
      <w:r w:rsidR="00B075C5">
        <w:rPr>
          <w:b/>
          <w:bCs/>
        </w:rPr>
        <w:t xml:space="preserve">une </w:t>
      </w:r>
      <w:r w:rsidR="008357B3" w:rsidRPr="008357B3">
        <w:rPr>
          <w:b/>
          <w:bCs/>
        </w:rPr>
        <w:t xml:space="preserve">définition de la discrimination raciale </w:t>
      </w:r>
      <w:r w:rsidR="008357B3">
        <w:rPr>
          <w:b/>
          <w:bCs/>
        </w:rPr>
        <w:t>qui comporte tous les critères</w:t>
      </w:r>
      <w:r w:rsidR="00B075C5">
        <w:rPr>
          <w:b/>
          <w:bCs/>
        </w:rPr>
        <w:t xml:space="preserve"> </w:t>
      </w:r>
      <w:r w:rsidR="007A58BF">
        <w:rPr>
          <w:b/>
          <w:bCs/>
        </w:rPr>
        <w:t>et motifs</w:t>
      </w:r>
      <w:r w:rsidR="008357B3">
        <w:rPr>
          <w:b/>
          <w:bCs/>
        </w:rPr>
        <w:t xml:space="preserve"> </w:t>
      </w:r>
      <w:r w:rsidR="007A58BF">
        <w:rPr>
          <w:b/>
          <w:bCs/>
        </w:rPr>
        <w:t xml:space="preserve">de discrimination </w:t>
      </w:r>
      <w:r w:rsidR="00D65955">
        <w:rPr>
          <w:b/>
          <w:bCs/>
        </w:rPr>
        <w:t>prévus</w:t>
      </w:r>
      <w:r w:rsidR="008357B3" w:rsidRPr="008357B3">
        <w:rPr>
          <w:b/>
          <w:bCs/>
        </w:rPr>
        <w:t xml:space="preserve"> à l’article premier de la Convention. </w:t>
      </w:r>
    </w:p>
    <w:p w:rsidR="008F6A4D" w:rsidRPr="007B54DC" w:rsidRDefault="00B1080A" w:rsidP="00B1080A">
      <w:pPr>
        <w:pStyle w:val="H23G"/>
      </w:pPr>
      <w:r>
        <w:tab/>
      </w:r>
      <w:r>
        <w:tab/>
      </w:r>
      <w:r w:rsidR="007B54DC" w:rsidRPr="007B54DC">
        <w:t>Distinction fondée sur la nationalité</w:t>
      </w:r>
    </w:p>
    <w:p w:rsidR="007B54DC" w:rsidRDefault="00E518E0" w:rsidP="00E518E0">
      <w:pPr>
        <w:pStyle w:val="SingleTxtG"/>
      </w:pPr>
      <w:r>
        <w:t>8.</w:t>
      </w:r>
      <w:r>
        <w:tab/>
      </w:r>
      <w:r w:rsidR="008F6A4D">
        <w:t xml:space="preserve">Le Comité </w:t>
      </w:r>
      <w:r w:rsidR="001549F0">
        <w:t>s’inquiète de la distinction faite par l’</w:t>
      </w:r>
      <w:r w:rsidR="00BE3778">
        <w:t>État</w:t>
      </w:r>
      <w:r w:rsidR="001549F0">
        <w:t xml:space="preserve"> partie dans son dernier recensement </w:t>
      </w:r>
      <w:r w:rsidR="007B54DC">
        <w:t xml:space="preserve">de la population </w:t>
      </w:r>
      <w:r w:rsidR="001549F0">
        <w:t xml:space="preserve">entre Rwandais </w:t>
      </w:r>
      <w:r w:rsidR="007B54DC">
        <w:t>et Rwandais ayant une double nationalité. Le Comité est préoccupé par le fait qu’une telle distinction p</w:t>
      </w:r>
      <w:r w:rsidR="0082252C">
        <w:t>ourrait</w:t>
      </w:r>
      <w:r w:rsidR="007B54DC">
        <w:t xml:space="preserve"> donner lieu à des pratiques discriminatoires contraires à la Convention (art</w:t>
      </w:r>
      <w:r w:rsidR="00BE3778">
        <w:t>. </w:t>
      </w:r>
      <w:r w:rsidR="007B54DC">
        <w:t>1, 2).</w:t>
      </w:r>
    </w:p>
    <w:p w:rsidR="007B54DC" w:rsidRPr="007B54DC" w:rsidRDefault="00E518E0" w:rsidP="00E518E0">
      <w:pPr>
        <w:pStyle w:val="SingleTxtG"/>
        <w:rPr>
          <w:b/>
        </w:rPr>
      </w:pPr>
      <w:r w:rsidRPr="007B54DC">
        <w:t>9.</w:t>
      </w:r>
      <w:r w:rsidRPr="007B54DC">
        <w:tab/>
      </w:r>
      <w:r w:rsidR="007B54DC" w:rsidRPr="007B54DC">
        <w:rPr>
          <w:b/>
        </w:rPr>
        <w:t>Le Comité recommande à l’</w:t>
      </w:r>
      <w:r w:rsidR="00BE3778" w:rsidRPr="007B54DC">
        <w:rPr>
          <w:b/>
        </w:rPr>
        <w:t>État</w:t>
      </w:r>
      <w:r w:rsidR="007B54DC" w:rsidRPr="007B54DC">
        <w:rPr>
          <w:b/>
        </w:rPr>
        <w:t xml:space="preserve"> partie de prendre des mesures afin de s’assurer que cette distinction entre Rwandais ne </w:t>
      </w:r>
      <w:r w:rsidR="00AB7B25">
        <w:rPr>
          <w:b/>
        </w:rPr>
        <w:t xml:space="preserve">conduit </w:t>
      </w:r>
      <w:r w:rsidR="007B54DC" w:rsidRPr="007B54DC">
        <w:rPr>
          <w:b/>
        </w:rPr>
        <w:t>pas à des actes ou pratiques discriminatoires dans la jouissance des droits prévus par la Convention.</w:t>
      </w:r>
    </w:p>
    <w:p w:rsidR="008D5C88" w:rsidRDefault="00B1080A" w:rsidP="00B1080A">
      <w:pPr>
        <w:pStyle w:val="H23G"/>
      </w:pPr>
      <w:r>
        <w:tab/>
      </w:r>
      <w:r>
        <w:tab/>
      </w:r>
      <w:r w:rsidR="00A431A5">
        <w:t>Fourniture des données</w:t>
      </w:r>
    </w:p>
    <w:p w:rsidR="00A431A5" w:rsidRPr="002B6C28" w:rsidRDefault="00E518E0" w:rsidP="00E518E0">
      <w:pPr>
        <w:pStyle w:val="SingleTxtG"/>
        <w:rPr>
          <w:lang w:eastAsia="en-GB"/>
        </w:rPr>
      </w:pPr>
      <w:r w:rsidRPr="002B6C28">
        <w:rPr>
          <w:lang w:eastAsia="en-GB"/>
        </w:rPr>
        <w:t>10.</w:t>
      </w:r>
      <w:r w:rsidRPr="002B6C28">
        <w:rPr>
          <w:lang w:eastAsia="en-GB"/>
        </w:rPr>
        <w:tab/>
      </w:r>
      <w:r w:rsidR="00A431A5" w:rsidRPr="002B6C28">
        <w:rPr>
          <w:lang w:eastAsia="en-GB"/>
        </w:rPr>
        <w:t>Le Comité prend note des explications fournies dans le rapport de l’</w:t>
      </w:r>
      <w:r w:rsidR="00BE3778" w:rsidRPr="002B6C28">
        <w:rPr>
          <w:lang w:eastAsia="en-GB"/>
        </w:rPr>
        <w:t>État</w:t>
      </w:r>
      <w:r w:rsidR="00A431A5" w:rsidRPr="002B6C28">
        <w:rPr>
          <w:lang w:eastAsia="en-GB"/>
        </w:rPr>
        <w:t xml:space="preserve"> partie </w:t>
      </w:r>
      <w:r w:rsidR="00D65955" w:rsidRPr="002B6C28">
        <w:rPr>
          <w:lang w:eastAsia="en-GB"/>
        </w:rPr>
        <w:t xml:space="preserve">sur les raisons </w:t>
      </w:r>
      <w:r w:rsidR="00B075C5" w:rsidRPr="002B6C28">
        <w:rPr>
          <w:lang w:eastAsia="en-GB"/>
        </w:rPr>
        <w:t>qui l’empêchent de collecter les données renvoyant à l’appartenance ethnique des personnes composant sa population</w:t>
      </w:r>
      <w:r w:rsidR="00D65955" w:rsidRPr="002B6C28">
        <w:rPr>
          <w:lang w:eastAsia="en-GB"/>
        </w:rPr>
        <w:t>,</w:t>
      </w:r>
      <w:r w:rsidR="00B075C5" w:rsidRPr="002B6C28">
        <w:rPr>
          <w:lang w:eastAsia="en-GB"/>
        </w:rPr>
        <w:t xml:space="preserve"> notamment</w:t>
      </w:r>
      <w:r w:rsidR="00D65955" w:rsidRPr="002B6C28">
        <w:rPr>
          <w:lang w:eastAsia="en-GB"/>
        </w:rPr>
        <w:t xml:space="preserve"> </w:t>
      </w:r>
      <w:r w:rsidR="00544260">
        <w:rPr>
          <w:lang w:eastAsia="en-GB"/>
        </w:rPr>
        <w:t xml:space="preserve">le fait </w:t>
      </w:r>
      <w:r w:rsidR="00B075C5" w:rsidRPr="002B6C28">
        <w:rPr>
          <w:lang w:eastAsia="en-GB"/>
        </w:rPr>
        <w:t xml:space="preserve">que </w:t>
      </w:r>
      <w:r w:rsidR="00A431A5" w:rsidRPr="002B6C28">
        <w:rPr>
          <w:lang w:eastAsia="en-GB"/>
        </w:rPr>
        <w:t xml:space="preserve">la population rwandaise ne forme </w:t>
      </w:r>
      <w:r w:rsidR="0035773E" w:rsidRPr="002B6C28">
        <w:rPr>
          <w:lang w:eastAsia="en-GB"/>
        </w:rPr>
        <w:t xml:space="preserve">aujourd’hui </w:t>
      </w:r>
      <w:r w:rsidR="00A431A5" w:rsidRPr="002B6C28">
        <w:rPr>
          <w:lang w:eastAsia="en-GB"/>
        </w:rPr>
        <w:t xml:space="preserve">qu’un seul groupe </w:t>
      </w:r>
      <w:r w:rsidR="00AB7B25">
        <w:rPr>
          <w:lang w:eastAsia="en-GB"/>
        </w:rPr>
        <w:t xml:space="preserve">national </w:t>
      </w:r>
      <w:r w:rsidR="00A431A5" w:rsidRPr="002B6C28">
        <w:rPr>
          <w:lang w:eastAsia="en-GB"/>
        </w:rPr>
        <w:t>partageant la même langue et la même culture</w:t>
      </w:r>
      <w:r w:rsidR="00B075C5" w:rsidRPr="002B6C28">
        <w:rPr>
          <w:lang w:eastAsia="en-GB"/>
        </w:rPr>
        <w:t xml:space="preserve">. </w:t>
      </w:r>
      <w:r w:rsidR="00D65955" w:rsidRPr="002B6C28">
        <w:rPr>
          <w:lang w:eastAsia="en-GB"/>
        </w:rPr>
        <w:t>Néanmoins</w:t>
      </w:r>
      <w:r w:rsidR="00A431A5" w:rsidRPr="002B6C28">
        <w:rPr>
          <w:lang w:eastAsia="en-GB"/>
        </w:rPr>
        <w:t xml:space="preserve">, le Comité </w:t>
      </w:r>
      <w:r w:rsidR="00D65955" w:rsidRPr="002B6C28">
        <w:rPr>
          <w:lang w:eastAsia="en-GB"/>
        </w:rPr>
        <w:t>regrette</w:t>
      </w:r>
      <w:r w:rsidR="00A431A5" w:rsidRPr="002B6C28">
        <w:rPr>
          <w:lang w:eastAsia="en-GB"/>
        </w:rPr>
        <w:t xml:space="preserve"> l’absence, dans le rapport de l’</w:t>
      </w:r>
      <w:r w:rsidR="00BE3778" w:rsidRPr="002B6C28">
        <w:rPr>
          <w:lang w:eastAsia="en-GB"/>
        </w:rPr>
        <w:t>État</w:t>
      </w:r>
      <w:r w:rsidR="00A431A5" w:rsidRPr="002B6C28">
        <w:rPr>
          <w:lang w:eastAsia="en-GB"/>
        </w:rPr>
        <w:t xml:space="preserve"> partie, de données statistiques et socioéconomiques sur </w:t>
      </w:r>
      <w:r w:rsidR="00B075C5" w:rsidRPr="002B6C28">
        <w:rPr>
          <w:lang w:eastAsia="en-GB"/>
        </w:rPr>
        <w:t xml:space="preserve">les « groupes historiquement marginalisés », en particulier </w:t>
      </w:r>
      <w:r w:rsidR="0035773E" w:rsidRPr="002B6C28">
        <w:rPr>
          <w:lang w:eastAsia="en-GB"/>
        </w:rPr>
        <w:t>l</w:t>
      </w:r>
      <w:r w:rsidR="00B075C5" w:rsidRPr="002B6C28">
        <w:rPr>
          <w:lang w:eastAsia="en-GB"/>
        </w:rPr>
        <w:t>es Batwa</w:t>
      </w:r>
      <w:r w:rsidR="004C1130">
        <w:rPr>
          <w:lang w:eastAsia="en-GB"/>
        </w:rPr>
        <w:t>s</w:t>
      </w:r>
      <w:r w:rsidR="00D65955" w:rsidRPr="002B6C28">
        <w:rPr>
          <w:lang w:eastAsia="en-GB"/>
        </w:rPr>
        <w:t>,</w:t>
      </w:r>
      <w:r w:rsidR="00B075C5" w:rsidRPr="002B6C28">
        <w:rPr>
          <w:lang w:eastAsia="en-GB"/>
        </w:rPr>
        <w:t xml:space="preserve"> ainsi que sur </w:t>
      </w:r>
      <w:r w:rsidR="00A431A5" w:rsidRPr="002B6C28">
        <w:rPr>
          <w:lang w:eastAsia="en-GB"/>
        </w:rPr>
        <w:t>les non-ressortissants résidant sur le territoire de l’</w:t>
      </w:r>
      <w:r w:rsidR="00BE3778" w:rsidRPr="002B6C28">
        <w:rPr>
          <w:lang w:eastAsia="en-GB"/>
        </w:rPr>
        <w:t>État</w:t>
      </w:r>
      <w:r w:rsidR="00A431A5" w:rsidRPr="002B6C28">
        <w:rPr>
          <w:lang w:eastAsia="en-GB"/>
        </w:rPr>
        <w:t xml:space="preserve"> partie.</w:t>
      </w:r>
    </w:p>
    <w:p w:rsidR="00F37211" w:rsidRPr="00EC0F98" w:rsidRDefault="00E518E0" w:rsidP="00E518E0">
      <w:pPr>
        <w:pStyle w:val="SingleTxtG"/>
        <w:rPr>
          <w:b/>
        </w:rPr>
      </w:pPr>
      <w:r w:rsidRPr="00EC0F98">
        <w:t>11.</w:t>
      </w:r>
      <w:r w:rsidRPr="00EC0F98">
        <w:tab/>
      </w:r>
      <w:r w:rsidR="00BE3778" w:rsidRPr="009C33CA">
        <w:rPr>
          <w:b/>
          <w:bCs/>
          <w:lang w:eastAsia="en-GB"/>
        </w:rPr>
        <w:t>À</w:t>
      </w:r>
      <w:r w:rsidR="00A431A5" w:rsidRPr="009C33CA">
        <w:rPr>
          <w:b/>
          <w:bCs/>
          <w:lang w:eastAsia="en-GB"/>
        </w:rPr>
        <w:t xml:space="preserve"> la lumière de s</w:t>
      </w:r>
      <w:r w:rsidR="00A46D01">
        <w:rPr>
          <w:b/>
          <w:bCs/>
          <w:lang w:eastAsia="en-GB"/>
        </w:rPr>
        <w:t>es</w:t>
      </w:r>
      <w:r w:rsidR="00A431A5" w:rsidRPr="009C33CA">
        <w:rPr>
          <w:b/>
          <w:bCs/>
          <w:lang w:eastAsia="en-GB"/>
        </w:rPr>
        <w:t xml:space="preserve"> recommandation</w:t>
      </w:r>
      <w:r w:rsidR="00A46D01">
        <w:rPr>
          <w:b/>
          <w:bCs/>
          <w:lang w:eastAsia="en-GB"/>
        </w:rPr>
        <w:t>s</w:t>
      </w:r>
      <w:r w:rsidR="00A431A5" w:rsidRPr="009C33CA">
        <w:rPr>
          <w:b/>
          <w:bCs/>
          <w:lang w:eastAsia="en-GB"/>
        </w:rPr>
        <w:t xml:space="preserve"> générale</w:t>
      </w:r>
      <w:r w:rsidR="00A46D01">
        <w:rPr>
          <w:b/>
          <w:bCs/>
          <w:lang w:eastAsia="en-GB"/>
        </w:rPr>
        <w:t>s</w:t>
      </w:r>
      <w:r w:rsidR="00A431A5" w:rsidRPr="009C33CA">
        <w:rPr>
          <w:b/>
          <w:bCs/>
          <w:lang w:eastAsia="en-GB"/>
        </w:rPr>
        <w:t xml:space="preserve"> </w:t>
      </w:r>
      <w:r w:rsidR="00E37044" w:rsidRPr="00E37044">
        <w:rPr>
          <w:b/>
          <w:bCs/>
          <w:lang w:eastAsia="en-GB"/>
        </w:rPr>
        <w:t>n</w:t>
      </w:r>
      <w:r w:rsidR="00E37044" w:rsidRPr="00E37044">
        <w:rPr>
          <w:b/>
          <w:bCs/>
          <w:vertAlign w:val="superscript"/>
          <w:lang w:eastAsia="en-GB"/>
        </w:rPr>
        <w:t>o</w:t>
      </w:r>
      <w:r w:rsidR="00E37044" w:rsidRPr="00E37044">
        <w:rPr>
          <w:b/>
          <w:bCs/>
          <w:lang w:eastAsia="en-GB"/>
        </w:rPr>
        <w:t> </w:t>
      </w:r>
      <w:r w:rsidR="00A431A5" w:rsidRPr="009C33CA">
        <w:rPr>
          <w:b/>
          <w:bCs/>
          <w:lang w:eastAsia="en-GB"/>
        </w:rPr>
        <w:t xml:space="preserve">8 (1990) </w:t>
      </w:r>
      <w:r w:rsidR="009B2391">
        <w:rPr>
          <w:b/>
          <w:bCs/>
          <w:lang w:eastAsia="en-GB"/>
        </w:rPr>
        <w:t>relative à</w:t>
      </w:r>
      <w:r w:rsidR="009B2391" w:rsidRPr="009C33CA">
        <w:rPr>
          <w:lang w:eastAsia="en-GB"/>
        </w:rPr>
        <w:t xml:space="preserve"> </w:t>
      </w:r>
      <w:r w:rsidR="00A431A5" w:rsidRPr="009C33CA">
        <w:rPr>
          <w:b/>
          <w:bCs/>
          <w:lang w:eastAsia="en-GB"/>
        </w:rPr>
        <w:t xml:space="preserve">l’interprétation </w:t>
      </w:r>
      <w:r w:rsidR="009B2391">
        <w:rPr>
          <w:b/>
          <w:bCs/>
          <w:lang w:eastAsia="en-GB"/>
        </w:rPr>
        <w:t>et à l</w:t>
      </w:r>
      <w:r w:rsidR="009B2391" w:rsidRPr="009B2391">
        <w:rPr>
          <w:b/>
          <w:bCs/>
          <w:lang w:eastAsia="en-GB"/>
        </w:rPr>
        <w:t>’</w:t>
      </w:r>
      <w:r w:rsidR="009B2391">
        <w:rPr>
          <w:b/>
          <w:bCs/>
          <w:lang w:eastAsia="en-GB"/>
        </w:rPr>
        <w:t>application des paragraphes 1 et 4 de l</w:t>
      </w:r>
      <w:r w:rsidR="009B2391" w:rsidRPr="009B2391">
        <w:rPr>
          <w:b/>
          <w:bCs/>
          <w:lang w:eastAsia="en-GB"/>
        </w:rPr>
        <w:t>’</w:t>
      </w:r>
      <w:r w:rsidR="009B2391">
        <w:rPr>
          <w:b/>
          <w:bCs/>
          <w:lang w:eastAsia="en-GB"/>
        </w:rPr>
        <w:t xml:space="preserve">article premier de la Convention </w:t>
      </w:r>
      <w:r w:rsidR="00A431A5" w:rsidRPr="009C33CA">
        <w:rPr>
          <w:b/>
          <w:bCs/>
          <w:lang w:eastAsia="en-GB"/>
        </w:rPr>
        <w:t xml:space="preserve">et </w:t>
      </w:r>
      <w:r w:rsidR="00E37044" w:rsidRPr="00E37044">
        <w:rPr>
          <w:b/>
          <w:bCs/>
          <w:lang w:eastAsia="en-GB"/>
        </w:rPr>
        <w:t>n</w:t>
      </w:r>
      <w:r w:rsidR="00E37044" w:rsidRPr="00E37044">
        <w:rPr>
          <w:b/>
          <w:bCs/>
          <w:vertAlign w:val="superscript"/>
          <w:lang w:eastAsia="en-GB"/>
        </w:rPr>
        <w:t>o</w:t>
      </w:r>
      <w:r w:rsidR="00E37044" w:rsidRPr="00E37044">
        <w:rPr>
          <w:b/>
          <w:bCs/>
          <w:lang w:eastAsia="en-GB"/>
        </w:rPr>
        <w:t> </w:t>
      </w:r>
      <w:r w:rsidR="00D65955" w:rsidRPr="009C33CA">
        <w:rPr>
          <w:b/>
          <w:bCs/>
          <w:lang w:eastAsia="en-GB"/>
        </w:rPr>
        <w:t>30 (</w:t>
      </w:r>
      <w:r w:rsidR="009B2391" w:rsidRPr="009C33CA">
        <w:rPr>
          <w:b/>
          <w:bCs/>
          <w:lang w:eastAsia="en-GB"/>
        </w:rPr>
        <w:t>200</w:t>
      </w:r>
      <w:r w:rsidR="009B2391">
        <w:rPr>
          <w:b/>
          <w:bCs/>
          <w:lang w:eastAsia="en-GB"/>
        </w:rPr>
        <w:t>4</w:t>
      </w:r>
      <w:r w:rsidR="00D65955" w:rsidRPr="009C33CA">
        <w:rPr>
          <w:b/>
          <w:bCs/>
          <w:lang w:eastAsia="en-GB"/>
        </w:rPr>
        <w:t>) concernant la discrimination contre les non</w:t>
      </w:r>
      <w:r w:rsidR="00FE0113">
        <w:rPr>
          <w:b/>
          <w:bCs/>
          <w:lang w:eastAsia="en-GB"/>
        </w:rPr>
        <w:t>-</w:t>
      </w:r>
      <w:r w:rsidR="00D65955" w:rsidRPr="009C33CA">
        <w:rPr>
          <w:b/>
          <w:bCs/>
          <w:lang w:eastAsia="en-GB"/>
        </w:rPr>
        <w:t>ressortissants</w:t>
      </w:r>
      <w:r w:rsidR="009B2391">
        <w:rPr>
          <w:b/>
          <w:bCs/>
          <w:lang w:eastAsia="en-GB"/>
        </w:rPr>
        <w:t>,</w:t>
      </w:r>
      <w:r w:rsidR="00D65955" w:rsidRPr="009C33CA">
        <w:rPr>
          <w:b/>
          <w:bCs/>
          <w:lang w:eastAsia="en-GB"/>
        </w:rPr>
        <w:t xml:space="preserve"> ainsi que </w:t>
      </w:r>
      <w:r w:rsidR="00A431A5" w:rsidRPr="009C33CA">
        <w:rPr>
          <w:b/>
          <w:bCs/>
          <w:lang w:eastAsia="en-GB"/>
        </w:rPr>
        <w:t xml:space="preserve">des paragraphes 10 à 12 de ses directives pour l’établissement </w:t>
      </w:r>
      <w:r w:rsidR="00042C4D" w:rsidRPr="009C33CA">
        <w:rPr>
          <w:b/>
          <w:bCs/>
          <w:lang w:eastAsia="en-GB"/>
        </w:rPr>
        <w:t>du document se rapportant spécifiquement à la Convention</w:t>
      </w:r>
      <w:r w:rsidR="00A431A5" w:rsidRPr="009C33CA">
        <w:rPr>
          <w:b/>
          <w:bCs/>
          <w:lang w:eastAsia="en-GB"/>
        </w:rPr>
        <w:t xml:space="preserve"> (CERD/C/2007/1), </w:t>
      </w:r>
      <w:r w:rsidR="00853054" w:rsidRPr="009C33CA">
        <w:rPr>
          <w:b/>
          <w:bCs/>
          <w:lang w:eastAsia="en-GB"/>
        </w:rPr>
        <w:t>et se référant à l’</w:t>
      </w:r>
      <w:r w:rsidR="009B2391">
        <w:rPr>
          <w:b/>
          <w:bCs/>
          <w:lang w:eastAsia="en-GB"/>
        </w:rPr>
        <w:t>o</w:t>
      </w:r>
      <w:r w:rsidR="00853054" w:rsidRPr="009C33CA">
        <w:rPr>
          <w:b/>
          <w:bCs/>
          <w:lang w:eastAsia="en-GB"/>
        </w:rPr>
        <w:t xml:space="preserve">bjectif de développement durable </w:t>
      </w:r>
      <w:r w:rsidR="00E37044" w:rsidRPr="00E37044">
        <w:rPr>
          <w:b/>
          <w:bCs/>
          <w:lang w:eastAsia="en-GB"/>
        </w:rPr>
        <w:t>n</w:t>
      </w:r>
      <w:r w:rsidR="00E37044" w:rsidRPr="00E37044">
        <w:rPr>
          <w:b/>
          <w:bCs/>
          <w:vertAlign w:val="superscript"/>
          <w:lang w:eastAsia="en-GB"/>
        </w:rPr>
        <w:t>o</w:t>
      </w:r>
      <w:r w:rsidR="00E37044" w:rsidRPr="00E37044">
        <w:rPr>
          <w:b/>
          <w:bCs/>
          <w:lang w:eastAsia="en-GB"/>
        </w:rPr>
        <w:t> </w:t>
      </w:r>
      <w:r w:rsidR="00853054" w:rsidRPr="009C33CA">
        <w:rPr>
          <w:b/>
          <w:bCs/>
          <w:lang w:eastAsia="en-GB"/>
        </w:rPr>
        <w:t xml:space="preserve">17, </w:t>
      </w:r>
      <w:r w:rsidR="00A431A5" w:rsidRPr="009C33CA">
        <w:rPr>
          <w:b/>
          <w:bCs/>
          <w:lang w:eastAsia="en-GB"/>
        </w:rPr>
        <w:t>le Comité recommande à l’</w:t>
      </w:r>
      <w:r w:rsidR="00BE3778" w:rsidRPr="009C33CA">
        <w:rPr>
          <w:b/>
          <w:bCs/>
          <w:lang w:eastAsia="en-GB"/>
        </w:rPr>
        <w:t>État</w:t>
      </w:r>
      <w:r w:rsidR="00A431A5" w:rsidRPr="009C33CA">
        <w:rPr>
          <w:b/>
          <w:bCs/>
          <w:lang w:eastAsia="en-GB"/>
        </w:rPr>
        <w:t xml:space="preserve"> partie de</w:t>
      </w:r>
      <w:r w:rsidR="00A431A5" w:rsidRPr="009C33CA">
        <w:rPr>
          <w:lang w:eastAsia="en-GB"/>
        </w:rPr>
        <w:t xml:space="preserve"> </w:t>
      </w:r>
      <w:r w:rsidR="00A431A5" w:rsidRPr="009C33CA">
        <w:rPr>
          <w:b/>
          <w:bCs/>
          <w:lang w:eastAsia="en-GB"/>
        </w:rPr>
        <w:t>lui communiquer toute</w:t>
      </w:r>
      <w:r w:rsidR="003C6F1D">
        <w:rPr>
          <w:b/>
          <w:bCs/>
          <w:lang w:eastAsia="en-GB"/>
        </w:rPr>
        <w:t>s</w:t>
      </w:r>
      <w:r w:rsidR="00A431A5" w:rsidRPr="009C33CA">
        <w:rPr>
          <w:lang w:eastAsia="en-GB"/>
        </w:rPr>
        <w:t xml:space="preserve"> </w:t>
      </w:r>
      <w:r w:rsidR="003C6F1D">
        <w:rPr>
          <w:b/>
          <w:bCs/>
          <w:lang w:eastAsia="en-GB"/>
        </w:rPr>
        <w:t>données</w:t>
      </w:r>
      <w:r w:rsidR="003C6F1D" w:rsidRPr="009C33CA">
        <w:rPr>
          <w:b/>
          <w:bCs/>
          <w:lang w:eastAsia="en-GB"/>
        </w:rPr>
        <w:t xml:space="preserve"> </w:t>
      </w:r>
      <w:r w:rsidR="00A431A5" w:rsidRPr="009C33CA">
        <w:rPr>
          <w:b/>
          <w:bCs/>
          <w:lang w:eastAsia="en-GB"/>
        </w:rPr>
        <w:t xml:space="preserve">émanant d’études socioéconomiques </w:t>
      </w:r>
      <w:r w:rsidR="0082165E" w:rsidRPr="009C33CA">
        <w:rPr>
          <w:b/>
          <w:bCs/>
          <w:lang w:eastAsia="en-GB"/>
        </w:rPr>
        <w:t xml:space="preserve">sur les « groupes historiquement marginalisés », en particulier </w:t>
      </w:r>
      <w:r w:rsidR="0035773E" w:rsidRPr="009C33CA">
        <w:rPr>
          <w:b/>
          <w:bCs/>
          <w:lang w:eastAsia="en-GB"/>
        </w:rPr>
        <w:t>l</w:t>
      </w:r>
      <w:r w:rsidR="0082165E" w:rsidRPr="009C33CA">
        <w:rPr>
          <w:b/>
          <w:bCs/>
          <w:lang w:eastAsia="en-GB"/>
        </w:rPr>
        <w:t>es Batwa</w:t>
      </w:r>
      <w:r w:rsidR="004C1130">
        <w:rPr>
          <w:b/>
          <w:bCs/>
          <w:lang w:eastAsia="en-GB"/>
        </w:rPr>
        <w:t>s</w:t>
      </w:r>
      <w:r w:rsidR="00D65955" w:rsidRPr="009C33CA">
        <w:rPr>
          <w:b/>
          <w:bCs/>
          <w:lang w:eastAsia="en-GB"/>
        </w:rPr>
        <w:t>,</w:t>
      </w:r>
      <w:r w:rsidR="0082165E" w:rsidRPr="009C33CA">
        <w:rPr>
          <w:b/>
          <w:bCs/>
          <w:lang w:eastAsia="en-GB"/>
        </w:rPr>
        <w:t xml:space="preserve"> ainsi que sur </w:t>
      </w:r>
      <w:r w:rsidR="00AB7B25" w:rsidRPr="009C33CA">
        <w:rPr>
          <w:b/>
          <w:bCs/>
          <w:lang w:eastAsia="en-GB"/>
        </w:rPr>
        <w:t xml:space="preserve">les </w:t>
      </w:r>
      <w:r w:rsidR="00A431A5" w:rsidRPr="009C33CA">
        <w:rPr>
          <w:b/>
          <w:bCs/>
          <w:lang w:eastAsia="en-GB"/>
        </w:rPr>
        <w:t>non-ressortissants qui vivent sur son</w:t>
      </w:r>
      <w:r w:rsidR="00A431A5" w:rsidRPr="009C33CA">
        <w:rPr>
          <w:lang w:eastAsia="en-GB"/>
        </w:rPr>
        <w:t xml:space="preserve"> </w:t>
      </w:r>
      <w:r w:rsidR="00A431A5" w:rsidRPr="009C33CA">
        <w:rPr>
          <w:b/>
          <w:bCs/>
          <w:lang w:eastAsia="en-GB"/>
        </w:rPr>
        <w:t>territoire, ventilées par sexe et par national</w:t>
      </w:r>
      <w:r w:rsidR="0082252C" w:rsidRPr="009C33CA">
        <w:rPr>
          <w:b/>
          <w:bCs/>
          <w:lang w:eastAsia="en-GB"/>
        </w:rPr>
        <w:t>ité</w:t>
      </w:r>
      <w:r w:rsidR="00A431A5" w:rsidRPr="009C33CA">
        <w:rPr>
          <w:b/>
          <w:bCs/>
          <w:lang w:eastAsia="en-GB"/>
        </w:rPr>
        <w:t xml:space="preserve">, </w:t>
      </w:r>
      <w:r w:rsidR="0082165E" w:rsidRPr="009C33CA">
        <w:rPr>
          <w:b/>
          <w:bCs/>
          <w:lang w:eastAsia="en-GB"/>
        </w:rPr>
        <w:t xml:space="preserve">afin </w:t>
      </w:r>
      <w:r w:rsidR="00D65955" w:rsidRPr="009C33CA">
        <w:rPr>
          <w:b/>
          <w:bCs/>
          <w:lang w:eastAsia="en-GB"/>
        </w:rPr>
        <w:t xml:space="preserve">que le Comité puisse </w:t>
      </w:r>
      <w:r w:rsidR="0082165E" w:rsidRPr="009C33CA">
        <w:rPr>
          <w:b/>
          <w:bCs/>
          <w:lang w:eastAsia="en-GB"/>
        </w:rPr>
        <w:t>évaluer dans quelle mesure ces groupes jouissent de leurs droits prévus par la Convention, à égalité avec le reste de la population</w:t>
      </w:r>
      <w:r w:rsidR="00A431A5" w:rsidRPr="009C33CA">
        <w:rPr>
          <w:b/>
          <w:bCs/>
          <w:lang w:eastAsia="en-GB"/>
        </w:rPr>
        <w:t>.</w:t>
      </w:r>
    </w:p>
    <w:p w:rsidR="00A431A5" w:rsidRDefault="00B1080A" w:rsidP="00B1080A">
      <w:pPr>
        <w:pStyle w:val="H23G"/>
        <w:rPr>
          <w:lang w:eastAsia="en-GB"/>
        </w:rPr>
      </w:pPr>
      <w:r>
        <w:rPr>
          <w:lang w:eastAsia="en-GB"/>
        </w:rPr>
        <w:lastRenderedPageBreak/>
        <w:tab/>
      </w:r>
      <w:r>
        <w:rPr>
          <w:lang w:eastAsia="en-GB"/>
        </w:rPr>
        <w:tab/>
      </w:r>
      <w:r w:rsidR="00A431A5" w:rsidRPr="00B075C5">
        <w:rPr>
          <w:lang w:eastAsia="en-GB"/>
        </w:rPr>
        <w:t>Compatibilité de la législation pénale avec l’article 4 de la Convention</w:t>
      </w:r>
    </w:p>
    <w:p w:rsidR="00A431A5" w:rsidRPr="009C33CA" w:rsidRDefault="00E518E0" w:rsidP="00E518E0">
      <w:pPr>
        <w:pStyle w:val="SingleTxtG"/>
        <w:rPr>
          <w:lang w:eastAsia="en-GB"/>
        </w:rPr>
      </w:pPr>
      <w:r w:rsidRPr="009C33CA">
        <w:rPr>
          <w:lang w:eastAsia="en-GB"/>
        </w:rPr>
        <w:t>12.</w:t>
      </w:r>
      <w:r w:rsidRPr="009C33CA">
        <w:rPr>
          <w:lang w:eastAsia="en-GB"/>
        </w:rPr>
        <w:tab/>
      </w:r>
      <w:r w:rsidR="00A431A5" w:rsidRPr="009C33CA">
        <w:rPr>
          <w:lang w:eastAsia="en-GB"/>
        </w:rPr>
        <w:t xml:space="preserve">Le Comité prend note </w:t>
      </w:r>
      <w:r w:rsidR="00356B4F">
        <w:rPr>
          <w:lang w:eastAsia="en-GB"/>
        </w:rPr>
        <w:t>du fait</w:t>
      </w:r>
      <w:r w:rsidR="00AA47B4" w:rsidRPr="009C33CA">
        <w:rPr>
          <w:lang w:eastAsia="en-GB"/>
        </w:rPr>
        <w:t xml:space="preserve"> que</w:t>
      </w:r>
      <w:r w:rsidR="00A02B88" w:rsidRPr="009C33CA">
        <w:rPr>
          <w:lang w:eastAsia="en-GB"/>
        </w:rPr>
        <w:t xml:space="preserve"> </w:t>
      </w:r>
      <w:r w:rsidR="00A431A5" w:rsidRPr="009C33CA">
        <w:rPr>
          <w:lang w:eastAsia="en-GB"/>
        </w:rPr>
        <w:t>l’</w:t>
      </w:r>
      <w:r w:rsidR="00EC0F98" w:rsidRPr="009C33CA">
        <w:rPr>
          <w:lang w:eastAsia="en-GB"/>
        </w:rPr>
        <w:t>État</w:t>
      </w:r>
      <w:r w:rsidR="00A431A5" w:rsidRPr="009C33CA">
        <w:rPr>
          <w:lang w:eastAsia="en-GB"/>
        </w:rPr>
        <w:t xml:space="preserve"> partie </w:t>
      </w:r>
      <w:r w:rsidR="00AA47B4" w:rsidRPr="009C33CA">
        <w:rPr>
          <w:lang w:eastAsia="en-GB"/>
        </w:rPr>
        <w:t>est en train de réviser</w:t>
      </w:r>
      <w:r w:rsidR="00A02B88" w:rsidRPr="009C33CA">
        <w:rPr>
          <w:lang w:eastAsia="en-GB"/>
        </w:rPr>
        <w:t xml:space="preserve"> </w:t>
      </w:r>
      <w:r w:rsidR="00AA47B4" w:rsidRPr="009C33CA">
        <w:rPr>
          <w:lang w:eastAsia="en-GB"/>
        </w:rPr>
        <w:t xml:space="preserve">son </w:t>
      </w:r>
      <w:r w:rsidR="00A431A5" w:rsidRPr="009C33CA">
        <w:rPr>
          <w:lang w:eastAsia="en-GB"/>
        </w:rPr>
        <w:t xml:space="preserve">Code pénal. </w:t>
      </w:r>
      <w:r w:rsidR="00AA47B4" w:rsidRPr="009C33CA">
        <w:rPr>
          <w:lang w:eastAsia="en-GB"/>
        </w:rPr>
        <w:t xml:space="preserve">Néanmoins, le Comité reste préoccupé par le fait </w:t>
      </w:r>
      <w:r w:rsidR="00A431A5" w:rsidRPr="009C33CA">
        <w:rPr>
          <w:lang w:eastAsia="en-GB"/>
        </w:rPr>
        <w:t>que la législation pénale de l’</w:t>
      </w:r>
      <w:r w:rsidR="00EC0F98" w:rsidRPr="009C33CA">
        <w:rPr>
          <w:lang w:eastAsia="en-GB"/>
        </w:rPr>
        <w:t>État</w:t>
      </w:r>
      <w:r w:rsidR="00A431A5" w:rsidRPr="009C33CA">
        <w:rPr>
          <w:lang w:eastAsia="en-GB"/>
        </w:rPr>
        <w:t xml:space="preserve"> partie, en particulier les dispositions de son Code pénal, ne couvre pas pleinement toutes les incriminations prévues à l’article 4 de la Convention (art.</w:t>
      </w:r>
      <w:r w:rsidR="00ED69E2" w:rsidRPr="009C33CA">
        <w:rPr>
          <w:lang w:eastAsia="en-GB"/>
        </w:rPr>
        <w:t> </w:t>
      </w:r>
      <w:r w:rsidR="00A431A5" w:rsidRPr="009C33CA">
        <w:rPr>
          <w:lang w:eastAsia="en-GB"/>
        </w:rPr>
        <w:t>4).</w:t>
      </w:r>
    </w:p>
    <w:p w:rsidR="00694243" w:rsidRPr="009C33CA" w:rsidRDefault="00E518E0" w:rsidP="00E518E0">
      <w:pPr>
        <w:pStyle w:val="SingleTxtG"/>
        <w:rPr>
          <w:lang w:eastAsia="en-GB"/>
        </w:rPr>
      </w:pPr>
      <w:r w:rsidRPr="009C33CA">
        <w:rPr>
          <w:lang w:eastAsia="en-GB"/>
        </w:rPr>
        <w:t>13.</w:t>
      </w:r>
      <w:r w:rsidRPr="009C33CA">
        <w:rPr>
          <w:lang w:eastAsia="en-GB"/>
        </w:rPr>
        <w:tab/>
      </w:r>
      <w:r w:rsidR="00A431A5" w:rsidRPr="009C33CA">
        <w:rPr>
          <w:b/>
          <w:bCs/>
          <w:lang w:eastAsia="en-GB"/>
        </w:rPr>
        <w:t xml:space="preserve">Rappelant ses recommandations générales </w:t>
      </w:r>
      <w:r w:rsidR="00EC0F98" w:rsidRPr="009C33CA">
        <w:rPr>
          <w:b/>
          <w:bCs/>
        </w:rPr>
        <w:t>n</w:t>
      </w:r>
      <w:r w:rsidR="00EC0F98" w:rsidRPr="009C33CA">
        <w:rPr>
          <w:b/>
          <w:bCs/>
          <w:vertAlign w:val="superscript"/>
        </w:rPr>
        <w:t>o</w:t>
      </w:r>
      <w:r w:rsidR="00EC0F98" w:rsidRPr="009C33CA">
        <w:rPr>
          <w:b/>
          <w:bCs/>
        </w:rPr>
        <w:t> </w:t>
      </w:r>
      <w:r w:rsidR="00A431A5" w:rsidRPr="009C33CA">
        <w:rPr>
          <w:b/>
          <w:bCs/>
          <w:lang w:eastAsia="en-GB"/>
        </w:rPr>
        <w:t xml:space="preserve">1 (1972), </w:t>
      </w:r>
      <w:r w:rsidR="00B83489" w:rsidRPr="00360956">
        <w:rPr>
          <w:b/>
          <w:bCs/>
        </w:rPr>
        <w:t>n</w:t>
      </w:r>
      <w:r w:rsidR="00B83489" w:rsidRPr="00360956">
        <w:rPr>
          <w:b/>
          <w:bCs/>
          <w:vertAlign w:val="superscript"/>
        </w:rPr>
        <w:t>o</w:t>
      </w:r>
      <w:r w:rsidR="00B83489" w:rsidRPr="00360956">
        <w:rPr>
          <w:b/>
          <w:bCs/>
        </w:rPr>
        <w:t> </w:t>
      </w:r>
      <w:r w:rsidR="00A431A5" w:rsidRPr="009C33CA">
        <w:rPr>
          <w:b/>
          <w:bCs/>
          <w:lang w:eastAsia="en-GB"/>
        </w:rPr>
        <w:t xml:space="preserve">7 (1985) </w:t>
      </w:r>
      <w:r w:rsidR="00B83489">
        <w:rPr>
          <w:b/>
          <w:bCs/>
          <w:lang w:eastAsia="en-GB"/>
        </w:rPr>
        <w:t>relative à l</w:t>
      </w:r>
      <w:r w:rsidR="00B83489" w:rsidRPr="00B83489">
        <w:rPr>
          <w:b/>
          <w:bCs/>
          <w:lang w:eastAsia="en-GB"/>
        </w:rPr>
        <w:t>’</w:t>
      </w:r>
      <w:r w:rsidR="00B83489">
        <w:rPr>
          <w:b/>
          <w:bCs/>
          <w:lang w:eastAsia="en-GB"/>
        </w:rPr>
        <w:t>application de l</w:t>
      </w:r>
      <w:r w:rsidR="00B83489" w:rsidRPr="00B83489">
        <w:rPr>
          <w:b/>
          <w:bCs/>
          <w:lang w:eastAsia="en-GB"/>
        </w:rPr>
        <w:t>’</w:t>
      </w:r>
      <w:r w:rsidR="00B83489">
        <w:rPr>
          <w:b/>
          <w:bCs/>
          <w:lang w:eastAsia="en-GB"/>
        </w:rPr>
        <w:t xml:space="preserve">article 4 de la Convention </w:t>
      </w:r>
      <w:r w:rsidR="00A431A5" w:rsidRPr="009C33CA">
        <w:rPr>
          <w:b/>
          <w:bCs/>
          <w:lang w:eastAsia="en-GB"/>
        </w:rPr>
        <w:t xml:space="preserve">et </w:t>
      </w:r>
      <w:r w:rsidR="00B83489" w:rsidRPr="00360956">
        <w:rPr>
          <w:b/>
          <w:bCs/>
        </w:rPr>
        <w:t>n</w:t>
      </w:r>
      <w:r w:rsidR="00B83489" w:rsidRPr="00360956">
        <w:rPr>
          <w:b/>
          <w:bCs/>
          <w:vertAlign w:val="superscript"/>
        </w:rPr>
        <w:t>o</w:t>
      </w:r>
      <w:r w:rsidR="00B83489" w:rsidRPr="00360956">
        <w:rPr>
          <w:b/>
          <w:bCs/>
        </w:rPr>
        <w:t> </w:t>
      </w:r>
      <w:r w:rsidR="00A431A5" w:rsidRPr="009C33CA">
        <w:rPr>
          <w:b/>
          <w:bCs/>
          <w:lang w:eastAsia="en-GB"/>
        </w:rPr>
        <w:t>15 (1993)</w:t>
      </w:r>
      <w:r w:rsidR="00A46D01">
        <w:rPr>
          <w:b/>
          <w:bCs/>
          <w:lang w:eastAsia="en-GB"/>
        </w:rPr>
        <w:t xml:space="preserve"> concernant l</w:t>
      </w:r>
      <w:r w:rsidR="00A46D01" w:rsidRPr="00A46D01">
        <w:rPr>
          <w:b/>
          <w:bCs/>
          <w:lang w:eastAsia="en-GB"/>
        </w:rPr>
        <w:t>’</w:t>
      </w:r>
      <w:r w:rsidR="00A46D01">
        <w:rPr>
          <w:b/>
          <w:bCs/>
          <w:lang w:eastAsia="en-GB"/>
        </w:rPr>
        <w:t>article 4 de la Convention</w:t>
      </w:r>
      <w:r w:rsidR="002B003C">
        <w:rPr>
          <w:b/>
          <w:bCs/>
          <w:lang w:eastAsia="en-GB"/>
        </w:rPr>
        <w:t>,</w:t>
      </w:r>
      <w:r w:rsidR="00A431A5" w:rsidRPr="009C33CA">
        <w:rPr>
          <w:lang w:eastAsia="en-GB"/>
        </w:rPr>
        <w:t xml:space="preserve"> </w:t>
      </w:r>
      <w:r w:rsidR="00A431A5" w:rsidRPr="009C33CA">
        <w:rPr>
          <w:b/>
          <w:bCs/>
          <w:lang w:eastAsia="en-GB"/>
        </w:rPr>
        <w:t xml:space="preserve">d’après </w:t>
      </w:r>
      <w:r w:rsidR="00A431A5" w:rsidRPr="008C2FB7">
        <w:rPr>
          <w:b/>
        </w:rPr>
        <w:t>lesquelles</w:t>
      </w:r>
      <w:r w:rsidR="00A431A5" w:rsidRPr="009C33CA">
        <w:rPr>
          <w:b/>
          <w:bCs/>
          <w:lang w:eastAsia="en-GB"/>
        </w:rPr>
        <w:t xml:space="preserve"> les dispositions de l’article</w:t>
      </w:r>
      <w:r w:rsidR="004370DD">
        <w:rPr>
          <w:b/>
          <w:bCs/>
          <w:lang w:eastAsia="en-GB"/>
        </w:rPr>
        <w:t> </w:t>
      </w:r>
      <w:r w:rsidR="00A431A5" w:rsidRPr="009C33CA">
        <w:rPr>
          <w:b/>
          <w:bCs/>
          <w:lang w:eastAsia="en-GB"/>
        </w:rPr>
        <w:t>4 ont un caractère préventif et impératif,</w:t>
      </w:r>
      <w:r w:rsidR="00A431A5" w:rsidRPr="009C33CA">
        <w:rPr>
          <w:lang w:eastAsia="en-GB"/>
        </w:rPr>
        <w:t xml:space="preserve"> </w:t>
      </w:r>
      <w:r w:rsidR="00A431A5" w:rsidRPr="009C33CA">
        <w:rPr>
          <w:b/>
          <w:bCs/>
          <w:lang w:eastAsia="en-GB"/>
        </w:rPr>
        <w:t>le Comité recommande à l’État partie d’accélérer le processus de révision et d’adoption de son Code pénal et d’y intégrer les dispositions</w:t>
      </w:r>
      <w:r w:rsidR="00A431A5" w:rsidRPr="009C33CA">
        <w:rPr>
          <w:lang w:eastAsia="en-GB"/>
        </w:rPr>
        <w:t xml:space="preserve"> </w:t>
      </w:r>
      <w:r w:rsidR="000703AB" w:rsidRPr="009C33CA">
        <w:rPr>
          <w:b/>
          <w:bCs/>
          <w:lang w:eastAsia="en-GB"/>
        </w:rPr>
        <w:t>voulues afin de donner</w:t>
      </w:r>
      <w:r w:rsidR="00A431A5" w:rsidRPr="009C33CA">
        <w:rPr>
          <w:b/>
          <w:bCs/>
          <w:lang w:eastAsia="en-GB"/>
        </w:rPr>
        <w:t xml:space="preserve"> pleinement effet à l’article 4 de la Convention.</w:t>
      </w:r>
    </w:p>
    <w:p w:rsidR="00F840A2" w:rsidRPr="00B075C5" w:rsidRDefault="00B1080A" w:rsidP="00B1080A">
      <w:pPr>
        <w:pStyle w:val="H23G"/>
      </w:pPr>
      <w:r>
        <w:tab/>
      </w:r>
      <w:r>
        <w:tab/>
      </w:r>
      <w:r w:rsidR="00F840A2" w:rsidRPr="00B075C5">
        <w:t>Situation des Batwa</w:t>
      </w:r>
      <w:r w:rsidR="004C1130">
        <w:t>s</w:t>
      </w:r>
    </w:p>
    <w:p w:rsidR="00316BE6" w:rsidRPr="009C33CA" w:rsidRDefault="00E518E0" w:rsidP="00E518E0">
      <w:pPr>
        <w:pStyle w:val="SingleTxtG"/>
        <w:rPr>
          <w:sz w:val="19"/>
          <w:szCs w:val="19"/>
          <w:lang w:eastAsia="en-GB"/>
        </w:rPr>
      </w:pPr>
      <w:r w:rsidRPr="009C33CA">
        <w:rPr>
          <w:lang w:eastAsia="en-GB"/>
        </w:rPr>
        <w:t>14.</w:t>
      </w:r>
      <w:r w:rsidRPr="009C33CA">
        <w:rPr>
          <w:lang w:eastAsia="en-GB"/>
        </w:rPr>
        <w:tab/>
      </w:r>
      <w:r w:rsidR="003170A4">
        <w:rPr>
          <w:lang w:eastAsia="en-GB"/>
        </w:rPr>
        <w:t>Tout en prenant note des explications fournies par l’</w:t>
      </w:r>
      <w:r w:rsidR="00471E02">
        <w:rPr>
          <w:lang w:eastAsia="en-GB"/>
        </w:rPr>
        <w:t>État</w:t>
      </w:r>
      <w:r w:rsidR="003170A4">
        <w:rPr>
          <w:lang w:eastAsia="en-GB"/>
        </w:rPr>
        <w:t xml:space="preserve"> partie, le Comité reste préoccupé par </w:t>
      </w:r>
      <w:r w:rsidR="00FA533D">
        <w:rPr>
          <w:lang w:eastAsia="en-GB"/>
        </w:rPr>
        <w:t>le déclin démographique</w:t>
      </w:r>
      <w:r w:rsidR="0082252C">
        <w:rPr>
          <w:lang w:eastAsia="en-GB"/>
        </w:rPr>
        <w:t xml:space="preserve"> de la population </w:t>
      </w:r>
      <w:r w:rsidR="00853054">
        <w:rPr>
          <w:lang w:eastAsia="en-GB"/>
        </w:rPr>
        <w:t>du « groupe historiquement marginalisé »</w:t>
      </w:r>
      <w:r w:rsidR="0082252C">
        <w:rPr>
          <w:lang w:eastAsia="en-GB"/>
        </w:rPr>
        <w:t xml:space="preserve"> </w:t>
      </w:r>
      <w:r w:rsidR="004C1130">
        <w:rPr>
          <w:lang w:eastAsia="en-GB"/>
        </w:rPr>
        <w:t>b</w:t>
      </w:r>
      <w:r w:rsidR="0082252C">
        <w:rPr>
          <w:lang w:eastAsia="en-GB"/>
        </w:rPr>
        <w:t>a</w:t>
      </w:r>
      <w:r w:rsidR="00FA533D">
        <w:rPr>
          <w:lang w:eastAsia="en-GB"/>
        </w:rPr>
        <w:t>twa. Par ailleurs, le Comité reste</w:t>
      </w:r>
      <w:r w:rsidR="0082252C">
        <w:rPr>
          <w:lang w:eastAsia="en-GB"/>
        </w:rPr>
        <w:t xml:space="preserve"> préoccupé par </w:t>
      </w:r>
      <w:r w:rsidR="003170A4">
        <w:t>des</w:t>
      </w:r>
      <w:r w:rsidR="003170A4">
        <w:rPr>
          <w:lang w:eastAsia="en-GB"/>
        </w:rPr>
        <w:t xml:space="preserve"> informations persistantes faisant état</w:t>
      </w:r>
      <w:r w:rsidR="00CC73AF">
        <w:rPr>
          <w:lang w:eastAsia="en-GB"/>
        </w:rPr>
        <w:t xml:space="preserve"> </w:t>
      </w:r>
      <w:r w:rsidR="003170A4">
        <w:rPr>
          <w:lang w:eastAsia="en-GB"/>
        </w:rPr>
        <w:t>de stéréotypes négatifs, de stigmatisation</w:t>
      </w:r>
      <w:r w:rsidR="00093D5B">
        <w:rPr>
          <w:lang w:eastAsia="en-GB"/>
        </w:rPr>
        <w:t xml:space="preserve"> et</w:t>
      </w:r>
      <w:r w:rsidR="003170A4">
        <w:rPr>
          <w:lang w:eastAsia="en-GB"/>
        </w:rPr>
        <w:t xml:space="preserve"> de discrimination </w:t>
      </w:r>
      <w:r w:rsidR="00093D5B">
        <w:rPr>
          <w:lang w:eastAsia="en-GB"/>
        </w:rPr>
        <w:t xml:space="preserve">à l’égard des </w:t>
      </w:r>
      <w:r w:rsidR="003170A4">
        <w:rPr>
          <w:lang w:eastAsia="en-GB"/>
        </w:rPr>
        <w:t>Batwa</w:t>
      </w:r>
      <w:r w:rsidR="004C1130">
        <w:rPr>
          <w:lang w:eastAsia="en-GB"/>
        </w:rPr>
        <w:t>s</w:t>
      </w:r>
      <w:r w:rsidR="00AA47B4">
        <w:rPr>
          <w:lang w:eastAsia="en-GB"/>
        </w:rPr>
        <w:t xml:space="preserve"> dans plusieurs domaines</w:t>
      </w:r>
      <w:r w:rsidR="00BD1800">
        <w:rPr>
          <w:lang w:eastAsia="en-GB"/>
        </w:rPr>
        <w:t xml:space="preserve">, </w:t>
      </w:r>
      <w:r w:rsidR="00956A9B">
        <w:rPr>
          <w:lang w:eastAsia="en-GB"/>
        </w:rPr>
        <w:t xml:space="preserve">selon lesquelles </w:t>
      </w:r>
      <w:r w:rsidR="00BD1800">
        <w:rPr>
          <w:lang w:eastAsia="en-GB"/>
        </w:rPr>
        <w:t>e</w:t>
      </w:r>
      <w:r w:rsidR="003170A4">
        <w:rPr>
          <w:lang w:eastAsia="en-GB"/>
        </w:rPr>
        <w:t xml:space="preserve">n particulier : a) le taux d’alphabétisation des enfants </w:t>
      </w:r>
      <w:r w:rsidR="004C1130">
        <w:rPr>
          <w:lang w:eastAsia="en-GB"/>
        </w:rPr>
        <w:t>b</w:t>
      </w:r>
      <w:r w:rsidR="003170A4">
        <w:rPr>
          <w:lang w:eastAsia="en-GB"/>
        </w:rPr>
        <w:t>atwa</w:t>
      </w:r>
      <w:r w:rsidR="004C1130">
        <w:rPr>
          <w:lang w:eastAsia="en-GB"/>
        </w:rPr>
        <w:t>s</w:t>
      </w:r>
      <w:r w:rsidR="003170A4">
        <w:rPr>
          <w:lang w:eastAsia="en-GB"/>
        </w:rPr>
        <w:t xml:space="preserve"> reste très bas en comparaison </w:t>
      </w:r>
      <w:r w:rsidR="001D22E7">
        <w:rPr>
          <w:lang w:eastAsia="en-GB"/>
        </w:rPr>
        <w:t xml:space="preserve">avec le </w:t>
      </w:r>
      <w:r w:rsidR="003170A4">
        <w:rPr>
          <w:lang w:eastAsia="en-GB"/>
        </w:rPr>
        <w:t xml:space="preserve">reste de la population et </w:t>
      </w:r>
      <w:r w:rsidR="001D22E7">
        <w:rPr>
          <w:lang w:eastAsia="en-GB"/>
        </w:rPr>
        <w:t xml:space="preserve">des </w:t>
      </w:r>
      <w:r w:rsidR="00093D5B">
        <w:rPr>
          <w:lang w:eastAsia="en-GB"/>
        </w:rPr>
        <w:t xml:space="preserve">obstacles à un accès effectif des </w:t>
      </w:r>
      <w:r w:rsidR="00ED69E2">
        <w:rPr>
          <w:lang w:eastAsia="en-GB"/>
        </w:rPr>
        <w:t xml:space="preserve">enfants </w:t>
      </w:r>
      <w:r w:rsidR="004C1130">
        <w:rPr>
          <w:lang w:eastAsia="en-GB"/>
        </w:rPr>
        <w:t>b</w:t>
      </w:r>
      <w:r w:rsidR="00ED69E2">
        <w:rPr>
          <w:lang w:eastAsia="en-GB"/>
        </w:rPr>
        <w:t>atwa</w:t>
      </w:r>
      <w:r w:rsidR="004C1130">
        <w:rPr>
          <w:lang w:eastAsia="en-GB"/>
        </w:rPr>
        <w:t>s</w:t>
      </w:r>
      <w:r w:rsidR="00ED69E2">
        <w:rPr>
          <w:lang w:eastAsia="en-GB"/>
        </w:rPr>
        <w:t xml:space="preserve"> à l’éducation</w:t>
      </w:r>
      <w:r w:rsidR="001D22E7">
        <w:rPr>
          <w:lang w:eastAsia="en-GB"/>
        </w:rPr>
        <w:t xml:space="preserve"> persistent</w:t>
      </w:r>
      <w:r w:rsidR="00E34B52">
        <w:rPr>
          <w:lang w:eastAsia="en-GB"/>
        </w:rPr>
        <w:t> </w:t>
      </w:r>
      <w:r w:rsidR="00ED69E2">
        <w:rPr>
          <w:lang w:eastAsia="en-GB"/>
        </w:rPr>
        <w:t>; b)</w:t>
      </w:r>
      <w:r w:rsidR="003170A4">
        <w:rPr>
          <w:lang w:eastAsia="en-GB"/>
        </w:rPr>
        <w:t xml:space="preserve"> </w:t>
      </w:r>
      <w:r w:rsidR="00956A9B">
        <w:rPr>
          <w:lang w:eastAsia="en-GB"/>
        </w:rPr>
        <w:t xml:space="preserve">les Batwas ont </w:t>
      </w:r>
      <w:r w:rsidR="003170A4">
        <w:rPr>
          <w:lang w:eastAsia="en-GB"/>
        </w:rPr>
        <w:t>des difficultés</w:t>
      </w:r>
      <w:r w:rsidR="00956A9B">
        <w:rPr>
          <w:lang w:eastAsia="en-GB"/>
        </w:rPr>
        <w:t xml:space="preserve"> d</w:t>
      </w:r>
      <w:r w:rsidR="00956A9B" w:rsidRPr="00926DC8">
        <w:rPr>
          <w:lang w:eastAsia="en-GB"/>
        </w:rPr>
        <w:t>’</w:t>
      </w:r>
      <w:r w:rsidR="00956A9B">
        <w:rPr>
          <w:lang w:eastAsia="en-GB"/>
        </w:rPr>
        <w:t>accès</w:t>
      </w:r>
      <w:r w:rsidR="003170A4">
        <w:rPr>
          <w:lang w:eastAsia="en-GB"/>
        </w:rPr>
        <w:t>, dans la pratique, aux services de santé et sociaux</w:t>
      </w:r>
      <w:r w:rsidR="00956A9B">
        <w:rPr>
          <w:lang w:eastAsia="en-GB"/>
        </w:rPr>
        <w:t>,</w:t>
      </w:r>
      <w:r w:rsidR="00AA47B4">
        <w:rPr>
          <w:lang w:eastAsia="en-GB"/>
        </w:rPr>
        <w:t xml:space="preserve"> notamment l’exigence </w:t>
      </w:r>
      <w:r w:rsidR="001D22E7">
        <w:rPr>
          <w:lang w:eastAsia="en-GB"/>
        </w:rPr>
        <w:t xml:space="preserve">de </w:t>
      </w:r>
      <w:r w:rsidR="00AA47B4">
        <w:rPr>
          <w:lang w:eastAsia="en-GB"/>
        </w:rPr>
        <w:t>s’acquitter du ticket modérateur</w:t>
      </w:r>
      <w:r w:rsidR="003170A4">
        <w:rPr>
          <w:lang w:eastAsia="en-GB"/>
        </w:rPr>
        <w:t> ; c) malgré les efforts de l’</w:t>
      </w:r>
      <w:r w:rsidR="00471E02">
        <w:rPr>
          <w:lang w:eastAsia="en-GB"/>
        </w:rPr>
        <w:t>État</w:t>
      </w:r>
      <w:r w:rsidR="003170A4">
        <w:rPr>
          <w:lang w:eastAsia="en-GB"/>
        </w:rPr>
        <w:t xml:space="preserve"> partie, les Batwa</w:t>
      </w:r>
      <w:r w:rsidR="004C1130">
        <w:rPr>
          <w:lang w:eastAsia="en-GB"/>
        </w:rPr>
        <w:t>s</w:t>
      </w:r>
      <w:r w:rsidR="003170A4">
        <w:rPr>
          <w:lang w:eastAsia="en-GB"/>
        </w:rPr>
        <w:t xml:space="preserve"> </w:t>
      </w:r>
      <w:r w:rsidR="00AA47B4">
        <w:rPr>
          <w:lang w:eastAsia="en-GB"/>
        </w:rPr>
        <w:t>restent</w:t>
      </w:r>
      <w:r w:rsidR="00093D5B">
        <w:rPr>
          <w:lang w:eastAsia="en-GB"/>
        </w:rPr>
        <w:t xml:space="preserve"> discriminés </w:t>
      </w:r>
      <w:r w:rsidR="003170A4">
        <w:rPr>
          <w:lang w:eastAsia="en-GB"/>
        </w:rPr>
        <w:t>quant à l’accès à l’emploi</w:t>
      </w:r>
      <w:r w:rsidR="002368C3">
        <w:rPr>
          <w:lang w:eastAsia="en-GB"/>
        </w:rPr>
        <w:t xml:space="preserve"> </w:t>
      </w:r>
      <w:r w:rsidR="00BD1800">
        <w:rPr>
          <w:lang w:eastAsia="en-GB"/>
        </w:rPr>
        <w:t xml:space="preserve">et </w:t>
      </w:r>
      <w:r w:rsidR="001D22E7">
        <w:rPr>
          <w:lang w:eastAsia="en-GB"/>
        </w:rPr>
        <w:t>aux</w:t>
      </w:r>
      <w:r w:rsidR="00BD1800">
        <w:rPr>
          <w:lang w:eastAsia="en-GB"/>
        </w:rPr>
        <w:t xml:space="preserve"> conditions de travail</w:t>
      </w:r>
      <w:r w:rsidR="00E34B52">
        <w:rPr>
          <w:lang w:eastAsia="en-GB"/>
        </w:rPr>
        <w:t> </w:t>
      </w:r>
      <w:r w:rsidR="003170A4">
        <w:rPr>
          <w:lang w:eastAsia="en-GB"/>
        </w:rPr>
        <w:t>; d) tous les Batwa</w:t>
      </w:r>
      <w:r w:rsidR="004C1130">
        <w:rPr>
          <w:lang w:eastAsia="en-GB"/>
        </w:rPr>
        <w:t>s</w:t>
      </w:r>
      <w:r w:rsidR="003170A4">
        <w:rPr>
          <w:lang w:eastAsia="en-GB"/>
        </w:rPr>
        <w:t xml:space="preserve"> ne bénéficient pas d’un logement adéquat</w:t>
      </w:r>
      <w:r w:rsidR="009573F8">
        <w:rPr>
          <w:lang w:eastAsia="en-GB"/>
        </w:rPr>
        <w:t xml:space="preserve"> malgré le programme</w:t>
      </w:r>
      <w:r w:rsidR="00093D5B">
        <w:rPr>
          <w:lang w:eastAsia="en-GB"/>
        </w:rPr>
        <w:t xml:space="preserve"> mis en place par l’</w:t>
      </w:r>
      <w:r w:rsidR="00B203F5">
        <w:rPr>
          <w:lang w:eastAsia="en-GB"/>
        </w:rPr>
        <w:t>État</w:t>
      </w:r>
      <w:r w:rsidR="00093D5B">
        <w:rPr>
          <w:lang w:eastAsia="en-GB"/>
        </w:rPr>
        <w:t xml:space="preserve"> partie. </w:t>
      </w:r>
      <w:r w:rsidR="009573F8">
        <w:rPr>
          <w:lang w:eastAsia="en-GB"/>
        </w:rPr>
        <w:t>Le Comité regrette</w:t>
      </w:r>
      <w:r w:rsidR="00093D5B">
        <w:rPr>
          <w:lang w:eastAsia="en-GB"/>
        </w:rPr>
        <w:t>, par ailleurs,</w:t>
      </w:r>
      <w:r w:rsidR="009573F8">
        <w:rPr>
          <w:lang w:eastAsia="en-GB"/>
        </w:rPr>
        <w:t xml:space="preserve"> que l’</w:t>
      </w:r>
      <w:r w:rsidR="00471E02">
        <w:rPr>
          <w:lang w:eastAsia="en-GB"/>
        </w:rPr>
        <w:t>État</w:t>
      </w:r>
      <w:r w:rsidR="009573F8">
        <w:rPr>
          <w:lang w:eastAsia="en-GB"/>
        </w:rPr>
        <w:t xml:space="preserve"> partie n’ait pas fourni de données statistiques permettant d’évaluer l’impact </w:t>
      </w:r>
      <w:r w:rsidR="00AA47B4">
        <w:rPr>
          <w:lang w:eastAsia="en-GB"/>
        </w:rPr>
        <w:t>sur les conditions de vie</w:t>
      </w:r>
      <w:r w:rsidR="0035773E">
        <w:rPr>
          <w:lang w:eastAsia="en-GB"/>
        </w:rPr>
        <w:t xml:space="preserve"> des Batwa</w:t>
      </w:r>
      <w:r w:rsidR="004C1130">
        <w:rPr>
          <w:lang w:eastAsia="en-GB"/>
        </w:rPr>
        <w:t>s</w:t>
      </w:r>
      <w:r w:rsidR="00F34480">
        <w:rPr>
          <w:lang w:eastAsia="en-GB"/>
        </w:rPr>
        <w:t xml:space="preserve"> des différents plans et programmes mis en place par l’État partie</w:t>
      </w:r>
      <w:r w:rsidR="009573F8">
        <w:rPr>
          <w:lang w:eastAsia="en-GB"/>
        </w:rPr>
        <w:t xml:space="preserve">, </w:t>
      </w:r>
      <w:r w:rsidR="00093D5B">
        <w:rPr>
          <w:lang w:eastAsia="en-GB"/>
        </w:rPr>
        <w:t>ainsi que sur</w:t>
      </w:r>
      <w:r w:rsidR="009573F8">
        <w:rPr>
          <w:lang w:eastAsia="en-GB"/>
        </w:rPr>
        <w:t xml:space="preserve"> leur participation </w:t>
      </w:r>
      <w:r w:rsidR="00093D5B">
        <w:rPr>
          <w:lang w:eastAsia="en-GB"/>
        </w:rPr>
        <w:t xml:space="preserve">effective </w:t>
      </w:r>
      <w:r w:rsidR="009573F8">
        <w:rPr>
          <w:lang w:eastAsia="en-GB"/>
        </w:rPr>
        <w:t xml:space="preserve">à la mise en place et aux mécanismes de contrôle de </w:t>
      </w:r>
      <w:r w:rsidR="00AA47B4">
        <w:rPr>
          <w:lang w:eastAsia="en-GB"/>
        </w:rPr>
        <w:t>l’exécution</w:t>
      </w:r>
      <w:r w:rsidR="00A02B88">
        <w:rPr>
          <w:lang w:eastAsia="en-GB"/>
        </w:rPr>
        <w:t xml:space="preserve"> </w:t>
      </w:r>
      <w:r w:rsidR="009573F8">
        <w:rPr>
          <w:lang w:eastAsia="en-GB"/>
        </w:rPr>
        <w:t xml:space="preserve">de </w:t>
      </w:r>
      <w:r w:rsidR="00F34480">
        <w:rPr>
          <w:lang w:eastAsia="en-GB"/>
        </w:rPr>
        <w:t xml:space="preserve">ces </w:t>
      </w:r>
      <w:r w:rsidR="00093D5B">
        <w:rPr>
          <w:lang w:eastAsia="en-GB"/>
        </w:rPr>
        <w:t xml:space="preserve">plans et </w:t>
      </w:r>
      <w:r w:rsidR="00ED69E2">
        <w:rPr>
          <w:lang w:eastAsia="en-GB"/>
        </w:rPr>
        <w:t>programmes (art. </w:t>
      </w:r>
      <w:r w:rsidR="00F250CB">
        <w:rPr>
          <w:lang w:eastAsia="en-GB"/>
        </w:rPr>
        <w:t>5</w:t>
      </w:r>
      <w:r w:rsidR="00F250CB" w:rsidRPr="004B5CB8">
        <w:rPr>
          <w:lang w:eastAsia="en-GB"/>
        </w:rPr>
        <w:t>)</w:t>
      </w:r>
      <w:r w:rsidR="00316BE6" w:rsidRPr="009C33CA">
        <w:rPr>
          <w:sz w:val="19"/>
          <w:szCs w:val="19"/>
          <w:lang w:eastAsia="en-GB"/>
        </w:rPr>
        <w:t>.</w:t>
      </w:r>
    </w:p>
    <w:p w:rsidR="00AA47B4" w:rsidRPr="009C33CA" w:rsidRDefault="00E518E0" w:rsidP="00E518E0">
      <w:pPr>
        <w:pStyle w:val="SingleTxtG"/>
        <w:rPr>
          <w:b/>
          <w:bCs/>
          <w:lang w:eastAsia="en-GB"/>
        </w:rPr>
      </w:pPr>
      <w:r w:rsidRPr="009C33CA">
        <w:rPr>
          <w:bCs/>
          <w:lang w:eastAsia="en-GB"/>
        </w:rPr>
        <w:t>15.</w:t>
      </w:r>
      <w:r w:rsidRPr="009C33CA">
        <w:rPr>
          <w:bCs/>
          <w:lang w:eastAsia="en-GB"/>
        </w:rPr>
        <w:tab/>
      </w:r>
      <w:r w:rsidR="00F250CB" w:rsidRPr="009C33CA">
        <w:rPr>
          <w:b/>
          <w:bCs/>
          <w:lang w:eastAsia="en-GB"/>
        </w:rPr>
        <w:t xml:space="preserve">Rappelant sa recommandation générale </w:t>
      </w:r>
      <w:r w:rsidR="004B5CB8" w:rsidRPr="009C33CA">
        <w:rPr>
          <w:b/>
          <w:bCs/>
          <w:lang w:eastAsia="en-GB"/>
        </w:rPr>
        <w:t>n</w:t>
      </w:r>
      <w:r w:rsidR="004B5CB8" w:rsidRPr="009C33CA">
        <w:rPr>
          <w:b/>
          <w:bCs/>
          <w:vertAlign w:val="superscript"/>
          <w:lang w:eastAsia="en-GB"/>
        </w:rPr>
        <w:t>o</w:t>
      </w:r>
      <w:r w:rsidR="004B5CB8" w:rsidRPr="009C33CA">
        <w:rPr>
          <w:b/>
          <w:bCs/>
          <w:lang w:eastAsia="en-GB"/>
        </w:rPr>
        <w:t> </w:t>
      </w:r>
      <w:r w:rsidR="00F250CB" w:rsidRPr="009C33CA">
        <w:rPr>
          <w:b/>
          <w:bCs/>
          <w:lang w:eastAsia="en-GB"/>
        </w:rPr>
        <w:t>32 (2009) sur la signification et portée des mesures spéciales dans la Convention internationale sur</w:t>
      </w:r>
      <w:r w:rsidR="00F250CB" w:rsidRPr="004B5CB8">
        <w:rPr>
          <w:lang w:eastAsia="en-GB"/>
        </w:rPr>
        <w:t xml:space="preserve"> </w:t>
      </w:r>
      <w:r w:rsidR="00F250CB" w:rsidRPr="009C33CA">
        <w:rPr>
          <w:b/>
          <w:bCs/>
          <w:lang w:eastAsia="en-GB"/>
        </w:rPr>
        <w:t xml:space="preserve">l’élimination de toutes les formes de </w:t>
      </w:r>
      <w:r w:rsidR="00F250CB" w:rsidRPr="004B5CB8">
        <w:rPr>
          <w:b/>
        </w:rPr>
        <w:t>discrimination</w:t>
      </w:r>
      <w:r w:rsidR="00F250CB" w:rsidRPr="009C33CA">
        <w:rPr>
          <w:b/>
          <w:bCs/>
          <w:lang w:eastAsia="en-GB"/>
        </w:rPr>
        <w:t xml:space="preserve"> raciale et tenant compte du fait que l’</w:t>
      </w:r>
      <w:r w:rsidR="004B5CB8" w:rsidRPr="009C33CA">
        <w:rPr>
          <w:b/>
          <w:bCs/>
          <w:lang w:eastAsia="en-GB"/>
        </w:rPr>
        <w:t>État</w:t>
      </w:r>
      <w:r w:rsidR="00F250CB" w:rsidRPr="009C33CA">
        <w:rPr>
          <w:b/>
          <w:bCs/>
          <w:lang w:eastAsia="en-GB"/>
        </w:rPr>
        <w:t xml:space="preserve"> partie considère les Batwa</w:t>
      </w:r>
      <w:r w:rsidR="004C1130">
        <w:rPr>
          <w:b/>
          <w:bCs/>
          <w:lang w:eastAsia="en-GB"/>
        </w:rPr>
        <w:t>s</w:t>
      </w:r>
      <w:r w:rsidR="00F250CB" w:rsidRPr="009C33CA">
        <w:rPr>
          <w:b/>
          <w:bCs/>
          <w:lang w:eastAsia="en-GB"/>
        </w:rPr>
        <w:t xml:space="preserve"> comme un des « groupes historiquement marginalisés », le Comité recommande à</w:t>
      </w:r>
      <w:r w:rsidR="00F250CB" w:rsidRPr="004B5CB8">
        <w:rPr>
          <w:lang w:eastAsia="en-GB"/>
        </w:rPr>
        <w:t xml:space="preserve"> </w:t>
      </w:r>
      <w:r w:rsidR="00F250CB" w:rsidRPr="009C33CA">
        <w:rPr>
          <w:b/>
          <w:bCs/>
          <w:lang w:eastAsia="en-GB"/>
        </w:rPr>
        <w:t>l’</w:t>
      </w:r>
      <w:r w:rsidR="004B5CB8" w:rsidRPr="004B5CB8">
        <w:rPr>
          <w:b/>
          <w:bCs/>
          <w:lang w:eastAsia="en-GB"/>
        </w:rPr>
        <w:t>État</w:t>
      </w:r>
      <w:r w:rsidR="00F250CB" w:rsidRPr="009C33CA">
        <w:rPr>
          <w:b/>
          <w:bCs/>
          <w:lang w:eastAsia="en-GB"/>
        </w:rPr>
        <w:t xml:space="preserve"> partie de prendre les mesures spéciales </w:t>
      </w:r>
      <w:r w:rsidR="00F21FE0">
        <w:rPr>
          <w:b/>
          <w:bCs/>
          <w:lang w:eastAsia="en-GB"/>
        </w:rPr>
        <w:t>ci-après</w:t>
      </w:r>
      <w:r w:rsidR="00F21FE0" w:rsidRPr="009C33CA">
        <w:rPr>
          <w:b/>
          <w:bCs/>
          <w:lang w:eastAsia="en-GB"/>
        </w:rPr>
        <w:t xml:space="preserve"> </w:t>
      </w:r>
      <w:r w:rsidR="00F250CB" w:rsidRPr="009C33CA">
        <w:rPr>
          <w:b/>
          <w:bCs/>
          <w:lang w:eastAsia="en-GB"/>
        </w:rPr>
        <w:t>visant à amener les Batwa</w:t>
      </w:r>
      <w:r w:rsidR="004C1130">
        <w:rPr>
          <w:b/>
          <w:bCs/>
          <w:lang w:eastAsia="en-GB"/>
        </w:rPr>
        <w:t>s</w:t>
      </w:r>
      <w:r w:rsidR="00F250CB" w:rsidRPr="009C33CA">
        <w:rPr>
          <w:b/>
          <w:bCs/>
          <w:lang w:eastAsia="en-GB"/>
        </w:rPr>
        <w:t xml:space="preserve"> à se hisser à un niveau comparable à celui du reste de la population et à lutter contre les stéréotypes, la marginalisation et la pauvreté dont ils sont encore victimes. Il lui recommande en particulier de : </w:t>
      </w:r>
    </w:p>
    <w:p w:rsidR="00AA47B4" w:rsidRPr="004B5CB8" w:rsidRDefault="004B5CB8" w:rsidP="009C33CA">
      <w:pPr>
        <w:pStyle w:val="SingleTxtG"/>
        <w:ind w:firstLine="567"/>
        <w:rPr>
          <w:b/>
        </w:rPr>
      </w:pPr>
      <w:r w:rsidRPr="009C33CA">
        <w:rPr>
          <w:bCs/>
        </w:rPr>
        <w:t>a)</w:t>
      </w:r>
      <w:r>
        <w:rPr>
          <w:b/>
        </w:rPr>
        <w:tab/>
      </w:r>
      <w:r w:rsidR="00A7656D" w:rsidRPr="004B5CB8">
        <w:rPr>
          <w:b/>
        </w:rPr>
        <w:t>L</w:t>
      </w:r>
      <w:r w:rsidR="00F250CB" w:rsidRPr="004B5CB8">
        <w:rPr>
          <w:b/>
        </w:rPr>
        <w:t>utter contre les stéréotypes et la marginalisation dont les Batwa</w:t>
      </w:r>
      <w:r w:rsidR="004C1130">
        <w:rPr>
          <w:b/>
        </w:rPr>
        <w:t>s</w:t>
      </w:r>
      <w:r w:rsidR="00F250CB" w:rsidRPr="004B5CB8">
        <w:rPr>
          <w:b/>
        </w:rPr>
        <w:t xml:space="preserve"> peuvent faire l’objet</w:t>
      </w:r>
      <w:r w:rsidR="00FA533D" w:rsidRPr="004B5CB8">
        <w:rPr>
          <w:b/>
        </w:rPr>
        <w:t xml:space="preserve">, </w:t>
      </w:r>
      <w:r w:rsidR="00AA47B4" w:rsidRPr="004B5CB8">
        <w:rPr>
          <w:b/>
        </w:rPr>
        <w:t>de veiller à une application effective de sa législation contre la discrimination raciale et de</w:t>
      </w:r>
      <w:r w:rsidR="00F250CB" w:rsidRPr="004B5CB8">
        <w:rPr>
          <w:b/>
        </w:rPr>
        <w:t xml:space="preserve"> s’assurer </w:t>
      </w:r>
      <w:r w:rsidR="00AA47B4" w:rsidRPr="004B5CB8">
        <w:rPr>
          <w:b/>
        </w:rPr>
        <w:t>que</w:t>
      </w:r>
      <w:r w:rsidR="00FA533D" w:rsidRPr="004B5CB8">
        <w:rPr>
          <w:b/>
        </w:rPr>
        <w:t>,</w:t>
      </w:r>
      <w:r w:rsidR="00AA47B4" w:rsidRPr="004B5CB8">
        <w:rPr>
          <w:b/>
        </w:rPr>
        <w:t xml:space="preserve"> dans la gouvernance décentralisée mise en place par l’</w:t>
      </w:r>
      <w:r w:rsidRPr="004B5CB8">
        <w:rPr>
          <w:b/>
        </w:rPr>
        <w:t>État</w:t>
      </w:r>
      <w:r w:rsidR="00AA47B4" w:rsidRPr="004B5CB8">
        <w:rPr>
          <w:b/>
        </w:rPr>
        <w:t xml:space="preserve"> partie, les Batwa</w:t>
      </w:r>
      <w:r w:rsidR="004C1130">
        <w:rPr>
          <w:b/>
        </w:rPr>
        <w:t>s</w:t>
      </w:r>
      <w:r w:rsidR="00A02B88" w:rsidRPr="004B5CB8">
        <w:rPr>
          <w:b/>
        </w:rPr>
        <w:t xml:space="preserve"> </w:t>
      </w:r>
      <w:r w:rsidR="00F250CB" w:rsidRPr="004B5CB8">
        <w:rPr>
          <w:b/>
        </w:rPr>
        <w:t>participent effectivement</w:t>
      </w:r>
      <w:r w:rsidR="0035773E" w:rsidRPr="004B5CB8">
        <w:rPr>
          <w:b/>
        </w:rPr>
        <w:t xml:space="preserve"> </w:t>
      </w:r>
      <w:r w:rsidR="0027718A">
        <w:rPr>
          <w:b/>
        </w:rPr>
        <w:t xml:space="preserve">aux </w:t>
      </w:r>
      <w:r w:rsidR="00F250CB" w:rsidRPr="004B5CB8">
        <w:rPr>
          <w:b/>
        </w:rPr>
        <w:t>mécanismes d</w:t>
      </w:r>
      <w:r w:rsidR="00FA533D" w:rsidRPr="004B5CB8">
        <w:rPr>
          <w:b/>
        </w:rPr>
        <w:t>’exécution</w:t>
      </w:r>
      <w:r w:rsidR="00F21FE0">
        <w:rPr>
          <w:b/>
        </w:rPr>
        <w:t xml:space="preserve"> et</w:t>
      </w:r>
      <w:r w:rsidR="00FA533D" w:rsidRPr="004B5CB8">
        <w:rPr>
          <w:b/>
        </w:rPr>
        <w:t xml:space="preserve"> de contrôle</w:t>
      </w:r>
      <w:r w:rsidR="0027718A">
        <w:rPr>
          <w:b/>
        </w:rPr>
        <w:t>,</w:t>
      </w:r>
      <w:r w:rsidR="0027718A" w:rsidRPr="004B5CB8">
        <w:rPr>
          <w:b/>
        </w:rPr>
        <w:t xml:space="preserve"> sont impliqués dans </w:t>
      </w:r>
      <w:r w:rsidR="0027718A">
        <w:rPr>
          <w:b/>
        </w:rPr>
        <w:t>ces mécanismes</w:t>
      </w:r>
      <w:r w:rsidR="006E28C8">
        <w:rPr>
          <w:b/>
        </w:rPr>
        <w:t>,</w:t>
      </w:r>
      <w:r w:rsidR="0027718A" w:rsidRPr="004B5CB8">
        <w:rPr>
          <w:b/>
        </w:rPr>
        <w:t xml:space="preserve"> </w:t>
      </w:r>
      <w:r w:rsidR="00AA47B4" w:rsidRPr="004B5CB8">
        <w:rPr>
          <w:b/>
        </w:rPr>
        <w:t>et bénéficient</w:t>
      </w:r>
      <w:r w:rsidR="00FA533D" w:rsidRPr="004B5CB8">
        <w:rPr>
          <w:b/>
        </w:rPr>
        <w:t>,</w:t>
      </w:r>
      <w:r w:rsidR="00AA47B4" w:rsidRPr="004B5CB8">
        <w:rPr>
          <w:b/>
        </w:rPr>
        <w:t xml:space="preserve"> à égalité avec le reste de la population, </w:t>
      </w:r>
      <w:r w:rsidR="00F250CB" w:rsidRPr="004B5CB8">
        <w:rPr>
          <w:b/>
        </w:rPr>
        <w:t xml:space="preserve">des différents plans et programmes mis en </w:t>
      </w:r>
      <w:r w:rsidRPr="004B5CB8">
        <w:rPr>
          <w:b/>
        </w:rPr>
        <w:t>œuvre</w:t>
      </w:r>
      <w:r w:rsidR="00F250CB" w:rsidRPr="004B5CB8">
        <w:rPr>
          <w:b/>
        </w:rPr>
        <w:t xml:space="preserve"> par l’</w:t>
      </w:r>
      <w:r w:rsidRPr="004B5CB8">
        <w:rPr>
          <w:b/>
        </w:rPr>
        <w:t>État</w:t>
      </w:r>
      <w:r w:rsidR="00F250CB" w:rsidRPr="004B5CB8">
        <w:rPr>
          <w:b/>
        </w:rPr>
        <w:t xml:space="preserve"> partie</w:t>
      </w:r>
      <w:r w:rsidR="00E34B52">
        <w:rPr>
          <w:b/>
        </w:rPr>
        <w:t> </w:t>
      </w:r>
      <w:r w:rsidR="00AA47B4" w:rsidRPr="004B5CB8">
        <w:rPr>
          <w:b/>
        </w:rPr>
        <w:t xml:space="preserve">; </w:t>
      </w:r>
    </w:p>
    <w:p w:rsidR="00AA47B4" w:rsidRPr="004B5CB8" w:rsidRDefault="004B5CB8" w:rsidP="009C33CA">
      <w:pPr>
        <w:pStyle w:val="SingleTxtG"/>
        <w:ind w:firstLine="567"/>
        <w:rPr>
          <w:b/>
        </w:rPr>
      </w:pPr>
      <w:r w:rsidRPr="009C33CA">
        <w:rPr>
          <w:bCs/>
        </w:rPr>
        <w:t>b)</w:t>
      </w:r>
      <w:r>
        <w:rPr>
          <w:b/>
        </w:rPr>
        <w:tab/>
      </w:r>
      <w:r w:rsidR="00A7656D" w:rsidRPr="004B5CB8">
        <w:rPr>
          <w:b/>
        </w:rPr>
        <w:t>S</w:t>
      </w:r>
      <w:r w:rsidR="00F250CB" w:rsidRPr="004B5CB8">
        <w:rPr>
          <w:b/>
        </w:rPr>
        <w:t xml:space="preserve">’assurer que les enfants </w:t>
      </w:r>
      <w:r w:rsidR="004C1130">
        <w:rPr>
          <w:b/>
        </w:rPr>
        <w:t>b</w:t>
      </w:r>
      <w:r w:rsidR="00F250CB" w:rsidRPr="004B5CB8">
        <w:rPr>
          <w:b/>
        </w:rPr>
        <w:t>atwa</w:t>
      </w:r>
      <w:r w:rsidR="004C1130">
        <w:rPr>
          <w:b/>
        </w:rPr>
        <w:t>s</w:t>
      </w:r>
      <w:r w:rsidR="00F250CB" w:rsidRPr="004B5CB8">
        <w:rPr>
          <w:b/>
        </w:rPr>
        <w:t xml:space="preserve"> ne rencontrent pas d’obstacles</w:t>
      </w:r>
      <w:r w:rsidR="0035773E" w:rsidRPr="004B5CB8">
        <w:rPr>
          <w:b/>
        </w:rPr>
        <w:t xml:space="preserve"> quant</w:t>
      </w:r>
      <w:r w:rsidR="00A02B88" w:rsidRPr="004B5CB8">
        <w:rPr>
          <w:b/>
        </w:rPr>
        <w:t xml:space="preserve"> </w:t>
      </w:r>
      <w:r w:rsidR="00F250CB" w:rsidRPr="004B5CB8">
        <w:rPr>
          <w:b/>
        </w:rPr>
        <w:t xml:space="preserve">à leur accès à l’éducation primaire et secondaire et </w:t>
      </w:r>
      <w:r w:rsidR="00F21FE0">
        <w:rPr>
          <w:b/>
        </w:rPr>
        <w:t xml:space="preserve">de </w:t>
      </w:r>
      <w:r w:rsidR="00F250CB" w:rsidRPr="004B5CB8">
        <w:rPr>
          <w:b/>
        </w:rPr>
        <w:t>renforcer les mesures visant à éviter un taux important d’abandon sco</w:t>
      </w:r>
      <w:r w:rsidR="00ED69E2" w:rsidRPr="004B5CB8">
        <w:rPr>
          <w:b/>
        </w:rPr>
        <w:t>laire</w:t>
      </w:r>
      <w:r w:rsidR="00F21FE0">
        <w:rPr>
          <w:b/>
        </w:rPr>
        <w:t>,</w:t>
      </w:r>
      <w:r w:rsidR="00ED69E2" w:rsidRPr="004B5CB8">
        <w:rPr>
          <w:b/>
        </w:rPr>
        <w:t xml:space="preserve"> notamment chez les filles</w:t>
      </w:r>
      <w:r w:rsidR="00E34B52">
        <w:rPr>
          <w:b/>
        </w:rPr>
        <w:t> </w:t>
      </w:r>
      <w:r w:rsidR="00F250CB" w:rsidRPr="004B5CB8">
        <w:rPr>
          <w:b/>
        </w:rPr>
        <w:t xml:space="preserve">; </w:t>
      </w:r>
    </w:p>
    <w:p w:rsidR="00872A13" w:rsidRPr="004B5CB8" w:rsidRDefault="004B5CB8" w:rsidP="009C33CA">
      <w:pPr>
        <w:pStyle w:val="SingleTxtG"/>
        <w:ind w:firstLine="567"/>
        <w:rPr>
          <w:b/>
        </w:rPr>
      </w:pPr>
      <w:r w:rsidRPr="009C33CA">
        <w:rPr>
          <w:bCs/>
        </w:rPr>
        <w:t>c)</w:t>
      </w:r>
      <w:r>
        <w:rPr>
          <w:b/>
        </w:rPr>
        <w:tab/>
      </w:r>
      <w:r w:rsidR="00ED69E2" w:rsidRPr="004B5CB8">
        <w:rPr>
          <w:b/>
        </w:rPr>
        <w:t>P</w:t>
      </w:r>
      <w:r w:rsidR="00F250CB" w:rsidRPr="004B5CB8">
        <w:rPr>
          <w:b/>
        </w:rPr>
        <w:t xml:space="preserve">oursuivre la sensibilisation des adultes </w:t>
      </w:r>
      <w:r w:rsidR="004C1130">
        <w:rPr>
          <w:b/>
        </w:rPr>
        <w:t>b</w:t>
      </w:r>
      <w:r w:rsidR="00F250CB" w:rsidRPr="004B5CB8">
        <w:rPr>
          <w:b/>
        </w:rPr>
        <w:t>atwa</w:t>
      </w:r>
      <w:r w:rsidR="004C1130">
        <w:rPr>
          <w:b/>
        </w:rPr>
        <w:t>s</w:t>
      </w:r>
      <w:r w:rsidR="00F250CB" w:rsidRPr="004B5CB8">
        <w:rPr>
          <w:b/>
        </w:rPr>
        <w:t xml:space="preserve"> à l’importance de l’éducation</w:t>
      </w:r>
      <w:r w:rsidR="00E34B52">
        <w:rPr>
          <w:b/>
        </w:rPr>
        <w:t> </w:t>
      </w:r>
      <w:r w:rsidR="00F250CB" w:rsidRPr="004B5CB8">
        <w:rPr>
          <w:b/>
        </w:rPr>
        <w:t xml:space="preserve">; </w:t>
      </w:r>
    </w:p>
    <w:p w:rsidR="00AA47B4" w:rsidRPr="004B5CB8" w:rsidRDefault="004B5CB8" w:rsidP="009C33CA">
      <w:pPr>
        <w:pStyle w:val="SingleTxtG"/>
        <w:ind w:firstLine="567"/>
        <w:rPr>
          <w:b/>
        </w:rPr>
      </w:pPr>
      <w:r w:rsidRPr="009C33CA">
        <w:rPr>
          <w:bCs/>
        </w:rPr>
        <w:lastRenderedPageBreak/>
        <w:t>d)</w:t>
      </w:r>
      <w:r>
        <w:rPr>
          <w:b/>
        </w:rPr>
        <w:tab/>
      </w:r>
      <w:r w:rsidR="00A7656D" w:rsidRPr="004B5CB8">
        <w:rPr>
          <w:b/>
        </w:rPr>
        <w:t>S</w:t>
      </w:r>
      <w:r w:rsidR="00F250CB" w:rsidRPr="004B5CB8">
        <w:rPr>
          <w:b/>
        </w:rPr>
        <w:t>’assurer que tous les Batwa</w:t>
      </w:r>
      <w:r w:rsidR="004C1130">
        <w:rPr>
          <w:b/>
        </w:rPr>
        <w:t>s</w:t>
      </w:r>
      <w:r w:rsidR="00F250CB" w:rsidRPr="004B5CB8">
        <w:rPr>
          <w:b/>
        </w:rPr>
        <w:t xml:space="preserve"> </w:t>
      </w:r>
      <w:r w:rsidR="00F21FE0">
        <w:rPr>
          <w:b/>
        </w:rPr>
        <w:t>o</w:t>
      </w:r>
      <w:r w:rsidR="00F21FE0" w:rsidRPr="004B5CB8">
        <w:rPr>
          <w:b/>
        </w:rPr>
        <w:t xml:space="preserve">nt </w:t>
      </w:r>
      <w:r w:rsidR="00F250CB" w:rsidRPr="004B5CB8">
        <w:rPr>
          <w:b/>
        </w:rPr>
        <w:t>accès à un logement adéquat</w:t>
      </w:r>
      <w:r w:rsidR="004449F4">
        <w:rPr>
          <w:b/>
        </w:rPr>
        <w:t xml:space="preserve"> </w:t>
      </w:r>
      <w:r w:rsidR="00BD1800" w:rsidRPr="004B5CB8">
        <w:rPr>
          <w:b/>
        </w:rPr>
        <w:t>et accessible</w:t>
      </w:r>
      <w:r w:rsidR="00E34B52">
        <w:rPr>
          <w:b/>
        </w:rPr>
        <w:t> </w:t>
      </w:r>
      <w:r w:rsidR="00872A13" w:rsidRPr="004B5CB8">
        <w:rPr>
          <w:b/>
        </w:rPr>
        <w:t xml:space="preserve">; </w:t>
      </w:r>
    </w:p>
    <w:p w:rsidR="00872A13" w:rsidRPr="002B6C28" w:rsidRDefault="004B5CB8" w:rsidP="009C33CA">
      <w:pPr>
        <w:pStyle w:val="SingleTxtG"/>
        <w:ind w:firstLine="567"/>
        <w:rPr>
          <w:b/>
        </w:rPr>
      </w:pPr>
      <w:r w:rsidRPr="009C33CA">
        <w:rPr>
          <w:bCs/>
        </w:rPr>
        <w:t>e)</w:t>
      </w:r>
      <w:r>
        <w:rPr>
          <w:b/>
        </w:rPr>
        <w:tab/>
      </w:r>
      <w:r w:rsidR="00A7656D" w:rsidRPr="002B6C28">
        <w:rPr>
          <w:b/>
        </w:rPr>
        <w:t>L</w:t>
      </w:r>
      <w:r w:rsidR="00F250CB" w:rsidRPr="002B6C28">
        <w:rPr>
          <w:b/>
        </w:rPr>
        <w:t>ever tous les obstacles à l’accès effectif des Batwa</w:t>
      </w:r>
      <w:r w:rsidR="004C1130">
        <w:rPr>
          <w:b/>
        </w:rPr>
        <w:t>s</w:t>
      </w:r>
      <w:r w:rsidR="00F250CB" w:rsidRPr="002B6C28">
        <w:rPr>
          <w:b/>
        </w:rPr>
        <w:t xml:space="preserve"> aux soins et services de santé </w:t>
      </w:r>
      <w:r w:rsidR="0035773E" w:rsidRPr="002B6C28">
        <w:rPr>
          <w:b/>
        </w:rPr>
        <w:t>et de protection sociale</w:t>
      </w:r>
      <w:r w:rsidR="00BD1800">
        <w:rPr>
          <w:b/>
        </w:rPr>
        <w:t xml:space="preserve"> afin d’éviter l’extinction de ce groupe</w:t>
      </w:r>
      <w:r w:rsidR="00E34B52">
        <w:rPr>
          <w:b/>
        </w:rPr>
        <w:t> </w:t>
      </w:r>
      <w:r w:rsidR="00F250CB" w:rsidRPr="002B6C28">
        <w:rPr>
          <w:b/>
        </w:rPr>
        <w:t>;</w:t>
      </w:r>
    </w:p>
    <w:p w:rsidR="00F250CB" w:rsidRPr="009C33CA" w:rsidRDefault="004B5CB8" w:rsidP="009C33CA">
      <w:pPr>
        <w:pStyle w:val="SingleTxtG"/>
        <w:ind w:firstLine="567"/>
        <w:rPr>
          <w:b/>
        </w:rPr>
      </w:pPr>
      <w:r w:rsidRPr="009C33CA">
        <w:rPr>
          <w:bCs/>
        </w:rPr>
        <w:t>f)</w:t>
      </w:r>
      <w:r>
        <w:rPr>
          <w:b/>
        </w:rPr>
        <w:tab/>
      </w:r>
      <w:r w:rsidR="00A7656D" w:rsidRPr="002B6C28">
        <w:rPr>
          <w:b/>
        </w:rPr>
        <w:t>R</w:t>
      </w:r>
      <w:r w:rsidR="00F250CB" w:rsidRPr="002B6C28">
        <w:rPr>
          <w:b/>
        </w:rPr>
        <w:t xml:space="preserve">enforcer la formation </w:t>
      </w:r>
      <w:r w:rsidR="00BD1800">
        <w:rPr>
          <w:b/>
        </w:rPr>
        <w:t xml:space="preserve">professionnelle </w:t>
      </w:r>
      <w:r w:rsidR="00F250CB" w:rsidRPr="002B6C28">
        <w:rPr>
          <w:b/>
        </w:rPr>
        <w:t>des Batwa</w:t>
      </w:r>
      <w:r w:rsidR="004C1130">
        <w:rPr>
          <w:b/>
        </w:rPr>
        <w:t>s</w:t>
      </w:r>
      <w:r w:rsidR="00F250CB" w:rsidRPr="002B6C28">
        <w:rPr>
          <w:b/>
        </w:rPr>
        <w:t xml:space="preserve">, en vue de </w:t>
      </w:r>
      <w:r w:rsidR="00BD1800">
        <w:rPr>
          <w:b/>
        </w:rPr>
        <w:t xml:space="preserve">lutter contre la discrimination à leur égard et de </w:t>
      </w:r>
      <w:r w:rsidR="00F250CB" w:rsidRPr="002B6C28">
        <w:rPr>
          <w:b/>
        </w:rPr>
        <w:t xml:space="preserve">faciliter leur insertion </w:t>
      </w:r>
      <w:r w:rsidR="00BD1800">
        <w:rPr>
          <w:b/>
        </w:rPr>
        <w:t xml:space="preserve">sur </w:t>
      </w:r>
      <w:r w:rsidR="00F250CB" w:rsidRPr="002B6C28">
        <w:rPr>
          <w:b/>
        </w:rPr>
        <w:t>le marché de l’emploi</w:t>
      </w:r>
      <w:r w:rsidR="0035773E" w:rsidRPr="002B6C28">
        <w:rPr>
          <w:b/>
        </w:rPr>
        <w:t>,</w:t>
      </w:r>
      <w:r w:rsidR="00F250CB" w:rsidRPr="002B6C28">
        <w:rPr>
          <w:b/>
        </w:rPr>
        <w:t xml:space="preserve"> à égalité avec le reste de la population</w:t>
      </w:r>
      <w:r w:rsidR="00655291" w:rsidRPr="002B6C28">
        <w:rPr>
          <w:b/>
        </w:rPr>
        <w:t>, y compris dans le cadre d</w:t>
      </w:r>
      <w:r w:rsidR="002473FD">
        <w:rPr>
          <w:b/>
        </w:rPr>
        <w:t>u</w:t>
      </w:r>
      <w:r w:rsidR="00655291" w:rsidRPr="002B6C28">
        <w:rPr>
          <w:b/>
        </w:rPr>
        <w:t xml:space="preserve"> projet </w:t>
      </w:r>
      <w:r w:rsidR="002473FD" w:rsidRPr="002B6C28">
        <w:rPr>
          <w:b/>
          <w:i/>
        </w:rPr>
        <w:t>Umurimo</w:t>
      </w:r>
      <w:r w:rsidR="002473FD" w:rsidRPr="002B6C28">
        <w:rPr>
          <w:b/>
        </w:rPr>
        <w:t xml:space="preserve"> </w:t>
      </w:r>
      <w:r w:rsidR="002473FD" w:rsidRPr="002B6C28">
        <w:rPr>
          <w:b/>
          <w:i/>
        </w:rPr>
        <w:t>Hanga</w:t>
      </w:r>
      <w:r w:rsidR="002473FD">
        <w:rPr>
          <w:b/>
        </w:rPr>
        <w:t xml:space="preserve"> </w:t>
      </w:r>
      <w:r w:rsidR="00655291" w:rsidRPr="002B6C28">
        <w:rPr>
          <w:b/>
        </w:rPr>
        <w:t xml:space="preserve">et </w:t>
      </w:r>
      <w:r w:rsidR="002473FD">
        <w:rPr>
          <w:b/>
        </w:rPr>
        <w:t xml:space="preserve">du </w:t>
      </w:r>
      <w:r w:rsidR="00655291" w:rsidRPr="002B6C28">
        <w:rPr>
          <w:b/>
        </w:rPr>
        <w:t>programme</w:t>
      </w:r>
      <w:r w:rsidR="00742B43">
        <w:rPr>
          <w:b/>
        </w:rPr>
        <w:t xml:space="preserve"> </w:t>
      </w:r>
      <w:r w:rsidR="00742B43" w:rsidRPr="002B6C28">
        <w:rPr>
          <w:b/>
          <w:i/>
        </w:rPr>
        <w:t>Kuremera</w:t>
      </w:r>
      <w:r w:rsidR="00BD1800">
        <w:rPr>
          <w:b/>
          <w:i/>
        </w:rPr>
        <w:t> </w:t>
      </w:r>
      <w:r w:rsidR="00BD1800" w:rsidRPr="009C33CA">
        <w:rPr>
          <w:b/>
        </w:rPr>
        <w:t>;</w:t>
      </w:r>
    </w:p>
    <w:p w:rsidR="00BD1800" w:rsidRPr="002B6C28" w:rsidRDefault="004B5CB8" w:rsidP="009C33CA">
      <w:pPr>
        <w:pStyle w:val="SingleTxtG"/>
        <w:ind w:firstLine="567"/>
        <w:rPr>
          <w:b/>
        </w:rPr>
      </w:pPr>
      <w:r w:rsidRPr="009C33CA">
        <w:rPr>
          <w:bCs/>
        </w:rPr>
        <w:t>g)</w:t>
      </w:r>
      <w:r>
        <w:rPr>
          <w:b/>
        </w:rPr>
        <w:tab/>
      </w:r>
      <w:r w:rsidR="00BD1800">
        <w:rPr>
          <w:b/>
        </w:rPr>
        <w:t>Protéger les droits du travail des Batwa</w:t>
      </w:r>
      <w:r w:rsidR="004C1130">
        <w:rPr>
          <w:b/>
        </w:rPr>
        <w:t>s</w:t>
      </w:r>
      <w:r w:rsidR="00BD1800">
        <w:rPr>
          <w:b/>
        </w:rPr>
        <w:t xml:space="preserve">, </w:t>
      </w:r>
      <w:r w:rsidR="00FA533D">
        <w:rPr>
          <w:b/>
        </w:rPr>
        <w:t xml:space="preserve">notamment en ce qui concerne l’accès à l’emploi et les conditions de travail, renforcer les </w:t>
      </w:r>
      <w:r w:rsidR="00BD1800">
        <w:rPr>
          <w:b/>
        </w:rPr>
        <w:t xml:space="preserve">enquêtes </w:t>
      </w:r>
      <w:r w:rsidR="00FA533D">
        <w:rPr>
          <w:b/>
        </w:rPr>
        <w:t xml:space="preserve">sur </w:t>
      </w:r>
      <w:r w:rsidR="00BD1800">
        <w:rPr>
          <w:b/>
        </w:rPr>
        <w:t xml:space="preserve">les discriminations dont ils sont victimes </w:t>
      </w:r>
      <w:r w:rsidR="00FA533D">
        <w:rPr>
          <w:b/>
        </w:rPr>
        <w:t xml:space="preserve">sur le lieu du travail </w:t>
      </w:r>
      <w:r w:rsidR="00BD1800">
        <w:rPr>
          <w:b/>
        </w:rPr>
        <w:t>et accroître leur capacité à porter plainte.</w:t>
      </w:r>
    </w:p>
    <w:p w:rsidR="00911901" w:rsidRPr="00B075C5" w:rsidRDefault="00A7656D" w:rsidP="00A7656D">
      <w:pPr>
        <w:pStyle w:val="H23G"/>
        <w:rPr>
          <w:lang w:eastAsia="en-GB"/>
        </w:rPr>
      </w:pPr>
      <w:r>
        <w:rPr>
          <w:lang w:eastAsia="en-GB"/>
        </w:rPr>
        <w:tab/>
      </w:r>
      <w:r>
        <w:rPr>
          <w:lang w:eastAsia="en-GB"/>
        </w:rPr>
        <w:tab/>
      </w:r>
      <w:r w:rsidR="00911901" w:rsidRPr="00B075C5">
        <w:rPr>
          <w:lang w:eastAsia="en-GB"/>
        </w:rPr>
        <w:t>Participation des Batwa</w:t>
      </w:r>
      <w:r w:rsidR="004C1130">
        <w:rPr>
          <w:lang w:eastAsia="en-GB"/>
        </w:rPr>
        <w:t>s</w:t>
      </w:r>
      <w:r w:rsidR="00911901" w:rsidRPr="00B075C5">
        <w:rPr>
          <w:lang w:eastAsia="en-GB"/>
        </w:rPr>
        <w:t xml:space="preserve"> dans les affaires publiques et politiques</w:t>
      </w:r>
    </w:p>
    <w:p w:rsidR="003D1467" w:rsidRDefault="00E518E0" w:rsidP="00E518E0">
      <w:pPr>
        <w:pStyle w:val="SingleTxtG"/>
        <w:rPr>
          <w:lang w:eastAsia="en-GB"/>
        </w:rPr>
      </w:pPr>
      <w:r>
        <w:rPr>
          <w:lang w:eastAsia="en-GB"/>
        </w:rPr>
        <w:t>16.</w:t>
      </w:r>
      <w:r>
        <w:rPr>
          <w:lang w:eastAsia="en-GB"/>
        </w:rPr>
        <w:tab/>
      </w:r>
      <w:r w:rsidR="00AC3066">
        <w:rPr>
          <w:lang w:eastAsia="en-GB"/>
        </w:rPr>
        <w:t>Le Comité prend note des explications fournies par l’</w:t>
      </w:r>
      <w:r w:rsidR="004449F4">
        <w:rPr>
          <w:lang w:eastAsia="en-GB"/>
        </w:rPr>
        <w:t>État</w:t>
      </w:r>
      <w:r w:rsidR="00AC3066">
        <w:rPr>
          <w:lang w:eastAsia="en-GB"/>
        </w:rPr>
        <w:t xml:space="preserve"> partie</w:t>
      </w:r>
      <w:r w:rsidR="00E40046">
        <w:rPr>
          <w:lang w:eastAsia="en-GB"/>
        </w:rPr>
        <w:t>,</w:t>
      </w:r>
      <w:r w:rsidR="00AC3066">
        <w:rPr>
          <w:lang w:eastAsia="en-GB"/>
        </w:rPr>
        <w:t xml:space="preserve"> notamment la désignation </w:t>
      </w:r>
      <w:r w:rsidR="0035773E">
        <w:rPr>
          <w:lang w:eastAsia="en-GB"/>
        </w:rPr>
        <w:t>par le Chef de l’</w:t>
      </w:r>
      <w:r w:rsidR="004449F4">
        <w:rPr>
          <w:lang w:eastAsia="en-GB"/>
        </w:rPr>
        <w:t>État</w:t>
      </w:r>
      <w:r w:rsidR="0035773E">
        <w:rPr>
          <w:lang w:eastAsia="en-GB"/>
        </w:rPr>
        <w:t xml:space="preserve"> </w:t>
      </w:r>
      <w:r w:rsidR="00AC3066">
        <w:rPr>
          <w:lang w:eastAsia="en-GB"/>
        </w:rPr>
        <w:t xml:space="preserve">d’un sénateur appartenant à la communauté </w:t>
      </w:r>
      <w:r w:rsidR="004C1130">
        <w:rPr>
          <w:lang w:eastAsia="en-GB"/>
        </w:rPr>
        <w:t>batwa</w:t>
      </w:r>
      <w:r w:rsidR="00872A13">
        <w:rPr>
          <w:lang w:eastAsia="en-GB"/>
        </w:rPr>
        <w:t xml:space="preserve">, mais estime qu’elles sont trop générales et ne permettent </w:t>
      </w:r>
      <w:r w:rsidR="00FA533D">
        <w:rPr>
          <w:lang w:eastAsia="en-GB"/>
        </w:rPr>
        <w:t xml:space="preserve">pas </w:t>
      </w:r>
      <w:r w:rsidR="00872A13">
        <w:rPr>
          <w:lang w:eastAsia="en-GB"/>
        </w:rPr>
        <w:t>d’appréhender spécifiquement la participation des Batwa</w:t>
      </w:r>
      <w:r w:rsidR="004C1130">
        <w:rPr>
          <w:lang w:eastAsia="en-GB"/>
        </w:rPr>
        <w:t>s</w:t>
      </w:r>
      <w:r w:rsidR="00872A13">
        <w:rPr>
          <w:lang w:eastAsia="en-GB"/>
        </w:rPr>
        <w:t xml:space="preserve"> aux affaires politiques et publiques, malgré les dispositions de la </w:t>
      </w:r>
      <w:r w:rsidR="00ED69E2">
        <w:rPr>
          <w:lang w:eastAsia="en-GB"/>
        </w:rPr>
        <w:t>Constitution</w:t>
      </w:r>
      <w:r w:rsidR="000653EA">
        <w:rPr>
          <w:lang w:eastAsia="en-GB"/>
        </w:rPr>
        <w:t xml:space="preserve"> (art.</w:t>
      </w:r>
      <w:r w:rsidR="004449F4">
        <w:rPr>
          <w:lang w:eastAsia="en-GB"/>
        </w:rPr>
        <w:t> </w:t>
      </w:r>
      <w:r w:rsidR="000653EA">
        <w:rPr>
          <w:lang w:eastAsia="en-GB"/>
        </w:rPr>
        <w:t>80)</w:t>
      </w:r>
      <w:r w:rsidR="00C55CAA">
        <w:rPr>
          <w:lang w:eastAsia="en-GB"/>
        </w:rPr>
        <w:t xml:space="preserve"> </w:t>
      </w:r>
      <w:r w:rsidR="00872A13">
        <w:rPr>
          <w:lang w:eastAsia="en-GB"/>
        </w:rPr>
        <w:t xml:space="preserve">sur </w:t>
      </w:r>
      <w:r w:rsidR="00AC3066">
        <w:rPr>
          <w:lang w:eastAsia="en-GB"/>
        </w:rPr>
        <w:t>la représentation des « groupes historiquement marginalisés »</w:t>
      </w:r>
      <w:r w:rsidR="00E40046">
        <w:rPr>
          <w:lang w:eastAsia="en-GB"/>
        </w:rPr>
        <w:t>,</w:t>
      </w:r>
      <w:r w:rsidR="00872A13">
        <w:rPr>
          <w:lang w:eastAsia="en-GB"/>
        </w:rPr>
        <w:t xml:space="preserve"> </w:t>
      </w:r>
      <w:r w:rsidR="00AC3066">
        <w:rPr>
          <w:lang w:eastAsia="en-GB"/>
        </w:rPr>
        <w:t>ta</w:t>
      </w:r>
      <w:r w:rsidR="00ED69E2">
        <w:rPr>
          <w:lang w:eastAsia="en-GB"/>
        </w:rPr>
        <w:t>nt au niveau national que local (art. </w:t>
      </w:r>
      <w:r w:rsidR="00AC3066">
        <w:rPr>
          <w:lang w:eastAsia="en-GB"/>
        </w:rPr>
        <w:t>5).</w:t>
      </w:r>
    </w:p>
    <w:p w:rsidR="00AC3066" w:rsidRDefault="00E518E0" w:rsidP="00E518E0">
      <w:pPr>
        <w:pStyle w:val="SingleTxtG"/>
        <w:rPr>
          <w:b/>
          <w:lang w:eastAsia="en-GB"/>
        </w:rPr>
      </w:pPr>
      <w:r>
        <w:rPr>
          <w:lang w:eastAsia="en-GB"/>
        </w:rPr>
        <w:t>17.</w:t>
      </w:r>
      <w:r>
        <w:rPr>
          <w:lang w:eastAsia="en-GB"/>
        </w:rPr>
        <w:tab/>
      </w:r>
      <w:r w:rsidR="00AC3066" w:rsidRPr="00A7656D">
        <w:rPr>
          <w:b/>
        </w:rPr>
        <w:t>Compte</w:t>
      </w:r>
      <w:r w:rsidR="00AC3066" w:rsidRPr="00A7656D">
        <w:rPr>
          <w:b/>
          <w:lang w:eastAsia="en-GB"/>
        </w:rPr>
        <w:t xml:space="preserve"> </w:t>
      </w:r>
      <w:r w:rsidR="00AC3066" w:rsidRPr="00B075C5">
        <w:rPr>
          <w:b/>
          <w:lang w:eastAsia="en-GB"/>
        </w:rPr>
        <w:t>tenu de la reconnaissance des Batwa</w:t>
      </w:r>
      <w:r w:rsidR="004C1130">
        <w:rPr>
          <w:b/>
          <w:lang w:eastAsia="en-GB"/>
        </w:rPr>
        <w:t>s</w:t>
      </w:r>
      <w:r w:rsidR="00AC3066" w:rsidRPr="00B075C5">
        <w:rPr>
          <w:b/>
          <w:lang w:eastAsia="en-GB"/>
        </w:rPr>
        <w:t xml:space="preserve"> comme un des « groupes historiquement marginalisés »</w:t>
      </w:r>
      <w:r w:rsidR="00873F6A">
        <w:rPr>
          <w:b/>
          <w:lang w:eastAsia="en-GB"/>
        </w:rPr>
        <w:t xml:space="preserve"> du pays</w:t>
      </w:r>
      <w:r w:rsidR="00AC3066" w:rsidRPr="00B075C5">
        <w:rPr>
          <w:b/>
          <w:lang w:eastAsia="en-GB"/>
        </w:rPr>
        <w:t xml:space="preserve">, le Comité </w:t>
      </w:r>
      <w:r w:rsidR="00C55CAA" w:rsidRPr="00B075C5">
        <w:rPr>
          <w:b/>
          <w:lang w:eastAsia="en-GB"/>
        </w:rPr>
        <w:t>recommand</w:t>
      </w:r>
      <w:r w:rsidR="00C55CAA">
        <w:rPr>
          <w:b/>
          <w:lang w:eastAsia="en-GB"/>
        </w:rPr>
        <w:t xml:space="preserve">e </w:t>
      </w:r>
      <w:r w:rsidR="00AC3066" w:rsidRPr="00B075C5">
        <w:rPr>
          <w:b/>
          <w:lang w:eastAsia="en-GB"/>
        </w:rPr>
        <w:t>à l’</w:t>
      </w:r>
      <w:r w:rsidR="004449F4" w:rsidRPr="00B075C5">
        <w:rPr>
          <w:b/>
          <w:lang w:eastAsia="en-GB"/>
        </w:rPr>
        <w:t>État</w:t>
      </w:r>
      <w:r w:rsidR="00AC3066" w:rsidRPr="00B075C5">
        <w:rPr>
          <w:b/>
          <w:lang w:eastAsia="en-GB"/>
        </w:rPr>
        <w:t xml:space="preserve"> partie de prendre des mesures spéciales visant </w:t>
      </w:r>
      <w:r w:rsidR="00AC3066">
        <w:rPr>
          <w:b/>
          <w:lang w:eastAsia="en-GB"/>
        </w:rPr>
        <w:t xml:space="preserve">à mettre en place une politique plus ambitieuse, audacieuse et dynamique </w:t>
      </w:r>
      <w:r w:rsidR="00C55CAA">
        <w:rPr>
          <w:b/>
          <w:lang w:eastAsia="en-GB"/>
        </w:rPr>
        <w:t xml:space="preserve">afin de </w:t>
      </w:r>
      <w:r w:rsidR="00AC3066">
        <w:rPr>
          <w:b/>
          <w:lang w:eastAsia="en-GB"/>
        </w:rPr>
        <w:t>faciliter l’intégration effective des Batwa</w:t>
      </w:r>
      <w:r w:rsidR="004C1130">
        <w:rPr>
          <w:b/>
          <w:lang w:eastAsia="en-GB"/>
        </w:rPr>
        <w:t>s</w:t>
      </w:r>
      <w:r w:rsidR="00AC3066">
        <w:rPr>
          <w:b/>
          <w:lang w:eastAsia="en-GB"/>
        </w:rPr>
        <w:t xml:space="preserve"> </w:t>
      </w:r>
      <w:r w:rsidR="00FC29A0">
        <w:rPr>
          <w:b/>
          <w:lang w:eastAsia="en-GB"/>
        </w:rPr>
        <w:t>dans les</w:t>
      </w:r>
      <w:r w:rsidR="00AC3066">
        <w:rPr>
          <w:b/>
          <w:lang w:eastAsia="en-GB"/>
        </w:rPr>
        <w:t xml:space="preserve"> affaires politiques et publiques</w:t>
      </w:r>
      <w:r w:rsidR="00872A13">
        <w:rPr>
          <w:b/>
          <w:lang w:eastAsia="en-GB"/>
        </w:rPr>
        <w:t xml:space="preserve"> notamment à des postes au sein des administrations, de la police</w:t>
      </w:r>
      <w:r w:rsidR="00FA533D">
        <w:rPr>
          <w:b/>
          <w:lang w:eastAsia="en-GB"/>
        </w:rPr>
        <w:t>,</w:t>
      </w:r>
      <w:r w:rsidR="00A02B88">
        <w:rPr>
          <w:b/>
          <w:lang w:eastAsia="en-GB"/>
        </w:rPr>
        <w:t xml:space="preserve"> </w:t>
      </w:r>
      <w:r w:rsidR="00872A13">
        <w:rPr>
          <w:b/>
          <w:lang w:eastAsia="en-GB"/>
        </w:rPr>
        <w:t>de l’armée</w:t>
      </w:r>
      <w:r w:rsidR="00DA568B">
        <w:rPr>
          <w:b/>
          <w:lang w:eastAsia="en-GB"/>
        </w:rPr>
        <w:t xml:space="preserve"> et</w:t>
      </w:r>
      <w:r w:rsidR="00872A13">
        <w:rPr>
          <w:b/>
          <w:lang w:eastAsia="en-GB"/>
        </w:rPr>
        <w:t xml:space="preserve"> des assemblées élues. </w:t>
      </w:r>
      <w:r w:rsidR="00FC29A0">
        <w:rPr>
          <w:b/>
          <w:lang w:eastAsia="en-GB"/>
        </w:rPr>
        <w:t>L’</w:t>
      </w:r>
      <w:r w:rsidR="004449F4">
        <w:rPr>
          <w:b/>
          <w:lang w:eastAsia="en-GB"/>
        </w:rPr>
        <w:t>État</w:t>
      </w:r>
      <w:r w:rsidR="00FC29A0">
        <w:rPr>
          <w:b/>
          <w:lang w:eastAsia="en-GB"/>
        </w:rPr>
        <w:t xml:space="preserve"> partie devrait, en outre, intensifier </w:t>
      </w:r>
      <w:r w:rsidR="00030DDA">
        <w:rPr>
          <w:b/>
          <w:lang w:eastAsia="en-GB"/>
        </w:rPr>
        <w:t>l</w:t>
      </w:r>
      <w:r w:rsidR="00FC29A0">
        <w:rPr>
          <w:b/>
          <w:lang w:eastAsia="en-GB"/>
        </w:rPr>
        <w:t xml:space="preserve">es campagnes de sensibilisation </w:t>
      </w:r>
      <w:r w:rsidR="00873F6A">
        <w:rPr>
          <w:b/>
          <w:lang w:eastAsia="en-GB"/>
        </w:rPr>
        <w:t xml:space="preserve">auprès </w:t>
      </w:r>
      <w:r w:rsidR="00FC29A0">
        <w:rPr>
          <w:b/>
          <w:lang w:eastAsia="en-GB"/>
        </w:rPr>
        <w:t>des Batwa</w:t>
      </w:r>
      <w:r w:rsidR="004C1130">
        <w:rPr>
          <w:b/>
          <w:lang w:eastAsia="en-GB"/>
        </w:rPr>
        <w:t>s</w:t>
      </w:r>
      <w:r w:rsidR="00FC29A0">
        <w:rPr>
          <w:b/>
          <w:lang w:eastAsia="en-GB"/>
        </w:rPr>
        <w:t xml:space="preserve"> sur l’importance de leur participation à la vie politique et publique, ainsi qu</w:t>
      </w:r>
      <w:r w:rsidR="00C55CAA">
        <w:rPr>
          <w:b/>
          <w:lang w:eastAsia="en-GB"/>
        </w:rPr>
        <w:t xml:space="preserve">’auprès du </w:t>
      </w:r>
      <w:r w:rsidR="00FC29A0">
        <w:rPr>
          <w:b/>
          <w:lang w:eastAsia="en-GB"/>
        </w:rPr>
        <w:t>reste de la population</w:t>
      </w:r>
      <w:r w:rsidR="00C55CAA">
        <w:rPr>
          <w:b/>
          <w:lang w:eastAsia="en-GB"/>
        </w:rPr>
        <w:t xml:space="preserve"> sur la nécessité d’intégrer ce groupe</w:t>
      </w:r>
      <w:r w:rsidR="00FC29A0">
        <w:rPr>
          <w:b/>
          <w:lang w:eastAsia="en-GB"/>
        </w:rPr>
        <w:t>.</w:t>
      </w:r>
      <w:r w:rsidR="00A02B88">
        <w:rPr>
          <w:b/>
          <w:lang w:eastAsia="en-GB"/>
        </w:rPr>
        <w:t xml:space="preserve"> </w:t>
      </w:r>
    </w:p>
    <w:p w:rsidR="00FC29A0" w:rsidRDefault="00A7656D" w:rsidP="00A7656D">
      <w:pPr>
        <w:pStyle w:val="H23G"/>
        <w:rPr>
          <w:lang w:eastAsia="en-GB"/>
        </w:rPr>
      </w:pPr>
      <w:r>
        <w:rPr>
          <w:lang w:eastAsia="en-GB"/>
        </w:rPr>
        <w:tab/>
      </w:r>
      <w:r>
        <w:rPr>
          <w:lang w:eastAsia="en-GB"/>
        </w:rPr>
        <w:tab/>
      </w:r>
      <w:r w:rsidR="00FC29A0">
        <w:rPr>
          <w:lang w:eastAsia="en-GB"/>
        </w:rPr>
        <w:t>Question</w:t>
      </w:r>
      <w:r w:rsidR="00C55CAA">
        <w:rPr>
          <w:lang w:eastAsia="en-GB"/>
        </w:rPr>
        <w:t>s foncières</w:t>
      </w:r>
    </w:p>
    <w:p w:rsidR="00FC29A0" w:rsidRPr="00B075C5" w:rsidRDefault="00E518E0" w:rsidP="00E518E0">
      <w:pPr>
        <w:pStyle w:val="SingleTxtG"/>
        <w:rPr>
          <w:b/>
          <w:lang w:eastAsia="en-GB"/>
        </w:rPr>
      </w:pPr>
      <w:r w:rsidRPr="00B075C5">
        <w:rPr>
          <w:lang w:eastAsia="en-GB"/>
        </w:rPr>
        <w:t>18.</w:t>
      </w:r>
      <w:r w:rsidRPr="00B075C5">
        <w:rPr>
          <w:lang w:eastAsia="en-GB"/>
        </w:rPr>
        <w:tab/>
      </w:r>
      <w:r w:rsidR="00FC29A0">
        <w:rPr>
          <w:lang w:eastAsia="en-GB"/>
        </w:rPr>
        <w:t>Le Comité prend note des informations fournies par l’</w:t>
      </w:r>
      <w:r w:rsidR="004449F4">
        <w:rPr>
          <w:lang w:eastAsia="en-GB"/>
        </w:rPr>
        <w:t>État</w:t>
      </w:r>
      <w:r w:rsidR="00FC29A0">
        <w:rPr>
          <w:lang w:eastAsia="en-GB"/>
        </w:rPr>
        <w:t xml:space="preserve"> partie concernant l</w:t>
      </w:r>
      <w:r w:rsidR="00FA533D">
        <w:rPr>
          <w:lang w:eastAsia="en-GB"/>
        </w:rPr>
        <w:t>’</w:t>
      </w:r>
      <w:r w:rsidR="00FC29A0">
        <w:rPr>
          <w:lang w:eastAsia="en-GB"/>
        </w:rPr>
        <w:t>éviction des Batwa</w:t>
      </w:r>
      <w:r w:rsidR="004C1130">
        <w:rPr>
          <w:lang w:eastAsia="en-GB"/>
        </w:rPr>
        <w:t>s</w:t>
      </w:r>
      <w:r w:rsidR="00FC29A0">
        <w:rPr>
          <w:lang w:eastAsia="en-GB"/>
        </w:rPr>
        <w:t xml:space="preserve"> des terres forestières </w:t>
      </w:r>
      <w:r w:rsidR="00EE2B21">
        <w:rPr>
          <w:lang w:eastAsia="en-GB"/>
        </w:rPr>
        <w:t xml:space="preserve">sur </w:t>
      </w:r>
      <w:r w:rsidR="00FC29A0">
        <w:rPr>
          <w:lang w:eastAsia="en-GB"/>
        </w:rPr>
        <w:t xml:space="preserve">lesquelles ils vivaient et des explications justifiant qu’ils n’aient pas été indemnisés. Le Comité prend aussi note des informations sur les programmes de relogement </w:t>
      </w:r>
      <w:r w:rsidR="00BB1A2C">
        <w:rPr>
          <w:lang w:eastAsia="en-GB"/>
        </w:rPr>
        <w:t xml:space="preserve">dont </w:t>
      </w:r>
      <w:r w:rsidR="00872A13">
        <w:rPr>
          <w:lang w:eastAsia="en-GB"/>
        </w:rPr>
        <w:t xml:space="preserve">ils </w:t>
      </w:r>
      <w:r w:rsidR="00BB1A2C">
        <w:rPr>
          <w:lang w:eastAsia="en-GB"/>
        </w:rPr>
        <w:t>ont pu béné</w:t>
      </w:r>
      <w:r w:rsidR="00FC29A0">
        <w:rPr>
          <w:lang w:eastAsia="en-GB"/>
        </w:rPr>
        <w:t>fic</w:t>
      </w:r>
      <w:r w:rsidR="00316BE6">
        <w:rPr>
          <w:lang w:eastAsia="en-GB"/>
        </w:rPr>
        <w:t>ier</w:t>
      </w:r>
      <w:r w:rsidR="00BB1A2C">
        <w:rPr>
          <w:lang w:eastAsia="en-GB"/>
        </w:rPr>
        <w:t xml:space="preserve"> ainsi que des efforts visant leur intégration dans le reste de la population</w:t>
      </w:r>
      <w:r w:rsidR="00FC29A0">
        <w:rPr>
          <w:lang w:eastAsia="en-GB"/>
        </w:rPr>
        <w:t xml:space="preserve">. Néanmoins, le Comité reste préoccupé par le fait que </w:t>
      </w:r>
      <w:r w:rsidR="00BB1A2C">
        <w:rPr>
          <w:lang w:eastAsia="en-GB"/>
        </w:rPr>
        <w:t>les évictions forcées des Batwa</w:t>
      </w:r>
      <w:r w:rsidR="004C1130">
        <w:rPr>
          <w:lang w:eastAsia="en-GB"/>
        </w:rPr>
        <w:t>s</w:t>
      </w:r>
      <w:r w:rsidR="00BB1A2C">
        <w:rPr>
          <w:lang w:eastAsia="en-GB"/>
        </w:rPr>
        <w:t xml:space="preserve"> de terres traditionnelles qu’ils occupaient aux fins de </w:t>
      </w:r>
      <w:r w:rsidR="00EE2B21">
        <w:rPr>
          <w:lang w:eastAsia="en-GB"/>
        </w:rPr>
        <w:t xml:space="preserve">la </w:t>
      </w:r>
      <w:r w:rsidR="00BB1A2C">
        <w:rPr>
          <w:lang w:eastAsia="en-GB"/>
        </w:rPr>
        <w:t>création et d</w:t>
      </w:r>
      <w:r w:rsidR="00EE2B21">
        <w:rPr>
          <w:lang w:eastAsia="en-GB"/>
        </w:rPr>
        <w:t>e l</w:t>
      </w:r>
      <w:r w:rsidR="00BB1A2C">
        <w:rPr>
          <w:lang w:eastAsia="en-GB"/>
        </w:rPr>
        <w:t>’aménagement de parcs</w:t>
      </w:r>
      <w:r w:rsidR="00872A13">
        <w:rPr>
          <w:lang w:eastAsia="en-GB"/>
        </w:rPr>
        <w:t xml:space="preserve"> nationaux</w:t>
      </w:r>
      <w:r w:rsidR="00030DDA">
        <w:rPr>
          <w:lang w:eastAsia="en-GB"/>
        </w:rPr>
        <w:t xml:space="preserve"> qui pourraient avoir contribué au décroissement de leur population</w:t>
      </w:r>
      <w:r w:rsidR="00BB1A2C">
        <w:rPr>
          <w:lang w:eastAsia="en-GB"/>
        </w:rPr>
        <w:t xml:space="preserve"> ont profondément pertu</w:t>
      </w:r>
      <w:r w:rsidR="00872A13">
        <w:rPr>
          <w:lang w:eastAsia="en-GB"/>
        </w:rPr>
        <w:t>r</w:t>
      </w:r>
      <w:r w:rsidR="00BB1A2C">
        <w:rPr>
          <w:lang w:eastAsia="en-GB"/>
        </w:rPr>
        <w:t>bé leur mode de vie traditionnel</w:t>
      </w:r>
      <w:r w:rsidR="00EE2B21">
        <w:rPr>
          <w:lang w:eastAsia="en-GB"/>
        </w:rPr>
        <w:t>,</w:t>
      </w:r>
      <w:r w:rsidR="00BB1A2C">
        <w:rPr>
          <w:lang w:eastAsia="en-GB"/>
        </w:rPr>
        <w:t xml:space="preserve"> ce qui les empêche d’avoir des activités génératrices de revenus et </w:t>
      </w:r>
      <w:r w:rsidR="00872A13">
        <w:rPr>
          <w:lang w:eastAsia="en-GB"/>
        </w:rPr>
        <w:t xml:space="preserve">a accru </w:t>
      </w:r>
      <w:r w:rsidR="00BB1A2C">
        <w:rPr>
          <w:lang w:eastAsia="en-GB"/>
        </w:rPr>
        <w:t>leur pauvreté. En outre, le Comité relève avec préoccupation l’absence de mesures d’accompagnement adéquates pour une pleine intégration des Batwa</w:t>
      </w:r>
      <w:r w:rsidR="004C1130">
        <w:rPr>
          <w:lang w:eastAsia="en-GB"/>
        </w:rPr>
        <w:t>s</w:t>
      </w:r>
      <w:r w:rsidR="00BB1A2C">
        <w:rPr>
          <w:lang w:eastAsia="en-GB"/>
        </w:rPr>
        <w:t>, notamment la distribution de terres</w:t>
      </w:r>
      <w:r w:rsidR="00872A13">
        <w:rPr>
          <w:lang w:eastAsia="en-GB"/>
        </w:rPr>
        <w:t xml:space="preserve"> en </w:t>
      </w:r>
      <w:r w:rsidR="00BB1A2C">
        <w:rPr>
          <w:lang w:eastAsia="en-GB"/>
        </w:rPr>
        <w:t>compensation des terres qu’ils avaient perdues</w:t>
      </w:r>
      <w:r w:rsidR="00C55CAA">
        <w:rPr>
          <w:lang w:eastAsia="en-GB"/>
        </w:rPr>
        <w:t xml:space="preserve"> </w:t>
      </w:r>
      <w:r w:rsidR="00BB1A2C">
        <w:rPr>
          <w:lang w:eastAsia="en-GB"/>
        </w:rPr>
        <w:t>(art.</w:t>
      </w:r>
      <w:r w:rsidR="00ED69E2">
        <w:rPr>
          <w:lang w:eastAsia="en-GB"/>
        </w:rPr>
        <w:t> </w:t>
      </w:r>
      <w:r w:rsidR="00BB1A2C">
        <w:rPr>
          <w:lang w:eastAsia="en-GB"/>
        </w:rPr>
        <w:t>5).</w:t>
      </w:r>
    </w:p>
    <w:p w:rsidR="00725E46" w:rsidRPr="008F6A4D" w:rsidRDefault="00E518E0" w:rsidP="00E518E0">
      <w:pPr>
        <w:pStyle w:val="SingleTxtG"/>
        <w:rPr>
          <w:b/>
          <w:lang w:eastAsia="en-GB"/>
        </w:rPr>
      </w:pPr>
      <w:r w:rsidRPr="008F6A4D">
        <w:rPr>
          <w:lang w:eastAsia="en-GB"/>
        </w:rPr>
        <w:t>19.</w:t>
      </w:r>
      <w:r w:rsidRPr="008F6A4D">
        <w:rPr>
          <w:lang w:eastAsia="en-GB"/>
        </w:rPr>
        <w:tab/>
      </w:r>
      <w:r w:rsidR="00BB1A2C" w:rsidRPr="00B075C5">
        <w:rPr>
          <w:b/>
          <w:lang w:eastAsia="en-GB"/>
        </w:rPr>
        <w:t>Le Comité réitère sa recommandation à l’</w:t>
      </w:r>
      <w:r w:rsidR="005F48E4" w:rsidRPr="00B075C5">
        <w:rPr>
          <w:b/>
          <w:lang w:eastAsia="en-GB"/>
        </w:rPr>
        <w:t>État</w:t>
      </w:r>
      <w:r w:rsidR="00BB1A2C" w:rsidRPr="00B075C5">
        <w:rPr>
          <w:b/>
          <w:lang w:eastAsia="en-GB"/>
        </w:rPr>
        <w:t xml:space="preserve"> partie d’envisager la mise en place de </w:t>
      </w:r>
      <w:r w:rsidR="00BB1A2C" w:rsidRPr="002B6C28">
        <w:rPr>
          <w:b/>
        </w:rPr>
        <w:t>mesures</w:t>
      </w:r>
      <w:r w:rsidR="00BB1A2C" w:rsidRPr="00B075C5">
        <w:rPr>
          <w:b/>
          <w:lang w:eastAsia="en-GB"/>
        </w:rPr>
        <w:t xml:space="preserve"> spécifiques en consultation et </w:t>
      </w:r>
      <w:r w:rsidR="008D0723">
        <w:rPr>
          <w:b/>
          <w:lang w:eastAsia="en-GB"/>
        </w:rPr>
        <w:t xml:space="preserve">en </w:t>
      </w:r>
      <w:r w:rsidR="00BB1A2C" w:rsidRPr="00B075C5">
        <w:rPr>
          <w:b/>
          <w:lang w:eastAsia="en-GB"/>
        </w:rPr>
        <w:t xml:space="preserve">accord </w:t>
      </w:r>
      <w:r w:rsidR="008D0723">
        <w:rPr>
          <w:b/>
          <w:lang w:eastAsia="en-GB"/>
        </w:rPr>
        <w:t>avec l</w:t>
      </w:r>
      <w:r w:rsidR="008D0723" w:rsidRPr="00B075C5">
        <w:rPr>
          <w:b/>
          <w:lang w:eastAsia="en-GB"/>
        </w:rPr>
        <w:t xml:space="preserve">es </w:t>
      </w:r>
      <w:r w:rsidR="00BB1A2C" w:rsidRPr="00B075C5">
        <w:rPr>
          <w:b/>
          <w:lang w:eastAsia="en-GB"/>
        </w:rPr>
        <w:t>Batwa</w:t>
      </w:r>
      <w:r w:rsidR="004C1130">
        <w:rPr>
          <w:b/>
          <w:lang w:eastAsia="en-GB"/>
        </w:rPr>
        <w:t>s</w:t>
      </w:r>
      <w:r w:rsidR="00BB1A2C" w:rsidRPr="00B075C5">
        <w:rPr>
          <w:b/>
          <w:lang w:eastAsia="en-GB"/>
        </w:rPr>
        <w:t xml:space="preserve">, </w:t>
      </w:r>
      <w:r w:rsidR="00C55CAA">
        <w:rPr>
          <w:b/>
          <w:lang w:eastAsia="en-GB"/>
        </w:rPr>
        <w:t>dans le but</w:t>
      </w:r>
      <w:r w:rsidR="00BB1A2C" w:rsidRPr="00B075C5">
        <w:rPr>
          <w:b/>
          <w:lang w:eastAsia="en-GB"/>
        </w:rPr>
        <w:t xml:space="preserve"> de proposer à ceux qui le veulent des </w:t>
      </w:r>
      <w:r w:rsidR="00BB1A2C">
        <w:rPr>
          <w:b/>
          <w:lang w:eastAsia="en-GB"/>
        </w:rPr>
        <w:t xml:space="preserve">parcelles de terre afin </w:t>
      </w:r>
      <w:r w:rsidR="00872A13">
        <w:rPr>
          <w:b/>
          <w:lang w:eastAsia="en-GB"/>
        </w:rPr>
        <w:t xml:space="preserve">de leur permettre </w:t>
      </w:r>
      <w:r w:rsidR="008F6A4D">
        <w:rPr>
          <w:b/>
          <w:lang w:eastAsia="en-GB"/>
        </w:rPr>
        <w:t xml:space="preserve">de </w:t>
      </w:r>
      <w:r w:rsidR="00BB1A2C">
        <w:rPr>
          <w:b/>
          <w:lang w:eastAsia="en-GB"/>
        </w:rPr>
        <w:t xml:space="preserve">mener des activités génératrices de revenus. Le Comité souligne que de telles mesures seraient </w:t>
      </w:r>
      <w:r w:rsidR="002E1C69">
        <w:rPr>
          <w:b/>
          <w:lang w:eastAsia="en-GB"/>
        </w:rPr>
        <w:t xml:space="preserve">nécessaires pour </w:t>
      </w:r>
      <w:r w:rsidR="00030DDA">
        <w:rPr>
          <w:b/>
          <w:lang w:eastAsia="en-GB"/>
        </w:rPr>
        <w:t xml:space="preserve">mettre un terme au décroissement de la population </w:t>
      </w:r>
      <w:r w:rsidR="004C1130">
        <w:rPr>
          <w:b/>
          <w:lang w:eastAsia="en-GB"/>
        </w:rPr>
        <w:t>b</w:t>
      </w:r>
      <w:r w:rsidR="00030DDA">
        <w:rPr>
          <w:b/>
          <w:lang w:eastAsia="en-GB"/>
        </w:rPr>
        <w:t xml:space="preserve">atwa, </w:t>
      </w:r>
      <w:r w:rsidR="00BB1A2C">
        <w:rPr>
          <w:b/>
          <w:lang w:eastAsia="en-GB"/>
        </w:rPr>
        <w:t>favoriser l</w:t>
      </w:r>
      <w:r w:rsidR="00030DDA">
        <w:rPr>
          <w:b/>
          <w:lang w:eastAsia="en-GB"/>
        </w:rPr>
        <w:t xml:space="preserve">eur </w:t>
      </w:r>
      <w:r w:rsidR="00BB1A2C">
        <w:rPr>
          <w:b/>
          <w:lang w:eastAsia="en-GB"/>
        </w:rPr>
        <w:t>intégration</w:t>
      </w:r>
      <w:r w:rsidR="00030DDA">
        <w:rPr>
          <w:b/>
          <w:lang w:eastAsia="en-GB"/>
        </w:rPr>
        <w:t xml:space="preserve"> </w:t>
      </w:r>
      <w:r w:rsidR="00BB1A2C">
        <w:rPr>
          <w:b/>
          <w:lang w:eastAsia="en-GB"/>
        </w:rPr>
        <w:t>dans le reste de la société</w:t>
      </w:r>
      <w:r w:rsidR="002E1C69">
        <w:rPr>
          <w:b/>
          <w:lang w:eastAsia="en-GB"/>
        </w:rPr>
        <w:t xml:space="preserve"> et réduire leur pauvreté</w:t>
      </w:r>
      <w:r w:rsidR="00BB1A2C">
        <w:rPr>
          <w:b/>
          <w:lang w:eastAsia="en-GB"/>
        </w:rPr>
        <w:t>.</w:t>
      </w:r>
    </w:p>
    <w:p w:rsidR="00F37211" w:rsidRPr="007B54DC" w:rsidRDefault="00A7656D" w:rsidP="00A7656D">
      <w:pPr>
        <w:pStyle w:val="H23G"/>
      </w:pPr>
      <w:r>
        <w:lastRenderedPageBreak/>
        <w:tab/>
      </w:r>
      <w:r>
        <w:tab/>
      </w:r>
      <w:r w:rsidR="00F37211" w:rsidRPr="00B075C5">
        <w:t>Situation des réfugiés et demandeurs d’asile</w:t>
      </w:r>
    </w:p>
    <w:p w:rsidR="00725E46" w:rsidRDefault="00E518E0" w:rsidP="00E518E0">
      <w:pPr>
        <w:pStyle w:val="SingleTxtG"/>
        <w:rPr>
          <w:lang w:eastAsia="en-GB"/>
        </w:rPr>
      </w:pPr>
      <w:r>
        <w:rPr>
          <w:lang w:eastAsia="en-GB"/>
        </w:rPr>
        <w:t>20.</w:t>
      </w:r>
      <w:r>
        <w:rPr>
          <w:lang w:eastAsia="en-GB"/>
        </w:rPr>
        <w:tab/>
      </w:r>
      <w:r w:rsidR="00725E46">
        <w:t>Tout</w:t>
      </w:r>
      <w:r w:rsidR="00725E46">
        <w:rPr>
          <w:lang w:eastAsia="en-GB"/>
        </w:rPr>
        <w:t xml:space="preserve"> en prenant note des informations fournies par l’</w:t>
      </w:r>
      <w:r w:rsidR="005F48E4">
        <w:rPr>
          <w:lang w:eastAsia="en-GB"/>
        </w:rPr>
        <w:t>État</w:t>
      </w:r>
      <w:r w:rsidR="00725E46">
        <w:rPr>
          <w:lang w:eastAsia="en-GB"/>
        </w:rPr>
        <w:t xml:space="preserve"> partie</w:t>
      </w:r>
      <w:r w:rsidR="00725E46" w:rsidRPr="00B075C5">
        <w:rPr>
          <w:lang w:eastAsia="en-GB"/>
        </w:rPr>
        <w:t>, le Comité est préo</w:t>
      </w:r>
      <w:r w:rsidR="00725E46">
        <w:rPr>
          <w:lang w:eastAsia="en-GB"/>
        </w:rPr>
        <w:t>ccupé par les informations faisant état : a) d’une possible reloca</w:t>
      </w:r>
      <w:r w:rsidR="00597F53">
        <w:rPr>
          <w:lang w:eastAsia="en-GB"/>
        </w:rPr>
        <w:t>lisa</w:t>
      </w:r>
      <w:r w:rsidR="00725E46">
        <w:rPr>
          <w:lang w:eastAsia="en-GB"/>
        </w:rPr>
        <w:t xml:space="preserve">tion des réfugiés burundais dans des pays tiers ; b) du fait que certaines demandes d’asile déposées par </w:t>
      </w:r>
      <w:r w:rsidR="00597F53">
        <w:rPr>
          <w:lang w:eastAsia="en-GB"/>
        </w:rPr>
        <w:t>d</w:t>
      </w:r>
      <w:r w:rsidR="00725E46">
        <w:rPr>
          <w:lang w:eastAsia="en-GB"/>
        </w:rPr>
        <w:t>es Erythréens et des Sud-</w:t>
      </w:r>
      <w:r w:rsidR="00C82162">
        <w:rPr>
          <w:lang w:eastAsia="en-GB"/>
        </w:rPr>
        <w:t xml:space="preserve">Soudanais </w:t>
      </w:r>
      <w:r w:rsidR="00725E46">
        <w:rPr>
          <w:lang w:eastAsia="en-GB"/>
        </w:rPr>
        <w:t>auprès de la D</w:t>
      </w:r>
      <w:r w:rsidR="00742B43">
        <w:rPr>
          <w:lang w:eastAsia="en-GB"/>
        </w:rPr>
        <w:t xml:space="preserve">irection </w:t>
      </w:r>
      <w:r w:rsidR="00597F53">
        <w:rPr>
          <w:lang w:eastAsia="en-GB"/>
        </w:rPr>
        <w:t xml:space="preserve">générale </w:t>
      </w:r>
      <w:r w:rsidR="00742B43">
        <w:rPr>
          <w:lang w:eastAsia="en-GB"/>
        </w:rPr>
        <w:t>d</w:t>
      </w:r>
      <w:r w:rsidR="00597F53">
        <w:rPr>
          <w:lang w:eastAsia="en-GB"/>
        </w:rPr>
        <w:t xml:space="preserve">e l’immigration </w:t>
      </w:r>
      <w:r w:rsidR="00742B43">
        <w:rPr>
          <w:lang w:eastAsia="en-GB"/>
        </w:rPr>
        <w:t xml:space="preserve">et </w:t>
      </w:r>
      <w:r w:rsidR="00597F53">
        <w:rPr>
          <w:lang w:eastAsia="en-GB"/>
        </w:rPr>
        <w:t>de l</w:t>
      </w:r>
      <w:r w:rsidR="00597F53" w:rsidRPr="00926DC8">
        <w:rPr>
          <w:lang w:eastAsia="en-GB"/>
        </w:rPr>
        <w:t>’</w:t>
      </w:r>
      <w:r w:rsidR="00597F53">
        <w:rPr>
          <w:lang w:eastAsia="en-GB"/>
        </w:rPr>
        <w:t>é</w:t>
      </w:r>
      <w:r w:rsidR="00742B43">
        <w:rPr>
          <w:lang w:eastAsia="en-GB"/>
        </w:rPr>
        <w:t>migration</w:t>
      </w:r>
      <w:r w:rsidR="00725E46">
        <w:rPr>
          <w:lang w:eastAsia="en-GB"/>
        </w:rPr>
        <w:t xml:space="preserve"> n’</w:t>
      </w:r>
      <w:r w:rsidR="00030DDA">
        <w:rPr>
          <w:lang w:eastAsia="en-GB"/>
        </w:rPr>
        <w:t xml:space="preserve">ont </w:t>
      </w:r>
      <w:r w:rsidR="00725E46">
        <w:rPr>
          <w:lang w:eastAsia="en-GB"/>
        </w:rPr>
        <w:t xml:space="preserve">pas été </w:t>
      </w:r>
      <w:r w:rsidR="00030DDA">
        <w:rPr>
          <w:lang w:eastAsia="en-GB"/>
        </w:rPr>
        <w:t xml:space="preserve">immédiatement </w:t>
      </w:r>
      <w:r w:rsidR="00725E46">
        <w:rPr>
          <w:lang w:eastAsia="en-GB"/>
        </w:rPr>
        <w:t xml:space="preserve">transmises </w:t>
      </w:r>
      <w:r w:rsidR="00A91CEA">
        <w:rPr>
          <w:lang w:eastAsia="en-GB"/>
        </w:rPr>
        <w:t>au Comité de détermination du statut de réfugié du Rwanda</w:t>
      </w:r>
      <w:r w:rsidR="00725E46">
        <w:rPr>
          <w:lang w:eastAsia="en-GB"/>
        </w:rPr>
        <w:t xml:space="preserve">, malgré le délai de </w:t>
      </w:r>
      <w:r w:rsidR="00597F53">
        <w:rPr>
          <w:lang w:eastAsia="en-GB"/>
        </w:rPr>
        <w:t xml:space="preserve">quinze </w:t>
      </w:r>
      <w:r w:rsidR="00725E46">
        <w:rPr>
          <w:lang w:eastAsia="en-GB"/>
        </w:rPr>
        <w:t>jours fixé par la législation de l’</w:t>
      </w:r>
      <w:r w:rsidR="005F48E4">
        <w:rPr>
          <w:lang w:eastAsia="en-GB"/>
        </w:rPr>
        <w:t>État</w:t>
      </w:r>
      <w:r w:rsidR="00725E46">
        <w:rPr>
          <w:lang w:eastAsia="en-GB"/>
        </w:rPr>
        <w:t xml:space="preserve"> partie</w:t>
      </w:r>
      <w:r w:rsidR="005F48E4">
        <w:rPr>
          <w:lang w:eastAsia="en-GB"/>
        </w:rPr>
        <w:t xml:space="preserve"> </w:t>
      </w:r>
      <w:r w:rsidR="00A91CEA">
        <w:rPr>
          <w:lang w:eastAsia="en-GB"/>
        </w:rPr>
        <w:t>sur l’asile</w:t>
      </w:r>
      <w:r w:rsidR="00597F53">
        <w:rPr>
          <w:lang w:eastAsia="en-GB"/>
        </w:rPr>
        <w:t>,</w:t>
      </w:r>
      <w:r w:rsidR="002E1C69">
        <w:rPr>
          <w:lang w:eastAsia="en-GB"/>
        </w:rPr>
        <w:t xml:space="preserve"> ce qui est</w:t>
      </w:r>
      <w:r w:rsidR="00725E46">
        <w:rPr>
          <w:lang w:eastAsia="en-GB"/>
        </w:rPr>
        <w:t xml:space="preserve"> susceptible de les exposer à un risque de refoulement</w:t>
      </w:r>
      <w:r w:rsidR="00E34B52">
        <w:rPr>
          <w:lang w:eastAsia="en-GB"/>
        </w:rPr>
        <w:t> </w:t>
      </w:r>
      <w:r w:rsidR="00725E46">
        <w:rPr>
          <w:lang w:eastAsia="en-GB"/>
        </w:rPr>
        <w:t xml:space="preserve">; c) de la surpopulation dans les camps de réfugiés qui réduit l’espace consacré à chaque réfugié et </w:t>
      </w:r>
      <w:r w:rsidR="008F6A4D">
        <w:rPr>
          <w:lang w:eastAsia="en-GB"/>
        </w:rPr>
        <w:t>dont il</w:t>
      </w:r>
      <w:r w:rsidR="00725E46">
        <w:rPr>
          <w:lang w:eastAsia="en-GB"/>
        </w:rPr>
        <w:t xml:space="preserve"> résulte, dans certains cas, des cas de violence sexuelle et d’abus sur les enfants ; d)</w:t>
      </w:r>
      <w:r w:rsidR="005F48E4">
        <w:rPr>
          <w:lang w:eastAsia="en-GB"/>
        </w:rPr>
        <w:t> </w:t>
      </w:r>
      <w:r w:rsidR="00725E46">
        <w:rPr>
          <w:lang w:eastAsia="en-GB"/>
        </w:rPr>
        <w:t xml:space="preserve">de difficultés rencontrées par certains enfants réfugiés pour accéder pleinement à l’éducation secondaire du fait du manque d’espace et des coûts élevés </w:t>
      </w:r>
      <w:r w:rsidR="008F6A4D">
        <w:rPr>
          <w:lang w:eastAsia="en-GB"/>
        </w:rPr>
        <w:t>du</w:t>
      </w:r>
      <w:r w:rsidR="00A02B88">
        <w:rPr>
          <w:lang w:eastAsia="en-GB"/>
        </w:rPr>
        <w:t xml:space="preserve"> </w:t>
      </w:r>
      <w:r w:rsidR="00725E46">
        <w:rPr>
          <w:lang w:eastAsia="en-GB"/>
        </w:rPr>
        <w:t>matériel scolaire</w:t>
      </w:r>
      <w:r w:rsidR="00E34B52">
        <w:rPr>
          <w:lang w:eastAsia="en-GB"/>
        </w:rPr>
        <w:t> </w:t>
      </w:r>
      <w:r w:rsidR="00725E46">
        <w:rPr>
          <w:lang w:eastAsia="en-GB"/>
        </w:rPr>
        <w:t>; e)</w:t>
      </w:r>
      <w:r w:rsidR="00B323BC">
        <w:rPr>
          <w:lang w:eastAsia="en-GB"/>
        </w:rPr>
        <w:t> </w:t>
      </w:r>
      <w:r w:rsidR="00725E46">
        <w:rPr>
          <w:lang w:eastAsia="en-GB"/>
        </w:rPr>
        <w:t>d’obstacles qui empêchent</w:t>
      </w:r>
      <w:r w:rsidR="008F6A4D">
        <w:rPr>
          <w:lang w:eastAsia="en-GB"/>
        </w:rPr>
        <w:t>,</w:t>
      </w:r>
      <w:r w:rsidR="00725E46">
        <w:rPr>
          <w:lang w:eastAsia="en-GB"/>
        </w:rPr>
        <w:t xml:space="preserve"> dans la pratique</w:t>
      </w:r>
      <w:r w:rsidR="008F6A4D">
        <w:rPr>
          <w:lang w:eastAsia="en-GB"/>
        </w:rPr>
        <w:t>,</w:t>
      </w:r>
      <w:r w:rsidR="00725E46">
        <w:rPr>
          <w:lang w:eastAsia="en-GB"/>
        </w:rPr>
        <w:t xml:space="preserve"> certains réfugiés d’avoir accès au système de santé établi par l’</w:t>
      </w:r>
      <w:r w:rsidR="005F48E4">
        <w:rPr>
          <w:lang w:eastAsia="en-GB"/>
        </w:rPr>
        <w:t>État</w:t>
      </w:r>
      <w:r w:rsidR="00725E46">
        <w:rPr>
          <w:lang w:eastAsia="en-GB"/>
        </w:rPr>
        <w:t xml:space="preserve"> partie ; f) de l’absence de sensibilisation des réfugiés à la</w:t>
      </w:r>
      <w:r w:rsidR="00121E9A">
        <w:rPr>
          <w:lang w:eastAsia="en-GB"/>
        </w:rPr>
        <w:t xml:space="preserve"> législation sur la nationalité</w:t>
      </w:r>
      <w:r w:rsidR="00725E46">
        <w:rPr>
          <w:lang w:eastAsia="en-GB"/>
        </w:rPr>
        <w:t xml:space="preserve"> (art.</w:t>
      </w:r>
      <w:r w:rsidR="005F48E4">
        <w:rPr>
          <w:lang w:eastAsia="en-GB"/>
        </w:rPr>
        <w:t> </w:t>
      </w:r>
      <w:r w:rsidR="00725E46">
        <w:rPr>
          <w:lang w:eastAsia="en-GB"/>
        </w:rPr>
        <w:t>5).</w:t>
      </w:r>
    </w:p>
    <w:p w:rsidR="00725E46" w:rsidRPr="00F250CB" w:rsidRDefault="00E518E0" w:rsidP="00E518E0">
      <w:pPr>
        <w:pStyle w:val="SingleTxtG"/>
        <w:rPr>
          <w:b/>
          <w:lang w:eastAsia="en-GB"/>
        </w:rPr>
      </w:pPr>
      <w:r w:rsidRPr="00F250CB">
        <w:rPr>
          <w:lang w:eastAsia="en-GB"/>
        </w:rPr>
        <w:t>21.</w:t>
      </w:r>
      <w:r w:rsidRPr="00F250CB">
        <w:rPr>
          <w:lang w:eastAsia="en-GB"/>
        </w:rPr>
        <w:tab/>
      </w:r>
      <w:r w:rsidR="00725E46" w:rsidRPr="00F250CB">
        <w:rPr>
          <w:b/>
          <w:lang w:eastAsia="en-GB"/>
        </w:rPr>
        <w:t>Le Comité recommande à l’</w:t>
      </w:r>
      <w:r w:rsidR="005F48E4" w:rsidRPr="00F250CB">
        <w:rPr>
          <w:b/>
          <w:lang w:eastAsia="en-GB"/>
        </w:rPr>
        <w:t>État</w:t>
      </w:r>
      <w:r w:rsidR="00725E46" w:rsidRPr="00F250CB">
        <w:rPr>
          <w:b/>
          <w:lang w:eastAsia="en-GB"/>
        </w:rPr>
        <w:t xml:space="preserve"> partie</w:t>
      </w:r>
      <w:r w:rsidR="005F48E4">
        <w:rPr>
          <w:b/>
          <w:lang w:eastAsia="en-GB"/>
        </w:rPr>
        <w:t xml:space="preserve"> </w:t>
      </w:r>
      <w:r w:rsidR="00725E46" w:rsidRPr="00F250CB">
        <w:rPr>
          <w:b/>
          <w:lang w:eastAsia="en-GB"/>
        </w:rPr>
        <w:t>de prendre les mesures nécessaires pour</w:t>
      </w:r>
      <w:r w:rsidR="00E34B52">
        <w:rPr>
          <w:b/>
          <w:lang w:eastAsia="en-GB"/>
        </w:rPr>
        <w:t> </w:t>
      </w:r>
      <w:r w:rsidR="00725E46" w:rsidRPr="00F250CB">
        <w:rPr>
          <w:b/>
          <w:lang w:eastAsia="en-GB"/>
        </w:rPr>
        <w:t>:</w:t>
      </w:r>
    </w:p>
    <w:p w:rsidR="00725E46" w:rsidRPr="00A7656D" w:rsidRDefault="005F48E4" w:rsidP="009C33CA">
      <w:pPr>
        <w:pStyle w:val="SingleTxtG"/>
        <w:ind w:firstLine="567"/>
        <w:rPr>
          <w:b/>
        </w:rPr>
      </w:pPr>
      <w:r w:rsidRPr="009C33CA">
        <w:rPr>
          <w:bCs/>
        </w:rPr>
        <w:t>a)</w:t>
      </w:r>
      <w:r>
        <w:rPr>
          <w:b/>
        </w:rPr>
        <w:tab/>
      </w:r>
      <w:r w:rsidR="00610CC9">
        <w:rPr>
          <w:b/>
        </w:rPr>
        <w:t>Veiller à ce q</w:t>
      </w:r>
      <w:r w:rsidR="00725E46" w:rsidRPr="00A7656D">
        <w:rPr>
          <w:b/>
        </w:rPr>
        <w:t>ue les réfugiés burundais ne soient pas relocalisés dans des pays tiers sans leur consentement</w:t>
      </w:r>
      <w:r w:rsidR="00E34B52">
        <w:rPr>
          <w:b/>
        </w:rPr>
        <w:t> </w:t>
      </w:r>
      <w:r w:rsidR="00725E46" w:rsidRPr="00A7656D">
        <w:rPr>
          <w:b/>
        </w:rPr>
        <w:t>;</w:t>
      </w:r>
    </w:p>
    <w:p w:rsidR="00725E46" w:rsidRPr="00A7656D" w:rsidRDefault="005F48E4" w:rsidP="006A2410">
      <w:pPr>
        <w:pStyle w:val="SingleTxtG"/>
        <w:ind w:firstLine="567"/>
        <w:rPr>
          <w:b/>
        </w:rPr>
      </w:pPr>
      <w:r w:rsidRPr="009C33CA">
        <w:rPr>
          <w:bCs/>
        </w:rPr>
        <w:t>b)</w:t>
      </w:r>
      <w:r>
        <w:rPr>
          <w:b/>
        </w:rPr>
        <w:tab/>
      </w:r>
      <w:r w:rsidR="00A7656D">
        <w:rPr>
          <w:b/>
        </w:rPr>
        <w:t>S</w:t>
      </w:r>
      <w:r w:rsidR="00725E46" w:rsidRPr="00A7656D">
        <w:rPr>
          <w:b/>
        </w:rPr>
        <w:t xml:space="preserve">’assurer que les demandes d’asile formulées et déposées au niveau de la </w:t>
      </w:r>
      <w:r w:rsidR="00A91CEA" w:rsidRPr="002B6C28">
        <w:rPr>
          <w:b/>
          <w:lang w:eastAsia="en-GB"/>
        </w:rPr>
        <w:t xml:space="preserve">Direction </w:t>
      </w:r>
      <w:r w:rsidR="00610CC9">
        <w:rPr>
          <w:b/>
          <w:lang w:eastAsia="en-GB"/>
        </w:rPr>
        <w:t>g</w:t>
      </w:r>
      <w:r w:rsidR="00610CC9" w:rsidRPr="002B6C28">
        <w:rPr>
          <w:b/>
          <w:lang w:eastAsia="en-GB"/>
        </w:rPr>
        <w:t xml:space="preserve">énérale </w:t>
      </w:r>
      <w:r w:rsidR="00A91CEA" w:rsidRPr="002B6C28">
        <w:rPr>
          <w:b/>
          <w:lang w:eastAsia="en-GB"/>
        </w:rPr>
        <w:t>d</w:t>
      </w:r>
      <w:r w:rsidR="00610CC9">
        <w:rPr>
          <w:b/>
          <w:lang w:eastAsia="en-GB"/>
        </w:rPr>
        <w:t>e l</w:t>
      </w:r>
      <w:r w:rsidR="00A91CEA" w:rsidRPr="002B6C28">
        <w:rPr>
          <w:b/>
          <w:lang w:eastAsia="en-GB"/>
        </w:rPr>
        <w:t>’</w:t>
      </w:r>
      <w:r w:rsidR="00610CC9">
        <w:rPr>
          <w:b/>
          <w:lang w:eastAsia="en-GB"/>
        </w:rPr>
        <w:t>i</w:t>
      </w:r>
      <w:r w:rsidR="00A91CEA" w:rsidRPr="002B6C28">
        <w:rPr>
          <w:b/>
          <w:lang w:eastAsia="en-GB"/>
        </w:rPr>
        <w:t xml:space="preserve">mmigration et </w:t>
      </w:r>
      <w:r w:rsidR="00610CC9">
        <w:rPr>
          <w:b/>
          <w:lang w:eastAsia="en-GB"/>
        </w:rPr>
        <w:t>de l</w:t>
      </w:r>
      <w:r w:rsidR="00610CC9" w:rsidRPr="00610CC9">
        <w:rPr>
          <w:b/>
          <w:lang w:eastAsia="en-GB"/>
        </w:rPr>
        <w:t>’</w:t>
      </w:r>
      <w:r w:rsidR="00610CC9">
        <w:rPr>
          <w:b/>
          <w:lang w:eastAsia="en-GB"/>
        </w:rPr>
        <w:t>é</w:t>
      </w:r>
      <w:r w:rsidR="00A91CEA" w:rsidRPr="002B6C28">
        <w:rPr>
          <w:b/>
          <w:lang w:eastAsia="en-GB"/>
        </w:rPr>
        <w:t>migration</w:t>
      </w:r>
      <w:r w:rsidR="00A91CEA" w:rsidRPr="00A7656D">
        <w:rPr>
          <w:b/>
        </w:rPr>
        <w:t xml:space="preserve"> </w:t>
      </w:r>
      <w:r w:rsidR="00725E46" w:rsidRPr="00A7656D">
        <w:rPr>
          <w:b/>
        </w:rPr>
        <w:t xml:space="preserve">sont effectivement transmises </w:t>
      </w:r>
      <w:r w:rsidR="00A91CEA">
        <w:rPr>
          <w:b/>
        </w:rPr>
        <w:t xml:space="preserve">au </w:t>
      </w:r>
      <w:r w:rsidR="00A91CEA" w:rsidRPr="002B6C28">
        <w:rPr>
          <w:b/>
          <w:lang w:eastAsia="en-GB"/>
        </w:rPr>
        <w:t>Comité de détermination du statut de réfugié</w:t>
      </w:r>
      <w:r w:rsidR="00A02B88">
        <w:rPr>
          <w:lang w:eastAsia="en-GB"/>
        </w:rPr>
        <w:t xml:space="preserve"> </w:t>
      </w:r>
      <w:r w:rsidR="00725E46" w:rsidRPr="00A7656D">
        <w:rPr>
          <w:b/>
        </w:rPr>
        <w:t>dans les délais prévus par la législation</w:t>
      </w:r>
      <w:r w:rsidR="002E1C69" w:rsidRPr="00A7656D">
        <w:rPr>
          <w:b/>
        </w:rPr>
        <w:t xml:space="preserve"> </w:t>
      </w:r>
      <w:r w:rsidR="00725E46" w:rsidRPr="00A7656D">
        <w:rPr>
          <w:b/>
        </w:rPr>
        <w:t xml:space="preserve">sur l’asile et traitées par </w:t>
      </w:r>
      <w:r w:rsidR="00C143F4">
        <w:rPr>
          <w:b/>
        </w:rPr>
        <w:t xml:space="preserve">la Direction </w:t>
      </w:r>
      <w:r w:rsidR="008F6A4D" w:rsidRPr="00A7656D">
        <w:rPr>
          <w:b/>
        </w:rPr>
        <w:t>afin d’</w:t>
      </w:r>
      <w:r w:rsidR="00725E46" w:rsidRPr="00A7656D">
        <w:rPr>
          <w:b/>
        </w:rPr>
        <w:t>éliminer tout obstacle au dépôt et à l’examen de telles demandes</w:t>
      </w:r>
      <w:r w:rsidR="00E34B52">
        <w:rPr>
          <w:b/>
        </w:rPr>
        <w:t> </w:t>
      </w:r>
      <w:r w:rsidR="00725E46" w:rsidRPr="00A7656D">
        <w:rPr>
          <w:b/>
        </w:rPr>
        <w:t>;</w:t>
      </w:r>
    </w:p>
    <w:p w:rsidR="008F6A4D" w:rsidRPr="00A7656D" w:rsidRDefault="005F48E4" w:rsidP="009C33CA">
      <w:pPr>
        <w:pStyle w:val="SingleTxtG"/>
        <w:ind w:firstLine="567"/>
        <w:rPr>
          <w:b/>
        </w:rPr>
      </w:pPr>
      <w:r w:rsidRPr="009C33CA">
        <w:rPr>
          <w:bCs/>
        </w:rPr>
        <w:t>c)</w:t>
      </w:r>
      <w:r>
        <w:rPr>
          <w:b/>
        </w:rPr>
        <w:tab/>
      </w:r>
      <w:r w:rsidR="00A7656D">
        <w:rPr>
          <w:b/>
        </w:rPr>
        <w:t>E</w:t>
      </w:r>
      <w:r w:rsidR="008F6A4D" w:rsidRPr="00A7656D">
        <w:rPr>
          <w:b/>
        </w:rPr>
        <w:t xml:space="preserve">nvisager d’accroître l’espace réservé aux camps de réfugiés afin de réduire la surpopulation et </w:t>
      </w:r>
      <w:r w:rsidR="00A91CEA">
        <w:rPr>
          <w:b/>
        </w:rPr>
        <w:t xml:space="preserve">la promiscuité qui favorisent la violence sexuelle et les abus sur les enfants ; </w:t>
      </w:r>
    </w:p>
    <w:p w:rsidR="00725E46" w:rsidRPr="00A7656D" w:rsidRDefault="005F48E4" w:rsidP="009C33CA">
      <w:pPr>
        <w:pStyle w:val="SingleTxtG"/>
        <w:ind w:firstLine="567"/>
        <w:rPr>
          <w:b/>
        </w:rPr>
      </w:pPr>
      <w:r w:rsidRPr="009C33CA">
        <w:rPr>
          <w:bCs/>
        </w:rPr>
        <w:t>d)</w:t>
      </w:r>
      <w:r>
        <w:rPr>
          <w:b/>
        </w:rPr>
        <w:tab/>
      </w:r>
      <w:r w:rsidR="00A7656D">
        <w:rPr>
          <w:b/>
        </w:rPr>
        <w:t>L</w:t>
      </w:r>
      <w:r w:rsidR="00725E46" w:rsidRPr="00A7656D">
        <w:rPr>
          <w:b/>
        </w:rPr>
        <w:t>ever tou</w:t>
      </w:r>
      <w:r w:rsidR="00F37211" w:rsidRPr="00A7656D">
        <w:rPr>
          <w:b/>
        </w:rPr>
        <w:t>t</w:t>
      </w:r>
      <w:r w:rsidR="00725E46" w:rsidRPr="00A7656D">
        <w:rPr>
          <w:b/>
        </w:rPr>
        <w:t xml:space="preserve"> obstacle qui, dans la pratique, pourrait empêcher les enfants réfugiés d’accéder de manière effective à l’éducation secondaire, et s’assurer que les réfugiés ne rencontrent pas d’obstacles à l’accès aux soins de santé ; </w:t>
      </w:r>
    </w:p>
    <w:p w:rsidR="00725E46" w:rsidRPr="00A7656D" w:rsidRDefault="005F48E4" w:rsidP="009C33CA">
      <w:pPr>
        <w:pStyle w:val="SingleTxtG"/>
        <w:ind w:firstLine="567"/>
        <w:rPr>
          <w:b/>
        </w:rPr>
      </w:pPr>
      <w:r w:rsidRPr="009C33CA">
        <w:rPr>
          <w:bCs/>
        </w:rPr>
        <w:t>e)</w:t>
      </w:r>
      <w:r>
        <w:rPr>
          <w:b/>
        </w:rPr>
        <w:tab/>
      </w:r>
      <w:r w:rsidR="00A7656D">
        <w:rPr>
          <w:b/>
        </w:rPr>
        <w:t>O</w:t>
      </w:r>
      <w:r w:rsidR="008F6A4D" w:rsidRPr="00A7656D">
        <w:rPr>
          <w:b/>
        </w:rPr>
        <w:t>rganiser</w:t>
      </w:r>
      <w:r w:rsidR="00725E46" w:rsidRPr="00A7656D">
        <w:rPr>
          <w:b/>
        </w:rPr>
        <w:t xml:space="preserve"> des campagnes de sensibilisation auprès des réfugiés et des demandeurs </w:t>
      </w:r>
      <w:r w:rsidR="002E1C69" w:rsidRPr="00A7656D">
        <w:rPr>
          <w:b/>
        </w:rPr>
        <w:t xml:space="preserve">d’asile </w:t>
      </w:r>
      <w:r w:rsidR="00725E46" w:rsidRPr="00A7656D">
        <w:rPr>
          <w:b/>
        </w:rPr>
        <w:t>sur les possibilités d’acquisition de la nationalité rwandaise afin que ceux qui sont éligibles puissent se porter candidats</w:t>
      </w:r>
      <w:r w:rsidR="00E10B0E">
        <w:rPr>
          <w:b/>
        </w:rPr>
        <w:t>,</w:t>
      </w:r>
      <w:r w:rsidR="00725E46" w:rsidRPr="00A7656D">
        <w:rPr>
          <w:b/>
        </w:rPr>
        <w:t xml:space="preserve"> et lever tout obstacle qui pourrait exister dans la pratique à l’effectivité d’une telle procédure.</w:t>
      </w:r>
    </w:p>
    <w:p w:rsidR="00725E46" w:rsidRPr="00C55CAA" w:rsidRDefault="00A7656D" w:rsidP="00A7656D">
      <w:pPr>
        <w:pStyle w:val="H23G"/>
      </w:pPr>
      <w:r>
        <w:tab/>
      </w:r>
      <w:r>
        <w:tab/>
      </w:r>
      <w:r w:rsidR="00725E46">
        <w:t>Accès aux recours</w:t>
      </w:r>
      <w:r w:rsidR="00725E46" w:rsidRPr="00C55CAA">
        <w:t xml:space="preserve"> </w:t>
      </w:r>
      <w:r w:rsidR="00725E46">
        <w:t>et f</w:t>
      </w:r>
      <w:r w:rsidR="00725E46" w:rsidRPr="00C55CAA">
        <w:t>ourniture des données relatives à l’application de l’article 6</w:t>
      </w:r>
      <w:r w:rsidR="00A02B88">
        <w:t xml:space="preserve"> </w:t>
      </w:r>
    </w:p>
    <w:p w:rsidR="00725E46" w:rsidRPr="009C33CA" w:rsidRDefault="00E518E0" w:rsidP="00E518E0">
      <w:pPr>
        <w:pStyle w:val="SingleTxtG"/>
        <w:rPr>
          <w:lang w:eastAsia="en-GB"/>
        </w:rPr>
      </w:pPr>
      <w:r w:rsidRPr="009C33CA">
        <w:rPr>
          <w:lang w:eastAsia="en-GB"/>
        </w:rPr>
        <w:t>22.</w:t>
      </w:r>
      <w:r w:rsidRPr="009C33CA">
        <w:rPr>
          <w:lang w:eastAsia="en-GB"/>
        </w:rPr>
        <w:tab/>
      </w:r>
      <w:r w:rsidR="00725E46" w:rsidRPr="0083092F">
        <w:t>Le Comité note que l’</w:t>
      </w:r>
      <w:r w:rsidR="0083092F" w:rsidRPr="0083092F">
        <w:t>État</w:t>
      </w:r>
      <w:r w:rsidR="00725E46" w:rsidRPr="0083092F">
        <w:t xml:space="preserve"> partie ne lui a </w:t>
      </w:r>
      <w:r w:rsidR="00030DDA" w:rsidRPr="0083092F">
        <w:t xml:space="preserve">pas </w:t>
      </w:r>
      <w:r w:rsidR="00725E46" w:rsidRPr="0083092F">
        <w:t xml:space="preserve">fourni </w:t>
      </w:r>
      <w:r w:rsidR="00030DDA" w:rsidRPr="0083092F">
        <w:t xml:space="preserve">de </w:t>
      </w:r>
      <w:r w:rsidR="00725E46" w:rsidRPr="0083092F">
        <w:t xml:space="preserve">données </w:t>
      </w:r>
      <w:r w:rsidR="00030DDA" w:rsidRPr="0083092F">
        <w:t>sur les</w:t>
      </w:r>
      <w:r w:rsidR="00725E46" w:rsidRPr="0083092F">
        <w:t xml:space="preserve"> plaintes, </w:t>
      </w:r>
      <w:r w:rsidR="002E1C69" w:rsidRPr="0083092F">
        <w:t xml:space="preserve">les </w:t>
      </w:r>
      <w:r w:rsidR="00725E46" w:rsidRPr="0083092F">
        <w:t xml:space="preserve">poursuites, </w:t>
      </w:r>
      <w:r w:rsidR="002E1C69" w:rsidRPr="0083092F">
        <w:t xml:space="preserve">les </w:t>
      </w:r>
      <w:r w:rsidR="00725E46" w:rsidRPr="0083092F">
        <w:t xml:space="preserve">sanctions et </w:t>
      </w:r>
      <w:r w:rsidR="002E1C69" w:rsidRPr="0083092F">
        <w:t xml:space="preserve">les </w:t>
      </w:r>
      <w:r w:rsidR="00725E46" w:rsidRPr="0083092F">
        <w:t xml:space="preserve">réparations </w:t>
      </w:r>
      <w:r w:rsidR="002E1C69" w:rsidRPr="0083092F">
        <w:t>relatives</w:t>
      </w:r>
      <w:r w:rsidR="002E1C69" w:rsidRPr="009C33CA">
        <w:rPr>
          <w:lang w:eastAsia="en-GB"/>
        </w:rPr>
        <w:t xml:space="preserve"> aux cas </w:t>
      </w:r>
      <w:r w:rsidR="00725E46" w:rsidRPr="009C33CA">
        <w:rPr>
          <w:lang w:eastAsia="en-GB"/>
        </w:rPr>
        <w:t xml:space="preserve">de discrimination raciale, y compris en matière d’emploi, </w:t>
      </w:r>
      <w:r w:rsidR="002E1C69" w:rsidRPr="009C33CA">
        <w:rPr>
          <w:lang w:eastAsia="en-GB"/>
        </w:rPr>
        <w:t>traités par</w:t>
      </w:r>
      <w:r w:rsidR="00A02B88" w:rsidRPr="009C33CA">
        <w:rPr>
          <w:lang w:eastAsia="en-GB"/>
        </w:rPr>
        <w:t xml:space="preserve"> </w:t>
      </w:r>
      <w:r w:rsidR="000B2250" w:rsidRPr="009C33CA">
        <w:rPr>
          <w:lang w:eastAsia="en-GB"/>
        </w:rPr>
        <w:t>les tribunaux,</w:t>
      </w:r>
      <w:r w:rsidR="002E1C69" w:rsidRPr="009C33CA">
        <w:rPr>
          <w:lang w:eastAsia="en-GB"/>
        </w:rPr>
        <w:t xml:space="preserve"> </w:t>
      </w:r>
      <w:r w:rsidR="00725E46" w:rsidRPr="009C33CA">
        <w:rPr>
          <w:lang w:eastAsia="en-GB"/>
        </w:rPr>
        <w:t>l’Ombudsman et l</w:t>
      </w:r>
      <w:r w:rsidR="002E1C69" w:rsidRPr="009C33CA">
        <w:rPr>
          <w:lang w:eastAsia="en-GB"/>
        </w:rPr>
        <w:t>a</w:t>
      </w:r>
      <w:r w:rsidR="00725E46" w:rsidRPr="009C33CA">
        <w:rPr>
          <w:lang w:eastAsia="en-GB"/>
        </w:rPr>
        <w:t xml:space="preserve"> Commission nationale des droits de l’homme. Tout en notant les explications de l’</w:t>
      </w:r>
      <w:r w:rsidR="0083092F" w:rsidRPr="009C33CA">
        <w:rPr>
          <w:lang w:eastAsia="en-GB"/>
        </w:rPr>
        <w:t>État</w:t>
      </w:r>
      <w:r w:rsidR="00725E46" w:rsidRPr="009C33CA">
        <w:rPr>
          <w:lang w:eastAsia="en-GB"/>
        </w:rPr>
        <w:t xml:space="preserve"> partie sur l’égal accès de tous à la justice et les mesures, y compris d’assistance juridique</w:t>
      </w:r>
      <w:r w:rsidR="00E10B0E">
        <w:rPr>
          <w:lang w:eastAsia="en-GB"/>
        </w:rPr>
        <w:t>,</w:t>
      </w:r>
      <w:r w:rsidR="00725E46" w:rsidRPr="009C33CA">
        <w:rPr>
          <w:lang w:eastAsia="en-GB"/>
        </w:rPr>
        <w:t xml:space="preserve"> mises en place, le Comité demeure préoccupé par des informations selon lesquelles</w:t>
      </w:r>
      <w:r w:rsidR="00A02B88" w:rsidRPr="009C33CA">
        <w:rPr>
          <w:lang w:eastAsia="en-GB"/>
        </w:rPr>
        <w:t xml:space="preserve"> </w:t>
      </w:r>
      <w:r w:rsidR="00725E46" w:rsidRPr="009C33CA">
        <w:rPr>
          <w:lang w:eastAsia="en-GB"/>
        </w:rPr>
        <w:t>l’égal accès des Batwa</w:t>
      </w:r>
      <w:r w:rsidR="004C1130">
        <w:rPr>
          <w:lang w:eastAsia="en-GB"/>
        </w:rPr>
        <w:t>s</w:t>
      </w:r>
      <w:r w:rsidR="00725E46" w:rsidRPr="009C33CA">
        <w:rPr>
          <w:lang w:eastAsia="en-GB"/>
        </w:rPr>
        <w:t xml:space="preserve"> à la justice n’est pas toujours effectif</w:t>
      </w:r>
      <w:r w:rsidR="00ED69E2" w:rsidRPr="009C33CA">
        <w:rPr>
          <w:lang w:eastAsia="en-GB"/>
        </w:rPr>
        <w:t xml:space="preserve"> (art. </w:t>
      </w:r>
      <w:r w:rsidR="00725E46" w:rsidRPr="009C33CA">
        <w:rPr>
          <w:lang w:eastAsia="en-GB"/>
        </w:rPr>
        <w:t>5, 6).</w:t>
      </w:r>
    </w:p>
    <w:p w:rsidR="00725E46" w:rsidRPr="009C33CA" w:rsidRDefault="00E518E0" w:rsidP="00E518E0">
      <w:pPr>
        <w:pStyle w:val="SingleTxtG"/>
      </w:pPr>
      <w:r w:rsidRPr="009C33CA">
        <w:t>23.</w:t>
      </w:r>
      <w:r w:rsidRPr="009C33CA">
        <w:tab/>
      </w:r>
      <w:r w:rsidR="00725E46" w:rsidRPr="009C33CA">
        <w:rPr>
          <w:b/>
          <w:bCs/>
          <w:lang w:eastAsia="en-GB"/>
        </w:rPr>
        <w:t xml:space="preserve">Se référant à sa recommandation générale </w:t>
      </w:r>
      <w:r w:rsidR="00DA4CE6">
        <w:rPr>
          <w:b/>
          <w:bCs/>
          <w:lang w:eastAsia="en-GB"/>
        </w:rPr>
        <w:t>n</w:t>
      </w:r>
      <w:r w:rsidR="00DA4CE6" w:rsidRPr="009C33CA">
        <w:rPr>
          <w:b/>
          <w:bCs/>
          <w:vertAlign w:val="superscript"/>
          <w:lang w:eastAsia="en-GB"/>
        </w:rPr>
        <w:t>o</w:t>
      </w:r>
      <w:r w:rsidR="00DA4CE6">
        <w:rPr>
          <w:b/>
          <w:bCs/>
          <w:lang w:eastAsia="en-GB"/>
        </w:rPr>
        <w:t> </w:t>
      </w:r>
      <w:r w:rsidR="00725E46" w:rsidRPr="009C33CA">
        <w:rPr>
          <w:b/>
          <w:bCs/>
          <w:lang w:eastAsia="en-GB"/>
        </w:rPr>
        <w:t xml:space="preserve">31 (2005) </w:t>
      </w:r>
      <w:r w:rsidR="00E10B0E">
        <w:rPr>
          <w:b/>
          <w:bCs/>
          <w:lang w:eastAsia="en-GB"/>
        </w:rPr>
        <w:t>sur</w:t>
      </w:r>
      <w:r w:rsidR="00E10B0E" w:rsidRPr="009C33CA">
        <w:rPr>
          <w:b/>
          <w:bCs/>
          <w:lang w:eastAsia="en-GB"/>
        </w:rPr>
        <w:t xml:space="preserve"> </w:t>
      </w:r>
      <w:r w:rsidR="00725E46" w:rsidRPr="009C33CA">
        <w:rPr>
          <w:b/>
          <w:bCs/>
          <w:lang w:eastAsia="en-GB"/>
        </w:rPr>
        <w:t>la</w:t>
      </w:r>
      <w:r w:rsidR="00725E46" w:rsidRPr="009C33CA">
        <w:rPr>
          <w:lang w:eastAsia="en-GB"/>
        </w:rPr>
        <w:t xml:space="preserve"> </w:t>
      </w:r>
      <w:r w:rsidR="00725E46" w:rsidRPr="009C33CA">
        <w:rPr>
          <w:b/>
          <w:bCs/>
          <w:lang w:eastAsia="en-GB"/>
        </w:rPr>
        <w:t>discrimination raciale dans l’administration et le fonctionnement du système de</w:t>
      </w:r>
      <w:r w:rsidR="00725E46" w:rsidRPr="009C33CA">
        <w:rPr>
          <w:lang w:eastAsia="en-GB"/>
        </w:rPr>
        <w:t xml:space="preserve"> </w:t>
      </w:r>
      <w:r w:rsidR="00725E46" w:rsidRPr="009C33CA">
        <w:rPr>
          <w:b/>
          <w:bCs/>
          <w:lang w:eastAsia="en-GB"/>
        </w:rPr>
        <w:t>justice pénale, le Comité rappelle de nouveau à l’</w:t>
      </w:r>
      <w:r w:rsidR="0083092F" w:rsidRPr="0083092F">
        <w:rPr>
          <w:b/>
          <w:bCs/>
          <w:lang w:eastAsia="en-GB"/>
        </w:rPr>
        <w:t>État</w:t>
      </w:r>
      <w:r w:rsidR="00725E46" w:rsidRPr="009C33CA">
        <w:rPr>
          <w:b/>
          <w:bCs/>
          <w:lang w:eastAsia="en-GB"/>
        </w:rPr>
        <w:t xml:space="preserve"> partie que l’absence de plaintes et d’actions en justice de la</w:t>
      </w:r>
      <w:r w:rsidR="00725E46" w:rsidRPr="009C33CA">
        <w:rPr>
          <w:lang w:eastAsia="en-GB"/>
        </w:rPr>
        <w:t xml:space="preserve"> </w:t>
      </w:r>
      <w:r w:rsidR="00725E46" w:rsidRPr="009C33CA">
        <w:rPr>
          <w:b/>
          <w:bCs/>
          <w:lang w:eastAsia="en-GB"/>
        </w:rPr>
        <w:t>part des victimes de discrimination raciale peut être révélatrice d’une législation</w:t>
      </w:r>
      <w:r w:rsidR="00725E46" w:rsidRPr="009C33CA">
        <w:rPr>
          <w:lang w:eastAsia="en-GB"/>
        </w:rPr>
        <w:t xml:space="preserve"> </w:t>
      </w:r>
      <w:r w:rsidR="00725E46" w:rsidRPr="009C33CA">
        <w:rPr>
          <w:b/>
          <w:bCs/>
          <w:lang w:eastAsia="en-GB"/>
        </w:rPr>
        <w:t>spécifique insuffisante, de l’ignorance des recours disponibles, de la crainte d’une</w:t>
      </w:r>
      <w:r w:rsidR="00725E46" w:rsidRPr="009C33CA">
        <w:rPr>
          <w:lang w:eastAsia="en-GB"/>
        </w:rPr>
        <w:t xml:space="preserve"> </w:t>
      </w:r>
      <w:r w:rsidR="00725E46" w:rsidRPr="009C33CA">
        <w:rPr>
          <w:b/>
          <w:bCs/>
          <w:lang w:eastAsia="en-GB"/>
        </w:rPr>
        <w:t xml:space="preserve">réprobation sociale ou de représailles, ou du manque de volonté des autorités </w:t>
      </w:r>
      <w:r w:rsidR="00725E46" w:rsidRPr="009C33CA">
        <w:rPr>
          <w:b/>
          <w:bCs/>
          <w:lang w:eastAsia="en-GB"/>
        </w:rPr>
        <w:lastRenderedPageBreak/>
        <w:t>chargées</w:t>
      </w:r>
      <w:r w:rsidR="00725E46" w:rsidRPr="009C33CA">
        <w:rPr>
          <w:lang w:eastAsia="en-GB"/>
        </w:rPr>
        <w:t xml:space="preserve"> </w:t>
      </w:r>
      <w:r w:rsidR="00725E46" w:rsidRPr="009C33CA">
        <w:rPr>
          <w:b/>
          <w:bCs/>
          <w:lang w:eastAsia="en-GB"/>
        </w:rPr>
        <w:t xml:space="preserve">d’engager des poursuites. </w:t>
      </w:r>
      <w:r w:rsidR="002E1C69" w:rsidRPr="009C33CA">
        <w:rPr>
          <w:b/>
          <w:bCs/>
          <w:lang w:eastAsia="en-GB"/>
        </w:rPr>
        <w:t xml:space="preserve">Par conséquent, le </w:t>
      </w:r>
      <w:r w:rsidR="00725E46" w:rsidRPr="009C33CA">
        <w:rPr>
          <w:b/>
          <w:bCs/>
          <w:lang w:eastAsia="en-GB"/>
        </w:rPr>
        <w:t>Comité recommande à l’</w:t>
      </w:r>
      <w:r w:rsidR="0083092F" w:rsidRPr="0083092F">
        <w:rPr>
          <w:b/>
          <w:bCs/>
          <w:lang w:eastAsia="en-GB"/>
        </w:rPr>
        <w:t>État</w:t>
      </w:r>
      <w:r w:rsidR="00725E46" w:rsidRPr="009C33CA">
        <w:rPr>
          <w:b/>
          <w:bCs/>
          <w:lang w:eastAsia="en-GB"/>
        </w:rPr>
        <w:t xml:space="preserve"> partie de renforcer les mesures de diffusion de la Convention auprès de sa population</w:t>
      </w:r>
      <w:r w:rsidR="00101897">
        <w:rPr>
          <w:b/>
          <w:bCs/>
          <w:lang w:eastAsia="en-GB"/>
        </w:rPr>
        <w:t xml:space="preserve"> et</w:t>
      </w:r>
      <w:r w:rsidR="00725E46" w:rsidRPr="009C33CA">
        <w:rPr>
          <w:b/>
          <w:bCs/>
          <w:lang w:eastAsia="en-GB"/>
        </w:rPr>
        <w:t xml:space="preserve"> de continuer </w:t>
      </w:r>
      <w:r w:rsidR="002E290F">
        <w:rPr>
          <w:b/>
          <w:bCs/>
          <w:lang w:eastAsia="en-GB"/>
        </w:rPr>
        <w:t>à</w:t>
      </w:r>
      <w:r w:rsidR="002E290F" w:rsidRPr="009C33CA">
        <w:rPr>
          <w:b/>
          <w:bCs/>
          <w:lang w:eastAsia="en-GB"/>
        </w:rPr>
        <w:t xml:space="preserve"> </w:t>
      </w:r>
      <w:r w:rsidR="00725E46" w:rsidRPr="009C33CA">
        <w:rPr>
          <w:b/>
          <w:bCs/>
          <w:lang w:eastAsia="en-GB"/>
        </w:rPr>
        <w:t xml:space="preserve">former les responsables </w:t>
      </w:r>
      <w:r w:rsidR="00A91CEA" w:rsidRPr="009C33CA">
        <w:rPr>
          <w:b/>
          <w:bCs/>
          <w:lang w:eastAsia="en-GB"/>
        </w:rPr>
        <w:t>de l</w:t>
      </w:r>
      <w:r w:rsidR="00725E46" w:rsidRPr="009C33CA">
        <w:rPr>
          <w:b/>
          <w:bCs/>
          <w:lang w:eastAsia="en-GB"/>
        </w:rPr>
        <w:t>’application de</w:t>
      </w:r>
      <w:r w:rsidR="00A91CEA" w:rsidRPr="009C33CA">
        <w:rPr>
          <w:b/>
          <w:bCs/>
          <w:lang w:eastAsia="en-GB"/>
        </w:rPr>
        <w:t>s</w:t>
      </w:r>
      <w:r w:rsidR="00725E46" w:rsidRPr="009C33CA">
        <w:rPr>
          <w:b/>
          <w:bCs/>
          <w:lang w:eastAsia="en-GB"/>
        </w:rPr>
        <w:t xml:space="preserve"> loi</w:t>
      </w:r>
      <w:r w:rsidR="00A91CEA" w:rsidRPr="009C33CA">
        <w:rPr>
          <w:b/>
          <w:bCs/>
          <w:lang w:eastAsia="en-GB"/>
        </w:rPr>
        <w:t>s</w:t>
      </w:r>
      <w:r w:rsidR="00725E46" w:rsidRPr="009C33CA">
        <w:rPr>
          <w:b/>
          <w:bCs/>
          <w:lang w:eastAsia="en-GB"/>
        </w:rPr>
        <w:t xml:space="preserve"> à ses dispositions</w:t>
      </w:r>
      <w:r w:rsidR="00101897">
        <w:rPr>
          <w:b/>
          <w:bCs/>
          <w:lang w:eastAsia="en-GB"/>
        </w:rPr>
        <w:t>,</w:t>
      </w:r>
      <w:r w:rsidR="00725E46" w:rsidRPr="009C33CA">
        <w:rPr>
          <w:b/>
          <w:bCs/>
          <w:lang w:eastAsia="en-GB"/>
        </w:rPr>
        <w:t xml:space="preserve"> et</w:t>
      </w:r>
      <w:r w:rsidR="002E290F">
        <w:rPr>
          <w:b/>
          <w:bCs/>
          <w:lang w:eastAsia="en-GB"/>
        </w:rPr>
        <w:t xml:space="preserve"> de</w:t>
      </w:r>
      <w:r w:rsidR="00725E46" w:rsidRPr="009C33CA">
        <w:rPr>
          <w:b/>
          <w:bCs/>
          <w:lang w:eastAsia="en-GB"/>
        </w:rPr>
        <w:t xml:space="preserve"> mettre en place un système qui permette d’enregistrer et de collecter les données relatives aux plaintes, poursuites, sanctions et réparations relatives aux cas de discrimination raciale, y compris à l’emploi, recensés et traités par les tribunaux et les autres organes de recours. Le Comité recommande également à l’</w:t>
      </w:r>
      <w:r w:rsidR="0083092F" w:rsidRPr="0083092F">
        <w:rPr>
          <w:b/>
          <w:bCs/>
          <w:lang w:eastAsia="en-GB"/>
        </w:rPr>
        <w:t>État</w:t>
      </w:r>
      <w:r w:rsidR="00725E46" w:rsidRPr="009C33CA">
        <w:rPr>
          <w:b/>
          <w:bCs/>
          <w:lang w:eastAsia="en-GB"/>
        </w:rPr>
        <w:t xml:space="preserve"> partie de s’assurer que </w:t>
      </w:r>
      <w:r w:rsidR="002E290F">
        <w:rPr>
          <w:b/>
          <w:bCs/>
          <w:lang w:eastAsia="en-GB"/>
        </w:rPr>
        <w:t>l</w:t>
      </w:r>
      <w:r w:rsidR="00725E46" w:rsidRPr="009C33CA">
        <w:rPr>
          <w:b/>
          <w:bCs/>
          <w:lang w:eastAsia="en-GB"/>
        </w:rPr>
        <w:t xml:space="preserve">es plaintes relatives à la discrimination raciale sont effectivement enregistrées, </w:t>
      </w:r>
      <w:r w:rsidR="004A1010">
        <w:rPr>
          <w:b/>
          <w:bCs/>
          <w:lang w:eastAsia="en-GB"/>
        </w:rPr>
        <w:t>et qu</w:t>
      </w:r>
      <w:r w:rsidR="004A1010" w:rsidRPr="004A1010">
        <w:rPr>
          <w:b/>
          <w:bCs/>
          <w:lang w:eastAsia="en-GB"/>
        </w:rPr>
        <w:t>’</w:t>
      </w:r>
      <w:r w:rsidR="00101897">
        <w:rPr>
          <w:b/>
          <w:bCs/>
          <w:lang w:eastAsia="en-GB"/>
        </w:rPr>
        <w:t>elles son</w:t>
      </w:r>
      <w:r w:rsidR="004A1010">
        <w:rPr>
          <w:b/>
          <w:bCs/>
          <w:lang w:eastAsia="en-GB"/>
        </w:rPr>
        <w:t>t suivies</w:t>
      </w:r>
      <w:r w:rsidR="00725E46" w:rsidRPr="009C33CA">
        <w:rPr>
          <w:b/>
          <w:bCs/>
          <w:lang w:eastAsia="en-GB"/>
        </w:rPr>
        <w:t xml:space="preserve">, s’il y a lieu, de poursuites, de sanctions et de réparations. Le Comité recommande </w:t>
      </w:r>
      <w:r w:rsidR="000B2250" w:rsidRPr="009C33CA">
        <w:rPr>
          <w:b/>
          <w:bCs/>
          <w:lang w:eastAsia="en-GB"/>
        </w:rPr>
        <w:t xml:space="preserve">enfin </w:t>
      </w:r>
      <w:r w:rsidR="00725E46" w:rsidRPr="009C33CA">
        <w:rPr>
          <w:b/>
          <w:bCs/>
          <w:lang w:eastAsia="en-GB"/>
        </w:rPr>
        <w:t>à l’</w:t>
      </w:r>
      <w:r w:rsidR="0083092F" w:rsidRPr="0083092F">
        <w:rPr>
          <w:b/>
          <w:bCs/>
          <w:lang w:eastAsia="en-GB"/>
        </w:rPr>
        <w:t>État</w:t>
      </w:r>
      <w:r w:rsidR="00725E46" w:rsidRPr="009C33CA">
        <w:rPr>
          <w:b/>
          <w:bCs/>
          <w:lang w:eastAsia="en-GB"/>
        </w:rPr>
        <w:t xml:space="preserve"> partie de prendre toutes les</w:t>
      </w:r>
      <w:r w:rsidR="00725E46" w:rsidRPr="009C33CA">
        <w:rPr>
          <w:lang w:eastAsia="en-GB"/>
        </w:rPr>
        <w:t xml:space="preserve"> </w:t>
      </w:r>
      <w:r w:rsidR="00725E46" w:rsidRPr="009C33CA">
        <w:rPr>
          <w:b/>
          <w:bCs/>
          <w:lang w:eastAsia="en-GB"/>
        </w:rPr>
        <w:t xml:space="preserve">mesures nécessaires pour faciliter l’accès </w:t>
      </w:r>
      <w:r w:rsidR="004A1010" w:rsidRPr="00FF14A7">
        <w:rPr>
          <w:b/>
          <w:bCs/>
          <w:lang w:eastAsia="en-GB"/>
        </w:rPr>
        <w:t>des Batwa</w:t>
      </w:r>
      <w:r w:rsidR="004A1010">
        <w:rPr>
          <w:b/>
          <w:bCs/>
          <w:lang w:eastAsia="en-GB"/>
        </w:rPr>
        <w:t xml:space="preserve">s </w:t>
      </w:r>
      <w:r w:rsidR="00725E46" w:rsidRPr="009C33CA">
        <w:rPr>
          <w:b/>
          <w:bCs/>
          <w:lang w:eastAsia="en-GB"/>
        </w:rPr>
        <w:t>à la justice, de diffuser la</w:t>
      </w:r>
      <w:r w:rsidR="00725E46" w:rsidRPr="009C33CA">
        <w:rPr>
          <w:lang w:eastAsia="en-GB"/>
        </w:rPr>
        <w:t xml:space="preserve"> </w:t>
      </w:r>
      <w:r w:rsidR="00725E46" w:rsidRPr="009C33CA">
        <w:rPr>
          <w:b/>
          <w:bCs/>
          <w:lang w:eastAsia="en-GB"/>
        </w:rPr>
        <w:t>législation relative à la discrimination raciale, en particulier auprès des Batwa</w:t>
      </w:r>
      <w:r w:rsidR="004C1130">
        <w:rPr>
          <w:b/>
          <w:bCs/>
          <w:lang w:eastAsia="en-GB"/>
        </w:rPr>
        <w:t>s</w:t>
      </w:r>
      <w:r w:rsidR="004A1010">
        <w:rPr>
          <w:b/>
          <w:bCs/>
          <w:lang w:eastAsia="en-GB"/>
        </w:rPr>
        <w:t>,</w:t>
      </w:r>
      <w:r w:rsidR="00725E46" w:rsidRPr="009C33CA">
        <w:rPr>
          <w:b/>
          <w:bCs/>
          <w:lang w:eastAsia="en-GB"/>
        </w:rPr>
        <w:t xml:space="preserve"> et de</w:t>
      </w:r>
      <w:r w:rsidR="00725E46" w:rsidRPr="009C33CA">
        <w:rPr>
          <w:lang w:eastAsia="en-GB"/>
        </w:rPr>
        <w:t xml:space="preserve"> </w:t>
      </w:r>
      <w:r w:rsidR="00725E46" w:rsidRPr="009C33CA">
        <w:rPr>
          <w:b/>
          <w:bCs/>
          <w:lang w:eastAsia="en-GB"/>
        </w:rPr>
        <w:t>les informer de toutes les voies de recours juridiques disponibles ainsi que de la possibilité de</w:t>
      </w:r>
      <w:r w:rsidR="00725E46" w:rsidRPr="009C33CA">
        <w:rPr>
          <w:lang w:eastAsia="en-GB"/>
        </w:rPr>
        <w:t xml:space="preserve"> </w:t>
      </w:r>
      <w:r w:rsidR="00725E46" w:rsidRPr="009C33CA">
        <w:rPr>
          <w:b/>
          <w:bCs/>
          <w:lang w:eastAsia="en-GB"/>
        </w:rPr>
        <w:t xml:space="preserve">bénéficier de l’assistance judiciaire. </w:t>
      </w:r>
    </w:p>
    <w:p w:rsidR="00D13443" w:rsidRPr="006C42B4" w:rsidRDefault="00A7656D" w:rsidP="00A7656D">
      <w:pPr>
        <w:pStyle w:val="H1G"/>
      </w:pPr>
      <w:r>
        <w:tab/>
      </w:r>
      <w:r w:rsidR="00D13443" w:rsidRPr="006C42B4">
        <w:t>D.</w:t>
      </w:r>
      <w:r>
        <w:tab/>
      </w:r>
      <w:r w:rsidR="00D13443" w:rsidRPr="006C42B4">
        <w:t xml:space="preserve">Autres recommandations </w:t>
      </w:r>
    </w:p>
    <w:p w:rsidR="00C55CAA" w:rsidRPr="00725E46" w:rsidRDefault="00A7656D" w:rsidP="00A7656D">
      <w:pPr>
        <w:pStyle w:val="H23G"/>
      </w:pPr>
      <w:r>
        <w:tab/>
      </w:r>
      <w:r>
        <w:tab/>
      </w:r>
      <w:r w:rsidR="00C55CAA" w:rsidRPr="00725E46">
        <w:t>Ratification d’autres instruments</w:t>
      </w:r>
    </w:p>
    <w:p w:rsidR="00D13443" w:rsidRPr="00B075C5" w:rsidRDefault="00E518E0" w:rsidP="00E518E0">
      <w:pPr>
        <w:pStyle w:val="SingleTxtG"/>
      </w:pPr>
      <w:r w:rsidRPr="00B075C5">
        <w:t>24.</w:t>
      </w:r>
      <w:r w:rsidRPr="00B075C5">
        <w:tab/>
      </w:r>
      <w:r w:rsidR="00D13443" w:rsidRPr="006C42B4">
        <w:rPr>
          <w:b/>
          <w:bCs/>
        </w:rPr>
        <w:t xml:space="preserve">Compte tenu du caractère indivisible de tous les droits de l’homme, le Comité encourage </w:t>
      </w:r>
      <w:r w:rsidR="00D13443" w:rsidRPr="009C33CA">
        <w:rPr>
          <w:b/>
        </w:rPr>
        <w:t>l’État</w:t>
      </w:r>
      <w:r w:rsidR="00D13443" w:rsidRPr="006C42B4">
        <w:rPr>
          <w:b/>
          <w:bCs/>
        </w:rPr>
        <w:t xml:space="preserve"> partie à envisager de ratifier les instruments internationaux relatifs aux droits de l’homme auxquels il n’est pas encore partie, en particulier ceux dont les dispositions intéressent directement les communautés qui peuvent faire l’objet de discrimination raciale, comme la Convention internationale sur la protection des droits de tous les travailleurs migrants et des membres de leur famille</w:t>
      </w:r>
      <w:r w:rsidR="00A91CEA">
        <w:rPr>
          <w:b/>
          <w:bCs/>
        </w:rPr>
        <w:t xml:space="preserve">. </w:t>
      </w:r>
    </w:p>
    <w:p w:rsidR="00C55CAA" w:rsidRPr="00C55CAA" w:rsidRDefault="00A7656D" w:rsidP="00A7656D">
      <w:pPr>
        <w:pStyle w:val="H23G"/>
      </w:pPr>
      <w:r>
        <w:tab/>
      </w:r>
      <w:r>
        <w:tab/>
      </w:r>
      <w:r w:rsidR="00D13443" w:rsidRPr="00B075C5">
        <w:t>Suite donnée à la Déclaration et au Programme d’action de Durban</w:t>
      </w:r>
    </w:p>
    <w:p w:rsidR="00D13443" w:rsidRDefault="00E518E0" w:rsidP="00E518E0">
      <w:pPr>
        <w:pStyle w:val="SingleTxtG"/>
      </w:pPr>
      <w:r>
        <w:t>25.</w:t>
      </w:r>
      <w:r>
        <w:tab/>
      </w:r>
      <w:r w:rsidR="00D13443" w:rsidRPr="00B075C5">
        <w:rPr>
          <w:b/>
          <w:bCs/>
        </w:rPr>
        <w:t xml:space="preserve">À la lumière de sa </w:t>
      </w:r>
      <w:r w:rsidR="002C3A14">
        <w:rPr>
          <w:b/>
          <w:bCs/>
        </w:rPr>
        <w:t>r</w:t>
      </w:r>
      <w:r w:rsidR="00D13443" w:rsidRPr="00B075C5">
        <w:rPr>
          <w:b/>
          <w:bCs/>
        </w:rPr>
        <w:t xml:space="preserve">ecommandation générale </w:t>
      </w:r>
      <w:r w:rsidR="0093178A" w:rsidRPr="0093178A">
        <w:rPr>
          <w:b/>
          <w:bCs/>
        </w:rPr>
        <w:t>n</w:t>
      </w:r>
      <w:r w:rsidR="0093178A" w:rsidRPr="0093178A">
        <w:rPr>
          <w:b/>
          <w:bCs/>
          <w:vertAlign w:val="superscript"/>
        </w:rPr>
        <w:t>o</w:t>
      </w:r>
      <w:r w:rsidR="0093178A" w:rsidRPr="0093178A">
        <w:rPr>
          <w:b/>
          <w:bCs/>
        </w:rPr>
        <w:t> </w:t>
      </w:r>
      <w:r w:rsidR="00D13443" w:rsidRPr="00B075C5">
        <w:rPr>
          <w:b/>
          <w:bCs/>
        </w:rPr>
        <w:t xml:space="preserve">33 (2009) </w:t>
      </w:r>
      <w:r w:rsidR="00154FC7">
        <w:rPr>
          <w:b/>
          <w:bCs/>
        </w:rPr>
        <w:t>concernant</w:t>
      </w:r>
      <w:r w:rsidR="00154FC7" w:rsidRPr="00B075C5">
        <w:rPr>
          <w:b/>
          <w:bCs/>
        </w:rPr>
        <w:t xml:space="preserve"> </w:t>
      </w:r>
      <w:r w:rsidR="00D13443" w:rsidRPr="00B075C5">
        <w:rPr>
          <w:b/>
          <w:bCs/>
        </w:rPr>
        <w:t xml:space="preserve">le suivi de la Conférence </w:t>
      </w:r>
      <w:r w:rsidR="00D13443" w:rsidRPr="002B6C28">
        <w:rPr>
          <w:b/>
        </w:rPr>
        <w:t>d’examen de Durban, le Comité recommande à l’État partie de donner effet à</w:t>
      </w:r>
      <w:r w:rsidR="00D13443" w:rsidRPr="000852B9">
        <w:t xml:space="preserve"> </w:t>
      </w:r>
      <w:r w:rsidR="00D13443" w:rsidRPr="002B6C28">
        <w:rPr>
          <w:b/>
        </w:rPr>
        <w:t>la</w:t>
      </w:r>
      <w:r w:rsidR="00D13443" w:rsidRPr="00B075C5">
        <w:rPr>
          <w:b/>
          <w:bCs/>
        </w:rPr>
        <w:t xml:space="preserve">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 Le Comité demande à l’État partie d’inclure dans son prochain rapport périodique des renseignements précis sur les plans d’action qu’il aura adoptés et les autres mesures qu’il aura prises pour mettre en </w:t>
      </w:r>
      <w:r w:rsidR="0093178A" w:rsidRPr="00B075C5">
        <w:rPr>
          <w:b/>
          <w:bCs/>
        </w:rPr>
        <w:t>œuvre</w:t>
      </w:r>
      <w:r w:rsidR="00D13443" w:rsidRPr="00B075C5">
        <w:rPr>
          <w:b/>
          <w:bCs/>
        </w:rPr>
        <w:t xml:space="preserve"> la Déclaration et le Programme d’action de Durban au niveau national</w:t>
      </w:r>
      <w:r w:rsidR="00D13443" w:rsidRPr="00B075C5">
        <w:t xml:space="preserve">. </w:t>
      </w:r>
    </w:p>
    <w:p w:rsidR="00D13443" w:rsidRDefault="00A7656D" w:rsidP="00A7656D">
      <w:pPr>
        <w:pStyle w:val="H23G"/>
      </w:pPr>
      <w:r>
        <w:tab/>
      </w:r>
      <w:r>
        <w:tab/>
      </w:r>
      <w:r w:rsidR="00D13443">
        <w:t>Décennie internationale des personnes d’ascendance africaine</w:t>
      </w:r>
    </w:p>
    <w:p w:rsidR="00D13443" w:rsidRPr="00B075C5" w:rsidRDefault="00E518E0" w:rsidP="00E518E0">
      <w:pPr>
        <w:pStyle w:val="SingleTxtG"/>
      </w:pPr>
      <w:r w:rsidRPr="00B075C5">
        <w:t>26.</w:t>
      </w:r>
      <w:r w:rsidRPr="00B075C5">
        <w:tab/>
      </w:r>
      <w:r w:rsidR="00D13443" w:rsidRPr="00B075C5">
        <w:rPr>
          <w:b/>
          <w:bCs/>
        </w:rPr>
        <w:t xml:space="preserve">À la lumière de la résolution 68/237 de l’Assemblée générale proclamant la Décennie internationale des personnes d’ascendance africaine pour 2015-2024 et de la résolution 69/16 sur le programme d’activités de la Décennie, le Comité recommande à l’État partie d’élaborer et de mettre en </w:t>
      </w:r>
      <w:r w:rsidR="0093178A" w:rsidRPr="00B075C5">
        <w:rPr>
          <w:b/>
          <w:bCs/>
        </w:rPr>
        <w:t>œuvre</w:t>
      </w:r>
      <w:r w:rsidR="00D13443" w:rsidRPr="00B075C5">
        <w:rPr>
          <w:b/>
          <w:bCs/>
        </w:rPr>
        <w:t xml:space="preserve"> un programme adapté de mesures et de politiques</w:t>
      </w:r>
      <w:r w:rsidR="00D13443" w:rsidRPr="00B075C5">
        <w:t xml:space="preserve">. </w:t>
      </w:r>
      <w:r w:rsidR="00D13443" w:rsidRPr="00B075C5">
        <w:rPr>
          <w:b/>
          <w:bCs/>
        </w:rPr>
        <w:t xml:space="preserve">Le Comité demande à l’État partie d’inclure dans son prochain rapport des renseignements précis sur les mesures concrètes qu’il aura adoptées dans ce cadre, compte tenu de sa </w:t>
      </w:r>
      <w:r w:rsidR="002C3A14">
        <w:rPr>
          <w:b/>
          <w:bCs/>
        </w:rPr>
        <w:t>r</w:t>
      </w:r>
      <w:r w:rsidR="00D13443" w:rsidRPr="00B075C5">
        <w:rPr>
          <w:b/>
          <w:bCs/>
        </w:rPr>
        <w:t xml:space="preserve">ecommandation générale </w:t>
      </w:r>
      <w:r w:rsidR="0093178A" w:rsidRPr="0093178A">
        <w:rPr>
          <w:b/>
          <w:bCs/>
        </w:rPr>
        <w:t>n</w:t>
      </w:r>
      <w:r w:rsidR="0093178A" w:rsidRPr="0093178A">
        <w:rPr>
          <w:b/>
          <w:bCs/>
          <w:vertAlign w:val="superscript"/>
        </w:rPr>
        <w:t>o</w:t>
      </w:r>
      <w:r w:rsidR="0093178A" w:rsidRPr="0093178A">
        <w:rPr>
          <w:b/>
          <w:bCs/>
        </w:rPr>
        <w:t> </w:t>
      </w:r>
      <w:r w:rsidR="00D13443" w:rsidRPr="00B075C5">
        <w:rPr>
          <w:b/>
          <w:bCs/>
        </w:rPr>
        <w:t xml:space="preserve">34 (2011) sur la discrimination raciale </w:t>
      </w:r>
      <w:r w:rsidR="004D274E">
        <w:rPr>
          <w:b/>
          <w:bCs/>
        </w:rPr>
        <w:t>à l</w:t>
      </w:r>
      <w:r w:rsidR="004D274E" w:rsidRPr="004D274E">
        <w:rPr>
          <w:b/>
          <w:bCs/>
        </w:rPr>
        <w:t>’</w:t>
      </w:r>
      <w:r w:rsidR="004D274E">
        <w:rPr>
          <w:b/>
          <w:bCs/>
        </w:rPr>
        <w:t>égard d</w:t>
      </w:r>
      <w:r w:rsidR="00D13443" w:rsidRPr="00B075C5">
        <w:rPr>
          <w:b/>
          <w:bCs/>
        </w:rPr>
        <w:t xml:space="preserve">es personnes d’ascendance africaine. </w:t>
      </w:r>
    </w:p>
    <w:p w:rsidR="00D13443" w:rsidRDefault="00A7656D" w:rsidP="00A7656D">
      <w:pPr>
        <w:pStyle w:val="H23G"/>
      </w:pPr>
      <w:r>
        <w:tab/>
      </w:r>
      <w:r>
        <w:tab/>
      </w:r>
      <w:r w:rsidR="00D13443">
        <w:t>Consultations avec la société civile</w:t>
      </w:r>
    </w:p>
    <w:p w:rsidR="00D13443" w:rsidRDefault="00E518E0" w:rsidP="00E518E0">
      <w:pPr>
        <w:pStyle w:val="SingleTxtG"/>
      </w:pPr>
      <w:r>
        <w:t>27.</w:t>
      </w:r>
      <w:r>
        <w:tab/>
      </w:r>
      <w:r w:rsidR="00D13443" w:rsidRPr="00A7656D">
        <w:rPr>
          <w:b/>
        </w:rPr>
        <w:t>Le</w:t>
      </w:r>
      <w:r w:rsidR="00D13443" w:rsidRPr="00A7656D">
        <w:rPr>
          <w:b/>
          <w:bCs/>
        </w:rPr>
        <w:t xml:space="preserve"> Comité recommande à l’État partie de poursuivre et d’élargir le dialogue avec les organisations</w:t>
      </w:r>
      <w:r w:rsidR="00D13443" w:rsidRPr="00B075C5">
        <w:rPr>
          <w:b/>
          <w:bCs/>
        </w:rPr>
        <w:t xml:space="preserve"> de la société civile qui travaillent dans le domaine de la protection des droits de l’homme, en particulier celles qui luttent contre la </w:t>
      </w:r>
      <w:r w:rsidR="00D13443" w:rsidRPr="00B075C5">
        <w:rPr>
          <w:b/>
          <w:bCs/>
        </w:rPr>
        <w:lastRenderedPageBreak/>
        <w:t>discrimination raciale, dans le cadre de l’élaboration du prochain rapport périodique et du suivi des présentes observations finales</w:t>
      </w:r>
      <w:r w:rsidR="00D13443" w:rsidRPr="00B075C5">
        <w:t xml:space="preserve">. </w:t>
      </w:r>
    </w:p>
    <w:p w:rsidR="00D13443" w:rsidRPr="00D13443" w:rsidRDefault="00A7656D" w:rsidP="00A7656D">
      <w:pPr>
        <w:pStyle w:val="H23G"/>
      </w:pPr>
      <w:r>
        <w:tab/>
      </w:r>
      <w:r>
        <w:tab/>
      </w:r>
      <w:r w:rsidR="00D13443" w:rsidRPr="00B075C5">
        <w:t>Amendement à l’article 8 de la Convention</w:t>
      </w:r>
    </w:p>
    <w:p w:rsidR="00D13443" w:rsidRDefault="00E518E0" w:rsidP="00E518E0">
      <w:pPr>
        <w:pStyle w:val="SingleTxtG"/>
      </w:pPr>
      <w:r>
        <w:t>28.</w:t>
      </w:r>
      <w:r>
        <w:tab/>
      </w:r>
      <w:r w:rsidR="00D13443" w:rsidRPr="00B075C5">
        <w:rPr>
          <w:b/>
          <w:bCs/>
        </w:rPr>
        <w:t>Le Comité recommande à l’État partie de ratifier l’amendement au paragraphe</w:t>
      </w:r>
      <w:r w:rsidR="0093312B">
        <w:rPr>
          <w:b/>
          <w:bCs/>
        </w:rPr>
        <w:t> </w:t>
      </w:r>
      <w:r w:rsidR="00D13443" w:rsidRPr="00B075C5">
        <w:rPr>
          <w:b/>
          <w:bCs/>
        </w:rPr>
        <w:t xml:space="preserve">6 de l’article 8 de la Convention, adopté le 15 janvier 1992 à la quatorzième Réunion des </w:t>
      </w:r>
      <w:r w:rsidR="00D13443" w:rsidRPr="002B6C28">
        <w:rPr>
          <w:b/>
        </w:rPr>
        <w:t>États</w:t>
      </w:r>
      <w:r w:rsidR="00D13443" w:rsidRPr="00B075C5">
        <w:rPr>
          <w:b/>
          <w:bCs/>
        </w:rPr>
        <w:t xml:space="preserve"> parties à la Convention et approuvé par l’Assemblée générale dans sa résolution 47/111</w:t>
      </w:r>
      <w:r w:rsidR="00D13443" w:rsidRPr="00B075C5">
        <w:t xml:space="preserve">. </w:t>
      </w:r>
    </w:p>
    <w:p w:rsidR="00D13443" w:rsidRPr="00C55CAA" w:rsidRDefault="00A7656D" w:rsidP="00A7656D">
      <w:pPr>
        <w:pStyle w:val="H23G"/>
      </w:pPr>
      <w:r>
        <w:tab/>
      </w:r>
      <w:r>
        <w:tab/>
      </w:r>
      <w:r w:rsidR="00D13443" w:rsidRPr="00B075C5">
        <w:t>Déclaration visée à l’article 14 de la Convention</w:t>
      </w:r>
    </w:p>
    <w:p w:rsidR="00D13443" w:rsidRPr="00121E9A" w:rsidRDefault="00E518E0" w:rsidP="00E518E0">
      <w:pPr>
        <w:pStyle w:val="SingleTxtG"/>
        <w:rPr>
          <w:b/>
        </w:rPr>
      </w:pPr>
      <w:r w:rsidRPr="00121E9A">
        <w:t>29.</w:t>
      </w:r>
      <w:r w:rsidRPr="00121E9A">
        <w:tab/>
      </w:r>
      <w:r w:rsidR="00D13443" w:rsidRPr="00121E9A">
        <w:rPr>
          <w:b/>
          <w:bCs/>
        </w:rPr>
        <w:t>Le</w:t>
      </w:r>
      <w:r w:rsidR="00D13443" w:rsidRPr="00121E9A">
        <w:rPr>
          <w:b/>
        </w:rPr>
        <w:t xml:space="preserve"> Comité encourage l’État partie à faire la déclaration facultative visée à l’article</w:t>
      </w:r>
      <w:r w:rsidR="00B435D1">
        <w:rPr>
          <w:b/>
        </w:rPr>
        <w:t> </w:t>
      </w:r>
      <w:r w:rsidR="00D13443" w:rsidRPr="00121E9A">
        <w:rPr>
          <w:b/>
        </w:rPr>
        <w:t xml:space="preserve">14 de la Convention, par laquelle les États parties reconnaissent la compétence du Comité pour recevoir et examiner des communications individuelles. </w:t>
      </w:r>
    </w:p>
    <w:p w:rsidR="00D13443" w:rsidRPr="00D13443" w:rsidRDefault="00A7656D" w:rsidP="00A7656D">
      <w:pPr>
        <w:pStyle w:val="H23G"/>
      </w:pPr>
      <w:r>
        <w:tab/>
      </w:r>
      <w:r>
        <w:tab/>
      </w:r>
      <w:r w:rsidR="00D13443" w:rsidRPr="00B075C5">
        <w:t>Suite donnée aux présentes observations finales</w:t>
      </w:r>
    </w:p>
    <w:p w:rsidR="00B92AD5" w:rsidRPr="00B075C5" w:rsidRDefault="00E518E0" w:rsidP="00E518E0">
      <w:pPr>
        <w:pStyle w:val="SingleTxtG"/>
      </w:pPr>
      <w:r w:rsidRPr="00B075C5">
        <w:t>30.</w:t>
      </w:r>
      <w:r w:rsidRPr="00B075C5">
        <w:tab/>
      </w:r>
      <w:r w:rsidR="00B92AD5" w:rsidRPr="00A7656D">
        <w:rPr>
          <w:b/>
        </w:rPr>
        <w:t>Conformément</w:t>
      </w:r>
      <w:r w:rsidR="00B92AD5" w:rsidRPr="00A7656D">
        <w:rPr>
          <w:b/>
          <w:bCs/>
        </w:rPr>
        <w:t xml:space="preserve"> a</w:t>
      </w:r>
      <w:r w:rsidR="00B92AD5" w:rsidRPr="00B075C5">
        <w:rPr>
          <w:b/>
          <w:bCs/>
        </w:rPr>
        <w:t xml:space="preserve">u paragraphe 1 de l’article 9 de la Convention et à l’article 65 de son </w:t>
      </w:r>
      <w:r w:rsidR="00260431">
        <w:rPr>
          <w:b/>
          <w:bCs/>
        </w:rPr>
        <w:t>r</w:t>
      </w:r>
      <w:r w:rsidR="00B92AD5" w:rsidRPr="00B075C5">
        <w:rPr>
          <w:b/>
          <w:bCs/>
        </w:rPr>
        <w:t xml:space="preserve">èglement intérieur, le Comité demande à l’État partie de fournir, dans un délai d’un an à compter de l’adoption des présentes observations finales, des renseignements sur la suite qu’il aura donnée aux recommandations figurant dans les paragraphes </w:t>
      </w:r>
      <w:r w:rsidR="000B2250">
        <w:rPr>
          <w:b/>
          <w:bCs/>
        </w:rPr>
        <w:t>13</w:t>
      </w:r>
      <w:r w:rsidR="005C0DAF">
        <w:rPr>
          <w:b/>
          <w:bCs/>
        </w:rPr>
        <w:t xml:space="preserve"> et</w:t>
      </w:r>
      <w:r w:rsidR="000B2250">
        <w:rPr>
          <w:b/>
          <w:bCs/>
        </w:rPr>
        <w:t xml:space="preserve"> 21 a), b), c)</w:t>
      </w:r>
      <w:r w:rsidR="00260431">
        <w:rPr>
          <w:b/>
          <w:bCs/>
        </w:rPr>
        <w:t xml:space="preserve"> et</w:t>
      </w:r>
      <w:r w:rsidR="000B2250">
        <w:rPr>
          <w:b/>
          <w:bCs/>
        </w:rPr>
        <w:t xml:space="preserve"> d).</w:t>
      </w:r>
      <w:r w:rsidR="00A02B88">
        <w:rPr>
          <w:b/>
          <w:bCs/>
        </w:rPr>
        <w:t xml:space="preserve"> </w:t>
      </w:r>
    </w:p>
    <w:p w:rsidR="00B92AD5" w:rsidRDefault="00A7656D" w:rsidP="00A7656D">
      <w:pPr>
        <w:pStyle w:val="H23G"/>
      </w:pPr>
      <w:r>
        <w:tab/>
      </w:r>
      <w:r>
        <w:tab/>
      </w:r>
      <w:r w:rsidR="00B92AD5">
        <w:t>Paragraphes d’importance particulière</w:t>
      </w:r>
    </w:p>
    <w:p w:rsidR="00B92AD5" w:rsidRPr="00B075C5" w:rsidRDefault="00E518E0" w:rsidP="00E518E0">
      <w:pPr>
        <w:pStyle w:val="SingleTxtG"/>
      </w:pPr>
      <w:r w:rsidRPr="00B075C5">
        <w:t>31.</w:t>
      </w:r>
      <w:r w:rsidRPr="00B075C5">
        <w:tab/>
      </w:r>
      <w:r w:rsidR="00B92AD5" w:rsidRPr="00B075C5">
        <w:rPr>
          <w:b/>
          <w:bCs/>
        </w:rPr>
        <w:t>Le Comité souhaite aussi appeler l’attention de l’État partie sur l’importance particulière des recommandations figurant d</w:t>
      </w:r>
      <w:r w:rsidR="00B92AD5" w:rsidRPr="00B92AD5">
        <w:rPr>
          <w:b/>
          <w:bCs/>
        </w:rPr>
        <w:t xml:space="preserve">ans les paragraphes </w:t>
      </w:r>
      <w:r w:rsidR="000B2250">
        <w:rPr>
          <w:b/>
          <w:bCs/>
        </w:rPr>
        <w:t xml:space="preserve">11, 15, 19 </w:t>
      </w:r>
      <w:r w:rsidR="00B92AD5">
        <w:rPr>
          <w:b/>
          <w:bCs/>
        </w:rPr>
        <w:t>et</w:t>
      </w:r>
      <w:r w:rsidR="000B2250">
        <w:rPr>
          <w:b/>
          <w:bCs/>
        </w:rPr>
        <w:t xml:space="preserve"> 23</w:t>
      </w:r>
      <w:r w:rsidR="000B2250" w:rsidRPr="00B075C5">
        <w:rPr>
          <w:b/>
          <w:bCs/>
        </w:rPr>
        <w:t xml:space="preserve">, </w:t>
      </w:r>
      <w:r w:rsidR="00B92AD5" w:rsidRPr="00B075C5">
        <w:rPr>
          <w:b/>
          <w:bCs/>
        </w:rPr>
        <w:t xml:space="preserve">et demande </w:t>
      </w:r>
      <w:r w:rsidR="00923949">
        <w:rPr>
          <w:b/>
          <w:bCs/>
        </w:rPr>
        <w:t>à l</w:t>
      </w:r>
      <w:r w:rsidR="00923949" w:rsidRPr="00923949">
        <w:rPr>
          <w:b/>
          <w:bCs/>
        </w:rPr>
        <w:t>’</w:t>
      </w:r>
      <w:r w:rsidR="00923949">
        <w:rPr>
          <w:b/>
          <w:bCs/>
        </w:rPr>
        <w:t xml:space="preserve">État partie </w:t>
      </w:r>
      <w:r w:rsidR="00B92AD5" w:rsidRPr="00B075C5">
        <w:rPr>
          <w:b/>
          <w:bCs/>
        </w:rPr>
        <w:t xml:space="preserve">de faire figurer dans son prochain rapport périodique des renseignements détaillés sur les mesures concrètes qu’il aura prises pour y donner suite. </w:t>
      </w:r>
    </w:p>
    <w:p w:rsidR="00B92AD5" w:rsidRDefault="00A7656D" w:rsidP="00A7656D">
      <w:pPr>
        <w:pStyle w:val="H23G"/>
      </w:pPr>
      <w:r>
        <w:tab/>
      </w:r>
      <w:r>
        <w:tab/>
      </w:r>
      <w:r w:rsidR="00B92AD5">
        <w:t>Diffusion d’information</w:t>
      </w:r>
    </w:p>
    <w:p w:rsidR="00B92AD5" w:rsidRPr="00B075C5" w:rsidRDefault="00E518E0" w:rsidP="00E518E0">
      <w:pPr>
        <w:pStyle w:val="SingleTxtG"/>
      </w:pPr>
      <w:r w:rsidRPr="00B075C5">
        <w:t>32.</w:t>
      </w:r>
      <w:r w:rsidRPr="00B075C5">
        <w:tab/>
      </w:r>
      <w:r w:rsidR="00B92AD5" w:rsidRPr="00B075C5">
        <w:rPr>
          <w:b/>
          <w:bCs/>
        </w:rPr>
        <w:t xml:space="preserve">Le Comité recommande à l’État partie de mettre ses rapports à la disposition du public dès leur </w:t>
      </w:r>
      <w:r w:rsidR="00B92AD5" w:rsidRPr="009C33CA">
        <w:rPr>
          <w:b/>
        </w:rPr>
        <w:t>soumission</w:t>
      </w:r>
      <w:r w:rsidR="00B92AD5" w:rsidRPr="00B075C5">
        <w:rPr>
          <w:b/>
          <w:bCs/>
        </w:rPr>
        <w:t xml:space="preserve"> et de diffuser également les observations finales du Comité qui s’y rapportent dans les langues officielles</w:t>
      </w:r>
      <w:r w:rsidR="000B2250">
        <w:rPr>
          <w:b/>
          <w:bCs/>
        </w:rPr>
        <w:t xml:space="preserve">. </w:t>
      </w:r>
    </w:p>
    <w:p w:rsidR="00B92AD5" w:rsidRDefault="00A7656D" w:rsidP="00A7656D">
      <w:pPr>
        <w:pStyle w:val="H23G"/>
      </w:pPr>
      <w:r>
        <w:tab/>
      </w:r>
      <w:r>
        <w:tab/>
      </w:r>
      <w:r w:rsidR="00B92AD5">
        <w:t>Élaboration du prochain rapport périodique</w:t>
      </w:r>
    </w:p>
    <w:p w:rsidR="00A91CEA" w:rsidRPr="00B075C5" w:rsidRDefault="00E518E0" w:rsidP="00E518E0">
      <w:pPr>
        <w:pStyle w:val="SingleTxtG"/>
      </w:pPr>
      <w:r w:rsidRPr="00B075C5">
        <w:t>33.</w:t>
      </w:r>
      <w:r w:rsidRPr="00B075C5">
        <w:tab/>
      </w:r>
      <w:r w:rsidR="00B92AD5" w:rsidRPr="00B075C5">
        <w:rPr>
          <w:b/>
          <w:bCs/>
        </w:rPr>
        <w:t xml:space="preserve">Le Comité recommande à l’État partie de soumettre ses </w:t>
      </w:r>
      <w:r w:rsidR="00360E9B" w:rsidRPr="00B003C0">
        <w:rPr>
          <w:b/>
          <w:bCs/>
        </w:rPr>
        <w:t>vingt</w:t>
      </w:r>
      <w:r w:rsidR="00AB34E9">
        <w:rPr>
          <w:b/>
          <w:bCs/>
        </w:rPr>
        <w:t xml:space="preserve"> et </w:t>
      </w:r>
      <w:r w:rsidR="00360E9B" w:rsidRPr="00B003C0">
        <w:rPr>
          <w:b/>
          <w:bCs/>
        </w:rPr>
        <w:t>un</w:t>
      </w:r>
      <w:r w:rsidR="00B003C0">
        <w:rPr>
          <w:b/>
          <w:bCs/>
        </w:rPr>
        <w:t>ième à</w:t>
      </w:r>
      <w:r w:rsidR="00B92AD5" w:rsidRPr="00B003C0">
        <w:rPr>
          <w:b/>
          <w:bCs/>
        </w:rPr>
        <w:t xml:space="preserve"> </w:t>
      </w:r>
      <w:r w:rsidR="00360E9B" w:rsidRPr="00B003C0">
        <w:rPr>
          <w:b/>
          <w:bCs/>
        </w:rPr>
        <w:t>vingt-</w:t>
      </w:r>
      <w:r w:rsidR="000B2250">
        <w:rPr>
          <w:b/>
          <w:bCs/>
        </w:rPr>
        <w:t>deuxième</w:t>
      </w:r>
      <w:r w:rsidR="00A02B88">
        <w:rPr>
          <w:b/>
          <w:bCs/>
        </w:rPr>
        <w:t xml:space="preserve"> </w:t>
      </w:r>
      <w:r w:rsidR="00B92AD5" w:rsidRPr="00B003C0">
        <w:rPr>
          <w:b/>
          <w:bCs/>
        </w:rPr>
        <w:t>rapports périodiques, en un seul document, d’ici au</w:t>
      </w:r>
      <w:r w:rsidR="00360E9B" w:rsidRPr="00B003C0">
        <w:rPr>
          <w:b/>
          <w:bCs/>
        </w:rPr>
        <w:t xml:space="preserve"> 16 mai 20</w:t>
      </w:r>
      <w:r w:rsidR="00B003C0">
        <w:rPr>
          <w:b/>
          <w:bCs/>
        </w:rPr>
        <w:t>20</w:t>
      </w:r>
      <w:r w:rsidR="00B92AD5" w:rsidRPr="00B003C0">
        <w:rPr>
          <w:b/>
          <w:bCs/>
        </w:rPr>
        <w:t>,</w:t>
      </w:r>
      <w:r w:rsidR="00B92AD5" w:rsidRPr="00B075C5">
        <w:rPr>
          <w:b/>
          <w:bCs/>
        </w:rPr>
        <w:t xml:space="preserve"> en tenant compte des directives pour l’établissement du document se rapportant spécifiquement à la Convention adoptées par le Comité à sa soixante et onzième session (CERD/C/2007/1) et en traitant tous les points </w:t>
      </w:r>
      <w:r w:rsidR="00B92AD5" w:rsidRPr="002B6C28">
        <w:rPr>
          <w:b/>
        </w:rPr>
        <w:t>soulevés</w:t>
      </w:r>
      <w:r w:rsidR="00B92AD5" w:rsidRPr="00B075C5">
        <w:rPr>
          <w:b/>
          <w:bCs/>
        </w:rPr>
        <w:t xml:space="preserve"> dans les présentes observations finales. À la lumière de la résolution 68/268 de l’Assemblée générale, le Comité demande</w:t>
      </w:r>
      <w:r w:rsidR="00A91CEA">
        <w:rPr>
          <w:b/>
          <w:bCs/>
        </w:rPr>
        <w:t xml:space="preserve"> </w:t>
      </w:r>
      <w:r w:rsidR="00A91CEA" w:rsidRPr="00B075C5">
        <w:rPr>
          <w:b/>
          <w:bCs/>
        </w:rPr>
        <w:t>instamment à l’État partie de respecter la limite de 21</w:t>
      </w:r>
      <w:r w:rsidR="00D51112">
        <w:rPr>
          <w:b/>
          <w:bCs/>
        </w:rPr>
        <w:t> </w:t>
      </w:r>
      <w:r w:rsidR="00A91CEA" w:rsidRPr="00B075C5">
        <w:rPr>
          <w:b/>
          <w:bCs/>
        </w:rPr>
        <w:t>200 mots fixée pour les rapports périodiques</w:t>
      </w:r>
      <w:r w:rsidR="00A91CEA" w:rsidRPr="00B075C5">
        <w:t xml:space="preserve">. </w:t>
      </w:r>
    </w:p>
    <w:p w:rsidR="00E30726" w:rsidRPr="00A209E8" w:rsidRDefault="00B1080A" w:rsidP="00B1080A">
      <w:pPr>
        <w:autoSpaceDE w:val="0"/>
        <w:autoSpaceDN w:val="0"/>
        <w:adjustRightInd w:val="0"/>
        <w:spacing w:before="240"/>
        <w:ind w:left="1134" w:right="1134"/>
        <w:jc w:val="center"/>
      </w:pPr>
      <w:r w:rsidRPr="009C33CA">
        <w:rPr>
          <w:u w:val="single"/>
          <w:lang w:eastAsia="en-GB"/>
        </w:rPr>
        <w:tab/>
      </w:r>
      <w:r w:rsidRPr="009C33CA">
        <w:rPr>
          <w:u w:val="single"/>
          <w:lang w:eastAsia="en-GB"/>
        </w:rPr>
        <w:tab/>
      </w:r>
      <w:r w:rsidRPr="009C33CA">
        <w:rPr>
          <w:u w:val="single"/>
          <w:lang w:eastAsia="en-GB"/>
        </w:rPr>
        <w:tab/>
      </w:r>
    </w:p>
    <w:sectPr w:rsidR="00E30726" w:rsidRPr="00A209E8" w:rsidSect="00617F0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23" w:rsidRDefault="00363E23"/>
  </w:endnote>
  <w:endnote w:type="continuationSeparator" w:id="0">
    <w:p w:rsidR="00363E23" w:rsidRDefault="00363E23">
      <w:pPr>
        <w:pStyle w:val="Pieddepage"/>
      </w:pPr>
    </w:p>
  </w:endnote>
  <w:endnote w:type="continuationNotice" w:id="1">
    <w:p w:rsidR="00363E23" w:rsidRPr="00C451B9" w:rsidRDefault="00363E2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2C" w:rsidRPr="00001390" w:rsidRDefault="00BB1A2C" w:rsidP="00001390">
    <w:pPr>
      <w:pStyle w:val="Pieddepage"/>
      <w:tabs>
        <w:tab w:val="right" w:pos="9638"/>
      </w:tabs>
    </w:pPr>
    <w:r w:rsidRPr="00001390">
      <w:rPr>
        <w:b/>
        <w:sz w:val="18"/>
      </w:rPr>
      <w:fldChar w:fldCharType="begin"/>
    </w:r>
    <w:r w:rsidRPr="00001390">
      <w:rPr>
        <w:b/>
        <w:sz w:val="18"/>
      </w:rPr>
      <w:instrText xml:space="preserve"> PAGE  \* MERGEFORMAT </w:instrText>
    </w:r>
    <w:r w:rsidRPr="00001390">
      <w:rPr>
        <w:b/>
        <w:sz w:val="18"/>
      </w:rPr>
      <w:fldChar w:fldCharType="separate"/>
    </w:r>
    <w:r w:rsidR="00C12B5C">
      <w:rPr>
        <w:b/>
        <w:noProof/>
        <w:sz w:val="18"/>
      </w:rPr>
      <w:t>6</w:t>
    </w:r>
    <w:r w:rsidRPr="00001390">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2C" w:rsidRPr="00001390" w:rsidRDefault="00BB1A2C" w:rsidP="00001390">
    <w:pPr>
      <w:pStyle w:val="Pieddepage"/>
      <w:tabs>
        <w:tab w:val="right" w:pos="9638"/>
      </w:tabs>
      <w:rPr>
        <w:b/>
        <w:sz w:val="18"/>
      </w:rPr>
    </w:pPr>
    <w:r>
      <w:tab/>
    </w:r>
    <w:r w:rsidRPr="00001390">
      <w:rPr>
        <w:b/>
        <w:sz w:val="18"/>
      </w:rPr>
      <w:fldChar w:fldCharType="begin"/>
    </w:r>
    <w:r w:rsidRPr="00001390">
      <w:rPr>
        <w:b/>
        <w:sz w:val="18"/>
      </w:rPr>
      <w:instrText xml:space="preserve"> PAGE  \* MERGEFORMAT </w:instrText>
    </w:r>
    <w:r w:rsidRPr="00001390">
      <w:rPr>
        <w:b/>
        <w:sz w:val="18"/>
      </w:rPr>
      <w:fldChar w:fldCharType="separate"/>
    </w:r>
    <w:r w:rsidR="00C12B5C">
      <w:rPr>
        <w:b/>
        <w:noProof/>
        <w:sz w:val="18"/>
      </w:rPr>
      <w:t>7</w:t>
    </w:r>
    <w:r w:rsidRPr="000013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5C" w:rsidRPr="00C12B5C" w:rsidRDefault="00C12B5C" w:rsidP="00C12B5C">
    <w:pPr>
      <w:pStyle w:val="Pieddepage"/>
      <w:spacing w:before="120"/>
      <w:rPr>
        <w:sz w:val="20"/>
      </w:rPr>
    </w:pPr>
    <w:r>
      <w:rPr>
        <w:sz w:val="20"/>
      </w:rPr>
      <w:t>GE.16-08153  (F)</w:t>
    </w:r>
    <w:r>
      <w:rPr>
        <w:sz w:val="20"/>
      </w:rPr>
      <w:br/>
    </w:r>
    <w:r w:rsidRPr="00C12B5C">
      <w:rPr>
        <w:rFonts w:ascii="C39T30Lfz" w:hAnsi="C39T30Lfz"/>
        <w:sz w:val="56"/>
      </w:rPr>
      <w:t></w:t>
    </w:r>
    <w:r w:rsidRPr="00C12B5C">
      <w:rPr>
        <w:rFonts w:ascii="C39T30Lfz" w:hAnsi="C39T30Lfz"/>
        <w:sz w:val="56"/>
      </w:rPr>
      <w:t></w:t>
    </w:r>
    <w:r w:rsidRPr="00C12B5C">
      <w:rPr>
        <w:rFonts w:ascii="C39T30Lfz" w:hAnsi="C39T30Lfz"/>
        <w:sz w:val="56"/>
      </w:rPr>
      <w:t></w:t>
    </w:r>
    <w:r w:rsidRPr="00C12B5C">
      <w:rPr>
        <w:rFonts w:ascii="C39T30Lfz" w:hAnsi="C39T30Lfz"/>
        <w:sz w:val="56"/>
      </w:rPr>
      <w:t></w:t>
    </w:r>
    <w:r w:rsidRPr="00C12B5C">
      <w:rPr>
        <w:rFonts w:ascii="C39T30Lfz" w:hAnsi="C39T30Lfz"/>
        <w:sz w:val="56"/>
      </w:rPr>
      <w:t></w:t>
    </w:r>
    <w:r w:rsidRPr="00C12B5C">
      <w:rPr>
        <w:rFonts w:ascii="C39T30Lfz" w:hAnsi="C39T30Lfz"/>
        <w:sz w:val="56"/>
      </w:rPr>
      <w:t></w:t>
    </w:r>
    <w:r w:rsidRPr="00C12B5C">
      <w:rPr>
        <w:rFonts w:ascii="C39T30Lfz" w:hAnsi="C39T30Lfz"/>
        <w:sz w:val="56"/>
      </w:rPr>
      <w:t></w:t>
    </w:r>
    <w:r w:rsidRPr="00C12B5C">
      <w:rPr>
        <w:rFonts w:ascii="C39T30Lfz" w:hAnsi="C39T30Lfz"/>
        <w:sz w:val="56"/>
      </w:rPr>
      <w:t></w:t>
    </w:r>
    <w:r w:rsidRPr="00C12B5C">
      <w:rPr>
        <w:rFonts w:ascii="C39T30Lfz" w:hAnsi="C39T30Lfz"/>
        <w:sz w:val="56"/>
      </w:rPr>
      <w:t></w:t>
    </w:r>
    <w:r w:rsidRPr="00C12B5C">
      <w:rPr>
        <w:rFonts w:ascii="C39T30Lfz" w:hAnsi="C39T30Lfz"/>
        <w:noProof/>
        <w:sz w:val="56"/>
        <w:lang w:eastAsia="fr-CH"/>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5000" cy="635000"/>
          <wp:effectExtent l="0" t="0" r="0" b="0"/>
          <wp:wrapNone/>
          <wp:docPr id="2" name="Image 1" descr="http://undocs.org/m2/QRCode.ashx?DS=CERD/C/RWA/CO/18-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RWA/CO/18-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23" w:rsidRPr="00D27D5E" w:rsidRDefault="00363E23" w:rsidP="00D27D5E">
      <w:pPr>
        <w:tabs>
          <w:tab w:val="right" w:pos="2155"/>
        </w:tabs>
        <w:spacing w:after="80"/>
        <w:ind w:left="680"/>
        <w:rPr>
          <w:u w:val="single"/>
        </w:rPr>
      </w:pPr>
      <w:r>
        <w:rPr>
          <w:u w:val="single"/>
        </w:rPr>
        <w:tab/>
      </w:r>
    </w:p>
  </w:footnote>
  <w:footnote w:type="continuationSeparator" w:id="0">
    <w:p w:rsidR="00363E23" w:rsidRPr="00D171D4" w:rsidRDefault="00363E23" w:rsidP="00D171D4">
      <w:pPr>
        <w:tabs>
          <w:tab w:val="right" w:pos="2155"/>
        </w:tabs>
        <w:spacing w:after="80"/>
        <w:ind w:left="680"/>
        <w:rPr>
          <w:u w:val="single"/>
        </w:rPr>
      </w:pPr>
      <w:r w:rsidRPr="00D171D4">
        <w:rPr>
          <w:u w:val="single"/>
        </w:rPr>
        <w:tab/>
      </w:r>
    </w:p>
  </w:footnote>
  <w:footnote w:type="continuationNotice" w:id="1">
    <w:p w:rsidR="00363E23" w:rsidRPr="00C451B9" w:rsidRDefault="00363E23" w:rsidP="00C451B9">
      <w:pPr>
        <w:spacing w:line="240" w:lineRule="auto"/>
        <w:rPr>
          <w:sz w:val="2"/>
          <w:szCs w:val="2"/>
        </w:rPr>
      </w:pPr>
    </w:p>
  </w:footnote>
  <w:footnote w:id="2">
    <w:p w:rsidR="00751C3F" w:rsidRDefault="00751C3F" w:rsidP="00751C3F">
      <w:pPr>
        <w:pStyle w:val="Notedebasdepage"/>
      </w:pPr>
      <w:r>
        <w:tab/>
      </w:r>
      <w:r w:rsidRPr="00E65465">
        <w:rPr>
          <w:rStyle w:val="Appelnotedebasdep"/>
          <w:sz w:val="20"/>
          <w:vertAlign w:val="baseline"/>
        </w:rPr>
        <w:t>*</w:t>
      </w:r>
      <w:r>
        <w:tab/>
      </w:r>
      <w:r w:rsidRPr="00E6085F">
        <w:t>Adoptées par le Comité à sa quatre-vingt-</w:t>
      </w:r>
      <w:r>
        <w:t>neuv</w:t>
      </w:r>
      <w:r w:rsidRPr="00E6085F">
        <w:t>ième session (2</w:t>
      </w:r>
      <w:r>
        <w:t>5</w:t>
      </w:r>
      <w:r w:rsidRPr="00E6085F">
        <w:t xml:space="preserve"> avril</w:t>
      </w:r>
      <w:r w:rsidRPr="0038669A">
        <w:t>-</w:t>
      </w:r>
      <w:r w:rsidRPr="00C03AC7">
        <w:rPr>
          <w:szCs w:val="24"/>
        </w:rPr>
        <w:t>1</w:t>
      </w:r>
      <w:r>
        <w:rPr>
          <w:szCs w:val="24"/>
        </w:rPr>
        <w:t>3</w:t>
      </w:r>
      <w:r w:rsidRPr="00C03AC7">
        <w:rPr>
          <w:szCs w:val="24"/>
        </w:rPr>
        <w:t xml:space="preserve"> mai 201</w:t>
      </w:r>
      <w:r>
        <w:rPr>
          <w:szCs w:val="24"/>
        </w:rPr>
        <w:t>6</w:t>
      </w:r>
      <w:r w:rsidRPr="00C03AC7">
        <w:rPr>
          <w:szCs w:val="24"/>
        </w:rPr>
        <w:t>)</w:t>
      </w:r>
      <w:r w:rsidRPr="00C03AC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2C" w:rsidRPr="00790D44" w:rsidRDefault="00BB1A2C">
    <w:pPr>
      <w:pStyle w:val="En-tte"/>
      <w:rPr>
        <w:lang w:val="en-GB"/>
      </w:rPr>
    </w:pPr>
    <w:r w:rsidRPr="00001390">
      <w:rPr>
        <w:lang w:val="en-GB"/>
      </w:rPr>
      <w:t>C</w:t>
    </w:r>
    <w:r>
      <w:rPr>
        <w:lang w:val="en-GB"/>
      </w:rPr>
      <w:t>ERD/C/</w:t>
    </w:r>
    <w:r w:rsidR="00A7656D">
      <w:rPr>
        <w:lang w:val="en-GB"/>
      </w:rPr>
      <w:t>RWA/CO/18-20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2C" w:rsidRPr="00790D44" w:rsidRDefault="00BB1A2C" w:rsidP="00790D44">
    <w:pPr>
      <w:pStyle w:val="En-tte"/>
      <w:jc w:val="right"/>
      <w:rPr>
        <w:lang w:val="en-GB"/>
      </w:rPr>
    </w:pPr>
    <w:r w:rsidRPr="00001390">
      <w:rPr>
        <w:lang w:val="en-GB"/>
      </w:rPr>
      <w:t>C</w:t>
    </w:r>
    <w:r>
      <w:rPr>
        <w:lang w:val="en-GB"/>
      </w:rPr>
      <w:t>ERD/C</w:t>
    </w:r>
    <w:r w:rsidR="009A2265">
      <w:rPr>
        <w:lang w:val="en-GB"/>
      </w:rPr>
      <w:t>/RWA</w:t>
    </w:r>
    <w:r>
      <w:rPr>
        <w:lang w:val="en-GB"/>
      </w:rPr>
      <w:t>/</w:t>
    </w:r>
    <w:r w:rsidR="009A2265">
      <w:rPr>
        <w:lang w:val="en-GB"/>
      </w:rPr>
      <w:t>CO/18-20</w:t>
    </w:r>
    <w:r w:rsidR="00725E46">
      <w:rPr>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5C" w:rsidRDefault="00C12B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C7E"/>
    <w:multiLevelType w:val="hybridMultilevel"/>
    <w:tmpl w:val="3F5CF9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8C61547"/>
    <w:multiLevelType w:val="hybridMultilevel"/>
    <w:tmpl w:val="01485FA2"/>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1AE337AE"/>
    <w:multiLevelType w:val="hybridMultilevel"/>
    <w:tmpl w:val="75EA12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0F16B08"/>
    <w:multiLevelType w:val="hybridMultilevel"/>
    <w:tmpl w:val="3F5CF9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230544E"/>
    <w:multiLevelType w:val="hybridMultilevel"/>
    <w:tmpl w:val="EDD6DE48"/>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23F81305"/>
    <w:multiLevelType w:val="hybridMultilevel"/>
    <w:tmpl w:val="BF9EAD14"/>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25224003"/>
    <w:multiLevelType w:val="hybridMultilevel"/>
    <w:tmpl w:val="0540C7E6"/>
    <w:lvl w:ilvl="0" w:tplc="08090017">
      <w:start w:val="1"/>
      <w:numFmt w:val="lowerLetter"/>
      <w:lvlText w:val="%1)"/>
      <w:lvlJc w:val="left"/>
      <w:pPr>
        <w:ind w:left="2421" w:hanging="360"/>
      </w:pPr>
    </w:lvl>
    <w:lvl w:ilvl="1" w:tplc="2B2A59A6">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nsid w:val="2F38369A"/>
    <w:multiLevelType w:val="hybridMultilevel"/>
    <w:tmpl w:val="EDEE4448"/>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31FC4BBF"/>
    <w:multiLevelType w:val="hybridMultilevel"/>
    <w:tmpl w:val="4224B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2B0228"/>
    <w:multiLevelType w:val="hybridMultilevel"/>
    <w:tmpl w:val="DF2E8394"/>
    <w:lvl w:ilvl="0" w:tplc="3EFCC3F6">
      <w:start w:val="1"/>
      <w:numFmt w:val="decimal"/>
      <w:lvlText w:val="%1."/>
      <w:lvlJc w:val="left"/>
      <w:pPr>
        <w:ind w:left="1854" w:hanging="360"/>
      </w:pPr>
      <w:rPr>
        <w:b w:val="0"/>
        <w:sz w:val="20"/>
        <w:szCs w:val="20"/>
      </w:rPr>
    </w:lvl>
    <w:lvl w:ilvl="1" w:tplc="58C8802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87809B6"/>
    <w:multiLevelType w:val="hybridMultilevel"/>
    <w:tmpl w:val="74185650"/>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3BE27CE2"/>
    <w:multiLevelType w:val="hybridMultilevel"/>
    <w:tmpl w:val="57BE97E2"/>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BE34691"/>
    <w:multiLevelType w:val="hybridMultilevel"/>
    <w:tmpl w:val="3F5CF9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168665B"/>
    <w:multiLevelType w:val="hybridMultilevel"/>
    <w:tmpl w:val="0D025732"/>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1A050F6"/>
    <w:multiLevelType w:val="hybridMultilevel"/>
    <w:tmpl w:val="4E988F1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41DC65A5"/>
    <w:multiLevelType w:val="hybridMultilevel"/>
    <w:tmpl w:val="8474F3F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428A7834"/>
    <w:multiLevelType w:val="hybridMultilevel"/>
    <w:tmpl w:val="9034C184"/>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nsid w:val="43142A2B"/>
    <w:multiLevelType w:val="hybridMultilevel"/>
    <w:tmpl w:val="C1460D6C"/>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43752CDE"/>
    <w:multiLevelType w:val="hybridMultilevel"/>
    <w:tmpl w:val="3F5CF9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49D0046"/>
    <w:multiLevelType w:val="hybridMultilevel"/>
    <w:tmpl w:val="5B88E266"/>
    <w:lvl w:ilvl="0" w:tplc="8732194C">
      <w:start w:val="1"/>
      <w:numFmt w:val="upperLetter"/>
      <w:lvlText w:val="%1."/>
      <w:lvlJc w:val="left"/>
      <w:pPr>
        <w:ind w:left="2280" w:hanging="525"/>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2">
    <w:nsid w:val="484D740C"/>
    <w:multiLevelType w:val="hybridMultilevel"/>
    <w:tmpl w:val="9C2A90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1266283"/>
    <w:multiLevelType w:val="hybridMultilevel"/>
    <w:tmpl w:val="ECF41018"/>
    <w:lvl w:ilvl="0" w:tplc="8732194C">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4">
    <w:nsid w:val="52722974"/>
    <w:multiLevelType w:val="hybridMultilevel"/>
    <w:tmpl w:val="EE084C92"/>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53942828"/>
    <w:multiLevelType w:val="hybridMultilevel"/>
    <w:tmpl w:val="0504EE84"/>
    <w:lvl w:ilvl="0" w:tplc="49A6CA8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54B91498"/>
    <w:multiLevelType w:val="hybridMultilevel"/>
    <w:tmpl w:val="6512E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926751"/>
    <w:multiLevelType w:val="hybridMultilevel"/>
    <w:tmpl w:val="E70C6E9E"/>
    <w:lvl w:ilvl="0" w:tplc="0809000F">
      <w:start w:val="1"/>
      <w:numFmt w:val="decimal"/>
      <w:lvlText w:val="%1."/>
      <w:lvlJc w:val="left"/>
      <w:pPr>
        <w:ind w:left="1854" w:hanging="360"/>
      </w:pPr>
    </w:lvl>
    <w:lvl w:ilvl="1" w:tplc="2B2A59A6">
      <w:start w:val="1"/>
      <w:numFmt w:val="lowerLetter"/>
      <w:lvlText w:val="%2)"/>
      <w:lvlJc w:val="left"/>
      <w:pPr>
        <w:ind w:left="3339" w:hanging="112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5BA101D0"/>
    <w:multiLevelType w:val="hybridMultilevel"/>
    <w:tmpl w:val="4EDA65E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nsid w:val="5C0732A0"/>
    <w:multiLevelType w:val="hybridMultilevel"/>
    <w:tmpl w:val="AD94AF72"/>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5D6658FE"/>
    <w:multiLevelType w:val="hybridMultilevel"/>
    <w:tmpl w:val="891C6B70"/>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63771963"/>
    <w:multiLevelType w:val="hybridMultilevel"/>
    <w:tmpl w:val="39363792"/>
    <w:lvl w:ilvl="0" w:tplc="4AF6106C">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6A0E5F24"/>
    <w:multiLevelType w:val="hybridMultilevel"/>
    <w:tmpl w:val="A1B05E2E"/>
    <w:lvl w:ilvl="0" w:tplc="88BE89F2">
      <w:start w:val="1"/>
      <w:numFmt w:val="decimal"/>
      <w:lvlText w:val="%1."/>
      <w:lvlJc w:val="left"/>
      <w:pPr>
        <w:ind w:left="2061" w:hanging="360"/>
      </w:pPr>
      <w:rPr>
        <w:b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A5220DF"/>
    <w:multiLevelType w:val="hybridMultilevel"/>
    <w:tmpl w:val="A87AFB52"/>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71923473"/>
    <w:multiLevelType w:val="hybridMultilevel"/>
    <w:tmpl w:val="DFB4B354"/>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71D842AD"/>
    <w:multiLevelType w:val="hybridMultilevel"/>
    <w:tmpl w:val="42F2BFF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74EA17D3"/>
    <w:multiLevelType w:val="hybridMultilevel"/>
    <w:tmpl w:val="7E6C7EE8"/>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7B53729A"/>
    <w:multiLevelType w:val="hybridMultilevel"/>
    <w:tmpl w:val="86F01744"/>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2"/>
  </w:num>
  <w:num w:numId="2">
    <w:abstractNumId w:val="12"/>
  </w:num>
  <w:num w:numId="3">
    <w:abstractNumId w:val="1"/>
  </w:num>
  <w:num w:numId="4">
    <w:abstractNumId w:val="27"/>
  </w:num>
  <w:num w:numId="5">
    <w:abstractNumId w:val="25"/>
  </w:num>
  <w:num w:numId="6">
    <w:abstractNumId w:val="18"/>
  </w:num>
  <w:num w:numId="7">
    <w:abstractNumId w:val="7"/>
  </w:num>
  <w:num w:numId="8">
    <w:abstractNumId w:val="2"/>
  </w:num>
  <w:num w:numId="9">
    <w:abstractNumId w:val="6"/>
  </w:num>
  <w:num w:numId="10">
    <w:abstractNumId w:val="24"/>
  </w:num>
  <w:num w:numId="11">
    <w:abstractNumId w:val="8"/>
  </w:num>
  <w:num w:numId="12">
    <w:abstractNumId w:val="29"/>
  </w:num>
  <w:num w:numId="13">
    <w:abstractNumId w:val="13"/>
  </w:num>
  <w:num w:numId="14">
    <w:abstractNumId w:val="5"/>
  </w:num>
  <w:num w:numId="15">
    <w:abstractNumId w:val="37"/>
  </w:num>
  <w:num w:numId="16">
    <w:abstractNumId w:val="11"/>
  </w:num>
  <w:num w:numId="17">
    <w:abstractNumId w:val="30"/>
  </w:num>
  <w:num w:numId="18">
    <w:abstractNumId w:val="15"/>
  </w:num>
  <w:num w:numId="19">
    <w:abstractNumId w:val="35"/>
  </w:num>
  <w:num w:numId="20">
    <w:abstractNumId w:val="19"/>
  </w:num>
  <w:num w:numId="21">
    <w:abstractNumId w:val="34"/>
  </w:num>
  <w:num w:numId="22">
    <w:abstractNumId w:val="26"/>
  </w:num>
  <w:num w:numId="23">
    <w:abstractNumId w:val="3"/>
  </w:num>
  <w:num w:numId="24">
    <w:abstractNumId w:val="9"/>
  </w:num>
  <w:num w:numId="25">
    <w:abstractNumId w:val="33"/>
  </w:num>
  <w:num w:numId="26">
    <w:abstractNumId w:val="23"/>
  </w:num>
  <w:num w:numId="27">
    <w:abstractNumId w:val="21"/>
  </w:num>
  <w:num w:numId="28">
    <w:abstractNumId w:val="28"/>
  </w:num>
  <w:num w:numId="29">
    <w:abstractNumId w:val="20"/>
  </w:num>
  <w:num w:numId="30">
    <w:abstractNumId w:val="4"/>
  </w:num>
  <w:num w:numId="31">
    <w:abstractNumId w:val="0"/>
  </w:num>
  <w:num w:numId="32">
    <w:abstractNumId w:val="14"/>
  </w:num>
  <w:num w:numId="33">
    <w:abstractNumId w:val="22"/>
  </w:num>
  <w:num w:numId="34">
    <w:abstractNumId w:val="16"/>
  </w:num>
  <w:num w:numId="35">
    <w:abstractNumId w:val="10"/>
  </w:num>
  <w:num w:numId="36">
    <w:abstractNumId w:val="17"/>
  </w:num>
  <w:num w:numId="37">
    <w:abstractNumId w:val="38"/>
  </w:num>
  <w:num w:numId="38">
    <w:abstractNumId w:val="31"/>
  </w:num>
  <w:num w:numId="39">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A6"/>
    <w:rsid w:val="00000298"/>
    <w:rsid w:val="0000075B"/>
    <w:rsid w:val="00000FFE"/>
    <w:rsid w:val="00001390"/>
    <w:rsid w:val="000022AE"/>
    <w:rsid w:val="000056C9"/>
    <w:rsid w:val="0001470D"/>
    <w:rsid w:val="00016165"/>
    <w:rsid w:val="00016AC5"/>
    <w:rsid w:val="00021907"/>
    <w:rsid w:val="000233A5"/>
    <w:rsid w:val="0002445D"/>
    <w:rsid w:val="00024C50"/>
    <w:rsid w:val="00024DD5"/>
    <w:rsid w:val="00025E92"/>
    <w:rsid w:val="000276A3"/>
    <w:rsid w:val="00030DDA"/>
    <w:rsid w:val="00032060"/>
    <w:rsid w:val="00033FCA"/>
    <w:rsid w:val="000340AE"/>
    <w:rsid w:val="00040539"/>
    <w:rsid w:val="00040598"/>
    <w:rsid w:val="00042C4D"/>
    <w:rsid w:val="00047F10"/>
    <w:rsid w:val="0005201E"/>
    <w:rsid w:val="00052157"/>
    <w:rsid w:val="00052F2B"/>
    <w:rsid w:val="0005346D"/>
    <w:rsid w:val="0005447F"/>
    <w:rsid w:val="00055FE4"/>
    <w:rsid w:val="000604A2"/>
    <w:rsid w:val="000641CE"/>
    <w:rsid w:val="00065151"/>
    <w:rsid w:val="000653EA"/>
    <w:rsid w:val="0006658A"/>
    <w:rsid w:val="00067310"/>
    <w:rsid w:val="000703AB"/>
    <w:rsid w:val="00071CE6"/>
    <w:rsid w:val="000722C1"/>
    <w:rsid w:val="00076E3E"/>
    <w:rsid w:val="00077E35"/>
    <w:rsid w:val="00082815"/>
    <w:rsid w:val="00083737"/>
    <w:rsid w:val="000852B9"/>
    <w:rsid w:val="00085E4E"/>
    <w:rsid w:val="0008669E"/>
    <w:rsid w:val="00090599"/>
    <w:rsid w:val="00093D5B"/>
    <w:rsid w:val="000A1501"/>
    <w:rsid w:val="000A2494"/>
    <w:rsid w:val="000A5B5A"/>
    <w:rsid w:val="000A6B7E"/>
    <w:rsid w:val="000A7360"/>
    <w:rsid w:val="000B2250"/>
    <w:rsid w:val="000B5274"/>
    <w:rsid w:val="000B59DA"/>
    <w:rsid w:val="000C06C0"/>
    <w:rsid w:val="000C54E2"/>
    <w:rsid w:val="000C6CDB"/>
    <w:rsid w:val="000D3AF7"/>
    <w:rsid w:val="000D5C25"/>
    <w:rsid w:val="000E4F06"/>
    <w:rsid w:val="000E5601"/>
    <w:rsid w:val="000F41F2"/>
    <w:rsid w:val="00101897"/>
    <w:rsid w:val="0010373B"/>
    <w:rsid w:val="001040AE"/>
    <w:rsid w:val="00114217"/>
    <w:rsid w:val="00117208"/>
    <w:rsid w:val="00121E9A"/>
    <w:rsid w:val="00125446"/>
    <w:rsid w:val="001358D9"/>
    <w:rsid w:val="00137A34"/>
    <w:rsid w:val="00141E26"/>
    <w:rsid w:val="00142C84"/>
    <w:rsid w:val="00143EB9"/>
    <w:rsid w:val="0014558A"/>
    <w:rsid w:val="0015389C"/>
    <w:rsid w:val="0015498D"/>
    <w:rsid w:val="001549CE"/>
    <w:rsid w:val="001549F0"/>
    <w:rsid w:val="00154FC7"/>
    <w:rsid w:val="00160540"/>
    <w:rsid w:val="00162CD7"/>
    <w:rsid w:val="00164585"/>
    <w:rsid w:val="00166B05"/>
    <w:rsid w:val="00166C68"/>
    <w:rsid w:val="0017236D"/>
    <w:rsid w:val="00174814"/>
    <w:rsid w:val="00177B2B"/>
    <w:rsid w:val="00177DAF"/>
    <w:rsid w:val="00181A90"/>
    <w:rsid w:val="0018400F"/>
    <w:rsid w:val="00190D5D"/>
    <w:rsid w:val="00191C53"/>
    <w:rsid w:val="00191DAC"/>
    <w:rsid w:val="00192EEB"/>
    <w:rsid w:val="00193882"/>
    <w:rsid w:val="00194223"/>
    <w:rsid w:val="00194484"/>
    <w:rsid w:val="00195571"/>
    <w:rsid w:val="001A2040"/>
    <w:rsid w:val="001A20FB"/>
    <w:rsid w:val="001A217F"/>
    <w:rsid w:val="001A376F"/>
    <w:rsid w:val="001B09BB"/>
    <w:rsid w:val="001B5D6E"/>
    <w:rsid w:val="001C3956"/>
    <w:rsid w:val="001C3D8D"/>
    <w:rsid w:val="001C6497"/>
    <w:rsid w:val="001D1936"/>
    <w:rsid w:val="001D22E7"/>
    <w:rsid w:val="001D7F8A"/>
    <w:rsid w:val="001E0447"/>
    <w:rsid w:val="001E1495"/>
    <w:rsid w:val="001E2B7D"/>
    <w:rsid w:val="001E34CB"/>
    <w:rsid w:val="001E3FEB"/>
    <w:rsid w:val="001E4541"/>
    <w:rsid w:val="001E4A02"/>
    <w:rsid w:val="001E4E3F"/>
    <w:rsid w:val="001E653B"/>
    <w:rsid w:val="001E6DF0"/>
    <w:rsid w:val="001F3E68"/>
    <w:rsid w:val="001F4931"/>
    <w:rsid w:val="001F7147"/>
    <w:rsid w:val="00200729"/>
    <w:rsid w:val="00200CBA"/>
    <w:rsid w:val="002030D4"/>
    <w:rsid w:val="00204B66"/>
    <w:rsid w:val="002059CE"/>
    <w:rsid w:val="00206AD4"/>
    <w:rsid w:val="00207388"/>
    <w:rsid w:val="00207AD9"/>
    <w:rsid w:val="00210B36"/>
    <w:rsid w:val="0021613A"/>
    <w:rsid w:val="002229C0"/>
    <w:rsid w:val="00224B8B"/>
    <w:rsid w:val="00225A8C"/>
    <w:rsid w:val="00225CFE"/>
    <w:rsid w:val="00231A7F"/>
    <w:rsid w:val="002368C3"/>
    <w:rsid w:val="002370A8"/>
    <w:rsid w:val="002401FC"/>
    <w:rsid w:val="00242BBD"/>
    <w:rsid w:val="00242E0B"/>
    <w:rsid w:val="0024586F"/>
    <w:rsid w:val="00246BC8"/>
    <w:rsid w:val="00246EEE"/>
    <w:rsid w:val="002473FD"/>
    <w:rsid w:val="00251F95"/>
    <w:rsid w:val="00252317"/>
    <w:rsid w:val="002531A3"/>
    <w:rsid w:val="00260431"/>
    <w:rsid w:val="002659F1"/>
    <w:rsid w:val="002673E0"/>
    <w:rsid w:val="00270721"/>
    <w:rsid w:val="00271E41"/>
    <w:rsid w:val="00272E3A"/>
    <w:rsid w:val="0027718A"/>
    <w:rsid w:val="002841FF"/>
    <w:rsid w:val="00284C19"/>
    <w:rsid w:val="002861D1"/>
    <w:rsid w:val="00286E23"/>
    <w:rsid w:val="002876A1"/>
    <w:rsid w:val="00287CA6"/>
    <w:rsid w:val="00287E79"/>
    <w:rsid w:val="0029016A"/>
    <w:rsid w:val="002928F9"/>
    <w:rsid w:val="00292E79"/>
    <w:rsid w:val="00294D5B"/>
    <w:rsid w:val="002A1FF3"/>
    <w:rsid w:val="002A2A2C"/>
    <w:rsid w:val="002A5D07"/>
    <w:rsid w:val="002B003C"/>
    <w:rsid w:val="002B0F93"/>
    <w:rsid w:val="002B6C28"/>
    <w:rsid w:val="002B706F"/>
    <w:rsid w:val="002C0F6D"/>
    <w:rsid w:val="002C29D3"/>
    <w:rsid w:val="002C3A14"/>
    <w:rsid w:val="002D25CA"/>
    <w:rsid w:val="002D3DA4"/>
    <w:rsid w:val="002D46D5"/>
    <w:rsid w:val="002D781B"/>
    <w:rsid w:val="002E0A54"/>
    <w:rsid w:val="002E1C69"/>
    <w:rsid w:val="002E290F"/>
    <w:rsid w:val="002E2F5C"/>
    <w:rsid w:val="002E583A"/>
    <w:rsid w:val="002F0C48"/>
    <w:rsid w:val="003016B7"/>
    <w:rsid w:val="0030754C"/>
    <w:rsid w:val="00315DD0"/>
    <w:rsid w:val="00316BE6"/>
    <w:rsid w:val="003170A4"/>
    <w:rsid w:val="003173EE"/>
    <w:rsid w:val="00317A33"/>
    <w:rsid w:val="00317E54"/>
    <w:rsid w:val="00322DF1"/>
    <w:rsid w:val="00324EBF"/>
    <w:rsid w:val="0032556C"/>
    <w:rsid w:val="003275AB"/>
    <w:rsid w:val="00330508"/>
    <w:rsid w:val="00332209"/>
    <w:rsid w:val="0033286A"/>
    <w:rsid w:val="00333130"/>
    <w:rsid w:val="00340EDE"/>
    <w:rsid w:val="00342EBA"/>
    <w:rsid w:val="00345B95"/>
    <w:rsid w:val="00346E32"/>
    <w:rsid w:val="003515AA"/>
    <w:rsid w:val="00354E62"/>
    <w:rsid w:val="00356B4F"/>
    <w:rsid w:val="0035773E"/>
    <w:rsid w:val="00360E9B"/>
    <w:rsid w:val="00363DA6"/>
    <w:rsid w:val="00363E23"/>
    <w:rsid w:val="0036496C"/>
    <w:rsid w:val="00364F13"/>
    <w:rsid w:val="00365B49"/>
    <w:rsid w:val="0036776C"/>
    <w:rsid w:val="0036798A"/>
    <w:rsid w:val="00372A7A"/>
    <w:rsid w:val="00372D1D"/>
    <w:rsid w:val="00374106"/>
    <w:rsid w:val="0037679A"/>
    <w:rsid w:val="0038047C"/>
    <w:rsid w:val="00382419"/>
    <w:rsid w:val="00383A10"/>
    <w:rsid w:val="00386CB6"/>
    <w:rsid w:val="00390EEF"/>
    <w:rsid w:val="0039136C"/>
    <w:rsid w:val="00394410"/>
    <w:rsid w:val="00394ADD"/>
    <w:rsid w:val="00395357"/>
    <w:rsid w:val="003976D5"/>
    <w:rsid w:val="003A40F5"/>
    <w:rsid w:val="003B4B31"/>
    <w:rsid w:val="003B53B6"/>
    <w:rsid w:val="003C1454"/>
    <w:rsid w:val="003C6F1D"/>
    <w:rsid w:val="003D1467"/>
    <w:rsid w:val="003D1C57"/>
    <w:rsid w:val="003D6C68"/>
    <w:rsid w:val="003D76EA"/>
    <w:rsid w:val="003E01D0"/>
    <w:rsid w:val="003E4417"/>
    <w:rsid w:val="003E49B9"/>
    <w:rsid w:val="003E5188"/>
    <w:rsid w:val="003E5F12"/>
    <w:rsid w:val="003E786C"/>
    <w:rsid w:val="003F1970"/>
    <w:rsid w:val="003F2A89"/>
    <w:rsid w:val="003F4A54"/>
    <w:rsid w:val="003F5D48"/>
    <w:rsid w:val="0040144C"/>
    <w:rsid w:val="00402DB2"/>
    <w:rsid w:val="004067AE"/>
    <w:rsid w:val="00410521"/>
    <w:rsid w:val="00413BB0"/>
    <w:rsid w:val="004159D0"/>
    <w:rsid w:val="00417326"/>
    <w:rsid w:val="00422499"/>
    <w:rsid w:val="0043219A"/>
    <w:rsid w:val="00432969"/>
    <w:rsid w:val="00432E5F"/>
    <w:rsid w:val="004342E2"/>
    <w:rsid w:val="00434354"/>
    <w:rsid w:val="004370DD"/>
    <w:rsid w:val="00440BC8"/>
    <w:rsid w:val="004449F4"/>
    <w:rsid w:val="0044632A"/>
    <w:rsid w:val="004469A0"/>
    <w:rsid w:val="004544DF"/>
    <w:rsid w:val="00454F8D"/>
    <w:rsid w:val="004553E8"/>
    <w:rsid w:val="004567EB"/>
    <w:rsid w:val="00460AF4"/>
    <w:rsid w:val="00460E72"/>
    <w:rsid w:val="00467412"/>
    <w:rsid w:val="00467998"/>
    <w:rsid w:val="00470444"/>
    <w:rsid w:val="00471E02"/>
    <w:rsid w:val="00476265"/>
    <w:rsid w:val="00482B9C"/>
    <w:rsid w:val="004839F7"/>
    <w:rsid w:val="00490F56"/>
    <w:rsid w:val="00491F39"/>
    <w:rsid w:val="00492CB6"/>
    <w:rsid w:val="00495995"/>
    <w:rsid w:val="004969CE"/>
    <w:rsid w:val="004A1010"/>
    <w:rsid w:val="004A49A5"/>
    <w:rsid w:val="004A66A2"/>
    <w:rsid w:val="004B51CD"/>
    <w:rsid w:val="004B5CB8"/>
    <w:rsid w:val="004C0141"/>
    <w:rsid w:val="004C1130"/>
    <w:rsid w:val="004C54C0"/>
    <w:rsid w:val="004C56B2"/>
    <w:rsid w:val="004C7691"/>
    <w:rsid w:val="004D00B2"/>
    <w:rsid w:val="004D274E"/>
    <w:rsid w:val="004D568A"/>
    <w:rsid w:val="004E21CB"/>
    <w:rsid w:val="004E4963"/>
    <w:rsid w:val="004E6809"/>
    <w:rsid w:val="004E7F24"/>
    <w:rsid w:val="004F0482"/>
    <w:rsid w:val="004F121B"/>
    <w:rsid w:val="004F3945"/>
    <w:rsid w:val="004F4EE2"/>
    <w:rsid w:val="004F65B1"/>
    <w:rsid w:val="005111B1"/>
    <w:rsid w:val="0051457E"/>
    <w:rsid w:val="00514627"/>
    <w:rsid w:val="0051714B"/>
    <w:rsid w:val="00520F80"/>
    <w:rsid w:val="00521BC5"/>
    <w:rsid w:val="005239FF"/>
    <w:rsid w:val="00523AC3"/>
    <w:rsid w:val="00523DB8"/>
    <w:rsid w:val="005251CC"/>
    <w:rsid w:val="00527ABC"/>
    <w:rsid w:val="00533078"/>
    <w:rsid w:val="00533150"/>
    <w:rsid w:val="00541A09"/>
    <w:rsid w:val="00543B57"/>
    <w:rsid w:val="00543C47"/>
    <w:rsid w:val="00543D5E"/>
    <w:rsid w:val="00544260"/>
    <w:rsid w:val="00551E67"/>
    <w:rsid w:val="00552260"/>
    <w:rsid w:val="00552777"/>
    <w:rsid w:val="00555494"/>
    <w:rsid w:val="00555CBA"/>
    <w:rsid w:val="00565B29"/>
    <w:rsid w:val="00571BC1"/>
    <w:rsid w:val="00571F41"/>
    <w:rsid w:val="00572F58"/>
    <w:rsid w:val="00573A72"/>
    <w:rsid w:val="00575476"/>
    <w:rsid w:val="00575A10"/>
    <w:rsid w:val="005764E3"/>
    <w:rsid w:val="00580DF1"/>
    <w:rsid w:val="00584373"/>
    <w:rsid w:val="00590D10"/>
    <w:rsid w:val="00591DB3"/>
    <w:rsid w:val="005939ED"/>
    <w:rsid w:val="00593EFA"/>
    <w:rsid w:val="005947BC"/>
    <w:rsid w:val="00595E8A"/>
    <w:rsid w:val="005961A3"/>
    <w:rsid w:val="00597F53"/>
    <w:rsid w:val="005A0268"/>
    <w:rsid w:val="005A2611"/>
    <w:rsid w:val="005A6014"/>
    <w:rsid w:val="005B0BF0"/>
    <w:rsid w:val="005B1092"/>
    <w:rsid w:val="005B1104"/>
    <w:rsid w:val="005B2342"/>
    <w:rsid w:val="005B473C"/>
    <w:rsid w:val="005C0DAF"/>
    <w:rsid w:val="005C3AAE"/>
    <w:rsid w:val="005C3B74"/>
    <w:rsid w:val="005C549A"/>
    <w:rsid w:val="005D13DA"/>
    <w:rsid w:val="005D65C4"/>
    <w:rsid w:val="005D7719"/>
    <w:rsid w:val="005E1B9B"/>
    <w:rsid w:val="005E32D1"/>
    <w:rsid w:val="005E5D1F"/>
    <w:rsid w:val="005E6037"/>
    <w:rsid w:val="005F2020"/>
    <w:rsid w:val="005F48E4"/>
    <w:rsid w:val="005F517E"/>
    <w:rsid w:val="005F64B9"/>
    <w:rsid w:val="005F6F16"/>
    <w:rsid w:val="00605440"/>
    <w:rsid w:val="00610CC9"/>
    <w:rsid w:val="0061113B"/>
    <w:rsid w:val="00611D43"/>
    <w:rsid w:val="00612D48"/>
    <w:rsid w:val="00613A5E"/>
    <w:rsid w:val="00616B45"/>
    <w:rsid w:val="00616C03"/>
    <w:rsid w:val="00616FC0"/>
    <w:rsid w:val="00617F03"/>
    <w:rsid w:val="00621280"/>
    <w:rsid w:val="0062147C"/>
    <w:rsid w:val="00621CC5"/>
    <w:rsid w:val="00622FE2"/>
    <w:rsid w:val="006241C6"/>
    <w:rsid w:val="006247A7"/>
    <w:rsid w:val="00624E4F"/>
    <w:rsid w:val="00624EF1"/>
    <w:rsid w:val="006262CD"/>
    <w:rsid w:val="0062661C"/>
    <w:rsid w:val="00630D9B"/>
    <w:rsid w:val="0063166E"/>
    <w:rsid w:val="00631953"/>
    <w:rsid w:val="0063208D"/>
    <w:rsid w:val="00641438"/>
    <w:rsid w:val="00643814"/>
    <w:rsid w:val="006439EC"/>
    <w:rsid w:val="00643B08"/>
    <w:rsid w:val="00643C43"/>
    <w:rsid w:val="00645090"/>
    <w:rsid w:val="00647059"/>
    <w:rsid w:val="00647162"/>
    <w:rsid w:val="0065029A"/>
    <w:rsid w:val="00655291"/>
    <w:rsid w:val="00655C5A"/>
    <w:rsid w:val="00660A32"/>
    <w:rsid w:val="00661E96"/>
    <w:rsid w:val="00665786"/>
    <w:rsid w:val="006659DB"/>
    <w:rsid w:val="00666ADA"/>
    <w:rsid w:val="00666B6A"/>
    <w:rsid w:val="00666BF8"/>
    <w:rsid w:val="00671C93"/>
    <w:rsid w:val="00671F00"/>
    <w:rsid w:val="006729C8"/>
    <w:rsid w:val="00675501"/>
    <w:rsid w:val="0068562A"/>
    <w:rsid w:val="00686C53"/>
    <w:rsid w:val="0068781F"/>
    <w:rsid w:val="00694243"/>
    <w:rsid w:val="006A2410"/>
    <w:rsid w:val="006A6B31"/>
    <w:rsid w:val="006A6C95"/>
    <w:rsid w:val="006A7B29"/>
    <w:rsid w:val="006B0EB2"/>
    <w:rsid w:val="006B0FF8"/>
    <w:rsid w:val="006B2684"/>
    <w:rsid w:val="006B4590"/>
    <w:rsid w:val="006C340C"/>
    <w:rsid w:val="006C39D9"/>
    <w:rsid w:val="006C3B29"/>
    <w:rsid w:val="006C5DE7"/>
    <w:rsid w:val="006D2790"/>
    <w:rsid w:val="006D5B96"/>
    <w:rsid w:val="006E05A3"/>
    <w:rsid w:val="006E28C8"/>
    <w:rsid w:val="006E616E"/>
    <w:rsid w:val="006F1D0B"/>
    <w:rsid w:val="006F27A8"/>
    <w:rsid w:val="006F3493"/>
    <w:rsid w:val="006F3544"/>
    <w:rsid w:val="006F7540"/>
    <w:rsid w:val="0070347C"/>
    <w:rsid w:val="00707CC9"/>
    <w:rsid w:val="007102D2"/>
    <w:rsid w:val="00711825"/>
    <w:rsid w:val="00714A66"/>
    <w:rsid w:val="007176C1"/>
    <w:rsid w:val="00720BC0"/>
    <w:rsid w:val="0072116B"/>
    <w:rsid w:val="00725063"/>
    <w:rsid w:val="00725E46"/>
    <w:rsid w:val="00727158"/>
    <w:rsid w:val="00732A42"/>
    <w:rsid w:val="00732E72"/>
    <w:rsid w:val="00741D90"/>
    <w:rsid w:val="00742B43"/>
    <w:rsid w:val="00743B47"/>
    <w:rsid w:val="00751C3F"/>
    <w:rsid w:val="00752174"/>
    <w:rsid w:val="00755A37"/>
    <w:rsid w:val="007607B1"/>
    <w:rsid w:val="00765296"/>
    <w:rsid w:val="0076633D"/>
    <w:rsid w:val="00766D28"/>
    <w:rsid w:val="00771BF0"/>
    <w:rsid w:val="007723C2"/>
    <w:rsid w:val="007815B9"/>
    <w:rsid w:val="00783077"/>
    <w:rsid w:val="00785F1F"/>
    <w:rsid w:val="007901D2"/>
    <w:rsid w:val="00790B9D"/>
    <w:rsid w:val="00790D44"/>
    <w:rsid w:val="00795539"/>
    <w:rsid w:val="00796316"/>
    <w:rsid w:val="007A05C8"/>
    <w:rsid w:val="007A1C58"/>
    <w:rsid w:val="007A20D2"/>
    <w:rsid w:val="007A4728"/>
    <w:rsid w:val="007A58BF"/>
    <w:rsid w:val="007A7445"/>
    <w:rsid w:val="007A79CD"/>
    <w:rsid w:val="007B0428"/>
    <w:rsid w:val="007B3DB3"/>
    <w:rsid w:val="007B3E58"/>
    <w:rsid w:val="007B54DC"/>
    <w:rsid w:val="007D2668"/>
    <w:rsid w:val="007D3119"/>
    <w:rsid w:val="007D5868"/>
    <w:rsid w:val="007D5B4E"/>
    <w:rsid w:val="007D79BA"/>
    <w:rsid w:val="007E2D48"/>
    <w:rsid w:val="007F16A9"/>
    <w:rsid w:val="007F1867"/>
    <w:rsid w:val="007F1EC4"/>
    <w:rsid w:val="007F55CB"/>
    <w:rsid w:val="007F768E"/>
    <w:rsid w:val="008021D4"/>
    <w:rsid w:val="008026B9"/>
    <w:rsid w:val="00807AFC"/>
    <w:rsid w:val="008149F9"/>
    <w:rsid w:val="00815B1A"/>
    <w:rsid w:val="0082165E"/>
    <w:rsid w:val="0082252C"/>
    <w:rsid w:val="008245B7"/>
    <w:rsid w:val="0082755E"/>
    <w:rsid w:val="0083092F"/>
    <w:rsid w:val="00831A18"/>
    <w:rsid w:val="008357B3"/>
    <w:rsid w:val="00837345"/>
    <w:rsid w:val="00844750"/>
    <w:rsid w:val="00851A74"/>
    <w:rsid w:val="00853054"/>
    <w:rsid w:val="00853AB8"/>
    <w:rsid w:val="00854C34"/>
    <w:rsid w:val="0085586A"/>
    <w:rsid w:val="00857E56"/>
    <w:rsid w:val="0087210D"/>
    <w:rsid w:val="00872365"/>
    <w:rsid w:val="008723BC"/>
    <w:rsid w:val="00872A13"/>
    <w:rsid w:val="008733A9"/>
    <w:rsid w:val="00873F6A"/>
    <w:rsid w:val="0087692E"/>
    <w:rsid w:val="008771D5"/>
    <w:rsid w:val="008863EE"/>
    <w:rsid w:val="00886AB4"/>
    <w:rsid w:val="00895DE5"/>
    <w:rsid w:val="008A0FA8"/>
    <w:rsid w:val="008A1EC0"/>
    <w:rsid w:val="008A3FE6"/>
    <w:rsid w:val="008B44C4"/>
    <w:rsid w:val="008B6951"/>
    <w:rsid w:val="008C230D"/>
    <w:rsid w:val="008C2AB5"/>
    <w:rsid w:val="008C2FB7"/>
    <w:rsid w:val="008C322B"/>
    <w:rsid w:val="008C4A1B"/>
    <w:rsid w:val="008C4B74"/>
    <w:rsid w:val="008D0723"/>
    <w:rsid w:val="008D1156"/>
    <w:rsid w:val="008D59DB"/>
    <w:rsid w:val="008D5C88"/>
    <w:rsid w:val="008D607B"/>
    <w:rsid w:val="008E0319"/>
    <w:rsid w:val="008E4DE2"/>
    <w:rsid w:val="008E7CE2"/>
    <w:rsid w:val="008E7FAE"/>
    <w:rsid w:val="008F09A2"/>
    <w:rsid w:val="008F6A4D"/>
    <w:rsid w:val="008F71FA"/>
    <w:rsid w:val="009058C5"/>
    <w:rsid w:val="00907727"/>
    <w:rsid w:val="00911901"/>
    <w:rsid w:val="00911BF7"/>
    <w:rsid w:val="00912587"/>
    <w:rsid w:val="0091594A"/>
    <w:rsid w:val="00915E94"/>
    <w:rsid w:val="00916F60"/>
    <w:rsid w:val="00921CE3"/>
    <w:rsid w:val="009230F1"/>
    <w:rsid w:val="00923949"/>
    <w:rsid w:val="009316D8"/>
    <w:rsid w:val="0093178A"/>
    <w:rsid w:val="00931CB7"/>
    <w:rsid w:val="0093312B"/>
    <w:rsid w:val="00935490"/>
    <w:rsid w:val="0093604D"/>
    <w:rsid w:val="009418DE"/>
    <w:rsid w:val="00945167"/>
    <w:rsid w:val="009516B7"/>
    <w:rsid w:val="00954BB0"/>
    <w:rsid w:val="00955314"/>
    <w:rsid w:val="00956A9B"/>
    <w:rsid w:val="009573F8"/>
    <w:rsid w:val="00957CE5"/>
    <w:rsid w:val="00957F0C"/>
    <w:rsid w:val="009624E2"/>
    <w:rsid w:val="00962964"/>
    <w:rsid w:val="00964D2F"/>
    <w:rsid w:val="00973C85"/>
    <w:rsid w:val="009775DC"/>
    <w:rsid w:val="00977EC8"/>
    <w:rsid w:val="00982F1A"/>
    <w:rsid w:val="00984703"/>
    <w:rsid w:val="009A2265"/>
    <w:rsid w:val="009A229B"/>
    <w:rsid w:val="009A3048"/>
    <w:rsid w:val="009A5696"/>
    <w:rsid w:val="009A6C26"/>
    <w:rsid w:val="009B17AD"/>
    <w:rsid w:val="009B2391"/>
    <w:rsid w:val="009B3F8C"/>
    <w:rsid w:val="009B45E0"/>
    <w:rsid w:val="009B494F"/>
    <w:rsid w:val="009B4BC8"/>
    <w:rsid w:val="009B540F"/>
    <w:rsid w:val="009C289E"/>
    <w:rsid w:val="009C33CA"/>
    <w:rsid w:val="009D1ED1"/>
    <w:rsid w:val="009D3A8C"/>
    <w:rsid w:val="009D7DAA"/>
    <w:rsid w:val="009E0519"/>
    <w:rsid w:val="009E1BA9"/>
    <w:rsid w:val="009E2876"/>
    <w:rsid w:val="009E28BA"/>
    <w:rsid w:val="009E2F0B"/>
    <w:rsid w:val="009E3B6E"/>
    <w:rsid w:val="009E457B"/>
    <w:rsid w:val="009E7956"/>
    <w:rsid w:val="009F010A"/>
    <w:rsid w:val="009F072F"/>
    <w:rsid w:val="009F1E50"/>
    <w:rsid w:val="009F26C1"/>
    <w:rsid w:val="009F39B2"/>
    <w:rsid w:val="009F3F95"/>
    <w:rsid w:val="00A023FC"/>
    <w:rsid w:val="00A02B88"/>
    <w:rsid w:val="00A0338D"/>
    <w:rsid w:val="00A05DD1"/>
    <w:rsid w:val="00A077E9"/>
    <w:rsid w:val="00A14844"/>
    <w:rsid w:val="00A179EE"/>
    <w:rsid w:val="00A209E8"/>
    <w:rsid w:val="00A2492E"/>
    <w:rsid w:val="00A25847"/>
    <w:rsid w:val="00A2674E"/>
    <w:rsid w:val="00A31163"/>
    <w:rsid w:val="00A34593"/>
    <w:rsid w:val="00A364DB"/>
    <w:rsid w:val="00A4091F"/>
    <w:rsid w:val="00A431A5"/>
    <w:rsid w:val="00A45E90"/>
    <w:rsid w:val="00A46D01"/>
    <w:rsid w:val="00A4770F"/>
    <w:rsid w:val="00A50D6B"/>
    <w:rsid w:val="00A51050"/>
    <w:rsid w:val="00A546E5"/>
    <w:rsid w:val="00A5500F"/>
    <w:rsid w:val="00A56945"/>
    <w:rsid w:val="00A57027"/>
    <w:rsid w:val="00A5750C"/>
    <w:rsid w:val="00A61EAF"/>
    <w:rsid w:val="00A63ACF"/>
    <w:rsid w:val="00A63F4C"/>
    <w:rsid w:val="00A700DF"/>
    <w:rsid w:val="00A72C35"/>
    <w:rsid w:val="00A752BB"/>
    <w:rsid w:val="00A7656D"/>
    <w:rsid w:val="00A81F93"/>
    <w:rsid w:val="00A84FC7"/>
    <w:rsid w:val="00A85E74"/>
    <w:rsid w:val="00A91CEA"/>
    <w:rsid w:val="00A9247E"/>
    <w:rsid w:val="00A926AE"/>
    <w:rsid w:val="00AA47B4"/>
    <w:rsid w:val="00AA74C7"/>
    <w:rsid w:val="00AA7796"/>
    <w:rsid w:val="00AB34E9"/>
    <w:rsid w:val="00AB7B25"/>
    <w:rsid w:val="00AB7C0C"/>
    <w:rsid w:val="00AC3066"/>
    <w:rsid w:val="00AC5E09"/>
    <w:rsid w:val="00AC67A1"/>
    <w:rsid w:val="00AC7977"/>
    <w:rsid w:val="00AC7E56"/>
    <w:rsid w:val="00AD32D8"/>
    <w:rsid w:val="00AE0047"/>
    <w:rsid w:val="00AE2617"/>
    <w:rsid w:val="00AE352C"/>
    <w:rsid w:val="00AE79AC"/>
    <w:rsid w:val="00AE7A6C"/>
    <w:rsid w:val="00AF4BE8"/>
    <w:rsid w:val="00AF4E96"/>
    <w:rsid w:val="00AF54A2"/>
    <w:rsid w:val="00AF6F94"/>
    <w:rsid w:val="00AF7B63"/>
    <w:rsid w:val="00B003C0"/>
    <w:rsid w:val="00B01AAD"/>
    <w:rsid w:val="00B061A8"/>
    <w:rsid w:val="00B06711"/>
    <w:rsid w:val="00B071AA"/>
    <w:rsid w:val="00B075C5"/>
    <w:rsid w:val="00B101DB"/>
    <w:rsid w:val="00B1080A"/>
    <w:rsid w:val="00B1247D"/>
    <w:rsid w:val="00B203F5"/>
    <w:rsid w:val="00B21751"/>
    <w:rsid w:val="00B256F0"/>
    <w:rsid w:val="00B31D7D"/>
    <w:rsid w:val="00B323BC"/>
    <w:rsid w:val="00B32E2D"/>
    <w:rsid w:val="00B33039"/>
    <w:rsid w:val="00B41952"/>
    <w:rsid w:val="00B435D1"/>
    <w:rsid w:val="00B43741"/>
    <w:rsid w:val="00B44080"/>
    <w:rsid w:val="00B45642"/>
    <w:rsid w:val="00B51B53"/>
    <w:rsid w:val="00B52F29"/>
    <w:rsid w:val="00B5388D"/>
    <w:rsid w:val="00B56BF6"/>
    <w:rsid w:val="00B57E4C"/>
    <w:rsid w:val="00B61990"/>
    <w:rsid w:val="00B6249B"/>
    <w:rsid w:val="00B65741"/>
    <w:rsid w:val="00B6685F"/>
    <w:rsid w:val="00B672BA"/>
    <w:rsid w:val="00B70CCD"/>
    <w:rsid w:val="00B71B60"/>
    <w:rsid w:val="00B75E66"/>
    <w:rsid w:val="00B773BF"/>
    <w:rsid w:val="00B83489"/>
    <w:rsid w:val="00B92AD5"/>
    <w:rsid w:val="00B92F68"/>
    <w:rsid w:val="00BA14B5"/>
    <w:rsid w:val="00BA74C3"/>
    <w:rsid w:val="00BB1A2C"/>
    <w:rsid w:val="00BB3A09"/>
    <w:rsid w:val="00BB5F4B"/>
    <w:rsid w:val="00BC3F20"/>
    <w:rsid w:val="00BD1800"/>
    <w:rsid w:val="00BD28B2"/>
    <w:rsid w:val="00BD5A8D"/>
    <w:rsid w:val="00BD7343"/>
    <w:rsid w:val="00BE1532"/>
    <w:rsid w:val="00BE3778"/>
    <w:rsid w:val="00BE6603"/>
    <w:rsid w:val="00BF0556"/>
    <w:rsid w:val="00BF1943"/>
    <w:rsid w:val="00BF37EE"/>
    <w:rsid w:val="00C024A1"/>
    <w:rsid w:val="00C02953"/>
    <w:rsid w:val="00C02C42"/>
    <w:rsid w:val="00C06DBB"/>
    <w:rsid w:val="00C100F9"/>
    <w:rsid w:val="00C10FB1"/>
    <w:rsid w:val="00C11282"/>
    <w:rsid w:val="00C118ED"/>
    <w:rsid w:val="00C12B5C"/>
    <w:rsid w:val="00C14108"/>
    <w:rsid w:val="00C143F4"/>
    <w:rsid w:val="00C261F8"/>
    <w:rsid w:val="00C27662"/>
    <w:rsid w:val="00C311DE"/>
    <w:rsid w:val="00C316B5"/>
    <w:rsid w:val="00C3286F"/>
    <w:rsid w:val="00C33100"/>
    <w:rsid w:val="00C34643"/>
    <w:rsid w:val="00C37A2A"/>
    <w:rsid w:val="00C451B9"/>
    <w:rsid w:val="00C51D9C"/>
    <w:rsid w:val="00C52680"/>
    <w:rsid w:val="00C54DA4"/>
    <w:rsid w:val="00C55118"/>
    <w:rsid w:val="00C55CAA"/>
    <w:rsid w:val="00C57364"/>
    <w:rsid w:val="00C577D1"/>
    <w:rsid w:val="00C57851"/>
    <w:rsid w:val="00C57A2D"/>
    <w:rsid w:val="00C6018C"/>
    <w:rsid w:val="00C65767"/>
    <w:rsid w:val="00C658D1"/>
    <w:rsid w:val="00C67D23"/>
    <w:rsid w:val="00C70EB2"/>
    <w:rsid w:val="00C71827"/>
    <w:rsid w:val="00C73AF8"/>
    <w:rsid w:val="00C815E1"/>
    <w:rsid w:val="00C82162"/>
    <w:rsid w:val="00C825E5"/>
    <w:rsid w:val="00C857A1"/>
    <w:rsid w:val="00C87AFA"/>
    <w:rsid w:val="00C90723"/>
    <w:rsid w:val="00C915F3"/>
    <w:rsid w:val="00C91753"/>
    <w:rsid w:val="00C95EB8"/>
    <w:rsid w:val="00CA1302"/>
    <w:rsid w:val="00CA1B11"/>
    <w:rsid w:val="00CA38AE"/>
    <w:rsid w:val="00CA67D9"/>
    <w:rsid w:val="00CB02C5"/>
    <w:rsid w:val="00CB39CD"/>
    <w:rsid w:val="00CC3577"/>
    <w:rsid w:val="00CC71DF"/>
    <w:rsid w:val="00CC73AF"/>
    <w:rsid w:val="00CC7CE6"/>
    <w:rsid w:val="00CD044C"/>
    <w:rsid w:val="00CD1A71"/>
    <w:rsid w:val="00CD1FBB"/>
    <w:rsid w:val="00CE033D"/>
    <w:rsid w:val="00CE08E5"/>
    <w:rsid w:val="00CE3023"/>
    <w:rsid w:val="00CE615D"/>
    <w:rsid w:val="00CF3739"/>
    <w:rsid w:val="00D016B5"/>
    <w:rsid w:val="00D01FDC"/>
    <w:rsid w:val="00D0252D"/>
    <w:rsid w:val="00D034F1"/>
    <w:rsid w:val="00D071DE"/>
    <w:rsid w:val="00D13109"/>
    <w:rsid w:val="00D13443"/>
    <w:rsid w:val="00D14F42"/>
    <w:rsid w:val="00D167A0"/>
    <w:rsid w:val="00D171D4"/>
    <w:rsid w:val="00D21392"/>
    <w:rsid w:val="00D2600D"/>
    <w:rsid w:val="00D27D5E"/>
    <w:rsid w:val="00D32B08"/>
    <w:rsid w:val="00D407D1"/>
    <w:rsid w:val="00D43E5F"/>
    <w:rsid w:val="00D45271"/>
    <w:rsid w:val="00D462D8"/>
    <w:rsid w:val="00D463F4"/>
    <w:rsid w:val="00D51112"/>
    <w:rsid w:val="00D51CE6"/>
    <w:rsid w:val="00D639BD"/>
    <w:rsid w:val="00D65777"/>
    <w:rsid w:val="00D65955"/>
    <w:rsid w:val="00D66378"/>
    <w:rsid w:val="00D66E0D"/>
    <w:rsid w:val="00D734D5"/>
    <w:rsid w:val="00D7425A"/>
    <w:rsid w:val="00D74F7E"/>
    <w:rsid w:val="00D7695F"/>
    <w:rsid w:val="00D77F9E"/>
    <w:rsid w:val="00D83212"/>
    <w:rsid w:val="00D9039B"/>
    <w:rsid w:val="00D925AE"/>
    <w:rsid w:val="00D93582"/>
    <w:rsid w:val="00DA3E6B"/>
    <w:rsid w:val="00DA41A2"/>
    <w:rsid w:val="00DA43A1"/>
    <w:rsid w:val="00DA4CE6"/>
    <w:rsid w:val="00DA5463"/>
    <w:rsid w:val="00DA568B"/>
    <w:rsid w:val="00DA5E1D"/>
    <w:rsid w:val="00DB54B5"/>
    <w:rsid w:val="00DB73C2"/>
    <w:rsid w:val="00DC3F37"/>
    <w:rsid w:val="00DC4F43"/>
    <w:rsid w:val="00DC573C"/>
    <w:rsid w:val="00DD5FB4"/>
    <w:rsid w:val="00DE6D90"/>
    <w:rsid w:val="00DE73CC"/>
    <w:rsid w:val="00DF002F"/>
    <w:rsid w:val="00DF184F"/>
    <w:rsid w:val="00DF32D5"/>
    <w:rsid w:val="00DF6A03"/>
    <w:rsid w:val="00E00917"/>
    <w:rsid w:val="00E010E7"/>
    <w:rsid w:val="00E0244D"/>
    <w:rsid w:val="00E026DF"/>
    <w:rsid w:val="00E02F48"/>
    <w:rsid w:val="00E03712"/>
    <w:rsid w:val="00E06098"/>
    <w:rsid w:val="00E06B3F"/>
    <w:rsid w:val="00E10A73"/>
    <w:rsid w:val="00E10B0E"/>
    <w:rsid w:val="00E1197B"/>
    <w:rsid w:val="00E11FFC"/>
    <w:rsid w:val="00E14F27"/>
    <w:rsid w:val="00E15F53"/>
    <w:rsid w:val="00E1661E"/>
    <w:rsid w:val="00E171D2"/>
    <w:rsid w:val="00E211BA"/>
    <w:rsid w:val="00E21FEE"/>
    <w:rsid w:val="00E23350"/>
    <w:rsid w:val="00E25534"/>
    <w:rsid w:val="00E27B8B"/>
    <w:rsid w:val="00E30726"/>
    <w:rsid w:val="00E319B6"/>
    <w:rsid w:val="00E32145"/>
    <w:rsid w:val="00E32F5A"/>
    <w:rsid w:val="00E33E9D"/>
    <w:rsid w:val="00E34B52"/>
    <w:rsid w:val="00E36DE4"/>
    <w:rsid w:val="00E37044"/>
    <w:rsid w:val="00E40046"/>
    <w:rsid w:val="00E40295"/>
    <w:rsid w:val="00E4085E"/>
    <w:rsid w:val="00E40D8F"/>
    <w:rsid w:val="00E50785"/>
    <w:rsid w:val="00E510F3"/>
    <w:rsid w:val="00E518E0"/>
    <w:rsid w:val="00E52176"/>
    <w:rsid w:val="00E60012"/>
    <w:rsid w:val="00E609D6"/>
    <w:rsid w:val="00E62CFF"/>
    <w:rsid w:val="00E646C7"/>
    <w:rsid w:val="00E65BD3"/>
    <w:rsid w:val="00E6614B"/>
    <w:rsid w:val="00E665EE"/>
    <w:rsid w:val="00E679AE"/>
    <w:rsid w:val="00E67C2F"/>
    <w:rsid w:val="00E71570"/>
    <w:rsid w:val="00E72D5C"/>
    <w:rsid w:val="00E73B13"/>
    <w:rsid w:val="00E74124"/>
    <w:rsid w:val="00E75C58"/>
    <w:rsid w:val="00E76819"/>
    <w:rsid w:val="00E81385"/>
    <w:rsid w:val="00E81E94"/>
    <w:rsid w:val="00E82607"/>
    <w:rsid w:val="00E84A82"/>
    <w:rsid w:val="00E85025"/>
    <w:rsid w:val="00E85610"/>
    <w:rsid w:val="00E87E86"/>
    <w:rsid w:val="00E92B58"/>
    <w:rsid w:val="00E9483E"/>
    <w:rsid w:val="00E96710"/>
    <w:rsid w:val="00EA3B1D"/>
    <w:rsid w:val="00EB0FCF"/>
    <w:rsid w:val="00EB5C1C"/>
    <w:rsid w:val="00EB77B9"/>
    <w:rsid w:val="00EB7D07"/>
    <w:rsid w:val="00EC0F98"/>
    <w:rsid w:val="00EC45AB"/>
    <w:rsid w:val="00EC4F86"/>
    <w:rsid w:val="00EC61A7"/>
    <w:rsid w:val="00ED1A07"/>
    <w:rsid w:val="00ED3A26"/>
    <w:rsid w:val="00ED69E2"/>
    <w:rsid w:val="00EE047B"/>
    <w:rsid w:val="00EE2B21"/>
    <w:rsid w:val="00EE5B85"/>
    <w:rsid w:val="00EE7213"/>
    <w:rsid w:val="00EF70BB"/>
    <w:rsid w:val="00F02FA9"/>
    <w:rsid w:val="00F030F5"/>
    <w:rsid w:val="00F0408F"/>
    <w:rsid w:val="00F06660"/>
    <w:rsid w:val="00F116EB"/>
    <w:rsid w:val="00F14DFD"/>
    <w:rsid w:val="00F1794E"/>
    <w:rsid w:val="00F211AF"/>
    <w:rsid w:val="00F21FE0"/>
    <w:rsid w:val="00F230D7"/>
    <w:rsid w:val="00F250CB"/>
    <w:rsid w:val="00F25EC3"/>
    <w:rsid w:val="00F32ADB"/>
    <w:rsid w:val="00F32C98"/>
    <w:rsid w:val="00F34480"/>
    <w:rsid w:val="00F37211"/>
    <w:rsid w:val="00F374DF"/>
    <w:rsid w:val="00F37E12"/>
    <w:rsid w:val="00F424BD"/>
    <w:rsid w:val="00F515AD"/>
    <w:rsid w:val="00F52273"/>
    <w:rsid w:val="00F57DD7"/>
    <w:rsid w:val="00F6063A"/>
    <w:rsid w:val="00F6277D"/>
    <w:rsid w:val="00F636AD"/>
    <w:rsid w:val="00F70A4C"/>
    <w:rsid w:val="00F70E8F"/>
    <w:rsid w:val="00F72B88"/>
    <w:rsid w:val="00F734D9"/>
    <w:rsid w:val="00F73F83"/>
    <w:rsid w:val="00F74902"/>
    <w:rsid w:val="00F754C1"/>
    <w:rsid w:val="00F82582"/>
    <w:rsid w:val="00F840A2"/>
    <w:rsid w:val="00F85A4E"/>
    <w:rsid w:val="00F9353A"/>
    <w:rsid w:val="00F955DA"/>
    <w:rsid w:val="00F965C2"/>
    <w:rsid w:val="00FA017D"/>
    <w:rsid w:val="00FA27D4"/>
    <w:rsid w:val="00FA533D"/>
    <w:rsid w:val="00FA5A79"/>
    <w:rsid w:val="00FB035B"/>
    <w:rsid w:val="00FB0BFE"/>
    <w:rsid w:val="00FB4300"/>
    <w:rsid w:val="00FB4C51"/>
    <w:rsid w:val="00FB613A"/>
    <w:rsid w:val="00FB734D"/>
    <w:rsid w:val="00FC29A0"/>
    <w:rsid w:val="00FD02A2"/>
    <w:rsid w:val="00FD5E64"/>
    <w:rsid w:val="00FD6029"/>
    <w:rsid w:val="00FD6B49"/>
    <w:rsid w:val="00FD7985"/>
    <w:rsid w:val="00FE0113"/>
    <w:rsid w:val="00FE0296"/>
    <w:rsid w:val="00FE2E1C"/>
    <w:rsid w:val="00FE6526"/>
    <w:rsid w:val="00FF0B92"/>
    <w:rsid w:val="00FF1DBD"/>
    <w:rsid w:val="00FF1E4B"/>
    <w:rsid w:val="00FF2236"/>
    <w:rsid w:val="00FF47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Titre1">
    <w:name w:val="heading 1"/>
    <w:aliases w:val="Table_G"/>
    <w:basedOn w:val="SingleTxtG"/>
    <w:next w:val="SingleTxtG"/>
    <w:qFormat/>
    <w:rsid w:val="00A50D6B"/>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Notedefin">
    <w:name w:val="endnote text"/>
    <w:aliases w:val="2_G"/>
    <w:basedOn w:val="Notedebasdepage"/>
    <w:rsid w:val="00D016B5"/>
  </w:style>
  <w:style w:type="paragraph" w:styleId="Notedebasdepage">
    <w:name w:val="footnote text"/>
    <w:aliases w:val="5_G"/>
    <w:basedOn w:val="Normal"/>
    <w:rsid w:val="00C10FB1"/>
    <w:pPr>
      <w:tabs>
        <w:tab w:val="right" w:pos="1021"/>
      </w:tabs>
      <w:spacing w:line="220" w:lineRule="exact"/>
      <w:ind w:left="1134" w:right="1134" w:hanging="1134"/>
    </w:pPr>
    <w:rPr>
      <w:sz w:val="18"/>
    </w:rPr>
  </w:style>
  <w:style w:type="paragraph" w:styleId="Pieddepage">
    <w:name w:val="footer"/>
    <w:aliases w:val="3_G"/>
    <w:basedOn w:val="Normal"/>
    <w:next w:val="Normal"/>
    <w:rsid w:val="001D7F8A"/>
    <w:pPr>
      <w:spacing w:line="240" w:lineRule="auto"/>
    </w:pPr>
    <w:rPr>
      <w:sz w:val="16"/>
    </w:rPr>
  </w:style>
  <w:style w:type="character" w:styleId="Appeldenotedefin">
    <w:name w:val="endnote reference"/>
    <w:aliases w:val="1_G"/>
    <w:rsid w:val="00D016B5"/>
    <w:rPr>
      <w:rFonts w:ascii="Times New Roman" w:hAnsi="Times New Roman"/>
      <w:sz w:val="18"/>
      <w:vertAlign w:val="superscript"/>
      <w:lang w:val="fr-CH"/>
    </w:rPr>
  </w:style>
  <w:style w:type="character" w:styleId="Appelnotedebasdep">
    <w:name w:val="footnote reference"/>
    <w:aliases w:val="4_G"/>
    <w:rsid w:val="00D016B5"/>
    <w:rPr>
      <w:rFonts w:ascii="Times New Roman" w:hAnsi="Times New Roman"/>
      <w:sz w:val="18"/>
      <w:vertAlign w:val="superscript"/>
      <w:lang w:val="fr-CH"/>
    </w:rPr>
  </w:style>
  <w:style w:type="character" w:styleId="Numrodepage">
    <w:name w:val="page number"/>
    <w:aliases w:val="7_G"/>
    <w:rsid w:val="00287E79"/>
    <w:rPr>
      <w:rFonts w:ascii="Times New Roman" w:hAnsi="Times New Roman"/>
      <w:b/>
      <w:sz w:val="18"/>
      <w:lang w:val="fr-CH"/>
    </w:rPr>
  </w:style>
  <w:style w:type="paragraph" w:styleId="En-tte">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Grilledutableau">
    <w:name w:val="Table Grid"/>
    <w:basedOn w:val="Tableau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3"/>
      </w:numPr>
    </w:pPr>
  </w:style>
  <w:style w:type="character" w:styleId="Lienhypertexte">
    <w:name w:val="Hyperlink"/>
    <w:semiHidden/>
    <w:rsid w:val="00491F39"/>
    <w:rPr>
      <w:color w:val="auto"/>
      <w:u w:val="none"/>
    </w:rPr>
  </w:style>
  <w:style w:type="character" w:styleId="Lienhypertextesuivivisit">
    <w:name w:val="FollowedHyperlink"/>
    <w:semiHidden/>
    <w:rsid w:val="00491F39"/>
    <w:rPr>
      <w:color w:val="auto"/>
      <w:u w:val="none"/>
    </w:rPr>
  </w:style>
  <w:style w:type="character" w:customStyle="1" w:styleId="SingleTxtGChar">
    <w:name w:val="_ Single Txt_G Char"/>
    <w:link w:val="SingleTxtG"/>
    <w:locked/>
    <w:rsid w:val="00001390"/>
    <w:rPr>
      <w:lang w:val="fr-CH" w:eastAsia="en-US" w:bidi="ar-SA"/>
    </w:rPr>
  </w:style>
  <w:style w:type="character" w:customStyle="1" w:styleId="HChGChar">
    <w:name w:val="_ H _Ch_G Char"/>
    <w:link w:val="HChG"/>
    <w:rsid w:val="00001390"/>
    <w:rPr>
      <w:b/>
      <w:sz w:val="28"/>
      <w:lang w:val="fr-CH" w:eastAsia="en-US" w:bidi="ar-SA"/>
    </w:rPr>
  </w:style>
  <w:style w:type="paragraph" w:styleId="Paragraphedeliste">
    <w:name w:val="List Paragraph"/>
    <w:basedOn w:val="Normal"/>
    <w:uiPriority w:val="34"/>
    <w:qFormat/>
    <w:rsid w:val="00E92B58"/>
    <w:pPr>
      <w:suppressAutoHyphens w:val="0"/>
      <w:spacing w:after="200" w:line="276" w:lineRule="auto"/>
      <w:ind w:left="720"/>
      <w:contextualSpacing/>
    </w:pPr>
    <w:rPr>
      <w:rFonts w:ascii="Calibri" w:hAnsi="Calibri"/>
      <w:sz w:val="22"/>
      <w:szCs w:val="22"/>
      <w:lang w:val="en-GB" w:eastAsia="en-GB"/>
    </w:rPr>
  </w:style>
  <w:style w:type="character" w:customStyle="1" w:styleId="SingleTxtGCar">
    <w:name w:val="_ Single Txt_G Car"/>
    <w:rsid w:val="00D83212"/>
    <w:rPr>
      <w:lang w:val="fr-CH" w:eastAsia="en-US"/>
    </w:rPr>
  </w:style>
  <w:style w:type="character" w:customStyle="1" w:styleId="description">
    <w:name w:val="description"/>
    <w:rsid w:val="00DF184F"/>
  </w:style>
  <w:style w:type="paragraph" w:styleId="Textedebulles">
    <w:name w:val="Balloon Text"/>
    <w:basedOn w:val="Normal"/>
    <w:link w:val="TextedebullesCar"/>
    <w:rsid w:val="00B57E4C"/>
    <w:pPr>
      <w:spacing w:line="240" w:lineRule="auto"/>
    </w:pPr>
    <w:rPr>
      <w:rFonts w:ascii="Tahoma" w:hAnsi="Tahoma" w:cs="Tahoma"/>
      <w:sz w:val="16"/>
      <w:szCs w:val="16"/>
    </w:rPr>
  </w:style>
  <w:style w:type="character" w:customStyle="1" w:styleId="TextedebullesCar">
    <w:name w:val="Texte de bulles Car"/>
    <w:link w:val="Textedebulles"/>
    <w:rsid w:val="00B57E4C"/>
    <w:rPr>
      <w:rFonts w:ascii="Tahoma" w:hAnsi="Tahoma" w:cs="Tahoma"/>
      <w:sz w:val="16"/>
      <w:szCs w:val="16"/>
      <w:lang w:val="fr-CH" w:eastAsia="en-US"/>
    </w:rPr>
  </w:style>
  <w:style w:type="paragraph" w:customStyle="1" w:styleId="Default">
    <w:name w:val="Default"/>
    <w:rsid w:val="00E3072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Titre1">
    <w:name w:val="heading 1"/>
    <w:aliases w:val="Table_G"/>
    <w:basedOn w:val="SingleTxtG"/>
    <w:next w:val="SingleTxtG"/>
    <w:qFormat/>
    <w:rsid w:val="00A50D6B"/>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Notedefin">
    <w:name w:val="endnote text"/>
    <w:aliases w:val="2_G"/>
    <w:basedOn w:val="Notedebasdepage"/>
    <w:rsid w:val="00D016B5"/>
  </w:style>
  <w:style w:type="paragraph" w:styleId="Notedebasdepage">
    <w:name w:val="footnote text"/>
    <w:aliases w:val="5_G"/>
    <w:basedOn w:val="Normal"/>
    <w:rsid w:val="00C10FB1"/>
    <w:pPr>
      <w:tabs>
        <w:tab w:val="right" w:pos="1021"/>
      </w:tabs>
      <w:spacing w:line="220" w:lineRule="exact"/>
      <w:ind w:left="1134" w:right="1134" w:hanging="1134"/>
    </w:pPr>
    <w:rPr>
      <w:sz w:val="18"/>
    </w:rPr>
  </w:style>
  <w:style w:type="paragraph" w:styleId="Pieddepage">
    <w:name w:val="footer"/>
    <w:aliases w:val="3_G"/>
    <w:basedOn w:val="Normal"/>
    <w:next w:val="Normal"/>
    <w:rsid w:val="001D7F8A"/>
    <w:pPr>
      <w:spacing w:line="240" w:lineRule="auto"/>
    </w:pPr>
    <w:rPr>
      <w:sz w:val="16"/>
    </w:rPr>
  </w:style>
  <w:style w:type="character" w:styleId="Appeldenotedefin">
    <w:name w:val="endnote reference"/>
    <w:aliases w:val="1_G"/>
    <w:rsid w:val="00D016B5"/>
    <w:rPr>
      <w:rFonts w:ascii="Times New Roman" w:hAnsi="Times New Roman"/>
      <w:sz w:val="18"/>
      <w:vertAlign w:val="superscript"/>
      <w:lang w:val="fr-CH"/>
    </w:rPr>
  </w:style>
  <w:style w:type="character" w:styleId="Appelnotedebasdep">
    <w:name w:val="footnote reference"/>
    <w:aliases w:val="4_G"/>
    <w:rsid w:val="00D016B5"/>
    <w:rPr>
      <w:rFonts w:ascii="Times New Roman" w:hAnsi="Times New Roman"/>
      <w:sz w:val="18"/>
      <w:vertAlign w:val="superscript"/>
      <w:lang w:val="fr-CH"/>
    </w:rPr>
  </w:style>
  <w:style w:type="character" w:styleId="Numrodepage">
    <w:name w:val="page number"/>
    <w:aliases w:val="7_G"/>
    <w:rsid w:val="00287E79"/>
    <w:rPr>
      <w:rFonts w:ascii="Times New Roman" w:hAnsi="Times New Roman"/>
      <w:b/>
      <w:sz w:val="18"/>
      <w:lang w:val="fr-CH"/>
    </w:rPr>
  </w:style>
  <w:style w:type="paragraph" w:styleId="En-tte">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Grilledutableau">
    <w:name w:val="Table Grid"/>
    <w:basedOn w:val="Tableau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3"/>
      </w:numPr>
    </w:pPr>
  </w:style>
  <w:style w:type="character" w:styleId="Lienhypertexte">
    <w:name w:val="Hyperlink"/>
    <w:semiHidden/>
    <w:rsid w:val="00491F39"/>
    <w:rPr>
      <w:color w:val="auto"/>
      <w:u w:val="none"/>
    </w:rPr>
  </w:style>
  <w:style w:type="character" w:styleId="Lienhypertextesuivivisit">
    <w:name w:val="FollowedHyperlink"/>
    <w:semiHidden/>
    <w:rsid w:val="00491F39"/>
    <w:rPr>
      <w:color w:val="auto"/>
      <w:u w:val="none"/>
    </w:rPr>
  </w:style>
  <w:style w:type="character" w:customStyle="1" w:styleId="SingleTxtGChar">
    <w:name w:val="_ Single Txt_G Char"/>
    <w:link w:val="SingleTxtG"/>
    <w:locked/>
    <w:rsid w:val="00001390"/>
    <w:rPr>
      <w:lang w:val="fr-CH" w:eastAsia="en-US" w:bidi="ar-SA"/>
    </w:rPr>
  </w:style>
  <w:style w:type="character" w:customStyle="1" w:styleId="HChGChar">
    <w:name w:val="_ H _Ch_G Char"/>
    <w:link w:val="HChG"/>
    <w:rsid w:val="00001390"/>
    <w:rPr>
      <w:b/>
      <w:sz w:val="28"/>
      <w:lang w:val="fr-CH" w:eastAsia="en-US" w:bidi="ar-SA"/>
    </w:rPr>
  </w:style>
  <w:style w:type="paragraph" w:styleId="Paragraphedeliste">
    <w:name w:val="List Paragraph"/>
    <w:basedOn w:val="Normal"/>
    <w:uiPriority w:val="34"/>
    <w:qFormat/>
    <w:rsid w:val="00E92B58"/>
    <w:pPr>
      <w:suppressAutoHyphens w:val="0"/>
      <w:spacing w:after="200" w:line="276" w:lineRule="auto"/>
      <w:ind w:left="720"/>
      <w:contextualSpacing/>
    </w:pPr>
    <w:rPr>
      <w:rFonts w:ascii="Calibri" w:hAnsi="Calibri"/>
      <w:sz w:val="22"/>
      <w:szCs w:val="22"/>
      <w:lang w:val="en-GB" w:eastAsia="en-GB"/>
    </w:rPr>
  </w:style>
  <w:style w:type="character" w:customStyle="1" w:styleId="SingleTxtGCar">
    <w:name w:val="_ Single Txt_G Car"/>
    <w:rsid w:val="00D83212"/>
    <w:rPr>
      <w:lang w:val="fr-CH" w:eastAsia="en-US"/>
    </w:rPr>
  </w:style>
  <w:style w:type="character" w:customStyle="1" w:styleId="description">
    <w:name w:val="description"/>
    <w:rsid w:val="00DF184F"/>
  </w:style>
  <w:style w:type="paragraph" w:styleId="Textedebulles">
    <w:name w:val="Balloon Text"/>
    <w:basedOn w:val="Normal"/>
    <w:link w:val="TextedebullesCar"/>
    <w:rsid w:val="00B57E4C"/>
    <w:pPr>
      <w:spacing w:line="240" w:lineRule="auto"/>
    </w:pPr>
    <w:rPr>
      <w:rFonts w:ascii="Tahoma" w:hAnsi="Tahoma" w:cs="Tahoma"/>
      <w:sz w:val="16"/>
      <w:szCs w:val="16"/>
    </w:rPr>
  </w:style>
  <w:style w:type="character" w:customStyle="1" w:styleId="TextedebullesCar">
    <w:name w:val="Texte de bulles Car"/>
    <w:link w:val="Textedebulles"/>
    <w:rsid w:val="00B57E4C"/>
    <w:rPr>
      <w:rFonts w:ascii="Tahoma" w:hAnsi="Tahoma" w:cs="Tahoma"/>
      <w:sz w:val="16"/>
      <w:szCs w:val="16"/>
      <w:lang w:val="fr-CH" w:eastAsia="en-US"/>
    </w:rPr>
  </w:style>
  <w:style w:type="paragraph" w:customStyle="1" w:styleId="Default">
    <w:name w:val="Default"/>
    <w:rsid w:val="00E3072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007">
      <w:bodyDiv w:val="1"/>
      <w:marLeft w:val="0"/>
      <w:marRight w:val="0"/>
      <w:marTop w:val="0"/>
      <w:marBottom w:val="0"/>
      <w:divBdr>
        <w:top w:val="none" w:sz="0" w:space="0" w:color="auto"/>
        <w:left w:val="none" w:sz="0" w:space="0" w:color="auto"/>
        <w:bottom w:val="none" w:sz="0" w:space="0" w:color="auto"/>
        <w:right w:val="none" w:sz="0" w:space="0" w:color="auto"/>
      </w:divBdr>
    </w:div>
    <w:div w:id="347609180">
      <w:bodyDiv w:val="1"/>
      <w:marLeft w:val="0"/>
      <w:marRight w:val="0"/>
      <w:marTop w:val="0"/>
      <w:marBottom w:val="0"/>
      <w:divBdr>
        <w:top w:val="none" w:sz="0" w:space="0" w:color="auto"/>
        <w:left w:val="none" w:sz="0" w:space="0" w:color="auto"/>
        <w:bottom w:val="none" w:sz="0" w:space="0" w:color="auto"/>
        <w:right w:val="none" w:sz="0" w:space="0" w:color="auto"/>
      </w:divBdr>
    </w:div>
    <w:div w:id="400296169">
      <w:bodyDiv w:val="1"/>
      <w:marLeft w:val="0"/>
      <w:marRight w:val="0"/>
      <w:marTop w:val="0"/>
      <w:marBottom w:val="0"/>
      <w:divBdr>
        <w:top w:val="none" w:sz="0" w:space="0" w:color="auto"/>
        <w:left w:val="none" w:sz="0" w:space="0" w:color="auto"/>
        <w:bottom w:val="none" w:sz="0" w:space="0" w:color="auto"/>
        <w:right w:val="none" w:sz="0" w:space="0" w:color="auto"/>
      </w:divBdr>
    </w:div>
    <w:div w:id="489757605">
      <w:bodyDiv w:val="1"/>
      <w:marLeft w:val="0"/>
      <w:marRight w:val="0"/>
      <w:marTop w:val="0"/>
      <w:marBottom w:val="0"/>
      <w:divBdr>
        <w:top w:val="none" w:sz="0" w:space="0" w:color="auto"/>
        <w:left w:val="none" w:sz="0" w:space="0" w:color="auto"/>
        <w:bottom w:val="none" w:sz="0" w:space="0" w:color="auto"/>
        <w:right w:val="none" w:sz="0" w:space="0" w:color="auto"/>
      </w:divBdr>
    </w:div>
    <w:div w:id="526917609">
      <w:bodyDiv w:val="1"/>
      <w:marLeft w:val="0"/>
      <w:marRight w:val="0"/>
      <w:marTop w:val="0"/>
      <w:marBottom w:val="0"/>
      <w:divBdr>
        <w:top w:val="none" w:sz="0" w:space="0" w:color="auto"/>
        <w:left w:val="none" w:sz="0" w:space="0" w:color="auto"/>
        <w:bottom w:val="none" w:sz="0" w:space="0" w:color="auto"/>
        <w:right w:val="none" w:sz="0" w:space="0" w:color="auto"/>
      </w:divBdr>
    </w:div>
    <w:div w:id="786390575">
      <w:bodyDiv w:val="1"/>
      <w:marLeft w:val="0"/>
      <w:marRight w:val="0"/>
      <w:marTop w:val="0"/>
      <w:marBottom w:val="0"/>
      <w:divBdr>
        <w:top w:val="none" w:sz="0" w:space="0" w:color="auto"/>
        <w:left w:val="none" w:sz="0" w:space="0" w:color="auto"/>
        <w:bottom w:val="none" w:sz="0" w:space="0" w:color="auto"/>
        <w:right w:val="none" w:sz="0" w:space="0" w:color="auto"/>
      </w:divBdr>
    </w:div>
    <w:div w:id="909388032">
      <w:bodyDiv w:val="1"/>
      <w:marLeft w:val="0"/>
      <w:marRight w:val="0"/>
      <w:marTop w:val="0"/>
      <w:marBottom w:val="0"/>
      <w:divBdr>
        <w:top w:val="none" w:sz="0" w:space="0" w:color="auto"/>
        <w:left w:val="none" w:sz="0" w:space="0" w:color="auto"/>
        <w:bottom w:val="none" w:sz="0" w:space="0" w:color="auto"/>
        <w:right w:val="none" w:sz="0" w:space="0" w:color="auto"/>
      </w:divBdr>
    </w:div>
    <w:div w:id="1024987770">
      <w:bodyDiv w:val="1"/>
      <w:marLeft w:val="0"/>
      <w:marRight w:val="0"/>
      <w:marTop w:val="0"/>
      <w:marBottom w:val="0"/>
      <w:divBdr>
        <w:top w:val="none" w:sz="0" w:space="0" w:color="auto"/>
        <w:left w:val="none" w:sz="0" w:space="0" w:color="auto"/>
        <w:bottom w:val="none" w:sz="0" w:space="0" w:color="auto"/>
        <w:right w:val="none" w:sz="0" w:space="0" w:color="auto"/>
      </w:divBdr>
    </w:div>
    <w:div w:id="1027951063">
      <w:bodyDiv w:val="1"/>
      <w:marLeft w:val="0"/>
      <w:marRight w:val="0"/>
      <w:marTop w:val="0"/>
      <w:marBottom w:val="0"/>
      <w:divBdr>
        <w:top w:val="none" w:sz="0" w:space="0" w:color="auto"/>
        <w:left w:val="none" w:sz="0" w:space="0" w:color="auto"/>
        <w:bottom w:val="none" w:sz="0" w:space="0" w:color="auto"/>
        <w:right w:val="none" w:sz="0" w:space="0" w:color="auto"/>
      </w:divBdr>
    </w:div>
    <w:div w:id="1047753797">
      <w:bodyDiv w:val="1"/>
      <w:marLeft w:val="0"/>
      <w:marRight w:val="0"/>
      <w:marTop w:val="0"/>
      <w:marBottom w:val="0"/>
      <w:divBdr>
        <w:top w:val="none" w:sz="0" w:space="0" w:color="auto"/>
        <w:left w:val="none" w:sz="0" w:space="0" w:color="auto"/>
        <w:bottom w:val="none" w:sz="0" w:space="0" w:color="auto"/>
        <w:right w:val="none" w:sz="0" w:space="0" w:color="auto"/>
      </w:divBdr>
    </w:div>
    <w:div w:id="1283421496">
      <w:bodyDiv w:val="1"/>
      <w:marLeft w:val="0"/>
      <w:marRight w:val="0"/>
      <w:marTop w:val="0"/>
      <w:marBottom w:val="0"/>
      <w:divBdr>
        <w:top w:val="none" w:sz="0" w:space="0" w:color="auto"/>
        <w:left w:val="none" w:sz="0" w:space="0" w:color="auto"/>
        <w:bottom w:val="none" w:sz="0" w:space="0" w:color="auto"/>
        <w:right w:val="none" w:sz="0" w:space="0" w:color="auto"/>
      </w:divBdr>
    </w:div>
    <w:div w:id="1455127620">
      <w:bodyDiv w:val="1"/>
      <w:marLeft w:val="0"/>
      <w:marRight w:val="0"/>
      <w:marTop w:val="0"/>
      <w:marBottom w:val="0"/>
      <w:divBdr>
        <w:top w:val="none" w:sz="0" w:space="0" w:color="auto"/>
        <w:left w:val="none" w:sz="0" w:space="0" w:color="auto"/>
        <w:bottom w:val="none" w:sz="0" w:space="0" w:color="auto"/>
        <w:right w:val="none" w:sz="0" w:space="0" w:color="auto"/>
      </w:divBdr>
    </w:div>
    <w:div w:id="1560432377">
      <w:bodyDiv w:val="1"/>
      <w:marLeft w:val="0"/>
      <w:marRight w:val="0"/>
      <w:marTop w:val="0"/>
      <w:marBottom w:val="0"/>
      <w:divBdr>
        <w:top w:val="none" w:sz="0" w:space="0" w:color="auto"/>
        <w:left w:val="none" w:sz="0" w:space="0" w:color="auto"/>
        <w:bottom w:val="none" w:sz="0" w:space="0" w:color="auto"/>
        <w:right w:val="none" w:sz="0" w:space="0" w:color="auto"/>
      </w:divBdr>
    </w:div>
    <w:div w:id="15753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1CBE-2BB7-4A45-97E3-7FEE2F95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3418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M/CONF/2013/57</vt:lpstr>
    </vt:vector>
  </TitlesOfParts>
  <Company>CSD</Company>
  <LinksUpToDate>false</LinksUpToDate>
  <CharactersWithSpaces>22179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CERD/C/RWA/CO/18-20</dc:title>
  <dc:subject/>
  <dc:creator>Morin</dc:creator>
  <cp:keywords/>
  <dc:description/>
  <cp:lastModifiedBy>Morin</cp:lastModifiedBy>
  <cp:revision>2</cp:revision>
  <cp:lastPrinted>2016-06-09T09:42:00Z</cp:lastPrinted>
  <dcterms:created xsi:type="dcterms:W3CDTF">2016-06-10T12:44:00Z</dcterms:created>
  <dcterms:modified xsi:type="dcterms:W3CDTF">2016-06-10T12:44:00Z</dcterms:modified>
</cp:coreProperties>
</file>