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relative:page"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3.85pt;margin-top:-34.7pt;width:94.95pt;height:39.7pt;z-index:1;mso-position-horizontal-relative:margin"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6.15pt;margin-top:14.5pt;width:201.6pt;height:81.2pt;z-index:-2;mso-position-horizontal-relative:margin"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margin-top:223.9pt;width:473.4pt;height:4.25pt;z-index:-1;mso-position-horizontal-relative:margin;mso-position-vertical-relative:page"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2pt;width:68.05pt;height:63.9pt;z-index:4;visibility:visible;mso-wrap-edited:f;mso-position-horizontal-relative:margin">
            <v:imagedata r:id="rId7" o:title=""/>
            <w10:wrap anchorx="margin"/>
            <w10:anchorlock/>
          </v:shape>
          <o:OLEObject Type="Embed" ProgID="Word.Picture.8" ShapeID="_x0000_s1029" DrawAspect="Content" ObjectID="_1392219425" r:id="rId8"/>
        </w:pict>
      </w:r>
      <w:r>
        <w:rPr>
          <w:noProof/>
        </w:rPr>
        <w:pict>
          <v:rect id="_x0000_s1028" style="position:absolute;margin-left:0;margin-top:79.9pt;width:473.4pt;height:.95pt;z-index:-4;mso-position-horizontal-relative:margin;mso-position-vertical-relative:page" fillcolor="black" stroked="f" strokeweight="0">
            <v:fill color2="black"/>
            <w10:wrap anchorx="margin" anchory="page"/>
            <w10:anchorlock/>
          </v:rect>
        </w:pict>
      </w:r>
    </w:p>
    <w:p w:rsidR="00000000" w:rsidRDefault="00000000">
      <w:pPr>
        <w:tabs>
          <w:tab w:val="left" w:pos="6804"/>
        </w:tabs>
        <w:rPr>
          <w:sz w:val="22"/>
          <w:lang w:val="es-ES_tradnl"/>
        </w:rPr>
      </w:pPr>
      <w:r>
        <w:rPr>
          <w:sz w:val="22"/>
          <w:lang w:val="es-ES_tradnl"/>
        </w:rPr>
        <w:tab/>
        <w:t>Distr.</w:t>
      </w:r>
    </w:p>
    <w:p w:rsidR="00000000" w:rsidRDefault="00000000">
      <w:pPr>
        <w:tabs>
          <w:tab w:val="left" w:pos="6804"/>
        </w:tabs>
        <w:rPr>
          <w:sz w:val="22"/>
          <w:lang w:val="es-ES_tradnl"/>
        </w:rPr>
      </w:pPr>
      <w:r>
        <w:rPr>
          <w:sz w:val="22"/>
          <w:lang w:val="es-ES_tradnl"/>
        </w:rPr>
        <w:tab/>
        <w:t>GENERAL</w:t>
      </w:r>
    </w:p>
    <w:p w:rsidR="00000000" w:rsidRDefault="00000000">
      <w:pPr>
        <w:tabs>
          <w:tab w:val="left" w:pos="6804"/>
        </w:tabs>
        <w:rPr>
          <w:sz w:val="22"/>
          <w:lang w:val="es-ES_tradnl"/>
        </w:rPr>
      </w:pPr>
    </w:p>
    <w:p w:rsidR="00000000" w:rsidRDefault="00000000">
      <w:pPr>
        <w:tabs>
          <w:tab w:val="left" w:pos="6804"/>
        </w:tabs>
        <w:rPr>
          <w:sz w:val="22"/>
          <w:lang w:val="pt-PT"/>
        </w:rPr>
      </w:pPr>
      <w:r>
        <w:rPr>
          <w:sz w:val="22"/>
          <w:lang w:val="es-ES_tradnl"/>
        </w:rPr>
        <w:tab/>
      </w:r>
      <w:r>
        <w:rPr>
          <w:sz w:val="22"/>
          <w:lang w:val="pt-PT"/>
        </w:rPr>
        <w:t>CAT/C/SR.407</w:t>
      </w:r>
    </w:p>
    <w:p w:rsidR="00000000" w:rsidRDefault="00000000">
      <w:pPr>
        <w:tabs>
          <w:tab w:val="left" w:pos="6804"/>
        </w:tabs>
        <w:rPr>
          <w:sz w:val="22"/>
          <w:lang w:val="es-ES_tradnl"/>
        </w:rPr>
      </w:pPr>
      <w:r>
        <w:rPr>
          <w:sz w:val="22"/>
          <w:lang w:val="pt-PT"/>
        </w:rPr>
        <w:tab/>
      </w:r>
      <w:r>
        <w:rPr>
          <w:sz w:val="22"/>
          <w:lang w:val="es-ES_tradnl"/>
        </w:rPr>
        <w:t>23 de noviembre de 1999</w:t>
      </w:r>
    </w:p>
    <w:p w:rsidR="00000000" w:rsidRDefault="00000000">
      <w:pPr>
        <w:tabs>
          <w:tab w:val="left" w:pos="6804"/>
        </w:tabs>
        <w:rPr>
          <w:sz w:val="22"/>
          <w:lang w:val="es-ES_tradnl"/>
        </w:rPr>
      </w:pPr>
    </w:p>
    <w:p w:rsidR="00000000" w:rsidRDefault="00000000">
      <w:pPr>
        <w:tabs>
          <w:tab w:val="left" w:pos="6804"/>
        </w:tabs>
        <w:rPr>
          <w:sz w:val="22"/>
          <w:lang w:val="es-ES_tradnl"/>
        </w:rPr>
      </w:pPr>
      <w:r>
        <w:rPr>
          <w:sz w:val="22"/>
          <w:lang w:val="es-ES_tradnl"/>
        </w:rPr>
        <w:tab/>
        <w:t>ESPAÑOL</w:t>
      </w:r>
    </w:p>
    <w:p w:rsidR="00000000" w:rsidRDefault="00000000">
      <w:pPr>
        <w:tabs>
          <w:tab w:val="left" w:pos="6804"/>
        </w:tabs>
        <w:rPr>
          <w:sz w:val="22"/>
          <w:lang w:val="pt-PT"/>
        </w:rPr>
      </w:pPr>
      <w:r>
        <w:rPr>
          <w:sz w:val="22"/>
          <w:lang w:val="es-ES_tradnl"/>
        </w:rPr>
        <w:tab/>
      </w:r>
      <w:r>
        <w:rPr>
          <w:sz w:val="22"/>
          <w:lang w:val="pt-PT"/>
        </w:rPr>
        <w:t>Original:  INGLÉS</w:t>
      </w:r>
    </w:p>
    <w:p w:rsidR="00000000" w:rsidRDefault="00000000">
      <w:pPr>
        <w:tabs>
          <w:tab w:val="left" w:pos="6804"/>
        </w:tabs>
        <w:rPr>
          <w:sz w:val="22"/>
          <w:lang w:val="pt-PT"/>
        </w:rPr>
      </w:pPr>
    </w:p>
    <w:p w:rsidR="00000000" w:rsidRDefault="00000000">
      <w:pPr>
        <w:rPr>
          <w:lang w:val="pt-PT"/>
        </w:rPr>
      </w:pPr>
    </w:p>
    <w:p w:rsidR="00000000" w:rsidRDefault="00000000">
      <w:pPr>
        <w:rPr>
          <w:lang w:val="pt-PT"/>
        </w:rPr>
      </w:pPr>
    </w:p>
    <w:p w:rsidR="00000000" w:rsidRDefault="00000000">
      <w:pPr>
        <w:rPr>
          <w:lang w:val="pt-PT"/>
        </w:rPr>
      </w:pPr>
    </w:p>
    <w:p w:rsidR="00000000" w:rsidRDefault="00000000">
      <w:pPr>
        <w:jc w:val="center"/>
        <w:rPr>
          <w:sz w:val="22"/>
          <w:lang w:val="es-ES_tradnl"/>
        </w:rPr>
      </w:pPr>
      <w:r>
        <w:rPr>
          <w:sz w:val="22"/>
          <w:lang w:val="es-ES_tradnl"/>
        </w:rPr>
        <w:t>COMITÉ CONTRA LA TORTURA</w:t>
      </w:r>
    </w:p>
    <w:p w:rsidR="00000000" w:rsidRDefault="00000000">
      <w:pPr>
        <w:jc w:val="center"/>
        <w:rPr>
          <w:sz w:val="22"/>
          <w:lang w:val="es-ES_tradnl"/>
        </w:rPr>
      </w:pPr>
    </w:p>
    <w:p w:rsidR="00000000" w:rsidRDefault="00000000">
      <w:pPr>
        <w:jc w:val="center"/>
        <w:rPr>
          <w:sz w:val="22"/>
          <w:lang w:val="es-ES_tradnl"/>
        </w:rPr>
      </w:pPr>
      <w:r>
        <w:rPr>
          <w:sz w:val="22"/>
          <w:lang w:val="es-ES_tradnl"/>
        </w:rPr>
        <w:t>23º período de sesiones</w:t>
      </w:r>
    </w:p>
    <w:p w:rsidR="00000000" w:rsidRDefault="00000000">
      <w:pPr>
        <w:jc w:val="center"/>
        <w:rPr>
          <w:sz w:val="22"/>
          <w:lang w:val="es-ES_tradnl"/>
        </w:rPr>
      </w:pPr>
    </w:p>
    <w:p w:rsidR="00000000" w:rsidRDefault="00000000">
      <w:pPr>
        <w:jc w:val="center"/>
        <w:rPr>
          <w:sz w:val="22"/>
          <w:lang w:val="es-ES_tradnl"/>
        </w:rPr>
      </w:pPr>
      <w:r>
        <w:rPr>
          <w:sz w:val="22"/>
          <w:lang w:val="es-ES_tradnl"/>
        </w:rPr>
        <w:t>ACTA RESUMIDA DE LA PRIMERA PARTE (PÚBLICA)*  DE LA 407ª SESIÓN</w:t>
      </w:r>
    </w:p>
    <w:p w:rsidR="00000000" w:rsidRDefault="00000000">
      <w:pPr>
        <w:jc w:val="center"/>
        <w:rPr>
          <w:sz w:val="22"/>
          <w:lang w:val="es-ES_tradnl"/>
        </w:rPr>
      </w:pPr>
    </w:p>
    <w:p w:rsidR="00000000" w:rsidRDefault="00000000">
      <w:pPr>
        <w:jc w:val="center"/>
        <w:rPr>
          <w:sz w:val="22"/>
          <w:lang w:val="es-ES_tradnl"/>
        </w:rPr>
      </w:pPr>
      <w:r>
        <w:rPr>
          <w:sz w:val="22"/>
          <w:lang w:val="es-ES_tradnl"/>
        </w:rPr>
        <w:t>celebrada en el Palacio de las Naciones, Ginebra,</w:t>
      </w:r>
    </w:p>
    <w:p w:rsidR="00000000" w:rsidRDefault="00000000">
      <w:pPr>
        <w:jc w:val="center"/>
        <w:rPr>
          <w:sz w:val="22"/>
          <w:lang w:val="es-ES_tradnl"/>
        </w:rPr>
      </w:pPr>
      <w:r>
        <w:rPr>
          <w:sz w:val="22"/>
          <w:lang w:val="es-ES_tradnl"/>
        </w:rPr>
        <w:t>el jueves 18 de noviembre de 1999, a las 10.00 horas</w:t>
      </w:r>
    </w:p>
    <w:p w:rsidR="00000000" w:rsidRDefault="00000000">
      <w:pPr>
        <w:jc w:val="center"/>
        <w:rPr>
          <w:sz w:val="22"/>
          <w:u w:val="single"/>
          <w:lang w:val="es-ES_tradnl"/>
        </w:rPr>
      </w:pPr>
    </w:p>
    <w:p w:rsidR="00000000" w:rsidRDefault="00000000">
      <w:pPr>
        <w:jc w:val="center"/>
        <w:rPr>
          <w:sz w:val="22"/>
          <w:lang w:val="pt-PT"/>
        </w:rPr>
      </w:pPr>
      <w:r>
        <w:rPr>
          <w:sz w:val="22"/>
          <w:u w:val="single"/>
          <w:lang w:val="pt-PT"/>
        </w:rPr>
        <w:t>Presidente</w:t>
      </w:r>
      <w:r>
        <w:rPr>
          <w:sz w:val="22"/>
          <w:lang w:val="pt-PT"/>
        </w:rPr>
        <w:t>:</w:t>
      </w:r>
      <w:r>
        <w:rPr>
          <w:sz w:val="22"/>
          <w:lang w:val="pt-PT"/>
        </w:rPr>
        <w:tab/>
        <w:t>Sr. BURNS</w:t>
      </w:r>
    </w:p>
    <w:p w:rsidR="00000000" w:rsidRDefault="00000000">
      <w:pPr>
        <w:jc w:val="center"/>
        <w:rPr>
          <w:sz w:val="22"/>
          <w:lang w:val="pt-PT"/>
        </w:rPr>
      </w:pPr>
    </w:p>
    <w:p w:rsidR="00000000" w:rsidRDefault="00000000">
      <w:pPr>
        <w:jc w:val="center"/>
        <w:rPr>
          <w:sz w:val="22"/>
          <w:lang w:val="pt-PT"/>
        </w:rPr>
      </w:pPr>
    </w:p>
    <w:p w:rsidR="00000000" w:rsidRDefault="00000000">
      <w:pPr>
        <w:jc w:val="center"/>
        <w:rPr>
          <w:sz w:val="22"/>
          <w:lang w:val="pt-PT"/>
        </w:rPr>
      </w:pPr>
      <w:r>
        <w:rPr>
          <w:sz w:val="22"/>
          <w:lang w:val="pt-PT"/>
        </w:rPr>
        <w:t>SUMARIO</w:t>
      </w:r>
    </w:p>
    <w:p w:rsidR="00000000" w:rsidRDefault="00000000">
      <w:pPr>
        <w:jc w:val="center"/>
        <w:rPr>
          <w:sz w:val="22"/>
          <w:lang w:val="pt-PT"/>
        </w:rPr>
      </w:pPr>
    </w:p>
    <w:p w:rsidR="00000000" w:rsidRDefault="00000000">
      <w:pPr>
        <w:rPr>
          <w:sz w:val="22"/>
          <w:lang w:val="es-ES_tradnl"/>
        </w:rPr>
      </w:pPr>
      <w:r>
        <w:rPr>
          <w:sz w:val="22"/>
          <w:lang w:val="es-ES_tradnl"/>
        </w:rPr>
        <w:t>CUESTIONES DE ORGANIZACIÓN Y OTROS ASUNTOS (</w:t>
      </w:r>
      <w:r>
        <w:rPr>
          <w:sz w:val="22"/>
          <w:u w:val="single"/>
          <w:lang w:val="es-ES_tradnl"/>
        </w:rPr>
        <w:t>continuación</w:t>
      </w:r>
      <w:r>
        <w:rPr>
          <w:sz w:val="22"/>
          <w:lang w:val="es-ES_tradnl"/>
        </w:rPr>
        <w:t xml:space="preserve">) </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____________________</w:t>
      </w:r>
    </w:p>
    <w:p w:rsidR="00000000" w:rsidRDefault="00000000">
      <w:pPr>
        <w:ind w:firstLine="567"/>
        <w:rPr>
          <w:sz w:val="22"/>
          <w:lang w:val="es-ES_tradnl"/>
        </w:rPr>
      </w:pPr>
    </w:p>
    <w:p w:rsidR="00000000" w:rsidRDefault="00000000">
      <w:pPr>
        <w:ind w:firstLine="567"/>
        <w:rPr>
          <w:sz w:val="22"/>
          <w:lang w:val="es-ES_tradnl"/>
        </w:rPr>
      </w:pPr>
      <w:r>
        <w:rPr>
          <w:sz w:val="22"/>
          <w:lang w:val="es-ES_tradnl"/>
        </w:rPr>
        <w:t>*</w:t>
      </w:r>
      <w:r>
        <w:rPr>
          <w:sz w:val="22"/>
          <w:lang w:val="es-ES_tradnl"/>
        </w:rPr>
        <w:tab/>
        <w:t>El acta resumida de la segunda parte (privada) de la sesión lleva la signatura CAT/C/SR.407/Add.1.</w:t>
      </w:r>
    </w:p>
    <w:p w:rsidR="00000000" w:rsidRDefault="00000000">
      <w:pPr>
        <w:rPr>
          <w:sz w:val="22"/>
          <w:lang w:val="es-ES_tradnl"/>
        </w:rPr>
      </w:pPr>
      <w:r>
        <w:rPr>
          <w:sz w:val="22"/>
          <w:lang w:val="es-ES_tradnl"/>
        </w:rPr>
        <w:t>____________________</w:t>
      </w:r>
    </w:p>
    <w:p w:rsidR="00000000" w:rsidRDefault="00000000">
      <w:pPr>
        <w:rPr>
          <w:sz w:val="22"/>
          <w:lang w:val="es-ES_tradnl"/>
        </w:rPr>
      </w:pPr>
    </w:p>
    <w:p w:rsidR="00000000" w:rsidRDefault="00000000">
      <w:pPr>
        <w:ind w:firstLine="567"/>
        <w:rPr>
          <w:sz w:val="22"/>
          <w:lang w:val="es-ES_tradnl"/>
        </w:rPr>
      </w:pPr>
      <w:r>
        <w:rPr>
          <w:sz w:val="22"/>
          <w:lang w:val="es-ES_tradnl"/>
        </w:rPr>
        <w:t>La presente acta podrá ser objeto de correcciones.</w:t>
      </w:r>
    </w:p>
    <w:p w:rsidR="00000000" w:rsidRDefault="00000000">
      <w:pPr>
        <w:rPr>
          <w:sz w:val="22"/>
          <w:lang w:val="es-ES_tradnl"/>
        </w:rPr>
      </w:pPr>
    </w:p>
    <w:p w:rsidR="00000000" w:rsidRDefault="00000000">
      <w:pPr>
        <w:ind w:firstLine="567"/>
        <w:rPr>
          <w:sz w:val="22"/>
          <w:lang w:val="es-ES_tradnl"/>
        </w:rPr>
      </w:pPr>
      <w:r>
        <w:rPr>
          <w:sz w:val="22"/>
          <w:lang w:val="es-ES_tradnl"/>
        </w:rPr>
        <w:t xml:space="preserve">Las correcciones deberán redactarse en uno de los idiomas de trabajo.  Dichas correcciones deberán presentarse en forma de memorando y, además, incorporarse en un ejemplar del acta.  Las correcciones deberán enviarse, </w:t>
      </w:r>
      <w:r>
        <w:rPr>
          <w:sz w:val="22"/>
          <w:u w:val="single"/>
          <w:lang w:val="es-ES_tradnl"/>
        </w:rPr>
        <w:t>dentro del plazo de una semana a partir de la fecha del presente documento</w:t>
      </w:r>
      <w:r>
        <w:rPr>
          <w:sz w:val="22"/>
          <w:lang w:val="es-ES_tradnl"/>
        </w:rPr>
        <w:t>, a la Sección de Edición de los Documentos Oficiales, Oficina E.4108, Palacio de las Naciones, Ginebra.</w:t>
      </w:r>
    </w:p>
    <w:p w:rsidR="00000000" w:rsidRDefault="00000000">
      <w:pPr>
        <w:rPr>
          <w:sz w:val="22"/>
          <w:lang w:val="es-ES_tradnl"/>
        </w:rPr>
      </w:pPr>
    </w:p>
    <w:p w:rsidR="00000000" w:rsidRDefault="00000000">
      <w:pPr>
        <w:ind w:firstLine="567"/>
        <w:rPr>
          <w:sz w:val="22"/>
          <w:lang w:val="es-ES_tradnl"/>
        </w:rPr>
      </w:pPr>
      <w:r>
        <w:rPr>
          <w:sz w:val="22"/>
          <w:lang w:val="es-ES_tradnl"/>
        </w:rPr>
        <w:t>Las correcciones que se introduzcan en las actas de las sesiones públicas del Comité se reunirán en un documento único que se publicará poco después de la clausura del período de sesiones.</w:t>
      </w:r>
    </w:p>
    <w:p w:rsidR="00000000" w:rsidRDefault="00000000">
      <w:pPr>
        <w:rPr>
          <w:sz w:val="22"/>
          <w:lang w:val="es-ES_tradnl"/>
        </w:rPr>
      </w:pPr>
    </w:p>
    <w:p w:rsidR="00000000" w:rsidRDefault="00000000">
      <w:pPr>
        <w:rPr>
          <w:sz w:val="22"/>
          <w:lang w:val="es-ES_tradnl"/>
        </w:rPr>
      </w:pPr>
    </w:p>
    <w:p w:rsidR="00000000" w:rsidRDefault="00000000">
      <w:pPr>
        <w:rPr>
          <w:sz w:val="22"/>
          <w:lang w:val="es-ES_tradnl"/>
        </w:rPr>
      </w:pPr>
      <w:r>
        <w:rPr>
          <w:sz w:val="22"/>
          <w:lang w:val="es-ES_tradnl"/>
        </w:rPr>
        <w:t>GE.99-45798 (EXT)</w:t>
      </w:r>
    </w:p>
    <w:p w:rsidR="00000000" w:rsidRDefault="00000000">
      <w:pPr>
        <w:rPr>
          <w:sz w:val="22"/>
          <w:lang w:val="es-ES_tradnl"/>
        </w:rPr>
      </w:pPr>
    </w:p>
    <w:p w:rsidR="00000000" w:rsidRDefault="00000000">
      <w:pPr>
        <w:jc w:val="center"/>
        <w:rPr>
          <w:sz w:val="22"/>
          <w:lang w:val="es-ES_tradnl"/>
        </w:rPr>
      </w:pPr>
      <w:r>
        <w:rPr>
          <w:sz w:val="22"/>
          <w:lang w:val="es-ES_tradnl"/>
        </w:rPr>
        <w:br w:type="page"/>
      </w:r>
      <w:r>
        <w:rPr>
          <w:sz w:val="22"/>
          <w:u w:val="single"/>
          <w:lang w:val="es-ES_tradnl"/>
        </w:rPr>
        <w:t>Se declara abierta la sesión a las 10.00 horas</w:t>
      </w:r>
      <w:r>
        <w:rPr>
          <w:sz w:val="22"/>
          <w:lang w:val="es-ES_tradnl"/>
        </w:rPr>
        <w:t>.</w:t>
      </w:r>
    </w:p>
    <w:p w:rsidR="00000000" w:rsidRDefault="00000000">
      <w:pPr>
        <w:rPr>
          <w:sz w:val="22"/>
          <w:lang w:val="es-ES_tradnl"/>
        </w:rPr>
      </w:pPr>
    </w:p>
    <w:p w:rsidR="00000000" w:rsidRDefault="00000000">
      <w:pPr>
        <w:rPr>
          <w:sz w:val="22"/>
          <w:lang w:val="es-ES_tradnl"/>
        </w:rPr>
      </w:pPr>
      <w:r>
        <w:rPr>
          <w:sz w:val="22"/>
          <w:lang w:val="es-ES_tradnl"/>
        </w:rPr>
        <w:t>CUESTIONES DE ORGANIZACIÓN Y OTROS ASUNTOS (tema 2 del programa) (</w:t>
      </w:r>
      <w:r>
        <w:rPr>
          <w:sz w:val="22"/>
          <w:u w:val="single"/>
          <w:lang w:val="es-ES_tradnl"/>
        </w:rPr>
        <w:t>continuación</w:t>
      </w:r>
      <w:r>
        <w:rPr>
          <w:sz w:val="22"/>
          <w:lang w:val="es-ES_tradnl"/>
        </w:rPr>
        <w:t>)</w:t>
      </w:r>
    </w:p>
    <w:p w:rsidR="00000000" w:rsidRDefault="00000000">
      <w:pPr>
        <w:rPr>
          <w:sz w:val="22"/>
          <w:lang w:val="es-ES_tradnl"/>
        </w:rPr>
      </w:pPr>
    </w:p>
    <w:p w:rsidR="00000000" w:rsidRDefault="00000000">
      <w:pPr>
        <w:rPr>
          <w:sz w:val="22"/>
          <w:u w:val="single"/>
          <w:lang w:val="es-ES_tradnl"/>
        </w:rPr>
      </w:pPr>
      <w:r>
        <w:rPr>
          <w:sz w:val="22"/>
          <w:u w:val="single"/>
          <w:lang w:val="es-ES_tradnl"/>
        </w:rPr>
        <w:t>Nombramiento de relatores y relatores suplentes por países para los informes de los Estados Partes que el Comité examinará en su 24º período de sesiones (del 1º al 19 de mayo de 2000)</w:t>
      </w:r>
    </w:p>
    <w:p w:rsidR="00000000" w:rsidRDefault="00000000">
      <w:pPr>
        <w:rPr>
          <w:sz w:val="22"/>
          <w:lang w:val="es-ES_tradnl"/>
        </w:rPr>
      </w:pPr>
    </w:p>
    <w:p w:rsidR="00000000" w:rsidRDefault="00000000">
      <w:pPr>
        <w:rPr>
          <w:sz w:val="22"/>
          <w:lang w:val="es-ES_tradnl"/>
        </w:rPr>
      </w:pPr>
      <w:r>
        <w:rPr>
          <w:sz w:val="22"/>
          <w:lang w:val="es-ES_tradnl"/>
        </w:rPr>
        <w:t>1.</w:t>
      </w:r>
      <w:r>
        <w:rPr>
          <w:sz w:val="22"/>
          <w:lang w:val="es-ES_tradnl"/>
        </w:rPr>
        <w:tab/>
        <w:t xml:space="preserve">Tras celebrar consultas, el </w:t>
      </w:r>
      <w:r>
        <w:rPr>
          <w:sz w:val="22"/>
          <w:u w:val="single"/>
          <w:lang w:val="es-ES_tradnl"/>
        </w:rPr>
        <w:t>PRESIDENTE</w:t>
      </w:r>
      <w:r>
        <w:rPr>
          <w:sz w:val="22"/>
          <w:lang w:val="es-ES_tradnl"/>
        </w:rPr>
        <w:t xml:space="preserve"> anuncia que los siguientes miembros han aceptado ser relatores o relatores suplentes por países, respectivamente, en el entendido de que se nombrará a los relatores suplentes para Eslovenia y los Países Bajos de entre los nuevos miembros del Comité a su debido tiempo:</w:t>
      </w:r>
    </w:p>
    <w:p w:rsidR="00000000" w:rsidRDefault="00000000">
      <w:pPr>
        <w:rPr>
          <w:sz w:val="22"/>
          <w:lang w:val="es-ES_tradnl"/>
        </w:rPr>
      </w:pPr>
    </w:p>
    <w:tbl>
      <w:tblPr>
        <w:tblW w:w="0" w:type="auto"/>
        <w:tblCellMar>
          <w:left w:w="70" w:type="dxa"/>
          <w:right w:w="70" w:type="dxa"/>
        </w:tblCellMar>
        <w:tblLook w:val="0000" w:firstRow="0" w:lastRow="0" w:firstColumn="0" w:lastColumn="0" w:noHBand="0" w:noVBand="0"/>
      </w:tblPr>
      <w:tblGrid>
        <w:gridCol w:w="3064"/>
        <w:gridCol w:w="3081"/>
        <w:gridCol w:w="3065"/>
      </w:tblGrid>
      <w:tr w:rsidR="00000000">
        <w:tblPrEx>
          <w:tblCellMar>
            <w:top w:w="0" w:type="dxa"/>
            <w:bottom w:w="0" w:type="dxa"/>
          </w:tblCellMar>
        </w:tblPrEx>
        <w:tc>
          <w:tcPr>
            <w:tcW w:w="3165" w:type="dxa"/>
          </w:tcPr>
          <w:p w:rsidR="00000000" w:rsidRDefault="00000000">
            <w:pPr>
              <w:rPr>
                <w:sz w:val="22"/>
                <w:u w:val="single"/>
                <w:lang w:val="es-ES_tradnl"/>
              </w:rPr>
            </w:pPr>
            <w:r>
              <w:rPr>
                <w:sz w:val="22"/>
                <w:u w:val="single"/>
                <w:lang w:val="es-ES_tradnl"/>
              </w:rPr>
              <w:t>Países</w:t>
            </w:r>
          </w:p>
        </w:tc>
        <w:tc>
          <w:tcPr>
            <w:tcW w:w="3165" w:type="dxa"/>
          </w:tcPr>
          <w:p w:rsidR="00000000" w:rsidRDefault="00000000">
            <w:pPr>
              <w:rPr>
                <w:sz w:val="22"/>
                <w:u w:val="single"/>
                <w:lang w:val="es-ES_tradnl"/>
              </w:rPr>
            </w:pPr>
            <w:r>
              <w:rPr>
                <w:sz w:val="22"/>
                <w:u w:val="single"/>
                <w:lang w:val="es-ES_tradnl"/>
              </w:rPr>
              <w:t>Relatores por países</w:t>
            </w:r>
          </w:p>
        </w:tc>
        <w:tc>
          <w:tcPr>
            <w:tcW w:w="3165" w:type="dxa"/>
          </w:tcPr>
          <w:p w:rsidR="00000000" w:rsidRDefault="00000000">
            <w:pPr>
              <w:rPr>
                <w:sz w:val="22"/>
                <w:lang w:val="es-ES_tradnl"/>
              </w:rPr>
            </w:pPr>
            <w:r>
              <w:rPr>
                <w:sz w:val="22"/>
                <w:u w:val="single"/>
                <w:lang w:val="es-ES_tradnl"/>
              </w:rPr>
              <w:t>Relatores suplentes</w:t>
            </w:r>
          </w:p>
        </w:tc>
      </w:tr>
      <w:tr w:rsidR="00000000">
        <w:tblPrEx>
          <w:tblCellMar>
            <w:top w:w="0" w:type="dxa"/>
            <w:bottom w:w="0" w:type="dxa"/>
          </w:tblCellMar>
        </w:tblPrEx>
        <w:tc>
          <w:tcPr>
            <w:tcW w:w="3165" w:type="dxa"/>
          </w:tcPr>
          <w:p w:rsidR="00000000" w:rsidRDefault="00000000">
            <w:pPr>
              <w:rPr>
                <w:sz w:val="22"/>
                <w:u w:val="single"/>
                <w:lang w:val="es-ES_tradnl"/>
              </w:rPr>
            </w:pPr>
          </w:p>
        </w:tc>
        <w:tc>
          <w:tcPr>
            <w:tcW w:w="3165" w:type="dxa"/>
          </w:tcPr>
          <w:p w:rsidR="00000000" w:rsidRDefault="00000000">
            <w:pPr>
              <w:rPr>
                <w:sz w:val="22"/>
                <w:u w:val="single"/>
                <w:lang w:val="es-ES_tradnl"/>
              </w:rPr>
            </w:pPr>
          </w:p>
        </w:tc>
        <w:tc>
          <w:tcPr>
            <w:tcW w:w="3165" w:type="dxa"/>
          </w:tcPr>
          <w:p w:rsidR="00000000" w:rsidRDefault="00000000">
            <w:pPr>
              <w:rPr>
                <w:sz w:val="22"/>
                <w:u w:val="single"/>
                <w:lang w:val="es-ES_tradnl"/>
              </w:rPr>
            </w:pPr>
          </w:p>
        </w:tc>
      </w:tr>
      <w:tr w:rsidR="00000000">
        <w:tblPrEx>
          <w:tblCellMar>
            <w:top w:w="0" w:type="dxa"/>
            <w:bottom w:w="0" w:type="dxa"/>
          </w:tblCellMar>
        </w:tblPrEx>
        <w:tc>
          <w:tcPr>
            <w:tcW w:w="3165" w:type="dxa"/>
          </w:tcPr>
          <w:p w:rsidR="00000000" w:rsidRDefault="00000000">
            <w:pPr>
              <w:rPr>
                <w:sz w:val="22"/>
                <w:lang w:val="es-ES_tradnl"/>
              </w:rPr>
            </w:pPr>
            <w:r>
              <w:rPr>
                <w:sz w:val="22"/>
                <w:lang w:val="es-ES_tradnl"/>
              </w:rPr>
              <w:t>Estados Unidos</w:t>
            </w:r>
          </w:p>
          <w:p w:rsidR="00000000" w:rsidRDefault="00000000">
            <w:pPr>
              <w:rPr>
                <w:sz w:val="22"/>
                <w:lang w:val="es-ES_tradnl"/>
              </w:rPr>
            </w:pPr>
            <w:r>
              <w:rPr>
                <w:sz w:val="22"/>
                <w:lang w:val="es-ES_tradnl"/>
              </w:rPr>
              <w:t>Polonia</w:t>
            </w:r>
          </w:p>
          <w:p w:rsidR="00000000" w:rsidRDefault="00000000">
            <w:pPr>
              <w:rPr>
                <w:sz w:val="22"/>
                <w:lang w:val="es-ES_tradnl"/>
              </w:rPr>
            </w:pPr>
            <w:r>
              <w:rPr>
                <w:sz w:val="22"/>
                <w:lang w:val="es-ES_tradnl"/>
              </w:rPr>
              <w:t>El Salvador</w:t>
            </w:r>
          </w:p>
          <w:p w:rsidR="00000000" w:rsidRDefault="00000000">
            <w:pPr>
              <w:rPr>
                <w:sz w:val="22"/>
                <w:lang w:val="es-ES_tradnl"/>
              </w:rPr>
            </w:pPr>
            <w:r>
              <w:rPr>
                <w:sz w:val="22"/>
                <w:lang w:val="es-ES_tradnl"/>
              </w:rPr>
              <w:t>Armenia</w:t>
            </w:r>
          </w:p>
          <w:p w:rsidR="00000000" w:rsidRDefault="00000000">
            <w:pPr>
              <w:rPr>
                <w:sz w:val="22"/>
                <w:lang w:val="es-ES_tradnl"/>
              </w:rPr>
            </w:pPr>
            <w:r>
              <w:rPr>
                <w:sz w:val="22"/>
                <w:lang w:val="es-ES_tradnl"/>
              </w:rPr>
              <w:t>Paraguay</w:t>
            </w:r>
          </w:p>
          <w:p w:rsidR="00000000" w:rsidRDefault="00000000">
            <w:pPr>
              <w:rPr>
                <w:sz w:val="22"/>
                <w:lang w:val="es-ES_tradnl"/>
              </w:rPr>
            </w:pPr>
            <w:r>
              <w:rPr>
                <w:sz w:val="22"/>
                <w:lang w:val="es-ES_tradnl"/>
              </w:rPr>
              <w:t>China</w:t>
            </w:r>
          </w:p>
          <w:p w:rsidR="00000000" w:rsidRDefault="00000000">
            <w:pPr>
              <w:rPr>
                <w:sz w:val="22"/>
                <w:lang w:val="es-ES_tradnl"/>
              </w:rPr>
            </w:pPr>
            <w:r>
              <w:rPr>
                <w:sz w:val="22"/>
                <w:lang w:val="es-ES_tradnl"/>
              </w:rPr>
              <w:t>Portugal</w:t>
            </w:r>
          </w:p>
          <w:p w:rsidR="00000000" w:rsidRDefault="00000000">
            <w:pPr>
              <w:rPr>
                <w:sz w:val="22"/>
                <w:lang w:val="es-ES_tradnl"/>
              </w:rPr>
            </w:pPr>
            <w:r>
              <w:rPr>
                <w:sz w:val="22"/>
                <w:lang w:val="es-ES_tradnl"/>
              </w:rPr>
              <w:t>Países Bajos</w:t>
            </w:r>
          </w:p>
          <w:p w:rsidR="00000000" w:rsidRDefault="00000000">
            <w:pPr>
              <w:rPr>
                <w:sz w:val="22"/>
                <w:lang w:val="es-ES_tradnl"/>
              </w:rPr>
            </w:pPr>
            <w:r>
              <w:rPr>
                <w:sz w:val="22"/>
                <w:lang w:val="es-ES_tradnl"/>
              </w:rPr>
              <w:t>Eslovenia</w:t>
            </w:r>
          </w:p>
        </w:tc>
        <w:tc>
          <w:tcPr>
            <w:tcW w:w="3165" w:type="dxa"/>
          </w:tcPr>
          <w:p w:rsidR="00000000" w:rsidRDefault="00000000">
            <w:pPr>
              <w:rPr>
                <w:sz w:val="22"/>
                <w:lang w:val="pt-PT"/>
              </w:rPr>
            </w:pPr>
            <w:r>
              <w:rPr>
                <w:sz w:val="22"/>
                <w:lang w:val="pt-PT"/>
              </w:rPr>
              <w:t>Sr. Burns</w:t>
            </w:r>
          </w:p>
          <w:p w:rsidR="00000000" w:rsidRDefault="00000000">
            <w:pPr>
              <w:rPr>
                <w:sz w:val="22"/>
                <w:lang w:val="pt-PT"/>
              </w:rPr>
            </w:pPr>
            <w:r>
              <w:rPr>
                <w:sz w:val="22"/>
                <w:lang w:val="pt-PT"/>
              </w:rPr>
              <w:t>Sr. El Masry</w:t>
            </w:r>
          </w:p>
          <w:p w:rsidR="00000000" w:rsidRDefault="00000000">
            <w:pPr>
              <w:rPr>
                <w:sz w:val="22"/>
                <w:lang w:val="es-ES_tradnl"/>
              </w:rPr>
            </w:pPr>
            <w:r>
              <w:rPr>
                <w:sz w:val="22"/>
                <w:lang w:val="es-ES_tradnl"/>
              </w:rPr>
              <w:t>Sr. González Poblete</w:t>
            </w:r>
          </w:p>
          <w:p w:rsidR="00000000" w:rsidRDefault="00000000">
            <w:pPr>
              <w:rPr>
                <w:sz w:val="22"/>
                <w:lang w:val="es-ES_tradnl"/>
              </w:rPr>
            </w:pPr>
            <w:r>
              <w:rPr>
                <w:sz w:val="22"/>
                <w:lang w:val="es-ES_tradnl"/>
              </w:rPr>
              <w:t>Sr. Camara</w:t>
            </w:r>
          </w:p>
          <w:p w:rsidR="00000000" w:rsidRDefault="00000000">
            <w:pPr>
              <w:rPr>
                <w:sz w:val="22"/>
                <w:lang w:val="es-ES_tradnl"/>
              </w:rPr>
            </w:pPr>
            <w:r>
              <w:rPr>
                <w:sz w:val="22"/>
                <w:lang w:val="es-ES_tradnl"/>
              </w:rPr>
              <w:t>Sr. González Poblete</w:t>
            </w:r>
          </w:p>
          <w:p w:rsidR="00000000" w:rsidRDefault="00000000">
            <w:pPr>
              <w:rPr>
                <w:sz w:val="22"/>
                <w:lang w:val="pt-PT"/>
              </w:rPr>
            </w:pPr>
            <w:r>
              <w:rPr>
                <w:sz w:val="22"/>
                <w:lang w:val="pt-PT"/>
              </w:rPr>
              <w:t>Sr. Mavrommatis</w:t>
            </w:r>
          </w:p>
          <w:p w:rsidR="00000000" w:rsidRDefault="00000000">
            <w:pPr>
              <w:rPr>
                <w:sz w:val="22"/>
                <w:lang w:val="pt-PT"/>
              </w:rPr>
            </w:pPr>
            <w:r>
              <w:rPr>
                <w:sz w:val="22"/>
                <w:lang w:val="pt-PT"/>
              </w:rPr>
              <w:t>Sr. Burns</w:t>
            </w:r>
          </w:p>
          <w:p w:rsidR="00000000" w:rsidRDefault="00000000">
            <w:pPr>
              <w:rPr>
                <w:sz w:val="22"/>
                <w:lang w:val="pt-PT"/>
              </w:rPr>
            </w:pPr>
            <w:r>
              <w:rPr>
                <w:sz w:val="22"/>
                <w:lang w:val="pt-PT"/>
              </w:rPr>
              <w:t>Sr. Yu Mengjia</w:t>
            </w:r>
          </w:p>
          <w:p w:rsidR="00000000" w:rsidRDefault="00000000">
            <w:pPr>
              <w:rPr>
                <w:sz w:val="22"/>
                <w:lang w:val="pt-PT"/>
              </w:rPr>
            </w:pPr>
            <w:r>
              <w:rPr>
                <w:sz w:val="22"/>
                <w:lang w:val="pt-PT"/>
              </w:rPr>
              <w:t>Sr. Yakovlev</w:t>
            </w:r>
          </w:p>
        </w:tc>
        <w:tc>
          <w:tcPr>
            <w:tcW w:w="3165" w:type="dxa"/>
          </w:tcPr>
          <w:p w:rsidR="00000000" w:rsidRDefault="00000000">
            <w:pPr>
              <w:rPr>
                <w:sz w:val="22"/>
                <w:lang w:val="pt-PT"/>
              </w:rPr>
            </w:pPr>
            <w:r>
              <w:rPr>
                <w:sz w:val="22"/>
                <w:lang w:val="pt-PT"/>
              </w:rPr>
              <w:t>Sr. El Masry</w:t>
            </w:r>
          </w:p>
          <w:p w:rsidR="00000000" w:rsidRDefault="00000000">
            <w:pPr>
              <w:rPr>
                <w:sz w:val="22"/>
                <w:lang w:val="pt-PT"/>
              </w:rPr>
            </w:pPr>
            <w:r>
              <w:rPr>
                <w:sz w:val="22"/>
                <w:lang w:val="pt-PT"/>
              </w:rPr>
              <w:t>Sr. Yakovlev</w:t>
            </w:r>
          </w:p>
          <w:p w:rsidR="00000000" w:rsidRDefault="00000000">
            <w:pPr>
              <w:rPr>
                <w:sz w:val="22"/>
                <w:lang w:val="pt-PT"/>
              </w:rPr>
            </w:pPr>
            <w:r>
              <w:rPr>
                <w:sz w:val="22"/>
                <w:lang w:val="pt-PT"/>
              </w:rPr>
              <w:t>Sr. Silva Henriques Gaspar</w:t>
            </w:r>
          </w:p>
          <w:p w:rsidR="00000000" w:rsidRDefault="00000000">
            <w:pPr>
              <w:rPr>
                <w:sz w:val="22"/>
                <w:lang w:val="pt-PT"/>
              </w:rPr>
            </w:pPr>
            <w:r>
              <w:rPr>
                <w:sz w:val="22"/>
                <w:lang w:val="pt-PT"/>
              </w:rPr>
              <w:t>Sr. Yakovlev</w:t>
            </w:r>
          </w:p>
          <w:p w:rsidR="00000000" w:rsidRDefault="00000000">
            <w:pPr>
              <w:rPr>
                <w:sz w:val="22"/>
                <w:lang w:val="pt-PT"/>
              </w:rPr>
            </w:pPr>
            <w:r>
              <w:rPr>
                <w:sz w:val="22"/>
                <w:lang w:val="pt-PT"/>
              </w:rPr>
              <w:t>Sr. Camara</w:t>
            </w:r>
          </w:p>
          <w:p w:rsidR="00000000" w:rsidRDefault="00000000">
            <w:pPr>
              <w:rPr>
                <w:sz w:val="22"/>
                <w:lang w:val="pt-PT"/>
              </w:rPr>
            </w:pPr>
            <w:r>
              <w:rPr>
                <w:sz w:val="22"/>
                <w:lang w:val="pt-PT"/>
              </w:rPr>
              <w:t>Sr. Silva Henriques Gaspar</w:t>
            </w:r>
          </w:p>
          <w:p w:rsidR="00000000" w:rsidRDefault="00000000">
            <w:pPr>
              <w:rPr>
                <w:sz w:val="22"/>
                <w:lang w:val="pt-PT"/>
              </w:rPr>
            </w:pPr>
            <w:r>
              <w:rPr>
                <w:sz w:val="22"/>
                <w:lang w:val="pt-PT"/>
              </w:rPr>
              <w:t>Sr. Yu Mengjia</w:t>
            </w:r>
          </w:p>
        </w:tc>
      </w:tr>
    </w:tbl>
    <w:p w:rsidR="00000000" w:rsidRDefault="00000000">
      <w:pPr>
        <w:rPr>
          <w:sz w:val="22"/>
          <w:lang w:val="es-ES_tradnl"/>
        </w:rPr>
      </w:pPr>
    </w:p>
    <w:p w:rsidR="00000000" w:rsidRDefault="00000000">
      <w:pPr>
        <w:rPr>
          <w:sz w:val="22"/>
          <w:lang w:val="es-ES_tradnl"/>
        </w:rPr>
      </w:pPr>
      <w:r>
        <w:rPr>
          <w:sz w:val="22"/>
          <w:u w:val="single"/>
          <w:lang w:val="es-ES_tradnl"/>
        </w:rPr>
        <w:t>Declaración del Sr. Sørensen sobre la tortura</w:t>
      </w:r>
    </w:p>
    <w:p w:rsidR="00000000" w:rsidRDefault="00000000">
      <w:pPr>
        <w:rPr>
          <w:sz w:val="22"/>
          <w:lang w:val="es-ES_tradnl"/>
        </w:rPr>
      </w:pPr>
    </w:p>
    <w:p w:rsidR="00000000" w:rsidRDefault="00000000">
      <w:pPr>
        <w:rPr>
          <w:sz w:val="22"/>
          <w:lang w:val="es-ES_tradnl"/>
        </w:rPr>
      </w:pPr>
      <w:r>
        <w:rPr>
          <w:sz w:val="22"/>
          <w:lang w:val="es-ES_tradnl"/>
        </w:rPr>
        <w:t>2.</w:t>
      </w:r>
      <w:r>
        <w:rPr>
          <w:sz w:val="22"/>
          <w:lang w:val="es-ES_tradnl"/>
        </w:rPr>
        <w:tab/>
        <w:t xml:space="preserve">El </w:t>
      </w:r>
      <w:r>
        <w:rPr>
          <w:sz w:val="22"/>
          <w:u w:val="single"/>
          <w:lang w:val="es-ES_tradnl"/>
        </w:rPr>
        <w:t>Sr. SØRENSEN</w:t>
      </w:r>
      <w:r>
        <w:rPr>
          <w:sz w:val="22"/>
          <w:lang w:val="es-ES_tradnl"/>
        </w:rPr>
        <w:t xml:space="preserve"> dice que desea explicar brevemente al Comité la opinión de los médicos sobre la prevención de la tortura.</w:t>
      </w:r>
    </w:p>
    <w:p w:rsidR="00000000" w:rsidRDefault="00000000">
      <w:pPr>
        <w:rPr>
          <w:sz w:val="22"/>
          <w:lang w:val="es-ES_tradnl"/>
        </w:rPr>
      </w:pPr>
    </w:p>
    <w:p w:rsidR="00000000" w:rsidRDefault="00000000">
      <w:pPr>
        <w:rPr>
          <w:sz w:val="22"/>
          <w:lang w:val="es-ES_tradnl"/>
        </w:rPr>
      </w:pPr>
      <w:r>
        <w:rPr>
          <w:sz w:val="22"/>
          <w:lang w:val="es-ES_tradnl"/>
        </w:rPr>
        <w:t>3.</w:t>
      </w:r>
      <w:r>
        <w:rPr>
          <w:sz w:val="22"/>
          <w:lang w:val="es-ES_tradnl"/>
        </w:rPr>
        <w:tab/>
        <w:t>Prevenir la tortura es comparable a prevenir una enfermedad.  Por ejemplo, para erradicar la tuberculosis, fue necesario dar con el bacilo que la causaba y luchar contra él -la prevención primaria.  Mientras tanto, se pudo reducir la incidencia de la tuberculosis poniendo en cuarentena a quien la había contraído –la prevención secundaria.</w:t>
      </w:r>
    </w:p>
    <w:p w:rsidR="00000000" w:rsidRDefault="00000000">
      <w:pPr>
        <w:rPr>
          <w:sz w:val="22"/>
          <w:lang w:val="es-ES_tradnl"/>
        </w:rPr>
      </w:pPr>
    </w:p>
    <w:p w:rsidR="00000000" w:rsidRDefault="00000000">
      <w:pPr>
        <w:rPr>
          <w:sz w:val="22"/>
          <w:lang w:val="es-ES_tradnl"/>
        </w:rPr>
      </w:pPr>
      <w:r>
        <w:rPr>
          <w:sz w:val="22"/>
          <w:lang w:val="es-ES_tradnl"/>
        </w:rPr>
        <w:t>4.</w:t>
      </w:r>
      <w:r>
        <w:rPr>
          <w:sz w:val="22"/>
          <w:lang w:val="es-ES_tradnl"/>
        </w:rPr>
        <w:tab/>
        <w:t xml:space="preserve">En la lucha para prevenir la tortura, son necesarias la prevención primaria, la secundaria y la terciaria.  La prevención primaria se centra en la sociedad.  Se trata de evitar la práctica de la tortura determinando sus causas y sus agentes, el sistema que la tolera, organiza o difunde, los grupos de riesgo y los lugares en que se produce.  Es lo que el Comité trata de hacer con su procedimiento establecido en virtud del artículo 19.  También es fundamental que la sociedad adquiera más y más conciencia.  La opinión pública debe aceptar que la tortura ha de terminar, los encargados de adoptar decisiones deben demostrar la voluntad política necesaria, las personalidades que influyen en la opinión pública deben prestar su apoyo al respecto y los funcionarios deben cumplir las normas.  </w:t>
      </w:r>
    </w:p>
    <w:p w:rsidR="00000000" w:rsidRDefault="00000000">
      <w:pPr>
        <w:rPr>
          <w:sz w:val="22"/>
          <w:lang w:val="es-ES_tradnl"/>
        </w:rPr>
      </w:pPr>
    </w:p>
    <w:p w:rsidR="00000000" w:rsidRDefault="00000000">
      <w:pPr>
        <w:rPr>
          <w:sz w:val="22"/>
          <w:lang w:val="es-ES_tradnl"/>
        </w:rPr>
      </w:pPr>
      <w:r>
        <w:rPr>
          <w:sz w:val="22"/>
          <w:lang w:val="es-ES_tradnl"/>
        </w:rPr>
        <w:t>5.</w:t>
      </w:r>
      <w:r>
        <w:rPr>
          <w:sz w:val="22"/>
          <w:lang w:val="es-ES_tradnl"/>
        </w:rPr>
        <w:tab/>
        <w:t>En la prevención secundaria se asume que la tortura existe; su objetivo es reducir el número de casos, centrándose en la policía, el personal penitenciario, los abogados, los médicos, el personal de atención de la salud y así sucesivamente, por ejemplo mediante la información y la capacitación.  Este es el objetivo del artículo 10 de la Convención.  Debe quedar claro que la tortura es degradante para el torturado, el torturador y la sociedad.  El orador hace hincapié en la función de los cursos de capacitación en materia de derechos humanos, incluido el derecho a no ser torturado, y de otros métodos de interrogar y lograr la seguridad en las prisiones.</w:t>
      </w:r>
    </w:p>
    <w:p w:rsidR="00000000" w:rsidRDefault="00000000">
      <w:pPr>
        <w:rPr>
          <w:sz w:val="22"/>
          <w:lang w:val="es-ES_tradnl"/>
        </w:rPr>
      </w:pPr>
    </w:p>
    <w:p w:rsidR="00000000" w:rsidRDefault="00000000">
      <w:pPr>
        <w:rPr>
          <w:sz w:val="22"/>
          <w:lang w:val="es-ES_tradnl"/>
        </w:rPr>
      </w:pPr>
      <w:r>
        <w:rPr>
          <w:sz w:val="22"/>
          <w:lang w:val="es-ES_tradnl"/>
        </w:rPr>
        <w:t>6.</w:t>
      </w:r>
      <w:r>
        <w:rPr>
          <w:sz w:val="22"/>
          <w:lang w:val="es-ES_tradnl"/>
        </w:rPr>
        <w:tab/>
        <w:t>El objetivo de la prevención terciaria consiste en atenuar las consecuencias de la tortura en las víctimas, lo que se puede alcanzar con la ayuda de centros y programas de rehabilitación.  El Consejo Internacional para la Rehabilitación de las Víctimas de la Tortura, organización no gubernamental con la que el orador ha colaborado estrechamente, abrió un centro en Pristina hace tres meses y ahora está trabajando en Dili; cuanto antes pueda llegarse a las víctimas de la tortura, más fácil será asistirlas.</w:t>
      </w:r>
    </w:p>
    <w:p w:rsidR="00000000" w:rsidRDefault="00000000">
      <w:pPr>
        <w:rPr>
          <w:sz w:val="22"/>
          <w:lang w:val="es-ES_tradnl"/>
        </w:rPr>
      </w:pPr>
    </w:p>
    <w:p w:rsidR="00000000" w:rsidRDefault="00000000">
      <w:pPr>
        <w:rPr>
          <w:sz w:val="22"/>
          <w:lang w:val="es-ES_tradnl"/>
        </w:rPr>
      </w:pPr>
      <w:r>
        <w:rPr>
          <w:sz w:val="22"/>
          <w:lang w:val="es-ES_tradnl"/>
        </w:rPr>
        <w:t>7.</w:t>
      </w:r>
      <w:r>
        <w:rPr>
          <w:sz w:val="22"/>
          <w:lang w:val="es-ES_tradnl"/>
        </w:rPr>
        <w:tab/>
        <w:t xml:space="preserve">El </w:t>
      </w:r>
      <w:r>
        <w:rPr>
          <w:sz w:val="22"/>
          <w:u w:val="single"/>
          <w:lang w:val="es-ES_tradnl"/>
        </w:rPr>
        <w:t>PRESIDENTE</w:t>
      </w:r>
      <w:r>
        <w:rPr>
          <w:sz w:val="22"/>
          <w:lang w:val="es-ES_tradnl"/>
        </w:rPr>
        <w:t xml:space="preserve"> señala que el Sr. Sørensen, que ha sido miembro del Comité desde su creación hace 12 años, probablemente no vuelva más y, por consiguiente, desea expresarle el agradecimiento del Comité por su dedicación de tantos años.  El Sr. Sørensen, distinguido cirujano de renombre internacional en la rehabilitación de las víctimas de la tortura, fue también uno de los impulsores del Consejo Internacional para la Rehabilitación de las Víctimas de la Tortura; desempeñó una función decisiva en la introducción de los procedimientos que el Comité adoptó durante sus primeros años y su pertenencia al mismo es sin duda uno de los motivos por los que el Comité ha sido tan eficaz.  Ha conseguido establecer un órgano compuesto en gran parte de abogados conscientes de los aspectos médicos del problema de la tortura, lo cual es un logro considerable.  En nombre del Comité, el Presidente expresa su agradecimiento al Sr. Sørensen por sus numerosos años de servicio.</w:t>
      </w:r>
    </w:p>
    <w:p w:rsidR="00000000" w:rsidRDefault="00000000">
      <w:pPr>
        <w:rPr>
          <w:sz w:val="22"/>
          <w:lang w:val="es-ES_tradnl"/>
        </w:rPr>
      </w:pPr>
    </w:p>
    <w:p w:rsidR="00000000" w:rsidRDefault="00000000">
      <w:pPr>
        <w:rPr>
          <w:sz w:val="22"/>
          <w:lang w:val="es-ES_tradnl"/>
        </w:rPr>
      </w:pPr>
      <w:r>
        <w:rPr>
          <w:sz w:val="22"/>
          <w:lang w:val="es-ES_tradnl"/>
        </w:rPr>
        <w:t>8.</w:t>
      </w:r>
      <w:r>
        <w:rPr>
          <w:sz w:val="22"/>
          <w:lang w:val="es-ES_tradnl"/>
        </w:rPr>
        <w:tab/>
        <w:t xml:space="preserve">El </w:t>
      </w:r>
      <w:r>
        <w:rPr>
          <w:sz w:val="22"/>
          <w:u w:val="single"/>
          <w:lang w:val="es-ES_tradnl"/>
        </w:rPr>
        <w:t>Sr. SØRENSEN</w:t>
      </w:r>
      <w:r>
        <w:rPr>
          <w:sz w:val="22"/>
          <w:lang w:val="es-ES_tradnl"/>
        </w:rPr>
        <w:t xml:space="preserve"> agradece al Presidente sus elogios.</w:t>
      </w:r>
    </w:p>
    <w:p w:rsidR="00000000" w:rsidRDefault="00000000">
      <w:pPr>
        <w:rPr>
          <w:sz w:val="22"/>
          <w:lang w:val="es-ES_tradnl"/>
        </w:rPr>
      </w:pPr>
    </w:p>
    <w:p w:rsidR="00000000" w:rsidRDefault="00000000">
      <w:pPr>
        <w:jc w:val="center"/>
        <w:rPr>
          <w:sz w:val="22"/>
          <w:lang w:val="es-ES_tradnl"/>
        </w:rPr>
      </w:pPr>
      <w:r>
        <w:rPr>
          <w:sz w:val="22"/>
          <w:u w:val="single"/>
          <w:lang w:val="es-ES_tradnl"/>
        </w:rPr>
        <w:t>Se levanta la sesión pública a las 10.40 horas</w:t>
      </w:r>
      <w:r>
        <w:rPr>
          <w:sz w:val="22"/>
          <w:lang w:val="es-ES_tradnl"/>
        </w:rPr>
        <w:t>.</w:t>
      </w:r>
    </w:p>
    <w:p w:rsidR="00000000" w:rsidRDefault="00000000">
      <w:pPr>
        <w:rPr>
          <w:sz w:val="22"/>
          <w:lang w:val="es-ES_tradnl"/>
        </w:rPr>
      </w:pPr>
    </w:p>
    <w:sectPr w:rsidR="00000000">
      <w:headerReference w:type="even" r:id="rId9"/>
      <w:headerReference w:type="default" r:id="rId10"/>
      <w:pgSz w:w="11906" w:h="16838" w:code="9"/>
      <w:pgMar w:top="1418" w:right="1418" w:bottom="1418" w:left="1418" w:header="851" w:footer="141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pt-PT"/>
      </w:rPr>
    </w:pPr>
    <w:r>
      <w:rPr>
        <w:sz w:val="22"/>
        <w:lang w:val="pt-PT"/>
      </w:rPr>
      <w:t>CAT/C/SR.407</w:t>
    </w:r>
  </w:p>
  <w:p w:rsidR="00000000" w:rsidRDefault="00000000">
    <w:pPr>
      <w:pStyle w:val="Header"/>
      <w:rPr>
        <w:rStyle w:val="PageNumber"/>
      </w:rPr>
    </w:pPr>
    <w:r>
      <w:rPr>
        <w:sz w:val="22"/>
        <w:lang w:val="pt-PT"/>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rPr>
        <w:sz w:val="22"/>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560"/>
      </w:tabs>
      <w:rPr>
        <w:sz w:val="22"/>
        <w:lang w:val="pt-PT"/>
      </w:rPr>
    </w:pPr>
    <w:r>
      <w:rPr>
        <w:sz w:val="22"/>
      </w:rPr>
      <w:tab/>
    </w:r>
    <w:r>
      <w:rPr>
        <w:sz w:val="22"/>
        <w:lang w:val="pt-PT"/>
      </w:rPr>
      <w:t>CAT/C/SR.407</w:t>
    </w:r>
  </w:p>
  <w:p w:rsidR="00000000" w:rsidRDefault="00000000">
    <w:pPr>
      <w:pStyle w:val="Header"/>
      <w:tabs>
        <w:tab w:val="clear" w:pos="4252"/>
        <w:tab w:val="clear" w:pos="8504"/>
        <w:tab w:val="left" w:pos="7560"/>
      </w:tabs>
      <w:rPr>
        <w:rStyle w:val="PageNumber"/>
      </w:rPr>
    </w:pPr>
    <w:r>
      <w:rPr>
        <w:sz w:val="22"/>
        <w:lang w:val="pt-PT"/>
      </w:rPr>
      <w:tab/>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clear" w:pos="4252"/>
        <w:tab w:val="clear" w:pos="8504"/>
        <w:tab w:val="left" w:pos="7020"/>
      </w:tabs>
      <w:rPr>
        <w:sz w:val="2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04BB"/>
    <w:multiLevelType w:val="singleLevel"/>
    <w:tmpl w:val="0409000F"/>
    <w:lvl w:ilvl="0">
      <w:start w:val="16"/>
      <w:numFmt w:val="decimal"/>
      <w:lvlText w:val="%1."/>
      <w:lvlJc w:val="left"/>
      <w:pPr>
        <w:tabs>
          <w:tab w:val="num" w:pos="360"/>
        </w:tabs>
        <w:ind w:left="360" w:hanging="360"/>
      </w:pPr>
      <w:rPr>
        <w:rFonts w:hint="default"/>
      </w:rPr>
    </w:lvl>
  </w:abstractNum>
  <w:abstractNum w:abstractNumId="1">
    <w:nsid w:val="7F134CD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95"/>
  <w:doNotTrackMoves/>
  <w:defaultTabStop w:val="567"/>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szCs w:val="20"/>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szCs w:val="20"/>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Pages>
  <Words>926</Words>
  <Characters>4807</Characters>
  <Application>Microsoft Office Word</Application>
  <DocSecurity>4</DocSecurity>
  <Lines>146</Lines>
  <Paragraphs>62</Paragraphs>
  <ScaleCrop>false</ScaleCrop>
  <HeadingPairs>
    <vt:vector size="2" baseType="variant">
      <vt:variant>
        <vt:lpstr>Título</vt:lpstr>
      </vt:variant>
      <vt:variant>
        <vt:i4>1</vt:i4>
      </vt:variant>
    </vt:vector>
  </HeadingPairs>
  <TitlesOfParts>
    <vt:vector size="1" baseType="lpstr">
      <vt:lpstr/>
    </vt:vector>
  </TitlesOfParts>
  <Company>Mi PC</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Comitre</dc:creator>
  <cp:keywords/>
  <dc:description/>
  <cp:lastModifiedBy>Eliseo Gavilán</cp:lastModifiedBy>
  <cp:revision>16</cp:revision>
  <cp:lastPrinted>2002-03-19T10:26:00Z</cp:lastPrinted>
  <dcterms:created xsi:type="dcterms:W3CDTF">2002-03-06T16:31:00Z</dcterms:created>
  <dcterms:modified xsi:type="dcterms:W3CDTF">2002-03-20T17:35:00Z</dcterms:modified>
</cp:coreProperties>
</file>