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95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GE.00-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45758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180602    180602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CAT/C/SR.439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15 November 2000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pStyle w:val="16"/>
        <w:spacing w:line="216" w:lineRule="auto"/>
      </w:pPr>
    </w:p>
    <w:p w:rsidR="00000000" w:rsidRDefault="00000000">
      <w:pPr>
        <w:pStyle w:val="16"/>
        <w:spacing w:line="216" w:lineRule="auto"/>
      </w:pPr>
      <w:r>
        <w:t>КОМИТЕТ ПРОТИВ ПЫТОК</w:t>
      </w:r>
    </w:p>
    <w:p w:rsidR="00000000" w:rsidRDefault="00000000">
      <w:pPr>
        <w:pStyle w:val="16"/>
        <w:spacing w:line="216" w:lineRule="auto"/>
      </w:pPr>
    </w:p>
    <w:p w:rsidR="00000000" w:rsidRDefault="00000000">
      <w:pPr>
        <w:spacing w:line="216" w:lineRule="auto"/>
        <w:jc w:val="center"/>
      </w:pPr>
      <w:r>
        <w:t>Двадцать пятая сессия</w:t>
      </w:r>
    </w:p>
    <w:p w:rsidR="00000000" w:rsidRDefault="00000000">
      <w:pPr>
        <w:spacing w:line="216" w:lineRule="auto"/>
        <w:jc w:val="center"/>
      </w:pPr>
    </w:p>
    <w:p w:rsidR="00000000" w:rsidRDefault="00000000">
      <w:pPr>
        <w:spacing w:line="216" w:lineRule="auto"/>
        <w:jc w:val="center"/>
      </w:pPr>
      <w:r>
        <w:t>КРАТКИЙ ОТЧЕТ О ПЕРВОЙ (ОТКРЫТОЙ)* ЧАСТИ 439</w:t>
      </w:r>
      <w:r>
        <w:noBreakHyphen/>
        <w:t>го ЗАСЕДАНИЯ,</w:t>
      </w:r>
    </w:p>
    <w:p w:rsidR="00000000" w:rsidRDefault="00000000">
      <w:pPr>
        <w:spacing w:line="216" w:lineRule="auto"/>
        <w:jc w:val="center"/>
      </w:pPr>
    </w:p>
    <w:p w:rsidR="00000000" w:rsidRDefault="00000000">
      <w:pPr>
        <w:spacing w:line="216" w:lineRule="auto"/>
        <w:jc w:val="center"/>
      </w:pPr>
      <w:r>
        <w:t>состоявшегося во Дворце Вильсон, Женева,</w:t>
      </w:r>
    </w:p>
    <w:p w:rsidR="00000000" w:rsidRDefault="00000000">
      <w:pPr>
        <w:spacing w:line="216" w:lineRule="auto"/>
        <w:jc w:val="center"/>
      </w:pPr>
      <w:r>
        <w:t>в понедельник, 13 ноября 2000 года, в 10 час. 00 мин.</w:t>
      </w:r>
    </w:p>
    <w:p w:rsidR="00000000" w:rsidRDefault="00000000">
      <w:pPr>
        <w:spacing w:line="216" w:lineRule="auto"/>
        <w:jc w:val="center"/>
      </w:pPr>
    </w:p>
    <w:p w:rsidR="00000000" w:rsidRDefault="00000000">
      <w:pPr>
        <w:spacing w:line="216" w:lineRule="auto"/>
        <w:jc w:val="center"/>
      </w:pPr>
      <w:r>
        <w:rPr>
          <w:u w:val="single"/>
        </w:rPr>
        <w:t>Председатель</w:t>
      </w:r>
      <w:r>
        <w:t>:  г-н БЁРНС</w:t>
      </w:r>
    </w:p>
    <w:p w:rsidR="00000000" w:rsidRDefault="00000000">
      <w:pPr>
        <w:spacing w:line="216" w:lineRule="auto"/>
        <w:jc w:val="center"/>
      </w:pPr>
    </w:p>
    <w:p w:rsidR="00000000" w:rsidRDefault="00000000">
      <w:pPr>
        <w:spacing w:line="216" w:lineRule="auto"/>
        <w:jc w:val="center"/>
      </w:pPr>
      <w:r>
        <w:t>СОДЕРЖАНИЕ</w:t>
      </w:r>
    </w:p>
    <w:p w:rsidR="00000000" w:rsidRDefault="00000000">
      <w:pPr>
        <w:spacing w:line="216" w:lineRule="auto"/>
        <w:jc w:val="center"/>
      </w:pPr>
    </w:p>
    <w:p w:rsidR="00000000" w:rsidRDefault="00000000">
      <w:pPr>
        <w:pStyle w:val="FootnoteText"/>
        <w:spacing w:line="216" w:lineRule="auto"/>
      </w:pPr>
      <w:r>
        <w:t>ЗАЯВЛЕНИЕ ПРЕДСТАВИТЕЛЯ ВЕРХОВНОГО КОМИССАРА ПО ПРАВАМ ЧЕЛОВЕКА</w:t>
      </w:r>
    </w:p>
    <w:p w:rsidR="00000000" w:rsidRDefault="00000000">
      <w:pPr>
        <w:pStyle w:val="FootnoteText"/>
        <w:spacing w:line="216" w:lineRule="auto"/>
      </w:pPr>
    </w:p>
    <w:p w:rsidR="00000000" w:rsidRDefault="00000000">
      <w:pPr>
        <w:pStyle w:val="FootnoteText"/>
        <w:spacing w:line="216" w:lineRule="auto"/>
      </w:pPr>
      <w:r>
        <w:t>УТВЕРЖДЕНИЕ ПОВЕСТКИ ДНЯ</w:t>
      </w:r>
    </w:p>
    <w:p w:rsidR="00000000" w:rsidRDefault="00000000">
      <w:pPr>
        <w:pStyle w:val="FootnoteText"/>
        <w:spacing w:line="216" w:lineRule="auto"/>
      </w:pPr>
    </w:p>
    <w:p w:rsidR="00000000" w:rsidRDefault="00000000">
      <w:pPr>
        <w:pStyle w:val="FootnoteText"/>
        <w:spacing w:line="216" w:lineRule="auto"/>
      </w:pPr>
      <w:r>
        <w:t>ОРГАНИЗАЦИОННЫЕ И ДРУГИЕ ВОПРОСЫ</w:t>
      </w:r>
    </w:p>
    <w:p w:rsidR="00000000" w:rsidRDefault="00000000">
      <w:pPr>
        <w:pStyle w:val="FootnoteText"/>
        <w:spacing w:line="216" w:lineRule="auto"/>
      </w:pPr>
    </w:p>
    <w:p w:rsidR="00000000" w:rsidRDefault="00000000">
      <w:pPr>
        <w:pStyle w:val="FootnoteText"/>
        <w:spacing w:line="216" w:lineRule="auto"/>
      </w:pPr>
      <w:r>
        <w:t>ПРЕДСТАВЛЕНИЕ ДОКЛАДОВ ГОСУДАРСТВАМИ-УЧАСТНИКАМИ В СООТВЕТСТВИИ СО СТАТЬЕЙ 19 КОНВЕНЦИИ</w:t>
      </w:r>
    </w:p>
    <w:p w:rsidR="00000000" w:rsidRDefault="00000000">
      <w:pPr>
        <w:pStyle w:val="FootnoteText"/>
        <w:spacing w:line="216" w:lineRule="auto"/>
      </w:pPr>
    </w:p>
    <w:p w:rsidR="00000000" w:rsidRDefault="00000000">
      <w:pPr>
        <w:pStyle w:val="FootnoteText"/>
        <w:spacing w:line="216" w:lineRule="auto"/>
        <w:rPr>
          <w:sz w:val="22"/>
        </w:rPr>
      </w:pPr>
      <w:r>
        <w:rPr>
          <w:sz w:val="22"/>
        </w:rPr>
        <w:t>______________</w:t>
      </w:r>
    </w:p>
    <w:p w:rsidR="00000000" w:rsidRDefault="00000000">
      <w:pPr>
        <w:pStyle w:val="FootnoteText"/>
        <w:spacing w:line="216" w:lineRule="auto"/>
        <w:rPr>
          <w:sz w:val="22"/>
        </w:rPr>
      </w:pPr>
    </w:p>
    <w:p w:rsidR="00000000" w:rsidRDefault="00000000">
      <w:pPr>
        <w:pStyle w:val="FootnoteText"/>
        <w:spacing w:line="216" w:lineRule="auto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Краткий отчет о второй (закрытой) части заседания выпускается в виде документа под условным обозначением </w:t>
      </w:r>
      <w:r>
        <w:rPr>
          <w:sz w:val="22"/>
          <w:lang w:val="en-US"/>
        </w:rPr>
        <w:t>CAT</w:t>
      </w:r>
      <w:r>
        <w:rPr>
          <w:sz w:val="22"/>
        </w:rPr>
        <w:t>/</w:t>
      </w:r>
      <w:r>
        <w:rPr>
          <w:sz w:val="22"/>
          <w:lang w:val="en-US"/>
        </w:rPr>
        <w:t>C</w:t>
      </w:r>
      <w:r>
        <w:rPr>
          <w:sz w:val="22"/>
        </w:rPr>
        <w:t>/</w:t>
      </w:r>
      <w:r>
        <w:rPr>
          <w:sz w:val="22"/>
          <w:lang w:val="en-US"/>
        </w:rPr>
        <w:t>SR</w:t>
      </w:r>
      <w:r>
        <w:rPr>
          <w:sz w:val="22"/>
        </w:rPr>
        <w:t>.439/</w:t>
      </w:r>
      <w:r>
        <w:rPr>
          <w:sz w:val="22"/>
          <w:lang w:val="en-US"/>
        </w:rPr>
        <w:t>Add</w:t>
      </w:r>
      <w:r>
        <w:rPr>
          <w:sz w:val="22"/>
        </w:rPr>
        <w:t>.1.</w:t>
      </w:r>
    </w:p>
    <w:p w:rsidR="00000000" w:rsidRDefault="00000000">
      <w:pPr>
        <w:pStyle w:val="FootnoteText"/>
        <w:spacing w:line="216" w:lineRule="auto"/>
        <w:rPr>
          <w:sz w:val="22"/>
        </w:rPr>
      </w:pPr>
    </w:p>
    <w:p w:rsidR="00000000" w:rsidRDefault="00000000">
      <w:pPr>
        <w:pStyle w:val="FootnoteText"/>
        <w:spacing w:line="216" w:lineRule="auto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000000" w:rsidRDefault="00000000">
      <w:pPr>
        <w:pStyle w:val="FootnoteText"/>
        <w:spacing w:line="216" w:lineRule="auto"/>
        <w:rPr>
          <w:sz w:val="22"/>
        </w:rPr>
      </w:pPr>
    </w:p>
    <w:p w:rsidR="00000000" w:rsidRDefault="00000000">
      <w:pPr>
        <w:pStyle w:val="FootnoteText"/>
        <w:spacing w:line="216" w:lineRule="auto"/>
        <w:rPr>
          <w:sz w:val="22"/>
        </w:rPr>
      </w:pPr>
      <w:r>
        <w:rPr>
          <w:sz w:val="22"/>
        </w:rPr>
        <w:tab/>
        <w:t>В настоящий отчет могут вноситься поправки.</w:t>
      </w:r>
    </w:p>
    <w:p w:rsidR="00000000" w:rsidRDefault="00000000">
      <w:pPr>
        <w:pStyle w:val="FootnoteText"/>
        <w:spacing w:line="216" w:lineRule="auto"/>
        <w:rPr>
          <w:sz w:val="22"/>
        </w:rPr>
      </w:pPr>
    </w:p>
    <w:p w:rsidR="00000000" w:rsidRDefault="00000000">
      <w:pPr>
        <w:pStyle w:val="FootnoteText"/>
        <w:spacing w:line="216" w:lineRule="auto"/>
        <w:rPr>
          <w:sz w:val="22"/>
        </w:rPr>
      </w:pPr>
      <w:r>
        <w:rPr>
          <w:sz w:val="22"/>
        </w:rP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  </w:r>
      <w:r>
        <w:rPr>
          <w:sz w:val="22"/>
          <w:u w:val="single"/>
        </w:rPr>
        <w:t>в течение одной недели с момента выпуска настоящего документа</w:t>
      </w:r>
      <w:r>
        <w:rPr>
          <w:sz w:val="22"/>
        </w:rPr>
        <w:t xml:space="preserve"> в Секцию редактирования официальных отчетов, комната Е-4108, Дворец Наций, Женева.</w:t>
      </w:r>
    </w:p>
    <w:p w:rsidR="00000000" w:rsidRDefault="00000000">
      <w:pPr>
        <w:pStyle w:val="FootnoteText"/>
        <w:spacing w:line="216" w:lineRule="auto"/>
        <w:rPr>
          <w:sz w:val="22"/>
        </w:rPr>
      </w:pPr>
    </w:p>
    <w:p w:rsidR="00000000" w:rsidRDefault="00000000">
      <w:pPr>
        <w:pStyle w:val="FootnoteText"/>
        <w:spacing w:line="216" w:lineRule="auto"/>
        <w:rPr>
          <w:sz w:val="22"/>
        </w:rPr>
      </w:pPr>
      <w:r>
        <w:rPr>
          <w:sz w:val="22"/>
        </w:rPr>
        <w:tab/>
  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</w:t>
      </w:r>
    </w:p>
    <w:p w:rsidR="00000000" w:rsidRDefault="00000000">
      <w:pPr>
        <w:pStyle w:val="FootnoteText"/>
        <w:spacing w:line="288" w:lineRule="auto"/>
        <w:jc w:val="center"/>
      </w:pPr>
      <w:r>
        <w:rPr>
          <w:u w:val="single"/>
        </w:rPr>
        <w:br w:type="page"/>
        <w:t>Заседание открывается в 10 час. 05 мин</w:t>
      </w:r>
      <w:r>
        <w:t>.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ЗАЯВЛЕНИЕ ПРЕДСТАВИТЕЛЯ ВЕРХОВНОГО КОМИССАРА ПО ПРАВАМ ЧЕЛОВЕКА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1.</w:t>
      </w:r>
      <w:r>
        <w:tab/>
      </w:r>
      <w:r>
        <w:rPr>
          <w:u w:val="single"/>
        </w:rPr>
        <w:t>Г-н ГАХАМ</w:t>
      </w:r>
      <w:r>
        <w:t xml:space="preserve"> (представитель Верховного комиссара по правам человека) приветствует членов Комитета против пыток от имени Верховного комиссара по правам человека, которая не смогла присутствовать из</w:t>
      </w:r>
      <w:r>
        <w:noBreakHyphen/>
        <w:t>за своей текущей миссии в Палестине.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2.</w:t>
      </w:r>
      <w:r>
        <w:tab/>
        <w:t>Он с удовлетворением объявляет о том, что в сентябре Конвенцию против пыток и других жестоких, бесчеловечных или унижающих достоинство видов обращения и наказания подписали Гвинея-Биссау, Коморские Острова и Сан</w:t>
      </w:r>
      <w:r>
        <w:noBreakHyphen/>
        <w:t>Томе и Принсипи.  Кроме того, Конвенцию ратифицировали или присоединились к ней Ботсвана, Габон, Гана и Ливан, а Гана также сделала заявление по статье 22 о признании компетенции Комитета принимать индивидуальные сообщения.  Следует отметить, что шесть из семи упомянутых стран относятся к африканскому региону.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3.</w:t>
      </w:r>
      <w:r>
        <w:tab/>
        <w:t>Одной из главных целей Управления Верховного комиссара по правам человека является универсальная ратификация.  Поскольку это подразумевает увеличение загруженности как Комитета, так и секретариата, Верховный комиссар призвала крепить систему договорного мониторинга.  Одним из первых шагов в этой связи является создание группы по петициям для рассмотрения индивидуальных жалоб, полученных Комитетом против пыток, Комитетом по правам человека и Комитетом по ликвидации расовой дискриминации.  Группа по петициям должна приступить к своей работе с начала декабря;  ее персонал уже набран, а лицо, призванное возглавить Группу, будет назначено сразу по возвращении г</w:t>
      </w:r>
      <w:r>
        <w:noBreakHyphen/>
        <w:t xml:space="preserve">жи Робинсон.  Задача заключается в том, чтобы улучшить поток информации между различными договорными органами, касающейся правовой практики, и предоставлять комитетам более инициативную и юридически специализированную поддержку, чем в прошлом, при проведении деятельности в тесном сотрудничестве с Комитетом по ликвидации дискриминации в отношении женщин. 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4.</w:t>
      </w:r>
      <w:r>
        <w:tab/>
        <w:t>Верховный комиссар по правам человека надеется, что в ближайшем будущем можно будет принять дополнительные меры к тому, чтобы и впредь откликаться на потребности органов договорного мониторинга, в том числе в контексте процедур последующих действий.  Она также придает большое значение взаимосвязи и неделимости прав и приветствует тягу к росту обмена опытом и сотрудничества между органами договорного мониторинга.  Одним из примеров тому служит дискуссия по вопросу о государственном насилии в отношении детей, которая состоялась в сентябре в Комитете по правам ребенка и которая продемонстрировала наиважнейшее значение координации деятельности учреждений, существующих механизмов и партнеров.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5.</w:t>
      </w:r>
      <w:r>
        <w:tab/>
        <w:t>Верховный комиссар с интересом следит за подготовкой к Всемирной конференции по борьбе против расизма, расовой дискриминации, ксенофобии и связанной с ними нетерпимости.  Она осознает существующие хронологические ограничения, но рассчитывает услышать мнения Комитета о том, каким образом он мог бы способствовать успеху этого мероприятия.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УТВЕРЖДЕНИЕ ПОВЕСТКИ ДНЯ (пункт 1 предварительной повестки дня) (САТ/С/57)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6.</w:t>
      </w:r>
      <w:r>
        <w:tab/>
      </w:r>
      <w:r>
        <w:rPr>
          <w:u w:val="single"/>
        </w:rPr>
        <w:t>Предварительная повестка дня (САТ/С/57) утверждается</w:t>
      </w:r>
      <w:r>
        <w:t>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ОРГАНИЗАЦИОННЫЕ И ДРУГИЕ ВОПРОСЫ (пункт 2 повестки дня)</w:t>
      </w:r>
    </w:p>
    <w:p w:rsidR="00000000" w:rsidRDefault="00000000"/>
    <w:p w:rsidR="00000000" w:rsidRDefault="00000000">
      <w:r>
        <w:t>7.</w:t>
      </w:r>
      <w:r>
        <w:tab/>
      </w:r>
      <w:r>
        <w:rPr>
          <w:u w:val="single"/>
        </w:rPr>
        <w:t>ПРЕДСЕДАТЕЛЬ</w:t>
      </w:r>
      <w:r>
        <w:t xml:space="preserve"> говорит, что г-н Силва Энрикиш Гаспар присутствовал на совещании по вопросу о правах ребенка, и просит его в перспективе сообщить об этом совещании.  </w:t>
      </w:r>
    </w:p>
    <w:p w:rsidR="00000000" w:rsidRDefault="00000000"/>
    <w:p w:rsidR="00000000" w:rsidRDefault="00000000">
      <w:r>
        <w:t>8.</w:t>
      </w:r>
      <w:r>
        <w:tab/>
        <w:t>Он просит г-на Яковлева подготовить для Комитета проект заявления о Всемирной конференции по борьбе против расизма на предмет его рассмотрения, а возможно и принятия, позднее в ходе сессии.</w:t>
      </w:r>
    </w:p>
    <w:p w:rsidR="00000000" w:rsidRDefault="00000000"/>
    <w:p w:rsidR="00000000" w:rsidRDefault="00000000">
      <w:r>
        <w:t>9.</w:t>
      </w:r>
      <w:r>
        <w:tab/>
        <w:t xml:space="preserve">Рекомендация и разъяснение, содержащиеся в сообщении Постоянного представителя Австралии от 11 сентября 2000 года, в котором Австралия предлагает пути реформирования методов деятельности органов по отчетности в области прав человека, должны быть включены в программу работы.  Соображения Комитета по данному заявлению должны носить последовательный характер, они должны быть доведены до сведения Управления Верховного комиссара, и Комитету даже следует быть готовым принять некоторые из таких предложений.  </w:t>
      </w:r>
    </w:p>
    <w:p w:rsidR="00000000" w:rsidRDefault="00000000"/>
    <w:p w:rsidR="00000000" w:rsidRDefault="00000000">
      <w:r>
        <w:t>10.</w:t>
      </w:r>
      <w:r>
        <w:tab/>
        <w:t>Он сообщит о двенадцатом совещании председателей и передаст Комитету ряд вопросов, требующих его внимания.</w:t>
      </w:r>
    </w:p>
    <w:p w:rsidR="00000000" w:rsidRDefault="00000000"/>
    <w:p w:rsidR="00000000" w:rsidRDefault="00000000">
      <w:r>
        <w:t>11.</w:t>
      </w:r>
      <w:r>
        <w:tab/>
        <w:t>Была высказана просьба по вопросу о правах, касающихся ВИЧ/СПИДа, который, по его мнению, также должен быть включен в программу работы Комитета.</w:t>
      </w:r>
    </w:p>
    <w:p w:rsidR="00000000" w:rsidRDefault="00000000"/>
    <w:p w:rsidR="00000000" w:rsidRDefault="00000000">
      <w:r>
        <w:t>12.</w:t>
      </w:r>
      <w:r>
        <w:tab/>
        <w:t>Он просит г-на Камару представить информацию о подготовке замечания общего порядка в отношении промежуточных мер по статье 22, и Комитет также продолжит обсуждение вопроса о создании предсессионной рабочей группы.</w:t>
      </w:r>
    </w:p>
    <w:p w:rsidR="00000000" w:rsidRDefault="00000000"/>
    <w:p w:rsidR="00000000" w:rsidRDefault="00000000">
      <w:r>
        <w:t>13.</w:t>
      </w:r>
      <w:r>
        <w:tab/>
      </w:r>
      <w:r>
        <w:rPr>
          <w:u w:val="single"/>
        </w:rPr>
        <w:t>Г-н БРУНИ</w:t>
      </w:r>
      <w:r>
        <w:t xml:space="preserve"> (секретарь Комитета) полагает, что пресс-конференцию Комитета было бы целесообразно провести во Дворце Наций, где она привлечет к себе больше внимания.</w:t>
      </w:r>
    </w:p>
    <w:p w:rsidR="00000000" w:rsidRDefault="00000000"/>
    <w:p w:rsidR="00000000" w:rsidRDefault="00000000">
      <w:r>
        <w:t>ПРЕДСТАВЛЕНИЕ ДОКЛАДОВ ГОСУДАРСТВАМИ-УЧАСТНИКАМИ В СООТВЕТСТВИИ СО СТАТЬЕЙ 19 КОНВЕНЦИИ (пункт 3 повестки дня)</w:t>
      </w:r>
    </w:p>
    <w:p w:rsidR="00000000" w:rsidRDefault="00000000"/>
    <w:p w:rsidR="00000000" w:rsidRDefault="00000000">
      <w:r>
        <w:t>14.</w:t>
      </w:r>
      <w:r>
        <w:tab/>
      </w:r>
      <w:r>
        <w:rPr>
          <w:u w:val="single"/>
        </w:rPr>
        <w:t>Г-н БРУНИ</w:t>
      </w:r>
      <w:r>
        <w:t xml:space="preserve"> (секретарь Комитета) говорит, что из 118 первоначальных докладов, ожидавшихся в период с июня 1988 года по октябрь 2000 года, 77 представлены, а 38 просрочены.  Из 90 вторых периодических докладов, ожидавшихся в период с июня 1992 года по октябрь 2000 года, 52 представлены, а 38 просрочены.  Из 60 третьих периодических докладов, запрошенных на период с июня 1996 года по октябрь 2000 года, 29 представлены, а 31 просрочен.  Из 26 четвертых периодических докладов, запрошенных в 2000 году, представлено четыре.</w:t>
      </w:r>
    </w:p>
    <w:p w:rsidR="00000000" w:rsidRDefault="00000000"/>
    <w:p w:rsidR="00000000" w:rsidRDefault="00000000">
      <w:r>
        <w:t>15.</w:t>
      </w:r>
      <w:r>
        <w:tab/>
        <w:t>Доклады, подлежащие рассмотрению Комитетом на одной из двух сессий в 2001 году, представили Боливия, Бразилия, Венесуэла, Греция, Грузия, Дания, Казахстан, Коста-Рика, Люксембург, Норвегия, Словакия, Украина, Чешская Республика и Швеция.</w:t>
      </w:r>
    </w:p>
    <w:p w:rsidR="00000000" w:rsidRDefault="00000000"/>
    <w:p w:rsidR="00000000" w:rsidRDefault="00000000">
      <w:r>
        <w:t>16.</w:t>
      </w:r>
      <w:r>
        <w:tab/>
        <w:t>В октябре 1999 года Китай прислал дополнительную информацию с ответами на ряд вопросов по поводу Гонконга, поставленных Комитетом во время рассмотрения его третьего периодического доклада в мае 1999 года.  Эта информация была препровождена докладчику по стране и заместителю докладчика по Китаю.</w:t>
      </w:r>
    </w:p>
    <w:p w:rsidR="00000000" w:rsidRDefault="00000000"/>
    <w:p w:rsidR="00000000" w:rsidRDefault="00000000">
      <w:r>
        <w:t>17.</w:t>
      </w:r>
      <w:r>
        <w:tab/>
      </w:r>
      <w:r>
        <w:rPr>
          <w:u w:val="single"/>
        </w:rPr>
        <w:t>Г-н МАВРОММАТИС</w:t>
      </w:r>
      <w:r>
        <w:t xml:space="preserve"> говорит, что, поскольку прежние меры, принимавшиеся в связи с просрочкой представления докладов, не дали никаких результатов, Комитету следует пристальнее рассмотреть этот вопрос.</w:t>
      </w:r>
    </w:p>
    <w:p w:rsidR="00000000" w:rsidRDefault="00000000"/>
    <w:p w:rsidR="00000000" w:rsidRDefault="00000000">
      <w:r>
        <w:t>18.</w:t>
      </w:r>
      <w:r>
        <w:tab/>
      </w:r>
      <w:r>
        <w:rPr>
          <w:u w:val="single"/>
        </w:rPr>
        <w:t>ПРЕДСЕДАТЕЛЬ</w:t>
      </w:r>
      <w:r>
        <w:t xml:space="preserve"> говорит, что г-жа Гаер проинформирует Комитет о новых событиях, касающихся гендерных вопросов и пыток.</w:t>
      </w:r>
    </w:p>
    <w:p w:rsidR="00000000" w:rsidRDefault="00000000"/>
    <w:p w:rsidR="00000000" w:rsidRDefault="00000000">
      <w:pPr>
        <w:jc w:val="center"/>
      </w:pPr>
      <w:r>
        <w:rPr>
          <w:u w:val="single"/>
        </w:rPr>
        <w:t>Открытая часть заседания закрывается в 10 час. 40 мин</w:t>
      </w:r>
      <w:r>
        <w:t>.</w:t>
      </w:r>
    </w:p>
    <w:p w:rsidR="00000000" w:rsidRDefault="00000000">
      <w:pPr>
        <w:jc w:val="center"/>
      </w:pPr>
    </w:p>
    <w:p w:rsidR="00000000" w:rsidRDefault="00000000">
      <w:pPr>
        <w:tabs>
          <w:tab w:val="left" w:pos="0"/>
        </w:tabs>
      </w:pPr>
    </w:p>
    <w:p w:rsidR="00000000" w:rsidRDefault="00000000">
      <w:pPr>
        <w:pStyle w:val="16"/>
        <w:tabs>
          <w:tab w:val="left" w:pos="0"/>
        </w:tabs>
      </w:pPr>
      <w:r>
        <w:t>-------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CAT/C/SR.439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6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CAT/C/SR.439</w:t>
    </w:r>
  </w:p>
  <w:p w:rsidR="00000000" w:rsidRDefault="00000000">
    <w:pPr>
      <w:pStyle w:val="Header"/>
      <w:tabs>
        <w:tab w:val="left" w:pos="7655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655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  <w:tab w:val="left" w:pos="76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3</TotalTime>
  <Pages>1</Pages>
  <Words>1128</Words>
  <Characters>6435</Characters>
  <Application>Microsoft Office Word</Application>
  <DocSecurity>4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45758.doc</vt:lpstr>
    </vt:vector>
  </TitlesOfParts>
  <Company> 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45758.doc</dc:title>
  <dc:subject>Pogorelski</dc:subject>
  <dc:creator>BELIAEVA Svetlana</dc:creator>
  <cp:keywords/>
  <dc:description/>
  <cp:lastModifiedBy>auboin</cp:lastModifiedBy>
  <cp:revision>6</cp:revision>
  <cp:lastPrinted>2002-06-18T11:05:00Z</cp:lastPrinted>
  <dcterms:created xsi:type="dcterms:W3CDTF">2002-06-18T11:05:00Z</dcterms:created>
  <dcterms:modified xsi:type="dcterms:W3CDTF">2002-06-20T08:48:00Z</dcterms:modified>
</cp:coreProperties>
</file>