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7B00" w:rsidRPr="00DB58B5" w:rsidTr="00C17CF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F15ECF" w:rsidP="00F15ECF">
            <w:pPr>
              <w:jc w:val="right"/>
            </w:pPr>
            <w:r w:rsidRPr="00F15ECF">
              <w:rPr>
                <w:sz w:val="40"/>
              </w:rPr>
              <w:t>CAT</w:t>
            </w:r>
            <w:r>
              <w:t>/C/SR.1060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740562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15ECF" w:rsidRDefault="002C6DE7" w:rsidP="00A56EA8">
            <w:pPr>
              <w:spacing w:before="240"/>
            </w:pPr>
            <w:r>
              <w:t>Distr. générale</w:t>
            </w:r>
          </w:p>
          <w:p w:rsidR="00F15ECF" w:rsidRDefault="00AE68D1" w:rsidP="00F15ECF">
            <w:r>
              <w:t>13 août 2012</w:t>
            </w:r>
          </w:p>
          <w:p w:rsidR="00F15ECF" w:rsidRDefault="00E41BEC" w:rsidP="00F15ECF">
            <w:r>
              <w:t>Français</w:t>
            </w:r>
          </w:p>
          <w:p w:rsidR="00297B00" w:rsidRPr="00DB58B5" w:rsidRDefault="00F15ECF" w:rsidP="00F15ECF">
            <w:r>
              <w:t xml:space="preserve">Original: </w:t>
            </w:r>
            <w:r w:rsidR="007E40CD">
              <w:t>anglais</w:t>
            </w:r>
          </w:p>
        </w:tc>
      </w:tr>
    </w:tbl>
    <w:p w:rsidR="00C17CFF" w:rsidRPr="00C17CFF" w:rsidRDefault="00C17CFF" w:rsidP="009D7A07">
      <w:pPr>
        <w:spacing w:before="120"/>
        <w:rPr>
          <w:b/>
          <w:sz w:val="24"/>
          <w:szCs w:val="24"/>
        </w:rPr>
      </w:pPr>
      <w:r w:rsidRPr="00C17CFF">
        <w:rPr>
          <w:b/>
          <w:sz w:val="24"/>
          <w:szCs w:val="24"/>
        </w:rPr>
        <w:t>Comité contre la torture</w:t>
      </w:r>
    </w:p>
    <w:p w:rsidR="00C17CFF" w:rsidRPr="00C17CFF" w:rsidRDefault="00713921" w:rsidP="009D7A07">
      <w:pPr>
        <w:spacing w:after="120"/>
        <w:rPr>
          <w:b/>
        </w:rPr>
      </w:pPr>
      <w:r>
        <w:rPr>
          <w:b/>
        </w:rPr>
        <w:t>Quarante-huitième session</w:t>
      </w:r>
    </w:p>
    <w:p w:rsidR="00C17CFF" w:rsidRDefault="00274348" w:rsidP="00C17CFF">
      <w:pPr>
        <w:rPr>
          <w:b/>
        </w:rPr>
      </w:pPr>
      <w:r>
        <w:rPr>
          <w:b/>
        </w:rPr>
        <w:t>Co</w:t>
      </w:r>
      <w:r w:rsidRPr="00C17CFF">
        <w:rPr>
          <w:b/>
        </w:rPr>
        <w:t xml:space="preserve">mpte rendu analytique de la </w:t>
      </w:r>
      <w:r>
        <w:rPr>
          <w:b/>
        </w:rPr>
        <w:t>première partie (publique)</w:t>
      </w:r>
      <w:r w:rsidR="00162FC8" w:rsidRPr="00162FC8">
        <w:rPr>
          <w:rStyle w:val="FootnoteReference"/>
          <w:sz w:val="20"/>
          <w:vertAlign w:val="baseline"/>
        </w:rPr>
        <w:footnoteReference w:customMarkFollows="1" w:id="2"/>
        <w:t>*</w:t>
      </w:r>
      <w:r>
        <w:rPr>
          <w:b/>
        </w:rPr>
        <w:t xml:space="preserve"> de la 1060</w:t>
      </w:r>
      <w:r w:rsidRPr="00C17CFF">
        <w:rPr>
          <w:b/>
          <w:vertAlign w:val="superscript"/>
        </w:rPr>
        <w:t>e</w:t>
      </w:r>
      <w:r w:rsidRPr="00C17CFF">
        <w:rPr>
          <w:b/>
        </w:rPr>
        <w:t xml:space="preserve"> séance</w:t>
      </w:r>
    </w:p>
    <w:p w:rsidR="00C17CFF" w:rsidRDefault="00274348" w:rsidP="00C17CFF">
      <w:pPr>
        <w:spacing w:after="120"/>
      </w:pPr>
      <w:r>
        <w:t>Tenue au Palais Wilson, à Genève, le mardi 8 mai 2012, à 10 heures</w:t>
      </w:r>
    </w:p>
    <w:p w:rsidR="00C17CFF" w:rsidRDefault="00274348" w:rsidP="00876E41">
      <w:pPr>
        <w:tabs>
          <w:tab w:val="right" w:pos="851"/>
          <w:tab w:val="left" w:pos="1134"/>
          <w:tab w:val="right" w:leader="dot" w:pos="8505"/>
        </w:tabs>
        <w:spacing w:after="120"/>
      </w:pPr>
      <w:r>
        <w:rPr>
          <w:i/>
        </w:rPr>
        <w:tab/>
      </w:r>
      <w:r w:rsidRPr="00C17CFF">
        <w:rPr>
          <w:i/>
        </w:rPr>
        <w:t>Président</w:t>
      </w:r>
      <w:r w:rsidR="005826E2">
        <w:t xml:space="preserve">: </w:t>
      </w:r>
      <w:r w:rsidR="005826E2">
        <w:tab/>
        <w:t>M. </w:t>
      </w:r>
      <w:r>
        <w:t>Grossman</w:t>
      </w:r>
    </w:p>
    <w:p w:rsidR="00C17CFF" w:rsidRPr="00C17CFF" w:rsidRDefault="00C17CFF" w:rsidP="00C17CFF">
      <w:pPr>
        <w:spacing w:before="360" w:after="240"/>
        <w:rPr>
          <w:sz w:val="28"/>
          <w:szCs w:val="28"/>
        </w:rPr>
      </w:pPr>
      <w:r w:rsidRPr="00C17CFF">
        <w:rPr>
          <w:sz w:val="28"/>
          <w:szCs w:val="28"/>
        </w:rPr>
        <w:t>Sommaire</w:t>
      </w:r>
    </w:p>
    <w:p w:rsidR="003C686C" w:rsidRDefault="003C686C" w:rsidP="00274348">
      <w:pPr>
        <w:pStyle w:val="SingleTxtG"/>
        <w:rPr>
          <w:lang w:val="fr-FR"/>
        </w:rPr>
      </w:pPr>
      <w:r w:rsidRPr="002A4A3F">
        <w:rPr>
          <w:lang w:val="fr-FR"/>
        </w:rPr>
        <w:t>Examen des rapports soumis par les États parties en application de l</w:t>
      </w:r>
      <w:r>
        <w:rPr>
          <w:lang w:val="fr-FR"/>
        </w:rPr>
        <w:t>’</w:t>
      </w:r>
      <w:r w:rsidRPr="002A4A3F">
        <w:rPr>
          <w:lang w:val="fr-FR"/>
        </w:rPr>
        <w:t>article 19</w:t>
      </w:r>
      <w:r w:rsidR="00162FC8">
        <w:rPr>
          <w:lang w:val="fr-FR"/>
        </w:rPr>
        <w:t xml:space="preserve"> </w:t>
      </w:r>
      <w:r w:rsidRPr="002A4A3F">
        <w:rPr>
          <w:lang w:val="fr-FR"/>
        </w:rPr>
        <w:t>de</w:t>
      </w:r>
      <w:r w:rsidR="00162FC8">
        <w:rPr>
          <w:lang w:val="fr-FR"/>
        </w:rPr>
        <w:t> </w:t>
      </w:r>
      <w:r w:rsidRPr="002A4A3F">
        <w:rPr>
          <w:lang w:val="fr-FR"/>
        </w:rPr>
        <w:t>la</w:t>
      </w:r>
      <w:r w:rsidR="00162FC8">
        <w:rPr>
          <w:lang w:val="fr-FR"/>
        </w:rPr>
        <w:t> </w:t>
      </w:r>
      <w:r w:rsidRPr="002A4A3F">
        <w:rPr>
          <w:lang w:val="fr-FR"/>
        </w:rPr>
        <w:t>Convention</w:t>
      </w:r>
    </w:p>
    <w:p w:rsidR="003C686C" w:rsidRPr="00274348" w:rsidRDefault="003C686C" w:rsidP="00B660CC">
      <w:pPr>
        <w:pStyle w:val="SingleTxtG"/>
        <w:ind w:left="1701"/>
        <w:rPr>
          <w:i/>
        </w:rPr>
      </w:pPr>
      <w:r w:rsidRPr="00274348">
        <w:rPr>
          <w:i/>
          <w:lang w:val="fr-FR"/>
        </w:rPr>
        <w:t>Deuxième rapport périodique de l’Albanie</w:t>
      </w:r>
    </w:p>
    <w:p w:rsidR="005D3355" w:rsidRDefault="003C686C" w:rsidP="005D3355">
      <w:pPr>
        <w:pStyle w:val="SingleTxtG"/>
        <w:rPr>
          <w:i/>
          <w:lang w:val="fr-FR"/>
        </w:rPr>
      </w:pPr>
      <w:r>
        <w:br w:type="page"/>
      </w:r>
      <w:r w:rsidRPr="005D3355">
        <w:rPr>
          <w:i/>
          <w:lang w:val="fr-FR"/>
        </w:rPr>
        <w:t>La séance est ouverte à 10 heures.</w:t>
      </w:r>
    </w:p>
    <w:p w:rsidR="00162FC8" w:rsidRDefault="003C686C" w:rsidP="00162FC8">
      <w:pPr>
        <w:pStyle w:val="SingleTxtG"/>
        <w:rPr>
          <w:lang w:val="fr-FR"/>
        </w:rPr>
      </w:pPr>
      <w:r w:rsidRPr="005D3355">
        <w:rPr>
          <w:lang w:val="fr-FR"/>
        </w:rPr>
        <w:t>Examen des rapports soumis par les États parties en application de l’article 19</w:t>
      </w:r>
      <w:r w:rsidR="00162FC8">
        <w:rPr>
          <w:lang w:val="fr-FR"/>
        </w:rPr>
        <w:t xml:space="preserve"> </w:t>
      </w:r>
      <w:r w:rsidR="00BA6380">
        <w:rPr>
          <w:lang w:val="fr-FR"/>
        </w:rPr>
        <w:t>de</w:t>
      </w:r>
      <w:r w:rsidR="00162FC8">
        <w:rPr>
          <w:lang w:val="fr-FR"/>
        </w:rPr>
        <w:t> </w:t>
      </w:r>
      <w:r w:rsidR="00BA6380">
        <w:rPr>
          <w:lang w:val="fr-FR"/>
        </w:rPr>
        <w:t>l</w:t>
      </w:r>
      <w:r w:rsidR="00162FC8">
        <w:rPr>
          <w:lang w:val="fr-FR"/>
        </w:rPr>
        <w:t>a </w:t>
      </w:r>
      <w:r w:rsidR="00BA6380">
        <w:rPr>
          <w:lang w:val="fr-FR"/>
        </w:rPr>
        <w:t>Convention</w:t>
      </w:r>
    </w:p>
    <w:p w:rsidR="003C686C" w:rsidRPr="002A4A3F" w:rsidRDefault="003C686C" w:rsidP="00162FC8">
      <w:pPr>
        <w:pStyle w:val="SingleTxtG"/>
        <w:rPr>
          <w:lang w:val="fr-FR"/>
        </w:rPr>
      </w:pPr>
      <w:r w:rsidRPr="002A4A3F">
        <w:rPr>
          <w:i/>
          <w:lang w:val="fr-FR"/>
        </w:rPr>
        <w:t>Deuxième rapport périodique de l</w:t>
      </w:r>
      <w:r>
        <w:rPr>
          <w:i/>
          <w:lang w:val="fr-FR"/>
        </w:rPr>
        <w:t>’</w:t>
      </w:r>
      <w:r w:rsidRPr="002A4A3F">
        <w:rPr>
          <w:i/>
          <w:lang w:val="fr-FR"/>
        </w:rPr>
        <w:t>Albanie</w:t>
      </w:r>
      <w:r w:rsidRPr="002A4A3F">
        <w:rPr>
          <w:lang w:val="fr-FR"/>
        </w:rPr>
        <w:t xml:space="preserve"> (CAT/C/ALB/2; CAT/C/ALB/Q/2 et Add.1)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1704EB">
        <w:rPr>
          <w:lang w:val="fr-FR"/>
        </w:rPr>
        <w:t>1.</w:t>
      </w:r>
      <w:r w:rsidRPr="002A4A3F">
        <w:rPr>
          <w:lang w:val="fr-FR"/>
        </w:rPr>
        <w:tab/>
      </w:r>
      <w:r w:rsidRPr="001704EB">
        <w:rPr>
          <w:i/>
          <w:lang w:val="fr-FR"/>
        </w:rPr>
        <w:t>Sur l’invitation du Président, la délégation albanaise prend place à la table du Comité</w:t>
      </w:r>
      <w:r w:rsidRPr="002A4A3F">
        <w:rPr>
          <w:lang w:val="fr-FR"/>
        </w:rPr>
        <w:t>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2.</w:t>
      </w:r>
      <w:r w:rsidRPr="002A4A3F">
        <w:rPr>
          <w:lang w:val="fr-FR"/>
        </w:rPr>
        <w:tab/>
      </w:r>
      <w:r w:rsidRPr="002A4A3F">
        <w:rPr>
          <w:b/>
          <w:lang w:val="fr-FR"/>
        </w:rPr>
        <w:t>M.</w:t>
      </w:r>
      <w:r w:rsidR="0014642F">
        <w:rPr>
          <w:b/>
          <w:lang w:val="fr-FR"/>
        </w:rPr>
        <w:t> </w:t>
      </w:r>
      <w:r w:rsidRPr="002A4A3F">
        <w:rPr>
          <w:b/>
          <w:lang w:val="fr-FR"/>
        </w:rPr>
        <w:t>Peka</w:t>
      </w:r>
      <w:r w:rsidRPr="002A4A3F">
        <w:rPr>
          <w:lang w:val="fr-FR"/>
        </w:rPr>
        <w:t xml:space="preserve"> (Albanie), présentant le deuxième rapport périodique de son pays (CAT/C/ALB/2), appelle l</w:t>
      </w:r>
      <w:r>
        <w:rPr>
          <w:lang w:val="fr-FR"/>
        </w:rPr>
        <w:t>’</w:t>
      </w:r>
      <w:r w:rsidRPr="002A4A3F">
        <w:rPr>
          <w:lang w:val="fr-FR"/>
        </w:rPr>
        <w:t xml:space="preserve">attention du Comité sur les paragraphes 4 à 7 des réponses écrites à la liste de points à traiter (CAT/C/ALB/Q/2/Add.1), qui contiennent une description détaillée du mécanisme national de prévention </w:t>
      </w:r>
      <w:r>
        <w:rPr>
          <w:lang w:val="fr-FR"/>
        </w:rPr>
        <w:t xml:space="preserve">mis en place </w:t>
      </w:r>
      <w:r w:rsidRPr="002A4A3F">
        <w:rPr>
          <w:lang w:val="fr-FR"/>
        </w:rPr>
        <w:t xml:space="preserve">en 2008. La législation nationale telle que modifiée </w:t>
      </w:r>
      <w:r>
        <w:rPr>
          <w:lang w:val="fr-FR"/>
        </w:rPr>
        <w:t xml:space="preserve">prévoit que des </w:t>
      </w:r>
      <w:r w:rsidRPr="002A4A3F">
        <w:rPr>
          <w:lang w:val="fr-FR"/>
        </w:rPr>
        <w:t>enquêtes approfondies et indépendantes</w:t>
      </w:r>
      <w:r>
        <w:rPr>
          <w:lang w:val="fr-FR"/>
        </w:rPr>
        <w:t xml:space="preserve"> doivent être ouvertes</w:t>
      </w:r>
      <w:r w:rsidRPr="002A4A3F">
        <w:rPr>
          <w:lang w:val="fr-FR"/>
        </w:rPr>
        <w:t xml:space="preserve">, notamment par le Médiateur, sur les </w:t>
      </w:r>
      <w:r>
        <w:rPr>
          <w:lang w:val="fr-FR"/>
        </w:rPr>
        <w:t xml:space="preserve">plaintes pour </w:t>
      </w:r>
      <w:r w:rsidRPr="002A4A3F">
        <w:rPr>
          <w:lang w:val="fr-FR"/>
        </w:rPr>
        <w:t xml:space="preserve">torture </w:t>
      </w:r>
      <w:r>
        <w:rPr>
          <w:lang w:val="fr-FR"/>
        </w:rPr>
        <w:t xml:space="preserve">ou </w:t>
      </w:r>
      <w:r w:rsidRPr="002A4A3F">
        <w:rPr>
          <w:lang w:val="fr-FR"/>
        </w:rPr>
        <w:t xml:space="preserve">traitements inhumains et dégradants et </w:t>
      </w:r>
      <w:r>
        <w:rPr>
          <w:lang w:val="fr-FR"/>
        </w:rPr>
        <w:t xml:space="preserve">que les </w:t>
      </w:r>
      <w:r w:rsidRPr="002A4A3F">
        <w:rPr>
          <w:lang w:val="fr-FR"/>
        </w:rPr>
        <w:t xml:space="preserve">droits de toutes les personnes privées de liberté </w:t>
      </w:r>
      <w:r>
        <w:rPr>
          <w:lang w:val="fr-FR"/>
        </w:rPr>
        <w:t>doivent faire l’objet d’une surveillance</w:t>
      </w:r>
      <w:r w:rsidRPr="002A4A3F">
        <w:rPr>
          <w:lang w:val="fr-FR"/>
        </w:rPr>
        <w:t xml:space="preserve">. Le mécanisme national de prévention a effectué des inspections dans la plupart des locaux de détention de la </w:t>
      </w:r>
      <w:r w:rsidRPr="00D532B1">
        <w:rPr>
          <w:lang w:val="fr-FR"/>
        </w:rPr>
        <w:t>p</w:t>
      </w:r>
      <w:r w:rsidRPr="002A4A3F">
        <w:rPr>
          <w:lang w:val="fr-FR"/>
        </w:rPr>
        <w:t xml:space="preserve">olice </w:t>
      </w:r>
      <w:r>
        <w:rPr>
          <w:lang w:val="fr-FR"/>
        </w:rPr>
        <w:t>d’État et des services de sécurité</w:t>
      </w:r>
      <w:r w:rsidRPr="002A4A3F">
        <w:rPr>
          <w:lang w:val="fr-FR"/>
        </w:rPr>
        <w:t xml:space="preserve">. </w:t>
      </w:r>
      <w:r>
        <w:rPr>
          <w:lang w:val="fr-FR"/>
        </w:rPr>
        <w:t>On trouvera au</w:t>
      </w:r>
      <w:r w:rsidRPr="002A4A3F">
        <w:rPr>
          <w:lang w:val="fr-FR"/>
        </w:rPr>
        <w:t xml:space="preserve"> paragraphe 24 </w:t>
      </w:r>
      <w:r>
        <w:rPr>
          <w:lang w:val="fr-FR"/>
        </w:rPr>
        <w:t xml:space="preserve">des réponses écrites </w:t>
      </w:r>
      <w:r w:rsidRPr="002A4A3F">
        <w:rPr>
          <w:lang w:val="fr-FR"/>
        </w:rPr>
        <w:t xml:space="preserve">des statistiques sur les mesures disciplinaires qui ont été </w:t>
      </w:r>
      <w:r>
        <w:rPr>
          <w:lang w:val="fr-FR"/>
        </w:rPr>
        <w:t>prononcées</w:t>
      </w:r>
      <w:r w:rsidRPr="002A4A3F">
        <w:rPr>
          <w:lang w:val="fr-FR"/>
        </w:rPr>
        <w:t xml:space="preserve"> en 2011 contre </w:t>
      </w:r>
      <w:r>
        <w:rPr>
          <w:lang w:val="fr-FR"/>
        </w:rPr>
        <w:t>d</w:t>
      </w:r>
      <w:r w:rsidRPr="002A4A3F">
        <w:rPr>
          <w:lang w:val="fr-FR"/>
        </w:rPr>
        <w:t>es fonctionnaires de police reconnus coupables d</w:t>
      </w:r>
      <w:r>
        <w:rPr>
          <w:lang w:val="fr-FR"/>
        </w:rPr>
        <w:t>’</w:t>
      </w:r>
      <w:r w:rsidRPr="002A4A3F">
        <w:rPr>
          <w:lang w:val="fr-FR"/>
        </w:rPr>
        <w:t>actes arbitraires commis dans l</w:t>
      </w:r>
      <w:r>
        <w:rPr>
          <w:lang w:val="fr-FR"/>
        </w:rPr>
        <w:t>’</w:t>
      </w:r>
      <w:r w:rsidR="00D532B1">
        <w:rPr>
          <w:lang w:val="fr-FR"/>
        </w:rPr>
        <w:t>exercice de leurs fonctions.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3.</w:t>
      </w:r>
      <w:r w:rsidRPr="002A4A3F">
        <w:rPr>
          <w:lang w:val="fr-FR"/>
        </w:rPr>
        <w:tab/>
      </w:r>
      <w:r>
        <w:rPr>
          <w:lang w:val="fr-FR"/>
        </w:rPr>
        <w:t>C</w:t>
      </w:r>
      <w:r w:rsidRPr="002A4A3F">
        <w:rPr>
          <w:lang w:val="fr-FR"/>
        </w:rPr>
        <w:t>omme indiqué aux paragraphes 26 à 30 des réponses écrites</w:t>
      </w:r>
      <w:r>
        <w:rPr>
          <w:lang w:val="fr-FR"/>
        </w:rPr>
        <w:t>, d</w:t>
      </w:r>
      <w:r w:rsidRPr="002A4A3F">
        <w:rPr>
          <w:lang w:val="fr-FR"/>
        </w:rPr>
        <w:t xml:space="preserve">es initiatives ont été </w:t>
      </w:r>
      <w:r>
        <w:rPr>
          <w:lang w:val="fr-FR"/>
        </w:rPr>
        <w:t>lancées</w:t>
      </w:r>
      <w:r w:rsidRPr="002A4A3F">
        <w:rPr>
          <w:lang w:val="fr-FR"/>
        </w:rPr>
        <w:t xml:space="preserve"> </w:t>
      </w:r>
      <w:r>
        <w:rPr>
          <w:lang w:val="fr-FR"/>
        </w:rPr>
        <w:t xml:space="preserve">afin de </w:t>
      </w:r>
      <w:r w:rsidRPr="002A4A3F">
        <w:rPr>
          <w:lang w:val="fr-FR"/>
        </w:rPr>
        <w:t xml:space="preserve">prévenir </w:t>
      </w:r>
      <w:r>
        <w:rPr>
          <w:lang w:val="fr-FR"/>
        </w:rPr>
        <w:t>la violence dans la famille</w:t>
      </w:r>
      <w:r w:rsidRPr="002A4A3F">
        <w:rPr>
          <w:lang w:val="fr-FR"/>
        </w:rPr>
        <w:t xml:space="preserve">. </w:t>
      </w:r>
      <w:r>
        <w:rPr>
          <w:lang w:val="fr-FR"/>
        </w:rPr>
        <w:t xml:space="preserve">En particulier, des mesures ont été prises </w:t>
      </w:r>
      <w:r w:rsidRPr="002A4A3F">
        <w:rPr>
          <w:lang w:val="fr-FR"/>
        </w:rPr>
        <w:t xml:space="preserve">pour </w:t>
      </w:r>
      <w:r>
        <w:rPr>
          <w:lang w:val="fr-FR"/>
        </w:rPr>
        <w:t xml:space="preserve">garantir </w:t>
      </w:r>
      <w:r w:rsidRPr="002A4A3F">
        <w:rPr>
          <w:lang w:val="fr-FR"/>
        </w:rPr>
        <w:t xml:space="preserve">que les </w:t>
      </w:r>
      <w:r>
        <w:rPr>
          <w:lang w:val="fr-FR"/>
        </w:rPr>
        <w:t>différents services concernés coordonnent leurs activités dans ce domaine. D’</w:t>
      </w:r>
      <w:r w:rsidRPr="002A4A3F">
        <w:rPr>
          <w:lang w:val="fr-FR"/>
        </w:rPr>
        <w:t xml:space="preserve">autres mesures </w:t>
      </w:r>
      <w:r>
        <w:rPr>
          <w:lang w:val="fr-FR"/>
        </w:rPr>
        <w:t xml:space="preserve">de prévention de </w:t>
      </w:r>
      <w:r w:rsidRPr="002A4A3F">
        <w:rPr>
          <w:lang w:val="fr-FR"/>
        </w:rPr>
        <w:t xml:space="preserve">la violence contre les femmes et </w:t>
      </w:r>
      <w:r>
        <w:rPr>
          <w:lang w:val="fr-FR"/>
        </w:rPr>
        <w:t xml:space="preserve">de la violence dans la famille doivent être adoptées et il est notamment prévu d’ériger </w:t>
      </w:r>
      <w:r w:rsidRPr="002A4A3F">
        <w:rPr>
          <w:lang w:val="fr-FR"/>
        </w:rPr>
        <w:t>le viol</w:t>
      </w:r>
      <w:r w:rsidR="000635BA">
        <w:rPr>
          <w:lang w:val="fr-FR"/>
        </w:rPr>
        <w:t xml:space="preserve"> conjugal en infraction pénale.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4.</w:t>
      </w:r>
      <w:r w:rsidRPr="002A4A3F">
        <w:rPr>
          <w:lang w:val="fr-FR"/>
        </w:rPr>
        <w:tab/>
      </w:r>
      <w:r>
        <w:rPr>
          <w:lang w:val="fr-FR"/>
        </w:rPr>
        <w:t>C</w:t>
      </w:r>
      <w:r w:rsidRPr="002A4A3F">
        <w:rPr>
          <w:lang w:val="fr-FR"/>
        </w:rPr>
        <w:t>omme indiqué au paragraphe 34 des réponses écrites</w:t>
      </w:r>
      <w:r>
        <w:rPr>
          <w:lang w:val="fr-FR"/>
        </w:rPr>
        <w:t xml:space="preserve">, la </w:t>
      </w:r>
      <w:r w:rsidRPr="002A4A3F">
        <w:rPr>
          <w:lang w:val="fr-FR"/>
        </w:rPr>
        <w:t>traite des personnes c</w:t>
      </w:r>
      <w:r>
        <w:rPr>
          <w:lang w:val="fr-FR"/>
        </w:rPr>
        <w:t>onstitue une infraction pénale</w:t>
      </w:r>
      <w:r w:rsidRPr="002A4A3F">
        <w:rPr>
          <w:lang w:val="fr-FR"/>
        </w:rPr>
        <w:t xml:space="preserve">. </w:t>
      </w:r>
      <w:r>
        <w:rPr>
          <w:lang w:val="fr-FR"/>
        </w:rPr>
        <w:t xml:space="preserve">En </w:t>
      </w:r>
      <w:r w:rsidRPr="002A4A3F">
        <w:rPr>
          <w:lang w:val="fr-FR"/>
        </w:rPr>
        <w:t>juillet 2011</w:t>
      </w:r>
      <w:r>
        <w:rPr>
          <w:lang w:val="fr-FR"/>
        </w:rPr>
        <w:t xml:space="preserve">, une </w:t>
      </w:r>
      <w:r w:rsidRPr="002A4A3F">
        <w:rPr>
          <w:lang w:val="fr-FR"/>
        </w:rPr>
        <w:t xml:space="preserve">condamnation pour traite </w:t>
      </w:r>
      <w:r>
        <w:rPr>
          <w:lang w:val="fr-FR"/>
        </w:rPr>
        <w:t xml:space="preserve">nationale de femmes </w:t>
      </w:r>
      <w:r w:rsidR="001704EB">
        <w:rPr>
          <w:lang w:val="fr-FR"/>
        </w:rPr>
        <w:t>− </w:t>
      </w:r>
      <w:r>
        <w:rPr>
          <w:lang w:val="fr-FR"/>
        </w:rPr>
        <w:t xml:space="preserve">à distinguer de la traite </w:t>
      </w:r>
      <w:r w:rsidRPr="002A4A3F">
        <w:rPr>
          <w:lang w:val="fr-FR"/>
        </w:rPr>
        <w:t>internationale</w:t>
      </w:r>
      <w:r w:rsidR="001704EB">
        <w:rPr>
          <w:lang w:val="fr-FR"/>
        </w:rPr>
        <w:t> −</w:t>
      </w:r>
      <w:r>
        <w:rPr>
          <w:lang w:val="fr-FR"/>
        </w:rPr>
        <w:t xml:space="preserve"> a été prononcée pour </w:t>
      </w:r>
      <w:r w:rsidRPr="002A4A3F">
        <w:rPr>
          <w:lang w:val="fr-FR"/>
        </w:rPr>
        <w:t xml:space="preserve">la première </w:t>
      </w:r>
      <w:r>
        <w:rPr>
          <w:lang w:val="fr-FR"/>
        </w:rPr>
        <w:t>fois,</w:t>
      </w:r>
      <w:r w:rsidRPr="002A4A3F">
        <w:rPr>
          <w:lang w:val="fr-FR"/>
        </w:rPr>
        <w:t xml:space="preserve"> </w:t>
      </w:r>
      <w:r>
        <w:rPr>
          <w:lang w:val="fr-FR"/>
        </w:rPr>
        <w:t xml:space="preserve">ce qui a créé </w:t>
      </w:r>
      <w:r w:rsidRPr="002A4A3F">
        <w:rPr>
          <w:lang w:val="fr-FR"/>
        </w:rPr>
        <w:t xml:space="preserve">un précédent sur lequel les </w:t>
      </w:r>
      <w:r>
        <w:rPr>
          <w:lang w:val="fr-FR"/>
        </w:rPr>
        <w:t xml:space="preserve">tribunaux </w:t>
      </w:r>
      <w:r w:rsidRPr="002A4A3F">
        <w:rPr>
          <w:lang w:val="fr-FR"/>
        </w:rPr>
        <w:t>pourront</w:t>
      </w:r>
      <w:r>
        <w:rPr>
          <w:lang w:val="fr-FR"/>
        </w:rPr>
        <w:t xml:space="preserve"> désormais se fonder </w:t>
      </w:r>
      <w:r w:rsidRPr="002A4A3F">
        <w:rPr>
          <w:lang w:val="fr-FR"/>
        </w:rPr>
        <w:t>lorsqu</w:t>
      </w:r>
      <w:r>
        <w:rPr>
          <w:lang w:val="fr-FR"/>
        </w:rPr>
        <w:t>’</w:t>
      </w:r>
      <w:r w:rsidRPr="002A4A3F">
        <w:rPr>
          <w:lang w:val="fr-FR"/>
        </w:rPr>
        <w:t>ils auront à connaître d</w:t>
      </w:r>
      <w:r>
        <w:rPr>
          <w:lang w:val="fr-FR"/>
        </w:rPr>
        <w:t>’</w:t>
      </w:r>
      <w:r w:rsidRPr="002A4A3F">
        <w:rPr>
          <w:lang w:val="fr-FR"/>
        </w:rPr>
        <w:t xml:space="preserve">affaires de </w:t>
      </w:r>
      <w:r>
        <w:rPr>
          <w:lang w:val="fr-FR"/>
        </w:rPr>
        <w:t>cette nature</w:t>
      </w:r>
      <w:r w:rsidRPr="002A4A3F">
        <w:rPr>
          <w:lang w:val="fr-FR"/>
        </w:rPr>
        <w:t>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5.</w:t>
      </w:r>
      <w:r w:rsidRPr="002A4A3F">
        <w:rPr>
          <w:lang w:val="fr-FR"/>
        </w:rPr>
        <w:tab/>
        <w:t xml:space="preserve">Plusieurs mesures </w:t>
      </w:r>
      <w:r>
        <w:rPr>
          <w:lang w:val="fr-FR"/>
        </w:rPr>
        <w:t xml:space="preserve">ont été prises </w:t>
      </w:r>
      <w:r w:rsidRPr="002A4A3F">
        <w:rPr>
          <w:lang w:val="fr-FR"/>
        </w:rPr>
        <w:t xml:space="preserve">pour réduire la durée de la détention avant jugement et </w:t>
      </w:r>
      <w:r>
        <w:rPr>
          <w:lang w:val="fr-FR"/>
        </w:rPr>
        <w:t>pour désengorger les lieux de détention</w:t>
      </w:r>
      <w:r w:rsidRPr="002A4A3F">
        <w:rPr>
          <w:lang w:val="fr-FR"/>
        </w:rPr>
        <w:t xml:space="preserve">. </w:t>
      </w:r>
      <w:r>
        <w:rPr>
          <w:lang w:val="fr-FR"/>
        </w:rPr>
        <w:t>C</w:t>
      </w:r>
      <w:r w:rsidRPr="002A4A3F">
        <w:rPr>
          <w:lang w:val="fr-FR"/>
        </w:rPr>
        <w:t>omme indiqué aux paragraphe</w:t>
      </w:r>
      <w:r>
        <w:rPr>
          <w:lang w:val="fr-FR"/>
        </w:rPr>
        <w:t>s</w:t>
      </w:r>
      <w:r w:rsidRPr="002A4A3F">
        <w:rPr>
          <w:lang w:val="fr-FR"/>
        </w:rPr>
        <w:t xml:space="preserve"> 43 et 45 des réponses écrites</w:t>
      </w:r>
      <w:r>
        <w:rPr>
          <w:lang w:val="fr-FR"/>
        </w:rPr>
        <w:t xml:space="preserve">, de </w:t>
      </w:r>
      <w:r w:rsidRPr="002A4A3F">
        <w:rPr>
          <w:lang w:val="fr-FR"/>
        </w:rPr>
        <w:t xml:space="preserve">nouvelles prisons </w:t>
      </w:r>
      <w:r>
        <w:rPr>
          <w:lang w:val="fr-FR"/>
        </w:rPr>
        <w:t xml:space="preserve">ont été ouvertes </w:t>
      </w:r>
      <w:r w:rsidRPr="002A4A3F">
        <w:rPr>
          <w:lang w:val="fr-FR"/>
        </w:rPr>
        <w:t>et</w:t>
      </w:r>
      <w:r>
        <w:rPr>
          <w:lang w:val="fr-FR"/>
        </w:rPr>
        <w:t xml:space="preserve">, en 2011, </w:t>
      </w:r>
      <w:r w:rsidRPr="002A4A3F">
        <w:rPr>
          <w:lang w:val="fr-FR"/>
        </w:rPr>
        <w:t xml:space="preserve">une loi prévoyant </w:t>
      </w:r>
      <w:r>
        <w:rPr>
          <w:lang w:val="fr-FR"/>
        </w:rPr>
        <w:t xml:space="preserve">la possibilité </w:t>
      </w:r>
      <w:r w:rsidRPr="002A4A3F">
        <w:rPr>
          <w:lang w:val="fr-FR"/>
        </w:rPr>
        <w:t xml:space="preserve">de </w:t>
      </w:r>
      <w:r>
        <w:rPr>
          <w:lang w:val="fr-FR"/>
        </w:rPr>
        <w:t xml:space="preserve">substituer </w:t>
      </w:r>
      <w:r w:rsidRPr="002A4A3F">
        <w:rPr>
          <w:lang w:val="fr-FR"/>
        </w:rPr>
        <w:t>une peine d</w:t>
      </w:r>
      <w:r>
        <w:rPr>
          <w:lang w:val="fr-FR"/>
        </w:rPr>
        <w:t>’</w:t>
      </w:r>
      <w:r w:rsidRPr="002A4A3F">
        <w:rPr>
          <w:lang w:val="fr-FR"/>
        </w:rPr>
        <w:t xml:space="preserve">emprisonnement par </w:t>
      </w:r>
      <w:r>
        <w:rPr>
          <w:lang w:val="fr-FR"/>
        </w:rPr>
        <w:t xml:space="preserve">une </w:t>
      </w:r>
      <w:r w:rsidRPr="002A4A3F">
        <w:rPr>
          <w:lang w:val="fr-FR"/>
        </w:rPr>
        <w:t>assignation à domicile</w:t>
      </w:r>
      <w:r>
        <w:rPr>
          <w:lang w:val="fr-FR"/>
        </w:rPr>
        <w:t xml:space="preserve"> assortie de mesures de </w:t>
      </w:r>
      <w:r w:rsidRPr="002A4A3F">
        <w:rPr>
          <w:lang w:val="fr-FR"/>
        </w:rPr>
        <w:t>surveillance électronique</w:t>
      </w:r>
      <w:r w:rsidR="000635BA">
        <w:rPr>
          <w:lang w:val="fr-FR"/>
        </w:rPr>
        <w:t xml:space="preserve"> a été adoptée.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6.</w:t>
      </w:r>
      <w:r w:rsidRPr="002A4A3F">
        <w:rPr>
          <w:lang w:val="fr-FR"/>
        </w:rPr>
        <w:tab/>
        <w:t xml:space="preserve">Les </w:t>
      </w:r>
      <w:r>
        <w:rPr>
          <w:lang w:val="fr-FR"/>
        </w:rPr>
        <w:t xml:space="preserve">assassinats commis dans le contexte des querelles meurtrières entre familles </w:t>
      </w:r>
      <w:r w:rsidRPr="002A4A3F">
        <w:rPr>
          <w:lang w:val="fr-FR"/>
        </w:rPr>
        <w:t>continuent d</w:t>
      </w:r>
      <w:r>
        <w:rPr>
          <w:lang w:val="fr-FR"/>
        </w:rPr>
        <w:t>’</w:t>
      </w:r>
      <w:r w:rsidRPr="002A4A3F">
        <w:rPr>
          <w:lang w:val="fr-FR"/>
        </w:rPr>
        <w:t>être un motif de grave préoccupatio</w:t>
      </w:r>
      <w:r>
        <w:rPr>
          <w:lang w:val="fr-FR"/>
        </w:rPr>
        <w:t>n pour le Gouvernement albanais</w:t>
      </w:r>
      <w:r w:rsidRPr="002A4A3F">
        <w:rPr>
          <w:lang w:val="fr-FR"/>
        </w:rPr>
        <w:t xml:space="preserve"> </w:t>
      </w:r>
      <w:r>
        <w:rPr>
          <w:lang w:val="fr-FR"/>
        </w:rPr>
        <w:t>car</w:t>
      </w:r>
      <w:r w:rsidRPr="002A4A3F">
        <w:rPr>
          <w:lang w:val="fr-FR"/>
        </w:rPr>
        <w:t xml:space="preserve"> l</w:t>
      </w:r>
      <w:r>
        <w:rPr>
          <w:lang w:val="fr-FR"/>
        </w:rPr>
        <w:t>’</w:t>
      </w:r>
      <w:r w:rsidRPr="002A4A3F">
        <w:rPr>
          <w:lang w:val="fr-FR"/>
        </w:rPr>
        <w:t xml:space="preserve">opinion publique </w:t>
      </w:r>
      <w:r>
        <w:rPr>
          <w:lang w:val="fr-FR"/>
        </w:rPr>
        <w:t>y est particulièrement sensible</w:t>
      </w:r>
      <w:r w:rsidRPr="002A4A3F">
        <w:rPr>
          <w:lang w:val="fr-FR"/>
        </w:rPr>
        <w:t xml:space="preserve">. Cependant, </w:t>
      </w:r>
      <w:r>
        <w:rPr>
          <w:lang w:val="fr-FR"/>
        </w:rPr>
        <w:t>entre 2003 et 2011, le nombre d’homicides liés à ces querelles a diminué</w:t>
      </w:r>
      <w:r w:rsidRPr="002A4A3F">
        <w:rPr>
          <w:lang w:val="fr-FR"/>
        </w:rPr>
        <w:t xml:space="preserve">; </w:t>
      </w:r>
      <w:r>
        <w:rPr>
          <w:lang w:val="fr-FR"/>
        </w:rPr>
        <w:t xml:space="preserve">ils ne </w:t>
      </w:r>
      <w:r w:rsidRPr="002A4A3F">
        <w:rPr>
          <w:lang w:val="fr-FR"/>
        </w:rPr>
        <w:t>représentent actuell</w:t>
      </w:r>
      <w:r>
        <w:rPr>
          <w:lang w:val="fr-FR"/>
        </w:rPr>
        <w:t xml:space="preserve">ement plus que 2 à 3 % de l’ensemble des </w:t>
      </w:r>
      <w:r w:rsidR="00ED73DA">
        <w:rPr>
          <w:lang w:val="fr-FR"/>
        </w:rPr>
        <w:t>infractions graves.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7.</w:t>
      </w:r>
      <w:r w:rsidRPr="002A4A3F">
        <w:rPr>
          <w:lang w:val="fr-FR"/>
        </w:rPr>
        <w:tab/>
      </w:r>
      <w:r w:rsidRPr="002A4A3F">
        <w:rPr>
          <w:b/>
          <w:lang w:val="fr-FR"/>
        </w:rPr>
        <w:t xml:space="preserve">Le Président </w:t>
      </w:r>
      <w:r w:rsidRPr="00162FC8">
        <w:rPr>
          <w:lang w:val="fr-FR"/>
        </w:rPr>
        <w:t>(Rapporteur pour l’Albanie)</w:t>
      </w:r>
      <w:r w:rsidRPr="002A4A3F">
        <w:rPr>
          <w:lang w:val="fr-FR"/>
        </w:rPr>
        <w:t xml:space="preserve"> demande si la Convention est directement applicable dans l</w:t>
      </w:r>
      <w:r>
        <w:rPr>
          <w:lang w:val="fr-FR"/>
        </w:rPr>
        <w:t>’</w:t>
      </w:r>
      <w:r w:rsidRPr="002A4A3F">
        <w:rPr>
          <w:lang w:val="fr-FR"/>
        </w:rPr>
        <w:t>État partie</w:t>
      </w:r>
      <w:r>
        <w:rPr>
          <w:lang w:val="fr-FR"/>
        </w:rPr>
        <w:t xml:space="preserve"> et, si tel est le cas, si les tribunaux nationaux </w:t>
      </w:r>
      <w:r w:rsidRPr="002A4A3F">
        <w:rPr>
          <w:lang w:val="fr-FR"/>
        </w:rPr>
        <w:t>peu</w:t>
      </w:r>
      <w:r>
        <w:rPr>
          <w:lang w:val="fr-FR"/>
        </w:rPr>
        <w:t>vent l’</w:t>
      </w:r>
      <w:r w:rsidRPr="002A4A3F">
        <w:rPr>
          <w:lang w:val="fr-FR"/>
        </w:rPr>
        <w:t>a</w:t>
      </w:r>
      <w:r>
        <w:rPr>
          <w:lang w:val="fr-FR"/>
        </w:rPr>
        <w:t xml:space="preserve">ppliquer indépendamment de l’existence d’une loi </w:t>
      </w:r>
      <w:r w:rsidRPr="002A4A3F">
        <w:rPr>
          <w:lang w:val="fr-FR"/>
        </w:rPr>
        <w:t xml:space="preserve">complémentaire. Le Comité a reçu des informations </w:t>
      </w:r>
      <w:r>
        <w:rPr>
          <w:lang w:val="fr-FR"/>
        </w:rPr>
        <w:t>au sujet de</w:t>
      </w:r>
      <w:r w:rsidRPr="002A4A3F">
        <w:rPr>
          <w:lang w:val="fr-FR"/>
        </w:rPr>
        <w:t xml:space="preserve"> deux affaires dans lesquelles </w:t>
      </w:r>
      <w:r>
        <w:rPr>
          <w:lang w:val="fr-FR"/>
        </w:rPr>
        <w:t xml:space="preserve">des </w:t>
      </w:r>
      <w:r w:rsidRPr="002A4A3F">
        <w:rPr>
          <w:lang w:val="fr-FR"/>
        </w:rPr>
        <w:t xml:space="preserve">fonctionnaires de police </w:t>
      </w:r>
      <w:r>
        <w:rPr>
          <w:lang w:val="fr-FR"/>
        </w:rPr>
        <w:t xml:space="preserve">auraient sans doute pu être inculpés au titre </w:t>
      </w:r>
      <w:r w:rsidRPr="002A4A3F">
        <w:rPr>
          <w:lang w:val="fr-FR"/>
        </w:rPr>
        <w:t>de l</w:t>
      </w:r>
      <w:r>
        <w:rPr>
          <w:lang w:val="fr-FR"/>
        </w:rPr>
        <w:t>’</w:t>
      </w:r>
      <w:r w:rsidRPr="002A4A3F">
        <w:rPr>
          <w:lang w:val="fr-FR"/>
        </w:rPr>
        <w:t>article 86 du Code pénal</w:t>
      </w:r>
      <w:r>
        <w:rPr>
          <w:lang w:val="fr-FR"/>
        </w:rPr>
        <w:t>;</w:t>
      </w:r>
      <w:r w:rsidRPr="002A4A3F">
        <w:rPr>
          <w:lang w:val="fr-FR"/>
        </w:rPr>
        <w:t xml:space="preserve"> or, ces </w:t>
      </w:r>
      <w:r>
        <w:rPr>
          <w:lang w:val="fr-FR"/>
        </w:rPr>
        <w:t>individus</w:t>
      </w:r>
      <w:r w:rsidRPr="002A4A3F">
        <w:rPr>
          <w:lang w:val="fr-FR"/>
        </w:rPr>
        <w:t xml:space="preserve"> ont été </w:t>
      </w:r>
      <w:r>
        <w:rPr>
          <w:lang w:val="fr-FR"/>
        </w:rPr>
        <w:t xml:space="preserve">condamnés </w:t>
      </w:r>
      <w:r w:rsidRPr="002A4A3F">
        <w:rPr>
          <w:lang w:val="fr-FR"/>
        </w:rPr>
        <w:t xml:space="preserve">pour actes arbitraires, </w:t>
      </w:r>
      <w:r>
        <w:rPr>
          <w:lang w:val="fr-FR"/>
        </w:rPr>
        <w:t xml:space="preserve">c’est-à-dire pour une </w:t>
      </w:r>
      <w:r w:rsidRPr="002A4A3F">
        <w:rPr>
          <w:lang w:val="fr-FR"/>
        </w:rPr>
        <w:t>infraction de moindre gravité. Le Rapporteur souhaiterait savoir quelles mesures sont prises par l</w:t>
      </w:r>
      <w:r>
        <w:rPr>
          <w:lang w:val="fr-FR"/>
        </w:rPr>
        <w:t>’</w:t>
      </w:r>
      <w:r w:rsidRPr="002A4A3F">
        <w:rPr>
          <w:lang w:val="fr-FR"/>
        </w:rPr>
        <w:t>État partie afin de garantir que les procureurs appliquent les dispositions de l</w:t>
      </w:r>
      <w:r>
        <w:rPr>
          <w:lang w:val="fr-FR"/>
        </w:rPr>
        <w:t>’</w:t>
      </w:r>
      <w:r w:rsidRPr="002A4A3F">
        <w:rPr>
          <w:lang w:val="fr-FR"/>
        </w:rPr>
        <w:t xml:space="preserve">article 86 du Code pénal lorsque cela se justifie. </w:t>
      </w:r>
      <w:r>
        <w:rPr>
          <w:lang w:val="fr-FR"/>
        </w:rPr>
        <w:t xml:space="preserve">En outre, il voudrait recevoir des précisions </w:t>
      </w:r>
      <w:r w:rsidRPr="002A4A3F">
        <w:rPr>
          <w:lang w:val="fr-FR"/>
        </w:rPr>
        <w:t xml:space="preserve">sur </w:t>
      </w:r>
      <w:r>
        <w:rPr>
          <w:lang w:val="fr-FR"/>
        </w:rPr>
        <w:t xml:space="preserve">les éléments constitutifs des actes arbitraires </w:t>
      </w:r>
      <w:r w:rsidRPr="002A4A3F">
        <w:rPr>
          <w:lang w:val="fr-FR"/>
        </w:rPr>
        <w:t xml:space="preserve">tels </w:t>
      </w:r>
      <w:r>
        <w:rPr>
          <w:lang w:val="fr-FR"/>
        </w:rPr>
        <w:t xml:space="preserve">qu’ils sont </w:t>
      </w:r>
      <w:r w:rsidRPr="002A4A3F">
        <w:rPr>
          <w:lang w:val="fr-FR"/>
        </w:rPr>
        <w:t>définis à l</w:t>
      </w:r>
      <w:r>
        <w:rPr>
          <w:lang w:val="fr-FR"/>
        </w:rPr>
        <w:t>’</w:t>
      </w:r>
      <w:r w:rsidRPr="002A4A3F">
        <w:rPr>
          <w:lang w:val="fr-FR"/>
        </w:rPr>
        <w:t xml:space="preserve">article 250 du Code pénal. Il ne voit pas bien pourquoi les actes arbitraires </w:t>
      </w:r>
      <w:r>
        <w:rPr>
          <w:lang w:val="fr-FR"/>
        </w:rPr>
        <w:t xml:space="preserve">ne sont pas couverts par </w:t>
      </w:r>
      <w:r w:rsidRPr="002A4A3F">
        <w:rPr>
          <w:lang w:val="fr-FR"/>
        </w:rPr>
        <w:t>l</w:t>
      </w:r>
      <w:r>
        <w:rPr>
          <w:lang w:val="fr-FR"/>
        </w:rPr>
        <w:t>’</w:t>
      </w:r>
      <w:r w:rsidRPr="002A4A3F">
        <w:rPr>
          <w:lang w:val="fr-FR"/>
        </w:rPr>
        <w:t xml:space="preserve">article 86 dudit </w:t>
      </w:r>
      <w:r w:rsidR="005E3D67">
        <w:rPr>
          <w:lang w:val="fr-FR"/>
        </w:rPr>
        <w:t>c</w:t>
      </w:r>
      <w:r w:rsidRPr="002A4A3F">
        <w:rPr>
          <w:lang w:val="fr-FR"/>
        </w:rPr>
        <w:t xml:space="preserve">ode étant donné </w:t>
      </w:r>
      <w:r>
        <w:rPr>
          <w:lang w:val="fr-FR"/>
        </w:rPr>
        <w:t xml:space="preserve">que celui-ci porte sur </w:t>
      </w:r>
      <w:r w:rsidRPr="002A4A3F">
        <w:rPr>
          <w:lang w:val="fr-FR"/>
        </w:rPr>
        <w:t xml:space="preserve">la torture et </w:t>
      </w:r>
      <w:r>
        <w:rPr>
          <w:lang w:val="fr-FR"/>
        </w:rPr>
        <w:t xml:space="preserve">toute autre forme d’acte </w:t>
      </w:r>
      <w:r w:rsidR="001018CD">
        <w:rPr>
          <w:lang w:val="fr-FR"/>
        </w:rPr>
        <w:t>inhumain.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8.</w:t>
      </w:r>
      <w:r w:rsidRPr="002A4A3F">
        <w:rPr>
          <w:lang w:val="fr-FR"/>
        </w:rPr>
        <w:tab/>
      </w:r>
      <w:r>
        <w:rPr>
          <w:lang w:val="fr-FR"/>
        </w:rPr>
        <w:t xml:space="preserve">Étant donné que </w:t>
      </w:r>
      <w:r w:rsidRPr="002A4A3F">
        <w:rPr>
          <w:lang w:val="fr-FR"/>
        </w:rPr>
        <w:t xml:space="preserve">la torture </w:t>
      </w:r>
      <w:r>
        <w:rPr>
          <w:lang w:val="fr-FR"/>
        </w:rPr>
        <w:t>telle qu’elle est définie</w:t>
      </w:r>
      <w:r w:rsidRPr="002A4A3F">
        <w:rPr>
          <w:lang w:val="fr-FR"/>
        </w:rPr>
        <w:t xml:space="preserve"> à l</w:t>
      </w:r>
      <w:r>
        <w:rPr>
          <w:lang w:val="fr-FR"/>
        </w:rPr>
        <w:t>’</w:t>
      </w:r>
      <w:r w:rsidRPr="002A4A3F">
        <w:rPr>
          <w:lang w:val="fr-FR"/>
        </w:rPr>
        <w:t xml:space="preserve">article 86 du Code pénal </w:t>
      </w:r>
      <w:r>
        <w:rPr>
          <w:lang w:val="fr-FR"/>
        </w:rPr>
        <w:t xml:space="preserve">désigne </w:t>
      </w:r>
      <w:r w:rsidRPr="006F22E0">
        <w:rPr>
          <w:lang w:val="fr-FR"/>
        </w:rPr>
        <w:t>tout acte par lequel une douleur ou des souffrances sont intentionnellement infligées à une personne, notamment pour tout motif fondé sur une forme de discrimination quelle qu</w:t>
      </w:r>
      <w:r>
        <w:rPr>
          <w:lang w:val="fr-FR"/>
        </w:rPr>
        <w:t>’</w:t>
      </w:r>
      <w:r w:rsidRPr="006F22E0">
        <w:rPr>
          <w:lang w:val="fr-FR"/>
        </w:rPr>
        <w:t>elle soit</w:t>
      </w:r>
      <w:r w:rsidRPr="002A4A3F">
        <w:rPr>
          <w:lang w:val="fr-FR"/>
        </w:rPr>
        <w:t xml:space="preserve">, on peut considérer que la violence dans la famille </w:t>
      </w:r>
      <w:r>
        <w:rPr>
          <w:lang w:val="fr-FR"/>
        </w:rPr>
        <w:t xml:space="preserve">tombe sous le coup de cette définition puisqu’elle est généralement fondée sur </w:t>
      </w:r>
      <w:r w:rsidRPr="002A4A3F">
        <w:rPr>
          <w:lang w:val="fr-FR"/>
        </w:rPr>
        <w:t>la discrimination sex</w:t>
      </w:r>
      <w:r>
        <w:rPr>
          <w:lang w:val="fr-FR"/>
        </w:rPr>
        <w:t>uell</w:t>
      </w:r>
      <w:r w:rsidRPr="002A4A3F">
        <w:rPr>
          <w:lang w:val="fr-FR"/>
        </w:rPr>
        <w:t xml:space="preserve">e. La délégation albanaise </w:t>
      </w:r>
      <w:r>
        <w:rPr>
          <w:lang w:val="fr-FR"/>
        </w:rPr>
        <w:t>est invitée à</w:t>
      </w:r>
      <w:r w:rsidRPr="002A4A3F">
        <w:rPr>
          <w:lang w:val="fr-FR"/>
        </w:rPr>
        <w:t xml:space="preserve"> </w:t>
      </w:r>
      <w:r>
        <w:rPr>
          <w:lang w:val="fr-FR"/>
        </w:rPr>
        <w:t xml:space="preserve">donner un complément d’information sur les mesures prises afin de faire de </w:t>
      </w:r>
      <w:r w:rsidRPr="002A4A3F">
        <w:rPr>
          <w:lang w:val="fr-FR"/>
        </w:rPr>
        <w:t xml:space="preserve">la violence dans la famille </w:t>
      </w:r>
      <w:r>
        <w:rPr>
          <w:lang w:val="fr-FR"/>
        </w:rPr>
        <w:t>une infraction spécifique, en précisant notamment comment elle est définie et quelles peines elle emporte</w:t>
      </w:r>
      <w:r w:rsidRPr="002A4A3F">
        <w:rPr>
          <w:lang w:val="fr-FR"/>
        </w:rPr>
        <w:t xml:space="preserve">. </w:t>
      </w:r>
      <w:r>
        <w:rPr>
          <w:lang w:val="fr-FR"/>
        </w:rPr>
        <w:t xml:space="preserve">La </w:t>
      </w:r>
      <w:r w:rsidRPr="002A4A3F">
        <w:rPr>
          <w:lang w:val="fr-FR"/>
        </w:rPr>
        <w:t>délégation est</w:t>
      </w:r>
      <w:r>
        <w:rPr>
          <w:lang w:val="fr-FR"/>
        </w:rPr>
        <w:t xml:space="preserve"> également</w:t>
      </w:r>
      <w:r w:rsidRPr="002A4A3F">
        <w:rPr>
          <w:lang w:val="fr-FR"/>
        </w:rPr>
        <w:t xml:space="preserve"> invitée à fournir des </w:t>
      </w:r>
      <w:r>
        <w:rPr>
          <w:lang w:val="fr-FR"/>
        </w:rPr>
        <w:t xml:space="preserve">statistiques </w:t>
      </w:r>
      <w:r w:rsidRPr="002A4A3F">
        <w:rPr>
          <w:lang w:val="fr-FR"/>
        </w:rPr>
        <w:t xml:space="preserve">sur la traite des personnes, en particulier le nombre de poursuites intentées et de condamnations </w:t>
      </w:r>
      <w:r>
        <w:rPr>
          <w:lang w:val="fr-FR"/>
        </w:rPr>
        <w:t>rendues</w:t>
      </w:r>
      <w:r w:rsidRPr="002A4A3F">
        <w:rPr>
          <w:lang w:val="fr-FR"/>
        </w:rPr>
        <w:t>, la durée des peines d</w:t>
      </w:r>
      <w:r>
        <w:rPr>
          <w:lang w:val="fr-FR"/>
        </w:rPr>
        <w:t>’</w:t>
      </w:r>
      <w:r w:rsidRPr="002A4A3F">
        <w:rPr>
          <w:lang w:val="fr-FR"/>
        </w:rPr>
        <w:t>emprisonnement prononcées</w:t>
      </w:r>
      <w:r>
        <w:rPr>
          <w:lang w:val="fr-FR"/>
        </w:rPr>
        <w:t xml:space="preserve"> </w:t>
      </w:r>
      <w:r w:rsidRPr="002A4A3F">
        <w:rPr>
          <w:lang w:val="fr-FR"/>
        </w:rPr>
        <w:t>et les mesures de protectio</w:t>
      </w:r>
      <w:r>
        <w:rPr>
          <w:lang w:val="fr-FR"/>
        </w:rPr>
        <w:t>n prises en faveur des victimes</w:t>
      </w:r>
      <w:r w:rsidR="004660A9">
        <w:rPr>
          <w:lang w:val="fr-FR"/>
        </w:rPr>
        <w:t>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9.</w:t>
      </w:r>
      <w:r w:rsidRPr="002A4A3F">
        <w:rPr>
          <w:lang w:val="fr-FR"/>
        </w:rPr>
        <w:tab/>
      </w:r>
      <w:r>
        <w:rPr>
          <w:lang w:val="fr-FR"/>
        </w:rPr>
        <w:t xml:space="preserve">Dans l’affaire des </w:t>
      </w:r>
      <w:r w:rsidRPr="002A4A3F">
        <w:rPr>
          <w:lang w:val="fr-FR"/>
        </w:rPr>
        <w:t xml:space="preserve">trois </w:t>
      </w:r>
      <w:r>
        <w:rPr>
          <w:lang w:val="fr-FR"/>
        </w:rPr>
        <w:t>personnes tuées par balle le 21</w:t>
      </w:r>
      <w:r w:rsidR="0014642F">
        <w:rPr>
          <w:lang w:val="fr-FR"/>
        </w:rPr>
        <w:t> </w:t>
      </w:r>
      <w:r>
        <w:rPr>
          <w:lang w:val="fr-FR"/>
        </w:rPr>
        <w:t>janvier 2011 alors qu’elles participaient à une manifestation contre le Gouvernement</w:t>
      </w:r>
      <w:r w:rsidRPr="002A4A3F">
        <w:rPr>
          <w:lang w:val="fr-FR"/>
        </w:rPr>
        <w:t xml:space="preserve">, </w:t>
      </w:r>
      <w:r>
        <w:rPr>
          <w:lang w:val="fr-FR"/>
        </w:rPr>
        <w:t>le Rapporteur croit savoir que les responsables ont fait uniquement l’objet de sanctions</w:t>
      </w:r>
      <w:r w:rsidRPr="002A4A3F">
        <w:rPr>
          <w:lang w:val="fr-FR"/>
        </w:rPr>
        <w:t xml:space="preserve"> disciplinaires. </w:t>
      </w:r>
      <w:r>
        <w:rPr>
          <w:lang w:val="fr-FR"/>
        </w:rPr>
        <w:t>Il</w:t>
      </w:r>
      <w:r w:rsidRPr="002A4A3F">
        <w:rPr>
          <w:lang w:val="fr-FR"/>
        </w:rPr>
        <w:t xml:space="preserve"> </w:t>
      </w:r>
      <w:r>
        <w:rPr>
          <w:lang w:val="fr-FR"/>
        </w:rPr>
        <w:t>aimerait savoir</w:t>
      </w:r>
      <w:r w:rsidRPr="002A4A3F">
        <w:rPr>
          <w:lang w:val="fr-FR"/>
        </w:rPr>
        <w:t xml:space="preserve"> si </w:t>
      </w:r>
      <w:r>
        <w:rPr>
          <w:lang w:val="fr-FR"/>
        </w:rPr>
        <w:t xml:space="preserve">les décisions </w:t>
      </w:r>
      <w:r w:rsidRPr="002A4A3F">
        <w:rPr>
          <w:lang w:val="fr-FR"/>
        </w:rPr>
        <w:t xml:space="preserve">administratives rendues dans cette affaire </w:t>
      </w:r>
      <w:r>
        <w:rPr>
          <w:lang w:val="fr-FR"/>
        </w:rPr>
        <w:t>ont empêché qu’</w:t>
      </w:r>
      <w:r w:rsidRPr="002A4A3F">
        <w:rPr>
          <w:lang w:val="fr-FR"/>
        </w:rPr>
        <w:t>une enquête pénale</w:t>
      </w:r>
      <w:r>
        <w:rPr>
          <w:lang w:val="fr-FR"/>
        </w:rPr>
        <w:t xml:space="preserve"> ne soit entamée</w:t>
      </w:r>
      <w:r w:rsidRPr="002A4A3F">
        <w:rPr>
          <w:lang w:val="fr-FR"/>
        </w:rPr>
        <w:t xml:space="preserve">. Il </w:t>
      </w:r>
      <w:r>
        <w:rPr>
          <w:lang w:val="fr-FR"/>
        </w:rPr>
        <w:t xml:space="preserve">aimerait également savoir </w:t>
      </w:r>
      <w:r w:rsidRPr="002A4A3F">
        <w:rPr>
          <w:lang w:val="fr-FR"/>
        </w:rPr>
        <w:t xml:space="preserve">si les proches </w:t>
      </w:r>
      <w:r>
        <w:rPr>
          <w:lang w:val="fr-FR"/>
        </w:rPr>
        <w:t xml:space="preserve">de ces trois personnes </w:t>
      </w:r>
      <w:r w:rsidRPr="002A4A3F">
        <w:rPr>
          <w:lang w:val="fr-FR"/>
        </w:rPr>
        <w:t xml:space="preserve">ont été indemnisés </w:t>
      </w:r>
      <w:r>
        <w:rPr>
          <w:lang w:val="fr-FR"/>
        </w:rPr>
        <w:t>conformément aux</w:t>
      </w:r>
      <w:r w:rsidRPr="002A4A3F">
        <w:rPr>
          <w:lang w:val="fr-FR"/>
        </w:rPr>
        <w:t xml:space="preserve"> dispositions de l</w:t>
      </w:r>
      <w:r>
        <w:rPr>
          <w:lang w:val="fr-FR"/>
        </w:rPr>
        <w:t>’</w:t>
      </w:r>
      <w:r w:rsidRPr="002A4A3F">
        <w:rPr>
          <w:lang w:val="fr-FR"/>
        </w:rPr>
        <w:t xml:space="preserve">article 14 de la Convention. 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10.</w:t>
      </w:r>
      <w:r w:rsidRPr="002A4A3F">
        <w:rPr>
          <w:lang w:val="fr-FR"/>
        </w:rPr>
        <w:tab/>
        <w:t>La délégation est invitée à confirmer que le Médiateur n</w:t>
      </w:r>
      <w:r>
        <w:rPr>
          <w:lang w:val="fr-FR"/>
        </w:rPr>
        <w:t>’</w:t>
      </w:r>
      <w:r w:rsidRPr="002A4A3F">
        <w:rPr>
          <w:lang w:val="fr-FR"/>
        </w:rPr>
        <w:t>est pas tenu de fournir des données ou des éléments de preuve attestant l</w:t>
      </w:r>
      <w:r>
        <w:rPr>
          <w:lang w:val="fr-FR"/>
        </w:rPr>
        <w:t>’</w:t>
      </w:r>
      <w:r w:rsidRPr="002A4A3F">
        <w:rPr>
          <w:lang w:val="fr-FR"/>
        </w:rPr>
        <w:t xml:space="preserve">existence de violations pour pouvoir effectuer des visites régulières ou inopinées dans les lieux de détention. Il serait intéressant de savoir si le Gouvernement albanais a </w:t>
      </w:r>
      <w:r>
        <w:rPr>
          <w:lang w:val="fr-FR"/>
        </w:rPr>
        <w:t xml:space="preserve">accédé à la demande de </w:t>
      </w:r>
      <w:r w:rsidRPr="002A4A3F">
        <w:rPr>
          <w:lang w:val="fr-FR"/>
        </w:rPr>
        <w:t>ressources financières</w:t>
      </w:r>
      <w:r>
        <w:rPr>
          <w:lang w:val="fr-FR"/>
        </w:rPr>
        <w:t xml:space="preserve"> et logistiques supplémentair</w:t>
      </w:r>
      <w:r w:rsidRPr="002A4A3F">
        <w:rPr>
          <w:lang w:val="fr-FR"/>
        </w:rPr>
        <w:t xml:space="preserve">es </w:t>
      </w:r>
      <w:r>
        <w:rPr>
          <w:lang w:val="fr-FR"/>
        </w:rPr>
        <w:t>que lui a adressée le Médiateur</w:t>
      </w:r>
      <w:r w:rsidRPr="002A4A3F">
        <w:rPr>
          <w:lang w:val="fr-FR"/>
        </w:rPr>
        <w:t xml:space="preserve">. </w:t>
      </w:r>
      <w:r>
        <w:rPr>
          <w:lang w:val="fr-FR"/>
        </w:rPr>
        <w:t xml:space="preserve">Des informations sur le volume actuel du </w:t>
      </w:r>
      <w:r w:rsidRPr="002A4A3F">
        <w:rPr>
          <w:lang w:val="fr-FR"/>
        </w:rPr>
        <w:t>budge</w:t>
      </w:r>
      <w:r>
        <w:rPr>
          <w:lang w:val="fr-FR"/>
        </w:rPr>
        <w:t>t du Bureau du Médiateur seraient bienvenues. En outre, i</w:t>
      </w:r>
      <w:r w:rsidRPr="002A4A3F">
        <w:rPr>
          <w:lang w:val="fr-FR"/>
        </w:rPr>
        <w:t xml:space="preserve">l serait utile de savoir si un calendrier a été établi pour </w:t>
      </w:r>
      <w:r>
        <w:rPr>
          <w:lang w:val="fr-FR"/>
        </w:rPr>
        <w:t xml:space="preserve">l’application des </w:t>
      </w:r>
      <w:r w:rsidRPr="002A4A3F">
        <w:rPr>
          <w:lang w:val="fr-FR"/>
        </w:rPr>
        <w:t xml:space="preserve">recommandations formulées par le </w:t>
      </w:r>
      <w:r w:rsidRPr="00772F70">
        <w:rPr>
          <w:lang w:val="fr-FR"/>
        </w:rPr>
        <w:t>mécanisme national de prévention concernant l’amélioration des conditions de détention, l’accroissement des effectifs psychiatriques dans tous les postes de police et l’organisation d’une formation à l’intention des forces de l’ordre et du personnel travaillant dans la police sur le rôle du mécanisme de prévention et du Médiateur.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11.</w:t>
      </w:r>
      <w:r w:rsidRPr="002A4A3F">
        <w:rPr>
          <w:lang w:val="fr-FR"/>
        </w:rPr>
        <w:tab/>
        <w:t xml:space="preserve">Le Comité a reçu des renseignements </w:t>
      </w:r>
      <w:r>
        <w:rPr>
          <w:lang w:val="fr-FR"/>
        </w:rPr>
        <w:t>montrant</w:t>
      </w:r>
      <w:r w:rsidRPr="002A4A3F">
        <w:rPr>
          <w:lang w:val="fr-FR"/>
        </w:rPr>
        <w:t xml:space="preserve"> que les sévices infligés aux enfants </w:t>
      </w:r>
      <w:r>
        <w:rPr>
          <w:lang w:val="fr-FR"/>
        </w:rPr>
        <w:t xml:space="preserve">au sein de </w:t>
      </w:r>
      <w:r w:rsidRPr="002A4A3F">
        <w:rPr>
          <w:lang w:val="fr-FR"/>
        </w:rPr>
        <w:t xml:space="preserve">la famille </w:t>
      </w:r>
      <w:r>
        <w:rPr>
          <w:lang w:val="fr-FR"/>
        </w:rPr>
        <w:t>ou</w:t>
      </w:r>
      <w:r w:rsidRPr="002A4A3F">
        <w:rPr>
          <w:lang w:val="fr-FR"/>
        </w:rPr>
        <w:t xml:space="preserve"> </w:t>
      </w:r>
      <w:r>
        <w:rPr>
          <w:lang w:val="fr-FR"/>
        </w:rPr>
        <w:t xml:space="preserve">dans les </w:t>
      </w:r>
      <w:r w:rsidRPr="002A4A3F">
        <w:rPr>
          <w:lang w:val="fr-FR"/>
        </w:rPr>
        <w:t xml:space="preserve">institutions </w:t>
      </w:r>
      <w:r>
        <w:rPr>
          <w:lang w:val="fr-FR"/>
        </w:rPr>
        <w:t>publiques offrant une protection de remplacement aux enfants demeurent</w:t>
      </w:r>
      <w:r w:rsidRPr="002A4A3F">
        <w:rPr>
          <w:lang w:val="fr-FR"/>
        </w:rPr>
        <w:t xml:space="preserve"> un </w:t>
      </w:r>
      <w:r>
        <w:rPr>
          <w:lang w:val="fr-FR"/>
        </w:rPr>
        <w:t xml:space="preserve">grave </w:t>
      </w:r>
      <w:r w:rsidRPr="002A4A3F">
        <w:rPr>
          <w:lang w:val="fr-FR"/>
        </w:rPr>
        <w:t>problème dans l</w:t>
      </w:r>
      <w:r>
        <w:rPr>
          <w:lang w:val="fr-FR"/>
        </w:rPr>
        <w:t>’</w:t>
      </w:r>
      <w:r w:rsidRPr="002A4A3F">
        <w:rPr>
          <w:lang w:val="fr-FR"/>
        </w:rPr>
        <w:t xml:space="preserve">État partie et que </w:t>
      </w:r>
      <w:r>
        <w:rPr>
          <w:lang w:val="fr-FR"/>
        </w:rPr>
        <w:t xml:space="preserve">la majeure partie de la population </w:t>
      </w:r>
      <w:r w:rsidRPr="002A4A3F">
        <w:rPr>
          <w:lang w:val="fr-FR"/>
        </w:rPr>
        <w:t>considère que les châtiments corporels ne font pas de mal aux enfants. En outre, le Gouvernement albanais n</w:t>
      </w:r>
      <w:r>
        <w:rPr>
          <w:lang w:val="fr-FR"/>
        </w:rPr>
        <w:t>’</w:t>
      </w:r>
      <w:r w:rsidRPr="002A4A3F">
        <w:rPr>
          <w:lang w:val="fr-FR"/>
        </w:rPr>
        <w:t xml:space="preserve">a pas donné suite à la recommandation </w:t>
      </w:r>
      <w:r>
        <w:rPr>
          <w:lang w:val="fr-FR"/>
        </w:rPr>
        <w:t>que lui a adressée</w:t>
      </w:r>
      <w:r w:rsidRPr="002A4A3F">
        <w:rPr>
          <w:lang w:val="fr-FR"/>
        </w:rPr>
        <w:t xml:space="preserve"> le Comité des </w:t>
      </w:r>
      <w:r>
        <w:rPr>
          <w:lang w:val="fr-FR"/>
        </w:rPr>
        <w:t xml:space="preserve">droits de l’enfant au sujet des violences infligées aux </w:t>
      </w:r>
      <w:r w:rsidRPr="002A4A3F">
        <w:rPr>
          <w:lang w:val="fr-FR"/>
        </w:rPr>
        <w:t xml:space="preserve">enfants </w:t>
      </w:r>
      <w:r>
        <w:rPr>
          <w:lang w:val="fr-FR"/>
        </w:rPr>
        <w:t xml:space="preserve">placés en institution </w:t>
      </w:r>
      <w:r w:rsidR="00AB598A">
        <w:rPr>
          <w:lang w:val="fr-FR"/>
        </w:rPr>
        <w:t>(CRC/C/15/Add.249, par. </w:t>
      </w:r>
      <w:r w:rsidRPr="002A4A3F">
        <w:rPr>
          <w:lang w:val="fr-FR"/>
        </w:rPr>
        <w:t>41). Le Rapporteur souhaiterait donc savoir quelles mesures spécifiques l</w:t>
      </w:r>
      <w:r>
        <w:rPr>
          <w:lang w:val="fr-FR"/>
        </w:rPr>
        <w:t>’</w:t>
      </w:r>
      <w:r w:rsidRPr="002A4A3F">
        <w:rPr>
          <w:lang w:val="fr-FR"/>
        </w:rPr>
        <w:t xml:space="preserve">État partie a prises pour sensibiliser les parents et le personnel des </w:t>
      </w:r>
      <w:r>
        <w:rPr>
          <w:lang w:val="fr-FR"/>
        </w:rPr>
        <w:t xml:space="preserve">institutions publiques où sont placés des enfants </w:t>
      </w:r>
      <w:r w:rsidRPr="002A4A3F">
        <w:rPr>
          <w:lang w:val="fr-FR"/>
        </w:rPr>
        <w:t xml:space="preserve">à la nécessité </w:t>
      </w:r>
      <w:r>
        <w:rPr>
          <w:lang w:val="fr-FR"/>
        </w:rPr>
        <w:t xml:space="preserve">d’utiliser des méthodes </w:t>
      </w:r>
      <w:r w:rsidRPr="002A4A3F">
        <w:rPr>
          <w:lang w:val="fr-FR"/>
        </w:rPr>
        <w:t>de discipline non violen</w:t>
      </w:r>
      <w:r>
        <w:rPr>
          <w:lang w:val="fr-FR"/>
        </w:rPr>
        <w:t>tes</w:t>
      </w:r>
      <w:r w:rsidRPr="002A4A3F">
        <w:rPr>
          <w:lang w:val="fr-FR"/>
        </w:rPr>
        <w:t xml:space="preserve">. Il </w:t>
      </w:r>
      <w:r>
        <w:rPr>
          <w:lang w:val="fr-FR"/>
        </w:rPr>
        <w:t>voudrait</w:t>
      </w:r>
      <w:r w:rsidRPr="002A4A3F">
        <w:rPr>
          <w:lang w:val="fr-FR"/>
        </w:rPr>
        <w:t xml:space="preserve"> également savoir si l</w:t>
      </w:r>
      <w:r>
        <w:rPr>
          <w:lang w:val="fr-FR"/>
        </w:rPr>
        <w:t>’</w:t>
      </w:r>
      <w:r w:rsidRPr="002A4A3F">
        <w:rPr>
          <w:lang w:val="fr-FR"/>
        </w:rPr>
        <w:t xml:space="preserve">État partie a promulgué une législation interdisant expressément tous les châtiments corporels dans </w:t>
      </w:r>
      <w:r>
        <w:rPr>
          <w:lang w:val="fr-FR"/>
        </w:rPr>
        <w:t>l’éducation des enfants</w:t>
      </w:r>
      <w:r w:rsidRPr="002A4A3F">
        <w:rPr>
          <w:lang w:val="fr-FR"/>
        </w:rPr>
        <w:t>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12.</w:t>
      </w:r>
      <w:r w:rsidRPr="002A4A3F">
        <w:rPr>
          <w:lang w:val="fr-FR"/>
        </w:rPr>
        <w:tab/>
        <w:t>Des précisions seraient bienvenues sur l</w:t>
      </w:r>
      <w:r>
        <w:rPr>
          <w:lang w:val="fr-FR"/>
        </w:rPr>
        <w:t>es modifications apportées à l</w:t>
      </w:r>
      <w:r w:rsidRPr="002A4A3F">
        <w:rPr>
          <w:lang w:val="fr-FR"/>
        </w:rPr>
        <w:t xml:space="preserve">a </w:t>
      </w:r>
      <w:r>
        <w:rPr>
          <w:lang w:val="fr-FR"/>
        </w:rPr>
        <w:t>législation</w:t>
      </w:r>
      <w:r w:rsidRPr="002A4A3F">
        <w:rPr>
          <w:lang w:val="fr-FR"/>
        </w:rPr>
        <w:t xml:space="preserve"> relative aux droits et au traitement des d</w:t>
      </w:r>
      <w:r>
        <w:rPr>
          <w:lang w:val="fr-FR"/>
        </w:rPr>
        <w:t>étenus</w:t>
      </w:r>
      <w:r w:rsidRPr="002A4A3F">
        <w:rPr>
          <w:lang w:val="fr-FR"/>
        </w:rPr>
        <w:t xml:space="preserve">. En particulier, </w:t>
      </w:r>
      <w:r>
        <w:rPr>
          <w:lang w:val="fr-FR"/>
        </w:rPr>
        <w:t xml:space="preserve">le Rapporteur voudrait </w:t>
      </w:r>
      <w:r w:rsidRPr="002A4A3F">
        <w:rPr>
          <w:lang w:val="fr-FR"/>
        </w:rPr>
        <w:t xml:space="preserve">savoir si </w:t>
      </w:r>
      <w:r>
        <w:rPr>
          <w:lang w:val="fr-FR"/>
        </w:rPr>
        <w:t xml:space="preserve">des dispositions limitant </w:t>
      </w:r>
      <w:r w:rsidRPr="002A4A3F">
        <w:rPr>
          <w:lang w:val="fr-FR"/>
        </w:rPr>
        <w:t>l</w:t>
      </w:r>
      <w:r>
        <w:rPr>
          <w:lang w:val="fr-FR"/>
        </w:rPr>
        <w:t>’</w:t>
      </w:r>
      <w:r w:rsidRPr="002A4A3F">
        <w:rPr>
          <w:lang w:val="fr-FR"/>
        </w:rPr>
        <w:t>utilisation et la durée du placement à l</w:t>
      </w:r>
      <w:r>
        <w:rPr>
          <w:lang w:val="fr-FR"/>
        </w:rPr>
        <w:t>’</w:t>
      </w:r>
      <w:r w:rsidRPr="002A4A3F">
        <w:rPr>
          <w:lang w:val="fr-FR"/>
        </w:rPr>
        <w:t>isolement des condamnés, des détenus en attente de jugement, des personnes placées en institution, des femmes, des mineurs et des personnes handicapées</w:t>
      </w:r>
      <w:r>
        <w:rPr>
          <w:lang w:val="fr-FR"/>
        </w:rPr>
        <w:t xml:space="preserve"> ont été adoptées</w:t>
      </w:r>
      <w:r w:rsidRPr="002A4A3F">
        <w:rPr>
          <w:lang w:val="fr-FR"/>
        </w:rPr>
        <w:t xml:space="preserve">. </w:t>
      </w:r>
      <w:r>
        <w:rPr>
          <w:lang w:val="fr-FR"/>
        </w:rPr>
        <w:t xml:space="preserve">Il souhaiterait recevoir des précisions sur les circonstances dans lesquelles la loi autorise le placement à l’isolement pour chacune de </w:t>
      </w:r>
      <w:r w:rsidRPr="002A4A3F">
        <w:rPr>
          <w:lang w:val="fr-FR"/>
        </w:rPr>
        <w:t xml:space="preserve">ces catégories de personnes. </w:t>
      </w:r>
      <w:r>
        <w:rPr>
          <w:lang w:val="fr-FR"/>
        </w:rPr>
        <w:t xml:space="preserve">Il demande </w:t>
      </w:r>
      <w:r w:rsidRPr="002A4A3F">
        <w:rPr>
          <w:lang w:val="fr-FR"/>
        </w:rPr>
        <w:t>si l</w:t>
      </w:r>
      <w:r>
        <w:rPr>
          <w:lang w:val="fr-FR"/>
        </w:rPr>
        <w:t>’</w:t>
      </w:r>
      <w:r w:rsidRPr="002A4A3F">
        <w:rPr>
          <w:lang w:val="fr-FR"/>
        </w:rPr>
        <w:t xml:space="preserve">État partie a mis en place des </w:t>
      </w:r>
      <w:r>
        <w:rPr>
          <w:lang w:val="fr-FR"/>
        </w:rPr>
        <w:t xml:space="preserve">établissements réservés aux </w:t>
      </w:r>
      <w:r w:rsidRPr="002A4A3F">
        <w:rPr>
          <w:lang w:val="fr-FR"/>
        </w:rPr>
        <w:t xml:space="preserve">femmes et </w:t>
      </w:r>
      <w:r>
        <w:rPr>
          <w:lang w:val="fr-FR"/>
        </w:rPr>
        <w:t xml:space="preserve">aux mineurs </w:t>
      </w:r>
      <w:r w:rsidRPr="002A4A3F">
        <w:rPr>
          <w:lang w:val="fr-FR"/>
        </w:rPr>
        <w:t>qui exécu</w:t>
      </w:r>
      <w:r>
        <w:rPr>
          <w:lang w:val="fr-FR"/>
        </w:rPr>
        <w:t>tent une peine d’emprisonnement conformément aux dispositions de l</w:t>
      </w:r>
      <w:r w:rsidRPr="002A4A3F">
        <w:rPr>
          <w:lang w:val="fr-FR"/>
        </w:rPr>
        <w:t xml:space="preserve">a législation sur les droits et le traitement des détenus. </w:t>
      </w:r>
      <w:r>
        <w:rPr>
          <w:lang w:val="fr-FR"/>
        </w:rPr>
        <w:t>Le cas échéant</w:t>
      </w:r>
      <w:r w:rsidRPr="002A4A3F">
        <w:rPr>
          <w:lang w:val="fr-FR"/>
        </w:rPr>
        <w:t xml:space="preserve">, la délégation voudra bien </w:t>
      </w:r>
      <w:r>
        <w:rPr>
          <w:lang w:val="fr-FR"/>
        </w:rPr>
        <w:t xml:space="preserve">indiquer comment s’appellent </w:t>
      </w:r>
      <w:r w:rsidRPr="002A4A3F">
        <w:rPr>
          <w:lang w:val="fr-FR"/>
        </w:rPr>
        <w:t>ces instit</w:t>
      </w:r>
      <w:r w:rsidR="004660A9">
        <w:rPr>
          <w:lang w:val="fr-FR"/>
        </w:rPr>
        <w:t>utions et où elles se trouvent.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13.</w:t>
      </w:r>
      <w:r w:rsidRPr="002A4A3F">
        <w:rPr>
          <w:lang w:val="fr-FR"/>
        </w:rPr>
        <w:tab/>
      </w:r>
      <w:r>
        <w:rPr>
          <w:lang w:val="fr-FR"/>
        </w:rPr>
        <w:t xml:space="preserve">Le Rapporteur demande si les dispositions </w:t>
      </w:r>
      <w:r w:rsidRPr="002A4A3F">
        <w:rPr>
          <w:lang w:val="fr-FR"/>
        </w:rPr>
        <w:t>de l</w:t>
      </w:r>
      <w:r>
        <w:rPr>
          <w:lang w:val="fr-FR"/>
        </w:rPr>
        <w:t>’</w:t>
      </w:r>
      <w:r w:rsidRPr="002A4A3F">
        <w:rPr>
          <w:lang w:val="fr-FR"/>
        </w:rPr>
        <w:t xml:space="preserve">article 8 de la loi </w:t>
      </w:r>
      <w:r w:rsidR="00F7010E" w:rsidRPr="00F7010E">
        <w:rPr>
          <w:rFonts w:eastAsia="MS Mincho"/>
          <w:lang w:val="fr-FR"/>
        </w:rPr>
        <w:t>n</w:t>
      </w:r>
      <w:r w:rsidR="00F7010E" w:rsidRPr="00F7010E">
        <w:rPr>
          <w:rFonts w:eastAsia="MS Mincho"/>
          <w:vertAlign w:val="superscript"/>
          <w:lang w:val="fr-FR"/>
        </w:rPr>
        <w:t>o</w:t>
      </w:r>
      <w:r w:rsidR="00F7010E">
        <w:rPr>
          <w:lang w:val="fr-FR"/>
        </w:rPr>
        <w:t> </w:t>
      </w:r>
      <w:r w:rsidRPr="002A4A3F">
        <w:rPr>
          <w:lang w:val="fr-FR"/>
        </w:rPr>
        <w:t xml:space="preserve">8492 sur les étrangers ou de toute autre </w:t>
      </w:r>
      <w:r>
        <w:rPr>
          <w:lang w:val="fr-FR"/>
        </w:rPr>
        <w:t>loi</w:t>
      </w:r>
      <w:r w:rsidRPr="002A4A3F">
        <w:rPr>
          <w:lang w:val="fr-FR"/>
        </w:rPr>
        <w:t xml:space="preserve"> pertinente ont été modifiées afin qu</w:t>
      </w:r>
      <w:r>
        <w:rPr>
          <w:lang w:val="fr-FR"/>
        </w:rPr>
        <w:t>’</w:t>
      </w:r>
      <w:r w:rsidRPr="002A4A3F">
        <w:rPr>
          <w:lang w:val="fr-FR"/>
        </w:rPr>
        <w:t xml:space="preserve">une personne </w:t>
      </w:r>
      <w:r>
        <w:rPr>
          <w:lang w:val="fr-FR"/>
        </w:rPr>
        <w:t xml:space="preserve">jugée </w:t>
      </w:r>
      <w:r w:rsidRPr="002A4A3F">
        <w:rPr>
          <w:lang w:val="fr-FR"/>
        </w:rPr>
        <w:t xml:space="preserve">indésirable sur le territoire puisse </w:t>
      </w:r>
      <w:r>
        <w:rPr>
          <w:lang w:val="fr-FR"/>
        </w:rPr>
        <w:t xml:space="preserve">s’appuyer sur </w:t>
      </w:r>
      <w:r w:rsidRPr="002A4A3F">
        <w:rPr>
          <w:lang w:val="fr-FR"/>
        </w:rPr>
        <w:t xml:space="preserve">des dispositions claires pour contester </w:t>
      </w:r>
      <w:r>
        <w:rPr>
          <w:lang w:val="fr-FR"/>
        </w:rPr>
        <w:t>le bien-fondé d’</w:t>
      </w:r>
      <w:r w:rsidRPr="002A4A3F">
        <w:rPr>
          <w:lang w:val="fr-FR"/>
        </w:rPr>
        <w:t>une ordonnance de ren</w:t>
      </w:r>
      <w:r>
        <w:rPr>
          <w:lang w:val="fr-FR"/>
        </w:rPr>
        <w:t>voi lorsqu’il existe des motifs sérieux</w:t>
      </w:r>
      <w:r w:rsidRPr="002A4A3F">
        <w:rPr>
          <w:lang w:val="fr-FR"/>
        </w:rPr>
        <w:t xml:space="preserve"> de croire</w:t>
      </w:r>
      <w:r>
        <w:rPr>
          <w:lang w:val="fr-FR"/>
        </w:rPr>
        <w:t xml:space="preserve"> que cette personne risquerait d’</w:t>
      </w:r>
      <w:r w:rsidRPr="002A4A3F">
        <w:rPr>
          <w:lang w:val="fr-FR"/>
        </w:rPr>
        <w:t>être soumis</w:t>
      </w:r>
      <w:r>
        <w:rPr>
          <w:lang w:val="fr-FR"/>
        </w:rPr>
        <w:t>e</w:t>
      </w:r>
      <w:r w:rsidRPr="002A4A3F">
        <w:rPr>
          <w:lang w:val="fr-FR"/>
        </w:rPr>
        <w:t xml:space="preserve"> à la torture </w:t>
      </w:r>
      <w:r>
        <w:rPr>
          <w:lang w:val="fr-FR"/>
        </w:rPr>
        <w:t xml:space="preserve">si elle était renvoyée </w:t>
      </w:r>
      <w:r w:rsidRPr="002A4A3F">
        <w:rPr>
          <w:lang w:val="fr-FR"/>
        </w:rPr>
        <w:t>dans son pays. Étant donné que l</w:t>
      </w:r>
      <w:r>
        <w:rPr>
          <w:lang w:val="fr-FR"/>
        </w:rPr>
        <w:t>’</w:t>
      </w:r>
      <w:r w:rsidRPr="002A4A3F">
        <w:rPr>
          <w:lang w:val="fr-FR"/>
        </w:rPr>
        <w:t>article 3 de la Co</w:t>
      </w:r>
      <w:r>
        <w:rPr>
          <w:lang w:val="fr-FR"/>
        </w:rPr>
        <w:t>nvention consacre le principe de</w:t>
      </w:r>
      <w:r w:rsidRPr="002A4A3F">
        <w:rPr>
          <w:lang w:val="fr-FR"/>
        </w:rPr>
        <w:t xml:space="preserve"> non-refoulement, </w:t>
      </w:r>
      <w:r>
        <w:rPr>
          <w:lang w:val="fr-FR"/>
        </w:rPr>
        <w:t xml:space="preserve">il serait intéressant de </w:t>
      </w:r>
      <w:r w:rsidRPr="002A4A3F">
        <w:rPr>
          <w:lang w:val="fr-FR"/>
        </w:rPr>
        <w:t>savoir si la législation albanaise reconnaît pleinement l</w:t>
      </w:r>
      <w:r>
        <w:rPr>
          <w:lang w:val="fr-FR"/>
        </w:rPr>
        <w:t>’</w:t>
      </w:r>
      <w:r w:rsidRPr="002A4A3F">
        <w:rPr>
          <w:lang w:val="fr-FR"/>
        </w:rPr>
        <w:t>applicabilité de l</w:t>
      </w:r>
      <w:r>
        <w:rPr>
          <w:lang w:val="fr-FR"/>
        </w:rPr>
        <w:t>’</w:t>
      </w:r>
      <w:r w:rsidRPr="002A4A3F">
        <w:rPr>
          <w:lang w:val="fr-FR"/>
        </w:rPr>
        <w:t xml:space="preserve">article 3 de la Convention. </w:t>
      </w:r>
      <w:r>
        <w:rPr>
          <w:lang w:val="fr-FR"/>
        </w:rPr>
        <w:t xml:space="preserve">La délégation voudra bien apporter des </w:t>
      </w:r>
      <w:r w:rsidRPr="002A4A3F">
        <w:rPr>
          <w:lang w:val="fr-FR"/>
        </w:rPr>
        <w:t xml:space="preserve">précisions sur la procédure </w:t>
      </w:r>
      <w:r>
        <w:rPr>
          <w:lang w:val="fr-FR"/>
        </w:rPr>
        <w:t xml:space="preserve">permettant à </w:t>
      </w:r>
      <w:r w:rsidRPr="002A4A3F">
        <w:rPr>
          <w:lang w:val="fr-FR"/>
        </w:rPr>
        <w:t xml:space="preserve">une personne </w:t>
      </w:r>
      <w:r>
        <w:rPr>
          <w:lang w:val="fr-FR"/>
        </w:rPr>
        <w:t xml:space="preserve">déclarée </w:t>
      </w:r>
      <w:r w:rsidRPr="002A4A3F">
        <w:rPr>
          <w:lang w:val="fr-FR"/>
        </w:rPr>
        <w:t xml:space="preserve">indésirable sur le territoire albanais </w:t>
      </w:r>
      <w:r>
        <w:rPr>
          <w:lang w:val="fr-FR"/>
        </w:rPr>
        <w:t>de remettre cette appréciation en cause</w:t>
      </w:r>
      <w:r w:rsidRPr="002A4A3F">
        <w:rPr>
          <w:lang w:val="fr-FR"/>
        </w:rPr>
        <w:t xml:space="preserve">, </w:t>
      </w:r>
      <w:r>
        <w:rPr>
          <w:lang w:val="fr-FR"/>
        </w:rPr>
        <w:t xml:space="preserve">en indiquant </w:t>
      </w:r>
      <w:r w:rsidRPr="002A4A3F">
        <w:rPr>
          <w:lang w:val="fr-FR"/>
        </w:rPr>
        <w:t xml:space="preserve">en particulier si </w:t>
      </w:r>
      <w:r>
        <w:rPr>
          <w:lang w:val="fr-FR"/>
        </w:rPr>
        <w:t xml:space="preserve">l’intéressé </w:t>
      </w:r>
      <w:r w:rsidRPr="002A4A3F">
        <w:rPr>
          <w:lang w:val="fr-FR"/>
        </w:rPr>
        <w:t>peut bénéficier des services d</w:t>
      </w:r>
      <w:r>
        <w:rPr>
          <w:lang w:val="fr-FR"/>
        </w:rPr>
        <w:t>’</w:t>
      </w:r>
      <w:r w:rsidRPr="002A4A3F">
        <w:rPr>
          <w:lang w:val="fr-FR"/>
        </w:rPr>
        <w:t>un interprète, si les garanties d</w:t>
      </w:r>
      <w:r>
        <w:rPr>
          <w:lang w:val="fr-FR"/>
        </w:rPr>
        <w:t>’</w:t>
      </w:r>
      <w:r w:rsidRPr="002A4A3F">
        <w:rPr>
          <w:lang w:val="fr-FR"/>
        </w:rPr>
        <w:t xml:space="preserve">un procès équitable sont respectées à son égard et </w:t>
      </w:r>
      <w:r>
        <w:rPr>
          <w:lang w:val="fr-FR"/>
        </w:rPr>
        <w:t xml:space="preserve">s’il </w:t>
      </w:r>
      <w:r w:rsidRPr="002A4A3F">
        <w:rPr>
          <w:lang w:val="fr-FR"/>
        </w:rPr>
        <w:t>peut avoir accès à toutes les informations pertinentes, en particulier en cas d</w:t>
      </w:r>
      <w:r>
        <w:rPr>
          <w:lang w:val="fr-FR"/>
        </w:rPr>
        <w:t>’allégation</w:t>
      </w:r>
      <w:r w:rsidRPr="002A4A3F">
        <w:rPr>
          <w:lang w:val="fr-FR"/>
        </w:rPr>
        <w:t xml:space="preserve"> de violation de l</w:t>
      </w:r>
      <w:r>
        <w:rPr>
          <w:lang w:val="fr-FR"/>
        </w:rPr>
        <w:t>’</w:t>
      </w:r>
      <w:r w:rsidR="004660A9">
        <w:rPr>
          <w:lang w:val="fr-FR"/>
        </w:rPr>
        <w:t xml:space="preserve">article </w:t>
      </w:r>
      <w:r w:rsidRPr="002A4A3F">
        <w:rPr>
          <w:lang w:val="fr-FR"/>
        </w:rPr>
        <w:t xml:space="preserve">3 de la Convention. </w:t>
      </w:r>
    </w:p>
    <w:p w:rsidR="003C686C" w:rsidRPr="002A4A3F" w:rsidRDefault="003C686C" w:rsidP="001704EB">
      <w:pPr>
        <w:pStyle w:val="SingleTxtG"/>
        <w:rPr>
          <w:lang w:val="fr-FR"/>
        </w:rPr>
      </w:pPr>
      <w:r w:rsidRPr="002A4A3F">
        <w:rPr>
          <w:lang w:val="fr-FR"/>
        </w:rPr>
        <w:t>14.</w:t>
      </w:r>
      <w:r w:rsidRPr="002A4A3F">
        <w:rPr>
          <w:lang w:val="fr-FR"/>
        </w:rPr>
        <w:tab/>
        <w:t xml:space="preserve">Le Rapporteur invite la délégation à décrire les </w:t>
      </w:r>
      <w:r>
        <w:rPr>
          <w:lang w:val="fr-FR"/>
        </w:rPr>
        <w:t xml:space="preserve">moyens concrets dont disposent les autorités albanaises </w:t>
      </w:r>
      <w:r w:rsidRPr="002A4A3F">
        <w:rPr>
          <w:lang w:val="fr-FR"/>
        </w:rPr>
        <w:t xml:space="preserve">pour </w:t>
      </w:r>
      <w:r>
        <w:rPr>
          <w:lang w:val="fr-FR"/>
        </w:rPr>
        <w:t xml:space="preserve">s’assurer </w:t>
      </w:r>
      <w:r w:rsidRPr="002A4A3F">
        <w:rPr>
          <w:lang w:val="fr-FR"/>
        </w:rPr>
        <w:t>que les demandeurs d</w:t>
      </w:r>
      <w:r>
        <w:rPr>
          <w:lang w:val="fr-FR"/>
        </w:rPr>
        <w:t>’</w:t>
      </w:r>
      <w:r w:rsidRPr="002A4A3F">
        <w:rPr>
          <w:lang w:val="fr-FR"/>
        </w:rPr>
        <w:t xml:space="preserve">asile déboutés ne courent pas un risque </w:t>
      </w:r>
      <w:r>
        <w:rPr>
          <w:lang w:val="fr-FR"/>
        </w:rPr>
        <w:t xml:space="preserve">de </w:t>
      </w:r>
      <w:r w:rsidRPr="002A4A3F">
        <w:rPr>
          <w:lang w:val="fr-FR"/>
        </w:rPr>
        <w:t>torture en cas de renvoi. Il souhaiterait en outre savoir si l</w:t>
      </w:r>
      <w:r>
        <w:rPr>
          <w:lang w:val="fr-FR"/>
        </w:rPr>
        <w:t>’</w:t>
      </w:r>
      <w:r w:rsidRPr="002A4A3F">
        <w:rPr>
          <w:lang w:val="fr-FR"/>
        </w:rPr>
        <w:t>État partie prévoit de collecter des données sur les demandeurs d</w:t>
      </w:r>
      <w:r>
        <w:rPr>
          <w:lang w:val="fr-FR"/>
        </w:rPr>
        <w:t>’</w:t>
      </w:r>
      <w:r w:rsidRPr="002A4A3F">
        <w:rPr>
          <w:lang w:val="fr-FR"/>
        </w:rPr>
        <w:t>asile qui ont obtenu le sta</w:t>
      </w:r>
      <w:r>
        <w:rPr>
          <w:lang w:val="fr-FR"/>
        </w:rPr>
        <w:t xml:space="preserve">tut de réfugié au motif qu’ils avaient </w:t>
      </w:r>
      <w:r w:rsidRPr="002A4A3F">
        <w:rPr>
          <w:lang w:val="fr-FR"/>
        </w:rPr>
        <w:t>été tortur</w:t>
      </w:r>
      <w:r>
        <w:rPr>
          <w:lang w:val="fr-FR"/>
        </w:rPr>
        <w:t xml:space="preserve">és dans le passé ou qu’ils auraient </w:t>
      </w:r>
      <w:r w:rsidRPr="002A4A3F">
        <w:rPr>
          <w:lang w:val="fr-FR"/>
        </w:rPr>
        <w:t xml:space="preserve">personnellement </w:t>
      </w:r>
      <w:r>
        <w:rPr>
          <w:lang w:val="fr-FR"/>
        </w:rPr>
        <w:t xml:space="preserve">couru </w:t>
      </w:r>
      <w:r w:rsidRPr="002A4A3F">
        <w:rPr>
          <w:lang w:val="fr-FR"/>
        </w:rPr>
        <w:t xml:space="preserve">un risque réel de torture </w:t>
      </w:r>
      <w:r>
        <w:rPr>
          <w:lang w:val="fr-FR"/>
        </w:rPr>
        <w:t xml:space="preserve">au cas où ils auraient été renvoyés </w:t>
      </w:r>
      <w:r w:rsidRPr="002A4A3F">
        <w:rPr>
          <w:lang w:val="fr-FR"/>
        </w:rPr>
        <w:t>dans leur pays d</w:t>
      </w:r>
      <w:r>
        <w:rPr>
          <w:lang w:val="fr-FR"/>
        </w:rPr>
        <w:t>’</w:t>
      </w:r>
      <w:r w:rsidRPr="002A4A3F">
        <w:rPr>
          <w:lang w:val="fr-FR"/>
        </w:rPr>
        <w:t xml:space="preserve">origine. </w:t>
      </w:r>
      <w:r>
        <w:rPr>
          <w:lang w:val="fr-FR"/>
        </w:rPr>
        <w:t xml:space="preserve">Dans l’hypothèse où </w:t>
      </w:r>
      <w:r w:rsidRPr="002A4A3F">
        <w:rPr>
          <w:lang w:val="fr-FR"/>
        </w:rPr>
        <w:t>les autorités de l</w:t>
      </w:r>
      <w:r>
        <w:rPr>
          <w:lang w:val="fr-FR"/>
        </w:rPr>
        <w:t>’</w:t>
      </w:r>
      <w:r w:rsidRPr="002A4A3F">
        <w:rPr>
          <w:lang w:val="fr-FR"/>
        </w:rPr>
        <w:t xml:space="preserve">État partie </w:t>
      </w:r>
      <w:r>
        <w:rPr>
          <w:lang w:val="fr-FR"/>
        </w:rPr>
        <w:t xml:space="preserve">concluraient </w:t>
      </w:r>
      <w:r w:rsidRPr="002A4A3F">
        <w:rPr>
          <w:lang w:val="fr-FR"/>
        </w:rPr>
        <w:t>que le renvoi d</w:t>
      </w:r>
      <w:r>
        <w:rPr>
          <w:lang w:val="fr-FR"/>
        </w:rPr>
        <w:t>’</w:t>
      </w:r>
      <w:r w:rsidRPr="002A4A3F">
        <w:rPr>
          <w:lang w:val="fr-FR"/>
        </w:rPr>
        <w:t xml:space="preserve">une personne </w:t>
      </w:r>
      <w:r>
        <w:rPr>
          <w:lang w:val="fr-FR"/>
        </w:rPr>
        <w:t xml:space="preserve">violerait le </w:t>
      </w:r>
      <w:r w:rsidRPr="002A4A3F">
        <w:rPr>
          <w:lang w:val="fr-FR"/>
        </w:rPr>
        <w:t xml:space="preserve">principe de non-refoulement, </w:t>
      </w:r>
      <w:r>
        <w:rPr>
          <w:lang w:val="fr-FR"/>
        </w:rPr>
        <w:t>pourraient-</w:t>
      </w:r>
      <w:r w:rsidRPr="002A4A3F">
        <w:rPr>
          <w:lang w:val="fr-FR"/>
        </w:rPr>
        <w:t xml:space="preserve">elles </w:t>
      </w:r>
      <w:r>
        <w:rPr>
          <w:lang w:val="fr-FR"/>
        </w:rPr>
        <w:t xml:space="preserve">modifier </w:t>
      </w:r>
      <w:r w:rsidRPr="002A4A3F">
        <w:rPr>
          <w:lang w:val="fr-FR"/>
        </w:rPr>
        <w:t xml:space="preserve">cette conclusion en demandant des assurances </w:t>
      </w:r>
      <w:r>
        <w:rPr>
          <w:lang w:val="fr-FR"/>
        </w:rPr>
        <w:t>diplomatiques au pays de renvoi?</w:t>
      </w:r>
      <w:r w:rsidRPr="002A4A3F">
        <w:rPr>
          <w:lang w:val="fr-FR"/>
        </w:rPr>
        <w:t xml:space="preserve"> Dans l</w:t>
      </w:r>
      <w:r>
        <w:rPr>
          <w:lang w:val="fr-FR"/>
        </w:rPr>
        <w:t>’</w:t>
      </w:r>
      <w:r w:rsidRPr="002A4A3F">
        <w:rPr>
          <w:lang w:val="fr-FR"/>
        </w:rPr>
        <w:t xml:space="preserve">affirmative, </w:t>
      </w:r>
      <w:r>
        <w:rPr>
          <w:lang w:val="fr-FR"/>
        </w:rPr>
        <w:t xml:space="preserve">la délégation voudra peut-être préciser </w:t>
      </w:r>
      <w:r w:rsidRPr="002A4A3F">
        <w:rPr>
          <w:lang w:val="fr-FR"/>
        </w:rPr>
        <w:t xml:space="preserve">dans quelles circonstances une telle demande pourrait être formulée et </w:t>
      </w:r>
      <w:r>
        <w:rPr>
          <w:lang w:val="fr-FR"/>
        </w:rPr>
        <w:t>donner des exemples d’affaires de ce type</w:t>
      </w:r>
      <w:r w:rsidRPr="002A4A3F">
        <w:rPr>
          <w:lang w:val="fr-FR"/>
        </w:rPr>
        <w:t xml:space="preserve">. </w:t>
      </w:r>
    </w:p>
    <w:p w:rsidR="003C686C" w:rsidRDefault="003C686C" w:rsidP="001704EB">
      <w:pPr>
        <w:pStyle w:val="SingleTxtG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 xml:space="preserve">D’après des renseignements émanant d’ONG, </w:t>
      </w:r>
      <w:r w:rsidRPr="002A4A3F">
        <w:rPr>
          <w:lang w:val="fr-FR"/>
        </w:rPr>
        <w:t>l</w:t>
      </w:r>
      <w:r>
        <w:rPr>
          <w:lang w:val="fr-FR"/>
        </w:rPr>
        <w:t>’</w:t>
      </w:r>
      <w:r w:rsidRPr="002A4A3F">
        <w:rPr>
          <w:lang w:val="fr-FR"/>
        </w:rPr>
        <w:t>État part</w:t>
      </w:r>
      <w:r>
        <w:rPr>
          <w:lang w:val="fr-FR"/>
        </w:rPr>
        <w:t xml:space="preserve">ie aurait accueilli </w:t>
      </w:r>
      <w:r w:rsidRPr="002A4A3F">
        <w:rPr>
          <w:lang w:val="fr-FR"/>
        </w:rPr>
        <w:t xml:space="preserve">neuf anciens détenus de la base navale de Guantánamo, dont un ressortissant égyptien qui se trouve dans </w:t>
      </w:r>
      <w:r>
        <w:rPr>
          <w:lang w:val="fr-FR"/>
        </w:rPr>
        <w:t xml:space="preserve">un vide juridique </w:t>
      </w:r>
      <w:r w:rsidRPr="002A4A3F">
        <w:rPr>
          <w:lang w:val="fr-FR"/>
        </w:rPr>
        <w:t xml:space="preserve">car il </w:t>
      </w:r>
      <w:r>
        <w:rPr>
          <w:lang w:val="fr-FR"/>
        </w:rPr>
        <w:t xml:space="preserve">n’a </w:t>
      </w:r>
      <w:r w:rsidRPr="002A4A3F">
        <w:rPr>
          <w:lang w:val="fr-FR"/>
        </w:rPr>
        <w:t>pas de documents d</w:t>
      </w:r>
      <w:r>
        <w:rPr>
          <w:lang w:val="fr-FR"/>
        </w:rPr>
        <w:t>’</w:t>
      </w:r>
      <w:r w:rsidRPr="002A4A3F">
        <w:rPr>
          <w:lang w:val="fr-FR"/>
        </w:rPr>
        <w:t xml:space="preserve">identité. Le Rapporteur souhaiterait des éclaircissements sur le statut juridique de ces neuf personnes </w:t>
      </w:r>
      <w:r>
        <w:rPr>
          <w:lang w:val="fr-FR"/>
        </w:rPr>
        <w:t>et</w:t>
      </w:r>
      <w:r w:rsidRPr="002A4A3F">
        <w:rPr>
          <w:lang w:val="fr-FR"/>
        </w:rPr>
        <w:t xml:space="preserve"> de leurs enfants. Il aimerait recevoir des informations à jour sur le nombre et la nature de toutes les assurances diplomatiques que l</w:t>
      </w:r>
      <w:r>
        <w:rPr>
          <w:lang w:val="fr-FR"/>
        </w:rPr>
        <w:t>’</w:t>
      </w:r>
      <w:r w:rsidRPr="002A4A3F">
        <w:rPr>
          <w:lang w:val="fr-FR"/>
        </w:rPr>
        <w:t>État partie a données et reçues</w:t>
      </w:r>
      <w:r>
        <w:rPr>
          <w:lang w:val="fr-FR"/>
        </w:rPr>
        <w:t xml:space="preserve"> à ce jour</w:t>
      </w:r>
      <w:r w:rsidRPr="002A4A3F">
        <w:rPr>
          <w:lang w:val="fr-FR"/>
        </w:rPr>
        <w:t xml:space="preserve">. Des renseignements récents seraient également bienvenus sur le sort </w:t>
      </w:r>
      <w:r>
        <w:rPr>
          <w:lang w:val="fr-FR"/>
        </w:rPr>
        <w:t>réservé aux</w:t>
      </w:r>
      <w:r w:rsidRPr="002A4A3F">
        <w:rPr>
          <w:lang w:val="fr-FR"/>
        </w:rPr>
        <w:t xml:space="preserve"> </w:t>
      </w:r>
      <w:r>
        <w:rPr>
          <w:lang w:val="fr-FR"/>
        </w:rPr>
        <w:t xml:space="preserve">quelque </w:t>
      </w:r>
      <w:r w:rsidRPr="002A4A3F">
        <w:rPr>
          <w:lang w:val="fr-FR"/>
        </w:rPr>
        <w:t>500 enfants roms de nationalité albanaise qui ont disparu du foyer Aghia Varvara</w:t>
      </w:r>
      <w:r>
        <w:rPr>
          <w:lang w:val="fr-FR"/>
        </w:rPr>
        <w:t xml:space="preserve">, à </w:t>
      </w:r>
      <w:r w:rsidRPr="002A4A3F">
        <w:rPr>
          <w:lang w:val="fr-FR"/>
        </w:rPr>
        <w:t>Athènes</w:t>
      </w:r>
      <w:r>
        <w:rPr>
          <w:lang w:val="fr-FR"/>
        </w:rPr>
        <w:t xml:space="preserve"> (</w:t>
      </w:r>
      <w:r w:rsidRPr="002A4A3F">
        <w:rPr>
          <w:lang w:val="fr-FR"/>
        </w:rPr>
        <w:t>Grèce</w:t>
      </w:r>
      <w:r>
        <w:rPr>
          <w:lang w:val="fr-FR"/>
        </w:rPr>
        <w:t>)</w:t>
      </w:r>
      <w:r w:rsidRPr="002A4A3F">
        <w:rPr>
          <w:lang w:val="fr-FR"/>
        </w:rPr>
        <w:t xml:space="preserve">. Quatre de ces enfants ont été </w:t>
      </w:r>
      <w:r>
        <w:rPr>
          <w:lang w:val="fr-FR"/>
        </w:rPr>
        <w:t>localisés</w:t>
      </w:r>
      <w:r w:rsidRPr="002A4A3F">
        <w:rPr>
          <w:lang w:val="fr-FR"/>
        </w:rPr>
        <w:t xml:space="preserve"> dans l</w:t>
      </w:r>
      <w:r>
        <w:rPr>
          <w:lang w:val="fr-FR"/>
        </w:rPr>
        <w:t>’</w:t>
      </w:r>
      <w:r w:rsidRPr="002A4A3F">
        <w:rPr>
          <w:lang w:val="fr-FR"/>
        </w:rPr>
        <w:t>État partie, mais on ne sait toujours pas ce qu</w:t>
      </w:r>
      <w:r>
        <w:rPr>
          <w:lang w:val="fr-FR"/>
        </w:rPr>
        <w:t>’</w:t>
      </w:r>
      <w:r w:rsidRPr="002A4A3F">
        <w:rPr>
          <w:lang w:val="fr-FR"/>
        </w:rPr>
        <w:t>il est advenu de</w:t>
      </w:r>
      <w:r>
        <w:rPr>
          <w:lang w:val="fr-FR"/>
        </w:rPr>
        <w:t>s</w:t>
      </w:r>
      <w:r w:rsidRPr="002A4A3F">
        <w:rPr>
          <w:lang w:val="fr-FR"/>
        </w:rPr>
        <w:t xml:space="preserve"> autres. La délégation voudra bien </w:t>
      </w:r>
      <w:r>
        <w:rPr>
          <w:lang w:val="fr-FR"/>
        </w:rPr>
        <w:t xml:space="preserve">donner des renseignements sur les enquêtes menées par </w:t>
      </w:r>
      <w:r w:rsidRPr="002A4A3F">
        <w:rPr>
          <w:lang w:val="fr-FR"/>
        </w:rPr>
        <w:t>l</w:t>
      </w:r>
      <w:r>
        <w:rPr>
          <w:lang w:val="fr-FR"/>
        </w:rPr>
        <w:t>’</w:t>
      </w:r>
      <w:r w:rsidRPr="002A4A3F">
        <w:rPr>
          <w:lang w:val="fr-FR"/>
        </w:rPr>
        <w:t>État partie pour faire tout</w:t>
      </w:r>
      <w:r w:rsidR="005F1737">
        <w:rPr>
          <w:lang w:val="fr-FR"/>
        </w:rPr>
        <w:t>e la lumière sur cette affaire.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16.</w:t>
      </w:r>
      <w:r w:rsidRPr="004E3FA6">
        <w:rPr>
          <w:lang w:val="fr-FR"/>
        </w:rPr>
        <w:tab/>
      </w:r>
      <w:r w:rsidR="005F1737">
        <w:rPr>
          <w:b/>
          <w:lang w:val="fr-FR"/>
        </w:rPr>
        <w:t>M. </w:t>
      </w:r>
      <w:r w:rsidRPr="004E3FA6">
        <w:rPr>
          <w:b/>
          <w:lang w:val="fr-FR"/>
        </w:rPr>
        <w:t>Gaye</w:t>
      </w:r>
      <w:r w:rsidRPr="004E3FA6">
        <w:rPr>
          <w:lang w:val="fr-FR"/>
        </w:rPr>
        <w:t xml:space="preserve"> (Corapporteur pour l</w:t>
      </w:r>
      <w:r>
        <w:rPr>
          <w:lang w:val="fr-FR"/>
        </w:rPr>
        <w:t>’</w:t>
      </w:r>
      <w:r w:rsidRPr="004E3FA6">
        <w:rPr>
          <w:lang w:val="fr-FR"/>
        </w:rPr>
        <w:t>Albanie), saluant les efforts déployés par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 pour former le personnel des établissements pénitentiaires et faire participer les ONG aux campagnes de sensibilisation, </w:t>
      </w:r>
      <w:r>
        <w:rPr>
          <w:lang w:val="fr-FR"/>
        </w:rPr>
        <w:t xml:space="preserve">souhaiterait un complément d’information sur les activités de sensibilisation à l’interdiction de la torture qui sont organisées à l’intention des </w:t>
      </w:r>
      <w:r w:rsidRPr="004E3FA6">
        <w:rPr>
          <w:lang w:val="fr-FR"/>
        </w:rPr>
        <w:t>membres des forces de l</w:t>
      </w:r>
      <w:r>
        <w:rPr>
          <w:lang w:val="fr-FR"/>
        </w:rPr>
        <w:t>’</w:t>
      </w:r>
      <w:r w:rsidRPr="004E3FA6">
        <w:rPr>
          <w:lang w:val="fr-FR"/>
        </w:rPr>
        <w:t>ordre en application de l</w:t>
      </w:r>
      <w:r>
        <w:rPr>
          <w:lang w:val="fr-FR"/>
        </w:rPr>
        <w:t>’</w:t>
      </w:r>
      <w:r w:rsidRPr="004E3FA6">
        <w:rPr>
          <w:lang w:val="fr-FR"/>
        </w:rPr>
        <w:t>article</w:t>
      </w:r>
      <w:r w:rsidR="002B1DB4">
        <w:rPr>
          <w:lang w:val="fr-FR"/>
        </w:rPr>
        <w:t xml:space="preserve"> </w:t>
      </w:r>
      <w:r w:rsidRPr="004E3FA6">
        <w:rPr>
          <w:lang w:val="fr-FR"/>
        </w:rPr>
        <w:t xml:space="preserve">10 de la Convention. Il demande quelles mesures ont été prises pour </w:t>
      </w:r>
      <w:r>
        <w:rPr>
          <w:lang w:val="fr-FR"/>
        </w:rPr>
        <w:t xml:space="preserve">former le </w:t>
      </w:r>
      <w:r w:rsidRPr="004E3FA6">
        <w:rPr>
          <w:lang w:val="fr-FR"/>
        </w:rPr>
        <w:t xml:space="preserve">personnel médical </w:t>
      </w:r>
      <w:r>
        <w:rPr>
          <w:lang w:val="fr-FR"/>
        </w:rPr>
        <w:t xml:space="preserve">afin qu’il soit à même de détecter les </w:t>
      </w:r>
      <w:r w:rsidRPr="004E3FA6">
        <w:rPr>
          <w:lang w:val="fr-FR"/>
        </w:rPr>
        <w:t xml:space="preserve">séquelles de torture et de mauvais traitements </w:t>
      </w:r>
      <w:r>
        <w:rPr>
          <w:lang w:val="fr-FR"/>
        </w:rPr>
        <w:t xml:space="preserve">infligés </w:t>
      </w:r>
      <w:r w:rsidRPr="004E3FA6">
        <w:rPr>
          <w:lang w:val="fr-FR"/>
        </w:rPr>
        <w:t>dans les lieux de détention</w:t>
      </w:r>
      <w:r>
        <w:rPr>
          <w:lang w:val="fr-FR"/>
        </w:rPr>
        <w:t xml:space="preserve"> conformément au </w:t>
      </w:r>
      <w:r w:rsidRPr="006F22E0">
        <w:rPr>
          <w:lang w:val="fr-FR"/>
        </w:rPr>
        <w:t>Manuel pour enquêter efficacement sur la torture et autres peines ou traitements cruels, inhumains ou dégradants (Protocole d</w:t>
      </w:r>
      <w:r>
        <w:rPr>
          <w:lang w:val="fr-FR"/>
        </w:rPr>
        <w:t>’</w:t>
      </w:r>
      <w:r w:rsidRPr="006F22E0">
        <w:rPr>
          <w:lang w:val="fr-FR"/>
        </w:rPr>
        <w:t>Istanbul)</w:t>
      </w:r>
      <w:r w:rsidRPr="004E3FA6">
        <w:rPr>
          <w:lang w:val="fr-FR"/>
        </w:rPr>
        <w:t xml:space="preserve">. </w:t>
      </w:r>
      <w:r>
        <w:rPr>
          <w:lang w:val="fr-FR"/>
        </w:rPr>
        <w:t xml:space="preserve">M. Gaye </w:t>
      </w:r>
      <w:r w:rsidRPr="004E3FA6">
        <w:rPr>
          <w:lang w:val="fr-FR"/>
        </w:rPr>
        <w:t xml:space="preserve">souhaiterait savoir si une formation spécifique est dispensée sur la protection des femmes, des lesbiennes, des gays, des personnes bisexuelles et transgenres </w:t>
      </w:r>
      <w:r>
        <w:rPr>
          <w:lang w:val="fr-FR"/>
        </w:rPr>
        <w:t>et</w:t>
      </w:r>
      <w:r w:rsidRPr="004E3FA6">
        <w:rPr>
          <w:lang w:val="fr-FR"/>
        </w:rPr>
        <w:t xml:space="preserve"> des personnes appartenant à une minorité ethnique </w:t>
      </w:r>
      <w:r>
        <w:rPr>
          <w:lang w:val="fr-FR"/>
        </w:rPr>
        <w:t xml:space="preserve">qui se trouvent </w:t>
      </w:r>
      <w:r w:rsidR="00A22457">
        <w:rPr>
          <w:lang w:val="fr-FR"/>
        </w:rPr>
        <w:t xml:space="preserve">en </w:t>
      </w:r>
      <w:r w:rsidRPr="004E3FA6">
        <w:rPr>
          <w:lang w:val="fr-FR"/>
        </w:rPr>
        <w:t xml:space="preserve">détention et, </w:t>
      </w:r>
      <w:r>
        <w:rPr>
          <w:lang w:val="fr-FR"/>
        </w:rPr>
        <w:t>si tel est le cas</w:t>
      </w:r>
      <w:r w:rsidRPr="004E3FA6">
        <w:rPr>
          <w:lang w:val="fr-FR"/>
        </w:rPr>
        <w:t xml:space="preserve">, </w:t>
      </w:r>
      <w:r>
        <w:rPr>
          <w:lang w:val="fr-FR"/>
        </w:rPr>
        <w:t xml:space="preserve">la délégation voudra peut-être donner </w:t>
      </w:r>
      <w:r w:rsidRPr="004E3FA6">
        <w:rPr>
          <w:lang w:val="fr-FR"/>
        </w:rPr>
        <w:t xml:space="preserve">des renseignements sur les résultats </w:t>
      </w:r>
      <w:r>
        <w:rPr>
          <w:lang w:val="fr-FR"/>
        </w:rPr>
        <w:t>obtenus grâce à cette formation</w:t>
      </w:r>
      <w:r w:rsidRPr="004E3FA6">
        <w:rPr>
          <w:lang w:val="fr-FR"/>
        </w:rPr>
        <w:t xml:space="preserve">. </w:t>
      </w:r>
      <w:r w:rsidR="00162FC8">
        <w:rPr>
          <w:lang w:val="fr-FR"/>
        </w:rPr>
        <w:t xml:space="preserve">Lisant au paragraphe </w:t>
      </w:r>
      <w:r w:rsidR="00162FC8" w:rsidRPr="004E3FA6">
        <w:rPr>
          <w:lang w:val="fr-FR"/>
        </w:rPr>
        <w:t>133 du rapport</w:t>
      </w:r>
      <w:r w:rsidR="00162FC8">
        <w:rPr>
          <w:lang w:val="fr-FR"/>
        </w:rPr>
        <w:t xml:space="preserve"> que </w:t>
      </w:r>
      <w:r w:rsidR="00162FC8" w:rsidRPr="004E3FA6">
        <w:rPr>
          <w:lang w:val="fr-FR"/>
        </w:rPr>
        <w:t xml:space="preserve">le nombre de violations commises par la police </w:t>
      </w:r>
      <w:r w:rsidR="00162FC8">
        <w:rPr>
          <w:lang w:val="fr-FR"/>
        </w:rPr>
        <w:t xml:space="preserve">a </w:t>
      </w:r>
      <w:r w:rsidR="00162FC8" w:rsidRPr="004E3FA6">
        <w:rPr>
          <w:lang w:val="fr-FR"/>
        </w:rPr>
        <w:t>diminué</w:t>
      </w:r>
      <w:r w:rsidR="00162FC8">
        <w:rPr>
          <w:lang w:val="fr-FR"/>
        </w:rPr>
        <w:t>, il invite la délégation à fournir des renseignements complémentaires sur ce point.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17.</w:t>
      </w:r>
      <w:r w:rsidRPr="004E3FA6">
        <w:rPr>
          <w:lang w:val="fr-FR"/>
        </w:rPr>
        <w:tab/>
        <w:t>En ce qui concerne l</w:t>
      </w:r>
      <w:r>
        <w:rPr>
          <w:lang w:val="fr-FR"/>
        </w:rPr>
        <w:t>’</w:t>
      </w:r>
      <w:r w:rsidRPr="004E3FA6">
        <w:rPr>
          <w:lang w:val="fr-FR"/>
        </w:rPr>
        <w:t>application de l</w:t>
      </w:r>
      <w:r>
        <w:rPr>
          <w:lang w:val="fr-FR"/>
        </w:rPr>
        <w:t>’</w:t>
      </w:r>
      <w:r w:rsidRPr="004E3FA6">
        <w:rPr>
          <w:lang w:val="fr-FR"/>
        </w:rPr>
        <w:t xml:space="preserve">article 11 de la Convention, </w:t>
      </w:r>
      <w:r>
        <w:rPr>
          <w:lang w:val="fr-FR"/>
        </w:rPr>
        <w:t>le Corapporteur</w:t>
      </w:r>
      <w:r w:rsidRPr="004E3FA6">
        <w:rPr>
          <w:lang w:val="fr-FR"/>
        </w:rPr>
        <w:t xml:space="preserve"> ne voit pas bien ce que recouvrent les termes </w:t>
      </w:r>
      <w:r>
        <w:rPr>
          <w:lang w:val="fr-FR"/>
        </w:rPr>
        <w:t>«</w:t>
      </w:r>
      <w:r w:rsidRPr="004E3FA6">
        <w:rPr>
          <w:lang w:val="fr-FR"/>
        </w:rPr>
        <w:t>arrestation</w:t>
      </w:r>
      <w:r>
        <w:rPr>
          <w:lang w:val="fr-FR"/>
        </w:rPr>
        <w:t>»</w:t>
      </w:r>
      <w:r w:rsidRPr="004E3FA6">
        <w:rPr>
          <w:lang w:val="fr-FR"/>
        </w:rPr>
        <w:t xml:space="preserve"> et </w:t>
      </w:r>
      <w:r>
        <w:rPr>
          <w:lang w:val="fr-FR"/>
        </w:rPr>
        <w:t>«</w:t>
      </w:r>
      <w:r w:rsidRPr="004E3FA6">
        <w:rPr>
          <w:lang w:val="fr-FR"/>
        </w:rPr>
        <w:t>détention</w:t>
      </w:r>
      <w:r>
        <w:rPr>
          <w:lang w:val="fr-FR"/>
        </w:rPr>
        <w:t>»</w:t>
      </w:r>
      <w:r w:rsidRPr="004E3FA6">
        <w:rPr>
          <w:lang w:val="fr-FR"/>
        </w:rPr>
        <w:t xml:space="preserve"> </w:t>
      </w:r>
      <w:r>
        <w:rPr>
          <w:lang w:val="fr-FR"/>
        </w:rPr>
        <w:t>utilisés</w:t>
      </w:r>
      <w:r w:rsidRPr="004E3FA6">
        <w:rPr>
          <w:lang w:val="fr-FR"/>
        </w:rPr>
        <w:t xml:space="preserve"> au paragraphe 141 du rapport. Il invite la délégation à fournir de plus amples informations sur la durée maximale de la détention avant jugement</w:t>
      </w:r>
      <w:r>
        <w:rPr>
          <w:lang w:val="fr-FR"/>
        </w:rPr>
        <w:t xml:space="preserve"> telle qu’elle est décrite au </w:t>
      </w:r>
      <w:r w:rsidRPr="004E3FA6">
        <w:rPr>
          <w:lang w:val="fr-FR"/>
        </w:rPr>
        <w:t>par</w:t>
      </w:r>
      <w:r>
        <w:rPr>
          <w:lang w:val="fr-FR"/>
        </w:rPr>
        <w:t xml:space="preserve">agraphe </w:t>
      </w:r>
      <w:r w:rsidRPr="004E3FA6">
        <w:rPr>
          <w:lang w:val="fr-FR"/>
        </w:rPr>
        <w:t>144 du r</w:t>
      </w:r>
      <w:r>
        <w:rPr>
          <w:lang w:val="fr-FR"/>
        </w:rPr>
        <w:t xml:space="preserve">apport car celle-ci </w:t>
      </w:r>
      <w:r w:rsidRPr="004E3FA6">
        <w:rPr>
          <w:lang w:val="fr-FR"/>
        </w:rPr>
        <w:t>est souvent prolongée dans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partie. La délégation </w:t>
      </w:r>
      <w:r>
        <w:rPr>
          <w:lang w:val="fr-FR"/>
        </w:rPr>
        <w:t xml:space="preserve">voudra bien préciser en quoi consiste </w:t>
      </w:r>
      <w:r w:rsidRPr="006F22E0">
        <w:rPr>
          <w:lang w:val="fr-FR"/>
        </w:rPr>
        <w:t>la mesure de sécurité dite de garde à vue</w:t>
      </w:r>
      <w:r w:rsidRPr="004E3FA6">
        <w:rPr>
          <w:lang w:val="fr-FR"/>
        </w:rPr>
        <w:t xml:space="preserve"> </w:t>
      </w:r>
      <w:r>
        <w:rPr>
          <w:lang w:val="fr-FR"/>
        </w:rPr>
        <w:t xml:space="preserve">évoquée </w:t>
      </w:r>
      <w:r w:rsidRPr="004E3FA6">
        <w:rPr>
          <w:lang w:val="fr-FR"/>
        </w:rPr>
        <w:t xml:space="preserve">au paragraphe 145 du rapport et indiquer si </w:t>
      </w:r>
      <w:r>
        <w:rPr>
          <w:lang w:val="fr-FR"/>
        </w:rPr>
        <w:t>sa durée maximale a été définie</w:t>
      </w:r>
      <w:r w:rsidRPr="004E3FA6">
        <w:rPr>
          <w:lang w:val="fr-FR"/>
        </w:rPr>
        <w:t xml:space="preserve">. Se référant au paragraphe 300 du rapport, il demande </w:t>
      </w:r>
      <w:r>
        <w:rPr>
          <w:lang w:val="fr-FR"/>
        </w:rPr>
        <w:t xml:space="preserve">des précisions </w:t>
      </w:r>
      <w:r w:rsidRPr="004E3FA6">
        <w:rPr>
          <w:lang w:val="fr-FR"/>
        </w:rPr>
        <w:t>sur les affaires dans lesquelles la présence d</w:t>
      </w:r>
      <w:r>
        <w:rPr>
          <w:lang w:val="fr-FR"/>
        </w:rPr>
        <w:t>’</w:t>
      </w:r>
      <w:r w:rsidRPr="004E3FA6">
        <w:rPr>
          <w:lang w:val="fr-FR"/>
        </w:rPr>
        <w:t>un avocat n</w:t>
      </w:r>
      <w:r>
        <w:rPr>
          <w:lang w:val="fr-FR"/>
        </w:rPr>
        <w:t>’</w:t>
      </w:r>
      <w:r w:rsidRPr="004E3FA6">
        <w:rPr>
          <w:lang w:val="fr-FR"/>
        </w:rPr>
        <w:t xml:space="preserve">est pas obligatoire </w:t>
      </w:r>
      <w:r>
        <w:rPr>
          <w:lang w:val="fr-FR"/>
        </w:rPr>
        <w:t>alors que le suspect a été arrêté ou détenu et</w:t>
      </w:r>
      <w:r w:rsidRPr="004E3FA6">
        <w:rPr>
          <w:lang w:val="fr-FR"/>
        </w:rPr>
        <w:t xml:space="preserve"> fait l</w:t>
      </w:r>
      <w:r>
        <w:rPr>
          <w:lang w:val="fr-FR"/>
        </w:rPr>
        <w:t>’</w:t>
      </w:r>
      <w:r w:rsidRPr="004E3FA6">
        <w:rPr>
          <w:lang w:val="fr-FR"/>
        </w:rPr>
        <w:t>objet d</w:t>
      </w:r>
      <w:r>
        <w:rPr>
          <w:lang w:val="fr-FR"/>
        </w:rPr>
        <w:t>’</w:t>
      </w:r>
      <w:r w:rsidRPr="004E3FA6">
        <w:rPr>
          <w:lang w:val="fr-FR"/>
        </w:rPr>
        <w:t xml:space="preserve">une enquête. Il aimerait savoir </w:t>
      </w:r>
      <w:r>
        <w:rPr>
          <w:lang w:val="fr-FR"/>
        </w:rPr>
        <w:t>comment</w:t>
      </w:r>
      <w:r w:rsidRPr="004E3FA6">
        <w:rPr>
          <w:lang w:val="fr-FR"/>
        </w:rPr>
        <w:t xml:space="preserve"> les ONG participent </w:t>
      </w:r>
      <w:r>
        <w:rPr>
          <w:lang w:val="fr-FR"/>
        </w:rPr>
        <w:t xml:space="preserve">concrètement </w:t>
      </w:r>
      <w:r w:rsidRPr="004E3FA6">
        <w:rPr>
          <w:lang w:val="fr-FR"/>
        </w:rPr>
        <w:t xml:space="preserve">aux enquêtes </w:t>
      </w:r>
      <w:r>
        <w:rPr>
          <w:lang w:val="fr-FR"/>
        </w:rPr>
        <w:t xml:space="preserve">relatives aux </w:t>
      </w:r>
      <w:r w:rsidRPr="004E3FA6">
        <w:rPr>
          <w:lang w:val="fr-FR"/>
        </w:rPr>
        <w:t>v</w:t>
      </w:r>
      <w:r>
        <w:rPr>
          <w:lang w:val="fr-FR"/>
        </w:rPr>
        <w:t>iolations des droits de l’homme</w:t>
      </w:r>
      <w:r w:rsidRPr="004E3FA6">
        <w:rPr>
          <w:lang w:val="fr-FR"/>
        </w:rPr>
        <w:t xml:space="preserve">, si </w:t>
      </w:r>
      <w:r>
        <w:rPr>
          <w:lang w:val="fr-FR"/>
        </w:rPr>
        <w:t xml:space="preserve">elles peuvent se rendre dans </w:t>
      </w:r>
      <w:r w:rsidRPr="004E3FA6">
        <w:rPr>
          <w:lang w:val="fr-FR"/>
        </w:rPr>
        <w:t xml:space="preserve">tous les lieux de détention ou </w:t>
      </w:r>
      <w:r>
        <w:rPr>
          <w:lang w:val="fr-FR"/>
        </w:rPr>
        <w:t xml:space="preserve">uniquement dans les </w:t>
      </w:r>
      <w:r w:rsidRPr="004E3FA6">
        <w:rPr>
          <w:lang w:val="fr-FR"/>
        </w:rPr>
        <w:t xml:space="preserve">prisons et </w:t>
      </w:r>
      <w:r>
        <w:rPr>
          <w:lang w:val="fr-FR"/>
        </w:rPr>
        <w:t xml:space="preserve">à </w:t>
      </w:r>
      <w:r w:rsidRPr="004E3FA6">
        <w:rPr>
          <w:lang w:val="fr-FR"/>
        </w:rPr>
        <w:t xml:space="preserve">quels </w:t>
      </w:r>
      <w:r>
        <w:rPr>
          <w:lang w:val="fr-FR"/>
        </w:rPr>
        <w:t>résultats ces enquêtes ont abouti</w:t>
      </w:r>
      <w:r w:rsidRPr="004E3FA6">
        <w:rPr>
          <w:lang w:val="fr-FR"/>
        </w:rPr>
        <w:t>. L</w:t>
      </w:r>
      <w:r>
        <w:rPr>
          <w:lang w:val="fr-FR"/>
        </w:rPr>
        <w:t>’</w:t>
      </w:r>
      <w:r w:rsidRPr="004E3FA6">
        <w:rPr>
          <w:lang w:val="fr-FR"/>
        </w:rPr>
        <w:t>État partie n</w:t>
      </w:r>
      <w:r>
        <w:rPr>
          <w:lang w:val="fr-FR"/>
        </w:rPr>
        <w:t>’</w:t>
      </w:r>
      <w:r w:rsidRPr="004E3FA6">
        <w:rPr>
          <w:lang w:val="fr-FR"/>
        </w:rPr>
        <w:t xml:space="preserve">a pas donné de renseignements </w:t>
      </w:r>
      <w:r>
        <w:rPr>
          <w:lang w:val="fr-FR"/>
        </w:rPr>
        <w:t xml:space="preserve">sur les </w:t>
      </w:r>
      <w:r w:rsidRPr="004E3FA6">
        <w:rPr>
          <w:lang w:val="fr-FR"/>
        </w:rPr>
        <w:t xml:space="preserve">possibilités </w:t>
      </w:r>
      <w:r>
        <w:rPr>
          <w:lang w:val="fr-FR"/>
        </w:rPr>
        <w:t xml:space="preserve">qu’ont les </w:t>
      </w:r>
      <w:r w:rsidRPr="004E3FA6">
        <w:rPr>
          <w:lang w:val="fr-FR"/>
        </w:rPr>
        <w:t>détenus de se faire examine</w:t>
      </w:r>
      <w:r w:rsidR="0054093E">
        <w:rPr>
          <w:lang w:val="fr-FR"/>
        </w:rPr>
        <w:t>r par un médecin de leur choix.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18.</w:t>
      </w:r>
      <w:r w:rsidRPr="004E3FA6">
        <w:rPr>
          <w:lang w:val="fr-FR"/>
        </w:rPr>
        <w:tab/>
        <w:t xml:space="preserve">Le Corapporteur </w:t>
      </w:r>
      <w:r>
        <w:rPr>
          <w:lang w:val="fr-FR"/>
        </w:rPr>
        <w:t xml:space="preserve">appelle particulièrement l’attention de </w:t>
      </w:r>
      <w:r w:rsidRPr="004E3FA6">
        <w:rPr>
          <w:lang w:val="fr-FR"/>
        </w:rPr>
        <w:t xml:space="preserve">la délégation sur les recommandations formulées par le </w:t>
      </w:r>
      <w:r w:rsidRPr="006F22E0">
        <w:rPr>
          <w:lang w:val="fr-FR"/>
        </w:rPr>
        <w:t xml:space="preserve">Comité européen pour la prévention de la torture </w:t>
      </w:r>
      <w:r w:rsidRPr="004E3FA6">
        <w:rPr>
          <w:lang w:val="fr-FR"/>
        </w:rPr>
        <w:t xml:space="preserve">(CPT) à la suite de </w:t>
      </w:r>
      <w:r>
        <w:rPr>
          <w:lang w:val="fr-FR"/>
        </w:rPr>
        <w:t xml:space="preserve">sa </w:t>
      </w:r>
      <w:r w:rsidRPr="004E3FA6">
        <w:rPr>
          <w:lang w:val="fr-FR"/>
        </w:rPr>
        <w:t xml:space="preserve">visite effectuée en 2008 en Albanie, qui </w:t>
      </w:r>
      <w:r>
        <w:rPr>
          <w:lang w:val="fr-FR"/>
        </w:rPr>
        <w:t xml:space="preserve">figurent </w:t>
      </w:r>
      <w:r w:rsidRPr="004E3FA6">
        <w:rPr>
          <w:lang w:val="fr-FR"/>
        </w:rPr>
        <w:t>dans la liste de points</w:t>
      </w:r>
      <w:r w:rsidR="00405BB2">
        <w:rPr>
          <w:lang w:val="fr-FR"/>
        </w:rPr>
        <w:t xml:space="preserve"> à traiter (CAT/C/ALB/Q/2, par. </w:t>
      </w:r>
      <w:r w:rsidRPr="004E3FA6">
        <w:rPr>
          <w:lang w:val="fr-FR"/>
        </w:rPr>
        <w:t xml:space="preserve">31). Il aimerait savoir </w:t>
      </w:r>
      <w:r>
        <w:rPr>
          <w:lang w:val="fr-FR"/>
        </w:rPr>
        <w:t>quelles mesures ont été prises</w:t>
      </w:r>
      <w:r w:rsidRPr="004E3FA6">
        <w:rPr>
          <w:lang w:val="fr-FR"/>
        </w:rPr>
        <w:t xml:space="preserve"> pour </w:t>
      </w:r>
      <w:r>
        <w:rPr>
          <w:lang w:val="fr-FR"/>
        </w:rPr>
        <w:t xml:space="preserve">appliquer </w:t>
      </w:r>
      <w:r w:rsidRPr="004E3FA6">
        <w:rPr>
          <w:lang w:val="fr-FR"/>
        </w:rPr>
        <w:t xml:space="preserve">ces recommandations. </w:t>
      </w:r>
      <w:r>
        <w:rPr>
          <w:lang w:val="fr-FR"/>
        </w:rPr>
        <w:t xml:space="preserve">Il invite la </w:t>
      </w:r>
      <w:r w:rsidRPr="004E3FA6">
        <w:rPr>
          <w:lang w:val="fr-FR"/>
        </w:rPr>
        <w:t xml:space="preserve">délégation à </w:t>
      </w:r>
      <w:r>
        <w:rPr>
          <w:lang w:val="fr-FR"/>
        </w:rPr>
        <w:t xml:space="preserve">fournir les informations déjà demandées dans la liste de points à traiter sur </w:t>
      </w:r>
      <w:r w:rsidRPr="004E3FA6">
        <w:rPr>
          <w:lang w:val="fr-FR"/>
        </w:rPr>
        <w:t xml:space="preserve">les mesures prises pour protéger les </w:t>
      </w:r>
      <w:r>
        <w:rPr>
          <w:lang w:val="fr-FR"/>
        </w:rPr>
        <w:t>détenus</w:t>
      </w:r>
      <w:r w:rsidRPr="004E3FA6">
        <w:rPr>
          <w:lang w:val="fr-FR"/>
        </w:rPr>
        <w:t xml:space="preserve"> </w:t>
      </w:r>
      <w:r>
        <w:rPr>
          <w:lang w:val="fr-FR"/>
        </w:rPr>
        <w:t>qui ont des entretiens avec</w:t>
      </w:r>
      <w:r w:rsidRPr="004E3FA6">
        <w:rPr>
          <w:lang w:val="fr-FR"/>
        </w:rPr>
        <w:t xml:space="preserve"> le </w:t>
      </w:r>
      <w:r w:rsidRPr="00772F70">
        <w:rPr>
          <w:lang w:val="fr-FR"/>
        </w:rPr>
        <w:t>m</w:t>
      </w:r>
      <w:r w:rsidRPr="004E3FA6">
        <w:rPr>
          <w:lang w:val="fr-FR"/>
        </w:rPr>
        <w:t xml:space="preserve">écanisme national de prévention (par. 33), les </w:t>
      </w:r>
      <w:r>
        <w:rPr>
          <w:lang w:val="fr-FR"/>
        </w:rPr>
        <w:t>dispositions</w:t>
      </w:r>
      <w:r w:rsidRPr="004E3FA6">
        <w:rPr>
          <w:lang w:val="fr-FR"/>
        </w:rPr>
        <w:t xml:space="preserve"> </w:t>
      </w:r>
      <w:r>
        <w:rPr>
          <w:lang w:val="fr-FR"/>
        </w:rPr>
        <w:t xml:space="preserve">garantissant </w:t>
      </w:r>
      <w:r w:rsidRPr="004E3FA6">
        <w:rPr>
          <w:lang w:val="fr-FR"/>
        </w:rPr>
        <w:t xml:space="preserve">les droits des personnes </w:t>
      </w:r>
      <w:r>
        <w:rPr>
          <w:lang w:val="fr-FR"/>
        </w:rPr>
        <w:t xml:space="preserve">internées contre leur gré en établissement </w:t>
      </w:r>
      <w:r w:rsidR="0054093E">
        <w:rPr>
          <w:lang w:val="fr-FR"/>
        </w:rPr>
        <w:t>psychiatrique (par. </w:t>
      </w:r>
      <w:r w:rsidRPr="004E3FA6">
        <w:rPr>
          <w:lang w:val="fr-FR"/>
        </w:rPr>
        <w:t xml:space="preserve">34), </w:t>
      </w:r>
      <w:r w:rsidRPr="006F22E0">
        <w:rPr>
          <w:lang w:val="fr-FR"/>
        </w:rPr>
        <w:t xml:space="preserve">les investissements dans les prisons et les autres lieux de détention </w:t>
      </w:r>
      <w:r w:rsidR="00530C75">
        <w:rPr>
          <w:lang w:val="fr-FR"/>
        </w:rPr>
        <w:t>(par. </w:t>
      </w:r>
      <w:r w:rsidRPr="004E3FA6">
        <w:rPr>
          <w:lang w:val="fr-FR"/>
        </w:rPr>
        <w:t xml:space="preserve">35) et </w:t>
      </w:r>
      <w:r w:rsidRPr="006F22E0">
        <w:rPr>
          <w:lang w:val="fr-FR"/>
        </w:rPr>
        <w:t>l</w:t>
      </w:r>
      <w:r>
        <w:rPr>
          <w:lang w:val="fr-FR"/>
        </w:rPr>
        <w:t>’</w:t>
      </w:r>
      <w:r w:rsidRPr="006F22E0">
        <w:rPr>
          <w:lang w:val="fr-FR"/>
        </w:rPr>
        <w:t>amélioration des soins médicaux dispensés dans les établissements pénitentiaires</w:t>
      </w:r>
      <w:r w:rsidRPr="004E3FA6">
        <w:rPr>
          <w:lang w:val="fr-FR"/>
        </w:rPr>
        <w:t xml:space="preserve"> (par. 36).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19.</w:t>
      </w:r>
      <w:r w:rsidRPr="004E3FA6">
        <w:rPr>
          <w:lang w:val="fr-FR"/>
        </w:rPr>
        <w:tab/>
        <w:t>En ce qui concerne l</w:t>
      </w:r>
      <w:r>
        <w:rPr>
          <w:lang w:val="fr-FR"/>
        </w:rPr>
        <w:t>’</w:t>
      </w:r>
      <w:r w:rsidRPr="004E3FA6">
        <w:rPr>
          <w:lang w:val="fr-FR"/>
        </w:rPr>
        <w:t xml:space="preserve">article 12 de la Convention, M. Gaye note avec préoccupation que les enquêtes ouvertes sur les allégations de brutalités policières sont menées par des services </w:t>
      </w:r>
      <w:r>
        <w:rPr>
          <w:lang w:val="fr-FR"/>
        </w:rPr>
        <w:t>qui relèvent</w:t>
      </w:r>
      <w:r w:rsidRPr="004E3FA6">
        <w:rPr>
          <w:lang w:val="fr-FR"/>
        </w:rPr>
        <w:t xml:space="preserve"> du Ministère de l</w:t>
      </w:r>
      <w:r>
        <w:rPr>
          <w:lang w:val="fr-FR"/>
        </w:rPr>
        <w:t>’</w:t>
      </w:r>
      <w:r w:rsidRPr="004E3FA6">
        <w:rPr>
          <w:lang w:val="fr-FR"/>
        </w:rPr>
        <w:t xml:space="preserve">intérieur, ce </w:t>
      </w:r>
      <w:r>
        <w:rPr>
          <w:lang w:val="fr-FR"/>
        </w:rPr>
        <w:t>qui compromet leur impartialité</w:t>
      </w:r>
      <w:r w:rsidRPr="004E3FA6">
        <w:rPr>
          <w:lang w:val="fr-FR"/>
        </w:rPr>
        <w:t>. Il est</w:t>
      </w:r>
      <w:r>
        <w:rPr>
          <w:lang w:val="fr-FR"/>
        </w:rPr>
        <w:t>ime</w:t>
      </w:r>
      <w:r w:rsidRPr="004E3FA6">
        <w:rPr>
          <w:lang w:val="fr-FR"/>
        </w:rPr>
        <w:t xml:space="preserve"> que ces enquêtes devraient être c</w:t>
      </w:r>
      <w:r>
        <w:rPr>
          <w:lang w:val="fr-FR"/>
        </w:rPr>
        <w:t>onfiées à un organe totalement indépendant</w:t>
      </w:r>
      <w:r w:rsidRPr="004E3FA6">
        <w:rPr>
          <w:lang w:val="fr-FR"/>
        </w:rPr>
        <w:t xml:space="preserve">. Il </w:t>
      </w:r>
      <w:r>
        <w:rPr>
          <w:lang w:val="fr-FR"/>
        </w:rPr>
        <w:t xml:space="preserve">aimerait savoir </w:t>
      </w:r>
      <w:r w:rsidRPr="004E3FA6">
        <w:rPr>
          <w:lang w:val="fr-FR"/>
        </w:rPr>
        <w:t>si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 envisage de </w:t>
      </w:r>
      <w:r>
        <w:rPr>
          <w:lang w:val="fr-FR"/>
        </w:rPr>
        <w:t xml:space="preserve">remplacer les peines d’emprisonnement par d’autres mesures </w:t>
      </w:r>
      <w:r w:rsidRPr="004E3FA6">
        <w:rPr>
          <w:lang w:val="fr-FR"/>
        </w:rPr>
        <w:t xml:space="preserve">afin </w:t>
      </w:r>
      <w:r>
        <w:rPr>
          <w:lang w:val="fr-FR"/>
        </w:rPr>
        <w:t xml:space="preserve">de remédier au </w:t>
      </w:r>
      <w:r w:rsidRPr="004E3FA6">
        <w:rPr>
          <w:lang w:val="fr-FR"/>
        </w:rPr>
        <w:t xml:space="preserve">surpeuplement dans les </w:t>
      </w:r>
      <w:r>
        <w:rPr>
          <w:lang w:val="fr-FR"/>
        </w:rPr>
        <w:t xml:space="preserve">établissements pénitentiaires </w:t>
      </w:r>
      <w:r w:rsidRPr="004E3FA6">
        <w:rPr>
          <w:lang w:val="fr-FR"/>
        </w:rPr>
        <w:t xml:space="preserve">et les centres de détention provisoire et </w:t>
      </w:r>
      <w:r>
        <w:rPr>
          <w:lang w:val="fr-FR"/>
        </w:rPr>
        <w:t xml:space="preserve">demande </w:t>
      </w:r>
      <w:r w:rsidRPr="004E3FA6">
        <w:rPr>
          <w:lang w:val="fr-FR"/>
        </w:rPr>
        <w:t xml:space="preserve">si ce </w:t>
      </w:r>
      <w:r>
        <w:rPr>
          <w:lang w:val="fr-FR"/>
        </w:rPr>
        <w:t xml:space="preserve">problème </w:t>
      </w:r>
      <w:r w:rsidRPr="004E3FA6">
        <w:rPr>
          <w:lang w:val="fr-FR"/>
        </w:rPr>
        <w:t>n</w:t>
      </w:r>
      <w:r>
        <w:rPr>
          <w:lang w:val="fr-FR"/>
        </w:rPr>
        <w:t>’</w:t>
      </w:r>
      <w:r w:rsidRPr="004E3FA6">
        <w:rPr>
          <w:lang w:val="fr-FR"/>
        </w:rPr>
        <w:t xml:space="preserve">est pas </w:t>
      </w:r>
      <w:r>
        <w:rPr>
          <w:lang w:val="fr-FR"/>
        </w:rPr>
        <w:t xml:space="preserve">lié </w:t>
      </w:r>
      <w:r w:rsidR="00BB761C">
        <w:rPr>
          <w:lang w:val="fr-FR"/>
        </w:rPr>
        <w:t>aux lenteurs de la justice.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20.</w:t>
      </w:r>
      <w:r w:rsidRPr="004E3FA6">
        <w:rPr>
          <w:lang w:val="fr-FR"/>
        </w:rPr>
        <w:tab/>
        <w:t>À propos de l</w:t>
      </w:r>
      <w:r>
        <w:rPr>
          <w:lang w:val="fr-FR"/>
        </w:rPr>
        <w:t>’</w:t>
      </w:r>
      <w:r w:rsidRPr="004E3FA6">
        <w:rPr>
          <w:lang w:val="fr-FR"/>
        </w:rPr>
        <w:t>application de l</w:t>
      </w:r>
      <w:r>
        <w:rPr>
          <w:lang w:val="fr-FR"/>
        </w:rPr>
        <w:t>’</w:t>
      </w:r>
      <w:r w:rsidRPr="004E3FA6">
        <w:rPr>
          <w:lang w:val="fr-FR"/>
        </w:rPr>
        <w:t xml:space="preserve">article 13 de la Convention, le Corapporteur note avec préoccupation que les fonctionnaires de police impliqués dans les </w:t>
      </w:r>
      <w:r>
        <w:rPr>
          <w:lang w:val="fr-FR"/>
        </w:rPr>
        <w:t xml:space="preserve">affaires de </w:t>
      </w:r>
      <w:r w:rsidRPr="004E3FA6">
        <w:rPr>
          <w:lang w:val="fr-FR"/>
        </w:rPr>
        <w:t xml:space="preserve">décès en détention </w:t>
      </w:r>
      <w:r>
        <w:rPr>
          <w:lang w:val="fr-FR"/>
        </w:rPr>
        <w:t xml:space="preserve">décrites </w:t>
      </w:r>
      <w:r w:rsidRPr="004E3FA6">
        <w:rPr>
          <w:lang w:val="fr-FR"/>
        </w:rPr>
        <w:t>au paragraphe 255 du rapport n</w:t>
      </w:r>
      <w:r>
        <w:rPr>
          <w:lang w:val="fr-FR"/>
        </w:rPr>
        <w:t>’</w:t>
      </w:r>
      <w:r w:rsidRPr="004E3FA6">
        <w:rPr>
          <w:lang w:val="fr-FR"/>
        </w:rPr>
        <w:t>ont été condamnés qu</w:t>
      </w:r>
      <w:r>
        <w:rPr>
          <w:lang w:val="fr-FR"/>
        </w:rPr>
        <w:t>’</w:t>
      </w:r>
      <w:r w:rsidRPr="004E3FA6">
        <w:rPr>
          <w:lang w:val="fr-FR"/>
        </w:rPr>
        <w:t>à</w:t>
      </w:r>
      <w:r>
        <w:rPr>
          <w:lang w:val="fr-FR"/>
        </w:rPr>
        <w:t xml:space="preserve"> trois ans d’emprisonnement. S’ils avaient été inculpés d’actes de torture </w:t>
      </w:r>
      <w:r w:rsidR="002721C3">
        <w:rPr>
          <w:lang w:val="fr-FR"/>
        </w:rPr>
        <w:t>− </w:t>
      </w:r>
      <w:r w:rsidRPr="004E3FA6">
        <w:rPr>
          <w:lang w:val="fr-FR"/>
        </w:rPr>
        <w:t xml:space="preserve">ce qui aurait été plus </w:t>
      </w:r>
      <w:r>
        <w:rPr>
          <w:lang w:val="fr-FR"/>
        </w:rPr>
        <w:t xml:space="preserve">approprié </w:t>
      </w:r>
      <w:r w:rsidRPr="004E3FA6">
        <w:rPr>
          <w:lang w:val="fr-FR"/>
        </w:rPr>
        <w:t xml:space="preserve">étant donné que </w:t>
      </w:r>
      <w:r>
        <w:rPr>
          <w:lang w:val="fr-FR"/>
        </w:rPr>
        <w:t xml:space="preserve">les </w:t>
      </w:r>
      <w:r w:rsidRPr="004E3FA6">
        <w:rPr>
          <w:lang w:val="fr-FR"/>
        </w:rPr>
        <w:t xml:space="preserve">détenus </w:t>
      </w:r>
      <w:r>
        <w:rPr>
          <w:lang w:val="fr-FR"/>
        </w:rPr>
        <w:t xml:space="preserve">sont décédés des suites du </w:t>
      </w:r>
      <w:r w:rsidRPr="004E3FA6">
        <w:rPr>
          <w:lang w:val="fr-FR"/>
        </w:rPr>
        <w:t xml:space="preserve">traitement </w:t>
      </w:r>
      <w:r>
        <w:rPr>
          <w:lang w:val="fr-FR"/>
        </w:rPr>
        <w:t>qui leur a été réservé</w:t>
      </w:r>
      <w:r w:rsidR="002721C3">
        <w:rPr>
          <w:lang w:val="fr-FR"/>
        </w:rPr>
        <w:t> −</w:t>
      </w:r>
      <w:r w:rsidRPr="004E3FA6">
        <w:rPr>
          <w:lang w:val="fr-FR"/>
        </w:rPr>
        <w:t xml:space="preserve"> les peines auraient été plus lourdes.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 </w:t>
      </w:r>
      <w:r>
        <w:rPr>
          <w:lang w:val="fr-FR"/>
        </w:rPr>
        <w:t xml:space="preserve">devrait renforcer le rôle du </w:t>
      </w:r>
      <w:r w:rsidRPr="004E3FA6">
        <w:rPr>
          <w:lang w:val="fr-FR"/>
        </w:rPr>
        <w:t>Médiateur dans la lutte contre l</w:t>
      </w:r>
      <w:r>
        <w:rPr>
          <w:lang w:val="fr-FR"/>
        </w:rPr>
        <w:t>’</w:t>
      </w:r>
      <w:r w:rsidRPr="004E3FA6">
        <w:rPr>
          <w:lang w:val="fr-FR"/>
        </w:rPr>
        <w:t xml:space="preserve">impunité et </w:t>
      </w:r>
      <w:r>
        <w:rPr>
          <w:lang w:val="fr-FR"/>
        </w:rPr>
        <w:t>redoubler d’</w:t>
      </w:r>
      <w:r w:rsidRPr="004E3FA6">
        <w:rPr>
          <w:lang w:val="fr-FR"/>
        </w:rPr>
        <w:t>efforts pour informer les d</w:t>
      </w:r>
      <w:r>
        <w:rPr>
          <w:lang w:val="fr-FR"/>
        </w:rPr>
        <w:t xml:space="preserve">étenus de leurs droits, dont celui </w:t>
      </w:r>
      <w:r w:rsidRPr="004E3FA6">
        <w:rPr>
          <w:lang w:val="fr-FR"/>
        </w:rPr>
        <w:t xml:space="preserve">de porter plainte </w:t>
      </w:r>
      <w:r>
        <w:rPr>
          <w:lang w:val="fr-FR"/>
        </w:rPr>
        <w:t>s’ils sont victimes de</w:t>
      </w:r>
      <w:r w:rsidRPr="004E3FA6">
        <w:rPr>
          <w:lang w:val="fr-FR"/>
        </w:rPr>
        <w:t xml:space="preserve"> mauvais traitements. Le Corapporteur a reçu des informations </w:t>
      </w:r>
      <w:r>
        <w:rPr>
          <w:lang w:val="fr-FR"/>
        </w:rPr>
        <w:t>montrant</w:t>
      </w:r>
      <w:r w:rsidRPr="004E3FA6">
        <w:rPr>
          <w:lang w:val="fr-FR"/>
        </w:rPr>
        <w:t xml:space="preserve"> que l</w:t>
      </w:r>
      <w:r>
        <w:rPr>
          <w:lang w:val="fr-FR"/>
        </w:rPr>
        <w:t>’</w:t>
      </w:r>
      <w:r w:rsidRPr="004E3FA6">
        <w:rPr>
          <w:lang w:val="fr-FR"/>
        </w:rPr>
        <w:t xml:space="preserve">appareil judiciaire </w:t>
      </w:r>
      <w:r>
        <w:rPr>
          <w:lang w:val="fr-FR"/>
        </w:rPr>
        <w:t xml:space="preserve">ne lutte pas assez activement </w:t>
      </w:r>
      <w:r w:rsidRPr="004E3FA6">
        <w:rPr>
          <w:lang w:val="fr-FR"/>
        </w:rPr>
        <w:t>contre l</w:t>
      </w:r>
      <w:r>
        <w:rPr>
          <w:lang w:val="fr-FR"/>
        </w:rPr>
        <w:t>’</w:t>
      </w:r>
      <w:r w:rsidRPr="004E3FA6">
        <w:rPr>
          <w:lang w:val="fr-FR"/>
        </w:rPr>
        <w:t xml:space="preserve">impunité. Il </w:t>
      </w:r>
      <w:r>
        <w:rPr>
          <w:lang w:val="fr-FR"/>
        </w:rPr>
        <w:t>faudrait donc</w:t>
      </w:r>
      <w:r w:rsidRPr="004E3FA6">
        <w:rPr>
          <w:lang w:val="fr-FR"/>
        </w:rPr>
        <w:t xml:space="preserve"> </w:t>
      </w:r>
      <w:r>
        <w:rPr>
          <w:lang w:val="fr-FR"/>
        </w:rPr>
        <w:t>garantir</w:t>
      </w:r>
      <w:r w:rsidRPr="004E3FA6">
        <w:rPr>
          <w:lang w:val="fr-FR"/>
        </w:rPr>
        <w:t xml:space="preserve"> l</w:t>
      </w:r>
      <w:r>
        <w:rPr>
          <w:lang w:val="fr-FR"/>
        </w:rPr>
        <w:t>’</w:t>
      </w:r>
      <w:r w:rsidRPr="004E3FA6">
        <w:rPr>
          <w:lang w:val="fr-FR"/>
        </w:rPr>
        <w:t xml:space="preserve">indépendance du pouvoir judiciaire et </w:t>
      </w:r>
      <w:r>
        <w:rPr>
          <w:lang w:val="fr-FR"/>
        </w:rPr>
        <w:t xml:space="preserve">veiller à ce </w:t>
      </w:r>
      <w:r w:rsidRPr="004E3FA6">
        <w:rPr>
          <w:lang w:val="fr-FR"/>
        </w:rPr>
        <w:t>qu</w:t>
      </w:r>
      <w:r>
        <w:rPr>
          <w:lang w:val="fr-FR"/>
        </w:rPr>
        <w:t xml:space="preserve">e les </w:t>
      </w:r>
      <w:r w:rsidRPr="004E3FA6">
        <w:rPr>
          <w:lang w:val="fr-FR"/>
        </w:rPr>
        <w:t>magistrats</w:t>
      </w:r>
      <w:r>
        <w:rPr>
          <w:lang w:val="fr-FR"/>
        </w:rPr>
        <w:t xml:space="preserve"> bénéficient d’</w:t>
      </w:r>
      <w:r w:rsidRPr="004E3FA6">
        <w:rPr>
          <w:lang w:val="fr-FR"/>
        </w:rPr>
        <w:t xml:space="preserve">une formation </w:t>
      </w:r>
      <w:r>
        <w:rPr>
          <w:lang w:val="fr-FR"/>
        </w:rPr>
        <w:t>adéquate dans le domaine des droits de l’homme</w:t>
      </w:r>
      <w:r w:rsidRPr="004E3FA6">
        <w:rPr>
          <w:lang w:val="fr-FR"/>
        </w:rPr>
        <w:t xml:space="preserve">. </w:t>
      </w:r>
      <w:r>
        <w:rPr>
          <w:lang w:val="fr-FR"/>
        </w:rPr>
        <w:t xml:space="preserve">De plus amples renseignements seraient souhaitables sur l’application de l’article 14 de la Convention, </w:t>
      </w:r>
      <w:r w:rsidRPr="004E3FA6">
        <w:rPr>
          <w:lang w:val="fr-FR"/>
        </w:rPr>
        <w:t xml:space="preserve">notamment </w:t>
      </w:r>
      <w:r>
        <w:rPr>
          <w:lang w:val="fr-FR"/>
        </w:rPr>
        <w:t xml:space="preserve">sur les mesures prises par les tribunaux ou d’autres organes afin d’accorder aux </w:t>
      </w:r>
      <w:r w:rsidRPr="004E3FA6">
        <w:rPr>
          <w:lang w:val="fr-FR"/>
        </w:rPr>
        <w:t xml:space="preserve">victimes de la torture, </w:t>
      </w:r>
      <w:r>
        <w:rPr>
          <w:lang w:val="fr-FR"/>
        </w:rPr>
        <w:t>y compris</w:t>
      </w:r>
      <w:r w:rsidRPr="004E3FA6">
        <w:rPr>
          <w:lang w:val="fr-FR"/>
        </w:rPr>
        <w:t xml:space="preserve"> les anciens détenus politiques, une indemnisation équitable et adéquate</w:t>
      </w:r>
      <w:r>
        <w:rPr>
          <w:lang w:val="fr-FR"/>
        </w:rPr>
        <w:t xml:space="preserve"> et sur les efforts déployés pour garantir </w:t>
      </w:r>
      <w:r w:rsidRPr="004E3FA6">
        <w:rPr>
          <w:lang w:val="fr-FR"/>
        </w:rPr>
        <w:t xml:space="preserve">leur réadaptation. 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21.</w:t>
      </w:r>
      <w:r w:rsidRPr="004E3FA6">
        <w:rPr>
          <w:lang w:val="fr-FR"/>
        </w:rPr>
        <w:tab/>
        <w:t>En ce qui concerne l</w:t>
      </w:r>
      <w:r>
        <w:rPr>
          <w:lang w:val="fr-FR"/>
        </w:rPr>
        <w:t>’</w:t>
      </w:r>
      <w:r w:rsidRPr="004E3FA6">
        <w:rPr>
          <w:lang w:val="fr-FR"/>
        </w:rPr>
        <w:t xml:space="preserve">article 15 de la Convention, </w:t>
      </w:r>
      <w:r>
        <w:rPr>
          <w:lang w:val="fr-FR"/>
        </w:rPr>
        <w:t>M. Gaye</w:t>
      </w:r>
      <w:r w:rsidRPr="004E3FA6">
        <w:rPr>
          <w:lang w:val="fr-FR"/>
        </w:rPr>
        <w:t xml:space="preserve"> </w:t>
      </w:r>
      <w:r>
        <w:rPr>
          <w:lang w:val="fr-FR"/>
        </w:rPr>
        <w:t>note</w:t>
      </w:r>
      <w:r w:rsidRPr="004E3FA6">
        <w:rPr>
          <w:lang w:val="fr-FR"/>
        </w:rPr>
        <w:t xml:space="preserve"> qu</w:t>
      </w:r>
      <w:r>
        <w:rPr>
          <w:lang w:val="fr-FR"/>
        </w:rPr>
        <w:t>’</w:t>
      </w:r>
      <w:r w:rsidRPr="004E3FA6">
        <w:rPr>
          <w:lang w:val="fr-FR"/>
        </w:rPr>
        <w:t xml:space="preserve">aucune disposition </w:t>
      </w:r>
      <w:r>
        <w:rPr>
          <w:lang w:val="fr-FR"/>
        </w:rPr>
        <w:t xml:space="preserve">interdisant </w:t>
      </w:r>
      <w:r w:rsidRPr="004E3FA6">
        <w:rPr>
          <w:lang w:val="fr-FR"/>
        </w:rPr>
        <w:t>expressément l</w:t>
      </w:r>
      <w:r>
        <w:rPr>
          <w:lang w:val="fr-FR"/>
        </w:rPr>
        <w:t>’</w:t>
      </w:r>
      <w:r w:rsidRPr="004E3FA6">
        <w:rPr>
          <w:lang w:val="fr-FR"/>
        </w:rPr>
        <w:t>utilisation d</w:t>
      </w:r>
      <w:r>
        <w:rPr>
          <w:lang w:val="fr-FR"/>
        </w:rPr>
        <w:t>’</w:t>
      </w:r>
      <w:r w:rsidRPr="004E3FA6">
        <w:rPr>
          <w:lang w:val="fr-FR"/>
        </w:rPr>
        <w:t>éléments de preuve obtenus par la torture</w:t>
      </w:r>
      <w:r>
        <w:rPr>
          <w:lang w:val="fr-FR"/>
        </w:rPr>
        <w:t xml:space="preserve"> dans le cadre d’une procédure </w:t>
      </w:r>
      <w:r w:rsidRPr="004E3FA6">
        <w:rPr>
          <w:lang w:val="fr-FR"/>
        </w:rPr>
        <w:t>n</w:t>
      </w:r>
      <w:r>
        <w:rPr>
          <w:lang w:val="fr-FR"/>
        </w:rPr>
        <w:t>’</w:t>
      </w:r>
      <w:r w:rsidRPr="004E3FA6">
        <w:rPr>
          <w:lang w:val="fr-FR"/>
        </w:rPr>
        <w:t xml:space="preserve">a été introduite dans le droit interne. Il aimerait savoir quelles mesures ont été prises afin que ces </w:t>
      </w:r>
      <w:r>
        <w:rPr>
          <w:lang w:val="fr-FR"/>
        </w:rPr>
        <w:t>moyens</w:t>
      </w:r>
      <w:r w:rsidRPr="004E3FA6">
        <w:rPr>
          <w:lang w:val="fr-FR"/>
        </w:rPr>
        <w:t xml:space="preserve"> de preuve ne puissent être considérés c</w:t>
      </w:r>
      <w:r w:rsidR="00374EDC">
        <w:rPr>
          <w:lang w:val="fr-FR"/>
        </w:rPr>
        <w:t xml:space="preserve">omme recevables et si l’article </w:t>
      </w:r>
      <w:r w:rsidRPr="004E3FA6">
        <w:rPr>
          <w:lang w:val="fr-FR"/>
        </w:rPr>
        <w:t xml:space="preserve">15 de la Convention a déjà été invoqué devant les tribunaux albanais. Enfin, </w:t>
      </w:r>
      <w:r>
        <w:rPr>
          <w:lang w:val="fr-FR"/>
        </w:rPr>
        <w:t xml:space="preserve">il </w:t>
      </w:r>
      <w:r w:rsidRPr="004E3FA6">
        <w:rPr>
          <w:lang w:val="fr-FR"/>
        </w:rPr>
        <w:t xml:space="preserve">accueille avec satisfaction les mesures </w:t>
      </w:r>
      <w:r>
        <w:rPr>
          <w:lang w:val="fr-FR"/>
        </w:rPr>
        <w:t>adoptées</w:t>
      </w:r>
      <w:r w:rsidRPr="004E3FA6">
        <w:rPr>
          <w:lang w:val="fr-FR"/>
        </w:rPr>
        <w:t xml:space="preserve"> par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 </w:t>
      </w:r>
      <w:r>
        <w:rPr>
          <w:lang w:val="fr-FR"/>
        </w:rPr>
        <w:t>afin de</w:t>
      </w:r>
      <w:r w:rsidRPr="004E3FA6">
        <w:rPr>
          <w:lang w:val="fr-FR"/>
        </w:rPr>
        <w:t xml:space="preserve"> prévenir la violence dans la famille et </w:t>
      </w:r>
      <w:r>
        <w:rPr>
          <w:lang w:val="fr-FR"/>
        </w:rPr>
        <w:t xml:space="preserve">dit que </w:t>
      </w:r>
      <w:r w:rsidRPr="004E3FA6">
        <w:rPr>
          <w:lang w:val="fr-FR"/>
        </w:rPr>
        <w:t xml:space="preserve">de plus amples informations sur les résultats </w:t>
      </w:r>
      <w:r>
        <w:rPr>
          <w:lang w:val="fr-FR"/>
        </w:rPr>
        <w:t>auxquels</w:t>
      </w:r>
      <w:r w:rsidRPr="004E3FA6">
        <w:rPr>
          <w:lang w:val="fr-FR"/>
        </w:rPr>
        <w:t xml:space="preserve"> ces mesures</w:t>
      </w:r>
      <w:r>
        <w:rPr>
          <w:lang w:val="fr-FR"/>
        </w:rPr>
        <w:t xml:space="preserve"> ont abouti seraient bienvenues</w:t>
      </w:r>
      <w:r w:rsidRPr="004E3FA6">
        <w:rPr>
          <w:lang w:val="fr-FR"/>
        </w:rPr>
        <w:t xml:space="preserve">. Il souhaiterait en outre recevoir des statistiques sur </w:t>
      </w:r>
      <w:r>
        <w:rPr>
          <w:lang w:val="fr-FR"/>
        </w:rPr>
        <w:t xml:space="preserve">les affaires de </w:t>
      </w:r>
      <w:r w:rsidRPr="004E3FA6">
        <w:rPr>
          <w:lang w:val="fr-FR"/>
        </w:rPr>
        <w:t xml:space="preserve">profilage ethnique, </w:t>
      </w:r>
      <w:r>
        <w:rPr>
          <w:lang w:val="fr-FR"/>
        </w:rPr>
        <w:t xml:space="preserve">de </w:t>
      </w:r>
      <w:r w:rsidRPr="004E3FA6">
        <w:rPr>
          <w:lang w:val="fr-FR"/>
        </w:rPr>
        <w:t xml:space="preserve">mauvais traitements et </w:t>
      </w:r>
      <w:r>
        <w:rPr>
          <w:lang w:val="fr-FR"/>
        </w:rPr>
        <w:t xml:space="preserve">d’utilisation injustifiée de </w:t>
      </w:r>
      <w:r w:rsidRPr="004E3FA6">
        <w:rPr>
          <w:lang w:val="fr-FR"/>
        </w:rPr>
        <w:t xml:space="preserve">la force par la police, en particulier </w:t>
      </w:r>
      <w:r>
        <w:rPr>
          <w:lang w:val="fr-FR"/>
        </w:rPr>
        <w:t xml:space="preserve">les affaires dans lesquelles les victimes étaient de </w:t>
      </w:r>
      <w:r w:rsidRPr="004E3FA6">
        <w:rPr>
          <w:lang w:val="fr-FR"/>
        </w:rPr>
        <w:t xml:space="preserve">jeunes </w:t>
      </w:r>
      <w:r>
        <w:rPr>
          <w:lang w:val="fr-FR"/>
        </w:rPr>
        <w:t>R</w:t>
      </w:r>
      <w:r w:rsidRPr="004E3FA6">
        <w:rPr>
          <w:lang w:val="fr-FR"/>
        </w:rPr>
        <w:t>om</w:t>
      </w:r>
      <w:r>
        <w:rPr>
          <w:lang w:val="fr-FR"/>
        </w:rPr>
        <w:t>s</w:t>
      </w:r>
      <w:r w:rsidRPr="004E3FA6">
        <w:rPr>
          <w:lang w:val="fr-FR"/>
        </w:rPr>
        <w:t xml:space="preserve">, et les mesures prises pour prévenir ces actes </w:t>
      </w:r>
      <w:r>
        <w:rPr>
          <w:lang w:val="fr-FR"/>
        </w:rPr>
        <w:t>discriminatoires</w:t>
      </w:r>
      <w:r w:rsidRPr="004E3FA6">
        <w:rPr>
          <w:lang w:val="fr-FR"/>
        </w:rPr>
        <w:t>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22.</w:t>
      </w:r>
      <w:r w:rsidRPr="004E3FA6">
        <w:rPr>
          <w:lang w:val="fr-FR"/>
        </w:rPr>
        <w:tab/>
      </w:r>
      <w:r w:rsidRPr="004E3FA6">
        <w:rPr>
          <w:b/>
          <w:lang w:val="fr-FR"/>
        </w:rPr>
        <w:t>M.</w:t>
      </w:r>
      <w:r w:rsidR="00EB50E2">
        <w:rPr>
          <w:b/>
          <w:lang w:val="fr-FR"/>
        </w:rPr>
        <w:t> </w:t>
      </w:r>
      <w:r w:rsidRPr="004E3FA6">
        <w:rPr>
          <w:b/>
          <w:lang w:val="fr-FR"/>
        </w:rPr>
        <w:t>Bruni</w:t>
      </w:r>
      <w:r w:rsidRPr="004E3FA6">
        <w:rPr>
          <w:lang w:val="fr-FR"/>
        </w:rPr>
        <w:t>, notant avec satisfaction qu</w:t>
      </w:r>
      <w:r>
        <w:rPr>
          <w:lang w:val="fr-FR"/>
        </w:rPr>
        <w:t>’</w:t>
      </w:r>
      <w:r w:rsidRPr="004E3FA6">
        <w:rPr>
          <w:lang w:val="fr-FR"/>
        </w:rPr>
        <w:t xml:space="preserve">un </w:t>
      </w:r>
      <w:r>
        <w:rPr>
          <w:lang w:val="fr-FR"/>
        </w:rPr>
        <w:t xml:space="preserve">grand </w:t>
      </w:r>
      <w:r w:rsidRPr="004E3FA6">
        <w:rPr>
          <w:lang w:val="fr-FR"/>
        </w:rPr>
        <w:t>nombre d</w:t>
      </w:r>
      <w:r>
        <w:rPr>
          <w:lang w:val="fr-FR"/>
        </w:rPr>
        <w:t>’</w:t>
      </w:r>
      <w:r w:rsidRPr="004E3FA6">
        <w:rPr>
          <w:lang w:val="fr-FR"/>
        </w:rPr>
        <w:t xml:space="preserve">institutions telles que le Médiateur et diverses composantes de la société civile ont été consultées </w:t>
      </w:r>
      <w:r>
        <w:rPr>
          <w:lang w:val="fr-FR"/>
        </w:rPr>
        <w:t xml:space="preserve">lors de </w:t>
      </w:r>
      <w:r w:rsidRPr="004E3FA6">
        <w:rPr>
          <w:lang w:val="fr-FR"/>
        </w:rPr>
        <w:t>l</w:t>
      </w:r>
      <w:r>
        <w:rPr>
          <w:lang w:val="fr-FR"/>
        </w:rPr>
        <w:t>’</w:t>
      </w:r>
      <w:r w:rsidRPr="004E3FA6">
        <w:rPr>
          <w:lang w:val="fr-FR"/>
        </w:rPr>
        <w:t xml:space="preserve">élaboration du rapport, </w:t>
      </w:r>
      <w:r>
        <w:rPr>
          <w:lang w:val="fr-FR"/>
        </w:rPr>
        <w:t xml:space="preserve">demande </w:t>
      </w:r>
      <w:r w:rsidRPr="004E3FA6">
        <w:rPr>
          <w:lang w:val="fr-FR"/>
        </w:rPr>
        <w:t xml:space="preserve">si des consultations similaires seront organisées </w:t>
      </w:r>
      <w:r>
        <w:rPr>
          <w:lang w:val="fr-FR"/>
        </w:rPr>
        <w:t xml:space="preserve">dans le cadre </w:t>
      </w:r>
      <w:r w:rsidRPr="004E3FA6">
        <w:rPr>
          <w:lang w:val="fr-FR"/>
        </w:rPr>
        <w:t xml:space="preserve">de </w:t>
      </w:r>
      <w:r>
        <w:rPr>
          <w:lang w:val="fr-FR"/>
        </w:rPr>
        <w:t xml:space="preserve">l’application des </w:t>
      </w:r>
      <w:r w:rsidRPr="004E3FA6">
        <w:rPr>
          <w:lang w:val="fr-FR"/>
        </w:rPr>
        <w:t xml:space="preserve">recommandations du Comité. Il </w:t>
      </w:r>
      <w:r>
        <w:rPr>
          <w:lang w:val="fr-FR"/>
        </w:rPr>
        <w:t>aimerait savoir</w:t>
      </w:r>
      <w:r w:rsidRPr="004E3FA6">
        <w:rPr>
          <w:lang w:val="fr-FR"/>
        </w:rPr>
        <w:t xml:space="preserve"> si l</w:t>
      </w:r>
      <w:r>
        <w:rPr>
          <w:lang w:val="fr-FR"/>
        </w:rPr>
        <w:t>’</w:t>
      </w:r>
      <w:r w:rsidRPr="004E3FA6">
        <w:rPr>
          <w:lang w:val="fr-FR"/>
        </w:rPr>
        <w:t>Albanie envisage de faire la déclaration prévue à l</w:t>
      </w:r>
      <w:r>
        <w:rPr>
          <w:lang w:val="fr-FR"/>
        </w:rPr>
        <w:t>’</w:t>
      </w:r>
      <w:r w:rsidRPr="004E3FA6">
        <w:rPr>
          <w:lang w:val="fr-FR"/>
        </w:rPr>
        <w:t>article 22 de la Convention et</w:t>
      </w:r>
      <w:r>
        <w:rPr>
          <w:lang w:val="fr-FR"/>
        </w:rPr>
        <w:t xml:space="preserve">, par là-même, </w:t>
      </w:r>
      <w:r w:rsidRPr="004E3FA6">
        <w:rPr>
          <w:lang w:val="fr-FR"/>
        </w:rPr>
        <w:t xml:space="preserve">de reconnaître la compétence du Comité pour recevoir et examiner des communications. Il </w:t>
      </w:r>
      <w:r>
        <w:rPr>
          <w:lang w:val="fr-FR"/>
        </w:rPr>
        <w:t>souhaiterait</w:t>
      </w:r>
      <w:r w:rsidRPr="004E3FA6">
        <w:rPr>
          <w:lang w:val="fr-FR"/>
        </w:rPr>
        <w:t xml:space="preserve"> recevoir des renseignements sur le résultat des visites </w:t>
      </w:r>
      <w:r>
        <w:rPr>
          <w:lang w:val="fr-FR"/>
        </w:rPr>
        <w:t xml:space="preserve">que </w:t>
      </w:r>
      <w:r w:rsidRPr="004E3FA6">
        <w:rPr>
          <w:lang w:val="fr-FR"/>
        </w:rPr>
        <w:t xml:space="preserve">le </w:t>
      </w:r>
      <w:r w:rsidRPr="00772F70">
        <w:rPr>
          <w:lang w:val="fr-FR"/>
        </w:rPr>
        <w:t>m</w:t>
      </w:r>
      <w:r w:rsidRPr="004E3FA6">
        <w:rPr>
          <w:lang w:val="fr-FR"/>
        </w:rPr>
        <w:t>écanisme national de prévention</w:t>
      </w:r>
      <w:r>
        <w:rPr>
          <w:lang w:val="fr-FR"/>
        </w:rPr>
        <w:t xml:space="preserve"> a effectuées dans les lieux de détention</w:t>
      </w:r>
      <w:r w:rsidR="00AD57BB">
        <w:rPr>
          <w:lang w:val="fr-FR"/>
        </w:rPr>
        <w:t>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23.</w:t>
      </w:r>
      <w:r w:rsidRPr="004E3FA6">
        <w:rPr>
          <w:lang w:val="fr-FR"/>
        </w:rPr>
        <w:tab/>
        <w:t xml:space="preserve">Se référant au paragraphe 74 du rapport, </w:t>
      </w:r>
      <w:r>
        <w:rPr>
          <w:lang w:val="fr-FR"/>
        </w:rPr>
        <w:t>qui traite de</w:t>
      </w:r>
      <w:r w:rsidRPr="004E3FA6">
        <w:rPr>
          <w:lang w:val="fr-FR"/>
        </w:rPr>
        <w:t xml:space="preserve"> l</w:t>
      </w:r>
      <w:r>
        <w:rPr>
          <w:lang w:val="fr-FR"/>
        </w:rPr>
        <w:t>’</w:t>
      </w:r>
      <w:r w:rsidRPr="004E3FA6">
        <w:rPr>
          <w:lang w:val="fr-FR"/>
        </w:rPr>
        <w:t>asile, M. Bruni demande si l</w:t>
      </w:r>
      <w:r>
        <w:rPr>
          <w:lang w:val="fr-FR"/>
        </w:rPr>
        <w:t>’</w:t>
      </w:r>
      <w:r w:rsidRPr="004E3FA6">
        <w:rPr>
          <w:lang w:val="fr-FR"/>
        </w:rPr>
        <w:t xml:space="preserve">Albanie </w:t>
      </w:r>
      <w:r w:rsidRPr="006F22E0">
        <w:rPr>
          <w:lang w:val="fr-FR"/>
        </w:rPr>
        <w:t>considère la Convention comme la base juridique de l</w:t>
      </w:r>
      <w:r>
        <w:rPr>
          <w:lang w:val="fr-FR"/>
        </w:rPr>
        <w:t>’</w:t>
      </w:r>
      <w:r w:rsidRPr="006F22E0">
        <w:rPr>
          <w:lang w:val="fr-FR"/>
        </w:rPr>
        <w:t>extradition</w:t>
      </w:r>
      <w:r w:rsidR="00E73EE6">
        <w:rPr>
          <w:lang w:val="fr-FR"/>
        </w:rPr>
        <w:t xml:space="preserve"> </w:t>
      </w:r>
      <w:r>
        <w:rPr>
          <w:lang w:val="fr-FR"/>
        </w:rPr>
        <w:t xml:space="preserve">lorsqu’elle n’a </w:t>
      </w:r>
      <w:r w:rsidRPr="004E3FA6">
        <w:rPr>
          <w:lang w:val="fr-FR"/>
        </w:rPr>
        <w:t xml:space="preserve">pas </w:t>
      </w:r>
      <w:r>
        <w:rPr>
          <w:lang w:val="fr-FR"/>
        </w:rPr>
        <w:t xml:space="preserve">conclu </w:t>
      </w:r>
      <w:r w:rsidRPr="004E3FA6">
        <w:rPr>
          <w:lang w:val="fr-FR"/>
        </w:rPr>
        <w:t>d</w:t>
      </w:r>
      <w:r>
        <w:rPr>
          <w:lang w:val="fr-FR"/>
        </w:rPr>
        <w:t>’</w:t>
      </w:r>
      <w:r w:rsidRPr="004E3FA6">
        <w:rPr>
          <w:lang w:val="fr-FR"/>
        </w:rPr>
        <w:t xml:space="preserve">accord </w:t>
      </w:r>
      <w:r>
        <w:rPr>
          <w:lang w:val="fr-FR"/>
        </w:rPr>
        <w:t xml:space="preserve">d’extradition </w:t>
      </w:r>
      <w:r w:rsidRPr="004E3FA6">
        <w:rPr>
          <w:lang w:val="fr-FR"/>
        </w:rPr>
        <w:t xml:space="preserve">avec un État, </w:t>
      </w:r>
      <w:r>
        <w:rPr>
          <w:lang w:val="fr-FR"/>
        </w:rPr>
        <w:t xml:space="preserve">conformément aux dispositions de </w:t>
      </w:r>
      <w:r w:rsidRPr="006F22E0">
        <w:rPr>
          <w:lang w:val="fr-FR"/>
        </w:rPr>
        <w:t>l</w:t>
      </w:r>
      <w:r>
        <w:rPr>
          <w:lang w:val="fr-FR"/>
        </w:rPr>
        <w:t>’</w:t>
      </w:r>
      <w:r w:rsidRPr="006F22E0">
        <w:rPr>
          <w:lang w:val="fr-FR"/>
        </w:rPr>
        <w:t>article 8</w:t>
      </w:r>
      <w:r w:rsidRPr="004E3FA6">
        <w:rPr>
          <w:lang w:val="fr-FR"/>
        </w:rPr>
        <w:t xml:space="preserve"> de la Convention. Il aimerait savoir si une suite a été donnée à la circulaire </w:t>
      </w:r>
      <w:r>
        <w:rPr>
          <w:lang w:val="fr-FR"/>
        </w:rPr>
        <w:t>relative aux</w:t>
      </w:r>
      <w:r w:rsidRPr="004E3FA6">
        <w:rPr>
          <w:lang w:val="fr-FR"/>
        </w:rPr>
        <w:t xml:space="preserve"> observations finales du Comité</w:t>
      </w:r>
      <w:r>
        <w:rPr>
          <w:lang w:val="fr-FR"/>
        </w:rPr>
        <w:t xml:space="preserve"> dont il est question au paragraphe 157 du rapport</w:t>
      </w:r>
      <w:r w:rsidRPr="004E3FA6">
        <w:rPr>
          <w:lang w:val="fr-FR"/>
        </w:rPr>
        <w:t xml:space="preserve">. </w:t>
      </w:r>
      <w:r>
        <w:rPr>
          <w:lang w:val="fr-FR"/>
        </w:rPr>
        <w:t xml:space="preserve">En outre, il souhaiterait </w:t>
      </w:r>
      <w:r w:rsidRPr="004E3FA6">
        <w:rPr>
          <w:lang w:val="fr-FR"/>
        </w:rPr>
        <w:t xml:space="preserve">recevoir de plus amples informations </w:t>
      </w:r>
      <w:r w:rsidR="001359CE">
        <w:rPr>
          <w:lang w:val="fr-FR"/>
        </w:rPr>
        <w:t xml:space="preserve">sur </w:t>
      </w:r>
      <w:r>
        <w:rPr>
          <w:lang w:val="fr-FR"/>
        </w:rPr>
        <w:t>les</w:t>
      </w:r>
      <w:r w:rsidRPr="004E3FA6">
        <w:rPr>
          <w:lang w:val="fr-FR"/>
        </w:rPr>
        <w:t xml:space="preserve"> huit décès en détention enregistrés en 2011 </w:t>
      </w:r>
      <w:r>
        <w:rPr>
          <w:lang w:val="fr-FR"/>
        </w:rPr>
        <w:t xml:space="preserve">qui ont été signalés par </w:t>
      </w:r>
      <w:r w:rsidRPr="004E3FA6">
        <w:rPr>
          <w:lang w:val="fr-FR"/>
        </w:rPr>
        <w:t xml:space="preserve">des ONG et sur les mesures prises pour </w:t>
      </w:r>
      <w:r>
        <w:rPr>
          <w:lang w:val="fr-FR"/>
        </w:rPr>
        <w:t>faire face à ce problème</w:t>
      </w:r>
      <w:r w:rsidRPr="004E3FA6">
        <w:rPr>
          <w:lang w:val="fr-FR"/>
        </w:rPr>
        <w:t xml:space="preserve">. Se référant au paragraphe 98 du rapport </w:t>
      </w:r>
      <w:r>
        <w:rPr>
          <w:lang w:val="fr-FR"/>
        </w:rPr>
        <w:t xml:space="preserve">établi par </w:t>
      </w:r>
      <w:r w:rsidRPr="004E3FA6">
        <w:rPr>
          <w:lang w:val="fr-FR"/>
        </w:rPr>
        <w:t>le CPT à la suite de</w:t>
      </w:r>
      <w:r>
        <w:rPr>
          <w:lang w:val="fr-FR"/>
        </w:rPr>
        <w:t xml:space="preserve"> la </w:t>
      </w:r>
      <w:r w:rsidRPr="004E3FA6">
        <w:rPr>
          <w:lang w:val="fr-FR"/>
        </w:rPr>
        <w:t xml:space="preserve">visite </w:t>
      </w:r>
      <w:r w:rsidR="0058573F">
        <w:rPr>
          <w:lang w:val="fr-FR"/>
        </w:rPr>
        <w:t xml:space="preserve">qu’il a effectuée en mai </w:t>
      </w:r>
      <w:r w:rsidRPr="004E3FA6">
        <w:rPr>
          <w:lang w:val="fr-FR"/>
        </w:rPr>
        <w:t>2010</w:t>
      </w:r>
      <w:r>
        <w:rPr>
          <w:lang w:val="fr-FR"/>
        </w:rPr>
        <w:t xml:space="preserve"> dans l’État partie</w:t>
      </w:r>
      <w:r w:rsidRPr="004E3FA6">
        <w:rPr>
          <w:lang w:val="fr-FR"/>
        </w:rPr>
        <w:t>, M.</w:t>
      </w:r>
      <w:r w:rsidR="00C64733">
        <w:rPr>
          <w:lang w:val="fr-FR"/>
        </w:rPr>
        <w:t> </w:t>
      </w:r>
      <w:r w:rsidRPr="004E3FA6">
        <w:rPr>
          <w:lang w:val="fr-FR"/>
        </w:rPr>
        <w:t xml:space="preserve">Bruni demande si </w:t>
      </w:r>
      <w:r>
        <w:rPr>
          <w:lang w:val="fr-FR"/>
        </w:rPr>
        <w:t>les autorités albanaises prévoient</w:t>
      </w:r>
      <w:r w:rsidRPr="004E3FA6">
        <w:rPr>
          <w:lang w:val="fr-FR"/>
        </w:rPr>
        <w:t xml:space="preserve"> </w:t>
      </w:r>
      <w:r>
        <w:rPr>
          <w:lang w:val="fr-FR"/>
        </w:rPr>
        <w:t xml:space="preserve">d’abroger les dispositions autorisant </w:t>
      </w:r>
      <w:r w:rsidRPr="004E3FA6">
        <w:rPr>
          <w:lang w:val="fr-FR"/>
        </w:rPr>
        <w:t>le placement de mineurs en cellule d</w:t>
      </w:r>
      <w:r w:rsidR="008105AF">
        <w:rPr>
          <w:lang w:val="fr-FR"/>
        </w:rPr>
        <w:t>isciplinaire pendant dix jours.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24.</w:t>
      </w:r>
      <w:r w:rsidRPr="004E3FA6">
        <w:rPr>
          <w:lang w:val="fr-FR"/>
        </w:rPr>
        <w:tab/>
      </w:r>
      <w:r w:rsidRPr="00DF5D8F">
        <w:rPr>
          <w:b/>
          <w:lang w:val="fr-FR"/>
        </w:rPr>
        <w:t>M</w:t>
      </w:r>
      <w:r w:rsidRPr="00DF5D8F">
        <w:rPr>
          <w:b/>
          <w:vertAlign w:val="superscript"/>
          <w:lang w:val="fr-FR"/>
        </w:rPr>
        <w:t>me</w:t>
      </w:r>
      <w:r w:rsidRPr="00DF5D8F">
        <w:rPr>
          <w:b/>
          <w:lang w:val="fr-FR"/>
        </w:rPr>
        <w:t> </w:t>
      </w:r>
      <w:r w:rsidRPr="004E3FA6">
        <w:rPr>
          <w:b/>
          <w:lang w:val="fr-FR"/>
        </w:rPr>
        <w:t>Belmir</w:t>
      </w:r>
      <w:r w:rsidRPr="004E3FA6">
        <w:rPr>
          <w:lang w:val="fr-FR"/>
        </w:rPr>
        <w:t xml:space="preserve">, </w:t>
      </w:r>
      <w:r>
        <w:rPr>
          <w:lang w:val="fr-FR"/>
        </w:rPr>
        <w:t xml:space="preserve">notant que </w:t>
      </w:r>
      <w:r w:rsidRPr="004E3FA6">
        <w:rPr>
          <w:lang w:val="fr-FR"/>
        </w:rPr>
        <w:t>le système judiciaire albanais</w:t>
      </w:r>
      <w:r>
        <w:rPr>
          <w:lang w:val="fr-FR"/>
        </w:rPr>
        <w:t xml:space="preserve"> comporte des lacunes telles que </w:t>
      </w:r>
      <w:r w:rsidRPr="004E3FA6">
        <w:rPr>
          <w:lang w:val="fr-FR"/>
        </w:rPr>
        <w:t>l</w:t>
      </w:r>
      <w:r>
        <w:rPr>
          <w:lang w:val="fr-FR"/>
        </w:rPr>
        <w:t>’</w:t>
      </w:r>
      <w:r w:rsidRPr="004E3FA6">
        <w:rPr>
          <w:lang w:val="fr-FR"/>
        </w:rPr>
        <w:t>absence</w:t>
      </w:r>
      <w:r>
        <w:rPr>
          <w:lang w:val="fr-FR"/>
        </w:rPr>
        <w:t xml:space="preserve"> de tribunaux pour mineurs et de ligne de démarcation claire entre </w:t>
      </w:r>
      <w:r w:rsidRPr="004E3FA6">
        <w:rPr>
          <w:lang w:val="fr-FR"/>
        </w:rPr>
        <w:t xml:space="preserve">le droit pénal et le droit pénal militaire, </w:t>
      </w:r>
      <w:r>
        <w:rPr>
          <w:lang w:val="fr-FR"/>
        </w:rPr>
        <w:t xml:space="preserve">invite la délégation à donner </w:t>
      </w:r>
      <w:r w:rsidRPr="004E3FA6">
        <w:rPr>
          <w:lang w:val="fr-FR"/>
        </w:rPr>
        <w:t xml:space="preserve">des </w:t>
      </w:r>
      <w:r>
        <w:rPr>
          <w:lang w:val="fr-FR"/>
        </w:rPr>
        <w:t xml:space="preserve">informations récentes </w:t>
      </w:r>
      <w:r w:rsidRPr="004E3FA6">
        <w:rPr>
          <w:lang w:val="fr-FR"/>
        </w:rPr>
        <w:t xml:space="preserve">sur les </w:t>
      </w:r>
      <w:r>
        <w:rPr>
          <w:lang w:val="fr-FR"/>
        </w:rPr>
        <w:t xml:space="preserve">mesures prises pour faire figurer une </w:t>
      </w:r>
      <w:r w:rsidRPr="004E3FA6">
        <w:rPr>
          <w:lang w:val="fr-FR"/>
        </w:rPr>
        <w:t>définition de l</w:t>
      </w:r>
      <w:r>
        <w:rPr>
          <w:lang w:val="fr-FR"/>
        </w:rPr>
        <w:t>’</w:t>
      </w:r>
      <w:r w:rsidRPr="004E3FA6">
        <w:rPr>
          <w:lang w:val="fr-FR"/>
        </w:rPr>
        <w:t xml:space="preserve">enfant </w:t>
      </w:r>
      <w:r>
        <w:rPr>
          <w:lang w:val="fr-FR"/>
        </w:rPr>
        <w:t xml:space="preserve">dans le droit interne </w:t>
      </w:r>
      <w:r w:rsidRPr="004E3FA6">
        <w:rPr>
          <w:lang w:val="fr-FR"/>
        </w:rPr>
        <w:t>et combattre la traite des mineurs ainsi que sur d</w:t>
      </w:r>
      <w:r>
        <w:rPr>
          <w:lang w:val="fr-FR"/>
        </w:rPr>
        <w:t>’</w:t>
      </w:r>
      <w:r w:rsidRPr="004E3FA6">
        <w:rPr>
          <w:lang w:val="fr-FR"/>
        </w:rPr>
        <w:t xml:space="preserve">autres </w:t>
      </w:r>
      <w:r>
        <w:rPr>
          <w:lang w:val="fr-FR"/>
        </w:rPr>
        <w:t>problèmes</w:t>
      </w:r>
      <w:r w:rsidRPr="004E3FA6">
        <w:rPr>
          <w:lang w:val="fr-FR"/>
        </w:rPr>
        <w:t xml:space="preserve"> préocc</w:t>
      </w:r>
      <w:r>
        <w:rPr>
          <w:lang w:val="fr-FR"/>
        </w:rPr>
        <w:t xml:space="preserve">upants, dont </w:t>
      </w:r>
      <w:r w:rsidRPr="004E3FA6">
        <w:rPr>
          <w:lang w:val="fr-FR"/>
        </w:rPr>
        <w:t>les crimes d</w:t>
      </w:r>
      <w:r>
        <w:rPr>
          <w:lang w:val="fr-FR"/>
        </w:rPr>
        <w:t>’</w:t>
      </w:r>
      <w:r w:rsidRPr="004E3FA6">
        <w:rPr>
          <w:lang w:val="fr-FR"/>
        </w:rPr>
        <w:t xml:space="preserve">honneur </w:t>
      </w:r>
      <w:r w:rsidR="008105AF">
        <w:rPr>
          <w:lang w:val="fr-FR"/>
        </w:rPr>
        <w:t>et la violence dans la famille.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25.</w:t>
      </w:r>
      <w:r w:rsidRPr="004E3FA6">
        <w:rPr>
          <w:lang w:val="fr-FR"/>
        </w:rPr>
        <w:tab/>
      </w:r>
      <w:r w:rsidR="00E73EE6">
        <w:rPr>
          <w:b/>
          <w:lang w:val="fr-FR"/>
        </w:rPr>
        <w:t>M. </w:t>
      </w:r>
      <w:r w:rsidRPr="004E3FA6">
        <w:rPr>
          <w:b/>
          <w:lang w:val="fr-FR"/>
        </w:rPr>
        <w:t>Mariño Menéndez</w:t>
      </w:r>
      <w:r w:rsidRPr="004E3FA6">
        <w:rPr>
          <w:lang w:val="fr-FR"/>
        </w:rPr>
        <w:t xml:space="preserve"> demande si les personnes </w:t>
      </w:r>
      <w:r>
        <w:rPr>
          <w:lang w:val="fr-FR"/>
        </w:rPr>
        <w:t>placées</w:t>
      </w:r>
      <w:r w:rsidRPr="004E3FA6">
        <w:rPr>
          <w:lang w:val="fr-FR"/>
        </w:rPr>
        <w:t xml:space="preserve"> en garde à vue peuvent être </w:t>
      </w:r>
      <w:r>
        <w:rPr>
          <w:lang w:val="fr-FR"/>
        </w:rPr>
        <w:t>mises</w:t>
      </w:r>
      <w:r w:rsidRPr="004E3FA6">
        <w:rPr>
          <w:lang w:val="fr-FR"/>
        </w:rPr>
        <w:t xml:space="preserve"> à l</w:t>
      </w:r>
      <w:r>
        <w:rPr>
          <w:lang w:val="fr-FR"/>
        </w:rPr>
        <w:t>’</w:t>
      </w:r>
      <w:r w:rsidRPr="004E3FA6">
        <w:rPr>
          <w:lang w:val="fr-FR"/>
        </w:rPr>
        <w:t xml:space="preserve">isolement ou si cette mesure </w:t>
      </w:r>
      <w:r>
        <w:rPr>
          <w:lang w:val="fr-FR"/>
        </w:rPr>
        <w:t xml:space="preserve">n’est applicable qu’aux </w:t>
      </w:r>
      <w:r w:rsidRPr="004E3FA6">
        <w:rPr>
          <w:lang w:val="fr-FR"/>
        </w:rPr>
        <w:t xml:space="preserve">personnes détenues dans </w:t>
      </w:r>
      <w:r>
        <w:rPr>
          <w:lang w:val="fr-FR"/>
        </w:rPr>
        <w:t xml:space="preserve">un établissement pénitentiaire </w:t>
      </w:r>
      <w:r w:rsidRPr="004E3FA6">
        <w:rPr>
          <w:lang w:val="fr-FR"/>
        </w:rPr>
        <w:t xml:space="preserve">ou </w:t>
      </w:r>
      <w:r>
        <w:rPr>
          <w:lang w:val="fr-FR"/>
        </w:rPr>
        <w:t xml:space="preserve">dans un autre lieu </w:t>
      </w:r>
      <w:r w:rsidRPr="004E3FA6">
        <w:rPr>
          <w:lang w:val="fr-FR"/>
        </w:rPr>
        <w:t>de détention. Il demande si les interrogatoires des personnes inculpées d</w:t>
      </w:r>
      <w:r>
        <w:rPr>
          <w:lang w:val="fr-FR"/>
        </w:rPr>
        <w:t>’</w:t>
      </w:r>
      <w:r w:rsidRPr="004E3FA6">
        <w:rPr>
          <w:lang w:val="fr-FR"/>
        </w:rPr>
        <w:t xml:space="preserve">infractions graves sont enregistrés </w:t>
      </w:r>
      <w:r>
        <w:rPr>
          <w:lang w:val="fr-FR"/>
        </w:rPr>
        <w:t xml:space="preserve">ou filmés. Se référant aux </w:t>
      </w:r>
      <w:r w:rsidRPr="004E3FA6">
        <w:rPr>
          <w:lang w:val="fr-FR"/>
        </w:rPr>
        <w:t xml:space="preserve">paragraphes 349 et 350 du rapport, </w:t>
      </w:r>
      <w:r>
        <w:rPr>
          <w:lang w:val="fr-FR"/>
        </w:rPr>
        <w:t>qui traitent</w:t>
      </w:r>
      <w:r w:rsidRPr="004E3FA6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4E3FA6">
        <w:rPr>
          <w:lang w:val="fr-FR"/>
        </w:rPr>
        <w:t xml:space="preserve">la </w:t>
      </w:r>
      <w:r>
        <w:rPr>
          <w:lang w:val="fr-FR"/>
        </w:rPr>
        <w:t xml:space="preserve">garde à vue </w:t>
      </w:r>
      <w:r w:rsidRPr="004E3FA6">
        <w:rPr>
          <w:lang w:val="fr-FR"/>
        </w:rPr>
        <w:t xml:space="preserve">des </w:t>
      </w:r>
      <w:r>
        <w:rPr>
          <w:lang w:val="fr-FR"/>
        </w:rPr>
        <w:t xml:space="preserve">suspects amenés sous escorte au poste de police, il fait observer que </w:t>
      </w:r>
      <w:r w:rsidRPr="004E3FA6">
        <w:rPr>
          <w:lang w:val="fr-FR"/>
        </w:rPr>
        <w:t xml:space="preserve">la durée de </w:t>
      </w:r>
      <w:r>
        <w:rPr>
          <w:lang w:val="fr-FR"/>
        </w:rPr>
        <w:t xml:space="preserve">cette détention </w:t>
      </w:r>
      <w:r w:rsidRPr="004E3FA6">
        <w:rPr>
          <w:lang w:val="fr-FR"/>
        </w:rPr>
        <w:t xml:space="preserve">devrait être définie dans une loi plutôt que </w:t>
      </w:r>
      <w:r>
        <w:rPr>
          <w:lang w:val="fr-FR"/>
        </w:rPr>
        <w:t xml:space="preserve">dans le texte réglementaire en vigueur, ce dernier étant moins contraignant </w:t>
      </w:r>
      <w:r w:rsidRPr="004E3FA6">
        <w:rPr>
          <w:lang w:val="fr-FR"/>
        </w:rPr>
        <w:t>qu</w:t>
      </w:r>
      <w:r>
        <w:rPr>
          <w:lang w:val="fr-FR"/>
        </w:rPr>
        <w:t>’</w:t>
      </w:r>
      <w:r w:rsidRPr="004E3FA6">
        <w:rPr>
          <w:lang w:val="fr-FR"/>
        </w:rPr>
        <w:t xml:space="preserve">une loi. </w:t>
      </w:r>
      <w:r>
        <w:rPr>
          <w:lang w:val="fr-FR"/>
        </w:rPr>
        <w:t xml:space="preserve">Des </w:t>
      </w:r>
      <w:r w:rsidRPr="004E3FA6">
        <w:rPr>
          <w:lang w:val="fr-FR"/>
        </w:rPr>
        <w:t>renseignements récents sur la législation relative à la lutte contre la discrimination</w:t>
      </w:r>
      <w:r>
        <w:rPr>
          <w:lang w:val="fr-FR"/>
        </w:rPr>
        <w:t xml:space="preserve"> seraient bienvenus</w:t>
      </w:r>
      <w:r w:rsidRPr="004E3FA6">
        <w:rPr>
          <w:lang w:val="fr-FR"/>
        </w:rPr>
        <w:t xml:space="preserve">. </w:t>
      </w:r>
      <w:r>
        <w:rPr>
          <w:lang w:val="fr-FR"/>
        </w:rPr>
        <w:t xml:space="preserve">La délégation voudra bien indiquer quelles mesures </w:t>
      </w:r>
      <w:r w:rsidRPr="004E3FA6">
        <w:rPr>
          <w:lang w:val="fr-FR"/>
        </w:rPr>
        <w:t xml:space="preserve">le Gouvernement albanais a </w:t>
      </w:r>
      <w:r>
        <w:rPr>
          <w:lang w:val="fr-FR"/>
        </w:rPr>
        <w:t xml:space="preserve">prises </w:t>
      </w:r>
      <w:r w:rsidRPr="004E3FA6">
        <w:rPr>
          <w:lang w:val="fr-FR"/>
        </w:rPr>
        <w:t xml:space="preserve">pour </w:t>
      </w:r>
      <w:r>
        <w:rPr>
          <w:lang w:val="fr-FR"/>
        </w:rPr>
        <w:t xml:space="preserve">remédier au problème </w:t>
      </w:r>
      <w:r w:rsidRPr="004E3FA6">
        <w:rPr>
          <w:lang w:val="fr-FR"/>
        </w:rPr>
        <w:t>de l</w:t>
      </w:r>
      <w:r>
        <w:rPr>
          <w:lang w:val="fr-FR"/>
        </w:rPr>
        <w:t>’</w:t>
      </w:r>
      <w:r w:rsidRPr="004E3FA6">
        <w:rPr>
          <w:lang w:val="fr-FR"/>
        </w:rPr>
        <w:t>enregistrement des enfants nés à l</w:t>
      </w:r>
      <w:r>
        <w:rPr>
          <w:lang w:val="fr-FR"/>
        </w:rPr>
        <w:t>’</w:t>
      </w:r>
      <w:r w:rsidRPr="004E3FA6">
        <w:rPr>
          <w:lang w:val="fr-FR"/>
        </w:rPr>
        <w:t xml:space="preserve">étranger de parents albanais. Enfin, </w:t>
      </w:r>
      <w:r>
        <w:rPr>
          <w:lang w:val="fr-FR"/>
        </w:rPr>
        <w:t xml:space="preserve">il serait intéressant de </w:t>
      </w:r>
      <w:r w:rsidRPr="004E3FA6">
        <w:rPr>
          <w:lang w:val="fr-FR"/>
        </w:rPr>
        <w:t xml:space="preserve">savoir si le Gouvernement </w:t>
      </w:r>
      <w:r>
        <w:rPr>
          <w:lang w:val="fr-FR"/>
        </w:rPr>
        <w:t>albanais</w:t>
      </w:r>
      <w:r w:rsidRPr="004E3FA6">
        <w:rPr>
          <w:lang w:val="fr-FR"/>
        </w:rPr>
        <w:t xml:space="preserve"> considère que la transition </w:t>
      </w:r>
      <w:r>
        <w:rPr>
          <w:lang w:val="fr-FR"/>
        </w:rPr>
        <w:t xml:space="preserve">vers le régime </w:t>
      </w:r>
      <w:r w:rsidRPr="004E3FA6">
        <w:rPr>
          <w:lang w:val="fr-FR"/>
        </w:rPr>
        <w:t xml:space="preserve">démocratique actuel est </w:t>
      </w:r>
      <w:r>
        <w:rPr>
          <w:lang w:val="fr-FR"/>
        </w:rPr>
        <w:t xml:space="preserve">terminée </w:t>
      </w:r>
      <w:r w:rsidRPr="004E3FA6">
        <w:rPr>
          <w:lang w:val="fr-FR"/>
        </w:rPr>
        <w:t xml:space="preserve">et si des indemnisations sont encore accordées aux victimes du régime </w:t>
      </w:r>
      <w:r>
        <w:rPr>
          <w:lang w:val="fr-FR"/>
        </w:rPr>
        <w:t>antérieur</w:t>
      </w:r>
      <w:r w:rsidR="008105AF">
        <w:rPr>
          <w:lang w:val="fr-FR"/>
        </w:rPr>
        <w:t>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26.</w:t>
      </w:r>
      <w:r w:rsidRPr="004E3FA6">
        <w:rPr>
          <w:lang w:val="fr-FR"/>
        </w:rPr>
        <w:tab/>
      </w:r>
      <w:r w:rsidRPr="003810DC">
        <w:rPr>
          <w:b/>
          <w:lang w:val="fr-FR"/>
        </w:rPr>
        <w:t>M</w:t>
      </w:r>
      <w:r w:rsidRPr="003810DC">
        <w:rPr>
          <w:b/>
          <w:vertAlign w:val="superscript"/>
          <w:lang w:val="fr-FR"/>
        </w:rPr>
        <w:t>me</w:t>
      </w:r>
      <w:r w:rsidRPr="003810DC">
        <w:rPr>
          <w:b/>
          <w:lang w:val="fr-FR"/>
        </w:rPr>
        <w:t> </w:t>
      </w:r>
      <w:r w:rsidRPr="004E3FA6">
        <w:rPr>
          <w:b/>
          <w:lang w:val="fr-FR"/>
        </w:rPr>
        <w:t>Svea</w:t>
      </w:r>
      <w:r w:rsidRPr="008105AF">
        <w:rPr>
          <w:b/>
          <w:lang w:val="fr-FR"/>
        </w:rPr>
        <w:t>ass</w:t>
      </w:r>
      <w:r w:rsidRPr="004E3FA6">
        <w:rPr>
          <w:lang w:val="fr-FR"/>
        </w:rPr>
        <w:t xml:space="preserve"> appelle l</w:t>
      </w:r>
      <w:r>
        <w:rPr>
          <w:lang w:val="fr-FR"/>
        </w:rPr>
        <w:t>’</w:t>
      </w:r>
      <w:r w:rsidRPr="004E3FA6">
        <w:rPr>
          <w:lang w:val="fr-FR"/>
        </w:rPr>
        <w:t>attention de la délégation sur un document publié en 2010 par le Fonds des Nations Unies pour l</w:t>
      </w:r>
      <w:r>
        <w:rPr>
          <w:lang w:val="fr-FR"/>
        </w:rPr>
        <w:t>’</w:t>
      </w:r>
      <w:r w:rsidRPr="004E3FA6">
        <w:rPr>
          <w:lang w:val="fr-FR"/>
        </w:rPr>
        <w:t xml:space="preserve">enfance (UNICEF), intitulé </w:t>
      </w:r>
      <w:r w:rsidRPr="004E3FA6">
        <w:rPr>
          <w:i/>
          <w:lang w:val="fr-FR"/>
        </w:rPr>
        <w:t>Child Disciplinary Practices at Home</w:t>
      </w:r>
      <w:r w:rsidRPr="004E3FA6">
        <w:rPr>
          <w:lang w:val="fr-FR"/>
        </w:rPr>
        <w:t xml:space="preserve"> (</w:t>
      </w:r>
      <w:r>
        <w:rPr>
          <w:lang w:val="fr-FR"/>
        </w:rPr>
        <w:t xml:space="preserve">Méthodes de discipline utilisées pour punir les enfants au foyer), qui montre </w:t>
      </w:r>
      <w:r w:rsidRPr="004E3FA6">
        <w:rPr>
          <w:lang w:val="fr-FR"/>
        </w:rPr>
        <w:t xml:space="preserve">que la majorité des enfants de 2 à 4 ans </w:t>
      </w:r>
      <w:r>
        <w:rPr>
          <w:lang w:val="fr-FR"/>
        </w:rPr>
        <w:t xml:space="preserve">subissent des châtiments corporels violents </w:t>
      </w:r>
      <w:r w:rsidRPr="004E3FA6">
        <w:rPr>
          <w:lang w:val="fr-FR"/>
        </w:rPr>
        <w:t xml:space="preserve">à la maison et </w:t>
      </w:r>
      <w:r>
        <w:rPr>
          <w:lang w:val="fr-FR"/>
        </w:rPr>
        <w:t xml:space="preserve">que </w:t>
      </w:r>
      <w:r w:rsidRPr="004E3FA6">
        <w:rPr>
          <w:lang w:val="fr-FR"/>
        </w:rPr>
        <w:t>nombre d</w:t>
      </w:r>
      <w:r>
        <w:rPr>
          <w:lang w:val="fr-FR"/>
        </w:rPr>
        <w:t>’</w:t>
      </w:r>
      <w:r w:rsidRPr="004E3FA6">
        <w:rPr>
          <w:lang w:val="fr-FR"/>
        </w:rPr>
        <w:t xml:space="preserve">enfants placés en institution sont </w:t>
      </w:r>
      <w:r>
        <w:rPr>
          <w:lang w:val="fr-FR"/>
        </w:rPr>
        <w:t xml:space="preserve">soumis à de </w:t>
      </w:r>
      <w:r w:rsidRPr="004E3FA6">
        <w:rPr>
          <w:lang w:val="fr-FR"/>
        </w:rPr>
        <w:t xml:space="preserve">graves violences telles que des gifles </w:t>
      </w:r>
      <w:r>
        <w:rPr>
          <w:lang w:val="fr-FR"/>
        </w:rPr>
        <w:t xml:space="preserve">au visage </w:t>
      </w:r>
      <w:r w:rsidRPr="004E3FA6">
        <w:rPr>
          <w:lang w:val="fr-FR"/>
        </w:rPr>
        <w:t xml:space="preserve">ou sur la tête et des coups de pied. </w:t>
      </w:r>
      <w:r w:rsidRPr="00DB5A58">
        <w:rPr>
          <w:lang w:val="fr-FR"/>
        </w:rPr>
        <w:t>M</w:t>
      </w:r>
      <w:r w:rsidRPr="00DB5A58">
        <w:rPr>
          <w:vertAlign w:val="superscript"/>
          <w:lang w:val="fr-FR"/>
        </w:rPr>
        <w:t>me</w:t>
      </w:r>
      <w:r w:rsidRPr="00DB5A58">
        <w:rPr>
          <w:lang w:val="fr-FR"/>
        </w:rPr>
        <w:t> </w:t>
      </w:r>
      <w:r w:rsidRPr="004E3FA6">
        <w:rPr>
          <w:lang w:val="fr-FR"/>
        </w:rPr>
        <w:t>Sveaass note avec préoccupation que l</w:t>
      </w:r>
      <w:r>
        <w:rPr>
          <w:lang w:val="fr-FR"/>
        </w:rPr>
        <w:t>’</w:t>
      </w:r>
      <w:r w:rsidRPr="004E3FA6">
        <w:rPr>
          <w:lang w:val="fr-FR"/>
        </w:rPr>
        <w:t>État partie ne s</w:t>
      </w:r>
      <w:r>
        <w:rPr>
          <w:lang w:val="fr-FR"/>
        </w:rPr>
        <w:t>’</w:t>
      </w:r>
      <w:r w:rsidRPr="004E3FA6">
        <w:rPr>
          <w:lang w:val="fr-FR"/>
        </w:rPr>
        <w:t xml:space="preserve">est pas doté de lois </w:t>
      </w:r>
      <w:r>
        <w:rPr>
          <w:lang w:val="fr-FR"/>
        </w:rPr>
        <w:t>spécifiques interdisant</w:t>
      </w:r>
      <w:r w:rsidRPr="004E3FA6">
        <w:rPr>
          <w:lang w:val="fr-FR"/>
        </w:rPr>
        <w:t xml:space="preserve"> ces pratiques. La délégation voudra bien donner des informations sur les programmes visant à </w:t>
      </w:r>
      <w:r>
        <w:rPr>
          <w:lang w:val="fr-FR"/>
        </w:rPr>
        <w:t>améliorer</w:t>
      </w:r>
      <w:r w:rsidRPr="004E3FA6">
        <w:rPr>
          <w:lang w:val="fr-FR"/>
        </w:rPr>
        <w:t xml:space="preserve"> le taux </w:t>
      </w:r>
      <w:r>
        <w:rPr>
          <w:lang w:val="fr-FR"/>
        </w:rPr>
        <w:t xml:space="preserve">d’enregistrement des </w:t>
      </w:r>
      <w:r w:rsidRPr="004E3FA6">
        <w:rPr>
          <w:lang w:val="fr-FR"/>
        </w:rPr>
        <w:t>enfants à la naissance. L</w:t>
      </w:r>
      <w:r>
        <w:rPr>
          <w:lang w:val="fr-FR"/>
        </w:rPr>
        <w:t>’</w:t>
      </w:r>
      <w:r w:rsidRPr="004E3FA6">
        <w:rPr>
          <w:lang w:val="fr-FR"/>
        </w:rPr>
        <w:t xml:space="preserve">absence </w:t>
      </w:r>
      <w:r>
        <w:rPr>
          <w:lang w:val="fr-FR"/>
        </w:rPr>
        <w:t xml:space="preserve">de tribunaux pour mineurs et le </w:t>
      </w:r>
      <w:r w:rsidRPr="004E3FA6">
        <w:rPr>
          <w:lang w:val="fr-FR"/>
        </w:rPr>
        <w:t xml:space="preserve">nombre </w:t>
      </w:r>
      <w:r>
        <w:rPr>
          <w:lang w:val="fr-FR"/>
        </w:rPr>
        <w:t xml:space="preserve">important </w:t>
      </w:r>
      <w:r w:rsidRPr="004E3FA6">
        <w:rPr>
          <w:lang w:val="fr-FR"/>
        </w:rPr>
        <w:t>d</w:t>
      </w:r>
      <w:r>
        <w:rPr>
          <w:lang w:val="fr-FR"/>
        </w:rPr>
        <w:t>’</w:t>
      </w:r>
      <w:r w:rsidRPr="004E3FA6">
        <w:rPr>
          <w:lang w:val="fr-FR"/>
        </w:rPr>
        <w:t xml:space="preserve">enfants </w:t>
      </w:r>
      <w:r>
        <w:rPr>
          <w:lang w:val="fr-FR"/>
        </w:rPr>
        <w:t xml:space="preserve">détenus avec </w:t>
      </w:r>
      <w:r w:rsidRPr="004E3FA6">
        <w:rPr>
          <w:lang w:val="fr-FR"/>
        </w:rPr>
        <w:t xml:space="preserve">des adultes dans les centres de détention provisoire </w:t>
      </w:r>
      <w:r>
        <w:rPr>
          <w:lang w:val="fr-FR"/>
        </w:rPr>
        <w:t xml:space="preserve">constituent </w:t>
      </w:r>
      <w:r w:rsidRPr="004E3FA6">
        <w:rPr>
          <w:lang w:val="fr-FR"/>
        </w:rPr>
        <w:t xml:space="preserve">également un motif de préoccupation. En ce qui concerne la santé mentale, </w:t>
      </w:r>
      <w:r w:rsidRPr="004F098D">
        <w:rPr>
          <w:lang w:val="fr-FR"/>
        </w:rPr>
        <w:t>M</w:t>
      </w:r>
      <w:r w:rsidRPr="004F098D">
        <w:rPr>
          <w:vertAlign w:val="superscript"/>
          <w:lang w:val="fr-FR"/>
        </w:rPr>
        <w:t>me</w:t>
      </w:r>
      <w:r w:rsidRPr="004F098D">
        <w:rPr>
          <w:lang w:val="fr-FR"/>
        </w:rPr>
        <w:t> </w:t>
      </w:r>
      <w:r w:rsidRPr="004E3FA6">
        <w:rPr>
          <w:lang w:val="fr-FR"/>
        </w:rPr>
        <w:t>Sveaass demande si des stati</w:t>
      </w:r>
      <w:r>
        <w:rPr>
          <w:lang w:val="fr-FR"/>
        </w:rPr>
        <w:t>stiques sont disponibles sur l’utilisation des</w:t>
      </w:r>
      <w:r w:rsidRPr="004E3FA6">
        <w:rPr>
          <w:lang w:val="fr-FR"/>
        </w:rPr>
        <w:t xml:space="preserve"> moyens de contrainte pharmacologiques </w:t>
      </w:r>
      <w:r>
        <w:rPr>
          <w:lang w:val="fr-FR"/>
        </w:rPr>
        <w:t>mentionnés</w:t>
      </w:r>
      <w:r w:rsidR="00F417B6">
        <w:rPr>
          <w:lang w:val="fr-FR"/>
        </w:rPr>
        <w:t xml:space="preserve"> dans le rapport.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27.</w:t>
      </w:r>
      <w:r w:rsidRPr="004E3FA6">
        <w:rPr>
          <w:lang w:val="fr-FR"/>
        </w:rPr>
        <w:tab/>
      </w:r>
      <w:r w:rsidRPr="00403EC8">
        <w:rPr>
          <w:b/>
          <w:lang w:val="fr-FR"/>
        </w:rPr>
        <w:t>M</w:t>
      </w:r>
      <w:r w:rsidRPr="00403EC8">
        <w:rPr>
          <w:b/>
          <w:vertAlign w:val="superscript"/>
          <w:lang w:val="fr-FR"/>
        </w:rPr>
        <w:t>me</w:t>
      </w:r>
      <w:r w:rsidRPr="00403EC8">
        <w:rPr>
          <w:b/>
          <w:lang w:val="fr-FR"/>
        </w:rPr>
        <w:t> </w:t>
      </w:r>
      <w:r w:rsidRPr="004E3FA6">
        <w:rPr>
          <w:b/>
          <w:lang w:val="fr-FR"/>
        </w:rPr>
        <w:t>Gaer</w:t>
      </w:r>
      <w:r w:rsidRPr="004E3FA6">
        <w:rPr>
          <w:lang w:val="fr-FR"/>
        </w:rPr>
        <w:t xml:space="preserve">, </w:t>
      </w:r>
      <w:r>
        <w:rPr>
          <w:lang w:val="fr-FR"/>
        </w:rPr>
        <w:t xml:space="preserve">prenant acte </w:t>
      </w:r>
      <w:r w:rsidRPr="004E3FA6">
        <w:rPr>
          <w:lang w:val="fr-FR"/>
        </w:rPr>
        <w:t xml:space="preserve">avec satisfaction </w:t>
      </w:r>
      <w:r>
        <w:rPr>
          <w:lang w:val="fr-FR"/>
        </w:rPr>
        <w:t xml:space="preserve">du </w:t>
      </w:r>
      <w:r w:rsidRPr="004E3FA6">
        <w:rPr>
          <w:lang w:val="fr-FR"/>
        </w:rPr>
        <w:t xml:space="preserve">manuel sur le traitement des personnes retenues en garde à vue </w:t>
      </w:r>
      <w:r>
        <w:rPr>
          <w:lang w:val="fr-FR"/>
        </w:rPr>
        <w:t>cité</w:t>
      </w:r>
      <w:r w:rsidRPr="004E3FA6">
        <w:rPr>
          <w:lang w:val="fr-FR"/>
        </w:rPr>
        <w:t xml:space="preserve"> dans le rapport du </w:t>
      </w:r>
      <w:r>
        <w:rPr>
          <w:lang w:val="fr-FR"/>
        </w:rPr>
        <w:t>CPT</w:t>
      </w:r>
      <w:r w:rsidRPr="004E3FA6">
        <w:rPr>
          <w:lang w:val="fr-FR"/>
        </w:rPr>
        <w:t xml:space="preserve">, note que </w:t>
      </w:r>
      <w:r>
        <w:rPr>
          <w:lang w:val="fr-FR"/>
        </w:rPr>
        <w:t xml:space="preserve">cet organe </w:t>
      </w:r>
      <w:r w:rsidRPr="004E3FA6">
        <w:rPr>
          <w:lang w:val="fr-FR"/>
        </w:rPr>
        <w:t xml:space="preserve">a constaté que </w:t>
      </w:r>
      <w:r>
        <w:rPr>
          <w:lang w:val="fr-FR"/>
        </w:rPr>
        <w:t xml:space="preserve">les </w:t>
      </w:r>
      <w:r w:rsidRPr="004E3FA6">
        <w:rPr>
          <w:lang w:val="fr-FR"/>
        </w:rPr>
        <w:t>m</w:t>
      </w:r>
      <w:r>
        <w:rPr>
          <w:lang w:val="fr-FR"/>
        </w:rPr>
        <w:t xml:space="preserve">embres des forces de l’ordre ne connaissaient que rarement </w:t>
      </w:r>
      <w:r w:rsidRPr="004E3FA6">
        <w:rPr>
          <w:lang w:val="fr-FR"/>
        </w:rPr>
        <w:t>l</w:t>
      </w:r>
      <w:r>
        <w:rPr>
          <w:lang w:val="fr-FR"/>
        </w:rPr>
        <w:t>’</w:t>
      </w:r>
      <w:r w:rsidRPr="004E3FA6">
        <w:rPr>
          <w:lang w:val="fr-FR"/>
        </w:rPr>
        <w:t xml:space="preserve">existence de ce manuel, sans parler de son contenu. </w:t>
      </w:r>
      <w:r>
        <w:rPr>
          <w:lang w:val="fr-FR"/>
        </w:rPr>
        <w:t>Elle invite la</w:t>
      </w:r>
      <w:r w:rsidRPr="004E3FA6">
        <w:rPr>
          <w:lang w:val="fr-FR"/>
        </w:rPr>
        <w:t xml:space="preserve"> délégation à donner des renseignements récents sur les efforts déployés afin de faire </w:t>
      </w:r>
      <w:r>
        <w:rPr>
          <w:lang w:val="fr-FR"/>
        </w:rPr>
        <w:t xml:space="preserve">plus largement </w:t>
      </w:r>
      <w:r w:rsidRPr="004E3FA6">
        <w:rPr>
          <w:lang w:val="fr-FR"/>
        </w:rPr>
        <w:t xml:space="preserve">connaître ce </w:t>
      </w:r>
      <w:r>
        <w:rPr>
          <w:lang w:val="fr-FR"/>
        </w:rPr>
        <w:t>manuel aux fonctionnaires de police</w:t>
      </w:r>
      <w:r w:rsidRPr="004E3FA6">
        <w:rPr>
          <w:lang w:val="fr-FR"/>
        </w:rPr>
        <w:t xml:space="preserve">. Il serait </w:t>
      </w:r>
      <w:r>
        <w:rPr>
          <w:lang w:val="fr-FR"/>
        </w:rPr>
        <w:t xml:space="preserve">intéressant </w:t>
      </w:r>
      <w:r w:rsidRPr="004E3FA6">
        <w:rPr>
          <w:lang w:val="fr-FR"/>
        </w:rPr>
        <w:t xml:space="preserve">de savoir si des activités de formation </w:t>
      </w:r>
      <w:r>
        <w:rPr>
          <w:lang w:val="fr-FR"/>
        </w:rPr>
        <w:t xml:space="preserve">sur ce document </w:t>
      </w:r>
      <w:r w:rsidRPr="004E3FA6">
        <w:rPr>
          <w:lang w:val="fr-FR"/>
        </w:rPr>
        <w:t xml:space="preserve">ainsi que des tests de vérification des connaissances ont été organisés. </w:t>
      </w:r>
      <w:r>
        <w:rPr>
          <w:lang w:val="fr-FR"/>
        </w:rPr>
        <w:t xml:space="preserve">Dans son rapport, le </w:t>
      </w:r>
      <w:r w:rsidRPr="004E3FA6">
        <w:rPr>
          <w:lang w:val="fr-FR"/>
        </w:rPr>
        <w:t>CPT fait état d</w:t>
      </w:r>
      <w:r>
        <w:rPr>
          <w:lang w:val="fr-FR"/>
        </w:rPr>
        <w:t>’</w:t>
      </w:r>
      <w:r w:rsidRPr="004E3FA6">
        <w:rPr>
          <w:lang w:val="fr-FR"/>
        </w:rPr>
        <w:t xml:space="preserve">allégations généralisées </w:t>
      </w:r>
      <w:r>
        <w:rPr>
          <w:lang w:val="fr-FR"/>
        </w:rPr>
        <w:t xml:space="preserve">selon lesquelles la police infligerait des mauvais traitements aux suspects </w:t>
      </w:r>
      <w:r w:rsidRPr="004E3FA6">
        <w:rPr>
          <w:lang w:val="fr-FR"/>
        </w:rPr>
        <w:t>pendant l</w:t>
      </w:r>
      <w:r>
        <w:rPr>
          <w:lang w:val="fr-FR"/>
        </w:rPr>
        <w:t xml:space="preserve">eur </w:t>
      </w:r>
      <w:r w:rsidRPr="004E3FA6">
        <w:rPr>
          <w:lang w:val="fr-FR"/>
        </w:rPr>
        <w:t>arrestation ou l</w:t>
      </w:r>
      <w:r>
        <w:rPr>
          <w:lang w:val="fr-FR"/>
        </w:rPr>
        <w:t>eur interrogatoire</w:t>
      </w:r>
      <w:r w:rsidRPr="004E3FA6">
        <w:rPr>
          <w:lang w:val="fr-FR"/>
        </w:rPr>
        <w:t xml:space="preserve">, </w:t>
      </w:r>
      <w:r>
        <w:rPr>
          <w:lang w:val="fr-FR"/>
        </w:rPr>
        <w:t xml:space="preserve">notamment </w:t>
      </w:r>
      <w:r w:rsidRPr="004E3FA6">
        <w:rPr>
          <w:lang w:val="fr-FR"/>
        </w:rPr>
        <w:t xml:space="preserve">des gifles et des coups de pied et de matraque, </w:t>
      </w:r>
      <w:r>
        <w:rPr>
          <w:lang w:val="fr-FR"/>
        </w:rPr>
        <w:t xml:space="preserve">ces pratiques étant particulièrement répandues dans </w:t>
      </w:r>
      <w:r w:rsidRPr="004E3FA6">
        <w:rPr>
          <w:lang w:val="fr-FR"/>
        </w:rPr>
        <w:t xml:space="preserve">la région de Korça. </w:t>
      </w:r>
      <w:r w:rsidRPr="00EC5642">
        <w:rPr>
          <w:lang w:val="fr-FR"/>
        </w:rPr>
        <w:t>M</w:t>
      </w:r>
      <w:r w:rsidRPr="00EC5642">
        <w:rPr>
          <w:vertAlign w:val="superscript"/>
          <w:lang w:val="fr-FR"/>
        </w:rPr>
        <w:t>me</w:t>
      </w:r>
      <w:r w:rsidRPr="00EC5642">
        <w:rPr>
          <w:lang w:val="fr-FR"/>
        </w:rPr>
        <w:t> </w:t>
      </w:r>
      <w:r w:rsidRPr="004E3FA6">
        <w:rPr>
          <w:lang w:val="fr-FR"/>
        </w:rPr>
        <w:t xml:space="preserve">Gaer souhaiterait savoir si </w:t>
      </w:r>
      <w:r>
        <w:rPr>
          <w:lang w:val="fr-FR"/>
        </w:rPr>
        <w:t xml:space="preserve">des enquêtes ont été ouvertes sur ces allégations </w:t>
      </w:r>
      <w:r w:rsidRPr="004E3FA6">
        <w:rPr>
          <w:lang w:val="fr-FR"/>
        </w:rPr>
        <w:t>et si des membres des forces de l</w:t>
      </w:r>
      <w:r>
        <w:rPr>
          <w:lang w:val="fr-FR"/>
        </w:rPr>
        <w:t>’</w:t>
      </w:r>
      <w:r w:rsidRPr="004E3FA6">
        <w:rPr>
          <w:lang w:val="fr-FR"/>
        </w:rPr>
        <w:t xml:space="preserve">ordre ont </w:t>
      </w:r>
      <w:r>
        <w:rPr>
          <w:lang w:val="fr-FR"/>
        </w:rPr>
        <w:t xml:space="preserve">été inculpés </w:t>
      </w:r>
      <w:r w:rsidRPr="004E3FA6">
        <w:rPr>
          <w:lang w:val="fr-FR"/>
        </w:rPr>
        <w:t xml:space="preserve">ou </w:t>
      </w:r>
      <w:r>
        <w:rPr>
          <w:lang w:val="fr-FR"/>
        </w:rPr>
        <w:t>sanctionnés</w:t>
      </w:r>
      <w:r w:rsidRPr="004E3FA6">
        <w:rPr>
          <w:lang w:val="fr-FR"/>
        </w:rPr>
        <w:t xml:space="preserve">. </w:t>
      </w:r>
      <w:r>
        <w:rPr>
          <w:lang w:val="fr-FR"/>
        </w:rPr>
        <w:t>Sachant</w:t>
      </w:r>
      <w:r w:rsidRPr="004E3FA6">
        <w:rPr>
          <w:lang w:val="fr-FR"/>
        </w:rPr>
        <w:t xml:space="preserve"> que le surpeuplement carcéral </w:t>
      </w:r>
      <w:r>
        <w:rPr>
          <w:lang w:val="fr-FR"/>
        </w:rPr>
        <w:t>et les</w:t>
      </w:r>
      <w:r w:rsidRPr="004E3FA6">
        <w:rPr>
          <w:lang w:val="fr-FR"/>
        </w:rPr>
        <w:t xml:space="preserve"> </w:t>
      </w:r>
      <w:r>
        <w:rPr>
          <w:lang w:val="fr-FR"/>
        </w:rPr>
        <w:t xml:space="preserve">violences </w:t>
      </w:r>
      <w:r w:rsidRPr="004E3FA6">
        <w:rPr>
          <w:lang w:val="fr-FR"/>
        </w:rPr>
        <w:t>entre détenus</w:t>
      </w:r>
      <w:r>
        <w:rPr>
          <w:lang w:val="fr-FR"/>
        </w:rPr>
        <w:t xml:space="preserve"> sont étroitement liés</w:t>
      </w:r>
      <w:r w:rsidRPr="004E3FA6">
        <w:rPr>
          <w:lang w:val="fr-FR"/>
        </w:rPr>
        <w:t>, elle demande si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 </w:t>
      </w:r>
      <w:r>
        <w:rPr>
          <w:lang w:val="fr-FR"/>
        </w:rPr>
        <w:t xml:space="preserve">surveille la situation </w:t>
      </w:r>
      <w:r w:rsidRPr="004E3FA6">
        <w:rPr>
          <w:lang w:val="fr-FR"/>
        </w:rPr>
        <w:t xml:space="preserve">dans les </w:t>
      </w:r>
      <w:r>
        <w:rPr>
          <w:lang w:val="fr-FR"/>
        </w:rPr>
        <w:t xml:space="preserve">prisons en ce qui concerne les </w:t>
      </w:r>
      <w:r w:rsidRPr="004E3FA6">
        <w:rPr>
          <w:lang w:val="fr-FR"/>
        </w:rPr>
        <w:t>violences</w:t>
      </w:r>
      <w:r>
        <w:rPr>
          <w:lang w:val="fr-FR"/>
        </w:rPr>
        <w:t xml:space="preserve"> sexuelles</w:t>
      </w:r>
      <w:r w:rsidRPr="004E3FA6">
        <w:rPr>
          <w:lang w:val="fr-FR"/>
        </w:rPr>
        <w:t xml:space="preserve">. Si tel est le cas, des informations sur les résultats de ces activités et </w:t>
      </w:r>
      <w:r>
        <w:rPr>
          <w:lang w:val="fr-FR"/>
        </w:rPr>
        <w:t xml:space="preserve">sur </w:t>
      </w:r>
      <w:r w:rsidRPr="004E3FA6">
        <w:rPr>
          <w:lang w:val="fr-FR"/>
        </w:rPr>
        <w:t xml:space="preserve">les mesures de </w:t>
      </w:r>
      <w:r>
        <w:rPr>
          <w:lang w:val="fr-FR"/>
        </w:rPr>
        <w:t xml:space="preserve">prévention </w:t>
      </w:r>
      <w:r w:rsidRPr="004E3FA6">
        <w:rPr>
          <w:lang w:val="fr-FR"/>
        </w:rPr>
        <w:t>qui ont été appliquées</w:t>
      </w:r>
      <w:r>
        <w:rPr>
          <w:lang w:val="fr-FR"/>
        </w:rPr>
        <w:t xml:space="preserve"> seraient bienvenues</w:t>
      </w:r>
      <w:r w:rsidR="00F417B6">
        <w:rPr>
          <w:lang w:val="fr-FR"/>
        </w:rPr>
        <w:t>.</w:t>
      </w:r>
    </w:p>
    <w:p w:rsidR="003C686C" w:rsidRPr="004E3FA6" w:rsidRDefault="003C686C" w:rsidP="001704EB">
      <w:pPr>
        <w:pStyle w:val="SingleTxtG"/>
        <w:rPr>
          <w:lang w:val="fr-FR"/>
        </w:rPr>
      </w:pPr>
      <w:r w:rsidRPr="004E3FA6">
        <w:rPr>
          <w:lang w:val="fr-FR"/>
        </w:rPr>
        <w:t>28.</w:t>
      </w:r>
      <w:r w:rsidRPr="004E3FA6">
        <w:rPr>
          <w:lang w:val="fr-FR"/>
        </w:rPr>
        <w:tab/>
        <w:t xml:space="preserve">Se référant à la réponse </w:t>
      </w:r>
      <w:r>
        <w:rPr>
          <w:lang w:val="fr-FR"/>
        </w:rPr>
        <w:t>de</w:t>
      </w:r>
      <w:r w:rsidRPr="004E3FA6">
        <w:rPr>
          <w:lang w:val="fr-FR"/>
        </w:rPr>
        <w:t xml:space="preserve"> l</w:t>
      </w:r>
      <w:r>
        <w:rPr>
          <w:lang w:val="fr-FR"/>
        </w:rPr>
        <w:t>’</w:t>
      </w:r>
      <w:r w:rsidRPr="004E3FA6">
        <w:rPr>
          <w:lang w:val="fr-FR"/>
        </w:rPr>
        <w:t xml:space="preserve">État partie aux questions posées au paragraphe 9 de la liste de points à traiter </w:t>
      </w:r>
      <w:r>
        <w:rPr>
          <w:lang w:val="fr-FR"/>
        </w:rPr>
        <w:t xml:space="preserve">au sujet de </w:t>
      </w:r>
      <w:r w:rsidRPr="004E3FA6">
        <w:rPr>
          <w:lang w:val="fr-FR"/>
        </w:rPr>
        <w:t>la violence dans la famille</w:t>
      </w:r>
      <w:r>
        <w:rPr>
          <w:lang w:val="fr-FR"/>
        </w:rPr>
        <w:t xml:space="preserve"> </w:t>
      </w:r>
      <w:r w:rsidRPr="004E3FA6">
        <w:rPr>
          <w:lang w:val="fr-FR"/>
        </w:rPr>
        <w:t>(CAT/C/ALB/Q/2/Add.1, par</w:t>
      </w:r>
      <w:r w:rsidR="002F7ADB">
        <w:rPr>
          <w:lang w:val="fr-FR"/>
        </w:rPr>
        <w:t>. </w:t>
      </w:r>
      <w:r>
        <w:rPr>
          <w:lang w:val="fr-FR"/>
        </w:rPr>
        <w:t>31 à</w:t>
      </w:r>
      <w:r w:rsidR="002F7ADB">
        <w:rPr>
          <w:lang w:val="fr-FR"/>
        </w:rPr>
        <w:t> </w:t>
      </w:r>
      <w:r>
        <w:rPr>
          <w:lang w:val="fr-FR"/>
        </w:rPr>
        <w:t>33)</w:t>
      </w:r>
      <w:r w:rsidRPr="004E3FA6">
        <w:rPr>
          <w:lang w:val="fr-FR"/>
        </w:rPr>
        <w:t xml:space="preserve">, </w:t>
      </w:r>
      <w:r w:rsidRPr="00B355BD">
        <w:rPr>
          <w:lang w:val="fr-FR"/>
        </w:rPr>
        <w:t>M</w:t>
      </w:r>
      <w:r w:rsidRPr="00B355BD">
        <w:rPr>
          <w:vertAlign w:val="superscript"/>
          <w:lang w:val="fr-FR"/>
        </w:rPr>
        <w:t>me</w:t>
      </w:r>
      <w:r w:rsidRPr="00B355BD">
        <w:rPr>
          <w:lang w:val="fr-FR"/>
        </w:rPr>
        <w:t> </w:t>
      </w:r>
      <w:r w:rsidRPr="004E3FA6">
        <w:rPr>
          <w:lang w:val="fr-FR"/>
        </w:rPr>
        <w:t xml:space="preserve">Gaer </w:t>
      </w:r>
      <w:r>
        <w:rPr>
          <w:lang w:val="fr-FR"/>
        </w:rPr>
        <w:t>prie la délégation de fournir</w:t>
      </w:r>
      <w:r w:rsidRPr="004E3FA6">
        <w:rPr>
          <w:lang w:val="fr-FR"/>
        </w:rPr>
        <w:t xml:space="preserve"> des renseignements récents sur le nombre de plaintes </w:t>
      </w:r>
      <w:r>
        <w:rPr>
          <w:lang w:val="fr-FR"/>
        </w:rPr>
        <w:t xml:space="preserve">dénonçant des faits </w:t>
      </w:r>
      <w:r w:rsidRPr="004E3FA6">
        <w:rPr>
          <w:lang w:val="fr-FR"/>
        </w:rPr>
        <w:t>de ce type qui ont été portées devant les tribunaux. La délégation voudra peut-être citer, le cas échéant, des exemples d</w:t>
      </w:r>
      <w:r>
        <w:rPr>
          <w:lang w:val="fr-FR"/>
        </w:rPr>
        <w:t>’</w:t>
      </w:r>
      <w:r w:rsidRPr="004E3FA6">
        <w:rPr>
          <w:lang w:val="fr-FR"/>
        </w:rPr>
        <w:t>affaires dans lesquelles des membres des forces de l</w:t>
      </w:r>
      <w:r>
        <w:rPr>
          <w:lang w:val="fr-FR"/>
        </w:rPr>
        <w:t>’</w:t>
      </w:r>
      <w:r w:rsidRPr="004E3FA6">
        <w:rPr>
          <w:lang w:val="fr-FR"/>
        </w:rPr>
        <w:t>ordre ont été condamnés à une peine pour n</w:t>
      </w:r>
      <w:r>
        <w:rPr>
          <w:lang w:val="fr-FR"/>
        </w:rPr>
        <w:t>’</w:t>
      </w:r>
      <w:r w:rsidRPr="004E3FA6">
        <w:rPr>
          <w:lang w:val="fr-FR"/>
        </w:rPr>
        <w:t>avoir pas offert une protection aux victimes ou pour n</w:t>
      </w:r>
      <w:r>
        <w:rPr>
          <w:lang w:val="fr-FR"/>
        </w:rPr>
        <w:t>’</w:t>
      </w:r>
      <w:r w:rsidRPr="004E3FA6">
        <w:rPr>
          <w:lang w:val="fr-FR"/>
        </w:rPr>
        <w:t xml:space="preserve">être pas intervenus dans une affaire de violence familiale. </w:t>
      </w:r>
      <w:r>
        <w:rPr>
          <w:lang w:val="fr-FR"/>
        </w:rPr>
        <w:t xml:space="preserve">Constatant </w:t>
      </w:r>
      <w:r w:rsidRPr="004E3FA6">
        <w:rPr>
          <w:lang w:val="fr-FR"/>
        </w:rPr>
        <w:t xml:space="preserve">que les </w:t>
      </w:r>
      <w:r>
        <w:rPr>
          <w:lang w:val="fr-FR"/>
        </w:rPr>
        <w:t xml:space="preserve">victimes des </w:t>
      </w:r>
      <w:r w:rsidRPr="004E3FA6">
        <w:rPr>
          <w:lang w:val="fr-FR"/>
        </w:rPr>
        <w:t>querelles meurtrières entre familles</w:t>
      </w:r>
      <w:r>
        <w:rPr>
          <w:lang w:val="fr-FR"/>
        </w:rPr>
        <w:t xml:space="preserve"> sont des hommes, elle </w:t>
      </w:r>
      <w:r w:rsidRPr="004E3FA6">
        <w:rPr>
          <w:lang w:val="fr-FR"/>
        </w:rPr>
        <w:t xml:space="preserve">demande </w:t>
      </w:r>
      <w:r>
        <w:rPr>
          <w:lang w:val="fr-FR"/>
        </w:rPr>
        <w:t xml:space="preserve">si </w:t>
      </w:r>
      <w:r w:rsidRPr="004E3FA6">
        <w:rPr>
          <w:lang w:val="fr-FR"/>
        </w:rPr>
        <w:t xml:space="preserve">des femmes </w:t>
      </w:r>
      <w:r>
        <w:rPr>
          <w:lang w:val="fr-FR"/>
        </w:rPr>
        <w:t xml:space="preserve">figurent parfois également au nombre des </w:t>
      </w:r>
      <w:r w:rsidRPr="004E3FA6">
        <w:rPr>
          <w:lang w:val="fr-FR"/>
        </w:rPr>
        <w:t xml:space="preserve">victimes de ces </w:t>
      </w:r>
      <w:r>
        <w:rPr>
          <w:lang w:val="fr-FR"/>
        </w:rPr>
        <w:t>conflits</w:t>
      </w:r>
      <w:r w:rsidRPr="004E3FA6">
        <w:rPr>
          <w:lang w:val="fr-FR"/>
        </w:rPr>
        <w:t>. Elle souhaiterait également recevoir des statistiques sur les crimes d</w:t>
      </w:r>
      <w:r>
        <w:rPr>
          <w:lang w:val="fr-FR"/>
        </w:rPr>
        <w:t>’</w:t>
      </w:r>
      <w:r w:rsidRPr="004E3FA6">
        <w:rPr>
          <w:lang w:val="fr-FR"/>
        </w:rPr>
        <w:t xml:space="preserve">honneur, </w:t>
      </w:r>
      <w:r>
        <w:rPr>
          <w:lang w:val="fr-FR"/>
        </w:rPr>
        <w:t>notamment sur</w:t>
      </w:r>
      <w:r w:rsidRPr="004E3FA6">
        <w:rPr>
          <w:lang w:val="fr-FR"/>
        </w:rPr>
        <w:t xml:space="preserve"> le nombre de poursuites entamées et de personnes condamnées </w:t>
      </w:r>
      <w:r>
        <w:rPr>
          <w:lang w:val="fr-FR"/>
        </w:rPr>
        <w:t>pour des homicides de ce type</w:t>
      </w:r>
      <w:r w:rsidRPr="004E3FA6">
        <w:rPr>
          <w:lang w:val="fr-FR"/>
        </w:rPr>
        <w:t xml:space="preserve">. </w:t>
      </w:r>
      <w:r>
        <w:rPr>
          <w:lang w:val="fr-FR"/>
        </w:rPr>
        <w:t>D’après</w:t>
      </w:r>
      <w:r w:rsidRPr="004E3FA6">
        <w:rPr>
          <w:lang w:val="fr-FR"/>
        </w:rPr>
        <w:t xml:space="preserve"> le rapport du Conseil de l</w:t>
      </w:r>
      <w:r>
        <w:rPr>
          <w:lang w:val="fr-FR"/>
        </w:rPr>
        <w:t>’</w:t>
      </w:r>
      <w:r w:rsidRPr="004E3FA6">
        <w:rPr>
          <w:lang w:val="fr-FR"/>
        </w:rPr>
        <w:t xml:space="preserve">Europe intitulé </w:t>
      </w:r>
      <w:r w:rsidRPr="006F22E0">
        <w:rPr>
          <w:lang w:val="fr-FR"/>
        </w:rPr>
        <w:t>«Traitement inhumain de personnes et trafic illicite d</w:t>
      </w:r>
      <w:r>
        <w:rPr>
          <w:lang w:val="fr-FR"/>
        </w:rPr>
        <w:t>’</w:t>
      </w:r>
      <w:r w:rsidRPr="006F22E0">
        <w:rPr>
          <w:lang w:val="fr-FR"/>
        </w:rPr>
        <w:t>organes humains au Kosovo»</w:t>
      </w:r>
      <w:r>
        <w:rPr>
          <w:lang w:val="fr-FR"/>
        </w:rPr>
        <w:t xml:space="preserve">, il y aurait </w:t>
      </w:r>
      <w:r w:rsidRPr="004E3FA6">
        <w:rPr>
          <w:lang w:val="fr-FR"/>
        </w:rPr>
        <w:t>de</w:t>
      </w:r>
      <w:r>
        <w:rPr>
          <w:lang w:val="fr-FR"/>
        </w:rPr>
        <w:t>s</w:t>
      </w:r>
      <w:r w:rsidRPr="004E3FA6">
        <w:rPr>
          <w:lang w:val="fr-FR"/>
        </w:rPr>
        <w:t xml:space="preserve"> centres </w:t>
      </w:r>
      <w:r>
        <w:rPr>
          <w:lang w:val="fr-FR"/>
        </w:rPr>
        <w:t>de détention secrets en Albanie et des traitements inhumains seraient infligés aux détenus.</w:t>
      </w:r>
      <w:r w:rsidRPr="004E3FA6">
        <w:rPr>
          <w:lang w:val="fr-FR"/>
        </w:rPr>
        <w:t xml:space="preserve"> Des renseigneme</w:t>
      </w:r>
      <w:r>
        <w:rPr>
          <w:lang w:val="fr-FR"/>
        </w:rPr>
        <w:t xml:space="preserve">nts à jour seraient utiles sur ces allégations. </w:t>
      </w:r>
      <w:r w:rsidRPr="004E3FA6">
        <w:rPr>
          <w:lang w:val="fr-FR"/>
        </w:rPr>
        <w:t xml:space="preserve">Enfin, </w:t>
      </w:r>
      <w:r w:rsidRPr="008416D5">
        <w:rPr>
          <w:lang w:val="fr-FR"/>
        </w:rPr>
        <w:t>M</w:t>
      </w:r>
      <w:r w:rsidRPr="008416D5">
        <w:rPr>
          <w:vertAlign w:val="superscript"/>
          <w:lang w:val="fr-FR"/>
        </w:rPr>
        <w:t>me</w:t>
      </w:r>
      <w:r w:rsidRPr="008416D5">
        <w:rPr>
          <w:lang w:val="fr-FR"/>
        </w:rPr>
        <w:t> </w:t>
      </w:r>
      <w:r w:rsidRPr="004E3FA6">
        <w:rPr>
          <w:lang w:val="fr-FR"/>
        </w:rPr>
        <w:t xml:space="preserve">Gaer souhaiterait savoir si des progrès ont été réalisés </w:t>
      </w:r>
      <w:r>
        <w:rPr>
          <w:lang w:val="fr-FR"/>
        </w:rPr>
        <w:t xml:space="preserve">en ce qui concerne l’élimination des problèmes évoqués aux </w:t>
      </w:r>
      <w:r w:rsidR="00D97615">
        <w:rPr>
          <w:lang w:val="fr-FR"/>
        </w:rPr>
        <w:t xml:space="preserve">paragraphes </w:t>
      </w:r>
      <w:r w:rsidRPr="004E3FA6">
        <w:rPr>
          <w:lang w:val="fr-FR"/>
        </w:rPr>
        <w:t>318 et 319 du rapport</w:t>
      </w:r>
      <w:r>
        <w:rPr>
          <w:lang w:val="fr-FR"/>
        </w:rPr>
        <w:t xml:space="preserve"> qui entravent </w:t>
      </w:r>
      <w:r w:rsidRPr="004E3FA6">
        <w:rPr>
          <w:lang w:val="fr-FR"/>
        </w:rPr>
        <w:t>la création d</w:t>
      </w:r>
      <w:r>
        <w:rPr>
          <w:lang w:val="fr-FR"/>
        </w:rPr>
        <w:t>’</w:t>
      </w:r>
      <w:r w:rsidRPr="004E3FA6">
        <w:rPr>
          <w:lang w:val="fr-FR"/>
        </w:rPr>
        <w:t xml:space="preserve">établissements pénitentiaires </w:t>
      </w:r>
      <w:r>
        <w:rPr>
          <w:lang w:val="fr-FR"/>
        </w:rPr>
        <w:t>pour femmes</w:t>
      </w:r>
      <w:r w:rsidRPr="004E3FA6">
        <w:rPr>
          <w:lang w:val="fr-FR"/>
        </w:rPr>
        <w:t xml:space="preserve">. Si les détenues </w:t>
      </w:r>
      <w:r>
        <w:rPr>
          <w:lang w:val="fr-FR"/>
        </w:rPr>
        <w:t xml:space="preserve">dont il est fait mention </w:t>
      </w:r>
      <w:r w:rsidRPr="004E3FA6">
        <w:rPr>
          <w:lang w:val="fr-FR"/>
        </w:rPr>
        <w:t xml:space="preserve">dans le rapport ne sont </w:t>
      </w:r>
      <w:r>
        <w:rPr>
          <w:lang w:val="fr-FR"/>
        </w:rPr>
        <w:t xml:space="preserve">effectivement </w:t>
      </w:r>
      <w:r w:rsidRPr="004E3FA6">
        <w:rPr>
          <w:lang w:val="fr-FR"/>
        </w:rPr>
        <w:t xml:space="preserve">pas séparées des hommes, </w:t>
      </w:r>
      <w:r>
        <w:rPr>
          <w:lang w:val="fr-FR"/>
        </w:rPr>
        <w:t xml:space="preserve">il conviendrait de </w:t>
      </w:r>
      <w:r w:rsidRPr="004E3FA6">
        <w:rPr>
          <w:lang w:val="fr-FR"/>
        </w:rPr>
        <w:t xml:space="preserve">savoir </w:t>
      </w:r>
      <w:r>
        <w:rPr>
          <w:lang w:val="fr-FR"/>
        </w:rPr>
        <w:t xml:space="preserve">par </w:t>
      </w:r>
      <w:r w:rsidRPr="004E3FA6">
        <w:rPr>
          <w:lang w:val="fr-FR"/>
        </w:rPr>
        <w:t xml:space="preserve">qui </w:t>
      </w:r>
      <w:r>
        <w:rPr>
          <w:lang w:val="fr-FR"/>
        </w:rPr>
        <w:t xml:space="preserve">elles sont surveillées </w:t>
      </w:r>
      <w:r w:rsidRPr="004E3FA6">
        <w:rPr>
          <w:lang w:val="fr-FR"/>
        </w:rPr>
        <w:t xml:space="preserve">et si des </w:t>
      </w:r>
      <w:r>
        <w:rPr>
          <w:lang w:val="fr-FR"/>
        </w:rPr>
        <w:t>cas de violence ont été signalé</w:t>
      </w:r>
      <w:r w:rsidRPr="004E3FA6">
        <w:rPr>
          <w:lang w:val="fr-FR"/>
        </w:rPr>
        <w:t>s, des personnes inculp</w:t>
      </w:r>
      <w:r w:rsidR="003F1DB8">
        <w:rPr>
          <w:lang w:val="fr-FR"/>
        </w:rPr>
        <w:t>ées et des poursuites entamées.</w:t>
      </w:r>
    </w:p>
    <w:p w:rsidR="003C686C" w:rsidRPr="004E3FA6" w:rsidRDefault="003C686C" w:rsidP="00162FC8">
      <w:pPr>
        <w:pStyle w:val="SingleTxtG"/>
        <w:keepNext/>
        <w:keepLines/>
        <w:rPr>
          <w:lang w:val="fr-FR"/>
        </w:rPr>
      </w:pPr>
      <w:r w:rsidRPr="004E3FA6">
        <w:rPr>
          <w:lang w:val="fr-FR"/>
        </w:rPr>
        <w:t>29.</w:t>
      </w:r>
      <w:r w:rsidRPr="004E3FA6">
        <w:rPr>
          <w:lang w:val="fr-FR"/>
        </w:rPr>
        <w:tab/>
      </w:r>
      <w:r w:rsidRPr="004E3FA6">
        <w:rPr>
          <w:b/>
          <w:lang w:val="fr-FR"/>
        </w:rPr>
        <w:t>M.</w:t>
      </w:r>
      <w:r w:rsidR="003F1DB8">
        <w:rPr>
          <w:b/>
          <w:lang w:val="fr-FR"/>
        </w:rPr>
        <w:t> </w:t>
      </w:r>
      <w:r w:rsidRPr="006F22E0">
        <w:rPr>
          <w:b/>
          <w:lang w:val="fr-FR"/>
        </w:rPr>
        <w:t>Tugushi</w:t>
      </w:r>
      <w:r w:rsidRPr="004E3FA6">
        <w:rPr>
          <w:lang w:val="fr-FR"/>
        </w:rPr>
        <w:t xml:space="preserve"> demande si le budget de l</w:t>
      </w:r>
      <w:r>
        <w:rPr>
          <w:lang w:val="fr-FR"/>
        </w:rPr>
        <w:t>’</w:t>
      </w:r>
      <w:r w:rsidRPr="004E3FA6">
        <w:rPr>
          <w:lang w:val="fr-FR"/>
        </w:rPr>
        <w:t>institution nationale des droits de l</w:t>
      </w:r>
      <w:r>
        <w:rPr>
          <w:lang w:val="fr-FR"/>
        </w:rPr>
        <w:t>’</w:t>
      </w:r>
      <w:r w:rsidRPr="004E3FA6">
        <w:rPr>
          <w:lang w:val="fr-FR"/>
        </w:rPr>
        <w:t>homme a augmenté depuis qu</w:t>
      </w:r>
      <w:r>
        <w:rPr>
          <w:lang w:val="fr-FR"/>
        </w:rPr>
        <w:t>’</w:t>
      </w:r>
      <w:r w:rsidRPr="004E3FA6">
        <w:rPr>
          <w:lang w:val="fr-FR"/>
        </w:rPr>
        <w:t xml:space="preserve">elle a commencé à jouer le rôle de mécanisme national de prévention. </w:t>
      </w:r>
      <w:r>
        <w:rPr>
          <w:lang w:val="fr-FR"/>
        </w:rPr>
        <w:t>Si tel est le cas</w:t>
      </w:r>
      <w:r w:rsidRPr="004E3FA6">
        <w:rPr>
          <w:lang w:val="fr-FR"/>
        </w:rPr>
        <w:t xml:space="preserve">, la délégation voudra bien </w:t>
      </w:r>
      <w:r>
        <w:rPr>
          <w:lang w:val="fr-FR"/>
        </w:rPr>
        <w:t>indiquer le montant des fonds dont cette institution dispose</w:t>
      </w:r>
      <w:r w:rsidRPr="004E3FA6">
        <w:rPr>
          <w:lang w:val="fr-FR"/>
        </w:rPr>
        <w:t xml:space="preserve">, </w:t>
      </w:r>
      <w:r>
        <w:rPr>
          <w:lang w:val="fr-FR"/>
        </w:rPr>
        <w:t xml:space="preserve">indépendamment des ressources allouées </w:t>
      </w:r>
      <w:r w:rsidRPr="004E3FA6">
        <w:rPr>
          <w:lang w:val="fr-FR"/>
        </w:rPr>
        <w:t xml:space="preserve">par les donateurs. </w:t>
      </w:r>
      <w:r>
        <w:rPr>
          <w:lang w:val="fr-FR"/>
        </w:rPr>
        <w:t xml:space="preserve">M. Tugushi </w:t>
      </w:r>
      <w:r w:rsidRPr="004E3FA6">
        <w:rPr>
          <w:lang w:val="fr-FR"/>
        </w:rPr>
        <w:t xml:space="preserve">demande </w:t>
      </w:r>
      <w:r>
        <w:rPr>
          <w:lang w:val="fr-FR"/>
        </w:rPr>
        <w:t xml:space="preserve">en outre </w:t>
      </w:r>
      <w:r w:rsidRPr="004E3FA6">
        <w:rPr>
          <w:lang w:val="fr-FR"/>
        </w:rPr>
        <w:t>si la durée maximale du placement d</w:t>
      </w:r>
      <w:r>
        <w:rPr>
          <w:lang w:val="fr-FR"/>
        </w:rPr>
        <w:t>’</w:t>
      </w:r>
      <w:r w:rsidRPr="004E3FA6">
        <w:rPr>
          <w:lang w:val="fr-FR"/>
        </w:rPr>
        <w:t xml:space="preserve">un mineur </w:t>
      </w:r>
      <w:r>
        <w:rPr>
          <w:lang w:val="fr-FR"/>
        </w:rPr>
        <w:t xml:space="preserve">en </w:t>
      </w:r>
      <w:r w:rsidRPr="004E3FA6">
        <w:rPr>
          <w:lang w:val="fr-FR"/>
        </w:rPr>
        <w:t xml:space="preserve">cellule disciplinaire a été modifiée. Une recommandation </w:t>
      </w:r>
      <w:r>
        <w:rPr>
          <w:lang w:val="fr-FR"/>
        </w:rPr>
        <w:t xml:space="preserve">tendant à ce que cette période soit ramenée </w:t>
      </w:r>
      <w:r w:rsidRPr="004E3FA6">
        <w:rPr>
          <w:lang w:val="fr-FR"/>
        </w:rPr>
        <w:t>de dix à trois jours</w:t>
      </w:r>
      <w:r>
        <w:rPr>
          <w:lang w:val="fr-FR"/>
        </w:rPr>
        <w:t xml:space="preserve"> avait été formulée. Enfin, il souhaiterait savoir</w:t>
      </w:r>
      <w:r w:rsidRPr="004E3FA6">
        <w:rPr>
          <w:lang w:val="fr-FR"/>
        </w:rPr>
        <w:t xml:space="preserve"> quelles mesures ont été prises pour garantir que la détention des suspects placés en garde à vue ne soit pas prolongée au-delà de la limite </w:t>
      </w:r>
      <w:r>
        <w:rPr>
          <w:lang w:val="fr-FR"/>
        </w:rPr>
        <w:t xml:space="preserve">fixée dans la législation </w:t>
      </w:r>
      <w:r w:rsidRPr="004E3FA6">
        <w:rPr>
          <w:lang w:val="fr-FR"/>
        </w:rPr>
        <w:t>interne</w:t>
      </w:r>
      <w:r>
        <w:rPr>
          <w:lang w:val="fr-FR"/>
        </w:rPr>
        <w:t xml:space="preserve"> pertinente</w:t>
      </w:r>
      <w:r w:rsidR="003F1DB8">
        <w:rPr>
          <w:lang w:val="fr-FR"/>
        </w:rPr>
        <w:t>.</w:t>
      </w:r>
    </w:p>
    <w:p w:rsidR="00FF1DBD" w:rsidRPr="00287E79" w:rsidRDefault="003C686C" w:rsidP="001704EB">
      <w:pPr>
        <w:pStyle w:val="SingleTxtG"/>
      </w:pPr>
      <w:r w:rsidRPr="004E3FA6">
        <w:rPr>
          <w:i/>
          <w:lang w:val="fr-FR"/>
        </w:rPr>
        <w:t>La première partie (publique</w:t>
      </w:r>
      <w:r w:rsidR="003F1DB8">
        <w:rPr>
          <w:i/>
          <w:lang w:val="fr-FR"/>
        </w:rPr>
        <w:t>) de la séance prend fin à 11 h </w:t>
      </w:r>
      <w:r w:rsidRPr="004E3FA6">
        <w:rPr>
          <w:i/>
          <w:lang w:val="fr-FR"/>
        </w:rPr>
        <w:t>55.</w:t>
      </w:r>
    </w:p>
    <w:sectPr w:rsidR="00FF1DBD" w:rsidRPr="00287E79" w:rsidSect="00F15E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A0" w:rsidRDefault="005D09A0"/>
  </w:endnote>
  <w:endnote w:type="continuationSeparator" w:id="0">
    <w:p w:rsidR="005D09A0" w:rsidRDefault="005D09A0"/>
  </w:endnote>
  <w:endnote w:type="continuationNotice" w:id="1">
    <w:p w:rsidR="005D09A0" w:rsidRPr="00EF30CF" w:rsidRDefault="005D09A0" w:rsidP="00EF30C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0" w:rsidRPr="00F15ECF" w:rsidRDefault="005D09A0" w:rsidP="00F15ECF">
    <w:pPr>
      <w:pStyle w:val="Footer"/>
      <w:tabs>
        <w:tab w:val="right" w:pos="9638"/>
      </w:tabs>
    </w:pPr>
    <w:r w:rsidRPr="00F15ECF">
      <w:rPr>
        <w:b/>
        <w:sz w:val="18"/>
      </w:rPr>
      <w:fldChar w:fldCharType="begin"/>
    </w:r>
    <w:r w:rsidRPr="00F15ECF">
      <w:rPr>
        <w:b/>
        <w:sz w:val="18"/>
      </w:rPr>
      <w:instrText xml:space="preserve"> PAGE  \* MERGEFORMAT </w:instrText>
    </w:r>
    <w:r w:rsidRPr="00F15ECF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F15ECF">
      <w:rPr>
        <w:b/>
        <w:sz w:val="18"/>
      </w:rPr>
      <w:fldChar w:fldCharType="end"/>
    </w:r>
    <w:r>
      <w:rPr>
        <w:b/>
        <w:sz w:val="18"/>
      </w:rPr>
      <w:tab/>
    </w:r>
    <w:r>
      <w:t>GE.12-42447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0" w:rsidRPr="00F15ECF" w:rsidRDefault="005D09A0" w:rsidP="00F15ECF">
    <w:pPr>
      <w:pStyle w:val="FootnoteText"/>
      <w:tabs>
        <w:tab w:val="clear" w:pos="1021"/>
        <w:tab w:val="right" w:pos="9638"/>
      </w:tabs>
      <w:ind w:left="0" w:right="0" w:firstLine="0"/>
      <w:rPr>
        <w:b/>
      </w:rPr>
    </w:pPr>
    <w:r>
      <w:rPr>
        <w:sz w:val="16"/>
      </w:rPr>
      <w:t>GE.12-42447</w:t>
    </w:r>
    <w:r>
      <w:rPr>
        <w:sz w:val="16"/>
      </w:rPr>
      <w:tab/>
    </w:r>
    <w:r w:rsidRPr="00F15ECF">
      <w:rPr>
        <w:b/>
      </w:rPr>
      <w:fldChar w:fldCharType="begin"/>
    </w:r>
    <w:r w:rsidRPr="00F15ECF">
      <w:rPr>
        <w:b/>
      </w:rPr>
      <w:instrText xml:space="preserve"> PAGE  \* MERGEFORMAT </w:instrText>
    </w:r>
    <w:r w:rsidRPr="00F15ECF">
      <w:rPr>
        <w:b/>
      </w:rPr>
      <w:fldChar w:fldCharType="separate"/>
    </w:r>
    <w:r>
      <w:rPr>
        <w:b/>
        <w:noProof/>
      </w:rPr>
      <w:t>7</w:t>
    </w:r>
    <w:r w:rsidRPr="00F15EC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0" w:rsidRDefault="005D09A0" w:rsidP="006F74AE">
    <w:pPr>
      <w:pBdr>
        <w:bottom w:val="single" w:sz="4" w:space="1" w:color="auto"/>
      </w:pBdr>
      <w:spacing w:line="240" w:lineRule="auto"/>
    </w:pPr>
  </w:p>
  <w:p w:rsidR="005D09A0" w:rsidRDefault="005D09A0" w:rsidP="008A667F">
    <w:pPr>
      <w:pStyle w:val="FootnoteText"/>
      <w:tabs>
        <w:tab w:val="clear" w:pos="1021"/>
      </w:tabs>
      <w:spacing w:after="120"/>
      <w:ind w:firstLine="0"/>
    </w:pPr>
    <w:r>
      <w:t>Le présent compte rendu est sujet à rectifications.</w:t>
    </w:r>
  </w:p>
  <w:p w:rsidR="005D09A0" w:rsidRDefault="005D09A0" w:rsidP="008A667F">
    <w:pPr>
      <w:pStyle w:val="FootnoteText"/>
      <w:tabs>
        <w:tab w:val="clear" w:pos="1021"/>
      </w:tabs>
      <w:spacing w:after="120"/>
      <w:ind w:firstLine="0"/>
    </w:pPr>
    <w:r>
      <w:t xml:space="preserve">Les rectifications doivent être rédigées dans l’une des langues de travail. Elles doivent être présentées dans un </w:t>
    </w:r>
    <w:r w:rsidRPr="008A667F">
      <w:t>mémorandum et être également incorporées à un exemplaire du</w:t>
    </w:r>
    <w:r>
      <w:t xml:space="preserve"> compte </w:t>
    </w:r>
    <w:r w:rsidRPr="008A667F">
      <w:t>rendu. Il convient de</w:t>
    </w:r>
    <w:r>
      <w:t> </w:t>
    </w:r>
    <w:r w:rsidRPr="008A667F">
      <w:t xml:space="preserve">les adresser, </w:t>
    </w:r>
    <w:r w:rsidRPr="008A667F">
      <w:rPr>
        <w:i/>
      </w:rPr>
      <w:t>une semaine au plus tard à compter de la date du</w:t>
    </w:r>
    <w:r>
      <w:rPr>
        <w:i/>
      </w:rPr>
      <w:t xml:space="preserve"> </w:t>
    </w:r>
    <w:r w:rsidRPr="008A667F">
      <w:rPr>
        <w:i/>
      </w:rPr>
      <w:t>présent document</w:t>
    </w:r>
    <w:r>
      <w:t>, au Groupe d’édition, bureau E.4108, Palais des Nations, Genève.</w:t>
    </w:r>
  </w:p>
  <w:p w:rsidR="005D09A0" w:rsidRDefault="005D09A0" w:rsidP="008A667F">
    <w:pPr>
      <w:pStyle w:val="FootnoteText"/>
      <w:tabs>
        <w:tab w:val="clear" w:pos="1021"/>
      </w:tabs>
      <w:spacing w:after="240"/>
      <w:ind w:firstLine="0"/>
    </w:pPr>
    <w:r>
      <w:t>Les rectifications aux comptes rendus des séances publiques du Comité seront groupées dans un rectificatif unique qui sera publié peu après la session.</w:t>
    </w:r>
  </w:p>
  <w:p w:rsidR="005D09A0" w:rsidRPr="00F15ECF" w:rsidRDefault="005D09A0" w:rsidP="007568B7">
    <w:pPr>
      <w:pStyle w:val="FootnoteText"/>
      <w:tabs>
        <w:tab w:val="clear" w:pos="1021"/>
      </w:tabs>
      <w:spacing w:line="240" w:lineRule="auto"/>
      <w:ind w:left="0" w:right="0" w:firstLine="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12-42447 (F)    060812    130812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A0" w:rsidRPr="00D27D5E" w:rsidRDefault="005D09A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09A0" w:rsidRDefault="005D09A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D09A0" w:rsidRPr="00EF30CF" w:rsidRDefault="005D09A0" w:rsidP="00EF30CF">
      <w:pPr>
        <w:spacing w:line="240" w:lineRule="auto"/>
        <w:rPr>
          <w:sz w:val="2"/>
          <w:szCs w:val="2"/>
        </w:rPr>
      </w:pPr>
    </w:p>
  </w:footnote>
  <w:footnote w:id="2">
    <w:p w:rsidR="005D09A0" w:rsidRPr="00162FC8" w:rsidRDefault="005D09A0">
      <w:pPr>
        <w:pStyle w:val="FootnoteText"/>
      </w:pPr>
      <w:r>
        <w:tab/>
      </w:r>
      <w:r w:rsidRPr="00162FC8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Le compte rendu analytique de la deuxième partie (privée) de la séance est publié sous la cote CAT/C/SR.1060/Add.1.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0" w:rsidRPr="00F15ECF" w:rsidRDefault="005D09A0">
    <w:pPr>
      <w:pStyle w:val="Header"/>
    </w:pPr>
    <w:r>
      <w:t>CAT/C/SR.1060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0" w:rsidRPr="00F15ECF" w:rsidRDefault="005D09A0" w:rsidP="00F15ECF">
    <w:pPr>
      <w:pStyle w:val="Header"/>
      <w:jc w:val="right"/>
    </w:pPr>
    <w:r>
      <w:t>CAT/C/SR.1060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8AF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A8F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B64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54D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4F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EC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4A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D2E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BE6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42C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C0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3DE07A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BD1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2"/>
  </w:num>
  <w:num w:numId="6">
    <w:abstractNumId w:val="20"/>
  </w:num>
  <w:num w:numId="7">
    <w:abstractNumId w:val="24"/>
  </w:num>
  <w:num w:numId="8">
    <w:abstractNumId w:val="37"/>
  </w:num>
  <w:num w:numId="9">
    <w:abstractNumId w:val="30"/>
  </w:num>
  <w:num w:numId="10">
    <w:abstractNumId w:val="40"/>
  </w:num>
  <w:num w:numId="11">
    <w:abstractNumId w:val="24"/>
  </w:num>
  <w:num w:numId="12">
    <w:abstractNumId w:val="28"/>
  </w:num>
  <w:num w:numId="13">
    <w:abstractNumId w:val="28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4"/>
  </w:num>
  <w:num w:numId="36">
    <w:abstractNumId w:val="38"/>
  </w:num>
  <w:num w:numId="37">
    <w:abstractNumId w:val="35"/>
  </w:num>
  <w:num w:numId="38">
    <w:abstractNumId w:val="21"/>
  </w:num>
  <w:num w:numId="39">
    <w:abstractNumId w:val="27"/>
  </w:num>
  <w:num w:numId="40">
    <w:abstractNumId w:val="36"/>
  </w:num>
  <w:num w:numId="41">
    <w:abstractNumId w:val="16"/>
  </w:num>
  <w:num w:numId="42">
    <w:abstractNumId w:val="10"/>
  </w:num>
  <w:num w:numId="43">
    <w:abstractNumId w:val="34"/>
  </w:num>
  <w:num w:numId="44">
    <w:abstractNumId w:val="23"/>
  </w:num>
  <w:num w:numId="45">
    <w:abstractNumId w:val="32"/>
  </w:num>
  <w:num w:numId="46">
    <w:abstractNumId w:val="29"/>
  </w:num>
  <w:num w:numId="47">
    <w:abstractNumId w:val="26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BA8"/>
    <w:rsid w:val="00016AC5"/>
    <w:rsid w:val="0005405B"/>
    <w:rsid w:val="000635BA"/>
    <w:rsid w:val="00071630"/>
    <w:rsid w:val="000B19BF"/>
    <w:rsid w:val="000F38E4"/>
    <w:rsid w:val="000F41F2"/>
    <w:rsid w:val="000F7D5D"/>
    <w:rsid w:val="001018CD"/>
    <w:rsid w:val="001359CE"/>
    <w:rsid w:val="0014642F"/>
    <w:rsid w:val="00160540"/>
    <w:rsid w:val="00162FC8"/>
    <w:rsid w:val="001704EB"/>
    <w:rsid w:val="001753FB"/>
    <w:rsid w:val="00192EEB"/>
    <w:rsid w:val="001A20FB"/>
    <w:rsid w:val="001D7F8A"/>
    <w:rsid w:val="001E3FEB"/>
    <w:rsid w:val="001E4A02"/>
    <w:rsid w:val="00225A8C"/>
    <w:rsid w:val="00243200"/>
    <w:rsid w:val="002659F1"/>
    <w:rsid w:val="002721C3"/>
    <w:rsid w:val="00274348"/>
    <w:rsid w:val="00286CA0"/>
    <w:rsid w:val="00287E79"/>
    <w:rsid w:val="002928F9"/>
    <w:rsid w:val="00297B00"/>
    <w:rsid w:val="002A5D07"/>
    <w:rsid w:val="002B1DB4"/>
    <w:rsid w:val="002B410C"/>
    <w:rsid w:val="002B7740"/>
    <w:rsid w:val="002C6DE7"/>
    <w:rsid w:val="002E0C1D"/>
    <w:rsid w:val="002E37B6"/>
    <w:rsid w:val="002F078C"/>
    <w:rsid w:val="002F090E"/>
    <w:rsid w:val="002F7ADB"/>
    <w:rsid w:val="003016B7"/>
    <w:rsid w:val="003515AA"/>
    <w:rsid w:val="00367AB0"/>
    <w:rsid w:val="00374106"/>
    <w:rsid w:val="00374EDC"/>
    <w:rsid w:val="003976D5"/>
    <w:rsid w:val="003C686C"/>
    <w:rsid w:val="003D6C68"/>
    <w:rsid w:val="003F1DB8"/>
    <w:rsid w:val="00405BB2"/>
    <w:rsid w:val="004159D0"/>
    <w:rsid w:val="0042049F"/>
    <w:rsid w:val="00450E61"/>
    <w:rsid w:val="00455D94"/>
    <w:rsid w:val="004660A9"/>
    <w:rsid w:val="00530C75"/>
    <w:rsid w:val="0054093E"/>
    <w:rsid w:val="00543D5E"/>
    <w:rsid w:val="00571F41"/>
    <w:rsid w:val="005826E2"/>
    <w:rsid w:val="0058573F"/>
    <w:rsid w:val="005C4ACB"/>
    <w:rsid w:val="005D09A0"/>
    <w:rsid w:val="005D3355"/>
    <w:rsid w:val="005E08E8"/>
    <w:rsid w:val="005E3D67"/>
    <w:rsid w:val="005E5D1F"/>
    <w:rsid w:val="005F1737"/>
    <w:rsid w:val="00603981"/>
    <w:rsid w:val="00611D43"/>
    <w:rsid w:val="0061281F"/>
    <w:rsid w:val="00612D48"/>
    <w:rsid w:val="00616B45"/>
    <w:rsid w:val="00630D9B"/>
    <w:rsid w:val="00631953"/>
    <w:rsid w:val="006439EC"/>
    <w:rsid w:val="006647E0"/>
    <w:rsid w:val="00673D1A"/>
    <w:rsid w:val="0068095A"/>
    <w:rsid w:val="00691E95"/>
    <w:rsid w:val="006B4590"/>
    <w:rsid w:val="006C340C"/>
    <w:rsid w:val="006F74AE"/>
    <w:rsid w:val="0070347C"/>
    <w:rsid w:val="00713921"/>
    <w:rsid w:val="007176C1"/>
    <w:rsid w:val="00741D53"/>
    <w:rsid w:val="007568B7"/>
    <w:rsid w:val="0076613C"/>
    <w:rsid w:val="00771AFE"/>
    <w:rsid w:val="00772F70"/>
    <w:rsid w:val="007810DA"/>
    <w:rsid w:val="007E40CD"/>
    <w:rsid w:val="007F55CB"/>
    <w:rsid w:val="008105AF"/>
    <w:rsid w:val="0083075E"/>
    <w:rsid w:val="00844750"/>
    <w:rsid w:val="008464C8"/>
    <w:rsid w:val="00863BA8"/>
    <w:rsid w:val="0087160C"/>
    <w:rsid w:val="00876E41"/>
    <w:rsid w:val="008A667F"/>
    <w:rsid w:val="008B44C4"/>
    <w:rsid w:val="008C598E"/>
    <w:rsid w:val="008D66C2"/>
    <w:rsid w:val="008E0BAC"/>
    <w:rsid w:val="008E675E"/>
    <w:rsid w:val="008E7FAE"/>
    <w:rsid w:val="00901797"/>
    <w:rsid w:val="00911BF7"/>
    <w:rsid w:val="00977EC8"/>
    <w:rsid w:val="00991226"/>
    <w:rsid w:val="009B07D5"/>
    <w:rsid w:val="009D3A8C"/>
    <w:rsid w:val="009D7A07"/>
    <w:rsid w:val="009E7956"/>
    <w:rsid w:val="009F443D"/>
    <w:rsid w:val="00A118C3"/>
    <w:rsid w:val="00A22457"/>
    <w:rsid w:val="00A2492E"/>
    <w:rsid w:val="00A414A1"/>
    <w:rsid w:val="00A47CA5"/>
    <w:rsid w:val="00A56EA8"/>
    <w:rsid w:val="00AB598A"/>
    <w:rsid w:val="00AC67A1"/>
    <w:rsid w:val="00AC7977"/>
    <w:rsid w:val="00AD57BB"/>
    <w:rsid w:val="00AD78F1"/>
    <w:rsid w:val="00AE352C"/>
    <w:rsid w:val="00AE68D1"/>
    <w:rsid w:val="00B05A58"/>
    <w:rsid w:val="00B32E2D"/>
    <w:rsid w:val="00B43ADB"/>
    <w:rsid w:val="00B537A0"/>
    <w:rsid w:val="00B61990"/>
    <w:rsid w:val="00B63A55"/>
    <w:rsid w:val="00B660CC"/>
    <w:rsid w:val="00BA31B5"/>
    <w:rsid w:val="00BA6380"/>
    <w:rsid w:val="00BB761C"/>
    <w:rsid w:val="00BC1A67"/>
    <w:rsid w:val="00BF0556"/>
    <w:rsid w:val="00BF6598"/>
    <w:rsid w:val="00C005F9"/>
    <w:rsid w:val="00C044CF"/>
    <w:rsid w:val="00C17CFF"/>
    <w:rsid w:val="00C261F8"/>
    <w:rsid w:val="00C33100"/>
    <w:rsid w:val="00C64733"/>
    <w:rsid w:val="00C734C0"/>
    <w:rsid w:val="00CA7CAA"/>
    <w:rsid w:val="00CD1A71"/>
    <w:rsid w:val="00CD1FBB"/>
    <w:rsid w:val="00D016B5"/>
    <w:rsid w:val="00D034F1"/>
    <w:rsid w:val="00D07567"/>
    <w:rsid w:val="00D27D5E"/>
    <w:rsid w:val="00D532B1"/>
    <w:rsid w:val="00D563A1"/>
    <w:rsid w:val="00D61266"/>
    <w:rsid w:val="00D64A9D"/>
    <w:rsid w:val="00D97615"/>
    <w:rsid w:val="00DE6D90"/>
    <w:rsid w:val="00DF002F"/>
    <w:rsid w:val="00DF2577"/>
    <w:rsid w:val="00E0244D"/>
    <w:rsid w:val="00E03B84"/>
    <w:rsid w:val="00E2576B"/>
    <w:rsid w:val="00E41BEC"/>
    <w:rsid w:val="00E63EEB"/>
    <w:rsid w:val="00E73EE6"/>
    <w:rsid w:val="00E81E94"/>
    <w:rsid w:val="00E82607"/>
    <w:rsid w:val="00EB50E2"/>
    <w:rsid w:val="00ED73DA"/>
    <w:rsid w:val="00EE7CC6"/>
    <w:rsid w:val="00EF30CF"/>
    <w:rsid w:val="00F15ECF"/>
    <w:rsid w:val="00F22EEF"/>
    <w:rsid w:val="00F417B6"/>
    <w:rsid w:val="00F7010E"/>
    <w:rsid w:val="00F979A6"/>
    <w:rsid w:val="00FA5A79"/>
    <w:rsid w:val="00FB0BFE"/>
    <w:rsid w:val="00FB4C51"/>
    <w:rsid w:val="00FE2E4F"/>
    <w:rsid w:val="00FF1DBD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A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2B7740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CA7C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7CAA"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A7CA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F22E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F22EEF"/>
  </w:style>
  <w:style w:type="character" w:styleId="PageNumber">
    <w:name w:val="page number"/>
    <w:aliases w:val="7_G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50"/>
      </w:numPr>
      <w:spacing w:after="120"/>
      <w:ind w:right="1134"/>
      <w:jc w:val="both"/>
    </w:pPr>
  </w:style>
  <w:style w:type="character" w:styleId="Hyperlink">
    <w:name w:val="Hyperlink"/>
    <w:rsid w:val="00A47CA5"/>
    <w:rPr>
      <w:color w:val="auto"/>
      <w:u w:val="none"/>
    </w:rPr>
  </w:style>
  <w:style w:type="character" w:styleId="FollowedHyperlink">
    <w:name w:val="FollowedHyperlink"/>
    <w:rsid w:val="00A47CA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T3</Template>
  <TotalTime>0</TotalTime>
  <Pages>8</Pages>
  <Words>4197</Words>
  <Characters>22917</Characters>
  <Application>Microsoft Office Word</Application>
  <DocSecurity>4</DocSecurity>
  <Lines>337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CAT/C/SR.1060</vt:lpstr>
    </vt:vector>
  </TitlesOfParts>
  <Company>CSD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CAT/C/SR.1060</dc:title>
  <dc:subject>FINAL T3</dc:subject>
  <dc:creator>N-Rossi</dc:creator>
  <cp:keywords/>
  <dc:description/>
  <cp:lastModifiedBy>Gibert</cp:lastModifiedBy>
  <cp:revision>2</cp:revision>
  <cp:lastPrinted>2012-05-01T08:30:00Z</cp:lastPrinted>
  <dcterms:created xsi:type="dcterms:W3CDTF">2012-08-13T15:35:00Z</dcterms:created>
  <dcterms:modified xsi:type="dcterms:W3CDTF">2012-08-13T15:35:00Z</dcterms:modified>
</cp:coreProperties>
</file>