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45289</w:t>
                  </w:r>
                  <w:r>
                    <w:rPr>
                      <w:lang w:val="en-US"/>
                    </w:rPr>
                    <w:fldChar w:fldCharType="end"/>
                  </w:r>
                  <w:r>
                    <w:rPr>
                      <w:lang w:val="en-US"/>
                    </w:rPr>
                    <w:t xml:space="preserve">   (R)    160107    110507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87929"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w:t>
            </w:r>
            <w:proofErr w:type="spellStart"/>
            <w:r>
              <w:rPr>
                <w:sz w:val="22"/>
                <w:lang w:val="en-US"/>
              </w:rPr>
              <w:t>SR.729</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11 </w:t>
            </w:r>
            <w:proofErr w:type="spellStart"/>
            <w:r>
              <w:rPr>
                <w:sz w:val="22"/>
              </w:rPr>
              <w:t>May</w:t>
            </w:r>
            <w:proofErr w:type="spellEnd"/>
            <w:r>
              <w:rPr>
                <w:sz w:val="22"/>
              </w:rPr>
              <w:t xml:space="preserve"> 2007</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jc w:val="center"/>
      </w:pPr>
      <w:r>
        <w:t>КОМИТЕТ ПРОТИВ ПЫТОК</w:t>
      </w:r>
    </w:p>
    <w:p w:rsidR="00000000" w:rsidRDefault="00000000">
      <w:pPr>
        <w:jc w:val="center"/>
      </w:pPr>
    </w:p>
    <w:p w:rsidR="00000000" w:rsidRDefault="00000000">
      <w:pPr>
        <w:jc w:val="center"/>
      </w:pPr>
      <w:r>
        <w:t>Тридцать седьмая сессия</w:t>
      </w:r>
    </w:p>
    <w:p w:rsidR="00000000" w:rsidRDefault="00000000">
      <w:pPr>
        <w:jc w:val="center"/>
      </w:pPr>
    </w:p>
    <w:p w:rsidR="00000000" w:rsidRDefault="00000000">
      <w:pPr>
        <w:jc w:val="center"/>
      </w:pPr>
      <w:r>
        <w:t>КРАТКИЙ ОТЧЕТ О 729-м ЗАСЕДАНИИ,</w:t>
      </w:r>
    </w:p>
    <w:p w:rsidR="00000000" w:rsidRDefault="00000000">
      <w:pPr>
        <w:jc w:val="center"/>
      </w:pPr>
    </w:p>
    <w:p w:rsidR="00000000" w:rsidRDefault="00000000">
      <w:pPr>
        <w:jc w:val="center"/>
      </w:pPr>
      <w:r>
        <w:t>состоявшемся во Дворце Наций в Женеве в среду,</w:t>
      </w:r>
    </w:p>
    <w:p w:rsidR="00000000" w:rsidRDefault="00000000">
      <w:pPr>
        <w:jc w:val="center"/>
      </w:pPr>
      <w:r>
        <w:t>8 ноября 2006 года, в 15 час. 00 мин.</w:t>
      </w:r>
    </w:p>
    <w:p w:rsidR="00000000" w:rsidRDefault="00000000">
      <w:pPr>
        <w:jc w:val="center"/>
      </w:pPr>
    </w:p>
    <w:p w:rsidR="00000000" w:rsidRDefault="00000000">
      <w:pPr>
        <w:jc w:val="center"/>
      </w:pPr>
      <w:r>
        <w:rPr>
          <w:u w:val="single"/>
        </w:rPr>
        <w:t>Председатель</w:t>
      </w:r>
      <w:r>
        <w:t xml:space="preserve">:  г-н </w:t>
      </w:r>
      <w:proofErr w:type="spellStart"/>
      <w:r>
        <w:t>МАВРОММАТИС</w:t>
      </w:r>
      <w:proofErr w:type="spellEnd"/>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ПРЕДСТАВЛЕННЫХ ГОСУДАРСТВАМИ-</w:t>
      </w:r>
    </w:p>
    <w:p w:rsidR="00000000" w:rsidRDefault="00000000">
      <w:r>
        <w:t>УЧАСТНИКАМИ В СООТВЕТСТВИИ СО СТАТЬЕЙ 19 КОНВЕНЦИИ (</w:t>
      </w:r>
      <w:r>
        <w:rPr>
          <w:u w:val="single"/>
        </w:rPr>
        <w:t>продолжение</w:t>
      </w:r>
      <w:r>
        <w:t>)</w:t>
      </w:r>
    </w:p>
    <w:p w:rsidR="00000000" w:rsidRDefault="00000000"/>
    <w:p w:rsidR="00000000" w:rsidRDefault="00000000">
      <w:r>
        <w:tab/>
      </w:r>
      <w:r>
        <w:rPr>
          <w:u w:val="single"/>
        </w:rPr>
        <w:t>Первоначальный доклад Таджикистана</w:t>
      </w:r>
      <w:r>
        <w:t xml:space="preserve"> (</w:t>
      </w:r>
      <w:r>
        <w:rPr>
          <w:u w:val="single"/>
        </w:rPr>
        <w:t>продолжение</w:t>
      </w:r>
      <w:r>
        <w:t>)</w:t>
      </w:r>
    </w:p>
    <w:p w:rsidR="00000000" w:rsidRDefault="00000000"/>
    <w:p w:rsidR="00000000" w:rsidRDefault="00000000">
      <w:pPr>
        <w:rPr>
          <w:lang w:val="en-US"/>
        </w:rPr>
      </w:pPr>
    </w:p>
    <w:p w:rsidR="00000000" w:rsidRDefault="00000000">
      <w:r>
        <w:t>___________________________________________________________________________</w:t>
      </w:r>
    </w:p>
    <w:p w:rsidR="00000000" w:rsidRDefault="00000000">
      <w:pPr>
        <w:spacing w:line="240" w:lineRule="auto"/>
      </w:pPr>
      <w:r>
        <w:rPr>
          <w:lang w:val="en-US"/>
        </w:rPr>
        <w:tab/>
      </w:r>
      <w:r>
        <w:t>В настоящий краткий отчет могут вноситься поправки.</w:t>
      </w:r>
    </w:p>
    <w:p w:rsidR="00000000" w:rsidRDefault="00000000">
      <w:pPr>
        <w:spacing w:line="240" w:lineRule="auto"/>
      </w:pPr>
    </w:p>
    <w:p w:rsidR="00000000" w:rsidRDefault="00000000">
      <w:pPr>
        <w:spacing w:line="240" w:lineRule="auto"/>
      </w:pPr>
      <w:r>
        <w:rPr>
          <w:lang w:val="en-US"/>
        </w:rPr>
        <w:tab/>
      </w: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000000" w:rsidRDefault="00000000"/>
    <w:p w:rsidR="00000000" w:rsidRDefault="00000000">
      <w:pPr>
        <w:jc w:val="center"/>
        <w:rPr>
          <w:u w:val="single"/>
        </w:rPr>
      </w:pPr>
      <w:r>
        <w:br w:type="page"/>
      </w:r>
      <w:r>
        <w:rPr>
          <w:u w:val="single"/>
        </w:rPr>
        <w:t>Заседание открывается в 15 час. 05 мин</w:t>
      </w:r>
      <w:r>
        <w:t>.</w:t>
      </w:r>
    </w:p>
    <w:p w:rsidR="00000000" w:rsidRDefault="00000000">
      <w:pPr>
        <w:jc w:val="center"/>
        <w:rPr>
          <w:u w:val="single"/>
        </w:rPr>
      </w:pPr>
    </w:p>
    <w:p w:rsidR="00000000" w:rsidRDefault="00000000">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 w:rsidR="00000000" w:rsidRDefault="00000000">
      <w:r>
        <w:tab/>
      </w:r>
      <w:r>
        <w:rPr>
          <w:u w:val="single"/>
        </w:rPr>
        <w:t>Первоначальный доклад Таджикистана</w:t>
      </w:r>
      <w:r>
        <w:t xml:space="preserve"> (</w:t>
      </w:r>
      <w:r>
        <w:rPr>
          <w:u w:val="single"/>
        </w:rPr>
        <w:t>продолжение</w:t>
      </w:r>
      <w:r>
        <w:t>) (</w:t>
      </w:r>
      <w:r>
        <w:rPr>
          <w:lang w:val="en-US"/>
        </w:rPr>
        <w:t>CAT</w:t>
      </w:r>
      <w:r>
        <w:t>/</w:t>
      </w:r>
      <w:r>
        <w:rPr>
          <w:lang w:val="en-US"/>
        </w:rPr>
        <w:t>C</w:t>
      </w:r>
      <w:r>
        <w:t>/</w:t>
      </w:r>
      <w:r>
        <w:rPr>
          <w:lang w:val="en-US"/>
        </w:rPr>
        <w:t>TJK</w:t>
      </w:r>
      <w:r>
        <w:t xml:space="preserve">/1; </w:t>
      </w:r>
      <w:r>
        <w:rPr>
          <w:lang w:val="en-US"/>
        </w:rPr>
        <w:t>HRI</w:t>
      </w:r>
      <w:r>
        <w:t>/</w:t>
      </w:r>
      <w:r>
        <w:rPr>
          <w:lang w:val="en-US"/>
        </w:rPr>
        <w:t>CORE</w:t>
      </w:r>
      <w:r>
        <w:t>/1/</w:t>
      </w:r>
      <w:r>
        <w:rPr>
          <w:lang w:val="en-US"/>
        </w:rPr>
        <w:t>Add</w:t>
      </w:r>
      <w:r>
        <w:t>.128)</w:t>
      </w:r>
    </w:p>
    <w:p w:rsidR="00000000" w:rsidRDefault="00000000"/>
    <w:p w:rsidR="00000000" w:rsidRDefault="00000000">
      <w:r>
        <w:t>1.</w:t>
      </w:r>
      <w:r>
        <w:tab/>
      </w:r>
      <w:r>
        <w:rPr>
          <w:u w:val="single"/>
        </w:rPr>
        <w:t>По приглашению Председателя члены делегации Таджикистана занимают места за столом Комитета</w:t>
      </w:r>
      <w:r>
        <w:t>.</w:t>
      </w:r>
    </w:p>
    <w:p w:rsidR="00000000" w:rsidRDefault="00000000"/>
    <w:p w:rsidR="00000000" w:rsidRDefault="00000000">
      <w:r>
        <w:t>2.</w:t>
      </w:r>
      <w:r>
        <w:tab/>
      </w:r>
      <w:r>
        <w:rPr>
          <w:u w:val="single"/>
        </w:rPr>
        <w:t>Г-н ХАМИДОВ</w:t>
      </w:r>
      <w:r>
        <w:t xml:space="preserve"> (Таджикистан) говорит, что его делегация приложит максимум усилий к тому, чтобы ответить на вопросы Комитета, которые можно разделить на восемь основных групп.  Первую группу составляют общие вопросы, касающиеся специфики подготовки первоначального доклада, урегулирования вооруженного конфликта в Таджикистане, роли Организации Объединенных Наций в этом процессе и применения законодательства об амнистии, особенно в отношении лиц, совершающих пытки.  Вторая группа состоит из вопросов относительно механизмов ратификации международных договоров и присоединения к ним, применения норм международного права национальными судебными и правоохранительными органами, включая случаи коллизий между международным и внутренним правом, и соответствия определения пытки в таджикском законодательстве определению, содержащемуся в статье 1 Конвенции.</w:t>
      </w:r>
    </w:p>
    <w:p w:rsidR="00000000" w:rsidRDefault="00000000"/>
    <w:p w:rsidR="00000000" w:rsidRDefault="00000000">
      <w:r>
        <w:t>3.</w:t>
      </w:r>
      <w:r>
        <w:tab/>
        <w:t xml:space="preserve">Третья группа вопросов касается обязанности государственных органов по обеспечению прав и свобод человека и запрещению пыток и роли министерства безопасности в этой связи.  Четвертая группа сфокусирована на продолжительности и основаниях задержания, соответствующих следственных процедурах и предусмотренных законом гарантиях обеспечения прав задержанных.  В пятую группу входят вопросы, касающиеся экстрадиции и депортации, включая соответствующие договоры о правовой помощи с другими государствами, усилий по борьбе с торговлей людьми и национального законодательства о беженцах.  Предмет шестой группы составляют вопросы относительно правовой и судебной реформ, порядка избрания и назначения судей, различных видов судов, включая военные и специальные суды, и полномочий судей и прокуроров.  Седьмая группа касается пенитенциарных учреждений, необходимости раздельного содержания различных групп заключенных, доступа в учреждения пенитенциарной системы, в том числе для медицинского персонала, и статистики о количестве смертей в местах лишения свободы.  В последнюю группу входят вопросы, касающиеся ратификации Факультативного протокола к Конвенции, роли и судебной практики Конституционного суда и экспертного анализа дел о применении пыток. </w:t>
      </w:r>
    </w:p>
    <w:p w:rsidR="00000000" w:rsidRDefault="00000000">
      <w:r>
        <w:t>4.</w:t>
      </w:r>
      <w:r>
        <w:tab/>
      </w:r>
      <w:r>
        <w:rPr>
          <w:u w:val="single"/>
        </w:rPr>
        <w:t xml:space="preserve">Г-н </w:t>
      </w:r>
      <w:proofErr w:type="spellStart"/>
      <w:r>
        <w:rPr>
          <w:u w:val="single"/>
        </w:rPr>
        <w:t>ХУДОЕРОВ</w:t>
      </w:r>
      <w:proofErr w:type="spellEnd"/>
      <w:r>
        <w:t xml:space="preserve"> (Таджикистан), представляя информацию о подготовке национального первоначального доклада (</w:t>
      </w:r>
      <w:r>
        <w:rPr>
          <w:lang w:val="en-US"/>
        </w:rPr>
        <w:t>CAT</w:t>
      </w:r>
      <w:r>
        <w:t>/</w:t>
      </w:r>
      <w:r>
        <w:rPr>
          <w:lang w:val="en-US"/>
        </w:rPr>
        <w:t>C</w:t>
      </w:r>
      <w:r>
        <w:t>/</w:t>
      </w:r>
      <w:proofErr w:type="spellStart"/>
      <w:r>
        <w:rPr>
          <w:lang w:val="en-US"/>
        </w:rPr>
        <w:t>TJK</w:t>
      </w:r>
      <w:proofErr w:type="spellEnd"/>
      <w:r>
        <w:t xml:space="preserve">/1), говорит, что Правительственной комиссией была создана рабочая группа для надзора за выполнением обязательств в области прав человека.  В состав рабочей группы вошли представители государственных органов и НПО, а также международных организаций, в том числе Отделения Организации Объединенных Наций по поддержке </w:t>
      </w:r>
      <w:proofErr w:type="spellStart"/>
      <w:r>
        <w:t>миростроительства</w:t>
      </w:r>
      <w:proofErr w:type="spellEnd"/>
      <w:r>
        <w:t xml:space="preserve"> в Таджикистане и Швейцарского агентства по развитию и сотрудничеству.</w:t>
      </w:r>
    </w:p>
    <w:p w:rsidR="00000000" w:rsidRDefault="00000000"/>
    <w:p w:rsidR="00000000" w:rsidRDefault="00000000">
      <w:r>
        <w:t>5.</w:t>
      </w:r>
      <w:r>
        <w:tab/>
        <w:t>В 2004 году во время подготовки первоначального доклада было проведено несколько семинаров по вопросам, связанным с Конвенцией против пыток;  в них принимали участие  международные эксперты и представители НПО и национальных правовых ассоциаций.  Подготовка первоначального доклада была освещена в национальной прессе, в том числе в газете "</w:t>
      </w:r>
      <w:r>
        <w:rPr>
          <w:u w:val="single"/>
        </w:rPr>
        <w:t>Азия-плюс</w:t>
      </w:r>
      <w:r>
        <w:t>".</w:t>
      </w:r>
    </w:p>
    <w:p w:rsidR="00000000" w:rsidRDefault="00000000"/>
    <w:p w:rsidR="00000000" w:rsidRDefault="00000000">
      <w:r>
        <w:t>6.</w:t>
      </w:r>
      <w:r>
        <w:tab/>
      </w:r>
      <w:r>
        <w:rPr>
          <w:u w:val="single"/>
        </w:rPr>
        <w:t>Г-н ХАМИДОВ</w:t>
      </w:r>
      <w:r>
        <w:t xml:space="preserve"> (</w:t>
      </w:r>
      <w:r>
        <w:rPr>
          <w:u w:val="single"/>
        </w:rPr>
        <w:t>Таджикистан</w:t>
      </w:r>
      <w:r>
        <w:t xml:space="preserve">), отвечая на вопросы относительно урегулирования вооруженного конфликта и законодательства об амнистии, отмечает, что важно помнить о том, что в Таджикистане уже более шести лет продолжается гражданский вооруженный конфликт.  После подписания Соглашения об установлении мира и национального согласия начался процесс мирных переговоров и была учреждена Комиссия по национальному примирению.  Помимо ее деятельности, к 1999 году было принято четыре акта амнистии, предусматривающих освобождение всех лиц, причастных к вооруженному политическому конфликту.  Их основной целью было достижение мира и национального единства, и должны были быть сделаны определенные уступки.  Все лица, подпадающие под акты амнистии, включая виновных в совершении пыток, были освобождены от уголовной ответственности и преследования.  В настоящее время в Таджикистане установились мир и стабильность, что подтвердилось недавними президентскими выборами.  </w:t>
      </w:r>
    </w:p>
    <w:p w:rsidR="00000000" w:rsidRDefault="00000000"/>
    <w:p w:rsidR="00000000" w:rsidRDefault="00000000">
      <w:r>
        <w:t>7.</w:t>
      </w:r>
      <w:r>
        <w:tab/>
        <w:t>Самая последняя амнистия, объявленная в связи с 50-летием национальной независимости, не освободила от уголовного наказания и преследования лиц, виновных в совершении пыток.  Различные акты амнистии были основаны на национальных интересах и обстоятельствах, превалирующих в период их принятия.</w:t>
      </w:r>
    </w:p>
    <w:p w:rsidR="00000000" w:rsidRDefault="00000000"/>
    <w:p w:rsidR="00000000" w:rsidRDefault="00000000">
      <w:r>
        <w:t>8.</w:t>
      </w:r>
      <w:r>
        <w:tab/>
      </w:r>
      <w:r>
        <w:rPr>
          <w:u w:val="single"/>
        </w:rPr>
        <w:t>Г-н ДЖОНОНОВ</w:t>
      </w:r>
      <w:r>
        <w:t xml:space="preserve"> (Таджикистан) говорит, что процедуры присоединения к международным договорам и их ратификации установлены Конституцией и Законом "О международных договорах".  В соответствии с Конституцией ратификация международных договоров входит в компетенцию нижней палаты парламента, в то время как решения, касающиеся присоединения, являются исключительной прерогативой Президента.  Закон "О международных договорах" делит международные договоры на три основные категории.</w:t>
      </w:r>
    </w:p>
    <w:p w:rsidR="00000000" w:rsidRDefault="00000000"/>
    <w:p w:rsidR="00000000" w:rsidRDefault="00000000">
      <w:r>
        <w:t>9.</w:t>
      </w:r>
      <w:r>
        <w:tab/>
        <w:t xml:space="preserve">Согласно установленной процедуре ратификации международных договоров, министерство иностранных дел направляет копии договоров, предложенных к ратификации, во все государственные министерства и ведомства для представления ими своих комментариев.  Президенту также направляется информация относительно целей договоров и политических, экономических и финансовых последствий их ратификации для Таджикистана.  При условии согласия Президента договоры поступают в нижнюю палату парламента для обсуждения и ратификации.  Конвенция против пыток была ратифицирована без оговорок.  </w:t>
      </w:r>
    </w:p>
    <w:p w:rsidR="00000000" w:rsidRDefault="00000000"/>
    <w:p w:rsidR="00000000" w:rsidRDefault="00000000">
      <w:r>
        <w:t>10.</w:t>
      </w:r>
      <w:r>
        <w:tab/>
      </w:r>
      <w:r>
        <w:rPr>
          <w:u w:val="single"/>
        </w:rPr>
        <w:t xml:space="preserve">Г-н ХАМИДОВ </w:t>
      </w:r>
      <w:r>
        <w:t xml:space="preserve">(Таджикистан) говорит, что в разных государствах применяются различные подходы к обеспечению примата международного права и надлежащего применения международно-правовых стандартов.  В соответствии со статьей 10 Конституции Таджикистана международные договоры являются неотъемлемой частью национального законодательства.  Национальные правовая и судебная системы были радикально реформированы с целью гарантирования непосредственного и надлежащего применения международных норм и стандартов судебными и правоохранительными органами.  Вместе с тем все еще имеются проблемы, связанные с необходимостью соответствующей профессиональной подготовки сотрудников для обеспечения соблюдения ими этих стандартов на практике.  </w:t>
      </w:r>
    </w:p>
    <w:p w:rsidR="00000000" w:rsidRDefault="00000000"/>
    <w:p w:rsidR="00000000" w:rsidRDefault="00000000">
      <w:r>
        <w:t>11.</w:t>
      </w:r>
      <w:r>
        <w:tab/>
      </w:r>
      <w:r>
        <w:rPr>
          <w:u w:val="single"/>
        </w:rPr>
        <w:t>Г-н ХОДЖАЕВ</w:t>
      </w:r>
      <w:r>
        <w:t xml:space="preserve"> (Таджикистан) отмечает, что в качестве примера превалирования международного права над национальным законодательством в случае возникновения коллизии можно привести случай подачи гражданином Соединенных Штатов Америки заявления об усыновлении таджикского ребенка.  Семейный кодекс устанавливает, что иностранцы обладают равными правами с гражданами Таджикистана и не предусматривает никаких ограничений для усыновления таджикских детей иностранцами.  В соответствии с Конвенцией о правах ребенка, однако, ребенок не должен усыновляться иностранным гражданином в том случае, когда он может быть передан на воспитание или усыновлен в стране происхождения.  На этом основании таджикский суд отказал гражданину Соединенных Штатов в усыновлении.</w:t>
      </w:r>
    </w:p>
    <w:p w:rsidR="00000000" w:rsidRDefault="00000000"/>
    <w:p w:rsidR="00000000" w:rsidRDefault="00000000">
      <w:r>
        <w:t>12.</w:t>
      </w:r>
      <w:r>
        <w:tab/>
        <w:t>В качестве примера обеспечения принципа равенства иностранцев и граждан Таджикистана перед законом можно назвать дело в отношении российского гражданина, рассмотренное в Душанбе в январе 2006 года.  Гражданин России отслужил в таджикской армии, после чего был задержан в помещении министерства юстиции, где к нему применяли физическое насилие.  Причастным к данному инциденту должностным лицам, являющимся гражданами Таджикистана, было предъявлено обвинение в совершении акта насилия в отношении иностранного гражданина.</w:t>
      </w:r>
    </w:p>
    <w:p w:rsidR="00000000" w:rsidRDefault="00000000"/>
    <w:p w:rsidR="00000000" w:rsidRDefault="00000000">
      <w:r>
        <w:t>13.</w:t>
      </w:r>
      <w:r>
        <w:tab/>
        <w:t>Относительно вопроса о соответствии определения пытки в национальном законодательстве определению, содержащемуся в статье 1 Конвенции, выступающий обращает внимание членов Комитета на комментарий к статье 117 Уголовного кодекса, добавленный Законом от 2004 года о внесении изменений и дополнений в Уголовный кодекс.  Определение пытки в новой редакции Уголовного кодекса является более широким, чем определение, содержащееся в статье 1 Конвенции, так как субъектом данного преступления могут выступать не только лица, наделенные публичной властью или осуществляющие расследование преступлений, совершающие пытки при исполнении служебных обязанностей, но и другие лица, действия которых не связаны с выполнением государственных обязанностей.  Такие лица также могут быть привлечены к уголовной ответственности.  Часть 3 статьи 117 предусматривает более суровое наказание в случае, когда преступление совершается с применением насилия.  Таким образом, в соответствии с указанной статьей все лица, включая государственных должностных лиц, привлекаются к уголовной ответственности за превышение своих полномочий, включая совершение актов пыток.</w:t>
      </w:r>
    </w:p>
    <w:p w:rsidR="00000000" w:rsidRDefault="00000000"/>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ab/>
        <w:t>Государственные должностные лица в сфере правосудия, исполняющие свои должностные обязанности противоречащим Конвенции способом, привлекаются к уголовной ответственности по статье 354 Уголовного кодекса за принуждение к даче показаний в ходе дознания, предварительного следствия или отправления правосудия.  Часть 2 данной статьи предусматривает уголовное наказание за те же действия, совершенные с применением насилия или повлекшие тяжкие последствия вплоть до самоубийства.  В статье 256 Кодекса предусмотрена уголовная ответственность для судей, неправомерно отправляющих правосудие.</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 В Уголовном кодексе также установлена уголовная ответственность  за преступления, совершенные военнослужащими, включая применение насилия, равного пыткам, и ненадлежащее исполнение должностных обязанностей сотрудниками правоохранительных органов.  Таким образом защищаются права, свободы и законные интересы лиц, пострадавших от пыток, совершенных государственными должностными лицами.  Законодательство Таджикистана содержит также ряд других положений, направленных на защиту интересов жертв моральных или психологических страданий, в некоторых случаях влекущих самоубийство, причиненных должностными лицами государства.  Права и свободы граждан охраняются в соответствии с международными стандартами, которые распространяются на все преступления, связанные с применением пыток,  совершенные не только государственными должностными лицами, но  и другими лицами.</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ab/>
        <w:t>Уголовная ответственность за причиненные женщине моральные страдания или сексуальную агрессию предусмотрена в статье 140 Уголовного кодекса.</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17.</w:t>
      </w:r>
      <w:r>
        <w:rPr>
          <w:rFonts w:ascii="Times New Roman" w:hAnsi="Times New Roman" w:cs="Times New Roman"/>
        </w:rPr>
        <w:tab/>
        <w:t>Уголовная ответственность за применение пыток предусмотрена различными статьями Уголовного кодекса.  Принуждение с применением пыток с целью получения показаний, совершаемое лицом, осуществляющим дознание, предварительное следствие или правосудие, является преступлением, предусмотренным статьей 354.  Превышение должностных полномочий, сопряженное с применением пыток, составляет уголовное преступление по статье 316.  Злоупотребление должностными полномочиями является преступлением, предусмотренным статьей 314, а все другие действия, связанные с применением жестокого обращения, совершаемые лицами, не наделенными публичной властью, включая бытовое насилие, охватываются статьей 117.  Таким образом, понятие пытки в Уголовном кодексе Таджикистана полностью соответствует определению, содержащемуся в Конвенции.</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t>Уголовный кодекс рассматривает в качестве преступлений не только уже совершенные акты пыток, но также намерение применить пытку и планирование соответствующего деяния.  Также уголовной ответственности подлежат лица, не принимающие непосредственного участия в совершении преступления, связанного с применением пытки, но оказывающие содействие в его совершении.</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Выступающий говорит, что его страна в настоящий момент переживает переходный период, а законодательство претерпевает обширные изменения, включающие усилия по эффективному осуществлению Конвенции. </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Дела, касающиеся преступлений, связанных с ненадлежащим выполнением своих полномочий государственными должностными лицами, рассматриваются судами общей юрисдикции и военными судами.  В период между 2004 и 2006 годами суды общей юрисдикции рассмотрели дела указанной категории в отношении 28 лиц, а военные суды – в отношении 132 лиц.  Во многих случаях суды общей юрисдикции, рассматривая дела, связанные с военными преступлениями, устанавливали ответственность персонала низшего уровня министерства внутренних дел за ненадлежащее выполнение должностных обязанностей, сопряженное с применением пыток или жестокого обращения в отношении лиц, содержавшихся под стражей непосредственно в </w:t>
      </w:r>
      <w:proofErr w:type="spellStart"/>
      <w:r>
        <w:rPr>
          <w:rFonts w:ascii="Times New Roman" w:hAnsi="Times New Roman" w:cs="Times New Roman"/>
        </w:rPr>
        <w:t>спецпомещениях</w:t>
      </w:r>
      <w:proofErr w:type="spellEnd"/>
      <w:r>
        <w:rPr>
          <w:rFonts w:ascii="Times New Roman" w:hAnsi="Times New Roman" w:cs="Times New Roman"/>
        </w:rPr>
        <w:t xml:space="preserve"> министерства.</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t>Вместе с тем к ответственности привлекаются и сотрудники более высокого звена за превышение должностных полномочий в ходе проведения допросов, применение насилия, приравненного к пыткам, с целью принуждения к даче признательных показаний и незаконные задержания, например в связи с делом старшего следователя департамента уголовных расследований и старшего инспектора отдела уголовного розыска Душанбе.  Старшие должностные лица из других департаментов, включая департамент уголовных расследований министерства внутренних дел, также были осуждены за подобные преступления.  Превышение должностных полномочий, сопряженное с применением насилия, к сожалению, является широко распространенным преступлением в вооруженных силах, особенно на уровне сержантов.</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r>
      <w:r>
        <w:rPr>
          <w:rFonts w:ascii="Times New Roman" w:hAnsi="Times New Roman" w:cs="Times New Roman"/>
          <w:u w:val="single"/>
        </w:rPr>
        <w:t>Г-н ХУДОЕРОВ</w:t>
      </w:r>
      <w:r>
        <w:rPr>
          <w:rFonts w:ascii="Times New Roman" w:hAnsi="Times New Roman" w:cs="Times New Roman"/>
        </w:rPr>
        <w:t xml:space="preserve"> (Таджикистан) говорит, что вред, причиненный гражданам в результате, среди прочего, неправомерного осуждения, незаконного содержания под стражей или ограничения передвижения и применения незаконных административных санкций, компенсируется в полном объеме, независимо от того, виновны ли в совершении преступления сотрудники органов, осуществляющих предварительное следствие, лица, ведущие дознание, прокуратура или суды.  Правовой основой таких компенсаций, имеющих финансовый характер, является статья 32 Конституции Таджикистана, а процедура ее предоставления установлена статьей 1 086 гражданского кодекса.  Выступающий приводит пример присуждения компенсации Военным судом Душанбе.</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 Отвечая на вопрос относительно результата уголовного разбирательства трех дел офицеров милиции, рассмотренных Комитетом по правам человека в ходе изучения периодического доклада Таджикистана, он выделяет детали одного из дел, которое было снято с рассмотрения в связи с тем, что не были установлены факты, подтверждающие заявления о применении насилия.  Вопрос, касающийся предоставления компенсации, подлежит дальнейшему рассмотрению.</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pPr>
        <w:pStyle w:val="NormalWeb"/>
        <w:spacing w:before="0" w:beforeAutospacing="0" w:after="0" w:afterAutospacing="0" w:line="288"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Переходя к вопросу об ответственности определенных государственных органов, в частности министерства внутренних дел, он говорит, что органом, отвечающим за координацию деятельности министерства, является Правительственная комиссия, осуществляющая надзор за выполнением международных обязательств в области прав человека.  Органом, наблюдающим за выполнением положений Конвенции, является Генеральная прокуратура, полномочия которой прописаны в Конституции.  Генеральный прокурор обладает правом вынести решение о применении международных правозащитных механизмов в пользу подозреваемых, обвиняемых и осужденных.  Он также вправе освобождать незаконно задержанных лиц и отвечает за соблюдение законности в местах лишения свободы, включая места предварительного заключения.  В качестве примера  того, как эти полномочия осуществляются на практике, выступающий говорит об уголовном процессе в отношении офицеров полиции, завершившимся их осуждением за злоупотребление служебными полномочиями.</w:t>
      </w:r>
    </w:p>
    <w:p w:rsidR="00000000" w:rsidRDefault="00000000">
      <w:pPr>
        <w:pStyle w:val="NormalWeb"/>
        <w:spacing w:before="0" w:beforeAutospacing="0" w:after="0" w:afterAutospacing="0" w:line="288" w:lineRule="auto"/>
        <w:rPr>
          <w:rFonts w:ascii="Times New Roman" w:hAnsi="Times New Roman" w:cs="Times New Roman"/>
        </w:rPr>
      </w:pPr>
    </w:p>
    <w:p w:rsidR="00000000" w:rsidRDefault="00000000">
      <w:r>
        <w:t>25.</w:t>
      </w:r>
      <w:r>
        <w:tab/>
        <w:t>Министерство безопасности было создано с целью обеспечения не только национальной безопасности, но и безопасности общества и отдельных лиц.  Министерство и его вспомогательные органы в своей деятельности руководствуются Конституцией, национальным законодательством и международными договорами, ратифицированными Таджикистаном.  Законодательство о службах безопасности, принятое в 1998 году, предусматривает функции министерства, в которые входит расследование уголовных дел в соответствии с Уголовным кодексом.   Надзор за деятельностью министерства осуществляет Генеральная прокуратура, которая в случае необходимости принимает необходимые меры, направленные на обеспечение законности.</w:t>
      </w:r>
    </w:p>
    <w:p w:rsidR="00000000" w:rsidRDefault="00000000"/>
    <w:p w:rsidR="00000000" w:rsidRDefault="00000000">
      <w:r>
        <w:t>26.</w:t>
      </w:r>
      <w:r>
        <w:tab/>
      </w:r>
      <w:r>
        <w:rPr>
          <w:u w:val="single"/>
        </w:rPr>
        <w:t>Г-н ШАРИПОВ</w:t>
      </w:r>
      <w:r>
        <w:t xml:space="preserve"> (Таджикистан) объясняет, что в соответствии со статьей 412 Уголовно-процессуального кодекса подозреваемые в совершении преступлений могут быть задержаны в камерах полиции на срок до 72 часов.  В соответствии со статьей 92 Кодекса содержание под стражей с санкции Генерального прокурора в целях обеспечения расследования уголовного дела может быть продлено не более чем на два месяца.  Решение о продлении срока содержания под стражей не более чем на три месяца может быть принято районным или городским прокурором, если расследование не было завершено.  Дальнейшее продление на срок до шести месяцев возможно в случае, если дело представляет особую сложность, но только с санкции регионального или областного прокурора или приравненного к ним прокурора.  Заместитель Генерального прокурора и Главный военный прокурор могут продлевать срок содержания под стражей до 9 месяцев с даты заключения.  Продление на срок до 15 месяцев возможно с санкции Генерального прокурора при расследовании особо тяжких преступлений.</w:t>
      </w:r>
    </w:p>
    <w:p w:rsidR="00000000" w:rsidRDefault="00000000"/>
    <w:p w:rsidR="00000000" w:rsidRDefault="00000000">
      <w:r>
        <w:t>27.</w:t>
      </w:r>
      <w:r>
        <w:tab/>
      </w:r>
      <w:r>
        <w:rPr>
          <w:u w:val="single"/>
        </w:rPr>
        <w:t>Г-н ХАМИДОВ</w:t>
      </w:r>
      <w:r>
        <w:t xml:space="preserve"> (Таджикистан) заверяет Комитет в том, что ко времени представления следующего периодического доклада вся судебная система будет реформирована.  Проводимые реформы предусматривают создание полностью независимой судебной системы, пожизненное назначение судей и передачу судам полномочий по санкционированию арестов.  Как только процесс реформирования будет завершен, правительство представит Комитету соответствующий  доклад.</w:t>
      </w:r>
    </w:p>
    <w:p w:rsidR="00000000" w:rsidRDefault="00000000"/>
    <w:p w:rsidR="00000000" w:rsidRDefault="00000000">
      <w:r>
        <w:t>28.</w:t>
      </w:r>
      <w:r>
        <w:tab/>
        <w:t>Он признает, что условия в пенитенциарных учреждениях Таджикистана далеки от идеала, но в этом направлении был достигнут существенный прогресс.  Подходы и установки в этом отношении уже изменились, и соответствующее законодательство отличается большей гуманностью.  Условия питания и проживания в местах лишения свободы улучшились, защита прав и свобод усилилась, а здания тюрем были модернизированы.  Процесс реформы начался недавно, и предстоит решить многие проблемы.  Правительство открыто признает, что по причине высокой численности заключенных возникают трудности, связанные с надзором за ними, их транспортировкой, а также обеспечением всех их прав.  Проблему представляет сфера образования и занятости, а также наличие туберкулеза и другие проблемы медицинского характера в местах лишения свободы.  Условия питания и проживания все еще оставляют желать лучшего, но правительство хорошо осведомлено об имеющихся проблемах и искренне намерено изменить ситуацию в лучшую сторону.  Вместе с тем достижение международных стандартов в местах лишения свободы осложняется нынешним положением в области экономики.  Он посещал образцовую тюрьму в Канаде, где на трех заключенных приходится более 200 человек персонала.  В этой стране на пенитенциарную систему потрачено более 20 млн. долларов.  Он надеется, что на будущем заседании Комитета делегация Таджикистана сможет представить информацию о существовании подобных тюрем в его стране.  В настоящее время рекомендации Комитета и другие формы содействия помогут улучшить ситуацию в его государстве.</w:t>
      </w:r>
    </w:p>
    <w:p w:rsidR="00000000" w:rsidRDefault="00000000"/>
    <w:p w:rsidR="00000000" w:rsidRDefault="00000000">
      <w:r>
        <w:t>29.</w:t>
      </w:r>
      <w:r>
        <w:tab/>
        <w:t xml:space="preserve">В соответствии с законодательством государства отдельным категориям лиц необходимо специальное разрешение на допуск к местам лишения свободы, в то время как другим категориям лиц такое разрешение не требуется.  Министерство юстиции осуществляет тесное сотрудничество с НПО, и Комитету был представлен альтернативный доклад, подготовленный национальной НПО.  В нем объективно отражена ситуация в пенитенциарной системе Таджикистана, а содержащиеся в нем выводы будут очень полезны правительству при принятии соответствующих мер в будущем.  </w:t>
      </w:r>
    </w:p>
    <w:p w:rsidR="00000000" w:rsidRDefault="00000000"/>
    <w:p w:rsidR="00000000" w:rsidRDefault="00000000">
      <w:r>
        <w:t>30.</w:t>
      </w:r>
      <w:r>
        <w:tab/>
        <w:t>Показатели Таджикистана относительно ратификации международно-правовых актов достаточно высоки, особенно по сравнению с другими развивающимися странами.  Правительство признает, что ему необходимо выполнять международные обязательства, и выступающий выражает уверенность, что, когда наступит подходящий момент, оно ратифицирует Факультативный протокол к Конвенции против пыток.</w:t>
      </w:r>
    </w:p>
    <w:p w:rsidR="00000000" w:rsidRDefault="00000000"/>
    <w:p w:rsidR="00000000" w:rsidRDefault="00000000">
      <w:r>
        <w:t>31.</w:t>
      </w:r>
      <w:r>
        <w:tab/>
      </w:r>
      <w:r>
        <w:rPr>
          <w:u w:val="single"/>
        </w:rPr>
        <w:t>Г-жа ГАЕР</w:t>
      </w:r>
      <w:r>
        <w:t xml:space="preserve">, докладчик по стране, напоминает, что в соответствии с Факультативным протоколом к Конвенции, который, по словам г-на </w:t>
      </w:r>
      <w:proofErr w:type="spellStart"/>
      <w:r>
        <w:t>Хамидова</w:t>
      </w:r>
      <w:proofErr w:type="spellEnd"/>
      <w:r>
        <w:t>, будет ратифицирован правительством, национальные механизмы должны быть наделены полномочиями по изучению обращения с лицами, содержащимися в местах лишения свободы.  Она спрашивает, рассматривало ли правительство Таджикистана возможность учреждения национального института, наделенного подобными полномочиями, если он еще не был создан.  Кто в настоящее время наделен правом инспектировать тюрьмы, кто наделяет таких лиц соответствующими полномочиями и в соответствии с какими критериями?  Она также просит представить разъяснения относительно точной процедуры получения лицами, содержащимися в местах лишения свободы, доступа к врачу, адвокату и членам семьи.</w:t>
      </w:r>
    </w:p>
    <w:p w:rsidR="00000000" w:rsidRDefault="00000000">
      <w:r>
        <w:t>32.</w:t>
      </w:r>
      <w:r>
        <w:tab/>
        <w:t xml:space="preserve">Комитет получил полезную информацию от делегации об одном из случаев предоставления компенсации в Таджикистане, но в семи других рассмотренных Комитетом случаях заявители, как сообщается, не обращались в суды за компенсацией.  В деле </w:t>
      </w:r>
      <w:proofErr w:type="spellStart"/>
      <w:r>
        <w:t>Мустафакула</w:t>
      </w:r>
      <w:proofErr w:type="spellEnd"/>
      <w:r>
        <w:t xml:space="preserve"> </w:t>
      </w:r>
      <w:proofErr w:type="spellStart"/>
      <w:r>
        <w:t>Боймуродова</w:t>
      </w:r>
      <w:proofErr w:type="spellEnd"/>
      <w:r>
        <w:t xml:space="preserve"> (сообщение в Комитет по правам человека № 1 042/2001) Комитету против пыток сообщили, что отец заявителя обратился от имени заявителя за компенсацией в Верховный суд и в Генеральную прокуратуру, но к настоящему времени так и не получил ответа.  Она просит разъяснений и желает знать, следует ли г-ну </w:t>
      </w:r>
      <w:proofErr w:type="spellStart"/>
      <w:r>
        <w:t>Боймуродову</w:t>
      </w:r>
      <w:proofErr w:type="spellEnd"/>
      <w:r>
        <w:t xml:space="preserve"> ожидать ответ.  Она также просит представить дополнительную информацию по важному делу </w:t>
      </w:r>
      <w:proofErr w:type="spellStart"/>
      <w:r>
        <w:t>Махмуди</w:t>
      </w:r>
      <w:proofErr w:type="spellEnd"/>
      <w:r>
        <w:t xml:space="preserve"> </w:t>
      </w:r>
      <w:proofErr w:type="spellStart"/>
      <w:r>
        <w:t>Искандарова</w:t>
      </w:r>
      <w:proofErr w:type="spellEnd"/>
      <w:r>
        <w:t>, поскольку это может помочь Комитету понять специфику процесса экстрадиции в Таджикистане.</w:t>
      </w:r>
    </w:p>
    <w:p w:rsidR="00000000" w:rsidRDefault="00000000"/>
    <w:p w:rsidR="00000000" w:rsidRDefault="00000000">
      <w:r>
        <w:t>33.</w:t>
      </w:r>
      <w:r>
        <w:tab/>
        <w:t xml:space="preserve">Она интересуется, аннулировал ли закон "Об амнистии" от 2006 года предыдущее законодательство об амнистии и, следовательно, позволит ли он </w:t>
      </w:r>
      <w:proofErr w:type="spellStart"/>
      <w:r>
        <w:t>осущестлять</w:t>
      </w:r>
      <w:proofErr w:type="spellEnd"/>
      <w:r>
        <w:t xml:space="preserve"> уголовное преследование в отношении всех лиц, виновных в совершении актов пытки со времени обретения страной независимости.  Действительно ли Уголовный кодекс не содержит отдельной статьи, запрещающей использование в суде в качестве доказательств показаний, полученных с применением пыток?</w:t>
      </w:r>
    </w:p>
    <w:p w:rsidR="00000000" w:rsidRDefault="00000000"/>
    <w:p w:rsidR="00000000" w:rsidRDefault="00000000">
      <w:r>
        <w:t>34.</w:t>
      </w:r>
      <w:r>
        <w:tab/>
      </w:r>
      <w:r>
        <w:rPr>
          <w:u w:val="single"/>
        </w:rPr>
        <w:t>Г-н ХАМИДОВ</w:t>
      </w:r>
      <w:r>
        <w:t xml:space="preserve"> (Таджикистан) говорит, что он был членом Комиссии по национальному примирению, которая действовала с июля 1997 года по март 2000 года;  ее главной целью было достижение мира в Таджикистане.  Проект закона "Об амнистии" 1997 года был подготовлен в Москве, но все последующее законодательство было принято уже в Душанбе, как только оппозиция вернулась к власти.  Согласно принятому в конце 90-х законодательству, все военнослужащие, независимо от ранга, причастные к движению сопротивления во время волнений и гражданской войны, были амнистированы, даже если им было предъявлено обвинение в применении пыток.  Ввиду того, что акт амнистии 2006 года не распространялся на лиц, виновных в совершении актов пыток, большинство лиц, осужденных за совершение актов пыток или причастность к их совершению с момента обретения страной независимости, были уже освобождены в соответствии с прошлым законодательством.</w:t>
      </w:r>
    </w:p>
    <w:p w:rsidR="00000000" w:rsidRDefault="00000000"/>
    <w:p w:rsidR="00000000" w:rsidRDefault="00000000">
      <w:r>
        <w:t>35.</w:t>
      </w:r>
      <w:r>
        <w:tab/>
        <w:t>Министерство юстиции осуществляло довольно продуктивное сотрудничество с гражданским обществом, и посещения представителями НПО мест лишения свободы официально разрешены.  Разрешение на посещение основывается на доверии, хотя абсолютно свободный доступ к местам лишения свободы по понятным причинам разрешен быть не может.  Представители НПО и международных органов не могут получить разрешение на посещение всех тюрем в любое время.  Представители МККК посетили практически все пенитенциарные учреждения Казахстана в 2004 и 2005 годах, но в настоящее время на карту поставлены вопросы безопасности и защиты посетителей.  Состоялись переговоры на высоком уровне между министерством юстиции и МККК по составлению нового расписания посещений без предварительного уведомления, и выступающий убежден, что вскоре может быть достигнуто согласие по данному вопросу.</w:t>
      </w:r>
    </w:p>
    <w:p w:rsidR="00000000" w:rsidRDefault="00000000"/>
    <w:p w:rsidR="00000000" w:rsidRDefault="00000000">
      <w:r>
        <w:t>36.</w:t>
      </w:r>
      <w:r>
        <w:tab/>
        <w:t>В настоящее время около 14 000 заключенных в Таджикистане страдают туберкулезом, 128 – СПИДом (13 - в 2001 году).  В 2005 году было зафиксировано 62 случая смерти в местах лишения свободы, в 2006 году до настоящего момента – 68 таких случаев.  После принятия последнего акта амнистии было освобождено около 10 000 заключенных.  Он может представить Комитету другие статистические данные в письменном виде.</w:t>
      </w:r>
    </w:p>
    <w:p w:rsidR="00000000" w:rsidRDefault="00000000"/>
    <w:p w:rsidR="00000000" w:rsidRDefault="00000000">
      <w:r>
        <w:t>37.</w:t>
      </w:r>
      <w:r>
        <w:tab/>
      </w:r>
      <w:r>
        <w:rPr>
          <w:u w:val="single"/>
        </w:rPr>
        <w:t>Г-н ХОДЖАЕВ</w:t>
      </w:r>
      <w:r>
        <w:t xml:space="preserve"> (Таджикистан) после изложения фактов по делу </w:t>
      </w:r>
      <w:proofErr w:type="spellStart"/>
      <w:r>
        <w:t>Боймурадова</w:t>
      </w:r>
      <w:proofErr w:type="spellEnd"/>
      <w:r>
        <w:t xml:space="preserve"> говорит, что после проведения дополнительного расследования  осуждение </w:t>
      </w:r>
      <w:proofErr w:type="spellStart"/>
      <w:r>
        <w:t>Боймурадова</w:t>
      </w:r>
      <w:proofErr w:type="spellEnd"/>
      <w:r>
        <w:t xml:space="preserve"> и вынесенный приговор оставлены без изменения.</w:t>
      </w:r>
    </w:p>
    <w:p w:rsidR="00000000" w:rsidRDefault="00000000"/>
    <w:p w:rsidR="00000000" w:rsidRDefault="00000000">
      <w:r>
        <w:t>38.</w:t>
      </w:r>
      <w:r>
        <w:tab/>
      </w:r>
      <w:r>
        <w:rPr>
          <w:u w:val="single"/>
        </w:rPr>
        <w:t>Г-жа ГАЕР</w:t>
      </w:r>
      <w:r>
        <w:t xml:space="preserve"> напоминает, что Комитет не изучил факты данного дела, а скорее изучил утверждения о том, что г-н </w:t>
      </w:r>
      <w:proofErr w:type="spellStart"/>
      <w:r>
        <w:t>Боймурадов</w:t>
      </w:r>
      <w:proofErr w:type="spellEnd"/>
      <w:r>
        <w:t xml:space="preserve"> подвергался пыткам и в течение 40 дней содержался в заключении </w:t>
      </w:r>
      <w:proofErr w:type="spellStart"/>
      <w:r>
        <w:t>инкоммуникадо</w:t>
      </w:r>
      <w:proofErr w:type="spellEnd"/>
      <w:r>
        <w:t>.  Находя доказательства данных утверждений неопровержимыми, Комитет потребовал предоставления жертве компенсации.</w:t>
      </w:r>
    </w:p>
    <w:p w:rsidR="00000000" w:rsidRDefault="00000000"/>
    <w:p w:rsidR="00000000" w:rsidRDefault="00000000">
      <w:r>
        <w:t>39.</w:t>
      </w:r>
      <w:r>
        <w:tab/>
      </w:r>
      <w:r>
        <w:rPr>
          <w:u w:val="single"/>
        </w:rPr>
        <w:t>Г-н ХОДЖАЕВ</w:t>
      </w:r>
      <w:r>
        <w:t xml:space="preserve"> (Таджикистан) говорит, что, хотя имеются основания для отмены приговора в отношении </w:t>
      </w:r>
      <w:proofErr w:type="spellStart"/>
      <w:r>
        <w:t>Боймурадова</w:t>
      </w:r>
      <w:proofErr w:type="spellEnd"/>
      <w:r>
        <w:t xml:space="preserve">, он тем не менее остается без изменения.  Согласно национальному законодательству, г-н </w:t>
      </w:r>
      <w:proofErr w:type="spellStart"/>
      <w:r>
        <w:t>Боймурадов</w:t>
      </w:r>
      <w:proofErr w:type="spellEnd"/>
      <w:r>
        <w:t xml:space="preserve"> не вправе претендовать на компенсацию.</w:t>
      </w:r>
    </w:p>
    <w:p w:rsidR="00000000" w:rsidRDefault="00000000"/>
    <w:p w:rsidR="00000000" w:rsidRDefault="00000000">
      <w:r>
        <w:t>40.</w:t>
      </w:r>
      <w:r>
        <w:tab/>
        <w:t>Что касается допустимости доказательств, полученных под принуждением, то действующее законодательство и судебная практика подтверждают тот факт, что доказательства, основанные исключительно на признании, не являются достаточными для подтверждения обвинения.  Несмотря на то, что был ряд случаев, когда суды первой инстанции выносили обвинительный приговор только на основании признательных показаний обвиняемого, такие приговоры впоследствии отменялись или направлялись на дополнительное расследование, либо дела закрывались в связи с отсутствием подтверждающих доказательств.  Следует отметить, что в состав судебной системы входят кассационные суды, которые осуществляют наблюдение за деятельностью нижестоящих судов, и суды надзорной инстанции, которые проверяют законность и обоснованность приговоров, постановлений и решений и исправляют любые нарушения материального и процессуального права, допущенные судами, рассматривавшими дела.</w:t>
      </w:r>
    </w:p>
    <w:p w:rsidR="00000000" w:rsidRDefault="00000000"/>
    <w:p w:rsidR="00000000" w:rsidRDefault="00000000">
      <w:r>
        <w:t>41.</w:t>
      </w:r>
      <w:r>
        <w:tab/>
      </w:r>
      <w:r>
        <w:rPr>
          <w:u w:val="single"/>
        </w:rPr>
        <w:t>Г-н ШАРИПОВ</w:t>
      </w:r>
      <w:r>
        <w:t xml:space="preserve"> (Таджикистан) говорит, что статья 49 Уголовно-процессуального кодекса предусматривает для лиц, обвиняемых в совершении преступления или содержащихся под стражей, обеспечение своевременного доступа к врачам, адвокатам и родственникам.</w:t>
      </w:r>
    </w:p>
    <w:p w:rsidR="00000000" w:rsidRDefault="00000000"/>
    <w:p w:rsidR="00000000" w:rsidRDefault="00000000">
      <w:r>
        <w:t>42.</w:t>
      </w:r>
      <w:r>
        <w:tab/>
      </w:r>
      <w:r>
        <w:rPr>
          <w:u w:val="single"/>
        </w:rPr>
        <w:t>Г-жа ГАЕР</w:t>
      </w:r>
      <w:r>
        <w:t xml:space="preserve"> говорит, что в Комитет поступали сообщения о лицах, более месяца содержащихся под стражей </w:t>
      </w:r>
      <w:proofErr w:type="spellStart"/>
      <w:r>
        <w:t>инкоммуникадо</w:t>
      </w:r>
      <w:proofErr w:type="spellEnd"/>
      <w:r>
        <w:t>, а также о лицах, содержащихся в одиночных камерах без права доступа к адвокату.  В подобных ситуациях существует угроза применения пыток к задержанным.  Поэтому, хотя Комитет несомненно приветствует наличие в Уголовно-процессуальном кодексе статьи 49, его больше интересует, принимаются ли меры, направленные на обеспечение всестороннего применения законодательства на практике.  Она спрашивает, проводятся ли, например, инспекции мест лишения свободы с целью гарантирования того, что заключенным предоставляется доступ к адвокатам, врачам и родственникам.</w:t>
      </w:r>
    </w:p>
    <w:p w:rsidR="00000000" w:rsidRDefault="00000000"/>
    <w:p w:rsidR="00000000" w:rsidRDefault="00000000">
      <w:r>
        <w:t>43.</w:t>
      </w:r>
      <w:r>
        <w:tab/>
      </w:r>
      <w:r>
        <w:rPr>
          <w:u w:val="single"/>
        </w:rPr>
        <w:t>Г-н ХАМИДОВ</w:t>
      </w:r>
      <w:r>
        <w:t xml:space="preserve"> (Таджикистан) говорит, что такие вопросы входят в основном в компетенцию Генерального прокурора.  Подробное объяснение причин, по которым в некоторых случаях не предоставлялся доступ, будет представлено Комитету в письменном виде.</w:t>
      </w:r>
    </w:p>
    <w:p w:rsidR="00000000" w:rsidRDefault="00000000"/>
    <w:p w:rsidR="00000000" w:rsidRDefault="00000000">
      <w:r>
        <w:t>44.</w:t>
      </w:r>
      <w:r>
        <w:tab/>
      </w:r>
      <w:r>
        <w:rPr>
          <w:u w:val="single"/>
        </w:rPr>
        <w:t>Г-н КОВАЛЕВ</w:t>
      </w:r>
      <w:r>
        <w:t xml:space="preserve"> говорит, что, поскольку при ратификации Конвенции Таджикистаном не было сделано оговорок, сложно понять, почему в Комитет не поступали сообщения от жителей государства-участника.</w:t>
      </w:r>
    </w:p>
    <w:p w:rsidR="00000000" w:rsidRDefault="00000000"/>
    <w:p w:rsidR="00000000" w:rsidRDefault="00000000">
      <w:r>
        <w:t>45.</w:t>
      </w:r>
      <w:r>
        <w:tab/>
      </w:r>
      <w:r>
        <w:rPr>
          <w:u w:val="single"/>
        </w:rPr>
        <w:t>Г-н ХАМИДОВ</w:t>
      </w:r>
      <w:r>
        <w:t xml:space="preserve"> (Таджикистан) говорит, что в его государстве общество имеет слабое представление о международном праве;  вместе с тем он ожидает повышения уровня осведомленности общества в этом отношении в ближайшие годы.  Таджикистан серьезно намерен выполнять свои обязательства по Конвенции.</w:t>
      </w:r>
    </w:p>
    <w:p w:rsidR="00000000" w:rsidRDefault="00000000"/>
    <w:p w:rsidR="00000000" w:rsidRDefault="00000000">
      <w:r>
        <w:t>46.</w:t>
      </w:r>
      <w:r>
        <w:tab/>
      </w:r>
      <w:r>
        <w:rPr>
          <w:u w:val="single"/>
        </w:rPr>
        <w:t>Г-жа БЕЛЬМИР</w:t>
      </w:r>
      <w:r>
        <w:t xml:space="preserve"> говорит, что действующее законодательство предоставляет широкие полномочия прокурорам, такие как продление срока содержания под стражей без судебного решения, и таким образом ограничивает права задержанных на самой деликатной стадии процесса, т.е. в начале расследования когда подозреваемые содержатся под стражей.  Она спрашивает, намерено ли государство-участник пересмотреть законодательство, с тем чтобы обеспечить задержанным минимум предусмотренных Конвенцией прав.</w:t>
      </w:r>
    </w:p>
    <w:p w:rsidR="00000000" w:rsidRDefault="00000000"/>
    <w:p w:rsidR="00000000" w:rsidRDefault="00000000">
      <w:r>
        <w:t>47.</w:t>
      </w:r>
      <w:r>
        <w:tab/>
      </w:r>
      <w:r>
        <w:rPr>
          <w:u w:val="single"/>
        </w:rPr>
        <w:t>Г-н ХАМИДОВ</w:t>
      </w:r>
      <w:r>
        <w:t xml:space="preserve"> (Таджикистан) отмечает, что отсутствие контроля за деятельностью Генерального прокурора является проблемой, которую Таджикистан намерен решить до представления второго периодического доклада.  Правительство его страны планирует осуществить важные преобразования в судебной системе, включая установление принципа пожизненного назначения на должность судей, и представители соответствующих ведомств в настоящее время уже обсуждают соответствующие вопросы.</w:t>
      </w:r>
    </w:p>
    <w:p w:rsidR="00000000" w:rsidRDefault="00000000"/>
    <w:p w:rsidR="00000000" w:rsidRDefault="00000000">
      <w:r>
        <w:t>48.</w:t>
      </w:r>
      <w:r>
        <w:tab/>
      </w:r>
      <w:r>
        <w:rPr>
          <w:u w:val="single"/>
        </w:rPr>
        <w:t>Г-н ХУДОЕРОВ</w:t>
      </w:r>
      <w:r>
        <w:t xml:space="preserve"> (Таджикистан) говорит, что действующий Уголовно-процессуальный кодекс был принят в 1961 году.  В мае 2000 года Президент создал комиссию по подготовке пересмотренного проекта уголовно-процессуального кодекса, в котором должны были быть учтены все затронутые Комитетом вопросы, включая права заключенных, гарантии справедливого судебного процесса и равенство сторон в уголовном процессе.  Вопросы, касающиеся пыток и допустимости доказательств, полученных под принуждением, также изучаются.</w:t>
      </w:r>
    </w:p>
    <w:p w:rsidR="00000000" w:rsidRDefault="00000000"/>
    <w:p w:rsidR="00000000" w:rsidRDefault="00000000">
      <w:r>
        <w:t>49.</w:t>
      </w:r>
      <w:r>
        <w:tab/>
      </w:r>
      <w:r>
        <w:rPr>
          <w:u w:val="single"/>
        </w:rPr>
        <w:t xml:space="preserve">Г-н </w:t>
      </w:r>
      <w:proofErr w:type="spellStart"/>
      <w:r>
        <w:rPr>
          <w:u w:val="single"/>
        </w:rPr>
        <w:t>ГРОССМАН</w:t>
      </w:r>
      <w:proofErr w:type="spellEnd"/>
      <w:r>
        <w:t xml:space="preserve"> спрашивает, предусмотрена ли национальным законодательством Таджикистана амнистия для лиц, осужденных за совершение международных преступлений.  Он просит представить дополнительную информацию по делу </w:t>
      </w:r>
      <w:proofErr w:type="spellStart"/>
      <w:r>
        <w:t>Искандарова</w:t>
      </w:r>
      <w:proofErr w:type="spellEnd"/>
      <w:r>
        <w:t>.</w:t>
      </w:r>
    </w:p>
    <w:p w:rsidR="00000000" w:rsidRDefault="00000000"/>
    <w:p w:rsidR="00000000" w:rsidRDefault="00000000">
      <w:r>
        <w:t>50.</w:t>
      </w:r>
      <w:r>
        <w:tab/>
      </w:r>
      <w:r>
        <w:rPr>
          <w:u w:val="single"/>
        </w:rPr>
        <w:t>Г-н ШАРИПОВ</w:t>
      </w:r>
      <w:r>
        <w:t xml:space="preserve"> (Таджикистан) говорит, что уголовное дело в отношении </w:t>
      </w:r>
      <w:proofErr w:type="spellStart"/>
      <w:r>
        <w:t>Искандарова</w:t>
      </w:r>
      <w:proofErr w:type="spellEnd"/>
      <w:r>
        <w:t xml:space="preserve"> было возбуждено в соответствии со статьей 4 Уголовного кодекса;  он был заключен под стражу в здании министерства внутренних дел.  С момента его задержания до окончания предварительного расследования ему был предоставлен доступ к адвокату и обеспечены все права, предусмотренные Уголовно-процессуальным кодексом.  В ходе предварительного расследования он не подвергался пыткам.  После завершения расследования его дело рассматривалось в суде, и он был осужден на основании соответствующих предписаний закона.</w:t>
      </w:r>
    </w:p>
    <w:p w:rsidR="00000000" w:rsidRDefault="00000000"/>
    <w:p w:rsidR="00000000" w:rsidRDefault="00000000">
      <w:r>
        <w:t xml:space="preserve">51. </w:t>
      </w:r>
      <w:r>
        <w:tab/>
      </w:r>
      <w:r>
        <w:rPr>
          <w:u w:val="single"/>
        </w:rPr>
        <w:t xml:space="preserve">Г-н </w:t>
      </w:r>
      <w:proofErr w:type="spellStart"/>
      <w:r>
        <w:rPr>
          <w:u w:val="single"/>
        </w:rPr>
        <w:t>ХАМИДОВ</w:t>
      </w:r>
      <w:proofErr w:type="spellEnd"/>
      <w:r>
        <w:t xml:space="preserve"> (Таджикистан) благодарит Комитет за усилия по поддержке его государства.  Он с нетерпением ожидает получения рекомендаций Комитета и продолжения с ним диалога.</w:t>
      </w:r>
    </w:p>
    <w:p w:rsidR="00000000" w:rsidRDefault="00000000"/>
    <w:p w:rsidR="00000000" w:rsidRDefault="00000000">
      <w:r>
        <w:t xml:space="preserve">52. </w:t>
      </w:r>
      <w:r>
        <w:tab/>
      </w:r>
      <w:r>
        <w:rPr>
          <w:u w:val="single"/>
        </w:rPr>
        <w:t>ПРЕДСЕДАТЕЛЬ</w:t>
      </w:r>
      <w:r>
        <w:t xml:space="preserve"> желает правительству успехов в его усилиях по улучшению ситуации в области прав человека в Таджикистане.</w:t>
      </w:r>
    </w:p>
    <w:p w:rsidR="00000000" w:rsidRDefault="00000000"/>
    <w:p w:rsidR="00000000" w:rsidRDefault="00000000"/>
    <w:p w:rsidR="00000000" w:rsidRDefault="00000000">
      <w:pPr>
        <w:jc w:val="center"/>
        <w:rPr>
          <w:u w:val="single"/>
        </w:rPr>
      </w:pPr>
      <w:r>
        <w:rPr>
          <w:u w:val="single"/>
        </w:rPr>
        <w:t>Заседание закрывается в 17 час. 15 мин</w:t>
      </w:r>
      <w: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CAT/C/SR.729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CAT/C/SR.729</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left" w:pos="7371"/>
      </w:tabs>
      <w:rPr>
        <w:rStyle w:val="PageNumber"/>
        <w:lang w:val="en-US"/>
      </w:rPr>
    </w:pPr>
  </w:p>
  <w:p w:rsidR="00000000" w:rsidRDefault="00000000">
    <w:pPr>
      <w:pStyle w:val="Header"/>
      <w:tabs>
        <w:tab w:val="left" w:pos="6237"/>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NormalWeb">
    <w:name w:val="Normal (Web)"/>
    <w:basedOn w:val="Normal"/>
    <w:semiHidden/>
    <w:pPr>
      <w:tabs>
        <w:tab w:val="clear" w:pos="567"/>
        <w:tab w:val="clear" w:pos="1134"/>
        <w:tab w:val="clear" w:pos="1701"/>
        <w:tab w:val="clear" w:pos="2268"/>
        <w:tab w:val="clear" w:pos="6237"/>
      </w:tabs>
      <w:spacing w:before="100" w:beforeAutospacing="1" w:after="100" w:afterAutospacing="1" w:line="240" w:lineRule="auto"/>
    </w:pPr>
    <w:rPr>
      <w:rFonts w:ascii="Arial Unicode MS" w:eastAsia="Arial Unicode MS" w:hAnsi="Arial Unicode MS" w:cs="Arial Unicode M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4586</Words>
  <Characters>26142</Characters>
  <Application>Microsoft Office Word</Application>
  <DocSecurity>4</DocSecurity>
  <Lines>217</Lines>
  <Paragraphs>52</Paragraphs>
  <ScaleCrop>false</ScaleCrop>
  <HeadingPairs>
    <vt:vector size="2" baseType="variant">
      <vt:variant>
        <vt:lpstr>Название</vt:lpstr>
      </vt:variant>
      <vt:variant>
        <vt:i4>1</vt:i4>
      </vt:variant>
    </vt:vector>
  </HeadingPairs>
  <TitlesOfParts>
    <vt:vector size="1" baseType="lpstr">
      <vt:lpstr>0645289</vt:lpstr>
    </vt:vector>
  </TitlesOfParts>
  <Company>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0645289</dc:title>
  <dc:subject/>
  <dc:creator>Smirnova</dc:creator>
  <cp:keywords/>
  <dc:description/>
  <cp:lastModifiedBy>CSD</cp:lastModifiedBy>
  <cp:revision>3</cp:revision>
  <cp:lastPrinted>2007-05-11T09:02:00Z</cp:lastPrinted>
  <dcterms:created xsi:type="dcterms:W3CDTF">2007-05-11T09:02:00Z</dcterms:created>
  <dcterms:modified xsi:type="dcterms:W3CDTF">2007-05-11T09:02:00Z</dcterms:modified>
</cp:coreProperties>
</file>