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177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177DBE" w:rsidRDefault="00177DBE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177DBE" w:rsidRDefault="00177DBE">
            <w:pPr>
              <w:jc w:val="right"/>
              <w:rPr>
                <w:sz w:val="2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CAT</w:t>
            </w:r>
            <w:r>
              <w:rPr>
                <w:sz w:val="20"/>
                <w:lang w:val="en-US"/>
              </w:rPr>
              <w:t>/</w:t>
            </w:r>
            <w:r>
              <w:rPr>
                <w:sz w:val="20"/>
                <w:lang w:val="en-US"/>
              </w:rPr>
              <w:fldChar w:fldCharType="begin"/>
            </w:r>
            <w:r>
              <w:rPr>
                <w:sz w:val="20"/>
                <w:lang w:val="en-US"/>
              </w:rPr>
              <w:instrText xml:space="preserve"> FILLIN  "Введите часть символа после CAT/"  \* MERGEFORMAT </w:instrText>
            </w:r>
            <w:r>
              <w:rPr>
                <w:sz w:val="20"/>
                <w:lang w:val="en-US"/>
              </w:rPr>
              <w:fldChar w:fldCharType="separate"/>
            </w:r>
            <w:r w:rsidR="00105C87">
              <w:rPr>
                <w:sz w:val="20"/>
                <w:lang w:val="en-US"/>
              </w:rPr>
              <w:t>C/SR.942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177DBE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177DBE" w:rsidRDefault="00177DBE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77DBE" w:rsidRDefault="00177DBE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177DBE" w:rsidRDefault="00177DBE">
            <w:pPr>
              <w:spacing w:before="240" w:after="0"/>
              <w:rPr>
                <w:sz w:val="20"/>
              </w:rPr>
            </w:pPr>
            <w:r>
              <w:rPr>
                <w:sz w:val="20"/>
                <w:lang w:val="en-US"/>
              </w:rPr>
              <w:t>Distr</w:t>
            </w:r>
            <w:r>
              <w:rPr>
                <w:sz w:val="20"/>
              </w:rPr>
              <w:t xml:space="preserve">.: </w:t>
            </w:r>
            <w:bookmarkStart w:id="0" w:name="ПолеСоСписком1"/>
            <w:r>
              <w:rPr>
                <w:sz w:val="20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  <w:lang w:val="en-US"/>
              </w:rPr>
              <w:instrText>FORMDROPDOWN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end"/>
            </w:r>
            <w:bookmarkEnd w:id="0"/>
          </w:p>
          <w:p w:rsidR="00177DBE" w:rsidRDefault="00177DBE">
            <w:pPr>
              <w:spacing w:before="0" w:after="0"/>
              <w:rPr>
                <w:sz w:val="20"/>
              </w:rPr>
            </w:pPr>
            <w:r>
              <w:rPr>
                <w:sz w:val="20"/>
                <w:lang w:val="en-US"/>
              </w:rPr>
              <w:fldChar w:fldCharType="begin"/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  <w:lang w:val="en-US"/>
              </w:rPr>
              <w:instrText>FILLIN</w:instrText>
            </w:r>
            <w:r>
              <w:rPr>
                <w:sz w:val="20"/>
              </w:rPr>
              <w:instrText xml:space="preserve">  "Введите дату документа" \* </w:instrText>
            </w:r>
            <w:r>
              <w:rPr>
                <w:sz w:val="20"/>
                <w:lang w:val="en-US"/>
              </w:rPr>
              <w:instrText>MERGEFORMAT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  <w:lang w:val="en-US"/>
              </w:rPr>
              <w:fldChar w:fldCharType="separate"/>
            </w:r>
            <w:r w:rsidR="00013654">
              <w:rPr>
                <w:sz w:val="20"/>
                <w:lang w:val="en-US"/>
              </w:rPr>
              <w:t>29 June</w:t>
            </w:r>
            <w:r>
              <w:rPr>
                <w:sz w:val="20"/>
                <w:lang w:val="en-US"/>
              </w:rPr>
              <w:t xml:space="preserve"> 2010</w:t>
            </w:r>
            <w:r>
              <w:rPr>
                <w:sz w:val="20"/>
                <w:lang w:val="en-US"/>
              </w:rPr>
              <w:fldChar w:fldCharType="end"/>
            </w:r>
          </w:p>
          <w:p w:rsidR="00177DBE" w:rsidRDefault="00177DBE">
            <w:pPr>
              <w:spacing w:before="0" w:after="0"/>
              <w:rPr>
                <w:sz w:val="20"/>
              </w:rPr>
            </w:pPr>
            <w:r>
              <w:rPr>
                <w:sz w:val="20"/>
                <w:lang w:val="en-US"/>
              </w:rPr>
              <w:t>Russian</w:t>
            </w:r>
          </w:p>
          <w:p w:rsidR="00177DBE" w:rsidRDefault="00177DBE">
            <w:pPr>
              <w:spacing w:before="0" w:after="0"/>
              <w:rPr>
                <w:sz w:val="20"/>
              </w:rPr>
            </w:pPr>
            <w:r>
              <w:rPr>
                <w:sz w:val="20"/>
                <w:lang w:val="en-US"/>
              </w:rPr>
              <w:t>Original</w:t>
            </w:r>
            <w:r>
              <w:rPr>
                <w:sz w:val="20"/>
              </w:rPr>
              <w:t xml:space="preserve">: </w:t>
            </w:r>
            <w:bookmarkStart w:id="1" w:name="ПолеСоСписком2"/>
            <w:r>
              <w:rPr>
                <w:sz w:val="20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  <w:lang w:val="en-US"/>
              </w:rPr>
              <w:instrText>FORMDROPDOWN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end"/>
            </w:r>
            <w:bookmarkEnd w:id="1"/>
          </w:p>
          <w:p w:rsidR="00177DBE" w:rsidRDefault="00177DBE"/>
        </w:tc>
      </w:tr>
    </w:tbl>
    <w:p w:rsidR="00177DBE" w:rsidRDefault="00B418BF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before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Комитет против пыток</w:t>
      </w:r>
    </w:p>
    <w:p w:rsidR="00177DBE" w:rsidRDefault="00177DBE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after="120" w:line="240" w:lineRule="auto"/>
        <w:rPr>
          <w:b/>
        </w:rPr>
      </w:pPr>
      <w:r>
        <w:rPr>
          <w:b/>
        </w:rPr>
        <w:t>Сорок четвертая сессия</w:t>
      </w:r>
    </w:p>
    <w:p w:rsidR="00177DBE" w:rsidRDefault="00177DBE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after="120" w:line="240" w:lineRule="auto"/>
      </w:pPr>
      <w:r>
        <w:rPr>
          <w:b/>
        </w:rPr>
        <w:t>Краткий отчет (частичный)</w:t>
      </w:r>
      <w:r>
        <w:rPr>
          <w:rStyle w:val="FootnoteReference"/>
          <w:b/>
          <w:sz w:val="20"/>
          <w:vertAlign w:val="baseline"/>
        </w:rPr>
        <w:footnoteReference w:customMarkFollows="1" w:id="1"/>
        <w:t>*</w:t>
      </w:r>
      <w:r w:rsidR="00B418BF">
        <w:rPr>
          <w:b/>
        </w:rPr>
        <w:t xml:space="preserve"> о 9</w:t>
      </w:r>
      <w:r w:rsidR="00B418BF" w:rsidRPr="00B418BF">
        <w:rPr>
          <w:b/>
        </w:rPr>
        <w:t>42</w:t>
      </w:r>
      <w:r>
        <w:rPr>
          <w:b/>
        </w:rPr>
        <w:t>-м заседании,</w:t>
      </w:r>
      <w:r>
        <w:rPr>
          <w:b/>
        </w:rPr>
        <w:br/>
      </w:r>
      <w:r>
        <w:t>состоявшемся во Дворце Вильсона в Женеве</w:t>
      </w:r>
      <w:r>
        <w:br/>
        <w:t xml:space="preserve">в </w:t>
      </w:r>
      <w:r w:rsidR="00B418BF">
        <w:t>четверг, 6</w:t>
      </w:r>
      <w:r>
        <w:t xml:space="preserve"> мая 2010 года, в 10 ч. 00 м.</w:t>
      </w:r>
    </w:p>
    <w:p w:rsidR="00177DBE" w:rsidRDefault="00177DBE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</w:pPr>
      <w:r>
        <w:rPr>
          <w:i/>
        </w:rPr>
        <w:t>Председатель</w:t>
      </w:r>
      <w:r>
        <w:t xml:space="preserve">: </w:t>
      </w:r>
      <w:r>
        <w:rPr>
          <w:lang w:val="en-US"/>
        </w:rPr>
        <w:tab/>
      </w:r>
      <w:r>
        <w:t>г-н Гроссман</w:t>
      </w:r>
    </w:p>
    <w:p w:rsidR="00177DBE" w:rsidRDefault="002A578E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before="360" w:after="240" w:line="240" w:lineRule="auto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177DBE" w:rsidRDefault="00177DBE">
      <w:pPr>
        <w:pStyle w:val="SingleTxtGR"/>
      </w:pPr>
      <w:r>
        <w:t>Рассмотрение докладов, представленных государствами-участниками в соо</w:t>
      </w:r>
      <w:r>
        <w:t>т</w:t>
      </w:r>
      <w:r>
        <w:t>ветствии со статьей 19 Конвенции (</w:t>
      </w:r>
      <w:r>
        <w:rPr>
          <w:i/>
        </w:rPr>
        <w:t>продолжение</w:t>
      </w:r>
      <w:r>
        <w:t>)</w:t>
      </w:r>
    </w:p>
    <w:p w:rsidR="00177DBE" w:rsidRDefault="00177DBE">
      <w:pPr>
        <w:pStyle w:val="SingleTxtGR"/>
      </w:pPr>
      <w:r>
        <w:tab/>
      </w:r>
      <w:r w:rsidR="002A578E">
        <w:rPr>
          <w:i/>
        </w:rPr>
        <w:t>Четвертый и пятый периодические</w:t>
      </w:r>
      <w:r>
        <w:rPr>
          <w:i/>
        </w:rPr>
        <w:t xml:space="preserve"> доклад</w:t>
      </w:r>
      <w:r w:rsidR="002A578E">
        <w:rPr>
          <w:i/>
        </w:rPr>
        <w:t>ы</w:t>
      </w:r>
      <w:r>
        <w:rPr>
          <w:i/>
        </w:rPr>
        <w:t xml:space="preserve"> </w:t>
      </w:r>
      <w:r w:rsidR="002A578E">
        <w:rPr>
          <w:i/>
        </w:rPr>
        <w:t>Австрии</w:t>
      </w:r>
      <w:r>
        <w:t xml:space="preserve"> (пр</w:t>
      </w:r>
      <w:r>
        <w:t>о</w:t>
      </w:r>
      <w:r>
        <w:t>должение)</w:t>
      </w:r>
    </w:p>
    <w:p w:rsidR="00686B7A" w:rsidRDefault="00177DBE" w:rsidP="00024924">
      <w:pPr>
        <w:pStyle w:val="H4GR"/>
      </w:pPr>
      <w:r>
        <w:br w:type="page"/>
      </w:r>
      <w:r w:rsidR="00024924">
        <w:tab/>
      </w:r>
      <w:r w:rsidR="00024924">
        <w:tab/>
      </w:r>
      <w:r w:rsidR="00686B7A">
        <w:t>Заседание открывается в 10 ч. 00 м.</w:t>
      </w:r>
    </w:p>
    <w:p w:rsidR="00686B7A" w:rsidRPr="00013654" w:rsidRDefault="00024924" w:rsidP="00024924">
      <w:pPr>
        <w:pStyle w:val="H23GR0"/>
        <w:rPr>
          <w:b w:val="0"/>
          <w:i/>
        </w:rPr>
      </w:pPr>
      <w:r>
        <w:tab/>
      </w:r>
      <w:r>
        <w:tab/>
      </w:r>
      <w:r w:rsidR="00686B7A">
        <w:t>Рассмотрение докладов, представленных государствами-участниками в соответс</w:t>
      </w:r>
      <w:r w:rsidR="00686B7A">
        <w:t>т</w:t>
      </w:r>
      <w:r w:rsidR="00686B7A">
        <w:t xml:space="preserve">вии со статьей 19 Конвенции </w:t>
      </w:r>
      <w:r w:rsidR="00686B7A" w:rsidRPr="00013654">
        <w:rPr>
          <w:b w:val="0"/>
          <w:i/>
        </w:rPr>
        <w:t>(продолжение)</w:t>
      </w:r>
    </w:p>
    <w:p w:rsidR="00686B7A" w:rsidRPr="00686B7A" w:rsidRDefault="00686B7A" w:rsidP="006210C7">
      <w:pPr>
        <w:pStyle w:val="SingleTxtGR"/>
      </w:pPr>
      <w:r w:rsidRPr="00024924">
        <w:rPr>
          <w:i/>
        </w:rPr>
        <w:t>Четвертый и пятый периодические доклады Австрии</w:t>
      </w:r>
      <w:r>
        <w:t xml:space="preserve"> (продолжение) </w:t>
      </w:r>
      <w:r w:rsidRPr="003B3714">
        <w:t xml:space="preserve">(CAT/C/AUT/4-5; CAT/C/AUT/Q/4-5 </w:t>
      </w:r>
      <w:r w:rsidR="009C2D32">
        <w:t>и</w:t>
      </w:r>
      <w:r w:rsidRPr="003B3714">
        <w:t xml:space="preserve"> Add.1)</w:t>
      </w:r>
    </w:p>
    <w:p w:rsidR="00686B7A" w:rsidRPr="00024924" w:rsidRDefault="00686B7A" w:rsidP="006210C7">
      <w:pPr>
        <w:pStyle w:val="SingleTxtGR"/>
        <w:rPr>
          <w:i/>
          <w:szCs w:val="24"/>
        </w:rPr>
      </w:pPr>
      <w:r w:rsidRPr="00D113FD">
        <w:rPr>
          <w:szCs w:val="24"/>
        </w:rPr>
        <w:t>1.</w:t>
      </w:r>
      <w:r w:rsidRPr="00D113FD">
        <w:rPr>
          <w:szCs w:val="24"/>
        </w:rPr>
        <w:tab/>
      </w:r>
      <w:r w:rsidRPr="00024924">
        <w:rPr>
          <w:i/>
          <w:szCs w:val="24"/>
        </w:rPr>
        <w:t>По приглашению Председателя члены делегации Австрии занимают ме</w:t>
      </w:r>
      <w:r w:rsidRPr="00024924">
        <w:rPr>
          <w:i/>
          <w:szCs w:val="24"/>
        </w:rPr>
        <w:t>с</w:t>
      </w:r>
      <w:r w:rsidRPr="00024924">
        <w:rPr>
          <w:i/>
          <w:szCs w:val="24"/>
        </w:rPr>
        <w:t>та за столом Комитета.</w:t>
      </w:r>
    </w:p>
    <w:p w:rsidR="00686B7A" w:rsidRDefault="00686B7A" w:rsidP="006210C7">
      <w:pPr>
        <w:pStyle w:val="SingleTxtGR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>
        <w:rPr>
          <w:b/>
          <w:szCs w:val="24"/>
        </w:rPr>
        <w:t>Председатель</w:t>
      </w:r>
      <w:r>
        <w:rPr>
          <w:szCs w:val="24"/>
        </w:rPr>
        <w:t xml:space="preserve"> предлагает делегации ответить на вопросы, затронутые Комитетом на его 940-м заседании.</w:t>
      </w:r>
    </w:p>
    <w:p w:rsidR="00686B7A" w:rsidRDefault="00686B7A" w:rsidP="006210C7">
      <w:pPr>
        <w:pStyle w:val="SingleTxtGR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>
        <w:rPr>
          <w:b/>
          <w:szCs w:val="24"/>
        </w:rPr>
        <w:t>Г-н Тихи</w:t>
      </w:r>
      <w:r>
        <w:rPr>
          <w:szCs w:val="24"/>
        </w:rPr>
        <w:t xml:space="preserve"> (Австрия) в связи с вопросом Комитета о дипломатических з</w:t>
      </w:r>
      <w:r>
        <w:rPr>
          <w:szCs w:val="24"/>
        </w:rPr>
        <w:t>а</w:t>
      </w:r>
      <w:r>
        <w:rPr>
          <w:szCs w:val="24"/>
        </w:rPr>
        <w:t>верениях подтверждает, что в т</w:t>
      </w:r>
      <w:r w:rsidR="009C2D32">
        <w:rPr>
          <w:szCs w:val="24"/>
        </w:rPr>
        <w:t>ом случае</w:t>
      </w:r>
      <w:r>
        <w:rPr>
          <w:szCs w:val="24"/>
        </w:rPr>
        <w:t>, если существует опасность того, что подлежащее высылке лицо может подвергнуться пыткам или жестокому и бе</w:t>
      </w:r>
      <w:r>
        <w:rPr>
          <w:szCs w:val="24"/>
        </w:rPr>
        <w:t>с</w:t>
      </w:r>
      <w:r>
        <w:rPr>
          <w:szCs w:val="24"/>
        </w:rPr>
        <w:t>человечному обращению, дипломатические заверения не принимаются и ник</w:t>
      </w:r>
      <w:r>
        <w:rPr>
          <w:szCs w:val="24"/>
        </w:rPr>
        <w:t>о</w:t>
      </w:r>
      <w:r>
        <w:rPr>
          <w:szCs w:val="24"/>
        </w:rPr>
        <w:t>гда не принимались как сре</w:t>
      </w:r>
      <w:r>
        <w:rPr>
          <w:szCs w:val="24"/>
        </w:rPr>
        <w:t>д</w:t>
      </w:r>
      <w:r>
        <w:rPr>
          <w:szCs w:val="24"/>
        </w:rPr>
        <w:t>ство компенсации риска.</w:t>
      </w:r>
    </w:p>
    <w:p w:rsidR="00686B7A" w:rsidRDefault="00686B7A" w:rsidP="006210C7">
      <w:pPr>
        <w:pStyle w:val="SingleTxtGR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В связи с делом г</w:t>
      </w:r>
      <w:r w:rsidR="009C2D32">
        <w:rPr>
          <w:szCs w:val="24"/>
        </w:rPr>
        <w:t>-</w:t>
      </w:r>
      <w:r w:rsidR="00013654">
        <w:rPr>
          <w:szCs w:val="24"/>
        </w:rPr>
        <w:t>на Биласи Ашри</w:t>
      </w:r>
      <w:r>
        <w:rPr>
          <w:szCs w:val="24"/>
        </w:rPr>
        <w:t xml:space="preserve"> Австрия запросила египетские власти представить гарантии, в частности, </w:t>
      </w:r>
      <w:r w:rsidR="009C2D32">
        <w:rPr>
          <w:szCs w:val="24"/>
        </w:rPr>
        <w:t xml:space="preserve">в отношении </w:t>
      </w:r>
      <w:r>
        <w:rPr>
          <w:szCs w:val="24"/>
        </w:rPr>
        <w:t>возможности его посещения австрийскими должностными лицами и предоставлени</w:t>
      </w:r>
      <w:r w:rsidR="009C2D32">
        <w:rPr>
          <w:szCs w:val="24"/>
        </w:rPr>
        <w:t>я</w:t>
      </w:r>
      <w:r>
        <w:rPr>
          <w:szCs w:val="24"/>
        </w:rPr>
        <w:t xml:space="preserve"> ему свободы передв</w:t>
      </w:r>
      <w:r>
        <w:rPr>
          <w:szCs w:val="24"/>
        </w:rPr>
        <w:t>и</w:t>
      </w:r>
      <w:r>
        <w:rPr>
          <w:szCs w:val="24"/>
        </w:rPr>
        <w:t>жения, если он будет оправдан. Эти просьбы были направлены в форме дипл</w:t>
      </w:r>
      <w:r>
        <w:rPr>
          <w:szCs w:val="24"/>
        </w:rPr>
        <w:t>о</w:t>
      </w:r>
      <w:r>
        <w:rPr>
          <w:szCs w:val="24"/>
        </w:rPr>
        <w:t>матических нот. Опыт, приобретенный в ходе решения данного дела, помог А</w:t>
      </w:r>
      <w:r>
        <w:rPr>
          <w:szCs w:val="24"/>
        </w:rPr>
        <w:t>в</w:t>
      </w:r>
      <w:r>
        <w:rPr>
          <w:szCs w:val="24"/>
        </w:rPr>
        <w:t xml:space="preserve">стрии </w:t>
      </w:r>
      <w:r w:rsidR="009C2D32">
        <w:rPr>
          <w:szCs w:val="24"/>
        </w:rPr>
        <w:t>с 2006 года уточня</w:t>
      </w:r>
      <w:r>
        <w:rPr>
          <w:szCs w:val="24"/>
        </w:rPr>
        <w:t>ть свою общую позицию в отношении дипломатич</w:t>
      </w:r>
      <w:r>
        <w:rPr>
          <w:szCs w:val="24"/>
        </w:rPr>
        <w:t>е</w:t>
      </w:r>
      <w:r>
        <w:rPr>
          <w:szCs w:val="24"/>
        </w:rPr>
        <w:t xml:space="preserve">ских заверений. </w:t>
      </w:r>
    </w:p>
    <w:p w:rsidR="00686B7A" w:rsidRDefault="00686B7A" w:rsidP="006210C7">
      <w:pPr>
        <w:pStyle w:val="SingleTxtGR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 xml:space="preserve">По поводу вопросов, связанных с чрезвычайной выдачей и </w:t>
      </w:r>
      <w:r w:rsidR="009C2D32">
        <w:rPr>
          <w:szCs w:val="24"/>
        </w:rPr>
        <w:t>тайными це</w:t>
      </w:r>
      <w:r w:rsidR="009C2D32">
        <w:rPr>
          <w:szCs w:val="24"/>
        </w:rPr>
        <w:t>н</w:t>
      </w:r>
      <w:r w:rsidR="009C2D32">
        <w:rPr>
          <w:szCs w:val="24"/>
        </w:rPr>
        <w:t>трами</w:t>
      </w:r>
      <w:r>
        <w:rPr>
          <w:szCs w:val="24"/>
        </w:rPr>
        <w:t xml:space="preserve"> содержания под стражей, выступающий говорит, что правительство </w:t>
      </w:r>
      <w:r w:rsidR="009C2D32">
        <w:rPr>
          <w:szCs w:val="24"/>
        </w:rPr>
        <w:t xml:space="preserve">его страны </w:t>
      </w:r>
      <w:r>
        <w:rPr>
          <w:szCs w:val="24"/>
        </w:rPr>
        <w:t>неоднократно отме</w:t>
      </w:r>
      <w:r w:rsidR="009C2D32">
        <w:rPr>
          <w:szCs w:val="24"/>
        </w:rPr>
        <w:t>чало, что борьба</w:t>
      </w:r>
      <w:r>
        <w:rPr>
          <w:szCs w:val="24"/>
        </w:rPr>
        <w:t xml:space="preserve"> против терроризма должна пров</w:t>
      </w:r>
      <w:r>
        <w:rPr>
          <w:szCs w:val="24"/>
        </w:rPr>
        <w:t>о</w:t>
      </w:r>
      <w:r>
        <w:rPr>
          <w:szCs w:val="24"/>
        </w:rPr>
        <w:t>диться в строгом соответствии с международ</w:t>
      </w:r>
      <w:r w:rsidR="009C2D32">
        <w:rPr>
          <w:szCs w:val="24"/>
        </w:rPr>
        <w:t xml:space="preserve">ным правом </w:t>
      </w:r>
      <w:r>
        <w:rPr>
          <w:szCs w:val="24"/>
        </w:rPr>
        <w:t>прав человека и гум</w:t>
      </w:r>
      <w:r>
        <w:rPr>
          <w:szCs w:val="24"/>
        </w:rPr>
        <w:t>а</w:t>
      </w:r>
      <w:r w:rsidR="00013654">
        <w:rPr>
          <w:szCs w:val="24"/>
        </w:rPr>
        <w:t>нитарным правом</w:t>
      </w:r>
      <w:r>
        <w:rPr>
          <w:szCs w:val="24"/>
        </w:rPr>
        <w:t xml:space="preserve"> и что такой подход является обязательным условием для </w:t>
      </w:r>
      <w:r w:rsidR="009C2D32">
        <w:rPr>
          <w:szCs w:val="24"/>
        </w:rPr>
        <w:t>ее</w:t>
      </w:r>
      <w:r>
        <w:rPr>
          <w:szCs w:val="24"/>
        </w:rPr>
        <w:t xml:space="preserve"> успешной реализации в долгосрочном плане. Оно участвовало в усилиях Сов</w:t>
      </w:r>
      <w:r>
        <w:rPr>
          <w:szCs w:val="24"/>
        </w:rPr>
        <w:t>е</w:t>
      </w:r>
      <w:r>
        <w:rPr>
          <w:szCs w:val="24"/>
        </w:rPr>
        <w:t>та Европы по уточнению обстоятельств, имеющих отношение к тайному соде</w:t>
      </w:r>
      <w:r>
        <w:rPr>
          <w:szCs w:val="24"/>
        </w:rPr>
        <w:t>р</w:t>
      </w:r>
      <w:r>
        <w:rPr>
          <w:szCs w:val="24"/>
        </w:rPr>
        <w:t>жанию под стражей и транспортировке через воздушное пространство заде</w:t>
      </w:r>
      <w:r>
        <w:rPr>
          <w:szCs w:val="24"/>
        </w:rPr>
        <w:t>р</w:t>
      </w:r>
      <w:r>
        <w:rPr>
          <w:szCs w:val="24"/>
        </w:rPr>
        <w:t>жанных лиц. В соответствующих отчетах не содержится негативного упомин</w:t>
      </w:r>
      <w:r>
        <w:rPr>
          <w:szCs w:val="24"/>
        </w:rPr>
        <w:t>а</w:t>
      </w:r>
      <w:r>
        <w:rPr>
          <w:szCs w:val="24"/>
        </w:rPr>
        <w:t>ния Австрии в этой связи. Европейский парламент также заявил о своей ув</w:t>
      </w:r>
      <w:r>
        <w:rPr>
          <w:szCs w:val="24"/>
        </w:rPr>
        <w:t>е</w:t>
      </w:r>
      <w:r>
        <w:rPr>
          <w:szCs w:val="24"/>
        </w:rPr>
        <w:t xml:space="preserve">ренности в том, что австрийские власти не участвовали </w:t>
      </w:r>
      <w:r w:rsidR="009C2D32">
        <w:rPr>
          <w:szCs w:val="24"/>
        </w:rPr>
        <w:t xml:space="preserve">ни </w:t>
      </w:r>
      <w:r>
        <w:rPr>
          <w:szCs w:val="24"/>
        </w:rPr>
        <w:t>в как</w:t>
      </w:r>
      <w:r w:rsidR="009C2D32">
        <w:rPr>
          <w:szCs w:val="24"/>
        </w:rPr>
        <w:t>их</w:t>
      </w:r>
      <w:r>
        <w:rPr>
          <w:szCs w:val="24"/>
        </w:rPr>
        <w:t xml:space="preserve"> случа</w:t>
      </w:r>
      <w:r w:rsidR="009C2D32">
        <w:rPr>
          <w:szCs w:val="24"/>
        </w:rPr>
        <w:t>ях</w:t>
      </w:r>
      <w:r>
        <w:rPr>
          <w:szCs w:val="24"/>
        </w:rPr>
        <w:t xml:space="preserve"> чрезвычайной выдачи. В недавнем докладе о тайных центрах содержания под стражей (</w:t>
      </w:r>
      <w:r w:rsidRPr="003B3714">
        <w:t>A/HRC/13/42</w:t>
      </w:r>
      <w:r>
        <w:t xml:space="preserve">), </w:t>
      </w:r>
      <w:r w:rsidRPr="00FD4CA8">
        <w:rPr>
          <w:szCs w:val="24"/>
        </w:rPr>
        <w:t>подг</w:t>
      </w:r>
      <w:r>
        <w:rPr>
          <w:szCs w:val="24"/>
        </w:rPr>
        <w:t>ото</w:t>
      </w:r>
      <w:r>
        <w:rPr>
          <w:szCs w:val="24"/>
        </w:rPr>
        <w:t>в</w:t>
      </w:r>
      <w:r>
        <w:rPr>
          <w:szCs w:val="24"/>
        </w:rPr>
        <w:t>ленном четырьмя специальными процедурами Совета по правам человека, включая Специального докладчика по вопросу о пытках, отмечается тесное сотрудничество А</w:t>
      </w:r>
      <w:r>
        <w:rPr>
          <w:szCs w:val="24"/>
        </w:rPr>
        <w:t>в</w:t>
      </w:r>
      <w:r>
        <w:rPr>
          <w:szCs w:val="24"/>
        </w:rPr>
        <w:t xml:space="preserve">стрии с Советом Европы. </w:t>
      </w:r>
    </w:p>
    <w:p w:rsidR="00686B7A" w:rsidRDefault="00686B7A" w:rsidP="006210C7">
      <w:pPr>
        <w:pStyle w:val="SingleTxtGR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 xml:space="preserve">Комитет интересовался, включают </w:t>
      </w:r>
      <w:r w:rsidR="00031950">
        <w:rPr>
          <w:szCs w:val="24"/>
        </w:rPr>
        <w:t xml:space="preserve">ли </w:t>
      </w:r>
      <w:r>
        <w:rPr>
          <w:szCs w:val="24"/>
        </w:rPr>
        <w:t>австрийские национальные планы действий против торговли людьми также и проблему торговли детьми. Выст</w:t>
      </w:r>
      <w:r>
        <w:rPr>
          <w:szCs w:val="24"/>
        </w:rPr>
        <w:t>у</w:t>
      </w:r>
      <w:r>
        <w:rPr>
          <w:szCs w:val="24"/>
        </w:rPr>
        <w:t>пающий подтве</w:t>
      </w:r>
      <w:r>
        <w:rPr>
          <w:szCs w:val="24"/>
        </w:rPr>
        <w:t>р</w:t>
      </w:r>
      <w:r>
        <w:rPr>
          <w:szCs w:val="24"/>
        </w:rPr>
        <w:t>ждает, что проблемам торговли детьми и детского секс-туризма уделяется большое внимание. Жертвы имеют доступ к услугам в области оказ</w:t>
      </w:r>
      <w:r>
        <w:rPr>
          <w:szCs w:val="24"/>
        </w:rPr>
        <w:t>а</w:t>
      </w:r>
      <w:r>
        <w:rPr>
          <w:szCs w:val="24"/>
        </w:rPr>
        <w:t>ния помощи и консультирования, предоставляемым учреждениями по социал</w:t>
      </w:r>
      <w:r>
        <w:rPr>
          <w:szCs w:val="24"/>
        </w:rPr>
        <w:t>ь</w:t>
      </w:r>
      <w:r>
        <w:rPr>
          <w:szCs w:val="24"/>
        </w:rPr>
        <w:t>ному обеспечению детей и молод</w:t>
      </w:r>
      <w:r>
        <w:rPr>
          <w:szCs w:val="24"/>
        </w:rPr>
        <w:t>е</w:t>
      </w:r>
      <w:r>
        <w:rPr>
          <w:szCs w:val="24"/>
        </w:rPr>
        <w:t xml:space="preserve">жи. В Вене функционирует кризисный центр под названием </w:t>
      </w:r>
      <w:r w:rsidR="00031950">
        <w:rPr>
          <w:szCs w:val="24"/>
        </w:rPr>
        <w:t>Дрешайбе</w:t>
      </w:r>
      <w:r>
        <w:rPr>
          <w:szCs w:val="24"/>
        </w:rPr>
        <w:t xml:space="preserve"> (поворотный круг), который оказывает помощь жер</w:t>
      </w:r>
      <w:r>
        <w:rPr>
          <w:szCs w:val="24"/>
        </w:rPr>
        <w:t>т</w:t>
      </w:r>
      <w:r>
        <w:rPr>
          <w:szCs w:val="24"/>
        </w:rPr>
        <w:t>вам торговли людьми и не сопровождаемым н</w:t>
      </w:r>
      <w:r>
        <w:rPr>
          <w:szCs w:val="24"/>
        </w:rPr>
        <w:t>е</w:t>
      </w:r>
      <w:r>
        <w:rPr>
          <w:szCs w:val="24"/>
        </w:rPr>
        <w:t>совершеннолетним иностранцам. Все учреждения вместе с компетентными министерствами представлены в Ц</w:t>
      </w:r>
      <w:r>
        <w:rPr>
          <w:szCs w:val="24"/>
        </w:rPr>
        <w:t>е</w:t>
      </w:r>
      <w:r>
        <w:rPr>
          <w:szCs w:val="24"/>
        </w:rPr>
        <w:t>левой группе по проблемам торговли людьми, возглавляемой Генеральным д</w:t>
      </w:r>
      <w:r>
        <w:rPr>
          <w:szCs w:val="24"/>
        </w:rPr>
        <w:t>и</w:t>
      </w:r>
      <w:r>
        <w:rPr>
          <w:szCs w:val="24"/>
        </w:rPr>
        <w:t>ректором Консульского управления Министерства иностранных дел. Целевая группа также активно участвует в кампаниях против секс-туризма, организу</w:t>
      </w:r>
      <w:r>
        <w:rPr>
          <w:szCs w:val="24"/>
        </w:rPr>
        <w:t>е</w:t>
      </w:r>
      <w:r>
        <w:rPr>
          <w:szCs w:val="24"/>
        </w:rPr>
        <w:t>мых международной НПО "Покончим с детском проституцией, детской порн</w:t>
      </w:r>
      <w:r>
        <w:rPr>
          <w:szCs w:val="24"/>
        </w:rPr>
        <w:t>о</w:t>
      </w:r>
      <w:r>
        <w:rPr>
          <w:szCs w:val="24"/>
        </w:rPr>
        <w:t>графией и торговлей детьми в целях сексуальной эксплуатации", а также пол</w:t>
      </w:r>
      <w:r>
        <w:rPr>
          <w:szCs w:val="24"/>
        </w:rPr>
        <w:t>у</w:t>
      </w:r>
      <w:r>
        <w:rPr>
          <w:szCs w:val="24"/>
        </w:rPr>
        <w:t>чает активную поддержку от косметической фирмы "Боди шоп". Несопрово</w:t>
      </w:r>
      <w:r>
        <w:rPr>
          <w:szCs w:val="24"/>
        </w:rPr>
        <w:t>ж</w:t>
      </w:r>
      <w:r>
        <w:rPr>
          <w:szCs w:val="24"/>
        </w:rPr>
        <w:t>даемые несовершеннолетние могут обратиться с ходатайством о предоставл</w:t>
      </w:r>
      <w:r>
        <w:rPr>
          <w:szCs w:val="24"/>
        </w:rPr>
        <w:t>е</w:t>
      </w:r>
      <w:r>
        <w:rPr>
          <w:szCs w:val="24"/>
        </w:rPr>
        <w:t>нии убежища, а статья 69 а) Федерального закона о пребывании в стране пред</w:t>
      </w:r>
      <w:r>
        <w:rPr>
          <w:szCs w:val="24"/>
        </w:rPr>
        <w:t>у</w:t>
      </w:r>
      <w:r>
        <w:rPr>
          <w:szCs w:val="24"/>
        </w:rPr>
        <w:t>сматривает специальные меры защиты таких несовершеннолетних, позволяя им находиться в Австрии в течение шестимесячного срока, который в случае нео</w:t>
      </w:r>
      <w:r>
        <w:rPr>
          <w:szCs w:val="24"/>
        </w:rPr>
        <w:t>б</w:t>
      </w:r>
      <w:r>
        <w:rPr>
          <w:szCs w:val="24"/>
        </w:rPr>
        <w:t>ходимости может быть продлен.</w:t>
      </w:r>
    </w:p>
    <w:p w:rsidR="00686B7A" w:rsidRDefault="00686B7A" w:rsidP="006210C7">
      <w:pPr>
        <w:pStyle w:val="SingleTxtGR"/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>Выступающий заверяет Комитет в том, что даже с учетом переживаемых страной трудностей с бюджетом Австрия будет по-прежнему производить о</w:t>
      </w:r>
      <w:r>
        <w:rPr>
          <w:szCs w:val="24"/>
        </w:rPr>
        <w:t>т</w:t>
      </w:r>
      <w:r>
        <w:rPr>
          <w:szCs w:val="24"/>
        </w:rPr>
        <w:t xml:space="preserve">числения в </w:t>
      </w:r>
      <w:r w:rsidR="00031950">
        <w:rPr>
          <w:szCs w:val="24"/>
        </w:rPr>
        <w:t xml:space="preserve">Фонд </w:t>
      </w:r>
      <w:r>
        <w:rPr>
          <w:szCs w:val="24"/>
        </w:rPr>
        <w:t>добровольных взносов Организации Объединенных Наций для жертв пыток.</w:t>
      </w:r>
    </w:p>
    <w:p w:rsidR="00686B7A" w:rsidRDefault="00686B7A" w:rsidP="006210C7">
      <w:pPr>
        <w:pStyle w:val="SingleTxtGR"/>
        <w:rPr>
          <w:szCs w:val="24"/>
        </w:rPr>
      </w:pPr>
      <w:r>
        <w:rPr>
          <w:szCs w:val="24"/>
        </w:rPr>
        <w:t>8.</w:t>
      </w:r>
      <w:r>
        <w:rPr>
          <w:szCs w:val="24"/>
        </w:rPr>
        <w:tab/>
        <w:t>Выступающий сожалеет о том, что на сессии не присутствуют австри</w:t>
      </w:r>
      <w:r>
        <w:rPr>
          <w:szCs w:val="24"/>
        </w:rPr>
        <w:t>й</w:t>
      </w:r>
      <w:r>
        <w:rPr>
          <w:szCs w:val="24"/>
        </w:rPr>
        <w:t>ские НПО, которые могли бы кратко проинформировать Комитет перед его с</w:t>
      </w:r>
      <w:r>
        <w:rPr>
          <w:szCs w:val="24"/>
        </w:rPr>
        <w:t>о</w:t>
      </w:r>
      <w:r>
        <w:rPr>
          <w:szCs w:val="24"/>
        </w:rPr>
        <w:t>вещаниями с делегацией. Вместе с тем власти страны поддерживают регуля</w:t>
      </w:r>
      <w:r>
        <w:rPr>
          <w:szCs w:val="24"/>
        </w:rPr>
        <w:t>р</w:t>
      </w:r>
      <w:r>
        <w:rPr>
          <w:szCs w:val="24"/>
        </w:rPr>
        <w:t>ные контакты со многими правозащитными организациями, особенно в связи с предстоящим Универсальным периодическим обзором по Австрии, который б</w:t>
      </w:r>
      <w:r>
        <w:rPr>
          <w:szCs w:val="24"/>
        </w:rPr>
        <w:t>у</w:t>
      </w:r>
      <w:r>
        <w:rPr>
          <w:szCs w:val="24"/>
        </w:rPr>
        <w:t>дет проведен Советом по правам человека. Кроме того, НПО активно взаим</w:t>
      </w:r>
      <w:r>
        <w:rPr>
          <w:szCs w:val="24"/>
        </w:rPr>
        <w:t>о</w:t>
      </w:r>
      <w:r>
        <w:rPr>
          <w:szCs w:val="24"/>
        </w:rPr>
        <w:t>действовали с Европейским комитетом по предупреждению пыток и Европе</w:t>
      </w:r>
      <w:r>
        <w:rPr>
          <w:szCs w:val="24"/>
        </w:rPr>
        <w:t>й</w:t>
      </w:r>
      <w:r>
        <w:rPr>
          <w:szCs w:val="24"/>
        </w:rPr>
        <w:t xml:space="preserve">ской комиссией по борьбе с расизмом и нетерпимостью (ЭКРИ) во время </w:t>
      </w:r>
      <w:r w:rsidR="00031950">
        <w:rPr>
          <w:szCs w:val="24"/>
        </w:rPr>
        <w:t>сво</w:t>
      </w:r>
      <w:r>
        <w:rPr>
          <w:szCs w:val="24"/>
        </w:rPr>
        <w:t>их визитов в Австрию в 2009 году.</w:t>
      </w:r>
    </w:p>
    <w:p w:rsidR="00686B7A" w:rsidRDefault="00686B7A" w:rsidP="006210C7">
      <w:pPr>
        <w:pStyle w:val="SingleTxtGR"/>
        <w:rPr>
          <w:szCs w:val="24"/>
        </w:rPr>
      </w:pPr>
      <w:r>
        <w:rPr>
          <w:szCs w:val="24"/>
        </w:rPr>
        <w:t>9.</w:t>
      </w:r>
      <w:r>
        <w:rPr>
          <w:szCs w:val="24"/>
        </w:rPr>
        <w:tab/>
      </w:r>
      <w:r>
        <w:rPr>
          <w:b/>
          <w:szCs w:val="24"/>
        </w:rPr>
        <w:t xml:space="preserve">Г-н Богенсбергер </w:t>
      </w:r>
      <w:r>
        <w:rPr>
          <w:szCs w:val="24"/>
        </w:rPr>
        <w:t>(Австрия) говорит, что программа работы правител</w:t>
      </w:r>
      <w:r>
        <w:rPr>
          <w:szCs w:val="24"/>
        </w:rPr>
        <w:t>ь</w:t>
      </w:r>
      <w:r>
        <w:rPr>
          <w:szCs w:val="24"/>
        </w:rPr>
        <w:t>ства его страны на законодательный период 2008−2013 годов предусматривает изменение уголовного законодательства с целью выполнения существенных п</w:t>
      </w:r>
      <w:r>
        <w:rPr>
          <w:szCs w:val="24"/>
        </w:rPr>
        <w:t>о</w:t>
      </w:r>
      <w:r>
        <w:rPr>
          <w:szCs w:val="24"/>
        </w:rPr>
        <w:t xml:space="preserve">ложений Римского статута </w:t>
      </w:r>
      <w:r w:rsidR="00031950">
        <w:rPr>
          <w:szCs w:val="24"/>
        </w:rPr>
        <w:t>Междун</w:t>
      </w:r>
      <w:r>
        <w:rPr>
          <w:szCs w:val="24"/>
        </w:rPr>
        <w:t>ародного уголовного суда и включения о</w:t>
      </w:r>
      <w:r>
        <w:rPr>
          <w:szCs w:val="24"/>
        </w:rPr>
        <w:t>п</w:t>
      </w:r>
      <w:r>
        <w:rPr>
          <w:szCs w:val="24"/>
        </w:rPr>
        <w:t>ределения пытки в Уголовный кодекс. Поскольку в Уголовном кодексе уже с</w:t>
      </w:r>
      <w:r>
        <w:rPr>
          <w:szCs w:val="24"/>
        </w:rPr>
        <w:t>о</w:t>
      </w:r>
      <w:r>
        <w:rPr>
          <w:szCs w:val="24"/>
        </w:rPr>
        <w:t>держится положение, касающееся геноцида, поправки, разработанные на осн</w:t>
      </w:r>
      <w:r>
        <w:rPr>
          <w:szCs w:val="24"/>
        </w:rPr>
        <w:t>о</w:t>
      </w:r>
      <w:r>
        <w:rPr>
          <w:szCs w:val="24"/>
        </w:rPr>
        <w:t>ве Римского статута, будут преимущественно касаться преступлений против ч</w:t>
      </w:r>
      <w:r>
        <w:rPr>
          <w:szCs w:val="24"/>
        </w:rPr>
        <w:t>е</w:t>
      </w:r>
      <w:r>
        <w:rPr>
          <w:szCs w:val="24"/>
        </w:rPr>
        <w:t>ловечности, военных преступлений и, по возможн</w:t>
      </w:r>
      <w:r>
        <w:rPr>
          <w:szCs w:val="24"/>
        </w:rPr>
        <w:t>о</w:t>
      </w:r>
      <w:r>
        <w:rPr>
          <w:szCs w:val="24"/>
        </w:rPr>
        <w:t>сти, агрессии. В программе работы правительства конкретно упоминаются рекомендации Комитета, к</w:t>
      </w:r>
      <w:r>
        <w:rPr>
          <w:szCs w:val="24"/>
        </w:rPr>
        <w:t>а</w:t>
      </w:r>
      <w:r>
        <w:rPr>
          <w:szCs w:val="24"/>
        </w:rPr>
        <w:t>сающиеся определения пытки. В 2010 году Комиссия по правам человека авс</w:t>
      </w:r>
      <w:r>
        <w:rPr>
          <w:szCs w:val="24"/>
        </w:rPr>
        <w:t>т</w:t>
      </w:r>
      <w:r>
        <w:rPr>
          <w:szCs w:val="24"/>
        </w:rPr>
        <w:t>рийского парламента одобрила планы поправок и поручила Министерству ю</w:t>
      </w:r>
      <w:r>
        <w:rPr>
          <w:szCs w:val="24"/>
        </w:rPr>
        <w:t>с</w:t>
      </w:r>
      <w:r>
        <w:rPr>
          <w:szCs w:val="24"/>
        </w:rPr>
        <w:t>тиции представить проект законодательства. Оба законопроекта, очевидно, б</w:t>
      </w:r>
      <w:r>
        <w:rPr>
          <w:szCs w:val="24"/>
        </w:rPr>
        <w:t>у</w:t>
      </w:r>
      <w:r>
        <w:rPr>
          <w:szCs w:val="24"/>
        </w:rPr>
        <w:t>дут представлены в 201</w:t>
      </w:r>
      <w:r w:rsidR="00024924">
        <w:rPr>
          <w:szCs w:val="24"/>
        </w:rPr>
        <w:t xml:space="preserve">0 </w:t>
      </w:r>
      <w:r>
        <w:rPr>
          <w:szCs w:val="24"/>
        </w:rPr>
        <w:t>году. Формулировка будет основана на положениях Конвенции и Римско</w:t>
      </w:r>
      <w:r w:rsidR="00031950">
        <w:rPr>
          <w:szCs w:val="24"/>
        </w:rPr>
        <w:t>го статута</w:t>
      </w:r>
      <w:r>
        <w:rPr>
          <w:szCs w:val="24"/>
        </w:rPr>
        <w:t>, а предусмотренные наказания будут отражать серьезность правонарушений и указывать в недвусмысленной форме, что соо</w:t>
      </w:r>
      <w:r>
        <w:rPr>
          <w:szCs w:val="24"/>
        </w:rPr>
        <w:t>т</w:t>
      </w:r>
      <w:r>
        <w:rPr>
          <w:szCs w:val="24"/>
        </w:rPr>
        <w:t>ветствующее положение являе</w:t>
      </w:r>
      <w:r>
        <w:rPr>
          <w:szCs w:val="24"/>
        </w:rPr>
        <w:t>т</w:t>
      </w:r>
      <w:r>
        <w:rPr>
          <w:szCs w:val="24"/>
        </w:rPr>
        <w:t>ся абсолютно недопустимым.</w:t>
      </w:r>
    </w:p>
    <w:p w:rsidR="00686B7A" w:rsidRDefault="00686B7A" w:rsidP="006210C7">
      <w:pPr>
        <w:pStyle w:val="SingleTxtGR"/>
        <w:rPr>
          <w:szCs w:val="24"/>
        </w:rPr>
      </w:pPr>
      <w:r>
        <w:rPr>
          <w:szCs w:val="24"/>
        </w:rPr>
        <w:t>10.</w:t>
      </w:r>
      <w:r>
        <w:rPr>
          <w:szCs w:val="24"/>
        </w:rPr>
        <w:tab/>
        <w:t xml:space="preserve">Что касается расизма, расовой дискриминации, ксенофобии и связанной с ними нетерпимости, то в апреле 2010 года правительство </w:t>
      </w:r>
      <w:r w:rsidR="00031950">
        <w:rPr>
          <w:szCs w:val="24"/>
        </w:rPr>
        <w:t>приняло</w:t>
      </w:r>
      <w:r>
        <w:rPr>
          <w:szCs w:val="24"/>
        </w:rPr>
        <w:t xml:space="preserve"> законопроект о внесении поправки в статью 283 Уголовного кодекса, которая запрещает по</w:t>
      </w:r>
      <w:r>
        <w:rPr>
          <w:szCs w:val="24"/>
        </w:rPr>
        <w:t>д</w:t>
      </w:r>
      <w:r>
        <w:rPr>
          <w:szCs w:val="24"/>
        </w:rPr>
        <w:t>стрекательство к враждебным актам. Скоро он пройдет обсуждение в парламе</w:t>
      </w:r>
      <w:r>
        <w:rPr>
          <w:szCs w:val="24"/>
        </w:rPr>
        <w:t>н</w:t>
      </w:r>
      <w:r>
        <w:rPr>
          <w:szCs w:val="24"/>
        </w:rPr>
        <w:t xml:space="preserve">те и </w:t>
      </w:r>
      <w:r w:rsidR="00031950">
        <w:rPr>
          <w:szCs w:val="24"/>
        </w:rPr>
        <w:t xml:space="preserve">ожидается, что еще до летних каникул, он будет введен </w:t>
      </w:r>
      <w:r>
        <w:rPr>
          <w:szCs w:val="24"/>
        </w:rPr>
        <w:t>в качестве закона. В законопроекте отражен</w:t>
      </w:r>
      <w:r w:rsidR="00031950">
        <w:rPr>
          <w:szCs w:val="24"/>
        </w:rPr>
        <w:t>ы</w:t>
      </w:r>
      <w:r>
        <w:rPr>
          <w:szCs w:val="24"/>
        </w:rPr>
        <w:t xml:space="preserve"> </w:t>
      </w:r>
      <w:r w:rsidR="00031950">
        <w:rPr>
          <w:szCs w:val="24"/>
        </w:rPr>
        <w:t>Р</w:t>
      </w:r>
      <w:r w:rsidR="00031950">
        <w:rPr>
          <w:szCs w:val="24"/>
        </w:rPr>
        <w:t>а</w:t>
      </w:r>
      <w:r w:rsidR="00031950">
        <w:rPr>
          <w:szCs w:val="24"/>
        </w:rPr>
        <w:t xml:space="preserve">мочное </w:t>
      </w:r>
      <w:r>
        <w:rPr>
          <w:szCs w:val="24"/>
        </w:rPr>
        <w:t>решение № 2008/913/JI Европей</w:t>
      </w:r>
      <w:r w:rsidR="006210C7">
        <w:rPr>
          <w:szCs w:val="24"/>
        </w:rPr>
        <w:t>ского союза (ЕС) о</w:t>
      </w:r>
      <w:r>
        <w:rPr>
          <w:szCs w:val="24"/>
        </w:rPr>
        <w:t xml:space="preserve"> борьбе против расизма и ксенофобии, а также рекомендации ЭКРИ и Комитета Организации Объединенных Наций по ликвидации расовой дискриминации. Благодаря этой поправке законодательство станет менее огр</w:t>
      </w:r>
      <w:r>
        <w:rPr>
          <w:szCs w:val="24"/>
        </w:rPr>
        <w:t>а</w:t>
      </w:r>
      <w:r>
        <w:rPr>
          <w:szCs w:val="24"/>
        </w:rPr>
        <w:t xml:space="preserve">ничительным и будет охватывать все деяния, связанные с подстрекательством других лиц к совершению враждебных актов против групп или </w:t>
      </w:r>
      <w:r w:rsidR="006210C7">
        <w:rPr>
          <w:szCs w:val="24"/>
        </w:rPr>
        <w:t>отдельных</w:t>
      </w:r>
      <w:r>
        <w:rPr>
          <w:szCs w:val="24"/>
        </w:rPr>
        <w:t xml:space="preserve"> чл</w:t>
      </w:r>
      <w:r>
        <w:rPr>
          <w:szCs w:val="24"/>
        </w:rPr>
        <w:t>е</w:t>
      </w:r>
      <w:r>
        <w:rPr>
          <w:szCs w:val="24"/>
        </w:rPr>
        <w:t xml:space="preserve">нов групп на основании расы, цвета кожи, языка, религии или </w:t>
      </w:r>
      <w:r w:rsidR="006210C7">
        <w:rPr>
          <w:szCs w:val="24"/>
        </w:rPr>
        <w:t>убеждений</w:t>
      </w:r>
      <w:r>
        <w:rPr>
          <w:szCs w:val="24"/>
        </w:rPr>
        <w:t>, гр</w:t>
      </w:r>
      <w:r>
        <w:rPr>
          <w:szCs w:val="24"/>
        </w:rPr>
        <w:t>а</w:t>
      </w:r>
      <w:r>
        <w:rPr>
          <w:szCs w:val="24"/>
        </w:rPr>
        <w:t>жданства, происхождения, национальных и этнических корней, пола, инвали</w:t>
      </w:r>
      <w:r>
        <w:rPr>
          <w:szCs w:val="24"/>
        </w:rPr>
        <w:t>д</w:t>
      </w:r>
      <w:r>
        <w:rPr>
          <w:szCs w:val="24"/>
        </w:rPr>
        <w:t>ности, возраста или половой ориентации. Будут также запрещены любые пу</w:t>
      </w:r>
      <w:r>
        <w:rPr>
          <w:szCs w:val="24"/>
        </w:rPr>
        <w:t>б</w:t>
      </w:r>
      <w:r>
        <w:rPr>
          <w:szCs w:val="24"/>
        </w:rPr>
        <w:t>личные подстрекательства к ненависти, порочащие достоинство человеческой личности. Таким обр</w:t>
      </w:r>
      <w:r w:rsidR="00013654">
        <w:rPr>
          <w:szCs w:val="24"/>
        </w:rPr>
        <w:t>азом, данная поправка обеспечит</w:t>
      </w:r>
      <w:r>
        <w:rPr>
          <w:szCs w:val="24"/>
        </w:rPr>
        <w:t xml:space="preserve"> полное соблюдение ст</w:t>
      </w:r>
      <w:r>
        <w:rPr>
          <w:szCs w:val="24"/>
        </w:rPr>
        <w:t>а</w:t>
      </w:r>
      <w:r>
        <w:rPr>
          <w:szCs w:val="24"/>
        </w:rPr>
        <w:t>тьи 4 Международной конвенции о ликвидации всех форм расовой дискрим</w:t>
      </w:r>
      <w:r>
        <w:rPr>
          <w:szCs w:val="24"/>
        </w:rPr>
        <w:t>и</w:t>
      </w:r>
      <w:r>
        <w:rPr>
          <w:szCs w:val="24"/>
        </w:rPr>
        <w:t xml:space="preserve">нации. </w:t>
      </w:r>
    </w:p>
    <w:p w:rsidR="00686B7A" w:rsidRDefault="00686B7A" w:rsidP="006210C7">
      <w:pPr>
        <w:pStyle w:val="SingleTxtGR"/>
        <w:rPr>
          <w:szCs w:val="24"/>
        </w:rPr>
      </w:pPr>
      <w:r>
        <w:rPr>
          <w:szCs w:val="24"/>
        </w:rPr>
        <w:t>11.</w:t>
      </w:r>
      <w:r>
        <w:rPr>
          <w:szCs w:val="24"/>
        </w:rPr>
        <w:tab/>
        <w:t>В апреле 2010 года правительство представило в парламент проект зак</w:t>
      </w:r>
      <w:r>
        <w:rPr>
          <w:szCs w:val="24"/>
        </w:rPr>
        <w:t>о</w:t>
      </w:r>
      <w:r>
        <w:rPr>
          <w:szCs w:val="24"/>
        </w:rPr>
        <w:t>нодательства по предупреждению терроризма. Этот законопроект явился отр</w:t>
      </w:r>
      <w:r>
        <w:rPr>
          <w:szCs w:val="24"/>
        </w:rPr>
        <w:t>а</w:t>
      </w:r>
      <w:r>
        <w:rPr>
          <w:szCs w:val="24"/>
        </w:rPr>
        <w:t>жением обязательств, вытекающих, в частности, из Рамочного решения ЕС о борьбе с терроризмом, Конвенции Совета Европы о предупреждении террори</w:t>
      </w:r>
      <w:r>
        <w:rPr>
          <w:szCs w:val="24"/>
        </w:rPr>
        <w:t>з</w:t>
      </w:r>
      <w:r>
        <w:rPr>
          <w:szCs w:val="24"/>
        </w:rPr>
        <w:t>ма и рекомендаций Целевой группы по финансовым мероприятиям для борьбы с отмыванием денег. Предлагаемая поправка австрийского контртеррористич</w:t>
      </w:r>
      <w:r>
        <w:rPr>
          <w:szCs w:val="24"/>
        </w:rPr>
        <w:t>е</w:t>
      </w:r>
      <w:r>
        <w:rPr>
          <w:szCs w:val="24"/>
        </w:rPr>
        <w:t>ского законодательства касается участия в лагерях подготовки террористов, ф</w:t>
      </w:r>
      <w:r>
        <w:rPr>
          <w:szCs w:val="24"/>
        </w:rPr>
        <w:t>и</w:t>
      </w:r>
      <w:r>
        <w:rPr>
          <w:szCs w:val="24"/>
        </w:rPr>
        <w:t>нансирование терроризма, публичного подстрекательства к совершению терр</w:t>
      </w:r>
      <w:r>
        <w:rPr>
          <w:szCs w:val="24"/>
        </w:rPr>
        <w:t>о</w:t>
      </w:r>
      <w:r>
        <w:rPr>
          <w:szCs w:val="24"/>
        </w:rPr>
        <w:t xml:space="preserve">ристических преступлений, а также вербовки и подготовки исполнителей для целей терроризма. Это весьма деликатный вопрос, поскольку предложение </w:t>
      </w:r>
      <w:r w:rsidR="006210C7">
        <w:rPr>
          <w:szCs w:val="24"/>
        </w:rPr>
        <w:t>н</w:t>
      </w:r>
      <w:r w:rsidR="006210C7">
        <w:rPr>
          <w:szCs w:val="24"/>
        </w:rPr>
        <w:t>а</w:t>
      </w:r>
      <w:r w:rsidR="006210C7">
        <w:rPr>
          <w:szCs w:val="24"/>
        </w:rPr>
        <w:t>ходится на грани осуществления</w:t>
      </w:r>
      <w:r>
        <w:rPr>
          <w:szCs w:val="24"/>
        </w:rPr>
        <w:t xml:space="preserve"> таких основополагающих прав и свобод, как свобода выражения, собрани</w:t>
      </w:r>
      <w:r w:rsidR="006210C7">
        <w:rPr>
          <w:szCs w:val="24"/>
        </w:rPr>
        <w:t>й</w:t>
      </w:r>
      <w:r>
        <w:rPr>
          <w:szCs w:val="24"/>
        </w:rPr>
        <w:t xml:space="preserve"> или ассоциации. Необходимость в </w:t>
      </w:r>
      <w:r w:rsidR="006210C7">
        <w:rPr>
          <w:szCs w:val="24"/>
        </w:rPr>
        <w:t>соблюдении надлежащего б</w:t>
      </w:r>
      <w:r w:rsidR="00024924">
        <w:rPr>
          <w:szCs w:val="24"/>
        </w:rPr>
        <w:t>а</w:t>
      </w:r>
      <w:r w:rsidR="006210C7">
        <w:rPr>
          <w:szCs w:val="24"/>
        </w:rPr>
        <w:t>ланса</w:t>
      </w:r>
      <w:r>
        <w:rPr>
          <w:szCs w:val="24"/>
        </w:rPr>
        <w:t>, очевидно, станет одним из основных вопросов, который будет поднят в х</w:t>
      </w:r>
      <w:r>
        <w:rPr>
          <w:szCs w:val="24"/>
        </w:rPr>
        <w:t>о</w:t>
      </w:r>
      <w:r>
        <w:rPr>
          <w:szCs w:val="24"/>
        </w:rPr>
        <w:t>де парламентских дебатов.</w:t>
      </w:r>
    </w:p>
    <w:p w:rsidR="00686B7A" w:rsidRDefault="00686B7A" w:rsidP="006210C7">
      <w:pPr>
        <w:pStyle w:val="SingleTxtGR"/>
        <w:rPr>
          <w:szCs w:val="24"/>
        </w:rPr>
      </w:pPr>
      <w:r>
        <w:rPr>
          <w:szCs w:val="24"/>
        </w:rPr>
        <w:t>12.</w:t>
      </w:r>
      <w:r>
        <w:rPr>
          <w:szCs w:val="24"/>
        </w:rPr>
        <w:tab/>
        <w:t>Австрия активно участвует в обсуждении двух предлагаемых ЕС дире</w:t>
      </w:r>
      <w:r>
        <w:rPr>
          <w:szCs w:val="24"/>
        </w:rPr>
        <w:t>к</w:t>
      </w:r>
      <w:r>
        <w:rPr>
          <w:szCs w:val="24"/>
        </w:rPr>
        <w:t>тив. В пе</w:t>
      </w:r>
      <w:r>
        <w:rPr>
          <w:szCs w:val="24"/>
        </w:rPr>
        <w:t>р</w:t>
      </w:r>
      <w:r>
        <w:rPr>
          <w:szCs w:val="24"/>
        </w:rPr>
        <w:t xml:space="preserve">вой установлен целостный подход к проблеме торговли людьми, </w:t>
      </w:r>
      <w:r w:rsidR="00024924">
        <w:rPr>
          <w:szCs w:val="24"/>
        </w:rPr>
        <w:br/>
      </w:r>
      <w:r>
        <w:rPr>
          <w:szCs w:val="24"/>
        </w:rPr>
        <w:t>а вторая направлена на пресечение сексуальных надругательств над детьми и сексуальной эксплуатации детей, а также детской порнографии.</w:t>
      </w:r>
    </w:p>
    <w:p w:rsidR="00B464A7" w:rsidRDefault="00686B7A" w:rsidP="00B464A7">
      <w:pPr>
        <w:pStyle w:val="SingleTxtGR"/>
      </w:pPr>
      <w:r>
        <w:t>13.</w:t>
      </w:r>
      <w:r>
        <w:tab/>
        <w:t>В отношении вопросов</w:t>
      </w:r>
      <w:r w:rsidR="006210C7">
        <w:t>, касающихся процедурных гарантий</w:t>
      </w:r>
      <w:r>
        <w:t>, в частности доступа к право</w:t>
      </w:r>
      <w:r w:rsidR="006210C7">
        <w:t>вой помощи, права консультироваться</w:t>
      </w:r>
      <w:r>
        <w:t xml:space="preserve"> с адвокатом и запрещ</w:t>
      </w:r>
      <w:r>
        <w:t>е</w:t>
      </w:r>
      <w:r>
        <w:t>ни</w:t>
      </w:r>
      <w:r w:rsidR="006210C7">
        <w:t>я</w:t>
      </w:r>
      <w:r>
        <w:t xml:space="preserve"> применения пыток, выступающий говорит, что каждый задержанный до</w:t>
      </w:r>
      <w:r>
        <w:t>л</w:t>
      </w:r>
      <w:r>
        <w:t>жен информироваться о его праве хранить молчание и обратиться за помощью адвоката. Задержанным предлагаются устные инструкции и информационный листок, существующий в настоящее время приблизительно на 50 языках. Пре</w:t>
      </w:r>
      <w:r>
        <w:t>д</w:t>
      </w:r>
      <w:r>
        <w:t>принимались попытки использования более доступных формулировок, однако удобств</w:t>
      </w:r>
      <w:r w:rsidR="006210C7">
        <w:t>о</w:t>
      </w:r>
      <w:r>
        <w:t xml:space="preserve"> для восприятия не всегда соответствует предоставлению точной юр</w:t>
      </w:r>
      <w:r>
        <w:t>и</w:t>
      </w:r>
      <w:r w:rsidR="00B464A7">
        <w:t>дической информации.</w:t>
      </w:r>
      <w:r w:rsidR="00B464A7" w:rsidRPr="00B464A7">
        <w:t xml:space="preserve"> </w:t>
      </w:r>
      <w:r w:rsidR="00B464A7">
        <w:t>В настоящее время ЕС осуществляет проект, связанный с "письменным изл</w:t>
      </w:r>
      <w:r w:rsidR="00B464A7">
        <w:t>о</w:t>
      </w:r>
      <w:r w:rsidR="00B464A7">
        <w:t>жением прав" для подозреваемых. В 2010 году Европейская комиссия предст</w:t>
      </w:r>
      <w:r w:rsidR="00B464A7">
        <w:t>а</w:t>
      </w:r>
      <w:r w:rsidR="00B464A7">
        <w:t>вит законодательное предложение, касающееся информации о правах и обвин</w:t>
      </w:r>
      <w:r w:rsidR="00B464A7">
        <w:t>е</w:t>
      </w:r>
      <w:r w:rsidR="00B464A7">
        <w:t>ниях, с целью обеспечения принятия всеми государствами-членами унифиц</w:t>
      </w:r>
      <w:r w:rsidR="00B464A7">
        <w:t>и</w:t>
      </w:r>
      <w:r w:rsidR="00B464A7">
        <w:t>рованного подхода.</w:t>
      </w:r>
    </w:p>
    <w:p w:rsidR="00B464A7" w:rsidRDefault="00B464A7" w:rsidP="00B464A7">
      <w:pPr>
        <w:pStyle w:val="SingleTxtGR"/>
      </w:pPr>
      <w:r>
        <w:t>14.</w:t>
      </w:r>
      <w:r>
        <w:tab/>
        <w:t>В отношении права обвиняемого на присутствие адвоката во время д</w:t>
      </w:r>
      <w:r>
        <w:t>о</w:t>
      </w:r>
      <w:r>
        <w:t>проса в п</w:t>
      </w:r>
      <w:r>
        <w:t>о</w:t>
      </w:r>
      <w:r>
        <w:t>лиции выступающий говорит, что при аресте подозреваемых они должны незамедлительно информироваться об их праве связаться с адвокатом для их защиты. Контакты с адвокатами, в принципе, являются неограниченн</w:t>
      </w:r>
      <w:r>
        <w:t>ы</w:t>
      </w:r>
      <w:r>
        <w:t>ми. Вместе с тем в исключительных случаях могут налагаться ограничения, е</w:t>
      </w:r>
      <w:r>
        <w:t>с</w:t>
      </w:r>
      <w:r>
        <w:t>ли они считаются необходимыми для избеж</w:t>
      </w:r>
      <w:r>
        <w:t>а</w:t>
      </w:r>
      <w:r>
        <w:t>ния неблагоприятного воздействия присутствия адвоката на ход расследования или же на сбор доказательств. Ин</w:t>
      </w:r>
      <w:r>
        <w:t>о</w:t>
      </w:r>
      <w:r>
        <w:t>гда имеются достаточные основания для того, чтобы ограничить контакты с а</w:t>
      </w:r>
      <w:r>
        <w:t>д</w:t>
      </w:r>
      <w:r>
        <w:t>вокатом, например, если имеются подозрения в том, что обвиняемый является членом преступной организации, а другие члены этой организации пока еще не арестованы, или если опасность сговора или уничтожения доказательств нельзя предотвратить, даже установив контроль за контактами с адвокатом. Однако одного лишь предположения о наличии такой опасности недостаточно. Дол</w:t>
      </w:r>
      <w:r>
        <w:t>ж</w:t>
      </w:r>
      <w:r>
        <w:t>ны иметься конкретные доказательства в поддержку предположения о том, что присутствие адвоката может помешать проведению расследований. Г</w:t>
      </w:r>
      <w:r>
        <w:t>о</w:t>
      </w:r>
      <w:r>
        <w:t>воря юридическим языком, исключения всегда должны подлежать узкому и строгому толкованию, а обвиняемый иметь право на обжалование этой меры на основ</w:t>
      </w:r>
      <w:r>
        <w:t>а</w:t>
      </w:r>
      <w:r>
        <w:t>нии нарушения статьи 106 Уголовно-процессуального кодекса. Такое исключ</w:t>
      </w:r>
      <w:r>
        <w:t>е</w:t>
      </w:r>
      <w:r>
        <w:t>ние применялось в крайне ограниченных случаях. При отсутствии адвоката з</w:t>
      </w:r>
      <w:r>
        <w:t>а</w:t>
      </w:r>
      <w:r>
        <w:t>держанное лицо всегда имеет право хранить молчание. Другой возможностью является видеозапись. Министерство внутренних дел в настоящее время пров</w:t>
      </w:r>
      <w:r>
        <w:t>о</w:t>
      </w:r>
      <w:r>
        <w:t>дит оценку двух проектов по обеспечению того, чтобы такие записи производ</w:t>
      </w:r>
      <w:r>
        <w:t>и</w:t>
      </w:r>
      <w:r>
        <w:t>лись на профессиональном уровне. Статья 166 Уголовно-процессуального к</w:t>
      </w:r>
      <w:r>
        <w:t>о</w:t>
      </w:r>
      <w:r>
        <w:t>декса запрещает использование доказательств, полученных с применением п</w:t>
      </w:r>
      <w:r>
        <w:t>ы</w:t>
      </w:r>
      <w:r>
        <w:t>ток.</w:t>
      </w:r>
    </w:p>
    <w:p w:rsidR="00B464A7" w:rsidRDefault="00B464A7" w:rsidP="00B464A7">
      <w:pPr>
        <w:pStyle w:val="SingleTxtGR"/>
      </w:pPr>
      <w:r>
        <w:t>15.</w:t>
      </w:r>
      <w:r>
        <w:tab/>
        <w:t>Что касается доступа к правовой помощи во время содержания под стр</w:t>
      </w:r>
      <w:r>
        <w:t>а</w:t>
      </w:r>
      <w:r>
        <w:t>жей в полиции, то с ноября 2008 года предусмотрено наличие дежурного адв</w:t>
      </w:r>
      <w:r>
        <w:t>о</w:t>
      </w:r>
      <w:r>
        <w:t>ката. Каждый отдел уголовного расследования обязан информировать заде</w:t>
      </w:r>
      <w:r>
        <w:t>р</w:t>
      </w:r>
      <w:r>
        <w:t>жанное лицо о наличии услуги дежурного адвоката. Подозреваемый может св</w:t>
      </w:r>
      <w:r>
        <w:t>я</w:t>
      </w:r>
      <w:r>
        <w:t>заться с адвокатом по телефону или запросить личную консультацию с ним. Правовая помощь может быть предоставлена во время допроса, а суд вправе н</w:t>
      </w:r>
      <w:r>
        <w:t>а</w:t>
      </w:r>
      <w:r>
        <w:t>значить бесплатного адвоката. С этой целью Ассоциация адвокатов Австрии обеспечивает наличие экстренной связи с адвокатом, которая функционирует круглосуточно, семь дней в неделю. Первое обращение к адвокату и первый т</w:t>
      </w:r>
      <w:r>
        <w:t>е</w:t>
      </w:r>
      <w:r>
        <w:t>лефонный разговор с ним являются бесплатными. Внутренними правилами А</w:t>
      </w:r>
      <w:r>
        <w:t>с</w:t>
      </w:r>
      <w:r>
        <w:t>социации адвокатов предусмотрено, что адвокат, которого просят прибыть ли</w:t>
      </w:r>
      <w:r>
        <w:t>ч</w:t>
      </w:r>
      <w:r>
        <w:t>но в подразделение полиции, где содержится подозреваемое лицо, должен сд</w:t>
      </w:r>
      <w:r>
        <w:t>е</w:t>
      </w:r>
      <w:r>
        <w:t>лать это как можно быстрее и в любом случае в течение трех часов. В период с ноября 2008 года по март 2010 года этой услугой воспользовались приблиз</w:t>
      </w:r>
      <w:r>
        <w:t>и</w:t>
      </w:r>
      <w:r>
        <w:t>тельно 600 человек. В 50 случаях проводились личные консультации. В 115 случаях (одна пятая от всех случаев) адвокат присутствовал во время допроса. Не было ни одного случая отказа в доступе на допрос адвокату, направленному дежу</w:t>
      </w:r>
      <w:r>
        <w:t>р</w:t>
      </w:r>
      <w:r>
        <w:t>ной службой юридической помощи.</w:t>
      </w:r>
    </w:p>
    <w:p w:rsidR="00B464A7" w:rsidRDefault="00B464A7" w:rsidP="00B464A7">
      <w:pPr>
        <w:pStyle w:val="SingleTxtGR"/>
        <w:rPr>
          <w:szCs w:val="24"/>
        </w:rPr>
      </w:pPr>
      <w:r>
        <w:t>16.</w:t>
      </w:r>
      <w:r>
        <w:tab/>
        <w:t>Австрийские власти полностью осознают, что содержащимся под стр</w:t>
      </w:r>
      <w:r>
        <w:t>а</w:t>
      </w:r>
      <w:r>
        <w:t>жей несовершеннолетним правонарушителям требуются специальные меры з</w:t>
      </w:r>
      <w:r>
        <w:t>а</w:t>
      </w:r>
      <w:r>
        <w:t>щиты. Следственные органы обязаны предоставлять такую защиту несове</w:t>
      </w:r>
      <w:r>
        <w:t>р</w:t>
      </w:r>
      <w:r>
        <w:t>шеннолетним правонаруши</w:t>
      </w:r>
      <w:r w:rsidRPr="001445DC">
        <w:rPr>
          <w:szCs w:val="24"/>
        </w:rPr>
        <w:t>телям ex officio.</w:t>
      </w:r>
      <w:r>
        <w:rPr>
          <w:szCs w:val="24"/>
        </w:rPr>
        <w:t xml:space="preserve"> Право несовершеннолетних нар</w:t>
      </w:r>
      <w:r>
        <w:rPr>
          <w:szCs w:val="24"/>
        </w:rPr>
        <w:t>у</w:t>
      </w:r>
      <w:r>
        <w:rPr>
          <w:szCs w:val="24"/>
        </w:rPr>
        <w:t>шителей на присутствие адвоката во время допроса не подлежит никаким огр</w:t>
      </w:r>
      <w:r>
        <w:rPr>
          <w:szCs w:val="24"/>
        </w:rPr>
        <w:t>а</w:t>
      </w:r>
      <w:r>
        <w:rPr>
          <w:szCs w:val="24"/>
        </w:rPr>
        <w:t>ничениям. Если они не требуют доступа к адвокату, то должно присутствовать доверенное лицо. Несовершеннолетний правонарушитель должен быть прои</w:t>
      </w:r>
      <w:r>
        <w:rPr>
          <w:szCs w:val="24"/>
        </w:rPr>
        <w:t>н</w:t>
      </w:r>
      <w:r>
        <w:rPr>
          <w:szCs w:val="24"/>
        </w:rPr>
        <w:t>формирован об этих правах как можно скорее и не позднее начала допроса. В</w:t>
      </w:r>
      <w:r>
        <w:rPr>
          <w:szCs w:val="24"/>
        </w:rPr>
        <w:t>ы</w:t>
      </w:r>
      <w:r>
        <w:rPr>
          <w:szCs w:val="24"/>
        </w:rPr>
        <w:t>ступающий сам являлся судьей по делам несовершеннолетних и знает из ли</w:t>
      </w:r>
      <w:r>
        <w:rPr>
          <w:szCs w:val="24"/>
        </w:rPr>
        <w:t>ч</w:t>
      </w:r>
      <w:r>
        <w:rPr>
          <w:szCs w:val="24"/>
        </w:rPr>
        <w:t>ного опыта, что эти гарантии неукоснительно соблюдаются. Если родитель или законный опекун недоступны, то в качестве доверенного лица всегда присутс</w:t>
      </w:r>
      <w:r>
        <w:rPr>
          <w:szCs w:val="24"/>
        </w:rPr>
        <w:t>т</w:t>
      </w:r>
      <w:r>
        <w:rPr>
          <w:szCs w:val="24"/>
        </w:rPr>
        <w:t>вует представитель одного из учреждений по социальному обеспечению мол</w:t>
      </w:r>
      <w:r>
        <w:rPr>
          <w:szCs w:val="24"/>
        </w:rPr>
        <w:t>о</w:t>
      </w:r>
      <w:r>
        <w:rPr>
          <w:szCs w:val="24"/>
        </w:rPr>
        <w:t xml:space="preserve">дежи или службы пробации. </w:t>
      </w:r>
    </w:p>
    <w:p w:rsidR="00B464A7" w:rsidRDefault="00B464A7" w:rsidP="00B464A7">
      <w:pPr>
        <w:pStyle w:val="SingleTxtGR"/>
        <w:rPr>
          <w:szCs w:val="24"/>
        </w:rPr>
      </w:pPr>
      <w:r>
        <w:rPr>
          <w:szCs w:val="24"/>
        </w:rPr>
        <w:t>17.</w:t>
      </w:r>
      <w:r>
        <w:rPr>
          <w:szCs w:val="24"/>
        </w:rPr>
        <w:tab/>
        <w:t>Помещение под стражу несовершеннолетних правонарушителей испол</w:t>
      </w:r>
      <w:r>
        <w:rPr>
          <w:szCs w:val="24"/>
        </w:rPr>
        <w:t>ь</w:t>
      </w:r>
      <w:r>
        <w:rPr>
          <w:szCs w:val="24"/>
        </w:rPr>
        <w:t>зуется в качестве крайней меры. С 1 апреля 2010 года в Австрии в системе д</w:t>
      </w:r>
      <w:r>
        <w:rPr>
          <w:szCs w:val="24"/>
        </w:rPr>
        <w:t>о</w:t>
      </w:r>
      <w:r>
        <w:rPr>
          <w:szCs w:val="24"/>
        </w:rPr>
        <w:t>судебного соде</w:t>
      </w:r>
      <w:r>
        <w:rPr>
          <w:szCs w:val="24"/>
        </w:rPr>
        <w:t>р</w:t>
      </w:r>
      <w:r>
        <w:rPr>
          <w:szCs w:val="24"/>
        </w:rPr>
        <w:t>жания под стражей находилось только 82 несовершеннолетних правонарушителя и 83 − отбывали срок тюремного заключения, что составляет приблизительно 5% от общего числа заключенных, хотя на несовершенноле</w:t>
      </w:r>
      <w:r>
        <w:rPr>
          <w:szCs w:val="24"/>
        </w:rPr>
        <w:t>т</w:t>
      </w:r>
      <w:r>
        <w:rPr>
          <w:szCs w:val="24"/>
        </w:rPr>
        <w:t>них приходится до 20% всех совершаемых прав</w:t>
      </w:r>
      <w:r>
        <w:rPr>
          <w:szCs w:val="24"/>
        </w:rPr>
        <w:t>о</w:t>
      </w:r>
      <w:r>
        <w:rPr>
          <w:szCs w:val="24"/>
        </w:rPr>
        <w:t>нарушений.</w:t>
      </w:r>
    </w:p>
    <w:p w:rsidR="00B464A7" w:rsidRDefault="00B464A7" w:rsidP="00B464A7">
      <w:pPr>
        <w:pStyle w:val="SingleTxtGR"/>
        <w:rPr>
          <w:szCs w:val="24"/>
        </w:rPr>
      </w:pPr>
      <w:r>
        <w:rPr>
          <w:szCs w:val="24"/>
        </w:rPr>
        <w:t>18.</w:t>
      </w:r>
      <w:r>
        <w:rPr>
          <w:szCs w:val="24"/>
        </w:rPr>
        <w:tab/>
        <w:t>С середины 1980 годов по отношению к несовершеннолетним правон</w:t>
      </w:r>
      <w:r>
        <w:rPr>
          <w:szCs w:val="24"/>
        </w:rPr>
        <w:t>а</w:t>
      </w:r>
      <w:r>
        <w:rPr>
          <w:szCs w:val="24"/>
        </w:rPr>
        <w:t>рушителям часто применяются процедуры восстановительного правосудия. Существует четыре основных направления: приостановление дела на испыт</w:t>
      </w:r>
      <w:r>
        <w:rPr>
          <w:szCs w:val="24"/>
        </w:rPr>
        <w:t>а</w:t>
      </w:r>
      <w:r>
        <w:rPr>
          <w:szCs w:val="24"/>
        </w:rPr>
        <w:t>тельный срок от одного года до двух лет при установлении или без установл</w:t>
      </w:r>
      <w:r>
        <w:rPr>
          <w:szCs w:val="24"/>
        </w:rPr>
        <w:t>е</w:t>
      </w:r>
      <w:r>
        <w:rPr>
          <w:szCs w:val="24"/>
        </w:rPr>
        <w:t>ния определенных ограничений; прекр</w:t>
      </w:r>
      <w:r>
        <w:rPr>
          <w:szCs w:val="24"/>
        </w:rPr>
        <w:t>а</w:t>
      </w:r>
      <w:r>
        <w:rPr>
          <w:szCs w:val="24"/>
        </w:rPr>
        <w:t>щение дела на основании финансового урегулирования; прекращение дела после выполнения определенных общес</w:t>
      </w:r>
      <w:r>
        <w:rPr>
          <w:szCs w:val="24"/>
        </w:rPr>
        <w:t>т</w:t>
      </w:r>
      <w:r>
        <w:rPr>
          <w:szCs w:val="24"/>
        </w:rPr>
        <w:t>венных работ; а также прекращение дела после примирения жертвы и правон</w:t>
      </w:r>
      <w:r>
        <w:rPr>
          <w:szCs w:val="24"/>
        </w:rPr>
        <w:t>а</w:t>
      </w:r>
      <w:r>
        <w:rPr>
          <w:szCs w:val="24"/>
        </w:rPr>
        <w:t>рушителя. Восстановительный подход оказался весьма эффективным, поскол</w:t>
      </w:r>
      <w:r>
        <w:rPr>
          <w:szCs w:val="24"/>
        </w:rPr>
        <w:t>ь</w:t>
      </w:r>
      <w:r>
        <w:rPr>
          <w:szCs w:val="24"/>
        </w:rPr>
        <w:t>ку он способствует более полному осознанию правонарушителем последствий преступного поведения и предлагает поддержку жертве в виде материальной компенсации, а порой даже залечивает эмоциональные раны. Формальные нак</w:t>
      </w:r>
      <w:r>
        <w:rPr>
          <w:szCs w:val="24"/>
        </w:rPr>
        <w:t>а</w:t>
      </w:r>
      <w:r>
        <w:rPr>
          <w:szCs w:val="24"/>
        </w:rPr>
        <w:t>зания применяются по отношению к несовершеннолетним правонарушителям в исключительных случаях, а тюремное заключение является крайней мерой.</w:t>
      </w:r>
    </w:p>
    <w:p w:rsidR="00B464A7" w:rsidRDefault="00B464A7" w:rsidP="00B464A7">
      <w:pPr>
        <w:pStyle w:val="SingleTxtGR"/>
        <w:rPr>
          <w:szCs w:val="24"/>
        </w:rPr>
      </w:pPr>
      <w:r>
        <w:rPr>
          <w:szCs w:val="24"/>
        </w:rPr>
        <w:t>19.</w:t>
      </w:r>
      <w:r>
        <w:rPr>
          <w:szCs w:val="24"/>
        </w:rPr>
        <w:tab/>
        <w:t>После принятия Федерального закона о защите от насилия в семье</w:t>
      </w:r>
      <w:r>
        <w:rPr>
          <w:szCs w:val="24"/>
        </w:rPr>
        <w:br/>
        <w:t>1997 года был принят Закон о защите от насилия 2009 года, расширивший з</w:t>
      </w:r>
      <w:r>
        <w:rPr>
          <w:szCs w:val="24"/>
        </w:rPr>
        <w:t>а</w:t>
      </w:r>
      <w:r>
        <w:rPr>
          <w:szCs w:val="24"/>
        </w:rPr>
        <w:t>щитные механизмы. В основу этого законодательства был заложен принцип, с</w:t>
      </w:r>
      <w:r>
        <w:rPr>
          <w:szCs w:val="24"/>
        </w:rPr>
        <w:t>о</w:t>
      </w:r>
      <w:r>
        <w:rPr>
          <w:szCs w:val="24"/>
        </w:rPr>
        <w:t>гласно которому жертвы насилия должны иметь возможность оставаться в св</w:t>
      </w:r>
      <w:r>
        <w:rPr>
          <w:szCs w:val="24"/>
        </w:rPr>
        <w:t>о</w:t>
      </w:r>
      <w:r>
        <w:rPr>
          <w:szCs w:val="24"/>
        </w:rPr>
        <w:t>их домах, в то время правонарушители, независимо от права собственности, должны их покинуть. Закон 2009 года сосредоточен на обязательстве государс</w:t>
      </w:r>
      <w:r>
        <w:rPr>
          <w:szCs w:val="24"/>
        </w:rPr>
        <w:t>т</w:t>
      </w:r>
      <w:r>
        <w:rPr>
          <w:szCs w:val="24"/>
        </w:rPr>
        <w:t>ва обеспечивать защиту женщин и детей в их домах. Если полиция издает пр</w:t>
      </w:r>
      <w:r>
        <w:rPr>
          <w:szCs w:val="24"/>
        </w:rPr>
        <w:t>и</w:t>
      </w:r>
      <w:r>
        <w:rPr>
          <w:szCs w:val="24"/>
        </w:rPr>
        <w:t>каз о в</w:t>
      </w:r>
      <w:r>
        <w:rPr>
          <w:szCs w:val="24"/>
        </w:rPr>
        <w:t>ы</w:t>
      </w:r>
      <w:r>
        <w:rPr>
          <w:szCs w:val="24"/>
        </w:rPr>
        <w:t>селении, то правонарушитель обязан покинуть свое жилище на 14 дней. Судебные постановления по гражданскому праву продлевают этот срок до ше</w:t>
      </w:r>
      <w:r>
        <w:rPr>
          <w:szCs w:val="24"/>
        </w:rPr>
        <w:t>с</w:t>
      </w:r>
      <w:r>
        <w:rPr>
          <w:szCs w:val="24"/>
        </w:rPr>
        <w:t>ти месяцев, либо до завершения процедуры развода или оформления раздельн</w:t>
      </w:r>
      <w:r>
        <w:rPr>
          <w:szCs w:val="24"/>
        </w:rPr>
        <w:t>о</w:t>
      </w:r>
      <w:r>
        <w:rPr>
          <w:szCs w:val="24"/>
        </w:rPr>
        <w:t>го проживания. Все жертвы насилия в быту имеют право на бесплатную псих</w:t>
      </w:r>
      <w:r>
        <w:rPr>
          <w:szCs w:val="24"/>
        </w:rPr>
        <w:t>о</w:t>
      </w:r>
      <w:r>
        <w:rPr>
          <w:szCs w:val="24"/>
        </w:rPr>
        <w:t>логическую и правовую помощь во время уголовного судопроизводства. Были также расширены права жертв на получение информации, на уважительное о</w:t>
      </w:r>
      <w:r>
        <w:rPr>
          <w:szCs w:val="24"/>
        </w:rPr>
        <w:t>б</w:t>
      </w:r>
      <w:r>
        <w:rPr>
          <w:szCs w:val="24"/>
        </w:rPr>
        <w:t>ращение и на участие в судопроизводстве. Во всех провинциях имеются пр</w:t>
      </w:r>
      <w:r>
        <w:rPr>
          <w:szCs w:val="24"/>
        </w:rPr>
        <w:t>и</w:t>
      </w:r>
      <w:r>
        <w:rPr>
          <w:szCs w:val="24"/>
        </w:rPr>
        <w:t>юты, которые оказывают активную помощь пострадавшим от насилия лицам после выдачи полицией приказов о выселении. В 2008 году приказы о высел</w:t>
      </w:r>
      <w:r>
        <w:rPr>
          <w:szCs w:val="24"/>
        </w:rPr>
        <w:t>е</w:t>
      </w:r>
      <w:r>
        <w:rPr>
          <w:szCs w:val="24"/>
        </w:rPr>
        <w:t>нии п</w:t>
      </w:r>
      <w:r>
        <w:rPr>
          <w:szCs w:val="24"/>
        </w:rPr>
        <w:t>о</w:t>
      </w:r>
      <w:r>
        <w:rPr>
          <w:szCs w:val="24"/>
        </w:rPr>
        <w:t>лучили приблизительно 6 600 лиц.</w:t>
      </w:r>
    </w:p>
    <w:p w:rsidR="00B464A7" w:rsidRDefault="00B464A7" w:rsidP="00B464A7">
      <w:pPr>
        <w:pStyle w:val="SingleTxtGR"/>
        <w:rPr>
          <w:szCs w:val="24"/>
        </w:rPr>
      </w:pPr>
      <w:r>
        <w:rPr>
          <w:szCs w:val="24"/>
        </w:rPr>
        <w:t>20.</w:t>
      </w:r>
      <w:r>
        <w:rPr>
          <w:szCs w:val="24"/>
        </w:rPr>
        <w:tab/>
        <w:t>Двумя основными нормативными актами для борьбы с расизмом являю</w:t>
      </w:r>
      <w:r>
        <w:rPr>
          <w:szCs w:val="24"/>
        </w:rPr>
        <w:t>т</w:t>
      </w:r>
      <w:r>
        <w:rPr>
          <w:szCs w:val="24"/>
        </w:rPr>
        <w:t>ся Закон о запрещении национал-социализма и статья 283 Уголовного кодекса (подстрекательство к ненависти). Первый запрещает различные виды деятел</w:t>
      </w:r>
      <w:r>
        <w:rPr>
          <w:szCs w:val="24"/>
        </w:rPr>
        <w:t>ь</w:t>
      </w:r>
      <w:r>
        <w:rPr>
          <w:szCs w:val="24"/>
        </w:rPr>
        <w:t>ности, инспирированные национал-социализмом. В частности, он запрещает национал-социалистические или неонацистские организации, а также подстр</w:t>
      </w:r>
      <w:r>
        <w:rPr>
          <w:szCs w:val="24"/>
        </w:rPr>
        <w:t>е</w:t>
      </w:r>
      <w:r>
        <w:rPr>
          <w:szCs w:val="24"/>
        </w:rPr>
        <w:t>кательство к неонацистской деятельности и прославление и восхваление н</w:t>
      </w:r>
      <w:r>
        <w:rPr>
          <w:szCs w:val="24"/>
        </w:rPr>
        <w:t>а</w:t>
      </w:r>
      <w:r>
        <w:rPr>
          <w:szCs w:val="24"/>
        </w:rPr>
        <w:t>ционал-социалистической идеологии. Он также запрещает публичное отриц</w:t>
      </w:r>
      <w:r>
        <w:rPr>
          <w:szCs w:val="24"/>
        </w:rPr>
        <w:t>а</w:t>
      </w:r>
      <w:r>
        <w:rPr>
          <w:szCs w:val="24"/>
        </w:rPr>
        <w:t>ние, одобрение или оправдание преступлений национал-социализма, включая холокост. Таким образом, он направлен не только против истор</w:t>
      </w:r>
      <w:r>
        <w:rPr>
          <w:szCs w:val="24"/>
        </w:rPr>
        <w:t>и</w:t>
      </w:r>
      <w:r>
        <w:rPr>
          <w:szCs w:val="24"/>
        </w:rPr>
        <w:t>ческих моделей нацистской идеологии, но и против неонацизма. В соответствии с этим Законом в 2005 году было вынесено 18 обвинительных приговоров, а в 2008 году − 32. Статья 283 Уголовного кодекса, запрещающая подстрекательство к актам вра</w:t>
      </w:r>
      <w:r>
        <w:rPr>
          <w:szCs w:val="24"/>
        </w:rPr>
        <w:t>ж</w:t>
      </w:r>
      <w:r>
        <w:rPr>
          <w:szCs w:val="24"/>
        </w:rPr>
        <w:t>ды, в настоящее время находится на стадии пересмотра с целью расширения рамок ее применения. Ожидается, что вследствие этого число обвинительных пригов</w:t>
      </w:r>
      <w:r>
        <w:rPr>
          <w:szCs w:val="24"/>
        </w:rPr>
        <w:t>о</w:t>
      </w:r>
      <w:r>
        <w:rPr>
          <w:szCs w:val="24"/>
        </w:rPr>
        <w:t>ров по этой статье возрастет.</w:t>
      </w:r>
    </w:p>
    <w:p w:rsidR="00B464A7" w:rsidRDefault="00B464A7" w:rsidP="00B464A7">
      <w:pPr>
        <w:pStyle w:val="SingleTxtGR"/>
        <w:rPr>
          <w:szCs w:val="24"/>
        </w:rPr>
      </w:pPr>
      <w:r>
        <w:rPr>
          <w:szCs w:val="24"/>
        </w:rPr>
        <w:t>21.</w:t>
      </w:r>
      <w:r>
        <w:rPr>
          <w:szCs w:val="24"/>
        </w:rPr>
        <w:tab/>
        <w:t>Правительство его страны обеспечивает строгое соблюдение своего зак</w:t>
      </w:r>
      <w:r>
        <w:rPr>
          <w:szCs w:val="24"/>
        </w:rPr>
        <w:t>о</w:t>
      </w:r>
      <w:r>
        <w:rPr>
          <w:szCs w:val="24"/>
        </w:rPr>
        <w:t>нодательства, касающегося преступлений на почве ненависти. Министерство юстиции предлагало крупные вознаграждения за поимку беглых нацистских преступников Алоиса Бруннера и Ариберта Хейма. Кроме того, санкции пр</w:t>
      </w:r>
      <w:r>
        <w:rPr>
          <w:szCs w:val="24"/>
        </w:rPr>
        <w:t>и</w:t>
      </w:r>
      <w:r>
        <w:rPr>
          <w:szCs w:val="24"/>
        </w:rPr>
        <w:t>меняются и в политической сфере. Сюзанн Винтер, член Австрийской партии свободы, была признана виновной по обвинениям в подстрекательстве к нен</w:t>
      </w:r>
      <w:r>
        <w:rPr>
          <w:szCs w:val="24"/>
        </w:rPr>
        <w:t>а</w:t>
      </w:r>
      <w:r>
        <w:rPr>
          <w:szCs w:val="24"/>
        </w:rPr>
        <w:t>висти и осквернении религиозных символов.</w:t>
      </w:r>
    </w:p>
    <w:p w:rsidR="00B464A7" w:rsidRDefault="00B464A7" w:rsidP="00B464A7">
      <w:pPr>
        <w:pStyle w:val="SingleTxtGR"/>
        <w:rPr>
          <w:szCs w:val="24"/>
        </w:rPr>
      </w:pPr>
      <w:r>
        <w:rPr>
          <w:szCs w:val="24"/>
        </w:rPr>
        <w:t>22.</w:t>
      </w:r>
      <w:r>
        <w:rPr>
          <w:szCs w:val="24"/>
        </w:rPr>
        <w:tab/>
        <w:t>Правительство приветствует и высоко оценивает усилия Центра Симона Визентала по поощрению памяти о жертвах холокоста. Вместе с тем оно исп</w:t>
      </w:r>
      <w:r>
        <w:rPr>
          <w:szCs w:val="24"/>
        </w:rPr>
        <w:t>ы</w:t>
      </w:r>
      <w:r>
        <w:rPr>
          <w:szCs w:val="24"/>
        </w:rPr>
        <w:t>тывает разочар</w:t>
      </w:r>
      <w:r>
        <w:rPr>
          <w:szCs w:val="24"/>
        </w:rPr>
        <w:t>о</w:t>
      </w:r>
      <w:r>
        <w:rPr>
          <w:szCs w:val="24"/>
        </w:rPr>
        <w:t>вания по поводу необоснованных утверждений в докладах, публикуемых Центром, где утверждается, что Австрия прилагает недостато</w:t>
      </w:r>
      <w:r>
        <w:rPr>
          <w:szCs w:val="24"/>
        </w:rPr>
        <w:t>ч</w:t>
      </w:r>
      <w:r>
        <w:rPr>
          <w:szCs w:val="24"/>
        </w:rPr>
        <w:t>ные усилия для преследования бывших нацистских коллаборационистов и пр</w:t>
      </w:r>
      <w:r>
        <w:rPr>
          <w:szCs w:val="24"/>
        </w:rPr>
        <w:t>е</w:t>
      </w:r>
      <w:r>
        <w:rPr>
          <w:szCs w:val="24"/>
        </w:rPr>
        <w:t>ступников. На самом деле, в период с 1945 год</w:t>
      </w:r>
      <w:r w:rsidR="00C505D1">
        <w:rPr>
          <w:szCs w:val="24"/>
        </w:rPr>
        <w:t>а</w:t>
      </w:r>
      <w:r>
        <w:rPr>
          <w:szCs w:val="24"/>
        </w:rPr>
        <w:t xml:space="preserve"> по 1955 год были осуждены</w:t>
      </w:r>
      <w:r>
        <w:rPr>
          <w:szCs w:val="24"/>
        </w:rPr>
        <w:br/>
        <w:t>2 000 человек, из которых 341 получили длительные сроки тюремного заключ</w:t>
      </w:r>
      <w:r>
        <w:rPr>
          <w:szCs w:val="24"/>
        </w:rPr>
        <w:t>е</w:t>
      </w:r>
      <w:r>
        <w:rPr>
          <w:szCs w:val="24"/>
        </w:rPr>
        <w:t>ния, а 43 − приговорены к смертной казни. Кроме того, политическая воля к преслед</w:t>
      </w:r>
      <w:r>
        <w:rPr>
          <w:szCs w:val="24"/>
        </w:rPr>
        <w:t>о</w:t>
      </w:r>
      <w:r>
        <w:rPr>
          <w:szCs w:val="24"/>
        </w:rPr>
        <w:t>ванию нацистских преступников по-прежнему сохраняется.</w:t>
      </w:r>
    </w:p>
    <w:p w:rsidR="00B464A7" w:rsidRPr="001445DC" w:rsidRDefault="00B464A7" w:rsidP="00B464A7">
      <w:pPr>
        <w:pStyle w:val="SingleTxtGR"/>
        <w:rPr>
          <w:szCs w:val="24"/>
        </w:rPr>
      </w:pPr>
      <w:r>
        <w:rPr>
          <w:szCs w:val="24"/>
        </w:rPr>
        <w:t>23.</w:t>
      </w:r>
      <w:r>
        <w:rPr>
          <w:szCs w:val="24"/>
        </w:rPr>
        <w:tab/>
        <w:t>В отношении заданных вопросов на тему выдачи, выступающий говорит, что запрос о выдаче, полученный от государства, где имеют место преследов</w:t>
      </w:r>
      <w:r>
        <w:rPr>
          <w:szCs w:val="24"/>
        </w:rPr>
        <w:t>а</w:t>
      </w:r>
      <w:r>
        <w:rPr>
          <w:szCs w:val="24"/>
        </w:rPr>
        <w:t>ния, является неприемлемым в соответствии с положениями статьи 33 Закона о выдаче и взаимной правовой помощи, согласно которой такой запрос должен быть рассмотрен независимым судом, в частности на предмет наличия препя</w:t>
      </w:r>
      <w:r>
        <w:rPr>
          <w:szCs w:val="24"/>
        </w:rPr>
        <w:t>т</w:t>
      </w:r>
      <w:r>
        <w:rPr>
          <w:szCs w:val="24"/>
        </w:rPr>
        <w:t>ствий для выдачи по нормам ме</w:t>
      </w:r>
      <w:r>
        <w:rPr>
          <w:szCs w:val="24"/>
        </w:rPr>
        <w:t>ж</w:t>
      </w:r>
      <w:r>
        <w:rPr>
          <w:szCs w:val="24"/>
        </w:rPr>
        <w:t>дународного права, таким как Европейская конвенция о правах человека и Конвенция Организации Объединенных Наций против пыток. Выдача будет признана неприемлемой компетентным судом, е</w:t>
      </w:r>
      <w:r>
        <w:rPr>
          <w:szCs w:val="24"/>
        </w:rPr>
        <w:t>с</w:t>
      </w:r>
      <w:r>
        <w:rPr>
          <w:szCs w:val="24"/>
        </w:rPr>
        <w:t>ли в запрашивающем государстве подлежащему выдачи лицу будет угрожать опасность преследования на основании его национального происхождения, р</w:t>
      </w:r>
      <w:r>
        <w:rPr>
          <w:szCs w:val="24"/>
        </w:rPr>
        <w:t>а</w:t>
      </w:r>
      <w:r>
        <w:rPr>
          <w:szCs w:val="24"/>
        </w:rPr>
        <w:t>сы, религии, этнической принадлежности, социального статуса, гражданства или политических взглядов.</w:t>
      </w:r>
    </w:p>
    <w:p w:rsidR="00C505D1" w:rsidRDefault="00C505D1" w:rsidP="00C505D1">
      <w:pPr>
        <w:pStyle w:val="SingleTxtGR"/>
      </w:pPr>
      <w:r>
        <w:t>24.</w:t>
      </w:r>
      <w:r>
        <w:tab/>
        <w:t>Принцип взаимности применяется в том случае, если отсутствует согл</w:t>
      </w:r>
      <w:r>
        <w:t>а</w:t>
      </w:r>
      <w:r>
        <w:t>шение с запрашивающим государством. В этой ситуации вопрос о выдаче реш</w:t>
      </w:r>
      <w:r>
        <w:t>а</w:t>
      </w:r>
      <w:r>
        <w:t>ется в каждом отдельном случае в соответствии с положениями Закона о выдаче и взаимной правовой помощи, а также на основе взаимности.</w:t>
      </w:r>
    </w:p>
    <w:p w:rsidR="00C505D1" w:rsidRDefault="00C505D1" w:rsidP="00C505D1">
      <w:pPr>
        <w:pStyle w:val="SingleTxtGR"/>
      </w:pPr>
      <w:r>
        <w:t>25.</w:t>
      </w:r>
      <w:r>
        <w:tab/>
        <w:t>Комитет интересовался, каким образом Австрия может обеспечивать, чтобы высылаемое лицо не направлялось в третью страну, где ему будет угр</w:t>
      </w:r>
      <w:r>
        <w:t>о</w:t>
      </w:r>
      <w:r>
        <w:t>жать опасность подвергнуться пыткам. В данной ситуации применяется при</w:t>
      </w:r>
      <w:r>
        <w:t>н</w:t>
      </w:r>
      <w:r>
        <w:t>цип "конкретности", который означает, что какое-либо лицо подлежит пресл</w:t>
      </w:r>
      <w:r>
        <w:t>е</w:t>
      </w:r>
      <w:r>
        <w:t>дованию только за те преступления, которые являются основанием для запроса о выдаче. Такое лицо не может подвергаться преследованиям за другие прест</w:t>
      </w:r>
      <w:r>
        <w:t>у</w:t>
      </w:r>
      <w:r>
        <w:t>пления или передаваться другому государству без предварительного согласия австрийских властей. Имелись случаи, когда данный при</w:t>
      </w:r>
      <w:r>
        <w:t>н</w:t>
      </w:r>
      <w:r>
        <w:t>цип не соблюдался в отношении преследования за те же преступления в запрашивающем государс</w:t>
      </w:r>
      <w:r>
        <w:t>т</w:t>
      </w:r>
      <w:r>
        <w:t>ве, однако не было ни одного случая, когда какое-либо лицо передавалось др</w:t>
      </w:r>
      <w:r>
        <w:t>у</w:t>
      </w:r>
      <w:r>
        <w:t>гому государству без предварительного согласия.</w:t>
      </w:r>
    </w:p>
    <w:p w:rsidR="00C505D1" w:rsidRDefault="00C505D1" w:rsidP="00C505D1">
      <w:pPr>
        <w:pStyle w:val="SingleTxtGR"/>
      </w:pPr>
      <w:r>
        <w:t>26.</w:t>
      </w:r>
      <w:r>
        <w:tab/>
        <w:t>В ряде случаев в экстрадиции отказывали по причине опасности пыток или жестокого обращения в запрашивающем государстве. Такие случаи вкл</w:t>
      </w:r>
      <w:r>
        <w:t>ю</w:t>
      </w:r>
      <w:r>
        <w:t>чали в себя запросы об экстрадиции, поступавшие от Российской Федерации, Узбекистана, Беларуси, К</w:t>
      </w:r>
      <w:r>
        <w:t>а</w:t>
      </w:r>
      <w:r>
        <w:t>захстана и Бразилии.</w:t>
      </w:r>
    </w:p>
    <w:p w:rsidR="00C505D1" w:rsidRDefault="00C505D1" w:rsidP="00C505D1">
      <w:pPr>
        <w:pStyle w:val="SingleTxtGR"/>
      </w:pPr>
      <w:r>
        <w:t>27.</w:t>
      </w:r>
      <w:r>
        <w:tab/>
        <w:t>Отвечая на вопрос о койках, огороженных металлическими прутьями или сетками, выступающий говорит, что их использование было запрещено в тюр</w:t>
      </w:r>
      <w:r>
        <w:t>ь</w:t>
      </w:r>
      <w:r>
        <w:t>мах, однако частично они по-прежнему используются в психиатрических учр</w:t>
      </w:r>
      <w:r>
        <w:t>е</w:t>
      </w:r>
      <w:r>
        <w:t>ждениях. Вместе с тем они могут использоваться лишь в качестве крайней м</w:t>
      </w:r>
      <w:r>
        <w:t>е</w:t>
      </w:r>
      <w:r>
        <w:t>ры и любое решение относительно их использования подлежит судебному п</w:t>
      </w:r>
      <w:r>
        <w:t>е</w:t>
      </w:r>
      <w:r>
        <w:t>ресмотру. Существует весьма высокая вероятность того, что в ближайшем б</w:t>
      </w:r>
      <w:r>
        <w:t>у</w:t>
      </w:r>
      <w:r>
        <w:t>дущем эта практика будет пр</w:t>
      </w:r>
      <w:r>
        <w:t>е</w:t>
      </w:r>
      <w:r>
        <w:t>кращена.</w:t>
      </w:r>
    </w:p>
    <w:p w:rsidR="00C505D1" w:rsidRDefault="00C505D1" w:rsidP="00C505D1">
      <w:pPr>
        <w:pStyle w:val="SingleTxtGR"/>
      </w:pPr>
      <w:r>
        <w:t>28.</w:t>
      </w:r>
      <w:r>
        <w:tab/>
        <w:t>Был задан вопрос в отношении добровольного характера подготовки представителей судебной системы. В соответствии с законом, судьи и прокур</w:t>
      </w:r>
      <w:r>
        <w:t>о</w:t>
      </w:r>
      <w:r>
        <w:t>ры обязаны участв</w:t>
      </w:r>
      <w:r>
        <w:t>о</w:t>
      </w:r>
      <w:r>
        <w:t>вать в курсах подготовки, и для этого также существуют косвенные стимулы, так как возможности для продвижения по службе зависят от завершения программ подготовки.</w:t>
      </w:r>
    </w:p>
    <w:p w:rsidR="00C505D1" w:rsidRDefault="00C505D1" w:rsidP="00C505D1">
      <w:pPr>
        <w:pStyle w:val="SingleTxtGR"/>
      </w:pPr>
      <w:r>
        <w:t>29.</w:t>
      </w:r>
      <w:r>
        <w:tab/>
      </w:r>
      <w:r>
        <w:rPr>
          <w:b/>
        </w:rPr>
        <w:t>Г-жа Кёк</w:t>
      </w:r>
      <w:r>
        <w:t xml:space="preserve"> (Австрия) говорит, что полностью предотвратить внутрит</w:t>
      </w:r>
      <w:r>
        <w:t>ю</w:t>
      </w:r>
      <w:r>
        <w:t>ремное н</w:t>
      </w:r>
      <w:r>
        <w:t>а</w:t>
      </w:r>
      <w:r>
        <w:t>силие в австрийских тюрьмах невозможно. Однако тюремные власти принимают меры к тому, чтобы таких случаев было как можно меньше. П</w:t>
      </w:r>
      <w:r>
        <w:t>о</w:t>
      </w:r>
      <w:r>
        <w:t>скольку в большинстве тюрем имеются резервные возможности, то, как прав</w:t>
      </w:r>
      <w:r>
        <w:t>и</w:t>
      </w:r>
      <w:r>
        <w:t>ло, особо буйные заключенные</w:t>
      </w:r>
      <w:r w:rsidRPr="00E47779">
        <w:t xml:space="preserve"> </w:t>
      </w:r>
      <w:r>
        <w:t>помещаются в индивидуальные камеры без н</w:t>
      </w:r>
      <w:r>
        <w:t>а</w:t>
      </w:r>
      <w:r>
        <w:t>личия посторонних. Если их размещают в совместные камеры, то принимаются меры по недопущению потенциальных проблем, например, за счет содержания заключенных определенной этнической принадлежности раздельно от других заключенных, с которыми у них могут возникнуть конфликты. Кроме того, н</w:t>
      </w:r>
      <w:r>
        <w:t>е</w:t>
      </w:r>
      <w:r>
        <w:t>обходимо обеспечить, чтобы заключенные не оставались запертыми в камерах на длительные сроки. В этой связи предпринимаются усилия по обеспечению того, чтобы время, проведенное заключенными за пределами их камер, соста</w:t>
      </w:r>
      <w:r>
        <w:t>в</w:t>
      </w:r>
      <w:r>
        <w:t>ляло более предусмотренного законом одного часа в день. В отношении общего уровня внутритюремного насилия наблюдается позитивная тенденция, при к</w:t>
      </w:r>
      <w:r>
        <w:t>о</w:t>
      </w:r>
      <w:r>
        <w:t>торой количество зарегистрированных случаев сократилось с 216 в 2008 году до 153 в 2009 году. Статистические данные о случаях сексуального нас</w:t>
      </w:r>
      <w:r>
        <w:t>и</w:t>
      </w:r>
      <w:r>
        <w:t>лия среди заключе</w:t>
      </w:r>
      <w:r>
        <w:t>н</w:t>
      </w:r>
      <w:r>
        <w:t>ных отсутствуют.</w:t>
      </w:r>
    </w:p>
    <w:p w:rsidR="00C505D1" w:rsidRDefault="00C505D1" w:rsidP="00C505D1">
      <w:pPr>
        <w:pStyle w:val="SingleTxtGR"/>
      </w:pPr>
      <w:r>
        <w:t>30.</w:t>
      </w:r>
      <w:r>
        <w:tab/>
        <w:t>Проблемы переполненности тюрем не существует. Количество заключе</w:t>
      </w:r>
      <w:r>
        <w:t>н</w:t>
      </w:r>
      <w:r>
        <w:t>ные остается стабильным на уровне приблизительно 8 500 человек и средний уровень заполненности тюрем составляет менее 100%. Центрами содержания под стражей с уровнями заполненности свыше 100% являются следственные изоляторы, такие как венская тюрьма Йозефштадт. Хотя в таких центрах ур</w:t>
      </w:r>
      <w:r>
        <w:t>о</w:t>
      </w:r>
      <w:r>
        <w:t>вень заполненности бывает весьма высоким, средняя продолжительность пр</w:t>
      </w:r>
      <w:r>
        <w:t>е</w:t>
      </w:r>
      <w:r>
        <w:t>бывания под стражей составляет только два месяца. В тех случаях, когда ур</w:t>
      </w:r>
      <w:r>
        <w:t>о</w:t>
      </w:r>
      <w:r>
        <w:t>вень переполненности является крайне высоким, заключенных перемещают в другие пенитенциарные учреждения с целью сокращения нагрузки. Планы строител</w:t>
      </w:r>
      <w:r>
        <w:t>ь</w:t>
      </w:r>
      <w:r>
        <w:t>ства новых пенитенциарных учреждений в Вене пришлось отложить по бю</w:t>
      </w:r>
      <w:r>
        <w:t>д</w:t>
      </w:r>
      <w:r>
        <w:t>жетным соображениям.</w:t>
      </w:r>
    </w:p>
    <w:p w:rsidR="00C505D1" w:rsidRDefault="00C505D1" w:rsidP="00C505D1">
      <w:pPr>
        <w:pStyle w:val="SingleTxtGR"/>
      </w:pPr>
      <w:r>
        <w:t>31.</w:t>
      </w:r>
      <w:r>
        <w:tab/>
        <w:t>Выступающая считает, что упомянутые Комитетом шесть случаев смерти заключенных вызвали определенное недопонимание. В этой связи она предст</w:t>
      </w:r>
      <w:r>
        <w:t>а</w:t>
      </w:r>
      <w:r>
        <w:t>вит подробные ответы, касающиеся данных случаев.</w:t>
      </w:r>
    </w:p>
    <w:p w:rsidR="00C505D1" w:rsidRDefault="00C505D1" w:rsidP="00C505D1">
      <w:pPr>
        <w:pStyle w:val="SingleTxtGR"/>
      </w:pPr>
      <w:r>
        <w:t>32.</w:t>
      </w:r>
      <w:r>
        <w:tab/>
        <w:t>Случай, при котором заключенный скончался, попав под поезд 5 февраля 2009 года, произошел после побега и явился актом самоубийства. Было зарег</w:t>
      </w:r>
      <w:r>
        <w:t>и</w:t>
      </w:r>
      <w:r>
        <w:t>стрировано два случая смерти в результате удушения. Первый из них имел м</w:t>
      </w:r>
      <w:r>
        <w:t>е</w:t>
      </w:r>
      <w:r>
        <w:t>сто в тюрьме Гарстена и произошел в результате самоубийства, а во втором случае заключенный захлебнулся рвотными массами. Что касается заключенн</w:t>
      </w:r>
      <w:r>
        <w:t>о</w:t>
      </w:r>
      <w:r>
        <w:t>го, который умер в результате выстрела в голову, то ранения были им получены во время ареста, и впоследствии он скончался, находясь под стражей в больн</w:t>
      </w:r>
      <w:r>
        <w:t>и</w:t>
      </w:r>
      <w:r>
        <w:t>це. Инцидент с утоплением в психиатрическом учреждении Геллерсдорфа пр</w:t>
      </w:r>
      <w:r>
        <w:t>о</w:t>
      </w:r>
      <w:r>
        <w:t>изошел с заключенным, который умер в ванной в результате нарушения кров</w:t>
      </w:r>
      <w:r>
        <w:t>о</w:t>
      </w:r>
      <w:r>
        <w:t>обращения. Наконец, инцидент, при котором женщина-заключенная выпала из окна, был актом самоубийства, совершенным беглой преступницей у себя дома.</w:t>
      </w:r>
    </w:p>
    <w:p w:rsidR="00C505D1" w:rsidRDefault="00C505D1" w:rsidP="00C505D1">
      <w:pPr>
        <w:pStyle w:val="SingleTxtGR"/>
      </w:pPr>
      <w:r>
        <w:t>33.</w:t>
      </w:r>
      <w:r>
        <w:tab/>
        <w:t>Принимаются меры для предотвращения самоубийств в тюрьмах. Закл</w:t>
      </w:r>
      <w:r>
        <w:t>ю</w:t>
      </w:r>
      <w:r>
        <w:t>ченных, склонных к самоубийству, не изолируют в одиночные камеры. Испол</w:t>
      </w:r>
      <w:r>
        <w:t>ь</w:t>
      </w:r>
      <w:r>
        <w:t>зуется также метод, известный под названием "модель слушателя", при котором пользующиеся доверием заключенные выполняют роль конфиденциальных с</w:t>
      </w:r>
      <w:r>
        <w:t>о</w:t>
      </w:r>
      <w:r>
        <w:t>беседников заключенных, у которых проявляется склонность к самоубийству. Все случаи смерти в тюрьмах подлежат обязательному прокурорскому рассл</w:t>
      </w:r>
      <w:r>
        <w:t>е</w:t>
      </w:r>
      <w:r>
        <w:t>дованию. По сегодняшний день ни одно должностное лицо и ни один закл</w:t>
      </w:r>
      <w:r>
        <w:t>ю</w:t>
      </w:r>
      <w:r>
        <w:t>ченный не были признаны виновными в связи с подобными смерт</w:t>
      </w:r>
      <w:r>
        <w:t>я</w:t>
      </w:r>
      <w:r>
        <w:t>ми.</w:t>
      </w:r>
    </w:p>
    <w:p w:rsidR="00C505D1" w:rsidRDefault="00C505D1" w:rsidP="00C505D1">
      <w:pPr>
        <w:pStyle w:val="SingleTxtGR"/>
      </w:pPr>
      <w:r>
        <w:t>34.</w:t>
      </w:r>
      <w:r>
        <w:tab/>
        <w:t>После инцидентов, связанных с применением тайзеров в Канаде и в др</w:t>
      </w:r>
      <w:r>
        <w:t>у</w:t>
      </w:r>
      <w:r>
        <w:t>гих странах, в феврале 2008 года Министерство юстиции приостановило их и</w:t>
      </w:r>
      <w:r>
        <w:t>с</w:t>
      </w:r>
      <w:r>
        <w:t>пользование в тюрьмах. Поскольку результаты заказанного впоследствии мин</w:t>
      </w:r>
      <w:r>
        <w:t>и</w:t>
      </w:r>
      <w:r>
        <w:t>стерством исследования показали, что применение тайзеров является безопа</w:t>
      </w:r>
      <w:r>
        <w:t>с</w:t>
      </w:r>
      <w:r>
        <w:t>ным, в июне 2009 года оно было возобновлено. Вместе с тем после возобновл</w:t>
      </w:r>
      <w:r>
        <w:t>е</w:t>
      </w:r>
      <w:r>
        <w:t>ния использования этого оружия оно ни разу не применялось, поскольку в пр</w:t>
      </w:r>
      <w:r>
        <w:t>е</w:t>
      </w:r>
      <w:r>
        <w:t>вентивных целях достаточной являлась одна лишь угроза его применения. По австрийскому законодательству тайзер может использоваться лишь при обсто</w:t>
      </w:r>
      <w:r>
        <w:t>я</w:t>
      </w:r>
      <w:r>
        <w:t>тельствах, оправдывающих применение смертоносного оружия. Среди сотру</w:t>
      </w:r>
      <w:r>
        <w:t>д</w:t>
      </w:r>
      <w:r>
        <w:t>ников правоохранительных органов проводились курсы интенсивной подгото</w:t>
      </w:r>
      <w:r>
        <w:t>в</w:t>
      </w:r>
      <w:r>
        <w:t>ки, а в пистолеты были вмонтированы видеокамеры для документального по</w:t>
      </w:r>
      <w:r>
        <w:t>д</w:t>
      </w:r>
      <w:r>
        <w:t>тверждения их использования. Организация "Международная амнистия" дала высокую оценку австри</w:t>
      </w:r>
      <w:r>
        <w:t>й</w:t>
      </w:r>
      <w:r>
        <w:t>ским нормативным положениям в этой связи.</w:t>
      </w:r>
    </w:p>
    <w:p w:rsidR="00C505D1" w:rsidRDefault="00C505D1" w:rsidP="00C505D1">
      <w:pPr>
        <w:pStyle w:val="SingleTxtGR"/>
      </w:pPr>
      <w:r>
        <w:t>35.</w:t>
      </w:r>
      <w:r>
        <w:tab/>
        <w:t>Что касается служебного продвижения женщин в рамках системы прав</w:t>
      </w:r>
      <w:r>
        <w:t>о</w:t>
      </w:r>
      <w:r>
        <w:t>судия, то было принято постановление, согласно которому женщины в целом и женщины из числа этнических меньшинств в частности должны пользоваться приоритетным положением при зачислении на службу в пенитенциарные учр</w:t>
      </w:r>
      <w:r>
        <w:t>е</w:t>
      </w:r>
      <w:r>
        <w:t>ждения. В настоящее время женщины составляют 10% среди тюремного перс</w:t>
      </w:r>
      <w:r>
        <w:t>о</w:t>
      </w:r>
      <w:r>
        <w:t>нала в целом и 20% среди персонала тюрем на руководящих и администрати</w:t>
      </w:r>
      <w:r>
        <w:t>в</w:t>
      </w:r>
      <w:r>
        <w:t>ных должностях. В женской тюрьме Шварцзау основную часть персонала с</w:t>
      </w:r>
      <w:r>
        <w:t>о</w:t>
      </w:r>
      <w:r>
        <w:t>ставляют женщины, и при этой тюрьме даже создан детский сад для детей с</w:t>
      </w:r>
      <w:r>
        <w:t>о</w:t>
      </w:r>
      <w:r>
        <w:t>трудников.</w:t>
      </w:r>
    </w:p>
    <w:p w:rsidR="00C505D1" w:rsidRDefault="00C505D1" w:rsidP="00C505D1">
      <w:pPr>
        <w:pStyle w:val="SingleTxtGR"/>
      </w:pPr>
      <w:r>
        <w:t>36.</w:t>
      </w:r>
      <w:r>
        <w:tab/>
      </w:r>
      <w:r>
        <w:rPr>
          <w:b/>
        </w:rPr>
        <w:t xml:space="preserve">Г-н Рушер </w:t>
      </w:r>
      <w:r>
        <w:t>(Австрия) говорит, что процедура предоставления убежища в Австрии осуществляется в соответствии с примерами наилучшей практики и строгими стандартами качества, рекомендованными УВКБ. Орган первой и</w:t>
      </w:r>
      <w:r>
        <w:t>н</w:t>
      </w:r>
      <w:r>
        <w:t>станции, Федеральное бюро по вопросам предоставления убежища, обладает обширной системой качественного контроля, в то время как орган второй и</w:t>
      </w:r>
      <w:r>
        <w:t>н</w:t>
      </w:r>
      <w:r>
        <w:t>станции, Суд по делам о предоставлении убежища, является, насколько ему и</w:t>
      </w:r>
      <w:r>
        <w:t>з</w:t>
      </w:r>
      <w:r>
        <w:t>вестно, первым судом такого рода в Европе, который был признан соответс</w:t>
      </w:r>
      <w:r>
        <w:t>т</w:t>
      </w:r>
      <w:r>
        <w:t>вующим международному стандарту ИСО 9 000. Для получения такого удост</w:t>
      </w:r>
      <w:r>
        <w:t>о</w:t>
      </w:r>
      <w:r>
        <w:t>верения суду потребовалось разработать весьма конкретные административные процедуры, а также выполнять и соблюдать их на практике.</w:t>
      </w:r>
    </w:p>
    <w:p w:rsidR="00C505D1" w:rsidRPr="00750FDD" w:rsidRDefault="00C505D1" w:rsidP="00C505D1">
      <w:pPr>
        <w:pStyle w:val="SingleTxtGR"/>
      </w:pPr>
      <w:r>
        <w:t>37.</w:t>
      </w:r>
      <w:r>
        <w:tab/>
        <w:t>Австрийские власти получают большое число ходатайств о предоставл</w:t>
      </w:r>
      <w:r>
        <w:t>е</w:t>
      </w:r>
      <w:r>
        <w:t>нии убежища от несопровождаемых несовершеннолетних. В 2008 году они с</w:t>
      </w:r>
      <w:r>
        <w:t>о</w:t>
      </w:r>
      <w:r>
        <w:t>ставили 706 из 12 841 заявления. В тот же год на основании Дублинского пол</w:t>
      </w:r>
      <w:r>
        <w:t>о</w:t>
      </w:r>
      <w:r>
        <w:t xml:space="preserve">жения </w:t>
      </w:r>
      <w:r>
        <w:rPr>
          <w:lang w:val="en-US"/>
        </w:rPr>
        <w:t>II</w:t>
      </w:r>
      <w:r>
        <w:t xml:space="preserve"> было установлено, что Австрия не является компетентным государс</w:t>
      </w:r>
      <w:r>
        <w:t>т</w:t>
      </w:r>
      <w:r>
        <w:t>вом в 1 264 случаях. Для распространения среди членов Комитета имеются и</w:t>
      </w:r>
      <w:r>
        <w:t>н</w:t>
      </w:r>
      <w:r>
        <w:t>формационные материалы с соответствующими данными за 2009 год и пе</w:t>
      </w:r>
      <w:r>
        <w:t>р</w:t>
      </w:r>
      <w:r>
        <w:t>вый квартал 2010 года, а также копии справочной информации, распространяемой среди просителей убежища по получении их ходатайств. Австрийские власти предлагают эту информацию на всех языках Организации Объединенных Н</w:t>
      </w:r>
      <w:r>
        <w:t>а</w:t>
      </w:r>
      <w:r>
        <w:t>ций, а также на любых других языках по мере возникновения такой необход</w:t>
      </w:r>
      <w:r>
        <w:t>и</w:t>
      </w:r>
      <w:r>
        <w:t>мости.</w:t>
      </w:r>
    </w:p>
    <w:p w:rsidR="00DC7D05" w:rsidRDefault="00DC7D05" w:rsidP="00DC7D05">
      <w:pPr>
        <w:pStyle w:val="SingleTxtGR"/>
      </w:pPr>
      <w:r>
        <w:t>38.</w:t>
      </w:r>
      <w:r>
        <w:tab/>
        <w:t xml:space="preserve">После получения ходатайства о предоставлении убежища первым шагом, согласно Дублинскому положению </w:t>
      </w:r>
      <w:r>
        <w:rPr>
          <w:lang w:val="en-US"/>
        </w:rPr>
        <w:t>II</w:t>
      </w:r>
      <w:r w:rsidRPr="00430D30">
        <w:t xml:space="preserve">, </w:t>
      </w:r>
      <w:r>
        <w:t>является определение того, является ли Австрия государством, ответственным за изучение данного дела по существу. В тех случаях, когда Австрия признана ответственным государством, изучение начинается незамедлительно; в иных случаях устанавливается контакт с одним из других государств Дублинской системы и в случае необходимости произв</w:t>
      </w:r>
      <w:r>
        <w:t>о</w:t>
      </w:r>
      <w:r>
        <w:t xml:space="preserve">дится передача дела на его рассмотрение. На период рассмотрения ходатайств всем просителям убежища предоставляется доступ к базовой помощи, включая деньги на мелкие расходы, бесплатное питание и жилье. Власти проявляют особое внимание предоставлению адекватного ухода просителям убежища, имеющим особые потребности, таким как лица, прикованные к инвалидному креслу, или лица, страдающие конкретными нарушениями здоровья. </w:t>
      </w:r>
    </w:p>
    <w:p w:rsidR="00DC7D05" w:rsidRDefault="00DC7D05" w:rsidP="00DC7D05">
      <w:pPr>
        <w:pStyle w:val="SingleTxtGR"/>
      </w:pPr>
      <w:r>
        <w:t>39.</w:t>
      </w:r>
      <w:r>
        <w:tab/>
        <w:t>Выступающий сожалеет о том, что делегация не может предоставить К</w:t>
      </w:r>
      <w:r>
        <w:t>о</w:t>
      </w:r>
      <w:r>
        <w:t>митету запрошенные данные о числе случаев, в которых Суд по делам о пр</w:t>
      </w:r>
      <w:r>
        <w:t>е</w:t>
      </w:r>
      <w:r>
        <w:t>доставлении уб</w:t>
      </w:r>
      <w:r>
        <w:t>е</w:t>
      </w:r>
      <w:r>
        <w:t>жища отклонял ходатайства о приостанавливающем действии, поскольку сбор подо</w:t>
      </w:r>
      <w:r>
        <w:t>б</w:t>
      </w:r>
      <w:r>
        <w:t>ных статистических данных не осуществляется. Вместе с тем в тех случаях, когда ходатайства о предоставлении убежища отклоняются на том основании, что Австрия не я</w:t>
      </w:r>
      <w:r>
        <w:t>в</w:t>
      </w:r>
      <w:r>
        <w:t xml:space="preserve">ляется компетентным государством по Дублинскому положению </w:t>
      </w:r>
      <w:r>
        <w:rPr>
          <w:lang w:val="en-US"/>
        </w:rPr>
        <w:t>II</w:t>
      </w:r>
      <w:r>
        <w:t>, приостанавлива</w:t>
      </w:r>
      <w:r>
        <w:t>ю</w:t>
      </w:r>
      <w:r>
        <w:t>щее действие допускается только на короткий период времени, в течение которого заявитель находится в ожид</w:t>
      </w:r>
      <w:r>
        <w:t>а</w:t>
      </w:r>
      <w:r>
        <w:t>нии перемещения в компетентное государство. Однако в случае принятия р</w:t>
      </w:r>
      <w:r>
        <w:t>е</w:t>
      </w:r>
      <w:r>
        <w:t>шений по существу австрийское законодательство по предоставлению убежища предусматривает применение приостанавливающего действия на период ож</w:t>
      </w:r>
      <w:r>
        <w:t>и</w:t>
      </w:r>
      <w:r>
        <w:t xml:space="preserve">дания результатов обжалования и/или депортации. </w:t>
      </w:r>
    </w:p>
    <w:p w:rsidR="00DC7D05" w:rsidRDefault="00DC7D05" w:rsidP="00DC7D05">
      <w:pPr>
        <w:pStyle w:val="SingleTxtGR"/>
      </w:pPr>
      <w:r>
        <w:t>40.</w:t>
      </w:r>
      <w:r>
        <w:tab/>
        <w:t>В спорных случаях может оказаться необходимым точно установить во</w:t>
      </w:r>
      <w:r>
        <w:t>з</w:t>
      </w:r>
      <w:r>
        <w:t>раст заявителя до вынесения или осуществления решения по существу. Часто бывает трудно установить, что заявитель все еще является несовершенноле</w:t>
      </w:r>
      <w:r>
        <w:t>т</w:t>
      </w:r>
      <w:r>
        <w:t>ним, особенно учитывая тот факт, что одной из признанных причин задержки в достижении зрелости является недостаточное питание. Поэтому просители уб</w:t>
      </w:r>
      <w:r>
        <w:t>е</w:t>
      </w:r>
      <w:r>
        <w:t>жища неустановленного возраста проходят три стадии обследования, которые состоят из клинического обследования с последующей рентгенографией кистей рук и зубов. Затем рабочая группа в составе судебно-медицинских экспертов из Германии, Швейцарии и Австрии производят общую оценку на основе резул</w:t>
      </w:r>
      <w:r>
        <w:t>ь</w:t>
      </w:r>
      <w:r>
        <w:t>татов этих обследований, позволяющих весьма точно определить во</w:t>
      </w:r>
      <w:r>
        <w:t>з</w:t>
      </w:r>
      <w:r>
        <w:t xml:space="preserve">раст. </w:t>
      </w:r>
    </w:p>
    <w:p w:rsidR="00DC7D05" w:rsidRDefault="00DC7D05" w:rsidP="00DC7D05">
      <w:pPr>
        <w:pStyle w:val="SingleTxtGR"/>
      </w:pPr>
      <w:r>
        <w:t>41.</w:t>
      </w:r>
      <w:r>
        <w:tab/>
        <w:t>Просители убежища имеют доступ к широкому спектру различных услуг, включая медицинское обслуживание и в случае необходимости психологич</w:t>
      </w:r>
      <w:r>
        <w:t>е</w:t>
      </w:r>
      <w:r>
        <w:t>ское консультирование. Медицинские обследования проводятся в центрах ра</w:t>
      </w:r>
      <w:r>
        <w:t>з</w:t>
      </w:r>
      <w:r>
        <w:t>мещения, и просителям убежища, у которых диагностирован ВИЧ/СПИД, т</w:t>
      </w:r>
      <w:r>
        <w:t>у</w:t>
      </w:r>
      <w:r>
        <w:t>беркулез или другие заболевания, назначается соответствующее лечение. За</w:t>
      </w:r>
      <w:r>
        <w:t>я</w:t>
      </w:r>
      <w:r>
        <w:t>вителям, которые утверждают, что они являются жертвами пыток, может быть предложено пройти дополнительные обследования, включая в случаях утве</w:t>
      </w:r>
      <w:r>
        <w:t>р</w:t>
      </w:r>
      <w:r>
        <w:t>ждений об и</w:t>
      </w:r>
      <w:r>
        <w:t>з</w:t>
      </w:r>
      <w:r>
        <w:t>насиловании или сексуальном насилии, обследование их половых органов. В надлежащих случаях всегда привлекаются врачи-специалисты. Пр</w:t>
      </w:r>
      <w:r>
        <w:t>е</w:t>
      </w:r>
      <w:r>
        <w:t>доставляемые жертве сексуальных надругательств медицинские эксперты и п</w:t>
      </w:r>
      <w:r>
        <w:t>е</w:t>
      </w:r>
      <w:r>
        <w:t>реводчики должны в соответствии с законом быть того же пола, что и жертва, за исключ</w:t>
      </w:r>
      <w:r>
        <w:t>е</w:t>
      </w:r>
      <w:r>
        <w:t>нием тех случаев, когда у самих жертв имеются иные просьбы.</w:t>
      </w:r>
    </w:p>
    <w:p w:rsidR="00DC7D05" w:rsidRDefault="00DC7D05" w:rsidP="00DC7D05">
      <w:pPr>
        <w:pStyle w:val="SingleTxtGR"/>
      </w:pPr>
      <w:r>
        <w:t>42.</w:t>
      </w:r>
      <w:r>
        <w:tab/>
        <w:t>В отношении важнейшего вопроса о помещении под стражу на период ожидания депортации австрийское законодательство о предоставлении убеж</w:t>
      </w:r>
      <w:r>
        <w:t>и</w:t>
      </w:r>
      <w:r>
        <w:t>ща предусматривает, что заявители должны сотрудничать с органами власти в течение этого периода, н</w:t>
      </w:r>
      <w:r>
        <w:t>а</w:t>
      </w:r>
      <w:r>
        <w:t>пример, посещая назначенные встречи и предоставляя по просьбе органов власти соответствующие документы. К сожалению, опыт прошлого показывает, что меры, связанные с помещением под стражу, могут стать необходимыми, когда заявители не готовы к сотрудничеству. Тем не менее власти заверяют в том, что права задержанных лиц на надлежащую информ</w:t>
      </w:r>
      <w:r>
        <w:t>а</w:t>
      </w:r>
      <w:r>
        <w:t>цию и заботу продолжают соблюдаться, несмотря на их лишение свободы. Та</w:t>
      </w:r>
      <w:r>
        <w:t>к</w:t>
      </w:r>
      <w:r>
        <w:t>же эффективными остаются издаваемые перед депортацией приказы в отнош</w:t>
      </w:r>
      <w:r>
        <w:t>е</w:t>
      </w:r>
      <w:r>
        <w:t>нии просителей убежища, ходатайства которых были отклонены и которые в период ожидания высылки покидают Австрию.</w:t>
      </w:r>
    </w:p>
    <w:p w:rsidR="00DC7D05" w:rsidRDefault="00DC7D05" w:rsidP="00DC7D05">
      <w:pPr>
        <w:pStyle w:val="SingleTxtGR"/>
      </w:pPr>
      <w:r>
        <w:t>43.</w:t>
      </w:r>
      <w:r>
        <w:tab/>
        <w:t>Наконец, австрийское законодательство о предоставлении убежища пр</w:t>
      </w:r>
      <w:r>
        <w:t>е</w:t>
      </w:r>
      <w:r>
        <w:t>дусматривает присутствие независимого консультанта по юридическим вопр</w:t>
      </w:r>
      <w:r>
        <w:t>о</w:t>
      </w:r>
      <w:r>
        <w:t>сам на всех стадиях процедуры решения вопроса о предоставлении убежища, если она касается несопровождаемых несовершеннолетних, а также предоста</w:t>
      </w:r>
      <w:r>
        <w:t>в</w:t>
      </w:r>
      <w:r>
        <w:t>ления юридической помощи всем совершеннолетним заявителям. Кроме того, в отношении заявителей, передаваемых другому государству, подписавшему Ду</w:t>
      </w:r>
      <w:r>
        <w:t>б</w:t>
      </w:r>
      <w:r>
        <w:t xml:space="preserve">линское положение </w:t>
      </w:r>
      <w:r>
        <w:rPr>
          <w:lang w:val="en-US"/>
        </w:rPr>
        <w:t>II</w:t>
      </w:r>
      <w:r>
        <w:t>, следует отметить, что Австрия является участницей Ко</w:t>
      </w:r>
      <w:r>
        <w:t>н</w:t>
      </w:r>
      <w:r>
        <w:t xml:space="preserve">венции Совета Европы о недопущении безгражданства. </w:t>
      </w:r>
    </w:p>
    <w:p w:rsidR="00DC7D05" w:rsidRDefault="00DC7D05" w:rsidP="00DC7D05">
      <w:pPr>
        <w:pStyle w:val="SingleTxtGR"/>
      </w:pPr>
      <w:r>
        <w:t>44.</w:t>
      </w:r>
      <w:r>
        <w:tab/>
      </w:r>
      <w:r>
        <w:rPr>
          <w:b/>
        </w:rPr>
        <w:t>Г-жа Споррер</w:t>
      </w:r>
      <w:r>
        <w:t xml:space="preserve"> (Австрия), ссылаясь на специфическую роль конституц</w:t>
      </w:r>
      <w:r>
        <w:t>и</w:t>
      </w:r>
      <w:r>
        <w:t>онного права в австрийской процедуре предоставления убежища, напоминает содержащуюся в докладе информацию о том, что существует три уровня юри</w:t>
      </w:r>
      <w:r>
        <w:t>с</w:t>
      </w:r>
      <w:r>
        <w:t>дикции в отношении связанных с предоставлением убежища дел: Федеральное бюро по вопросам предоставления убежища, Суд по делам о предоставлении убежища и Конституционный суд, в который можно обращаться с апелляциями в тех случаях, когда имеются основания полагать, что права просителей уб</w:t>
      </w:r>
      <w:r>
        <w:t>е</w:t>
      </w:r>
      <w:r>
        <w:t>жища были нарушены в процессе применения законодательства. В Австрии иностранным гражданам гарантировано равное обращение на основании Ко</w:t>
      </w:r>
      <w:r>
        <w:t>н</w:t>
      </w:r>
      <w:r>
        <w:t>ституционного акта об осуществлении Международной конвенции о ликвид</w:t>
      </w:r>
      <w:r>
        <w:t>а</w:t>
      </w:r>
      <w:r>
        <w:t>ции всех форм расовой дискриминации; таким образом, просители убежища могут ссылаться на конкретное право в качестве основания для обжалования отклоненного ходатайства. В случае успешного обжалования Конституционный суд отменяет неправомерное решение и либо вновь направляет дело в ниж</w:t>
      </w:r>
      <w:r>
        <w:t>е</w:t>
      </w:r>
      <w:r>
        <w:t>стоящую инстанцию для повторного рассмотрения, либо непосредственно пр</w:t>
      </w:r>
      <w:r>
        <w:t>е</w:t>
      </w:r>
      <w:r>
        <w:t>доставляет право на убежище. Для обоснования своего заявления просители убежища имеют также возможность сослаться на любые из прав, провозгл</w:t>
      </w:r>
      <w:r>
        <w:t>а</w:t>
      </w:r>
      <w:r>
        <w:t>шенных в Европейской конвенции о правах человека и в Протоколах к ней − в частности на статью 8 Конвенции о праве на уважение семейной жизни, учит</w:t>
      </w:r>
      <w:r>
        <w:t>ы</w:t>
      </w:r>
      <w:r>
        <w:t>вая важность семейных соображений при рассмотрении дел об убежище, − п</w:t>
      </w:r>
      <w:r>
        <w:t>о</w:t>
      </w:r>
      <w:r>
        <w:t>скольку в Австрии эти документы также приравниваются к конституционным положениям.</w:t>
      </w:r>
    </w:p>
    <w:p w:rsidR="00DC7D05" w:rsidRDefault="00DC7D05" w:rsidP="00DC7D05">
      <w:pPr>
        <w:pStyle w:val="SingleTxtGR"/>
      </w:pPr>
      <w:r>
        <w:t>45.</w:t>
      </w:r>
      <w:r>
        <w:tab/>
        <w:t>Права, провозглашенные в Конвенции Организации Объединенных Н</w:t>
      </w:r>
      <w:r>
        <w:t>а</w:t>
      </w:r>
      <w:r>
        <w:t>ций о ликвидации всех форм дискриминации в отношении женщин, также у</w:t>
      </w:r>
      <w:r>
        <w:t>с</w:t>
      </w:r>
      <w:r>
        <w:t>пешно приводятся в поддержку ходатайств о предоставлении убежища на осн</w:t>
      </w:r>
      <w:r>
        <w:t>о</w:t>
      </w:r>
      <w:r>
        <w:t>вании гендерной специфики. Приблизительно 15 ходатайств в Суд по рассмо</w:t>
      </w:r>
      <w:r>
        <w:t>т</w:t>
      </w:r>
      <w:r>
        <w:t>рению дел о предоставлении убежища были удовлетворены в последние годы в отношении женщин, стремившихся избежать угрозы калечащих операций на женских половых органах (Африка), принудительных браков (Ирак и Афган</w:t>
      </w:r>
      <w:r>
        <w:t>и</w:t>
      </w:r>
      <w:r>
        <w:t>стан) и принуждения к проституции (Казахстан и Сербия). В одном особо инт</w:t>
      </w:r>
      <w:r>
        <w:t>е</w:t>
      </w:r>
      <w:r>
        <w:t>ресном из недавно рассмотренных дел афганской женщине было пр</w:t>
      </w:r>
      <w:r>
        <w:t>е</w:t>
      </w:r>
      <w:r>
        <w:t>доставлено убежище на том основании, что, поскольку она живет одна и ведет западный образ жизни, она подвергнется угрозам с точки зрения ее безопасности и физ</w:t>
      </w:r>
      <w:r>
        <w:t>и</w:t>
      </w:r>
      <w:r>
        <w:t>ческой неприкосновенности, включая изнасилование и ограничения на ее св</w:t>
      </w:r>
      <w:r>
        <w:t>о</w:t>
      </w:r>
      <w:r>
        <w:t>боду передвижения, если ее заставят возвратиться, и что в правовой системе Афганистана не предусмотрено эффективной защиты от подобных угроз и о</w:t>
      </w:r>
      <w:r>
        <w:t>г</w:t>
      </w:r>
      <w:r>
        <w:t>раничений.</w:t>
      </w:r>
    </w:p>
    <w:p w:rsidR="00DC7D05" w:rsidRDefault="00DC7D05" w:rsidP="00DC7D05">
      <w:pPr>
        <w:pStyle w:val="SingleTxtGR"/>
      </w:pPr>
      <w:r>
        <w:t>46.</w:t>
      </w:r>
      <w:r>
        <w:tab/>
        <w:t>В другом из недавних случаев, показывающих важную роль Конституц</w:t>
      </w:r>
      <w:r>
        <w:t>и</w:t>
      </w:r>
      <w:r>
        <w:t>онного суда в делах о предоставлении убежища, одной камерунской женщине, которая, предположительно, подверглась изнасилованию и сексуальному дом</w:t>
      </w:r>
      <w:r>
        <w:t>о</w:t>
      </w:r>
      <w:r>
        <w:t>гательству со стороны сотрудников правоохранительных органов после уч</w:t>
      </w:r>
      <w:r>
        <w:t>а</w:t>
      </w:r>
      <w:r>
        <w:t>стия в профсоюзной демонстрации, было первоначально отказано в убежище Судом по рассмотрению дел о предоставлении убежища. Однако 27 апреля 2010 года Конституционный суд отменил это решение, постановив, что Судом по ра</w:t>
      </w:r>
      <w:r>
        <w:t>с</w:t>
      </w:r>
      <w:r>
        <w:t>смотрению о предоставлении убежища не были надлежащим образом изучены дальнейшие угрозы, которым она может подвергнуться в случае своего возвр</w:t>
      </w:r>
      <w:r>
        <w:t>а</w:t>
      </w:r>
      <w:r>
        <w:t>щения, и отослал дело на пересмотр с конкретным указанием о том, что права должны с</w:t>
      </w:r>
      <w:r>
        <w:t>о</w:t>
      </w:r>
      <w:r>
        <w:t>блюдаться.</w:t>
      </w:r>
    </w:p>
    <w:p w:rsidR="00DC7D05" w:rsidRDefault="00DC7D05" w:rsidP="00DC7D05">
      <w:pPr>
        <w:pStyle w:val="SingleTxtGR"/>
      </w:pPr>
      <w:r>
        <w:t>47.</w:t>
      </w:r>
      <w:r>
        <w:tab/>
        <w:t>Наконец, в отношении проводимой в Австрии подготовки к ратификации Факультативного протокола к Конвенции против пыток выступающая напом</w:t>
      </w:r>
      <w:r>
        <w:t>и</w:t>
      </w:r>
      <w:r>
        <w:t>нает, что ее стр</w:t>
      </w:r>
      <w:r>
        <w:t>а</w:t>
      </w:r>
      <w:r>
        <w:t>на подписала Протокол в 2003 году. После серии конференций и консультаций с заинтересованными сторонами нынешнее коалиционное пр</w:t>
      </w:r>
      <w:r>
        <w:t>а</w:t>
      </w:r>
      <w:r>
        <w:t>вительство постановило учредить национальный превентивный механизм, уполномочить Совет омбудсмена осуществлять функцию контроля и вкл</w:t>
      </w:r>
      <w:r>
        <w:t>ю</w:t>
      </w:r>
      <w:r>
        <w:t>чить новую структуру в существующий Консультативный совет по правам ч</w:t>
      </w:r>
      <w:r>
        <w:t>е</w:t>
      </w:r>
      <w:r>
        <w:t>ловека и его комиссии. Ожидается, что в течение недели будет завершен первый зак</w:t>
      </w:r>
      <w:r>
        <w:t>о</w:t>
      </w:r>
      <w:r>
        <w:t>нодательный проект, который затем будет открыт для проведения консультаций со всеми заинтересованными сторонами, включая правозащитные учреждения, академические круги и НПО. Можно надеется, что законопроект будет пре</w:t>
      </w:r>
      <w:r>
        <w:t>д</w:t>
      </w:r>
      <w:r>
        <w:t>ставлен парламенту до конца текущего года.</w:t>
      </w:r>
    </w:p>
    <w:p w:rsidR="00DC7D05" w:rsidRDefault="00DC7D05" w:rsidP="00DC7D05">
      <w:pPr>
        <w:pStyle w:val="SingleTxtGR"/>
      </w:pPr>
      <w:r>
        <w:t>48.</w:t>
      </w:r>
      <w:r>
        <w:tab/>
      </w:r>
      <w:r>
        <w:rPr>
          <w:b/>
        </w:rPr>
        <w:t>Г-н Гальегос Чирибога</w:t>
      </w:r>
      <w:r>
        <w:t>, первый Докладчик по стране, отмечает, что время, отведенное на проведение консультаций с государствами-участниками, всегда крайне ограничено, из-за чего членам Комитета часто приходится зад</w:t>
      </w:r>
      <w:r>
        <w:t>а</w:t>
      </w:r>
      <w:r>
        <w:t>вать свои вопросы, не имея возможности пояснить их причины или основания. Прежде всего он хотел бы обратиться с просьбой к государству-участнику и</w:t>
      </w:r>
      <w:r>
        <w:t>н</w:t>
      </w:r>
      <w:r>
        <w:t>формировать Комитет о новых законопроектах, подобных тем, о которых соо</w:t>
      </w:r>
      <w:r>
        <w:t>б</w:t>
      </w:r>
      <w:r>
        <w:t>щил предыдущий оратор. Важным фактором являе</w:t>
      </w:r>
      <w:r>
        <w:t>т</w:t>
      </w:r>
      <w:r>
        <w:t>ся не только окончательный результат, но также и соответствующая парламентская ди</w:t>
      </w:r>
      <w:r>
        <w:t>с</w:t>
      </w:r>
      <w:r>
        <w:t>куссия.</w:t>
      </w:r>
    </w:p>
    <w:p w:rsidR="00DC7D05" w:rsidRDefault="00DC7D05" w:rsidP="00DC7D05">
      <w:pPr>
        <w:pStyle w:val="SingleTxtGR"/>
      </w:pPr>
      <w:r>
        <w:t>49.</w:t>
      </w:r>
      <w:r>
        <w:tab/>
        <w:t>Один из важных вопросов, которые он затронул позавчера, касался нео</w:t>
      </w:r>
      <w:r>
        <w:t>б</w:t>
      </w:r>
      <w:r>
        <w:t>ходимости изменить отношение к таким проблемам, как расизм, ксенофобия, дискриминация и насилие. Эта задача стоит не перед правительствами, а перед обществами: необходимо добиться глубоких изменений в обычаях и нравах о</w:t>
      </w:r>
      <w:r>
        <w:t>б</w:t>
      </w:r>
      <w:r>
        <w:t>щества, с тем чтобы люди более не могли использовать эти проблемы для по</w:t>
      </w:r>
      <w:r>
        <w:t>д</w:t>
      </w:r>
      <w:r>
        <w:t>стрекательства к насилию, способному повлечь за собой жестокое и бесчел</w:t>
      </w:r>
      <w:r>
        <w:t>о</w:t>
      </w:r>
      <w:r>
        <w:t>вечное обращение и даже пытки. Например, он запрашивал информацию по д</w:t>
      </w:r>
      <w:r>
        <w:t>е</w:t>
      </w:r>
      <w:r>
        <w:t>лу Майка Б., афроамериканского преподавателя, который был избит полице</w:t>
      </w:r>
      <w:r>
        <w:t>й</w:t>
      </w:r>
      <w:r>
        <w:t>скими в штатском, поскольку был ошибочно принят за наркоторго</w:t>
      </w:r>
      <w:r>
        <w:t>в</w:t>
      </w:r>
      <w:r>
        <w:t>ца.</w:t>
      </w:r>
    </w:p>
    <w:p w:rsidR="00DC7D05" w:rsidRPr="003470B8" w:rsidRDefault="00DC7D05" w:rsidP="00DC7D05">
      <w:pPr>
        <w:pStyle w:val="SingleTxtGR"/>
      </w:pPr>
      <w:r w:rsidRPr="003470B8">
        <w:t>50.</w:t>
      </w:r>
      <w:r w:rsidRPr="003470B8">
        <w:tab/>
        <w:t>Третий момент, на котором он хотел бы остановиться, касается статист</w:t>
      </w:r>
      <w:r w:rsidRPr="003470B8">
        <w:t>и</w:t>
      </w:r>
      <w:r w:rsidRPr="003470B8">
        <w:t xml:space="preserve">ческих данных. Насколько известно делегации, все еще </w:t>
      </w:r>
      <w:r>
        <w:t xml:space="preserve">существует </w:t>
      </w:r>
      <w:r w:rsidRPr="003470B8">
        <w:t>необход</w:t>
      </w:r>
      <w:r w:rsidRPr="003470B8">
        <w:t>и</w:t>
      </w:r>
      <w:r w:rsidRPr="003470B8">
        <w:t>мо</w:t>
      </w:r>
      <w:r>
        <w:t>сть</w:t>
      </w:r>
      <w:r w:rsidRPr="003470B8">
        <w:t xml:space="preserve"> провести определенную работу по улучшению статистических данных. Например, тот факт, что статистические данные о сексуальном насилии в тюр</w:t>
      </w:r>
      <w:r w:rsidRPr="003470B8">
        <w:t>ь</w:t>
      </w:r>
      <w:r w:rsidRPr="003470B8">
        <w:t>мах отсутствуют, является серьезным упущением, показывающим необход</w:t>
      </w:r>
      <w:r w:rsidRPr="003470B8">
        <w:t>и</w:t>
      </w:r>
      <w:r w:rsidRPr="003470B8">
        <w:t>мость более строгого подхода к сбору данных. Важно также, чтобы статистич</w:t>
      </w:r>
      <w:r w:rsidRPr="003470B8">
        <w:t>е</w:t>
      </w:r>
      <w:r w:rsidRPr="003470B8">
        <w:t>ские данные были представлены в разбивке по полу, расе, религии и другим факторам, с тем чтобы обеспечить понимание ситуации, к которой они относя</w:t>
      </w:r>
      <w:r w:rsidRPr="003470B8">
        <w:t>т</w:t>
      </w:r>
      <w:r w:rsidRPr="003470B8">
        <w:t xml:space="preserve">ся. </w:t>
      </w:r>
    </w:p>
    <w:p w:rsidR="00DC7D05" w:rsidRPr="003470B8" w:rsidRDefault="00DC7D05" w:rsidP="00DC7D05">
      <w:pPr>
        <w:pStyle w:val="SingleTxtGR"/>
      </w:pPr>
      <w:r w:rsidRPr="003470B8">
        <w:t>51.</w:t>
      </w:r>
      <w:r w:rsidRPr="003470B8">
        <w:tab/>
        <w:t>Выступающий не считает, что он получил удовлетворительный ответ на свой вопрос о компенс</w:t>
      </w:r>
      <w:r w:rsidRPr="003470B8">
        <w:t>а</w:t>
      </w:r>
      <w:r w:rsidRPr="003470B8">
        <w:t>ции, и надеется, что эта информация будет получена до того, как Комитет приступит к составлению проекта своих заключительных з</w:t>
      </w:r>
      <w:r w:rsidRPr="003470B8">
        <w:t>а</w:t>
      </w:r>
      <w:r w:rsidRPr="003470B8">
        <w:t>мечаний.</w:t>
      </w:r>
    </w:p>
    <w:p w:rsidR="00DC7D05" w:rsidRPr="003470B8" w:rsidRDefault="00DC7D05" w:rsidP="00DC7D05">
      <w:pPr>
        <w:pStyle w:val="SingleTxtGR"/>
      </w:pPr>
      <w:r w:rsidRPr="003470B8">
        <w:t>52.</w:t>
      </w:r>
      <w:r w:rsidRPr="003470B8">
        <w:tab/>
        <w:t>Выступающий также надеется на получение более исчерпывающего отв</w:t>
      </w:r>
      <w:r w:rsidRPr="003470B8">
        <w:t>е</w:t>
      </w:r>
      <w:r w:rsidRPr="003470B8">
        <w:t>та на вопрос о том, какие усилия предпринимаются в Австрии, с тем чтобы с</w:t>
      </w:r>
      <w:r w:rsidRPr="003470B8">
        <w:t>о</w:t>
      </w:r>
      <w:r w:rsidRPr="003470B8">
        <w:t xml:space="preserve">став ее полицейских сил в большей степени </w:t>
      </w:r>
      <w:r>
        <w:t>отражал</w:t>
      </w:r>
      <w:r w:rsidRPr="003470B8">
        <w:t xml:space="preserve"> половую и этническую </w:t>
      </w:r>
      <w:r>
        <w:t>структуру</w:t>
      </w:r>
      <w:r w:rsidRPr="003470B8">
        <w:t xml:space="preserve"> населения Австрии в целом.</w:t>
      </w:r>
    </w:p>
    <w:p w:rsidR="00DC7D05" w:rsidRPr="003470B8" w:rsidRDefault="00DC7D05" w:rsidP="00DC7D05">
      <w:pPr>
        <w:pStyle w:val="SingleTxtGR"/>
      </w:pPr>
      <w:r w:rsidRPr="003470B8">
        <w:t>53.</w:t>
      </w:r>
      <w:r w:rsidRPr="003470B8">
        <w:tab/>
        <w:t xml:space="preserve">Выступающий считает, что с учетом Парижских принципов необходимо обеспечить, чтобы </w:t>
      </w:r>
      <w:r>
        <w:t>Совет</w:t>
      </w:r>
      <w:r w:rsidRPr="003470B8">
        <w:t xml:space="preserve"> омбудсмена являлс</w:t>
      </w:r>
      <w:r>
        <w:t>я</w:t>
      </w:r>
      <w:r w:rsidRPr="003470B8">
        <w:t xml:space="preserve"> полностью независимым мех</w:t>
      </w:r>
      <w:r w:rsidRPr="003470B8">
        <w:t>а</w:t>
      </w:r>
      <w:r w:rsidRPr="003470B8">
        <w:t>низмом при обеспечении всестороннего на</w:t>
      </w:r>
      <w:r w:rsidRPr="003470B8">
        <w:t>д</w:t>
      </w:r>
      <w:r w:rsidRPr="003470B8">
        <w:t>зора со стороны граждан.</w:t>
      </w:r>
    </w:p>
    <w:p w:rsidR="00DC7D05" w:rsidRPr="003470B8" w:rsidRDefault="00DC7D05" w:rsidP="00DC7D05">
      <w:pPr>
        <w:pStyle w:val="SingleTxtGR"/>
      </w:pPr>
      <w:r w:rsidRPr="003470B8">
        <w:t>54.</w:t>
      </w:r>
      <w:r w:rsidRPr="003470B8">
        <w:tab/>
      </w:r>
      <w:r w:rsidRPr="003470B8">
        <w:rPr>
          <w:b/>
        </w:rPr>
        <w:t>Председатель</w:t>
      </w:r>
      <w:r w:rsidRPr="003470B8">
        <w:t>, выступая в качестве второго Докладчика по стране, выр</w:t>
      </w:r>
      <w:r w:rsidRPr="003470B8">
        <w:t>а</w:t>
      </w:r>
      <w:r w:rsidRPr="003470B8">
        <w:t>жает свою обеспокоенность в том, что в некоторых сегментах австрийской си</w:t>
      </w:r>
      <w:r w:rsidRPr="003470B8">
        <w:t>с</w:t>
      </w:r>
      <w:r w:rsidRPr="003470B8">
        <w:t>темы правосудия присутствует идея о том, что адвокаты скорее мешают пр</w:t>
      </w:r>
      <w:r w:rsidRPr="003470B8">
        <w:t>о</w:t>
      </w:r>
      <w:r w:rsidRPr="003470B8">
        <w:t>цессу отправления правосудия, чем помогают ему. Идея о том, что они могут участвовать в искажении процесса правосудия, фальсификации доказательств и в тому подобных вещах, вызывает крайнюю озабоченность и противоречит профессиональным обязанностям адвокатов. Отстранение их от процесса пр</w:t>
      </w:r>
      <w:r w:rsidRPr="003470B8">
        <w:t>а</w:t>
      </w:r>
      <w:r w:rsidRPr="003470B8">
        <w:t>восудия, даже в ограниченных случаях, связано с опасностью возникновения злоупотреблений в этой системе. Ему хотелось бы получить более подробную информацию о видах дел, в которых государство-участник ограничивает уч</w:t>
      </w:r>
      <w:r w:rsidRPr="003470B8">
        <w:t>а</w:t>
      </w:r>
      <w:r w:rsidRPr="003470B8">
        <w:t>стие адвокатов.</w:t>
      </w:r>
    </w:p>
    <w:p w:rsidR="00DC7D05" w:rsidRPr="003470B8" w:rsidRDefault="00DC7D05" w:rsidP="00DC7D05">
      <w:pPr>
        <w:pStyle w:val="SingleTxtGR"/>
      </w:pPr>
      <w:r w:rsidRPr="003470B8">
        <w:t>55.</w:t>
      </w:r>
      <w:r w:rsidRPr="003470B8">
        <w:tab/>
        <w:t>Любые статистические данные будут приветствоваться и особенно да</w:t>
      </w:r>
      <w:r w:rsidRPr="003470B8">
        <w:t>н</w:t>
      </w:r>
      <w:r w:rsidRPr="003470B8">
        <w:t>ные о числе случаев, в которых подавались апелляции против ограничений на участие адвоката.</w:t>
      </w:r>
    </w:p>
    <w:p w:rsidR="00DC7D05" w:rsidRPr="003470B8" w:rsidRDefault="00DC7D05" w:rsidP="00DC7D05">
      <w:pPr>
        <w:pStyle w:val="SingleTxtGR"/>
      </w:pPr>
      <w:r w:rsidRPr="003470B8">
        <w:t>56.</w:t>
      </w:r>
      <w:r w:rsidRPr="003470B8">
        <w:tab/>
        <w:t>Выступающий хотел бы получить дополнительные разъяснения по делам Бакари Дж. и Шейбани В., в частности в отношении размеров выплаченной компенсации, а также в отношении того, имелись ли какие-либо разногласия по фактам в этих делах.</w:t>
      </w:r>
    </w:p>
    <w:p w:rsidR="00DC7D05" w:rsidRPr="003470B8" w:rsidRDefault="00DC7D05" w:rsidP="00DC7D05">
      <w:pPr>
        <w:pStyle w:val="SingleTxtGR"/>
      </w:pPr>
      <w:r w:rsidRPr="003470B8">
        <w:t>57.</w:t>
      </w:r>
      <w:r w:rsidRPr="003470B8">
        <w:tab/>
      </w:r>
      <w:r w:rsidRPr="003470B8">
        <w:rPr>
          <w:b/>
        </w:rPr>
        <w:t>Г-жа Бельмир</w:t>
      </w:r>
      <w:r w:rsidRPr="003470B8">
        <w:t xml:space="preserve"> говорит, что она пытается понять то, что было сказано об использовании тайзеров в контексте переполненности тюрем и о проблеме смертей в местах лишения свободы. Государство-участник оправдывает испол</w:t>
      </w:r>
      <w:r w:rsidRPr="003470B8">
        <w:t>ь</w:t>
      </w:r>
      <w:r w:rsidRPr="003470B8">
        <w:t>зование тайзеров на том основании, что они выполняют как профилакт</w:t>
      </w:r>
      <w:r w:rsidRPr="003470B8">
        <w:t>и</w:t>
      </w:r>
      <w:r w:rsidRPr="003470B8">
        <w:t>ческую роль, так и функцию самообороны. Однако в этой связи возникает вопрос о праве на жизнь заключенных: использование тайзеров может привести к сме</w:t>
      </w:r>
      <w:r w:rsidRPr="003470B8">
        <w:t>р</w:t>
      </w:r>
      <w:r w:rsidRPr="003470B8">
        <w:t>ти. Сотрудник, применяющий это оружие, не может знать, в каком состоянии находится сердечнососудистая система объекта применения такого оружия, и даже если учесть, что до сих пор не было ни одного смертельного случая, т</w:t>
      </w:r>
      <w:r w:rsidRPr="003470B8">
        <w:t>а</w:t>
      </w:r>
      <w:r w:rsidRPr="003470B8">
        <w:t>кое оружие является крайне опасным и непредсказуемым. Выступающая пре</w:t>
      </w:r>
      <w:r w:rsidRPr="003470B8">
        <w:t>д</w:t>
      </w:r>
      <w:r w:rsidRPr="003470B8">
        <w:t>лагает государству-участнику пересмотреть вопрос о его применении в тюр</w:t>
      </w:r>
      <w:r w:rsidRPr="003470B8">
        <w:t>ь</w:t>
      </w:r>
      <w:r w:rsidRPr="003470B8">
        <w:t>мах.</w:t>
      </w:r>
    </w:p>
    <w:p w:rsidR="00DC7D05" w:rsidRPr="003470B8" w:rsidRDefault="00DC7D05" w:rsidP="00DC7D05">
      <w:pPr>
        <w:pStyle w:val="SingleTxtGR"/>
      </w:pPr>
      <w:r w:rsidRPr="003470B8">
        <w:t>58.</w:t>
      </w:r>
      <w:r w:rsidRPr="003470B8">
        <w:tab/>
      </w:r>
      <w:r w:rsidRPr="003470B8">
        <w:rPr>
          <w:b/>
        </w:rPr>
        <w:t>Г-н Мариньо Менендес</w:t>
      </w:r>
      <w:r w:rsidRPr="003470B8">
        <w:t xml:space="preserve"> говорит, что на большинство заданных им в</w:t>
      </w:r>
      <w:r w:rsidRPr="003470B8">
        <w:t>о</w:t>
      </w:r>
      <w:r w:rsidRPr="003470B8">
        <w:t>просов были представлены достаточно полные и обстоятельные ответы. Ему хотелось бы лишь напомнить, что он также спрашивал о том, учитывается ли предоставление статуса беженца другим государством-участником какому-либо лицу в соответствии с Конвенцией 1951 года австрийскими органами при пр</w:t>
      </w:r>
      <w:r w:rsidRPr="003470B8">
        <w:t>и</w:t>
      </w:r>
      <w:r w:rsidRPr="003470B8">
        <w:t xml:space="preserve">нятии решения по запросу третьего государства о выдаче данного лица. Иными словами, признает ли судебная система Австрии существовавший ранее статус беженца и как следствие отвергает запрос о выдаче? </w:t>
      </w:r>
    </w:p>
    <w:p w:rsidR="00DC7D05" w:rsidRPr="003470B8" w:rsidRDefault="00DC7D05" w:rsidP="00DC7D05">
      <w:pPr>
        <w:pStyle w:val="SingleTxtGR"/>
      </w:pPr>
      <w:r w:rsidRPr="003470B8">
        <w:t>59.</w:t>
      </w:r>
      <w:r w:rsidRPr="003470B8">
        <w:tab/>
      </w:r>
      <w:r w:rsidRPr="003470B8">
        <w:rPr>
          <w:b/>
        </w:rPr>
        <w:t>Г-жа Бруни</w:t>
      </w:r>
      <w:r w:rsidRPr="003470B8">
        <w:t>, отмечая, что, как уже сообщалось, два проекта, касающиеся аудио- или видеозаписи допросов, все еще находятся на рассмотрении, интер</w:t>
      </w:r>
      <w:r w:rsidRPr="003470B8">
        <w:t>е</w:t>
      </w:r>
      <w:r w:rsidRPr="003470B8">
        <w:t>суется, существует ли вероятность того, чтобы допросы проводились при о</w:t>
      </w:r>
      <w:r w:rsidRPr="003470B8">
        <w:t>т</w:t>
      </w:r>
      <w:r w:rsidRPr="003470B8">
        <w:t>сутствии адвоката обвиняемого и без какой-либо записи.</w:t>
      </w:r>
    </w:p>
    <w:p w:rsidR="00DC7D05" w:rsidRPr="003470B8" w:rsidRDefault="00DC7D05" w:rsidP="00DC7D05">
      <w:pPr>
        <w:pStyle w:val="SingleTxtGR"/>
      </w:pPr>
      <w:r w:rsidRPr="003470B8">
        <w:t>60.</w:t>
      </w:r>
      <w:r w:rsidRPr="003470B8">
        <w:tab/>
        <w:t>Возвращаясь к перечню 445 обвинений в злоупотреблениях, допущенных сотрудниками правоохранительных органов в 2009 году (письменные ответы, пункт 23), выступающая просит привести пр</w:t>
      </w:r>
      <w:r w:rsidRPr="003470B8">
        <w:t>и</w:t>
      </w:r>
      <w:r w:rsidRPr="003470B8">
        <w:t>меры предмета таких обвинений и назначенных наказаний.</w:t>
      </w:r>
    </w:p>
    <w:p w:rsidR="00DC7D05" w:rsidRPr="003470B8" w:rsidRDefault="00DC7D05" w:rsidP="00DC7D05">
      <w:pPr>
        <w:pStyle w:val="SingleTxtGR"/>
      </w:pPr>
      <w:r w:rsidRPr="003470B8">
        <w:t>61.</w:t>
      </w:r>
      <w:r w:rsidRPr="003470B8">
        <w:tab/>
        <w:t>В отношении статьи 166 Уголовно-процессуального кодекса, гарант</w:t>
      </w:r>
      <w:r w:rsidRPr="003470B8">
        <w:t>и</w:t>
      </w:r>
      <w:r w:rsidRPr="003470B8">
        <w:t xml:space="preserve">рующей запрещение пыток или даже психологического воздействия с целью получения признания, выступающая интересуется, ссылался </w:t>
      </w:r>
      <w:r>
        <w:t xml:space="preserve">ли </w:t>
      </w:r>
      <w:r w:rsidRPr="003470B8">
        <w:t>кто-либо из з</w:t>
      </w:r>
      <w:r w:rsidRPr="003470B8">
        <w:t>а</w:t>
      </w:r>
      <w:r w:rsidRPr="003470B8">
        <w:t xml:space="preserve">держанных лиц на это положение. </w:t>
      </w:r>
    </w:p>
    <w:p w:rsidR="00DC7D05" w:rsidRPr="003470B8" w:rsidRDefault="00DC7D05" w:rsidP="00DC7D05">
      <w:pPr>
        <w:pStyle w:val="SingleTxtGR"/>
      </w:pPr>
      <w:r w:rsidRPr="003470B8">
        <w:t>62.</w:t>
      </w:r>
      <w:r w:rsidRPr="003470B8">
        <w:tab/>
        <w:t>Напомнив о подробной информации, которая была представлена в связи с программой распределения заключенных по камерам, предназначенной для с</w:t>
      </w:r>
      <w:r w:rsidRPr="003470B8">
        <w:t>о</w:t>
      </w:r>
      <w:r w:rsidRPr="003470B8">
        <w:t>кращения числ</w:t>
      </w:r>
      <w:r>
        <w:t>а</w:t>
      </w:r>
      <w:r w:rsidRPr="003470B8">
        <w:t xml:space="preserve"> самоубийств, выступающая интересуется, может ли государс</w:t>
      </w:r>
      <w:r w:rsidRPr="003470B8">
        <w:t>т</w:t>
      </w:r>
      <w:r w:rsidRPr="003470B8">
        <w:t>во-участник действительно подтвердить, что в результате этой пр</w:t>
      </w:r>
      <w:r w:rsidRPr="003470B8">
        <w:t>о</w:t>
      </w:r>
      <w:r w:rsidRPr="003470B8">
        <w:t>граммы были достигнуты улучшения в отношении положения с самоубийствами.</w:t>
      </w:r>
    </w:p>
    <w:p w:rsidR="00DC7D05" w:rsidRPr="003470B8" w:rsidRDefault="00DC7D05" w:rsidP="00DC7D05">
      <w:pPr>
        <w:pStyle w:val="SingleTxtGR"/>
      </w:pPr>
      <w:r w:rsidRPr="003470B8">
        <w:t>63.</w:t>
      </w:r>
      <w:r w:rsidRPr="003470B8">
        <w:tab/>
      </w:r>
      <w:r w:rsidRPr="003470B8">
        <w:rPr>
          <w:b/>
        </w:rPr>
        <w:t>Г-жа Све</w:t>
      </w:r>
      <w:r>
        <w:rPr>
          <w:b/>
        </w:rPr>
        <w:t>а</w:t>
      </w:r>
      <w:r w:rsidRPr="003470B8">
        <w:rPr>
          <w:b/>
        </w:rPr>
        <w:t>сс</w:t>
      </w:r>
      <w:r w:rsidRPr="003470B8">
        <w:t xml:space="preserve"> говорит, что она с удовлетворением узнала о </w:t>
      </w:r>
      <w:r>
        <w:t>сокращении</w:t>
      </w:r>
      <w:r w:rsidRPr="003470B8">
        <w:t xml:space="preserve"> применени</w:t>
      </w:r>
      <w:r>
        <w:t>я</w:t>
      </w:r>
      <w:r w:rsidRPr="003470B8">
        <w:t xml:space="preserve"> коек, огороженных металлическими прутьями или сеткой, и </w:t>
      </w:r>
      <w:r>
        <w:t xml:space="preserve">она </w:t>
      </w:r>
      <w:r w:rsidRPr="003470B8">
        <w:t>надеется, что такое сокращение будет применяться во всех тюрьмах. По ее мн</w:t>
      </w:r>
      <w:r w:rsidRPr="003470B8">
        <w:t>е</w:t>
      </w:r>
      <w:r w:rsidRPr="003470B8">
        <w:t>нию, было бы полезным получить дополнительную информацию о независ</w:t>
      </w:r>
      <w:r w:rsidRPr="003470B8">
        <w:t>и</w:t>
      </w:r>
      <w:r w:rsidRPr="003470B8">
        <w:t>мых механизмах рассмотрения жалоб.</w:t>
      </w:r>
    </w:p>
    <w:p w:rsidR="00DC7D05" w:rsidRPr="003470B8" w:rsidRDefault="00DC7D05" w:rsidP="00DC7D05">
      <w:pPr>
        <w:pStyle w:val="SingleTxtGR"/>
      </w:pPr>
      <w:r w:rsidRPr="003470B8">
        <w:t>64.</w:t>
      </w:r>
      <w:r w:rsidRPr="003470B8">
        <w:tab/>
        <w:t xml:space="preserve">Она вновь повторяет свой запрос об информации о том, каким образом последствия случаев похищения людей отражаются как </w:t>
      </w:r>
      <w:r>
        <w:t>на</w:t>
      </w:r>
      <w:r w:rsidRPr="003470B8">
        <w:t xml:space="preserve"> подготовке, так и </w:t>
      </w:r>
      <w:r>
        <w:t xml:space="preserve">в </w:t>
      </w:r>
      <w:r w:rsidRPr="003470B8">
        <w:t>практической деятельности лиц, работающих в с</w:t>
      </w:r>
      <w:r w:rsidRPr="003470B8">
        <w:t>о</w:t>
      </w:r>
      <w:r w:rsidRPr="003470B8">
        <w:t>циальных службах.</w:t>
      </w:r>
    </w:p>
    <w:p w:rsidR="00DC7D05" w:rsidRPr="003470B8" w:rsidRDefault="00DC7D05" w:rsidP="00DC7D05">
      <w:pPr>
        <w:pStyle w:val="SingleTxtGR"/>
      </w:pPr>
      <w:r w:rsidRPr="003470B8">
        <w:t>65.</w:t>
      </w:r>
      <w:r w:rsidRPr="003470B8">
        <w:tab/>
      </w:r>
      <w:r w:rsidRPr="003470B8">
        <w:rPr>
          <w:b/>
        </w:rPr>
        <w:t>Г-н Рушер</w:t>
      </w:r>
      <w:r w:rsidRPr="003470B8">
        <w:t xml:space="preserve"> (Австрия) говорит, что дело Майка Б. вызывает глубочайшее сожаление как случай ошибочного установления личности. Участвовавшие в нем сотрудники полиции в штатском были убе</w:t>
      </w:r>
      <w:r w:rsidRPr="003470B8">
        <w:t>ж</w:t>
      </w:r>
      <w:r w:rsidRPr="003470B8">
        <w:t>дены в том, что они производят арест разыскиваемого наркоторговца, с которым Майк Б. имел удивительное сходство; со своей стороны, при задержании Майк Б. не отдавал себе отчета в том, что его задерживают подлинные сотрудники полиции. В результате пр</w:t>
      </w:r>
      <w:r w:rsidRPr="003470B8">
        <w:t>о</w:t>
      </w:r>
      <w:r w:rsidRPr="003470B8">
        <w:t>изошла драка, повлекшая травмы. В этом инциденте не было намеренного же</w:t>
      </w:r>
      <w:r w:rsidRPr="003470B8">
        <w:t>с</w:t>
      </w:r>
      <w:r w:rsidRPr="003470B8">
        <w:t>токого обращения со стороны сотрудников полиции. Тем не мене все докуме</w:t>
      </w:r>
      <w:r w:rsidRPr="003470B8">
        <w:t>н</w:t>
      </w:r>
      <w:r w:rsidRPr="003470B8">
        <w:t>ты по данному делу были направлены в Государственную прокуратуру и в суд, и в насто</w:t>
      </w:r>
      <w:r w:rsidRPr="003470B8">
        <w:t>я</w:t>
      </w:r>
      <w:r w:rsidRPr="003470B8">
        <w:t>щее время по материалам дела возбуждено судебное разбирательство на основании причинения теле</w:t>
      </w:r>
      <w:r w:rsidRPr="003470B8">
        <w:t>с</w:t>
      </w:r>
      <w:r w:rsidRPr="003470B8">
        <w:t xml:space="preserve">ных повреждений по неосторожности. </w:t>
      </w:r>
    </w:p>
    <w:p w:rsidR="00DC7D05" w:rsidRPr="003470B8" w:rsidRDefault="00DC7D05" w:rsidP="00DC7D05">
      <w:pPr>
        <w:pStyle w:val="SingleTxtGR"/>
      </w:pPr>
      <w:r w:rsidRPr="003470B8">
        <w:t>66.</w:t>
      </w:r>
      <w:r w:rsidRPr="003470B8">
        <w:tab/>
        <w:t>Весьма прискорбный случай также произошел с Бакари Дж. Это был сл</w:t>
      </w:r>
      <w:r w:rsidRPr="003470B8">
        <w:t>у</w:t>
      </w:r>
      <w:r w:rsidRPr="003470B8">
        <w:t>чай намеренного жестокого обращения со стороны четырех сотрудников пол</w:t>
      </w:r>
      <w:r w:rsidRPr="003470B8">
        <w:t>и</w:t>
      </w:r>
      <w:r w:rsidRPr="003470B8">
        <w:t>ции во время процедуры высылки депортируем</w:t>
      </w:r>
      <w:r w:rsidRPr="003470B8">
        <w:t>о</w:t>
      </w:r>
      <w:r w:rsidRPr="003470B8">
        <w:t>го лица. Все четыре сотрудника были признаны виновными в совершении правонарушений по статье 312 Уг</w:t>
      </w:r>
      <w:r w:rsidRPr="003470B8">
        <w:t>о</w:t>
      </w:r>
      <w:r w:rsidRPr="003470B8">
        <w:t>ловного кодекса. Помимо уголовного судебного разбирательства</w:t>
      </w:r>
      <w:r>
        <w:t>,</w:t>
      </w:r>
      <w:r w:rsidRPr="003470B8">
        <w:t xml:space="preserve"> ожидается принятие дисциплинарных мер, хотя трое из этих сотрудников были незамедл</w:t>
      </w:r>
      <w:r w:rsidRPr="003470B8">
        <w:t>и</w:t>
      </w:r>
      <w:r w:rsidRPr="003470B8">
        <w:t>тельно уволены из полиции, а четвертый, участие которого в этом деле было наименьшим, был приговорен к наивысшему возможному штрафу в размере п</w:t>
      </w:r>
      <w:r w:rsidRPr="003470B8">
        <w:t>я</w:t>
      </w:r>
      <w:r w:rsidRPr="003470B8">
        <w:t xml:space="preserve">тимесячного оклада. </w:t>
      </w:r>
    </w:p>
    <w:p w:rsidR="00DC7D05" w:rsidRPr="003470B8" w:rsidRDefault="00DC7D05" w:rsidP="00DC7D05">
      <w:pPr>
        <w:pStyle w:val="SingleTxtGR"/>
      </w:pPr>
      <w:r w:rsidRPr="003470B8">
        <w:t>67.</w:t>
      </w:r>
      <w:r w:rsidRPr="003470B8">
        <w:tab/>
        <w:t>Решения по этим делам были обжалованы, и в настоящее время они н</w:t>
      </w:r>
      <w:r w:rsidRPr="003470B8">
        <w:t>а</w:t>
      </w:r>
      <w:r w:rsidRPr="003470B8">
        <w:t>ходятся на рассмотрении Административного трибунала. В рамках уголовного судебного разбирательства Бакари Дж. была пр</w:t>
      </w:r>
      <w:r w:rsidRPr="003470B8">
        <w:t>и</w:t>
      </w:r>
      <w:r w:rsidRPr="003470B8">
        <w:t>суждена компенсация в размере 3</w:t>
      </w:r>
      <w:r>
        <w:t xml:space="preserve"> </w:t>
      </w:r>
      <w:r w:rsidRPr="003470B8">
        <w:t>000</w:t>
      </w:r>
      <w:r>
        <w:t xml:space="preserve"> </w:t>
      </w:r>
      <w:r w:rsidRPr="003470B8">
        <w:t>евро. Вместе с тем это судебное решение не является юридически без</w:t>
      </w:r>
      <w:r w:rsidRPr="003470B8">
        <w:t>у</w:t>
      </w:r>
      <w:r w:rsidRPr="003470B8">
        <w:t>пречным, поскольку сотрудники полиции находились при исполнении служе</w:t>
      </w:r>
      <w:r w:rsidRPr="003470B8">
        <w:t>б</w:t>
      </w:r>
      <w:r w:rsidRPr="003470B8">
        <w:t>ных обязанностей во время совершения правонарушени</w:t>
      </w:r>
      <w:r>
        <w:t>я</w:t>
      </w:r>
      <w:r w:rsidRPr="003470B8">
        <w:t>, а в подобном случае в отношении субъекта, которому в конечном итоге подчиняются допустившие правонарушения сотрудники полиции, а именно Австрийской Республики, пр</w:t>
      </w:r>
      <w:r w:rsidRPr="003470B8">
        <w:t>и</w:t>
      </w:r>
      <w:r w:rsidRPr="003470B8">
        <w:t xml:space="preserve">меняется Закон о служебной ответственности. </w:t>
      </w:r>
      <w:r>
        <w:t>Тем не менее</w:t>
      </w:r>
      <w:r w:rsidRPr="003470B8">
        <w:t>, несмотря на то, что на всех стадиях разбирательства Бакари Дж. консультировался с адвокатом, он не представил иска о применении данного Закона в отношении Австрийской Республики.</w:t>
      </w:r>
    </w:p>
    <w:p w:rsidR="00DC7D05" w:rsidRPr="003470B8" w:rsidRDefault="00DC7D05" w:rsidP="00DC7D05">
      <w:pPr>
        <w:pStyle w:val="SingleTxtGR"/>
      </w:pPr>
      <w:r w:rsidRPr="003470B8">
        <w:t>68.</w:t>
      </w:r>
      <w:r w:rsidRPr="003470B8">
        <w:tab/>
        <w:t>Одним из последствий данного инцидента стал пересмотр содержания значительного числа учебных курсов о депортации с целью обеспечения на</w:t>
      </w:r>
      <w:r w:rsidRPr="003470B8">
        <w:t>д</w:t>
      </w:r>
      <w:r w:rsidRPr="003470B8">
        <w:t>лежащего руководства в отношении действий сотру</w:t>
      </w:r>
      <w:r w:rsidRPr="003470B8">
        <w:t>д</w:t>
      </w:r>
      <w:r w:rsidRPr="003470B8">
        <w:t>ников полиции в подобных обстоятельствах.</w:t>
      </w:r>
    </w:p>
    <w:p w:rsidR="00DC7D05" w:rsidRPr="003470B8" w:rsidRDefault="00DC7D05" w:rsidP="00DC7D05">
      <w:pPr>
        <w:pStyle w:val="SingleTxtGR"/>
      </w:pPr>
      <w:r w:rsidRPr="003470B8">
        <w:t>69.</w:t>
      </w:r>
      <w:r w:rsidRPr="003470B8">
        <w:tab/>
        <w:t>Что касается Шейбани В., то во время ареста он повел себя крайне агре</w:t>
      </w:r>
      <w:r w:rsidRPr="003470B8">
        <w:t>с</w:t>
      </w:r>
      <w:r w:rsidRPr="003470B8">
        <w:t>сивно и находился в состоянии своего рода психического расстройства. Н</w:t>
      </w:r>
      <w:r w:rsidRPr="003470B8">
        <w:t>е</w:t>
      </w:r>
      <w:r w:rsidRPr="003470B8">
        <w:t>скольким полицейским удалось справиться с ним, и затем он был обездвижен в положении лежа на животе, а врач ввел ему седативный препарат. Однако в с</w:t>
      </w:r>
      <w:r w:rsidRPr="003470B8">
        <w:t>о</w:t>
      </w:r>
      <w:r w:rsidRPr="003470B8">
        <w:t>четании с продолжительным периодом пребывания лежа на животе это привело к смерти в результате асфиксии. По данному делу было проведено судебное расследование: врач и один из сотрудников полиции были признаны виновн</w:t>
      </w:r>
      <w:r w:rsidRPr="003470B8">
        <w:t>ы</w:t>
      </w:r>
      <w:r w:rsidRPr="003470B8">
        <w:t>ми, а вина остальных пяти сотрудников не была доказана. В результате были пересмотрены все нормы сдерживания буйных и агрессивных лиц в подобных обстоятельствах.</w:t>
      </w:r>
    </w:p>
    <w:p w:rsidR="00DC7D05" w:rsidRPr="003470B8" w:rsidRDefault="00DC7D05" w:rsidP="00DC7D05">
      <w:pPr>
        <w:pStyle w:val="SingleTxtGR"/>
      </w:pPr>
      <w:r w:rsidRPr="003470B8">
        <w:t>70.</w:t>
      </w:r>
      <w:r w:rsidRPr="003470B8">
        <w:tab/>
      </w:r>
      <w:r w:rsidRPr="003470B8">
        <w:rPr>
          <w:b/>
        </w:rPr>
        <w:t xml:space="preserve">Г-н Богенсбергер </w:t>
      </w:r>
      <w:r w:rsidRPr="003470B8">
        <w:t>(Австрия) подтверждает, что ситуация, при которой допрос проводится при отсутствии адвоката задержанного лица и без аудио- или видеозаписи допроса, фактически является возможной. Отчасти это зав</w:t>
      </w:r>
      <w:r w:rsidRPr="003470B8">
        <w:t>и</w:t>
      </w:r>
      <w:r w:rsidRPr="003470B8">
        <w:t>сит от наличия записывающих устройств, которые не всегда имеются в пом</w:t>
      </w:r>
      <w:r w:rsidRPr="003470B8">
        <w:t>е</w:t>
      </w:r>
      <w:r w:rsidRPr="003470B8">
        <w:t xml:space="preserve">щениях полиции из-за их высокой стоимости. </w:t>
      </w:r>
    </w:p>
    <w:p w:rsidR="00DC7D05" w:rsidRPr="003470B8" w:rsidRDefault="00DC7D05" w:rsidP="00DC7D05">
      <w:pPr>
        <w:pStyle w:val="SingleTxtGR"/>
      </w:pPr>
      <w:r w:rsidRPr="003470B8">
        <w:t>71.</w:t>
      </w:r>
      <w:r w:rsidRPr="003470B8">
        <w:tab/>
        <w:t xml:space="preserve">Статья 166 Уголовно-процессуального кодекса с момента ее вступления в силу не применялась. </w:t>
      </w:r>
      <w:r>
        <w:t>Что касается</w:t>
      </w:r>
      <w:r w:rsidRPr="003470B8">
        <w:t xml:space="preserve"> требуем</w:t>
      </w:r>
      <w:r>
        <w:t>ого</w:t>
      </w:r>
      <w:r w:rsidRPr="003470B8">
        <w:t xml:space="preserve"> уровн</w:t>
      </w:r>
      <w:r>
        <w:t>я</w:t>
      </w:r>
      <w:r w:rsidRPr="003470B8">
        <w:t xml:space="preserve"> доказательства</w:t>
      </w:r>
      <w:r>
        <w:t>, то</w:t>
      </w:r>
      <w:r w:rsidRPr="003470B8">
        <w:t xml:space="preserve"> не существует необходимости в предъявлении неопровержимого доказательства в том, что пытка имела место. Вместе с тем любое доказательство, подтве</w:t>
      </w:r>
      <w:r w:rsidRPr="003470B8">
        <w:t>р</w:t>
      </w:r>
      <w:r w:rsidRPr="003470B8">
        <w:t>ждающее подобные утверждения, например очевидные телесные повреждения, повышает его правдоподо</w:t>
      </w:r>
      <w:r w:rsidRPr="003470B8">
        <w:t>б</w:t>
      </w:r>
      <w:r w:rsidRPr="003470B8">
        <w:t xml:space="preserve">ность. </w:t>
      </w:r>
    </w:p>
    <w:p w:rsidR="00DC7D05" w:rsidRPr="003470B8" w:rsidRDefault="00DC7D05" w:rsidP="00DC7D05">
      <w:pPr>
        <w:pStyle w:val="SingleTxtGR"/>
      </w:pPr>
      <w:r w:rsidRPr="003470B8">
        <w:t>72.</w:t>
      </w:r>
      <w:r w:rsidRPr="003470B8">
        <w:rPr>
          <w:b/>
        </w:rPr>
        <w:tab/>
        <w:t>Председатель</w:t>
      </w:r>
      <w:r w:rsidRPr="003470B8">
        <w:t xml:space="preserve"> говорит, что имеется настолько много тем для обсуждения, касающихся не только Австрии, но также и других государств-участников, что на каждую из них потребуется потратить не м</w:t>
      </w:r>
      <w:r w:rsidRPr="003470B8">
        <w:t>е</w:t>
      </w:r>
      <w:r w:rsidRPr="003470B8">
        <w:t>нее трех часов. Диалог Комитета с государствами-участниками является продолжающимся процессом. Если д</w:t>
      </w:r>
      <w:r w:rsidRPr="003470B8">
        <w:t>е</w:t>
      </w:r>
      <w:r w:rsidRPr="003470B8">
        <w:t>легация Австрии сочтет, что ей не хватило времени для того, чтобы ответить на все заданные вопросы, то она может представить дополнительную информацию в письменном виде.</w:t>
      </w:r>
    </w:p>
    <w:p w:rsidR="00DC7D05" w:rsidRPr="003470B8" w:rsidRDefault="00DC7D05" w:rsidP="00DC7D05">
      <w:pPr>
        <w:pStyle w:val="SingleTxtGR"/>
      </w:pPr>
      <w:r w:rsidRPr="003470B8">
        <w:t>73.</w:t>
      </w:r>
      <w:r w:rsidRPr="003470B8">
        <w:tab/>
      </w:r>
      <w:r w:rsidRPr="003470B8">
        <w:rPr>
          <w:b/>
        </w:rPr>
        <w:t>Г-н Тихи</w:t>
      </w:r>
      <w:r w:rsidRPr="003470B8">
        <w:t xml:space="preserve"> (Австрия) благодарит членов Комитета за проявленный ими интерес к усилиям его страны по соблюдению Конвенции и обещает информ</w:t>
      </w:r>
      <w:r w:rsidRPr="003470B8">
        <w:t>и</w:t>
      </w:r>
      <w:r w:rsidRPr="003470B8">
        <w:t>ровать их о дальнейшем развитии событий.</w:t>
      </w:r>
    </w:p>
    <w:p w:rsidR="00DC7D05" w:rsidRDefault="00DC7D05" w:rsidP="00DC7D05">
      <w:pPr>
        <w:pStyle w:val="SingleTxtGR"/>
        <w:rPr>
          <w:i/>
        </w:rPr>
      </w:pPr>
      <w:r w:rsidRPr="003470B8">
        <w:rPr>
          <w:i/>
        </w:rPr>
        <w:t>Заседание закрывается в 12 ч. 20 м.</w:t>
      </w:r>
    </w:p>
    <w:p w:rsidR="00B464A7" w:rsidRDefault="005A5660" w:rsidP="005A566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5660" w:rsidRPr="005A5660" w:rsidRDefault="005A5660" w:rsidP="00EE5A25">
      <w:pPr>
        <w:spacing w:before="240"/>
        <w:rPr>
          <w:u w:val="single"/>
        </w:rPr>
      </w:pPr>
    </w:p>
    <w:sectPr w:rsidR="005A5660" w:rsidRPr="005A566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A50" w:rsidRDefault="00F20A50">
      <w:r>
        <w:rPr>
          <w:lang w:val="en-US"/>
        </w:rPr>
        <w:tab/>
      </w:r>
      <w:r>
        <w:separator/>
      </w:r>
    </w:p>
  </w:endnote>
  <w:endnote w:type="continuationSeparator" w:id="0">
    <w:p w:rsidR="00F20A50" w:rsidRDefault="00F2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F60" w:rsidRDefault="00FD5F60">
    <w:pPr>
      <w:pStyle w:val="Footer"/>
      <w:rPr>
        <w:szCs w:val="16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5">
      <w:rPr>
        <w:rStyle w:val="PageNumber"/>
        <w:noProof/>
      </w:rPr>
      <w:t>14</w:t>
    </w:r>
    <w:r>
      <w:rPr>
        <w:rStyle w:val="PageNumber"/>
      </w:rPr>
      <w:fldChar w:fldCharType="end"/>
    </w:r>
    <w:r>
      <w:rPr>
        <w:rStyle w:val="PageNumber"/>
        <w:lang w:val="en-US"/>
      </w:rPr>
      <w:tab/>
    </w:r>
    <w:r>
      <w:rPr>
        <w:rStyle w:val="PageNumber"/>
        <w:b w:val="0"/>
        <w:sz w:val="16"/>
        <w:szCs w:val="16"/>
        <w:lang w:val="en-US"/>
      </w:rPr>
      <w:t>GE.10-42169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F60" w:rsidRDefault="00FD5F60">
    <w:pPr>
      <w:pStyle w:val="Footer"/>
      <w:rPr>
        <w:b/>
        <w:sz w:val="18"/>
        <w:szCs w:val="18"/>
        <w:lang w:val="en-US"/>
      </w:rPr>
    </w:pPr>
    <w:r>
      <w:rPr>
        <w:lang w:val="en-US"/>
      </w:rPr>
      <w:t>GE.10-42169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5">
      <w:rPr>
        <w:rStyle w:val="PageNumber"/>
        <w:noProof/>
      </w:rPr>
      <w:t>15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F60" w:rsidRDefault="00FD5F60">
    <w:pPr>
      <w:pStyle w:val="Footer"/>
      <w:rPr>
        <w:sz w:val="20"/>
        <w:lang w:val="en-US"/>
      </w:rPr>
    </w:pPr>
    <w:r>
      <w:rPr>
        <w:sz w:val="20"/>
        <w:lang w:val="en-US"/>
      </w:rPr>
      <w:t>GE.10-42169  (R)  290610  290610</w:t>
    </w:r>
    <w:r>
      <w:rPr>
        <w:sz w:val="20"/>
        <w:lang w:val="en-US"/>
      </w:rPr>
      <w:tab/>
    </w:r>
    <w:r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A50" w:rsidRDefault="00F20A50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F20A50" w:rsidRDefault="00F20A50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</w:p>
    <w:p w:rsidR="00F20A50" w:rsidRDefault="00F20A50">
      <w:pPr>
        <w:pStyle w:val="Footer"/>
      </w:pPr>
    </w:p>
  </w:footnote>
  <w:footnote w:id="1">
    <w:p w:rsidR="00FD5F60" w:rsidRDefault="00FD5F60">
      <w:pPr>
        <w:pStyle w:val="FootnoteText"/>
        <w:rPr>
          <w:lang w:val="ru-RU"/>
        </w:rPr>
      </w:pPr>
      <w:r>
        <w:tab/>
      </w:r>
      <w:r>
        <w:rPr>
          <w:rStyle w:val="FootnoteReference"/>
          <w:sz w:val="20"/>
          <w:vertAlign w:val="baseline"/>
          <w:lang w:val="ru-RU"/>
        </w:rPr>
        <w:t>*</w:t>
      </w:r>
      <w:r>
        <w:rPr>
          <w:lang w:val="ru-RU"/>
        </w:rPr>
        <w:tab/>
        <w:t>Краткий отчет об остальной части заседания не составлялся.</w:t>
      </w:r>
    </w:p>
    <w:p w:rsidR="00FD5F60" w:rsidRDefault="00FD5F60" w:rsidP="009C54E2">
      <w:pPr>
        <w:pStyle w:val="FootnoteText"/>
        <w:pBdr>
          <w:bottom w:val="single" w:sz="4" w:space="1" w:color="auto"/>
        </w:pBdr>
        <w:ind w:right="-20"/>
        <w:rPr>
          <w:lang w:val="ru-RU"/>
        </w:rPr>
      </w:pPr>
    </w:p>
    <w:p w:rsidR="00FD5F60" w:rsidRDefault="00FD5F60" w:rsidP="009C54E2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FF788D">
        <w:rPr>
          <w:lang w:val="ru-RU"/>
        </w:rPr>
        <w:t>В настоящий отчет могут вноситься поправки.</w:t>
      </w:r>
    </w:p>
    <w:p w:rsidR="00FD5F60" w:rsidRDefault="00FD5F60" w:rsidP="009C54E2">
      <w:pPr>
        <w:pStyle w:val="FootnoteText"/>
        <w:spacing w:before="12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Они должны направляться </w:t>
      </w:r>
      <w:r>
        <w:rPr>
          <w:i/>
          <w:lang w:val="ru-RU"/>
        </w:rPr>
        <w:t>в течение одной недели с момента выпуска настоящего документа</w:t>
      </w:r>
      <w:r>
        <w:rPr>
          <w:lang w:val="ru-RU"/>
        </w:rPr>
        <w:t xml:space="preserve"> в Группу редакционного контроля, комната Е.4108, Дворец Наций, Женева.</w:t>
      </w:r>
    </w:p>
    <w:p w:rsidR="00FD5F60" w:rsidRDefault="00FD5F60" w:rsidP="009C2D32">
      <w:pPr>
        <w:pStyle w:val="FootnoteText"/>
        <w:spacing w:before="120"/>
        <w:rPr>
          <w:lang w:val="en-US"/>
        </w:rPr>
      </w:pPr>
      <w:r>
        <w:rPr>
          <w:lang w:val="ru-RU"/>
        </w:rPr>
        <w:tab/>
      </w:r>
      <w:r>
        <w:rPr>
          <w:lang w:val="ru-RU"/>
        </w:rPr>
        <w:tab/>
        <w:t>Любые поправки к отчетам об открытых заседаниях Комитета на данной сессии будут сведены в единое исправление, которое будет издано вскоре после окончания сессии.</w:t>
      </w:r>
    </w:p>
    <w:p w:rsidR="00FD5F60" w:rsidRDefault="00FD5F60" w:rsidP="009C2D32">
      <w:pPr>
        <w:pStyle w:val="FootnoteText"/>
        <w:spacing w:before="120"/>
        <w:rPr>
          <w:lang w:val="en-US"/>
        </w:rPr>
      </w:pPr>
    </w:p>
    <w:p w:rsidR="00FD5F60" w:rsidRPr="00B464A7" w:rsidRDefault="00FD5F60" w:rsidP="009C2D32">
      <w:pPr>
        <w:pStyle w:val="FootnoteText"/>
        <w:spacing w:before="120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F60" w:rsidRDefault="00FD5F60">
    <w:pPr>
      <w:pStyle w:val="Header"/>
      <w:rPr>
        <w:lang w:val="en-US"/>
      </w:rPr>
    </w:pPr>
    <w:r>
      <w:rPr>
        <w:lang w:val="en-US"/>
      </w:rPr>
      <w:t>CAT/C/SR.942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F60" w:rsidRDefault="00FD5F60">
    <w:pPr>
      <w:pStyle w:val="Header"/>
      <w:rPr>
        <w:lang w:val="en-US"/>
      </w:rPr>
    </w:pPr>
    <w:r>
      <w:rPr>
        <w:lang w:val="en-US"/>
      </w:rPr>
      <w:tab/>
      <w:t>CAT/C/SR.942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800"/>
    <w:rsid w:val="00013654"/>
    <w:rsid w:val="00024924"/>
    <w:rsid w:val="00031950"/>
    <w:rsid w:val="00105C87"/>
    <w:rsid w:val="00175E33"/>
    <w:rsid w:val="00177DBE"/>
    <w:rsid w:val="002A578E"/>
    <w:rsid w:val="00323F0E"/>
    <w:rsid w:val="00331809"/>
    <w:rsid w:val="004154F3"/>
    <w:rsid w:val="005A5660"/>
    <w:rsid w:val="006210C7"/>
    <w:rsid w:val="00681800"/>
    <w:rsid w:val="00686B7A"/>
    <w:rsid w:val="006972CD"/>
    <w:rsid w:val="006A1171"/>
    <w:rsid w:val="006B15E1"/>
    <w:rsid w:val="00780B9C"/>
    <w:rsid w:val="00891D3B"/>
    <w:rsid w:val="008925A9"/>
    <w:rsid w:val="0092544F"/>
    <w:rsid w:val="009C085C"/>
    <w:rsid w:val="009C2D32"/>
    <w:rsid w:val="009C54E2"/>
    <w:rsid w:val="00AF1D65"/>
    <w:rsid w:val="00B418BF"/>
    <w:rsid w:val="00B464A7"/>
    <w:rsid w:val="00B7057E"/>
    <w:rsid w:val="00C505D1"/>
    <w:rsid w:val="00CC1838"/>
    <w:rsid w:val="00D4467B"/>
    <w:rsid w:val="00DC7D05"/>
    <w:rsid w:val="00ED3590"/>
    <w:rsid w:val="00EE5A25"/>
    <w:rsid w:val="00F20A50"/>
    <w:rsid w:val="00F318D0"/>
    <w:rsid w:val="00F64AFC"/>
    <w:rsid w:val="00F97EF5"/>
    <w:rsid w:val="00FD0B04"/>
    <w:rsid w:val="00FD5F60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customStyle="1" w:styleId="SLGR">
    <w:name w:val="__S_L_GR"/>
    <w:basedOn w:val="Normal"/>
    <w:next w:val="Normal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pPr>
      <w:numPr>
        <w:numId w:val="4"/>
      </w:numPr>
    </w:pPr>
  </w:style>
  <w:style w:type="numbering" w:styleId="1ai">
    <w:name w:val="Outline List 1"/>
    <w:basedOn w:val="NoList"/>
    <w:semiHidden/>
    <w:pPr>
      <w:numPr>
        <w:numId w:val="5"/>
      </w:numPr>
    </w:pPr>
  </w:style>
  <w:style w:type="paragraph" w:styleId="HTMLAddress">
    <w:name w:val="HTML Address"/>
    <w:basedOn w:val="Normal"/>
    <w:semiHidden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</w:style>
  <w:style w:type="paragraph" w:styleId="ListBullet5">
    <w:name w:val="List Bullet 5"/>
    <w:basedOn w:val="Normal"/>
    <w:semiHidden/>
    <w:pPr>
      <w:numPr>
        <w:numId w:val="10"/>
      </w:numPr>
    </w:pPr>
  </w:style>
  <w:style w:type="table" w:styleId="TableGrid">
    <w:name w:val="Table Grid"/>
    <w:basedOn w:val="TableNormal"/>
    <w:semiHidden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</w:style>
  <w:style w:type="paragraph" w:styleId="FootnoteText">
    <w:name w:val="footnote text"/>
    <w:aliases w:val="5_GR"/>
    <w:basedOn w:val="Normal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</w:style>
  <w:style w:type="table" w:styleId="TableWeb1">
    <w:name w:val="Table Web 1"/>
    <w:basedOn w:val="TableNormal"/>
    <w:semiHidden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23GR">
    <w:name w:val="_ H_2/3_GR Знак"/>
    <w:link w:val="H23GR0"/>
    <w:rPr>
      <w:b/>
      <w:spacing w:val="4"/>
      <w:w w:val="103"/>
      <w:kern w:val="14"/>
      <w:lang w:val="ru-RU" w:eastAsia="ru-RU" w:bidi="ar-SA"/>
    </w:rPr>
  </w:style>
  <w:style w:type="character" w:styleId="Emphasis">
    <w:name w:val="Emphasis"/>
    <w:qFormat/>
    <w:rPr>
      <w:i/>
      <w:iCs/>
    </w:rPr>
  </w:style>
  <w:style w:type="paragraph" w:styleId="NoteHeading">
    <w:name w:val="Note Heading"/>
    <w:basedOn w:val="Normal"/>
    <w:next w:val="Normal"/>
    <w:semiHidden/>
  </w:style>
  <w:style w:type="table" w:styleId="TableElegant">
    <w:name w:val="Table Elegant"/>
    <w:basedOn w:val="TableNormal"/>
    <w:semiHidden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ListBullet">
    <w:name w:val="List Bullet"/>
    <w:basedOn w:val="Normal"/>
    <w:semiHidden/>
    <w:pPr>
      <w:numPr>
        <w:numId w:val="6"/>
      </w:numPr>
    </w:pPr>
  </w:style>
  <w:style w:type="paragraph" w:styleId="ListBullet2">
    <w:name w:val="List Bullet 2"/>
    <w:basedOn w:val="Normal"/>
    <w:semiHidden/>
    <w:pPr>
      <w:numPr>
        <w:numId w:val="7"/>
      </w:numPr>
    </w:pPr>
  </w:style>
  <w:style w:type="paragraph" w:styleId="ListBullet3">
    <w:name w:val="List Bullet 3"/>
    <w:basedOn w:val="Normal"/>
    <w:semiHidden/>
    <w:pPr>
      <w:numPr>
        <w:numId w:val="8"/>
      </w:numPr>
    </w:pPr>
  </w:style>
  <w:style w:type="paragraph" w:styleId="ListBullet4">
    <w:name w:val="List Bullet 4"/>
    <w:basedOn w:val="Normal"/>
    <w:semiHidden/>
    <w:pPr>
      <w:numPr>
        <w:numId w:val="9"/>
      </w:numPr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</w:style>
  <w:style w:type="paragraph" w:styleId="ListNumber">
    <w:name w:val="List Number"/>
    <w:basedOn w:val="Normal"/>
    <w:semiHidden/>
    <w:pPr>
      <w:numPr>
        <w:numId w:val="11"/>
      </w:numPr>
    </w:pPr>
  </w:style>
  <w:style w:type="paragraph" w:styleId="ListNumber2">
    <w:name w:val="List Number 2"/>
    <w:basedOn w:val="Normal"/>
    <w:semiHidden/>
    <w:pPr>
      <w:numPr>
        <w:numId w:val="12"/>
      </w:numPr>
    </w:pPr>
  </w:style>
  <w:style w:type="paragraph" w:styleId="ListNumber3">
    <w:name w:val="List Number 3"/>
    <w:basedOn w:val="Normal"/>
    <w:semiHidden/>
    <w:pPr>
      <w:numPr>
        <w:numId w:val="13"/>
      </w:numPr>
    </w:pPr>
  </w:style>
  <w:style w:type="paragraph" w:styleId="ListNumber4">
    <w:name w:val="List Number 4"/>
    <w:basedOn w:val="Normal"/>
    <w:semiHidden/>
    <w:pPr>
      <w:numPr>
        <w:numId w:val="14"/>
      </w:numPr>
    </w:pPr>
  </w:style>
  <w:style w:type="paragraph" w:styleId="ListNumber5">
    <w:name w:val="List Number 5"/>
    <w:basedOn w:val="Normal"/>
    <w:semiHidden/>
    <w:pPr>
      <w:numPr>
        <w:numId w:val="15"/>
      </w:numPr>
    </w:pPr>
  </w:style>
  <w:style w:type="character" w:styleId="HTMLSample">
    <w:name w:val="HTML Sample"/>
    <w:semiHidden/>
    <w:rPr>
      <w:rFonts w:ascii="Courier New" w:hAnsi="Courier New" w:cs="Courier New"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table" w:styleId="Table3Deffects1">
    <w:name w:val="Table 3D effects 1"/>
    <w:basedOn w:val="TableNormal"/>
    <w:semiHidden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Pr>
      <w:sz w:val="24"/>
    </w:rPr>
  </w:style>
  <w:style w:type="paragraph" w:styleId="NormalIndent">
    <w:name w:val="Normal Indent"/>
    <w:basedOn w:val="Normal"/>
    <w:semiHidden/>
    <w:pPr>
      <w:ind w:left="567"/>
    </w:pPr>
  </w:style>
  <w:style w:type="character" w:styleId="HTMLDefinition">
    <w:name w:val="HTML Definition"/>
    <w:semiHidden/>
    <w:rPr>
      <w:i/>
      <w:iCs/>
    </w:rPr>
  </w:style>
  <w:style w:type="paragraph" w:styleId="BodyText2">
    <w:name w:val="Body Text 2"/>
    <w:basedOn w:val="Normal"/>
    <w:semiHidden/>
    <w:pPr>
      <w:spacing w:line="480" w:lineRule="auto"/>
    </w:pPr>
  </w:style>
  <w:style w:type="paragraph" w:styleId="BodyText3">
    <w:name w:val="Body Text 3"/>
    <w:basedOn w:val="Normal"/>
    <w:semiHidden/>
    <w:rPr>
      <w:sz w:val="16"/>
      <w:szCs w:val="16"/>
    </w:rPr>
  </w:style>
  <w:style w:type="paragraph" w:styleId="BodyTextIndent2">
    <w:name w:val="Body Text Indent 2"/>
    <w:basedOn w:val="Normal"/>
    <w:semiHidden/>
    <w:pPr>
      <w:spacing w:line="480" w:lineRule="auto"/>
      <w:ind w:left="283"/>
    </w:pPr>
  </w:style>
  <w:style w:type="paragraph" w:styleId="BodyTextIndent3">
    <w:name w:val="Body Text Indent 3"/>
    <w:basedOn w:val="Normal"/>
    <w:semiHidden/>
    <w:pPr>
      <w:ind w:left="283"/>
    </w:pPr>
    <w:rPr>
      <w:sz w:val="16"/>
      <w:szCs w:val="16"/>
    </w:rPr>
  </w:style>
  <w:style w:type="character" w:styleId="HTMLVariable">
    <w:name w:val="HTML Variable"/>
    <w:semiHidden/>
    <w:rPr>
      <w:i/>
      <w:iCs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Salutation">
    <w:name w:val="Salutation"/>
    <w:basedOn w:val="Normal"/>
    <w:next w:val="Normal"/>
    <w:semiHidden/>
  </w:style>
  <w:style w:type="paragraph" w:styleId="ListContinue">
    <w:name w:val="List Continue"/>
    <w:basedOn w:val="Normal"/>
    <w:semiHidden/>
    <w:pPr>
      <w:ind w:left="283"/>
    </w:pPr>
  </w:style>
  <w:style w:type="paragraph" w:styleId="ListContinue2">
    <w:name w:val="List Continue 2"/>
    <w:basedOn w:val="Normal"/>
    <w:semiHidden/>
    <w:pPr>
      <w:ind w:left="566"/>
    </w:pPr>
  </w:style>
  <w:style w:type="paragraph" w:styleId="ListContinue3">
    <w:name w:val="List Continue 3"/>
    <w:basedOn w:val="Normal"/>
    <w:semiHidden/>
    <w:pPr>
      <w:ind w:left="849"/>
    </w:pPr>
  </w:style>
  <w:style w:type="paragraph" w:styleId="ListContinue4">
    <w:name w:val="List Continue 4"/>
    <w:basedOn w:val="Normal"/>
    <w:semiHidden/>
    <w:pPr>
      <w:ind w:left="1132"/>
    </w:pPr>
  </w:style>
  <w:style w:type="paragraph" w:styleId="ListContinue5">
    <w:name w:val="List Continue 5"/>
    <w:basedOn w:val="Normal"/>
    <w:semiHidden/>
    <w:pPr>
      <w:ind w:left="1415"/>
    </w:pPr>
  </w:style>
  <w:style w:type="character" w:styleId="FollowedHyperlink">
    <w:name w:val="FollowedHyperlink"/>
    <w:semiHidden/>
    <w:rPr>
      <w:color w:val="800080"/>
      <w:u w:val="single"/>
    </w:rPr>
  </w:style>
  <w:style w:type="table" w:styleId="TableSimple2">
    <w:name w:val="Table Simple 2"/>
    <w:basedOn w:val="TableNormal"/>
    <w:semiHidden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pPr>
      <w:ind w:left="4252"/>
    </w:pPr>
  </w:style>
  <w:style w:type="table" w:styleId="TableGrid1">
    <w:name w:val="Table Grid 1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numbering" w:styleId="ArticleSection">
    <w:name w:val="Outline List 3"/>
    <w:basedOn w:val="NoList"/>
    <w:semiHidden/>
    <w:pPr>
      <w:numPr>
        <w:numId w:val="16"/>
      </w:numPr>
    </w:pPr>
  </w:style>
  <w:style w:type="table" w:styleId="TableColumns1">
    <w:name w:val="Table Columns 1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Pr>
      <w:b/>
      <w:bCs/>
    </w:rPr>
  </w:style>
  <w:style w:type="table" w:styleId="TableList1">
    <w:name w:val="Table List 1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pPr>
      <w:ind w:left="1440" w:right="1440"/>
    </w:pPr>
  </w:style>
  <w:style w:type="character" w:styleId="HTMLCite">
    <w:name w:val="HTML Cite"/>
    <w:semiHidden/>
    <w:rPr>
      <w:i/>
      <w:iCs/>
    </w:rPr>
  </w:style>
  <w:style w:type="paragraph" w:styleId="E-mailSignature">
    <w:name w:val="E-mail Signature"/>
    <w:basedOn w:val="Normal"/>
    <w:semiHidden/>
  </w:style>
  <w:style w:type="character" w:styleId="Hyperlink">
    <w:name w:val="Hyperlink"/>
    <w:semiHidden/>
    <w:rPr>
      <w:color w:val="000000"/>
      <w:u w:val="single"/>
    </w:rPr>
  </w:style>
  <w:style w:type="paragraph" w:customStyle="1" w:styleId="H1GR">
    <w:name w:val="_ H_1_GR"/>
    <w:basedOn w:val="Normal"/>
    <w:next w:val="Normal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0">
    <w:name w:val="_ H_2/3_GR"/>
    <w:basedOn w:val="Normal"/>
    <w:next w:val="Normal"/>
    <w:link w:val="H23GR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Pr>
      <w:sz w:val="16"/>
      <w:szCs w:val="16"/>
    </w:rPr>
  </w:style>
  <w:style w:type="table" w:customStyle="1" w:styleId="TabNum">
    <w:name w:val="_TabNum"/>
    <w:basedOn w:val="TableNormal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0</TotalTime>
  <Pages>1</Pages>
  <Words>7109</Words>
  <Characters>40525</Characters>
  <Application>Microsoft Office Word</Application>
  <DocSecurity>4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1042169.doc</vt:lpstr>
    </vt:vector>
  </TitlesOfParts>
  <Company>CSD</Company>
  <LinksUpToDate>false</LinksUpToDate>
  <CharactersWithSpaces>47539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1042169.doc</dc:title>
  <dc:subject>Дмитриев</dc:subject>
  <dc:creator>Беляева</dc:creator>
  <cp:keywords/>
  <dc:description/>
  <cp:lastModifiedBy>Беляева Светлана</cp:lastModifiedBy>
  <cp:revision>3</cp:revision>
  <cp:lastPrinted>2010-06-29T12:28:00Z</cp:lastPrinted>
  <dcterms:created xsi:type="dcterms:W3CDTF">2010-06-29T12:28:00Z</dcterms:created>
  <dcterms:modified xsi:type="dcterms:W3CDTF">2010-06-29T12:28:00Z</dcterms:modified>
</cp:coreProperties>
</file>