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after="240" w:line="240" w:lineRule="auto"/>
        <w:rPr>
          <w:sz w:val="2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763"/>
        <w:gridCol w:w="1623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gridSpan w:val="2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after="240" w:line="240" w:lineRule="auto"/>
              <w:rPr>
                <w:b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</w:tc>
        <w:tc>
          <w:tcPr>
            <w:tcW w:w="4458" w:type="dxa"/>
            <w:gridSpan w:val="2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  <w:spacing w:after="240" w:line="240" w:lineRule="auto"/>
            </w:pPr>
            <w:r>
              <w:t>CAT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gridSpan w:val="2"/>
            <w:tcBorders>
              <w:top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after="240" w:line="240" w:lineRule="auto"/>
              <w:rPr>
                <w:b/>
                <w:szCs w:val="24"/>
              </w:rPr>
            </w:pPr>
          </w:p>
        </w:tc>
        <w:tc>
          <w:tcPr>
            <w:tcW w:w="4458" w:type="dxa"/>
            <w:gridSpan w:val="2"/>
            <w:tcBorders>
              <w:top w:val="single" w:sz="18" w:space="0" w:color="auto"/>
            </w:tcBorders>
          </w:tcPr>
          <w:p w:rsidR="00000000" w:rsidRDefault="00000000">
            <w:pPr>
              <w:pStyle w:val="Heading7"/>
              <w:spacing w:after="240" w:line="240" w:lineRule="auto"/>
              <w:rPr>
                <w:sz w:val="24"/>
                <w:szCs w:val="24"/>
              </w:rPr>
            </w:pPr>
          </w:p>
        </w:tc>
      </w:tr>
      <w:bookmarkStart w:id="0" w:name="_MON_1115032092"/>
      <w:bookmarkEnd w:id="0"/>
      <w:tr w:rsidR="00000000">
        <w:tblPrEx>
          <w:tblBorders>
            <w:bottom w:val="single" w:sz="3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  <w:tcBorders>
              <w:top w:val="nil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after="240" w:line="240" w:lineRule="auto"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2240774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after="240" w:line="240" w:lineRule="auto"/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after="240"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after="240" w:line="240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  <w:r>
              <w:rPr>
                <w:sz w:val="22"/>
                <w:lang w:val="fr-CH"/>
              </w:rPr>
              <w:br/>
              <w:t>GENERAL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CAT/C/SR.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en-US"/>
              </w:rPr>
              <w:t>543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after="24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 October 2008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after="240"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US"/>
              </w:rPr>
              <w:t>Original</w:t>
            </w:r>
            <w:r>
              <w:rPr>
                <w:sz w:val="22"/>
                <w:lang w:val="en-GB"/>
              </w:rPr>
              <w:t>:  FRENCH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after="240" w:line="240" w:lineRule="auto"/>
              <w:ind w:left="29"/>
              <w:rPr>
                <w:sz w:val="22"/>
                <w:lang w:val="en-GB"/>
              </w:rPr>
            </w:pPr>
          </w:p>
        </w:tc>
      </w:tr>
    </w:tbl>
    <w:p w:rsidR="00000000" w:rsidRDefault="00000000">
      <w:pPr>
        <w:tabs>
          <w:tab w:val="left" w:pos="0"/>
        </w:tabs>
        <w:suppressAutoHyphens/>
        <w:spacing w:before="240" w:after="240" w:line="240" w:lineRule="auto"/>
        <w:jc w:val="center"/>
      </w:pPr>
      <w:r>
        <w:t>КОМИТЕТ ПРОТИВ ПЫТОК</w:t>
      </w:r>
    </w:p>
    <w:p w:rsidR="00000000" w:rsidRDefault="00000000">
      <w:pPr>
        <w:tabs>
          <w:tab w:val="left" w:pos="0"/>
        </w:tabs>
        <w:suppressAutoHyphens/>
        <w:spacing w:after="240" w:line="240" w:lineRule="auto"/>
        <w:jc w:val="center"/>
      </w:pPr>
      <w:r>
        <w:t>Двадцать девятая сессия</w:t>
      </w:r>
    </w:p>
    <w:p w:rsidR="00000000" w:rsidRDefault="00000000">
      <w:pPr>
        <w:tabs>
          <w:tab w:val="left" w:pos="0"/>
        </w:tabs>
        <w:suppressAutoHyphens/>
        <w:spacing w:after="240" w:line="240" w:lineRule="auto"/>
        <w:jc w:val="center"/>
      </w:pPr>
      <w:r>
        <w:t>КРАТКИЙ ОТЧЕТ О ПЕРВОЙ (ОТКРЫТОЙ)</w:t>
      </w:r>
      <w:r>
        <w:rPr>
          <w:b/>
          <w:bCs/>
          <w:vertAlign w:val="superscript"/>
          <w:lang w:val="fr-CH"/>
        </w:rPr>
        <w:t>*</w:t>
      </w:r>
      <w:r>
        <w:t xml:space="preserve"> ЧАСТИ 543-ГО ЗАСЕДАНИЯ,</w:t>
      </w:r>
    </w:p>
    <w:p w:rsidR="00000000" w:rsidRDefault="00000000">
      <w:pPr>
        <w:pStyle w:val="16"/>
        <w:tabs>
          <w:tab w:val="left" w:pos="0"/>
        </w:tabs>
        <w:suppressAutoHyphens/>
        <w:spacing w:after="240" w:line="240" w:lineRule="auto"/>
      </w:pPr>
      <w:r>
        <w:t>состоявшегося во Дворце Наций в Женеве</w:t>
      </w:r>
      <w:r>
        <w:br/>
        <w:t>в среду, 20 ноября 2002 года, в 15 час. 00 мин.</w:t>
      </w:r>
    </w:p>
    <w:p w:rsidR="00000000" w:rsidRDefault="00000000">
      <w:pPr>
        <w:tabs>
          <w:tab w:val="left" w:pos="0"/>
        </w:tabs>
        <w:suppressAutoHyphens/>
        <w:spacing w:after="240" w:line="240" w:lineRule="auto"/>
        <w:jc w:val="center"/>
      </w:pPr>
      <w:r>
        <w:rPr>
          <w:u w:val="single"/>
        </w:rPr>
        <w:t>Председатель</w:t>
      </w:r>
      <w:r>
        <w:t>:  г-н БЕРНС</w:t>
      </w:r>
    </w:p>
    <w:p w:rsidR="00000000" w:rsidRDefault="00000000">
      <w:pPr>
        <w:tabs>
          <w:tab w:val="left" w:pos="0"/>
        </w:tabs>
        <w:suppressAutoHyphens/>
        <w:spacing w:after="240" w:line="240" w:lineRule="auto"/>
        <w:jc w:val="center"/>
      </w:pPr>
      <w:r>
        <w:t>СОДЕРЖАНИЕ</w:t>
      </w:r>
    </w:p>
    <w:p w:rsidR="00000000" w:rsidRDefault="00000000">
      <w:pPr>
        <w:spacing w:after="240"/>
      </w:pPr>
      <w:r>
        <w:t xml:space="preserve">РАССМОТРЕНИЕ ДОКЛАДОВ, ПРЕДСТАВЛЕННЫХ ГОСУДАРСТВАМИ-УЧАСТНИКАМИ В СООТВЕТСТВИИ СО СТАТЬЕЙ 19 КОНВЕНЦИИ </w:t>
      </w:r>
      <w:r>
        <w:rPr>
          <w:iCs/>
        </w:rPr>
        <w:t>(</w:t>
      </w:r>
      <w:r>
        <w:rPr>
          <w:i/>
        </w:rPr>
        <w:t>продолжение</w:t>
      </w:r>
      <w:r>
        <w:rPr>
          <w:iCs/>
        </w:rPr>
        <w:t>)</w:t>
      </w:r>
    </w:p>
    <w:p w:rsidR="00000000" w:rsidRDefault="00000000">
      <w:pPr>
        <w:pStyle w:val="Heading8"/>
        <w:rPr>
          <w:i/>
        </w:rPr>
      </w:pPr>
      <w:r>
        <w:t>Выводы и рекомендации относительно четвертого периодического доклада Египта</w:t>
      </w:r>
    </w:p>
    <w:p w:rsidR="00000000" w:rsidRDefault="00000000">
      <w:pPr>
        <w:pStyle w:val="12"/>
        <w:tabs>
          <w:tab w:val="left" w:pos="0"/>
        </w:tabs>
        <w:suppressAutoHyphens/>
        <w:spacing w:after="240" w:line="240" w:lineRule="auto"/>
      </w:pPr>
      <w:r>
        <w:br w:type="page"/>
        <w:t>Заседание открывается в 15 час. 10 мин.</w:t>
      </w:r>
    </w:p>
    <w:p w:rsidR="00000000" w:rsidRDefault="00000000">
      <w:pPr>
        <w:tabs>
          <w:tab w:val="left" w:pos="0"/>
        </w:tabs>
        <w:suppressAutoHyphens/>
        <w:spacing w:after="240" w:line="240" w:lineRule="auto"/>
      </w:pPr>
      <w:r>
        <w:t xml:space="preserve">РАССМОТРЕНИЕ ДОКЛАДОВ, ПРЕДСТАВЛЕННЫХ ГОСУДАРСТВАМИ-УЧАСТНИКАМИ В СООТВЕТСТВИИ СО СТАТЬЕЙ 19 КОНВЕНЦИИ (пункт 4 повестки дня) </w:t>
      </w:r>
      <w:r>
        <w:rPr>
          <w:iCs/>
        </w:rPr>
        <w:t>(</w:t>
      </w:r>
      <w:r>
        <w:rPr>
          <w:i/>
        </w:rPr>
        <w:t>продолжение</w:t>
      </w:r>
      <w:r>
        <w:rPr>
          <w:iCs/>
        </w:rPr>
        <w:t>)</w:t>
      </w:r>
    </w:p>
    <w:p w:rsidR="00000000" w:rsidRDefault="00000000">
      <w:pPr>
        <w:tabs>
          <w:tab w:val="left" w:pos="0"/>
        </w:tabs>
        <w:suppressAutoHyphens/>
        <w:spacing w:after="240" w:line="240" w:lineRule="auto"/>
      </w:pPr>
      <w:r>
        <w:rPr>
          <w:u w:val="single"/>
        </w:rPr>
        <w:t>Выводы и рекомендации относительно четвертого периодического доклада Египта</w:t>
      </w:r>
      <w:r>
        <w:t xml:space="preserve"> (CAT/C/55/</w:t>
      </w:r>
      <w:r>
        <w:rPr>
          <w:lang w:val="en-US"/>
        </w:rPr>
        <w:t>Add</w:t>
      </w:r>
      <w:r>
        <w:t>.6)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XXIX</w:t>
      </w:r>
      <w:r>
        <w:t>/</w:t>
      </w:r>
      <w:r>
        <w:rPr>
          <w:lang w:val="en-US"/>
        </w:rPr>
        <w:t>MISC</w:t>
      </w:r>
      <w:r>
        <w:t>.4</w:t>
      </w:r>
      <w:r>
        <w:rPr>
          <w:snapToGrid w:val="0"/>
        </w:rPr>
        <w:t>)</w:t>
      </w:r>
    </w:p>
    <w:p w:rsidR="00000000" w:rsidRDefault="00000000">
      <w:pPr>
        <w:spacing w:after="240" w:line="240" w:lineRule="auto"/>
      </w:pPr>
      <w:r>
        <w:t>1.</w:t>
      </w:r>
      <w:r>
        <w:tab/>
      </w:r>
      <w:r>
        <w:rPr>
          <w:i/>
          <w:iCs/>
        </w:rPr>
        <w:t>По приглашению Председателя члены делегации Египта занимают места за столом Комитета.</w:t>
      </w:r>
    </w:p>
    <w:p w:rsidR="00000000" w:rsidRDefault="00000000">
      <w:pPr>
        <w:spacing w:after="240" w:line="240" w:lineRule="auto"/>
      </w:pPr>
      <w:r>
        <w:t>2.</w:t>
      </w:r>
      <w:r>
        <w:tab/>
      </w:r>
      <w:r>
        <w:rPr>
          <w:u w:val="single"/>
        </w:rPr>
        <w:t>Г-н МАРИНЬО МЕНЕНДЕС</w:t>
      </w:r>
      <w:r>
        <w:t xml:space="preserve"> (Докладчик по Египту) зачитывает на испанском языке выводы и рекомендации Комитета относительно четвертого периодического доклада Египта (CAT/C/55/Add.6), текст которых приводится ниже:</w:t>
      </w:r>
    </w:p>
    <w:p w:rsidR="00000000" w:rsidRDefault="00000000">
      <w:pPr>
        <w:spacing w:after="240" w:line="240" w:lineRule="auto"/>
        <w:ind w:left="567"/>
        <w:jc w:val="center"/>
        <w:rPr>
          <w:u w:val="single"/>
        </w:rPr>
      </w:pPr>
      <w:r>
        <w:t xml:space="preserve">«A.  </w:t>
      </w:r>
      <w:r>
        <w:rPr>
          <w:u w:val="single"/>
        </w:rPr>
        <w:t>Введение</w:t>
      </w:r>
    </w:p>
    <w:p w:rsidR="00000000" w:rsidRDefault="00000000">
      <w:pPr>
        <w:spacing w:after="240" w:line="240" w:lineRule="auto"/>
        <w:ind w:left="567"/>
      </w:pPr>
      <w:r>
        <w:tab/>
        <w:t>Комитет с удовлетворением отмечает своевременное представление четвертого периодического доклада Египта, который был подготовлен в полном соответствии с указаниями Комитета по форме и содержанию периодических докладов. Комитет также с удовлетворением отмечает откровенный диалог, состоявшийся с представителями государства-участника в ходе устного рассмотрения доклада и обсуждения представленной ими дополнительной информации. Комитет отмечает, что в докладе содержится весьма полезная информация о принятых новых законодательных текстах, направленных на осуществление и популяризацию Конвенции.</w:t>
      </w:r>
    </w:p>
    <w:p w:rsidR="00000000" w:rsidRDefault="00000000">
      <w:pPr>
        <w:spacing w:after="240" w:line="240" w:lineRule="auto"/>
        <w:ind w:left="567"/>
      </w:pPr>
      <w:r>
        <w:tab/>
        <w:t>Комитету известно о тех трудностях, с которыми государству-участнику приходится сталкиваться в ходе проводимой им борьбы с терроризмом, но он напоминает, что никакие исключительные обстоятельства, какими бы они ни были, не могут использоваться для оправдания пыток.</w:t>
      </w:r>
    </w:p>
    <w:p w:rsidR="00000000" w:rsidRDefault="00000000">
      <w:pPr>
        <w:spacing w:after="240" w:line="240" w:lineRule="auto"/>
        <w:ind w:left="567"/>
        <w:jc w:val="center"/>
        <w:rPr>
          <w:u w:val="single"/>
        </w:rPr>
      </w:pPr>
      <w:r>
        <w:t xml:space="preserve">B.  </w:t>
      </w:r>
      <w:r>
        <w:rPr>
          <w:u w:val="single"/>
        </w:rPr>
        <w:t>Позитивные аспекты</w:t>
      </w:r>
    </w:p>
    <w:p w:rsidR="00000000" w:rsidRDefault="00000000">
      <w:pPr>
        <w:spacing w:after="240" w:line="240" w:lineRule="auto"/>
        <w:ind w:left="567"/>
      </w:pPr>
      <w:r>
        <w:tab/>
        <w:t>Комитет с удовлетворением отмечает следующие моменты:</w:t>
      </w:r>
    </w:p>
    <w:p w:rsidR="00000000" w:rsidRDefault="00000000">
      <w:pPr>
        <w:spacing w:after="240" w:line="240" w:lineRule="auto"/>
        <w:ind w:left="567"/>
      </w:pPr>
      <w:r>
        <w:tab/>
      </w:r>
      <w:r>
        <w:rPr>
          <w:lang w:val="en-US"/>
        </w:rPr>
        <w:t>a</w:t>
      </w:r>
      <w:r>
        <w:t>)</w:t>
      </w:r>
      <w:r>
        <w:tab/>
        <w:t>принятие закона о запрещении бичевания как меры дисциплинарного наказания заключенных;</w:t>
      </w:r>
    </w:p>
    <w:p w:rsidR="00000000" w:rsidRDefault="00000000">
      <w:pPr>
        <w:spacing w:after="240" w:line="240" w:lineRule="auto"/>
        <w:ind w:left="567"/>
      </w:pPr>
      <w:r>
        <w:tab/>
      </w:r>
      <w:r>
        <w:rPr>
          <w:lang w:val="en-US"/>
        </w:rPr>
        <w:t>b</w:t>
      </w:r>
      <w:r>
        <w:t>)</w:t>
      </w:r>
      <w:r>
        <w:tab/>
        <w:t>издание циркуляра № 11 от 1999 года, определяющего процедуру необъявленных инспекций, которые должен проводить прокурор путем посещения мест содержания под стражей, в частности если ему была доведена в устной или письменной форме информация о незаконном содержании лица в комиссариате полиции или в другом месте содержания под стражей;</w:t>
      </w:r>
    </w:p>
    <w:p w:rsidR="00000000" w:rsidRDefault="00000000">
      <w:pPr>
        <w:spacing w:after="240" w:line="240" w:lineRule="auto"/>
        <w:ind w:left="567"/>
      </w:pPr>
      <w:r>
        <w:tab/>
        <w:t>с)</w:t>
      </w:r>
      <w:r>
        <w:tab/>
        <w:t>решения, принимаемые египетскими судами по вопросам отклонения или принятия в качестве доказательств любых признаний, полученных силой;</w:t>
      </w:r>
    </w:p>
    <w:p w:rsidR="00000000" w:rsidRDefault="00000000">
      <w:pPr>
        <w:spacing w:after="240" w:line="240" w:lineRule="auto"/>
        <w:ind w:left="567"/>
      </w:pPr>
      <w:r>
        <w:rPr>
          <w:lang w:val="en-US"/>
        </w:rPr>
        <w:tab/>
        <w:t>d</w:t>
      </w:r>
      <w:r>
        <w:t>)</w:t>
      </w:r>
      <w:r>
        <w:tab/>
        <w:t>усилия, предпринимаемые государством-участником в направлении повышения уровня правозащитной подготовки должностных лиц, отвечающих за применение законов, и представителей государственной власти;</w:t>
      </w:r>
    </w:p>
    <w:p w:rsidR="00000000" w:rsidRDefault="00000000">
      <w:pPr>
        <w:spacing w:after="240" w:line="240" w:lineRule="auto"/>
        <w:ind w:left="567"/>
      </w:pPr>
      <w:r>
        <w:tab/>
      </w:r>
      <w:r>
        <w:rPr>
          <w:lang w:val="en-US"/>
        </w:rPr>
        <w:t>e</w:t>
      </w:r>
      <w:r>
        <w:t>)</w:t>
      </w:r>
      <w:r>
        <w:tab/>
        <w:t>создание в 1999 году Комиссии по правам человека, мандат которой предусматривает вынесение рекомендаций относительно мер, гарантирующих более эффективную защиту прав человека;</w:t>
      </w:r>
    </w:p>
    <w:p w:rsidR="00000000" w:rsidRDefault="00000000">
      <w:pPr>
        <w:spacing w:after="240" w:line="240" w:lineRule="auto"/>
        <w:ind w:left="567"/>
      </w:pPr>
      <w:r>
        <w:tab/>
      </w:r>
      <w:r>
        <w:rPr>
          <w:lang w:val="en-US"/>
        </w:rPr>
        <w:t>f</w:t>
      </w:r>
      <w:r>
        <w:t>)</w:t>
      </w:r>
      <w:r>
        <w:tab/>
        <w:t>создание в 2000 году Генерального управления по вопросам прав человека в системе Министерства юстиции, которому поручено осуществлять надзор за соблюдением всех юридических аспектов международных обязательств по правозащитным инструментам, а также готовить ответы международным органам, содействовать повышению осведомленности по этой тематике и обеспечивать профессиональную подготовку сотрудников судебной системы и Департамента исполнения наказаний;</w:t>
      </w:r>
    </w:p>
    <w:p w:rsidR="00000000" w:rsidRDefault="00000000">
      <w:pPr>
        <w:spacing w:after="240" w:line="240" w:lineRule="auto"/>
        <w:ind w:left="567"/>
      </w:pPr>
      <w:r>
        <w:tab/>
      </w:r>
      <w:r>
        <w:rPr>
          <w:lang w:val="en-US"/>
        </w:rPr>
        <w:t>g</w:t>
      </w:r>
      <w:r>
        <w:t>)</w:t>
      </w:r>
      <w:r>
        <w:tab/>
        <w:t>меры, принятые государством-участником для создания Национальной комиссии по правам человека.</w:t>
      </w:r>
    </w:p>
    <w:p w:rsidR="00000000" w:rsidRDefault="00000000">
      <w:pPr>
        <w:spacing w:after="240" w:line="240" w:lineRule="auto"/>
        <w:ind w:left="567"/>
        <w:jc w:val="center"/>
        <w:rPr>
          <w:u w:val="single"/>
        </w:rPr>
      </w:pPr>
      <w:r>
        <w:t xml:space="preserve">C.  </w:t>
      </w:r>
      <w:r>
        <w:rPr>
          <w:u w:val="single"/>
        </w:rPr>
        <w:t>Проблемы, вызывающие озабоченность</w:t>
      </w:r>
    </w:p>
    <w:p w:rsidR="00000000" w:rsidRDefault="00000000">
      <w:pPr>
        <w:spacing w:after="240" w:line="240" w:lineRule="auto"/>
        <w:ind w:left="567"/>
      </w:pPr>
      <w:r>
        <w:tab/>
        <w:t>У Комитета вызывают озабоченность следующие моменты:</w:t>
      </w:r>
    </w:p>
    <w:p w:rsidR="00000000" w:rsidRDefault="00000000">
      <w:pPr>
        <w:spacing w:after="240" w:line="240" w:lineRule="auto"/>
        <w:ind w:left="567"/>
      </w:pPr>
      <w:r>
        <w:rPr>
          <w:lang w:val="en-US"/>
        </w:rPr>
        <w:tab/>
        <w:t>a</w:t>
      </w:r>
      <w:r>
        <w:t>)</w:t>
      </w:r>
      <w:r>
        <w:tab/>
        <w:t>сохраняющееся с 1981 года чрезвычайное положение, которое препятствует полному торжеству верховенства права в Египте;</w:t>
      </w:r>
    </w:p>
    <w:p w:rsidR="00000000" w:rsidRDefault="00000000">
      <w:pPr>
        <w:spacing w:after="240" w:line="240" w:lineRule="auto"/>
        <w:ind w:left="567"/>
      </w:pPr>
      <w:r>
        <w:tab/>
      </w:r>
      <w:r>
        <w:rPr>
          <w:lang w:val="en-US"/>
        </w:rPr>
        <w:t>b</w:t>
      </w:r>
      <w:r>
        <w:t>)</w:t>
      </w:r>
      <w:r>
        <w:tab/>
        <w:t>многочисленные жалобы на сохранение практики пыток и плохого обращения с задержанными со стороны сотрудников правозащитной системы, а также отсутствие эффективных средств защиты и оперативных и беспристрастных расследований; во многих из этих жалоб речь идет о многочисленных случаях смерти среди заключенных;</w:t>
      </w:r>
    </w:p>
    <w:p w:rsidR="00000000" w:rsidRDefault="00000000">
      <w:pPr>
        <w:spacing w:after="240" w:line="240" w:lineRule="auto"/>
        <w:ind w:left="567"/>
      </w:pPr>
      <w:r>
        <w:tab/>
      </w:r>
      <w:r>
        <w:rPr>
          <w:lang w:val="en-US"/>
        </w:rPr>
        <w:t>c</w:t>
      </w:r>
      <w:r>
        <w:t>)</w:t>
      </w:r>
      <w:r>
        <w:tab/>
        <w:t>у Комитета вызывают особую озабоченность акты пыток и плохого обращения в административных центрах, находящихся под контролем следственного отдела государственной безопасности (СОГБ), практика которых на явно систематической основе облегчается отсутствием обязательной инспекции этих центров;</w:t>
      </w:r>
    </w:p>
    <w:p w:rsidR="00000000" w:rsidRDefault="00000000">
      <w:pPr>
        <w:spacing w:after="240" w:line="240" w:lineRule="auto"/>
        <w:ind w:left="567"/>
      </w:pPr>
      <w:r>
        <w:rPr>
          <w:lang w:val="en-US"/>
        </w:rPr>
        <w:tab/>
        <w:t>d</w:t>
      </w:r>
      <w:r>
        <w:t>)</w:t>
      </w:r>
      <w:r>
        <w:tab/>
        <w:t>тот факт, что жертвы пыток и плохого обращения не могут подавать свои жалобы напрямую в суды;</w:t>
      </w:r>
    </w:p>
    <w:p w:rsidR="00000000" w:rsidRDefault="00000000">
      <w:pPr>
        <w:spacing w:after="240" w:line="240" w:lineRule="auto"/>
        <w:ind w:left="567"/>
      </w:pPr>
      <w:r>
        <w:tab/>
      </w:r>
      <w:r>
        <w:rPr>
          <w:lang w:val="en-US"/>
        </w:rPr>
        <w:t>e</w:t>
      </w:r>
      <w:r>
        <w:t>)</w:t>
      </w:r>
      <w:r>
        <w:tab/>
        <w:t>чрезмерная затянутость рассмотрения большого числа дел по фактам пыток или плохого обращения и тот факт, что большое число судебных решений об освобождении задержанных не выполняются на практике;</w:t>
      </w:r>
    </w:p>
    <w:p w:rsidR="00000000" w:rsidRDefault="00000000">
      <w:pPr>
        <w:spacing w:after="240" w:line="240" w:lineRule="auto"/>
        <w:ind w:left="567"/>
      </w:pPr>
      <w:r>
        <w:tab/>
      </w:r>
      <w:r>
        <w:rPr>
          <w:lang w:val="en-US"/>
        </w:rPr>
        <w:t>f</w:t>
      </w:r>
      <w:r>
        <w:t>)</w:t>
      </w:r>
      <w:r>
        <w:tab/>
        <w:t>Комитет осознает необходимость принятия мер обеспечения защиты ввиду проводимой борьбы с терроризмом, но тем не менее выражает озабоченность по поводу ограничений на права человека, которые рискуют затруднить принятие мер по их защите;</w:t>
      </w:r>
    </w:p>
    <w:p w:rsidR="00000000" w:rsidRDefault="00000000">
      <w:pPr>
        <w:spacing w:after="240" w:line="240" w:lineRule="auto"/>
        <w:ind w:left="567"/>
      </w:pPr>
      <w:r>
        <w:rPr>
          <w:lang w:val="en-US"/>
        </w:rPr>
        <w:tab/>
        <w:t>g</w:t>
      </w:r>
      <w:r>
        <w:t>)</w:t>
      </w:r>
      <w:r>
        <w:tab/>
        <w:t>многочисленные сообщения о злоупотреблениях, жертвами которых становятся несовершеннолетние заключенные, в частности, в форме сексуального домогательства, объектом которого становятся девочки-подростки, со стороны сотрудников правозащитных систем в отсутствие механизмов контроля, позволяющих расследовать случае злоупотреблений и преследовать виновных по закону, а также тот факт, что несовершеннолетние помещаются вместе с заключенными взрослыми;</w:t>
      </w:r>
    </w:p>
    <w:p w:rsidR="00000000" w:rsidRDefault="00000000">
      <w:pPr>
        <w:spacing w:after="240" w:line="240" w:lineRule="auto"/>
        <w:ind w:left="567"/>
      </w:pPr>
      <w:r>
        <w:tab/>
      </w:r>
      <w:r>
        <w:rPr>
          <w:lang w:val="en-US"/>
        </w:rPr>
        <w:t>h</w:t>
      </w:r>
      <w:r>
        <w:t>)</w:t>
      </w:r>
      <w:r>
        <w:tab/>
        <w:t>поступающие жалобы на плохое обращение с мужчинами из-за их фактической или предполагаемой склонности к гомосексуализму, чему, как представляется, потворствует недостаточная четкость уголовного законодательства;</w:t>
      </w:r>
    </w:p>
    <w:p w:rsidR="00000000" w:rsidRDefault="00000000">
      <w:pPr>
        <w:spacing w:after="240" w:line="240" w:lineRule="auto"/>
        <w:ind w:left="567"/>
      </w:pPr>
      <w:r>
        <w:tab/>
      </w:r>
      <w:r>
        <w:rPr>
          <w:lang w:val="en-US"/>
        </w:rPr>
        <w:t>i</w:t>
      </w:r>
      <w:r>
        <w:t>)</w:t>
      </w:r>
      <w:r>
        <w:tab/>
        <w:t>жалобы на насильственное выселение и снос жилья применяющими силу властями в отсутствие должных юридических гарантий жертвам; по мнению Комитета, такая практика может квалифицироваться как бесчеловечное или унижающее достоинство обращение согласно статье 16 Конвенции;</w:t>
      </w:r>
    </w:p>
    <w:p w:rsidR="00000000" w:rsidRDefault="00000000">
      <w:pPr>
        <w:spacing w:after="240" w:line="240" w:lineRule="auto"/>
        <w:ind w:left="567"/>
      </w:pPr>
      <w:r>
        <w:tab/>
      </w:r>
      <w:r>
        <w:rPr>
          <w:lang w:val="en-US"/>
        </w:rPr>
        <w:t>j</w:t>
      </w:r>
      <w:r>
        <w:t>)</w:t>
      </w:r>
      <w:r>
        <w:tab/>
        <w:t>ограничения, налагаемые в законодательном порядке или на практике, в отношении деятельности неправительственных правозащитных организаций;</w:t>
      </w:r>
    </w:p>
    <w:p w:rsidR="00000000" w:rsidRDefault="00000000">
      <w:pPr>
        <w:spacing w:after="240" w:line="240" w:lineRule="auto"/>
        <w:ind w:left="567"/>
      </w:pPr>
      <w:r>
        <w:tab/>
      </w:r>
      <w:r>
        <w:rPr>
          <w:lang w:val="en-US"/>
        </w:rPr>
        <w:t>k</w:t>
      </w:r>
      <w:r>
        <w:t>)</w:t>
      </w:r>
      <w:r>
        <w:tab/>
        <w:t>большие различия в компенсациях, выплачиваемых жертвам пыток и плохого обращения.</w:t>
      </w:r>
    </w:p>
    <w:p w:rsidR="00000000" w:rsidRDefault="00000000">
      <w:pPr>
        <w:keepNext/>
        <w:spacing w:after="240" w:line="240" w:lineRule="auto"/>
        <w:ind w:left="567"/>
        <w:jc w:val="center"/>
      </w:pPr>
      <w:r>
        <w:t xml:space="preserve">D.  </w:t>
      </w:r>
      <w:r>
        <w:rPr>
          <w:u w:val="single"/>
        </w:rPr>
        <w:t>Рекомендации</w:t>
      </w:r>
    </w:p>
    <w:p w:rsidR="00000000" w:rsidRDefault="00000000">
      <w:pPr>
        <w:spacing w:after="240" w:line="240" w:lineRule="auto"/>
        <w:ind w:left="567"/>
        <w:rPr>
          <w:lang w:val="en-US"/>
        </w:rPr>
      </w:pPr>
      <w:r>
        <w:tab/>
        <w:t>Комитет</w:t>
      </w:r>
      <w:r>
        <w:rPr>
          <w:lang w:val="en-US"/>
        </w:rPr>
        <w:t xml:space="preserve"> </w:t>
      </w:r>
      <w:r>
        <w:t>рекомендует</w:t>
      </w:r>
      <w:r>
        <w:rPr>
          <w:lang w:val="en-US"/>
        </w:rPr>
        <w:t xml:space="preserve"> </w:t>
      </w:r>
      <w:r>
        <w:t>государству</w:t>
      </w:r>
      <w:r>
        <w:rPr>
          <w:lang w:val="en-US"/>
        </w:rPr>
        <w:t>-</w:t>
      </w:r>
      <w:r>
        <w:t>участнику</w:t>
      </w:r>
      <w:r>
        <w:rPr>
          <w:lang w:val="en-US"/>
        </w:rPr>
        <w:t>: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a</w:t>
      </w:r>
      <w:r>
        <w:t>)</w:t>
      </w:r>
      <w:r>
        <w:tab/>
        <w:t>пересмотреть вопрос о сохранении чрезвычайного положения;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b</w:t>
      </w:r>
      <w:r>
        <w:t>)</w:t>
      </w:r>
      <w:r>
        <w:tab/>
        <w:t>принять определение пытки, которое полностью соответствует определению ее в пункте 1 статьи 1 Конвенции;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c</w:t>
      </w:r>
      <w:r>
        <w:t>)</w:t>
      </w:r>
      <w:r>
        <w:tab/>
        <w:t>принять меры к тому, чтобы любые жалобы на акты пыток или плохого обращения становились предметом оперативного, беспристрастного и независимого расследования, включая жалобы на смерть заключенных;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d</w:t>
      </w:r>
      <w:r>
        <w:t>)</w:t>
      </w:r>
      <w:r>
        <w:tab/>
        <w:t>принять меры к тому, чтобы представители закона и судьи имели возможность оперативно проводить обязательные инспекции мест официального содержания под стражей;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e</w:t>
      </w:r>
      <w:r>
        <w:t>)</w:t>
      </w:r>
      <w:r>
        <w:tab/>
        <w:t>принять меры для того, чтобы любое лицо, взятое под стражу, имело беспрепятственный доступ к услугам врача и адвоката и могло также незамедлительно связаться со своими близкими;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f</w:t>
      </w:r>
      <w:r>
        <w:t>)</w:t>
      </w:r>
      <w:r>
        <w:tab/>
        <w:t>отменить любые формы административного задержания; кроме того, изоляторы, находящиеся под контролем СОГБ, должны подлежать обязательной инспекции, и любые жалобы на акты пыток и плохого обращения с людьми, содержащимися в этих изоляторах, должны становиться предметом оперативного и беспристрастного расследования;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g</w:t>
      </w:r>
      <w:r>
        <w:t>)</w:t>
      </w:r>
      <w:r>
        <w:tab/>
        <w:t>принять меры к тому, чтобы в законодательстве государства-участника полностью осуществлялись права, признаваемые Конвенцией, и внедрить эффективную процедуру защитных мер в целях осуществления этих прав; государству-участнику следует, в частности, позаботиться о том, чтобы судебные расследования проводились в разумные сроки после подачи жалобы и чтобы любое судебное решение об освобождении задержанных выполнялось на практике;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h</w:t>
      </w:r>
      <w:r>
        <w:t>)</w:t>
      </w:r>
      <w:r>
        <w:tab/>
        <w:t>отменить практику тайного задержания;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i</w:t>
      </w:r>
      <w:r>
        <w:t>)</w:t>
      </w:r>
      <w:r>
        <w:tab/>
        <w:t>предусмотреть систему обжалования решений военных трибуналов по делам о терроризме;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j</w:t>
      </w:r>
      <w:r>
        <w:t>)</w:t>
      </w:r>
      <w:r>
        <w:tab/>
        <w:t>положить конец любой практике насилия над несовершеннолетними в местах содержания под стражей, наказывать виновных и запретить общение между несовершеннолетними заключенными и предполагаемыми взрослыми преступниками;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k</w:t>
      </w:r>
      <w:r>
        <w:t>)</w:t>
      </w:r>
      <w:r>
        <w:tab/>
        <w:t>принять меры для устранения любых разночтений в законодательстве, способных провоцировать преследование лиц в силу их сексуальной ориентации; кроме того, государству-участнику следует принять меры, направленные на предотвращение любых форм унижающего достоинство обращения при личном досмотре;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l</w:t>
      </w:r>
      <w:r>
        <w:t>)</w:t>
      </w:r>
      <w:r>
        <w:tab/>
        <w:t>принять необходимые меры для эффективного создания своей компетенции в отношении всех лиц, подозреваемых в совершении пыток, которые находятся на его территории и не выданы другим государствам для предания суду в соответствии с положения статей 5</w:t>
      </w:r>
      <w:r>
        <w:noBreakHyphen/>
        <w:t>8 Конвенции;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m</w:t>
      </w:r>
      <w:r>
        <w:t>)</w:t>
      </w:r>
      <w:r>
        <w:tab/>
        <w:t>Комитет вновь напоминает государству-участнику о тех рекомендациях, которые он дал 3 мая 1996 года на основе своих выводов в рамках процедуры выполнения статьи 20 Конвенции, и просит его доложить Комитету о мерах, принятых для практического выполнения этих рекомендаций;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n</w:t>
      </w:r>
      <w:r>
        <w:t>)</w:t>
      </w:r>
      <w:r>
        <w:tab/>
        <w:t>с учетом заявлений государства-участника, выражающих его готовность сотрудничать с механизмами защиты прав человека Организации Объединенных Наций, Комитет рекомендует ему дать разрешение на посещение его специальным докладчиком Комиссии по правам человека по вопросу о пытках;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o</w:t>
      </w:r>
      <w:r>
        <w:t>)</w:t>
      </w:r>
      <w:r>
        <w:tab/>
        <w:t>принять необходимые меры, с тем чтобы неправительственные правозащитные организации могли беспрепятственно заниматься своей деятельностью и, в частности, могли иметь доступ ко всем местам содержания под стражей и пенитенциарным учреждениям, с тем чтобы гарантировать более полное соблюдение запрета на пытки и плохое обращение;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p</w:t>
      </w:r>
      <w:r>
        <w:t>)</w:t>
      </w:r>
      <w:r>
        <w:tab/>
        <w:t>ввести четкие правила и нормы, позволяющие выплачивать жертвам пыток и плохого обращения полную компенсацию без необоснованных различий в ее размерах;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q</w:t>
      </w:r>
      <w:r>
        <w:t>)</w:t>
      </w:r>
      <w:r>
        <w:tab/>
        <w:t>продолжать вести работу по выполнению программ подготовки кадров правозащитных структур, в частности, в том, что касается обязательств, предусмотренных Конвенцией, и соблюдение прав всех заключенных на помощь врача и адвоката и общение с близкими;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r</w:t>
      </w:r>
      <w:r>
        <w:t>)</w:t>
      </w:r>
      <w:r>
        <w:tab/>
        <w:t>предусмотреть выступление с заявлениями в соответствии со статьями 21 и 22 Конвенции;</w:t>
      </w:r>
    </w:p>
    <w:p w:rsidR="00000000" w:rsidRDefault="00000000">
      <w:pPr>
        <w:spacing w:after="240" w:line="240" w:lineRule="auto"/>
        <w:ind w:left="567" w:firstLine="567"/>
      </w:pPr>
      <w:r>
        <w:rPr>
          <w:lang w:val="en-US"/>
        </w:rPr>
        <w:t>s</w:t>
      </w:r>
      <w:r>
        <w:t>)</w:t>
      </w:r>
      <w:r>
        <w:tab/>
        <w:t>обеспечить широкое распространение выводов и рекомендаций Комитета в государстве-участнике на всех соответствующих языках.»</w:t>
      </w:r>
    </w:p>
    <w:p w:rsidR="00000000" w:rsidRDefault="00000000">
      <w:pPr>
        <w:spacing w:after="240" w:line="240" w:lineRule="auto"/>
      </w:pPr>
      <w:r>
        <w:t>3.</w:t>
      </w:r>
      <w:r>
        <w:tab/>
      </w:r>
      <w:r>
        <w:rPr>
          <w:u w:val="single"/>
        </w:rPr>
        <w:t>Г-н ХАМИД</w:t>
      </w:r>
      <w:r>
        <w:t xml:space="preserve"> (Египет) говорит, что он внимательно прослушал зачитанные выводы и рекомендации, и благодарит докладчиков за проделанную ими работу. Египетская делегация представила свой доклад своевременно и в соответствии с указаниями Комитета; она дополнила его сопроводительными документами и дала устные ответы в ходе дискуссий, а также в последующем письменные ответы, тем самым подтверждая свою готовность к полному и безусловному сотрудничеству и поддержанию конструктивного диалога с Комитетом в целях более эффективного выполнения Конвенции и более полного соблюдения прав человека на своей территории. Со своей стороны, члены Комитета проявили большое понимание интересов делегаций как в своих замечаниях по поводу третьего доклада, так и в ходе дебатов относительно третьего и четвертого докладов. И все же зачитанные рекомендации не совсем отвечают духу и направленности того, что было сказано в ходе дискуссии. Некоторые из ответов, неоднократно повторенных делегацией, не были учтены в этих рекомендациях, часть из которых временами были довольно далеки от реального положения вещей в стране. Во-вторых, некоторые из них уже выполнены, о чем было сказано в ходе дискуссии: например, рекомендации по поводу экстренных инспекций мест содержания под стражей. Кроме того, отдельные из этих рекомендаций не совсем четкие и носят слишком общий характер, что затрудняет их выполнение; они, скорее, напоминают политическую оценку, что выходит временами за пределы мандата Комитета. Египет ожидал от Комитета конкретных рекомендаций, применимых на практике и способных содействовать дальнейшему продвижению в деле поощрения прав человека; ему способствовало бы наличие большого опыта и знаний у членов Комитета. Как бы там ни было, египетская делегация внимательно изучит эти выводы и рекомендации и передаст их своему правительству. Г-н Хамид высказывает надежду, что на этом диалог между Египтом и Комитетом далеко не заканчивается.</w:t>
      </w:r>
    </w:p>
    <w:p w:rsidR="00000000" w:rsidRDefault="00000000">
      <w:pPr>
        <w:spacing w:after="240" w:line="240" w:lineRule="auto"/>
      </w:pPr>
      <w:r>
        <w:t>4.</w:t>
      </w:r>
      <w:r>
        <w:tab/>
      </w:r>
      <w:r>
        <w:rPr>
          <w:i/>
          <w:u w:val="single"/>
        </w:rPr>
        <w:t>ПРЕДСЕДАТЕЛЬ</w:t>
      </w:r>
      <w:r>
        <w:rPr>
          <w:i/>
        </w:rPr>
        <w:t xml:space="preserve"> благодарит г-на Хамида за его выступление.</w:t>
      </w:r>
    </w:p>
    <w:p w:rsidR="00000000" w:rsidRDefault="00000000">
      <w:pPr>
        <w:spacing w:after="240" w:line="240" w:lineRule="auto"/>
        <w:rPr>
          <w:i/>
        </w:rPr>
      </w:pPr>
      <w:r>
        <w:t>5.</w:t>
      </w:r>
      <w:r>
        <w:tab/>
      </w:r>
      <w:r>
        <w:rPr>
          <w:i/>
        </w:rPr>
        <w:t>Члены делегации Египта покидают зал заседаний.</w:t>
      </w:r>
    </w:p>
    <w:p w:rsidR="00000000" w:rsidRDefault="00000000">
      <w:pPr>
        <w:spacing w:after="240" w:line="240" w:lineRule="auto"/>
        <w:jc w:val="center"/>
        <w:rPr>
          <w:i/>
          <w:iCs/>
        </w:rPr>
      </w:pPr>
      <w:r>
        <w:rPr>
          <w:i/>
        </w:rPr>
        <w:t>Первая (открытая) часть з</w:t>
      </w:r>
      <w:r>
        <w:rPr>
          <w:i/>
          <w:iCs/>
        </w:rPr>
        <w:t>аседания закрывается в 15 час. 30 мин.</w:t>
      </w:r>
    </w:p>
    <w:p w:rsidR="00000000" w:rsidRDefault="00000000">
      <w:pPr>
        <w:pStyle w:val="16"/>
        <w:spacing w:after="240" w:line="240" w:lineRule="auto"/>
      </w:pPr>
      <w:r>
        <w:t>-----</w:t>
      </w:r>
    </w:p>
    <w:sectPr w:rsidR="00000000">
      <w:headerReference w:type="even" r:id="rId9"/>
      <w:headerReference w:type="default" r:id="rId10"/>
      <w:footerReference w:type="first" r:id="rId11"/>
      <w:type w:val="continuous"/>
      <w:pgSz w:w="11906" w:h="16838"/>
      <w:pgMar w:top="1134" w:right="851" w:bottom="1985" w:left="1701" w:header="851" w:footer="170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40" w:lineRule="auto"/>
    </w:pPr>
    <w:r>
      <w:t>________________________</w:t>
    </w:r>
  </w:p>
  <w:p w:rsidR="00000000" w:rsidRDefault="00000000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before="120" w:line="240" w:lineRule="auto"/>
    </w:pPr>
    <w:r>
      <w:rPr>
        <w:rStyle w:val="FootnoteReference"/>
      </w:rPr>
      <w:t>*</w:t>
    </w:r>
    <w:r>
      <w:t xml:space="preserve"> </w:t>
    </w:r>
    <w:r>
      <w:tab/>
      <w:t>Краткий отчет о второй (закрытой) части заседания выпущен под символом CAT/C/SR.543/Add.1.</w:t>
    </w:r>
  </w:p>
  <w:p w:rsidR="00000000" w:rsidRDefault="00000000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40" w:lineRule="auto"/>
    </w:pPr>
    <w:r>
      <w:t>________________________</w:t>
    </w:r>
  </w:p>
  <w:p w:rsidR="00000000" w:rsidRDefault="00000000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before="120" w:line="240" w:lineRule="auto"/>
    </w:pPr>
    <w:r>
      <w:tab/>
      <w:t>В настоящий отчет могут вноситься поправки.</w:t>
    </w:r>
  </w:p>
  <w:p w:rsidR="00000000" w:rsidRDefault="00000000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40" w:lineRule="auto"/>
    </w:pPr>
  </w:p>
  <w:p w:rsidR="00000000" w:rsidRDefault="00000000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40" w:lineRule="auto"/>
    </w:pPr>
    <w:r>
      <w:tab/>
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Они должны направляться </w:t>
    </w:r>
    <w:r>
      <w:rPr>
        <w:u w:val="single"/>
      </w:rPr>
      <w:t>в течение одной недели с момента выпуска настоящего документа</w:t>
    </w:r>
    <w:r>
      <w:t xml:space="preserve"> в Секцию редактирования официальных отчетов, комната Е. 4108, Дворец Наций, Женева.</w:t>
    </w:r>
  </w:p>
  <w:p w:rsidR="00000000" w:rsidRDefault="00000000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40" w:lineRule="auto"/>
    </w:pPr>
  </w:p>
  <w:p w:rsidR="00000000" w:rsidRDefault="00000000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40" w:lineRule="auto"/>
    </w:pPr>
    <w:r>
      <w:tab/>
      <w:t>Любые поправки к отчетам о заседаниях Комитета будут сведены в единое исправление, которое будет выпущено вскоре после окончания сессии.</w:t>
    </w:r>
  </w:p>
  <w:p w:rsidR="00000000" w:rsidRDefault="00000000">
    <w:pPr>
      <w:pStyle w:val="FootnoteText"/>
    </w:pPr>
  </w:p>
  <w:p w:rsidR="00000000" w:rsidRDefault="00000000">
    <w:pPr>
      <w:pStyle w:val="Footer"/>
      <w:rPr>
        <w:lang w:val="fr-CH"/>
      </w:rPr>
    </w:pPr>
  </w:p>
  <w:p w:rsidR="00000000" w:rsidRDefault="00000000">
    <w:pPr>
      <w:pStyle w:val="Footer"/>
      <w:rPr>
        <w:lang w:val="fr-CH"/>
      </w:rPr>
    </w:pPr>
    <w:r>
      <w:rPr>
        <w:lang w:val="fr-CH"/>
      </w:rPr>
      <w:t>GE.0</w:t>
    </w:r>
    <w:r>
      <w:t>2</w:t>
    </w:r>
    <w:r>
      <w:rPr>
        <w:lang w:val="fr-CH"/>
      </w:rPr>
      <w:t>-</w:t>
    </w:r>
    <w:r>
      <w:t xml:space="preserve">46194 </w:t>
    </w:r>
    <w:r>
      <w:rPr>
        <w:lang w:val="fr-CH"/>
      </w:rPr>
      <w:t xml:space="preserve">  (EXT)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</w:pPr>
    <w:r>
      <w:rPr>
        <w:lang w:val="en-US"/>
      </w:rPr>
      <w:t>CAT/C/SR.54</w:t>
    </w:r>
    <w:r>
      <w:t>3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521"/>
      </w:tabs>
      <w:ind w:left="7655"/>
      <w:rPr>
        <w:rStyle w:val="PageNumber"/>
        <w:lang w:val="fr-CH"/>
      </w:rPr>
    </w:pPr>
    <w:r>
      <w:rPr>
        <w:lang w:val="fr-CH"/>
      </w:rPr>
      <w:t>CAT/C/SR.543</w:t>
    </w:r>
    <w:r>
      <w:rPr>
        <w:lang w:val="fr-CH"/>
      </w:rPr>
      <w:br/>
      <w:t xml:space="preserve">page </w:t>
    </w:r>
    <w:r>
      <w:rPr>
        <w:rStyle w:val="PageNumber"/>
      </w:rPr>
      <w:fldChar w:fldCharType="begin"/>
    </w:r>
    <w:r>
      <w:rPr>
        <w:rStyle w:val="PageNumber"/>
        <w:lang w:val="fr-CH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lang w:val="fr-CH"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7" w:nlCheck="1" w:checkStyle="1"/>
  <w:activeWritingStyle w:appName="MSWord" w:lang="ru-RU" w:vendorID="1" w:dllVersion="512" w:checkStyle="1"/>
  <w:activeWritingStyle w:appName="MSWord" w:lang="fr-FR" w:vendorID="9" w:dllVersion="512" w:checkStyle="1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paragraph" w:styleId="Heading8">
    <w:name w:val="heading 8"/>
    <w:basedOn w:val="Normal"/>
    <w:next w:val="Normal"/>
    <w:qFormat/>
    <w:pPr>
      <w:keepNext/>
      <w:spacing w:after="240"/>
      <w:ind w:left="567"/>
      <w:outlineLvl w:val="7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1789</Words>
  <Characters>10198</Characters>
  <Application>Microsoft Office Word</Application>
  <DocSecurity>4</DocSecurity>
  <Lines>84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Лариса Майковская</dc:creator>
  <cp:keywords/>
  <dc:description/>
  <cp:lastModifiedBy>csd</cp:lastModifiedBy>
  <cp:revision>2</cp:revision>
  <cp:lastPrinted>2008-10-14T13:52:00Z</cp:lastPrinted>
  <dcterms:created xsi:type="dcterms:W3CDTF">2008-10-17T10:33:00Z</dcterms:created>
  <dcterms:modified xsi:type="dcterms:W3CDTF">2008-10-17T10:33:00Z</dcterms:modified>
</cp:coreProperties>
</file>