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803A8" w14:paraId="606DEB98" w14:textId="77777777" w:rsidTr="005C06D4">
        <w:trPr>
          <w:cantSplit/>
          <w:trHeight w:hRule="exact" w:val="851"/>
        </w:trPr>
        <w:tc>
          <w:tcPr>
            <w:tcW w:w="1276" w:type="dxa"/>
            <w:tcBorders>
              <w:bottom w:val="single" w:sz="4" w:space="0" w:color="auto"/>
            </w:tcBorders>
            <w:vAlign w:val="bottom"/>
          </w:tcPr>
          <w:p w14:paraId="50E817B5" w14:textId="77777777" w:rsidR="001E498C" w:rsidRPr="009C41E2" w:rsidRDefault="001E498C" w:rsidP="005C06D4">
            <w:pPr>
              <w:spacing w:after="80"/>
            </w:pPr>
          </w:p>
        </w:tc>
        <w:tc>
          <w:tcPr>
            <w:tcW w:w="2268" w:type="dxa"/>
            <w:tcBorders>
              <w:bottom w:val="single" w:sz="4" w:space="0" w:color="auto"/>
            </w:tcBorders>
            <w:vAlign w:val="bottom"/>
          </w:tcPr>
          <w:p w14:paraId="72E26167" w14:textId="77777777" w:rsidR="001E498C" w:rsidRPr="009C41E2" w:rsidRDefault="004C1C2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1BFA6C6" w14:textId="77777777" w:rsidR="001E498C" w:rsidRPr="009C41E2" w:rsidRDefault="004C1C2A" w:rsidP="0053631F">
            <w:pPr>
              <w:suppressAutoHyphens w:val="0"/>
              <w:spacing w:after="20"/>
              <w:jc w:val="right"/>
            </w:pPr>
            <w:r w:rsidRPr="009C41E2">
              <w:rPr>
                <w:sz w:val="40"/>
              </w:rPr>
              <w:t>C</w:t>
            </w:r>
            <w:r w:rsidR="0053631F">
              <w:rPr>
                <w:sz w:val="40"/>
              </w:rPr>
              <w:t>AT</w:t>
            </w:r>
            <w:r w:rsidRPr="009C41E2">
              <w:t>/</w:t>
            </w:r>
            <w:r w:rsidR="00257838" w:rsidRPr="009C41E2">
              <w:t>C/SR.1828/Add.1</w:t>
            </w:r>
          </w:p>
        </w:tc>
      </w:tr>
      <w:tr w:rsidR="005803A8" w14:paraId="52A63578" w14:textId="77777777" w:rsidTr="005C06D4">
        <w:trPr>
          <w:cantSplit/>
          <w:trHeight w:hRule="exact" w:val="2835"/>
        </w:trPr>
        <w:tc>
          <w:tcPr>
            <w:tcW w:w="1276" w:type="dxa"/>
            <w:tcBorders>
              <w:top w:val="single" w:sz="4" w:space="0" w:color="auto"/>
              <w:bottom w:val="single" w:sz="12" w:space="0" w:color="auto"/>
            </w:tcBorders>
          </w:tcPr>
          <w:p w14:paraId="73F4152F" w14:textId="77777777" w:rsidR="001E498C" w:rsidRPr="009C41E2" w:rsidRDefault="004C1C2A" w:rsidP="005C06D4">
            <w:pPr>
              <w:spacing w:before="120"/>
              <w:jc w:val="center"/>
            </w:pPr>
            <w:r w:rsidRPr="009C41E2">
              <w:rPr>
                <w:noProof/>
                <w:lang w:val="fr-CH" w:eastAsia="fr-CH"/>
              </w:rPr>
              <w:drawing>
                <wp:inline distT="0" distB="0" distL="0" distR="0" wp14:anchorId="1525ED76" wp14:editId="6B1392A5">
                  <wp:extent cx="714375" cy="590550"/>
                  <wp:effectExtent l="0" t="0" r="9525" b="0"/>
                  <wp:docPr id="166364012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37208"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DDACA6" w14:textId="77777777" w:rsidR="001E498C" w:rsidRPr="006813D2" w:rsidRDefault="004C1C2A"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43550D1" w14:textId="77777777" w:rsidR="001E498C" w:rsidRPr="00537137" w:rsidRDefault="004C1C2A" w:rsidP="00223C1E">
            <w:pPr>
              <w:suppressAutoHyphens w:val="0"/>
              <w:spacing w:before="240" w:line="240" w:lineRule="exact"/>
              <w:rPr>
                <w:lang w:val="en-US"/>
              </w:rPr>
            </w:pPr>
            <w:r w:rsidRPr="00537137">
              <w:rPr>
                <w:lang w:val="en-US"/>
              </w:rPr>
              <w:t>Distr.</w:t>
            </w:r>
            <w:r w:rsidR="0046257D" w:rsidRPr="00537137">
              <w:rPr>
                <w:lang w:val="en-US"/>
              </w:rPr>
              <w:t>:</w:t>
            </w:r>
            <w:r w:rsidRPr="00537137">
              <w:rPr>
                <w:lang w:val="en-US"/>
              </w:rPr>
              <w:t xml:space="preserve"> </w:t>
            </w:r>
            <w:r w:rsidR="00257838" w:rsidRPr="00537137">
              <w:rPr>
                <w:lang w:val="en-US"/>
              </w:rPr>
              <w:t>General</w:t>
            </w:r>
          </w:p>
          <w:p w14:paraId="1C6A4D27" w14:textId="11D7BC5D" w:rsidR="001E498C" w:rsidRPr="00537137" w:rsidRDefault="00A037AE" w:rsidP="005C06D4">
            <w:pPr>
              <w:suppressAutoHyphens w:val="0"/>
              <w:rPr>
                <w:lang w:val="en-US"/>
              </w:rPr>
            </w:pPr>
            <w:r>
              <w:rPr>
                <w:lang w:val="en-US"/>
              </w:rPr>
              <w:t>23</w:t>
            </w:r>
            <w:r w:rsidR="00C92F15" w:rsidRPr="00537137">
              <w:rPr>
                <w:lang w:val="en-US"/>
              </w:rPr>
              <w:t xml:space="preserve"> July 2021</w:t>
            </w:r>
          </w:p>
          <w:p w14:paraId="351E81DF" w14:textId="77777777" w:rsidR="003B0B0F" w:rsidRPr="00537137" w:rsidRDefault="003B0B0F" w:rsidP="005C06D4">
            <w:pPr>
              <w:suppressAutoHyphens w:val="0"/>
              <w:rPr>
                <w:lang w:val="en-US"/>
              </w:rPr>
            </w:pPr>
          </w:p>
          <w:p w14:paraId="6E692465" w14:textId="77777777" w:rsidR="006056E0" w:rsidRPr="00537137" w:rsidRDefault="004C1C2A" w:rsidP="005C06D4">
            <w:pPr>
              <w:suppressAutoHyphens w:val="0"/>
              <w:rPr>
                <w:lang w:val="en-US"/>
              </w:rPr>
            </w:pPr>
            <w:r w:rsidRPr="00537137">
              <w:rPr>
                <w:lang w:val="en-US"/>
              </w:rPr>
              <w:t>Original: English</w:t>
            </w:r>
          </w:p>
        </w:tc>
      </w:tr>
    </w:tbl>
    <w:p w14:paraId="4D5E2352" w14:textId="77777777" w:rsidR="00CB43B4" w:rsidRDefault="004C1C2A" w:rsidP="00CB43B4">
      <w:pPr>
        <w:spacing w:before="120"/>
        <w:rPr>
          <w:b/>
          <w:bCs/>
          <w:sz w:val="24"/>
          <w:szCs w:val="24"/>
        </w:rPr>
      </w:pPr>
      <w:r>
        <w:rPr>
          <w:b/>
          <w:sz w:val="24"/>
        </w:rPr>
        <w:t>Committee against Torture</w:t>
      </w:r>
    </w:p>
    <w:p w14:paraId="2F7DDBC1" w14:textId="77777777" w:rsidR="003B0B0F" w:rsidRPr="009C41E2" w:rsidRDefault="00257838" w:rsidP="00CB43B4">
      <w:pPr>
        <w:spacing w:after="120"/>
        <w:rPr>
          <w:b/>
          <w:bCs/>
        </w:rPr>
      </w:pPr>
      <w:r w:rsidRPr="009C41E2">
        <w:rPr>
          <w:b/>
          <w:bCs/>
        </w:rPr>
        <w:t>Seventy-first</w:t>
      </w:r>
      <w:r w:rsidR="004C1C2A" w:rsidRPr="009C41E2">
        <w:rPr>
          <w:b/>
          <w:bCs/>
        </w:rPr>
        <w:t xml:space="preserve"> session</w:t>
      </w:r>
    </w:p>
    <w:p w14:paraId="0A644239" w14:textId="77777777" w:rsidR="00BE78D2" w:rsidRDefault="004C1C2A" w:rsidP="00B4701D">
      <w:pPr>
        <w:rPr>
          <w:b/>
        </w:rPr>
      </w:pPr>
      <w:r>
        <w:rPr>
          <w:b/>
        </w:rPr>
        <w:t xml:space="preserve">Summary record of the </w:t>
      </w:r>
      <w:r w:rsidR="002B6E39">
        <w:rPr>
          <w:b/>
        </w:rPr>
        <w:t>second</w:t>
      </w:r>
      <w:r>
        <w:rPr>
          <w:b/>
        </w:rPr>
        <w:t xml:space="preserve"> part (</w:t>
      </w:r>
      <w:r w:rsidR="00017FE5">
        <w:rPr>
          <w:b/>
        </w:rPr>
        <w:t>public</w:t>
      </w:r>
      <w:r>
        <w:rPr>
          <w:b/>
        </w:rPr>
        <w:t>)</w:t>
      </w:r>
      <w:r w:rsidR="003B4818" w:rsidRPr="003B4818">
        <w:rPr>
          <w:bCs/>
        </w:rPr>
        <w:t>*</w:t>
      </w:r>
      <w:r>
        <w:rPr>
          <w:b/>
        </w:rPr>
        <w:t xml:space="preserve"> of the 1828th meeting</w:t>
      </w:r>
    </w:p>
    <w:p w14:paraId="434D46A5" w14:textId="3AEDB322" w:rsidR="003B0B0F" w:rsidRPr="009C41E2" w:rsidRDefault="004C1C2A" w:rsidP="00F24D6D">
      <w:pPr>
        <w:spacing w:after="120"/>
      </w:pPr>
      <w:r w:rsidRPr="009C41E2">
        <w:t xml:space="preserve">Held </w:t>
      </w:r>
      <w:r w:rsidR="00A01F38">
        <w:t>via videoconference o</w:t>
      </w:r>
      <w:r w:rsidRPr="009C41E2">
        <w:t xml:space="preserve">n </w:t>
      </w:r>
      <w:r w:rsidR="00AE7729" w:rsidRPr="009C41E2">
        <w:t xml:space="preserve">Tuesday, 13 July 2021, at </w:t>
      </w:r>
      <w:r w:rsidR="00A01F38">
        <w:t>2</w:t>
      </w:r>
      <w:r w:rsidR="00066448">
        <w:t>.15</w:t>
      </w:r>
      <w:r w:rsidR="00A01F38">
        <w:t xml:space="preserve"> p.m. Central European Summer Time</w:t>
      </w:r>
      <w:r w:rsidRPr="009C41E2">
        <w:rPr>
          <w:color w:val="FF0000"/>
        </w:rPr>
        <w:t xml:space="preserve"> </w:t>
      </w:r>
    </w:p>
    <w:p w14:paraId="069BFBCA" w14:textId="0153F774" w:rsidR="003B0B0F" w:rsidRPr="009C41E2" w:rsidRDefault="004C1C2A" w:rsidP="00AE7729">
      <w:pPr>
        <w:tabs>
          <w:tab w:val="left" w:pos="1134"/>
          <w:tab w:val="right" w:leader="dot" w:pos="8504"/>
        </w:tabs>
        <w:spacing w:after="120"/>
      </w:pPr>
      <w:r w:rsidRPr="009C41E2">
        <w:rPr>
          <w:i/>
        </w:rPr>
        <w:t>Chair</w:t>
      </w:r>
      <w:r w:rsidRPr="009C41E2">
        <w:t>:</w:t>
      </w:r>
      <w:r w:rsidRPr="009C41E2">
        <w:tab/>
      </w:r>
      <w:r w:rsidR="00AE7729" w:rsidRPr="009C41E2">
        <w:t>Mr. Heller</w:t>
      </w:r>
      <w:r w:rsidR="00A01F38">
        <w:t xml:space="preserve"> (Vice-Chair)</w:t>
      </w:r>
    </w:p>
    <w:p w14:paraId="291731AD" w14:textId="77777777" w:rsidR="00017FE5" w:rsidRDefault="004C1C2A" w:rsidP="00017FE5">
      <w:pPr>
        <w:tabs>
          <w:tab w:val="right" w:pos="992"/>
          <w:tab w:val="left" w:pos="1276"/>
          <w:tab w:val="right" w:leader="dot" w:pos="8504"/>
        </w:tabs>
        <w:spacing w:before="360" w:after="240"/>
        <w:rPr>
          <w:sz w:val="28"/>
        </w:rPr>
      </w:pPr>
      <w:r>
        <w:rPr>
          <w:sz w:val="28"/>
        </w:rPr>
        <w:t>Contents</w:t>
      </w:r>
    </w:p>
    <w:p w14:paraId="519D2D25" w14:textId="59A5F0F4" w:rsidR="00A01F38" w:rsidRPr="00A01F38" w:rsidRDefault="00A01F38" w:rsidP="00F777F8">
      <w:pPr>
        <w:pStyle w:val="SingleTxtG"/>
        <w:jc w:val="left"/>
        <w:rPr>
          <w:lang w:val="en-US"/>
        </w:rPr>
      </w:pPr>
      <w:r w:rsidRPr="00A01F38">
        <w:rPr>
          <w:lang w:val="en-US"/>
        </w:rPr>
        <w:t>Consideration of reports submitted by States parties under article 19 of the Convention (</w:t>
      </w:r>
      <w:r w:rsidRPr="00A01F38">
        <w:rPr>
          <w:i/>
          <w:iCs/>
          <w:lang w:val="en-US"/>
        </w:rPr>
        <w:t>continued</w:t>
      </w:r>
      <w:r w:rsidRPr="00A01F38">
        <w:rPr>
          <w:lang w:val="en-US"/>
        </w:rPr>
        <w:t>)</w:t>
      </w:r>
    </w:p>
    <w:p w14:paraId="15D9BFA2" w14:textId="12F392CD" w:rsidR="00A01F38" w:rsidRPr="00A01F38" w:rsidRDefault="00A01F38" w:rsidP="00F777F8">
      <w:pPr>
        <w:pStyle w:val="SingleTxtG"/>
        <w:jc w:val="left"/>
        <w:rPr>
          <w:lang w:val="en-US"/>
        </w:rPr>
      </w:pPr>
      <w:r>
        <w:rPr>
          <w:i/>
          <w:iCs/>
          <w:lang w:val="en-US"/>
        </w:rPr>
        <w:tab/>
      </w:r>
      <w:r w:rsidRPr="00A01F38">
        <w:rPr>
          <w:i/>
          <w:iCs/>
          <w:lang w:val="en-US"/>
        </w:rPr>
        <w:t xml:space="preserve">Report on follow-up to concluding observations </w:t>
      </w:r>
      <w:r w:rsidRPr="00A01F38">
        <w:rPr>
          <w:lang w:val="en-US"/>
        </w:rPr>
        <w:t>(</w:t>
      </w:r>
      <w:r w:rsidRPr="00A01F38">
        <w:rPr>
          <w:i/>
          <w:iCs/>
          <w:lang w:val="en-US"/>
        </w:rPr>
        <w:t>continued</w:t>
      </w:r>
      <w:r w:rsidRPr="00A01F38">
        <w:rPr>
          <w:lang w:val="en-US"/>
        </w:rPr>
        <w:t>)</w:t>
      </w:r>
    </w:p>
    <w:p w14:paraId="5D995F80" w14:textId="7774A193" w:rsidR="00A01F38" w:rsidRPr="00A01F38" w:rsidRDefault="00A01F38" w:rsidP="00F777F8">
      <w:pPr>
        <w:pStyle w:val="SingleTxtG"/>
        <w:jc w:val="left"/>
        <w:rPr>
          <w:lang w:val="en-US"/>
        </w:rPr>
      </w:pPr>
      <w:r w:rsidRPr="00A01F38">
        <w:rPr>
          <w:lang w:val="en-US"/>
        </w:rPr>
        <w:t>Consideration of communications submitted under article 22 of the Convention</w:t>
      </w:r>
      <w:r w:rsidRPr="00A01F38">
        <w:rPr>
          <w:i/>
          <w:iCs/>
          <w:lang w:val="en-US"/>
        </w:rPr>
        <w:t xml:space="preserve"> </w:t>
      </w:r>
      <w:r w:rsidRPr="00A01F38">
        <w:rPr>
          <w:lang w:val="en-US"/>
        </w:rPr>
        <w:t>(</w:t>
      </w:r>
      <w:r w:rsidRPr="00A01F38">
        <w:rPr>
          <w:i/>
          <w:iCs/>
          <w:lang w:val="en-US"/>
        </w:rPr>
        <w:t>continued</w:t>
      </w:r>
      <w:r w:rsidRPr="00A01F38">
        <w:rPr>
          <w:lang w:val="en-US"/>
        </w:rPr>
        <w:t>)</w:t>
      </w:r>
    </w:p>
    <w:p w14:paraId="5FF18D6F" w14:textId="28CAC04E" w:rsidR="00A01F38" w:rsidRPr="00A01F38" w:rsidRDefault="00A01F38" w:rsidP="00F777F8">
      <w:pPr>
        <w:pStyle w:val="SingleTxtG"/>
        <w:jc w:val="left"/>
        <w:rPr>
          <w:lang w:val="en-US"/>
        </w:rPr>
      </w:pPr>
      <w:r>
        <w:rPr>
          <w:i/>
          <w:iCs/>
          <w:lang w:val="en-US"/>
        </w:rPr>
        <w:tab/>
      </w:r>
      <w:r w:rsidRPr="00A01F38">
        <w:rPr>
          <w:i/>
          <w:iCs/>
          <w:lang w:val="en-US"/>
        </w:rPr>
        <w:t xml:space="preserve">Report on follow-up to communications </w:t>
      </w:r>
      <w:r w:rsidRPr="00A01F38">
        <w:rPr>
          <w:lang w:val="en-US"/>
        </w:rPr>
        <w:t>(</w:t>
      </w:r>
      <w:r w:rsidRPr="00A01F38">
        <w:rPr>
          <w:i/>
          <w:iCs/>
          <w:lang w:val="en-US"/>
        </w:rPr>
        <w:t>continued</w:t>
      </w:r>
      <w:r w:rsidRPr="00A01F38">
        <w:rPr>
          <w:lang w:val="en-US"/>
        </w:rPr>
        <w:t>)</w:t>
      </w:r>
    </w:p>
    <w:p w14:paraId="50CBD6A8" w14:textId="2B9FE73F" w:rsidR="00A01F38" w:rsidRPr="00A01F38" w:rsidRDefault="00A01F38" w:rsidP="00F777F8">
      <w:pPr>
        <w:pStyle w:val="SingleTxtG"/>
        <w:jc w:val="left"/>
        <w:rPr>
          <w:lang w:val="en-US"/>
        </w:rPr>
      </w:pPr>
      <w:r w:rsidRPr="00A01F38">
        <w:rPr>
          <w:lang w:val="en-US"/>
        </w:rPr>
        <w:t>Organizational and other matters</w:t>
      </w:r>
    </w:p>
    <w:p w14:paraId="36F6C41F" w14:textId="6AAF984C" w:rsidR="00A01F38" w:rsidRPr="00A01F38" w:rsidRDefault="00A01F38" w:rsidP="00F777F8">
      <w:pPr>
        <w:pStyle w:val="SingleTxtG"/>
        <w:jc w:val="left"/>
        <w:rPr>
          <w:lang w:val="en-US"/>
        </w:rPr>
      </w:pPr>
      <w:r>
        <w:rPr>
          <w:i/>
          <w:iCs/>
          <w:lang w:val="en-US"/>
        </w:rPr>
        <w:tab/>
      </w:r>
      <w:r w:rsidRPr="00A01F38">
        <w:rPr>
          <w:i/>
          <w:iCs/>
          <w:lang w:val="en-US"/>
        </w:rPr>
        <w:t>Report on follow-up to reprisals</w:t>
      </w:r>
      <w:r w:rsidRPr="00A01F38">
        <w:rPr>
          <w:lang w:val="en-US"/>
        </w:rPr>
        <w:t xml:space="preserve"> (</w:t>
      </w:r>
      <w:r w:rsidRPr="00A01F38">
        <w:rPr>
          <w:i/>
          <w:iCs/>
          <w:lang w:val="en-US"/>
        </w:rPr>
        <w:t>continued</w:t>
      </w:r>
      <w:r w:rsidRPr="00A01F38">
        <w:rPr>
          <w:lang w:val="en-US"/>
        </w:rPr>
        <w:t>)</w:t>
      </w:r>
    </w:p>
    <w:p w14:paraId="37B155A3" w14:textId="516C497A" w:rsidR="00F777F8" w:rsidRPr="00110271" w:rsidRDefault="00E16A44" w:rsidP="00110271">
      <w:pPr>
        <w:pStyle w:val="SingleTxtG"/>
        <w:rPr>
          <w:i/>
          <w:iCs/>
        </w:rPr>
      </w:pPr>
      <w:r>
        <w:rPr>
          <w:lang w:val="en-US"/>
        </w:rPr>
        <w:br w:type="page"/>
      </w:r>
      <w:r w:rsidR="00F777F8" w:rsidRPr="00110271">
        <w:rPr>
          <w:i/>
          <w:iCs/>
        </w:rPr>
        <w:lastRenderedPageBreak/>
        <w:t>The</w:t>
      </w:r>
      <w:r w:rsidR="00556E92">
        <w:rPr>
          <w:i/>
          <w:iCs/>
        </w:rPr>
        <w:t xml:space="preserve"> </w:t>
      </w:r>
      <w:r w:rsidR="00556E92">
        <w:rPr>
          <w:i/>
          <w:iCs/>
        </w:rPr>
        <w:t>public part of the</w:t>
      </w:r>
      <w:r w:rsidR="00F777F8" w:rsidRPr="00110271">
        <w:rPr>
          <w:i/>
          <w:iCs/>
        </w:rPr>
        <w:t xml:space="preserve"> meeting was called to order at 2.15 p.m.</w:t>
      </w:r>
    </w:p>
    <w:p w14:paraId="292F27D5" w14:textId="7BE77AE3" w:rsidR="00F777F8" w:rsidRPr="00A556AA" w:rsidRDefault="00110271" w:rsidP="00110271">
      <w:pPr>
        <w:pStyle w:val="H23G"/>
        <w:rPr>
          <w:i/>
          <w:iCs/>
        </w:rPr>
      </w:pPr>
      <w:r>
        <w:tab/>
      </w:r>
      <w:r>
        <w:tab/>
      </w:r>
      <w:r w:rsidR="00F777F8" w:rsidRPr="00A556AA">
        <w:t xml:space="preserve">Consideration of reports submitted by States parties under article 19 of the Convention </w:t>
      </w:r>
      <w:r w:rsidR="00F777F8" w:rsidRPr="00110271">
        <w:rPr>
          <w:b w:val="0"/>
          <w:bCs/>
        </w:rPr>
        <w:t>(</w:t>
      </w:r>
      <w:r w:rsidR="00F777F8" w:rsidRPr="00110271">
        <w:rPr>
          <w:b w:val="0"/>
          <w:bCs/>
          <w:i/>
          <w:iCs/>
        </w:rPr>
        <w:t>continued</w:t>
      </w:r>
      <w:r w:rsidR="00F777F8" w:rsidRPr="00110271">
        <w:rPr>
          <w:b w:val="0"/>
          <w:bCs/>
        </w:rPr>
        <w:t>)</w:t>
      </w:r>
    </w:p>
    <w:p w14:paraId="1117D326" w14:textId="77777777" w:rsidR="00F777F8" w:rsidRPr="00110271" w:rsidRDefault="00F777F8" w:rsidP="00110271">
      <w:pPr>
        <w:pStyle w:val="SingleTxtG"/>
        <w:rPr>
          <w:i/>
          <w:iCs/>
        </w:rPr>
      </w:pPr>
      <w:r w:rsidRPr="00A556AA">
        <w:tab/>
      </w:r>
      <w:r w:rsidRPr="00110271">
        <w:rPr>
          <w:i/>
          <w:iCs/>
        </w:rPr>
        <w:t xml:space="preserve">Report on follow-up to concluding observations </w:t>
      </w:r>
      <w:r w:rsidRPr="00110271">
        <w:t>(</w:t>
      </w:r>
      <w:r w:rsidRPr="00110271">
        <w:rPr>
          <w:i/>
          <w:iCs/>
        </w:rPr>
        <w:t>continued</w:t>
      </w:r>
      <w:r w:rsidRPr="00110271">
        <w:t>)</w:t>
      </w:r>
    </w:p>
    <w:p w14:paraId="5A0C1831" w14:textId="77777777" w:rsidR="00F777F8" w:rsidRPr="00A556AA" w:rsidRDefault="00F777F8" w:rsidP="001435E5">
      <w:pPr>
        <w:pStyle w:val="ParaNoG"/>
      </w:pPr>
      <w:r w:rsidRPr="00A556AA">
        <w:rPr>
          <w:b/>
          <w:bCs/>
        </w:rPr>
        <w:t xml:space="preserve">Mr. </w:t>
      </w:r>
      <w:proofErr w:type="spellStart"/>
      <w:r w:rsidRPr="00A556AA">
        <w:rPr>
          <w:b/>
          <w:bCs/>
        </w:rPr>
        <w:t>Tuzmukhamedov</w:t>
      </w:r>
      <w:proofErr w:type="spellEnd"/>
      <w:r w:rsidRPr="00A556AA">
        <w:rPr>
          <w:b/>
          <w:bCs/>
        </w:rPr>
        <w:t xml:space="preserve"> </w:t>
      </w:r>
      <w:r w:rsidRPr="00A556AA">
        <w:t xml:space="preserve">(Rapporteur for follow-up to concluding observations) said that the Committee had continued its work under the procedure for follow-up to concluding observations despite the coronavirus disease (COVID-19) pandemic. Between 1 January 2020 and 12 July 2021, the Committee had received follow-up reports from 18 States parties, along with 14 alternative follow-up reports from national human rights institutions, non-governmental organizations and civil society. The follow-up reports of 28 States parties were currently overdue; reminders were sent following each missed deadline. </w:t>
      </w:r>
    </w:p>
    <w:p w14:paraId="1D090345" w14:textId="77777777" w:rsidR="00F777F8" w:rsidRPr="00A556AA" w:rsidRDefault="00F777F8" w:rsidP="001435E5">
      <w:pPr>
        <w:pStyle w:val="ParaNoG"/>
      </w:pPr>
      <w:r w:rsidRPr="00A556AA">
        <w:t>Since January 2020, he had assessed the follow-up reports of 18 States parties and informed the States concerned of the results and pending issues. Although none of the recommendations identified for follow-up had been fully or largely implemented, substantive steps had been taken towards the implementation of 11 recommendations and initial steps with regard to 13 recommendations. A further 17 recommendations had not been implemented at all and implementation of the remaining recommendations could not be assessed owing to insufficient information. In several instances, the State party had adopted measures that were contrary to the Committee’s recommendations. During the relevant period, Viet Nam had been the only State party to address recommendations other than those specifically identified for follow-up, a practice encouraged by the Committee.</w:t>
      </w:r>
    </w:p>
    <w:p w14:paraId="7DCF1E04" w14:textId="77777777" w:rsidR="00F777F8" w:rsidRPr="00A556AA" w:rsidRDefault="00F777F8" w:rsidP="001435E5">
      <w:pPr>
        <w:pStyle w:val="ParaNoG"/>
      </w:pPr>
      <w:r w:rsidRPr="00A556AA">
        <w:t>Some concerns raised in follow-up communications had received attention in the public domain. For example, in May 2021 it had been reported in the media that three Portuguese border guards had received prison sentences for causing the death of a Ukrainian national whose case had been mentioned in the Committee’s follow-up letter to the Permanent Mission of Portugal. Similarly, in the United Kingdom, a bill on overseas operations had been amended after the United Nations High Commissioner for Human Rights had echoed the Committee’s concerns that adoption of the bill could lead to limitations on the accountability of British service personnel for torture and war crimes.</w:t>
      </w:r>
    </w:p>
    <w:p w14:paraId="0DBF8940" w14:textId="77777777" w:rsidR="00F777F8" w:rsidRPr="00A556AA" w:rsidRDefault="00F777F8" w:rsidP="001435E5">
      <w:pPr>
        <w:pStyle w:val="ParaNoG"/>
      </w:pPr>
      <w:r w:rsidRPr="00A556AA">
        <w:t>Lastly, a web page dedicated to the follow-up procedure had been set up, where all relevant documents could be found, including an overview of the procedure, the recommendations identified for follow-up by the Committee, the information submitted by States parties and the alternative follow-up reports.</w:t>
      </w:r>
    </w:p>
    <w:p w14:paraId="0801113A" w14:textId="64C6C134" w:rsidR="00F777F8" w:rsidRPr="00A556AA" w:rsidRDefault="001435E5" w:rsidP="001435E5">
      <w:pPr>
        <w:pStyle w:val="H23G"/>
      </w:pPr>
      <w:r>
        <w:tab/>
      </w:r>
      <w:r>
        <w:tab/>
      </w:r>
      <w:r w:rsidR="00F777F8" w:rsidRPr="00A556AA">
        <w:t>Consideration of communications submitted under article 22 of the Convention</w:t>
      </w:r>
      <w:r w:rsidR="00F777F8" w:rsidRPr="00A556AA">
        <w:rPr>
          <w:i/>
          <w:iCs/>
        </w:rPr>
        <w:t xml:space="preserve"> </w:t>
      </w:r>
      <w:r w:rsidR="00F777F8" w:rsidRPr="007C244C">
        <w:rPr>
          <w:b w:val="0"/>
          <w:bCs/>
        </w:rPr>
        <w:t>(</w:t>
      </w:r>
      <w:r w:rsidR="00F777F8" w:rsidRPr="007C244C">
        <w:rPr>
          <w:b w:val="0"/>
          <w:bCs/>
          <w:i/>
          <w:iCs/>
        </w:rPr>
        <w:t>continued</w:t>
      </w:r>
      <w:r w:rsidR="00F777F8" w:rsidRPr="007C244C">
        <w:rPr>
          <w:b w:val="0"/>
          <w:bCs/>
        </w:rPr>
        <w:t>)</w:t>
      </w:r>
    </w:p>
    <w:p w14:paraId="2BFEA1A8" w14:textId="37EEC434" w:rsidR="00F777F8" w:rsidRPr="00A556AA" w:rsidRDefault="00F777F8" w:rsidP="001435E5">
      <w:pPr>
        <w:pStyle w:val="SingleTxtG"/>
      </w:pPr>
      <w:r w:rsidRPr="00A556AA">
        <w:tab/>
      </w:r>
      <w:r w:rsidRPr="001435E5">
        <w:rPr>
          <w:i/>
          <w:iCs/>
        </w:rPr>
        <w:t>Report on follow-up to communications</w:t>
      </w:r>
      <w:r w:rsidRPr="00A556AA">
        <w:t xml:space="preserve"> (</w:t>
      </w:r>
      <w:r w:rsidRPr="001435E5">
        <w:rPr>
          <w:i/>
          <w:iCs/>
        </w:rPr>
        <w:t>continued</w:t>
      </w:r>
      <w:r w:rsidRPr="00A556AA">
        <w:t>)</w:t>
      </w:r>
    </w:p>
    <w:p w14:paraId="628C7DB9" w14:textId="64AD07B7" w:rsidR="00F777F8" w:rsidRPr="00A556AA" w:rsidRDefault="00F777F8" w:rsidP="001435E5">
      <w:pPr>
        <w:pStyle w:val="ParaNoG"/>
      </w:pPr>
      <w:r w:rsidRPr="00A556AA">
        <w:rPr>
          <w:b/>
          <w:bCs/>
        </w:rPr>
        <w:t xml:space="preserve">The Chair </w:t>
      </w:r>
      <w:r w:rsidRPr="00A556AA">
        <w:t>(Rapporteur for follow-up to decisions on complaints) said that the Committee had adopted decisions on the follow-up to eight individual communications. For communications No. 729/2016 (</w:t>
      </w:r>
      <w:r w:rsidRPr="00A556AA">
        <w:rPr>
          <w:i/>
          <w:iCs/>
        </w:rPr>
        <w:t>I.A. et al. v. Sweden</w:t>
      </w:r>
      <w:r w:rsidRPr="00A556AA">
        <w:t>) and No. 882/2018 (</w:t>
      </w:r>
      <w:proofErr w:type="spellStart"/>
      <w:r w:rsidRPr="00A556AA">
        <w:rPr>
          <w:i/>
          <w:iCs/>
        </w:rPr>
        <w:t>Calfunao</w:t>
      </w:r>
      <w:proofErr w:type="spellEnd"/>
      <w:r w:rsidRPr="00A556AA">
        <w:rPr>
          <w:i/>
          <w:iCs/>
        </w:rPr>
        <w:t xml:space="preserve"> </w:t>
      </w:r>
      <w:proofErr w:type="spellStart"/>
      <w:r w:rsidRPr="00A556AA">
        <w:rPr>
          <w:i/>
          <w:iCs/>
        </w:rPr>
        <w:t>Paillalef</w:t>
      </w:r>
      <w:proofErr w:type="spellEnd"/>
      <w:r w:rsidRPr="00A556AA">
        <w:rPr>
          <w:i/>
          <w:iCs/>
        </w:rPr>
        <w:t xml:space="preserve"> v. Switzerland</w:t>
      </w:r>
      <w:r w:rsidRPr="00A556AA">
        <w:t>), it had been decided to close the follow-up dialogue, with a note of satisfactory resolution</w:t>
      </w:r>
      <w:r w:rsidR="007C244C">
        <w:t>.</w:t>
      </w:r>
      <w:r w:rsidRPr="00A556AA">
        <w:t xml:space="preserve"> In the six remaining cases, communications No. 637/2014 (</w:t>
      </w:r>
      <w:proofErr w:type="spellStart"/>
      <w:r w:rsidRPr="00A556AA">
        <w:rPr>
          <w:i/>
          <w:iCs/>
        </w:rPr>
        <w:t>Gabdulkhakov</w:t>
      </w:r>
      <w:proofErr w:type="spellEnd"/>
      <w:r w:rsidRPr="00A556AA">
        <w:rPr>
          <w:i/>
          <w:iCs/>
        </w:rPr>
        <w:t xml:space="preserve"> v. Russian Federation</w:t>
      </w:r>
      <w:r w:rsidRPr="00A556AA">
        <w:t>), No. 681/2015 (</w:t>
      </w:r>
      <w:r w:rsidRPr="00A556AA">
        <w:rPr>
          <w:i/>
          <w:iCs/>
        </w:rPr>
        <w:t>M.K.M. v. Australia</w:t>
      </w:r>
      <w:r w:rsidRPr="00A556AA">
        <w:t>), No. 817/2017 (</w:t>
      </w:r>
      <w:proofErr w:type="spellStart"/>
      <w:r w:rsidRPr="00A556AA">
        <w:rPr>
          <w:i/>
          <w:iCs/>
        </w:rPr>
        <w:t>Aarrass</w:t>
      </w:r>
      <w:proofErr w:type="spellEnd"/>
      <w:r w:rsidRPr="00A556AA">
        <w:rPr>
          <w:i/>
          <w:iCs/>
        </w:rPr>
        <w:t xml:space="preserve"> v. Morocco</w:t>
      </w:r>
      <w:r w:rsidRPr="00A556AA">
        <w:t>), No. 818/2017 (</w:t>
      </w:r>
      <w:r w:rsidRPr="00A556AA">
        <w:rPr>
          <w:i/>
          <w:iCs/>
        </w:rPr>
        <w:t>E.L.G. v. Spain</w:t>
      </w:r>
      <w:r w:rsidRPr="00A556AA">
        <w:t>), No. 852/2017 (</w:t>
      </w:r>
      <w:proofErr w:type="spellStart"/>
      <w:r w:rsidRPr="00A556AA">
        <w:rPr>
          <w:i/>
          <w:iCs/>
        </w:rPr>
        <w:t>Zentveld</w:t>
      </w:r>
      <w:proofErr w:type="spellEnd"/>
      <w:r w:rsidRPr="00A556AA">
        <w:rPr>
          <w:i/>
          <w:iCs/>
        </w:rPr>
        <w:t xml:space="preserve"> v. New Zealand</w:t>
      </w:r>
      <w:r w:rsidRPr="00A556AA">
        <w:t>) and No. 854/2017 (</w:t>
      </w:r>
      <w:r w:rsidRPr="00A556AA">
        <w:rPr>
          <w:i/>
          <w:iCs/>
        </w:rPr>
        <w:t>A v. Bosnia and Herzegovina</w:t>
      </w:r>
      <w:r w:rsidRPr="00A556AA">
        <w:t xml:space="preserve">), it had been decided to continue the follow-up dialogue with a view to achieving implementation of the Committee’s previous decisions. </w:t>
      </w:r>
    </w:p>
    <w:p w14:paraId="42C01E4A" w14:textId="15A6127F" w:rsidR="00F777F8" w:rsidRPr="00A556AA" w:rsidRDefault="002751CD" w:rsidP="002751CD">
      <w:pPr>
        <w:pStyle w:val="H23G"/>
      </w:pPr>
      <w:r>
        <w:tab/>
      </w:r>
      <w:r>
        <w:tab/>
      </w:r>
      <w:r w:rsidR="00F777F8" w:rsidRPr="00A556AA">
        <w:t xml:space="preserve">Organizational and other matters </w:t>
      </w:r>
    </w:p>
    <w:p w14:paraId="5F56CEED" w14:textId="77777777" w:rsidR="00F777F8" w:rsidRPr="00A556AA" w:rsidRDefault="00F777F8" w:rsidP="002751CD">
      <w:pPr>
        <w:pStyle w:val="SingleTxtG"/>
      </w:pPr>
      <w:r w:rsidRPr="00A556AA">
        <w:tab/>
      </w:r>
      <w:r w:rsidRPr="002751CD">
        <w:rPr>
          <w:i/>
          <w:iCs/>
        </w:rPr>
        <w:t>Report on follow-up to reprisals</w:t>
      </w:r>
      <w:r w:rsidRPr="00A556AA">
        <w:t xml:space="preserve"> (</w:t>
      </w:r>
      <w:r w:rsidRPr="002751CD">
        <w:rPr>
          <w:i/>
          <w:iCs/>
        </w:rPr>
        <w:t>continued</w:t>
      </w:r>
      <w:r w:rsidRPr="00A556AA">
        <w:t>)</w:t>
      </w:r>
    </w:p>
    <w:p w14:paraId="204D5655" w14:textId="77777777" w:rsidR="00F777F8" w:rsidRPr="00A556AA" w:rsidRDefault="00F777F8" w:rsidP="001435E5">
      <w:pPr>
        <w:pStyle w:val="ParaNoG"/>
      </w:pPr>
      <w:r w:rsidRPr="00A556AA">
        <w:rPr>
          <w:b/>
          <w:bCs/>
        </w:rPr>
        <w:t xml:space="preserve">Ms. </w:t>
      </w:r>
      <w:proofErr w:type="spellStart"/>
      <w:r w:rsidRPr="00A556AA">
        <w:rPr>
          <w:b/>
          <w:bCs/>
        </w:rPr>
        <w:t>Racu</w:t>
      </w:r>
      <w:proofErr w:type="spellEnd"/>
      <w:r w:rsidRPr="00A556AA">
        <w:rPr>
          <w:b/>
          <w:bCs/>
        </w:rPr>
        <w:t xml:space="preserve"> </w:t>
      </w:r>
      <w:r w:rsidRPr="00A556AA">
        <w:t xml:space="preserve">(Rapporteur on reprisals) said that that no new major incidents had been reported to the Committee since its previous session. One possible explanation was that the COVID-19 pandemic had limited complainants’ access to lawyers and resulted in a lack of visits to places of detention by national preventive mechanisms and other organizations. The </w:t>
      </w:r>
      <w:r w:rsidRPr="00A556AA">
        <w:lastRenderedPageBreak/>
        <w:t xml:space="preserve">cases currently being monitored because reprisals had been alleged all related to Morocco. In one case, the alleged reprisals consisted in death threats by prison guards and denial of access to medical care. In another case, the allegations related to transfer to another prison and failure to implement the interim measures requested by the Committee. Those cases remained confidential pending decisions by the Committee. In the case of </w:t>
      </w:r>
      <w:proofErr w:type="spellStart"/>
      <w:r w:rsidRPr="00A556AA">
        <w:rPr>
          <w:i/>
          <w:iCs/>
        </w:rPr>
        <w:t>Asfari</w:t>
      </w:r>
      <w:proofErr w:type="spellEnd"/>
      <w:r w:rsidRPr="00A556AA">
        <w:rPr>
          <w:i/>
          <w:iCs/>
        </w:rPr>
        <w:t xml:space="preserve"> v. Morocco</w:t>
      </w:r>
      <w:r w:rsidRPr="00A556AA">
        <w:t xml:space="preserve"> (communication No. 606/2014), the follow-up comments and observations had demonstrated a lack of implementation of the Committee’s previous decision. The Committee had therefore decided to maintain the follow-up dialogue. </w:t>
      </w:r>
    </w:p>
    <w:p w14:paraId="51F5B47F" w14:textId="77777777" w:rsidR="00F777F8" w:rsidRPr="00A556AA" w:rsidRDefault="00F777F8" w:rsidP="001435E5">
      <w:pPr>
        <w:pStyle w:val="ParaNoG"/>
      </w:pPr>
      <w:r w:rsidRPr="00A556AA">
        <w:t xml:space="preserve">In June 2021, the United Nations anti-torture mechanisms had taken part in a webinar on the subject of fostering civic space to obtain redress and accountability for victims of torture, organized to commemorate the United Nations International Day in Support of Victims of Torture. The subject of reprisals had been discussed at that event. In May 2021, the International Service for Human Rights had issued a report containing a quantitative analysis of the cases documented in the annual reports of the Secretary-General on intimidation and reprisals and, for some cases, an assessment by the victims and their representatives of the impact and outcomes of United Nations intervention. </w:t>
      </w:r>
    </w:p>
    <w:p w14:paraId="5A1A6020" w14:textId="77777777" w:rsidR="00F777F8" w:rsidRPr="00042F7C" w:rsidRDefault="00F777F8" w:rsidP="00042F7C">
      <w:pPr>
        <w:pStyle w:val="SingleTxtG"/>
        <w:rPr>
          <w:i/>
          <w:iCs/>
        </w:rPr>
      </w:pPr>
      <w:r w:rsidRPr="00042F7C">
        <w:rPr>
          <w:i/>
          <w:iCs/>
        </w:rPr>
        <w:t>The meeting rose at 2.35 p.m.</w:t>
      </w:r>
    </w:p>
    <w:sectPr w:rsidR="00F777F8" w:rsidRPr="00042F7C"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F2ACA" w14:textId="77777777" w:rsidR="00E777B7" w:rsidRDefault="00E777B7">
      <w:pPr>
        <w:spacing w:line="240" w:lineRule="auto"/>
      </w:pPr>
      <w:r>
        <w:separator/>
      </w:r>
    </w:p>
  </w:endnote>
  <w:endnote w:type="continuationSeparator" w:id="0">
    <w:p w14:paraId="72CC4FB1" w14:textId="77777777" w:rsidR="00E777B7" w:rsidRDefault="00E7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C97D" w14:textId="1E7B1CE6" w:rsidR="006056E0" w:rsidRPr="00E16A44" w:rsidRDefault="00E16A44" w:rsidP="00E16A44">
    <w:pPr>
      <w:pStyle w:val="Footer"/>
      <w:tabs>
        <w:tab w:val="right" w:pos="9638"/>
      </w:tabs>
    </w:pPr>
    <w:r w:rsidRPr="00E16A44">
      <w:rPr>
        <w:b/>
        <w:bCs/>
        <w:sz w:val="18"/>
      </w:rPr>
      <w:fldChar w:fldCharType="begin"/>
    </w:r>
    <w:r w:rsidRPr="00E16A44">
      <w:rPr>
        <w:b/>
        <w:bCs/>
        <w:sz w:val="18"/>
      </w:rPr>
      <w:instrText xml:space="preserve"> PAGE  \* MERGEFORMAT </w:instrText>
    </w:r>
    <w:r w:rsidRPr="00E16A44">
      <w:rPr>
        <w:b/>
        <w:bCs/>
        <w:sz w:val="18"/>
      </w:rPr>
      <w:fldChar w:fldCharType="separate"/>
    </w:r>
    <w:r w:rsidRPr="00E16A44">
      <w:rPr>
        <w:b/>
        <w:bCs/>
        <w:noProof/>
        <w:sz w:val="18"/>
      </w:rPr>
      <w:t>2</w:t>
    </w:r>
    <w:r w:rsidRPr="00E16A44">
      <w:rPr>
        <w:b/>
        <w:bCs/>
        <w:sz w:val="18"/>
      </w:rPr>
      <w:fldChar w:fldCharType="end"/>
    </w:r>
    <w:r>
      <w:tab/>
      <w:t>GE.21-09713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89A6" w14:textId="506E5E0A" w:rsidR="001E498C" w:rsidRPr="00E16A44" w:rsidRDefault="00E16A44" w:rsidP="00E16A44">
    <w:pPr>
      <w:pStyle w:val="Footer"/>
      <w:tabs>
        <w:tab w:val="right" w:pos="9638"/>
      </w:tabs>
    </w:pPr>
    <w:r>
      <w:t>GE.21-09713</w:t>
    </w:r>
    <w:r>
      <w:tab/>
    </w:r>
    <w:r w:rsidRPr="00E16A44">
      <w:rPr>
        <w:b/>
        <w:bCs/>
        <w:sz w:val="18"/>
      </w:rPr>
      <w:fldChar w:fldCharType="begin"/>
    </w:r>
    <w:r w:rsidRPr="00E16A44">
      <w:rPr>
        <w:b/>
        <w:bCs/>
        <w:sz w:val="18"/>
      </w:rPr>
      <w:instrText xml:space="preserve"> PAGE  \* MERGEFORMAT </w:instrText>
    </w:r>
    <w:r w:rsidRPr="00E16A44">
      <w:rPr>
        <w:b/>
        <w:bCs/>
        <w:sz w:val="18"/>
      </w:rPr>
      <w:fldChar w:fldCharType="separate"/>
    </w:r>
    <w:r w:rsidRPr="00E16A44">
      <w:rPr>
        <w:b/>
        <w:bCs/>
        <w:noProof/>
        <w:sz w:val="18"/>
      </w:rPr>
      <w:t>3</w:t>
    </w:r>
    <w:r w:rsidRPr="00E16A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7BFA" w14:textId="77777777" w:rsidR="00223C1E" w:rsidRDefault="004C1C2A" w:rsidP="00223C1E">
    <w:pPr>
      <w:pStyle w:val="FootnoteText"/>
      <w:tabs>
        <w:tab w:val="clear" w:pos="1021"/>
        <w:tab w:val="right" w:pos="2154"/>
      </w:tabs>
      <w:spacing w:after="80"/>
      <w:ind w:left="680" w:firstLine="0"/>
      <w:rPr>
        <w:u w:val="single"/>
      </w:rPr>
    </w:pPr>
    <w:r>
      <w:rPr>
        <w:u w:val="single"/>
      </w:rPr>
      <w:tab/>
    </w:r>
  </w:p>
  <w:p w14:paraId="6B96EE6C" w14:textId="3040534E" w:rsidR="00B4701D" w:rsidRDefault="004C1C2A" w:rsidP="00DC6B01">
    <w:pPr>
      <w:pStyle w:val="FootnoteText"/>
      <w:rPr>
        <w:sz w:val="20"/>
      </w:rPr>
    </w:pPr>
    <w:r>
      <w:tab/>
    </w:r>
    <w:r>
      <w:rPr>
        <w:sz w:val="20"/>
      </w:rPr>
      <w:t>*</w:t>
    </w:r>
    <w:r>
      <w:tab/>
      <w:t>The summary record of the first part (</w:t>
    </w:r>
    <w:r w:rsidR="00F5005C">
      <w:t>closed</w:t>
    </w:r>
    <w:r>
      <w:t>) of the meeting appears as document CAT/C/S</w:t>
    </w:r>
    <w:r>
      <w:rPr>
        <w:szCs w:val="18"/>
      </w:rPr>
      <w:t>R</w:t>
    </w:r>
    <w:r>
      <w:rPr>
        <w:sz w:val="20"/>
      </w:rPr>
      <w:t>.</w:t>
    </w:r>
    <w:r w:rsidR="00A01F38">
      <w:rPr>
        <w:sz w:val="20"/>
      </w:rPr>
      <w:t>1828</w:t>
    </w:r>
    <w:r w:rsidR="006D450C">
      <w:rPr>
        <w:sz w:val="20"/>
      </w:rPr>
      <w:t>.</w:t>
    </w:r>
  </w:p>
  <w:p w14:paraId="1845A5D0" w14:textId="77777777" w:rsidR="00B4701D" w:rsidRDefault="00B4701D" w:rsidP="00B4701D">
    <w:pPr>
      <w:pStyle w:val="FootnoteText"/>
      <w:pBdr>
        <w:bottom w:val="single" w:sz="4" w:space="1" w:color="auto"/>
      </w:pBdr>
      <w:ind w:left="0" w:right="0" w:firstLine="0"/>
    </w:pPr>
  </w:p>
  <w:p w14:paraId="42F6EAB6" w14:textId="77777777" w:rsidR="00B056D9" w:rsidRDefault="004C1C2A" w:rsidP="00B056D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5059014" w14:textId="75EA3178" w:rsidR="006056E0" w:rsidRDefault="000C1369" w:rsidP="00E16A44">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E16A44" w:rsidRPr="00E16A44">
      <w:rPr>
        <w:rFonts w:eastAsia="SimSun"/>
        <w:noProof/>
        <w:szCs w:val="18"/>
        <w:lang w:val="en-US" w:eastAsia="zh-CN"/>
      </w:rPr>
      <w:drawing>
        <wp:anchor distT="0" distB="0" distL="114300" distR="114300" simplePos="0" relativeHeight="251659264" behindDoc="1" locked="1" layoutInCell="1" allowOverlap="1" wp14:anchorId="25D846D7" wp14:editId="75227DD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3B1717" w14:textId="0BFE5802" w:rsidR="00E16A44" w:rsidRPr="00E16A44" w:rsidRDefault="00E16A44" w:rsidP="00E16A44">
    <w:pPr>
      <w:pStyle w:val="FootnoteText"/>
      <w:kinsoku/>
      <w:overflowPunct/>
      <w:autoSpaceDE/>
      <w:autoSpaceDN/>
      <w:adjustRightInd/>
      <w:snapToGrid/>
      <w:ind w:left="0" w:firstLine="0"/>
      <w:rPr>
        <w:sz w:val="20"/>
      </w:rPr>
    </w:pPr>
    <w:r>
      <w:rPr>
        <w:sz w:val="20"/>
      </w:rPr>
      <w:t>GE.21-09713  (E)</w:t>
    </w:r>
    <w:r>
      <w:rPr>
        <w:noProof/>
        <w:sz w:val="20"/>
      </w:rPr>
      <w:drawing>
        <wp:anchor distT="0" distB="0" distL="114300" distR="114300" simplePos="0" relativeHeight="251660288" behindDoc="0" locked="0" layoutInCell="1" allowOverlap="1" wp14:anchorId="49D3C997" wp14:editId="11C087BB">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15">
      <w:rPr>
        <w:sz w:val="20"/>
      </w:rPr>
      <w:t xml:space="preserve">    160721    </w:t>
    </w:r>
    <w:r w:rsidR="00A037AE">
      <w:rPr>
        <w:sz w:val="20"/>
      </w:rPr>
      <w:t>23</w:t>
    </w:r>
    <w:r w:rsidR="00C92F15">
      <w:rPr>
        <w:sz w:val="20"/>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561A4" w14:textId="77777777" w:rsidR="00E777B7" w:rsidRDefault="00E777B7">
      <w:pPr>
        <w:spacing w:line="240" w:lineRule="auto"/>
      </w:pPr>
      <w:r>
        <w:separator/>
      </w:r>
    </w:p>
  </w:footnote>
  <w:footnote w:type="continuationSeparator" w:id="0">
    <w:p w14:paraId="0F3EEC36" w14:textId="77777777" w:rsidR="00E777B7" w:rsidRDefault="00E77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156B" w14:textId="77777777" w:rsidR="006056E0" w:rsidRDefault="00257838">
    <w:pPr>
      <w:pStyle w:val="Header"/>
    </w:pPr>
    <w:r>
      <w:t>CAT/C/SR.1828/Add.1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91C3" w14:textId="77777777" w:rsidR="005B6BC9" w:rsidRDefault="00257838" w:rsidP="005B6BC9">
    <w:pPr>
      <w:pStyle w:val="Header"/>
      <w:jc w:val="right"/>
    </w:pPr>
    <w:r>
      <w:t>CAT/C/SR.1828/Add.1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CCC649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A352FDAE" w:tentative="1">
      <w:start w:val="1"/>
      <w:numFmt w:val="lowerLetter"/>
      <w:lvlText w:val="%2."/>
      <w:lvlJc w:val="left"/>
      <w:pPr>
        <w:tabs>
          <w:tab w:val="num" w:pos="1440"/>
        </w:tabs>
        <w:ind w:left="1440" w:hanging="360"/>
      </w:pPr>
    </w:lvl>
    <w:lvl w:ilvl="2" w:tplc="80060578" w:tentative="1">
      <w:start w:val="1"/>
      <w:numFmt w:val="lowerRoman"/>
      <w:lvlText w:val="%3."/>
      <w:lvlJc w:val="right"/>
      <w:pPr>
        <w:tabs>
          <w:tab w:val="num" w:pos="2160"/>
        </w:tabs>
        <w:ind w:left="2160" w:hanging="180"/>
      </w:pPr>
    </w:lvl>
    <w:lvl w:ilvl="3" w:tplc="0DEA04AE" w:tentative="1">
      <w:start w:val="1"/>
      <w:numFmt w:val="decimal"/>
      <w:lvlText w:val="%4."/>
      <w:lvlJc w:val="left"/>
      <w:pPr>
        <w:tabs>
          <w:tab w:val="num" w:pos="2880"/>
        </w:tabs>
        <w:ind w:left="2880" w:hanging="360"/>
      </w:pPr>
    </w:lvl>
    <w:lvl w:ilvl="4" w:tplc="C56C47E2" w:tentative="1">
      <w:start w:val="1"/>
      <w:numFmt w:val="lowerLetter"/>
      <w:lvlText w:val="%5."/>
      <w:lvlJc w:val="left"/>
      <w:pPr>
        <w:tabs>
          <w:tab w:val="num" w:pos="3600"/>
        </w:tabs>
        <w:ind w:left="3600" w:hanging="360"/>
      </w:pPr>
    </w:lvl>
    <w:lvl w:ilvl="5" w:tplc="F8F6BC40" w:tentative="1">
      <w:start w:val="1"/>
      <w:numFmt w:val="lowerRoman"/>
      <w:lvlText w:val="%6."/>
      <w:lvlJc w:val="right"/>
      <w:pPr>
        <w:tabs>
          <w:tab w:val="num" w:pos="4320"/>
        </w:tabs>
        <w:ind w:left="4320" w:hanging="180"/>
      </w:pPr>
    </w:lvl>
    <w:lvl w:ilvl="6" w:tplc="52D64F38" w:tentative="1">
      <w:start w:val="1"/>
      <w:numFmt w:val="decimal"/>
      <w:lvlText w:val="%7."/>
      <w:lvlJc w:val="left"/>
      <w:pPr>
        <w:tabs>
          <w:tab w:val="num" w:pos="5040"/>
        </w:tabs>
        <w:ind w:left="5040" w:hanging="360"/>
      </w:pPr>
    </w:lvl>
    <w:lvl w:ilvl="7" w:tplc="8F50665E" w:tentative="1">
      <w:start w:val="1"/>
      <w:numFmt w:val="lowerLetter"/>
      <w:lvlText w:val="%8."/>
      <w:lvlJc w:val="left"/>
      <w:pPr>
        <w:tabs>
          <w:tab w:val="num" w:pos="5760"/>
        </w:tabs>
        <w:ind w:left="5760" w:hanging="360"/>
      </w:pPr>
    </w:lvl>
    <w:lvl w:ilvl="8" w:tplc="8498557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B7E3178">
      <w:start w:val="1"/>
      <w:numFmt w:val="decimal"/>
      <w:lvlText w:val="%1."/>
      <w:lvlJc w:val="left"/>
      <w:pPr>
        <w:tabs>
          <w:tab w:val="num" w:pos="1701"/>
        </w:tabs>
        <w:ind w:left="1134" w:firstLine="0"/>
      </w:pPr>
      <w:rPr>
        <w:rFonts w:ascii="Times New Roman" w:hAnsi="Times New Roman" w:hint="default"/>
        <w:b w:val="0"/>
        <w:i w:val="0"/>
        <w:sz w:val="20"/>
      </w:rPr>
    </w:lvl>
    <w:lvl w:ilvl="1" w:tplc="3976CBC4" w:tentative="1">
      <w:start w:val="1"/>
      <w:numFmt w:val="lowerLetter"/>
      <w:lvlText w:val="%2."/>
      <w:lvlJc w:val="left"/>
      <w:pPr>
        <w:tabs>
          <w:tab w:val="num" w:pos="1440"/>
        </w:tabs>
        <w:ind w:left="1440" w:hanging="360"/>
      </w:pPr>
    </w:lvl>
    <w:lvl w:ilvl="2" w:tplc="AEE4D6AA" w:tentative="1">
      <w:start w:val="1"/>
      <w:numFmt w:val="lowerRoman"/>
      <w:lvlText w:val="%3."/>
      <w:lvlJc w:val="right"/>
      <w:pPr>
        <w:tabs>
          <w:tab w:val="num" w:pos="2160"/>
        </w:tabs>
        <w:ind w:left="2160" w:hanging="180"/>
      </w:pPr>
    </w:lvl>
    <w:lvl w:ilvl="3" w:tplc="EB8ABF30" w:tentative="1">
      <w:start w:val="1"/>
      <w:numFmt w:val="decimal"/>
      <w:lvlText w:val="%4."/>
      <w:lvlJc w:val="left"/>
      <w:pPr>
        <w:tabs>
          <w:tab w:val="num" w:pos="2880"/>
        </w:tabs>
        <w:ind w:left="2880" w:hanging="360"/>
      </w:pPr>
    </w:lvl>
    <w:lvl w:ilvl="4" w:tplc="0CC662F6" w:tentative="1">
      <w:start w:val="1"/>
      <w:numFmt w:val="lowerLetter"/>
      <w:lvlText w:val="%5."/>
      <w:lvlJc w:val="left"/>
      <w:pPr>
        <w:tabs>
          <w:tab w:val="num" w:pos="3600"/>
        </w:tabs>
        <w:ind w:left="3600" w:hanging="360"/>
      </w:pPr>
    </w:lvl>
    <w:lvl w:ilvl="5" w:tplc="10B8D094" w:tentative="1">
      <w:start w:val="1"/>
      <w:numFmt w:val="lowerRoman"/>
      <w:lvlText w:val="%6."/>
      <w:lvlJc w:val="right"/>
      <w:pPr>
        <w:tabs>
          <w:tab w:val="num" w:pos="4320"/>
        </w:tabs>
        <w:ind w:left="4320" w:hanging="180"/>
      </w:pPr>
    </w:lvl>
    <w:lvl w:ilvl="6" w:tplc="6C10226E" w:tentative="1">
      <w:start w:val="1"/>
      <w:numFmt w:val="decimal"/>
      <w:lvlText w:val="%7."/>
      <w:lvlJc w:val="left"/>
      <w:pPr>
        <w:tabs>
          <w:tab w:val="num" w:pos="5040"/>
        </w:tabs>
        <w:ind w:left="5040" w:hanging="360"/>
      </w:pPr>
    </w:lvl>
    <w:lvl w:ilvl="7" w:tplc="32509D24" w:tentative="1">
      <w:start w:val="1"/>
      <w:numFmt w:val="lowerLetter"/>
      <w:lvlText w:val="%8."/>
      <w:lvlJc w:val="left"/>
      <w:pPr>
        <w:tabs>
          <w:tab w:val="num" w:pos="5760"/>
        </w:tabs>
        <w:ind w:left="5760" w:hanging="360"/>
      </w:pPr>
    </w:lvl>
    <w:lvl w:ilvl="8" w:tplc="1376E3A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54EA1820">
      <w:start w:val="1"/>
      <w:numFmt w:val="bullet"/>
      <w:pStyle w:val="Bullet2G"/>
      <w:lvlText w:val="•"/>
      <w:lvlJc w:val="left"/>
      <w:pPr>
        <w:tabs>
          <w:tab w:val="num" w:pos="2268"/>
        </w:tabs>
        <w:ind w:left="2268" w:hanging="170"/>
      </w:pPr>
      <w:rPr>
        <w:rFonts w:ascii="Times New Roman" w:hAnsi="Times New Roman" w:cs="Times New Roman" w:hint="default"/>
      </w:rPr>
    </w:lvl>
    <w:lvl w:ilvl="1" w:tplc="CCF42188" w:tentative="1">
      <w:start w:val="1"/>
      <w:numFmt w:val="bullet"/>
      <w:lvlText w:val="o"/>
      <w:lvlJc w:val="left"/>
      <w:pPr>
        <w:tabs>
          <w:tab w:val="num" w:pos="3708"/>
        </w:tabs>
        <w:ind w:left="3708" w:hanging="360"/>
      </w:pPr>
      <w:rPr>
        <w:rFonts w:ascii="Courier New" w:hAnsi="Courier New" w:hint="default"/>
      </w:rPr>
    </w:lvl>
    <w:lvl w:ilvl="2" w:tplc="C6703300" w:tentative="1">
      <w:start w:val="1"/>
      <w:numFmt w:val="bullet"/>
      <w:lvlText w:val=""/>
      <w:lvlJc w:val="left"/>
      <w:pPr>
        <w:tabs>
          <w:tab w:val="num" w:pos="4428"/>
        </w:tabs>
        <w:ind w:left="4428" w:hanging="360"/>
      </w:pPr>
      <w:rPr>
        <w:rFonts w:ascii="Wingdings" w:hAnsi="Wingdings" w:hint="default"/>
      </w:rPr>
    </w:lvl>
    <w:lvl w:ilvl="3" w:tplc="0F5ED1D6" w:tentative="1">
      <w:start w:val="1"/>
      <w:numFmt w:val="bullet"/>
      <w:lvlText w:val=""/>
      <w:lvlJc w:val="left"/>
      <w:pPr>
        <w:tabs>
          <w:tab w:val="num" w:pos="5148"/>
        </w:tabs>
        <w:ind w:left="5148" w:hanging="360"/>
      </w:pPr>
      <w:rPr>
        <w:rFonts w:ascii="Symbol" w:hAnsi="Symbol" w:hint="default"/>
      </w:rPr>
    </w:lvl>
    <w:lvl w:ilvl="4" w:tplc="8862B48C" w:tentative="1">
      <w:start w:val="1"/>
      <w:numFmt w:val="bullet"/>
      <w:lvlText w:val="o"/>
      <w:lvlJc w:val="left"/>
      <w:pPr>
        <w:tabs>
          <w:tab w:val="num" w:pos="5868"/>
        </w:tabs>
        <w:ind w:left="5868" w:hanging="360"/>
      </w:pPr>
      <w:rPr>
        <w:rFonts w:ascii="Courier New" w:hAnsi="Courier New" w:hint="default"/>
      </w:rPr>
    </w:lvl>
    <w:lvl w:ilvl="5" w:tplc="10329E36" w:tentative="1">
      <w:start w:val="1"/>
      <w:numFmt w:val="bullet"/>
      <w:lvlText w:val=""/>
      <w:lvlJc w:val="left"/>
      <w:pPr>
        <w:tabs>
          <w:tab w:val="num" w:pos="6588"/>
        </w:tabs>
        <w:ind w:left="6588" w:hanging="360"/>
      </w:pPr>
      <w:rPr>
        <w:rFonts w:ascii="Wingdings" w:hAnsi="Wingdings" w:hint="default"/>
      </w:rPr>
    </w:lvl>
    <w:lvl w:ilvl="6" w:tplc="17C2D038" w:tentative="1">
      <w:start w:val="1"/>
      <w:numFmt w:val="bullet"/>
      <w:lvlText w:val=""/>
      <w:lvlJc w:val="left"/>
      <w:pPr>
        <w:tabs>
          <w:tab w:val="num" w:pos="7308"/>
        </w:tabs>
        <w:ind w:left="7308" w:hanging="360"/>
      </w:pPr>
      <w:rPr>
        <w:rFonts w:ascii="Symbol" w:hAnsi="Symbol" w:hint="default"/>
      </w:rPr>
    </w:lvl>
    <w:lvl w:ilvl="7" w:tplc="7FDE059E" w:tentative="1">
      <w:start w:val="1"/>
      <w:numFmt w:val="bullet"/>
      <w:lvlText w:val="o"/>
      <w:lvlJc w:val="left"/>
      <w:pPr>
        <w:tabs>
          <w:tab w:val="num" w:pos="8028"/>
        </w:tabs>
        <w:ind w:left="8028" w:hanging="360"/>
      </w:pPr>
      <w:rPr>
        <w:rFonts w:ascii="Courier New" w:hAnsi="Courier New" w:hint="default"/>
      </w:rPr>
    </w:lvl>
    <w:lvl w:ilvl="8" w:tplc="F71EF6B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B10245E6">
      <w:start w:val="1"/>
      <w:numFmt w:val="bullet"/>
      <w:pStyle w:val="Bullet1G"/>
      <w:lvlText w:val="•"/>
      <w:lvlJc w:val="left"/>
      <w:pPr>
        <w:tabs>
          <w:tab w:val="num" w:pos="1701"/>
        </w:tabs>
        <w:ind w:left="1701" w:hanging="170"/>
      </w:pPr>
      <w:rPr>
        <w:rFonts w:ascii="Times New Roman" w:hAnsi="Times New Roman" w:cs="Times New Roman" w:hint="default"/>
      </w:rPr>
    </w:lvl>
    <w:lvl w:ilvl="1" w:tplc="E3DE7C7C" w:tentative="1">
      <w:start w:val="1"/>
      <w:numFmt w:val="bullet"/>
      <w:lvlText w:val="o"/>
      <w:lvlJc w:val="left"/>
      <w:pPr>
        <w:tabs>
          <w:tab w:val="num" w:pos="3141"/>
        </w:tabs>
        <w:ind w:left="3141" w:hanging="360"/>
      </w:pPr>
      <w:rPr>
        <w:rFonts w:ascii="Courier New" w:hAnsi="Courier New" w:hint="default"/>
      </w:rPr>
    </w:lvl>
    <w:lvl w:ilvl="2" w:tplc="334C7270" w:tentative="1">
      <w:start w:val="1"/>
      <w:numFmt w:val="bullet"/>
      <w:lvlText w:val=""/>
      <w:lvlJc w:val="left"/>
      <w:pPr>
        <w:tabs>
          <w:tab w:val="num" w:pos="3861"/>
        </w:tabs>
        <w:ind w:left="3861" w:hanging="360"/>
      </w:pPr>
      <w:rPr>
        <w:rFonts w:ascii="Wingdings" w:hAnsi="Wingdings" w:hint="default"/>
      </w:rPr>
    </w:lvl>
    <w:lvl w:ilvl="3" w:tplc="AE9062B4" w:tentative="1">
      <w:start w:val="1"/>
      <w:numFmt w:val="bullet"/>
      <w:lvlText w:val=""/>
      <w:lvlJc w:val="left"/>
      <w:pPr>
        <w:tabs>
          <w:tab w:val="num" w:pos="4581"/>
        </w:tabs>
        <w:ind w:left="4581" w:hanging="360"/>
      </w:pPr>
      <w:rPr>
        <w:rFonts w:ascii="Symbol" w:hAnsi="Symbol" w:hint="default"/>
      </w:rPr>
    </w:lvl>
    <w:lvl w:ilvl="4" w:tplc="F2BA7796" w:tentative="1">
      <w:start w:val="1"/>
      <w:numFmt w:val="bullet"/>
      <w:lvlText w:val="o"/>
      <w:lvlJc w:val="left"/>
      <w:pPr>
        <w:tabs>
          <w:tab w:val="num" w:pos="5301"/>
        </w:tabs>
        <w:ind w:left="5301" w:hanging="360"/>
      </w:pPr>
      <w:rPr>
        <w:rFonts w:ascii="Courier New" w:hAnsi="Courier New" w:hint="default"/>
      </w:rPr>
    </w:lvl>
    <w:lvl w:ilvl="5" w:tplc="2DBA7DDC" w:tentative="1">
      <w:start w:val="1"/>
      <w:numFmt w:val="bullet"/>
      <w:lvlText w:val=""/>
      <w:lvlJc w:val="left"/>
      <w:pPr>
        <w:tabs>
          <w:tab w:val="num" w:pos="6021"/>
        </w:tabs>
        <w:ind w:left="6021" w:hanging="360"/>
      </w:pPr>
      <w:rPr>
        <w:rFonts w:ascii="Wingdings" w:hAnsi="Wingdings" w:hint="default"/>
      </w:rPr>
    </w:lvl>
    <w:lvl w:ilvl="6" w:tplc="F4AC0408" w:tentative="1">
      <w:start w:val="1"/>
      <w:numFmt w:val="bullet"/>
      <w:lvlText w:val=""/>
      <w:lvlJc w:val="left"/>
      <w:pPr>
        <w:tabs>
          <w:tab w:val="num" w:pos="6741"/>
        </w:tabs>
        <w:ind w:left="6741" w:hanging="360"/>
      </w:pPr>
      <w:rPr>
        <w:rFonts w:ascii="Symbol" w:hAnsi="Symbol" w:hint="default"/>
      </w:rPr>
    </w:lvl>
    <w:lvl w:ilvl="7" w:tplc="E634E258" w:tentative="1">
      <w:start w:val="1"/>
      <w:numFmt w:val="bullet"/>
      <w:lvlText w:val="o"/>
      <w:lvlJc w:val="left"/>
      <w:pPr>
        <w:tabs>
          <w:tab w:val="num" w:pos="7461"/>
        </w:tabs>
        <w:ind w:left="7461" w:hanging="360"/>
      </w:pPr>
      <w:rPr>
        <w:rFonts w:ascii="Courier New" w:hAnsi="Courier New" w:hint="default"/>
      </w:rPr>
    </w:lvl>
    <w:lvl w:ilvl="8" w:tplc="DF4AC64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17FE5"/>
    <w:rsid w:val="00023842"/>
    <w:rsid w:val="000334F9"/>
    <w:rsid w:val="00042F7C"/>
    <w:rsid w:val="00066448"/>
    <w:rsid w:val="0007796D"/>
    <w:rsid w:val="00082DE3"/>
    <w:rsid w:val="000B7790"/>
    <w:rsid w:val="000C1369"/>
    <w:rsid w:val="000C390E"/>
    <w:rsid w:val="000C4A15"/>
    <w:rsid w:val="000D757A"/>
    <w:rsid w:val="00110271"/>
    <w:rsid w:val="00111F2F"/>
    <w:rsid w:val="001435E5"/>
    <w:rsid w:val="0014365E"/>
    <w:rsid w:val="00150724"/>
    <w:rsid w:val="00150DB2"/>
    <w:rsid w:val="00172203"/>
    <w:rsid w:val="00176178"/>
    <w:rsid w:val="001C7392"/>
    <w:rsid w:val="001D1BFB"/>
    <w:rsid w:val="001E498C"/>
    <w:rsid w:val="001F525A"/>
    <w:rsid w:val="00223272"/>
    <w:rsid w:val="00223C1E"/>
    <w:rsid w:val="0024779E"/>
    <w:rsid w:val="00253054"/>
    <w:rsid w:val="00257838"/>
    <w:rsid w:val="002751CD"/>
    <w:rsid w:val="00291F1D"/>
    <w:rsid w:val="002970DF"/>
    <w:rsid w:val="002B6E39"/>
    <w:rsid w:val="002E6AF8"/>
    <w:rsid w:val="002F1C80"/>
    <w:rsid w:val="00353ED5"/>
    <w:rsid w:val="0039005B"/>
    <w:rsid w:val="003B0B0F"/>
    <w:rsid w:val="003B4818"/>
    <w:rsid w:val="003D1AD0"/>
    <w:rsid w:val="003D3938"/>
    <w:rsid w:val="004116A9"/>
    <w:rsid w:val="00416357"/>
    <w:rsid w:val="00446FE5"/>
    <w:rsid w:val="00452396"/>
    <w:rsid w:val="0046257D"/>
    <w:rsid w:val="00482156"/>
    <w:rsid w:val="00485EFC"/>
    <w:rsid w:val="004C0262"/>
    <w:rsid w:val="004C1C2A"/>
    <w:rsid w:val="004D0848"/>
    <w:rsid w:val="004D56CA"/>
    <w:rsid w:val="004E33BF"/>
    <w:rsid w:val="005135EA"/>
    <w:rsid w:val="0053631F"/>
    <w:rsid w:val="00537137"/>
    <w:rsid w:val="005505B7"/>
    <w:rsid w:val="00556E92"/>
    <w:rsid w:val="005603A0"/>
    <w:rsid w:val="00573BE5"/>
    <w:rsid w:val="005803A8"/>
    <w:rsid w:val="00586ED3"/>
    <w:rsid w:val="00596AA9"/>
    <w:rsid w:val="005A14CB"/>
    <w:rsid w:val="005B43E7"/>
    <w:rsid w:val="005B6BC9"/>
    <w:rsid w:val="005B6EAF"/>
    <w:rsid w:val="005B75E3"/>
    <w:rsid w:val="005C06D4"/>
    <w:rsid w:val="006056E0"/>
    <w:rsid w:val="00670DFB"/>
    <w:rsid w:val="006748CF"/>
    <w:rsid w:val="006813D2"/>
    <w:rsid w:val="006861E6"/>
    <w:rsid w:val="006A2080"/>
    <w:rsid w:val="006B627B"/>
    <w:rsid w:val="006D450C"/>
    <w:rsid w:val="006E3F0A"/>
    <w:rsid w:val="00706E82"/>
    <w:rsid w:val="0071601D"/>
    <w:rsid w:val="0072392D"/>
    <w:rsid w:val="00766CEC"/>
    <w:rsid w:val="00794D8C"/>
    <w:rsid w:val="007A26B7"/>
    <w:rsid w:val="007A62E6"/>
    <w:rsid w:val="007C244C"/>
    <w:rsid w:val="0080684C"/>
    <w:rsid w:val="00815502"/>
    <w:rsid w:val="00831242"/>
    <w:rsid w:val="00861053"/>
    <w:rsid w:val="00871C75"/>
    <w:rsid w:val="008776DC"/>
    <w:rsid w:val="00880106"/>
    <w:rsid w:val="008A0E26"/>
    <w:rsid w:val="008C7952"/>
    <w:rsid w:val="008E2BD2"/>
    <w:rsid w:val="008F69EF"/>
    <w:rsid w:val="00930438"/>
    <w:rsid w:val="00957790"/>
    <w:rsid w:val="009705C8"/>
    <w:rsid w:val="009B02AB"/>
    <w:rsid w:val="009C41E2"/>
    <w:rsid w:val="00A01F38"/>
    <w:rsid w:val="00A037AE"/>
    <w:rsid w:val="00A24CF1"/>
    <w:rsid w:val="00A319E9"/>
    <w:rsid w:val="00A670D2"/>
    <w:rsid w:val="00A75EB9"/>
    <w:rsid w:val="00A815AF"/>
    <w:rsid w:val="00AC2CCD"/>
    <w:rsid w:val="00AC3823"/>
    <w:rsid w:val="00AE323C"/>
    <w:rsid w:val="00AE7729"/>
    <w:rsid w:val="00B00181"/>
    <w:rsid w:val="00B056D9"/>
    <w:rsid w:val="00B34BE7"/>
    <w:rsid w:val="00B41FDC"/>
    <w:rsid w:val="00B43C66"/>
    <w:rsid w:val="00B4701D"/>
    <w:rsid w:val="00B55883"/>
    <w:rsid w:val="00B765F7"/>
    <w:rsid w:val="00B9024D"/>
    <w:rsid w:val="00BA07AB"/>
    <w:rsid w:val="00BA0CA9"/>
    <w:rsid w:val="00BE4745"/>
    <w:rsid w:val="00BE492E"/>
    <w:rsid w:val="00BE78D2"/>
    <w:rsid w:val="00BF07A2"/>
    <w:rsid w:val="00BF30B9"/>
    <w:rsid w:val="00BF3C2C"/>
    <w:rsid w:val="00C02897"/>
    <w:rsid w:val="00C92F15"/>
    <w:rsid w:val="00CB43B4"/>
    <w:rsid w:val="00CB56FC"/>
    <w:rsid w:val="00CC2887"/>
    <w:rsid w:val="00CC7752"/>
    <w:rsid w:val="00D3439C"/>
    <w:rsid w:val="00D80F0A"/>
    <w:rsid w:val="00DA22F4"/>
    <w:rsid w:val="00DA40FE"/>
    <w:rsid w:val="00DB1831"/>
    <w:rsid w:val="00DC0AE6"/>
    <w:rsid w:val="00DC4DFD"/>
    <w:rsid w:val="00DC5E3C"/>
    <w:rsid w:val="00DC6B01"/>
    <w:rsid w:val="00DD3BFD"/>
    <w:rsid w:val="00DE05BD"/>
    <w:rsid w:val="00DF6678"/>
    <w:rsid w:val="00E16A44"/>
    <w:rsid w:val="00E22CF2"/>
    <w:rsid w:val="00E52D9F"/>
    <w:rsid w:val="00E56B4F"/>
    <w:rsid w:val="00E75270"/>
    <w:rsid w:val="00E75539"/>
    <w:rsid w:val="00E777B7"/>
    <w:rsid w:val="00E9680D"/>
    <w:rsid w:val="00ED33F6"/>
    <w:rsid w:val="00F01808"/>
    <w:rsid w:val="00F164B0"/>
    <w:rsid w:val="00F24D6D"/>
    <w:rsid w:val="00F37814"/>
    <w:rsid w:val="00F5005C"/>
    <w:rsid w:val="00F660DF"/>
    <w:rsid w:val="00F777F8"/>
    <w:rsid w:val="00F80094"/>
    <w:rsid w:val="00F95C08"/>
    <w:rsid w:val="00FB61B2"/>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25AD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C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B6EAF"/>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4C1C2A"/>
    <w:rPr>
      <w:sz w:val="16"/>
      <w:szCs w:val="16"/>
    </w:rPr>
  </w:style>
  <w:style w:type="paragraph" w:styleId="CommentText">
    <w:name w:val="annotation text"/>
    <w:basedOn w:val="Normal"/>
    <w:link w:val="CommentTextChar"/>
    <w:uiPriority w:val="99"/>
    <w:semiHidden/>
    <w:unhideWhenUsed/>
    <w:rsid w:val="004C1C2A"/>
    <w:pPr>
      <w:spacing w:line="240" w:lineRule="auto"/>
    </w:pPr>
  </w:style>
  <w:style w:type="character" w:customStyle="1" w:styleId="CommentTextChar">
    <w:name w:val="Comment Text Char"/>
    <w:basedOn w:val="DefaultParagraphFont"/>
    <w:link w:val="CommentText"/>
    <w:uiPriority w:val="99"/>
    <w:semiHidden/>
    <w:rsid w:val="004C1C2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1C2A"/>
    <w:rPr>
      <w:b/>
      <w:bCs/>
    </w:rPr>
  </w:style>
  <w:style w:type="character" w:customStyle="1" w:styleId="CommentSubjectChar">
    <w:name w:val="Comment Subject Char"/>
    <w:basedOn w:val="CommentTextChar"/>
    <w:link w:val="CommentSubject"/>
    <w:uiPriority w:val="99"/>
    <w:semiHidden/>
    <w:rsid w:val="004C1C2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554738">
      <w:bodyDiv w:val="1"/>
      <w:marLeft w:val="0"/>
      <w:marRight w:val="0"/>
      <w:marTop w:val="0"/>
      <w:marBottom w:val="0"/>
      <w:divBdr>
        <w:top w:val="none" w:sz="0" w:space="0" w:color="auto"/>
        <w:left w:val="none" w:sz="0" w:space="0" w:color="auto"/>
        <w:bottom w:val="none" w:sz="0" w:space="0" w:color="auto"/>
        <w:right w:val="none" w:sz="0" w:space="0" w:color="auto"/>
      </w:divBdr>
    </w:div>
    <w:div w:id="21114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5312</Characters>
  <Application>Microsoft Office Word</Application>
  <DocSecurity>0</DocSecurity>
  <Lines>95</Lines>
  <Paragraphs>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CAT/C/SR.1828/Add.1</vt:lpstr>
      <vt:lpstr/>
      <vt:lpstr/>
    </vt:vector>
  </TitlesOfParts>
  <Company>DCM</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CAT/C/SR.1828/Add.1</dc:title>
  <dc:subject>2109713</dc:subject>
  <dc:creator>cg</dc:creator>
  <cp:keywords/>
  <dc:description/>
  <cp:lastModifiedBy>Maria Rosario Corazon Gatmaytan</cp:lastModifiedBy>
  <cp:revision>2</cp:revision>
  <cp:lastPrinted>2017-10-13T08:20:00Z</cp:lastPrinted>
  <dcterms:created xsi:type="dcterms:W3CDTF">2021-07-23T14:31:00Z</dcterms:created>
  <dcterms:modified xsi:type="dcterms:W3CDTF">2021-07-23T14:31:00Z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13/07/2021 17:03:42</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Second Part</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13 July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1828th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C/SR.1828/Add.1</vt:lpwstr>
  </property>
  <property fmtid="{D5CDD505-2E9C-101B-9397-08002B2CF9AE}" pid="28" name="symh">
    <vt:lpwstr>CAT/C/SR.1828/Add.1</vt:lpwstr>
  </property>
  <property fmtid="{D5CDD505-2E9C-101B-9397-08002B2CF9AE}" pid="29" name="tlang">
    <vt:lpwstr>tlang</vt:lpwstr>
  </property>
  <property fmtid="{D5CDD505-2E9C-101B-9397-08002B2CF9AE}" pid="30" name="virs">
    <vt:lpwstr>virs</vt:lpwstr>
  </property>
</Properties>
</file>