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E081D" w:rsidP="00DE081D">
            <w:pPr>
              <w:jc w:val="right"/>
            </w:pPr>
            <w:r w:rsidRPr="00DE081D">
              <w:rPr>
                <w:sz w:val="40"/>
              </w:rPr>
              <w:t>CRC</w:t>
            </w:r>
            <w:r>
              <w:t>/C/BDI/Q/2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E081D" w:rsidRDefault="00DE081D" w:rsidP="006A2FF6">
            <w:pPr>
              <w:spacing w:before="240"/>
            </w:pPr>
            <w:r>
              <w:t>Distr. générale</w:t>
            </w:r>
          </w:p>
          <w:p w:rsidR="00DE081D" w:rsidRDefault="00540263" w:rsidP="00BE2DC3">
            <w:pPr>
              <w:spacing w:line="240" w:lineRule="exact"/>
            </w:pPr>
            <w:r>
              <w:t>13</w:t>
            </w:r>
            <w:r w:rsidR="00BE2DC3">
              <w:t xml:space="preserve"> j</w:t>
            </w:r>
            <w:r w:rsidR="00DE081D">
              <w:t>uillet 2010</w:t>
            </w:r>
          </w:p>
          <w:p w:rsidR="001C7D17" w:rsidRDefault="001C7D17" w:rsidP="00BE2DC3">
            <w:pPr>
              <w:spacing w:line="240" w:lineRule="exact"/>
            </w:pPr>
          </w:p>
          <w:p w:rsidR="00060E82" w:rsidRPr="00DB58B5" w:rsidRDefault="00DE081D" w:rsidP="00DE081D">
            <w:pPr>
              <w:spacing w:line="240" w:lineRule="exact"/>
            </w:pPr>
            <w:r>
              <w:t xml:space="preserve">Original: français </w:t>
            </w:r>
          </w:p>
        </w:tc>
      </w:tr>
    </w:tbl>
    <w:p w:rsidR="00AE6A04" w:rsidRPr="00AE6A04" w:rsidRDefault="00AE6A04" w:rsidP="00AE6A04">
      <w:pPr>
        <w:rPr>
          <w:b/>
          <w:sz w:val="24"/>
          <w:szCs w:val="24"/>
          <w:lang w:val="fr-FR"/>
        </w:rPr>
      </w:pPr>
      <w:r w:rsidRPr="00AE6A04">
        <w:rPr>
          <w:b/>
          <w:sz w:val="24"/>
          <w:szCs w:val="24"/>
          <w:lang w:val="fr-FR"/>
        </w:rPr>
        <w:t>Comité des droits de l’enfant</w:t>
      </w:r>
    </w:p>
    <w:p w:rsidR="00AE6A04" w:rsidRPr="00F77EB7" w:rsidRDefault="00AE6A04" w:rsidP="00AE6A04">
      <w:pPr>
        <w:rPr>
          <w:b/>
          <w:lang w:val="fr-FR"/>
        </w:rPr>
      </w:pPr>
      <w:r w:rsidRPr="00F77EB7">
        <w:rPr>
          <w:b/>
          <w:lang w:val="fr-FR"/>
        </w:rPr>
        <w:t>Cinquante-cinquième session</w:t>
      </w:r>
    </w:p>
    <w:p w:rsidR="00AE6A04" w:rsidRPr="00F77EB7" w:rsidRDefault="00AE6A04" w:rsidP="00BE2DC3">
      <w:pPr>
        <w:rPr>
          <w:b/>
          <w:lang w:val="fr-FR"/>
        </w:rPr>
      </w:pPr>
      <w:r w:rsidRPr="00F77EB7">
        <w:rPr>
          <w:lang w:val="fr-FR"/>
        </w:rPr>
        <w:t>13 septembre</w:t>
      </w:r>
      <w:r w:rsidR="00BE2DC3" w:rsidRPr="00F77EB7">
        <w:rPr>
          <w:lang w:val="fr-FR"/>
        </w:rPr>
        <w:t>-</w:t>
      </w:r>
      <w:r w:rsidRPr="00F77EB7">
        <w:rPr>
          <w:lang w:val="fr-FR"/>
        </w:rPr>
        <w:t>1</w:t>
      </w:r>
      <w:r w:rsidRPr="00F77EB7">
        <w:rPr>
          <w:vertAlign w:val="superscript"/>
          <w:lang w:val="fr-FR"/>
        </w:rPr>
        <w:t>er</w:t>
      </w:r>
      <w:r w:rsidRPr="00F77EB7">
        <w:rPr>
          <w:lang w:val="fr-FR"/>
        </w:rPr>
        <w:t xml:space="preserve"> octobre 2010</w:t>
      </w:r>
    </w:p>
    <w:p w:rsidR="00AE6A04" w:rsidRPr="002A126F" w:rsidRDefault="00AE6A04" w:rsidP="00AE6A04">
      <w:pPr>
        <w:pStyle w:val="HChG"/>
        <w:rPr>
          <w:lang w:val="fr-FR"/>
        </w:rPr>
      </w:pPr>
      <w:r>
        <w:rPr>
          <w:lang w:val="fr-FR"/>
        </w:rPr>
        <w:tab/>
      </w:r>
      <w:r>
        <w:rPr>
          <w:lang w:val="fr-FR"/>
        </w:rPr>
        <w:tab/>
      </w:r>
      <w:r w:rsidRPr="002A126F">
        <w:rPr>
          <w:lang w:val="fr-FR"/>
        </w:rPr>
        <w:t>Application de la Convention relative aux droits de l’enfant</w:t>
      </w:r>
    </w:p>
    <w:p w:rsidR="00AE6A04" w:rsidRPr="00AE6A04" w:rsidRDefault="00AE6A04" w:rsidP="00F77EB7">
      <w:pPr>
        <w:pStyle w:val="H1G"/>
        <w:rPr>
          <w:lang w:val="fr-FR"/>
        </w:rPr>
      </w:pPr>
      <w:r>
        <w:rPr>
          <w:lang w:val="fr-FR"/>
        </w:rPr>
        <w:tab/>
      </w:r>
      <w:r>
        <w:rPr>
          <w:lang w:val="fr-FR"/>
        </w:rPr>
        <w:tab/>
      </w:r>
      <w:r w:rsidRPr="00F77EB7">
        <w:rPr>
          <w:lang w:val="fr-FR"/>
        </w:rPr>
        <w:t>Liste de</w:t>
      </w:r>
      <w:r w:rsidR="00037663" w:rsidRPr="00F77EB7">
        <w:rPr>
          <w:lang w:val="fr-FR"/>
        </w:rPr>
        <w:t xml:space="preserve"> </w:t>
      </w:r>
      <w:r w:rsidRPr="00F77EB7">
        <w:rPr>
          <w:lang w:val="fr-FR"/>
        </w:rPr>
        <w:t xml:space="preserve">points </w:t>
      </w:r>
      <w:r w:rsidR="00F77EB7">
        <w:rPr>
          <w:lang w:val="fr-FR"/>
        </w:rPr>
        <w:t>à traiter</w:t>
      </w:r>
      <w:r w:rsidR="00FE3446" w:rsidRPr="00F77EB7">
        <w:rPr>
          <w:lang w:val="fr-FR"/>
        </w:rPr>
        <w:t xml:space="preserve"> </w:t>
      </w:r>
      <w:r w:rsidR="00F77EB7">
        <w:rPr>
          <w:lang w:val="fr-FR"/>
        </w:rPr>
        <w:t xml:space="preserve">à l’occasion de l’examen du </w:t>
      </w:r>
      <w:r w:rsidRPr="00F77EB7">
        <w:rPr>
          <w:lang w:val="fr-FR"/>
        </w:rPr>
        <w:t>deuxième rapport périodique du Burundi (CRC/C/BDI/2)</w:t>
      </w:r>
      <w:r w:rsidRPr="00563E32">
        <w:rPr>
          <w:lang w:val="fr-FR"/>
        </w:rPr>
        <w:t xml:space="preserve"> </w:t>
      </w:r>
    </w:p>
    <w:p w:rsidR="009950AD" w:rsidRPr="009950AD" w:rsidRDefault="005F77AE" w:rsidP="00DE1CCC">
      <w:pPr>
        <w:pStyle w:val="SingleTxtG"/>
        <w:ind w:left="1138" w:right="1138"/>
        <w:rPr>
          <w:sz w:val="24"/>
          <w:szCs w:val="24"/>
          <w:lang w:val="fr-FR"/>
        </w:rPr>
      </w:pPr>
      <w:r w:rsidRPr="00DE1CCC">
        <w:rPr>
          <w:b/>
          <w:bCs/>
          <w:lang w:val="fr-FR"/>
        </w:rPr>
        <w:t>L</w:t>
      </w:r>
      <w:r w:rsidR="00AE6A04" w:rsidRPr="00DE1CCC">
        <w:rPr>
          <w:b/>
          <w:bCs/>
          <w:lang w:val="fr-FR"/>
        </w:rPr>
        <w:t xml:space="preserve">’État partie est </w:t>
      </w:r>
      <w:r w:rsidRPr="00DE1CCC">
        <w:rPr>
          <w:b/>
          <w:bCs/>
          <w:lang w:val="fr-FR"/>
        </w:rPr>
        <w:t>invité à</w:t>
      </w:r>
      <w:r w:rsidR="00AE6A04" w:rsidRPr="00DE1CCC">
        <w:rPr>
          <w:b/>
          <w:bCs/>
          <w:lang w:val="fr-FR"/>
        </w:rPr>
        <w:t xml:space="preserve"> </w:t>
      </w:r>
      <w:r w:rsidRPr="00DE1CCC">
        <w:rPr>
          <w:b/>
          <w:bCs/>
          <w:lang w:val="fr-FR"/>
        </w:rPr>
        <w:t xml:space="preserve">communiquer </w:t>
      </w:r>
      <w:r w:rsidR="00AE6A04" w:rsidRPr="00DE1CCC">
        <w:rPr>
          <w:b/>
          <w:bCs/>
          <w:lang w:val="fr-FR"/>
        </w:rPr>
        <w:t>par écrit</w:t>
      </w:r>
      <w:r w:rsidRPr="00DE1CCC">
        <w:rPr>
          <w:b/>
          <w:bCs/>
          <w:lang w:val="fr-FR"/>
        </w:rPr>
        <w:t xml:space="preserve"> </w:t>
      </w:r>
      <w:r w:rsidR="00AE6A04" w:rsidRPr="00DE1CCC">
        <w:rPr>
          <w:b/>
          <w:bCs/>
          <w:lang w:val="fr-FR"/>
        </w:rPr>
        <w:t>des renseignements supplémentaires et à jour</w:t>
      </w:r>
      <w:r w:rsidR="0016729D" w:rsidRPr="00DE1CCC">
        <w:rPr>
          <w:b/>
          <w:bCs/>
          <w:lang w:val="fr-FR"/>
        </w:rPr>
        <w:t xml:space="preserve"> (en 30 pages au maximum)</w:t>
      </w:r>
      <w:r w:rsidR="00AE6A04" w:rsidRPr="00DE1CCC">
        <w:rPr>
          <w:b/>
          <w:bCs/>
          <w:lang w:val="fr-FR"/>
        </w:rPr>
        <w:t xml:space="preserve">, si possible avant le </w:t>
      </w:r>
      <w:r w:rsidR="00AE6A04" w:rsidRPr="00DE1CCC">
        <w:rPr>
          <w:b/>
          <w:bCs/>
          <w:i/>
          <w:iCs/>
          <w:lang w:val="fr-FR"/>
        </w:rPr>
        <w:t xml:space="preserve">2 </w:t>
      </w:r>
      <w:r w:rsidRPr="00DE1CCC">
        <w:rPr>
          <w:b/>
          <w:bCs/>
          <w:i/>
          <w:iCs/>
          <w:lang w:val="fr-FR"/>
        </w:rPr>
        <w:t>a</w:t>
      </w:r>
      <w:r w:rsidR="00AE6A04" w:rsidRPr="00DE1CCC">
        <w:rPr>
          <w:b/>
          <w:bCs/>
          <w:i/>
          <w:iCs/>
          <w:lang w:val="fr-FR"/>
        </w:rPr>
        <w:t>oût 2010</w:t>
      </w:r>
      <w:r w:rsidR="00AE6A04" w:rsidRPr="00F77EB7">
        <w:rPr>
          <w:sz w:val="24"/>
          <w:szCs w:val="24"/>
          <w:lang w:val="fr-FR"/>
        </w:rPr>
        <w:t>.</w:t>
      </w:r>
    </w:p>
    <w:p w:rsidR="009950AD" w:rsidRPr="005F77AE" w:rsidRDefault="009950AD" w:rsidP="009950AD">
      <w:pPr>
        <w:pStyle w:val="SingleTxtG"/>
        <w:rPr>
          <w:i/>
          <w:iCs/>
          <w:lang w:val="fr-FR"/>
        </w:rPr>
      </w:pPr>
      <w:r w:rsidRPr="00DE1CCC">
        <w:rPr>
          <w:i/>
          <w:iCs/>
          <w:lang w:val="fr-FR"/>
        </w:rPr>
        <w:t xml:space="preserve"> Le Comité peut aborder tous les aspects touchant aux droits de l’enfant énoncés dans la Convention au cours du dialogue avec l’État partie</w:t>
      </w:r>
      <w:r w:rsidRPr="005F77AE">
        <w:rPr>
          <w:i/>
          <w:iCs/>
          <w:lang w:val="fr-FR"/>
        </w:rPr>
        <w:t xml:space="preserve">. </w:t>
      </w:r>
    </w:p>
    <w:p w:rsidR="00AE6A04" w:rsidRPr="005F77AE" w:rsidRDefault="00AE6A04" w:rsidP="00AE6A04">
      <w:pPr>
        <w:pStyle w:val="HChG"/>
        <w:rPr>
          <w:sz w:val="24"/>
          <w:szCs w:val="24"/>
          <w:shd w:val="clear" w:color="auto" w:fill="FFFFFF"/>
          <w:lang w:val="fr-FR"/>
        </w:rPr>
      </w:pPr>
      <w:r>
        <w:rPr>
          <w:shd w:val="clear" w:color="auto" w:fill="FFFFFF"/>
          <w:lang w:val="fr-FR"/>
        </w:rPr>
        <w:tab/>
      </w:r>
      <w:r>
        <w:rPr>
          <w:shd w:val="clear" w:color="auto" w:fill="FFFFFF"/>
          <w:lang w:val="fr-FR"/>
        </w:rPr>
        <w:tab/>
      </w:r>
      <w:r w:rsidRPr="005F77AE">
        <w:rPr>
          <w:sz w:val="24"/>
          <w:szCs w:val="24"/>
          <w:shd w:val="clear" w:color="auto" w:fill="FFFFFF"/>
          <w:lang w:val="fr-FR"/>
        </w:rPr>
        <w:t>Première partie</w:t>
      </w:r>
    </w:p>
    <w:p w:rsidR="00AE6A04" w:rsidRPr="00DE1CCC" w:rsidRDefault="00AE6A04" w:rsidP="00506D96">
      <w:pPr>
        <w:pStyle w:val="SingleTxtG"/>
        <w:rPr>
          <w:lang w:val="fr-FR"/>
        </w:rPr>
      </w:pPr>
      <w:r w:rsidRPr="00DE1CCC">
        <w:rPr>
          <w:lang w:val="fr-FR"/>
        </w:rPr>
        <w:t>1.</w:t>
      </w:r>
      <w:r w:rsidRPr="00DE1CCC">
        <w:rPr>
          <w:lang w:val="fr-FR"/>
        </w:rPr>
        <w:tab/>
      </w:r>
      <w:r w:rsidR="006561FB" w:rsidRPr="00DE1CCC">
        <w:rPr>
          <w:lang w:val="fr-FR"/>
        </w:rPr>
        <w:t>Indiquer si l’É</w:t>
      </w:r>
      <w:r w:rsidRPr="00DE1CCC">
        <w:rPr>
          <w:lang w:val="fr-FR"/>
        </w:rPr>
        <w:t>tat partie envisage d’instituer un mécanisme chargé de l’application des dispositions de la Convention. Dans l’affirmative, préciser l’autorité ainsi que les ressources humaines et financières accordées à ce mécanisme en vue de lui permettre de réaliser de manière efficace son rôle auprès de tous les départements ministériels et entités responsables de la mise en œuvre des droits de l’enfant au niveau</w:t>
      </w:r>
      <w:r w:rsidR="006561FB" w:rsidRPr="00DE1CCC">
        <w:rPr>
          <w:lang w:val="fr-FR"/>
        </w:rPr>
        <w:t xml:space="preserve"> des </w:t>
      </w:r>
      <w:r w:rsidRPr="00DE1CCC">
        <w:rPr>
          <w:lang w:val="fr-FR"/>
        </w:rPr>
        <w:t>provinc</w:t>
      </w:r>
      <w:r w:rsidR="006561FB" w:rsidRPr="00DE1CCC">
        <w:rPr>
          <w:lang w:val="fr-FR"/>
        </w:rPr>
        <w:t>es</w:t>
      </w:r>
      <w:r w:rsidRPr="00DE1CCC">
        <w:rPr>
          <w:lang w:val="fr-FR"/>
        </w:rPr>
        <w:t xml:space="preserve">, </w:t>
      </w:r>
      <w:r w:rsidR="00506D96" w:rsidRPr="00DE1CCC">
        <w:rPr>
          <w:lang w:val="fr-FR"/>
        </w:rPr>
        <w:t xml:space="preserve">des </w:t>
      </w:r>
      <w:r w:rsidRPr="00DE1CCC">
        <w:rPr>
          <w:lang w:val="fr-FR"/>
        </w:rPr>
        <w:t>commun</w:t>
      </w:r>
      <w:r w:rsidR="00506D96" w:rsidRPr="00DE1CCC">
        <w:rPr>
          <w:lang w:val="fr-FR"/>
        </w:rPr>
        <w:t>es</w:t>
      </w:r>
      <w:r w:rsidRPr="00DE1CCC">
        <w:rPr>
          <w:lang w:val="fr-FR"/>
        </w:rPr>
        <w:t xml:space="preserve"> et des « collines » (CRC/C/BDI/2</w:t>
      </w:r>
      <w:r w:rsidR="00DE1CCC" w:rsidRPr="00DE1CCC">
        <w:rPr>
          <w:lang w:val="fr-FR"/>
        </w:rPr>
        <w:t>,</w:t>
      </w:r>
      <w:r w:rsidRPr="00DE1CCC">
        <w:rPr>
          <w:lang w:val="fr-FR"/>
        </w:rPr>
        <w:t xml:space="preserve"> par. 52 et 53).</w:t>
      </w:r>
    </w:p>
    <w:p w:rsidR="00AE6A04" w:rsidRPr="00DE1CCC" w:rsidRDefault="00AE6A04" w:rsidP="00505DB7">
      <w:pPr>
        <w:pStyle w:val="SingleTxtG"/>
        <w:rPr>
          <w:lang w:val="fr-FR"/>
        </w:rPr>
      </w:pPr>
      <w:r w:rsidRPr="00DE1CCC">
        <w:rPr>
          <w:lang w:val="fr-FR"/>
        </w:rPr>
        <w:t>2.</w:t>
      </w:r>
      <w:r w:rsidRPr="00DE1CCC">
        <w:rPr>
          <w:lang w:val="fr-FR"/>
        </w:rPr>
        <w:tab/>
      </w:r>
      <w:r w:rsidR="00506D96" w:rsidRPr="00DE1CCC">
        <w:rPr>
          <w:lang w:val="fr-FR"/>
        </w:rPr>
        <w:t>P</w:t>
      </w:r>
      <w:r w:rsidRPr="00DE1CCC">
        <w:rPr>
          <w:lang w:val="fr-FR"/>
        </w:rPr>
        <w:t xml:space="preserve">réciser l’état d’avancement du projet de loi concernant l’établissement de la </w:t>
      </w:r>
      <w:r w:rsidR="00505DB7">
        <w:rPr>
          <w:lang w:val="fr-FR"/>
        </w:rPr>
        <w:t>c</w:t>
      </w:r>
      <w:r w:rsidRPr="00DE1CCC">
        <w:rPr>
          <w:lang w:val="fr-FR"/>
        </w:rPr>
        <w:t xml:space="preserve">ommission </w:t>
      </w:r>
      <w:r w:rsidR="00505DB7">
        <w:rPr>
          <w:lang w:val="fr-FR"/>
        </w:rPr>
        <w:t>n</w:t>
      </w:r>
      <w:r w:rsidRPr="00DE1CCC">
        <w:rPr>
          <w:lang w:val="fr-FR"/>
        </w:rPr>
        <w:t xml:space="preserve">ationale des </w:t>
      </w:r>
      <w:r w:rsidR="00505DB7">
        <w:rPr>
          <w:lang w:val="fr-FR"/>
        </w:rPr>
        <w:t>d</w:t>
      </w:r>
      <w:r w:rsidRPr="00DE1CCC">
        <w:rPr>
          <w:lang w:val="fr-FR"/>
        </w:rPr>
        <w:t>roits de L’</w:t>
      </w:r>
      <w:r w:rsidR="00505DB7">
        <w:rPr>
          <w:lang w:val="fr-FR"/>
        </w:rPr>
        <w:t>h</w:t>
      </w:r>
      <w:r w:rsidRPr="00DE1CCC">
        <w:rPr>
          <w:lang w:val="fr-FR"/>
        </w:rPr>
        <w:t xml:space="preserve">omme. </w:t>
      </w:r>
      <w:r w:rsidR="00506D96" w:rsidRPr="00DE1CCC">
        <w:rPr>
          <w:lang w:val="fr-FR"/>
        </w:rPr>
        <w:t>I</w:t>
      </w:r>
      <w:r w:rsidRPr="00DE1CCC">
        <w:rPr>
          <w:lang w:val="fr-FR"/>
        </w:rPr>
        <w:t xml:space="preserve">ndiquer également si cette commission disposera d’une unité spécifique </w:t>
      </w:r>
      <w:r w:rsidR="00D03B11" w:rsidRPr="00DE1CCC">
        <w:rPr>
          <w:lang w:val="fr-FR"/>
        </w:rPr>
        <w:t>consacrée aux</w:t>
      </w:r>
      <w:r w:rsidRPr="00DE1CCC">
        <w:rPr>
          <w:lang w:val="fr-FR"/>
        </w:rPr>
        <w:t xml:space="preserve"> enfants.</w:t>
      </w:r>
    </w:p>
    <w:p w:rsidR="00AE6A04" w:rsidRPr="00DE1CCC" w:rsidRDefault="00AE6A04" w:rsidP="0071727C">
      <w:pPr>
        <w:pStyle w:val="SingleTxtG"/>
        <w:rPr>
          <w:lang w:val="fr-FR"/>
        </w:rPr>
      </w:pPr>
      <w:r w:rsidRPr="00DE1CCC">
        <w:rPr>
          <w:lang w:val="fr-FR"/>
        </w:rPr>
        <w:t>3.</w:t>
      </w:r>
      <w:r w:rsidRPr="00DE1CCC">
        <w:rPr>
          <w:lang w:val="fr-FR"/>
        </w:rPr>
        <w:tab/>
      </w:r>
      <w:r w:rsidR="00916235" w:rsidRPr="00DE1CCC">
        <w:rPr>
          <w:lang w:val="fr-FR"/>
        </w:rPr>
        <w:t>F</w:t>
      </w:r>
      <w:r w:rsidRPr="00DE1CCC">
        <w:rPr>
          <w:lang w:val="fr-FR"/>
        </w:rPr>
        <w:t xml:space="preserve">ournir des informations </w:t>
      </w:r>
      <w:r w:rsidR="00916235" w:rsidRPr="00DE1CCC">
        <w:rPr>
          <w:lang w:val="fr-FR"/>
        </w:rPr>
        <w:t>sur</w:t>
      </w:r>
      <w:r w:rsidRPr="00DE1CCC">
        <w:rPr>
          <w:lang w:val="fr-FR"/>
        </w:rPr>
        <w:t xml:space="preserve"> les progrès accomplis en vue de </w:t>
      </w:r>
      <w:r w:rsidR="00916235" w:rsidRPr="00DE1CCC">
        <w:rPr>
          <w:lang w:val="fr-FR"/>
        </w:rPr>
        <w:t>créer un</w:t>
      </w:r>
      <w:r w:rsidRPr="00DE1CCC">
        <w:rPr>
          <w:lang w:val="fr-FR"/>
        </w:rPr>
        <w:t xml:space="preserve"> mécanisme centralisé </w:t>
      </w:r>
      <w:r w:rsidR="0071727C" w:rsidRPr="00DE1CCC">
        <w:rPr>
          <w:lang w:val="fr-FR"/>
        </w:rPr>
        <w:t xml:space="preserve">chargé </w:t>
      </w:r>
      <w:r w:rsidRPr="00DE1CCC">
        <w:rPr>
          <w:lang w:val="fr-FR"/>
        </w:rPr>
        <w:t>de collecte</w:t>
      </w:r>
      <w:r w:rsidR="0071727C" w:rsidRPr="00DE1CCC">
        <w:rPr>
          <w:lang w:val="fr-FR"/>
        </w:rPr>
        <w:t>r</w:t>
      </w:r>
      <w:r w:rsidRPr="00DE1CCC">
        <w:rPr>
          <w:lang w:val="fr-FR"/>
        </w:rPr>
        <w:t xml:space="preserve"> de</w:t>
      </w:r>
      <w:r w:rsidR="0071727C" w:rsidRPr="00DE1CCC">
        <w:rPr>
          <w:lang w:val="fr-FR"/>
        </w:rPr>
        <w:t>s</w:t>
      </w:r>
      <w:r w:rsidRPr="00DE1CCC">
        <w:rPr>
          <w:lang w:val="fr-FR"/>
        </w:rPr>
        <w:t xml:space="preserve"> données sur l’application de la Convention </w:t>
      </w:r>
      <w:r w:rsidR="0071727C" w:rsidRPr="00DE1CCC">
        <w:rPr>
          <w:lang w:val="fr-FR"/>
        </w:rPr>
        <w:t>dans</w:t>
      </w:r>
      <w:r w:rsidRPr="00DE1CCC">
        <w:rPr>
          <w:lang w:val="fr-FR"/>
        </w:rPr>
        <w:t xml:space="preserve"> l’ensemble du territoire de l’État partie (CRC/C/BDI/2, par.54).</w:t>
      </w:r>
    </w:p>
    <w:p w:rsidR="00AE6A04" w:rsidRPr="00505DB7" w:rsidRDefault="00AE6A04" w:rsidP="001529DB">
      <w:pPr>
        <w:pStyle w:val="SingleTxtG"/>
        <w:rPr>
          <w:lang w:val="fr-FR"/>
        </w:rPr>
      </w:pPr>
      <w:r w:rsidRPr="00505DB7">
        <w:rPr>
          <w:lang w:val="fr-FR"/>
        </w:rPr>
        <w:t>4.</w:t>
      </w:r>
      <w:r w:rsidRPr="00505DB7">
        <w:rPr>
          <w:lang w:val="fr-FR"/>
        </w:rPr>
        <w:tab/>
      </w:r>
      <w:r w:rsidR="001529DB" w:rsidRPr="00505DB7">
        <w:rPr>
          <w:lang w:val="fr-FR"/>
        </w:rPr>
        <w:t>Donn</w:t>
      </w:r>
      <w:r w:rsidRPr="00505DB7">
        <w:rPr>
          <w:lang w:val="fr-FR"/>
        </w:rPr>
        <w:t xml:space="preserve">er des précisions sur le processus et les critères utilisés par l’État partie pour identifier les partenaires de la société civile </w:t>
      </w:r>
      <w:r w:rsidR="001529DB" w:rsidRPr="00505DB7">
        <w:rPr>
          <w:lang w:val="fr-FR"/>
        </w:rPr>
        <w:t>susceptibles de</w:t>
      </w:r>
      <w:r w:rsidRPr="00505DB7">
        <w:rPr>
          <w:lang w:val="fr-FR"/>
        </w:rPr>
        <w:t xml:space="preserve"> participer à l’élaboration de politiques, stratégies et plans d’action publics, notamment dans des domaines </w:t>
      </w:r>
      <w:r w:rsidR="001529DB" w:rsidRPr="00505DB7">
        <w:rPr>
          <w:lang w:val="fr-FR"/>
        </w:rPr>
        <w:t xml:space="preserve">touchant aux </w:t>
      </w:r>
      <w:r w:rsidRPr="00505DB7">
        <w:rPr>
          <w:lang w:val="fr-FR"/>
        </w:rPr>
        <w:t xml:space="preserve"> enfants.</w:t>
      </w:r>
    </w:p>
    <w:p w:rsidR="00AE6A04" w:rsidRPr="00505DB7" w:rsidRDefault="00AE6A04" w:rsidP="00955AEB">
      <w:pPr>
        <w:pStyle w:val="SingleTxtG"/>
      </w:pPr>
      <w:r w:rsidRPr="00505DB7">
        <w:t>5.</w:t>
      </w:r>
      <w:r w:rsidRPr="00505DB7">
        <w:tab/>
        <w:t xml:space="preserve">En ce qui concerne le principe de non discrimination, fournir </w:t>
      </w:r>
      <w:r w:rsidR="00955AEB" w:rsidRPr="00505DB7">
        <w:t>l</w:t>
      </w:r>
      <w:r w:rsidRPr="00505DB7">
        <w:t xml:space="preserve">es informations </w:t>
      </w:r>
      <w:r w:rsidR="00955AEB" w:rsidRPr="00505DB7">
        <w:t>suivantes</w:t>
      </w:r>
      <w:r w:rsidRPr="00505DB7">
        <w:t> :</w:t>
      </w:r>
    </w:p>
    <w:p w:rsidR="00AE6A04" w:rsidRPr="00105471" w:rsidRDefault="00955AEB" w:rsidP="00955AEB">
      <w:pPr>
        <w:pStyle w:val="SingleTxtG"/>
      </w:pPr>
      <w:r>
        <w:tab/>
      </w:r>
      <w:r w:rsidR="00AE6A04" w:rsidRPr="00105471">
        <w:t>a)</w:t>
      </w:r>
      <w:r w:rsidR="00AE6A04" w:rsidRPr="00105471">
        <w:tab/>
      </w:r>
      <w:r w:rsidRPr="00105471">
        <w:t>M</w:t>
      </w:r>
      <w:r w:rsidR="00AE6A04" w:rsidRPr="00105471">
        <w:t xml:space="preserve">esures spécifiques adoptées par l’État partie pour </w:t>
      </w:r>
      <w:r w:rsidRPr="00105471">
        <w:t>permettre aux</w:t>
      </w:r>
      <w:r w:rsidR="00AE6A04" w:rsidRPr="00105471">
        <w:t xml:space="preserve"> enfants </w:t>
      </w:r>
      <w:r w:rsidRPr="00105471">
        <w:t xml:space="preserve">de  </w:t>
      </w:r>
      <w:r w:rsidR="00AE6A04" w:rsidRPr="00105471">
        <w:t>joui</w:t>
      </w:r>
      <w:r w:rsidRPr="00105471">
        <w:t>r</w:t>
      </w:r>
      <w:r w:rsidR="00AE6A04" w:rsidRPr="00105471">
        <w:t xml:space="preserve"> pleinement de leurs droits </w:t>
      </w:r>
      <w:r w:rsidRPr="00105471">
        <w:t>sans être</w:t>
      </w:r>
      <w:r w:rsidR="00AE6A04" w:rsidRPr="00105471">
        <w:t xml:space="preserve"> victimes de discrimination, notamment :</w:t>
      </w:r>
    </w:p>
    <w:p w:rsidR="00AE6A04" w:rsidRPr="00105471" w:rsidRDefault="00955AEB" w:rsidP="00AE6A04">
      <w:pPr>
        <w:pStyle w:val="Bullet1G"/>
      </w:pPr>
      <w:r w:rsidRPr="00105471">
        <w:t>L</w:t>
      </w:r>
      <w:r w:rsidR="00AE6A04" w:rsidRPr="00105471">
        <w:t>es enfants handicapés ;</w:t>
      </w:r>
    </w:p>
    <w:p w:rsidR="00AE6A04" w:rsidRPr="00105471" w:rsidRDefault="00955AEB" w:rsidP="00AE6A04">
      <w:pPr>
        <w:pStyle w:val="Bullet1G"/>
      </w:pPr>
      <w:r w:rsidRPr="00105471">
        <w:t xml:space="preserve">Les </w:t>
      </w:r>
      <w:r w:rsidR="00AE6A04" w:rsidRPr="00105471">
        <w:t>enfants albinos ;</w:t>
      </w:r>
    </w:p>
    <w:p w:rsidR="00AE6A04" w:rsidRPr="00105471" w:rsidRDefault="00AE6A04" w:rsidP="00955AEB">
      <w:pPr>
        <w:pStyle w:val="Bullet1G"/>
      </w:pPr>
      <w:r w:rsidRPr="00105471">
        <w:t xml:space="preserve"> </w:t>
      </w:r>
      <w:r w:rsidR="00955AEB" w:rsidRPr="00105471">
        <w:t xml:space="preserve">Les </w:t>
      </w:r>
      <w:r w:rsidRPr="00105471">
        <w:t>enfants des rues ;</w:t>
      </w:r>
    </w:p>
    <w:p w:rsidR="00AE6A04" w:rsidRPr="00105471" w:rsidRDefault="00955AEB" w:rsidP="00AE6A04">
      <w:pPr>
        <w:pStyle w:val="Bullet1G"/>
      </w:pPr>
      <w:r w:rsidRPr="00105471">
        <w:t xml:space="preserve">Les </w:t>
      </w:r>
      <w:r w:rsidR="00AE6A04" w:rsidRPr="00105471">
        <w:t>enfants réfugiés et les enfants demandeurs d’asile ;</w:t>
      </w:r>
    </w:p>
    <w:p w:rsidR="00AE6A04" w:rsidRPr="00105471" w:rsidRDefault="00955AEB" w:rsidP="00AE6A04">
      <w:pPr>
        <w:pStyle w:val="Bullet1G"/>
      </w:pPr>
      <w:r w:rsidRPr="00105471">
        <w:t xml:space="preserve">Les </w:t>
      </w:r>
      <w:r w:rsidR="00AE6A04" w:rsidRPr="00105471">
        <w:t xml:space="preserve">enfants nés de mères incarcérées ; </w:t>
      </w:r>
    </w:p>
    <w:p w:rsidR="00AE6A04" w:rsidRPr="00105471" w:rsidRDefault="00955AEB" w:rsidP="00955AEB">
      <w:pPr>
        <w:pStyle w:val="Bullet1G"/>
      </w:pPr>
      <w:r w:rsidRPr="00105471">
        <w:t xml:space="preserve">Les </w:t>
      </w:r>
      <w:r w:rsidR="00AE6A04" w:rsidRPr="00105471">
        <w:t>enfants orphelins et vulnérables</w:t>
      </w:r>
      <w:r w:rsidRPr="00105471">
        <w:t> ;</w:t>
      </w:r>
    </w:p>
    <w:p w:rsidR="00AE6A04" w:rsidRPr="00105471" w:rsidRDefault="00955AEB" w:rsidP="00AE6A04">
      <w:pPr>
        <w:pStyle w:val="Bullet1G"/>
      </w:pPr>
      <w:r w:rsidRPr="00105471">
        <w:t xml:space="preserve">Les </w:t>
      </w:r>
      <w:r w:rsidR="00AE6A04" w:rsidRPr="00105471">
        <w:t>enfants appartenant aux minorités.</w:t>
      </w:r>
    </w:p>
    <w:p w:rsidR="00AE6A04" w:rsidRPr="00105471" w:rsidRDefault="00955AEB" w:rsidP="00B80A2D">
      <w:pPr>
        <w:pStyle w:val="SingleTxtG"/>
      </w:pPr>
      <w:r w:rsidRPr="00105471">
        <w:tab/>
      </w:r>
      <w:r w:rsidR="00AE6A04" w:rsidRPr="00105471">
        <w:t>b)</w:t>
      </w:r>
      <w:r w:rsidR="00AE6A04" w:rsidRPr="00105471">
        <w:tab/>
      </w:r>
      <w:r w:rsidRPr="00105471">
        <w:t>M</w:t>
      </w:r>
      <w:r w:rsidR="00AE6A04" w:rsidRPr="00105471">
        <w:t xml:space="preserve">esures prises en vue d’éliminer les dispositions </w:t>
      </w:r>
      <w:r w:rsidR="00177536" w:rsidRPr="00105471">
        <w:t xml:space="preserve">législatives </w:t>
      </w:r>
      <w:r w:rsidR="00AE6A04" w:rsidRPr="00105471">
        <w:t xml:space="preserve">discriminatoires à l’égard des filles </w:t>
      </w:r>
      <w:r w:rsidRPr="00105471">
        <w:t xml:space="preserve">en matière </w:t>
      </w:r>
      <w:r w:rsidR="00AE6A04" w:rsidRPr="00105471">
        <w:t xml:space="preserve">de succession et d’amender la législation </w:t>
      </w:r>
      <w:r w:rsidR="00177536" w:rsidRPr="00105471">
        <w:t>relative à</w:t>
      </w:r>
      <w:r w:rsidR="00AE6A04" w:rsidRPr="00105471">
        <w:t xml:space="preserve"> la transmission de la nationalité </w:t>
      </w:r>
      <w:r w:rsidR="00177536" w:rsidRPr="00105471">
        <w:t xml:space="preserve">à </w:t>
      </w:r>
      <w:r w:rsidR="00B80A2D">
        <w:t>l’</w:t>
      </w:r>
      <w:r w:rsidR="00AE6A04" w:rsidRPr="00105471">
        <w:t xml:space="preserve">enfant </w:t>
      </w:r>
      <w:r w:rsidR="00177536" w:rsidRPr="00105471">
        <w:t>né</w:t>
      </w:r>
      <w:r w:rsidR="00AE6A04" w:rsidRPr="00105471">
        <w:t xml:space="preserve"> d’un père étranger et d’une mère burundaise</w:t>
      </w:r>
      <w:r w:rsidR="00B91463" w:rsidRPr="00105471">
        <w:t xml:space="preserve"> </w:t>
      </w:r>
      <w:r w:rsidR="00AE6A04" w:rsidRPr="00105471">
        <w:t xml:space="preserve"> (CRC/C/BDI/2, par.144)</w:t>
      </w:r>
      <w:r w:rsidR="00B91463" w:rsidRPr="00105471">
        <w:t>.</w:t>
      </w:r>
      <w:r w:rsidR="00AE6A04" w:rsidRPr="00105471">
        <w:t xml:space="preserve"> </w:t>
      </w:r>
    </w:p>
    <w:p w:rsidR="00AE6A04" w:rsidRPr="00105471" w:rsidRDefault="00AE6A04" w:rsidP="00B91463">
      <w:pPr>
        <w:pStyle w:val="SingleTxtG"/>
      </w:pPr>
      <w:r w:rsidRPr="00105471">
        <w:t>6.</w:t>
      </w:r>
      <w:r w:rsidRPr="00105471">
        <w:tab/>
      </w:r>
      <w:r w:rsidR="00B91463" w:rsidRPr="00105471">
        <w:t>I</w:t>
      </w:r>
      <w:r w:rsidRPr="00105471">
        <w:t xml:space="preserve">ndiquer les mesures adoptées </w:t>
      </w:r>
      <w:r w:rsidR="00B91463" w:rsidRPr="00105471">
        <w:t>en vue</w:t>
      </w:r>
      <w:r w:rsidRPr="00105471">
        <w:t xml:space="preserve"> de garantir l’enregistrement des naissances (CRC/C/BDI/2, par. 134).</w:t>
      </w:r>
    </w:p>
    <w:p w:rsidR="00AE6A04" w:rsidRPr="00105471" w:rsidRDefault="00AE6A04" w:rsidP="00647EA2">
      <w:pPr>
        <w:pStyle w:val="SingleTxtG"/>
      </w:pPr>
      <w:r w:rsidRPr="00105471">
        <w:t>7.</w:t>
      </w:r>
      <w:r w:rsidRPr="00105471">
        <w:tab/>
      </w:r>
      <w:r w:rsidR="00B91463" w:rsidRPr="00105471">
        <w:t>I</w:t>
      </w:r>
      <w:r w:rsidRPr="00105471">
        <w:t xml:space="preserve">ndiquer </w:t>
      </w:r>
      <w:r w:rsidR="00B91463" w:rsidRPr="00105471">
        <w:t>toutes</w:t>
      </w:r>
      <w:r w:rsidRPr="00105471">
        <w:t xml:space="preserve"> mesures</w:t>
      </w:r>
      <w:r w:rsidR="00B91463" w:rsidRPr="00105471">
        <w:t xml:space="preserve"> visant à </w:t>
      </w:r>
      <w:r w:rsidRPr="00105471">
        <w:t xml:space="preserve">mettre en place une politique de </w:t>
      </w:r>
      <w:r w:rsidR="00B91463" w:rsidRPr="00105471">
        <w:t xml:space="preserve">santé </w:t>
      </w:r>
      <w:r w:rsidR="00647EA2" w:rsidRPr="00105471">
        <w:t>en faveur</w:t>
      </w:r>
      <w:r w:rsidR="00B91463" w:rsidRPr="00105471">
        <w:t xml:space="preserve"> de </w:t>
      </w:r>
      <w:r w:rsidRPr="00105471">
        <w:t>l’enfan</w:t>
      </w:r>
      <w:r w:rsidR="00647EA2" w:rsidRPr="00105471">
        <w:t>t</w:t>
      </w:r>
      <w:r w:rsidRPr="00105471">
        <w:t xml:space="preserve"> pendant la période de reconstruction de l’Etat partie, </w:t>
      </w:r>
      <w:r w:rsidR="00B91463" w:rsidRPr="00105471">
        <w:t xml:space="preserve">et plus précisément </w:t>
      </w:r>
      <w:r w:rsidRPr="00105471">
        <w:t xml:space="preserve">les mesures prises </w:t>
      </w:r>
      <w:r w:rsidR="00B91463" w:rsidRPr="00105471">
        <w:t>pour</w:t>
      </w:r>
      <w:r w:rsidRPr="00105471">
        <w:t xml:space="preserve"> diminuer </w:t>
      </w:r>
      <w:r w:rsidR="00B91463" w:rsidRPr="00105471">
        <w:t xml:space="preserve">la mortalité infantile </w:t>
      </w:r>
      <w:r w:rsidRPr="00105471">
        <w:t xml:space="preserve">de </w:t>
      </w:r>
      <w:r w:rsidR="00B91463" w:rsidRPr="00105471">
        <w:t>cinquante pour cent au minimum</w:t>
      </w:r>
      <w:r w:rsidRPr="00105471">
        <w:t xml:space="preserve">. </w:t>
      </w:r>
      <w:r w:rsidR="00647EA2" w:rsidRPr="00105471">
        <w:t>De surcroît</w:t>
      </w:r>
      <w:r w:rsidRPr="00105471">
        <w:t xml:space="preserve">, détailler les mécanismes garantissant le suivi médical des enfants </w:t>
      </w:r>
      <w:r w:rsidR="00647EA2" w:rsidRPr="00105471">
        <w:t xml:space="preserve">âgés </w:t>
      </w:r>
      <w:r w:rsidRPr="00105471">
        <w:t xml:space="preserve">de plus de 5 ans (CRC/C/BDI/2, par. 48 et 81). </w:t>
      </w:r>
    </w:p>
    <w:p w:rsidR="00AE6A04" w:rsidRPr="00105471" w:rsidRDefault="00AE6A04" w:rsidP="001006AF">
      <w:pPr>
        <w:pStyle w:val="SingleTxtG"/>
      </w:pPr>
      <w:r w:rsidRPr="00105471">
        <w:t>8.</w:t>
      </w:r>
      <w:r w:rsidRPr="00105471">
        <w:tab/>
      </w:r>
      <w:r w:rsidR="00647EA2" w:rsidRPr="00105471">
        <w:t>I</w:t>
      </w:r>
      <w:r w:rsidRPr="00105471">
        <w:t xml:space="preserve">ndiquer les mesures prises </w:t>
      </w:r>
      <w:r w:rsidR="00647EA2" w:rsidRPr="00105471">
        <w:t>en vue</w:t>
      </w:r>
      <w:r w:rsidRPr="00105471">
        <w:t xml:space="preserve"> d’éliminer la violence physique et psychologique </w:t>
      </w:r>
      <w:r w:rsidR="001006AF" w:rsidRPr="00105471">
        <w:t>envers les</w:t>
      </w:r>
      <w:r w:rsidRPr="00105471">
        <w:t xml:space="preserve"> enfants</w:t>
      </w:r>
      <w:r w:rsidR="001006AF" w:rsidRPr="00105471">
        <w:t>,</w:t>
      </w:r>
      <w:r w:rsidRPr="00105471">
        <w:t xml:space="preserve"> notamment les châtiments corporels et la violence sexuelle, y compris au sein de la famille, à l’école et dans les centres de détention.</w:t>
      </w:r>
    </w:p>
    <w:p w:rsidR="00AE6A04" w:rsidRPr="00105471" w:rsidRDefault="00AE6A04" w:rsidP="009E5D04">
      <w:pPr>
        <w:pStyle w:val="SingleTxtG"/>
      </w:pPr>
      <w:r w:rsidRPr="00105471">
        <w:t>9.</w:t>
      </w:r>
      <w:r w:rsidRPr="00105471">
        <w:tab/>
      </w:r>
      <w:r w:rsidR="001006AF" w:rsidRPr="00105471">
        <w:t>F</w:t>
      </w:r>
      <w:r w:rsidRPr="00105471">
        <w:t xml:space="preserve">ournir des informations </w:t>
      </w:r>
      <w:r w:rsidR="000F4F03" w:rsidRPr="00105471">
        <w:t>sur</w:t>
      </w:r>
      <w:r w:rsidRPr="00105471">
        <w:t xml:space="preserve"> la </w:t>
      </w:r>
      <w:r w:rsidR="009E5D04">
        <w:t>C</w:t>
      </w:r>
      <w:r w:rsidRPr="00105471">
        <w:t>ommission national</w:t>
      </w:r>
      <w:r w:rsidR="001006AF" w:rsidRPr="00105471">
        <w:t xml:space="preserve">e de </w:t>
      </w:r>
      <w:r w:rsidR="00105471" w:rsidRPr="00105471">
        <w:t>réhabilitation</w:t>
      </w:r>
      <w:r w:rsidR="001006AF" w:rsidRPr="00105471">
        <w:t xml:space="preserve"> des sinistré</w:t>
      </w:r>
      <w:r w:rsidRPr="00105471">
        <w:t>s prévu</w:t>
      </w:r>
      <w:r w:rsidR="00105471" w:rsidRPr="00105471">
        <w:t>e</w:t>
      </w:r>
      <w:r w:rsidRPr="00105471">
        <w:t xml:space="preserve"> par l’</w:t>
      </w:r>
      <w:r w:rsidR="00105471" w:rsidRPr="00105471">
        <w:t>A</w:t>
      </w:r>
      <w:r w:rsidRPr="00105471">
        <w:t>ccord d’Arusha</w:t>
      </w:r>
      <w:r w:rsidR="001006AF" w:rsidRPr="00105471">
        <w:t>,</w:t>
      </w:r>
      <w:r w:rsidRPr="00105471">
        <w:t xml:space="preserve"> notamment les mesures prises </w:t>
      </w:r>
      <w:r w:rsidR="00E22345" w:rsidRPr="00105471">
        <w:t>en vue</w:t>
      </w:r>
      <w:r w:rsidRPr="00105471">
        <w:t xml:space="preserve"> de </w:t>
      </w:r>
      <w:r w:rsidRPr="009E5D04">
        <w:t xml:space="preserve">réhabiliter les enfants sinistrés </w:t>
      </w:r>
      <w:r w:rsidR="009E5D04" w:rsidRPr="009E5D04">
        <w:t>à cause du</w:t>
      </w:r>
      <w:r w:rsidRPr="009E5D04">
        <w:t xml:space="preserve"> conflit armé</w:t>
      </w:r>
      <w:r w:rsidR="000741D8" w:rsidRPr="009E5D04">
        <w:t>,</w:t>
      </w:r>
      <w:r w:rsidRPr="009E5D04">
        <w:t xml:space="preserve"> y compris les enfants soldats, les enfants exploités et </w:t>
      </w:r>
      <w:r w:rsidR="000741D8" w:rsidRPr="009E5D04">
        <w:t xml:space="preserve">les enfants </w:t>
      </w:r>
      <w:r w:rsidRPr="009E5D04">
        <w:t>abusés</w:t>
      </w:r>
      <w:r w:rsidR="00E22345" w:rsidRPr="009E5D04">
        <w:t xml:space="preserve"> </w:t>
      </w:r>
      <w:r w:rsidRPr="009E5D04">
        <w:t>(CRC/C/BDI/2, par. 64, 66, 70 et 302-305).</w:t>
      </w:r>
      <w:r w:rsidRPr="00105471">
        <w:t xml:space="preserve"> </w:t>
      </w:r>
    </w:p>
    <w:p w:rsidR="00AE6A04" w:rsidRPr="00105471" w:rsidRDefault="00AE6A04" w:rsidP="000C6365">
      <w:pPr>
        <w:pStyle w:val="SingleTxtG"/>
      </w:pPr>
      <w:r w:rsidRPr="00105471">
        <w:t>10.</w:t>
      </w:r>
      <w:r w:rsidRPr="00105471">
        <w:tab/>
      </w:r>
      <w:r w:rsidR="007E5751" w:rsidRPr="00105471">
        <w:t>I</w:t>
      </w:r>
      <w:r w:rsidRPr="00105471">
        <w:t xml:space="preserve">ndiquer les mesures </w:t>
      </w:r>
      <w:r w:rsidR="000F4F03" w:rsidRPr="00105471">
        <w:t>visant à</w:t>
      </w:r>
      <w:r w:rsidR="00FD2045" w:rsidRPr="00105471">
        <w:t xml:space="preserve"> </w:t>
      </w:r>
      <w:r w:rsidR="000F4F03" w:rsidRPr="00105471">
        <w:t>mettre</w:t>
      </w:r>
      <w:r w:rsidR="00FD2045" w:rsidRPr="00105471">
        <w:t xml:space="preserve"> en</w:t>
      </w:r>
      <w:r w:rsidRPr="00105471">
        <w:t xml:space="preserve"> œuvre </w:t>
      </w:r>
      <w:r w:rsidR="000F4F03" w:rsidRPr="00105471">
        <w:t>le</w:t>
      </w:r>
      <w:r w:rsidR="00FD2045" w:rsidRPr="00105471">
        <w:t xml:space="preserve"> </w:t>
      </w:r>
      <w:r w:rsidRPr="00105471">
        <w:t xml:space="preserve">plan d'action </w:t>
      </w:r>
      <w:r w:rsidR="000C6365" w:rsidRPr="00105471">
        <w:t xml:space="preserve">pour </w:t>
      </w:r>
      <w:r w:rsidRPr="00105471">
        <w:t>un</w:t>
      </w:r>
      <w:r w:rsidR="00FD2045" w:rsidRPr="00105471">
        <w:t xml:space="preserve">e </w:t>
      </w:r>
      <w:r w:rsidRPr="00105471">
        <w:t xml:space="preserve">justice </w:t>
      </w:r>
      <w:r w:rsidR="00FD2045" w:rsidRPr="00105471">
        <w:t>des</w:t>
      </w:r>
      <w:r w:rsidRPr="00105471">
        <w:t xml:space="preserve"> mineurs</w:t>
      </w:r>
      <w:r w:rsidR="00FD2045" w:rsidRPr="00105471">
        <w:t>,</w:t>
      </w:r>
      <w:r w:rsidRPr="00105471">
        <w:t xml:space="preserve"> notamment</w:t>
      </w:r>
      <w:r w:rsidR="000C6365" w:rsidRPr="00105471">
        <w:t xml:space="preserve"> aux fins de</w:t>
      </w:r>
      <w:r w:rsidRPr="00105471">
        <w:t>:</w:t>
      </w:r>
    </w:p>
    <w:p w:rsidR="00AE6A04" w:rsidRPr="00D24A29" w:rsidRDefault="00955AEB" w:rsidP="000F4F03">
      <w:pPr>
        <w:pStyle w:val="SingleTxtG"/>
      </w:pPr>
      <w:r w:rsidRPr="00C8239D">
        <w:rPr>
          <w:sz w:val="24"/>
          <w:szCs w:val="24"/>
        </w:rPr>
        <w:tab/>
      </w:r>
      <w:r w:rsidR="00AE6A04" w:rsidRPr="00D24A29">
        <w:t>a)</w:t>
      </w:r>
      <w:r w:rsidR="00AE6A04" w:rsidRPr="00D24A29">
        <w:tab/>
        <w:t>L</w:t>
      </w:r>
      <w:r w:rsidR="00FD2045" w:rsidRPr="00D24A29">
        <w:t>a mise en place d</w:t>
      </w:r>
      <w:r w:rsidR="000F4F03" w:rsidRPr="00D24A29">
        <w:t>’une</w:t>
      </w:r>
      <w:r w:rsidR="00FD2045" w:rsidRPr="00D24A29">
        <w:t xml:space="preserve"> </w:t>
      </w:r>
      <w:r w:rsidR="00AE6A04" w:rsidRPr="00D24A29">
        <w:t xml:space="preserve">protection judiciaire de la jeunesse au sein du Ministère de la Justice </w:t>
      </w:r>
      <w:r w:rsidR="00FD2045" w:rsidRPr="00D24A29">
        <w:t>et de s</w:t>
      </w:r>
      <w:r w:rsidR="00D80FBE" w:rsidRPr="00D24A29">
        <w:t>es services éducatifs ;</w:t>
      </w:r>
    </w:p>
    <w:p w:rsidR="00AE6A04" w:rsidRPr="00D24A29" w:rsidRDefault="00955AEB" w:rsidP="00D80FBE">
      <w:pPr>
        <w:pStyle w:val="SingleTxtG"/>
        <w:rPr>
          <w:lang w:val="fr-FR"/>
        </w:rPr>
      </w:pPr>
      <w:r w:rsidRPr="00D24A29">
        <w:tab/>
        <w:t>b)</w:t>
      </w:r>
      <w:r w:rsidRPr="00D24A29">
        <w:tab/>
        <w:t>L</w:t>
      </w:r>
      <w:r w:rsidR="00AE6A04" w:rsidRPr="00D24A29">
        <w:t>a formation des professionnels de</w:t>
      </w:r>
      <w:r w:rsidR="000F4F03" w:rsidRPr="00D24A29">
        <w:t xml:space="preserve"> la</w:t>
      </w:r>
      <w:r w:rsidR="00AE6A04" w:rsidRPr="00D24A29">
        <w:t xml:space="preserve"> </w:t>
      </w:r>
      <w:r w:rsidR="000F4F03" w:rsidRPr="00D24A29">
        <w:t>justice ayant à traiter d’affaires juvéniles,</w:t>
      </w:r>
      <w:r w:rsidR="00AE6A04" w:rsidRPr="00D24A29">
        <w:rPr>
          <w:lang w:val="fr-FR"/>
        </w:rPr>
        <w:t xml:space="preserve"> </w:t>
      </w:r>
      <w:r w:rsidR="000F4F03" w:rsidRPr="00D24A29">
        <w:rPr>
          <w:lang w:val="fr-FR"/>
        </w:rPr>
        <w:t>notamment l</w:t>
      </w:r>
      <w:r w:rsidR="00AE6A04" w:rsidRPr="00D24A29">
        <w:rPr>
          <w:lang w:val="fr-FR"/>
        </w:rPr>
        <w:t>es officiers de</w:t>
      </w:r>
      <w:r w:rsidR="000F4F03" w:rsidRPr="00D24A29">
        <w:rPr>
          <w:lang w:val="fr-FR"/>
        </w:rPr>
        <w:t xml:space="preserve"> la</w:t>
      </w:r>
      <w:r w:rsidR="00AE6A04" w:rsidRPr="00D24A29">
        <w:rPr>
          <w:lang w:val="fr-FR"/>
        </w:rPr>
        <w:t xml:space="preserve"> poli</w:t>
      </w:r>
      <w:r w:rsidR="000F4F03" w:rsidRPr="00D24A29">
        <w:rPr>
          <w:lang w:val="fr-FR"/>
        </w:rPr>
        <w:t>ce judiciaire et l</w:t>
      </w:r>
      <w:r w:rsidR="00AE6A04" w:rsidRPr="00D24A29">
        <w:rPr>
          <w:lang w:val="fr-FR"/>
        </w:rPr>
        <w:t>es magistrats</w:t>
      </w:r>
      <w:r w:rsidR="00D80FBE" w:rsidRPr="00D24A29">
        <w:rPr>
          <w:lang w:val="fr-FR"/>
        </w:rPr>
        <w:t> ;</w:t>
      </w:r>
    </w:p>
    <w:p w:rsidR="006E60B8" w:rsidRPr="00D24A29" w:rsidRDefault="00955AEB" w:rsidP="000C6365">
      <w:pPr>
        <w:pStyle w:val="SingleTxtG"/>
        <w:rPr>
          <w:lang w:val="fr-FR"/>
        </w:rPr>
      </w:pPr>
      <w:r w:rsidRPr="00D24A29">
        <w:rPr>
          <w:lang w:val="fr-FR"/>
        </w:rPr>
        <w:tab/>
      </w:r>
      <w:r w:rsidR="00AE6A04" w:rsidRPr="00D24A29">
        <w:rPr>
          <w:lang w:val="fr-FR"/>
        </w:rPr>
        <w:t>c)</w:t>
      </w:r>
      <w:r w:rsidR="00AE6A04" w:rsidRPr="00D24A29">
        <w:rPr>
          <w:lang w:val="fr-FR"/>
        </w:rPr>
        <w:tab/>
      </w:r>
      <w:r w:rsidR="000C6365" w:rsidRPr="00D24A29">
        <w:rPr>
          <w:lang w:val="fr-FR"/>
        </w:rPr>
        <w:t>S</w:t>
      </w:r>
      <w:r w:rsidR="000F4F03" w:rsidRPr="00D24A29">
        <w:rPr>
          <w:lang w:val="fr-FR"/>
        </w:rPr>
        <w:t xml:space="preserve">éparer les enfants des </w:t>
      </w:r>
      <w:r w:rsidR="00AE6A04" w:rsidRPr="00D24A29">
        <w:rPr>
          <w:lang w:val="fr-FR"/>
        </w:rPr>
        <w:t>adultes dans les centres de détention et</w:t>
      </w:r>
      <w:r w:rsidR="000F4F03" w:rsidRPr="00D24A29">
        <w:rPr>
          <w:lang w:val="fr-FR"/>
        </w:rPr>
        <w:t xml:space="preserve"> </w:t>
      </w:r>
      <w:r w:rsidR="0088775A" w:rsidRPr="00D24A29">
        <w:rPr>
          <w:lang w:val="fr-FR"/>
        </w:rPr>
        <w:t>de ne</w:t>
      </w:r>
      <w:r w:rsidR="000F4F03" w:rsidRPr="00D24A29">
        <w:rPr>
          <w:lang w:val="fr-FR"/>
        </w:rPr>
        <w:t xml:space="preserve"> pas traiter les premiers comme </w:t>
      </w:r>
      <w:r w:rsidR="00D80FBE" w:rsidRPr="00D24A29">
        <w:rPr>
          <w:lang w:val="fr-FR"/>
        </w:rPr>
        <w:t>des adultes ;</w:t>
      </w:r>
    </w:p>
    <w:p w:rsidR="00AE6A04" w:rsidRPr="00D24A29" w:rsidRDefault="00AE6A04" w:rsidP="000C6365">
      <w:pPr>
        <w:pStyle w:val="SingleTxtG"/>
        <w:rPr>
          <w:lang w:val="fr-FR"/>
        </w:rPr>
      </w:pPr>
      <w:r w:rsidRPr="00D24A29">
        <w:rPr>
          <w:lang w:val="fr-FR"/>
        </w:rPr>
        <w:tab/>
        <w:t>d)</w:t>
      </w:r>
      <w:r w:rsidRPr="00D24A29">
        <w:rPr>
          <w:lang w:val="fr-FR"/>
        </w:rPr>
        <w:tab/>
      </w:r>
      <w:r w:rsidR="000C6365" w:rsidRPr="00D24A29">
        <w:rPr>
          <w:lang w:val="fr-FR"/>
        </w:rPr>
        <w:t>P</w:t>
      </w:r>
      <w:r w:rsidRPr="00D24A29">
        <w:rPr>
          <w:lang w:val="fr-FR"/>
        </w:rPr>
        <w:t xml:space="preserve">rotéger les jeunes enfants </w:t>
      </w:r>
      <w:r w:rsidR="000C6365" w:rsidRPr="00D24A29">
        <w:rPr>
          <w:lang w:val="fr-FR"/>
        </w:rPr>
        <w:t xml:space="preserve"> qui vive</w:t>
      </w:r>
      <w:r w:rsidRPr="00D24A29">
        <w:rPr>
          <w:lang w:val="fr-FR"/>
        </w:rPr>
        <w:t xml:space="preserve">nt </w:t>
      </w:r>
      <w:r w:rsidR="000C6365" w:rsidRPr="00D24A29">
        <w:rPr>
          <w:lang w:val="fr-FR"/>
        </w:rPr>
        <w:t xml:space="preserve">avec leur mère </w:t>
      </w:r>
      <w:r w:rsidRPr="00D24A29">
        <w:rPr>
          <w:lang w:val="fr-FR"/>
        </w:rPr>
        <w:t>en détention.</w:t>
      </w:r>
    </w:p>
    <w:p w:rsidR="00AE6A04" w:rsidRPr="00D24A29" w:rsidRDefault="00AE6A04" w:rsidP="000C6365">
      <w:pPr>
        <w:pStyle w:val="SingleTxtG"/>
        <w:rPr>
          <w:lang w:val="fr-FR"/>
        </w:rPr>
      </w:pPr>
      <w:r w:rsidRPr="00D24A29">
        <w:rPr>
          <w:lang w:val="fr-FR"/>
        </w:rPr>
        <w:t>11.</w:t>
      </w:r>
      <w:r w:rsidRPr="00D24A29">
        <w:rPr>
          <w:lang w:val="fr-FR"/>
        </w:rPr>
        <w:tab/>
        <w:t>En ce qui concerne le droit à l’éducation, indiquer :</w:t>
      </w:r>
    </w:p>
    <w:p w:rsidR="00AE6A04" w:rsidRPr="00D24A29" w:rsidRDefault="00955AEB" w:rsidP="00593DA3">
      <w:pPr>
        <w:pStyle w:val="SingleTxtG"/>
        <w:rPr>
          <w:lang w:val="fr-FR"/>
        </w:rPr>
      </w:pPr>
      <w:r w:rsidRPr="00D24A29">
        <w:rPr>
          <w:lang w:val="fr-FR"/>
        </w:rPr>
        <w:tab/>
      </w:r>
      <w:r w:rsidR="00AE6A04" w:rsidRPr="00D24A29">
        <w:rPr>
          <w:lang w:val="fr-FR"/>
        </w:rPr>
        <w:t>a)</w:t>
      </w:r>
      <w:r w:rsidR="00AE6A04" w:rsidRPr="00D24A29">
        <w:rPr>
          <w:lang w:val="fr-FR"/>
        </w:rPr>
        <w:tab/>
      </w:r>
      <w:r w:rsidRPr="00D24A29">
        <w:rPr>
          <w:lang w:val="fr-FR"/>
        </w:rPr>
        <w:t>L</w:t>
      </w:r>
      <w:r w:rsidR="00AE6A04" w:rsidRPr="00D24A29">
        <w:rPr>
          <w:lang w:val="fr-FR"/>
        </w:rPr>
        <w:t>e</w:t>
      </w:r>
      <w:r w:rsidR="005024F2" w:rsidRPr="00D24A29">
        <w:rPr>
          <w:lang w:val="fr-FR"/>
        </w:rPr>
        <w:t>s</w:t>
      </w:r>
      <w:r w:rsidR="00AE6A04" w:rsidRPr="00D24A29">
        <w:rPr>
          <w:lang w:val="fr-FR"/>
        </w:rPr>
        <w:t xml:space="preserve"> progrès </w:t>
      </w:r>
      <w:r w:rsidR="005024F2" w:rsidRPr="00D24A29">
        <w:rPr>
          <w:lang w:val="fr-FR"/>
        </w:rPr>
        <w:t>accomplis</w:t>
      </w:r>
      <w:r w:rsidR="00AE6A04" w:rsidRPr="00D24A29">
        <w:rPr>
          <w:lang w:val="fr-FR"/>
        </w:rPr>
        <w:t xml:space="preserve"> par l’</w:t>
      </w:r>
      <w:r w:rsidR="005024F2" w:rsidRPr="00D24A29">
        <w:rPr>
          <w:lang w:val="fr-FR"/>
        </w:rPr>
        <w:t>É</w:t>
      </w:r>
      <w:r w:rsidR="00AE6A04" w:rsidRPr="00D24A29">
        <w:rPr>
          <w:lang w:val="fr-FR"/>
        </w:rPr>
        <w:t xml:space="preserve">tat partie </w:t>
      </w:r>
      <w:r w:rsidR="005024F2" w:rsidRPr="00D24A29">
        <w:rPr>
          <w:lang w:val="fr-FR"/>
        </w:rPr>
        <w:t>pour ce qui est</w:t>
      </w:r>
      <w:r w:rsidR="00AE6A04" w:rsidRPr="00D24A29">
        <w:rPr>
          <w:lang w:val="fr-FR"/>
        </w:rPr>
        <w:t xml:space="preserve"> d’assurer une éducation primaire et secondaire à tous les enfants </w:t>
      </w:r>
      <w:r w:rsidR="00593DA3" w:rsidRPr="00D24A29">
        <w:rPr>
          <w:lang w:val="fr-FR"/>
        </w:rPr>
        <w:t>sur son territoire ;</w:t>
      </w:r>
    </w:p>
    <w:p w:rsidR="00AE6A04" w:rsidRPr="00D24A29" w:rsidRDefault="00955AEB" w:rsidP="00213978">
      <w:pPr>
        <w:pStyle w:val="SingleTxtG"/>
        <w:rPr>
          <w:lang w:val="fr-FR"/>
        </w:rPr>
      </w:pPr>
      <w:r w:rsidRPr="00D24A29">
        <w:rPr>
          <w:lang w:val="fr-FR"/>
        </w:rPr>
        <w:tab/>
      </w:r>
      <w:r w:rsidR="00AE6A04" w:rsidRPr="00D24A29">
        <w:rPr>
          <w:lang w:val="fr-FR"/>
        </w:rPr>
        <w:t>b)</w:t>
      </w:r>
      <w:r w:rsidR="00AE6A04" w:rsidRPr="00D24A29">
        <w:rPr>
          <w:lang w:val="fr-FR"/>
        </w:rPr>
        <w:tab/>
        <w:t xml:space="preserve">Si l’étude de faisabilité sur la gratuité de l’enseignement primaire, </w:t>
      </w:r>
      <w:r w:rsidR="00593DA3" w:rsidRPr="00D24A29">
        <w:rPr>
          <w:lang w:val="fr-FR"/>
        </w:rPr>
        <w:t xml:space="preserve">débutée en </w:t>
      </w:r>
      <w:r w:rsidR="00AE6A04" w:rsidRPr="00D24A29">
        <w:rPr>
          <w:lang w:val="fr-FR"/>
        </w:rPr>
        <w:t xml:space="preserve"> 2003, a </w:t>
      </w:r>
      <w:r w:rsidR="00213978" w:rsidRPr="00D24A29">
        <w:rPr>
          <w:lang w:val="fr-FR"/>
        </w:rPr>
        <w:t>pu être</w:t>
      </w:r>
      <w:r w:rsidR="00AE6A04" w:rsidRPr="00D24A29">
        <w:rPr>
          <w:lang w:val="fr-FR"/>
        </w:rPr>
        <w:t xml:space="preserve"> menée à son terme</w:t>
      </w:r>
      <w:r w:rsidR="00593DA3" w:rsidRPr="00D24A29">
        <w:rPr>
          <w:lang w:val="fr-FR"/>
        </w:rPr>
        <w:t> ;</w:t>
      </w:r>
    </w:p>
    <w:p w:rsidR="00AE6A04" w:rsidRPr="00D24A29" w:rsidRDefault="00955AEB" w:rsidP="00593DA3">
      <w:pPr>
        <w:pStyle w:val="SingleTxtG"/>
        <w:rPr>
          <w:lang w:val="fr-FR"/>
        </w:rPr>
      </w:pPr>
      <w:r w:rsidRPr="00C8239D">
        <w:rPr>
          <w:sz w:val="24"/>
          <w:szCs w:val="24"/>
          <w:lang w:val="fr-FR"/>
        </w:rPr>
        <w:tab/>
      </w:r>
      <w:r w:rsidR="00AE6A04" w:rsidRPr="00D24A29">
        <w:rPr>
          <w:lang w:val="fr-FR"/>
        </w:rPr>
        <w:t>c)</w:t>
      </w:r>
      <w:r w:rsidR="00AE6A04" w:rsidRPr="00D24A29">
        <w:rPr>
          <w:lang w:val="fr-FR"/>
        </w:rPr>
        <w:tab/>
      </w:r>
      <w:r w:rsidRPr="00D24A29">
        <w:t xml:space="preserve">Les </w:t>
      </w:r>
      <w:r w:rsidR="00AE6A04" w:rsidRPr="00D24A29">
        <w:rPr>
          <w:lang w:val="fr-FR"/>
        </w:rPr>
        <w:t>mesures prises pour que l’école soit un lieu paisible</w:t>
      </w:r>
      <w:r w:rsidR="00593DA3" w:rsidRPr="00D24A29">
        <w:rPr>
          <w:lang w:val="fr-FR"/>
        </w:rPr>
        <w:t xml:space="preserve"> pour tous les enfants</w:t>
      </w:r>
      <w:r w:rsidR="00AE6A04" w:rsidRPr="00D24A29">
        <w:rPr>
          <w:lang w:val="fr-FR"/>
        </w:rPr>
        <w:t xml:space="preserve">, notamment </w:t>
      </w:r>
      <w:r w:rsidR="00593DA3" w:rsidRPr="00D24A29">
        <w:rPr>
          <w:lang w:val="fr-FR"/>
        </w:rPr>
        <w:t>pour ce que est</w:t>
      </w:r>
      <w:r w:rsidR="00AE6A04" w:rsidRPr="00D24A29">
        <w:rPr>
          <w:lang w:val="fr-FR"/>
        </w:rPr>
        <w:t xml:space="preserve"> de la violence </w:t>
      </w:r>
      <w:r w:rsidR="00593DA3" w:rsidRPr="00D24A29">
        <w:rPr>
          <w:lang w:val="fr-FR"/>
        </w:rPr>
        <w:t>entre</w:t>
      </w:r>
      <w:r w:rsidR="00AE6A04" w:rsidRPr="00D24A29">
        <w:rPr>
          <w:lang w:val="fr-FR"/>
        </w:rPr>
        <w:t xml:space="preserve"> pairs et des relations interethniques. </w:t>
      </w:r>
    </w:p>
    <w:p w:rsidR="00AE6A04" w:rsidRPr="00D24A29" w:rsidRDefault="00AE6A04" w:rsidP="0089003F">
      <w:pPr>
        <w:pStyle w:val="SingleTxtG"/>
        <w:rPr>
          <w:lang w:val="fr-FR"/>
        </w:rPr>
      </w:pPr>
      <w:r w:rsidRPr="00D24A29">
        <w:rPr>
          <w:lang w:val="fr-FR"/>
        </w:rPr>
        <w:t>12.</w:t>
      </w:r>
      <w:r w:rsidRPr="00D24A29">
        <w:rPr>
          <w:lang w:val="fr-FR"/>
        </w:rPr>
        <w:tab/>
      </w:r>
      <w:r w:rsidR="0089003F" w:rsidRPr="00D24A29">
        <w:rPr>
          <w:lang w:val="fr-FR"/>
        </w:rPr>
        <w:t>I</w:t>
      </w:r>
      <w:r w:rsidRPr="00D24A29">
        <w:rPr>
          <w:lang w:val="fr-FR"/>
        </w:rPr>
        <w:t xml:space="preserve">nformer le Comité des procédures </w:t>
      </w:r>
      <w:r w:rsidR="0089003F" w:rsidRPr="00D24A29">
        <w:rPr>
          <w:lang w:val="fr-FR"/>
        </w:rPr>
        <w:t xml:space="preserve">mises en place pour permettre à l’enfant de participer aux processus </w:t>
      </w:r>
      <w:r w:rsidRPr="00D24A29">
        <w:rPr>
          <w:lang w:val="fr-FR"/>
        </w:rPr>
        <w:t>judiciaires et administrati</w:t>
      </w:r>
      <w:r w:rsidR="0089003F" w:rsidRPr="00D24A29">
        <w:rPr>
          <w:lang w:val="fr-FR"/>
        </w:rPr>
        <w:t>f</w:t>
      </w:r>
      <w:r w:rsidRPr="00D24A29">
        <w:rPr>
          <w:lang w:val="fr-FR"/>
        </w:rPr>
        <w:t>s, e</w:t>
      </w:r>
      <w:r w:rsidR="0089003F" w:rsidRPr="00D24A29">
        <w:rPr>
          <w:lang w:val="fr-FR"/>
        </w:rPr>
        <w:t>t plus particulièrement</w:t>
      </w:r>
      <w:r w:rsidRPr="00D24A29">
        <w:rPr>
          <w:lang w:val="fr-FR"/>
        </w:rPr>
        <w:t xml:space="preserve"> d’exprimer son </w:t>
      </w:r>
      <w:r w:rsidR="0089003F" w:rsidRPr="00D24A29">
        <w:rPr>
          <w:lang w:val="fr-FR"/>
        </w:rPr>
        <w:t>point de vue</w:t>
      </w:r>
      <w:r w:rsidRPr="00D24A29">
        <w:rPr>
          <w:lang w:val="fr-FR"/>
        </w:rPr>
        <w:t xml:space="preserve"> et </w:t>
      </w:r>
      <w:r w:rsidR="0089003F" w:rsidRPr="00D24A29">
        <w:rPr>
          <w:lang w:val="fr-FR"/>
        </w:rPr>
        <w:t xml:space="preserve">d’être pris en </w:t>
      </w:r>
      <w:r w:rsidRPr="00D24A29">
        <w:rPr>
          <w:lang w:val="fr-FR"/>
        </w:rPr>
        <w:t xml:space="preserve">considération. </w:t>
      </w:r>
    </w:p>
    <w:p w:rsidR="00AE6A04" w:rsidRPr="00F02CD5" w:rsidRDefault="00AE6A04" w:rsidP="00AE6A04">
      <w:pPr>
        <w:pStyle w:val="HChG"/>
        <w:rPr>
          <w:lang w:val="fr-FR"/>
        </w:rPr>
      </w:pPr>
      <w:r>
        <w:rPr>
          <w:lang w:val="fr-FR"/>
        </w:rPr>
        <w:tab/>
      </w:r>
      <w:r>
        <w:rPr>
          <w:lang w:val="fr-FR"/>
        </w:rPr>
        <w:tab/>
      </w:r>
      <w:r w:rsidRPr="000F4F03">
        <w:rPr>
          <w:sz w:val="24"/>
          <w:szCs w:val="24"/>
          <w:shd w:val="clear" w:color="auto" w:fill="FFFFFF"/>
          <w:lang w:val="fr-FR"/>
        </w:rPr>
        <w:t>Deuxième partie</w:t>
      </w:r>
    </w:p>
    <w:p w:rsidR="00AE6A04" w:rsidRPr="005D5264" w:rsidRDefault="00AE6A04" w:rsidP="00F43C73">
      <w:pPr>
        <w:pStyle w:val="H1G"/>
        <w:rPr>
          <w:b w:val="0"/>
          <w:bCs/>
          <w:sz w:val="20"/>
          <w:lang w:val="fr-FR"/>
        </w:rPr>
      </w:pPr>
      <w:r>
        <w:rPr>
          <w:lang w:val="fr-FR"/>
        </w:rPr>
        <w:tab/>
      </w:r>
      <w:r>
        <w:rPr>
          <w:lang w:val="fr-FR"/>
        </w:rPr>
        <w:tab/>
      </w:r>
      <w:r w:rsidRPr="005D5264">
        <w:rPr>
          <w:b w:val="0"/>
          <w:bCs/>
          <w:sz w:val="20"/>
          <w:lang w:val="fr-FR"/>
        </w:rPr>
        <w:t>Sous cette rubrique, l’</w:t>
      </w:r>
      <w:r w:rsidR="00F43C73" w:rsidRPr="005D5264">
        <w:rPr>
          <w:b w:val="0"/>
          <w:bCs/>
          <w:sz w:val="20"/>
          <w:lang w:val="fr-FR"/>
        </w:rPr>
        <w:t>É</w:t>
      </w:r>
      <w:r w:rsidRPr="005D5264">
        <w:rPr>
          <w:b w:val="0"/>
          <w:bCs/>
          <w:sz w:val="20"/>
          <w:lang w:val="fr-FR"/>
        </w:rPr>
        <w:t>tat partie est invité à mettre à jour brièvement (</w:t>
      </w:r>
      <w:r w:rsidR="00F43C73" w:rsidRPr="005D5264">
        <w:rPr>
          <w:b w:val="0"/>
          <w:bCs/>
          <w:sz w:val="20"/>
          <w:lang w:val="fr-FR"/>
        </w:rPr>
        <w:t xml:space="preserve">en </w:t>
      </w:r>
      <w:r w:rsidRPr="005D5264">
        <w:rPr>
          <w:b w:val="0"/>
          <w:bCs/>
          <w:sz w:val="20"/>
          <w:lang w:val="fr-FR"/>
        </w:rPr>
        <w:t xml:space="preserve">trois pages au maximum) les renseignements fournis dans </w:t>
      </w:r>
      <w:r w:rsidR="00F43C73" w:rsidRPr="005D5264">
        <w:rPr>
          <w:b w:val="0"/>
          <w:bCs/>
          <w:sz w:val="20"/>
          <w:lang w:val="fr-FR"/>
        </w:rPr>
        <w:t xml:space="preserve">son </w:t>
      </w:r>
      <w:r w:rsidRPr="005D5264">
        <w:rPr>
          <w:b w:val="0"/>
          <w:bCs/>
          <w:sz w:val="20"/>
          <w:lang w:val="fr-FR"/>
        </w:rPr>
        <w:t xml:space="preserve"> rapport en ce qui concerne: </w:t>
      </w:r>
    </w:p>
    <w:p w:rsidR="00AE6A04" w:rsidRPr="005D5264" w:rsidRDefault="00AE6A04" w:rsidP="00FC6B52">
      <w:pPr>
        <w:pStyle w:val="Bullet1G"/>
        <w:rPr>
          <w:lang w:val="fr-FR"/>
        </w:rPr>
      </w:pPr>
      <w:r w:rsidRPr="005D5264">
        <w:rPr>
          <w:lang w:val="fr-FR"/>
        </w:rPr>
        <w:t xml:space="preserve">Les </w:t>
      </w:r>
      <w:r w:rsidR="00FC6B52" w:rsidRPr="005D5264">
        <w:rPr>
          <w:lang w:val="fr-FR"/>
        </w:rPr>
        <w:t xml:space="preserve">nouveaux </w:t>
      </w:r>
      <w:r w:rsidRPr="005D5264">
        <w:rPr>
          <w:lang w:val="fr-FR"/>
        </w:rPr>
        <w:t>projets ou textes de loi ;</w:t>
      </w:r>
    </w:p>
    <w:p w:rsidR="00AE6A04" w:rsidRPr="005D5264" w:rsidRDefault="00AE6A04" w:rsidP="00AE6A04">
      <w:pPr>
        <w:pStyle w:val="Bullet1G"/>
        <w:rPr>
          <w:lang w:val="fr-FR"/>
        </w:rPr>
      </w:pPr>
      <w:r w:rsidRPr="005D5264">
        <w:rPr>
          <w:lang w:val="fr-FR"/>
        </w:rPr>
        <w:t>Les nouvelles institutions, leurs fonctions et leur financement;</w:t>
      </w:r>
    </w:p>
    <w:p w:rsidR="00AE6A04" w:rsidRPr="005D5264" w:rsidRDefault="00AE6A04" w:rsidP="00FC6B52">
      <w:pPr>
        <w:pStyle w:val="Bullet1G"/>
        <w:rPr>
          <w:lang w:val="fr-FR"/>
        </w:rPr>
      </w:pPr>
      <w:r w:rsidRPr="005D5264">
        <w:rPr>
          <w:lang w:val="fr-FR"/>
        </w:rPr>
        <w:t>Les politiques</w:t>
      </w:r>
      <w:r w:rsidR="00FC6B52" w:rsidRPr="005D5264">
        <w:rPr>
          <w:lang w:val="fr-FR"/>
        </w:rPr>
        <w:t xml:space="preserve"> mises en œuvre récemment et les </w:t>
      </w:r>
      <w:r w:rsidRPr="005D5264">
        <w:rPr>
          <w:lang w:val="fr-FR"/>
        </w:rPr>
        <w:t>programmes et plans d’action</w:t>
      </w:r>
      <w:r w:rsidR="00FC6B52" w:rsidRPr="005D5264">
        <w:rPr>
          <w:lang w:val="fr-FR"/>
        </w:rPr>
        <w:t xml:space="preserve"> exécutés</w:t>
      </w:r>
      <w:r w:rsidRPr="005D5264">
        <w:rPr>
          <w:lang w:val="fr-FR"/>
        </w:rPr>
        <w:t xml:space="preserve"> récemment, leur</w:t>
      </w:r>
      <w:r w:rsidR="00FC6B52" w:rsidRPr="005D5264">
        <w:rPr>
          <w:lang w:val="fr-FR"/>
        </w:rPr>
        <w:t xml:space="preserve"> portée et </w:t>
      </w:r>
      <w:r w:rsidRPr="005D5264">
        <w:rPr>
          <w:lang w:val="fr-FR"/>
        </w:rPr>
        <w:t>leur financement;</w:t>
      </w:r>
    </w:p>
    <w:p w:rsidR="00AE6A04" w:rsidRPr="005D5264" w:rsidRDefault="00AE6A04" w:rsidP="00FC6B52">
      <w:pPr>
        <w:pStyle w:val="Bullet1G"/>
        <w:rPr>
          <w:lang w:val="fr-FR"/>
        </w:rPr>
      </w:pPr>
      <w:r w:rsidRPr="005D5264">
        <w:rPr>
          <w:lang w:val="fr-FR"/>
        </w:rPr>
        <w:t>Les ratifications</w:t>
      </w:r>
      <w:r w:rsidR="00FC6B52" w:rsidRPr="005D5264">
        <w:rPr>
          <w:lang w:val="fr-FR"/>
        </w:rPr>
        <w:t xml:space="preserve"> récentes</w:t>
      </w:r>
      <w:r w:rsidRPr="005D5264">
        <w:rPr>
          <w:lang w:val="fr-FR"/>
        </w:rPr>
        <w:t xml:space="preserve"> d</w:t>
      </w:r>
      <w:r w:rsidR="00FC6B52" w:rsidRPr="005D5264">
        <w:rPr>
          <w:lang w:val="fr-FR"/>
        </w:rPr>
        <w:t>’</w:t>
      </w:r>
      <w:r w:rsidRPr="005D5264">
        <w:rPr>
          <w:lang w:val="fr-FR"/>
        </w:rPr>
        <w:t xml:space="preserve">instruments </w:t>
      </w:r>
      <w:r w:rsidR="00FC6B52" w:rsidRPr="005D5264">
        <w:rPr>
          <w:lang w:val="fr-FR"/>
        </w:rPr>
        <w:t xml:space="preserve">relatifs aux </w:t>
      </w:r>
      <w:r w:rsidR="00002B29">
        <w:rPr>
          <w:lang w:val="fr-FR"/>
        </w:rPr>
        <w:t>droits de l’h</w:t>
      </w:r>
      <w:r w:rsidRPr="005D5264">
        <w:rPr>
          <w:lang w:val="fr-FR"/>
        </w:rPr>
        <w:t xml:space="preserve">omme. </w:t>
      </w:r>
    </w:p>
    <w:p w:rsidR="00AE6A04" w:rsidRPr="00FC6B52" w:rsidRDefault="00AE6A04" w:rsidP="000F4F03">
      <w:pPr>
        <w:pStyle w:val="HChG"/>
        <w:rPr>
          <w:sz w:val="24"/>
          <w:szCs w:val="24"/>
          <w:lang w:val="fr-FR"/>
        </w:rPr>
      </w:pPr>
      <w:r w:rsidRPr="00FC6B52">
        <w:rPr>
          <w:sz w:val="24"/>
          <w:szCs w:val="24"/>
          <w:lang w:val="fr-FR"/>
        </w:rPr>
        <w:tab/>
      </w:r>
      <w:r w:rsidRPr="00FC6B52">
        <w:rPr>
          <w:sz w:val="24"/>
          <w:szCs w:val="24"/>
          <w:shd w:val="clear" w:color="auto" w:fill="FFFFFF"/>
          <w:lang w:val="fr-FR"/>
        </w:rPr>
        <w:tab/>
        <w:t>T</w:t>
      </w:r>
      <w:r w:rsidR="000F4F03" w:rsidRPr="00FC6B52">
        <w:rPr>
          <w:sz w:val="24"/>
          <w:szCs w:val="24"/>
          <w:shd w:val="clear" w:color="auto" w:fill="FFFFFF"/>
          <w:lang w:val="fr-FR"/>
        </w:rPr>
        <w:t>roisième partie</w:t>
      </w:r>
    </w:p>
    <w:p w:rsidR="00AE6A04" w:rsidRPr="003C5F44" w:rsidRDefault="00AE6A04" w:rsidP="00002B29">
      <w:pPr>
        <w:pStyle w:val="H1G"/>
        <w:rPr>
          <w:lang w:val="fr-FR"/>
        </w:rPr>
      </w:pPr>
      <w:r>
        <w:rPr>
          <w:lang w:val="fr-FR"/>
        </w:rPr>
        <w:tab/>
      </w:r>
      <w:r>
        <w:rPr>
          <w:lang w:val="fr-FR"/>
        </w:rPr>
        <w:tab/>
      </w:r>
      <w:r w:rsidRPr="003C5F44">
        <w:rPr>
          <w:lang w:val="fr-FR"/>
        </w:rPr>
        <w:t>Données</w:t>
      </w:r>
      <w:r w:rsidR="00C06B10">
        <w:rPr>
          <w:lang w:val="fr-FR"/>
        </w:rPr>
        <w:t xml:space="preserve"> et</w:t>
      </w:r>
      <w:r w:rsidRPr="003C5F44">
        <w:rPr>
          <w:lang w:val="fr-FR"/>
        </w:rPr>
        <w:t xml:space="preserve"> statistiques</w:t>
      </w:r>
      <w:r w:rsidR="00C06B10">
        <w:rPr>
          <w:lang w:val="fr-FR"/>
        </w:rPr>
        <w:t>,</w:t>
      </w:r>
      <w:r w:rsidRPr="003C5F44">
        <w:rPr>
          <w:lang w:val="fr-FR"/>
        </w:rPr>
        <w:t xml:space="preserve"> si disponibles</w:t>
      </w:r>
      <w:r>
        <w:rPr>
          <w:lang w:val="fr-FR"/>
        </w:rPr>
        <w:t> </w:t>
      </w:r>
    </w:p>
    <w:p w:rsidR="00AE6A04" w:rsidRPr="00A73A22" w:rsidRDefault="00AE6A04" w:rsidP="00A73A22">
      <w:pPr>
        <w:pStyle w:val="SingleTxtG"/>
        <w:rPr>
          <w:lang w:val="fr-FR"/>
        </w:rPr>
      </w:pPr>
      <w:r w:rsidRPr="00A73A22">
        <w:rPr>
          <w:lang w:val="fr-FR"/>
        </w:rPr>
        <w:t>1.</w:t>
      </w:r>
      <w:r w:rsidRPr="00A73A22">
        <w:rPr>
          <w:lang w:val="fr-FR"/>
        </w:rPr>
        <w:tab/>
      </w:r>
      <w:r w:rsidR="00D00B07" w:rsidRPr="00A73A22">
        <w:rPr>
          <w:lang w:val="fr-FR"/>
        </w:rPr>
        <w:t>F</w:t>
      </w:r>
      <w:r w:rsidRPr="00A73A22">
        <w:rPr>
          <w:lang w:val="fr-FR"/>
        </w:rPr>
        <w:t xml:space="preserve">ournir, pour les années 2007, 2008 et 2009, des </w:t>
      </w:r>
      <w:r w:rsidR="005A64BA" w:rsidRPr="00A73A22">
        <w:rPr>
          <w:lang w:val="fr-FR"/>
        </w:rPr>
        <w:t>statistiques</w:t>
      </w:r>
      <w:r w:rsidRPr="00A73A22">
        <w:rPr>
          <w:lang w:val="fr-FR"/>
        </w:rPr>
        <w:t xml:space="preserve"> </w:t>
      </w:r>
      <w:r w:rsidR="005A64BA" w:rsidRPr="00A73A22">
        <w:rPr>
          <w:lang w:val="fr-FR"/>
        </w:rPr>
        <w:t xml:space="preserve">à jour </w:t>
      </w:r>
      <w:r w:rsidRPr="00A73A22">
        <w:rPr>
          <w:lang w:val="fr-FR"/>
        </w:rPr>
        <w:t xml:space="preserve"> </w:t>
      </w:r>
      <w:r w:rsidR="005A64BA" w:rsidRPr="00A73A22">
        <w:rPr>
          <w:lang w:val="fr-FR"/>
        </w:rPr>
        <w:t>sur</w:t>
      </w:r>
      <w:r w:rsidRPr="00A73A22">
        <w:rPr>
          <w:lang w:val="fr-FR"/>
        </w:rPr>
        <w:t xml:space="preserve"> le</w:t>
      </w:r>
      <w:r w:rsidR="005A64BA" w:rsidRPr="00A73A22">
        <w:rPr>
          <w:lang w:val="fr-FR"/>
        </w:rPr>
        <w:t>s</w:t>
      </w:r>
      <w:r w:rsidRPr="00A73A22">
        <w:rPr>
          <w:lang w:val="fr-FR"/>
        </w:rPr>
        <w:t xml:space="preserve"> personnes de moins de 18 ans qui ont été jugées comme </w:t>
      </w:r>
      <w:r w:rsidR="005A64BA" w:rsidRPr="00A73A22">
        <w:rPr>
          <w:lang w:val="fr-FR"/>
        </w:rPr>
        <w:t>des adultes</w:t>
      </w:r>
      <w:r w:rsidRPr="00A73A22">
        <w:rPr>
          <w:lang w:val="fr-FR"/>
        </w:rPr>
        <w:t>. Fournir également au Comité des données sur le</w:t>
      </w:r>
      <w:r w:rsidR="005A64BA" w:rsidRPr="00A73A22">
        <w:rPr>
          <w:lang w:val="fr-FR"/>
        </w:rPr>
        <w:t xml:space="preserve">s </w:t>
      </w:r>
      <w:r w:rsidR="00F53436" w:rsidRPr="00A73A22">
        <w:rPr>
          <w:lang w:val="fr-FR"/>
        </w:rPr>
        <w:t>cas</w:t>
      </w:r>
      <w:r w:rsidR="005A64BA" w:rsidRPr="00A73A22">
        <w:rPr>
          <w:lang w:val="fr-FR"/>
        </w:rPr>
        <w:t xml:space="preserve"> signalés</w:t>
      </w:r>
      <w:r w:rsidR="00F53436" w:rsidRPr="00A73A22">
        <w:rPr>
          <w:lang w:val="fr-FR"/>
        </w:rPr>
        <w:t xml:space="preserve"> </w:t>
      </w:r>
      <w:r w:rsidRPr="00A73A22">
        <w:rPr>
          <w:lang w:val="fr-FR"/>
        </w:rPr>
        <w:t>de sévices ou de mauvais traitements infligés à des enf</w:t>
      </w:r>
      <w:r w:rsidR="00F53436" w:rsidRPr="00A73A22">
        <w:rPr>
          <w:lang w:val="fr-FR"/>
        </w:rPr>
        <w:t xml:space="preserve">ants </w:t>
      </w:r>
      <w:r w:rsidR="005A64BA" w:rsidRPr="00A73A22">
        <w:rPr>
          <w:lang w:val="fr-FR"/>
        </w:rPr>
        <w:t>lors de</w:t>
      </w:r>
      <w:r w:rsidR="00F53436" w:rsidRPr="00A73A22">
        <w:rPr>
          <w:lang w:val="fr-FR"/>
        </w:rPr>
        <w:t xml:space="preserve"> leur arrestation </w:t>
      </w:r>
      <w:r w:rsidR="005A64BA" w:rsidRPr="00A73A22">
        <w:rPr>
          <w:lang w:val="fr-FR"/>
        </w:rPr>
        <w:t>et/</w:t>
      </w:r>
      <w:r w:rsidRPr="00A73A22">
        <w:rPr>
          <w:lang w:val="fr-FR"/>
        </w:rPr>
        <w:t xml:space="preserve">ou </w:t>
      </w:r>
      <w:r w:rsidR="005A64BA" w:rsidRPr="00A73A22">
        <w:rPr>
          <w:lang w:val="fr-FR"/>
        </w:rPr>
        <w:t xml:space="preserve">pendant </w:t>
      </w:r>
      <w:r w:rsidRPr="00A73A22">
        <w:rPr>
          <w:lang w:val="fr-FR"/>
        </w:rPr>
        <w:t>leur détention</w:t>
      </w:r>
      <w:r w:rsidR="005A64BA" w:rsidRPr="00A73A22">
        <w:rPr>
          <w:lang w:val="fr-FR"/>
        </w:rPr>
        <w:t xml:space="preserve">, ainsi que la suite </w:t>
      </w:r>
      <w:r w:rsidRPr="00A73A22">
        <w:rPr>
          <w:lang w:val="fr-FR"/>
        </w:rPr>
        <w:t>donnée</w:t>
      </w:r>
      <w:r w:rsidR="005A64BA" w:rsidRPr="00A73A22">
        <w:rPr>
          <w:lang w:val="fr-FR"/>
        </w:rPr>
        <w:t xml:space="preserve"> à ces cas</w:t>
      </w:r>
      <w:r w:rsidRPr="00A73A22">
        <w:rPr>
          <w:lang w:val="fr-FR"/>
        </w:rPr>
        <w:t xml:space="preserve">. </w:t>
      </w:r>
    </w:p>
    <w:p w:rsidR="00AE6A04" w:rsidRPr="00236F90" w:rsidRDefault="00AE6A04" w:rsidP="00236F90">
      <w:pPr>
        <w:pStyle w:val="SingleTxtG"/>
        <w:rPr>
          <w:lang w:val="fr-FR"/>
        </w:rPr>
      </w:pPr>
      <w:r w:rsidRPr="00FC04AC">
        <w:rPr>
          <w:lang w:val="fr-FR"/>
        </w:rPr>
        <w:t>2.</w:t>
      </w:r>
      <w:r w:rsidRPr="00FC04AC">
        <w:rPr>
          <w:lang w:val="fr-FR"/>
        </w:rPr>
        <w:tab/>
      </w:r>
      <w:r w:rsidR="006437AF" w:rsidRPr="00236F90">
        <w:rPr>
          <w:lang w:val="fr-FR"/>
        </w:rPr>
        <w:t>F</w:t>
      </w:r>
      <w:r w:rsidRPr="00236F90">
        <w:rPr>
          <w:lang w:val="fr-FR"/>
        </w:rPr>
        <w:t xml:space="preserve">ournir </w:t>
      </w:r>
      <w:r w:rsidR="00326357" w:rsidRPr="00236F90">
        <w:rPr>
          <w:lang w:val="fr-FR"/>
        </w:rPr>
        <w:t xml:space="preserve">pour 2008, 2009 et 2010 </w:t>
      </w:r>
      <w:r w:rsidR="00FC04AC" w:rsidRPr="00236F90">
        <w:rPr>
          <w:lang w:val="fr-FR"/>
        </w:rPr>
        <w:t>une analyse de l’évolution d</w:t>
      </w:r>
      <w:r w:rsidR="00326357" w:rsidRPr="00236F90">
        <w:rPr>
          <w:lang w:val="fr-FR"/>
        </w:rPr>
        <w:t xml:space="preserve">es </w:t>
      </w:r>
      <w:r w:rsidRPr="00236F90">
        <w:rPr>
          <w:lang w:val="fr-FR"/>
        </w:rPr>
        <w:t xml:space="preserve">crédits budgétaires (en chiffres absolus et en pourcentage du budget national, </w:t>
      </w:r>
      <w:r w:rsidR="006437AF" w:rsidRPr="00236F90">
        <w:rPr>
          <w:lang w:val="fr-FR"/>
        </w:rPr>
        <w:t xml:space="preserve">du budget des communes et </w:t>
      </w:r>
      <w:r w:rsidR="00FC04AC" w:rsidRPr="00236F90">
        <w:rPr>
          <w:lang w:val="fr-FR"/>
        </w:rPr>
        <w:t xml:space="preserve">du budget </w:t>
      </w:r>
      <w:r w:rsidR="006437AF" w:rsidRPr="00236F90">
        <w:rPr>
          <w:lang w:val="fr-FR"/>
        </w:rPr>
        <w:t>des</w:t>
      </w:r>
      <w:r w:rsidRPr="00236F90">
        <w:rPr>
          <w:lang w:val="fr-FR"/>
        </w:rPr>
        <w:t xml:space="preserve"> </w:t>
      </w:r>
      <w:r w:rsidR="006437AF" w:rsidRPr="00236F90">
        <w:rPr>
          <w:lang w:val="fr-FR"/>
        </w:rPr>
        <w:t>«</w:t>
      </w:r>
      <w:r w:rsidRPr="00236F90">
        <w:rPr>
          <w:lang w:val="fr-FR"/>
        </w:rPr>
        <w:t>collines</w:t>
      </w:r>
      <w:r w:rsidR="006437AF" w:rsidRPr="00236F90">
        <w:rPr>
          <w:lang w:val="fr-FR"/>
        </w:rPr>
        <w:t>»</w:t>
      </w:r>
      <w:r w:rsidRPr="00236F90">
        <w:rPr>
          <w:lang w:val="fr-FR"/>
        </w:rPr>
        <w:t xml:space="preserve">) </w:t>
      </w:r>
      <w:r w:rsidR="009575C7" w:rsidRPr="00236F90">
        <w:rPr>
          <w:lang w:val="fr-FR"/>
        </w:rPr>
        <w:t>alloués à</w:t>
      </w:r>
      <w:r w:rsidR="00863471" w:rsidRPr="00236F90">
        <w:rPr>
          <w:lang w:val="fr-FR"/>
        </w:rPr>
        <w:t xml:space="preserve"> </w:t>
      </w:r>
      <w:r w:rsidR="00236F90" w:rsidRPr="00236F90">
        <w:rPr>
          <w:lang w:val="fr-FR"/>
        </w:rPr>
        <w:t xml:space="preserve">l’application </w:t>
      </w:r>
      <w:r w:rsidR="006437AF" w:rsidRPr="00236F90">
        <w:rPr>
          <w:lang w:val="fr-FR"/>
        </w:rPr>
        <w:t xml:space="preserve">de la Convention </w:t>
      </w:r>
      <w:r w:rsidRPr="00236F90">
        <w:rPr>
          <w:lang w:val="fr-FR"/>
        </w:rPr>
        <w:t>dans les domaines de l’éducation (nombre d’enseignants par école, taille moyenne des classes ainsi que nombre d’enfants par classe), de la santé, des services sociaux et de la protection de l’enfance.</w:t>
      </w:r>
    </w:p>
    <w:p w:rsidR="00AE6A04" w:rsidRPr="00FC04AC" w:rsidRDefault="00AE6A04" w:rsidP="00FC04AC">
      <w:pPr>
        <w:pStyle w:val="SingleTxtG"/>
        <w:rPr>
          <w:lang w:val="fr-FR"/>
        </w:rPr>
      </w:pPr>
      <w:r w:rsidRPr="00236F90">
        <w:rPr>
          <w:lang w:val="fr-FR"/>
        </w:rPr>
        <w:t>3.</w:t>
      </w:r>
      <w:r w:rsidRPr="00236F90">
        <w:rPr>
          <w:lang w:val="fr-FR"/>
        </w:rPr>
        <w:tab/>
      </w:r>
      <w:r w:rsidR="006437AF" w:rsidRPr="00236F90">
        <w:rPr>
          <w:lang w:val="fr-FR"/>
        </w:rPr>
        <w:t>F</w:t>
      </w:r>
      <w:r w:rsidRPr="00236F90">
        <w:rPr>
          <w:lang w:val="fr-FR"/>
        </w:rPr>
        <w:t>ournir pour 2007, 2008 et 2009</w:t>
      </w:r>
      <w:r w:rsidR="006437AF" w:rsidRPr="00236F90">
        <w:rPr>
          <w:lang w:val="fr-FR"/>
        </w:rPr>
        <w:t xml:space="preserve"> </w:t>
      </w:r>
      <w:r w:rsidR="00863471" w:rsidRPr="00236F90">
        <w:rPr>
          <w:lang w:val="fr-FR"/>
        </w:rPr>
        <w:t xml:space="preserve">des données comparatives </w:t>
      </w:r>
      <w:r w:rsidRPr="00236F90">
        <w:rPr>
          <w:lang w:val="fr-FR"/>
        </w:rPr>
        <w:t xml:space="preserve">ventilées par sexe, </w:t>
      </w:r>
      <w:r w:rsidR="006437AF" w:rsidRPr="00236F90">
        <w:rPr>
          <w:lang w:val="fr-FR"/>
        </w:rPr>
        <w:t xml:space="preserve">par </w:t>
      </w:r>
      <w:r w:rsidRPr="00236F90">
        <w:rPr>
          <w:lang w:val="fr-FR"/>
        </w:rPr>
        <w:t>zone géographique et</w:t>
      </w:r>
      <w:r w:rsidR="006437AF" w:rsidRPr="00236F90">
        <w:rPr>
          <w:lang w:val="fr-FR"/>
        </w:rPr>
        <w:t xml:space="preserve"> par</w:t>
      </w:r>
      <w:r w:rsidRPr="00236F90">
        <w:rPr>
          <w:lang w:val="fr-FR"/>
        </w:rPr>
        <w:t xml:space="preserve"> âge</w:t>
      </w:r>
      <w:r w:rsidR="00863471" w:rsidRPr="00236F90">
        <w:rPr>
          <w:lang w:val="fr-FR"/>
        </w:rPr>
        <w:t xml:space="preserve"> </w:t>
      </w:r>
      <w:r w:rsidR="006437AF" w:rsidRPr="00236F90">
        <w:rPr>
          <w:lang w:val="fr-FR"/>
        </w:rPr>
        <w:t>sur</w:t>
      </w:r>
      <w:r w:rsidRPr="00236F90">
        <w:rPr>
          <w:lang w:val="fr-FR"/>
        </w:rPr>
        <w:t xml:space="preserve"> le nombre d’enfants </w:t>
      </w:r>
      <w:r w:rsidR="00863471" w:rsidRPr="00236F90">
        <w:rPr>
          <w:lang w:val="fr-FR"/>
        </w:rPr>
        <w:t xml:space="preserve">qui ont été </w:t>
      </w:r>
      <w:r w:rsidRPr="00236F90">
        <w:rPr>
          <w:lang w:val="fr-FR"/>
        </w:rPr>
        <w:t xml:space="preserve">victimes d’exploitation sexuelle, </w:t>
      </w:r>
      <w:r w:rsidR="00863471" w:rsidRPr="00236F90">
        <w:rPr>
          <w:lang w:val="fr-FR"/>
        </w:rPr>
        <w:t>notamment</w:t>
      </w:r>
      <w:r w:rsidRPr="00236F90">
        <w:rPr>
          <w:lang w:val="fr-FR"/>
        </w:rPr>
        <w:t xml:space="preserve"> de prostitution, de pornographie, de traite et de vente et</w:t>
      </w:r>
      <w:r w:rsidR="006437AF" w:rsidRPr="00236F90">
        <w:rPr>
          <w:lang w:val="fr-FR"/>
        </w:rPr>
        <w:t xml:space="preserve">, parmi eux, </w:t>
      </w:r>
      <w:r w:rsidR="00863471" w:rsidRPr="00236F90">
        <w:rPr>
          <w:lang w:val="fr-FR"/>
        </w:rPr>
        <w:t xml:space="preserve">sur le nombre de </w:t>
      </w:r>
      <w:r w:rsidR="006437AF" w:rsidRPr="00236F90">
        <w:rPr>
          <w:lang w:val="fr-FR"/>
        </w:rPr>
        <w:t xml:space="preserve">ceux qui </w:t>
      </w:r>
      <w:r w:rsidRPr="00236F90">
        <w:rPr>
          <w:lang w:val="fr-FR"/>
        </w:rPr>
        <w:t xml:space="preserve">ont </w:t>
      </w:r>
      <w:r w:rsidR="006437AF" w:rsidRPr="00236F90">
        <w:rPr>
          <w:lang w:val="fr-FR"/>
        </w:rPr>
        <w:t>pu bénéficier des</w:t>
      </w:r>
      <w:r w:rsidR="006437AF" w:rsidRPr="00FC04AC">
        <w:rPr>
          <w:lang w:val="fr-FR"/>
        </w:rPr>
        <w:t xml:space="preserve"> </w:t>
      </w:r>
      <w:r w:rsidRPr="00FC04AC">
        <w:rPr>
          <w:lang w:val="fr-FR"/>
        </w:rPr>
        <w:t>services de réadaptation et de réinsertion sociale.</w:t>
      </w:r>
    </w:p>
    <w:p w:rsidR="00AE6A04" w:rsidRPr="00FC04AC" w:rsidRDefault="00AE6A04" w:rsidP="00236F90">
      <w:pPr>
        <w:pStyle w:val="SingleTxtG"/>
        <w:rPr>
          <w:lang w:val="fr-FR"/>
        </w:rPr>
      </w:pPr>
      <w:r w:rsidRPr="00FC04AC">
        <w:rPr>
          <w:lang w:val="fr-FR"/>
        </w:rPr>
        <w:t>4.</w:t>
      </w:r>
      <w:r w:rsidRPr="00FC04AC">
        <w:rPr>
          <w:lang w:val="fr-FR"/>
        </w:rPr>
        <w:tab/>
      </w:r>
      <w:r w:rsidR="006437AF" w:rsidRPr="00FC04AC">
        <w:rPr>
          <w:lang w:val="fr-FR"/>
        </w:rPr>
        <w:t>F</w:t>
      </w:r>
      <w:r w:rsidRPr="00FC04AC">
        <w:rPr>
          <w:lang w:val="fr-FR"/>
        </w:rPr>
        <w:t xml:space="preserve">ournir pour 2007, 2008 et 2009 </w:t>
      </w:r>
      <w:r w:rsidR="00863471" w:rsidRPr="00FC04AC">
        <w:rPr>
          <w:lang w:val="fr-FR"/>
        </w:rPr>
        <w:t xml:space="preserve">des données </w:t>
      </w:r>
      <w:r w:rsidR="00863471" w:rsidRPr="00236F90">
        <w:rPr>
          <w:lang w:val="fr-FR"/>
        </w:rPr>
        <w:t>comparatives</w:t>
      </w:r>
      <w:r w:rsidR="00863471" w:rsidRPr="00FC04AC">
        <w:rPr>
          <w:lang w:val="fr-FR"/>
        </w:rPr>
        <w:t xml:space="preserve"> </w:t>
      </w:r>
      <w:r w:rsidRPr="00FC04AC">
        <w:rPr>
          <w:lang w:val="fr-FR"/>
        </w:rPr>
        <w:t xml:space="preserve">ventilées par sexe, </w:t>
      </w:r>
      <w:r w:rsidR="006437AF" w:rsidRPr="00FC04AC">
        <w:rPr>
          <w:lang w:val="fr-FR"/>
        </w:rPr>
        <w:t xml:space="preserve">par </w:t>
      </w:r>
      <w:r w:rsidRPr="00FC04AC">
        <w:rPr>
          <w:lang w:val="fr-FR"/>
        </w:rPr>
        <w:t xml:space="preserve">zone géographique et </w:t>
      </w:r>
      <w:r w:rsidR="006437AF" w:rsidRPr="00FC04AC">
        <w:rPr>
          <w:lang w:val="fr-FR"/>
        </w:rPr>
        <w:t xml:space="preserve">par </w:t>
      </w:r>
      <w:r w:rsidRPr="00FC04AC">
        <w:rPr>
          <w:lang w:val="fr-FR"/>
        </w:rPr>
        <w:t xml:space="preserve">âge sur le nombre d’enfants </w:t>
      </w:r>
      <w:r w:rsidR="00863471" w:rsidRPr="00FC04AC">
        <w:rPr>
          <w:lang w:val="fr-FR"/>
        </w:rPr>
        <w:t xml:space="preserve">qui ont été </w:t>
      </w:r>
      <w:r w:rsidRPr="00FC04AC">
        <w:rPr>
          <w:lang w:val="fr-FR"/>
        </w:rPr>
        <w:t xml:space="preserve">victimes d’exploitation économique, </w:t>
      </w:r>
      <w:r w:rsidR="00863471" w:rsidRPr="00FC04AC">
        <w:rPr>
          <w:lang w:val="fr-FR"/>
        </w:rPr>
        <w:t>y compris</w:t>
      </w:r>
      <w:r w:rsidRPr="00FC04AC">
        <w:rPr>
          <w:lang w:val="fr-FR"/>
        </w:rPr>
        <w:t xml:space="preserve"> </w:t>
      </w:r>
      <w:r w:rsidR="00566784" w:rsidRPr="00FC04AC">
        <w:rPr>
          <w:lang w:val="fr-FR"/>
        </w:rPr>
        <w:t xml:space="preserve">les enfants </w:t>
      </w:r>
      <w:r w:rsidRPr="00FC04AC">
        <w:rPr>
          <w:lang w:val="fr-FR"/>
        </w:rPr>
        <w:t>employés à des tr</w:t>
      </w:r>
      <w:r w:rsidR="006437AF" w:rsidRPr="00FC04AC">
        <w:rPr>
          <w:lang w:val="fr-FR"/>
        </w:rPr>
        <w:t xml:space="preserve">avaux domestiques ou </w:t>
      </w:r>
      <w:r w:rsidR="00566784" w:rsidRPr="00FC04AC">
        <w:rPr>
          <w:lang w:val="fr-FR"/>
        </w:rPr>
        <w:t>à d’</w:t>
      </w:r>
      <w:r w:rsidRPr="00FC04AC">
        <w:rPr>
          <w:lang w:val="fr-FR"/>
        </w:rPr>
        <w:t>autres travaux à risque, et sur le nombre d’enfants</w:t>
      </w:r>
      <w:r w:rsidR="00863471" w:rsidRPr="00FC04AC">
        <w:rPr>
          <w:lang w:val="fr-FR"/>
        </w:rPr>
        <w:t xml:space="preserve"> qui</w:t>
      </w:r>
      <w:r w:rsidR="00566784" w:rsidRPr="00FC04AC">
        <w:rPr>
          <w:lang w:val="fr-FR"/>
        </w:rPr>
        <w:t>,</w:t>
      </w:r>
      <w:r w:rsidRPr="00FC04AC">
        <w:rPr>
          <w:lang w:val="fr-FR"/>
        </w:rPr>
        <w:t xml:space="preserve"> dans les localités urbaines et en zone rurale</w:t>
      </w:r>
      <w:r w:rsidR="00566784" w:rsidRPr="00FC04AC">
        <w:rPr>
          <w:lang w:val="fr-FR"/>
        </w:rPr>
        <w:t>, vivent dans la rue</w:t>
      </w:r>
      <w:r w:rsidRPr="00FC04AC">
        <w:rPr>
          <w:lang w:val="fr-FR"/>
        </w:rPr>
        <w:t>.</w:t>
      </w:r>
    </w:p>
    <w:p w:rsidR="00AE6A04" w:rsidRPr="00236F90" w:rsidRDefault="00566784" w:rsidP="00566784">
      <w:pPr>
        <w:pStyle w:val="SingleTxtG"/>
        <w:rPr>
          <w:lang w:val="fr-FR"/>
        </w:rPr>
      </w:pPr>
      <w:r w:rsidRPr="00236F90">
        <w:rPr>
          <w:lang w:val="fr-FR"/>
        </w:rPr>
        <w:t>5.</w:t>
      </w:r>
      <w:r w:rsidRPr="00236F90">
        <w:rPr>
          <w:lang w:val="fr-FR"/>
        </w:rPr>
        <w:tab/>
        <w:t>L’É</w:t>
      </w:r>
      <w:r w:rsidR="00AE6A04" w:rsidRPr="00236F90">
        <w:rPr>
          <w:lang w:val="fr-FR"/>
        </w:rPr>
        <w:t xml:space="preserve">tat partie est en outre invité à préciser les domaines qu’il </w:t>
      </w:r>
      <w:r w:rsidRPr="00236F90">
        <w:rPr>
          <w:lang w:val="fr-FR"/>
        </w:rPr>
        <w:t xml:space="preserve">considère </w:t>
      </w:r>
      <w:r w:rsidR="00AE6A04" w:rsidRPr="00236F90">
        <w:rPr>
          <w:lang w:val="fr-FR"/>
        </w:rPr>
        <w:t xml:space="preserve"> comme important au regard de la mise en œuvre de la Convention.</w:t>
      </w:r>
    </w:p>
    <w:p w:rsidR="00AE6A04" w:rsidRPr="00AE6A04" w:rsidRDefault="00AE6A04" w:rsidP="00AE6A04">
      <w:pPr>
        <w:pStyle w:val="SingleTxtG"/>
        <w:spacing w:before="240" w:after="0"/>
        <w:jc w:val="center"/>
        <w:rPr>
          <w:b/>
          <w:u w:val="single"/>
          <w:lang w:val="fr-FR"/>
        </w:rPr>
      </w:pPr>
      <w:r>
        <w:rPr>
          <w:b/>
          <w:u w:val="single"/>
          <w:lang w:val="fr-FR"/>
        </w:rPr>
        <w:tab/>
      </w:r>
      <w:r>
        <w:rPr>
          <w:b/>
          <w:u w:val="single"/>
          <w:lang w:val="fr-FR"/>
        </w:rPr>
        <w:tab/>
      </w:r>
      <w:r>
        <w:rPr>
          <w:b/>
          <w:u w:val="single"/>
          <w:lang w:val="fr-FR"/>
        </w:rPr>
        <w:tab/>
      </w:r>
    </w:p>
    <w:p w:rsidR="00AE6A04" w:rsidRPr="00AE6A04" w:rsidRDefault="00AE6A04" w:rsidP="00AE6A04">
      <w:pPr>
        <w:pStyle w:val="SingleTxtG"/>
        <w:rPr>
          <w:b/>
          <w:lang w:val="fr-FR"/>
        </w:rPr>
      </w:pPr>
    </w:p>
    <w:sectPr w:rsidR="00AE6A04" w:rsidRPr="00AE6A04" w:rsidSect="00DE081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4A" w:rsidRDefault="00ED3E4A"/>
  </w:endnote>
  <w:endnote w:type="continuationSeparator" w:id="0">
    <w:p w:rsidR="00ED3E4A" w:rsidRDefault="00ED3E4A"/>
  </w:endnote>
  <w:endnote w:type="continuationNotice" w:id="1">
    <w:p w:rsidR="00ED3E4A" w:rsidRDefault="00ED3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1D" w:rsidRPr="00DE081D" w:rsidRDefault="00DE081D" w:rsidP="00DE081D">
    <w:pPr>
      <w:pStyle w:val="Footer"/>
      <w:tabs>
        <w:tab w:val="right" w:pos="9638"/>
      </w:tabs>
    </w:pPr>
    <w:r w:rsidRPr="00DE081D">
      <w:rPr>
        <w:b/>
        <w:sz w:val="18"/>
      </w:rPr>
      <w:fldChar w:fldCharType="begin"/>
    </w:r>
    <w:r w:rsidRPr="00DE081D">
      <w:rPr>
        <w:b/>
        <w:sz w:val="18"/>
      </w:rPr>
      <w:instrText xml:space="preserve"> PAGE  \* MERGEFORMAT </w:instrText>
    </w:r>
    <w:r w:rsidRPr="00DE081D">
      <w:rPr>
        <w:b/>
        <w:sz w:val="18"/>
      </w:rPr>
      <w:fldChar w:fldCharType="separate"/>
    </w:r>
    <w:r w:rsidR="009A5702">
      <w:rPr>
        <w:b/>
        <w:noProof/>
        <w:sz w:val="18"/>
      </w:rPr>
      <w:t>2</w:t>
    </w:r>
    <w:r w:rsidRPr="00DE081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1D" w:rsidRPr="00DE081D" w:rsidRDefault="00DE081D" w:rsidP="00DE081D">
    <w:pPr>
      <w:pStyle w:val="Footer"/>
      <w:tabs>
        <w:tab w:val="right" w:pos="9638"/>
      </w:tabs>
      <w:rPr>
        <w:b/>
        <w:sz w:val="18"/>
      </w:rPr>
    </w:pPr>
    <w:r>
      <w:tab/>
    </w:r>
    <w:r w:rsidRPr="00DE081D">
      <w:rPr>
        <w:b/>
        <w:sz w:val="18"/>
      </w:rPr>
      <w:fldChar w:fldCharType="begin"/>
    </w:r>
    <w:r w:rsidRPr="00DE081D">
      <w:rPr>
        <w:b/>
        <w:sz w:val="18"/>
      </w:rPr>
      <w:instrText xml:space="preserve"> PAGE  \* MERGEFORMAT </w:instrText>
    </w:r>
    <w:r w:rsidRPr="00DE081D">
      <w:rPr>
        <w:b/>
        <w:sz w:val="18"/>
      </w:rPr>
      <w:fldChar w:fldCharType="separate"/>
    </w:r>
    <w:r w:rsidR="009A5702">
      <w:rPr>
        <w:b/>
        <w:noProof/>
        <w:sz w:val="18"/>
      </w:rPr>
      <w:t>3</w:t>
    </w:r>
    <w:r w:rsidRPr="00DE08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7A" w:rsidRPr="00DE081D" w:rsidRDefault="0000767A">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sidR="00DE081D">
      <w:rPr>
        <w:sz w:val="20"/>
      </w:rPr>
      <w:t>GE.</w:t>
    </w:r>
    <w:r w:rsidR="009A5702">
      <w:rPr>
        <w:sz w:val="20"/>
      </w:rPr>
      <w:t>10-43678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4A" w:rsidRPr="00D27D5E" w:rsidRDefault="00ED3E4A" w:rsidP="00D27D5E">
      <w:pPr>
        <w:tabs>
          <w:tab w:val="right" w:pos="2155"/>
        </w:tabs>
        <w:spacing w:after="80"/>
        <w:ind w:left="680"/>
        <w:rPr>
          <w:u w:val="single"/>
        </w:rPr>
      </w:pPr>
      <w:r>
        <w:rPr>
          <w:u w:val="single"/>
        </w:rPr>
        <w:tab/>
      </w:r>
    </w:p>
  </w:footnote>
  <w:footnote w:type="continuationSeparator" w:id="0">
    <w:p w:rsidR="00ED3E4A" w:rsidRPr="00EA0E33" w:rsidRDefault="00ED3E4A" w:rsidP="00EA0E33">
      <w:pPr>
        <w:tabs>
          <w:tab w:val="right" w:pos="2155"/>
        </w:tabs>
        <w:spacing w:after="80"/>
        <w:ind w:left="680"/>
        <w:rPr>
          <w:u w:val="single"/>
        </w:rPr>
      </w:pPr>
      <w:r w:rsidRPr="00EA0E33">
        <w:rPr>
          <w:u w:val="single"/>
        </w:rPr>
        <w:tab/>
      </w:r>
    </w:p>
  </w:footnote>
  <w:footnote w:type="continuationNotice" w:id="1">
    <w:p w:rsidR="00ED3E4A" w:rsidRDefault="00ED3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1D" w:rsidRPr="00DE081D" w:rsidRDefault="00DE081D">
    <w:pPr>
      <w:pStyle w:val="Header"/>
    </w:pPr>
    <w:r>
      <w:t>CRC/C/BDI/Q/2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1D" w:rsidRPr="00DE081D" w:rsidRDefault="00DE081D" w:rsidP="00DE081D">
    <w:pPr>
      <w:pStyle w:val="Header"/>
      <w:jc w:val="right"/>
    </w:pPr>
    <w:r>
      <w:t>CRC/C/BDI/Q/2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81D"/>
    <w:rsid w:val="00001531"/>
    <w:rsid w:val="00002B29"/>
    <w:rsid w:val="0000767A"/>
    <w:rsid w:val="00016AC5"/>
    <w:rsid w:val="00037663"/>
    <w:rsid w:val="00060E82"/>
    <w:rsid w:val="000741D8"/>
    <w:rsid w:val="000B696A"/>
    <w:rsid w:val="000C6365"/>
    <w:rsid w:val="000F41F2"/>
    <w:rsid w:val="000F4F03"/>
    <w:rsid w:val="001006AF"/>
    <w:rsid w:val="00105471"/>
    <w:rsid w:val="00127CFF"/>
    <w:rsid w:val="001529DB"/>
    <w:rsid w:val="00160540"/>
    <w:rsid w:val="0016729D"/>
    <w:rsid w:val="00177536"/>
    <w:rsid w:val="00192EEB"/>
    <w:rsid w:val="001A20FB"/>
    <w:rsid w:val="001C7D17"/>
    <w:rsid w:val="001D5CBF"/>
    <w:rsid w:val="001D7F8A"/>
    <w:rsid w:val="001E3DE1"/>
    <w:rsid w:val="001E3FEB"/>
    <w:rsid w:val="001E4A02"/>
    <w:rsid w:val="001E5727"/>
    <w:rsid w:val="00213978"/>
    <w:rsid w:val="00225A8C"/>
    <w:rsid w:val="00236F90"/>
    <w:rsid w:val="002659F1"/>
    <w:rsid w:val="002778C7"/>
    <w:rsid w:val="00287E79"/>
    <w:rsid w:val="002928F9"/>
    <w:rsid w:val="002A5D07"/>
    <w:rsid w:val="002C6A52"/>
    <w:rsid w:val="003016B7"/>
    <w:rsid w:val="0031567F"/>
    <w:rsid w:val="00326357"/>
    <w:rsid w:val="00331C04"/>
    <w:rsid w:val="003515AA"/>
    <w:rsid w:val="00374106"/>
    <w:rsid w:val="00377F6A"/>
    <w:rsid w:val="003976D5"/>
    <w:rsid w:val="003D2F6C"/>
    <w:rsid w:val="003D6C68"/>
    <w:rsid w:val="003E7F2E"/>
    <w:rsid w:val="003F4CA4"/>
    <w:rsid w:val="004159D0"/>
    <w:rsid w:val="004377D2"/>
    <w:rsid w:val="004C5FE4"/>
    <w:rsid w:val="005024F2"/>
    <w:rsid w:val="00505DB7"/>
    <w:rsid w:val="00506D96"/>
    <w:rsid w:val="0052650C"/>
    <w:rsid w:val="00540263"/>
    <w:rsid w:val="00543D5E"/>
    <w:rsid w:val="00547BC0"/>
    <w:rsid w:val="00564901"/>
    <w:rsid w:val="00566784"/>
    <w:rsid w:val="00571F41"/>
    <w:rsid w:val="00593DA3"/>
    <w:rsid w:val="005A64BA"/>
    <w:rsid w:val="005D5264"/>
    <w:rsid w:val="005E5D1F"/>
    <w:rsid w:val="005F77AE"/>
    <w:rsid w:val="0060753B"/>
    <w:rsid w:val="00611D43"/>
    <w:rsid w:val="00612D48"/>
    <w:rsid w:val="00616B45"/>
    <w:rsid w:val="00630D9B"/>
    <w:rsid w:val="00631953"/>
    <w:rsid w:val="006437AF"/>
    <w:rsid w:val="006439EC"/>
    <w:rsid w:val="00647EA2"/>
    <w:rsid w:val="006561FB"/>
    <w:rsid w:val="0067610E"/>
    <w:rsid w:val="006A2FF6"/>
    <w:rsid w:val="006B4590"/>
    <w:rsid w:val="006C340C"/>
    <w:rsid w:val="006E60B8"/>
    <w:rsid w:val="006E637C"/>
    <w:rsid w:val="006F272B"/>
    <w:rsid w:val="0070347C"/>
    <w:rsid w:val="00716BD0"/>
    <w:rsid w:val="0071727C"/>
    <w:rsid w:val="007176C1"/>
    <w:rsid w:val="00755632"/>
    <w:rsid w:val="007710BB"/>
    <w:rsid w:val="007A52E0"/>
    <w:rsid w:val="007C3C0D"/>
    <w:rsid w:val="007E5751"/>
    <w:rsid w:val="007F55CB"/>
    <w:rsid w:val="00844750"/>
    <w:rsid w:val="00863471"/>
    <w:rsid w:val="0088775A"/>
    <w:rsid w:val="0089003F"/>
    <w:rsid w:val="008B44C4"/>
    <w:rsid w:val="008E7FAE"/>
    <w:rsid w:val="00901884"/>
    <w:rsid w:val="00911BF7"/>
    <w:rsid w:val="00916235"/>
    <w:rsid w:val="00955AEB"/>
    <w:rsid w:val="009575C7"/>
    <w:rsid w:val="00977EC8"/>
    <w:rsid w:val="00993C56"/>
    <w:rsid w:val="009950AD"/>
    <w:rsid w:val="009A5702"/>
    <w:rsid w:val="009C2D18"/>
    <w:rsid w:val="009D3A8C"/>
    <w:rsid w:val="009E2ADE"/>
    <w:rsid w:val="009E5D04"/>
    <w:rsid w:val="009E7956"/>
    <w:rsid w:val="00A133AF"/>
    <w:rsid w:val="00A2492E"/>
    <w:rsid w:val="00A63C60"/>
    <w:rsid w:val="00A73A22"/>
    <w:rsid w:val="00AC67A1"/>
    <w:rsid w:val="00AC7977"/>
    <w:rsid w:val="00AD1127"/>
    <w:rsid w:val="00AE352C"/>
    <w:rsid w:val="00AE6A04"/>
    <w:rsid w:val="00B32E2D"/>
    <w:rsid w:val="00B61990"/>
    <w:rsid w:val="00B80A2D"/>
    <w:rsid w:val="00B91463"/>
    <w:rsid w:val="00B9364D"/>
    <w:rsid w:val="00B93DB1"/>
    <w:rsid w:val="00BA5E4E"/>
    <w:rsid w:val="00BE2DC3"/>
    <w:rsid w:val="00BE6AE4"/>
    <w:rsid w:val="00BF0556"/>
    <w:rsid w:val="00C06B10"/>
    <w:rsid w:val="00C261F8"/>
    <w:rsid w:val="00C33100"/>
    <w:rsid w:val="00C36B9B"/>
    <w:rsid w:val="00C44B69"/>
    <w:rsid w:val="00C8239D"/>
    <w:rsid w:val="00CC6DD9"/>
    <w:rsid w:val="00CD1A71"/>
    <w:rsid w:val="00CD1FBB"/>
    <w:rsid w:val="00D00B07"/>
    <w:rsid w:val="00D016B5"/>
    <w:rsid w:val="00D034F1"/>
    <w:rsid w:val="00D03B11"/>
    <w:rsid w:val="00D10597"/>
    <w:rsid w:val="00D133E4"/>
    <w:rsid w:val="00D21AD3"/>
    <w:rsid w:val="00D24A29"/>
    <w:rsid w:val="00D27D5E"/>
    <w:rsid w:val="00D77231"/>
    <w:rsid w:val="00D80FBE"/>
    <w:rsid w:val="00D838EB"/>
    <w:rsid w:val="00DA3BE9"/>
    <w:rsid w:val="00DE081D"/>
    <w:rsid w:val="00DE1CCC"/>
    <w:rsid w:val="00DE6D90"/>
    <w:rsid w:val="00DF002F"/>
    <w:rsid w:val="00E0244D"/>
    <w:rsid w:val="00E22345"/>
    <w:rsid w:val="00E36FE5"/>
    <w:rsid w:val="00E81E94"/>
    <w:rsid w:val="00E82607"/>
    <w:rsid w:val="00EA0E33"/>
    <w:rsid w:val="00ED3E4A"/>
    <w:rsid w:val="00F43C73"/>
    <w:rsid w:val="00F47851"/>
    <w:rsid w:val="00F53436"/>
    <w:rsid w:val="00F77EB7"/>
    <w:rsid w:val="00F9090F"/>
    <w:rsid w:val="00FA5A79"/>
    <w:rsid w:val="00FB0BFE"/>
    <w:rsid w:val="00FB4C51"/>
    <w:rsid w:val="00FC04AC"/>
    <w:rsid w:val="00FC6B52"/>
    <w:rsid w:val="00FD2045"/>
    <w:rsid w:val="00FD2845"/>
    <w:rsid w:val="00FE3446"/>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semiHidden/>
    <w:rsid w:val="00755632"/>
    <w:rPr>
      <w:color w:val="auto"/>
      <w:u w:val="none"/>
    </w:rPr>
  </w:style>
  <w:style w:type="character" w:styleId="FollowedHyperlink">
    <w:name w:val="FollowedHyperlink"/>
    <w:semiHidden/>
    <w:rsid w:val="00755632"/>
    <w:rPr>
      <w:color w:val="auto"/>
      <w:u w:val="none"/>
    </w:rPr>
  </w:style>
  <w:style w:type="table" w:styleId="TableGrid">
    <w:name w:val="Table Grid"/>
    <w:basedOn w:val="TableNormal"/>
    <w:semiHidden/>
    <w:rsid w:val="007556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AE6A04"/>
    <w:pPr>
      <w:autoSpaceDE w:val="0"/>
      <w:autoSpaceDN w:val="0"/>
      <w:adjustRightInd w:val="0"/>
    </w:pPr>
    <w:rPr>
      <w:rFonts w:eastAsia="SimSun"/>
      <w:color w:val="000000"/>
      <w:sz w:val="24"/>
      <w:szCs w:val="24"/>
      <w:lang w:val="en-US" w:eastAsia="zh-CN"/>
    </w:rPr>
  </w:style>
  <w:style w:type="paragraph" w:styleId="ListParagraph">
    <w:name w:val="List Paragraph"/>
    <w:basedOn w:val="Normal"/>
    <w:qFormat/>
    <w:rsid w:val="00AE6A04"/>
    <w:pPr>
      <w:suppressAutoHyphens w:val="0"/>
      <w:spacing w:line="240" w:lineRule="auto"/>
      <w:ind w:left="708"/>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CRC</vt:lpstr>
    </vt:vector>
  </TitlesOfParts>
  <Company>Corine</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OHCHR</dc:creator>
  <cp:keywords/>
  <dc:description/>
  <cp:lastModifiedBy>DCM</cp:lastModifiedBy>
  <cp:revision>3</cp:revision>
  <cp:lastPrinted>2009-10-07T17:39:00Z</cp:lastPrinted>
  <dcterms:created xsi:type="dcterms:W3CDTF">2010-07-16T11:08:00Z</dcterms:created>
  <dcterms:modified xsi:type="dcterms:W3CDTF">2010-07-19T09:42:00Z</dcterms:modified>
</cp:coreProperties>
</file>