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60E82" w:rsidRPr="00DB58B5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392BB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D87178" w:rsidP="00D87178">
            <w:pPr>
              <w:jc w:val="right"/>
            </w:pPr>
            <w:r w:rsidRPr="00D87178">
              <w:rPr>
                <w:sz w:val="40"/>
              </w:rPr>
              <w:t>CRC</w:t>
            </w:r>
            <w:r>
              <w:t>/C/NIU/Q/1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392BB3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87178" w:rsidRDefault="00D87178" w:rsidP="006A2FF6">
            <w:pPr>
              <w:spacing w:before="240"/>
            </w:pPr>
            <w:r>
              <w:t>Distr. générale</w:t>
            </w:r>
          </w:p>
          <w:p w:rsidR="00D87178" w:rsidRDefault="00D87178" w:rsidP="00D87178">
            <w:pPr>
              <w:spacing w:line="240" w:lineRule="exact"/>
            </w:pPr>
            <w:r>
              <w:t>27 octobre 2011</w:t>
            </w:r>
          </w:p>
          <w:p w:rsidR="00D87178" w:rsidRDefault="00D87178" w:rsidP="00D87178">
            <w:pPr>
              <w:spacing w:line="240" w:lineRule="exact"/>
            </w:pPr>
            <w:r>
              <w:t>Français</w:t>
            </w:r>
          </w:p>
          <w:p w:rsidR="00060E82" w:rsidRPr="00DB58B5" w:rsidRDefault="00D87178" w:rsidP="00D87178">
            <w:pPr>
              <w:spacing w:line="240" w:lineRule="exact"/>
            </w:pPr>
            <w:r>
              <w:t>Original: anglais</w:t>
            </w:r>
          </w:p>
        </w:tc>
      </w:tr>
    </w:tbl>
    <w:p w:rsidR="00FF1DBD" w:rsidRPr="00DA3BE9" w:rsidRDefault="00DA3BE9" w:rsidP="00DA3BE9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</w:t>
      </w:r>
      <w:r w:rsidR="00392BB3">
        <w:rPr>
          <w:b/>
          <w:sz w:val="24"/>
          <w:szCs w:val="24"/>
        </w:rPr>
        <w:t>’</w:t>
      </w:r>
      <w:r w:rsidRPr="00DA3BE9">
        <w:rPr>
          <w:b/>
          <w:sz w:val="24"/>
          <w:szCs w:val="24"/>
        </w:rPr>
        <w:t>enfant</w:t>
      </w:r>
    </w:p>
    <w:p w:rsidR="00D87178" w:rsidRPr="008122EF" w:rsidRDefault="00D87178" w:rsidP="00D87178">
      <w:pPr>
        <w:rPr>
          <w:b/>
        </w:rPr>
      </w:pPr>
      <w:r w:rsidRPr="008122EF">
        <w:rPr>
          <w:b/>
        </w:rPr>
        <w:t>Cinquante-neuvième session</w:t>
      </w:r>
    </w:p>
    <w:p w:rsidR="00D87178" w:rsidRDefault="00D87178" w:rsidP="00D87178">
      <w:r>
        <w:t>16 janvier-3 février 2012</w:t>
      </w:r>
    </w:p>
    <w:p w:rsidR="00D87178" w:rsidRPr="008122EF" w:rsidRDefault="00D87178" w:rsidP="00D87178">
      <w:pPr>
        <w:pStyle w:val="HChG"/>
      </w:pPr>
      <w:r>
        <w:tab/>
      </w:r>
      <w:r>
        <w:tab/>
      </w:r>
      <w:r w:rsidRPr="008122EF">
        <w:t>Application de la Convention relative aux droits de l</w:t>
      </w:r>
      <w:r w:rsidR="00392BB3">
        <w:t>’</w:t>
      </w:r>
      <w:r w:rsidRPr="008122EF">
        <w:t>enfant</w:t>
      </w:r>
    </w:p>
    <w:p w:rsidR="00D87178" w:rsidRDefault="00D87178" w:rsidP="00D87178">
      <w:pPr>
        <w:pStyle w:val="H1G"/>
      </w:pPr>
      <w:r>
        <w:tab/>
      </w:r>
      <w:r>
        <w:tab/>
      </w:r>
      <w:r w:rsidRPr="008122EF">
        <w:t>Liste des points appelant des informations complémentaires</w:t>
      </w:r>
      <w:r w:rsidR="00392BB3">
        <w:br/>
      </w:r>
      <w:r w:rsidRPr="008122EF">
        <w:t>et actualisées en vue de l</w:t>
      </w:r>
      <w:r w:rsidR="00392BB3">
        <w:t>’</w:t>
      </w:r>
      <w:r w:rsidRPr="008122EF">
        <w:t>examen du rappo</w:t>
      </w:r>
      <w:r>
        <w:t>rt initial de Nioué (CRC/C/NIU/1)</w:t>
      </w:r>
    </w:p>
    <w:p w:rsidR="00D87178" w:rsidRPr="00D87178" w:rsidRDefault="00D87178" w:rsidP="00D87178">
      <w:pPr>
        <w:pStyle w:val="SingleTxtG"/>
        <w:ind w:firstLine="567"/>
        <w:rPr>
          <w:b/>
        </w:rPr>
      </w:pPr>
      <w:r w:rsidRPr="00D87178">
        <w:rPr>
          <w:b/>
        </w:rPr>
        <w:t>L</w:t>
      </w:r>
      <w:r w:rsidR="00392BB3">
        <w:rPr>
          <w:b/>
        </w:rPr>
        <w:t>’</w:t>
      </w:r>
      <w:r w:rsidRPr="00D87178">
        <w:rPr>
          <w:b/>
        </w:rPr>
        <w:t>État partie est invité à communiquer par écrit des renseignements supplémentaires et à jour, si possible avant le 1</w:t>
      </w:r>
      <w:r w:rsidRPr="00D87178">
        <w:rPr>
          <w:b/>
          <w:vertAlign w:val="superscript"/>
        </w:rPr>
        <w:t>er</w:t>
      </w:r>
      <w:r w:rsidRPr="00D87178">
        <w:rPr>
          <w:b/>
        </w:rPr>
        <w:t xml:space="preserve"> décembre 2011.</w:t>
      </w:r>
    </w:p>
    <w:p w:rsidR="00D87178" w:rsidRPr="00D87178" w:rsidRDefault="00D87178" w:rsidP="00D87178">
      <w:pPr>
        <w:pStyle w:val="SingleTxtG"/>
        <w:ind w:firstLine="567"/>
        <w:rPr>
          <w:i/>
        </w:rPr>
      </w:pPr>
      <w:r w:rsidRPr="00D87178">
        <w:rPr>
          <w:i/>
        </w:rPr>
        <w:t>Le Comité pourra aborder tous les aspects des droits de l</w:t>
      </w:r>
      <w:r w:rsidR="00392BB3">
        <w:rPr>
          <w:i/>
        </w:rPr>
        <w:t>’</w:t>
      </w:r>
      <w:r w:rsidRPr="00D87178">
        <w:rPr>
          <w:i/>
        </w:rPr>
        <w:t>enfant énoncés dans la Convention lors du dialogue avec l</w:t>
      </w:r>
      <w:r w:rsidR="00392BB3">
        <w:rPr>
          <w:i/>
        </w:rPr>
        <w:t>’</w:t>
      </w:r>
      <w:r w:rsidRPr="00D87178">
        <w:rPr>
          <w:i/>
        </w:rPr>
        <w:t>État partie</w:t>
      </w:r>
      <w:r>
        <w:rPr>
          <w:i/>
        </w:rPr>
        <w:t>.</w:t>
      </w:r>
    </w:p>
    <w:p w:rsidR="00D87178" w:rsidRDefault="00D87178" w:rsidP="00D87178">
      <w:pPr>
        <w:pStyle w:val="HChG"/>
      </w:pPr>
      <w:r>
        <w:tab/>
      </w:r>
      <w:r>
        <w:tab/>
        <w:t>Première partie</w:t>
      </w:r>
    </w:p>
    <w:p w:rsidR="00D87178" w:rsidRDefault="00AE29F3" w:rsidP="00AE29F3">
      <w:pPr>
        <w:pStyle w:val="SingleTxtG"/>
        <w:ind w:firstLine="567"/>
        <w:rPr>
          <w:b/>
        </w:rPr>
      </w:pPr>
      <w:r>
        <w:rPr>
          <w:b/>
        </w:rPr>
        <w:t>Sous cette rubrique</w:t>
      </w:r>
      <w:r w:rsidR="00D87178">
        <w:rPr>
          <w:b/>
        </w:rPr>
        <w:t>, l</w:t>
      </w:r>
      <w:r w:rsidR="00392BB3">
        <w:rPr>
          <w:b/>
        </w:rPr>
        <w:t>’</w:t>
      </w:r>
      <w:r w:rsidR="00D87178">
        <w:rPr>
          <w:b/>
        </w:rPr>
        <w:t>État partie est invité à répondre aux questions ci-après dans un document n</w:t>
      </w:r>
      <w:r w:rsidR="00392BB3">
        <w:rPr>
          <w:b/>
        </w:rPr>
        <w:t>’</w:t>
      </w:r>
      <w:r w:rsidR="00D87178">
        <w:rPr>
          <w:b/>
        </w:rPr>
        <w:t>excédant pas 30 pages.</w:t>
      </w:r>
    </w:p>
    <w:p w:rsidR="00D87178" w:rsidRDefault="00D87178" w:rsidP="00D87178">
      <w:pPr>
        <w:pStyle w:val="SingleTxtG"/>
      </w:pPr>
      <w:r>
        <w:t>1.</w:t>
      </w:r>
      <w:r>
        <w:tab/>
        <w:t>Indiquer les mesures prises par l</w:t>
      </w:r>
      <w:r w:rsidR="00392BB3">
        <w:t>’</w:t>
      </w:r>
      <w:r>
        <w:t xml:space="preserve">État partie pour harmoniser les multiples sources de droit (civil, coutumier et </w:t>
      </w:r>
      <w:r w:rsidRPr="00AE29F3">
        <w:rPr>
          <w:i/>
        </w:rPr>
        <w:t>common law</w:t>
      </w:r>
      <w:r>
        <w:t xml:space="preserve">) et passer en revue les dispositions législatives qui sont incompatibles avec la Convention, en particulier les dispositions de la loi 1966 </w:t>
      </w:r>
      <w:r w:rsidR="00AE29F3">
        <w:t xml:space="preserve">relatives à </w:t>
      </w:r>
      <w:r>
        <w:t>l</w:t>
      </w:r>
      <w:r w:rsidR="00392BB3">
        <w:t>’</w:t>
      </w:r>
      <w:r>
        <w:t>âge mini</w:t>
      </w:r>
      <w:r w:rsidR="00AE29F3">
        <w:t xml:space="preserve">mum du </w:t>
      </w:r>
      <w:r>
        <w:t xml:space="preserve">mariage et </w:t>
      </w:r>
      <w:r w:rsidR="00AE29F3">
        <w:t>du</w:t>
      </w:r>
      <w:r>
        <w:t xml:space="preserve"> consentement </w:t>
      </w:r>
      <w:r w:rsidR="00AE29F3">
        <w:t xml:space="preserve">sexuel et sur les infractions sexuelles, </w:t>
      </w:r>
      <w:r>
        <w:t>ainsi que les coutumes de Ni</w:t>
      </w:r>
      <w:r w:rsidR="00AE29F3">
        <w:t>o</w:t>
      </w:r>
      <w:r>
        <w:t>u</w:t>
      </w:r>
      <w:r w:rsidR="00AE29F3">
        <w:t>é</w:t>
      </w:r>
      <w:r>
        <w:t xml:space="preserve"> en matière d</w:t>
      </w:r>
      <w:r w:rsidR="00392BB3">
        <w:t>’</w:t>
      </w:r>
      <w:r>
        <w:t>héritage et d</w:t>
      </w:r>
      <w:r w:rsidR="00392BB3">
        <w:t>’</w:t>
      </w:r>
      <w:r>
        <w:t xml:space="preserve">acquisition de </w:t>
      </w:r>
      <w:r w:rsidR="001F73C1">
        <w:t xml:space="preserve">la </w:t>
      </w:r>
      <w:r>
        <w:t>propriété foncière par les enfants de sexe féminin et les enfants d</w:t>
      </w:r>
      <w:r w:rsidR="00392BB3">
        <w:t>’</w:t>
      </w:r>
      <w:r w:rsidR="001D0409">
        <w:t xml:space="preserve">origine non </w:t>
      </w:r>
      <w:r>
        <w:t>ni</w:t>
      </w:r>
      <w:r w:rsidR="001F73C1">
        <w:t>ouée</w:t>
      </w:r>
      <w:r>
        <w:t>nne.</w:t>
      </w:r>
    </w:p>
    <w:p w:rsidR="00D87178" w:rsidRPr="008122EF" w:rsidRDefault="00D87178" w:rsidP="001F73C1">
      <w:pPr>
        <w:pStyle w:val="SingleTxtG"/>
      </w:pPr>
      <w:r>
        <w:t>2.</w:t>
      </w:r>
      <w:r>
        <w:tab/>
      </w:r>
      <w:r w:rsidR="001F73C1">
        <w:t>Veuillez préciser quel est exactement le mandat</w:t>
      </w:r>
      <w:r>
        <w:t xml:space="preserve"> du Comité national de coordination pour la Convention relative aux droits de l</w:t>
      </w:r>
      <w:r w:rsidR="00392BB3">
        <w:t>’</w:t>
      </w:r>
      <w:r w:rsidR="00DA613A">
        <w:t>enfant</w:t>
      </w:r>
      <w:r>
        <w:t xml:space="preserve"> et </w:t>
      </w:r>
      <w:r w:rsidR="001F73C1">
        <w:t>les</w:t>
      </w:r>
      <w:r>
        <w:t xml:space="preserve"> résultat</w:t>
      </w:r>
      <w:r w:rsidR="001F73C1">
        <w:t>s</w:t>
      </w:r>
      <w:r>
        <w:t xml:space="preserve"> concret</w:t>
      </w:r>
      <w:r w:rsidR="001F73C1">
        <w:t>s qu</w:t>
      </w:r>
      <w:r w:rsidR="00392BB3">
        <w:t>’</w:t>
      </w:r>
      <w:r>
        <w:t>il a obtenu</w:t>
      </w:r>
      <w:r w:rsidR="001F73C1">
        <w:t>s</w:t>
      </w:r>
      <w:r>
        <w:t xml:space="preserve"> dans la coordination de la mise en œuvre des droits de l</w:t>
      </w:r>
      <w:r w:rsidR="00392BB3">
        <w:t>’</w:t>
      </w:r>
      <w:r>
        <w:t>enfant énoncé</w:t>
      </w:r>
      <w:r w:rsidR="001F73C1">
        <w:t>s</w:t>
      </w:r>
      <w:r>
        <w:t xml:space="preserve"> dans la Convention. Préciser aussi </w:t>
      </w:r>
      <w:r w:rsidR="001F73C1">
        <w:t xml:space="preserve">quel est </w:t>
      </w:r>
      <w:r>
        <w:t>le budget alloué à l</w:t>
      </w:r>
      <w:r w:rsidR="00392BB3">
        <w:t>’</w:t>
      </w:r>
      <w:r>
        <w:t>application de la Convention.</w:t>
      </w:r>
    </w:p>
    <w:p w:rsidR="00D87178" w:rsidRDefault="00D87178" w:rsidP="001F73C1">
      <w:pPr>
        <w:pStyle w:val="SingleTxtG"/>
      </w:pPr>
      <w:r>
        <w:t>3.</w:t>
      </w:r>
      <w:r>
        <w:tab/>
        <w:t xml:space="preserve">Indiquer si des mesures ont été prises pour mettre en place un système global de collecte de données relatives aux enfants, </w:t>
      </w:r>
      <w:r w:rsidR="001F73C1">
        <w:t>qui puisse</w:t>
      </w:r>
      <w:r w:rsidR="00C611ED">
        <w:t>nt</w:t>
      </w:r>
      <w:r w:rsidR="001F73C1">
        <w:t xml:space="preserve"> </w:t>
      </w:r>
      <w:r>
        <w:t>être ventilées, analysées et évaluées régulièrement.</w:t>
      </w:r>
    </w:p>
    <w:p w:rsidR="00D87178" w:rsidRDefault="00D87178" w:rsidP="001F73C1">
      <w:pPr>
        <w:pStyle w:val="SingleTxtG"/>
      </w:pPr>
      <w:r>
        <w:t>4.</w:t>
      </w:r>
      <w:r>
        <w:tab/>
      </w:r>
      <w:r w:rsidR="001F73C1">
        <w:t>Fournir davantage</w:t>
      </w:r>
      <w:r>
        <w:t xml:space="preserve"> d</w:t>
      </w:r>
      <w:r w:rsidR="00392BB3">
        <w:t>’</w:t>
      </w:r>
      <w:r>
        <w:t>information</w:t>
      </w:r>
      <w:r w:rsidR="001F73C1">
        <w:t>s</w:t>
      </w:r>
      <w:r>
        <w:t xml:space="preserve"> concernant toutes les mesures prises par l</w:t>
      </w:r>
      <w:r w:rsidR="00392BB3">
        <w:t>’</w:t>
      </w:r>
      <w:r>
        <w:t>État partie pour introduire l</w:t>
      </w:r>
      <w:r w:rsidR="00392BB3">
        <w:t>’</w:t>
      </w:r>
      <w:r>
        <w:t>enseignement des droits de l</w:t>
      </w:r>
      <w:r w:rsidR="00392BB3">
        <w:t>’</w:t>
      </w:r>
      <w:r>
        <w:t>homme, et en particulier des droits de l</w:t>
      </w:r>
      <w:r w:rsidR="00392BB3">
        <w:t>’</w:t>
      </w:r>
      <w:r>
        <w:t>enfant</w:t>
      </w:r>
      <w:r w:rsidR="00775162">
        <w:t>,</w:t>
      </w:r>
      <w:r>
        <w:t xml:space="preserve"> dans les programmes scolaires. Fournir aussi des renseignements sur toutes les mesures prises par l</w:t>
      </w:r>
      <w:r w:rsidR="00392BB3">
        <w:t>’</w:t>
      </w:r>
      <w:r>
        <w:t>État partie pour faire mieux connaître les principes et les dispositions de la Convention, notamment aux enfants.</w:t>
      </w:r>
    </w:p>
    <w:p w:rsidR="00D87178" w:rsidRDefault="00D87178" w:rsidP="00775162">
      <w:pPr>
        <w:pStyle w:val="SingleTxtG"/>
      </w:pPr>
      <w:r>
        <w:t>5.</w:t>
      </w:r>
      <w:r>
        <w:tab/>
        <w:t>Indiquer les mesures législatives, administratives et judiciaires</w:t>
      </w:r>
      <w:r w:rsidR="00775162">
        <w:t xml:space="preserve"> qu</w:t>
      </w:r>
      <w:r w:rsidR="00392BB3">
        <w:t>’</w:t>
      </w:r>
      <w:r w:rsidR="00775162">
        <w:t>a</w:t>
      </w:r>
      <w:r>
        <w:t xml:space="preserve"> prises l</w:t>
      </w:r>
      <w:r w:rsidR="00392BB3">
        <w:t>’</w:t>
      </w:r>
      <w:r>
        <w:t>État partie pour mettre fin au</w:t>
      </w:r>
      <w:r w:rsidR="00775162">
        <w:t>x</w:t>
      </w:r>
      <w:r>
        <w:t xml:space="preserve"> châtiment</w:t>
      </w:r>
      <w:r w:rsidR="00775162">
        <w:t>s</w:t>
      </w:r>
      <w:r>
        <w:t xml:space="preserve"> corporel</w:t>
      </w:r>
      <w:r w:rsidR="00775162">
        <w:t>s</w:t>
      </w:r>
      <w:r>
        <w:t xml:space="preserve"> à la maison et à l</w:t>
      </w:r>
      <w:r w:rsidR="00392BB3">
        <w:t>’</w:t>
      </w:r>
      <w:r>
        <w:t>école.</w:t>
      </w:r>
    </w:p>
    <w:p w:rsidR="00D87178" w:rsidRDefault="00D87178" w:rsidP="00775162">
      <w:pPr>
        <w:pStyle w:val="SingleTxtG"/>
      </w:pPr>
      <w:r>
        <w:t>6.</w:t>
      </w:r>
      <w:r>
        <w:tab/>
        <w:t>Indiquer comment le droit de l</w:t>
      </w:r>
      <w:r w:rsidR="00392BB3">
        <w:t>’</w:t>
      </w:r>
      <w:r>
        <w:t xml:space="preserve">enfant au respect de sa vie privée est garanti dans le cadre </w:t>
      </w:r>
      <w:r w:rsidR="00DE4A9F">
        <w:t>d</w:t>
      </w:r>
      <w:r w:rsidR="00392BB3">
        <w:t>’</w:t>
      </w:r>
      <w:r w:rsidR="00DE4A9F">
        <w:t>un</w:t>
      </w:r>
      <w:r>
        <w:t xml:space="preserve"> jugement d</w:t>
      </w:r>
      <w:r w:rsidR="00392BB3">
        <w:t>’</w:t>
      </w:r>
      <w:r>
        <w:t xml:space="preserve">adoption qui </w:t>
      </w:r>
      <w:r w:rsidR="00DE4A9F">
        <w:t xml:space="preserve">donne lieu à une </w:t>
      </w:r>
      <w:r>
        <w:t>audience publique conformément à la loi sur l</w:t>
      </w:r>
      <w:r w:rsidR="00392BB3">
        <w:t>’</w:t>
      </w:r>
      <w:r>
        <w:t>adoption et quelles mesures prend l</w:t>
      </w:r>
      <w:r w:rsidR="00392BB3">
        <w:t>’</w:t>
      </w:r>
      <w:r>
        <w:t>État partie pour assurer la protection de l</w:t>
      </w:r>
      <w:r w:rsidR="00392BB3">
        <w:t>’</w:t>
      </w:r>
      <w:r>
        <w:t>intérêt supérieur de l</w:t>
      </w:r>
      <w:r w:rsidR="00392BB3">
        <w:t>’</w:t>
      </w:r>
      <w:r>
        <w:t>enfant pendant toute la durée de la procédure d</w:t>
      </w:r>
      <w:r w:rsidR="00392BB3">
        <w:t>’</w:t>
      </w:r>
      <w:r>
        <w:t>adoption. Indiquer aussi les mesures prises par l</w:t>
      </w:r>
      <w:r w:rsidR="00392BB3">
        <w:t>’</w:t>
      </w:r>
      <w:r>
        <w:t>État partie pour assurer l</w:t>
      </w:r>
      <w:r w:rsidR="00392BB3">
        <w:t>’</w:t>
      </w:r>
      <w:r>
        <w:t>enregistrement des adoptions traditionnelles</w:t>
      </w:r>
      <w:r w:rsidR="00DE4A9F">
        <w:t xml:space="preserve"> et la protection des droits de l</w:t>
      </w:r>
      <w:r w:rsidR="00392BB3">
        <w:t>’</w:t>
      </w:r>
      <w:r w:rsidR="00DE4A9F">
        <w:t>enfant dans un tel cadre</w:t>
      </w:r>
      <w:r>
        <w:t>.</w:t>
      </w:r>
    </w:p>
    <w:p w:rsidR="00D87178" w:rsidRDefault="00D87178" w:rsidP="00DE4A9F">
      <w:pPr>
        <w:pStyle w:val="SingleTxtG"/>
      </w:pPr>
      <w:r>
        <w:t>7.</w:t>
      </w:r>
      <w:r>
        <w:tab/>
        <w:t xml:space="preserve">Donner des informations </w:t>
      </w:r>
      <w:r w:rsidR="00DB1D06">
        <w:t>à jour</w:t>
      </w:r>
      <w:r>
        <w:t xml:space="preserve"> sur les mesures prises pour </w:t>
      </w:r>
      <w:r w:rsidR="002E66BC">
        <w:t xml:space="preserve">mettre en place </w:t>
      </w:r>
      <w:r>
        <w:t xml:space="preserve">des programmes de santé sexuelle et </w:t>
      </w:r>
      <w:r w:rsidR="002E66BC">
        <w:t xml:space="preserve">génésique efficaces et respectueux de la confidentialité à </w:t>
      </w:r>
      <w:r>
        <w:t>l</w:t>
      </w:r>
      <w:r w:rsidR="00392BB3">
        <w:t>’</w:t>
      </w:r>
      <w:r>
        <w:t xml:space="preserve">intention des adolescents, afin de </w:t>
      </w:r>
      <w:r w:rsidR="002E66BC">
        <w:t xml:space="preserve">prévenir </w:t>
      </w:r>
      <w:r>
        <w:t>les grossesses d</w:t>
      </w:r>
      <w:r w:rsidR="00392BB3">
        <w:t>’</w:t>
      </w:r>
      <w:r>
        <w:t>adolescentes tout en tenant compte du droit des adolescents au respect de leur vie privée. Indiquer aussi les politiques, stratégies et autres mesures éventuellement adoptées</w:t>
      </w:r>
      <w:r w:rsidR="002E66BC">
        <w:t xml:space="preserve"> pour</w:t>
      </w:r>
      <w:r>
        <w:t>:</w:t>
      </w:r>
    </w:p>
    <w:p w:rsidR="00D87178" w:rsidRDefault="00D87178" w:rsidP="002E66BC">
      <w:pPr>
        <w:pStyle w:val="SingleTxtG"/>
        <w:ind w:firstLine="567"/>
      </w:pPr>
      <w:r>
        <w:t>a)</w:t>
      </w:r>
      <w:r>
        <w:tab/>
      </w:r>
      <w:r w:rsidR="00F956C0">
        <w:t>S</w:t>
      </w:r>
      <w:r>
        <w:t>ensibiliser les enfants et les adolescents aux répercussions que les relations sexuelles précoces peuvent avoir sur leur santé;</w:t>
      </w:r>
    </w:p>
    <w:p w:rsidR="00D87178" w:rsidRDefault="00D87178" w:rsidP="00F956C0">
      <w:pPr>
        <w:pStyle w:val="SingleTxtG"/>
        <w:ind w:firstLine="567"/>
      </w:pPr>
      <w:r>
        <w:t>b)</w:t>
      </w:r>
      <w:r>
        <w:tab/>
      </w:r>
      <w:r w:rsidR="00F956C0">
        <w:t>É</w:t>
      </w:r>
      <w:r>
        <w:t xml:space="preserve">liminer les stéréotypes sexistes et les tabous sociaux qui contribuent à perpétuer la discrimination et les </w:t>
      </w:r>
      <w:r w:rsidR="00F956C0">
        <w:t>abus</w:t>
      </w:r>
      <w:r>
        <w:t xml:space="preserve"> sexuels à l</w:t>
      </w:r>
      <w:r w:rsidR="00392BB3">
        <w:t>’</w:t>
      </w:r>
      <w:r w:rsidR="00F956C0">
        <w:t>encontre</w:t>
      </w:r>
      <w:r>
        <w:t xml:space="preserve"> des filles à l</w:t>
      </w:r>
      <w:r w:rsidR="00392BB3">
        <w:t>’</w:t>
      </w:r>
      <w:r>
        <w:t>école et à la maison;</w:t>
      </w:r>
    </w:p>
    <w:p w:rsidR="00D87178" w:rsidRDefault="00D87178" w:rsidP="00F956C0">
      <w:pPr>
        <w:pStyle w:val="SingleTxtG"/>
        <w:ind w:firstLine="567"/>
      </w:pPr>
      <w:r>
        <w:t>c)</w:t>
      </w:r>
      <w:r>
        <w:tab/>
      </w:r>
      <w:r w:rsidR="00F956C0">
        <w:t>Me</w:t>
      </w:r>
      <w:r>
        <w:t>ttre en place des services et des programmes de santé mentale à l</w:t>
      </w:r>
      <w:r w:rsidR="00392BB3">
        <w:t>’</w:t>
      </w:r>
      <w:r>
        <w:t>intention des adolescents.</w:t>
      </w:r>
    </w:p>
    <w:p w:rsidR="00D87178" w:rsidRDefault="00D87178" w:rsidP="00F956C0">
      <w:pPr>
        <w:pStyle w:val="SingleTxtG"/>
      </w:pPr>
      <w:r>
        <w:t>8.</w:t>
      </w:r>
      <w:r>
        <w:tab/>
        <w:t>Fournir des informations sur les mesures ou les politiques adoptées par l</w:t>
      </w:r>
      <w:r w:rsidR="00392BB3">
        <w:t>’</w:t>
      </w:r>
      <w:r>
        <w:t>État partie pour lutter contre l</w:t>
      </w:r>
      <w:r w:rsidR="00392BB3">
        <w:t>’</w:t>
      </w:r>
      <w:r>
        <w:t>abus de drogues et d</w:t>
      </w:r>
      <w:r w:rsidR="00392BB3">
        <w:t>’</w:t>
      </w:r>
      <w:r>
        <w:t>alcool chez les adolescents. Préciser aussi s</w:t>
      </w:r>
      <w:r w:rsidR="00392BB3">
        <w:t>’</w:t>
      </w:r>
      <w:r>
        <w:t xml:space="preserve">il </w:t>
      </w:r>
      <w:r w:rsidR="00F956C0">
        <w:t>est prévu</w:t>
      </w:r>
      <w:r>
        <w:t xml:space="preserve"> de mettre en place des programmes de réadaptation et des services de réinsertion pour les adolescents.</w:t>
      </w:r>
    </w:p>
    <w:p w:rsidR="00D87178" w:rsidRDefault="00D87178" w:rsidP="00F956C0">
      <w:pPr>
        <w:pStyle w:val="SingleTxtG"/>
      </w:pPr>
      <w:r>
        <w:t>9.</w:t>
      </w:r>
      <w:r>
        <w:tab/>
        <w:t xml:space="preserve">Informer le Comité des services de traitement et de conseil </w:t>
      </w:r>
      <w:r w:rsidR="00F956C0">
        <w:t>fournis</w:t>
      </w:r>
      <w:r>
        <w:t xml:space="preserve"> aux enfants victimes </w:t>
      </w:r>
      <w:r w:rsidR="00F956C0">
        <w:t>d</w:t>
      </w:r>
      <w:r w:rsidR="00392BB3">
        <w:t>’</w:t>
      </w:r>
      <w:r w:rsidR="00F956C0">
        <w:t>abus</w:t>
      </w:r>
      <w:r>
        <w:t xml:space="preserve"> sexuels et de mauvais traitements. Indiquer aussi les mesures prises pour faire connaître l</w:t>
      </w:r>
      <w:r w:rsidR="00392BB3">
        <w:t>’</w:t>
      </w:r>
      <w:r>
        <w:t>existence de ces services et le</w:t>
      </w:r>
      <w:r w:rsidR="00F956C0">
        <w:t xml:space="preserve">s </w:t>
      </w:r>
      <w:r>
        <w:t>rendre accessibles aux enfants.</w:t>
      </w:r>
    </w:p>
    <w:p w:rsidR="00D87178" w:rsidRDefault="00F956C0" w:rsidP="00F956C0">
      <w:pPr>
        <w:pStyle w:val="HChG"/>
      </w:pPr>
      <w:r>
        <w:tab/>
      </w:r>
      <w:r>
        <w:tab/>
      </w:r>
      <w:r w:rsidR="00D87178">
        <w:t>Deuxième partie</w:t>
      </w:r>
    </w:p>
    <w:p w:rsidR="00D87178" w:rsidRPr="00F956C0" w:rsidRDefault="00D87178" w:rsidP="00F956C0">
      <w:pPr>
        <w:pStyle w:val="SingleTxtG"/>
        <w:ind w:firstLine="567"/>
        <w:rPr>
          <w:b/>
        </w:rPr>
      </w:pPr>
      <w:r w:rsidRPr="00F956C0">
        <w:rPr>
          <w:b/>
        </w:rPr>
        <w:t>Sous cette rubrique, l</w:t>
      </w:r>
      <w:r w:rsidR="00392BB3">
        <w:rPr>
          <w:b/>
        </w:rPr>
        <w:t>’</w:t>
      </w:r>
      <w:r w:rsidRPr="00F956C0">
        <w:rPr>
          <w:b/>
        </w:rPr>
        <w:t>État partie est invité à mettre à jour brièvement (trois pages au maximum) les renseignements fournis dans son rapport en ce qui concerne:</w:t>
      </w:r>
    </w:p>
    <w:p w:rsidR="00D87178" w:rsidRDefault="00D87178" w:rsidP="00F956C0">
      <w:pPr>
        <w:pStyle w:val="SingleTxtG"/>
        <w:ind w:firstLine="567"/>
      </w:pPr>
      <w:r>
        <w:t>a)</w:t>
      </w:r>
      <w:r>
        <w:tab/>
        <w:t>Les nouveaux projets de loi ou les nouvelles lois et leurs règlements d</w:t>
      </w:r>
      <w:r w:rsidR="00392BB3">
        <w:t>’</w:t>
      </w:r>
      <w:r>
        <w:t>application;</w:t>
      </w:r>
    </w:p>
    <w:p w:rsidR="00D87178" w:rsidRDefault="00D87178" w:rsidP="00F956C0">
      <w:pPr>
        <w:pStyle w:val="SingleTxtG"/>
        <w:ind w:firstLine="567"/>
      </w:pPr>
      <w:r>
        <w:t>b)</w:t>
      </w:r>
      <w:r>
        <w:tab/>
        <w:t>Les nouvelles institutions (et leurs mandats) ou réformes institutionnelles;</w:t>
      </w:r>
    </w:p>
    <w:p w:rsidR="00D87178" w:rsidRDefault="00D87178" w:rsidP="00F956C0">
      <w:pPr>
        <w:pStyle w:val="SingleTxtG"/>
        <w:ind w:firstLine="567"/>
      </w:pPr>
      <w:r>
        <w:t>c)</w:t>
      </w:r>
      <w:r>
        <w:tab/>
        <w:t>Les politiques, programmes et plans d</w:t>
      </w:r>
      <w:r w:rsidR="00392BB3">
        <w:t>’</w:t>
      </w:r>
      <w:r>
        <w:t>action récemment adoptés ainsi que leur champ d</w:t>
      </w:r>
      <w:r w:rsidR="00392BB3">
        <w:t>’</w:t>
      </w:r>
      <w:r>
        <w:t>application;</w:t>
      </w:r>
    </w:p>
    <w:p w:rsidR="00D87178" w:rsidRDefault="00D87178" w:rsidP="00F956C0">
      <w:pPr>
        <w:pStyle w:val="SingleTxtG"/>
        <w:ind w:firstLine="567"/>
      </w:pPr>
      <w:r>
        <w:t>d)</w:t>
      </w:r>
      <w:r>
        <w:tab/>
        <w:t>Les instruments relatifs aux droits de l</w:t>
      </w:r>
      <w:r w:rsidR="00392BB3">
        <w:t>’</w:t>
      </w:r>
      <w:r>
        <w:t>homme récemment ratifiés.</w:t>
      </w:r>
    </w:p>
    <w:p w:rsidR="00D87178" w:rsidRDefault="000A5350" w:rsidP="000A5350">
      <w:pPr>
        <w:pStyle w:val="HChG"/>
      </w:pPr>
      <w:r>
        <w:tab/>
      </w:r>
      <w:r>
        <w:tab/>
      </w:r>
      <w:r w:rsidR="00D87178">
        <w:t>Troisième partie</w:t>
      </w:r>
    </w:p>
    <w:p w:rsidR="00D87178" w:rsidRDefault="000A5350" w:rsidP="000A5350">
      <w:pPr>
        <w:pStyle w:val="H1G"/>
      </w:pPr>
      <w:r>
        <w:tab/>
      </w:r>
      <w:r>
        <w:tab/>
      </w:r>
      <w:r w:rsidR="00D87178">
        <w:t>Données, statistiques et autres informations, si disponibles</w:t>
      </w:r>
    </w:p>
    <w:p w:rsidR="00D87178" w:rsidRDefault="00D87178" w:rsidP="000A5350">
      <w:pPr>
        <w:pStyle w:val="SingleTxtG"/>
      </w:pPr>
      <w:r>
        <w:t>1.</w:t>
      </w:r>
      <w:r>
        <w:tab/>
        <w:t xml:space="preserve">Fournir </w:t>
      </w:r>
      <w:r w:rsidR="000A5350">
        <w:t>d</w:t>
      </w:r>
      <w:r>
        <w:t xml:space="preserve">es informations sur le nombre de plaintes </w:t>
      </w:r>
      <w:r w:rsidR="000A5350">
        <w:t xml:space="preserve">pour abus </w:t>
      </w:r>
      <w:r w:rsidR="00267095">
        <w:t>sexuels, inceste y compris</w:t>
      </w:r>
      <w:r>
        <w:t xml:space="preserve">, </w:t>
      </w:r>
      <w:r w:rsidR="003315C0">
        <w:t xml:space="preserve">commis sur des personnes </w:t>
      </w:r>
      <w:r>
        <w:t xml:space="preserve">de moins de 18 ans, </w:t>
      </w:r>
      <w:r w:rsidR="003315C0">
        <w:t xml:space="preserve">qui ont été déposées </w:t>
      </w:r>
      <w:r>
        <w:t>entre 2005 et 2010, ventilées par âge et par sexe</w:t>
      </w:r>
      <w:r w:rsidR="003315C0">
        <w:t xml:space="preserve"> ainsi que sur le nombre de victimes concernées</w:t>
      </w:r>
      <w:r>
        <w:t xml:space="preserve">; sur le </w:t>
      </w:r>
      <w:r w:rsidR="00267095">
        <w:t>nombre de cas ayant donné</w:t>
      </w:r>
      <w:r>
        <w:t xml:space="preserve"> lieu à l</w:t>
      </w:r>
      <w:r w:rsidR="00392BB3">
        <w:t>’</w:t>
      </w:r>
      <w:r>
        <w:t>ouverture d</w:t>
      </w:r>
      <w:r w:rsidR="00392BB3">
        <w:t>’</w:t>
      </w:r>
      <w:r>
        <w:t>une enquête et à des poursuites et sur les cas en instance.</w:t>
      </w:r>
    </w:p>
    <w:p w:rsidR="00D87178" w:rsidRDefault="00D87178" w:rsidP="003315C0">
      <w:pPr>
        <w:pStyle w:val="SingleTxtG"/>
      </w:pPr>
      <w:r>
        <w:t>2.</w:t>
      </w:r>
      <w:r>
        <w:tab/>
        <w:t xml:space="preserve">Fournir des données </w:t>
      </w:r>
      <w:r w:rsidR="003315C0">
        <w:t>relatives au</w:t>
      </w:r>
      <w:r>
        <w:t xml:space="preserve"> nombre d</w:t>
      </w:r>
      <w:r w:rsidR="00392BB3">
        <w:t>’</w:t>
      </w:r>
      <w:r>
        <w:t xml:space="preserve">enfants handicapés et </w:t>
      </w:r>
      <w:r w:rsidR="003315C0">
        <w:t>au</w:t>
      </w:r>
      <w:r>
        <w:t xml:space="preserve"> nombre de ceux qui ont accès à l</w:t>
      </w:r>
      <w:r w:rsidR="00392BB3">
        <w:t>’</w:t>
      </w:r>
      <w:r>
        <w:t>éducation.</w:t>
      </w:r>
    </w:p>
    <w:p w:rsidR="00D87178" w:rsidRDefault="00D87178" w:rsidP="003315C0">
      <w:pPr>
        <w:pStyle w:val="SingleTxtG"/>
      </w:pPr>
      <w:r>
        <w:t>3.</w:t>
      </w:r>
      <w:r>
        <w:tab/>
        <w:t>Dans le contexte de la santé des adolescents, fournir des données pour la période 2005-2010</w:t>
      </w:r>
      <w:r w:rsidR="005233D8">
        <w:t>, concernant</w:t>
      </w:r>
      <w:r>
        <w:t>:</w:t>
      </w:r>
    </w:p>
    <w:p w:rsidR="00D87178" w:rsidRDefault="00D87178" w:rsidP="005233D8">
      <w:pPr>
        <w:pStyle w:val="SingleTxtG"/>
        <w:ind w:firstLine="567"/>
      </w:pPr>
      <w:r>
        <w:t>a)</w:t>
      </w:r>
      <w:r>
        <w:tab/>
        <w:t>Le nombre d</w:t>
      </w:r>
      <w:r w:rsidR="00392BB3">
        <w:t>’</w:t>
      </w:r>
      <w:r>
        <w:t>adolescents atteints d</w:t>
      </w:r>
      <w:r w:rsidR="00392BB3">
        <w:t>’</w:t>
      </w:r>
      <w:r>
        <w:t>infections sexuellement transmissibles, notamment le VIH/sida, et le nombre de ceux qui consomment du tabac et abusent des drogues et de l</w:t>
      </w:r>
      <w:r w:rsidR="00392BB3">
        <w:t>’</w:t>
      </w:r>
      <w:r>
        <w:t>alcool, ventilées par âge et par sexe;</w:t>
      </w:r>
    </w:p>
    <w:p w:rsidR="00D87178" w:rsidRDefault="00D87178" w:rsidP="005233D8">
      <w:pPr>
        <w:pStyle w:val="SingleTxtG"/>
        <w:ind w:firstLine="567"/>
      </w:pPr>
      <w:r>
        <w:t>b)</w:t>
      </w:r>
      <w:r>
        <w:tab/>
        <w:t>Le nombre de grossesses d</w:t>
      </w:r>
      <w:r w:rsidR="00392BB3">
        <w:t>’</w:t>
      </w:r>
      <w:r>
        <w:t>adolescentes, ventilées par âge.</w:t>
      </w:r>
    </w:p>
    <w:p w:rsidR="00D87178" w:rsidRDefault="00D87178" w:rsidP="001C5CCE">
      <w:pPr>
        <w:pStyle w:val="SingleTxtG"/>
      </w:pPr>
      <w:r>
        <w:t>4.</w:t>
      </w:r>
      <w:r>
        <w:tab/>
        <w:t>Fournir des donnée</w:t>
      </w:r>
      <w:r w:rsidR="001C5CCE">
        <w:t xml:space="preserve">s relatives au </w:t>
      </w:r>
      <w:r>
        <w:t>nombre d</w:t>
      </w:r>
      <w:r w:rsidR="00392BB3">
        <w:t>’</w:t>
      </w:r>
      <w:r>
        <w:t>enfants de moins de 18 ans qui ont été placés en détention ou sont passés en jugement entre 2005 et 2010.</w:t>
      </w:r>
    </w:p>
    <w:p w:rsidR="00D87178" w:rsidRDefault="00D87178" w:rsidP="001C5CCE">
      <w:pPr>
        <w:pStyle w:val="SingleTxtG"/>
      </w:pPr>
      <w:r>
        <w:t>5.</w:t>
      </w:r>
      <w:r>
        <w:tab/>
        <w:t>L</w:t>
      </w:r>
      <w:r w:rsidR="00392BB3">
        <w:t>’</w:t>
      </w:r>
      <w:r>
        <w:t>État partie est en outre invité à établir une liste de secteurs concernant les enfants qu</w:t>
      </w:r>
      <w:r w:rsidR="00392BB3">
        <w:t>’</w:t>
      </w:r>
      <w:r>
        <w:t>il considère prioritaire</w:t>
      </w:r>
      <w:r w:rsidR="001C5CCE">
        <w:t>s</w:t>
      </w:r>
      <w:r>
        <w:t xml:space="preserve"> pour la mise en œuvre de la Convention.</w:t>
      </w:r>
    </w:p>
    <w:p w:rsidR="00D87178" w:rsidRPr="00845B2C" w:rsidRDefault="00D87178" w:rsidP="00D8717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7178" w:rsidRPr="00845B2C" w:rsidSect="00D871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3B" w:rsidRDefault="0001403B"/>
  </w:endnote>
  <w:endnote w:type="continuationSeparator" w:id="0">
    <w:p w:rsidR="0001403B" w:rsidRDefault="0001403B"/>
  </w:endnote>
  <w:endnote w:type="continuationNotice" w:id="1">
    <w:p w:rsidR="0001403B" w:rsidRDefault="000140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78" w:rsidRPr="00D87178" w:rsidRDefault="00D87178" w:rsidP="00D87178">
    <w:pPr>
      <w:pStyle w:val="Footer"/>
      <w:tabs>
        <w:tab w:val="right" w:pos="9638"/>
      </w:tabs>
    </w:pPr>
    <w:r w:rsidRPr="00D87178">
      <w:rPr>
        <w:b/>
        <w:sz w:val="18"/>
      </w:rPr>
      <w:fldChar w:fldCharType="begin"/>
    </w:r>
    <w:r w:rsidRPr="00D87178">
      <w:rPr>
        <w:b/>
        <w:sz w:val="18"/>
      </w:rPr>
      <w:instrText xml:space="preserve"> PAGE  \* MERGEFORMAT </w:instrText>
    </w:r>
    <w:r w:rsidRPr="00D87178">
      <w:rPr>
        <w:b/>
        <w:sz w:val="18"/>
      </w:rPr>
      <w:fldChar w:fldCharType="separate"/>
    </w:r>
    <w:r w:rsidR="003628B3">
      <w:rPr>
        <w:b/>
        <w:noProof/>
        <w:sz w:val="18"/>
      </w:rPr>
      <w:t>2</w:t>
    </w:r>
    <w:r w:rsidRPr="00D87178">
      <w:rPr>
        <w:b/>
        <w:sz w:val="18"/>
      </w:rPr>
      <w:fldChar w:fldCharType="end"/>
    </w:r>
    <w:r>
      <w:rPr>
        <w:b/>
        <w:sz w:val="18"/>
      </w:rPr>
      <w:tab/>
    </w:r>
    <w:r>
      <w:t>GE.11-46471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78" w:rsidRPr="00D87178" w:rsidRDefault="00D87178" w:rsidP="00D87178">
    <w:pPr>
      <w:pStyle w:val="Footer"/>
      <w:tabs>
        <w:tab w:val="right" w:pos="9638"/>
      </w:tabs>
      <w:rPr>
        <w:b/>
        <w:sz w:val="18"/>
      </w:rPr>
    </w:pPr>
    <w:r>
      <w:t>GE.11-46471</w:t>
    </w:r>
    <w:r>
      <w:tab/>
    </w:r>
    <w:r w:rsidRPr="00D87178">
      <w:rPr>
        <w:b/>
        <w:sz w:val="18"/>
      </w:rPr>
      <w:fldChar w:fldCharType="begin"/>
    </w:r>
    <w:r w:rsidRPr="00D87178">
      <w:rPr>
        <w:b/>
        <w:sz w:val="18"/>
      </w:rPr>
      <w:instrText xml:space="preserve"> PAGE  \* MERGEFORMAT </w:instrText>
    </w:r>
    <w:r w:rsidRPr="00D87178">
      <w:rPr>
        <w:b/>
        <w:sz w:val="18"/>
      </w:rPr>
      <w:fldChar w:fldCharType="separate"/>
    </w:r>
    <w:r w:rsidR="003628B3">
      <w:rPr>
        <w:b/>
        <w:noProof/>
        <w:sz w:val="18"/>
      </w:rPr>
      <w:t>3</w:t>
    </w:r>
    <w:r w:rsidRPr="00D87178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59" w:rsidRDefault="00D87178">
    <w:pPr>
      <w:pStyle w:val="Footer"/>
    </w:pPr>
    <w:r>
      <w:rPr>
        <w:sz w:val="20"/>
      </w:rPr>
      <w:t>GE.11-46471</w:t>
    </w:r>
    <w:r w:rsidR="00463E59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    101111</w:t>
    </w:r>
    <w:r w:rsidR="003628B3">
      <w:rPr>
        <w:sz w:val="20"/>
      </w:rPr>
      <w:t xml:space="preserve">    101111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3B" w:rsidRPr="00D27D5E" w:rsidRDefault="0001403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403B" w:rsidRPr="00EA0E33" w:rsidRDefault="0001403B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01403B" w:rsidRDefault="000140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78" w:rsidRPr="00D87178" w:rsidRDefault="00D87178">
    <w:pPr>
      <w:pStyle w:val="Header"/>
    </w:pPr>
    <w:r>
      <w:t>CRC/C/NIU/Q/1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78" w:rsidRPr="00D87178" w:rsidRDefault="00D87178" w:rsidP="00D87178">
    <w:pPr>
      <w:pStyle w:val="Header"/>
      <w:jc w:val="right"/>
    </w:pPr>
    <w:r>
      <w:t>CRC/C/NIU/Q/1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FC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E83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64F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14A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C5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46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E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89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C5B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680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EF33B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1"/>
  </w:num>
  <w:num w:numId="6">
    <w:abstractNumId w:val="20"/>
  </w:num>
  <w:num w:numId="7">
    <w:abstractNumId w:val="23"/>
  </w:num>
  <w:num w:numId="8">
    <w:abstractNumId w:val="37"/>
  </w:num>
  <w:num w:numId="9">
    <w:abstractNumId w:val="29"/>
  </w:num>
  <w:num w:numId="10">
    <w:abstractNumId w:val="40"/>
  </w:num>
  <w:num w:numId="11">
    <w:abstractNumId w:val="23"/>
  </w:num>
  <w:num w:numId="12">
    <w:abstractNumId w:val="27"/>
  </w:num>
  <w:num w:numId="13">
    <w:abstractNumId w:val="27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8"/>
  </w:num>
  <w:num w:numId="37">
    <w:abstractNumId w:val="35"/>
  </w:num>
  <w:num w:numId="38">
    <w:abstractNumId w:val="21"/>
  </w:num>
  <w:num w:numId="39">
    <w:abstractNumId w:val="26"/>
  </w:num>
  <w:num w:numId="40">
    <w:abstractNumId w:val="36"/>
  </w:num>
  <w:num w:numId="41">
    <w:abstractNumId w:val="16"/>
  </w:num>
  <w:num w:numId="42">
    <w:abstractNumId w:val="14"/>
  </w:num>
  <w:num w:numId="43">
    <w:abstractNumId w:val="30"/>
  </w:num>
  <w:num w:numId="44">
    <w:abstractNumId w:val="34"/>
  </w:num>
  <w:num w:numId="45">
    <w:abstractNumId w:val="32"/>
  </w:num>
  <w:num w:numId="46">
    <w:abstractNumId w:val="28"/>
  </w:num>
  <w:num w:numId="47">
    <w:abstractNumId w:val="25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E59"/>
    <w:rsid w:val="0000767A"/>
    <w:rsid w:val="0001403B"/>
    <w:rsid w:val="00016AC5"/>
    <w:rsid w:val="00060E82"/>
    <w:rsid w:val="000A5350"/>
    <w:rsid w:val="000B696A"/>
    <w:rsid w:val="000F41F2"/>
    <w:rsid w:val="00160540"/>
    <w:rsid w:val="00192EEB"/>
    <w:rsid w:val="001A20FB"/>
    <w:rsid w:val="001C5CCE"/>
    <w:rsid w:val="001D0409"/>
    <w:rsid w:val="001D5CBF"/>
    <w:rsid w:val="001D7F8A"/>
    <w:rsid w:val="001E3DE1"/>
    <w:rsid w:val="001E3FEB"/>
    <w:rsid w:val="001E4A02"/>
    <w:rsid w:val="001E5727"/>
    <w:rsid w:val="001F73C1"/>
    <w:rsid w:val="00225A8C"/>
    <w:rsid w:val="002659F1"/>
    <w:rsid w:val="00267095"/>
    <w:rsid w:val="00287E79"/>
    <w:rsid w:val="002928F9"/>
    <w:rsid w:val="002A5D07"/>
    <w:rsid w:val="002C6A52"/>
    <w:rsid w:val="002E66BC"/>
    <w:rsid w:val="003016B7"/>
    <w:rsid w:val="0031567F"/>
    <w:rsid w:val="003315C0"/>
    <w:rsid w:val="00331C04"/>
    <w:rsid w:val="003331E4"/>
    <w:rsid w:val="003337C1"/>
    <w:rsid w:val="003515AA"/>
    <w:rsid w:val="003628B3"/>
    <w:rsid w:val="00374106"/>
    <w:rsid w:val="00392BB3"/>
    <w:rsid w:val="003976D5"/>
    <w:rsid w:val="003D2F6C"/>
    <w:rsid w:val="003D6C68"/>
    <w:rsid w:val="003E7F2E"/>
    <w:rsid w:val="003F4CA4"/>
    <w:rsid w:val="004159D0"/>
    <w:rsid w:val="004377D2"/>
    <w:rsid w:val="00463E59"/>
    <w:rsid w:val="005233D8"/>
    <w:rsid w:val="00543D5E"/>
    <w:rsid w:val="00547BC0"/>
    <w:rsid w:val="00564901"/>
    <w:rsid w:val="00571F41"/>
    <w:rsid w:val="005E5D1F"/>
    <w:rsid w:val="0060753B"/>
    <w:rsid w:val="00611D43"/>
    <w:rsid w:val="00612D48"/>
    <w:rsid w:val="00616B45"/>
    <w:rsid w:val="00630D9B"/>
    <w:rsid w:val="00631953"/>
    <w:rsid w:val="006439EC"/>
    <w:rsid w:val="006A2FF6"/>
    <w:rsid w:val="006B4590"/>
    <w:rsid w:val="006C340C"/>
    <w:rsid w:val="006E637C"/>
    <w:rsid w:val="0070347C"/>
    <w:rsid w:val="00716BD0"/>
    <w:rsid w:val="007176C1"/>
    <w:rsid w:val="00775162"/>
    <w:rsid w:val="007C3C0D"/>
    <w:rsid w:val="007F55CB"/>
    <w:rsid w:val="00844750"/>
    <w:rsid w:val="008B44C4"/>
    <w:rsid w:val="008E7FAE"/>
    <w:rsid w:val="00901884"/>
    <w:rsid w:val="00911BF7"/>
    <w:rsid w:val="00977EC8"/>
    <w:rsid w:val="00993C56"/>
    <w:rsid w:val="009C2D18"/>
    <w:rsid w:val="009D3A8C"/>
    <w:rsid w:val="009E7956"/>
    <w:rsid w:val="00A133AF"/>
    <w:rsid w:val="00A2492E"/>
    <w:rsid w:val="00A63C60"/>
    <w:rsid w:val="00AC67A1"/>
    <w:rsid w:val="00AC7977"/>
    <w:rsid w:val="00AD1127"/>
    <w:rsid w:val="00AE29F3"/>
    <w:rsid w:val="00AE352C"/>
    <w:rsid w:val="00B32E2D"/>
    <w:rsid w:val="00B61990"/>
    <w:rsid w:val="00B93DB1"/>
    <w:rsid w:val="00BB14CC"/>
    <w:rsid w:val="00BE6AE4"/>
    <w:rsid w:val="00BF0556"/>
    <w:rsid w:val="00C261F8"/>
    <w:rsid w:val="00C33100"/>
    <w:rsid w:val="00C36B9B"/>
    <w:rsid w:val="00C611ED"/>
    <w:rsid w:val="00CD1A71"/>
    <w:rsid w:val="00CD1FBB"/>
    <w:rsid w:val="00D016B5"/>
    <w:rsid w:val="00D034F1"/>
    <w:rsid w:val="00D10597"/>
    <w:rsid w:val="00D21AD3"/>
    <w:rsid w:val="00D27D5E"/>
    <w:rsid w:val="00D77231"/>
    <w:rsid w:val="00D838EB"/>
    <w:rsid w:val="00D87178"/>
    <w:rsid w:val="00DA3BE9"/>
    <w:rsid w:val="00DA613A"/>
    <w:rsid w:val="00DB1D06"/>
    <w:rsid w:val="00DE4A9F"/>
    <w:rsid w:val="00DE6D90"/>
    <w:rsid w:val="00DF002F"/>
    <w:rsid w:val="00E0244D"/>
    <w:rsid w:val="00E36FE5"/>
    <w:rsid w:val="00E81E94"/>
    <w:rsid w:val="00E82607"/>
    <w:rsid w:val="00EA0E33"/>
    <w:rsid w:val="00F47851"/>
    <w:rsid w:val="00F956C0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basedOn w:val="DefaultParagraphFont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A63C60"/>
    <w:rPr>
      <w:color w:val="auto"/>
      <w:u w:val="none"/>
    </w:rPr>
  </w:style>
  <w:style w:type="character" w:styleId="FollowedHyperlink">
    <w:name w:val="FollowedHyperlink"/>
    <w:basedOn w:val="DefaultParagraphFont"/>
    <w:rsid w:val="00A63C60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3</Pages>
  <Words>948</Words>
  <Characters>5166</Characters>
  <Application>Microsoft Office Outlook</Application>
  <DocSecurity>4</DocSecurity>
  <Lines>98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CRC/C/NIU/Q/1</vt:lpstr>
    </vt:vector>
  </TitlesOfParts>
  <Company>Corine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CRC/C/NIU/Q/1</dc:title>
  <dc:subject>FINAL</dc:subject>
  <dc:creator>Pool</dc:creator>
  <cp:keywords/>
  <dc:description/>
  <cp:lastModifiedBy>dunand</cp:lastModifiedBy>
  <cp:revision>2</cp:revision>
  <cp:lastPrinted>2011-11-10T12:10:00Z</cp:lastPrinted>
  <dcterms:created xsi:type="dcterms:W3CDTF">2011-11-10T16:05:00Z</dcterms:created>
  <dcterms:modified xsi:type="dcterms:W3CDTF">2011-11-10T16:05:00Z</dcterms:modified>
</cp:coreProperties>
</file>