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E75A9" w:rsidRPr="00942542" w14:paraId="327B38D8" w14:textId="77777777">
        <w:trPr>
          <w:cantSplit/>
          <w:trHeight w:hRule="exact" w:val="851"/>
        </w:trPr>
        <w:tc>
          <w:tcPr>
            <w:tcW w:w="1276" w:type="dxa"/>
            <w:tcBorders>
              <w:bottom w:val="single" w:sz="4" w:space="0" w:color="auto"/>
            </w:tcBorders>
            <w:vAlign w:val="bottom"/>
          </w:tcPr>
          <w:p w14:paraId="0F2B803B" w14:textId="77777777" w:rsidR="00DE75A9" w:rsidRPr="00F1057E" w:rsidRDefault="00DE75A9">
            <w:pPr>
              <w:spacing w:after="80"/>
              <w:rPr>
                <w:lang w:val="en-GB"/>
              </w:rPr>
            </w:pPr>
          </w:p>
        </w:tc>
        <w:tc>
          <w:tcPr>
            <w:tcW w:w="2268" w:type="dxa"/>
            <w:tcBorders>
              <w:bottom w:val="single" w:sz="4" w:space="0" w:color="auto"/>
            </w:tcBorders>
            <w:vAlign w:val="bottom"/>
          </w:tcPr>
          <w:p w14:paraId="12E32390" w14:textId="77777777" w:rsidR="00DE75A9" w:rsidRDefault="001048B0">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2ED813C5" w14:textId="604B74D8" w:rsidR="00DE75A9" w:rsidRPr="005A4CDA" w:rsidRDefault="001048B0" w:rsidP="00495B74">
            <w:pPr>
              <w:suppressAutoHyphens w:val="0"/>
              <w:spacing w:after="20"/>
              <w:jc w:val="right"/>
              <w:rPr>
                <w:lang w:val="en-GB"/>
              </w:rPr>
            </w:pPr>
            <w:r w:rsidRPr="005A4CDA">
              <w:rPr>
                <w:sz w:val="40"/>
                <w:lang w:val="en-GB"/>
              </w:rPr>
              <w:t>CAT</w:t>
            </w:r>
            <w:r w:rsidRPr="005A4CDA">
              <w:rPr>
                <w:lang w:val="en-GB"/>
              </w:rPr>
              <w:t>/</w:t>
            </w:r>
            <w:r w:rsidR="005A4CDA">
              <w:fldChar w:fldCharType="begin"/>
            </w:r>
            <w:r w:rsidR="005A4CDA" w:rsidRPr="005A4CDA">
              <w:rPr>
                <w:lang w:val="en-GB"/>
              </w:rPr>
              <w:instrText xml:space="preserve"> DOCPROPERTY  sym1  \* MERGEFORMAT </w:instrText>
            </w:r>
            <w:r w:rsidR="005A4CDA">
              <w:fldChar w:fldCharType="separate"/>
            </w:r>
            <w:r w:rsidR="00942542">
              <w:rPr>
                <w:lang w:val="en-GB"/>
              </w:rPr>
              <w:t>C/BEN/CO/</w:t>
            </w:r>
            <w:r w:rsidRPr="005A4CDA">
              <w:rPr>
                <w:lang w:val="en-GB"/>
              </w:rPr>
              <w:t>3</w:t>
            </w:r>
            <w:r w:rsidR="005A4CDA">
              <w:fldChar w:fldCharType="end"/>
            </w:r>
          </w:p>
        </w:tc>
      </w:tr>
      <w:tr w:rsidR="00DE75A9" w14:paraId="0B2C8E93" w14:textId="77777777">
        <w:trPr>
          <w:cantSplit/>
          <w:trHeight w:hRule="exact" w:val="2835"/>
        </w:trPr>
        <w:tc>
          <w:tcPr>
            <w:tcW w:w="1276" w:type="dxa"/>
            <w:tcBorders>
              <w:top w:val="single" w:sz="4" w:space="0" w:color="auto"/>
              <w:bottom w:val="single" w:sz="12" w:space="0" w:color="auto"/>
            </w:tcBorders>
          </w:tcPr>
          <w:p w14:paraId="3C408CDD" w14:textId="77777777" w:rsidR="00DE75A9" w:rsidRDefault="001048B0">
            <w:pPr>
              <w:spacing w:before="120"/>
              <w:jc w:val="center"/>
            </w:pPr>
            <w:r>
              <w:rPr>
                <w:noProof/>
                <w:lang w:eastAsia="fr-CH"/>
              </w:rPr>
              <w:drawing>
                <wp:inline distT="0" distB="0" distL="0" distR="0" wp14:anchorId="457D8900" wp14:editId="7BFDB1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68BE53" w14:textId="77777777" w:rsidR="00DE75A9" w:rsidRDefault="001048B0">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14:paraId="345A26EF" w14:textId="49CE75DC" w:rsidR="00DE75A9" w:rsidRDefault="006E6D8A">
            <w:pPr>
              <w:suppressAutoHyphens w:val="0"/>
              <w:spacing w:before="240" w:line="240" w:lineRule="exact"/>
            </w:pPr>
            <w:r>
              <w:t>Distr.</w:t>
            </w:r>
            <w:r w:rsidR="001048B0">
              <w:t xml:space="preserve"> </w:t>
            </w:r>
            <w:fldSimple w:instr=" DOCPROPERTY  dist  \* MERGEFORMAT ">
              <w:r w:rsidR="006F4508">
                <w:t>général</w:t>
              </w:r>
              <w:r w:rsidR="000E4493">
                <w:t>e</w:t>
              </w:r>
            </w:fldSimple>
          </w:p>
          <w:p w14:paraId="01945BD2" w14:textId="4D428150" w:rsidR="00DA74C9" w:rsidRDefault="00E868C9" w:rsidP="007954A1">
            <w:pPr>
              <w:suppressAutoHyphens w:val="0"/>
            </w:pPr>
            <w:fldSimple w:instr=" DOCPROPERTY  date  \* MERGEFORMAT ">
              <w:r w:rsidR="00904323">
                <w:t>4</w:t>
              </w:r>
              <w:r w:rsidR="00CF6699">
                <w:t xml:space="preserve"> June</w:t>
              </w:r>
              <w:r w:rsidR="001048B0">
                <w:t xml:space="preserve"> 2019</w:t>
              </w:r>
            </w:fldSimple>
          </w:p>
          <w:p w14:paraId="33933539" w14:textId="77777777" w:rsidR="00B84889" w:rsidRDefault="00B84889">
            <w:pPr>
              <w:suppressAutoHyphens w:val="0"/>
            </w:pPr>
          </w:p>
          <w:p w14:paraId="316D8C73" w14:textId="77777777" w:rsidR="00DE75A9" w:rsidRDefault="00AB5135">
            <w:pPr>
              <w:suppressAutoHyphens w:val="0"/>
            </w:pPr>
            <w:r>
              <w:t>Original : français</w:t>
            </w:r>
            <w:r w:rsidR="005A4CDA">
              <w:fldChar w:fldCharType="begin"/>
            </w:r>
            <w:r w:rsidR="005A4CDA">
              <w:instrText xml:space="preserve"> DOCPROPERTY  tlang  \* MERGEFORMAT </w:instrText>
            </w:r>
            <w:r w:rsidR="005A4CDA">
              <w:fldChar w:fldCharType="end"/>
            </w:r>
          </w:p>
          <w:p w14:paraId="52B1D45B" w14:textId="56905518" w:rsidR="00DE75A9" w:rsidRDefault="00DE75A9">
            <w:pPr>
              <w:suppressAutoHyphens w:val="0"/>
            </w:pPr>
          </w:p>
        </w:tc>
      </w:tr>
    </w:tbl>
    <w:p w14:paraId="47666196" w14:textId="77777777" w:rsidR="00DE75A9" w:rsidRDefault="001048B0">
      <w:pPr>
        <w:spacing w:before="120"/>
        <w:rPr>
          <w:b/>
          <w:sz w:val="24"/>
          <w:szCs w:val="24"/>
        </w:rPr>
      </w:pPr>
      <w:r>
        <w:rPr>
          <w:b/>
          <w:sz w:val="24"/>
          <w:szCs w:val="24"/>
        </w:rPr>
        <w:t>Comité contre la torture</w:t>
      </w:r>
    </w:p>
    <w:p w14:paraId="4E8020AA" w14:textId="795CEC70" w:rsidR="00DE75A9" w:rsidRDefault="001048B0">
      <w:pPr>
        <w:pStyle w:val="HChG"/>
      </w:pPr>
      <w:r>
        <w:tab/>
      </w:r>
      <w:r>
        <w:tab/>
        <w:t xml:space="preserve">Observations finales concernant le </w:t>
      </w:r>
      <w:fldSimple w:instr=" DOCPROPERTY  prep  \* MERGEFORMAT ">
        <w:r>
          <w:t>troisième rapport périodique du Bénin</w:t>
        </w:r>
      </w:fldSimple>
      <w:r w:rsidR="004D7C08" w:rsidRPr="00F1057E">
        <w:rPr>
          <w:b w:val="0"/>
          <w:sz w:val="20"/>
        </w:rPr>
        <w:footnoteReference w:customMarkFollows="1" w:id="2"/>
        <w:t>*</w:t>
      </w:r>
    </w:p>
    <w:p w14:paraId="77CAF38F" w14:textId="7A979927" w:rsidR="002F5F19" w:rsidRPr="00F52CA2" w:rsidRDefault="004D7C08" w:rsidP="00FF4220">
      <w:pPr>
        <w:pStyle w:val="SingleTxtG"/>
        <w:rPr>
          <w:lang w:val="fr-FR"/>
        </w:rPr>
      </w:pPr>
      <w:r w:rsidRPr="00101CD2">
        <w:rPr>
          <w:lang w:val="fr-FR"/>
        </w:rPr>
        <w:t>1.</w:t>
      </w:r>
      <w:r w:rsidRPr="00101CD2">
        <w:rPr>
          <w:lang w:val="fr-FR"/>
        </w:rPr>
        <w:tab/>
      </w:r>
      <w:r w:rsidR="002F5F19" w:rsidRPr="00101CD2">
        <w:rPr>
          <w:lang w:val="fr-FR"/>
        </w:rPr>
        <w:t>Le Comité contre la torture a examiné le troisième rapport périodique du Bénin (CAT/C/BEN/3) à ses 1734</w:t>
      </w:r>
      <w:r w:rsidR="00FF4220" w:rsidRPr="00F1057E">
        <w:rPr>
          <w:vertAlign w:val="superscript"/>
          <w:lang w:val="fr-FR"/>
        </w:rPr>
        <w:t>e</w:t>
      </w:r>
      <w:r w:rsidR="002F5F19" w:rsidRPr="00101CD2">
        <w:rPr>
          <w:lang w:val="fr-FR"/>
        </w:rPr>
        <w:t xml:space="preserve"> et 1737</w:t>
      </w:r>
      <w:r w:rsidR="00FF4220" w:rsidRPr="00F1057E">
        <w:rPr>
          <w:vertAlign w:val="superscript"/>
          <w:lang w:val="fr-FR"/>
        </w:rPr>
        <w:t>e</w:t>
      </w:r>
      <w:r w:rsidR="002F5F19" w:rsidRPr="00101CD2">
        <w:rPr>
          <w:lang w:val="fr-FR"/>
        </w:rPr>
        <w:t xml:space="preserve"> séances</w:t>
      </w:r>
      <w:r w:rsidR="00FF4220" w:rsidRPr="00F1057E">
        <w:rPr>
          <w:lang w:val="fr-FR"/>
        </w:rPr>
        <w:t xml:space="preserve"> (voir CAT/C/SR.1734 et 1737)</w:t>
      </w:r>
      <w:r w:rsidR="002F5F19" w:rsidRPr="00101CD2">
        <w:rPr>
          <w:lang w:val="fr-FR"/>
        </w:rPr>
        <w:t>, les 2 et 3 mai 2019, et a adopté</w:t>
      </w:r>
      <w:r w:rsidR="00FF4220" w:rsidRPr="00101CD2">
        <w:rPr>
          <w:lang w:val="fr-FR"/>
        </w:rPr>
        <w:t xml:space="preserve"> les présentes observations finales</w:t>
      </w:r>
      <w:r w:rsidR="002F5F19" w:rsidRPr="00101CD2">
        <w:rPr>
          <w:lang w:val="fr-FR"/>
        </w:rPr>
        <w:t xml:space="preserve"> à sa 175</w:t>
      </w:r>
      <w:r w:rsidR="00B37887" w:rsidRPr="00101CD2">
        <w:rPr>
          <w:lang w:val="fr-FR"/>
        </w:rPr>
        <w:t>2</w:t>
      </w:r>
      <w:r w:rsidR="002F5F19" w:rsidRPr="00101CD2">
        <w:rPr>
          <w:vertAlign w:val="superscript"/>
          <w:lang w:val="fr-FR"/>
        </w:rPr>
        <w:t>e</w:t>
      </w:r>
      <w:r w:rsidR="002F5F19" w:rsidRPr="00101CD2">
        <w:rPr>
          <w:lang w:val="fr-FR"/>
        </w:rPr>
        <w:t xml:space="preserve"> séance, le 15 mai 2019.</w:t>
      </w:r>
      <w:r w:rsidR="002F5F19" w:rsidRPr="00B37887">
        <w:rPr>
          <w:lang w:val="fr-FR"/>
        </w:rPr>
        <w:t xml:space="preserve"> </w:t>
      </w:r>
    </w:p>
    <w:p w14:paraId="3FEEB96C" w14:textId="77777777" w:rsidR="002F5F19" w:rsidRPr="00DA74C9" w:rsidRDefault="002F5F19" w:rsidP="002F5F19">
      <w:pPr>
        <w:pStyle w:val="H1G"/>
        <w:rPr>
          <w:lang w:val="fr-FR"/>
        </w:rPr>
      </w:pPr>
      <w:r w:rsidRPr="00DA74C9">
        <w:rPr>
          <w:b w:val="0"/>
          <w:lang w:val="fr-FR"/>
        </w:rPr>
        <w:tab/>
      </w:r>
      <w:r w:rsidRPr="00DA74C9">
        <w:rPr>
          <w:lang w:val="fr-FR"/>
        </w:rPr>
        <w:t>A.</w:t>
      </w:r>
      <w:r w:rsidRPr="00DA74C9">
        <w:rPr>
          <w:lang w:val="fr-FR"/>
        </w:rPr>
        <w:tab/>
        <w:t>Introduction</w:t>
      </w:r>
    </w:p>
    <w:p w14:paraId="444C4378" w14:textId="12B1B3CF" w:rsidR="002F5F19" w:rsidRPr="00DA74C9" w:rsidRDefault="002F5F19" w:rsidP="003D0144">
      <w:pPr>
        <w:pStyle w:val="SingleTxtG"/>
      </w:pPr>
      <w:r>
        <w:t>2.</w:t>
      </w:r>
      <w:r>
        <w:tab/>
      </w:r>
      <w:r w:rsidRPr="00DA74C9">
        <w:t>Le Comité prend note de la présentation du troisième rapport périodique du Bénin</w:t>
      </w:r>
      <w:r w:rsidR="00056FA5">
        <w:t>,</w:t>
      </w:r>
      <w:r w:rsidRPr="00DA74C9">
        <w:t xml:space="preserve"> tout en regrettant sa soumission avec six ans de retard. Il se félicite d’avoir pu reprendre avec l’État partie un dialogue constructif au sujet des mesures prises pour appliquer les dispositions de la Convention. Le Comité remercie l’État partie pour ses réponses écrites (CAT/C/BEN/</w:t>
      </w:r>
      <w:r w:rsidR="00F015DD">
        <w:t>Q/</w:t>
      </w:r>
      <w:r w:rsidRPr="00DA74C9">
        <w:t>3/Add.</w:t>
      </w:r>
      <w:r w:rsidR="00F015DD">
        <w:t>2</w:t>
      </w:r>
      <w:r w:rsidRPr="00DA74C9">
        <w:t>) à la liste de points</w:t>
      </w:r>
      <w:r w:rsidR="00D6250E">
        <w:t xml:space="preserve"> (CAT/C/BEN/Q/3/Add.1)</w:t>
      </w:r>
      <w:r w:rsidRPr="00DA74C9">
        <w:t xml:space="preserve">, complétées oralement par la délégation. </w:t>
      </w:r>
    </w:p>
    <w:p w14:paraId="3CC52743" w14:textId="77777777" w:rsidR="002F5F19" w:rsidRPr="00DA74C9" w:rsidRDefault="002F5F19" w:rsidP="002F5F19">
      <w:pPr>
        <w:pStyle w:val="H1G"/>
        <w:rPr>
          <w:lang w:val="fr-FR"/>
        </w:rPr>
      </w:pPr>
      <w:r>
        <w:rPr>
          <w:lang w:val="fr-FR"/>
        </w:rPr>
        <w:tab/>
        <w:t>B.</w:t>
      </w:r>
      <w:r>
        <w:rPr>
          <w:lang w:val="fr-FR"/>
        </w:rPr>
        <w:tab/>
      </w:r>
      <w:r w:rsidRPr="00DA74C9">
        <w:rPr>
          <w:lang w:val="fr-FR"/>
        </w:rPr>
        <w:t xml:space="preserve">Aspects positifs </w:t>
      </w:r>
    </w:p>
    <w:p w14:paraId="728018EB" w14:textId="3998F6E6" w:rsidR="002F5F19" w:rsidRPr="00DA74C9" w:rsidRDefault="002F5F19" w:rsidP="003D0144">
      <w:pPr>
        <w:pStyle w:val="SingleTxtG"/>
      </w:pPr>
      <w:r>
        <w:t>3.</w:t>
      </w:r>
      <w:r>
        <w:tab/>
      </w:r>
      <w:r w:rsidRPr="00DA74C9">
        <w:t xml:space="preserve">Le Comité </w:t>
      </w:r>
      <w:r w:rsidR="003D0144">
        <w:t>note</w:t>
      </w:r>
      <w:r w:rsidRPr="00DA74C9">
        <w:t xml:space="preserve"> avec satisfaction </w:t>
      </w:r>
      <w:r w:rsidR="003D0144">
        <w:t>que</w:t>
      </w:r>
      <w:r w:rsidRPr="00DA74C9">
        <w:t xml:space="preserve"> l’État partie</w:t>
      </w:r>
      <w:r w:rsidR="003D0144">
        <w:t xml:space="preserve"> a ratifié les</w:t>
      </w:r>
      <w:r w:rsidRPr="00DA74C9">
        <w:t xml:space="preserve"> instruments </w:t>
      </w:r>
      <w:r w:rsidR="003D0144">
        <w:t>internationaux ci-après, ou y a adhéré</w:t>
      </w:r>
      <w:r w:rsidR="00D6250E">
        <w:t> </w:t>
      </w:r>
      <w:r w:rsidRPr="00DA74C9">
        <w:t xml:space="preserve">: </w:t>
      </w:r>
    </w:p>
    <w:p w14:paraId="3748D892" w14:textId="5F64A288" w:rsidR="002F5F19" w:rsidRPr="00101CD2" w:rsidRDefault="00F1057E" w:rsidP="00F1057E">
      <w:pPr>
        <w:pStyle w:val="SingleTxtG"/>
        <w:ind w:firstLine="567"/>
      </w:pPr>
      <w:r w:rsidRPr="00101CD2">
        <w:t>a)</w:t>
      </w:r>
      <w:r w:rsidRPr="00101CD2">
        <w:tab/>
      </w:r>
      <w:r w:rsidR="002F5F19" w:rsidRPr="00101CD2">
        <w:rPr>
          <w:color w:val="000000"/>
          <w:lang w:val="fr-FR"/>
        </w:rPr>
        <w:t xml:space="preserve">Le </w:t>
      </w:r>
      <w:r w:rsidR="00D6250E" w:rsidRPr="00101CD2">
        <w:rPr>
          <w:lang w:val="de-CH"/>
        </w:rPr>
        <w:t>D</w:t>
      </w:r>
      <w:r w:rsidR="002F5F19" w:rsidRPr="00101CD2">
        <w:rPr>
          <w:lang w:val="de-CH"/>
        </w:rPr>
        <w:t xml:space="preserve">euxième </w:t>
      </w:r>
      <w:r w:rsidR="00D6250E" w:rsidRPr="00F1057E">
        <w:t>P</w:t>
      </w:r>
      <w:r w:rsidR="002F5F19" w:rsidRPr="00F1057E">
        <w:t>rotocole facultatif se rapportant au Pacte international relatif aux droits civils et politiques, visant à abolir la peine de mort,</w:t>
      </w:r>
      <w:r w:rsidR="002F5F19" w:rsidRPr="00101CD2">
        <w:rPr>
          <w:lang w:val="de-CH"/>
        </w:rPr>
        <w:t xml:space="preserve"> </w:t>
      </w:r>
      <w:r w:rsidR="002F5F19" w:rsidRPr="00101CD2">
        <w:rPr>
          <w:color w:val="000000"/>
          <w:lang w:val="fr-FR"/>
        </w:rPr>
        <w:t>en 2012</w:t>
      </w:r>
      <w:r w:rsidR="00D6250E" w:rsidRPr="00101CD2">
        <w:rPr>
          <w:color w:val="000000"/>
          <w:lang w:val="fr-FR"/>
        </w:rPr>
        <w:t> </w:t>
      </w:r>
      <w:r w:rsidR="002F5F19" w:rsidRPr="00101CD2">
        <w:rPr>
          <w:color w:val="000000"/>
          <w:lang w:val="fr-FR"/>
        </w:rPr>
        <w:t>;</w:t>
      </w:r>
      <w:r w:rsidR="002067AC" w:rsidRPr="008C2916">
        <w:rPr>
          <w:color w:val="000000"/>
          <w:lang w:val="fr-FR"/>
        </w:rPr>
        <w:t xml:space="preserve"> </w:t>
      </w:r>
    </w:p>
    <w:p w14:paraId="00A933C8" w14:textId="31C4A116" w:rsidR="002F5F19" w:rsidRPr="00101CD2" w:rsidRDefault="00F1057E" w:rsidP="00F1057E">
      <w:pPr>
        <w:pStyle w:val="SingleTxtG"/>
        <w:ind w:firstLine="567"/>
        <w:rPr>
          <w:color w:val="000000"/>
          <w:lang w:val="fr-FR"/>
        </w:rPr>
      </w:pPr>
      <w:r w:rsidRPr="00101CD2">
        <w:rPr>
          <w:color w:val="000000"/>
          <w:lang w:val="fr-FR"/>
        </w:rPr>
        <w:t>b)</w:t>
      </w:r>
      <w:r w:rsidRPr="00101CD2">
        <w:rPr>
          <w:color w:val="000000"/>
          <w:lang w:val="fr-FR"/>
        </w:rPr>
        <w:tab/>
      </w:r>
      <w:r w:rsidR="002F5F19" w:rsidRPr="00101CD2">
        <w:rPr>
          <w:color w:val="000000"/>
          <w:lang w:val="fr-FR"/>
        </w:rPr>
        <w:t>La Convention relative aux droits des personnes handicapées, ainsi que le Protocole facultatif s’y rapportant, en 2012</w:t>
      </w:r>
      <w:r w:rsidR="00D6250E" w:rsidRPr="00101CD2">
        <w:rPr>
          <w:color w:val="000000"/>
          <w:lang w:val="fr-FR"/>
        </w:rPr>
        <w:t> </w:t>
      </w:r>
      <w:r w:rsidR="002F5F19" w:rsidRPr="00101CD2">
        <w:rPr>
          <w:color w:val="000000"/>
          <w:lang w:val="fr-FR"/>
        </w:rPr>
        <w:t>;</w:t>
      </w:r>
      <w:r w:rsidR="002067AC" w:rsidRPr="00101CD2">
        <w:rPr>
          <w:color w:val="000000"/>
          <w:lang w:val="fr-FR"/>
        </w:rPr>
        <w:t xml:space="preserve"> </w:t>
      </w:r>
    </w:p>
    <w:p w14:paraId="763431DB" w14:textId="5C75E44F" w:rsidR="002F5F19" w:rsidRPr="00101CD2" w:rsidRDefault="00F1057E" w:rsidP="00F1057E">
      <w:pPr>
        <w:pStyle w:val="SingleTxtG"/>
        <w:ind w:firstLine="567"/>
        <w:rPr>
          <w:color w:val="000000"/>
          <w:lang w:val="fr-FR"/>
        </w:rPr>
      </w:pPr>
      <w:r w:rsidRPr="00101CD2">
        <w:rPr>
          <w:color w:val="000000"/>
          <w:lang w:val="fr-FR"/>
        </w:rPr>
        <w:t>c)</w:t>
      </w:r>
      <w:r w:rsidRPr="00101CD2">
        <w:rPr>
          <w:color w:val="000000"/>
          <w:lang w:val="fr-FR"/>
        </w:rPr>
        <w:tab/>
      </w:r>
      <w:r w:rsidR="002F5F19" w:rsidRPr="00101CD2">
        <w:rPr>
          <w:color w:val="000000"/>
          <w:lang w:val="fr-FR"/>
        </w:rPr>
        <w:t>La Convention internationale pour la protection de toutes les personnes contre les disparitions forcées, en 2017</w:t>
      </w:r>
      <w:r w:rsidR="00D6250E" w:rsidRPr="00101CD2">
        <w:rPr>
          <w:color w:val="000000"/>
          <w:lang w:val="fr-FR"/>
        </w:rPr>
        <w:t> </w:t>
      </w:r>
      <w:r w:rsidR="002F5F19" w:rsidRPr="00101CD2">
        <w:rPr>
          <w:color w:val="000000"/>
          <w:lang w:val="fr-FR"/>
        </w:rPr>
        <w:t>;</w:t>
      </w:r>
      <w:r w:rsidR="002067AC" w:rsidRPr="00101CD2">
        <w:rPr>
          <w:color w:val="000000"/>
          <w:lang w:val="fr-FR"/>
        </w:rPr>
        <w:t xml:space="preserve"> </w:t>
      </w:r>
    </w:p>
    <w:p w14:paraId="4B699339" w14:textId="314FC644" w:rsidR="002F5F19" w:rsidRPr="00101CD2" w:rsidRDefault="00F1057E" w:rsidP="00F1057E">
      <w:pPr>
        <w:pStyle w:val="SingleTxtG"/>
        <w:ind w:firstLine="567"/>
        <w:rPr>
          <w:color w:val="000000"/>
          <w:lang w:val="fr-FR"/>
        </w:rPr>
      </w:pPr>
      <w:r w:rsidRPr="00101CD2">
        <w:rPr>
          <w:color w:val="000000"/>
          <w:lang w:val="fr-FR"/>
        </w:rPr>
        <w:t>d)</w:t>
      </w:r>
      <w:r w:rsidRPr="00101CD2">
        <w:rPr>
          <w:color w:val="000000"/>
          <w:lang w:val="fr-FR"/>
        </w:rPr>
        <w:tab/>
      </w:r>
      <w:r w:rsidR="002F5F19" w:rsidRPr="00101CD2">
        <w:rPr>
          <w:color w:val="000000"/>
          <w:lang w:val="fr-FR"/>
        </w:rPr>
        <w:t>La Convention internationale sur la protection des droits de tous les travailleurs migrants et des membres de leur famille, en 2018.</w:t>
      </w:r>
      <w:r w:rsidR="002067AC" w:rsidRPr="00101CD2">
        <w:rPr>
          <w:color w:val="000000"/>
          <w:lang w:val="fr-FR"/>
        </w:rPr>
        <w:t xml:space="preserve"> </w:t>
      </w:r>
    </w:p>
    <w:p w14:paraId="2C41D00B" w14:textId="03DD6CAF" w:rsidR="002F5F19" w:rsidRPr="00101CD2" w:rsidRDefault="002F5F19" w:rsidP="00F75764">
      <w:pPr>
        <w:pStyle w:val="SingleTxtG"/>
        <w:rPr>
          <w:lang w:val="fr-FR"/>
        </w:rPr>
      </w:pPr>
      <w:r w:rsidRPr="00101CD2">
        <w:rPr>
          <w:lang w:val="fr-FR"/>
        </w:rPr>
        <w:t>4.</w:t>
      </w:r>
      <w:r w:rsidRPr="00101CD2">
        <w:rPr>
          <w:lang w:val="fr-FR"/>
        </w:rPr>
        <w:tab/>
        <w:t>Le Comité accueille également avec satisfaction l’adoption par l’</w:t>
      </w:r>
      <w:r w:rsidR="00F75764" w:rsidRPr="00101CD2">
        <w:rPr>
          <w:lang w:val="fr-FR"/>
        </w:rPr>
        <w:t>É</w:t>
      </w:r>
      <w:r w:rsidRPr="00101CD2">
        <w:rPr>
          <w:lang w:val="fr-FR"/>
        </w:rPr>
        <w:t>tat partie des mesures législatives ci-après</w:t>
      </w:r>
      <w:r w:rsidR="00F75764" w:rsidRPr="00101CD2">
        <w:rPr>
          <w:lang w:val="fr-FR"/>
        </w:rPr>
        <w:t xml:space="preserve"> dans des domaines intéressant la Convention </w:t>
      </w:r>
      <w:r w:rsidRPr="00101CD2">
        <w:rPr>
          <w:lang w:val="fr-FR"/>
        </w:rPr>
        <w:t>:</w:t>
      </w:r>
    </w:p>
    <w:p w14:paraId="73D703C5" w14:textId="7668E616" w:rsidR="002F5F19" w:rsidRPr="00101CD2" w:rsidRDefault="00F1057E" w:rsidP="00F1057E">
      <w:pPr>
        <w:pStyle w:val="SingleTxtG"/>
        <w:ind w:firstLine="567"/>
        <w:rPr>
          <w:lang w:val="fr-FR"/>
        </w:rPr>
      </w:pPr>
      <w:r w:rsidRPr="00101CD2">
        <w:rPr>
          <w:lang w:val="fr-FR"/>
        </w:rPr>
        <w:t>a)</w:t>
      </w:r>
      <w:r w:rsidRPr="00101CD2">
        <w:rPr>
          <w:lang w:val="fr-FR"/>
        </w:rPr>
        <w:tab/>
      </w:r>
      <w:r w:rsidR="002F5F19" w:rsidRPr="00101CD2">
        <w:rPr>
          <w:lang w:val="fr-FR"/>
        </w:rPr>
        <w:t>La loi n</w:t>
      </w:r>
      <w:r w:rsidR="007947CC" w:rsidRPr="00F1057E">
        <w:rPr>
          <w:vertAlign w:val="superscript"/>
          <w:lang w:val="fr-FR"/>
        </w:rPr>
        <w:t>o</w:t>
      </w:r>
      <w:r w:rsidR="007947CC">
        <w:rPr>
          <w:lang w:val="fr-FR"/>
        </w:rPr>
        <w:t> </w:t>
      </w:r>
      <w:r w:rsidR="002F5F19" w:rsidRPr="00101CD2">
        <w:rPr>
          <w:lang w:val="fr-FR"/>
        </w:rPr>
        <w:t xml:space="preserve">2011-20 </w:t>
      </w:r>
      <w:r w:rsidR="00F75764" w:rsidRPr="00101CD2">
        <w:rPr>
          <w:lang w:val="fr-FR"/>
        </w:rPr>
        <w:t>du 12 octobre </w:t>
      </w:r>
      <w:r w:rsidR="002F5F19" w:rsidRPr="00101CD2">
        <w:rPr>
          <w:lang w:val="fr-FR"/>
        </w:rPr>
        <w:t xml:space="preserve">2011 portant lutte contre la corruption et </w:t>
      </w:r>
      <w:r w:rsidR="00F75764" w:rsidRPr="00101CD2">
        <w:rPr>
          <w:lang w:val="fr-FR"/>
        </w:rPr>
        <w:t>autres</w:t>
      </w:r>
      <w:r w:rsidR="002F5F19" w:rsidRPr="00101CD2">
        <w:rPr>
          <w:lang w:val="fr-FR"/>
        </w:rPr>
        <w:t xml:space="preserve"> infractions connexes en République du Bénin</w:t>
      </w:r>
      <w:r w:rsidR="00F75764" w:rsidRPr="00101CD2">
        <w:rPr>
          <w:lang w:val="fr-FR"/>
        </w:rPr>
        <w:t> </w:t>
      </w:r>
      <w:r w:rsidR="002F5F19" w:rsidRPr="00101CD2">
        <w:rPr>
          <w:lang w:val="fr-FR"/>
        </w:rPr>
        <w:t>;</w:t>
      </w:r>
    </w:p>
    <w:p w14:paraId="1AB88B3D" w14:textId="593236B0" w:rsidR="002F5F19" w:rsidRPr="00101CD2" w:rsidRDefault="00F1057E" w:rsidP="00F1057E">
      <w:pPr>
        <w:pStyle w:val="SingleTxtG"/>
        <w:ind w:firstLine="567"/>
        <w:rPr>
          <w:lang w:val="fr-FR"/>
        </w:rPr>
      </w:pPr>
      <w:r w:rsidRPr="00101CD2">
        <w:rPr>
          <w:lang w:val="fr-FR"/>
        </w:rPr>
        <w:t>b)</w:t>
      </w:r>
      <w:r w:rsidRPr="00101CD2">
        <w:rPr>
          <w:lang w:val="fr-FR"/>
        </w:rPr>
        <w:tab/>
      </w:r>
      <w:r w:rsidR="002F5F19" w:rsidRPr="00101CD2">
        <w:rPr>
          <w:lang w:val="fr-FR"/>
        </w:rPr>
        <w:t xml:space="preserve">La loi </w:t>
      </w:r>
      <w:r w:rsidR="007947CC" w:rsidRPr="00101CD2">
        <w:rPr>
          <w:lang w:val="fr-FR"/>
        </w:rPr>
        <w:t>n</w:t>
      </w:r>
      <w:r w:rsidR="007947CC" w:rsidRPr="00EE1830">
        <w:rPr>
          <w:vertAlign w:val="superscript"/>
          <w:lang w:val="fr-FR"/>
        </w:rPr>
        <w:t>o</w:t>
      </w:r>
      <w:r w:rsidR="007947CC">
        <w:rPr>
          <w:lang w:val="fr-FR"/>
        </w:rPr>
        <w:t> </w:t>
      </w:r>
      <w:r w:rsidR="002F5F19" w:rsidRPr="00101CD2">
        <w:rPr>
          <w:lang w:val="fr-FR"/>
        </w:rPr>
        <w:t xml:space="preserve">2011-26 </w:t>
      </w:r>
      <w:r w:rsidR="00F75764" w:rsidRPr="00101CD2">
        <w:rPr>
          <w:lang w:val="fr-FR"/>
        </w:rPr>
        <w:t>du 9 janvier </w:t>
      </w:r>
      <w:r w:rsidR="002F5F19" w:rsidRPr="00101CD2">
        <w:rPr>
          <w:lang w:val="fr-FR"/>
        </w:rPr>
        <w:t>2012 portant prévention et répression des violences faites aux femmes</w:t>
      </w:r>
      <w:r w:rsidR="00F75764" w:rsidRPr="00101CD2">
        <w:rPr>
          <w:lang w:val="fr-FR"/>
        </w:rPr>
        <w:t> </w:t>
      </w:r>
      <w:r w:rsidR="002F5F19" w:rsidRPr="00101CD2">
        <w:rPr>
          <w:lang w:val="fr-FR"/>
        </w:rPr>
        <w:t>;</w:t>
      </w:r>
    </w:p>
    <w:p w14:paraId="34C26194" w14:textId="65C888BA" w:rsidR="002F5F19" w:rsidRPr="00101CD2" w:rsidRDefault="00F1057E" w:rsidP="00F1057E">
      <w:pPr>
        <w:pStyle w:val="SingleTxtG"/>
        <w:ind w:firstLine="567"/>
        <w:rPr>
          <w:lang w:val="fr-FR"/>
        </w:rPr>
      </w:pPr>
      <w:r w:rsidRPr="00101CD2">
        <w:rPr>
          <w:lang w:val="fr-FR"/>
        </w:rPr>
        <w:lastRenderedPageBreak/>
        <w:t>c)</w:t>
      </w:r>
      <w:r w:rsidRPr="00101CD2">
        <w:rPr>
          <w:lang w:val="fr-FR"/>
        </w:rPr>
        <w:tab/>
      </w:r>
      <w:r w:rsidR="002F5F19" w:rsidRPr="00101CD2">
        <w:rPr>
          <w:lang w:val="fr-FR"/>
        </w:rPr>
        <w:t xml:space="preserve">La loi </w:t>
      </w:r>
      <w:r w:rsidR="007947CC" w:rsidRPr="00101CD2">
        <w:rPr>
          <w:lang w:val="fr-FR"/>
        </w:rPr>
        <w:t>n</w:t>
      </w:r>
      <w:r w:rsidR="007947CC" w:rsidRPr="00EE1830">
        <w:rPr>
          <w:vertAlign w:val="superscript"/>
          <w:lang w:val="fr-FR"/>
        </w:rPr>
        <w:t>o</w:t>
      </w:r>
      <w:r w:rsidR="007947CC">
        <w:rPr>
          <w:lang w:val="fr-FR"/>
        </w:rPr>
        <w:t> </w:t>
      </w:r>
      <w:r w:rsidR="002F5F19" w:rsidRPr="00101CD2">
        <w:rPr>
          <w:lang w:val="fr-FR"/>
        </w:rPr>
        <w:t xml:space="preserve">2012-15 </w:t>
      </w:r>
      <w:r w:rsidR="00F75764" w:rsidRPr="00101CD2">
        <w:rPr>
          <w:lang w:val="fr-FR"/>
        </w:rPr>
        <w:t>du 18 mars 2013</w:t>
      </w:r>
      <w:r w:rsidR="002F5F19" w:rsidRPr="00101CD2">
        <w:rPr>
          <w:lang w:val="fr-FR"/>
        </w:rPr>
        <w:t xml:space="preserve"> portant Code de procédure pénale en République du Bénin</w:t>
      </w:r>
      <w:r w:rsidR="00F75764" w:rsidRPr="00101CD2">
        <w:rPr>
          <w:lang w:val="fr-FR"/>
        </w:rPr>
        <w:t> </w:t>
      </w:r>
      <w:r w:rsidR="002F5F19" w:rsidRPr="00101CD2">
        <w:rPr>
          <w:lang w:val="fr-FR"/>
        </w:rPr>
        <w:t>;</w:t>
      </w:r>
    </w:p>
    <w:p w14:paraId="20262A02" w14:textId="557E351D" w:rsidR="002F5F19" w:rsidRPr="00101CD2" w:rsidRDefault="00F1057E" w:rsidP="00F1057E">
      <w:pPr>
        <w:pStyle w:val="SingleTxtG"/>
        <w:ind w:firstLine="567"/>
        <w:rPr>
          <w:lang w:val="fr-FR"/>
        </w:rPr>
      </w:pPr>
      <w:r w:rsidRPr="00101CD2">
        <w:rPr>
          <w:lang w:val="fr-FR"/>
        </w:rPr>
        <w:t>d)</w:t>
      </w:r>
      <w:r w:rsidRPr="00101CD2">
        <w:rPr>
          <w:lang w:val="fr-FR"/>
        </w:rPr>
        <w:tab/>
      </w:r>
      <w:r w:rsidR="002F5F19" w:rsidRPr="00101CD2">
        <w:rPr>
          <w:lang w:val="fr-FR"/>
        </w:rPr>
        <w:t xml:space="preserve">La loi </w:t>
      </w:r>
      <w:r w:rsidR="007947CC" w:rsidRPr="00101CD2">
        <w:rPr>
          <w:lang w:val="fr-FR"/>
        </w:rPr>
        <w:t>n</w:t>
      </w:r>
      <w:r w:rsidR="007947CC" w:rsidRPr="00EE1830">
        <w:rPr>
          <w:vertAlign w:val="superscript"/>
          <w:lang w:val="fr-FR"/>
        </w:rPr>
        <w:t>o</w:t>
      </w:r>
      <w:r w:rsidR="007947CC">
        <w:rPr>
          <w:lang w:val="fr-FR"/>
        </w:rPr>
        <w:t> </w:t>
      </w:r>
      <w:r w:rsidR="002F5F19" w:rsidRPr="00101CD2">
        <w:rPr>
          <w:lang w:val="fr-FR"/>
        </w:rPr>
        <w:t xml:space="preserve">2012-36 </w:t>
      </w:r>
      <w:r w:rsidR="003D0144" w:rsidRPr="00F1057E">
        <w:rPr>
          <w:lang w:val="fr-FR"/>
        </w:rPr>
        <w:t>du 15 février </w:t>
      </w:r>
      <w:r w:rsidR="002F5F19" w:rsidRPr="00101CD2">
        <w:rPr>
          <w:lang w:val="fr-FR"/>
        </w:rPr>
        <w:t xml:space="preserve">2013 portant création de la Commission béninoise des </w:t>
      </w:r>
      <w:r w:rsidR="00F75764" w:rsidRPr="00101CD2">
        <w:rPr>
          <w:lang w:val="fr-FR"/>
        </w:rPr>
        <w:t>d</w:t>
      </w:r>
      <w:r w:rsidR="002F5F19" w:rsidRPr="00101CD2">
        <w:rPr>
          <w:lang w:val="fr-FR"/>
        </w:rPr>
        <w:t>roits de l’</w:t>
      </w:r>
      <w:r w:rsidR="00F75764" w:rsidRPr="00101CD2">
        <w:rPr>
          <w:lang w:val="fr-FR"/>
        </w:rPr>
        <w:t>h</w:t>
      </w:r>
      <w:r w:rsidR="002F5F19" w:rsidRPr="00101CD2">
        <w:rPr>
          <w:lang w:val="fr-FR"/>
        </w:rPr>
        <w:t>omme</w:t>
      </w:r>
      <w:r w:rsidR="00F75764" w:rsidRPr="00101CD2">
        <w:rPr>
          <w:lang w:val="fr-FR"/>
        </w:rPr>
        <w:t> </w:t>
      </w:r>
      <w:r w:rsidR="002F5F19" w:rsidRPr="00101CD2">
        <w:rPr>
          <w:lang w:val="fr-FR"/>
        </w:rPr>
        <w:t>;</w:t>
      </w:r>
    </w:p>
    <w:p w14:paraId="73264DE3" w14:textId="535A97CB" w:rsidR="002F5F19" w:rsidRPr="00101CD2" w:rsidRDefault="00F1057E" w:rsidP="00F1057E">
      <w:pPr>
        <w:pStyle w:val="SingleTxtG"/>
        <w:ind w:firstLine="567"/>
        <w:rPr>
          <w:lang w:val="fr-FR"/>
        </w:rPr>
      </w:pPr>
      <w:r w:rsidRPr="00101CD2">
        <w:rPr>
          <w:lang w:val="fr-FR"/>
        </w:rPr>
        <w:t>e)</w:t>
      </w:r>
      <w:r w:rsidRPr="00101CD2">
        <w:rPr>
          <w:lang w:val="fr-FR"/>
        </w:rPr>
        <w:tab/>
      </w:r>
      <w:r w:rsidR="00E4492A" w:rsidRPr="00101CD2">
        <w:rPr>
          <w:lang w:val="fr-FR"/>
        </w:rPr>
        <w:t xml:space="preserve">La loi </w:t>
      </w:r>
      <w:r w:rsidR="007947CC" w:rsidRPr="00101CD2">
        <w:rPr>
          <w:lang w:val="fr-FR"/>
        </w:rPr>
        <w:t>n</w:t>
      </w:r>
      <w:r w:rsidR="007947CC" w:rsidRPr="00EE1830">
        <w:rPr>
          <w:vertAlign w:val="superscript"/>
          <w:lang w:val="fr-FR"/>
        </w:rPr>
        <w:t>o</w:t>
      </w:r>
      <w:r w:rsidR="007947CC">
        <w:rPr>
          <w:lang w:val="fr-FR"/>
        </w:rPr>
        <w:t> </w:t>
      </w:r>
      <w:r w:rsidR="00E4492A" w:rsidRPr="00101CD2">
        <w:rPr>
          <w:lang w:val="fr-FR"/>
        </w:rPr>
        <w:t>2003</w:t>
      </w:r>
      <w:r w:rsidR="002F5F19" w:rsidRPr="00101CD2">
        <w:rPr>
          <w:lang w:val="fr-FR"/>
        </w:rPr>
        <w:t xml:space="preserve">-03 </w:t>
      </w:r>
      <w:r w:rsidR="003D0144" w:rsidRPr="00F1057E">
        <w:rPr>
          <w:lang w:val="fr-FR"/>
        </w:rPr>
        <w:t>du 3 mars </w:t>
      </w:r>
      <w:r w:rsidR="00B37887" w:rsidRPr="00101CD2">
        <w:rPr>
          <w:lang w:val="fr-FR"/>
        </w:rPr>
        <w:t xml:space="preserve">2003 </w:t>
      </w:r>
      <w:r w:rsidR="002F5F19" w:rsidRPr="00101CD2">
        <w:rPr>
          <w:lang w:val="fr-FR"/>
        </w:rPr>
        <w:t>portant répression de la pratique des mutilations génitales féminines en République du Bénin</w:t>
      </w:r>
      <w:r w:rsidR="00585FD4" w:rsidRPr="00101CD2">
        <w:rPr>
          <w:lang w:val="fr-FR"/>
        </w:rPr>
        <w:t> </w:t>
      </w:r>
      <w:r w:rsidR="002F5F19" w:rsidRPr="00101CD2">
        <w:rPr>
          <w:lang w:val="fr-FR"/>
        </w:rPr>
        <w:t>;</w:t>
      </w:r>
    </w:p>
    <w:p w14:paraId="1F870264" w14:textId="2A95E40D" w:rsidR="002F5F19" w:rsidRPr="00101CD2" w:rsidRDefault="00F1057E" w:rsidP="00F1057E">
      <w:pPr>
        <w:pStyle w:val="SingleTxtG"/>
        <w:ind w:firstLine="567"/>
        <w:rPr>
          <w:lang w:val="fr-FR"/>
        </w:rPr>
      </w:pPr>
      <w:r w:rsidRPr="00101CD2">
        <w:rPr>
          <w:lang w:val="fr-FR"/>
        </w:rPr>
        <w:t>f)</w:t>
      </w:r>
      <w:r w:rsidRPr="00101CD2">
        <w:rPr>
          <w:lang w:val="fr-FR"/>
        </w:rPr>
        <w:tab/>
      </w:r>
      <w:r w:rsidR="00B37887" w:rsidRPr="00101CD2">
        <w:rPr>
          <w:lang w:val="fr-FR"/>
        </w:rPr>
        <w:t xml:space="preserve">La loi </w:t>
      </w:r>
      <w:r w:rsidR="007947CC" w:rsidRPr="00101CD2">
        <w:rPr>
          <w:lang w:val="fr-FR"/>
        </w:rPr>
        <w:t>n</w:t>
      </w:r>
      <w:r w:rsidR="007947CC" w:rsidRPr="00EE1830">
        <w:rPr>
          <w:vertAlign w:val="superscript"/>
          <w:lang w:val="fr-FR"/>
        </w:rPr>
        <w:t>o</w:t>
      </w:r>
      <w:r w:rsidR="007947CC">
        <w:rPr>
          <w:lang w:val="fr-FR"/>
        </w:rPr>
        <w:t> </w:t>
      </w:r>
      <w:r w:rsidR="00B37887" w:rsidRPr="00101CD2">
        <w:rPr>
          <w:lang w:val="fr-FR"/>
        </w:rPr>
        <w:t>2015-08</w:t>
      </w:r>
      <w:r w:rsidR="002F5F19" w:rsidRPr="00101CD2">
        <w:rPr>
          <w:lang w:val="fr-FR"/>
        </w:rPr>
        <w:t xml:space="preserve"> </w:t>
      </w:r>
      <w:r w:rsidR="00F75764" w:rsidRPr="00101CD2">
        <w:rPr>
          <w:lang w:val="fr-FR"/>
        </w:rPr>
        <w:t>du 8 décembre </w:t>
      </w:r>
      <w:r w:rsidR="002F5F19" w:rsidRPr="00101CD2">
        <w:rPr>
          <w:lang w:val="fr-FR"/>
        </w:rPr>
        <w:t>2015 portant Code de l’enfant en République du Bénin</w:t>
      </w:r>
      <w:r w:rsidR="00F75764" w:rsidRPr="00101CD2">
        <w:rPr>
          <w:lang w:val="fr-FR"/>
        </w:rPr>
        <w:t> </w:t>
      </w:r>
      <w:r w:rsidR="002F5F19" w:rsidRPr="00101CD2">
        <w:rPr>
          <w:lang w:val="fr-FR"/>
        </w:rPr>
        <w:t>;</w:t>
      </w:r>
    </w:p>
    <w:p w14:paraId="197372CC" w14:textId="0E1DDC37" w:rsidR="002F5F19" w:rsidRPr="00101CD2" w:rsidRDefault="00F1057E" w:rsidP="00F1057E">
      <w:pPr>
        <w:pStyle w:val="SingleTxtG"/>
        <w:ind w:firstLine="567"/>
        <w:rPr>
          <w:lang w:val="fr-FR"/>
        </w:rPr>
      </w:pPr>
      <w:r w:rsidRPr="00101CD2">
        <w:rPr>
          <w:lang w:val="fr-FR"/>
        </w:rPr>
        <w:t>g)</w:t>
      </w:r>
      <w:r w:rsidRPr="00101CD2">
        <w:rPr>
          <w:lang w:val="fr-FR"/>
        </w:rPr>
        <w:tab/>
      </w:r>
      <w:r w:rsidR="002F5F19" w:rsidRPr="00101CD2">
        <w:rPr>
          <w:lang w:val="fr-FR"/>
        </w:rPr>
        <w:t xml:space="preserve">La loi </w:t>
      </w:r>
      <w:r w:rsidR="007947CC" w:rsidRPr="00101CD2">
        <w:rPr>
          <w:lang w:val="fr-FR"/>
        </w:rPr>
        <w:t>n</w:t>
      </w:r>
      <w:r w:rsidR="007947CC" w:rsidRPr="00EE1830">
        <w:rPr>
          <w:vertAlign w:val="superscript"/>
          <w:lang w:val="fr-FR"/>
        </w:rPr>
        <w:t>o</w:t>
      </w:r>
      <w:r w:rsidR="007947CC">
        <w:rPr>
          <w:lang w:val="fr-FR"/>
        </w:rPr>
        <w:t> </w:t>
      </w:r>
      <w:r w:rsidR="002F5F19" w:rsidRPr="00101CD2">
        <w:rPr>
          <w:lang w:val="fr-FR"/>
        </w:rPr>
        <w:t xml:space="preserve">2016-12 </w:t>
      </w:r>
      <w:r w:rsidR="00F553CA" w:rsidRPr="00F1057E">
        <w:rPr>
          <w:lang w:val="fr-FR"/>
        </w:rPr>
        <w:t>du 16 juin </w:t>
      </w:r>
      <w:r w:rsidR="002F5F19" w:rsidRPr="00101CD2">
        <w:rPr>
          <w:lang w:val="fr-FR"/>
        </w:rPr>
        <w:t>2016 portant travail d’intérêt général en République du Bénin</w:t>
      </w:r>
      <w:r w:rsidR="006E2B31" w:rsidRPr="00101CD2">
        <w:rPr>
          <w:lang w:val="fr-FR"/>
        </w:rPr>
        <w:t> </w:t>
      </w:r>
      <w:r w:rsidR="002F5F19" w:rsidRPr="00101CD2">
        <w:rPr>
          <w:lang w:val="fr-FR"/>
        </w:rPr>
        <w:t>;</w:t>
      </w:r>
    </w:p>
    <w:p w14:paraId="7D07C5FC" w14:textId="79C4CDF3" w:rsidR="002F5F19" w:rsidRPr="00101CD2" w:rsidRDefault="00F1057E" w:rsidP="00F1057E">
      <w:pPr>
        <w:pStyle w:val="SingleTxtG"/>
        <w:ind w:firstLine="567"/>
        <w:rPr>
          <w:lang w:val="fr-FR"/>
        </w:rPr>
      </w:pPr>
      <w:r w:rsidRPr="00101CD2">
        <w:rPr>
          <w:lang w:val="fr-FR"/>
        </w:rPr>
        <w:t>h)</w:t>
      </w:r>
      <w:r w:rsidRPr="00101CD2">
        <w:rPr>
          <w:lang w:val="fr-FR"/>
        </w:rPr>
        <w:tab/>
      </w:r>
      <w:r w:rsidR="002F5F19" w:rsidRPr="00101CD2">
        <w:rPr>
          <w:lang w:val="fr-FR"/>
        </w:rPr>
        <w:t xml:space="preserve">La loi </w:t>
      </w:r>
      <w:r w:rsidR="007947CC" w:rsidRPr="00101CD2">
        <w:rPr>
          <w:lang w:val="fr-FR"/>
        </w:rPr>
        <w:t>n</w:t>
      </w:r>
      <w:r w:rsidR="007947CC" w:rsidRPr="00EE1830">
        <w:rPr>
          <w:vertAlign w:val="superscript"/>
          <w:lang w:val="fr-FR"/>
        </w:rPr>
        <w:t>o</w:t>
      </w:r>
      <w:r w:rsidR="007947CC">
        <w:rPr>
          <w:lang w:val="fr-FR"/>
        </w:rPr>
        <w:t> </w:t>
      </w:r>
      <w:r w:rsidR="002F5F19" w:rsidRPr="00101CD2">
        <w:rPr>
          <w:lang w:val="fr-FR"/>
        </w:rPr>
        <w:t xml:space="preserve">2018-16 </w:t>
      </w:r>
      <w:r w:rsidR="00F553CA" w:rsidRPr="00F1057E">
        <w:rPr>
          <w:lang w:val="fr-FR"/>
        </w:rPr>
        <w:t>du 4 juin </w:t>
      </w:r>
      <w:r w:rsidR="002F5F19" w:rsidRPr="00101CD2">
        <w:rPr>
          <w:lang w:val="fr-FR"/>
        </w:rPr>
        <w:t>2018 portant Code pénal</w:t>
      </w:r>
      <w:r w:rsidR="00585FD4" w:rsidRPr="00101CD2">
        <w:rPr>
          <w:lang w:val="fr-FR"/>
        </w:rPr>
        <w:t> </w:t>
      </w:r>
      <w:r w:rsidR="002F5F19" w:rsidRPr="00101CD2">
        <w:rPr>
          <w:lang w:val="fr-FR"/>
        </w:rPr>
        <w:t>;</w:t>
      </w:r>
    </w:p>
    <w:p w14:paraId="2E43587F" w14:textId="0E3DF3F6" w:rsidR="002F5F19" w:rsidRPr="00101CD2" w:rsidRDefault="00F1057E" w:rsidP="00F1057E">
      <w:pPr>
        <w:pStyle w:val="SingleTxtG"/>
        <w:ind w:firstLine="567"/>
        <w:rPr>
          <w:lang w:val="fr-FR"/>
        </w:rPr>
      </w:pPr>
      <w:r w:rsidRPr="00101CD2">
        <w:rPr>
          <w:lang w:val="fr-FR"/>
        </w:rPr>
        <w:t>i)</w:t>
      </w:r>
      <w:r w:rsidRPr="00101CD2">
        <w:rPr>
          <w:lang w:val="fr-FR"/>
        </w:rPr>
        <w:tab/>
      </w:r>
      <w:r w:rsidR="002F5F19" w:rsidRPr="00101CD2">
        <w:rPr>
          <w:lang w:val="fr-FR"/>
        </w:rPr>
        <w:t xml:space="preserve">Le </w:t>
      </w:r>
      <w:r w:rsidR="006E2B31" w:rsidRPr="00101CD2">
        <w:rPr>
          <w:lang w:val="fr-FR"/>
        </w:rPr>
        <w:t>d</w:t>
      </w:r>
      <w:r w:rsidR="002F5F19" w:rsidRPr="00101CD2">
        <w:rPr>
          <w:lang w:val="fr-FR"/>
        </w:rPr>
        <w:t xml:space="preserve">écret </w:t>
      </w:r>
      <w:r w:rsidR="007947CC" w:rsidRPr="00101CD2">
        <w:rPr>
          <w:lang w:val="fr-FR"/>
        </w:rPr>
        <w:t>n</w:t>
      </w:r>
      <w:r w:rsidR="007947CC" w:rsidRPr="00EE1830">
        <w:rPr>
          <w:vertAlign w:val="superscript"/>
          <w:lang w:val="fr-FR"/>
        </w:rPr>
        <w:t>o</w:t>
      </w:r>
      <w:r w:rsidR="007947CC">
        <w:rPr>
          <w:lang w:val="fr-FR"/>
        </w:rPr>
        <w:t> </w:t>
      </w:r>
      <w:r w:rsidR="002F5F19" w:rsidRPr="00101CD2">
        <w:rPr>
          <w:lang w:val="fr-FR"/>
        </w:rPr>
        <w:t xml:space="preserve">2018-043 </w:t>
      </w:r>
      <w:r w:rsidR="00585FD4" w:rsidRPr="00101CD2">
        <w:rPr>
          <w:lang w:val="fr-FR"/>
        </w:rPr>
        <w:t>du 15 février </w:t>
      </w:r>
      <w:r w:rsidR="002F5F19" w:rsidRPr="00101CD2">
        <w:rPr>
          <w:lang w:val="fr-FR"/>
        </w:rPr>
        <w:t xml:space="preserve">2018 portant commutation de peine de mort en peine de </w:t>
      </w:r>
      <w:r w:rsidR="006E2B31" w:rsidRPr="00101CD2">
        <w:rPr>
          <w:lang w:val="fr-FR"/>
        </w:rPr>
        <w:t>réclusion criminelle</w:t>
      </w:r>
      <w:r w:rsidR="002F5F19" w:rsidRPr="00101CD2">
        <w:rPr>
          <w:lang w:val="fr-FR"/>
        </w:rPr>
        <w:t xml:space="preserve"> à perpétuité.</w:t>
      </w:r>
    </w:p>
    <w:p w14:paraId="68A6D507" w14:textId="77777777" w:rsidR="00DA74C9" w:rsidRDefault="00DA74C9" w:rsidP="00DA74C9">
      <w:pPr>
        <w:pStyle w:val="H1G"/>
        <w:rPr>
          <w:lang w:val="fr-FR"/>
        </w:rPr>
      </w:pPr>
      <w:r>
        <w:rPr>
          <w:lang w:val="fr-FR"/>
        </w:rPr>
        <w:tab/>
        <w:t>C.</w:t>
      </w:r>
      <w:r>
        <w:rPr>
          <w:lang w:val="fr-FR"/>
        </w:rPr>
        <w:tab/>
      </w:r>
      <w:r w:rsidRPr="00DA74C9">
        <w:rPr>
          <w:lang w:val="fr-FR"/>
        </w:rPr>
        <w:t xml:space="preserve">Principaux sujets de préoccupation et recommandations </w:t>
      </w:r>
    </w:p>
    <w:p w14:paraId="63476607" w14:textId="296E2C33" w:rsidR="00DA74C9" w:rsidRDefault="00DA74C9" w:rsidP="00DA74C9">
      <w:pPr>
        <w:pStyle w:val="H23G"/>
        <w:rPr>
          <w:lang w:val="fr-FR"/>
        </w:rPr>
      </w:pPr>
      <w:r>
        <w:rPr>
          <w:lang w:val="fr-FR"/>
        </w:rPr>
        <w:tab/>
      </w:r>
      <w:r>
        <w:rPr>
          <w:lang w:val="fr-FR"/>
        </w:rPr>
        <w:tab/>
      </w:r>
      <w:r w:rsidRPr="00DA74C9">
        <w:rPr>
          <w:lang w:val="fr-FR"/>
        </w:rPr>
        <w:t xml:space="preserve">Questions soulevées lors du précédent cycle de présentation de rapports </w:t>
      </w:r>
      <w:r w:rsidR="007947CC">
        <w:rPr>
          <w:lang w:val="fr-FR"/>
        </w:rPr>
        <w:br/>
      </w:r>
      <w:r w:rsidRPr="00DA74C9">
        <w:rPr>
          <w:lang w:val="fr-FR"/>
        </w:rPr>
        <w:t>appelant un suivi</w:t>
      </w:r>
      <w:r>
        <w:rPr>
          <w:lang w:val="fr-FR"/>
        </w:rPr>
        <w:t xml:space="preserve"> </w:t>
      </w:r>
    </w:p>
    <w:p w14:paraId="4521F761" w14:textId="2782AEC5" w:rsidR="00DA74C9" w:rsidRDefault="00DA74C9" w:rsidP="00FD104C">
      <w:pPr>
        <w:pStyle w:val="SingleTxtG"/>
        <w:rPr>
          <w:lang w:val="fr-FR"/>
        </w:rPr>
      </w:pPr>
      <w:r w:rsidRPr="00101CD2">
        <w:rPr>
          <w:lang w:val="fr-FR"/>
        </w:rPr>
        <w:t>5.</w:t>
      </w:r>
      <w:r w:rsidRPr="00101CD2">
        <w:rPr>
          <w:lang w:val="fr-FR"/>
        </w:rPr>
        <w:tab/>
        <w:t>Nonobstant les informations tardives reçues en réponse à la liste de points, le Comité regrette que l’État partie n’ait pas fourni, dans le cadre de la procédure de suivi, les informations sollicitées dans ses observations finales précédentes (CAT/C/BEN/CO</w:t>
      </w:r>
      <w:r w:rsidR="00244EF9">
        <w:rPr>
          <w:lang w:val="fr-FR"/>
        </w:rPr>
        <w:t>/2, par. </w:t>
      </w:r>
      <w:r w:rsidRPr="00101CD2">
        <w:rPr>
          <w:lang w:val="fr-FR"/>
        </w:rPr>
        <w:t xml:space="preserve">33), sur : </w:t>
      </w:r>
      <w:r w:rsidR="00FD104C" w:rsidRPr="00101CD2">
        <w:rPr>
          <w:lang w:val="fr-FR"/>
        </w:rPr>
        <w:t xml:space="preserve">a) </w:t>
      </w:r>
      <w:r w:rsidRPr="00101CD2">
        <w:rPr>
          <w:lang w:val="fr-FR"/>
        </w:rPr>
        <w:t>les révisions nécessaires au</w:t>
      </w:r>
      <w:r w:rsidR="00FD104C" w:rsidRPr="00101CD2">
        <w:rPr>
          <w:lang w:val="fr-FR"/>
        </w:rPr>
        <w:t>x</w:t>
      </w:r>
      <w:r w:rsidRPr="00101CD2">
        <w:rPr>
          <w:lang w:val="fr-FR"/>
        </w:rPr>
        <w:t xml:space="preserve"> projet</w:t>
      </w:r>
      <w:r w:rsidR="00FD104C" w:rsidRPr="00101CD2">
        <w:rPr>
          <w:lang w:val="fr-FR"/>
        </w:rPr>
        <w:t>s</w:t>
      </w:r>
      <w:r w:rsidRPr="00101CD2">
        <w:rPr>
          <w:lang w:val="fr-FR"/>
        </w:rPr>
        <w:t xml:space="preserve"> de Code pénal et de Code de procédure pénale</w:t>
      </w:r>
      <w:r w:rsidR="00FD104C" w:rsidRPr="00101CD2">
        <w:rPr>
          <w:lang w:val="fr-FR"/>
        </w:rPr>
        <w:t>,</w:t>
      </w:r>
      <w:r w:rsidRPr="00101CD2">
        <w:rPr>
          <w:lang w:val="fr-FR"/>
        </w:rPr>
        <w:t xml:space="preserve"> aujourd’hui adoptés ; </w:t>
      </w:r>
      <w:r w:rsidR="00FD104C" w:rsidRPr="00101CD2">
        <w:rPr>
          <w:lang w:val="fr-FR"/>
        </w:rPr>
        <w:t xml:space="preserve">b) </w:t>
      </w:r>
      <w:r w:rsidRPr="00101CD2">
        <w:rPr>
          <w:lang w:val="fr-FR"/>
        </w:rPr>
        <w:t xml:space="preserve">l’adoption d’un cadre législatif </w:t>
      </w:r>
      <w:r w:rsidR="00FD104C" w:rsidRPr="00101CD2">
        <w:rPr>
          <w:lang w:val="fr-FR"/>
        </w:rPr>
        <w:t>réglementant</w:t>
      </w:r>
      <w:r w:rsidRPr="00101CD2">
        <w:rPr>
          <w:lang w:val="fr-FR"/>
        </w:rPr>
        <w:t xml:space="preserve"> l’expulsion, le refoulement et l’extradition</w:t>
      </w:r>
      <w:r w:rsidR="00FD104C" w:rsidRPr="00101CD2">
        <w:rPr>
          <w:lang w:val="fr-FR"/>
        </w:rPr>
        <w:t> </w:t>
      </w:r>
      <w:r w:rsidRPr="00101CD2">
        <w:rPr>
          <w:lang w:val="fr-FR"/>
        </w:rPr>
        <w:t xml:space="preserve">; </w:t>
      </w:r>
      <w:r w:rsidR="00FD104C" w:rsidRPr="00101CD2">
        <w:rPr>
          <w:lang w:val="fr-FR"/>
        </w:rPr>
        <w:t xml:space="preserve">c) </w:t>
      </w:r>
      <w:r w:rsidRPr="00101CD2">
        <w:rPr>
          <w:lang w:val="fr-FR"/>
        </w:rPr>
        <w:t xml:space="preserve">les garanties fondamentales ; </w:t>
      </w:r>
      <w:r w:rsidR="00FD104C" w:rsidRPr="00101CD2">
        <w:rPr>
          <w:lang w:val="fr-FR"/>
        </w:rPr>
        <w:t xml:space="preserve">d) </w:t>
      </w:r>
      <w:r w:rsidRPr="00101CD2">
        <w:rPr>
          <w:lang w:val="fr-FR"/>
        </w:rPr>
        <w:t xml:space="preserve">l’administration de la justice ; </w:t>
      </w:r>
      <w:r w:rsidR="00FD104C" w:rsidRPr="00101CD2">
        <w:rPr>
          <w:lang w:val="fr-FR"/>
        </w:rPr>
        <w:t xml:space="preserve">e) </w:t>
      </w:r>
      <w:r w:rsidRPr="00101CD2">
        <w:rPr>
          <w:lang w:val="fr-FR"/>
        </w:rPr>
        <w:t xml:space="preserve">l’âge de responsabilité </w:t>
      </w:r>
      <w:r w:rsidR="00FD104C" w:rsidRPr="00101CD2">
        <w:rPr>
          <w:lang w:val="fr-FR"/>
        </w:rPr>
        <w:t>pénale</w:t>
      </w:r>
      <w:r w:rsidRPr="00101CD2">
        <w:rPr>
          <w:lang w:val="fr-FR"/>
        </w:rPr>
        <w:t xml:space="preserve"> des mineurs ; </w:t>
      </w:r>
      <w:r w:rsidR="00FD104C" w:rsidRPr="00101CD2">
        <w:rPr>
          <w:lang w:val="fr-FR"/>
        </w:rPr>
        <w:t xml:space="preserve">f) </w:t>
      </w:r>
      <w:r w:rsidRPr="00101CD2">
        <w:rPr>
          <w:lang w:val="fr-FR"/>
        </w:rPr>
        <w:t xml:space="preserve">la compétence universelle ; </w:t>
      </w:r>
      <w:r w:rsidR="00FD104C" w:rsidRPr="00101CD2">
        <w:rPr>
          <w:lang w:val="fr-FR"/>
        </w:rPr>
        <w:t xml:space="preserve">g) </w:t>
      </w:r>
      <w:r w:rsidRPr="00101CD2">
        <w:rPr>
          <w:lang w:val="fr-FR"/>
        </w:rPr>
        <w:t xml:space="preserve">la surveillance des lieux de détention ; et </w:t>
      </w:r>
      <w:r w:rsidR="00FD104C" w:rsidRPr="00101CD2">
        <w:rPr>
          <w:lang w:val="fr-FR"/>
        </w:rPr>
        <w:t xml:space="preserve">h) </w:t>
      </w:r>
      <w:r w:rsidRPr="00101CD2">
        <w:rPr>
          <w:lang w:val="fr-FR"/>
        </w:rPr>
        <w:t>les conditions de détention. Ces sujets sont couverts dans les présentes observations finales, aux paragraphes 7, 9, 11, 13, 15, 17, 19, 23 et 25 ci-dessous.</w:t>
      </w:r>
    </w:p>
    <w:p w14:paraId="431C201A" w14:textId="77777777" w:rsidR="00DA74C9" w:rsidRDefault="00DA74C9" w:rsidP="00DA74C9">
      <w:pPr>
        <w:pStyle w:val="H23G"/>
        <w:rPr>
          <w:lang w:val="fr-FR"/>
        </w:rPr>
      </w:pPr>
      <w:r>
        <w:rPr>
          <w:lang w:val="fr-FR"/>
        </w:rPr>
        <w:tab/>
      </w:r>
      <w:r>
        <w:rPr>
          <w:lang w:val="fr-FR"/>
        </w:rPr>
        <w:tab/>
      </w:r>
      <w:r w:rsidRPr="00DA74C9">
        <w:rPr>
          <w:lang w:val="fr-FR"/>
        </w:rPr>
        <w:t>Définition de la torture</w:t>
      </w:r>
    </w:p>
    <w:p w14:paraId="29085373" w14:textId="06C371DE" w:rsidR="00DA74C9" w:rsidRDefault="00DA74C9" w:rsidP="00C90791">
      <w:pPr>
        <w:pStyle w:val="SingleTxtG"/>
        <w:rPr>
          <w:lang w:val="fr-FR"/>
        </w:rPr>
      </w:pPr>
      <w:r w:rsidRPr="00101CD2">
        <w:rPr>
          <w:lang w:val="fr-FR"/>
        </w:rPr>
        <w:t>6.</w:t>
      </w:r>
      <w:r w:rsidRPr="00101CD2">
        <w:rPr>
          <w:lang w:val="fr-FR"/>
        </w:rPr>
        <w:tab/>
        <w:t xml:space="preserve">Eu égard </w:t>
      </w:r>
      <w:r w:rsidR="009B6A1D" w:rsidRPr="00101CD2">
        <w:rPr>
          <w:lang w:val="fr-FR"/>
        </w:rPr>
        <w:t>aux</w:t>
      </w:r>
      <w:r w:rsidRPr="00101CD2">
        <w:rPr>
          <w:lang w:val="fr-FR"/>
        </w:rPr>
        <w:t xml:space="preserve"> recommandation</w:t>
      </w:r>
      <w:r w:rsidR="009B6A1D" w:rsidRPr="00101CD2">
        <w:rPr>
          <w:lang w:val="fr-FR"/>
        </w:rPr>
        <w:t>s de ses précédentes observations finales</w:t>
      </w:r>
      <w:r w:rsidRPr="00101CD2">
        <w:rPr>
          <w:lang w:val="fr-FR"/>
        </w:rPr>
        <w:t xml:space="preserve"> (par. 7), le</w:t>
      </w:r>
      <w:r w:rsidRPr="00DA74C9">
        <w:rPr>
          <w:lang w:val="fr-FR"/>
        </w:rPr>
        <w:t xml:space="preserve"> Comité salue l’adoption par l’État partie </w:t>
      </w:r>
      <w:r w:rsidR="00D862E4">
        <w:rPr>
          <w:lang w:val="fr-FR"/>
        </w:rPr>
        <w:t>de la loi n</w:t>
      </w:r>
      <w:r w:rsidR="00D862E4" w:rsidRPr="00F1057E">
        <w:rPr>
          <w:vertAlign w:val="superscript"/>
          <w:lang w:val="fr-FR"/>
        </w:rPr>
        <w:t>o</w:t>
      </w:r>
      <w:r w:rsidR="00D862E4">
        <w:rPr>
          <w:lang w:val="fr-FR"/>
        </w:rPr>
        <w:t> 2018-16 portant</w:t>
      </w:r>
      <w:r w:rsidRPr="00DA74C9">
        <w:rPr>
          <w:lang w:val="fr-FR"/>
        </w:rPr>
        <w:t xml:space="preserve"> </w:t>
      </w:r>
      <w:r w:rsidRPr="003F4FEC">
        <w:rPr>
          <w:lang w:val="fr-FR"/>
        </w:rPr>
        <w:t>Code</w:t>
      </w:r>
      <w:r w:rsidRPr="00DA74C9">
        <w:rPr>
          <w:lang w:val="fr-FR"/>
        </w:rPr>
        <w:t xml:space="preserve"> pénal, dont l’article 523 définit et incrimine la torture de manière autonome, alors que l’article 465 envisage ce crime sous le prisme du droit international humanitaire.</w:t>
      </w:r>
      <w:r>
        <w:rPr>
          <w:lang w:val="fr-FR"/>
        </w:rPr>
        <w:t xml:space="preserve"> </w:t>
      </w:r>
      <w:r w:rsidRPr="00DA74C9">
        <w:rPr>
          <w:lang w:val="fr-FR"/>
        </w:rPr>
        <w:t>Le Comité relève toutefois un certain nombre de lacunes dans ces dispositions, qui : a) ne retiennent pas l’hypothèse où un tel acte serait commis à l’instigation, ou avec le consentement exprès ou tacite d’un agent de la fonction publique, ou autre agent officiel ; b) ne retiennent pas la complicité ou la tentative de commettre des actes de torture ; c) ne prévoient pas la responsabilité pénale des supérieurs hiérarchiques lorsqu’ils ont connaissance d’actes de torture ou de mauvais traitements commis par leurs subordonnés ; d) ne prévoient pas l’exclusion des actes de torture du champ des amnisties et de la prescription</w:t>
      </w:r>
      <w:r w:rsidR="00BD7307">
        <w:rPr>
          <w:lang w:val="fr-FR"/>
        </w:rPr>
        <w:t> </w:t>
      </w:r>
      <w:r w:rsidRPr="00DA74C9">
        <w:rPr>
          <w:lang w:val="fr-FR"/>
        </w:rPr>
        <w:t xml:space="preserve">; e) omettent de spécifier qu’aucune circonstance exceptionnelle n’est à même de justifier la torture ; et </w:t>
      </w:r>
      <w:r w:rsidR="00244EF9">
        <w:rPr>
          <w:lang w:val="fr-FR"/>
        </w:rPr>
        <w:t>f) </w:t>
      </w:r>
      <w:r w:rsidRPr="00DA74C9">
        <w:rPr>
          <w:lang w:val="fr-FR"/>
        </w:rPr>
        <w:t>prévoient</w:t>
      </w:r>
      <w:r w:rsidR="00BD7307">
        <w:rPr>
          <w:lang w:val="fr-FR"/>
        </w:rPr>
        <w:t>,</w:t>
      </w:r>
      <w:r w:rsidRPr="00DA74C9">
        <w:rPr>
          <w:lang w:val="fr-FR"/>
        </w:rPr>
        <w:t xml:space="preserve"> aux articles </w:t>
      </w:r>
      <w:r w:rsidR="000B05DB">
        <w:rPr>
          <w:lang w:val="fr-FR"/>
        </w:rPr>
        <w:t>541 à </w:t>
      </w:r>
      <w:r w:rsidRPr="00DA74C9">
        <w:rPr>
          <w:lang w:val="fr-FR"/>
        </w:rPr>
        <w:t>543</w:t>
      </w:r>
      <w:r w:rsidR="00BD7307">
        <w:rPr>
          <w:lang w:val="fr-FR"/>
        </w:rPr>
        <w:t>,</w:t>
      </w:r>
      <w:r w:rsidRPr="00DA74C9">
        <w:rPr>
          <w:lang w:val="fr-FR"/>
        </w:rPr>
        <w:t xml:space="preserve"> des exceptions relatives aux homicides, </w:t>
      </w:r>
      <w:r w:rsidR="000B05DB">
        <w:rPr>
          <w:lang w:val="fr-FR"/>
        </w:rPr>
        <w:t xml:space="preserve">aux </w:t>
      </w:r>
      <w:r w:rsidRPr="00DA74C9">
        <w:rPr>
          <w:lang w:val="fr-FR"/>
        </w:rPr>
        <w:t xml:space="preserve">blessures et </w:t>
      </w:r>
      <w:r w:rsidR="000B05DB">
        <w:rPr>
          <w:lang w:val="fr-FR"/>
        </w:rPr>
        <w:t xml:space="preserve">aux </w:t>
      </w:r>
      <w:r w:rsidRPr="00DA74C9">
        <w:rPr>
          <w:lang w:val="fr-FR"/>
        </w:rPr>
        <w:t>coups ordonnés par la loi et commandés par une autorité légitime, ou portés en légitime défense, sans exclure les actes de torture du champ de ces exceptions.</w:t>
      </w:r>
      <w:r>
        <w:rPr>
          <w:lang w:val="fr-FR"/>
        </w:rPr>
        <w:t xml:space="preserve"> </w:t>
      </w:r>
      <w:r w:rsidRPr="00DA74C9">
        <w:rPr>
          <w:lang w:val="fr-FR"/>
        </w:rPr>
        <w:t xml:space="preserve">Enfin, le Comité est </w:t>
      </w:r>
      <w:r w:rsidRPr="00101CD2">
        <w:rPr>
          <w:lang w:val="fr-FR"/>
        </w:rPr>
        <w:t xml:space="preserve">préoccupé </w:t>
      </w:r>
      <w:r w:rsidR="00C90791" w:rsidRPr="00101CD2">
        <w:rPr>
          <w:lang w:val="fr-FR"/>
        </w:rPr>
        <w:t>par les</w:t>
      </w:r>
      <w:r w:rsidRPr="00101CD2">
        <w:rPr>
          <w:lang w:val="fr-FR"/>
        </w:rPr>
        <w:t xml:space="preserve"> faibles peines réprimant le crime de torture (art. 1</w:t>
      </w:r>
      <w:r w:rsidR="000B05DB" w:rsidRPr="00F1057E">
        <w:rPr>
          <w:vertAlign w:val="superscript"/>
          <w:lang w:val="fr-FR"/>
        </w:rPr>
        <w:t>er</w:t>
      </w:r>
      <w:r w:rsidRPr="00101CD2">
        <w:rPr>
          <w:lang w:val="fr-FR"/>
        </w:rPr>
        <w:t>, 2 et 4).</w:t>
      </w:r>
      <w:r w:rsidRPr="00DA74C9">
        <w:rPr>
          <w:lang w:val="fr-FR"/>
        </w:rPr>
        <w:t xml:space="preserve"> </w:t>
      </w:r>
    </w:p>
    <w:p w14:paraId="3F7619A0" w14:textId="23E0A8FF" w:rsidR="00F52CA2" w:rsidRPr="004D7C08" w:rsidRDefault="00DA74C9" w:rsidP="00101CD2">
      <w:pPr>
        <w:pStyle w:val="SingleTxtG"/>
        <w:rPr>
          <w:lang w:val="fr-FR"/>
        </w:rPr>
      </w:pPr>
      <w:r>
        <w:rPr>
          <w:bCs/>
          <w:lang w:val="fr-FR"/>
        </w:rPr>
        <w:t>7.</w:t>
      </w:r>
      <w:r>
        <w:rPr>
          <w:bCs/>
          <w:lang w:val="fr-FR"/>
        </w:rPr>
        <w:tab/>
      </w:r>
      <w:r w:rsidRPr="00DA74C9">
        <w:rPr>
          <w:b/>
          <w:bCs/>
          <w:lang w:val="fr-FR"/>
        </w:rPr>
        <w:t>Saluant la volonté de l’</w:t>
      </w:r>
      <w:r w:rsidR="000B05DB">
        <w:rPr>
          <w:b/>
          <w:bCs/>
          <w:lang w:val="fr-FR"/>
        </w:rPr>
        <w:t>É</w:t>
      </w:r>
      <w:r w:rsidRPr="00DA74C9">
        <w:rPr>
          <w:b/>
          <w:bCs/>
          <w:lang w:val="fr-FR"/>
        </w:rPr>
        <w:t xml:space="preserve">tat partie de remédier aux lacunes susmentionnées, le Comité invite ce dernier </w:t>
      </w:r>
      <w:r w:rsidRPr="00DA74C9">
        <w:rPr>
          <w:b/>
          <w:lang w:val="fr-FR"/>
        </w:rPr>
        <w:t xml:space="preserve">à amender son Code pénal, afin de rendre l’incrimination de </w:t>
      </w:r>
      <w:r w:rsidRPr="00101CD2">
        <w:rPr>
          <w:b/>
          <w:lang w:val="fr-FR"/>
        </w:rPr>
        <w:t xml:space="preserve">la torture conforme aux articles </w:t>
      </w:r>
      <w:r w:rsidR="000B05DB" w:rsidRPr="00101CD2">
        <w:rPr>
          <w:b/>
          <w:lang w:val="fr-FR"/>
        </w:rPr>
        <w:t>1</w:t>
      </w:r>
      <w:r w:rsidR="000B05DB" w:rsidRPr="00F1057E">
        <w:rPr>
          <w:b/>
          <w:vertAlign w:val="superscript"/>
          <w:lang w:val="fr-FR"/>
        </w:rPr>
        <w:t>er</w:t>
      </w:r>
      <w:r w:rsidRPr="00101CD2">
        <w:rPr>
          <w:b/>
          <w:lang w:val="fr-FR"/>
        </w:rPr>
        <w:t xml:space="preserve">, 2 et 4 de la Convention. Il devrait également rendre le crime de torture imprescriptible, non sujet à l’amnistie et passible de peines appropriées qui prennent en considération </w:t>
      </w:r>
      <w:r w:rsidR="00056FA5" w:rsidRPr="00101CD2">
        <w:rPr>
          <w:b/>
          <w:lang w:val="fr-FR"/>
        </w:rPr>
        <w:t>sa</w:t>
      </w:r>
      <w:r w:rsidRPr="00101CD2">
        <w:rPr>
          <w:b/>
          <w:lang w:val="fr-FR"/>
        </w:rPr>
        <w:t xml:space="preserve"> gravité, conformément au paragraphe 2 de l’article 4 de la Convention.</w:t>
      </w:r>
    </w:p>
    <w:p w14:paraId="30C1E777" w14:textId="6FDF78D8" w:rsidR="00F52CA2" w:rsidRPr="00141EF1" w:rsidRDefault="004D7C08" w:rsidP="00244EF9">
      <w:pPr>
        <w:pStyle w:val="H23G"/>
        <w:rPr>
          <w:lang w:val="fr-FR"/>
        </w:rPr>
      </w:pPr>
      <w:r>
        <w:rPr>
          <w:lang w:val="fr-FR"/>
        </w:rPr>
        <w:lastRenderedPageBreak/>
        <w:tab/>
      </w:r>
      <w:r>
        <w:rPr>
          <w:lang w:val="fr-FR"/>
        </w:rPr>
        <w:tab/>
      </w:r>
      <w:r w:rsidR="00F52CA2" w:rsidRPr="00141EF1">
        <w:t>Irrecevabilité des aveux</w:t>
      </w:r>
      <w:r w:rsidR="00F52CA2" w:rsidRPr="00F1057E">
        <w:t xml:space="preserve"> obtenus sous la torture</w:t>
      </w:r>
    </w:p>
    <w:p w14:paraId="19D99FFE" w14:textId="0E3E1395" w:rsidR="00DA74C9" w:rsidRPr="00942542" w:rsidRDefault="00DA513E" w:rsidP="00244EF9">
      <w:pPr>
        <w:pStyle w:val="SingleTxtG"/>
        <w:keepNext/>
        <w:keepLines/>
        <w:rPr>
          <w:lang w:val="fr-FR"/>
        </w:rPr>
      </w:pPr>
      <w:r>
        <w:rPr>
          <w:lang w:val="fr-FR"/>
        </w:rPr>
        <w:tab/>
      </w:r>
      <w:r w:rsidR="00DA74C9">
        <w:rPr>
          <w:lang w:val="fr-FR"/>
        </w:rPr>
        <w:t>8.</w:t>
      </w:r>
      <w:r w:rsidR="00DA74C9">
        <w:rPr>
          <w:lang w:val="fr-FR"/>
        </w:rPr>
        <w:tab/>
      </w:r>
      <w:r w:rsidR="00DA74C9" w:rsidRPr="00942542">
        <w:rPr>
          <w:lang w:val="fr-FR"/>
        </w:rPr>
        <w:t>En dépit de l’affirmation générale de l’</w:t>
      </w:r>
      <w:r w:rsidR="000B05DB">
        <w:rPr>
          <w:lang w:val="fr-FR"/>
        </w:rPr>
        <w:t>É</w:t>
      </w:r>
      <w:r w:rsidR="00DA74C9" w:rsidRPr="00942542">
        <w:rPr>
          <w:lang w:val="fr-FR"/>
        </w:rPr>
        <w:t xml:space="preserve">tat partie selon laquelle les </w:t>
      </w:r>
      <w:r w:rsidR="00DA74C9" w:rsidRPr="00942542">
        <w:rPr>
          <w:color w:val="000000"/>
        </w:rPr>
        <w:t xml:space="preserve">éléments de preuve obtenus illégalement ne sont pas acceptés devant les tribunaux, </w:t>
      </w:r>
      <w:r w:rsidR="00DA74C9" w:rsidRPr="00942542">
        <w:rPr>
          <w:lang w:val="fr-FR"/>
        </w:rPr>
        <w:t xml:space="preserve">le Comité déplore qu’aucune disposition législative ne prohibe expressément l’obtention des aveux sous la torture et </w:t>
      </w:r>
      <w:r w:rsidR="00F52CA2" w:rsidRPr="00942542">
        <w:rPr>
          <w:lang w:val="fr-FR"/>
        </w:rPr>
        <w:t>les</w:t>
      </w:r>
      <w:r w:rsidR="00DA74C9" w:rsidRPr="00942542">
        <w:rPr>
          <w:lang w:val="fr-FR"/>
        </w:rPr>
        <w:t xml:space="preserve"> mauvais traitements. Le Comité regrette en outre l’absence d’informations </w:t>
      </w:r>
      <w:r w:rsidR="00DA74C9" w:rsidRPr="00101CD2">
        <w:rPr>
          <w:lang w:val="fr-FR"/>
        </w:rPr>
        <w:t>relatives à l’application de ce principe par les juges (art. 15).</w:t>
      </w:r>
      <w:r w:rsidR="00DA74C9" w:rsidRPr="00942542">
        <w:rPr>
          <w:lang w:val="fr-FR"/>
        </w:rPr>
        <w:t xml:space="preserve"> </w:t>
      </w:r>
    </w:p>
    <w:p w14:paraId="4CDB8BFE" w14:textId="5AC2556F" w:rsidR="00DA74C9" w:rsidRDefault="00DA74C9" w:rsidP="00E14F8E">
      <w:pPr>
        <w:pStyle w:val="SingleTxtG"/>
        <w:rPr>
          <w:lang w:val="fr-FR"/>
        </w:rPr>
      </w:pPr>
      <w:r>
        <w:rPr>
          <w:bCs/>
        </w:rPr>
        <w:t>9.</w:t>
      </w:r>
      <w:r w:rsidRPr="00DA74C9">
        <w:rPr>
          <w:bCs/>
        </w:rPr>
        <w:tab/>
      </w:r>
      <w:r w:rsidRPr="00DA74C9">
        <w:rPr>
          <w:b/>
          <w:lang w:val="fr-FR"/>
        </w:rPr>
        <w:t>L’État partie doit prendre les mesures nécessaires</w:t>
      </w:r>
      <w:r w:rsidR="00F52CA2">
        <w:rPr>
          <w:b/>
          <w:lang w:val="fr-FR"/>
        </w:rPr>
        <w:t>, y compris législatives,</w:t>
      </w:r>
      <w:r w:rsidRPr="00DA74C9">
        <w:rPr>
          <w:b/>
          <w:lang w:val="fr-FR"/>
        </w:rPr>
        <w:t xml:space="preserve"> afin de garantir que les aveux obtenus sous la torture et les mauvais traitements </w:t>
      </w:r>
      <w:r w:rsidR="00E14F8E">
        <w:rPr>
          <w:b/>
          <w:lang w:val="fr-FR"/>
        </w:rPr>
        <w:t>sont</w:t>
      </w:r>
      <w:r w:rsidRPr="00DA74C9">
        <w:rPr>
          <w:b/>
          <w:lang w:val="fr-FR"/>
        </w:rPr>
        <w:t xml:space="preserve"> systématiquement frappés de nullité</w:t>
      </w:r>
      <w:r w:rsidR="00F52CA2">
        <w:rPr>
          <w:b/>
          <w:lang w:val="fr-FR"/>
        </w:rPr>
        <w:t xml:space="preserve">, et </w:t>
      </w:r>
      <w:r w:rsidR="00E14F8E">
        <w:rPr>
          <w:b/>
          <w:lang w:val="fr-FR"/>
        </w:rPr>
        <w:t xml:space="preserve">de </w:t>
      </w:r>
      <w:r w:rsidR="00F52CA2">
        <w:rPr>
          <w:b/>
          <w:lang w:val="fr-FR"/>
        </w:rPr>
        <w:t>faire respecter cette obligation dans la pratique</w:t>
      </w:r>
      <w:r w:rsidRPr="00DA74C9">
        <w:rPr>
          <w:b/>
          <w:lang w:val="fr-FR"/>
        </w:rPr>
        <w:t>.</w:t>
      </w:r>
    </w:p>
    <w:p w14:paraId="1D967C5F" w14:textId="77777777" w:rsidR="00DA74C9" w:rsidRDefault="00DA74C9" w:rsidP="00DA74C9">
      <w:pPr>
        <w:pStyle w:val="H23G"/>
        <w:rPr>
          <w:lang w:val="fr-FR"/>
        </w:rPr>
      </w:pPr>
      <w:r>
        <w:rPr>
          <w:lang w:val="fr-FR"/>
        </w:rPr>
        <w:tab/>
      </w:r>
      <w:r>
        <w:rPr>
          <w:lang w:val="fr-FR"/>
        </w:rPr>
        <w:tab/>
      </w:r>
      <w:r w:rsidRPr="00DA74C9">
        <w:rPr>
          <w:lang w:val="fr-FR"/>
        </w:rPr>
        <w:t>Garanties fondamentales</w:t>
      </w:r>
    </w:p>
    <w:p w14:paraId="312E0DF9" w14:textId="74C607CF" w:rsidR="00DA74C9" w:rsidRPr="00DA74C9" w:rsidRDefault="00DA74C9" w:rsidP="00AC4320">
      <w:pPr>
        <w:pStyle w:val="SingleTxtG"/>
        <w:rPr>
          <w:lang w:val="fr-FR"/>
        </w:rPr>
      </w:pPr>
      <w:r>
        <w:rPr>
          <w:lang w:val="fr-FR"/>
        </w:rPr>
        <w:t>10.</w:t>
      </w:r>
      <w:r>
        <w:rPr>
          <w:lang w:val="fr-FR"/>
        </w:rPr>
        <w:tab/>
      </w:r>
      <w:r w:rsidR="00AC4320">
        <w:rPr>
          <w:lang w:val="fr-FR"/>
        </w:rPr>
        <w:t>Le Comité accueille</w:t>
      </w:r>
      <w:r w:rsidRPr="00DA74C9">
        <w:rPr>
          <w:lang w:val="fr-FR"/>
        </w:rPr>
        <w:t xml:space="preserve"> favorablement les garanties fondamentales édictées dans le Code de procédure pénale, notamment le droit d’être informé des motifs de la garde à vue</w:t>
      </w:r>
      <w:r w:rsidR="00AC4320">
        <w:rPr>
          <w:lang w:val="fr-FR"/>
        </w:rPr>
        <w:t>, dans son article 62</w:t>
      </w:r>
      <w:r w:rsidRPr="00DA74C9">
        <w:rPr>
          <w:lang w:val="fr-FR"/>
        </w:rPr>
        <w:t xml:space="preserve">, </w:t>
      </w:r>
      <w:r w:rsidR="00AC4320">
        <w:rPr>
          <w:lang w:val="fr-FR"/>
        </w:rPr>
        <w:t xml:space="preserve">ainsi que </w:t>
      </w:r>
      <w:r w:rsidR="002C659B">
        <w:rPr>
          <w:lang w:val="fr-FR"/>
        </w:rPr>
        <w:t xml:space="preserve">celui </w:t>
      </w:r>
      <w:r w:rsidRPr="00DA74C9">
        <w:rPr>
          <w:lang w:val="fr-FR"/>
        </w:rPr>
        <w:t xml:space="preserve">de se faire examiner par un médecin de son choix, d’informer </w:t>
      </w:r>
      <w:r w:rsidRPr="00101CD2">
        <w:rPr>
          <w:lang w:val="fr-FR"/>
        </w:rPr>
        <w:t xml:space="preserve">et </w:t>
      </w:r>
      <w:r w:rsidR="00AC4320" w:rsidRPr="00101CD2">
        <w:rPr>
          <w:lang w:val="fr-FR"/>
        </w:rPr>
        <w:t xml:space="preserve">de </w:t>
      </w:r>
      <w:r w:rsidRPr="00101CD2">
        <w:rPr>
          <w:lang w:val="fr-FR"/>
        </w:rPr>
        <w:t>recevoir un membre de sa famille</w:t>
      </w:r>
      <w:r w:rsidR="00AC4320" w:rsidRPr="00101CD2">
        <w:rPr>
          <w:lang w:val="fr-FR"/>
        </w:rPr>
        <w:t>,</w:t>
      </w:r>
      <w:r w:rsidRPr="00101CD2">
        <w:rPr>
          <w:lang w:val="fr-FR"/>
        </w:rPr>
        <w:t xml:space="preserve"> et de constituer un avocat</w:t>
      </w:r>
      <w:r w:rsidR="00AC4320" w:rsidRPr="00101CD2">
        <w:rPr>
          <w:lang w:val="fr-FR"/>
        </w:rPr>
        <w:t>,</w:t>
      </w:r>
      <w:r w:rsidRPr="00101CD2">
        <w:rPr>
          <w:lang w:val="fr-FR"/>
        </w:rPr>
        <w:t xml:space="preserve"> </w:t>
      </w:r>
      <w:r w:rsidR="00AC4320" w:rsidRPr="00101CD2">
        <w:rPr>
          <w:lang w:val="fr-FR"/>
        </w:rPr>
        <w:t xml:space="preserve">dans son </w:t>
      </w:r>
      <w:r w:rsidRPr="00101CD2">
        <w:rPr>
          <w:lang w:val="fr-FR"/>
        </w:rPr>
        <w:t>art</w:t>
      </w:r>
      <w:r w:rsidR="00AC4320" w:rsidRPr="00101CD2">
        <w:rPr>
          <w:lang w:val="fr-FR"/>
        </w:rPr>
        <w:t>icle</w:t>
      </w:r>
      <w:r w:rsidRPr="00101CD2">
        <w:rPr>
          <w:lang w:val="fr-FR"/>
        </w:rPr>
        <w:t xml:space="preserve"> 59</w:t>
      </w:r>
      <w:r w:rsidR="00AC4320" w:rsidRPr="00101CD2">
        <w:rPr>
          <w:lang w:val="fr-FR"/>
        </w:rPr>
        <w:t>.</w:t>
      </w:r>
      <w:r w:rsidRPr="00101CD2">
        <w:rPr>
          <w:lang w:val="fr-FR"/>
        </w:rPr>
        <w:t xml:space="preserve"> </w:t>
      </w:r>
      <w:r w:rsidR="00AC4320" w:rsidRPr="00101CD2">
        <w:rPr>
          <w:lang w:val="fr-FR"/>
        </w:rPr>
        <w:t>Il</w:t>
      </w:r>
      <w:r w:rsidR="00E75939">
        <w:rPr>
          <w:lang w:val="fr-FR"/>
        </w:rPr>
        <w:t> </w:t>
      </w:r>
      <w:r w:rsidRPr="00DA74C9">
        <w:rPr>
          <w:lang w:val="fr-FR"/>
        </w:rPr>
        <w:t xml:space="preserve">déplore </w:t>
      </w:r>
      <w:r w:rsidR="00AC4320">
        <w:rPr>
          <w:lang w:val="fr-FR"/>
        </w:rPr>
        <w:t xml:space="preserve">toutefois </w:t>
      </w:r>
      <w:r w:rsidRPr="00DA74C9">
        <w:rPr>
          <w:lang w:val="fr-FR"/>
        </w:rPr>
        <w:t>qu’en pratique, ces informations ne so</w:t>
      </w:r>
      <w:r w:rsidR="00AC4320">
        <w:rPr>
          <w:lang w:val="fr-FR"/>
        </w:rPr>
        <w:t>ie</w:t>
      </w:r>
      <w:r w:rsidRPr="00DA74C9">
        <w:rPr>
          <w:lang w:val="fr-FR"/>
        </w:rPr>
        <w:t>nt pas toujours communiquées aux prévenus</w:t>
      </w:r>
      <w:r w:rsidR="00AC4320">
        <w:rPr>
          <w:lang w:val="fr-FR"/>
        </w:rPr>
        <w:t>,</w:t>
      </w:r>
      <w:r w:rsidRPr="00DA74C9">
        <w:rPr>
          <w:lang w:val="fr-FR"/>
        </w:rPr>
        <w:t xml:space="preserve"> que la majorité d’entre eux ne dispose</w:t>
      </w:r>
      <w:r w:rsidR="00AC4320">
        <w:rPr>
          <w:lang w:val="fr-FR"/>
        </w:rPr>
        <w:t>nt</w:t>
      </w:r>
      <w:r w:rsidRPr="00DA74C9">
        <w:rPr>
          <w:lang w:val="fr-FR"/>
        </w:rPr>
        <w:t xml:space="preserve"> pas des moyens de recourir à un avocat</w:t>
      </w:r>
      <w:r w:rsidR="00AC4320">
        <w:rPr>
          <w:lang w:val="fr-FR"/>
        </w:rPr>
        <w:t>,</w:t>
      </w:r>
      <w:r w:rsidRPr="00DA74C9">
        <w:rPr>
          <w:lang w:val="fr-FR"/>
        </w:rPr>
        <w:t xml:space="preserve"> et que la privation de liberté </w:t>
      </w:r>
      <w:r w:rsidR="00AC4320">
        <w:rPr>
          <w:lang w:val="fr-FR"/>
        </w:rPr>
        <w:t>ne soit</w:t>
      </w:r>
      <w:r w:rsidRPr="00DA74C9">
        <w:rPr>
          <w:lang w:val="fr-FR"/>
        </w:rPr>
        <w:t xml:space="preserve"> pas systématiquement consignée dans des registres. Le Comité relève en outre que la durée maximale de garde à vue peut être prolongée jusqu’à huit jours par le Procureur. En dépit du contrôle possible de la détention par la Cour constitutionnelle du Bénin, le Comité est d’avis que ce délai est excessif, en ce qu’il expose </w:t>
      </w:r>
      <w:r w:rsidRPr="00101CD2">
        <w:rPr>
          <w:lang w:val="fr-FR"/>
        </w:rPr>
        <w:t>les prévenus à un risque élevé de torture ou de mauvais traitements (art. 2).</w:t>
      </w:r>
      <w:r w:rsidRPr="00DA74C9">
        <w:rPr>
          <w:lang w:val="fr-FR"/>
        </w:rPr>
        <w:t xml:space="preserve"> </w:t>
      </w:r>
    </w:p>
    <w:p w14:paraId="4EDACB8B" w14:textId="1DC3B9A6" w:rsidR="00DA74C9" w:rsidRPr="00DA74C9" w:rsidRDefault="00DA74C9" w:rsidP="00AC4320">
      <w:pPr>
        <w:pStyle w:val="SingleTxtG"/>
        <w:rPr>
          <w:b/>
          <w:lang w:val="fr-FR"/>
        </w:rPr>
      </w:pPr>
      <w:r>
        <w:rPr>
          <w:lang w:val="fr-FR"/>
        </w:rPr>
        <w:t>11.</w:t>
      </w:r>
      <w:r>
        <w:rPr>
          <w:lang w:val="fr-FR"/>
        </w:rPr>
        <w:tab/>
      </w:r>
      <w:r w:rsidRPr="00DA74C9">
        <w:rPr>
          <w:b/>
          <w:lang w:val="fr-FR"/>
        </w:rPr>
        <w:t>L’</w:t>
      </w:r>
      <w:r w:rsidR="00AC4320">
        <w:rPr>
          <w:b/>
          <w:lang w:val="fr-FR"/>
        </w:rPr>
        <w:t>É</w:t>
      </w:r>
      <w:r w:rsidRPr="00DA74C9">
        <w:rPr>
          <w:b/>
          <w:lang w:val="fr-FR"/>
        </w:rPr>
        <w:t>tat partie devrait</w:t>
      </w:r>
      <w:r w:rsidR="00AC4320">
        <w:rPr>
          <w:b/>
          <w:lang w:val="fr-FR"/>
        </w:rPr>
        <w:t> </w:t>
      </w:r>
      <w:r w:rsidRPr="00DA74C9">
        <w:rPr>
          <w:b/>
          <w:lang w:val="fr-FR"/>
        </w:rPr>
        <w:t>:</w:t>
      </w:r>
    </w:p>
    <w:p w14:paraId="3ABF7547" w14:textId="27233F3E" w:rsidR="00DA74C9" w:rsidRPr="00DA74C9" w:rsidRDefault="00F1057E" w:rsidP="00F1057E">
      <w:pPr>
        <w:pStyle w:val="SingleTxtG"/>
        <w:ind w:firstLine="567"/>
        <w:rPr>
          <w:b/>
          <w:lang w:val="fr-FR"/>
        </w:rPr>
      </w:pPr>
      <w:r w:rsidRPr="00DA74C9">
        <w:rPr>
          <w:b/>
          <w:bCs/>
          <w:lang w:val="fr-FR"/>
        </w:rPr>
        <w:t>a)</w:t>
      </w:r>
      <w:r w:rsidRPr="00DA74C9">
        <w:rPr>
          <w:b/>
          <w:bCs/>
          <w:lang w:val="fr-FR"/>
        </w:rPr>
        <w:tab/>
      </w:r>
      <w:r w:rsidR="00DA74C9" w:rsidRPr="00DA74C9">
        <w:rPr>
          <w:b/>
          <w:lang w:val="fr-FR"/>
        </w:rPr>
        <w:t>Prendre les mesures nécessaires, y compris législatives, afin de s’assurer que, quels que soient les chefs d’accusation retenus, la durée maximale de garde à vue n’excède pas quarante-huit heures, renouvelable une seule fois dans des circonstances exceptionnelles dûment justifiées, et eu égard aux principes de nécessité et de proportionnalité</w:t>
      </w:r>
      <w:r w:rsidR="006E7179">
        <w:rPr>
          <w:b/>
          <w:lang w:val="fr-FR"/>
        </w:rPr>
        <w:t> </w:t>
      </w:r>
      <w:r w:rsidR="00DA74C9" w:rsidRPr="00DA74C9">
        <w:rPr>
          <w:b/>
          <w:lang w:val="fr-FR"/>
        </w:rPr>
        <w:t>;</w:t>
      </w:r>
    </w:p>
    <w:p w14:paraId="5E030034" w14:textId="50ECCA8C" w:rsidR="00DA74C9" w:rsidRPr="00DA74C9" w:rsidRDefault="00F1057E" w:rsidP="00F1057E">
      <w:pPr>
        <w:pStyle w:val="SingleTxtG"/>
        <w:ind w:firstLine="567"/>
        <w:rPr>
          <w:rFonts w:eastAsia="Times New Roman"/>
          <w:b/>
          <w:bCs/>
          <w:lang w:val="fr-FR"/>
        </w:rPr>
      </w:pPr>
      <w:r w:rsidRPr="00DA74C9">
        <w:rPr>
          <w:rFonts w:eastAsia="Times New Roman"/>
          <w:b/>
          <w:bCs/>
          <w:lang w:val="fr-FR"/>
        </w:rPr>
        <w:t>b)</w:t>
      </w:r>
      <w:r w:rsidRPr="00DA74C9">
        <w:rPr>
          <w:rFonts w:eastAsia="Times New Roman"/>
          <w:b/>
          <w:bCs/>
          <w:lang w:val="fr-FR"/>
        </w:rPr>
        <w:tab/>
      </w:r>
      <w:r w:rsidR="00DA74C9" w:rsidRPr="00DA74C9">
        <w:rPr>
          <w:rFonts w:eastAsia="Times New Roman"/>
          <w:b/>
        </w:rPr>
        <w:t xml:space="preserve">Garantir qu’en pratique, </w:t>
      </w:r>
      <w:r w:rsidR="00DA74C9" w:rsidRPr="00DA74C9">
        <w:rPr>
          <w:rFonts w:eastAsia="Times New Roman"/>
          <w:b/>
          <w:bCs/>
          <w:lang w:val="fr-FR"/>
        </w:rPr>
        <w:t xml:space="preserve">tous les détenus bénéficient de toutes les garanties juridiques fondamentales dès le début de leur privation de liberté, notamment </w:t>
      </w:r>
      <w:r w:rsidR="006E7179">
        <w:rPr>
          <w:rFonts w:eastAsia="Times New Roman"/>
          <w:b/>
          <w:bCs/>
          <w:lang w:val="fr-FR"/>
        </w:rPr>
        <w:t>la possibilité d’</w:t>
      </w:r>
      <w:r w:rsidR="00DA74C9" w:rsidRPr="00DA74C9">
        <w:rPr>
          <w:rFonts w:eastAsia="Times New Roman"/>
          <w:b/>
          <w:bCs/>
          <w:lang w:val="fr-FR"/>
        </w:rPr>
        <w:t xml:space="preserve">être informés sans délai des accusations portées contre eux, </w:t>
      </w:r>
      <w:r w:rsidR="006E7179">
        <w:rPr>
          <w:rFonts w:eastAsia="Times New Roman"/>
          <w:b/>
          <w:bCs/>
          <w:lang w:val="fr-FR"/>
        </w:rPr>
        <w:t xml:space="preserve">de </w:t>
      </w:r>
      <w:r w:rsidR="00DA74C9" w:rsidRPr="00DA74C9">
        <w:rPr>
          <w:rFonts w:eastAsia="Times New Roman"/>
          <w:b/>
          <w:bCs/>
          <w:lang w:val="fr-FR"/>
        </w:rPr>
        <w:t xml:space="preserve">contacter rapidement un avocat ou </w:t>
      </w:r>
      <w:r w:rsidR="006E7179">
        <w:rPr>
          <w:rFonts w:eastAsia="Times New Roman"/>
          <w:b/>
          <w:bCs/>
          <w:lang w:val="fr-FR"/>
        </w:rPr>
        <w:t xml:space="preserve">de </w:t>
      </w:r>
      <w:r w:rsidR="00DA74C9" w:rsidRPr="00DA74C9">
        <w:rPr>
          <w:rFonts w:eastAsia="Times New Roman"/>
          <w:b/>
          <w:bCs/>
          <w:lang w:val="fr-FR"/>
        </w:rPr>
        <w:t xml:space="preserve">disposer gratuitement d’une aide judiciaire pendant toute la durée de la procédure, </w:t>
      </w:r>
      <w:r w:rsidR="006E7179">
        <w:rPr>
          <w:rFonts w:eastAsia="Times New Roman"/>
          <w:b/>
          <w:bCs/>
          <w:lang w:val="fr-FR"/>
        </w:rPr>
        <w:t>d’</w:t>
      </w:r>
      <w:r w:rsidR="00DA74C9" w:rsidRPr="00DA74C9">
        <w:rPr>
          <w:rFonts w:eastAsia="Times New Roman"/>
          <w:b/>
          <w:bCs/>
          <w:lang w:val="fr-FR"/>
        </w:rPr>
        <w:t xml:space="preserve">informer un membre de leur famille ou une autre personne de leur choix de leur détention ou de leur arrestation, </w:t>
      </w:r>
      <w:r w:rsidR="006E7179">
        <w:rPr>
          <w:rFonts w:eastAsia="Times New Roman"/>
          <w:b/>
          <w:bCs/>
          <w:lang w:val="fr-FR"/>
        </w:rPr>
        <w:t>de se faire examiner</w:t>
      </w:r>
      <w:r w:rsidR="00DA74C9" w:rsidRPr="00DA74C9">
        <w:rPr>
          <w:rFonts w:eastAsia="Times New Roman"/>
          <w:b/>
          <w:bCs/>
          <w:lang w:val="fr-FR"/>
        </w:rPr>
        <w:t xml:space="preserve"> par un médecin indépendant, et </w:t>
      </w:r>
      <w:r w:rsidR="006E7179">
        <w:rPr>
          <w:rFonts w:eastAsia="Times New Roman"/>
          <w:b/>
          <w:bCs/>
          <w:lang w:val="fr-FR"/>
        </w:rPr>
        <w:t xml:space="preserve">de </w:t>
      </w:r>
      <w:r w:rsidR="00DA74C9" w:rsidRPr="00DA74C9">
        <w:rPr>
          <w:rFonts w:eastAsia="Times New Roman"/>
          <w:b/>
          <w:bCs/>
          <w:lang w:val="fr-FR"/>
        </w:rPr>
        <w:t>voir leur privation de liberté consignée dans les registres à toutes les étapes</w:t>
      </w:r>
      <w:r w:rsidR="006E7179">
        <w:rPr>
          <w:rFonts w:eastAsia="Times New Roman"/>
          <w:b/>
          <w:bCs/>
          <w:lang w:val="fr-FR"/>
        </w:rPr>
        <w:t> </w:t>
      </w:r>
      <w:r w:rsidR="00DA74C9" w:rsidRPr="00DA74C9">
        <w:rPr>
          <w:rFonts w:eastAsia="Times New Roman"/>
          <w:b/>
          <w:bCs/>
          <w:lang w:val="fr-FR"/>
        </w:rPr>
        <w:t>;</w:t>
      </w:r>
    </w:p>
    <w:p w14:paraId="342BBBCF" w14:textId="41BB7E65" w:rsidR="00DA74C9" w:rsidRPr="00DA74C9" w:rsidRDefault="00F1057E" w:rsidP="00F1057E">
      <w:pPr>
        <w:pStyle w:val="SingleTxtG"/>
        <w:ind w:firstLine="567"/>
        <w:rPr>
          <w:rFonts w:eastAsia="Times New Roman"/>
          <w:b/>
        </w:rPr>
      </w:pPr>
      <w:r w:rsidRPr="00DA74C9">
        <w:rPr>
          <w:rFonts w:eastAsia="Times New Roman"/>
          <w:b/>
          <w:bCs/>
        </w:rPr>
        <w:t>c)</w:t>
      </w:r>
      <w:r w:rsidRPr="00DA74C9">
        <w:rPr>
          <w:rFonts w:eastAsia="Times New Roman"/>
          <w:b/>
          <w:bCs/>
        </w:rPr>
        <w:tab/>
      </w:r>
      <w:r w:rsidR="00DA74C9" w:rsidRPr="00DA74C9">
        <w:rPr>
          <w:rFonts w:eastAsia="Times New Roman"/>
          <w:b/>
        </w:rPr>
        <w:t xml:space="preserve">Garantir le droit des détenus d’être présentés physiquement devant un juge à </w:t>
      </w:r>
      <w:r w:rsidR="00B42320">
        <w:rPr>
          <w:rFonts w:eastAsia="Times New Roman"/>
          <w:b/>
        </w:rPr>
        <w:t xml:space="preserve">l’expiration </w:t>
      </w:r>
      <w:r w:rsidR="00CB16BD">
        <w:rPr>
          <w:rFonts w:eastAsia="Times New Roman"/>
          <w:b/>
        </w:rPr>
        <w:t>des quarante-huit heures</w:t>
      </w:r>
      <w:r w:rsidR="00B42320">
        <w:rPr>
          <w:rFonts w:eastAsia="Times New Roman"/>
          <w:b/>
        </w:rPr>
        <w:t xml:space="preserve"> de</w:t>
      </w:r>
      <w:r w:rsidR="00DA74C9" w:rsidRPr="00DA74C9">
        <w:rPr>
          <w:rFonts w:eastAsia="Times New Roman"/>
          <w:b/>
        </w:rPr>
        <w:t xml:space="preserve"> garde à vue</w:t>
      </w:r>
      <w:r w:rsidR="00B42320">
        <w:rPr>
          <w:rFonts w:eastAsia="Times New Roman"/>
          <w:b/>
        </w:rPr>
        <w:t>, au plus tard, ou d’être libérés</w:t>
      </w:r>
      <w:r w:rsidR="00DA74C9" w:rsidRPr="00DA74C9">
        <w:rPr>
          <w:rFonts w:eastAsia="Times New Roman"/>
          <w:b/>
        </w:rPr>
        <w:t>, et de c</w:t>
      </w:r>
      <w:r w:rsidR="00DA74C9" w:rsidRPr="00DA74C9">
        <w:rPr>
          <w:rFonts w:eastAsia="Times New Roman"/>
          <w:b/>
          <w:lang w:eastAsia="fr-CH"/>
        </w:rPr>
        <w:t xml:space="preserve">ontester la légalité </w:t>
      </w:r>
      <w:r w:rsidR="00DA74C9" w:rsidRPr="00DA74C9">
        <w:rPr>
          <w:rFonts w:eastAsia="Times New Roman"/>
          <w:b/>
          <w:lang w:val="fr-FR"/>
        </w:rPr>
        <w:t>de leur détention</w:t>
      </w:r>
      <w:r w:rsidR="00DA74C9" w:rsidRPr="00DA74C9">
        <w:rPr>
          <w:rFonts w:eastAsia="Times New Roman"/>
          <w:b/>
          <w:lang w:eastAsia="fr-CH"/>
        </w:rPr>
        <w:t xml:space="preserve"> à tout moment de la procédure</w:t>
      </w:r>
      <w:r w:rsidR="00CB16BD">
        <w:rPr>
          <w:rFonts w:eastAsia="Times New Roman"/>
          <w:b/>
          <w:lang w:eastAsia="fr-CH"/>
        </w:rPr>
        <w:t> </w:t>
      </w:r>
      <w:r w:rsidR="00DA74C9" w:rsidRPr="00DA74C9">
        <w:rPr>
          <w:rFonts w:eastAsia="Times New Roman"/>
          <w:b/>
          <w:lang w:eastAsia="fr-CH"/>
        </w:rPr>
        <w:t xml:space="preserve">; </w:t>
      </w:r>
    </w:p>
    <w:p w14:paraId="0CD0C3C7" w14:textId="1F635B8A" w:rsidR="00DA74C9" w:rsidRPr="00DA74C9" w:rsidRDefault="00F1057E" w:rsidP="00F1057E">
      <w:pPr>
        <w:pStyle w:val="SingleTxtG"/>
        <w:ind w:firstLine="567"/>
        <w:rPr>
          <w:b/>
          <w:lang w:val="fr-FR"/>
        </w:rPr>
      </w:pPr>
      <w:r w:rsidRPr="00DA74C9">
        <w:rPr>
          <w:b/>
          <w:bCs/>
          <w:lang w:val="fr-FR"/>
        </w:rPr>
        <w:t>d)</w:t>
      </w:r>
      <w:r w:rsidRPr="00DA74C9">
        <w:rPr>
          <w:b/>
          <w:bCs/>
          <w:lang w:val="fr-FR"/>
        </w:rPr>
        <w:tab/>
      </w:r>
      <w:r w:rsidR="00DA74C9" w:rsidRPr="00DA74C9">
        <w:rPr>
          <w:b/>
          <w:lang w:val="fr-FR"/>
        </w:rPr>
        <w:t>Poursuivre les efforts engagés en matière de formation et de sensibilisation du personnel de police et de gendarmerie</w:t>
      </w:r>
      <w:r w:rsidR="00CB16BD">
        <w:rPr>
          <w:b/>
          <w:lang w:val="fr-FR"/>
        </w:rPr>
        <w:t>,</w:t>
      </w:r>
      <w:r w:rsidR="00DA74C9" w:rsidRPr="00DA74C9">
        <w:rPr>
          <w:b/>
          <w:lang w:val="fr-FR"/>
        </w:rPr>
        <w:t xml:space="preserve"> afin qu’en tous lieux et en toutes circonstances, les personnes gardées à vue soient informées de tous leurs droits</w:t>
      </w:r>
      <w:r w:rsidR="00CB16BD">
        <w:rPr>
          <w:b/>
          <w:lang w:val="fr-FR"/>
        </w:rPr>
        <w:t> </w:t>
      </w:r>
      <w:r w:rsidR="00DA74C9" w:rsidRPr="00DA74C9">
        <w:rPr>
          <w:b/>
          <w:lang w:val="fr-FR"/>
        </w:rPr>
        <w:t xml:space="preserve">; </w:t>
      </w:r>
    </w:p>
    <w:p w14:paraId="3FF35906" w14:textId="47338ADF" w:rsidR="007710AA" w:rsidRDefault="00F1057E" w:rsidP="00F1057E">
      <w:pPr>
        <w:pStyle w:val="SingleTxtG"/>
        <w:ind w:firstLine="567"/>
        <w:rPr>
          <w:b/>
          <w:lang w:val="fr-FR"/>
        </w:rPr>
      </w:pPr>
      <w:r>
        <w:rPr>
          <w:b/>
          <w:bCs/>
          <w:lang w:val="fr-FR"/>
        </w:rPr>
        <w:t>e)</w:t>
      </w:r>
      <w:r>
        <w:rPr>
          <w:b/>
          <w:bCs/>
          <w:lang w:val="fr-FR"/>
        </w:rPr>
        <w:tab/>
      </w:r>
      <w:r w:rsidR="00DA74C9" w:rsidRPr="00DA74C9">
        <w:rPr>
          <w:b/>
          <w:lang w:val="fr-FR"/>
        </w:rPr>
        <w:t xml:space="preserve">Poursuivre les efforts engagés pour que toutes les prisons soient dotées d’un registre central informatisé, et veiller à ce que, </w:t>
      </w:r>
      <w:r w:rsidR="00CB16BD">
        <w:rPr>
          <w:b/>
          <w:lang w:val="fr-FR"/>
        </w:rPr>
        <w:t>dans l’intervalle</w:t>
      </w:r>
      <w:r w:rsidR="00DA74C9" w:rsidRPr="00DA74C9">
        <w:rPr>
          <w:b/>
          <w:lang w:val="fr-FR"/>
        </w:rPr>
        <w:t>, les registres existants soient strictement tenus</w:t>
      </w:r>
      <w:r w:rsidR="004D7C08">
        <w:rPr>
          <w:b/>
          <w:lang w:val="fr-FR"/>
        </w:rPr>
        <w:t xml:space="preserve"> ; </w:t>
      </w:r>
    </w:p>
    <w:p w14:paraId="75AB09B4" w14:textId="1301CD74" w:rsidR="007710AA" w:rsidRPr="00A84007" w:rsidRDefault="00F1057E" w:rsidP="00F1057E">
      <w:pPr>
        <w:pStyle w:val="SingleTxtG"/>
        <w:ind w:firstLine="567"/>
        <w:rPr>
          <w:lang w:val="fr-FR"/>
        </w:rPr>
      </w:pPr>
      <w:r w:rsidRPr="00A84007">
        <w:rPr>
          <w:b/>
          <w:bCs/>
          <w:lang w:val="fr-FR"/>
        </w:rPr>
        <w:t>f)</w:t>
      </w:r>
      <w:r w:rsidRPr="00A84007">
        <w:rPr>
          <w:b/>
          <w:bCs/>
          <w:lang w:val="fr-FR"/>
        </w:rPr>
        <w:tab/>
      </w:r>
      <w:r w:rsidR="00CB16BD">
        <w:rPr>
          <w:b/>
          <w:bCs/>
          <w:lang w:val="fr-FR"/>
        </w:rPr>
        <w:t>S’assurer du</w:t>
      </w:r>
      <w:r w:rsidR="007710AA" w:rsidRPr="00A84007">
        <w:rPr>
          <w:b/>
          <w:bCs/>
          <w:lang w:val="fr-FR"/>
        </w:rPr>
        <w:t xml:space="preserve"> respect par tous les agents publics des garanties juridiques fondamentales,</w:t>
      </w:r>
      <w:r w:rsidR="007710AA">
        <w:rPr>
          <w:b/>
          <w:bCs/>
          <w:lang w:val="fr-FR"/>
        </w:rPr>
        <w:t xml:space="preserve"> et f</w:t>
      </w:r>
      <w:r w:rsidR="007710AA" w:rsidRPr="00A84007">
        <w:rPr>
          <w:b/>
          <w:bCs/>
          <w:lang w:val="fr-FR"/>
        </w:rPr>
        <w:t>aire figurer dans son prochain rapport au Comité des renseignements sur le nombre de pl</w:t>
      </w:r>
      <w:r w:rsidR="007710AA">
        <w:rPr>
          <w:b/>
          <w:bCs/>
          <w:lang w:val="fr-FR"/>
        </w:rPr>
        <w:t>aintes reçues concernant le non</w:t>
      </w:r>
      <w:r w:rsidR="007710AA">
        <w:rPr>
          <w:b/>
          <w:bCs/>
          <w:lang w:val="fr-FR"/>
        </w:rPr>
        <w:noBreakHyphen/>
      </w:r>
      <w:r w:rsidR="007710AA" w:rsidRPr="00A84007">
        <w:rPr>
          <w:b/>
          <w:bCs/>
          <w:lang w:val="fr-FR"/>
        </w:rPr>
        <w:t>respect des garanties juridiques fondamentales et sur l’issue de ces plaintes.</w:t>
      </w:r>
    </w:p>
    <w:p w14:paraId="3DA02604" w14:textId="77777777" w:rsidR="00DA74C9" w:rsidRDefault="00DA74C9" w:rsidP="00914C2C">
      <w:pPr>
        <w:pStyle w:val="H23G"/>
        <w:rPr>
          <w:lang w:val="fr-FR"/>
        </w:rPr>
      </w:pPr>
      <w:r>
        <w:rPr>
          <w:lang w:val="fr-FR"/>
        </w:rPr>
        <w:lastRenderedPageBreak/>
        <w:tab/>
      </w:r>
      <w:r>
        <w:rPr>
          <w:lang w:val="fr-FR"/>
        </w:rPr>
        <w:tab/>
      </w:r>
      <w:r>
        <w:rPr>
          <w:lang w:val="fr-FR"/>
        </w:rPr>
        <w:tab/>
      </w:r>
      <w:r w:rsidRPr="00DA74C9">
        <w:rPr>
          <w:lang w:val="fr-FR"/>
        </w:rPr>
        <w:t>Compétence universelle et entraide judiciaire</w:t>
      </w:r>
    </w:p>
    <w:p w14:paraId="43DF4962" w14:textId="55E4C760" w:rsidR="00DA74C9" w:rsidRDefault="00DA74C9" w:rsidP="00914C2C">
      <w:pPr>
        <w:pStyle w:val="SingleTxtG"/>
        <w:keepNext/>
        <w:keepLines/>
        <w:rPr>
          <w:lang w:val="fr-FR"/>
        </w:rPr>
      </w:pPr>
      <w:r w:rsidRPr="00DA74C9">
        <w:rPr>
          <w:lang w:val="fr-FR"/>
        </w:rPr>
        <w:t>12.</w:t>
      </w:r>
      <w:r>
        <w:rPr>
          <w:lang w:val="fr-FR"/>
        </w:rPr>
        <w:tab/>
      </w:r>
      <w:r w:rsidRPr="00DA74C9">
        <w:rPr>
          <w:lang w:val="fr-FR"/>
        </w:rPr>
        <w:t xml:space="preserve">Le Comité est préoccupé </w:t>
      </w:r>
      <w:r w:rsidR="0023049B">
        <w:rPr>
          <w:lang w:val="fr-FR"/>
        </w:rPr>
        <w:t>par</w:t>
      </w:r>
      <w:r w:rsidRPr="00DA74C9">
        <w:rPr>
          <w:lang w:val="fr-FR"/>
        </w:rPr>
        <w:t xml:space="preserve"> l’absence</w:t>
      </w:r>
      <w:r w:rsidR="0023049B">
        <w:rPr>
          <w:lang w:val="fr-FR"/>
        </w:rPr>
        <w:t>,</w:t>
      </w:r>
      <w:r w:rsidRPr="00DA74C9">
        <w:rPr>
          <w:lang w:val="fr-FR"/>
        </w:rPr>
        <w:t xml:space="preserve"> dans </w:t>
      </w:r>
      <w:r w:rsidR="002309AA">
        <w:rPr>
          <w:lang w:val="fr-FR"/>
        </w:rPr>
        <w:t>l</w:t>
      </w:r>
      <w:r w:rsidRPr="00DA74C9">
        <w:rPr>
          <w:lang w:val="fr-FR"/>
        </w:rPr>
        <w:t>a législation pénale</w:t>
      </w:r>
      <w:r w:rsidR="002309AA">
        <w:rPr>
          <w:lang w:val="fr-FR"/>
        </w:rPr>
        <w:t xml:space="preserve"> de l’État partie</w:t>
      </w:r>
      <w:r w:rsidRPr="00DA74C9">
        <w:rPr>
          <w:lang w:val="fr-FR"/>
        </w:rPr>
        <w:t xml:space="preserve">, </w:t>
      </w:r>
      <w:r w:rsidR="0023049B">
        <w:rPr>
          <w:lang w:val="fr-FR"/>
        </w:rPr>
        <w:t xml:space="preserve">de dispositions </w:t>
      </w:r>
      <w:r w:rsidRPr="00DA74C9">
        <w:rPr>
          <w:lang w:val="fr-FR"/>
        </w:rPr>
        <w:t xml:space="preserve">permettant à </w:t>
      </w:r>
      <w:r w:rsidR="002309AA">
        <w:rPr>
          <w:lang w:val="fr-FR"/>
        </w:rPr>
        <w:t>ce dernier</w:t>
      </w:r>
      <w:r w:rsidRPr="00DA74C9">
        <w:rPr>
          <w:lang w:val="fr-FR"/>
        </w:rPr>
        <w:t xml:space="preserve"> d’établir sa compétence universelle. </w:t>
      </w:r>
      <w:r w:rsidR="0023049B">
        <w:rPr>
          <w:lang w:val="fr-FR"/>
        </w:rPr>
        <w:t>De plus</w:t>
      </w:r>
      <w:r w:rsidRPr="00DA74C9">
        <w:rPr>
          <w:lang w:val="fr-FR"/>
        </w:rPr>
        <w:t>, tout en accueillant favorablement l’adoption de dispositions législatives établissant la coopération de l’</w:t>
      </w:r>
      <w:r w:rsidR="0023049B">
        <w:rPr>
          <w:lang w:val="fr-FR"/>
        </w:rPr>
        <w:t>É</w:t>
      </w:r>
      <w:r w:rsidRPr="00DA74C9">
        <w:rPr>
          <w:lang w:val="fr-FR"/>
        </w:rPr>
        <w:t xml:space="preserve">tat partie avec la Cour pénale internationale, le Comité regrette le maintien d’un accord conclu par le Bénin et les États-Unis d’Amérique, selon lequel les ressortissants de nationalité américaine se trouvant sur le territoire béninois ne peuvent être transférés </w:t>
      </w:r>
      <w:r w:rsidR="007710AA">
        <w:rPr>
          <w:lang w:val="fr-FR"/>
        </w:rPr>
        <w:t>ou remis à</w:t>
      </w:r>
      <w:r w:rsidRPr="00DA74C9">
        <w:rPr>
          <w:lang w:val="fr-FR"/>
        </w:rPr>
        <w:t xml:space="preserve"> la Cour pénale internationale en vue d’être jugé</w:t>
      </w:r>
      <w:r w:rsidR="0023049B">
        <w:rPr>
          <w:lang w:val="fr-FR"/>
        </w:rPr>
        <w:t>s</w:t>
      </w:r>
      <w:r w:rsidRPr="00DA74C9">
        <w:rPr>
          <w:lang w:val="fr-FR"/>
        </w:rPr>
        <w:t xml:space="preserve"> pour </w:t>
      </w:r>
      <w:r w:rsidR="007710AA">
        <w:rPr>
          <w:lang w:val="fr-FR"/>
        </w:rPr>
        <w:t>les crimes internationaux les plus graves, y</w:t>
      </w:r>
      <w:r w:rsidR="00E75939">
        <w:rPr>
          <w:lang w:val="fr-FR"/>
        </w:rPr>
        <w:t> </w:t>
      </w:r>
      <w:r w:rsidR="0023049B" w:rsidRPr="0020225A">
        <w:rPr>
          <w:lang w:val="fr-FR"/>
        </w:rPr>
        <w:t>compris</w:t>
      </w:r>
      <w:r w:rsidR="007710AA" w:rsidRPr="0020225A">
        <w:rPr>
          <w:lang w:val="fr-FR"/>
        </w:rPr>
        <w:t xml:space="preserve"> la torture, alors même que l’</w:t>
      </w:r>
      <w:r w:rsidR="0023049B" w:rsidRPr="0020225A">
        <w:rPr>
          <w:lang w:val="fr-FR"/>
        </w:rPr>
        <w:t>É</w:t>
      </w:r>
      <w:r w:rsidR="007710AA" w:rsidRPr="0020225A">
        <w:rPr>
          <w:lang w:val="fr-FR"/>
        </w:rPr>
        <w:t>tat partie, ayant adhéré au Statut de Rome</w:t>
      </w:r>
      <w:r w:rsidR="002D03A1" w:rsidRPr="0020225A">
        <w:rPr>
          <w:lang w:val="fr-FR"/>
        </w:rPr>
        <w:t xml:space="preserve"> de la Cour pénale internationale</w:t>
      </w:r>
      <w:r w:rsidR="007710AA" w:rsidRPr="0020225A">
        <w:rPr>
          <w:lang w:val="fr-FR"/>
        </w:rPr>
        <w:t xml:space="preserve">, était empêché de conclure un tel accord </w:t>
      </w:r>
      <w:r w:rsidR="0023049B" w:rsidRPr="0020225A">
        <w:rPr>
          <w:lang w:val="fr-FR"/>
        </w:rPr>
        <w:t>au titre</w:t>
      </w:r>
      <w:r w:rsidR="007710AA" w:rsidRPr="0020225A">
        <w:rPr>
          <w:lang w:val="fr-FR"/>
        </w:rPr>
        <w:t xml:space="preserve"> de l’article 98 du Statut</w:t>
      </w:r>
      <w:r w:rsidR="007710AA">
        <w:rPr>
          <w:lang w:val="fr-FR"/>
        </w:rPr>
        <w:t xml:space="preserve"> </w:t>
      </w:r>
      <w:r w:rsidRPr="00DA74C9">
        <w:rPr>
          <w:lang w:val="fr-FR"/>
        </w:rPr>
        <w:t xml:space="preserve">(art. 6, 7, 8 et 9). </w:t>
      </w:r>
    </w:p>
    <w:p w14:paraId="680F1DF3" w14:textId="6D074B41" w:rsidR="00DA74C9" w:rsidRDefault="00DA74C9" w:rsidP="009B6A1D">
      <w:pPr>
        <w:pStyle w:val="SingleTxtG"/>
        <w:rPr>
          <w:lang w:val="fr-FR"/>
        </w:rPr>
      </w:pPr>
      <w:r>
        <w:rPr>
          <w:lang w:val="fr-FR"/>
        </w:rPr>
        <w:t>13.</w:t>
      </w:r>
      <w:r>
        <w:rPr>
          <w:lang w:val="fr-FR"/>
        </w:rPr>
        <w:tab/>
      </w:r>
      <w:r w:rsidRPr="00DA74C9">
        <w:rPr>
          <w:b/>
          <w:lang w:val="fr-FR"/>
        </w:rPr>
        <w:t xml:space="preserve">L’État partie devrait, conformément </w:t>
      </w:r>
      <w:r w:rsidR="009B6A1D">
        <w:rPr>
          <w:b/>
          <w:lang w:val="fr-FR"/>
        </w:rPr>
        <w:t>aux</w:t>
      </w:r>
      <w:r w:rsidRPr="00DA74C9">
        <w:rPr>
          <w:b/>
          <w:lang w:val="fr-FR"/>
        </w:rPr>
        <w:t xml:space="preserve"> recommandation</w:t>
      </w:r>
      <w:r w:rsidR="009B6A1D">
        <w:rPr>
          <w:b/>
          <w:lang w:val="fr-FR"/>
        </w:rPr>
        <w:t>s</w:t>
      </w:r>
      <w:r w:rsidRPr="00DA74C9">
        <w:rPr>
          <w:b/>
          <w:lang w:val="fr-FR"/>
        </w:rPr>
        <w:t xml:space="preserve"> </w:t>
      </w:r>
      <w:r w:rsidR="009B6A1D">
        <w:rPr>
          <w:b/>
          <w:lang w:val="fr-FR"/>
        </w:rPr>
        <w:t xml:space="preserve">du Comité dans ses </w:t>
      </w:r>
      <w:r w:rsidRPr="0020225A">
        <w:rPr>
          <w:b/>
          <w:lang w:val="fr-FR"/>
        </w:rPr>
        <w:t>précédente</w:t>
      </w:r>
      <w:r w:rsidR="009B6A1D" w:rsidRPr="0020225A">
        <w:rPr>
          <w:b/>
          <w:lang w:val="fr-FR"/>
        </w:rPr>
        <w:t>s observations finales</w:t>
      </w:r>
      <w:r w:rsidRPr="0020225A">
        <w:rPr>
          <w:b/>
          <w:lang w:val="fr-FR"/>
        </w:rPr>
        <w:t xml:space="preserve"> (par. 15 et 16),</w:t>
      </w:r>
      <w:r w:rsidR="00E75939">
        <w:rPr>
          <w:b/>
          <w:lang w:val="fr-FR"/>
        </w:rPr>
        <w:t xml:space="preserve"> </w:t>
      </w:r>
      <w:r w:rsidRPr="0020225A">
        <w:rPr>
          <w:b/>
          <w:lang w:val="fr-FR"/>
        </w:rPr>
        <w:t>prendre les mesures nécessaires pour</w:t>
      </w:r>
      <w:r w:rsidRPr="00DA74C9">
        <w:rPr>
          <w:b/>
          <w:lang w:val="fr-FR"/>
        </w:rPr>
        <w:t xml:space="preserve"> établir et exercer sa compétence universelle. De plus, il devrait </w:t>
      </w:r>
      <w:r w:rsidR="009B6A1D">
        <w:rPr>
          <w:b/>
          <w:lang w:val="fr-FR"/>
        </w:rPr>
        <w:t>remettre en cause</w:t>
      </w:r>
      <w:r w:rsidRPr="00DA74C9">
        <w:rPr>
          <w:b/>
          <w:lang w:val="fr-FR"/>
        </w:rPr>
        <w:t xml:space="preserve"> </w:t>
      </w:r>
      <w:r w:rsidR="003B06C7">
        <w:rPr>
          <w:b/>
          <w:lang w:val="fr-FR"/>
        </w:rPr>
        <w:t>la validité</w:t>
      </w:r>
      <w:r w:rsidRPr="00DA74C9">
        <w:rPr>
          <w:b/>
          <w:lang w:val="fr-FR"/>
        </w:rPr>
        <w:t xml:space="preserve"> de son accord avec les États-Unis d’Amérique empêchant le transfert </w:t>
      </w:r>
      <w:r w:rsidR="003B06C7">
        <w:rPr>
          <w:b/>
          <w:lang w:val="fr-FR"/>
        </w:rPr>
        <w:t xml:space="preserve">ou la remise </w:t>
      </w:r>
      <w:r w:rsidR="009B6A1D">
        <w:rPr>
          <w:b/>
          <w:lang w:val="fr-FR"/>
        </w:rPr>
        <w:t>à la Cour pénale internationale</w:t>
      </w:r>
      <w:r w:rsidR="009B6A1D" w:rsidRPr="00DA74C9">
        <w:rPr>
          <w:b/>
          <w:lang w:val="fr-FR"/>
        </w:rPr>
        <w:t xml:space="preserve"> </w:t>
      </w:r>
      <w:r w:rsidRPr="00DA74C9">
        <w:rPr>
          <w:b/>
          <w:lang w:val="fr-FR"/>
        </w:rPr>
        <w:t>de ressortissants américains se trouvant sur le territoire béninois.</w:t>
      </w:r>
      <w:r>
        <w:rPr>
          <w:lang w:val="fr-FR"/>
        </w:rPr>
        <w:t xml:space="preserve"> </w:t>
      </w:r>
    </w:p>
    <w:p w14:paraId="26FCDBF4" w14:textId="77777777" w:rsidR="00DA74C9" w:rsidRDefault="00DA74C9" w:rsidP="00DA74C9">
      <w:pPr>
        <w:pStyle w:val="H23G"/>
        <w:rPr>
          <w:lang w:val="fr-FR"/>
        </w:rPr>
      </w:pPr>
      <w:r>
        <w:rPr>
          <w:lang w:val="fr-FR"/>
        </w:rPr>
        <w:tab/>
      </w:r>
      <w:r>
        <w:rPr>
          <w:lang w:val="fr-FR"/>
        </w:rPr>
        <w:tab/>
      </w:r>
      <w:r w:rsidRPr="00DA74C9">
        <w:rPr>
          <w:lang w:val="fr-FR"/>
        </w:rPr>
        <w:t xml:space="preserve">Principe de non-refoulement </w:t>
      </w:r>
    </w:p>
    <w:p w14:paraId="4D8EEFF7" w14:textId="6D290B41" w:rsidR="00DA74C9" w:rsidRDefault="00DA74C9" w:rsidP="00E75939">
      <w:pPr>
        <w:pStyle w:val="SingleTxtG"/>
        <w:rPr>
          <w:lang w:val="fr-FR"/>
        </w:rPr>
      </w:pPr>
      <w:r w:rsidRPr="0020225A">
        <w:rPr>
          <w:lang w:val="fr-FR"/>
        </w:rPr>
        <w:t>14.</w:t>
      </w:r>
      <w:r w:rsidRPr="0020225A">
        <w:rPr>
          <w:lang w:val="fr-FR"/>
        </w:rPr>
        <w:tab/>
        <w:t xml:space="preserve">Tout en notant les nouvelles dispositions du Code de procédure pénale régissant l’extradition, qui viennent compléter la </w:t>
      </w:r>
      <w:r w:rsidR="00697BDA" w:rsidRPr="0020225A">
        <w:rPr>
          <w:lang w:val="fr-FR"/>
        </w:rPr>
        <w:t>l</w:t>
      </w:r>
      <w:r w:rsidRPr="0020225A">
        <w:rPr>
          <w:lang w:val="fr-FR"/>
        </w:rPr>
        <w:t xml:space="preserve">oi </w:t>
      </w:r>
      <w:r w:rsidR="00E75939" w:rsidRPr="00101CD2">
        <w:rPr>
          <w:lang w:val="fr-FR"/>
        </w:rPr>
        <w:t>n</w:t>
      </w:r>
      <w:r w:rsidR="00E75939" w:rsidRPr="00EE1830">
        <w:rPr>
          <w:vertAlign w:val="superscript"/>
          <w:lang w:val="fr-FR"/>
        </w:rPr>
        <w:t>o</w:t>
      </w:r>
      <w:r w:rsidR="00E75939">
        <w:rPr>
          <w:lang w:val="fr-FR"/>
        </w:rPr>
        <w:t> </w:t>
      </w:r>
      <w:r w:rsidRPr="0020225A">
        <w:rPr>
          <w:lang w:val="fr-FR"/>
        </w:rPr>
        <w:t>86-</w:t>
      </w:r>
      <w:r w:rsidR="00697BDA" w:rsidRPr="0020225A">
        <w:rPr>
          <w:lang w:val="fr-FR"/>
        </w:rPr>
        <w:t>0</w:t>
      </w:r>
      <w:r w:rsidRPr="0020225A">
        <w:rPr>
          <w:lang w:val="fr-FR"/>
        </w:rPr>
        <w:t xml:space="preserve">12 du 26 février 1986 portant régime des étrangers en République </w:t>
      </w:r>
      <w:r w:rsidR="00697BDA" w:rsidRPr="0020225A">
        <w:rPr>
          <w:lang w:val="fr-FR"/>
        </w:rPr>
        <w:t xml:space="preserve">populaire </w:t>
      </w:r>
      <w:r w:rsidRPr="0020225A">
        <w:rPr>
          <w:lang w:val="fr-FR"/>
        </w:rPr>
        <w:t>du Bénin, le Comité relève que ce dispositif précède l’entrée en vigueur de la Convention pour l’</w:t>
      </w:r>
      <w:r w:rsidR="00697BDA" w:rsidRPr="0020225A">
        <w:rPr>
          <w:lang w:val="fr-FR"/>
        </w:rPr>
        <w:t>É</w:t>
      </w:r>
      <w:r w:rsidRPr="0020225A">
        <w:rPr>
          <w:lang w:val="fr-FR"/>
        </w:rPr>
        <w:t xml:space="preserve">tat partie, et </w:t>
      </w:r>
      <w:r w:rsidR="000B0234" w:rsidRPr="0020225A">
        <w:rPr>
          <w:lang w:val="fr-FR"/>
        </w:rPr>
        <w:t>constate avec préoccupation</w:t>
      </w:r>
      <w:r w:rsidRPr="0020225A">
        <w:rPr>
          <w:lang w:val="fr-FR"/>
        </w:rPr>
        <w:t xml:space="preserve"> qu’aucune disposition législative ne </w:t>
      </w:r>
      <w:r w:rsidR="00697BDA" w:rsidRPr="0020225A">
        <w:rPr>
          <w:lang w:val="fr-FR"/>
        </w:rPr>
        <w:t>reconnaît</w:t>
      </w:r>
      <w:r w:rsidRPr="0020225A">
        <w:rPr>
          <w:lang w:val="fr-FR"/>
        </w:rPr>
        <w:t xml:space="preserve"> le principe de non-refoulement, sur la base du risque d’être soumis à la torture. Tout en notant l’assurance de l’</w:t>
      </w:r>
      <w:r w:rsidR="00697BDA" w:rsidRPr="0020225A">
        <w:rPr>
          <w:lang w:val="fr-FR"/>
        </w:rPr>
        <w:t>É</w:t>
      </w:r>
      <w:r w:rsidRPr="0020225A">
        <w:rPr>
          <w:lang w:val="fr-FR"/>
        </w:rPr>
        <w:t>tat partie selon laquelle les extraditions sont conduites dans le respect de la Convention de la Communauté économique des États de l’Afrique de l’Ouest relative à l’extradition de 1994, dont l’article 5 garantit le respect du principe de non</w:t>
      </w:r>
      <w:r w:rsidR="000B0234" w:rsidRPr="0020225A">
        <w:rPr>
          <w:lang w:val="fr-FR"/>
        </w:rPr>
        <w:t>-</w:t>
      </w:r>
      <w:r w:rsidRPr="0020225A">
        <w:rPr>
          <w:lang w:val="fr-FR"/>
        </w:rPr>
        <w:t>refoulement en cas de torture ou de mauvais traitements, le Comité s’inquiète de ce que plusieurs accords bilatéraux de coopération judiciaire liant l’</w:t>
      </w:r>
      <w:r w:rsidR="000B0234" w:rsidRPr="0020225A">
        <w:rPr>
          <w:lang w:val="fr-FR"/>
        </w:rPr>
        <w:t>É</w:t>
      </w:r>
      <w:r w:rsidRPr="0020225A">
        <w:rPr>
          <w:lang w:val="fr-FR"/>
        </w:rPr>
        <w:t>tat partie</w:t>
      </w:r>
      <w:r w:rsidRPr="00DA74C9">
        <w:rPr>
          <w:lang w:val="fr-FR"/>
        </w:rPr>
        <w:t xml:space="preserve"> ne seraient pas conformes à l’article 3 de la Convention (art. 3 et 7). </w:t>
      </w:r>
    </w:p>
    <w:p w14:paraId="7F98A5C7" w14:textId="28A34263" w:rsidR="00DA74C9" w:rsidRDefault="00DA74C9" w:rsidP="00466CE6">
      <w:pPr>
        <w:pStyle w:val="SingleTxtG"/>
        <w:rPr>
          <w:bCs/>
          <w:lang w:val="fr-FR"/>
        </w:rPr>
      </w:pPr>
      <w:r>
        <w:rPr>
          <w:lang w:val="fr-FR"/>
        </w:rPr>
        <w:t>15.</w:t>
      </w:r>
      <w:r>
        <w:rPr>
          <w:lang w:val="fr-FR"/>
        </w:rPr>
        <w:tab/>
      </w:r>
      <w:r w:rsidRPr="00DA74C9">
        <w:rPr>
          <w:b/>
          <w:lang w:val="fr-FR"/>
        </w:rPr>
        <w:t xml:space="preserve">L’État partie devrait garantir que sa législation régissant l’asile et l’expulsion ainsi que l’ensemble des accords d’entraide judiciaire auxquels il est partie reconnaissent explicitement </w:t>
      </w:r>
      <w:r w:rsidRPr="00DA74C9">
        <w:rPr>
          <w:b/>
          <w:bCs/>
          <w:lang w:val="fr-FR"/>
        </w:rPr>
        <w:t xml:space="preserve">l’obligation qui lui incombe de ne pas expulser, refouler </w:t>
      </w:r>
      <w:r w:rsidR="000B0234">
        <w:rPr>
          <w:b/>
          <w:bCs/>
          <w:lang w:val="fr-FR"/>
        </w:rPr>
        <w:t>ou</w:t>
      </w:r>
      <w:r w:rsidRPr="00DA74C9">
        <w:rPr>
          <w:b/>
          <w:bCs/>
          <w:lang w:val="fr-FR"/>
        </w:rPr>
        <w:t xml:space="preserve"> extrader une personne vers un autre État où il y a des motifs sérieux de croire qu’elle risque d’être soumise à la torture ou </w:t>
      </w:r>
      <w:r w:rsidR="00466CE6">
        <w:rPr>
          <w:b/>
          <w:bCs/>
          <w:lang w:val="fr-FR"/>
        </w:rPr>
        <w:t>à des</w:t>
      </w:r>
      <w:r w:rsidRPr="00DA74C9">
        <w:rPr>
          <w:b/>
          <w:bCs/>
          <w:lang w:val="fr-FR"/>
        </w:rPr>
        <w:t xml:space="preserve"> mauvais traitements. Les décisions de renvoi devraient faire l’objet d’un examen judiciaire au cas par cas, avec un droit d’appel suspensif. L’</w:t>
      </w:r>
      <w:r w:rsidR="000B0234">
        <w:rPr>
          <w:b/>
          <w:bCs/>
          <w:lang w:val="fr-FR"/>
        </w:rPr>
        <w:t>É</w:t>
      </w:r>
      <w:r w:rsidRPr="00DA74C9">
        <w:rPr>
          <w:b/>
          <w:bCs/>
          <w:lang w:val="fr-FR"/>
        </w:rPr>
        <w:t xml:space="preserve">tat partie devrait aussi faire </w:t>
      </w:r>
      <w:r w:rsidRPr="00DA74C9">
        <w:rPr>
          <w:b/>
          <w:bCs/>
          <w:spacing w:val="-2"/>
          <w:lang w:val="fr-FR"/>
        </w:rPr>
        <w:t xml:space="preserve">figurer dans son prochain rapport </w:t>
      </w:r>
      <w:r w:rsidR="00823BC6">
        <w:rPr>
          <w:b/>
          <w:bCs/>
          <w:spacing w:val="-2"/>
          <w:lang w:val="fr-FR"/>
        </w:rPr>
        <w:t xml:space="preserve">au Comité </w:t>
      </w:r>
      <w:r w:rsidRPr="00DA74C9">
        <w:rPr>
          <w:b/>
          <w:bCs/>
          <w:spacing w:val="-2"/>
          <w:lang w:val="fr-FR"/>
        </w:rPr>
        <w:t>des renseignements sur le nombre de personnes expulsées ou extradées, en précisant vers quels pays</w:t>
      </w:r>
      <w:r w:rsidR="00823BC6">
        <w:rPr>
          <w:b/>
          <w:bCs/>
          <w:spacing w:val="-2"/>
          <w:lang w:val="fr-FR"/>
        </w:rPr>
        <w:t xml:space="preserve"> elles l’ont été</w:t>
      </w:r>
      <w:r w:rsidRPr="00DA74C9">
        <w:rPr>
          <w:b/>
          <w:bCs/>
          <w:spacing w:val="-2"/>
          <w:lang w:val="fr-FR"/>
        </w:rPr>
        <w:t>, le nombre de décisions judiciaires infirmant ou annulant une expulsion en vertu du principe de non-refoulement, et toute autre mesure pertinente prise.</w:t>
      </w:r>
    </w:p>
    <w:p w14:paraId="1E1CB556" w14:textId="77777777" w:rsidR="00DA74C9" w:rsidRDefault="00DA74C9" w:rsidP="00DA74C9">
      <w:pPr>
        <w:pStyle w:val="H23G"/>
        <w:rPr>
          <w:lang w:val="fr-FR"/>
        </w:rPr>
      </w:pPr>
      <w:r>
        <w:rPr>
          <w:lang w:val="fr-FR"/>
        </w:rPr>
        <w:tab/>
      </w:r>
      <w:r>
        <w:rPr>
          <w:lang w:val="fr-FR"/>
        </w:rPr>
        <w:tab/>
      </w:r>
      <w:r w:rsidRPr="00DA74C9">
        <w:rPr>
          <w:lang w:val="fr-FR"/>
        </w:rPr>
        <w:t>Administration de la justice</w:t>
      </w:r>
    </w:p>
    <w:p w14:paraId="685AE289" w14:textId="757CB2AE" w:rsidR="00DA74C9" w:rsidRDefault="00DA74C9" w:rsidP="00C90791">
      <w:pPr>
        <w:pStyle w:val="SingleTxtG"/>
      </w:pPr>
      <w:r w:rsidRPr="00DA74C9">
        <w:t>16.</w:t>
      </w:r>
      <w:r>
        <w:tab/>
      </w:r>
      <w:r w:rsidRPr="00DA74C9">
        <w:t>Le Comité relève les efforts engagés par l’</w:t>
      </w:r>
      <w:r w:rsidR="00821128">
        <w:t>É</w:t>
      </w:r>
      <w:r w:rsidRPr="00DA74C9">
        <w:t>tat partie, notamment</w:t>
      </w:r>
      <w:r w:rsidR="00821128">
        <w:t> : a)</w:t>
      </w:r>
      <w:r w:rsidRPr="00DA74C9">
        <w:t xml:space="preserve"> l’entrée en vigueur d’une nouvelle carte judiciaire instaurant six nouveaux tribunaux ; </w:t>
      </w:r>
      <w:r w:rsidR="00821128">
        <w:t xml:space="preserve">b) </w:t>
      </w:r>
      <w:r w:rsidRPr="00DA74C9">
        <w:t>l’augmentation du nombre de magistrats</w:t>
      </w:r>
      <w:r w:rsidR="00821128">
        <w:t> </w:t>
      </w:r>
      <w:r w:rsidRPr="00DA74C9">
        <w:t>;</w:t>
      </w:r>
      <w:r w:rsidR="00821128">
        <w:t xml:space="preserve"> et c)</w:t>
      </w:r>
      <w:r w:rsidRPr="00DA74C9">
        <w:t xml:space="preserve"> l’instauration de juges des libertés et de la détention dans toutes les juridictions du Bénin, ainsi que la création d’une Chambre des libertés et de la détention, compétente en matière de contentieux relatif</w:t>
      </w:r>
      <w:r w:rsidR="00821128">
        <w:t>s</w:t>
      </w:r>
      <w:r w:rsidRPr="00DA74C9">
        <w:t xml:space="preserve"> à la privation de liberté. Le Comité demeure toutefois préoccupé </w:t>
      </w:r>
      <w:r w:rsidR="00821128">
        <w:t>par les éléments suivants :</w:t>
      </w:r>
      <w:r w:rsidRPr="00DA74C9">
        <w:t xml:space="preserve"> a) certains tribunaux sont éloignés des maisons d’arrêt, ce qui soulève des questions </w:t>
      </w:r>
      <w:r w:rsidR="00821128">
        <w:t>quant</w:t>
      </w:r>
      <w:r w:rsidRPr="00DA74C9">
        <w:t xml:space="preserve"> au transfèrement des détenus et </w:t>
      </w:r>
      <w:r w:rsidR="00821128">
        <w:t xml:space="preserve">à </w:t>
      </w:r>
      <w:r w:rsidRPr="00DA74C9">
        <w:t>leur accès à la justice ;</w:t>
      </w:r>
      <w:r w:rsidR="004D7C08">
        <w:t xml:space="preserve"> </w:t>
      </w:r>
      <w:r w:rsidR="002D03A1">
        <w:t>b</w:t>
      </w:r>
      <w:r w:rsidRPr="00DA74C9">
        <w:t>) le mécanisme d’aide juridictionnel</w:t>
      </w:r>
      <w:r w:rsidR="00821128">
        <w:t>le</w:t>
      </w:r>
      <w:r w:rsidRPr="00DA74C9">
        <w:t xml:space="preserve"> n’est pas effectif</w:t>
      </w:r>
      <w:r w:rsidR="002D03A1">
        <w:t xml:space="preserve"> ; et c) </w:t>
      </w:r>
      <w:r w:rsidR="002D03A1" w:rsidRPr="00DA74C9">
        <w:t>le</w:t>
      </w:r>
      <w:r w:rsidR="00821128">
        <w:t>s</w:t>
      </w:r>
      <w:r w:rsidR="002D03A1" w:rsidRPr="00DA74C9">
        <w:t xml:space="preserve"> avocats </w:t>
      </w:r>
      <w:r w:rsidR="00821128">
        <w:t xml:space="preserve">exerçant </w:t>
      </w:r>
      <w:r w:rsidR="002D03A1" w:rsidRPr="00DA74C9">
        <w:t xml:space="preserve">au Bénin </w:t>
      </w:r>
      <w:r w:rsidR="00821128">
        <w:t>sont à la fois en nombre</w:t>
      </w:r>
      <w:r w:rsidR="002D03A1" w:rsidRPr="00DA74C9">
        <w:t xml:space="preserve"> très </w:t>
      </w:r>
      <w:r w:rsidR="00821128">
        <w:t>restreint</w:t>
      </w:r>
      <w:r w:rsidR="002D03A1" w:rsidRPr="00DA74C9">
        <w:t xml:space="preserve"> (206) et concentré</w:t>
      </w:r>
      <w:r w:rsidR="00821128">
        <w:t>s</w:t>
      </w:r>
      <w:r w:rsidR="002D03A1" w:rsidRPr="00DA74C9">
        <w:t xml:space="preserve"> dans la </w:t>
      </w:r>
      <w:r w:rsidR="00821128">
        <w:t>région</w:t>
      </w:r>
      <w:r w:rsidR="002D03A1" w:rsidRPr="00DA74C9">
        <w:t xml:space="preserve"> de la capitale, ce qui limite, de fait, les possibilités </w:t>
      </w:r>
      <w:r w:rsidR="00821128">
        <w:t xml:space="preserve">pour les justiciables </w:t>
      </w:r>
      <w:r w:rsidR="002D03A1" w:rsidRPr="00DA74C9">
        <w:t>d’être adéquatement représenté</w:t>
      </w:r>
      <w:r w:rsidR="00821128">
        <w:t>s</w:t>
      </w:r>
      <w:r w:rsidR="002D03A1" w:rsidRPr="00DA74C9">
        <w:t xml:space="preserve"> tout le long des procédures, en particulier les plus démunis.</w:t>
      </w:r>
      <w:r w:rsidR="00FD104C">
        <w:t xml:space="preserve"> </w:t>
      </w:r>
      <w:r w:rsidR="00DA513E">
        <w:t xml:space="preserve">Le Comité </w:t>
      </w:r>
      <w:r w:rsidR="002D03A1">
        <w:t xml:space="preserve">est en outre préoccupé </w:t>
      </w:r>
      <w:r w:rsidR="00C90791">
        <w:t>par le</w:t>
      </w:r>
      <w:r w:rsidR="002D03A1">
        <w:t xml:space="preserve"> fait que</w:t>
      </w:r>
      <w:r w:rsidR="002D03A1" w:rsidRPr="00DA74C9">
        <w:t xml:space="preserve"> le Conseil supérieur de la magistrature est fortement inf</w:t>
      </w:r>
      <w:r w:rsidR="002D03A1">
        <w:t>l</w:t>
      </w:r>
      <w:r w:rsidR="006A1701">
        <w:t>uencé par le pouvoir exécutif</w:t>
      </w:r>
      <w:r w:rsidR="00C90791">
        <w:t>,</w:t>
      </w:r>
      <w:r w:rsidR="006A1701">
        <w:t xml:space="preserve"> </w:t>
      </w:r>
      <w:r w:rsidR="002D03A1">
        <w:t>et</w:t>
      </w:r>
      <w:r w:rsidR="006A1701">
        <w:t xml:space="preserve"> </w:t>
      </w:r>
      <w:r w:rsidR="00C90791">
        <w:t xml:space="preserve">s’inquiète </w:t>
      </w:r>
      <w:r w:rsidR="006A1701">
        <w:t>des allégations selon lesquelles la</w:t>
      </w:r>
      <w:r w:rsidRPr="00DA74C9">
        <w:t xml:space="preserve"> corruption mine</w:t>
      </w:r>
      <w:r w:rsidR="00213D1D">
        <w:t xml:space="preserve"> </w:t>
      </w:r>
      <w:r w:rsidRPr="00DA74C9">
        <w:t>la confiance dans le système judiciaire</w:t>
      </w:r>
      <w:r w:rsidR="006A1701">
        <w:t xml:space="preserve"> béninois</w:t>
      </w:r>
      <w:r w:rsidR="00CF0541">
        <w:t xml:space="preserve"> (art. 2 et 13)</w:t>
      </w:r>
      <w:r w:rsidR="006A1701">
        <w:t>.</w:t>
      </w:r>
      <w:r w:rsidRPr="00DA74C9">
        <w:t xml:space="preserve"> </w:t>
      </w:r>
    </w:p>
    <w:p w14:paraId="01B1A20D" w14:textId="4BDFB2EC" w:rsidR="00DA74C9" w:rsidRPr="00DA74C9" w:rsidRDefault="00DA74C9" w:rsidP="00DE7275">
      <w:pPr>
        <w:pStyle w:val="SingleTxtG"/>
        <w:rPr>
          <w:rFonts w:ascii="Garamond" w:hAnsi="Garamond" w:cs="Garamond"/>
          <w:b/>
          <w:sz w:val="24"/>
          <w:szCs w:val="24"/>
        </w:rPr>
      </w:pPr>
      <w:r w:rsidRPr="00DA74C9">
        <w:lastRenderedPageBreak/>
        <w:t>1</w:t>
      </w:r>
      <w:r w:rsidR="00DB737B">
        <w:t>7</w:t>
      </w:r>
      <w:r w:rsidRPr="00DA74C9">
        <w:t>.</w:t>
      </w:r>
      <w:r>
        <w:tab/>
      </w:r>
      <w:r w:rsidRPr="00DA74C9">
        <w:rPr>
          <w:b/>
        </w:rPr>
        <w:t>L’</w:t>
      </w:r>
      <w:r w:rsidR="00DE7275">
        <w:rPr>
          <w:b/>
        </w:rPr>
        <w:t>É</w:t>
      </w:r>
      <w:r w:rsidRPr="00DA74C9">
        <w:rPr>
          <w:b/>
        </w:rPr>
        <w:t>tat partie devrait</w:t>
      </w:r>
      <w:r w:rsidR="00DE7275">
        <w:rPr>
          <w:b/>
        </w:rPr>
        <w:t> </w:t>
      </w:r>
      <w:r w:rsidRPr="00DA74C9">
        <w:rPr>
          <w:b/>
        </w:rPr>
        <w:t>:</w:t>
      </w:r>
    </w:p>
    <w:p w14:paraId="16A27F01" w14:textId="6B576670" w:rsidR="00DA74C9" w:rsidRPr="00DA74C9" w:rsidRDefault="00F1057E" w:rsidP="00F1057E">
      <w:pPr>
        <w:pStyle w:val="SingleTxtG"/>
        <w:ind w:firstLine="567"/>
        <w:rPr>
          <w:b/>
        </w:rPr>
      </w:pPr>
      <w:r w:rsidRPr="00DA74C9">
        <w:rPr>
          <w:b/>
          <w:bCs/>
        </w:rPr>
        <w:t>a)</w:t>
      </w:r>
      <w:r w:rsidRPr="00DA74C9">
        <w:rPr>
          <w:b/>
          <w:bCs/>
        </w:rPr>
        <w:tab/>
      </w:r>
      <w:r w:rsidR="00DA74C9" w:rsidRPr="00DA74C9">
        <w:rPr>
          <w:b/>
        </w:rPr>
        <w:t xml:space="preserve">Garantir à tous les justiciables un accès effectif à la justice en renforçant le système d’aide juridictionnelle, </w:t>
      </w:r>
      <w:r w:rsidR="00DE7275">
        <w:rPr>
          <w:b/>
        </w:rPr>
        <w:t xml:space="preserve">en facilitant </w:t>
      </w:r>
      <w:r w:rsidR="00DA74C9" w:rsidRPr="00DA74C9">
        <w:rPr>
          <w:b/>
        </w:rPr>
        <w:t xml:space="preserve">l’accès à un avocat et </w:t>
      </w:r>
      <w:r w:rsidR="00DE7275">
        <w:rPr>
          <w:b/>
        </w:rPr>
        <w:t>en rapprochant les</w:t>
      </w:r>
      <w:r w:rsidR="00DA74C9" w:rsidRPr="00DA74C9">
        <w:rPr>
          <w:b/>
        </w:rPr>
        <w:t xml:space="preserve"> tribunaux des maisons d’arrêt</w:t>
      </w:r>
      <w:r w:rsidR="00C90791">
        <w:rPr>
          <w:b/>
        </w:rPr>
        <w:t> </w:t>
      </w:r>
      <w:r w:rsidR="00DA74C9" w:rsidRPr="00DA74C9">
        <w:rPr>
          <w:b/>
        </w:rPr>
        <w:t xml:space="preserve">; </w:t>
      </w:r>
    </w:p>
    <w:p w14:paraId="72EEF845" w14:textId="5E4A8183" w:rsidR="00DA74C9" w:rsidRPr="00DA74C9" w:rsidRDefault="00F1057E" w:rsidP="00F1057E">
      <w:pPr>
        <w:pStyle w:val="SingleTxtG"/>
        <w:ind w:firstLine="567"/>
        <w:rPr>
          <w:b/>
        </w:rPr>
      </w:pPr>
      <w:r w:rsidRPr="00DA74C9">
        <w:rPr>
          <w:b/>
          <w:bCs/>
        </w:rPr>
        <w:t>b)</w:t>
      </w:r>
      <w:r w:rsidRPr="00DA74C9">
        <w:rPr>
          <w:b/>
          <w:bCs/>
        </w:rPr>
        <w:tab/>
      </w:r>
      <w:r w:rsidR="00DA74C9" w:rsidRPr="00DA74C9">
        <w:rPr>
          <w:b/>
        </w:rPr>
        <w:t>Renforcer l’indépendance de la justice</w:t>
      </w:r>
      <w:r w:rsidR="00DE7275">
        <w:rPr>
          <w:b/>
        </w:rPr>
        <w:t>, notamment</w:t>
      </w:r>
      <w:r w:rsidR="00DA74C9" w:rsidRPr="00DA74C9">
        <w:rPr>
          <w:b/>
        </w:rPr>
        <w:t xml:space="preserve"> en intensifiant </w:t>
      </w:r>
      <w:r w:rsidR="00DE7275">
        <w:rPr>
          <w:b/>
        </w:rPr>
        <w:t>s</w:t>
      </w:r>
      <w:r w:rsidR="00DA74C9" w:rsidRPr="00DA74C9">
        <w:rPr>
          <w:b/>
        </w:rPr>
        <w:t>es efforts de lutte contre la corruption et en engageant une réforme du Conseil national de la magistrature</w:t>
      </w:r>
      <w:r w:rsidR="00DE7275">
        <w:rPr>
          <w:b/>
        </w:rPr>
        <w:t>, afin d’éviter toute immixtion du pouvoir exécutif</w:t>
      </w:r>
      <w:r w:rsidR="00DA74C9" w:rsidRPr="00DA74C9">
        <w:rPr>
          <w:b/>
        </w:rPr>
        <w:t>.</w:t>
      </w:r>
    </w:p>
    <w:p w14:paraId="54B754AB" w14:textId="77777777" w:rsidR="00DA74C9" w:rsidRDefault="00DA74C9" w:rsidP="00DA74C9">
      <w:pPr>
        <w:pStyle w:val="H23G"/>
        <w:rPr>
          <w:lang w:val="fr-FR"/>
        </w:rPr>
      </w:pPr>
      <w:r>
        <w:rPr>
          <w:lang w:val="fr-FR"/>
        </w:rPr>
        <w:tab/>
      </w:r>
      <w:r>
        <w:rPr>
          <w:lang w:val="fr-FR"/>
        </w:rPr>
        <w:tab/>
      </w:r>
      <w:r w:rsidRPr="00DA74C9">
        <w:rPr>
          <w:lang w:val="fr-FR"/>
        </w:rPr>
        <w:t>Justice des mineurs</w:t>
      </w:r>
    </w:p>
    <w:p w14:paraId="183809A7" w14:textId="16997E7D" w:rsidR="00DA74C9" w:rsidRDefault="00DA74C9" w:rsidP="00C90791">
      <w:pPr>
        <w:pStyle w:val="SingleTxtG"/>
      </w:pPr>
      <w:r>
        <w:t>18.</w:t>
      </w:r>
      <w:r>
        <w:tab/>
      </w:r>
      <w:r w:rsidRPr="00DA74C9">
        <w:t xml:space="preserve">Tout en accueillant favorablement l’institutionnalisation du juge des enfants par le Code de l’enfant et l’instauration de tribunaux « amis des enfants », le Comité s’inquiète de rapports crédibles selon lesquels de nombreux juges </w:t>
      </w:r>
      <w:r w:rsidR="00484728">
        <w:t>des</w:t>
      </w:r>
      <w:r w:rsidRPr="00DA74C9">
        <w:t xml:space="preserve"> enfants auraient été réaffectés à d’autres postes après avoir été formés.</w:t>
      </w:r>
      <w:r>
        <w:t xml:space="preserve"> </w:t>
      </w:r>
      <w:r w:rsidRPr="00DA74C9">
        <w:t>Le Comité est d’autant plus alarmé que les chiffres avancés oralement par la délégation de l’</w:t>
      </w:r>
      <w:r w:rsidR="00484728">
        <w:t>É</w:t>
      </w:r>
      <w:r w:rsidRPr="00DA74C9">
        <w:t xml:space="preserve">tat partie révèlent qu’un quart des affaires </w:t>
      </w:r>
      <w:r w:rsidR="00484728">
        <w:t xml:space="preserve">portées </w:t>
      </w:r>
      <w:r w:rsidRPr="00DA74C9">
        <w:t>devant la justice concernerait des cas de violences contre des enfants</w:t>
      </w:r>
      <w:r w:rsidR="00484728">
        <w:t>, et ce, alors</w:t>
      </w:r>
      <w:r w:rsidRPr="00DA74C9">
        <w:t xml:space="preserve"> que la majorité des enfants en détention sont en attente d’un jugement et ignorent les motifs de leur détention. Le Comité regrette enfin </w:t>
      </w:r>
      <w:r w:rsidRPr="00DA74C9">
        <w:rPr>
          <w:bCs/>
        </w:rPr>
        <w:t>que l’</w:t>
      </w:r>
      <w:r w:rsidR="00484728">
        <w:rPr>
          <w:bCs/>
        </w:rPr>
        <w:t>É</w:t>
      </w:r>
      <w:r w:rsidRPr="00DA74C9">
        <w:rPr>
          <w:bCs/>
        </w:rPr>
        <w:t>tat partie n’a</w:t>
      </w:r>
      <w:r w:rsidR="00484728">
        <w:rPr>
          <w:bCs/>
        </w:rPr>
        <w:t>it</w:t>
      </w:r>
      <w:r w:rsidRPr="00DA74C9">
        <w:rPr>
          <w:bCs/>
        </w:rPr>
        <w:t xml:space="preserve"> pas mis en œuvre </w:t>
      </w:r>
      <w:r w:rsidR="00484728">
        <w:rPr>
          <w:bCs/>
        </w:rPr>
        <w:t>les</w:t>
      </w:r>
      <w:r w:rsidRPr="00DA74C9">
        <w:rPr>
          <w:bCs/>
        </w:rPr>
        <w:t xml:space="preserve"> </w:t>
      </w:r>
      <w:r w:rsidRPr="0020225A">
        <w:rPr>
          <w:bCs/>
        </w:rPr>
        <w:t>recommandation</w:t>
      </w:r>
      <w:r w:rsidR="00484728" w:rsidRPr="0020225A">
        <w:rPr>
          <w:bCs/>
        </w:rPr>
        <w:t>s</w:t>
      </w:r>
      <w:r w:rsidRPr="0020225A">
        <w:rPr>
          <w:bCs/>
        </w:rPr>
        <w:t xml:space="preserve"> </w:t>
      </w:r>
      <w:r w:rsidR="00484728" w:rsidRPr="0020225A">
        <w:rPr>
          <w:bCs/>
        </w:rPr>
        <w:t xml:space="preserve">de ses observations finales </w:t>
      </w:r>
      <w:r w:rsidRPr="0020225A">
        <w:rPr>
          <w:bCs/>
        </w:rPr>
        <w:t>précédente</w:t>
      </w:r>
      <w:r w:rsidR="00484728" w:rsidRPr="0020225A">
        <w:rPr>
          <w:bCs/>
        </w:rPr>
        <w:t>s</w:t>
      </w:r>
      <w:r w:rsidRPr="0020225A">
        <w:rPr>
          <w:bCs/>
        </w:rPr>
        <w:t xml:space="preserve"> (par.14) visant à relever l’âge de la responsabilité pénale, actuellement fixé par </w:t>
      </w:r>
      <w:r w:rsidR="00484728" w:rsidRPr="0020225A">
        <w:rPr>
          <w:bCs/>
        </w:rPr>
        <w:t>l’article 236 du</w:t>
      </w:r>
      <w:r w:rsidRPr="0020225A">
        <w:rPr>
          <w:bCs/>
        </w:rPr>
        <w:t xml:space="preserve"> Code de l’enfant à 13 ans</w:t>
      </w:r>
      <w:r w:rsidRPr="0020225A">
        <w:t xml:space="preserve"> (art. 2, 11 et 16).</w:t>
      </w:r>
      <w:r w:rsidRPr="00DA74C9">
        <w:t xml:space="preserve"> </w:t>
      </w:r>
    </w:p>
    <w:p w14:paraId="38D703DD" w14:textId="32BF96E8" w:rsidR="00DA74C9" w:rsidRPr="00DA74C9" w:rsidRDefault="00DA74C9" w:rsidP="00484728">
      <w:pPr>
        <w:pStyle w:val="SingleTxtG"/>
        <w:rPr>
          <w:b/>
          <w:lang w:val="fr-FR"/>
        </w:rPr>
      </w:pPr>
      <w:r>
        <w:rPr>
          <w:lang w:val="fr-FR"/>
        </w:rPr>
        <w:t>19.</w:t>
      </w:r>
      <w:r>
        <w:rPr>
          <w:lang w:val="fr-FR"/>
        </w:rPr>
        <w:tab/>
      </w:r>
      <w:r w:rsidRPr="00DA74C9">
        <w:rPr>
          <w:b/>
          <w:lang w:val="fr-FR"/>
        </w:rPr>
        <w:t>L’</w:t>
      </w:r>
      <w:r w:rsidR="00484728">
        <w:rPr>
          <w:b/>
          <w:lang w:val="fr-FR"/>
        </w:rPr>
        <w:t>É</w:t>
      </w:r>
      <w:r w:rsidRPr="00DA74C9">
        <w:rPr>
          <w:b/>
          <w:lang w:val="fr-FR"/>
        </w:rPr>
        <w:t>tat partie devrait</w:t>
      </w:r>
      <w:r w:rsidR="00484728">
        <w:rPr>
          <w:b/>
          <w:lang w:val="fr-FR"/>
        </w:rPr>
        <w:t> </w:t>
      </w:r>
      <w:r w:rsidRPr="00DA74C9">
        <w:rPr>
          <w:b/>
          <w:lang w:val="fr-FR"/>
        </w:rPr>
        <w:t>:</w:t>
      </w:r>
    </w:p>
    <w:p w14:paraId="2BBC17F8" w14:textId="5E6B87ED" w:rsidR="00DA74C9" w:rsidRPr="00DA74C9" w:rsidRDefault="00F1057E" w:rsidP="00F1057E">
      <w:pPr>
        <w:pStyle w:val="SingleTxtG"/>
        <w:ind w:firstLine="567"/>
        <w:rPr>
          <w:b/>
          <w:color w:val="000000"/>
          <w:lang w:val="fr-FR"/>
        </w:rPr>
      </w:pPr>
      <w:r w:rsidRPr="00DA74C9">
        <w:rPr>
          <w:b/>
          <w:bCs/>
          <w:color w:val="000000"/>
          <w:lang w:val="fr-FR"/>
        </w:rPr>
        <w:t>a)</w:t>
      </w:r>
      <w:r w:rsidRPr="00DA74C9">
        <w:rPr>
          <w:b/>
          <w:bCs/>
          <w:color w:val="000000"/>
          <w:lang w:val="fr-FR"/>
        </w:rPr>
        <w:tab/>
      </w:r>
      <w:r w:rsidR="00DA74C9" w:rsidRPr="00DA74C9">
        <w:rPr>
          <w:b/>
          <w:color w:val="000000"/>
          <w:lang w:val="fr-FR"/>
        </w:rPr>
        <w:t xml:space="preserve">Nommer des juges </w:t>
      </w:r>
      <w:r w:rsidR="00466CE6">
        <w:rPr>
          <w:b/>
          <w:color w:val="000000"/>
          <w:lang w:val="fr-FR"/>
        </w:rPr>
        <w:t>des</w:t>
      </w:r>
      <w:r w:rsidR="00DA74C9" w:rsidRPr="00DA74C9">
        <w:rPr>
          <w:b/>
          <w:color w:val="000000"/>
          <w:lang w:val="fr-FR"/>
        </w:rPr>
        <w:t xml:space="preserve"> enfant</w:t>
      </w:r>
      <w:r w:rsidR="00484728">
        <w:rPr>
          <w:b/>
          <w:color w:val="000000"/>
          <w:lang w:val="fr-FR"/>
        </w:rPr>
        <w:t>s</w:t>
      </w:r>
      <w:r w:rsidR="00DA74C9" w:rsidRPr="00DA74C9">
        <w:rPr>
          <w:b/>
          <w:color w:val="000000"/>
          <w:lang w:val="fr-FR"/>
        </w:rPr>
        <w:t xml:space="preserve"> indépendants et inamovibles dans chaque juridiction, après les avoir dûment formés à l’administration de la justice des mineurs, y compris aux mesures </w:t>
      </w:r>
      <w:r w:rsidR="00DD04C2">
        <w:rPr>
          <w:b/>
          <w:color w:val="000000"/>
        </w:rPr>
        <w:t>de substitution</w:t>
      </w:r>
      <w:r w:rsidR="00DA74C9" w:rsidRPr="00DA74C9">
        <w:rPr>
          <w:b/>
          <w:color w:val="000000"/>
          <w:lang w:val="fr-FR"/>
        </w:rPr>
        <w:t xml:space="preserve"> </w:t>
      </w:r>
      <w:r w:rsidR="00DA74C9" w:rsidRPr="00DA74C9">
        <w:rPr>
          <w:b/>
          <w:color w:val="000000"/>
        </w:rPr>
        <w:t>à la détention</w:t>
      </w:r>
      <w:r w:rsidR="002308C1">
        <w:rPr>
          <w:b/>
          <w:color w:val="000000"/>
        </w:rPr>
        <w:t> </w:t>
      </w:r>
      <w:r w:rsidR="00DA74C9" w:rsidRPr="00DA74C9">
        <w:rPr>
          <w:b/>
          <w:color w:val="000000"/>
        </w:rPr>
        <w:t>;</w:t>
      </w:r>
    </w:p>
    <w:p w14:paraId="69F04109" w14:textId="5FD3E0FF" w:rsidR="00DA74C9" w:rsidRPr="00DA74C9" w:rsidRDefault="00F1057E" w:rsidP="00F1057E">
      <w:pPr>
        <w:pStyle w:val="SingleTxtG"/>
        <w:ind w:firstLine="567"/>
        <w:rPr>
          <w:b/>
          <w:color w:val="000000"/>
          <w:lang w:val="fr-FR"/>
        </w:rPr>
      </w:pPr>
      <w:r w:rsidRPr="00DA74C9">
        <w:rPr>
          <w:b/>
          <w:bCs/>
          <w:color w:val="000000"/>
          <w:lang w:val="fr-FR"/>
        </w:rPr>
        <w:t>b)</w:t>
      </w:r>
      <w:r w:rsidRPr="00DA74C9">
        <w:rPr>
          <w:b/>
          <w:bCs/>
          <w:color w:val="000000"/>
          <w:lang w:val="fr-FR"/>
        </w:rPr>
        <w:tab/>
      </w:r>
      <w:r w:rsidR="00DA74C9" w:rsidRPr="00DA74C9">
        <w:rPr>
          <w:b/>
          <w:color w:val="000000"/>
          <w:lang w:val="fr-FR"/>
        </w:rPr>
        <w:t xml:space="preserve">Rendre opérationnels les tribunaux pour mineurs, et les doter de juges spécialisés et en nombre suffisant, de sorte à accélérer les procédures </w:t>
      </w:r>
      <w:r w:rsidR="002308C1">
        <w:rPr>
          <w:b/>
          <w:color w:val="000000"/>
          <w:lang w:val="fr-FR"/>
        </w:rPr>
        <w:t xml:space="preserve">impliquant </w:t>
      </w:r>
      <w:r w:rsidR="00DA74C9" w:rsidRPr="00DA74C9">
        <w:rPr>
          <w:b/>
          <w:color w:val="000000"/>
          <w:lang w:val="fr-FR"/>
        </w:rPr>
        <w:t>des enfants privés de liberté</w:t>
      </w:r>
      <w:r w:rsidR="00C90791">
        <w:rPr>
          <w:b/>
          <w:color w:val="000000"/>
          <w:lang w:val="fr-FR"/>
        </w:rPr>
        <w:t> </w:t>
      </w:r>
      <w:r w:rsidR="00DA74C9" w:rsidRPr="00DA74C9">
        <w:rPr>
          <w:b/>
          <w:color w:val="000000"/>
          <w:lang w:val="fr-FR"/>
        </w:rPr>
        <w:t>;</w:t>
      </w:r>
    </w:p>
    <w:p w14:paraId="40FBDC19" w14:textId="5CF28B39" w:rsidR="00DA74C9" w:rsidRPr="00DA74C9" w:rsidRDefault="00F1057E" w:rsidP="00F1057E">
      <w:pPr>
        <w:pStyle w:val="SingleTxtG"/>
        <w:ind w:firstLine="567"/>
        <w:rPr>
          <w:b/>
          <w:color w:val="000000"/>
          <w:lang w:val="fr-FR"/>
        </w:rPr>
      </w:pPr>
      <w:r w:rsidRPr="00DA74C9">
        <w:rPr>
          <w:b/>
          <w:bCs/>
          <w:color w:val="000000"/>
          <w:lang w:val="fr-FR"/>
        </w:rPr>
        <w:t>c)</w:t>
      </w:r>
      <w:r w:rsidRPr="00DA74C9">
        <w:rPr>
          <w:b/>
          <w:bCs/>
          <w:color w:val="000000"/>
          <w:lang w:val="fr-FR"/>
        </w:rPr>
        <w:tab/>
      </w:r>
      <w:r w:rsidR="00DA74C9" w:rsidRPr="00DA74C9">
        <w:rPr>
          <w:b/>
          <w:color w:val="000000"/>
        </w:rPr>
        <w:t xml:space="preserve">Veiller au strict contrôle de la détention </w:t>
      </w:r>
      <w:r w:rsidR="00D100AD">
        <w:rPr>
          <w:b/>
          <w:color w:val="000000"/>
        </w:rPr>
        <w:t>provisoire</w:t>
      </w:r>
      <w:r w:rsidR="00DA74C9" w:rsidRPr="00DA74C9">
        <w:rPr>
          <w:b/>
          <w:color w:val="000000"/>
        </w:rPr>
        <w:t xml:space="preserve"> par le juge des </w:t>
      </w:r>
      <w:r w:rsidR="006179FA">
        <w:rPr>
          <w:b/>
          <w:color w:val="000000"/>
        </w:rPr>
        <w:t>enfants</w:t>
      </w:r>
      <w:r w:rsidR="00DA74C9" w:rsidRPr="00DA74C9">
        <w:rPr>
          <w:b/>
          <w:color w:val="000000"/>
        </w:rPr>
        <w:t xml:space="preserve">, </w:t>
      </w:r>
      <w:r w:rsidR="006179FA" w:rsidRPr="0020225A">
        <w:rPr>
          <w:b/>
          <w:color w:val="000000"/>
        </w:rPr>
        <w:t>et s’assurer de</w:t>
      </w:r>
      <w:r w:rsidR="00DA74C9" w:rsidRPr="0020225A">
        <w:rPr>
          <w:b/>
          <w:color w:val="000000"/>
        </w:rPr>
        <w:t xml:space="preserve"> la mise en œuvre </w:t>
      </w:r>
      <w:r w:rsidR="006179FA" w:rsidRPr="0020225A">
        <w:rPr>
          <w:b/>
          <w:color w:val="000000"/>
        </w:rPr>
        <w:t xml:space="preserve">de l’article 14 </w:t>
      </w:r>
      <w:r w:rsidR="00DA74C9" w:rsidRPr="0020225A">
        <w:rPr>
          <w:b/>
          <w:color w:val="000000"/>
        </w:rPr>
        <w:t>du Code de l’enfant, selon lequel</w:t>
      </w:r>
      <w:r w:rsidR="00DA74C9" w:rsidRPr="00DA74C9">
        <w:rPr>
          <w:b/>
          <w:color w:val="000000"/>
        </w:rPr>
        <w:t xml:space="preserve"> l’arrestation, la détention ou l’emprisonnement d’un enfant est une mesure de dernier recours et doit être d’une durée aussi brève que possible</w:t>
      </w:r>
      <w:r w:rsidR="00AB6EC3">
        <w:rPr>
          <w:b/>
          <w:color w:val="000000"/>
        </w:rPr>
        <w:t> </w:t>
      </w:r>
      <w:r w:rsidR="00DA74C9" w:rsidRPr="00DA74C9">
        <w:rPr>
          <w:b/>
          <w:color w:val="000000"/>
        </w:rPr>
        <w:t>;</w:t>
      </w:r>
    </w:p>
    <w:p w14:paraId="19377F27" w14:textId="555FF2CD" w:rsidR="00B7161E" w:rsidRDefault="00F1057E" w:rsidP="00F1057E">
      <w:pPr>
        <w:pStyle w:val="SingleTxtG"/>
        <w:ind w:firstLine="567"/>
        <w:rPr>
          <w:b/>
          <w:lang w:val="fr-FR"/>
        </w:rPr>
      </w:pPr>
      <w:r>
        <w:rPr>
          <w:b/>
          <w:bCs/>
          <w:lang w:val="fr-FR"/>
        </w:rPr>
        <w:t>d)</w:t>
      </w:r>
      <w:r>
        <w:rPr>
          <w:b/>
          <w:bCs/>
          <w:lang w:val="fr-FR"/>
        </w:rPr>
        <w:tab/>
      </w:r>
      <w:r w:rsidR="00DA74C9" w:rsidRPr="00DA74C9">
        <w:rPr>
          <w:b/>
          <w:lang w:val="fr-FR"/>
        </w:rPr>
        <w:t xml:space="preserve">Rehausser l’âge de la responsabilité pénale </w:t>
      </w:r>
      <w:r w:rsidR="00AB6EC3">
        <w:rPr>
          <w:b/>
          <w:lang w:val="fr-FR"/>
        </w:rPr>
        <w:t>pour qu’il soit conforme aux normes internationales</w:t>
      </w:r>
      <w:r w:rsidR="00B7161E">
        <w:rPr>
          <w:b/>
          <w:lang w:val="fr-FR"/>
        </w:rPr>
        <w:t> ;</w:t>
      </w:r>
    </w:p>
    <w:p w14:paraId="0115CD5E" w14:textId="0EBF20F4" w:rsidR="00DA74C9" w:rsidRPr="00DA74C9" w:rsidRDefault="00F1057E" w:rsidP="00F1057E">
      <w:pPr>
        <w:pStyle w:val="SingleTxtG"/>
        <w:ind w:firstLine="567"/>
        <w:rPr>
          <w:b/>
          <w:lang w:val="fr-FR"/>
        </w:rPr>
      </w:pPr>
      <w:r w:rsidRPr="00DA74C9">
        <w:rPr>
          <w:b/>
          <w:bCs/>
          <w:lang w:val="fr-FR"/>
        </w:rPr>
        <w:t>e)</w:t>
      </w:r>
      <w:r w:rsidRPr="00DA74C9">
        <w:rPr>
          <w:b/>
          <w:bCs/>
          <w:lang w:val="fr-FR"/>
        </w:rPr>
        <w:tab/>
      </w:r>
      <w:r w:rsidR="00AB6EC3">
        <w:rPr>
          <w:b/>
          <w:lang w:val="fr-FR"/>
        </w:rPr>
        <w:t>É</w:t>
      </w:r>
      <w:r w:rsidR="00B7161E">
        <w:rPr>
          <w:b/>
          <w:lang w:val="fr-FR"/>
        </w:rPr>
        <w:t>tablir un mécanisme de protection de l’</w:t>
      </w:r>
      <w:r w:rsidR="007B6278">
        <w:rPr>
          <w:b/>
          <w:lang w:val="fr-FR"/>
        </w:rPr>
        <w:t>enfance</w:t>
      </w:r>
      <w:r w:rsidR="00B7161E">
        <w:rPr>
          <w:b/>
          <w:lang w:val="fr-FR"/>
        </w:rPr>
        <w:t xml:space="preserve"> visant à l’identification préc</w:t>
      </w:r>
      <w:r w:rsidR="007B6278">
        <w:rPr>
          <w:b/>
          <w:lang w:val="fr-FR"/>
        </w:rPr>
        <w:t>oce ainsi qu’à</w:t>
      </w:r>
      <w:r w:rsidR="00B7161E">
        <w:rPr>
          <w:b/>
          <w:lang w:val="fr-FR"/>
        </w:rPr>
        <w:t xml:space="preserve"> la documentation des cas de violence</w:t>
      </w:r>
      <w:r w:rsidR="00AB6EC3">
        <w:rPr>
          <w:b/>
          <w:lang w:val="fr-FR"/>
        </w:rPr>
        <w:t>s</w:t>
      </w:r>
      <w:r w:rsidR="00B7161E">
        <w:rPr>
          <w:b/>
          <w:lang w:val="fr-FR"/>
        </w:rPr>
        <w:t xml:space="preserve"> contre les enfants, et offrant</w:t>
      </w:r>
      <w:r w:rsidR="007B6278">
        <w:rPr>
          <w:b/>
          <w:lang w:val="fr-FR"/>
        </w:rPr>
        <w:t xml:space="preserve"> </w:t>
      </w:r>
      <w:r w:rsidR="00AB6EC3">
        <w:rPr>
          <w:b/>
          <w:lang w:val="fr-FR"/>
        </w:rPr>
        <w:t xml:space="preserve">aux victimes </w:t>
      </w:r>
      <w:r w:rsidR="007B6278">
        <w:rPr>
          <w:b/>
          <w:lang w:val="fr-FR"/>
        </w:rPr>
        <w:t>des mesures de protection</w:t>
      </w:r>
      <w:r w:rsidR="00B7161E">
        <w:rPr>
          <w:b/>
          <w:lang w:val="fr-FR"/>
        </w:rPr>
        <w:t>, y compris judiciaires.</w:t>
      </w:r>
    </w:p>
    <w:p w14:paraId="3C744C97" w14:textId="03387C6F" w:rsidR="00DA74C9" w:rsidRDefault="00DA74C9" w:rsidP="00D100AD">
      <w:pPr>
        <w:pStyle w:val="H23G"/>
        <w:rPr>
          <w:lang w:val="fr-FR"/>
        </w:rPr>
      </w:pPr>
      <w:r>
        <w:rPr>
          <w:lang w:val="fr-FR"/>
        </w:rPr>
        <w:tab/>
      </w:r>
      <w:r>
        <w:rPr>
          <w:lang w:val="fr-FR"/>
        </w:rPr>
        <w:tab/>
      </w:r>
      <w:r w:rsidRPr="00DA74C9">
        <w:rPr>
          <w:lang w:val="fr-FR"/>
        </w:rPr>
        <w:t xml:space="preserve">Détention </w:t>
      </w:r>
      <w:r w:rsidR="00D100AD">
        <w:rPr>
          <w:lang w:val="fr-FR"/>
        </w:rPr>
        <w:t>provisoire</w:t>
      </w:r>
    </w:p>
    <w:p w14:paraId="54AB1499" w14:textId="22A69CFA" w:rsidR="00DA74C9" w:rsidRDefault="00DA74C9" w:rsidP="00D100AD">
      <w:pPr>
        <w:pStyle w:val="SingleTxtG"/>
        <w:rPr>
          <w:lang w:val="fr-FR"/>
        </w:rPr>
      </w:pPr>
      <w:r w:rsidRPr="0020225A">
        <w:rPr>
          <w:lang w:val="fr-FR"/>
        </w:rPr>
        <w:t>20.</w:t>
      </w:r>
      <w:r w:rsidRPr="0020225A">
        <w:rPr>
          <w:b/>
          <w:lang w:val="fr-FR"/>
        </w:rPr>
        <w:tab/>
      </w:r>
      <w:r w:rsidRPr="0020225A">
        <w:rPr>
          <w:lang w:val="fr-FR"/>
        </w:rPr>
        <w:t xml:space="preserve">En dépit des garanties édictées par </w:t>
      </w:r>
      <w:r w:rsidR="00AB6EC3" w:rsidRPr="0020225A">
        <w:rPr>
          <w:lang w:val="fr-FR"/>
        </w:rPr>
        <w:t>l’article 46 du</w:t>
      </w:r>
      <w:r w:rsidRPr="0020225A">
        <w:rPr>
          <w:lang w:val="fr-FR"/>
        </w:rPr>
        <w:t xml:space="preserve"> Code de procédure pénale, le Comité</w:t>
      </w:r>
      <w:r w:rsidRPr="00DA74C9">
        <w:rPr>
          <w:lang w:val="fr-FR"/>
        </w:rPr>
        <w:t xml:space="preserve"> demeure préoccupé par l’utilisation abusive de la détention </w:t>
      </w:r>
      <w:r w:rsidR="00D100AD">
        <w:rPr>
          <w:lang w:val="fr-FR"/>
        </w:rPr>
        <w:t>provisoire</w:t>
      </w:r>
      <w:r w:rsidRPr="00DA74C9">
        <w:rPr>
          <w:lang w:val="fr-FR"/>
        </w:rPr>
        <w:t>, en pratique, et relève avec inquiétude des prolongations excédant largement la durée maximale de la peine encourue.</w:t>
      </w:r>
      <w:r>
        <w:rPr>
          <w:lang w:val="fr-FR"/>
        </w:rPr>
        <w:t xml:space="preserve"> </w:t>
      </w:r>
      <w:r w:rsidR="00AB6EC3">
        <w:rPr>
          <w:lang w:val="fr-FR"/>
        </w:rPr>
        <w:t>Tout en n</w:t>
      </w:r>
      <w:r w:rsidRPr="00DA74C9">
        <w:rPr>
          <w:lang w:val="fr-FR"/>
        </w:rPr>
        <w:t>otant les indicateurs encourageants fournis par l’</w:t>
      </w:r>
      <w:r w:rsidR="00AB6EC3">
        <w:rPr>
          <w:lang w:val="fr-FR"/>
        </w:rPr>
        <w:t>É</w:t>
      </w:r>
      <w:r w:rsidRPr="00DA74C9">
        <w:rPr>
          <w:lang w:val="fr-FR"/>
        </w:rPr>
        <w:t>tat partie, le Comité s’inquiète</w:t>
      </w:r>
      <w:r>
        <w:rPr>
          <w:lang w:val="fr-FR"/>
        </w:rPr>
        <w:t xml:space="preserve"> </w:t>
      </w:r>
      <w:r w:rsidR="00AB6EC3">
        <w:rPr>
          <w:lang w:val="fr-FR"/>
        </w:rPr>
        <w:t xml:space="preserve">de ce </w:t>
      </w:r>
      <w:r w:rsidRPr="00DA74C9">
        <w:rPr>
          <w:lang w:val="fr-FR"/>
        </w:rPr>
        <w:t>que le recours systématique à la détention provisoire demeure une pratique fortement marquée dans la culture judiciaire</w:t>
      </w:r>
      <w:r w:rsidR="00D100AD">
        <w:rPr>
          <w:lang w:val="fr-FR"/>
        </w:rPr>
        <w:t>,</w:t>
      </w:r>
      <w:r w:rsidRPr="00DA74C9">
        <w:rPr>
          <w:lang w:val="fr-FR"/>
        </w:rPr>
        <w:t xml:space="preserve"> </w:t>
      </w:r>
      <w:r w:rsidR="00D100AD">
        <w:rPr>
          <w:lang w:val="fr-FR"/>
        </w:rPr>
        <w:t>ce</w:t>
      </w:r>
      <w:r w:rsidRPr="00DA74C9">
        <w:rPr>
          <w:lang w:val="fr-FR"/>
        </w:rPr>
        <w:t xml:space="preserve"> qui contribue directement à la surpopulation carcérale (art. 2). </w:t>
      </w:r>
    </w:p>
    <w:p w14:paraId="42420B6C" w14:textId="0B7DF146" w:rsidR="00DA74C9" w:rsidRPr="00DA74C9" w:rsidRDefault="00DA74C9" w:rsidP="004C3C20">
      <w:pPr>
        <w:pStyle w:val="SingleTxtG"/>
        <w:rPr>
          <w:b/>
          <w:lang w:val="fr-FR"/>
        </w:rPr>
      </w:pPr>
      <w:r w:rsidRPr="00DA74C9">
        <w:rPr>
          <w:lang w:val="fr-FR"/>
        </w:rPr>
        <w:t>21.</w:t>
      </w:r>
      <w:r w:rsidRPr="00DA74C9">
        <w:rPr>
          <w:lang w:val="fr-FR"/>
        </w:rPr>
        <w:tab/>
      </w:r>
      <w:r w:rsidRPr="00DA74C9">
        <w:rPr>
          <w:b/>
          <w:lang w:val="fr-FR"/>
        </w:rPr>
        <w:t>Le Comité recommande à l’État partie</w:t>
      </w:r>
      <w:r w:rsidR="00D100AD">
        <w:rPr>
          <w:b/>
          <w:lang w:val="fr-FR"/>
        </w:rPr>
        <w:t> </w:t>
      </w:r>
      <w:r w:rsidRPr="00DA74C9">
        <w:rPr>
          <w:b/>
          <w:lang w:val="fr-FR"/>
        </w:rPr>
        <w:t>:</w:t>
      </w:r>
    </w:p>
    <w:p w14:paraId="7ABCFFE7" w14:textId="62041F52" w:rsidR="00DA74C9" w:rsidRPr="00DA74C9" w:rsidRDefault="00DA74C9" w:rsidP="004C3C20">
      <w:pPr>
        <w:pStyle w:val="SingleTxtG"/>
        <w:ind w:firstLine="567"/>
        <w:rPr>
          <w:b/>
          <w:lang w:val="fr-FR"/>
        </w:rPr>
      </w:pPr>
      <w:r w:rsidRPr="00F1057E">
        <w:rPr>
          <w:b/>
          <w:bCs/>
          <w:lang w:val="fr-FR"/>
        </w:rPr>
        <w:t>a)</w:t>
      </w:r>
      <w:r w:rsidRPr="00DA74C9">
        <w:rPr>
          <w:b/>
          <w:lang w:val="fr-FR"/>
        </w:rPr>
        <w:tab/>
      </w:r>
      <w:r w:rsidR="004C3C20">
        <w:rPr>
          <w:b/>
          <w:lang w:val="fr-FR"/>
        </w:rPr>
        <w:t>De v</w:t>
      </w:r>
      <w:r w:rsidRPr="00DA74C9">
        <w:rPr>
          <w:b/>
          <w:lang w:val="fr-FR"/>
        </w:rPr>
        <w:t xml:space="preserve">eiller au contrôle effectif de la détention </w:t>
      </w:r>
      <w:r w:rsidR="00D100AD">
        <w:rPr>
          <w:b/>
          <w:lang w:val="fr-FR"/>
        </w:rPr>
        <w:t>provisoire</w:t>
      </w:r>
      <w:r w:rsidRPr="00DA74C9">
        <w:rPr>
          <w:b/>
          <w:lang w:val="fr-FR"/>
        </w:rPr>
        <w:t xml:space="preserve"> par le juge des libertés et de la détention, en s’assurant que celle-ci respecte les dispositions fixant sa durée maximale, </w:t>
      </w:r>
      <w:r w:rsidR="00D100AD">
        <w:rPr>
          <w:b/>
          <w:lang w:val="fr-FR"/>
        </w:rPr>
        <w:t xml:space="preserve">et </w:t>
      </w:r>
      <w:r w:rsidRPr="00DA74C9">
        <w:rPr>
          <w:b/>
          <w:lang w:val="fr-FR"/>
        </w:rPr>
        <w:t xml:space="preserve">qu’elle </w:t>
      </w:r>
      <w:r w:rsidR="00D100AD">
        <w:rPr>
          <w:b/>
          <w:lang w:val="fr-FR"/>
        </w:rPr>
        <w:t>est</w:t>
      </w:r>
      <w:r w:rsidRPr="00DA74C9">
        <w:rPr>
          <w:b/>
          <w:lang w:val="fr-FR"/>
        </w:rPr>
        <w:t xml:space="preserve"> aussi brève que possible, exceptionnelle, nécessaire et proportionnelle</w:t>
      </w:r>
      <w:r w:rsidR="00D100AD">
        <w:rPr>
          <w:b/>
          <w:lang w:val="fr-FR"/>
        </w:rPr>
        <w:t> </w:t>
      </w:r>
      <w:r w:rsidRPr="00DA74C9">
        <w:rPr>
          <w:b/>
          <w:lang w:val="fr-FR"/>
        </w:rPr>
        <w:t xml:space="preserve">; </w:t>
      </w:r>
    </w:p>
    <w:p w14:paraId="3FB240AC" w14:textId="0E78D02C" w:rsidR="00DA74C9" w:rsidRPr="00DA74C9" w:rsidRDefault="00DA74C9" w:rsidP="004C3C20">
      <w:pPr>
        <w:pStyle w:val="SingleTxtG"/>
        <w:ind w:firstLine="567"/>
        <w:rPr>
          <w:b/>
          <w:lang w:val="fr-FR"/>
        </w:rPr>
      </w:pPr>
      <w:r w:rsidRPr="00F1057E">
        <w:rPr>
          <w:b/>
          <w:bCs/>
          <w:lang w:val="fr-FR"/>
        </w:rPr>
        <w:t>b)</w:t>
      </w:r>
      <w:r w:rsidRPr="00DA74C9">
        <w:rPr>
          <w:b/>
          <w:lang w:val="fr-FR"/>
        </w:rPr>
        <w:tab/>
      </w:r>
      <w:r w:rsidR="004C3C20">
        <w:rPr>
          <w:b/>
          <w:lang w:val="fr-FR"/>
        </w:rPr>
        <w:t>De p</w:t>
      </w:r>
      <w:r w:rsidRPr="00DA74C9">
        <w:rPr>
          <w:b/>
          <w:lang w:val="fr-FR"/>
        </w:rPr>
        <w:t xml:space="preserve">romouvoir activement, au sein des parquets et auprès des juges, le recours à des mesures de substitution à la détention provisoire, conformément aux </w:t>
      </w:r>
      <w:r w:rsidRPr="00DA74C9">
        <w:rPr>
          <w:b/>
          <w:lang w:val="fr-FR"/>
        </w:rPr>
        <w:lastRenderedPageBreak/>
        <w:t>Règles minima des Nations Unies pour l’élaboration de mesures non privatives de liberté (Règles de Tokyo)</w:t>
      </w:r>
      <w:r w:rsidR="00884728">
        <w:rPr>
          <w:b/>
          <w:lang w:val="fr-FR"/>
        </w:rPr>
        <w:t> </w:t>
      </w:r>
      <w:r w:rsidRPr="00DA74C9">
        <w:rPr>
          <w:b/>
          <w:lang w:val="fr-FR"/>
        </w:rPr>
        <w:t>;</w:t>
      </w:r>
    </w:p>
    <w:p w14:paraId="3467D4C9" w14:textId="0F5D10A2" w:rsidR="00DA74C9" w:rsidRPr="00DA74C9" w:rsidRDefault="00DA74C9" w:rsidP="004C3C20">
      <w:pPr>
        <w:pStyle w:val="SingleTxtG"/>
        <w:ind w:firstLine="567"/>
        <w:rPr>
          <w:b/>
          <w:lang w:val="fr-FR"/>
        </w:rPr>
      </w:pPr>
      <w:r w:rsidRPr="00F1057E">
        <w:rPr>
          <w:b/>
          <w:bCs/>
          <w:lang w:val="fr-FR"/>
        </w:rPr>
        <w:t>c)</w:t>
      </w:r>
      <w:r w:rsidRPr="00DA74C9">
        <w:rPr>
          <w:b/>
          <w:lang w:val="fr-FR"/>
        </w:rPr>
        <w:tab/>
      </w:r>
      <w:r w:rsidR="004C3C20">
        <w:rPr>
          <w:b/>
          <w:lang w:val="fr-FR"/>
        </w:rPr>
        <w:t>De l</w:t>
      </w:r>
      <w:r w:rsidRPr="00DA74C9">
        <w:rPr>
          <w:b/>
          <w:lang w:val="fr-FR"/>
        </w:rPr>
        <w:t xml:space="preserve">ibérer immédiatement toutes les personnes placées en détention provisoire qui </w:t>
      </w:r>
      <w:r w:rsidR="00884728">
        <w:rPr>
          <w:b/>
          <w:lang w:val="fr-FR"/>
        </w:rPr>
        <w:t xml:space="preserve">y </w:t>
      </w:r>
      <w:r w:rsidRPr="00DA74C9">
        <w:rPr>
          <w:b/>
          <w:lang w:val="fr-FR"/>
        </w:rPr>
        <w:t xml:space="preserve">ont déjà passé plus de temps que ne le justifierait la peine de prison maximale dont est passible l’infraction qui leur est reprochée. </w:t>
      </w:r>
    </w:p>
    <w:p w14:paraId="0E5AF5BE" w14:textId="77777777" w:rsidR="00DA74C9" w:rsidRDefault="00DA74C9" w:rsidP="00DA74C9">
      <w:pPr>
        <w:pStyle w:val="H23G"/>
        <w:rPr>
          <w:lang w:val="fr-FR"/>
        </w:rPr>
      </w:pPr>
      <w:r>
        <w:rPr>
          <w:lang w:val="fr-FR"/>
        </w:rPr>
        <w:tab/>
      </w:r>
      <w:r>
        <w:rPr>
          <w:lang w:val="fr-FR"/>
        </w:rPr>
        <w:tab/>
      </w:r>
      <w:r w:rsidRPr="00DA74C9">
        <w:rPr>
          <w:lang w:val="fr-FR"/>
        </w:rPr>
        <w:t xml:space="preserve">Conditions de détention </w:t>
      </w:r>
    </w:p>
    <w:p w14:paraId="529241E1" w14:textId="28FBAE97" w:rsidR="00DA74C9" w:rsidRDefault="00DA74C9" w:rsidP="004E2E60">
      <w:pPr>
        <w:pStyle w:val="SingleTxtG"/>
        <w:rPr>
          <w:lang w:val="fr-FR"/>
        </w:rPr>
      </w:pPr>
      <w:r>
        <w:rPr>
          <w:lang w:val="fr-FR"/>
        </w:rPr>
        <w:t>22.</w:t>
      </w:r>
      <w:r>
        <w:rPr>
          <w:lang w:val="fr-FR"/>
        </w:rPr>
        <w:tab/>
      </w:r>
      <w:r w:rsidRPr="00DA74C9">
        <w:rPr>
          <w:lang w:val="fr-FR"/>
        </w:rPr>
        <w:t xml:space="preserve">Le Comité déplore l’insalubrité qui caractérise les locaux des commissariats et de la gendarmerie. Concernant les lieux de détention, en dépit des mesures </w:t>
      </w:r>
      <w:r w:rsidR="00884728">
        <w:rPr>
          <w:lang w:val="fr-FR"/>
        </w:rPr>
        <w:t>prises pour</w:t>
      </w:r>
      <w:r w:rsidRPr="00DA74C9">
        <w:rPr>
          <w:lang w:val="fr-FR"/>
        </w:rPr>
        <w:t xml:space="preserve"> les désengorger, comme la construction de nouvelles prisons, l’extension de prisons existantes et la création de l’Agence pénitentiaire, le Comité</w:t>
      </w:r>
      <w:r>
        <w:rPr>
          <w:lang w:val="fr-FR"/>
        </w:rPr>
        <w:t xml:space="preserve"> </w:t>
      </w:r>
      <w:r w:rsidRPr="00DA74C9">
        <w:rPr>
          <w:lang w:val="fr-FR"/>
        </w:rPr>
        <w:t>demeure vivement préoccupé par la surpopulation carcérale. Il s’inquiète en outre</w:t>
      </w:r>
      <w:r w:rsidR="00884728">
        <w:rPr>
          <w:lang w:val="fr-FR"/>
        </w:rPr>
        <w:t> : a)</w:t>
      </w:r>
      <w:r w:rsidRPr="00DA74C9">
        <w:rPr>
          <w:lang w:val="fr-FR"/>
        </w:rPr>
        <w:t xml:space="preserve"> du manque d’hygiène et de couchages ; </w:t>
      </w:r>
      <w:r w:rsidR="00884728">
        <w:rPr>
          <w:lang w:val="fr-FR"/>
        </w:rPr>
        <w:t>b)</w:t>
      </w:r>
      <w:r w:rsidR="00E75939">
        <w:rPr>
          <w:lang w:val="fr-FR"/>
        </w:rPr>
        <w:t> </w:t>
      </w:r>
      <w:r w:rsidRPr="00DA74C9">
        <w:rPr>
          <w:lang w:val="fr-FR"/>
        </w:rPr>
        <w:t xml:space="preserve">de la qualité et </w:t>
      </w:r>
      <w:r w:rsidR="004E2E60">
        <w:rPr>
          <w:lang w:val="fr-FR"/>
        </w:rPr>
        <w:t xml:space="preserve">de la </w:t>
      </w:r>
      <w:r w:rsidRPr="00DA74C9">
        <w:rPr>
          <w:lang w:val="fr-FR"/>
        </w:rPr>
        <w:t xml:space="preserve">quantité insuffisantes de l’alimentation ; </w:t>
      </w:r>
      <w:r w:rsidR="004E2E60">
        <w:rPr>
          <w:lang w:val="fr-FR"/>
        </w:rPr>
        <w:t xml:space="preserve">c) </w:t>
      </w:r>
      <w:r w:rsidRPr="00DA74C9">
        <w:rPr>
          <w:lang w:val="fr-FR"/>
        </w:rPr>
        <w:t xml:space="preserve">du manque de personnel médical et de soins et traitements médicaux ; </w:t>
      </w:r>
      <w:r w:rsidR="004E2E60">
        <w:rPr>
          <w:lang w:val="fr-FR"/>
        </w:rPr>
        <w:t xml:space="preserve">d) </w:t>
      </w:r>
      <w:r w:rsidRPr="00DA74C9">
        <w:rPr>
          <w:lang w:val="fr-FR"/>
        </w:rPr>
        <w:t>de la non</w:t>
      </w:r>
      <w:r w:rsidR="004E2E60">
        <w:rPr>
          <w:lang w:val="fr-FR"/>
        </w:rPr>
        <w:t>-</w:t>
      </w:r>
      <w:r w:rsidRPr="00DA74C9">
        <w:rPr>
          <w:lang w:val="fr-FR"/>
        </w:rPr>
        <w:t xml:space="preserve">séparation entre prévenus, inculpés et condamnés ; et </w:t>
      </w:r>
      <w:r w:rsidR="00AB1EBA">
        <w:rPr>
          <w:lang w:val="fr-FR"/>
        </w:rPr>
        <w:t>e</w:t>
      </w:r>
      <w:r w:rsidR="004E2E60">
        <w:rPr>
          <w:lang w:val="fr-FR"/>
        </w:rPr>
        <w:t xml:space="preserve">) </w:t>
      </w:r>
      <w:r w:rsidRPr="00DA74C9">
        <w:rPr>
          <w:lang w:val="fr-FR"/>
        </w:rPr>
        <w:t xml:space="preserve">de l’insuffisance du personnel pénitentiaire. Il s’inquiète aussi de la situation des anciens condamnés à mort qui ont vu leur peine commuée en réclusion à perpétuité. Enfin, tout en relevant les efforts </w:t>
      </w:r>
      <w:r w:rsidR="004E2E60">
        <w:rPr>
          <w:lang w:val="fr-FR"/>
        </w:rPr>
        <w:t>entrepris récemment</w:t>
      </w:r>
      <w:r w:rsidRPr="00DA74C9">
        <w:rPr>
          <w:lang w:val="fr-FR"/>
        </w:rPr>
        <w:t xml:space="preserve"> pour endiguer ce phénomène, le Comité s’inquiète de la corruption au sein de l’administration pénitentiaire, ayant mené à </w:t>
      </w:r>
      <w:r w:rsidR="004E2E60">
        <w:rPr>
          <w:lang w:val="fr-FR"/>
        </w:rPr>
        <w:t>des actes de</w:t>
      </w:r>
      <w:r w:rsidRPr="00DA74C9">
        <w:rPr>
          <w:lang w:val="fr-FR"/>
        </w:rPr>
        <w:t xml:space="preserve"> rançonnement et </w:t>
      </w:r>
      <w:r w:rsidR="004E2E60">
        <w:rPr>
          <w:lang w:val="fr-FR"/>
        </w:rPr>
        <w:t xml:space="preserve">d’octroi </w:t>
      </w:r>
      <w:r w:rsidRPr="00DA74C9">
        <w:rPr>
          <w:lang w:val="fr-FR"/>
        </w:rPr>
        <w:t xml:space="preserve">de privilèges en milieu carcéral (art. 11 et 16). </w:t>
      </w:r>
    </w:p>
    <w:p w14:paraId="4FF635FF" w14:textId="5A65AAA0" w:rsidR="00DA74C9" w:rsidRPr="00DA74C9" w:rsidRDefault="00DA74C9" w:rsidP="00DA74C9">
      <w:pPr>
        <w:pStyle w:val="SingleTxtG"/>
        <w:rPr>
          <w:b/>
          <w:lang w:val="fr-FR"/>
        </w:rPr>
      </w:pPr>
      <w:r>
        <w:rPr>
          <w:lang w:val="fr-FR"/>
        </w:rPr>
        <w:t>23.</w:t>
      </w:r>
      <w:r>
        <w:rPr>
          <w:lang w:val="fr-FR"/>
        </w:rPr>
        <w:tab/>
      </w:r>
      <w:r w:rsidRPr="00DA74C9">
        <w:rPr>
          <w:b/>
          <w:lang w:val="fr-FR"/>
        </w:rPr>
        <w:t>L’État partie devrait urgemment</w:t>
      </w:r>
      <w:r w:rsidR="004E2E60">
        <w:rPr>
          <w:b/>
          <w:lang w:val="fr-FR"/>
        </w:rPr>
        <w:t> </w:t>
      </w:r>
      <w:r w:rsidRPr="00DA74C9">
        <w:rPr>
          <w:b/>
          <w:lang w:val="fr-FR"/>
        </w:rPr>
        <w:t>:</w:t>
      </w:r>
    </w:p>
    <w:p w14:paraId="338248A3" w14:textId="766B5595" w:rsidR="00DA74C9" w:rsidRPr="00DA74C9" w:rsidRDefault="00F1057E" w:rsidP="00F1057E">
      <w:pPr>
        <w:pStyle w:val="SingleTxtG"/>
        <w:ind w:firstLine="567"/>
        <w:rPr>
          <w:rFonts w:eastAsia="Times New Roman"/>
          <w:b/>
          <w:bCs/>
          <w:lang w:val="fr-FR"/>
        </w:rPr>
      </w:pPr>
      <w:r w:rsidRPr="00DA74C9">
        <w:rPr>
          <w:rFonts w:eastAsia="Times New Roman"/>
          <w:b/>
          <w:lang w:val="fr-FR"/>
        </w:rPr>
        <w:t>a)</w:t>
      </w:r>
      <w:r w:rsidRPr="00DA74C9">
        <w:rPr>
          <w:rFonts w:eastAsia="Times New Roman"/>
          <w:b/>
          <w:lang w:val="fr-FR"/>
        </w:rPr>
        <w:tab/>
      </w:r>
      <w:r w:rsidR="00DA74C9" w:rsidRPr="00DA74C9">
        <w:rPr>
          <w:rFonts w:eastAsia="Times New Roman"/>
          <w:b/>
          <w:bCs/>
          <w:lang w:val="fr-FR"/>
        </w:rPr>
        <w:t>Améliorer les conditions matérielles dans tous les lieux de privation de liberté, en veillant à ce que les prisonniers reçoivent</w:t>
      </w:r>
      <w:r w:rsidR="00745CA8">
        <w:rPr>
          <w:rFonts w:eastAsia="Times New Roman"/>
          <w:b/>
          <w:bCs/>
          <w:lang w:val="fr-FR"/>
        </w:rPr>
        <w:t>,</w:t>
      </w:r>
      <w:r w:rsidR="00DA74C9" w:rsidRPr="00DA74C9">
        <w:rPr>
          <w:rFonts w:eastAsia="Times New Roman"/>
          <w:b/>
          <w:bCs/>
          <w:lang w:val="fr-FR"/>
        </w:rPr>
        <w:t xml:space="preserve"> en temps voulu et sans frais, les soins médicaux et médicaments nécessaires à leur santé</w:t>
      </w:r>
      <w:r w:rsidR="004E2E60">
        <w:rPr>
          <w:rFonts w:eastAsia="Times New Roman"/>
          <w:b/>
          <w:bCs/>
          <w:lang w:val="fr-FR"/>
        </w:rPr>
        <w:t>,</w:t>
      </w:r>
      <w:r w:rsidR="00DA74C9" w:rsidRPr="00DA74C9">
        <w:rPr>
          <w:rFonts w:eastAsia="Times New Roman"/>
          <w:b/>
          <w:bCs/>
          <w:lang w:val="fr-FR"/>
        </w:rPr>
        <w:t xml:space="preserve"> aient accès à une alimentation </w:t>
      </w:r>
      <w:r w:rsidR="00745CA8">
        <w:rPr>
          <w:rFonts w:eastAsia="Times New Roman"/>
          <w:b/>
          <w:bCs/>
          <w:lang w:val="fr-FR"/>
        </w:rPr>
        <w:t>nutritive</w:t>
      </w:r>
      <w:r w:rsidR="00DA74C9" w:rsidRPr="00DA74C9">
        <w:rPr>
          <w:rFonts w:eastAsia="Times New Roman"/>
          <w:b/>
          <w:bCs/>
          <w:lang w:val="fr-FR"/>
        </w:rPr>
        <w:t xml:space="preserve"> et suffisante, </w:t>
      </w:r>
      <w:r w:rsidR="00745CA8">
        <w:rPr>
          <w:rFonts w:eastAsia="Times New Roman"/>
          <w:b/>
          <w:bCs/>
          <w:lang w:val="fr-FR"/>
        </w:rPr>
        <w:t>et disposent de</w:t>
      </w:r>
      <w:r w:rsidR="00DA74C9" w:rsidRPr="00DA74C9">
        <w:rPr>
          <w:rFonts w:eastAsia="Times New Roman"/>
          <w:b/>
          <w:bCs/>
          <w:lang w:val="fr-FR"/>
        </w:rPr>
        <w:t xml:space="preserve"> conditions sanitaires adéquates </w:t>
      </w:r>
      <w:r w:rsidR="00745CA8">
        <w:rPr>
          <w:rFonts w:eastAsia="Times New Roman"/>
          <w:b/>
          <w:bCs/>
          <w:lang w:val="fr-FR"/>
        </w:rPr>
        <w:t>ainsi que</w:t>
      </w:r>
      <w:r w:rsidR="00DA74C9" w:rsidRPr="00DA74C9">
        <w:rPr>
          <w:rFonts w:eastAsia="Times New Roman"/>
          <w:b/>
          <w:bCs/>
          <w:lang w:val="fr-FR"/>
        </w:rPr>
        <w:t xml:space="preserve"> de couchages en nombre </w:t>
      </w:r>
      <w:r w:rsidR="007B6278">
        <w:rPr>
          <w:rFonts w:eastAsia="Times New Roman"/>
          <w:b/>
          <w:bCs/>
          <w:lang w:val="fr-FR"/>
        </w:rPr>
        <w:t>approprié</w:t>
      </w:r>
      <w:r w:rsidR="00745CA8">
        <w:rPr>
          <w:rFonts w:eastAsia="Times New Roman"/>
          <w:b/>
          <w:bCs/>
          <w:lang w:val="fr-FR"/>
        </w:rPr>
        <w:t> </w:t>
      </w:r>
      <w:r w:rsidR="00DA74C9" w:rsidRPr="00DA74C9">
        <w:rPr>
          <w:rFonts w:eastAsia="Times New Roman"/>
          <w:b/>
          <w:bCs/>
          <w:lang w:val="fr-FR"/>
        </w:rPr>
        <w:t xml:space="preserve">; </w:t>
      </w:r>
    </w:p>
    <w:p w14:paraId="28295641" w14:textId="4E6AE8A1" w:rsidR="00DA74C9" w:rsidRPr="00DA74C9" w:rsidRDefault="00F1057E" w:rsidP="00F1057E">
      <w:pPr>
        <w:pStyle w:val="SingleTxtG"/>
        <w:ind w:firstLine="567"/>
        <w:rPr>
          <w:rFonts w:eastAsia="Times New Roman"/>
          <w:b/>
          <w:bCs/>
          <w:lang w:val="fr-FR"/>
        </w:rPr>
      </w:pPr>
      <w:r w:rsidRPr="00DA74C9">
        <w:rPr>
          <w:rFonts w:eastAsia="Times New Roman"/>
          <w:b/>
          <w:lang w:val="fr-FR"/>
        </w:rPr>
        <w:t>b)</w:t>
      </w:r>
      <w:r w:rsidRPr="00DA74C9">
        <w:rPr>
          <w:rFonts w:eastAsia="Times New Roman"/>
          <w:b/>
          <w:lang w:val="fr-FR"/>
        </w:rPr>
        <w:tab/>
      </w:r>
      <w:r w:rsidR="007B6278">
        <w:rPr>
          <w:rFonts w:eastAsia="Times New Roman"/>
          <w:b/>
          <w:bCs/>
          <w:lang w:val="fr-FR"/>
        </w:rPr>
        <w:t>Prendre des mesures visant à mettre fin à</w:t>
      </w:r>
      <w:r w:rsidR="007B6278" w:rsidRPr="00DA74C9">
        <w:rPr>
          <w:rFonts w:eastAsia="Times New Roman"/>
          <w:b/>
          <w:bCs/>
          <w:lang w:val="fr-FR"/>
        </w:rPr>
        <w:t xml:space="preserve"> </w:t>
      </w:r>
      <w:r w:rsidR="00DA74C9" w:rsidRPr="00DA74C9">
        <w:rPr>
          <w:rFonts w:eastAsia="Times New Roman"/>
          <w:b/>
          <w:bCs/>
          <w:lang w:val="fr-FR"/>
        </w:rPr>
        <w:t xml:space="preserve">la surpopulation carcérale en privilégiant les mesures </w:t>
      </w:r>
      <w:r w:rsidR="006B6DEF">
        <w:rPr>
          <w:rFonts w:eastAsia="Times New Roman"/>
          <w:b/>
          <w:bCs/>
          <w:lang w:val="fr-FR"/>
        </w:rPr>
        <w:t>de substitution</w:t>
      </w:r>
      <w:r w:rsidR="00DA74C9" w:rsidRPr="00DA74C9">
        <w:rPr>
          <w:rFonts w:eastAsia="Times New Roman"/>
          <w:b/>
          <w:bCs/>
          <w:lang w:val="fr-FR"/>
        </w:rPr>
        <w:t xml:space="preserve"> à la détention</w:t>
      </w:r>
      <w:r w:rsidR="006B6DEF">
        <w:rPr>
          <w:rFonts w:eastAsia="Times New Roman"/>
          <w:b/>
          <w:bCs/>
          <w:lang w:val="fr-FR"/>
        </w:rPr>
        <w:t> </w:t>
      </w:r>
      <w:r w:rsidR="00DA74C9" w:rsidRPr="00DA74C9">
        <w:rPr>
          <w:rFonts w:eastAsia="Times New Roman"/>
          <w:b/>
          <w:bCs/>
          <w:lang w:val="fr-FR"/>
        </w:rPr>
        <w:t>;</w:t>
      </w:r>
    </w:p>
    <w:p w14:paraId="54DEC890" w14:textId="1F48FEFD" w:rsidR="00DA74C9" w:rsidRPr="00DA74C9" w:rsidRDefault="00F1057E" w:rsidP="00F1057E">
      <w:pPr>
        <w:pStyle w:val="SingleTxtG"/>
        <w:ind w:firstLine="567"/>
        <w:rPr>
          <w:b/>
          <w:lang w:val="fr-FR"/>
        </w:rPr>
      </w:pPr>
      <w:r w:rsidRPr="00DA74C9">
        <w:rPr>
          <w:b/>
          <w:lang w:val="fr-FR"/>
        </w:rPr>
        <w:t>c)</w:t>
      </w:r>
      <w:r w:rsidRPr="00DA74C9">
        <w:rPr>
          <w:b/>
          <w:lang w:val="fr-FR"/>
        </w:rPr>
        <w:tab/>
      </w:r>
      <w:r w:rsidR="00DA74C9" w:rsidRPr="00DA74C9">
        <w:rPr>
          <w:b/>
          <w:lang w:val="fr-FR"/>
        </w:rPr>
        <w:t>Séparer strictement les détenus en fonction de leur statut</w:t>
      </w:r>
      <w:r w:rsidR="006B6DEF">
        <w:rPr>
          <w:b/>
          <w:lang w:val="fr-FR"/>
        </w:rPr>
        <w:t> </w:t>
      </w:r>
      <w:r w:rsidR="00DA74C9" w:rsidRPr="00DA74C9">
        <w:rPr>
          <w:b/>
          <w:lang w:val="fr-FR"/>
        </w:rPr>
        <w:t xml:space="preserve">; </w:t>
      </w:r>
    </w:p>
    <w:p w14:paraId="01C12B10" w14:textId="3478F482" w:rsidR="00DA74C9" w:rsidRPr="00DA74C9" w:rsidRDefault="00F1057E" w:rsidP="00F1057E">
      <w:pPr>
        <w:pStyle w:val="SingleTxtG"/>
        <w:ind w:firstLine="567"/>
        <w:rPr>
          <w:b/>
          <w:bCs/>
          <w:color w:val="000000"/>
        </w:rPr>
      </w:pPr>
      <w:r w:rsidRPr="00DA74C9">
        <w:rPr>
          <w:b/>
          <w:color w:val="000000"/>
        </w:rPr>
        <w:t>d)</w:t>
      </w:r>
      <w:r w:rsidRPr="00DA74C9">
        <w:rPr>
          <w:b/>
          <w:color w:val="000000"/>
        </w:rPr>
        <w:tab/>
      </w:r>
      <w:r w:rsidR="00DA74C9" w:rsidRPr="00DA74C9">
        <w:rPr>
          <w:b/>
          <w:bCs/>
          <w:color w:val="000000"/>
        </w:rPr>
        <w:t>Renforcer les effectifs des services pénitentiaires</w:t>
      </w:r>
      <w:r w:rsidR="006B6DEF">
        <w:rPr>
          <w:b/>
          <w:bCs/>
          <w:color w:val="000000"/>
        </w:rPr>
        <w:t> </w:t>
      </w:r>
      <w:r w:rsidR="00DA74C9" w:rsidRPr="00DA74C9">
        <w:rPr>
          <w:b/>
          <w:bCs/>
          <w:color w:val="000000"/>
        </w:rPr>
        <w:t>;</w:t>
      </w:r>
    </w:p>
    <w:p w14:paraId="6A9DA3C1" w14:textId="5B931427" w:rsidR="00DA74C9" w:rsidRPr="00DA74C9" w:rsidRDefault="00F1057E" w:rsidP="00F1057E">
      <w:pPr>
        <w:pStyle w:val="SingleTxtG"/>
        <w:ind w:firstLine="567"/>
        <w:rPr>
          <w:b/>
          <w:bCs/>
          <w:color w:val="000000"/>
        </w:rPr>
      </w:pPr>
      <w:r w:rsidRPr="00DA74C9">
        <w:rPr>
          <w:b/>
          <w:color w:val="000000"/>
        </w:rPr>
        <w:t>e)</w:t>
      </w:r>
      <w:r w:rsidRPr="00DA74C9">
        <w:rPr>
          <w:b/>
          <w:color w:val="000000"/>
        </w:rPr>
        <w:tab/>
      </w:r>
      <w:r w:rsidR="00DA74C9" w:rsidRPr="00DA74C9">
        <w:rPr>
          <w:b/>
          <w:bCs/>
          <w:color w:val="000000"/>
        </w:rPr>
        <w:t>Poursuivre les efforts engagés en matière de lutte contre la corruption en milieu carcéral</w:t>
      </w:r>
      <w:r w:rsidR="006B6DEF">
        <w:rPr>
          <w:b/>
          <w:bCs/>
          <w:color w:val="000000"/>
        </w:rPr>
        <w:t> </w:t>
      </w:r>
      <w:r w:rsidR="00DA74C9" w:rsidRPr="00DA74C9">
        <w:rPr>
          <w:b/>
          <w:bCs/>
          <w:color w:val="000000"/>
        </w:rPr>
        <w:t>;</w:t>
      </w:r>
    </w:p>
    <w:p w14:paraId="3CA023FE" w14:textId="0AB1A1A6" w:rsidR="00DA74C9" w:rsidRPr="00DA74C9" w:rsidRDefault="00F1057E" w:rsidP="00F1057E">
      <w:pPr>
        <w:pStyle w:val="SingleTxtG"/>
        <w:ind w:firstLine="567"/>
        <w:rPr>
          <w:rFonts w:eastAsia="Times New Roman"/>
          <w:b/>
        </w:rPr>
      </w:pPr>
      <w:r w:rsidRPr="00DA74C9">
        <w:rPr>
          <w:rFonts w:eastAsia="Times New Roman"/>
          <w:b/>
        </w:rPr>
        <w:t>f)</w:t>
      </w:r>
      <w:r w:rsidRPr="00DA74C9">
        <w:rPr>
          <w:rFonts w:eastAsia="Times New Roman"/>
          <w:b/>
        </w:rPr>
        <w:tab/>
      </w:r>
      <w:r w:rsidR="007B6278">
        <w:rPr>
          <w:rFonts w:eastAsia="Times New Roman"/>
          <w:b/>
        </w:rPr>
        <w:t>O</w:t>
      </w:r>
      <w:r w:rsidR="00DA74C9" w:rsidRPr="00DA74C9">
        <w:rPr>
          <w:rFonts w:eastAsia="Times New Roman"/>
          <w:b/>
        </w:rPr>
        <w:t xml:space="preserve">ffrir aux détenus purgeant une peine de réclusion à perpétuité des perspectives de remise en liberté ou de réduction de peine au bout d’une période raisonnable, et mettre en place un mécanisme judiciaire indépendant aux fins </w:t>
      </w:r>
      <w:r w:rsidR="006B6DEF">
        <w:rPr>
          <w:rFonts w:eastAsia="Times New Roman"/>
          <w:b/>
        </w:rPr>
        <w:t>de</w:t>
      </w:r>
      <w:r w:rsidR="00DA74C9" w:rsidRPr="00DA74C9">
        <w:rPr>
          <w:rFonts w:eastAsia="Times New Roman"/>
          <w:b/>
        </w:rPr>
        <w:t xml:space="preserve"> réexamen périodique de leur situation</w:t>
      </w:r>
      <w:r w:rsidR="007B6278">
        <w:rPr>
          <w:rFonts w:eastAsia="Times New Roman"/>
          <w:b/>
        </w:rPr>
        <w:t>, afin d’offrir des perspectives d’espoir à ces détenus</w:t>
      </w:r>
      <w:r w:rsidR="00DA74C9" w:rsidRPr="00DA74C9">
        <w:rPr>
          <w:rFonts w:eastAsia="Times New Roman"/>
          <w:b/>
        </w:rPr>
        <w:t xml:space="preserve">. </w:t>
      </w:r>
    </w:p>
    <w:p w14:paraId="6691A1EF" w14:textId="77777777" w:rsidR="00DA74C9" w:rsidRDefault="00DA74C9" w:rsidP="00DA74C9">
      <w:pPr>
        <w:pStyle w:val="H23G"/>
        <w:rPr>
          <w:lang w:val="fr-FR"/>
        </w:rPr>
      </w:pPr>
      <w:r>
        <w:rPr>
          <w:lang w:val="fr-FR"/>
        </w:rPr>
        <w:tab/>
      </w:r>
      <w:r>
        <w:rPr>
          <w:lang w:val="fr-FR"/>
        </w:rPr>
        <w:tab/>
      </w:r>
      <w:r w:rsidRPr="00DA74C9">
        <w:rPr>
          <w:lang w:val="fr-FR"/>
        </w:rPr>
        <w:t>Surveillance des lieux de détention</w:t>
      </w:r>
    </w:p>
    <w:p w14:paraId="7BFE45C8" w14:textId="31ED813C" w:rsidR="00DA74C9" w:rsidRDefault="00DA74C9" w:rsidP="006B6DEF">
      <w:pPr>
        <w:pStyle w:val="SingleTxtG"/>
        <w:rPr>
          <w:lang w:val="fr-FR"/>
        </w:rPr>
      </w:pPr>
      <w:r>
        <w:rPr>
          <w:lang w:val="fr-FR"/>
        </w:rPr>
        <w:t>24.</w:t>
      </w:r>
      <w:r w:rsidRPr="00DA74C9">
        <w:rPr>
          <w:lang w:val="fr-FR"/>
        </w:rPr>
        <w:tab/>
        <w:t>Tout en saluant la possibilité pour diverses institutions de l’</w:t>
      </w:r>
      <w:r w:rsidR="006B6DEF">
        <w:rPr>
          <w:lang w:val="fr-FR"/>
        </w:rPr>
        <w:t>É</w:t>
      </w:r>
      <w:r w:rsidRPr="00DA74C9">
        <w:rPr>
          <w:lang w:val="fr-FR"/>
        </w:rPr>
        <w:t>tat partie de visiter des lieux de détention, le Comité déplore que le mécanisme de commission de surveillance qui devrait être institué au sein de chaque établissement pénitentiaire ne soit pas effectif. Il</w:t>
      </w:r>
      <w:r w:rsidR="00E75939">
        <w:rPr>
          <w:lang w:val="fr-FR"/>
        </w:rPr>
        <w:t> </w:t>
      </w:r>
      <w:r w:rsidRPr="00DA74C9">
        <w:rPr>
          <w:lang w:val="fr-FR"/>
        </w:rPr>
        <w:t xml:space="preserve">déplore, en outre, les restrictions et obstacles administratifs qui entravent la </w:t>
      </w:r>
      <w:r w:rsidR="006B6DEF">
        <w:rPr>
          <w:lang w:val="fr-FR"/>
        </w:rPr>
        <w:t>possibilité pour les</w:t>
      </w:r>
      <w:r w:rsidRPr="00DA74C9">
        <w:rPr>
          <w:lang w:val="fr-FR"/>
        </w:rPr>
        <w:t xml:space="preserve"> organisations non gouvernementales de mener des visites, </w:t>
      </w:r>
      <w:r w:rsidR="006B6DEF">
        <w:rPr>
          <w:lang w:val="fr-FR"/>
        </w:rPr>
        <w:t xml:space="preserve">celles-ci </w:t>
      </w:r>
      <w:r w:rsidRPr="00DA74C9">
        <w:rPr>
          <w:lang w:val="fr-FR"/>
        </w:rPr>
        <w:t xml:space="preserve">étant tributaires d’une </w:t>
      </w:r>
      <w:r w:rsidRPr="00A0037D">
        <w:rPr>
          <w:lang w:val="fr-FR"/>
        </w:rPr>
        <w:t>autorisation délivrée par la Direction de l’administration pénitentiaire pour une durée de trois</w:t>
      </w:r>
      <w:r w:rsidRPr="00DA74C9">
        <w:rPr>
          <w:lang w:val="fr-FR"/>
        </w:rPr>
        <w:t xml:space="preserve"> mois seulement (art. 2, 11 et 16).</w:t>
      </w:r>
    </w:p>
    <w:p w14:paraId="64C80270" w14:textId="7F839DA2" w:rsidR="00DA74C9" w:rsidRPr="005F2A4B" w:rsidRDefault="00DA74C9" w:rsidP="005F2A4B">
      <w:pPr>
        <w:pStyle w:val="SingleTxtG"/>
        <w:rPr>
          <w:b/>
          <w:lang w:val="fr-FR"/>
        </w:rPr>
      </w:pPr>
      <w:r w:rsidRPr="00DA74C9">
        <w:rPr>
          <w:lang w:val="fr-FR"/>
        </w:rPr>
        <w:t>25.</w:t>
      </w:r>
      <w:r w:rsidR="005F2A4B">
        <w:rPr>
          <w:lang w:val="fr-FR"/>
        </w:rPr>
        <w:tab/>
      </w:r>
      <w:r w:rsidR="005F2A4B" w:rsidRPr="005F2A4B">
        <w:rPr>
          <w:b/>
          <w:lang w:val="fr-FR"/>
        </w:rPr>
        <w:t>L’État partie devrait</w:t>
      </w:r>
      <w:r w:rsidR="00432AC5">
        <w:rPr>
          <w:b/>
          <w:lang w:val="fr-FR"/>
        </w:rPr>
        <w:t> </w:t>
      </w:r>
      <w:r w:rsidRPr="005F2A4B">
        <w:rPr>
          <w:b/>
          <w:lang w:val="fr-FR"/>
        </w:rPr>
        <w:t xml:space="preserve">: </w:t>
      </w:r>
    </w:p>
    <w:p w14:paraId="68127B65" w14:textId="2678FDE9" w:rsidR="00DA74C9" w:rsidRPr="005F2A4B" w:rsidRDefault="00F1057E" w:rsidP="00F1057E">
      <w:pPr>
        <w:pStyle w:val="SingleTxtG"/>
        <w:ind w:firstLine="567"/>
        <w:rPr>
          <w:b/>
          <w:lang w:val="fr-FR"/>
        </w:rPr>
      </w:pPr>
      <w:r w:rsidRPr="005F2A4B">
        <w:rPr>
          <w:b/>
          <w:bCs/>
          <w:lang w:val="fr-FR"/>
        </w:rPr>
        <w:t>a)</w:t>
      </w:r>
      <w:r w:rsidRPr="005F2A4B">
        <w:rPr>
          <w:b/>
          <w:bCs/>
          <w:lang w:val="fr-FR"/>
        </w:rPr>
        <w:tab/>
      </w:r>
      <w:r w:rsidR="00AE4A93">
        <w:rPr>
          <w:b/>
          <w:lang w:val="fr-FR"/>
        </w:rPr>
        <w:t>É</w:t>
      </w:r>
      <w:r w:rsidR="00DA74C9" w:rsidRPr="005F2A4B">
        <w:rPr>
          <w:b/>
          <w:lang w:val="fr-FR"/>
        </w:rPr>
        <w:t xml:space="preserve">tablir sans </w:t>
      </w:r>
      <w:r w:rsidR="00432AC5">
        <w:rPr>
          <w:b/>
          <w:lang w:val="fr-FR"/>
        </w:rPr>
        <w:t>délai</w:t>
      </w:r>
      <w:r w:rsidR="00DA74C9" w:rsidRPr="005F2A4B">
        <w:rPr>
          <w:b/>
          <w:lang w:val="fr-FR"/>
        </w:rPr>
        <w:t xml:space="preserve"> des commissions de surveillance au sein de chaque établissement pénitentiaire, en </w:t>
      </w:r>
      <w:r w:rsidR="001624D2">
        <w:rPr>
          <w:b/>
          <w:lang w:val="fr-FR"/>
        </w:rPr>
        <w:t xml:space="preserve">garantissant une composition inclusive </w:t>
      </w:r>
      <w:r w:rsidR="00113B8E">
        <w:rPr>
          <w:b/>
          <w:lang w:val="fr-FR"/>
        </w:rPr>
        <w:t>intégrant toutes les parties prenantes</w:t>
      </w:r>
      <w:r w:rsidR="001624D2">
        <w:rPr>
          <w:b/>
          <w:lang w:val="fr-FR"/>
        </w:rPr>
        <w:t xml:space="preserve">, et </w:t>
      </w:r>
      <w:r w:rsidR="00DA74C9" w:rsidRPr="005F2A4B">
        <w:rPr>
          <w:b/>
          <w:lang w:val="fr-FR"/>
        </w:rPr>
        <w:t xml:space="preserve">les </w:t>
      </w:r>
      <w:r w:rsidR="00432AC5">
        <w:rPr>
          <w:b/>
          <w:lang w:val="fr-FR"/>
        </w:rPr>
        <w:t>doter</w:t>
      </w:r>
      <w:r w:rsidR="00DA74C9" w:rsidRPr="005F2A4B">
        <w:rPr>
          <w:b/>
          <w:lang w:val="fr-FR"/>
        </w:rPr>
        <w:t xml:space="preserve"> des ressources et </w:t>
      </w:r>
      <w:r w:rsidR="005F2A4B" w:rsidRPr="005F2A4B">
        <w:rPr>
          <w:b/>
          <w:lang w:val="fr-FR"/>
        </w:rPr>
        <w:t>du mandat nécessaires</w:t>
      </w:r>
      <w:r w:rsidR="00DA74C9" w:rsidRPr="005F2A4B">
        <w:rPr>
          <w:b/>
          <w:lang w:val="fr-FR"/>
        </w:rPr>
        <w:t xml:space="preserve"> pour </w:t>
      </w:r>
      <w:r w:rsidR="00432AC5">
        <w:rPr>
          <w:b/>
          <w:lang w:val="fr-FR"/>
        </w:rPr>
        <w:t xml:space="preserve">qu’elles puissent </w:t>
      </w:r>
      <w:r w:rsidR="00DA74C9" w:rsidRPr="005F2A4B">
        <w:rPr>
          <w:b/>
          <w:lang w:val="fr-FR"/>
        </w:rPr>
        <w:t>recevoir des plaintes et mener des enquêtes sur les comportements des forces de l’ordre et du personnel des prisons qui sera</w:t>
      </w:r>
      <w:r w:rsidR="005F2A4B" w:rsidRPr="005F2A4B">
        <w:rPr>
          <w:b/>
          <w:lang w:val="fr-FR"/>
        </w:rPr>
        <w:t>ient contraires à la Convention</w:t>
      </w:r>
      <w:r w:rsidR="00432AC5">
        <w:rPr>
          <w:b/>
          <w:lang w:val="fr-FR"/>
        </w:rPr>
        <w:t> </w:t>
      </w:r>
      <w:r w:rsidR="00DA74C9" w:rsidRPr="005F2A4B">
        <w:rPr>
          <w:b/>
          <w:lang w:val="fr-FR"/>
        </w:rPr>
        <w:t>;</w:t>
      </w:r>
    </w:p>
    <w:p w14:paraId="2814C36F" w14:textId="7543008C" w:rsidR="00DA74C9" w:rsidRPr="005F2A4B" w:rsidRDefault="00F1057E" w:rsidP="00F1057E">
      <w:pPr>
        <w:pStyle w:val="SingleTxtG"/>
        <w:ind w:firstLine="567"/>
        <w:rPr>
          <w:b/>
          <w:lang w:val="fr-FR"/>
        </w:rPr>
      </w:pPr>
      <w:r w:rsidRPr="005F2A4B">
        <w:rPr>
          <w:b/>
          <w:bCs/>
          <w:lang w:val="fr-FR"/>
        </w:rPr>
        <w:lastRenderedPageBreak/>
        <w:t>b)</w:t>
      </w:r>
      <w:r w:rsidRPr="005F2A4B">
        <w:rPr>
          <w:b/>
          <w:bCs/>
          <w:lang w:val="fr-FR"/>
        </w:rPr>
        <w:tab/>
      </w:r>
      <w:r w:rsidR="00DA74C9" w:rsidRPr="005F2A4B">
        <w:rPr>
          <w:b/>
          <w:lang w:val="fr-FR"/>
        </w:rPr>
        <w:t xml:space="preserve">Prendre les mesures appropriées afin d’octroyer à toutes les </w:t>
      </w:r>
      <w:r w:rsidR="00432AC5">
        <w:rPr>
          <w:b/>
          <w:lang w:val="fr-FR"/>
        </w:rPr>
        <w:t>organisations non gouvernementales</w:t>
      </w:r>
      <w:r w:rsidR="00DA74C9" w:rsidRPr="005F2A4B">
        <w:rPr>
          <w:b/>
          <w:lang w:val="fr-FR"/>
        </w:rPr>
        <w:t xml:space="preserve"> habilitées un accès permanent aux lieux de détention.</w:t>
      </w:r>
    </w:p>
    <w:p w14:paraId="3F9A48D3" w14:textId="54E8759C" w:rsidR="00DA74C9" w:rsidRDefault="005F2A4B" w:rsidP="00B92913">
      <w:pPr>
        <w:pStyle w:val="H23G"/>
        <w:rPr>
          <w:lang w:val="fr-FR"/>
        </w:rPr>
      </w:pPr>
      <w:r>
        <w:rPr>
          <w:lang w:val="fr-FR"/>
        </w:rPr>
        <w:tab/>
      </w:r>
      <w:r>
        <w:rPr>
          <w:lang w:val="fr-FR"/>
        </w:rPr>
        <w:tab/>
      </w:r>
      <w:r w:rsidR="00DA74C9" w:rsidRPr="00DA74C9">
        <w:rPr>
          <w:lang w:val="fr-FR"/>
        </w:rPr>
        <w:t>Impunité</w:t>
      </w:r>
      <w:r w:rsidR="00432AC5">
        <w:rPr>
          <w:lang w:val="fr-FR"/>
        </w:rPr>
        <w:t> </w:t>
      </w:r>
      <w:r w:rsidR="00DA74C9" w:rsidRPr="00DA74C9">
        <w:rPr>
          <w:lang w:val="fr-FR"/>
        </w:rPr>
        <w:t>: mécanisme de plainte, enquêtes et amnisties</w:t>
      </w:r>
    </w:p>
    <w:p w14:paraId="1CE895C7" w14:textId="15DA9945" w:rsidR="00DA74C9" w:rsidRDefault="005F2A4B" w:rsidP="00E75939">
      <w:pPr>
        <w:pStyle w:val="SingleTxtG"/>
        <w:rPr>
          <w:lang w:val="fr-FR"/>
        </w:rPr>
      </w:pPr>
      <w:r>
        <w:rPr>
          <w:lang w:val="fr-FR"/>
        </w:rPr>
        <w:t>26.</w:t>
      </w:r>
      <w:r>
        <w:rPr>
          <w:lang w:val="fr-FR"/>
        </w:rPr>
        <w:tab/>
      </w:r>
      <w:r w:rsidR="00DA74C9" w:rsidRPr="00DA74C9">
        <w:rPr>
          <w:lang w:val="fr-FR"/>
        </w:rPr>
        <w:t xml:space="preserve">Tout en saluant l’obligation, issue du Code de procédure pénale, enjoignant </w:t>
      </w:r>
      <w:r w:rsidR="00AB1EBA">
        <w:rPr>
          <w:lang w:val="fr-FR"/>
        </w:rPr>
        <w:t>au</w:t>
      </w:r>
      <w:r w:rsidR="00DA74C9" w:rsidRPr="00DA74C9">
        <w:rPr>
          <w:lang w:val="fr-FR"/>
        </w:rPr>
        <w:t xml:space="preserve"> Procureur de la République </w:t>
      </w:r>
      <w:r w:rsidR="00AB1EBA">
        <w:rPr>
          <w:lang w:val="fr-FR"/>
        </w:rPr>
        <w:t>de</w:t>
      </w:r>
      <w:r w:rsidR="00DA74C9" w:rsidRPr="00DA74C9">
        <w:rPr>
          <w:lang w:val="fr-FR"/>
        </w:rPr>
        <w:t xml:space="preserve"> procéder d’office à une enquête s’il existe des motifs raisonnables de croire qu’un acte de torture a été commis, le Comité regrette l’absence de mécanisme de plainte indépendant qui serait habilité à recevoir et </w:t>
      </w:r>
      <w:r w:rsidR="00B92913">
        <w:rPr>
          <w:lang w:val="fr-FR"/>
        </w:rPr>
        <w:t xml:space="preserve">à </w:t>
      </w:r>
      <w:r w:rsidR="00DA74C9" w:rsidRPr="00DA74C9">
        <w:rPr>
          <w:lang w:val="fr-FR"/>
        </w:rPr>
        <w:t xml:space="preserve">examiner des plaintes, et accessible à toute personne victime de torture ou de mauvais traitement, y compris celles privées de liberté. Le Comité déplore en outre l’absence de cadre législatif relatif à la </w:t>
      </w:r>
      <w:r w:rsidR="00DA74C9" w:rsidRPr="00A0037D">
        <w:rPr>
          <w:lang w:val="fr-FR"/>
        </w:rPr>
        <w:t xml:space="preserve">protection des victimes. Il réitère également sa préoccupation </w:t>
      </w:r>
      <w:r w:rsidR="00B92913" w:rsidRPr="00A0037D">
        <w:rPr>
          <w:lang w:val="fr-FR"/>
        </w:rPr>
        <w:t>exprimée au paragraphe 9 de ses précédentes observations finales</w:t>
      </w:r>
      <w:r w:rsidR="00DA74C9" w:rsidRPr="00A0037D">
        <w:rPr>
          <w:lang w:val="fr-FR"/>
        </w:rPr>
        <w:t xml:space="preserve">, relative à l’impunité dont auraient bénéficié des personnes soupçonnées d’avoir commis des actes de torture et des meurtres entre 1972 et 1990, suite à l’application de la </w:t>
      </w:r>
      <w:r w:rsidR="00B92913" w:rsidRPr="00A0037D">
        <w:rPr>
          <w:lang w:val="fr-FR"/>
        </w:rPr>
        <w:t>l</w:t>
      </w:r>
      <w:r w:rsidR="00DA74C9" w:rsidRPr="00A0037D">
        <w:rPr>
          <w:lang w:val="fr-FR"/>
        </w:rPr>
        <w:t xml:space="preserve">oi </w:t>
      </w:r>
      <w:r w:rsidR="00E75939" w:rsidRPr="00101CD2">
        <w:rPr>
          <w:lang w:val="fr-FR"/>
        </w:rPr>
        <w:t>n</w:t>
      </w:r>
      <w:r w:rsidR="00E75939" w:rsidRPr="00EE1830">
        <w:rPr>
          <w:vertAlign w:val="superscript"/>
          <w:lang w:val="fr-FR"/>
        </w:rPr>
        <w:t>o</w:t>
      </w:r>
      <w:r w:rsidR="00E75939">
        <w:rPr>
          <w:lang w:val="fr-FR"/>
        </w:rPr>
        <w:t> </w:t>
      </w:r>
      <w:r w:rsidR="00DA74C9" w:rsidRPr="00A0037D">
        <w:rPr>
          <w:lang w:val="fr-FR"/>
        </w:rPr>
        <w:t>90</w:t>
      </w:r>
      <w:r w:rsidR="00B92913" w:rsidRPr="00A0037D">
        <w:rPr>
          <w:lang w:val="fr-FR"/>
        </w:rPr>
        <w:t>-</w:t>
      </w:r>
      <w:r w:rsidR="00DA74C9" w:rsidRPr="00A0037D">
        <w:rPr>
          <w:lang w:val="fr-FR"/>
        </w:rPr>
        <w:t>028 du 9 octobre 1990, qui contrevient à l’obligation, au titre de la Convention, de diligenter des enquêtes (art. 2 et 12).</w:t>
      </w:r>
      <w:r w:rsidR="00DA74C9" w:rsidRPr="00DA74C9">
        <w:rPr>
          <w:lang w:val="fr-FR"/>
        </w:rPr>
        <w:t xml:space="preserve"> </w:t>
      </w:r>
    </w:p>
    <w:p w14:paraId="21C6C5F1" w14:textId="7E36B292" w:rsidR="00DA74C9" w:rsidRPr="005F2A4B" w:rsidRDefault="005F2A4B" w:rsidP="005F2A4B">
      <w:pPr>
        <w:pStyle w:val="SingleTxtG"/>
        <w:rPr>
          <w:b/>
          <w:lang w:val="fr-FR"/>
        </w:rPr>
      </w:pPr>
      <w:r>
        <w:rPr>
          <w:lang w:val="fr-FR"/>
        </w:rPr>
        <w:t>27.</w:t>
      </w:r>
      <w:r>
        <w:rPr>
          <w:lang w:val="fr-FR"/>
        </w:rPr>
        <w:tab/>
      </w:r>
      <w:r w:rsidRPr="005F2A4B">
        <w:rPr>
          <w:b/>
          <w:lang w:val="fr-FR"/>
        </w:rPr>
        <w:t>L’État partie devrait</w:t>
      </w:r>
      <w:r w:rsidR="00B92913">
        <w:rPr>
          <w:b/>
          <w:lang w:val="fr-FR"/>
        </w:rPr>
        <w:t> </w:t>
      </w:r>
      <w:r w:rsidR="00DA74C9" w:rsidRPr="005F2A4B">
        <w:rPr>
          <w:b/>
          <w:lang w:val="fr-FR"/>
        </w:rPr>
        <w:t>:</w:t>
      </w:r>
    </w:p>
    <w:p w14:paraId="61A46F70" w14:textId="032407FD" w:rsidR="00DA74C9" w:rsidRPr="005F2A4B" w:rsidRDefault="005F2A4B" w:rsidP="00F1057E">
      <w:pPr>
        <w:pStyle w:val="SingleTxtG"/>
        <w:ind w:firstLine="567"/>
        <w:rPr>
          <w:b/>
          <w:lang w:val="fr-FR"/>
        </w:rPr>
      </w:pPr>
      <w:r w:rsidRPr="005F2A4B">
        <w:rPr>
          <w:b/>
          <w:lang w:val="fr-FR"/>
        </w:rPr>
        <w:tab/>
      </w:r>
      <w:r w:rsidR="00DA74C9" w:rsidRPr="00F1057E">
        <w:rPr>
          <w:b/>
          <w:bCs/>
          <w:lang w:val="fr-FR"/>
        </w:rPr>
        <w:t>a)</w:t>
      </w:r>
      <w:r w:rsidR="00DA74C9" w:rsidRPr="005F2A4B">
        <w:rPr>
          <w:b/>
          <w:lang w:val="fr-FR"/>
        </w:rPr>
        <w:tab/>
        <w:t>Créer un mécanisme de plainte indépendant</w:t>
      </w:r>
      <w:r w:rsidR="001624D2">
        <w:rPr>
          <w:b/>
          <w:lang w:val="fr-FR"/>
        </w:rPr>
        <w:t>, sûr</w:t>
      </w:r>
      <w:r w:rsidR="00DA74C9" w:rsidRPr="005F2A4B">
        <w:rPr>
          <w:b/>
          <w:lang w:val="fr-FR"/>
        </w:rPr>
        <w:t xml:space="preserve"> et accessible aux victimes d’actes de torture et de mauvais traitements, </w:t>
      </w:r>
      <w:r w:rsidR="00BD5CB2">
        <w:rPr>
          <w:b/>
          <w:lang w:val="fr-FR"/>
        </w:rPr>
        <w:t>permettant l’examen rapide de</w:t>
      </w:r>
      <w:r w:rsidRPr="005F2A4B">
        <w:rPr>
          <w:b/>
          <w:lang w:val="fr-FR"/>
        </w:rPr>
        <w:t xml:space="preserve"> leur plainte</w:t>
      </w:r>
      <w:r w:rsidR="00BD5CB2">
        <w:rPr>
          <w:b/>
          <w:lang w:val="fr-FR"/>
        </w:rPr>
        <w:t> </w:t>
      </w:r>
      <w:r w:rsidR="00DA74C9" w:rsidRPr="005F2A4B">
        <w:rPr>
          <w:b/>
          <w:lang w:val="fr-FR"/>
        </w:rPr>
        <w:t>;</w:t>
      </w:r>
    </w:p>
    <w:p w14:paraId="7C540110" w14:textId="474FE603" w:rsidR="00DA74C9" w:rsidRPr="005F2A4B" w:rsidRDefault="005F2A4B" w:rsidP="00F1057E">
      <w:pPr>
        <w:pStyle w:val="SingleTxtG"/>
        <w:ind w:firstLine="567"/>
        <w:rPr>
          <w:b/>
          <w:lang w:val="fr-FR"/>
        </w:rPr>
      </w:pPr>
      <w:r w:rsidRPr="005F2A4B">
        <w:rPr>
          <w:b/>
          <w:lang w:val="fr-FR"/>
        </w:rPr>
        <w:tab/>
      </w:r>
      <w:r w:rsidR="00DA74C9" w:rsidRPr="00F1057E">
        <w:rPr>
          <w:b/>
          <w:bCs/>
          <w:lang w:val="fr-FR"/>
        </w:rPr>
        <w:t>b)</w:t>
      </w:r>
      <w:r w:rsidR="00DA74C9" w:rsidRPr="005F2A4B">
        <w:rPr>
          <w:b/>
          <w:lang w:val="fr-FR"/>
        </w:rPr>
        <w:tab/>
        <w:t>Adopter un cadre législatif</w:t>
      </w:r>
      <w:r w:rsidRPr="005F2A4B">
        <w:rPr>
          <w:b/>
          <w:lang w:val="fr-FR"/>
        </w:rPr>
        <w:t xml:space="preserve"> visant à protéger les victimes</w:t>
      </w:r>
      <w:r w:rsidR="00BD5CB2">
        <w:rPr>
          <w:b/>
          <w:lang w:val="fr-FR"/>
        </w:rPr>
        <w:t> </w:t>
      </w:r>
      <w:r w:rsidRPr="005F2A4B">
        <w:rPr>
          <w:b/>
          <w:lang w:val="fr-FR"/>
        </w:rPr>
        <w:t>;</w:t>
      </w:r>
    </w:p>
    <w:p w14:paraId="3DB9B9CD" w14:textId="5F37E185" w:rsidR="00DA74C9" w:rsidRPr="005F2A4B" w:rsidRDefault="005F2A4B" w:rsidP="00F1057E">
      <w:pPr>
        <w:pStyle w:val="SingleTxtG"/>
        <w:ind w:firstLine="567"/>
        <w:rPr>
          <w:b/>
          <w:lang w:val="fr-FR"/>
        </w:rPr>
      </w:pPr>
      <w:r w:rsidRPr="005F2A4B">
        <w:rPr>
          <w:b/>
          <w:lang w:val="fr-FR"/>
        </w:rPr>
        <w:tab/>
      </w:r>
      <w:r w:rsidR="00DA74C9" w:rsidRPr="00F1057E">
        <w:rPr>
          <w:b/>
          <w:bCs/>
          <w:lang w:val="fr-FR"/>
        </w:rPr>
        <w:t>c)</w:t>
      </w:r>
      <w:r w:rsidR="00DA74C9" w:rsidRPr="005F2A4B">
        <w:rPr>
          <w:b/>
          <w:lang w:val="fr-FR"/>
        </w:rPr>
        <w:tab/>
        <w:t>Diligenter des enquêtes approfondies et impartiales concernant toutes les allégations de torture et de mauvais traitements, y compris celles commises entre 1972 et 1990.</w:t>
      </w:r>
    </w:p>
    <w:p w14:paraId="1919B209" w14:textId="77777777" w:rsidR="00DA74C9" w:rsidRDefault="00DA74C9" w:rsidP="00DA74C9">
      <w:pPr>
        <w:pStyle w:val="H23G"/>
        <w:rPr>
          <w:lang w:val="fr-FR"/>
        </w:rPr>
      </w:pPr>
      <w:r>
        <w:rPr>
          <w:lang w:val="fr-FR"/>
        </w:rPr>
        <w:tab/>
      </w:r>
      <w:r>
        <w:rPr>
          <w:lang w:val="fr-FR"/>
        </w:rPr>
        <w:tab/>
      </w:r>
      <w:r w:rsidRPr="00DA74C9">
        <w:rPr>
          <w:lang w:val="fr-FR"/>
        </w:rPr>
        <w:t xml:space="preserve">Commission nationale des droits de l’homme </w:t>
      </w:r>
    </w:p>
    <w:p w14:paraId="09CFBE77" w14:textId="1609D500" w:rsidR="00DA74C9" w:rsidRDefault="005F2A4B" w:rsidP="00BD5CB2">
      <w:pPr>
        <w:pStyle w:val="SingleTxtG"/>
        <w:rPr>
          <w:lang w:val="fr-FR"/>
        </w:rPr>
      </w:pPr>
      <w:r>
        <w:rPr>
          <w:lang w:val="fr-FR"/>
        </w:rPr>
        <w:t>28.</w:t>
      </w:r>
      <w:r>
        <w:rPr>
          <w:lang w:val="fr-FR"/>
        </w:rPr>
        <w:tab/>
      </w:r>
      <w:r w:rsidR="00DA74C9" w:rsidRPr="00DA74C9">
        <w:rPr>
          <w:lang w:val="fr-FR"/>
        </w:rPr>
        <w:t xml:space="preserve">Prenant acte de l’établissement de la Commission béninoise des droits de l’homme et </w:t>
      </w:r>
      <w:r w:rsidR="00BD5CB2">
        <w:rPr>
          <w:lang w:val="fr-FR"/>
        </w:rPr>
        <w:t xml:space="preserve">de </w:t>
      </w:r>
      <w:r w:rsidR="00DA74C9" w:rsidRPr="00DA74C9">
        <w:rPr>
          <w:lang w:val="fr-FR"/>
        </w:rPr>
        <w:t xml:space="preserve">la nomination de ses membres, </w:t>
      </w:r>
      <w:r w:rsidR="00BD5CB2">
        <w:rPr>
          <w:lang w:val="fr-FR"/>
        </w:rPr>
        <w:t>et accueillant favorablement</w:t>
      </w:r>
      <w:r w:rsidR="00DA74C9" w:rsidRPr="00DA74C9">
        <w:rPr>
          <w:lang w:val="fr-FR"/>
        </w:rPr>
        <w:t xml:space="preserve"> l’information fournie par l’</w:t>
      </w:r>
      <w:r w:rsidR="00BD5CB2">
        <w:rPr>
          <w:lang w:val="fr-FR"/>
        </w:rPr>
        <w:t>É</w:t>
      </w:r>
      <w:r w:rsidR="00DA74C9" w:rsidRPr="00DA74C9">
        <w:rPr>
          <w:lang w:val="fr-FR"/>
        </w:rPr>
        <w:t xml:space="preserve">tat partie selon laquelle la Commission a récemment effectué des visites inopinées dans plusieurs lieux de privation de liberté, le Comité demeure préoccupé par des informations relatives à l’absence de budget </w:t>
      </w:r>
      <w:r w:rsidR="00BD5CB2">
        <w:rPr>
          <w:lang w:val="fr-FR"/>
        </w:rPr>
        <w:t>nécessaire à</w:t>
      </w:r>
      <w:r w:rsidR="00DA74C9" w:rsidRPr="00DA74C9">
        <w:rPr>
          <w:lang w:val="fr-FR"/>
        </w:rPr>
        <w:t xml:space="preserve"> son bon fonctionnement et </w:t>
      </w:r>
      <w:r w:rsidR="00BD5CB2">
        <w:rPr>
          <w:lang w:val="fr-FR"/>
        </w:rPr>
        <w:t xml:space="preserve">à </w:t>
      </w:r>
      <w:r w:rsidR="00DA74C9" w:rsidRPr="00DA74C9">
        <w:rPr>
          <w:lang w:val="fr-FR"/>
        </w:rPr>
        <w:t xml:space="preserve">son indépendance (art. 2). </w:t>
      </w:r>
    </w:p>
    <w:p w14:paraId="01CAA1BE" w14:textId="123D2749" w:rsidR="00DA74C9" w:rsidRDefault="005F2A4B" w:rsidP="006B320B">
      <w:pPr>
        <w:pStyle w:val="SingleTxtG"/>
        <w:rPr>
          <w:lang w:val="fr-FR"/>
        </w:rPr>
      </w:pPr>
      <w:r>
        <w:rPr>
          <w:lang w:val="fr-FR"/>
        </w:rPr>
        <w:t>29.</w:t>
      </w:r>
      <w:r>
        <w:rPr>
          <w:lang w:val="fr-FR"/>
        </w:rPr>
        <w:tab/>
      </w:r>
      <w:r w:rsidR="00DA74C9" w:rsidRPr="005F2A4B">
        <w:rPr>
          <w:b/>
          <w:lang w:val="fr-FR"/>
        </w:rPr>
        <w:t xml:space="preserve">L’État partie devrait garantir l’indépendance fonctionnelle de la Commission </w:t>
      </w:r>
      <w:r w:rsidR="00BD5CB2" w:rsidRPr="00F1057E">
        <w:rPr>
          <w:b/>
          <w:bCs/>
          <w:lang w:val="fr-FR"/>
        </w:rPr>
        <w:t>béninoise des droits de l’homme</w:t>
      </w:r>
      <w:r w:rsidR="00BD5CB2" w:rsidRPr="005F2A4B">
        <w:rPr>
          <w:b/>
          <w:lang w:val="fr-FR"/>
        </w:rPr>
        <w:t xml:space="preserve"> </w:t>
      </w:r>
      <w:r w:rsidR="00DA74C9" w:rsidRPr="005F2A4B">
        <w:rPr>
          <w:b/>
          <w:lang w:val="fr-FR"/>
        </w:rPr>
        <w:t xml:space="preserve">en la dotant des ressources humaines et matérielles lui </w:t>
      </w:r>
      <w:r w:rsidR="00DA74C9" w:rsidRPr="00A0037D">
        <w:rPr>
          <w:b/>
          <w:lang w:val="fr-FR"/>
        </w:rPr>
        <w:t xml:space="preserve">permettant de mener à bien le mandat qui lui est </w:t>
      </w:r>
      <w:r w:rsidR="006B320B" w:rsidRPr="00A0037D">
        <w:rPr>
          <w:b/>
          <w:lang w:val="fr-FR"/>
        </w:rPr>
        <w:t>confié</w:t>
      </w:r>
      <w:r w:rsidR="00DA74C9" w:rsidRPr="00A0037D">
        <w:rPr>
          <w:b/>
          <w:lang w:val="fr-FR"/>
        </w:rPr>
        <w:t>, en conformité avec les Principes concernant le statut des institutions nationales pour la promotion et la protection des droits de l’homme (Principes de Paris).</w:t>
      </w:r>
    </w:p>
    <w:p w14:paraId="55ABA693" w14:textId="4F18DD88" w:rsidR="00DA74C9" w:rsidRDefault="00DA74C9" w:rsidP="00DA74C9">
      <w:pPr>
        <w:pStyle w:val="H23G"/>
        <w:rPr>
          <w:lang w:val="fr-FR"/>
        </w:rPr>
      </w:pPr>
      <w:r>
        <w:rPr>
          <w:lang w:val="fr-FR"/>
        </w:rPr>
        <w:tab/>
      </w:r>
      <w:r>
        <w:rPr>
          <w:lang w:val="fr-FR"/>
        </w:rPr>
        <w:tab/>
      </w:r>
      <w:r w:rsidRPr="00DA74C9">
        <w:rPr>
          <w:lang w:val="fr-FR"/>
        </w:rPr>
        <w:t>Mécanisme national de prévention de la torture</w:t>
      </w:r>
    </w:p>
    <w:p w14:paraId="35224A38" w14:textId="11A30D1E" w:rsidR="00DA74C9" w:rsidRDefault="005F2A4B" w:rsidP="00DC6DB3">
      <w:pPr>
        <w:pStyle w:val="SingleTxtG"/>
        <w:rPr>
          <w:lang w:val="fr-FR"/>
        </w:rPr>
      </w:pPr>
      <w:r w:rsidRPr="00A0037D">
        <w:rPr>
          <w:lang w:val="fr-FR"/>
        </w:rPr>
        <w:t>30.</w:t>
      </w:r>
      <w:r w:rsidRPr="00A0037D">
        <w:rPr>
          <w:lang w:val="fr-FR"/>
        </w:rPr>
        <w:tab/>
      </w:r>
      <w:r w:rsidR="00DA74C9" w:rsidRPr="00A0037D">
        <w:rPr>
          <w:lang w:val="fr-FR"/>
        </w:rPr>
        <w:t xml:space="preserve">Le Comité relève avec préoccupation que depuis son adhésion au Protocole facultatif en 2006 et deux visites, en 2008 et </w:t>
      </w:r>
      <w:r w:rsidR="00DC6DB3" w:rsidRPr="00A0037D">
        <w:rPr>
          <w:lang w:val="fr-FR"/>
        </w:rPr>
        <w:t xml:space="preserve">en </w:t>
      </w:r>
      <w:r w:rsidR="00DA74C9" w:rsidRPr="00A0037D">
        <w:rPr>
          <w:lang w:val="fr-FR"/>
        </w:rPr>
        <w:t>2016, du Sous-Comité pour la prévention de la torture</w:t>
      </w:r>
      <w:r w:rsidR="00DC6DB3">
        <w:rPr>
          <w:lang w:val="fr-FR"/>
        </w:rPr>
        <w:t xml:space="preserve"> </w:t>
      </w:r>
      <w:r w:rsidR="00DC6DB3" w:rsidRPr="00DC6DB3">
        <w:rPr>
          <w:lang w:val="fr-FR"/>
        </w:rPr>
        <w:t>et autres peines ou traitements cruels, inhumains ou dégradants</w:t>
      </w:r>
      <w:r w:rsidR="00DA74C9" w:rsidRPr="00DA74C9">
        <w:rPr>
          <w:lang w:val="fr-FR"/>
        </w:rPr>
        <w:t xml:space="preserve">, qui a recommandé l’établissement d’un </w:t>
      </w:r>
      <w:r w:rsidR="00DC6DB3">
        <w:rPr>
          <w:lang w:val="fr-FR"/>
        </w:rPr>
        <w:t>mécanisme national de prévention</w:t>
      </w:r>
      <w:r w:rsidR="00DA74C9" w:rsidRPr="00DA74C9">
        <w:rPr>
          <w:lang w:val="fr-FR"/>
        </w:rPr>
        <w:t xml:space="preserve"> de manière prioritaire, l’</w:t>
      </w:r>
      <w:r w:rsidR="00DC6DB3">
        <w:rPr>
          <w:lang w:val="fr-FR"/>
        </w:rPr>
        <w:t>É</w:t>
      </w:r>
      <w:r w:rsidR="00DA74C9" w:rsidRPr="00DA74C9">
        <w:rPr>
          <w:lang w:val="fr-FR"/>
        </w:rPr>
        <w:t>tat partie n’a toujours pas établi de tel mécanisme</w:t>
      </w:r>
      <w:r w:rsidR="001624D2">
        <w:rPr>
          <w:lang w:val="fr-FR"/>
        </w:rPr>
        <w:t xml:space="preserve">. Le Comité prend note </w:t>
      </w:r>
      <w:r w:rsidR="001624D2" w:rsidRPr="00942542">
        <w:rPr>
          <w:bCs/>
          <w:lang w:val="fr-FR"/>
        </w:rPr>
        <w:t>de l’intention exprimée par l’</w:t>
      </w:r>
      <w:r w:rsidR="00DC6DB3">
        <w:rPr>
          <w:bCs/>
          <w:lang w:val="fr-FR"/>
        </w:rPr>
        <w:t>É</w:t>
      </w:r>
      <w:r w:rsidR="001624D2" w:rsidRPr="00942542">
        <w:rPr>
          <w:bCs/>
          <w:lang w:val="fr-FR"/>
        </w:rPr>
        <w:t xml:space="preserve">tat partie d’en faire assumer le mandat à la </w:t>
      </w:r>
      <w:r w:rsidR="00DC6DB3">
        <w:rPr>
          <w:bCs/>
          <w:lang w:val="fr-FR"/>
        </w:rPr>
        <w:t>Commission béninoise des droits de l’homme</w:t>
      </w:r>
      <w:r w:rsidR="00DA74C9" w:rsidRPr="00DA74C9">
        <w:rPr>
          <w:lang w:val="fr-FR"/>
        </w:rPr>
        <w:t xml:space="preserve"> (art. 2 et 11). </w:t>
      </w:r>
    </w:p>
    <w:p w14:paraId="7F8617A3" w14:textId="583A9F55" w:rsidR="00DA74C9" w:rsidRDefault="005F2A4B" w:rsidP="001577BB">
      <w:pPr>
        <w:pStyle w:val="SingleTxtG"/>
      </w:pPr>
      <w:r>
        <w:t>31.</w:t>
      </w:r>
      <w:r>
        <w:tab/>
      </w:r>
      <w:r w:rsidR="00DA74C9" w:rsidRPr="005F2A4B">
        <w:rPr>
          <w:b/>
        </w:rPr>
        <w:t>L’</w:t>
      </w:r>
      <w:r w:rsidR="00DC6DB3">
        <w:rPr>
          <w:b/>
        </w:rPr>
        <w:t>É</w:t>
      </w:r>
      <w:r w:rsidR="00DA74C9" w:rsidRPr="005F2A4B">
        <w:rPr>
          <w:b/>
        </w:rPr>
        <w:t xml:space="preserve">tat partie devrait accélérer le processus de mise en place du </w:t>
      </w:r>
      <w:r w:rsidR="00DC6DB3">
        <w:rPr>
          <w:b/>
        </w:rPr>
        <w:t>mécanisme national de prévention</w:t>
      </w:r>
      <w:r w:rsidR="00266BF0">
        <w:rPr>
          <w:b/>
        </w:rPr>
        <w:t>, le désigner officiellement et publiquement, et</w:t>
      </w:r>
      <w:r w:rsidR="00266BF0" w:rsidRPr="00F1057E">
        <w:rPr>
          <w:b/>
        </w:rPr>
        <w:t xml:space="preserve"> en </w:t>
      </w:r>
      <w:r w:rsidR="00DC6DB3">
        <w:rPr>
          <w:b/>
        </w:rPr>
        <w:t>aviser</w:t>
      </w:r>
      <w:r w:rsidR="00266BF0">
        <w:rPr>
          <w:b/>
        </w:rPr>
        <w:t xml:space="preserve"> rapidement le Sous-Comité</w:t>
      </w:r>
      <w:r w:rsidR="00DA74C9" w:rsidRPr="005F2A4B">
        <w:rPr>
          <w:b/>
        </w:rPr>
        <w:t>.</w:t>
      </w:r>
      <w:r w:rsidR="004D7C08">
        <w:rPr>
          <w:b/>
        </w:rPr>
        <w:t xml:space="preserve"> </w:t>
      </w:r>
      <w:r w:rsidR="00266BF0">
        <w:rPr>
          <w:b/>
          <w:lang w:val="fr-FR"/>
        </w:rPr>
        <w:t>L</w:t>
      </w:r>
      <w:r w:rsidR="00DA74C9" w:rsidRPr="005F2A4B">
        <w:rPr>
          <w:b/>
        </w:rPr>
        <w:t xml:space="preserve">’État partie devrait </w:t>
      </w:r>
      <w:r w:rsidR="00266BF0">
        <w:rPr>
          <w:b/>
        </w:rPr>
        <w:t xml:space="preserve">en outre </w:t>
      </w:r>
      <w:r w:rsidR="00DA74C9" w:rsidRPr="005F2A4B">
        <w:rPr>
          <w:b/>
        </w:rPr>
        <w:t xml:space="preserve">s’assurer que le </w:t>
      </w:r>
      <w:r w:rsidR="001577BB">
        <w:rPr>
          <w:b/>
        </w:rPr>
        <w:t>mécanisme</w:t>
      </w:r>
      <w:r w:rsidR="00DA74C9" w:rsidRPr="005F2A4B">
        <w:rPr>
          <w:b/>
        </w:rPr>
        <w:t xml:space="preserve"> </w:t>
      </w:r>
      <w:r w:rsidR="001577BB">
        <w:rPr>
          <w:b/>
        </w:rPr>
        <w:t xml:space="preserve">ait </w:t>
      </w:r>
      <w:r w:rsidR="00DA74C9" w:rsidRPr="005F2A4B">
        <w:rPr>
          <w:b/>
        </w:rPr>
        <w:t xml:space="preserve">un mandat de prévention </w:t>
      </w:r>
      <w:r w:rsidR="00485295">
        <w:rPr>
          <w:b/>
        </w:rPr>
        <w:t xml:space="preserve">conforme </w:t>
      </w:r>
      <w:r w:rsidR="00DA74C9" w:rsidRPr="005F2A4B">
        <w:rPr>
          <w:b/>
        </w:rPr>
        <w:t xml:space="preserve">au Protocole facultatif, et </w:t>
      </w:r>
      <w:r w:rsidR="001577BB">
        <w:rPr>
          <w:b/>
        </w:rPr>
        <w:t>dispose</w:t>
      </w:r>
      <w:r w:rsidR="00DA74C9" w:rsidRPr="005F2A4B">
        <w:rPr>
          <w:b/>
        </w:rPr>
        <w:t xml:space="preserve"> de l’indépendance, du personnel, des ressources et du budget nécessaire</w:t>
      </w:r>
      <w:r w:rsidR="00DC6DB3">
        <w:rPr>
          <w:b/>
        </w:rPr>
        <w:t>s</w:t>
      </w:r>
      <w:r w:rsidR="00DA74C9" w:rsidRPr="005F2A4B">
        <w:rPr>
          <w:b/>
        </w:rPr>
        <w:t xml:space="preserve"> pour s’acquitter efficacement de son mandat, </w:t>
      </w:r>
      <w:r w:rsidR="00145E04">
        <w:rPr>
          <w:b/>
        </w:rPr>
        <w:t>lequel doit comprendre</w:t>
      </w:r>
      <w:r w:rsidR="00DA74C9" w:rsidRPr="005F2A4B">
        <w:rPr>
          <w:b/>
        </w:rPr>
        <w:t xml:space="preserve"> un programme de visites régulières et inopinées dans tous les lieux de détention du pays.</w:t>
      </w:r>
      <w:r w:rsidR="00DA74C9" w:rsidRPr="00DA74C9">
        <w:t xml:space="preserve"> </w:t>
      </w:r>
    </w:p>
    <w:p w14:paraId="5645CB7D" w14:textId="6D024672" w:rsidR="00DA74C9" w:rsidRDefault="00DA74C9" w:rsidP="00145E04">
      <w:pPr>
        <w:pStyle w:val="H23G"/>
        <w:rPr>
          <w:lang w:val="fr-FR"/>
        </w:rPr>
      </w:pPr>
      <w:r>
        <w:rPr>
          <w:lang w:val="fr-FR"/>
        </w:rPr>
        <w:lastRenderedPageBreak/>
        <w:tab/>
      </w:r>
      <w:r>
        <w:rPr>
          <w:lang w:val="fr-FR"/>
        </w:rPr>
        <w:tab/>
        <w:t>Traitement des enfants</w:t>
      </w:r>
      <w:r w:rsidR="00145E04">
        <w:rPr>
          <w:lang w:val="fr-FR"/>
        </w:rPr>
        <w:t> </w:t>
      </w:r>
      <w:r w:rsidRPr="00DA74C9">
        <w:rPr>
          <w:lang w:val="fr-FR"/>
        </w:rPr>
        <w:t xml:space="preserve">: </w:t>
      </w:r>
      <w:r w:rsidR="00145E04">
        <w:rPr>
          <w:lang w:val="fr-FR"/>
        </w:rPr>
        <w:t>t</w:t>
      </w:r>
      <w:r w:rsidRPr="00DA74C9">
        <w:rPr>
          <w:lang w:val="fr-FR"/>
        </w:rPr>
        <w:t>orture, traitements cruels, inhumains ou dégradants, et</w:t>
      </w:r>
      <w:r w:rsidR="00732E4E">
        <w:rPr>
          <w:lang w:val="fr-FR"/>
        </w:rPr>
        <w:t> </w:t>
      </w:r>
      <w:r w:rsidRPr="00DA74C9">
        <w:rPr>
          <w:lang w:val="fr-FR"/>
        </w:rPr>
        <w:t>autres pratiques préjudiciables</w:t>
      </w:r>
    </w:p>
    <w:p w14:paraId="4E9C5D3D" w14:textId="5662067F" w:rsidR="00DA74C9" w:rsidRPr="00B84889" w:rsidRDefault="00DA74C9" w:rsidP="00732E4E">
      <w:pPr>
        <w:pStyle w:val="SingleTxtG"/>
      </w:pPr>
      <w:r w:rsidRPr="00B84889">
        <w:t>32.</w:t>
      </w:r>
      <w:r w:rsidRPr="00B84889">
        <w:tab/>
        <w:t xml:space="preserve">Notant les dispositions législatives issues du Code pénal et du Code de l’enfant </w:t>
      </w:r>
      <w:r w:rsidR="00145E04">
        <w:t>qui visent</w:t>
      </w:r>
      <w:r w:rsidRPr="00B84889">
        <w:t xml:space="preserve"> à prohiber les actes de torture et traitements cruels, inhumains ou dégradants contre des enfants, le Comité demeure vivement préoccupé par la persistance de nombreux actes de violence envers des enfants, y compris de violence sexuelle, au sein des écoles</w:t>
      </w:r>
      <w:r w:rsidR="00145E04">
        <w:t xml:space="preserve"> ainsi que</w:t>
      </w:r>
      <w:r w:rsidRPr="00B84889">
        <w:t xml:space="preserve"> des lieux de garde à vue et de détention, actes qui, dans leur grande majorité, </w:t>
      </w:r>
      <w:r w:rsidR="00145E04">
        <w:t>demeurent</w:t>
      </w:r>
      <w:r w:rsidRPr="00B84889">
        <w:t xml:space="preserve"> impunis. Le Comité déplore que les enfants </w:t>
      </w:r>
      <w:r w:rsidR="00145E04">
        <w:t xml:space="preserve">placés </w:t>
      </w:r>
      <w:r w:rsidRPr="00B84889">
        <w:t>en détention ne so</w:t>
      </w:r>
      <w:r w:rsidR="00145E04">
        <w:t>ie</w:t>
      </w:r>
      <w:r w:rsidRPr="00B84889">
        <w:t>nt pas séparés des adultes, et so</w:t>
      </w:r>
      <w:r w:rsidR="00145E04">
        <w:t>ie</w:t>
      </w:r>
      <w:r w:rsidRPr="00B84889">
        <w:t xml:space="preserve">nt </w:t>
      </w:r>
      <w:r w:rsidR="00145E04">
        <w:t>détenus</w:t>
      </w:r>
      <w:r w:rsidRPr="00B84889">
        <w:t xml:space="preserve"> dans des conditions en deçà des normes internationales</w:t>
      </w:r>
      <w:r w:rsidR="00145E04">
        <w:t>,</w:t>
      </w:r>
      <w:r w:rsidRPr="00B84889">
        <w:t xml:space="preserve"> sans aucune activité scolaire ou qualifiante. Le Comité s’inquiète enfin </w:t>
      </w:r>
      <w:r w:rsidR="00145E04">
        <w:t xml:space="preserve">de la faible </w:t>
      </w:r>
      <w:r w:rsidRPr="00B84889">
        <w:t xml:space="preserve">application des dispositions législatives protégeant les enfants, ainsi que de l’insuffisance des mesures de formation et de sensibilisation des acteurs du champ </w:t>
      </w:r>
      <w:r w:rsidR="00145E04">
        <w:t>destinées à</w:t>
      </w:r>
      <w:r w:rsidRPr="00B84889">
        <w:t xml:space="preserve"> éradiquer les </w:t>
      </w:r>
      <w:r w:rsidR="00485295">
        <w:t xml:space="preserve">infanticides, </w:t>
      </w:r>
      <w:r w:rsidR="00145E04">
        <w:t xml:space="preserve">les </w:t>
      </w:r>
      <w:r w:rsidRPr="00B84889">
        <w:t>pratiques préjudiciables</w:t>
      </w:r>
      <w:r w:rsidR="00485295">
        <w:t>,</w:t>
      </w:r>
      <w:r w:rsidRPr="00B84889">
        <w:t xml:space="preserve"> </w:t>
      </w:r>
      <w:r w:rsidR="00145E04">
        <w:t>les</w:t>
      </w:r>
      <w:r w:rsidRPr="00B84889">
        <w:t xml:space="preserve"> mauvais traitements envers les enfants dits « sorciers », les mariages précoces et forcés, la traite et les mutilations génitales féminines, qui perdurent dans certaines parties du pays malgré l’adoption de la </w:t>
      </w:r>
      <w:r w:rsidR="00145E04">
        <w:t>l</w:t>
      </w:r>
      <w:r w:rsidRPr="00B84889">
        <w:t xml:space="preserve">oi </w:t>
      </w:r>
      <w:r w:rsidR="00732E4E" w:rsidRPr="00101CD2">
        <w:rPr>
          <w:lang w:val="fr-FR"/>
        </w:rPr>
        <w:t>n</w:t>
      </w:r>
      <w:r w:rsidR="00732E4E" w:rsidRPr="00EE1830">
        <w:rPr>
          <w:vertAlign w:val="superscript"/>
          <w:lang w:val="fr-FR"/>
        </w:rPr>
        <w:t>o</w:t>
      </w:r>
      <w:r w:rsidR="00732E4E">
        <w:rPr>
          <w:lang w:val="fr-FR"/>
        </w:rPr>
        <w:t> </w:t>
      </w:r>
      <w:r w:rsidRPr="00B84889">
        <w:t xml:space="preserve">2003-03 portant répression de la pratique des mutilations génitales </w:t>
      </w:r>
      <w:r w:rsidR="00145E04">
        <w:t xml:space="preserve">féminines </w:t>
      </w:r>
      <w:r w:rsidRPr="00B84889">
        <w:t xml:space="preserve">(art. </w:t>
      </w:r>
      <w:r w:rsidR="00485295">
        <w:t>1</w:t>
      </w:r>
      <w:r w:rsidR="00145E04" w:rsidRPr="00F1057E">
        <w:rPr>
          <w:vertAlign w:val="superscript"/>
        </w:rPr>
        <w:t>er</w:t>
      </w:r>
      <w:r w:rsidR="00485295">
        <w:t xml:space="preserve"> et </w:t>
      </w:r>
      <w:r w:rsidRPr="00B84889">
        <w:t>16)</w:t>
      </w:r>
      <w:r w:rsidR="005F2A4B" w:rsidRPr="00B84889">
        <w:t>.</w:t>
      </w:r>
    </w:p>
    <w:p w14:paraId="5FB1DD67" w14:textId="09A01620" w:rsidR="00DA74C9" w:rsidRPr="005F2A4B" w:rsidRDefault="00DA74C9" w:rsidP="005F2A4B">
      <w:pPr>
        <w:pStyle w:val="SingleTxtG"/>
        <w:rPr>
          <w:b/>
          <w:lang w:val="fr-FR"/>
        </w:rPr>
      </w:pPr>
      <w:r w:rsidRPr="00DA74C9">
        <w:rPr>
          <w:lang w:val="fr-FR"/>
        </w:rPr>
        <w:t>33.</w:t>
      </w:r>
      <w:r w:rsidR="005F2A4B">
        <w:rPr>
          <w:lang w:val="fr-FR"/>
        </w:rPr>
        <w:tab/>
      </w:r>
      <w:r w:rsidR="005F2A4B" w:rsidRPr="005F2A4B">
        <w:rPr>
          <w:b/>
          <w:lang w:val="fr-FR"/>
        </w:rPr>
        <w:t>L’État partie devrait</w:t>
      </w:r>
      <w:r w:rsidR="003A051C">
        <w:rPr>
          <w:b/>
          <w:lang w:val="fr-FR"/>
        </w:rPr>
        <w:t> </w:t>
      </w:r>
      <w:r w:rsidRPr="005F2A4B">
        <w:rPr>
          <w:b/>
          <w:lang w:val="fr-FR"/>
        </w:rPr>
        <w:t xml:space="preserve">: </w:t>
      </w:r>
    </w:p>
    <w:p w14:paraId="45879601" w14:textId="4E498368" w:rsidR="00DA74C9" w:rsidRPr="005F2A4B" w:rsidRDefault="00F1057E" w:rsidP="00F1057E">
      <w:pPr>
        <w:pStyle w:val="SingleTxtG"/>
        <w:ind w:firstLine="567"/>
        <w:rPr>
          <w:b/>
          <w:lang w:val="fr-FR"/>
        </w:rPr>
      </w:pPr>
      <w:r w:rsidRPr="005F2A4B">
        <w:rPr>
          <w:b/>
          <w:bCs/>
          <w:lang w:val="fr-FR"/>
        </w:rPr>
        <w:t>a)</w:t>
      </w:r>
      <w:r w:rsidRPr="005F2A4B">
        <w:rPr>
          <w:b/>
          <w:bCs/>
          <w:lang w:val="fr-FR"/>
        </w:rPr>
        <w:tab/>
      </w:r>
      <w:r w:rsidR="00DA74C9" w:rsidRPr="005F2A4B">
        <w:rPr>
          <w:b/>
          <w:lang w:val="fr-FR"/>
        </w:rPr>
        <w:t xml:space="preserve">Assurer la mise en œuvre effective </w:t>
      </w:r>
      <w:r w:rsidR="00485295" w:rsidRPr="00942542">
        <w:rPr>
          <w:b/>
          <w:bCs/>
        </w:rPr>
        <w:t>du Code pénal et du Code de l’enfant</w:t>
      </w:r>
      <w:r w:rsidR="00DA74C9" w:rsidRPr="005F2A4B">
        <w:rPr>
          <w:b/>
          <w:lang w:val="fr-FR"/>
        </w:rPr>
        <w:t>, mener des enquêtes impartiales et approfondies sur les actes de torture et mauvais traitements</w:t>
      </w:r>
      <w:r w:rsidR="00254403">
        <w:rPr>
          <w:b/>
          <w:lang w:val="fr-FR"/>
        </w:rPr>
        <w:t xml:space="preserve"> envers</w:t>
      </w:r>
      <w:r w:rsidR="00DA74C9" w:rsidRPr="005F2A4B">
        <w:rPr>
          <w:b/>
          <w:lang w:val="fr-FR"/>
        </w:rPr>
        <w:t xml:space="preserve"> les enfants, et faire en sorte que les responsables, ainsi que les agents de l’État qui cautionneraient ou tol</w:t>
      </w:r>
      <w:r w:rsidR="006B320B">
        <w:rPr>
          <w:b/>
          <w:lang w:val="fr-FR"/>
        </w:rPr>
        <w:t>é</w:t>
      </w:r>
      <w:r w:rsidR="00DA74C9" w:rsidRPr="005F2A4B">
        <w:rPr>
          <w:b/>
          <w:lang w:val="fr-FR"/>
        </w:rPr>
        <w:t>reraient de tels actes</w:t>
      </w:r>
      <w:r w:rsidR="003A051C">
        <w:rPr>
          <w:b/>
          <w:lang w:val="fr-FR"/>
        </w:rPr>
        <w:t>,</w:t>
      </w:r>
      <w:r w:rsidR="00DA74C9" w:rsidRPr="005F2A4B">
        <w:rPr>
          <w:b/>
          <w:lang w:val="fr-FR"/>
        </w:rPr>
        <w:t xml:space="preserve"> soient poursuivis et, s’ils sont reconnus coupables, sanctionnés par des peines appropriées</w:t>
      </w:r>
      <w:r w:rsidR="003A051C">
        <w:rPr>
          <w:b/>
          <w:lang w:val="fr-FR"/>
        </w:rPr>
        <w:t> </w:t>
      </w:r>
      <w:r w:rsidR="00DA74C9" w:rsidRPr="005F2A4B">
        <w:rPr>
          <w:b/>
          <w:lang w:val="fr-FR"/>
        </w:rPr>
        <w:t>;</w:t>
      </w:r>
    </w:p>
    <w:p w14:paraId="7D92792E" w14:textId="4B77CEE8" w:rsidR="00DA74C9" w:rsidRPr="005F2A4B" w:rsidRDefault="00F1057E" w:rsidP="00F1057E">
      <w:pPr>
        <w:pStyle w:val="SingleTxtG"/>
        <w:ind w:firstLine="567"/>
        <w:rPr>
          <w:b/>
          <w:lang w:val="fr-FR"/>
        </w:rPr>
      </w:pPr>
      <w:r w:rsidRPr="005F2A4B">
        <w:rPr>
          <w:b/>
          <w:bCs/>
          <w:lang w:val="fr-FR"/>
        </w:rPr>
        <w:t>b)</w:t>
      </w:r>
      <w:r w:rsidRPr="005F2A4B">
        <w:rPr>
          <w:b/>
          <w:bCs/>
          <w:lang w:val="fr-FR"/>
        </w:rPr>
        <w:tab/>
      </w:r>
      <w:r w:rsidR="003A051C">
        <w:rPr>
          <w:b/>
          <w:lang w:val="fr-FR"/>
        </w:rPr>
        <w:t>É</w:t>
      </w:r>
      <w:r w:rsidR="00DA74C9" w:rsidRPr="005F2A4B">
        <w:rPr>
          <w:b/>
          <w:lang w:val="fr-FR"/>
        </w:rPr>
        <w:t>tablir</w:t>
      </w:r>
      <w:r w:rsidR="00254403">
        <w:rPr>
          <w:b/>
          <w:lang w:val="fr-FR"/>
        </w:rPr>
        <w:t>, au sein des écoles</w:t>
      </w:r>
      <w:r w:rsidR="003A051C">
        <w:rPr>
          <w:b/>
          <w:lang w:val="fr-FR"/>
        </w:rPr>
        <w:t xml:space="preserve"> et des</w:t>
      </w:r>
      <w:r w:rsidR="00254403">
        <w:rPr>
          <w:b/>
          <w:lang w:val="fr-FR"/>
        </w:rPr>
        <w:t xml:space="preserve"> postes de police et de gendarmerie,</w:t>
      </w:r>
      <w:r w:rsidR="00DA74C9" w:rsidRPr="005F2A4B">
        <w:rPr>
          <w:b/>
          <w:lang w:val="fr-FR"/>
        </w:rPr>
        <w:t xml:space="preserve"> des mécanismes de signalement de toute forme de violence envers les enfants</w:t>
      </w:r>
      <w:r w:rsidR="003A051C">
        <w:rPr>
          <w:b/>
          <w:lang w:val="fr-FR"/>
        </w:rPr>
        <w:t xml:space="preserve"> qui permettent</w:t>
      </w:r>
      <w:r w:rsidR="00254403">
        <w:rPr>
          <w:b/>
          <w:lang w:val="fr-FR"/>
        </w:rPr>
        <w:t xml:space="preserve"> d’assurer la tenue d’enquêtes et de poursuites</w:t>
      </w:r>
      <w:r w:rsidR="003A051C">
        <w:rPr>
          <w:b/>
          <w:lang w:val="fr-FR"/>
        </w:rPr>
        <w:t> </w:t>
      </w:r>
      <w:r w:rsidR="00DA74C9" w:rsidRPr="005F2A4B">
        <w:rPr>
          <w:b/>
          <w:lang w:val="fr-FR"/>
        </w:rPr>
        <w:t>;</w:t>
      </w:r>
    </w:p>
    <w:p w14:paraId="773FCB39" w14:textId="6DFAD986" w:rsidR="00DA74C9" w:rsidRPr="005F2A4B" w:rsidRDefault="00F1057E" w:rsidP="00F1057E">
      <w:pPr>
        <w:pStyle w:val="SingleTxtG"/>
        <w:ind w:firstLine="567"/>
        <w:rPr>
          <w:rFonts w:eastAsia="Times New Roman"/>
          <w:b/>
          <w:bCs/>
        </w:rPr>
      </w:pPr>
      <w:r w:rsidRPr="005F2A4B">
        <w:rPr>
          <w:rFonts w:eastAsia="Times New Roman"/>
          <w:b/>
          <w:bCs/>
        </w:rPr>
        <w:t>c)</w:t>
      </w:r>
      <w:r w:rsidRPr="005F2A4B">
        <w:rPr>
          <w:rFonts w:eastAsia="Times New Roman"/>
          <w:b/>
          <w:bCs/>
        </w:rPr>
        <w:tab/>
      </w:r>
      <w:r w:rsidR="00DA74C9" w:rsidRPr="005F2A4B">
        <w:rPr>
          <w:rFonts w:eastAsia="Times New Roman"/>
          <w:b/>
          <w:bCs/>
        </w:rPr>
        <w:t xml:space="preserve">Prendre les dispositions nécessaires pour l’application effective du Code de l’enfant, y compris la réhabilitation des victimes de torture, </w:t>
      </w:r>
      <w:r w:rsidR="003A051C">
        <w:rPr>
          <w:rFonts w:eastAsia="Times New Roman"/>
          <w:b/>
          <w:bCs/>
        </w:rPr>
        <w:t xml:space="preserve">de </w:t>
      </w:r>
      <w:r w:rsidR="00DA74C9" w:rsidRPr="005F2A4B">
        <w:rPr>
          <w:rFonts w:eastAsia="Times New Roman"/>
          <w:b/>
          <w:bCs/>
        </w:rPr>
        <w:t xml:space="preserve">mauvais traitements, </w:t>
      </w:r>
      <w:r w:rsidR="003A051C">
        <w:rPr>
          <w:rFonts w:eastAsia="Times New Roman"/>
          <w:b/>
          <w:bCs/>
        </w:rPr>
        <w:t xml:space="preserve">de </w:t>
      </w:r>
      <w:r w:rsidR="00DA74C9" w:rsidRPr="005F2A4B">
        <w:rPr>
          <w:rFonts w:eastAsia="Times New Roman"/>
          <w:b/>
          <w:bCs/>
        </w:rPr>
        <w:t>négl</w:t>
      </w:r>
      <w:r w:rsidR="005F2A4B" w:rsidRPr="005F2A4B">
        <w:rPr>
          <w:rFonts w:eastAsia="Times New Roman"/>
          <w:b/>
          <w:bCs/>
        </w:rPr>
        <w:t xml:space="preserve">igences et </w:t>
      </w:r>
      <w:r w:rsidR="003A051C">
        <w:rPr>
          <w:rFonts w:eastAsia="Times New Roman"/>
          <w:b/>
          <w:bCs/>
        </w:rPr>
        <w:t>d’</w:t>
      </w:r>
      <w:r w:rsidR="005F2A4B" w:rsidRPr="005F2A4B">
        <w:rPr>
          <w:rFonts w:eastAsia="Times New Roman"/>
          <w:b/>
          <w:bCs/>
        </w:rPr>
        <w:t>autres formes d’abus</w:t>
      </w:r>
      <w:r w:rsidR="003A051C">
        <w:rPr>
          <w:rFonts w:eastAsia="Times New Roman"/>
          <w:b/>
          <w:bCs/>
        </w:rPr>
        <w:t> </w:t>
      </w:r>
      <w:r w:rsidR="00DA74C9" w:rsidRPr="005F2A4B">
        <w:rPr>
          <w:rFonts w:eastAsia="Times New Roman"/>
          <w:b/>
          <w:bCs/>
        </w:rPr>
        <w:t>;</w:t>
      </w:r>
    </w:p>
    <w:p w14:paraId="6564511A" w14:textId="23116921" w:rsidR="00DA74C9" w:rsidRPr="005F2A4B" w:rsidRDefault="00F1057E" w:rsidP="00F1057E">
      <w:pPr>
        <w:pStyle w:val="SingleTxtG"/>
        <w:ind w:firstLine="567"/>
        <w:rPr>
          <w:rFonts w:eastAsia="Times New Roman"/>
          <w:b/>
          <w:bCs/>
        </w:rPr>
      </w:pPr>
      <w:r w:rsidRPr="005F2A4B">
        <w:rPr>
          <w:rFonts w:eastAsia="Times New Roman"/>
          <w:b/>
          <w:bCs/>
        </w:rPr>
        <w:t>d)</w:t>
      </w:r>
      <w:r w:rsidRPr="005F2A4B">
        <w:rPr>
          <w:rFonts w:eastAsia="Times New Roman"/>
          <w:b/>
          <w:bCs/>
        </w:rPr>
        <w:tab/>
      </w:r>
      <w:r w:rsidR="003A051C">
        <w:rPr>
          <w:rFonts w:eastAsia="Times New Roman"/>
          <w:b/>
          <w:bCs/>
        </w:rPr>
        <w:t>S’assurer de la</w:t>
      </w:r>
      <w:r w:rsidR="00DA74C9" w:rsidRPr="005F2A4B">
        <w:rPr>
          <w:rFonts w:eastAsia="Times New Roman"/>
          <w:b/>
          <w:bCs/>
        </w:rPr>
        <w:t xml:space="preserve"> stricte séparation entre mineurs et adultes</w:t>
      </w:r>
      <w:r w:rsidR="003A051C">
        <w:rPr>
          <w:rFonts w:eastAsia="Times New Roman"/>
          <w:b/>
          <w:bCs/>
        </w:rPr>
        <w:t xml:space="preserve"> placés en détention</w:t>
      </w:r>
      <w:r w:rsidR="00DA74C9" w:rsidRPr="005F2A4B">
        <w:rPr>
          <w:rFonts w:eastAsia="Times New Roman"/>
          <w:b/>
          <w:bCs/>
        </w:rPr>
        <w:t xml:space="preserve"> et</w:t>
      </w:r>
      <w:r w:rsidR="003A051C">
        <w:rPr>
          <w:rFonts w:eastAsia="Times New Roman"/>
          <w:b/>
          <w:bCs/>
        </w:rPr>
        <w:t xml:space="preserve"> de l’application de l’Ensemble de règles minima des Nations Unies pour le traitement des détenus</w:t>
      </w:r>
      <w:r w:rsidR="00DA74C9" w:rsidRPr="005F2A4B">
        <w:rPr>
          <w:rFonts w:eastAsia="Times New Roman"/>
          <w:b/>
          <w:bCs/>
        </w:rPr>
        <w:t xml:space="preserve"> </w:t>
      </w:r>
      <w:r w:rsidR="003A051C">
        <w:rPr>
          <w:rFonts w:eastAsia="Times New Roman"/>
          <w:b/>
          <w:bCs/>
        </w:rPr>
        <w:t>(</w:t>
      </w:r>
      <w:r w:rsidR="00DA74C9" w:rsidRPr="005F2A4B">
        <w:rPr>
          <w:rFonts w:eastAsia="Times New Roman"/>
          <w:b/>
          <w:bCs/>
        </w:rPr>
        <w:t>Règles Nelson Mandela</w:t>
      </w:r>
      <w:r w:rsidR="003A051C">
        <w:rPr>
          <w:rFonts w:eastAsia="Times New Roman"/>
          <w:b/>
          <w:bCs/>
        </w:rPr>
        <w:t>) </w:t>
      </w:r>
      <w:r w:rsidR="00DA74C9" w:rsidRPr="005F2A4B">
        <w:rPr>
          <w:rFonts w:eastAsia="Times New Roman"/>
          <w:b/>
          <w:bCs/>
        </w:rPr>
        <w:t>;</w:t>
      </w:r>
    </w:p>
    <w:p w14:paraId="548834FA" w14:textId="4B01E740" w:rsidR="00DA74C9" w:rsidRPr="005F2A4B" w:rsidRDefault="00F1057E" w:rsidP="00F1057E">
      <w:pPr>
        <w:pStyle w:val="SingleTxtG"/>
        <w:ind w:firstLine="567"/>
        <w:rPr>
          <w:rFonts w:eastAsia="Times New Roman"/>
          <w:b/>
          <w:bCs/>
        </w:rPr>
      </w:pPr>
      <w:r w:rsidRPr="005F2A4B">
        <w:rPr>
          <w:rFonts w:eastAsia="Times New Roman"/>
          <w:b/>
          <w:bCs/>
        </w:rPr>
        <w:t>e)</w:t>
      </w:r>
      <w:r w:rsidRPr="005F2A4B">
        <w:rPr>
          <w:rFonts w:eastAsia="Times New Roman"/>
          <w:b/>
          <w:bCs/>
        </w:rPr>
        <w:tab/>
      </w:r>
      <w:r w:rsidR="00DA74C9" w:rsidRPr="005F2A4B">
        <w:rPr>
          <w:rFonts w:eastAsia="Times New Roman"/>
          <w:b/>
          <w:bCs/>
        </w:rPr>
        <w:t>Améliorer les conditions de détention des mineurs</w:t>
      </w:r>
      <w:r w:rsidR="006D2A69">
        <w:rPr>
          <w:rFonts w:eastAsia="Times New Roman"/>
          <w:b/>
          <w:bCs/>
        </w:rPr>
        <w:t xml:space="preserve"> concernant</w:t>
      </w:r>
      <w:r w:rsidR="00DA74C9" w:rsidRPr="005F2A4B">
        <w:rPr>
          <w:rFonts w:eastAsia="Times New Roman"/>
          <w:b/>
          <w:bCs/>
        </w:rPr>
        <w:t xml:space="preserve"> la salubrité des lieux</w:t>
      </w:r>
      <w:r w:rsidR="006D2A69">
        <w:rPr>
          <w:rFonts w:eastAsia="Times New Roman"/>
          <w:b/>
          <w:bCs/>
        </w:rPr>
        <w:t>,</w:t>
      </w:r>
      <w:r w:rsidR="00DA74C9" w:rsidRPr="005F2A4B">
        <w:rPr>
          <w:rFonts w:eastAsia="Times New Roman"/>
          <w:b/>
          <w:bCs/>
        </w:rPr>
        <w:t xml:space="preserve"> la qualité, </w:t>
      </w:r>
      <w:r w:rsidR="006D2A69">
        <w:rPr>
          <w:rFonts w:eastAsia="Times New Roman"/>
          <w:b/>
          <w:bCs/>
        </w:rPr>
        <w:t xml:space="preserve">la </w:t>
      </w:r>
      <w:r w:rsidR="00DA74C9" w:rsidRPr="005F2A4B">
        <w:rPr>
          <w:rFonts w:eastAsia="Times New Roman"/>
          <w:b/>
          <w:bCs/>
        </w:rPr>
        <w:t xml:space="preserve">quantité et </w:t>
      </w:r>
      <w:r w:rsidR="006D2A69">
        <w:rPr>
          <w:rFonts w:eastAsia="Times New Roman"/>
          <w:b/>
          <w:bCs/>
        </w:rPr>
        <w:t xml:space="preserve">la </w:t>
      </w:r>
      <w:r w:rsidR="00DA74C9" w:rsidRPr="005F2A4B">
        <w:rPr>
          <w:rFonts w:eastAsia="Times New Roman"/>
          <w:b/>
          <w:bCs/>
        </w:rPr>
        <w:t>régu</w:t>
      </w:r>
      <w:r w:rsidR="005F2A4B">
        <w:rPr>
          <w:rFonts w:eastAsia="Times New Roman"/>
          <w:b/>
          <w:bCs/>
        </w:rPr>
        <w:t>larité des rations alimentaires</w:t>
      </w:r>
      <w:r w:rsidR="006D2A69">
        <w:rPr>
          <w:rFonts w:eastAsia="Times New Roman"/>
          <w:b/>
          <w:bCs/>
        </w:rPr>
        <w:t>,</w:t>
      </w:r>
      <w:r w:rsidR="00DA74C9" w:rsidRPr="005F2A4B">
        <w:rPr>
          <w:rFonts w:eastAsia="Times New Roman"/>
          <w:b/>
          <w:bCs/>
        </w:rPr>
        <w:t xml:space="preserve"> et l’existence d’activités de formation </w:t>
      </w:r>
      <w:r w:rsidR="006D2A69">
        <w:rPr>
          <w:rFonts w:eastAsia="Times New Roman"/>
          <w:b/>
          <w:bCs/>
        </w:rPr>
        <w:t>destinées à</w:t>
      </w:r>
      <w:r w:rsidR="00DA74C9" w:rsidRPr="005F2A4B">
        <w:rPr>
          <w:rFonts w:eastAsia="Times New Roman"/>
          <w:b/>
          <w:bCs/>
        </w:rPr>
        <w:t xml:space="preserve"> leur future réinsertion</w:t>
      </w:r>
      <w:r w:rsidR="006D2A69">
        <w:rPr>
          <w:rFonts w:eastAsia="Times New Roman"/>
          <w:b/>
          <w:bCs/>
        </w:rPr>
        <w:t> </w:t>
      </w:r>
      <w:r w:rsidR="00DA74C9" w:rsidRPr="005F2A4B">
        <w:rPr>
          <w:rFonts w:eastAsia="Times New Roman"/>
          <w:b/>
          <w:bCs/>
        </w:rPr>
        <w:t>;</w:t>
      </w:r>
    </w:p>
    <w:p w14:paraId="08652F31" w14:textId="25BFD2AC" w:rsidR="00DA74C9" w:rsidRPr="005F2A4B" w:rsidRDefault="00F1057E" w:rsidP="00F1057E">
      <w:pPr>
        <w:pStyle w:val="SingleTxtG"/>
        <w:ind w:firstLine="567"/>
        <w:rPr>
          <w:b/>
          <w:lang w:val="fr-FR"/>
        </w:rPr>
      </w:pPr>
      <w:r w:rsidRPr="005F2A4B">
        <w:rPr>
          <w:b/>
          <w:bCs/>
          <w:lang w:val="fr-FR"/>
        </w:rPr>
        <w:t>f)</w:t>
      </w:r>
      <w:r w:rsidRPr="005F2A4B">
        <w:rPr>
          <w:b/>
          <w:bCs/>
          <w:lang w:val="fr-FR"/>
        </w:rPr>
        <w:tab/>
      </w:r>
      <w:r w:rsidR="00DA74C9" w:rsidRPr="005F2A4B">
        <w:rPr>
          <w:b/>
          <w:lang w:val="fr-FR"/>
        </w:rPr>
        <w:t>Mener des campagnes de sensibilisation sur les droits de l’enfant</w:t>
      </w:r>
      <w:r w:rsidR="00F317DE">
        <w:rPr>
          <w:b/>
          <w:lang w:val="fr-FR"/>
        </w:rPr>
        <w:t>, les infanticides</w:t>
      </w:r>
      <w:r w:rsidR="00DA74C9" w:rsidRPr="005F2A4B">
        <w:rPr>
          <w:b/>
          <w:lang w:val="fr-FR"/>
        </w:rPr>
        <w:t xml:space="preserve"> et les pratiques préjudiciables, </w:t>
      </w:r>
      <w:r w:rsidR="006D2A69">
        <w:rPr>
          <w:b/>
          <w:lang w:val="fr-FR"/>
        </w:rPr>
        <w:t>notamment</w:t>
      </w:r>
      <w:r w:rsidR="00DA74C9" w:rsidRPr="005F2A4B">
        <w:rPr>
          <w:b/>
          <w:lang w:val="fr-FR"/>
        </w:rPr>
        <w:t xml:space="preserve"> les mutilations génitales et accusations de sorcellerie, y compris dans les endroits les plus reculés, o</w:t>
      </w:r>
      <w:r w:rsidR="005F2A4B" w:rsidRPr="005F2A4B">
        <w:rPr>
          <w:b/>
          <w:lang w:val="fr-FR"/>
        </w:rPr>
        <w:t>ù de telles pratiques perdurent</w:t>
      </w:r>
      <w:r w:rsidR="006D2A69">
        <w:rPr>
          <w:b/>
          <w:lang w:val="fr-FR"/>
        </w:rPr>
        <w:t> </w:t>
      </w:r>
      <w:r w:rsidR="00DA74C9" w:rsidRPr="005F2A4B">
        <w:rPr>
          <w:b/>
          <w:lang w:val="fr-FR"/>
        </w:rPr>
        <w:t>;</w:t>
      </w:r>
    </w:p>
    <w:p w14:paraId="2CD03282" w14:textId="57710453" w:rsidR="00DA74C9" w:rsidRPr="005F2A4B" w:rsidRDefault="00F1057E" w:rsidP="00F1057E">
      <w:pPr>
        <w:pStyle w:val="SingleTxtG"/>
        <w:ind w:firstLine="567"/>
        <w:rPr>
          <w:b/>
          <w:lang w:val="fr-FR"/>
        </w:rPr>
      </w:pPr>
      <w:r w:rsidRPr="005F2A4B">
        <w:rPr>
          <w:b/>
          <w:bCs/>
          <w:lang w:val="fr-FR"/>
        </w:rPr>
        <w:t>g)</w:t>
      </w:r>
      <w:r w:rsidRPr="005F2A4B">
        <w:rPr>
          <w:b/>
          <w:bCs/>
          <w:lang w:val="fr-FR"/>
        </w:rPr>
        <w:tab/>
      </w:r>
      <w:r w:rsidR="00DA74C9" w:rsidRPr="005F2A4B">
        <w:rPr>
          <w:b/>
          <w:lang w:val="fr-FR"/>
        </w:rPr>
        <w:t>Mettre en place des programmes de lutte contre la traite et le travail forcé des enfants.</w:t>
      </w:r>
    </w:p>
    <w:p w14:paraId="4A2E788C" w14:textId="1D9DAFF3" w:rsidR="00DA74C9" w:rsidRDefault="005F2A4B" w:rsidP="00DA74C9">
      <w:pPr>
        <w:pStyle w:val="H23G"/>
        <w:rPr>
          <w:lang w:val="fr-FR"/>
        </w:rPr>
      </w:pPr>
      <w:r>
        <w:rPr>
          <w:lang w:val="fr-FR"/>
        </w:rPr>
        <w:tab/>
      </w:r>
      <w:r>
        <w:rPr>
          <w:lang w:val="fr-FR"/>
        </w:rPr>
        <w:tab/>
      </w:r>
      <w:r w:rsidR="00DA74C9" w:rsidRPr="00DA74C9">
        <w:rPr>
          <w:lang w:val="fr-FR"/>
        </w:rPr>
        <w:t>Répression de</w:t>
      </w:r>
      <w:r w:rsidR="006D2A69">
        <w:rPr>
          <w:lang w:val="fr-FR"/>
        </w:rPr>
        <w:t>s</w:t>
      </w:r>
      <w:r w:rsidR="00DA74C9" w:rsidRPr="00DA74C9">
        <w:rPr>
          <w:lang w:val="fr-FR"/>
        </w:rPr>
        <w:t xml:space="preserve"> manifestations </w:t>
      </w:r>
    </w:p>
    <w:p w14:paraId="73D36C19" w14:textId="659C327B" w:rsidR="00DA74C9" w:rsidRPr="00DA74C9" w:rsidRDefault="005F2A4B" w:rsidP="00943F4B">
      <w:pPr>
        <w:pStyle w:val="SingleTxtG"/>
      </w:pPr>
      <w:r w:rsidRPr="00A0037D">
        <w:t>34.</w:t>
      </w:r>
      <w:r w:rsidRPr="00A0037D">
        <w:tab/>
      </w:r>
      <w:r w:rsidR="00DA74C9" w:rsidRPr="00A0037D">
        <w:t xml:space="preserve">Le Comité s’inquiète </w:t>
      </w:r>
      <w:r w:rsidR="001A3D44" w:rsidRPr="00A0037D">
        <w:t>d’informations portées à sa connaissance</w:t>
      </w:r>
      <w:r w:rsidR="00DA74C9" w:rsidRPr="00A0037D">
        <w:t>, selon lesquel</w:t>
      </w:r>
      <w:r w:rsidR="00034A51" w:rsidRPr="00A0037D">
        <w:t>le</w:t>
      </w:r>
      <w:r w:rsidR="00DA74C9" w:rsidRPr="00A0037D">
        <w:t>s le 1</w:t>
      </w:r>
      <w:r w:rsidR="00DA74C9" w:rsidRPr="00F1057E">
        <w:rPr>
          <w:vertAlign w:val="superscript"/>
        </w:rPr>
        <w:t>er</w:t>
      </w:r>
      <w:r w:rsidR="00732E4E">
        <w:t> </w:t>
      </w:r>
      <w:r w:rsidR="00DA74C9" w:rsidRPr="00A0037D">
        <w:t>mai 2019, à Cotonou, après l’annonce des résultats des élections législatives, les forces de</w:t>
      </w:r>
      <w:r w:rsidR="00DA74C9" w:rsidRPr="00DA74C9">
        <w:t xml:space="preserve"> l</w:t>
      </w:r>
      <w:r w:rsidR="007947CC">
        <w:t>’</w:t>
      </w:r>
      <w:r w:rsidR="00DA74C9" w:rsidRPr="00DA74C9">
        <w:t>ordre béninoises et les forces armées auraient réprimé des manifestations par un recours excessif à la force, y compris des tirs à balles réelles contre des centaines de manifestants entourant la résidence de l</w:t>
      </w:r>
      <w:r w:rsidR="007947CC">
        <w:t>’</w:t>
      </w:r>
      <w:r w:rsidR="00DA74C9" w:rsidRPr="00DA74C9">
        <w:t>ancien président pour lui témoigner leur soutien, ce qui aurait causé la mort d’au moins deux personnes (art. 2, 12 et 16)</w:t>
      </w:r>
      <w:r w:rsidR="00B84889">
        <w:t>.</w:t>
      </w:r>
    </w:p>
    <w:p w14:paraId="10E6E1BD" w14:textId="28C2FFE0" w:rsidR="00DA74C9" w:rsidRPr="00DA74C9" w:rsidRDefault="00B84889" w:rsidP="00241BC5">
      <w:pPr>
        <w:pStyle w:val="SingleTxtG"/>
      </w:pPr>
      <w:r>
        <w:t>35.</w:t>
      </w:r>
      <w:r w:rsidR="00DA74C9" w:rsidRPr="00DA74C9">
        <w:tab/>
      </w:r>
      <w:r w:rsidR="00DA74C9" w:rsidRPr="005F2A4B">
        <w:rPr>
          <w:b/>
        </w:rPr>
        <w:t>Le Comité invite l’</w:t>
      </w:r>
      <w:r w:rsidR="00943F4B">
        <w:rPr>
          <w:b/>
        </w:rPr>
        <w:t>É</w:t>
      </w:r>
      <w:r w:rsidR="00DA74C9" w:rsidRPr="005F2A4B">
        <w:rPr>
          <w:b/>
        </w:rPr>
        <w:t xml:space="preserve">tat partie à mener sans délai des enquêtes impartiales et approfondies sur toute allégation d’usage excessif de la force, et à développer des lignes directrices claires sur le recours à la force et aux armes intégrant les principes de légitimité, </w:t>
      </w:r>
      <w:r w:rsidR="00943F4B">
        <w:rPr>
          <w:b/>
        </w:rPr>
        <w:t xml:space="preserve">de </w:t>
      </w:r>
      <w:r w:rsidR="00DA74C9" w:rsidRPr="005F2A4B">
        <w:rPr>
          <w:b/>
        </w:rPr>
        <w:t xml:space="preserve">nécessité, </w:t>
      </w:r>
      <w:r w:rsidR="00943F4B">
        <w:rPr>
          <w:b/>
        </w:rPr>
        <w:t xml:space="preserve">de </w:t>
      </w:r>
      <w:r w:rsidR="00DA74C9" w:rsidRPr="005F2A4B">
        <w:rPr>
          <w:b/>
        </w:rPr>
        <w:t xml:space="preserve">proportionnalité et </w:t>
      </w:r>
      <w:r w:rsidR="00943F4B">
        <w:rPr>
          <w:b/>
        </w:rPr>
        <w:t xml:space="preserve">de </w:t>
      </w:r>
      <w:r w:rsidR="00DA74C9" w:rsidRPr="005F2A4B">
        <w:rPr>
          <w:b/>
        </w:rPr>
        <w:t>précaution</w:t>
      </w:r>
      <w:r w:rsidR="00943F4B">
        <w:rPr>
          <w:b/>
        </w:rPr>
        <w:t>.</w:t>
      </w:r>
      <w:r w:rsidR="00DA74C9" w:rsidRPr="005F2A4B">
        <w:rPr>
          <w:b/>
        </w:rPr>
        <w:t xml:space="preserve"> </w:t>
      </w:r>
      <w:r w:rsidR="00943F4B">
        <w:rPr>
          <w:b/>
        </w:rPr>
        <w:t>Il prie également l’État partie de</w:t>
      </w:r>
      <w:r w:rsidR="00DA74C9" w:rsidRPr="005F2A4B">
        <w:rPr>
          <w:b/>
        </w:rPr>
        <w:t xml:space="preserve"> rendre les dispositions législatives et réglementaires régissant le recours à la </w:t>
      </w:r>
      <w:r w:rsidR="00DA74C9" w:rsidRPr="00A0037D">
        <w:rPr>
          <w:b/>
        </w:rPr>
        <w:t xml:space="preserve">force conformes aux normes internationales, notamment </w:t>
      </w:r>
      <w:r w:rsidR="00241BC5" w:rsidRPr="00A0037D">
        <w:rPr>
          <w:b/>
        </w:rPr>
        <w:t>aux</w:t>
      </w:r>
      <w:r w:rsidR="00DA74C9" w:rsidRPr="00A0037D">
        <w:rPr>
          <w:b/>
        </w:rPr>
        <w:t xml:space="preserve"> Principes de base sur </w:t>
      </w:r>
      <w:r w:rsidR="00DA74C9" w:rsidRPr="00A0037D">
        <w:rPr>
          <w:b/>
        </w:rPr>
        <w:lastRenderedPageBreak/>
        <w:t>le</w:t>
      </w:r>
      <w:r w:rsidR="008158F4">
        <w:rPr>
          <w:b/>
        </w:rPr>
        <w:t> </w:t>
      </w:r>
      <w:r w:rsidR="00DA74C9" w:rsidRPr="00A0037D">
        <w:rPr>
          <w:b/>
        </w:rPr>
        <w:t>recours à la force et l’utilisation des armes à feu par les responsables de l’application des lois</w:t>
      </w:r>
      <w:r w:rsidR="00943F4B" w:rsidRPr="00A0037D">
        <w:rPr>
          <w:b/>
        </w:rPr>
        <w:t xml:space="preserve"> adoptés par les Nations Unies en</w:t>
      </w:r>
      <w:r w:rsidR="00DA74C9" w:rsidRPr="00A0037D">
        <w:rPr>
          <w:b/>
        </w:rPr>
        <w:t xml:space="preserve"> 1990.</w:t>
      </w:r>
    </w:p>
    <w:p w14:paraId="046EBD72" w14:textId="71BFC000" w:rsidR="00DA74C9" w:rsidRPr="00DA74C9" w:rsidRDefault="005F2A4B" w:rsidP="00DA74C9">
      <w:pPr>
        <w:pStyle w:val="H23G"/>
        <w:rPr>
          <w:lang w:val="fr-FR"/>
        </w:rPr>
      </w:pPr>
      <w:r>
        <w:rPr>
          <w:lang w:val="fr-FR"/>
        </w:rPr>
        <w:tab/>
      </w:r>
      <w:r>
        <w:rPr>
          <w:lang w:val="fr-FR"/>
        </w:rPr>
        <w:tab/>
      </w:r>
      <w:r w:rsidR="00DA74C9" w:rsidRPr="00DA74C9">
        <w:rPr>
          <w:lang w:val="fr-FR"/>
        </w:rPr>
        <w:t>Violence</w:t>
      </w:r>
      <w:r w:rsidR="00943F4B">
        <w:rPr>
          <w:lang w:val="fr-FR"/>
        </w:rPr>
        <w:t>s</w:t>
      </w:r>
      <w:r w:rsidR="00DA74C9" w:rsidRPr="00DA74C9">
        <w:rPr>
          <w:lang w:val="fr-FR"/>
        </w:rPr>
        <w:t xml:space="preserve"> contre les femmes et les filles</w:t>
      </w:r>
    </w:p>
    <w:p w14:paraId="27667138" w14:textId="14E1046B" w:rsidR="00DA74C9" w:rsidRPr="00DA74C9" w:rsidRDefault="00DA74C9" w:rsidP="00193C3C">
      <w:pPr>
        <w:kinsoku/>
        <w:overflowPunct/>
        <w:autoSpaceDE/>
        <w:autoSpaceDN/>
        <w:adjustRightInd/>
        <w:snapToGrid/>
        <w:spacing w:after="120"/>
        <w:ind w:left="1134" w:right="1134"/>
        <w:jc w:val="both"/>
        <w:rPr>
          <w:rFonts w:eastAsia="Times New Roman"/>
          <w:lang w:val="fr-FR"/>
        </w:rPr>
      </w:pPr>
      <w:r w:rsidRPr="00DA74C9">
        <w:rPr>
          <w:rFonts w:eastAsia="Times New Roman"/>
          <w:lang w:val="fr-FR"/>
        </w:rPr>
        <w:t>3</w:t>
      </w:r>
      <w:r w:rsidR="00B84889">
        <w:rPr>
          <w:rFonts w:eastAsia="Times New Roman"/>
          <w:lang w:val="fr-FR"/>
        </w:rPr>
        <w:t>6</w:t>
      </w:r>
      <w:r w:rsidRPr="00DA74C9">
        <w:rPr>
          <w:rFonts w:eastAsia="Times New Roman"/>
          <w:lang w:val="fr-FR"/>
        </w:rPr>
        <w:t>.</w:t>
      </w:r>
      <w:r w:rsidRPr="00DA74C9">
        <w:rPr>
          <w:rFonts w:eastAsia="Times New Roman"/>
          <w:lang w:val="fr-FR"/>
        </w:rPr>
        <w:tab/>
        <w:t>Le Comité s’inquiète du taux alarmant de violence</w:t>
      </w:r>
      <w:r w:rsidR="00943F4B">
        <w:rPr>
          <w:rFonts w:eastAsia="Times New Roman"/>
          <w:lang w:val="fr-FR"/>
        </w:rPr>
        <w:t>s</w:t>
      </w:r>
      <w:r w:rsidRPr="00DA74C9">
        <w:rPr>
          <w:rFonts w:eastAsia="Times New Roman"/>
          <w:lang w:val="fr-FR"/>
        </w:rPr>
        <w:t xml:space="preserve"> envers les femmes au sein de lieux de privation de liberté, d’écoles, ainsi que dans la sphère privée, </w:t>
      </w:r>
      <w:r w:rsidRPr="00DA74C9">
        <w:rPr>
          <w:rFonts w:eastAsia="Times New Roman"/>
        </w:rPr>
        <w:t>en</w:t>
      </w:r>
      <w:r w:rsidRPr="00DA74C9">
        <w:rPr>
          <w:rFonts w:eastAsia="Times New Roman"/>
          <w:lang w:val="fr-FR"/>
        </w:rPr>
        <w:t xml:space="preserve"> dépit de l’adoption de la </w:t>
      </w:r>
      <w:r w:rsidR="00943F4B" w:rsidRPr="00A0037D">
        <w:rPr>
          <w:rFonts w:eastAsia="Times New Roman"/>
          <w:lang w:val="fr-FR"/>
        </w:rPr>
        <w:t>l</w:t>
      </w:r>
      <w:r w:rsidRPr="00A0037D">
        <w:rPr>
          <w:rFonts w:eastAsia="Times New Roman"/>
          <w:lang w:val="fr-FR"/>
        </w:rPr>
        <w:t xml:space="preserve">oi </w:t>
      </w:r>
      <w:r w:rsidR="00193C3C" w:rsidRPr="00101CD2">
        <w:rPr>
          <w:lang w:val="fr-FR"/>
        </w:rPr>
        <w:t>n</w:t>
      </w:r>
      <w:r w:rsidR="00193C3C" w:rsidRPr="00EE1830">
        <w:rPr>
          <w:vertAlign w:val="superscript"/>
          <w:lang w:val="fr-FR"/>
        </w:rPr>
        <w:t>o</w:t>
      </w:r>
      <w:r w:rsidR="00193C3C">
        <w:rPr>
          <w:lang w:val="fr-FR"/>
        </w:rPr>
        <w:t> </w:t>
      </w:r>
      <w:r w:rsidRPr="00A0037D">
        <w:rPr>
          <w:rFonts w:eastAsia="Times New Roman"/>
          <w:lang w:val="fr-FR"/>
        </w:rPr>
        <w:t xml:space="preserve">2011-26 du 9 janvier 2012 portant prévention et répression des violences faites aux femmes. </w:t>
      </w:r>
      <w:r w:rsidRPr="00A0037D">
        <w:rPr>
          <w:rFonts w:eastAsia="Times New Roman"/>
        </w:rPr>
        <w:t>Le Comité déplore</w:t>
      </w:r>
      <w:r w:rsidRPr="00A0037D">
        <w:rPr>
          <w:rFonts w:eastAsia="Times New Roman"/>
          <w:lang w:val="fr-FR"/>
        </w:rPr>
        <w:t xml:space="preserve"> le faible nombre de poursuites engagées contre les auteurs de</w:t>
      </w:r>
      <w:r w:rsidRPr="00DA74C9">
        <w:rPr>
          <w:rFonts w:eastAsia="Times New Roman"/>
          <w:lang w:val="fr-FR"/>
        </w:rPr>
        <w:t xml:space="preserve"> tels actes, et le manquement apparent à la règle de diligence raisonnable. Il regrette également </w:t>
      </w:r>
      <w:r w:rsidRPr="00DA74C9">
        <w:rPr>
          <w:rFonts w:eastAsia="Times New Roman"/>
        </w:rPr>
        <w:t xml:space="preserve">l’absence de données statistiques relatives aux plaintes, </w:t>
      </w:r>
      <w:r w:rsidR="00943F4B">
        <w:rPr>
          <w:rFonts w:eastAsia="Times New Roman"/>
        </w:rPr>
        <w:t xml:space="preserve">aux </w:t>
      </w:r>
      <w:r w:rsidRPr="00DA74C9">
        <w:rPr>
          <w:rFonts w:eastAsia="Times New Roman"/>
        </w:rPr>
        <w:t xml:space="preserve">condamnations et </w:t>
      </w:r>
      <w:r w:rsidR="00943F4B">
        <w:rPr>
          <w:rFonts w:eastAsia="Times New Roman"/>
        </w:rPr>
        <w:t xml:space="preserve">aux </w:t>
      </w:r>
      <w:r w:rsidRPr="00DA74C9">
        <w:rPr>
          <w:rFonts w:eastAsia="Times New Roman"/>
        </w:rPr>
        <w:t>sanctions pénales à cet effet</w:t>
      </w:r>
      <w:r w:rsidRPr="00DA74C9">
        <w:rPr>
          <w:rFonts w:eastAsia="Times New Roman"/>
          <w:lang w:val="fr-FR"/>
        </w:rPr>
        <w:t xml:space="preserve"> (art. 2 et 16).</w:t>
      </w:r>
    </w:p>
    <w:p w14:paraId="73FB93DF" w14:textId="17732A35" w:rsidR="00DA74C9" w:rsidRPr="00DA74C9" w:rsidRDefault="00DA74C9" w:rsidP="00B84889">
      <w:pPr>
        <w:pStyle w:val="SingleTxtG"/>
        <w:rPr>
          <w:lang w:val="fr-FR"/>
        </w:rPr>
      </w:pPr>
      <w:r w:rsidRPr="00DA74C9">
        <w:rPr>
          <w:lang w:val="fr-FR"/>
        </w:rPr>
        <w:t>3</w:t>
      </w:r>
      <w:r w:rsidR="00B84889">
        <w:rPr>
          <w:lang w:val="fr-FR"/>
        </w:rPr>
        <w:t>7</w:t>
      </w:r>
      <w:r w:rsidRPr="00DA74C9">
        <w:rPr>
          <w:lang w:val="fr-FR"/>
        </w:rPr>
        <w:t>.</w:t>
      </w:r>
      <w:r w:rsidRPr="00DA74C9">
        <w:rPr>
          <w:lang w:val="fr-FR"/>
        </w:rPr>
        <w:tab/>
      </w:r>
      <w:r w:rsidRPr="00B84889">
        <w:rPr>
          <w:b/>
          <w:lang w:val="fr-FR"/>
        </w:rPr>
        <w:t>L’</w:t>
      </w:r>
      <w:r w:rsidR="005F2A4B" w:rsidRPr="00B84889">
        <w:rPr>
          <w:b/>
          <w:lang w:val="fr-FR"/>
        </w:rPr>
        <w:t>État partie devrait</w:t>
      </w:r>
      <w:r w:rsidR="00241BC5">
        <w:rPr>
          <w:b/>
          <w:lang w:val="fr-FR"/>
        </w:rPr>
        <w:t> </w:t>
      </w:r>
      <w:r w:rsidRPr="00B84889">
        <w:rPr>
          <w:b/>
          <w:lang w:val="fr-FR"/>
        </w:rPr>
        <w:t>:</w:t>
      </w:r>
    </w:p>
    <w:p w14:paraId="1564C33B" w14:textId="6F3DA512" w:rsidR="00DA74C9" w:rsidRPr="00DA74C9" w:rsidRDefault="005F2A4B" w:rsidP="00F1057E">
      <w:pPr>
        <w:kinsoku/>
        <w:overflowPunct/>
        <w:autoSpaceDE/>
        <w:autoSpaceDN/>
        <w:adjustRightInd/>
        <w:snapToGrid/>
        <w:spacing w:after="120"/>
        <w:ind w:left="1134" w:right="1134" w:firstLine="567"/>
        <w:jc w:val="both"/>
        <w:rPr>
          <w:rFonts w:eastAsia="Times New Roman"/>
          <w:b/>
        </w:rPr>
      </w:pPr>
      <w:r>
        <w:rPr>
          <w:rFonts w:eastAsia="Times New Roman"/>
          <w:b/>
        </w:rPr>
        <w:tab/>
      </w:r>
      <w:r w:rsidR="00DA74C9" w:rsidRPr="00F1057E">
        <w:rPr>
          <w:b/>
          <w:bCs/>
        </w:rPr>
        <w:t>a)</w:t>
      </w:r>
      <w:r w:rsidR="00DA74C9" w:rsidRPr="00DA74C9">
        <w:rPr>
          <w:rFonts w:eastAsia="Times New Roman"/>
          <w:b/>
        </w:rPr>
        <w:tab/>
        <w:t xml:space="preserve">Assurer la mise en œuvre effective de la </w:t>
      </w:r>
      <w:r w:rsidR="00943F4B">
        <w:rPr>
          <w:rFonts w:eastAsia="Times New Roman"/>
          <w:b/>
          <w:bCs/>
          <w:lang w:val="fr-FR"/>
        </w:rPr>
        <w:t>l</w:t>
      </w:r>
      <w:r w:rsidR="00DA74C9" w:rsidRPr="00DA74C9">
        <w:rPr>
          <w:rFonts w:eastAsia="Times New Roman"/>
          <w:b/>
          <w:bCs/>
          <w:lang w:val="fr-FR"/>
        </w:rPr>
        <w:t xml:space="preserve">oi </w:t>
      </w:r>
      <w:r w:rsidR="00193C3C" w:rsidRPr="00F1057E">
        <w:rPr>
          <w:b/>
          <w:bCs/>
          <w:lang w:val="fr-FR"/>
        </w:rPr>
        <w:t>n</w:t>
      </w:r>
      <w:r w:rsidR="00193C3C" w:rsidRPr="00F1057E">
        <w:rPr>
          <w:b/>
          <w:bCs/>
          <w:vertAlign w:val="superscript"/>
          <w:lang w:val="fr-FR"/>
        </w:rPr>
        <w:t>o</w:t>
      </w:r>
      <w:r w:rsidR="00193C3C" w:rsidRPr="00F1057E">
        <w:rPr>
          <w:b/>
          <w:bCs/>
          <w:lang w:val="fr-FR"/>
        </w:rPr>
        <w:t> </w:t>
      </w:r>
      <w:r w:rsidR="00DA74C9" w:rsidRPr="00F1057E">
        <w:rPr>
          <w:rFonts w:eastAsia="Times New Roman"/>
          <w:b/>
          <w:bCs/>
          <w:lang w:val="fr-FR"/>
        </w:rPr>
        <w:t>2011</w:t>
      </w:r>
      <w:r w:rsidR="00DA74C9" w:rsidRPr="00DA74C9">
        <w:rPr>
          <w:rFonts w:eastAsia="Times New Roman"/>
          <w:b/>
          <w:bCs/>
          <w:lang w:val="fr-FR"/>
        </w:rPr>
        <w:t xml:space="preserve">-26 du 9 janvier 2012 et mener des </w:t>
      </w:r>
      <w:r w:rsidR="00DA74C9" w:rsidRPr="00DA74C9">
        <w:rPr>
          <w:rFonts w:eastAsia="Times New Roman"/>
          <w:b/>
        </w:rPr>
        <w:t>enquêtes approfondies sur tous les cas de violence</w:t>
      </w:r>
      <w:r w:rsidR="00943F4B">
        <w:rPr>
          <w:rFonts w:eastAsia="Times New Roman"/>
          <w:b/>
        </w:rPr>
        <w:t>s</w:t>
      </w:r>
      <w:r w:rsidR="00DA74C9" w:rsidRPr="00DA74C9">
        <w:rPr>
          <w:rFonts w:eastAsia="Times New Roman"/>
          <w:b/>
        </w:rPr>
        <w:t xml:space="preserve"> à l’égard des femmes, </w:t>
      </w:r>
      <w:r w:rsidR="00943F4B">
        <w:rPr>
          <w:rFonts w:eastAsia="Times New Roman"/>
          <w:b/>
        </w:rPr>
        <w:t xml:space="preserve">afin </w:t>
      </w:r>
      <w:r w:rsidR="00DA74C9" w:rsidRPr="00DA74C9">
        <w:rPr>
          <w:rFonts w:eastAsia="Times New Roman"/>
          <w:b/>
        </w:rPr>
        <w:t>que les auteurs soient poursuivis et dûment punis et que les victimes obtiennent réparation</w:t>
      </w:r>
      <w:r w:rsidR="00943F4B">
        <w:rPr>
          <w:rFonts w:eastAsia="Times New Roman"/>
          <w:b/>
        </w:rPr>
        <w:t> </w:t>
      </w:r>
      <w:r w:rsidR="00DA74C9" w:rsidRPr="00DA74C9">
        <w:rPr>
          <w:rFonts w:eastAsia="Times New Roman"/>
          <w:b/>
        </w:rPr>
        <w:t>;</w:t>
      </w:r>
    </w:p>
    <w:p w14:paraId="55A27397" w14:textId="1F83B30B" w:rsidR="00DA74C9" w:rsidRPr="00DA74C9" w:rsidRDefault="005F2A4B" w:rsidP="00F1057E">
      <w:pPr>
        <w:kinsoku/>
        <w:overflowPunct/>
        <w:autoSpaceDE/>
        <w:autoSpaceDN/>
        <w:adjustRightInd/>
        <w:snapToGrid/>
        <w:spacing w:after="120"/>
        <w:ind w:left="1134" w:right="1134" w:firstLine="567"/>
        <w:jc w:val="both"/>
        <w:rPr>
          <w:rFonts w:eastAsia="Times New Roman"/>
          <w:b/>
        </w:rPr>
      </w:pPr>
      <w:r>
        <w:rPr>
          <w:rFonts w:eastAsia="Times New Roman"/>
          <w:b/>
        </w:rPr>
        <w:tab/>
      </w:r>
      <w:r w:rsidR="00DA74C9" w:rsidRPr="00F1057E">
        <w:rPr>
          <w:b/>
          <w:bCs/>
        </w:rPr>
        <w:t>b)</w:t>
      </w:r>
      <w:r w:rsidR="00DA74C9" w:rsidRPr="00DA74C9">
        <w:rPr>
          <w:rFonts w:eastAsia="Times New Roman"/>
          <w:b/>
        </w:rPr>
        <w:tab/>
        <w:t xml:space="preserve">Dispenser </w:t>
      </w:r>
      <w:r w:rsidR="00943F4B" w:rsidRPr="00DA74C9">
        <w:rPr>
          <w:rFonts w:eastAsia="Times New Roman"/>
          <w:b/>
        </w:rPr>
        <w:t xml:space="preserve">à tous les agents des forces de l’ordre et du système judiciaire </w:t>
      </w:r>
      <w:r w:rsidR="00DA74C9" w:rsidRPr="00DA74C9">
        <w:rPr>
          <w:rFonts w:eastAsia="Times New Roman"/>
          <w:b/>
        </w:rPr>
        <w:t>une formation obligatoire concernant les poursuites à engager en cas de violence</w:t>
      </w:r>
      <w:r w:rsidR="00943F4B">
        <w:rPr>
          <w:rFonts w:eastAsia="Times New Roman"/>
          <w:b/>
        </w:rPr>
        <w:t>s</w:t>
      </w:r>
      <w:r w:rsidR="00DA74C9" w:rsidRPr="00DA74C9">
        <w:rPr>
          <w:rFonts w:eastAsia="Times New Roman"/>
          <w:b/>
        </w:rPr>
        <w:t xml:space="preserve"> </w:t>
      </w:r>
      <w:r w:rsidR="00BC45A1">
        <w:rPr>
          <w:rFonts w:eastAsia="Times New Roman"/>
          <w:b/>
        </w:rPr>
        <w:t>sexuelle</w:t>
      </w:r>
      <w:r w:rsidR="00943F4B">
        <w:rPr>
          <w:rFonts w:eastAsia="Times New Roman"/>
          <w:b/>
        </w:rPr>
        <w:t>s</w:t>
      </w:r>
      <w:r w:rsidR="00BC45A1">
        <w:rPr>
          <w:rFonts w:eastAsia="Times New Roman"/>
          <w:b/>
        </w:rPr>
        <w:t xml:space="preserve"> et de violence</w:t>
      </w:r>
      <w:r w:rsidR="00943F4B">
        <w:rPr>
          <w:rFonts w:eastAsia="Times New Roman"/>
          <w:b/>
        </w:rPr>
        <w:t>s</w:t>
      </w:r>
      <w:r w:rsidR="00BC45A1">
        <w:rPr>
          <w:rFonts w:eastAsia="Times New Roman"/>
          <w:b/>
        </w:rPr>
        <w:t xml:space="preserve"> basée</w:t>
      </w:r>
      <w:r w:rsidR="00943F4B">
        <w:rPr>
          <w:rFonts w:eastAsia="Times New Roman"/>
          <w:b/>
        </w:rPr>
        <w:t>s</w:t>
      </w:r>
      <w:r w:rsidR="00BC45A1">
        <w:rPr>
          <w:rFonts w:eastAsia="Times New Roman"/>
          <w:b/>
        </w:rPr>
        <w:t xml:space="preserve"> sur le genre</w:t>
      </w:r>
      <w:r w:rsidR="00943F4B">
        <w:rPr>
          <w:rFonts w:eastAsia="Times New Roman"/>
          <w:b/>
        </w:rPr>
        <w:t>,</w:t>
      </w:r>
      <w:r w:rsidR="00DA74C9" w:rsidRPr="00DA74C9">
        <w:rPr>
          <w:rFonts w:eastAsia="Times New Roman"/>
          <w:b/>
        </w:rPr>
        <w:t xml:space="preserve"> et mener d</w:t>
      </w:r>
      <w:r>
        <w:rPr>
          <w:rFonts w:eastAsia="Times New Roman"/>
          <w:b/>
        </w:rPr>
        <w:t>es campagnes de sensibilisation</w:t>
      </w:r>
      <w:r w:rsidR="00943F4B">
        <w:rPr>
          <w:rFonts w:eastAsia="Times New Roman"/>
          <w:b/>
        </w:rPr>
        <w:t> </w:t>
      </w:r>
      <w:r w:rsidR="00DA74C9" w:rsidRPr="00DA74C9">
        <w:rPr>
          <w:rFonts w:eastAsia="Times New Roman"/>
          <w:b/>
        </w:rPr>
        <w:t>;</w:t>
      </w:r>
    </w:p>
    <w:p w14:paraId="54395ACB" w14:textId="56A067D5" w:rsidR="00EE778A" w:rsidRDefault="005F2A4B" w:rsidP="00F1057E">
      <w:pPr>
        <w:kinsoku/>
        <w:overflowPunct/>
        <w:autoSpaceDE/>
        <w:autoSpaceDN/>
        <w:adjustRightInd/>
        <w:snapToGrid/>
        <w:spacing w:after="120"/>
        <w:ind w:left="1134" w:right="1134" w:firstLine="567"/>
        <w:jc w:val="both"/>
        <w:rPr>
          <w:rFonts w:eastAsia="Times New Roman"/>
          <w:b/>
        </w:rPr>
      </w:pPr>
      <w:r>
        <w:rPr>
          <w:rFonts w:eastAsia="Times New Roman"/>
          <w:b/>
        </w:rPr>
        <w:tab/>
      </w:r>
      <w:r w:rsidR="00DA74C9" w:rsidRPr="00F1057E">
        <w:rPr>
          <w:b/>
          <w:bCs/>
        </w:rPr>
        <w:t>c)</w:t>
      </w:r>
      <w:r w:rsidR="00DA74C9" w:rsidRPr="00DA74C9">
        <w:rPr>
          <w:rFonts w:eastAsia="Times New Roman"/>
          <w:b/>
        </w:rPr>
        <w:tab/>
        <w:t>Garantir que toutes les victimes de violence</w:t>
      </w:r>
      <w:r w:rsidR="00871A25">
        <w:rPr>
          <w:rFonts w:eastAsia="Times New Roman"/>
          <w:b/>
        </w:rPr>
        <w:t>s</w:t>
      </w:r>
      <w:r w:rsidR="00DA74C9" w:rsidRPr="00DA74C9">
        <w:rPr>
          <w:rFonts w:eastAsia="Times New Roman"/>
          <w:b/>
        </w:rPr>
        <w:t xml:space="preserve"> </w:t>
      </w:r>
      <w:r w:rsidR="00EE778A">
        <w:rPr>
          <w:rFonts w:eastAsia="Times New Roman"/>
          <w:b/>
        </w:rPr>
        <w:t>sexuelle</w:t>
      </w:r>
      <w:r w:rsidR="00871A25">
        <w:rPr>
          <w:rFonts w:eastAsia="Times New Roman"/>
          <w:b/>
        </w:rPr>
        <w:t>s</w:t>
      </w:r>
      <w:r w:rsidR="00EE778A" w:rsidRPr="00DA74C9">
        <w:rPr>
          <w:rFonts w:eastAsia="Times New Roman"/>
          <w:b/>
        </w:rPr>
        <w:t xml:space="preserve"> </w:t>
      </w:r>
      <w:r w:rsidR="00EE778A">
        <w:rPr>
          <w:rFonts w:eastAsia="Times New Roman"/>
          <w:b/>
        </w:rPr>
        <w:t>et de violence</w:t>
      </w:r>
      <w:r w:rsidR="00871A25">
        <w:rPr>
          <w:rFonts w:eastAsia="Times New Roman"/>
          <w:b/>
        </w:rPr>
        <w:t>s</w:t>
      </w:r>
      <w:r w:rsidR="00EE778A">
        <w:rPr>
          <w:rFonts w:eastAsia="Times New Roman"/>
          <w:b/>
        </w:rPr>
        <w:t xml:space="preserve"> basée</w:t>
      </w:r>
      <w:r w:rsidR="00871A25">
        <w:rPr>
          <w:rFonts w:eastAsia="Times New Roman"/>
          <w:b/>
        </w:rPr>
        <w:t>s</w:t>
      </w:r>
      <w:r w:rsidR="00EE778A">
        <w:rPr>
          <w:rFonts w:eastAsia="Times New Roman"/>
          <w:b/>
        </w:rPr>
        <w:t xml:space="preserve"> sur le genre </w:t>
      </w:r>
      <w:r w:rsidR="00DA74C9" w:rsidRPr="00DA74C9">
        <w:rPr>
          <w:rFonts w:eastAsia="Times New Roman"/>
          <w:b/>
        </w:rPr>
        <w:t>aient accès à un abri et reçoivent les soins médicaux, l’accompagnement psychologique et l’aide juridictionnelle dont elles ont besoin</w:t>
      </w:r>
      <w:r w:rsidR="004D7C08">
        <w:rPr>
          <w:rFonts w:eastAsia="Times New Roman"/>
          <w:b/>
        </w:rPr>
        <w:t> ;</w:t>
      </w:r>
    </w:p>
    <w:p w14:paraId="375D1003" w14:textId="2A0393BD" w:rsidR="00EE778A" w:rsidRPr="00EB2291" w:rsidRDefault="004D7C08" w:rsidP="00F1057E">
      <w:pPr>
        <w:kinsoku/>
        <w:overflowPunct/>
        <w:autoSpaceDE/>
        <w:autoSpaceDN/>
        <w:adjustRightInd/>
        <w:snapToGrid/>
        <w:spacing w:after="120"/>
        <w:ind w:left="1134" w:right="1134" w:firstLine="567"/>
        <w:jc w:val="both"/>
        <w:rPr>
          <w:b/>
        </w:rPr>
      </w:pPr>
      <w:r>
        <w:rPr>
          <w:rFonts w:eastAsia="Times New Roman"/>
          <w:b/>
        </w:rPr>
        <w:tab/>
      </w:r>
      <w:r w:rsidRPr="00F1057E">
        <w:rPr>
          <w:rFonts w:eastAsia="Times New Roman"/>
          <w:b/>
          <w:bCs/>
        </w:rPr>
        <w:t>d)</w:t>
      </w:r>
      <w:r>
        <w:rPr>
          <w:rFonts w:eastAsia="Times New Roman"/>
          <w:b/>
        </w:rPr>
        <w:tab/>
      </w:r>
      <w:r w:rsidR="00871A25">
        <w:rPr>
          <w:b/>
        </w:rPr>
        <w:t>Collecter</w:t>
      </w:r>
      <w:r w:rsidR="00EE778A" w:rsidRPr="00EB2291">
        <w:rPr>
          <w:b/>
        </w:rPr>
        <w:t xml:space="preserve"> des données statistiques sur le nombre de </w:t>
      </w:r>
      <w:r w:rsidR="00EE778A" w:rsidRPr="00942542">
        <w:rPr>
          <w:rFonts w:eastAsia="Times New Roman"/>
          <w:b/>
          <w:bCs/>
        </w:rPr>
        <w:t xml:space="preserve">plaintes, </w:t>
      </w:r>
      <w:r w:rsidR="00871A25">
        <w:rPr>
          <w:rFonts w:eastAsia="Times New Roman"/>
          <w:b/>
          <w:bCs/>
        </w:rPr>
        <w:t xml:space="preserve">de </w:t>
      </w:r>
      <w:r w:rsidR="00EE778A" w:rsidRPr="00942542">
        <w:rPr>
          <w:rFonts w:eastAsia="Times New Roman"/>
          <w:b/>
          <w:bCs/>
        </w:rPr>
        <w:t xml:space="preserve">condamnations et </w:t>
      </w:r>
      <w:r w:rsidR="00871A25">
        <w:rPr>
          <w:rFonts w:eastAsia="Times New Roman"/>
          <w:b/>
          <w:bCs/>
        </w:rPr>
        <w:t xml:space="preserve">de </w:t>
      </w:r>
      <w:r w:rsidR="00EE778A" w:rsidRPr="004D7C08">
        <w:rPr>
          <w:rFonts w:eastAsia="Times New Roman"/>
          <w:b/>
        </w:rPr>
        <w:t>sanctions</w:t>
      </w:r>
      <w:r w:rsidR="00EE778A" w:rsidRPr="00942542">
        <w:rPr>
          <w:rFonts w:eastAsia="Times New Roman"/>
          <w:b/>
          <w:bCs/>
        </w:rPr>
        <w:t xml:space="preserve"> pénales</w:t>
      </w:r>
      <w:r w:rsidR="00EE778A" w:rsidRPr="00EB2291">
        <w:rPr>
          <w:b/>
        </w:rPr>
        <w:t xml:space="preserve"> concernant ces cas</w:t>
      </w:r>
      <w:r w:rsidR="00D40B98">
        <w:rPr>
          <w:b/>
        </w:rPr>
        <w:t xml:space="preserve">, et </w:t>
      </w:r>
      <w:r w:rsidR="00871A25">
        <w:rPr>
          <w:b/>
        </w:rPr>
        <w:t>les transmettre au</w:t>
      </w:r>
      <w:r w:rsidR="00D40B98">
        <w:rPr>
          <w:b/>
        </w:rPr>
        <w:t xml:space="preserve"> Comité lors de la soumission de son prochain rapport périodique</w:t>
      </w:r>
      <w:r w:rsidR="00EE778A">
        <w:rPr>
          <w:b/>
        </w:rPr>
        <w:t>.</w:t>
      </w:r>
    </w:p>
    <w:p w14:paraId="083C1D02" w14:textId="6647876F" w:rsidR="00DA74C9" w:rsidRDefault="005F2A4B" w:rsidP="00C1352C">
      <w:pPr>
        <w:pStyle w:val="H23G"/>
        <w:rPr>
          <w:lang w:val="fr-FR"/>
        </w:rPr>
      </w:pPr>
      <w:r>
        <w:rPr>
          <w:lang w:val="fr-FR"/>
        </w:rPr>
        <w:tab/>
      </w:r>
      <w:r>
        <w:rPr>
          <w:lang w:val="fr-FR"/>
        </w:rPr>
        <w:tab/>
      </w:r>
      <w:r w:rsidR="00DA74C9" w:rsidRPr="00DA74C9">
        <w:rPr>
          <w:lang w:val="fr-FR"/>
        </w:rPr>
        <w:t xml:space="preserve">Formation </w:t>
      </w:r>
    </w:p>
    <w:p w14:paraId="05318802" w14:textId="08DC6C5E" w:rsidR="00DA74C9" w:rsidRDefault="00DA74C9" w:rsidP="00E44E01">
      <w:pPr>
        <w:pStyle w:val="SingleTxtG"/>
        <w:rPr>
          <w:lang w:val="fr-FR"/>
        </w:rPr>
      </w:pPr>
      <w:r w:rsidRPr="00DA74C9">
        <w:rPr>
          <w:lang w:val="fr-FR"/>
        </w:rPr>
        <w:t>3</w:t>
      </w:r>
      <w:r w:rsidR="00B84889">
        <w:rPr>
          <w:lang w:val="fr-FR"/>
        </w:rPr>
        <w:t>8</w:t>
      </w:r>
      <w:r w:rsidR="005F2A4B">
        <w:rPr>
          <w:lang w:val="fr-FR"/>
        </w:rPr>
        <w:t>.</w:t>
      </w:r>
      <w:r w:rsidR="005F2A4B">
        <w:rPr>
          <w:lang w:val="fr-FR"/>
        </w:rPr>
        <w:tab/>
      </w:r>
      <w:r w:rsidRPr="00DA74C9">
        <w:rPr>
          <w:lang w:val="fr-FR"/>
        </w:rPr>
        <w:t xml:space="preserve">Prenant note des efforts de l’État partie en matière de sensibilisation et de formation aux droits de l’homme, le Comité regrette l’absence d’informations statistiques précises sur les acteurs formés. Il déplore également le fait que la formation des agents de l’État </w:t>
      </w:r>
      <w:r w:rsidR="00E44E01">
        <w:rPr>
          <w:lang w:val="fr-FR"/>
        </w:rPr>
        <w:t>n’intègre</w:t>
      </w:r>
      <w:r w:rsidRPr="00DA74C9">
        <w:rPr>
          <w:lang w:val="fr-FR"/>
        </w:rPr>
        <w:t xml:space="preserve"> </w:t>
      </w:r>
      <w:r w:rsidR="00E44E01">
        <w:rPr>
          <w:lang w:val="fr-FR"/>
        </w:rPr>
        <w:t xml:space="preserve">aucune </w:t>
      </w:r>
      <w:r w:rsidRPr="00DA74C9">
        <w:rPr>
          <w:lang w:val="fr-FR"/>
        </w:rPr>
        <w:t xml:space="preserve">instruction sur les dispositions de la Convention, en particulier l’interdiction absolue de la torture ainsi que les directives relatives à la détection des séquelles de torture ou de mauvais traitements fondées sur les normes définies dans le Manuel pour enquêter efficacement sur la torture et autres peines ou traitements cruels, inhumains ou dégradants </w:t>
      </w:r>
      <w:r w:rsidRPr="006F52BE">
        <w:rPr>
          <w:lang w:val="fr-FR"/>
        </w:rPr>
        <w:t>(Protocole d’Istanbul) (art. 10).</w:t>
      </w:r>
      <w:r w:rsidRPr="00DA74C9">
        <w:rPr>
          <w:color w:val="000000"/>
          <w:lang w:val="fr-FR"/>
        </w:rPr>
        <w:t xml:space="preserve"> </w:t>
      </w:r>
    </w:p>
    <w:p w14:paraId="583B63A1" w14:textId="5B26A637" w:rsidR="00DA74C9" w:rsidRDefault="00B84889" w:rsidP="006B320B">
      <w:pPr>
        <w:pStyle w:val="SingleTxtG"/>
      </w:pPr>
      <w:r>
        <w:t>39</w:t>
      </w:r>
      <w:r w:rsidR="005F2A4B">
        <w:t>.</w:t>
      </w:r>
      <w:r w:rsidR="005F2A4B">
        <w:tab/>
      </w:r>
      <w:r w:rsidR="00DA74C9" w:rsidRPr="005F2A4B">
        <w:rPr>
          <w:b/>
        </w:rPr>
        <w:t xml:space="preserve">L’État partie devrait renforcer ses </w:t>
      </w:r>
      <w:r w:rsidR="00C1352C">
        <w:rPr>
          <w:b/>
        </w:rPr>
        <w:t xml:space="preserve">instructions </w:t>
      </w:r>
      <w:r w:rsidR="00CA3E5D">
        <w:rPr>
          <w:b/>
        </w:rPr>
        <w:t>relatives à</w:t>
      </w:r>
      <w:r w:rsidR="00C1352C">
        <w:rPr>
          <w:b/>
        </w:rPr>
        <w:t xml:space="preserve"> l’interdiction absolue de la torture et ses </w:t>
      </w:r>
      <w:r w:rsidR="00DA74C9" w:rsidRPr="005F2A4B">
        <w:rPr>
          <w:b/>
        </w:rPr>
        <w:t>programmes de formation à l’</w:t>
      </w:r>
      <w:r w:rsidR="00CA3E5D">
        <w:rPr>
          <w:b/>
        </w:rPr>
        <w:t>intention</w:t>
      </w:r>
      <w:r w:rsidR="00DA74C9" w:rsidRPr="005F2A4B">
        <w:rPr>
          <w:b/>
        </w:rPr>
        <w:t xml:space="preserve"> de l’ensemble des acteurs susceptibles d’intervenir dans la surveillance, l’interrogatoire ou le traitement des personnes privées de liberté</w:t>
      </w:r>
      <w:r w:rsidR="00CA3E5D">
        <w:rPr>
          <w:b/>
        </w:rPr>
        <w:t>.</w:t>
      </w:r>
      <w:r w:rsidR="006B320B">
        <w:rPr>
          <w:b/>
        </w:rPr>
        <w:t xml:space="preserve"> </w:t>
      </w:r>
      <w:r w:rsidR="00CA3E5D">
        <w:rPr>
          <w:b/>
        </w:rPr>
        <w:t>Il devrait notamment veiller</w:t>
      </w:r>
      <w:r w:rsidR="00DA74C9" w:rsidRPr="005F2A4B">
        <w:rPr>
          <w:b/>
        </w:rPr>
        <w:t xml:space="preserve"> à y incorporer des modules de formation continue </w:t>
      </w:r>
      <w:r w:rsidR="00CA3E5D">
        <w:rPr>
          <w:b/>
        </w:rPr>
        <w:t>relatifs</w:t>
      </w:r>
      <w:r w:rsidR="00DA74C9" w:rsidRPr="005F2A4B">
        <w:rPr>
          <w:b/>
        </w:rPr>
        <w:t xml:space="preserve"> aux dispositions de la Convention, aux techniques d’enquête non coercitives et au Protocole d’Istanbul. L’</w:t>
      </w:r>
      <w:r w:rsidR="00CA3E5D">
        <w:rPr>
          <w:b/>
        </w:rPr>
        <w:t>É</w:t>
      </w:r>
      <w:r w:rsidR="00DA74C9" w:rsidRPr="005F2A4B">
        <w:rPr>
          <w:b/>
        </w:rPr>
        <w:t>tat partie devrait également mettre en place des méthodes permettant d’évaluer l’</w:t>
      </w:r>
      <w:r w:rsidR="00CA3E5D">
        <w:rPr>
          <w:b/>
        </w:rPr>
        <w:t>effet</w:t>
      </w:r>
      <w:r w:rsidR="00DA74C9" w:rsidRPr="005F2A4B">
        <w:rPr>
          <w:b/>
        </w:rPr>
        <w:t xml:space="preserve"> de ses formations</w:t>
      </w:r>
      <w:r w:rsidR="008165E4">
        <w:rPr>
          <w:b/>
        </w:rPr>
        <w:t xml:space="preserve"> sur la diminution d</w:t>
      </w:r>
      <w:r w:rsidR="00C1352C">
        <w:rPr>
          <w:b/>
        </w:rPr>
        <w:t>es cas de torture et de mauvais traitements</w:t>
      </w:r>
      <w:r w:rsidR="00CA3E5D">
        <w:rPr>
          <w:b/>
        </w:rPr>
        <w:t>.</w:t>
      </w:r>
    </w:p>
    <w:p w14:paraId="796A0C73" w14:textId="77777777" w:rsidR="00DA74C9" w:rsidRPr="00DA74C9" w:rsidRDefault="005F2A4B" w:rsidP="00DA74C9">
      <w:pPr>
        <w:pStyle w:val="H23G"/>
      </w:pPr>
      <w:r>
        <w:tab/>
      </w:r>
      <w:r>
        <w:tab/>
      </w:r>
      <w:r w:rsidR="00DA74C9" w:rsidRPr="00DA74C9">
        <w:t>Réparation</w:t>
      </w:r>
    </w:p>
    <w:p w14:paraId="746C865E" w14:textId="1941BCC5" w:rsidR="00DA74C9" w:rsidRDefault="00B84889" w:rsidP="00600260">
      <w:pPr>
        <w:pStyle w:val="SingleTxtG"/>
        <w:rPr>
          <w:rFonts w:ascii="Garamond" w:eastAsia="Calibri" w:hAnsi="Garamond" w:cs="Garamond"/>
          <w:color w:val="000000"/>
          <w:sz w:val="23"/>
          <w:szCs w:val="23"/>
        </w:rPr>
      </w:pPr>
      <w:r>
        <w:rPr>
          <w:lang w:val="fr-FR"/>
        </w:rPr>
        <w:t>40</w:t>
      </w:r>
      <w:r w:rsidR="005F2A4B">
        <w:rPr>
          <w:lang w:val="fr-FR"/>
        </w:rPr>
        <w:t>.</w:t>
      </w:r>
      <w:r w:rsidR="005F2A4B">
        <w:rPr>
          <w:lang w:val="fr-FR"/>
        </w:rPr>
        <w:tab/>
      </w:r>
      <w:r w:rsidR="000B0212">
        <w:rPr>
          <w:lang w:val="fr-FR"/>
        </w:rPr>
        <w:t>Le Comité prend</w:t>
      </w:r>
      <w:r w:rsidR="00DA74C9" w:rsidRPr="00DA74C9">
        <w:rPr>
          <w:lang w:val="fr-FR"/>
        </w:rPr>
        <w:t xml:space="preserve"> note des dispositifs législatifs</w:t>
      </w:r>
      <w:r w:rsidR="000B0212">
        <w:rPr>
          <w:lang w:val="fr-FR"/>
        </w:rPr>
        <w:t xml:space="preserve"> suivants, qui</w:t>
      </w:r>
      <w:r w:rsidR="00DA74C9" w:rsidRPr="00DA74C9">
        <w:rPr>
          <w:lang w:val="fr-FR"/>
        </w:rPr>
        <w:t xml:space="preserve"> consacr</w:t>
      </w:r>
      <w:r w:rsidR="000B0212">
        <w:rPr>
          <w:lang w:val="fr-FR"/>
        </w:rPr>
        <w:t>e</w:t>
      </w:r>
      <w:r w:rsidR="00DA74C9" w:rsidRPr="00DA74C9">
        <w:rPr>
          <w:lang w:val="fr-FR"/>
        </w:rPr>
        <w:t xml:space="preserve">nt le droit à la </w:t>
      </w:r>
      <w:r w:rsidR="00DA74C9" w:rsidRPr="006F52BE">
        <w:rPr>
          <w:lang w:val="fr-FR"/>
        </w:rPr>
        <w:t>réparation</w:t>
      </w:r>
      <w:r w:rsidR="000B0212" w:rsidRPr="006F52BE">
        <w:rPr>
          <w:lang w:val="fr-FR"/>
        </w:rPr>
        <w:t> : a) les articles 206 à 210 du Code de procédure pénale</w:t>
      </w:r>
      <w:r w:rsidR="00DA74C9" w:rsidRPr="006F52BE">
        <w:rPr>
          <w:lang w:val="fr-FR"/>
        </w:rPr>
        <w:t xml:space="preserve"> </w:t>
      </w:r>
      <w:r w:rsidR="000B0212" w:rsidRPr="006F52BE">
        <w:rPr>
          <w:lang w:val="fr-FR"/>
        </w:rPr>
        <w:t>relatifs aux cas de</w:t>
      </w:r>
      <w:r w:rsidR="00DA74C9" w:rsidRPr="006F52BE">
        <w:rPr>
          <w:lang w:val="fr-FR"/>
        </w:rPr>
        <w:t xml:space="preserve"> détention provisoire ou </w:t>
      </w:r>
      <w:r w:rsidR="000B0212" w:rsidRPr="006F52BE">
        <w:rPr>
          <w:lang w:val="fr-FR"/>
        </w:rPr>
        <w:t>de</w:t>
      </w:r>
      <w:r w:rsidR="00DA74C9" w:rsidRPr="006F52BE">
        <w:rPr>
          <w:lang w:val="fr-FR"/>
        </w:rPr>
        <w:t xml:space="preserve"> garde à vue abusive</w:t>
      </w:r>
      <w:r w:rsidR="004447C9" w:rsidRPr="006F52BE">
        <w:rPr>
          <w:lang w:val="fr-FR"/>
        </w:rPr>
        <w:t>, notamment</w:t>
      </w:r>
      <w:r w:rsidR="00DA74C9" w:rsidRPr="006F52BE">
        <w:rPr>
          <w:lang w:val="fr-FR"/>
        </w:rPr>
        <w:t xml:space="preserve"> </w:t>
      </w:r>
      <w:r w:rsidR="000B0212" w:rsidRPr="006F52BE">
        <w:rPr>
          <w:lang w:val="fr-FR"/>
        </w:rPr>
        <w:t>l’article 209</w:t>
      </w:r>
      <w:r w:rsidR="004447C9" w:rsidRPr="006F52BE">
        <w:rPr>
          <w:lang w:val="fr-FR"/>
        </w:rPr>
        <w:t xml:space="preserve"> qui consacre</w:t>
      </w:r>
      <w:r w:rsidR="000B0212" w:rsidRPr="006F52BE">
        <w:rPr>
          <w:lang w:val="fr-FR"/>
        </w:rPr>
        <w:t xml:space="preserve"> </w:t>
      </w:r>
      <w:r w:rsidR="00DA74C9" w:rsidRPr="006F52BE">
        <w:rPr>
          <w:lang w:val="fr-FR"/>
        </w:rPr>
        <w:t>l’établissement</w:t>
      </w:r>
      <w:r w:rsidR="00DA74C9" w:rsidRPr="00DA74C9">
        <w:rPr>
          <w:lang w:val="fr-FR"/>
        </w:rPr>
        <w:t xml:space="preserve"> </w:t>
      </w:r>
      <w:r w:rsidR="004447C9">
        <w:rPr>
          <w:lang w:val="fr-FR"/>
        </w:rPr>
        <w:t>d’une</w:t>
      </w:r>
      <w:r w:rsidR="00DA74C9" w:rsidRPr="00DA74C9">
        <w:rPr>
          <w:lang w:val="fr-FR"/>
        </w:rPr>
        <w:t xml:space="preserve"> </w:t>
      </w:r>
      <w:r w:rsidR="004447C9">
        <w:rPr>
          <w:lang w:val="fr-FR"/>
        </w:rPr>
        <w:t>c</w:t>
      </w:r>
      <w:r w:rsidR="00DA74C9" w:rsidRPr="00DA74C9">
        <w:rPr>
          <w:lang w:val="fr-FR"/>
        </w:rPr>
        <w:t xml:space="preserve">ommission d’indemnisation </w:t>
      </w:r>
      <w:r w:rsidR="004447C9">
        <w:rPr>
          <w:lang w:val="fr-FR"/>
        </w:rPr>
        <w:t>dans de tels cas</w:t>
      </w:r>
      <w:r w:rsidR="00DA74C9" w:rsidRPr="00DA74C9">
        <w:rPr>
          <w:lang w:val="fr-FR"/>
        </w:rPr>
        <w:t xml:space="preserve"> ; </w:t>
      </w:r>
      <w:r w:rsidR="004447C9">
        <w:rPr>
          <w:lang w:val="fr-FR"/>
        </w:rPr>
        <w:t>b) le décret n</w:t>
      </w:r>
      <w:r w:rsidR="004447C9" w:rsidRPr="00F1057E">
        <w:rPr>
          <w:vertAlign w:val="superscript"/>
          <w:lang w:val="fr-FR"/>
        </w:rPr>
        <w:t>o</w:t>
      </w:r>
      <w:r w:rsidR="004447C9">
        <w:rPr>
          <w:lang w:val="fr-FR"/>
        </w:rPr>
        <w:t> 98-23 du 29 janvier 1998, portant création</w:t>
      </w:r>
      <w:r w:rsidR="00DA74C9" w:rsidRPr="00DA74C9">
        <w:rPr>
          <w:lang w:val="fr-FR"/>
        </w:rPr>
        <w:t xml:space="preserve"> de la Commission permanente d’indemnisation des victimes de préjudices </w:t>
      </w:r>
      <w:r w:rsidR="00DA74C9" w:rsidRPr="006F52BE">
        <w:rPr>
          <w:lang w:val="fr-FR"/>
        </w:rPr>
        <w:t>causés par l’État ; et</w:t>
      </w:r>
      <w:r w:rsidR="004447C9" w:rsidRPr="006F52BE">
        <w:rPr>
          <w:lang w:val="fr-FR"/>
        </w:rPr>
        <w:t xml:space="preserve"> c)</w:t>
      </w:r>
      <w:r w:rsidR="00DA74C9" w:rsidRPr="006F52BE">
        <w:rPr>
          <w:lang w:val="fr-FR"/>
        </w:rPr>
        <w:t xml:space="preserve"> </w:t>
      </w:r>
      <w:r w:rsidR="004447C9" w:rsidRPr="006F52BE">
        <w:rPr>
          <w:lang w:val="fr-FR"/>
        </w:rPr>
        <w:t xml:space="preserve">les articles </w:t>
      </w:r>
      <w:r w:rsidR="003707C1" w:rsidRPr="006F52BE">
        <w:rPr>
          <w:lang w:val="fr-FR"/>
        </w:rPr>
        <w:t>286, 206 et 135</w:t>
      </w:r>
      <w:r w:rsidR="00DA74C9" w:rsidRPr="006F52BE">
        <w:rPr>
          <w:lang w:val="fr-FR"/>
        </w:rPr>
        <w:t xml:space="preserve"> du Code de l’enfant, </w:t>
      </w:r>
      <w:r w:rsidR="003707C1" w:rsidRPr="006F52BE">
        <w:rPr>
          <w:lang w:val="fr-FR"/>
        </w:rPr>
        <w:t>qui évoquent</w:t>
      </w:r>
      <w:r w:rsidR="003707C1">
        <w:rPr>
          <w:lang w:val="fr-FR"/>
        </w:rPr>
        <w:t xml:space="preserve"> respectivement les</w:t>
      </w:r>
      <w:r w:rsidR="00DA74C9" w:rsidRPr="00DA74C9">
        <w:rPr>
          <w:lang w:val="fr-FR"/>
        </w:rPr>
        <w:t xml:space="preserve"> </w:t>
      </w:r>
      <w:r w:rsidR="003707C1">
        <w:rPr>
          <w:lang w:val="fr-FR"/>
        </w:rPr>
        <w:t xml:space="preserve">mesures de </w:t>
      </w:r>
      <w:r w:rsidR="00DA74C9" w:rsidRPr="00DA74C9">
        <w:rPr>
          <w:lang w:val="fr-FR"/>
        </w:rPr>
        <w:t xml:space="preserve">réparation, </w:t>
      </w:r>
      <w:r w:rsidR="003707C1">
        <w:rPr>
          <w:lang w:val="fr-FR"/>
        </w:rPr>
        <w:t>les</w:t>
      </w:r>
      <w:r w:rsidR="00DA74C9" w:rsidRPr="00DA74C9">
        <w:rPr>
          <w:lang w:val="fr-FR"/>
        </w:rPr>
        <w:t xml:space="preserve"> mesures de </w:t>
      </w:r>
      <w:r w:rsidR="003707C1">
        <w:rPr>
          <w:lang w:val="fr-FR"/>
        </w:rPr>
        <w:t>réintégration</w:t>
      </w:r>
      <w:r w:rsidR="00DA74C9" w:rsidRPr="00DA74C9">
        <w:rPr>
          <w:lang w:val="fr-FR"/>
        </w:rPr>
        <w:t xml:space="preserve"> </w:t>
      </w:r>
      <w:r w:rsidR="003707C1">
        <w:rPr>
          <w:lang w:val="fr-FR"/>
        </w:rPr>
        <w:t>et la création de</w:t>
      </w:r>
      <w:r w:rsidR="00DA74C9" w:rsidRPr="00DA74C9">
        <w:rPr>
          <w:lang w:val="fr-FR"/>
        </w:rPr>
        <w:t xml:space="preserve"> centres de sauvegarde de l’enfance et de l’adolescence</w:t>
      </w:r>
      <w:r w:rsidR="003707C1">
        <w:rPr>
          <w:lang w:val="fr-FR"/>
        </w:rPr>
        <w:t>. Cependant,</w:t>
      </w:r>
      <w:r w:rsidR="00DA74C9" w:rsidRPr="00DA74C9">
        <w:rPr>
          <w:lang w:val="fr-FR"/>
        </w:rPr>
        <w:t xml:space="preserve"> le Comité déplore qu’aucune information statistique ne lui </w:t>
      </w:r>
      <w:r w:rsidR="00600260">
        <w:rPr>
          <w:lang w:val="fr-FR"/>
        </w:rPr>
        <w:t>permett</w:t>
      </w:r>
      <w:r w:rsidR="003707C1">
        <w:rPr>
          <w:lang w:val="fr-FR"/>
        </w:rPr>
        <w:t>e</w:t>
      </w:r>
      <w:r w:rsidR="00DA74C9" w:rsidRPr="00DA74C9">
        <w:rPr>
          <w:lang w:val="fr-FR"/>
        </w:rPr>
        <w:t xml:space="preserve"> d’en apprécier la mise en œuvre pratique</w:t>
      </w:r>
      <w:r w:rsidR="00600260">
        <w:rPr>
          <w:lang w:val="fr-FR"/>
        </w:rPr>
        <w:t xml:space="preserve"> ou</w:t>
      </w:r>
      <w:r w:rsidR="00DA74C9" w:rsidRPr="00DA74C9">
        <w:rPr>
          <w:lang w:val="fr-FR"/>
        </w:rPr>
        <w:t xml:space="preserve"> l’effectivité (art. 14). </w:t>
      </w:r>
    </w:p>
    <w:p w14:paraId="026BC840" w14:textId="76A740D9" w:rsidR="00DA74C9" w:rsidRPr="005F2A4B" w:rsidRDefault="00B84889" w:rsidP="004C3C20">
      <w:pPr>
        <w:pStyle w:val="SingleTxtG"/>
        <w:rPr>
          <w:b/>
        </w:rPr>
      </w:pPr>
      <w:r w:rsidRPr="006F52BE">
        <w:lastRenderedPageBreak/>
        <w:t>41</w:t>
      </w:r>
      <w:r w:rsidR="00DA74C9" w:rsidRPr="006F52BE">
        <w:t>.</w:t>
      </w:r>
      <w:r w:rsidR="00DA74C9" w:rsidRPr="006F52BE">
        <w:tab/>
      </w:r>
      <w:r w:rsidR="00DA74C9" w:rsidRPr="006F52BE">
        <w:rPr>
          <w:b/>
        </w:rPr>
        <w:t xml:space="preserve">Le Comité rappelle son </w:t>
      </w:r>
      <w:r w:rsidR="00600260" w:rsidRPr="006F52BE">
        <w:rPr>
          <w:b/>
        </w:rPr>
        <w:t>o</w:t>
      </w:r>
      <w:r w:rsidR="00DA74C9" w:rsidRPr="006F52BE">
        <w:rPr>
          <w:b/>
        </w:rPr>
        <w:t>bservation générale n</w:t>
      </w:r>
      <w:r w:rsidR="00DA74C9" w:rsidRPr="006F52BE">
        <w:rPr>
          <w:b/>
          <w:vertAlign w:val="superscript"/>
        </w:rPr>
        <w:t>o</w:t>
      </w:r>
      <w:r w:rsidR="00DA74C9" w:rsidRPr="006F52BE">
        <w:rPr>
          <w:b/>
        </w:rPr>
        <w:t> 3 (2012) relative à l’application de l’article 14 par les États parties et invite l’État partie</w:t>
      </w:r>
      <w:r w:rsidR="00CB2664" w:rsidRPr="006F52BE">
        <w:rPr>
          <w:b/>
        </w:rPr>
        <w:t> </w:t>
      </w:r>
      <w:r w:rsidR="00DA74C9" w:rsidRPr="006F52BE">
        <w:rPr>
          <w:b/>
        </w:rPr>
        <w:t>:</w:t>
      </w:r>
    </w:p>
    <w:p w14:paraId="7BEDFBB7" w14:textId="31990C13" w:rsidR="00DA74C9" w:rsidRPr="005F2A4B" w:rsidRDefault="00F1057E" w:rsidP="00F1057E">
      <w:pPr>
        <w:pStyle w:val="SingleTxtG"/>
        <w:ind w:firstLine="567"/>
        <w:rPr>
          <w:b/>
          <w:lang w:val="fr-FR"/>
        </w:rPr>
      </w:pPr>
      <w:r w:rsidRPr="005F2A4B">
        <w:rPr>
          <w:b/>
          <w:bCs/>
        </w:rPr>
        <w:t>a)</w:t>
      </w:r>
      <w:r w:rsidRPr="005F2A4B">
        <w:rPr>
          <w:b/>
          <w:bCs/>
        </w:rPr>
        <w:tab/>
      </w:r>
      <w:r w:rsidR="004C3C20">
        <w:rPr>
          <w:b/>
        </w:rPr>
        <w:t>À p</w:t>
      </w:r>
      <w:r w:rsidR="00DA74C9" w:rsidRPr="005F2A4B">
        <w:rPr>
          <w:b/>
          <w:lang w:val="fr-FR"/>
        </w:rPr>
        <w:t xml:space="preserve">rendre les mesures législatives et administratives nécessaires pour garantir que les victimes d’actes de torture et de mauvais traitements </w:t>
      </w:r>
      <w:r w:rsidR="004C3C20">
        <w:rPr>
          <w:b/>
          <w:lang w:val="fr-FR"/>
        </w:rPr>
        <w:t>ont</w:t>
      </w:r>
      <w:r w:rsidR="00DA74C9" w:rsidRPr="005F2A4B">
        <w:rPr>
          <w:b/>
          <w:lang w:val="fr-FR"/>
        </w:rPr>
        <w:t xml:space="preserve"> accès à des recours utiles et </w:t>
      </w:r>
      <w:r w:rsidR="004C3C20">
        <w:rPr>
          <w:b/>
          <w:lang w:val="fr-FR"/>
        </w:rPr>
        <w:t>peuvent</w:t>
      </w:r>
      <w:r w:rsidR="00DA74C9" w:rsidRPr="005F2A4B">
        <w:rPr>
          <w:b/>
          <w:lang w:val="fr-FR"/>
        </w:rPr>
        <w:t xml:space="preserve"> obtenir réparation, y compris dans les cas où l’auteur n’aurait pas été identifié</w:t>
      </w:r>
      <w:r w:rsidR="00CB2664">
        <w:rPr>
          <w:b/>
          <w:lang w:val="fr-FR"/>
        </w:rPr>
        <w:t> </w:t>
      </w:r>
      <w:r w:rsidR="00DA74C9" w:rsidRPr="005F2A4B">
        <w:rPr>
          <w:b/>
          <w:lang w:val="fr-FR"/>
        </w:rPr>
        <w:t>;</w:t>
      </w:r>
    </w:p>
    <w:p w14:paraId="73DE8BB9" w14:textId="175BA36B" w:rsidR="00DA74C9" w:rsidRPr="005F2A4B" w:rsidRDefault="00F1057E" w:rsidP="00F1057E">
      <w:pPr>
        <w:pStyle w:val="SingleTxtG"/>
        <w:ind w:firstLine="567"/>
        <w:rPr>
          <w:b/>
          <w:lang w:val="fr-FR"/>
        </w:rPr>
      </w:pPr>
      <w:r w:rsidRPr="005F2A4B">
        <w:rPr>
          <w:b/>
          <w:bCs/>
        </w:rPr>
        <w:t>b)</w:t>
      </w:r>
      <w:r w:rsidRPr="005F2A4B">
        <w:rPr>
          <w:b/>
          <w:bCs/>
        </w:rPr>
        <w:tab/>
      </w:r>
      <w:r w:rsidR="004C3C20">
        <w:rPr>
          <w:b/>
        </w:rPr>
        <w:t>À é</w:t>
      </w:r>
      <w:r w:rsidR="00DA74C9" w:rsidRPr="005F2A4B">
        <w:rPr>
          <w:b/>
          <w:lang w:val="fr-FR"/>
        </w:rPr>
        <w:t xml:space="preserve">valuer pleinement les besoins des victimes et </w:t>
      </w:r>
      <w:r w:rsidR="00CB2664">
        <w:rPr>
          <w:b/>
          <w:lang w:val="fr-FR"/>
        </w:rPr>
        <w:t xml:space="preserve">à </w:t>
      </w:r>
      <w:r w:rsidR="00DA74C9" w:rsidRPr="005F2A4B">
        <w:rPr>
          <w:b/>
          <w:lang w:val="fr-FR"/>
        </w:rPr>
        <w:t>faire en sorte que des services spécialisés de réadaptatio</w:t>
      </w:r>
      <w:r w:rsidR="005F2A4B" w:rsidRPr="005F2A4B">
        <w:rPr>
          <w:b/>
          <w:lang w:val="fr-FR"/>
        </w:rPr>
        <w:t>n soient rapidement disponibles</w:t>
      </w:r>
      <w:r w:rsidR="00CB2664">
        <w:rPr>
          <w:b/>
          <w:lang w:val="fr-FR"/>
        </w:rPr>
        <w:t> </w:t>
      </w:r>
      <w:r w:rsidR="00DA74C9" w:rsidRPr="005F2A4B">
        <w:rPr>
          <w:b/>
          <w:lang w:val="fr-FR"/>
        </w:rPr>
        <w:t>;</w:t>
      </w:r>
    </w:p>
    <w:p w14:paraId="3BA32CDF" w14:textId="1B89FA7F" w:rsidR="00DA74C9" w:rsidRPr="005F2A4B" w:rsidRDefault="00F1057E" w:rsidP="00F1057E">
      <w:pPr>
        <w:pStyle w:val="SingleTxtG"/>
        <w:ind w:firstLine="567"/>
        <w:rPr>
          <w:b/>
          <w:lang w:val="fr-FR"/>
        </w:rPr>
      </w:pPr>
      <w:r w:rsidRPr="005F2A4B">
        <w:rPr>
          <w:b/>
          <w:bCs/>
        </w:rPr>
        <w:t>c)</w:t>
      </w:r>
      <w:r w:rsidRPr="005F2A4B">
        <w:rPr>
          <w:b/>
          <w:bCs/>
        </w:rPr>
        <w:tab/>
      </w:r>
      <w:r w:rsidR="004C3C20">
        <w:rPr>
          <w:b/>
        </w:rPr>
        <w:t>À d</w:t>
      </w:r>
      <w:r w:rsidR="00DA74C9" w:rsidRPr="005F2A4B">
        <w:rPr>
          <w:b/>
          <w:lang w:val="fr-FR"/>
        </w:rPr>
        <w:t>oter la Commission d’indemnisation</w:t>
      </w:r>
      <w:r w:rsidR="004B5EAD">
        <w:rPr>
          <w:b/>
          <w:lang w:val="fr-FR"/>
        </w:rPr>
        <w:t xml:space="preserve"> en matière de ga</w:t>
      </w:r>
      <w:r w:rsidR="00895EDF">
        <w:rPr>
          <w:b/>
          <w:lang w:val="fr-FR"/>
        </w:rPr>
        <w:t>rde</w:t>
      </w:r>
      <w:r w:rsidR="004B5EAD">
        <w:rPr>
          <w:b/>
          <w:lang w:val="fr-FR"/>
        </w:rPr>
        <w:t xml:space="preserve"> à vue et de détention abusive</w:t>
      </w:r>
      <w:r w:rsidR="00DA74C9" w:rsidRPr="005F2A4B">
        <w:rPr>
          <w:b/>
          <w:lang w:val="fr-FR"/>
        </w:rPr>
        <w:t xml:space="preserve"> des ressources néces</w:t>
      </w:r>
      <w:r w:rsidR="005F2A4B" w:rsidRPr="005F2A4B">
        <w:rPr>
          <w:b/>
          <w:lang w:val="fr-FR"/>
        </w:rPr>
        <w:t>saires à son bon fonctionnement</w:t>
      </w:r>
      <w:r w:rsidR="001D74E3">
        <w:rPr>
          <w:b/>
          <w:lang w:val="fr-FR"/>
        </w:rPr>
        <w:t> </w:t>
      </w:r>
      <w:r w:rsidR="00DA74C9" w:rsidRPr="005F2A4B">
        <w:rPr>
          <w:b/>
          <w:lang w:val="fr-FR"/>
        </w:rPr>
        <w:t>;</w:t>
      </w:r>
    </w:p>
    <w:p w14:paraId="7DFD39CE" w14:textId="463FE03A" w:rsidR="00DA74C9" w:rsidRPr="005F2A4B" w:rsidRDefault="00F1057E" w:rsidP="00F1057E">
      <w:pPr>
        <w:pStyle w:val="SingleTxtG"/>
        <w:ind w:firstLine="567"/>
        <w:rPr>
          <w:b/>
        </w:rPr>
      </w:pPr>
      <w:r w:rsidRPr="005F2A4B">
        <w:rPr>
          <w:b/>
          <w:bCs/>
        </w:rPr>
        <w:t>d)</w:t>
      </w:r>
      <w:r w:rsidRPr="005F2A4B">
        <w:rPr>
          <w:b/>
          <w:bCs/>
        </w:rPr>
        <w:tab/>
      </w:r>
      <w:r w:rsidR="004C3C20">
        <w:rPr>
          <w:b/>
        </w:rPr>
        <w:t>À r</w:t>
      </w:r>
      <w:r w:rsidR="00DA74C9" w:rsidRPr="005F2A4B">
        <w:rPr>
          <w:b/>
          <w:lang w:val="fr-FR"/>
        </w:rPr>
        <w:t>endre opérationnelle la</w:t>
      </w:r>
      <w:r w:rsidR="00DA74C9" w:rsidRPr="005F2A4B">
        <w:rPr>
          <w:b/>
        </w:rPr>
        <w:t xml:space="preserve"> Commission </w:t>
      </w:r>
      <w:r w:rsidR="001D74E3">
        <w:rPr>
          <w:b/>
        </w:rPr>
        <w:t xml:space="preserve">permanente </w:t>
      </w:r>
      <w:r w:rsidR="00DA74C9" w:rsidRPr="005F2A4B">
        <w:rPr>
          <w:b/>
        </w:rPr>
        <w:t>d’indemnisation cré</w:t>
      </w:r>
      <w:r w:rsidR="001D74E3">
        <w:rPr>
          <w:b/>
        </w:rPr>
        <w:t>é</w:t>
      </w:r>
      <w:r w:rsidR="00DA74C9" w:rsidRPr="005F2A4B">
        <w:rPr>
          <w:b/>
        </w:rPr>
        <w:t xml:space="preserve">e par le décret </w:t>
      </w:r>
      <w:r w:rsidR="00CA72E6" w:rsidRPr="00F1057E">
        <w:rPr>
          <w:b/>
          <w:bCs/>
          <w:lang w:val="fr-FR"/>
        </w:rPr>
        <w:t>n</w:t>
      </w:r>
      <w:r w:rsidR="00CA72E6" w:rsidRPr="00F1057E">
        <w:rPr>
          <w:b/>
          <w:bCs/>
          <w:vertAlign w:val="superscript"/>
          <w:lang w:val="fr-FR"/>
        </w:rPr>
        <w:t>o</w:t>
      </w:r>
      <w:r w:rsidR="00CA72E6" w:rsidRPr="00F1057E">
        <w:rPr>
          <w:b/>
          <w:bCs/>
          <w:lang w:val="fr-FR"/>
        </w:rPr>
        <w:t> </w:t>
      </w:r>
      <w:r w:rsidR="00DA74C9" w:rsidRPr="005F2A4B">
        <w:rPr>
          <w:b/>
        </w:rPr>
        <w:t>98-23 du 29 janvier 1998</w:t>
      </w:r>
      <w:r w:rsidR="001D74E3">
        <w:rPr>
          <w:b/>
        </w:rPr>
        <w:t> </w:t>
      </w:r>
      <w:r w:rsidR="005F2A4B" w:rsidRPr="005F2A4B">
        <w:rPr>
          <w:b/>
        </w:rPr>
        <w:t>;</w:t>
      </w:r>
    </w:p>
    <w:p w14:paraId="769F8905" w14:textId="254AEBAC" w:rsidR="005B0B76" w:rsidRDefault="00F1057E" w:rsidP="00F1057E">
      <w:pPr>
        <w:pStyle w:val="SingleTxtG"/>
        <w:ind w:firstLine="567"/>
        <w:rPr>
          <w:b/>
        </w:rPr>
      </w:pPr>
      <w:r>
        <w:rPr>
          <w:b/>
          <w:bCs/>
        </w:rPr>
        <w:t>e)</w:t>
      </w:r>
      <w:r>
        <w:rPr>
          <w:b/>
          <w:bCs/>
        </w:rPr>
        <w:tab/>
      </w:r>
      <w:r w:rsidR="004C3C20">
        <w:rPr>
          <w:b/>
        </w:rPr>
        <w:t>À r</w:t>
      </w:r>
      <w:r w:rsidR="00DA74C9" w:rsidRPr="005F2A4B">
        <w:rPr>
          <w:b/>
        </w:rPr>
        <w:t xml:space="preserve">endre fonctionnels tous les centres de sauvegarde de l’enfance et de l’adolescence, en </w:t>
      </w:r>
      <w:r w:rsidR="00F5129E">
        <w:rPr>
          <w:b/>
        </w:rPr>
        <w:t xml:space="preserve">renforçant </w:t>
      </w:r>
      <w:r w:rsidR="001D74E3">
        <w:rPr>
          <w:b/>
        </w:rPr>
        <w:t>leurs</w:t>
      </w:r>
      <w:r w:rsidR="00DA74C9" w:rsidRPr="005F2A4B">
        <w:rPr>
          <w:b/>
        </w:rPr>
        <w:t xml:space="preserve"> capacités humaines et matérielles, et </w:t>
      </w:r>
      <w:r w:rsidR="004C3C20">
        <w:rPr>
          <w:b/>
        </w:rPr>
        <w:t xml:space="preserve">à </w:t>
      </w:r>
      <w:r w:rsidR="00DA74C9" w:rsidRPr="005F2A4B">
        <w:rPr>
          <w:b/>
        </w:rPr>
        <w:t xml:space="preserve">assurer la formation adéquate </w:t>
      </w:r>
      <w:r w:rsidR="001D74E3">
        <w:rPr>
          <w:b/>
        </w:rPr>
        <w:t>de leur</w:t>
      </w:r>
      <w:r w:rsidR="00DA74C9" w:rsidRPr="005F2A4B">
        <w:rPr>
          <w:b/>
        </w:rPr>
        <w:t xml:space="preserve"> personnel</w:t>
      </w:r>
      <w:r w:rsidR="005B0B76">
        <w:rPr>
          <w:b/>
        </w:rPr>
        <w:t> ;</w:t>
      </w:r>
    </w:p>
    <w:p w14:paraId="1C725CE0" w14:textId="15DEF432" w:rsidR="00DA74C9" w:rsidRPr="005F2A4B" w:rsidRDefault="00F1057E" w:rsidP="00F1057E">
      <w:pPr>
        <w:pStyle w:val="SingleTxtG"/>
        <w:ind w:firstLine="567"/>
        <w:rPr>
          <w:b/>
        </w:rPr>
      </w:pPr>
      <w:r w:rsidRPr="005F2A4B">
        <w:rPr>
          <w:b/>
          <w:bCs/>
        </w:rPr>
        <w:t>f)</w:t>
      </w:r>
      <w:r w:rsidRPr="005F2A4B">
        <w:rPr>
          <w:b/>
          <w:bCs/>
        </w:rPr>
        <w:tab/>
      </w:r>
      <w:r w:rsidR="004C3C20">
        <w:rPr>
          <w:b/>
        </w:rPr>
        <w:t>À f</w:t>
      </w:r>
      <w:r w:rsidR="005B0B76">
        <w:rPr>
          <w:b/>
        </w:rPr>
        <w:t xml:space="preserve">ournir </w:t>
      </w:r>
      <w:r w:rsidR="001D74E3">
        <w:rPr>
          <w:b/>
        </w:rPr>
        <w:t xml:space="preserve">au Comité, dans son prochain rapport périodique, </w:t>
      </w:r>
      <w:r w:rsidR="005B0B76">
        <w:rPr>
          <w:b/>
        </w:rPr>
        <w:t>des informations détaillées sur les cas où d</w:t>
      </w:r>
      <w:r w:rsidR="005B0B76" w:rsidRPr="00780ACD">
        <w:rPr>
          <w:b/>
          <w:bCs/>
          <w:lang w:val="fr-FR"/>
        </w:rPr>
        <w:t xml:space="preserve">es victimes d’actes de torture et de mauvais traitements </w:t>
      </w:r>
      <w:r w:rsidR="005B0B76">
        <w:rPr>
          <w:b/>
          <w:bCs/>
          <w:lang w:val="fr-FR"/>
        </w:rPr>
        <w:t>ont eu</w:t>
      </w:r>
      <w:r w:rsidR="005B0B76" w:rsidRPr="00780ACD">
        <w:rPr>
          <w:b/>
          <w:bCs/>
          <w:lang w:val="fr-FR"/>
        </w:rPr>
        <w:t xml:space="preserve"> accès à des recours utiles et </w:t>
      </w:r>
      <w:r w:rsidR="005B0B76">
        <w:rPr>
          <w:b/>
          <w:bCs/>
          <w:lang w:val="fr-FR"/>
        </w:rPr>
        <w:t>obtenu</w:t>
      </w:r>
      <w:r w:rsidR="005B0B76" w:rsidRPr="00780ACD">
        <w:rPr>
          <w:b/>
          <w:bCs/>
          <w:lang w:val="fr-FR"/>
        </w:rPr>
        <w:t xml:space="preserve"> réparation</w:t>
      </w:r>
      <w:r w:rsidR="001D74E3">
        <w:rPr>
          <w:b/>
          <w:bCs/>
          <w:lang w:val="fr-FR"/>
        </w:rPr>
        <w:t>.</w:t>
      </w:r>
    </w:p>
    <w:p w14:paraId="6A61C1DB" w14:textId="77777777" w:rsidR="002923D7" w:rsidRPr="00DA74C9" w:rsidRDefault="00DA74C9" w:rsidP="002923D7">
      <w:pPr>
        <w:pStyle w:val="H23G"/>
        <w:rPr>
          <w:lang w:val="fr-FR"/>
        </w:rPr>
      </w:pPr>
      <w:r w:rsidRPr="00DA74C9">
        <w:rPr>
          <w:lang w:val="fr-FR"/>
        </w:rPr>
        <w:tab/>
      </w:r>
      <w:r w:rsidR="002923D7" w:rsidRPr="00DA74C9">
        <w:rPr>
          <w:lang w:val="fr-FR"/>
        </w:rPr>
        <w:tab/>
        <w:t>Procédure de suivi</w:t>
      </w:r>
    </w:p>
    <w:p w14:paraId="4356EF83" w14:textId="77EDE007" w:rsidR="002923D7" w:rsidRPr="00DA74C9" w:rsidRDefault="002923D7" w:rsidP="009B4F4A">
      <w:pPr>
        <w:kinsoku/>
        <w:overflowPunct/>
        <w:autoSpaceDE/>
        <w:autoSpaceDN/>
        <w:adjustRightInd/>
        <w:snapToGrid/>
        <w:spacing w:after="120"/>
        <w:ind w:left="1134" w:right="1134"/>
        <w:jc w:val="both"/>
        <w:rPr>
          <w:rFonts w:eastAsia="Times New Roman"/>
          <w:bCs/>
          <w:lang w:val="fr-FR"/>
        </w:rPr>
      </w:pPr>
      <w:r w:rsidRPr="00DA74C9">
        <w:rPr>
          <w:rFonts w:eastAsia="Times New Roman"/>
          <w:lang w:val="fr-FR"/>
        </w:rPr>
        <w:t>4</w:t>
      </w:r>
      <w:r w:rsidR="00DB737B">
        <w:rPr>
          <w:rFonts w:eastAsia="Times New Roman"/>
          <w:lang w:val="fr-FR"/>
        </w:rPr>
        <w:t>2</w:t>
      </w:r>
      <w:r w:rsidRPr="00DA74C9">
        <w:rPr>
          <w:rFonts w:eastAsia="Times New Roman"/>
          <w:lang w:val="fr-FR"/>
        </w:rPr>
        <w:t>.</w:t>
      </w:r>
      <w:r w:rsidRPr="00DA74C9">
        <w:rPr>
          <w:rFonts w:eastAsia="Times New Roman"/>
          <w:lang w:val="fr-FR"/>
        </w:rPr>
        <w:tab/>
      </w:r>
      <w:r w:rsidRPr="00F1057E">
        <w:rPr>
          <w:rFonts w:eastAsia="Times New Roman"/>
          <w:b/>
          <w:lang w:val="fr-FR"/>
        </w:rPr>
        <w:t xml:space="preserve">Le Comité demande à l’État partie de </w:t>
      </w:r>
      <w:r w:rsidR="009B4F4A">
        <w:rPr>
          <w:rFonts w:eastAsia="Times New Roman"/>
          <w:b/>
          <w:lang w:val="fr-FR"/>
        </w:rPr>
        <w:t>lui faire parvenir au plus tard</w:t>
      </w:r>
      <w:r w:rsidRPr="00F1057E">
        <w:rPr>
          <w:rFonts w:eastAsia="Times New Roman"/>
          <w:b/>
          <w:lang w:val="fr-FR"/>
        </w:rPr>
        <w:t xml:space="preserve"> le 17 mai 2020 des renseignements sur la suite </w:t>
      </w:r>
      <w:r w:rsidR="001D74E3" w:rsidRPr="00F1057E">
        <w:rPr>
          <w:rFonts w:eastAsia="Times New Roman"/>
          <w:b/>
          <w:lang w:val="fr-FR"/>
        </w:rPr>
        <w:t xml:space="preserve">qu’il aura </w:t>
      </w:r>
      <w:r w:rsidRPr="00F1057E">
        <w:rPr>
          <w:rFonts w:eastAsia="Times New Roman"/>
          <w:b/>
          <w:lang w:val="fr-FR"/>
        </w:rPr>
        <w:t xml:space="preserve">donnée à ses recommandations figurant </w:t>
      </w:r>
      <w:r w:rsidR="009F5F49" w:rsidRPr="00F1057E">
        <w:rPr>
          <w:rFonts w:eastAsia="Times New Roman"/>
          <w:b/>
          <w:lang w:val="fr-FR"/>
        </w:rPr>
        <w:t>aux paragraphes 11</w:t>
      </w:r>
      <w:r w:rsidR="001D74E3" w:rsidRPr="00F1057E">
        <w:rPr>
          <w:rFonts w:eastAsia="Times New Roman"/>
          <w:b/>
          <w:lang w:val="fr-FR"/>
        </w:rPr>
        <w:t> </w:t>
      </w:r>
      <w:r w:rsidR="009F5F49" w:rsidRPr="00F1057E">
        <w:rPr>
          <w:rFonts w:eastAsia="Times New Roman"/>
          <w:b/>
          <w:lang w:val="fr-FR"/>
        </w:rPr>
        <w:t>e)</w:t>
      </w:r>
      <w:r w:rsidR="001D74E3" w:rsidRPr="00F1057E">
        <w:rPr>
          <w:rFonts w:eastAsia="Times New Roman"/>
          <w:b/>
          <w:lang w:val="fr-FR"/>
        </w:rPr>
        <w:t>,</w:t>
      </w:r>
      <w:r w:rsidR="009F5F49" w:rsidRPr="00F1057E">
        <w:rPr>
          <w:rFonts w:eastAsia="Times New Roman"/>
          <w:b/>
          <w:lang w:val="fr-FR"/>
        </w:rPr>
        <w:t xml:space="preserve"> 21</w:t>
      </w:r>
      <w:r w:rsidR="001D74E3" w:rsidRPr="00F1057E">
        <w:rPr>
          <w:rFonts w:eastAsia="Times New Roman"/>
          <w:b/>
          <w:lang w:val="fr-FR"/>
        </w:rPr>
        <w:t> </w:t>
      </w:r>
      <w:r w:rsidR="009F5F49" w:rsidRPr="00F1057E">
        <w:rPr>
          <w:rFonts w:eastAsia="Times New Roman"/>
          <w:b/>
          <w:lang w:val="fr-FR"/>
        </w:rPr>
        <w:t>c)</w:t>
      </w:r>
      <w:r w:rsidR="001D74E3" w:rsidRPr="00F1057E">
        <w:rPr>
          <w:rFonts w:eastAsia="Times New Roman"/>
          <w:b/>
          <w:lang w:val="fr-FR"/>
        </w:rPr>
        <w:t>,</w:t>
      </w:r>
      <w:r w:rsidR="009F5F49" w:rsidRPr="00F1057E">
        <w:rPr>
          <w:rFonts w:eastAsia="Times New Roman"/>
          <w:b/>
          <w:lang w:val="fr-FR"/>
        </w:rPr>
        <w:t xml:space="preserve"> 25</w:t>
      </w:r>
      <w:r w:rsidR="001D74E3" w:rsidRPr="00F1057E">
        <w:rPr>
          <w:rFonts w:eastAsia="Times New Roman"/>
          <w:b/>
          <w:lang w:val="fr-FR"/>
        </w:rPr>
        <w:t> </w:t>
      </w:r>
      <w:r w:rsidR="009F5F49" w:rsidRPr="00F1057E">
        <w:rPr>
          <w:rFonts w:eastAsia="Times New Roman"/>
          <w:b/>
          <w:lang w:val="fr-FR"/>
        </w:rPr>
        <w:t>a) et b)</w:t>
      </w:r>
      <w:r w:rsidR="001D74E3" w:rsidRPr="00F1057E">
        <w:rPr>
          <w:rFonts w:eastAsia="Times New Roman"/>
          <w:b/>
          <w:lang w:val="fr-FR"/>
        </w:rPr>
        <w:t>,</w:t>
      </w:r>
      <w:r w:rsidR="009F5F49" w:rsidRPr="00F1057E">
        <w:rPr>
          <w:rFonts w:eastAsia="Times New Roman"/>
          <w:b/>
          <w:lang w:val="fr-FR"/>
        </w:rPr>
        <w:t xml:space="preserve"> et 35.</w:t>
      </w:r>
      <w:r w:rsidR="001D74E3">
        <w:rPr>
          <w:rFonts w:eastAsia="Times New Roman"/>
          <w:b/>
          <w:lang w:val="fr-FR"/>
        </w:rPr>
        <w:t xml:space="preserve"> </w:t>
      </w:r>
      <w:r w:rsidR="001D74E3" w:rsidRPr="008D424A">
        <w:rPr>
          <w:b/>
          <w:bCs/>
        </w:rPr>
        <w:t>Dans ce contexte</w:t>
      </w:r>
      <w:r w:rsidR="001D74E3">
        <w:rPr>
          <w:b/>
          <w:bCs/>
        </w:rPr>
        <w:t>,</w:t>
      </w:r>
      <w:r w:rsidR="001D74E3" w:rsidRPr="008D424A">
        <w:rPr>
          <w:b/>
          <w:bCs/>
        </w:rPr>
        <w:t xml:space="preserve"> l’État partie est</w:t>
      </w:r>
      <w:r w:rsidR="001D74E3">
        <w:rPr>
          <w:b/>
          <w:bCs/>
        </w:rPr>
        <w:t xml:space="preserve"> invité à informer le Comité des mesures qu’il prévoit de prendre pour </w:t>
      </w:r>
      <w:r w:rsidR="001D74E3" w:rsidRPr="008D424A">
        <w:rPr>
          <w:b/>
          <w:bCs/>
        </w:rPr>
        <w:t xml:space="preserve">mettre en œuvre, </w:t>
      </w:r>
      <w:r w:rsidR="001D74E3">
        <w:rPr>
          <w:b/>
          <w:bCs/>
        </w:rPr>
        <w:t>d’ici la soumission de son</w:t>
      </w:r>
      <w:r w:rsidR="001D74E3" w:rsidRPr="008D424A">
        <w:rPr>
          <w:b/>
          <w:bCs/>
        </w:rPr>
        <w:t xml:space="preserve"> prochain rapport, tout ou partie </w:t>
      </w:r>
      <w:r w:rsidR="001D74E3">
        <w:rPr>
          <w:b/>
          <w:bCs/>
        </w:rPr>
        <w:t>des autres</w:t>
      </w:r>
      <w:r w:rsidR="001D74E3" w:rsidRPr="008D424A">
        <w:rPr>
          <w:b/>
          <w:bCs/>
        </w:rPr>
        <w:t xml:space="preserve"> recommandations f</w:t>
      </w:r>
      <w:r w:rsidR="001D74E3">
        <w:rPr>
          <w:b/>
          <w:bCs/>
        </w:rPr>
        <w:t>ormulée</w:t>
      </w:r>
      <w:r w:rsidR="001D74E3" w:rsidRPr="008D424A">
        <w:rPr>
          <w:b/>
          <w:bCs/>
        </w:rPr>
        <w:t>s dans les présentes observations finales.</w:t>
      </w:r>
    </w:p>
    <w:p w14:paraId="792F3F37" w14:textId="77777777" w:rsidR="002923D7" w:rsidRPr="00DA74C9" w:rsidRDefault="002923D7" w:rsidP="002923D7">
      <w:pPr>
        <w:pStyle w:val="H23G"/>
        <w:rPr>
          <w:lang w:val="fr-FR"/>
        </w:rPr>
      </w:pPr>
      <w:r w:rsidRPr="00DA74C9">
        <w:rPr>
          <w:lang w:val="fr-FR"/>
        </w:rPr>
        <w:tab/>
      </w:r>
      <w:r w:rsidRPr="00DA74C9">
        <w:rPr>
          <w:lang w:val="fr-FR"/>
        </w:rPr>
        <w:tab/>
        <w:t>Autres questions</w:t>
      </w:r>
    </w:p>
    <w:p w14:paraId="24991DE3" w14:textId="3177D60C" w:rsidR="002923D7" w:rsidRPr="00DA74C9" w:rsidRDefault="002923D7" w:rsidP="009B4F4A">
      <w:pPr>
        <w:kinsoku/>
        <w:overflowPunct/>
        <w:autoSpaceDE/>
        <w:autoSpaceDN/>
        <w:adjustRightInd/>
        <w:snapToGrid/>
        <w:spacing w:after="120"/>
        <w:ind w:left="1134" w:right="1134"/>
        <w:jc w:val="both"/>
        <w:rPr>
          <w:rFonts w:eastAsia="Calibri"/>
          <w:lang w:val="fr-FR"/>
        </w:rPr>
      </w:pPr>
      <w:r w:rsidRPr="00DA74C9">
        <w:rPr>
          <w:rFonts w:eastAsia="Calibri"/>
          <w:lang w:val="fr-FR"/>
        </w:rPr>
        <w:t>4</w:t>
      </w:r>
      <w:r w:rsidR="00DB737B">
        <w:rPr>
          <w:rFonts w:eastAsia="Calibri"/>
          <w:lang w:val="fr-FR"/>
        </w:rPr>
        <w:t>3</w:t>
      </w:r>
      <w:r w:rsidRPr="00DA74C9">
        <w:rPr>
          <w:rFonts w:eastAsia="Calibri"/>
          <w:lang w:val="fr-FR"/>
        </w:rPr>
        <w:t>.</w:t>
      </w:r>
      <w:r w:rsidRPr="00DA74C9">
        <w:rPr>
          <w:rFonts w:eastAsia="Calibri"/>
          <w:lang w:val="fr-FR"/>
        </w:rPr>
        <w:tab/>
      </w:r>
      <w:r w:rsidRPr="00F1057E">
        <w:rPr>
          <w:rFonts w:eastAsia="Calibri"/>
          <w:b/>
          <w:bCs/>
          <w:lang w:val="fr-FR"/>
        </w:rPr>
        <w:t xml:space="preserve">Le Comité invite l’État partie à </w:t>
      </w:r>
      <w:r w:rsidR="009B4F4A">
        <w:rPr>
          <w:rFonts w:eastAsia="Calibri"/>
          <w:b/>
          <w:bCs/>
          <w:lang w:val="fr-FR"/>
        </w:rPr>
        <w:t>étudier la possibilité de faire</w:t>
      </w:r>
      <w:r w:rsidRPr="00F1057E">
        <w:rPr>
          <w:rFonts w:eastAsia="Calibri"/>
          <w:b/>
          <w:bCs/>
          <w:lang w:val="fr-FR"/>
        </w:rPr>
        <w:t xml:space="preserve"> la déclaration prévue </w:t>
      </w:r>
      <w:r w:rsidR="00B72BA2">
        <w:rPr>
          <w:rFonts w:eastAsia="Calibri"/>
          <w:b/>
          <w:bCs/>
          <w:lang w:val="fr-FR"/>
        </w:rPr>
        <w:t>à</w:t>
      </w:r>
      <w:r w:rsidRPr="00F1057E">
        <w:rPr>
          <w:rFonts w:eastAsia="Calibri"/>
          <w:b/>
          <w:bCs/>
          <w:lang w:val="fr-FR"/>
        </w:rPr>
        <w:t xml:space="preserve"> l’article 22 de la Convention par laquelle il reconnaîtrait la compétence du Comité pour recevoir et examiner des communications </w:t>
      </w:r>
      <w:r w:rsidR="009B4F4A">
        <w:rPr>
          <w:rFonts w:eastAsia="Calibri"/>
          <w:b/>
          <w:bCs/>
          <w:lang w:val="fr-FR"/>
        </w:rPr>
        <w:t>émanant</w:t>
      </w:r>
      <w:r w:rsidRPr="00F1057E">
        <w:rPr>
          <w:rFonts w:eastAsia="Calibri"/>
          <w:b/>
          <w:bCs/>
          <w:lang w:val="fr-FR"/>
        </w:rPr>
        <w:t xml:space="preserve"> de particuliers relevant de sa juridiction.</w:t>
      </w:r>
    </w:p>
    <w:p w14:paraId="211C5F83" w14:textId="1384E835" w:rsidR="002923D7" w:rsidRDefault="002923D7" w:rsidP="002C24C9">
      <w:pPr>
        <w:pStyle w:val="SingleTxtG"/>
        <w:rPr>
          <w:lang w:val="fr-FR"/>
        </w:rPr>
      </w:pPr>
      <w:r w:rsidRPr="00DA74C9">
        <w:rPr>
          <w:lang w:val="fr-FR"/>
        </w:rPr>
        <w:t>4</w:t>
      </w:r>
      <w:r w:rsidR="00DB737B">
        <w:rPr>
          <w:lang w:val="fr-FR"/>
        </w:rPr>
        <w:t>4</w:t>
      </w:r>
      <w:r>
        <w:rPr>
          <w:lang w:val="fr-FR"/>
        </w:rPr>
        <w:t>.</w:t>
      </w:r>
      <w:r>
        <w:rPr>
          <w:lang w:val="fr-FR"/>
        </w:rPr>
        <w:tab/>
      </w:r>
      <w:r w:rsidRPr="00F1057E">
        <w:rPr>
          <w:b/>
          <w:bCs/>
          <w:lang w:val="fr-FR"/>
        </w:rPr>
        <w:t>Le Comité invite l’</w:t>
      </w:r>
      <w:r w:rsidR="00B72BA2">
        <w:rPr>
          <w:b/>
          <w:bCs/>
          <w:lang w:val="fr-FR"/>
        </w:rPr>
        <w:t>É</w:t>
      </w:r>
      <w:r w:rsidRPr="00F1057E">
        <w:rPr>
          <w:b/>
          <w:bCs/>
          <w:lang w:val="fr-FR"/>
        </w:rPr>
        <w:t xml:space="preserve">tat partie à </w:t>
      </w:r>
      <w:r w:rsidR="002C24C9">
        <w:rPr>
          <w:b/>
          <w:bCs/>
          <w:lang w:val="fr-FR"/>
        </w:rPr>
        <w:t>étudier la possibilité de ratifier les principaux instruments des Nations Unies relatifs aux</w:t>
      </w:r>
      <w:r w:rsidRPr="00F1057E">
        <w:rPr>
          <w:b/>
          <w:bCs/>
          <w:lang w:val="fr-FR"/>
        </w:rPr>
        <w:t xml:space="preserve"> droits de l’homme auxquels il n’est pas encore partie.</w:t>
      </w:r>
    </w:p>
    <w:p w14:paraId="5888FA75" w14:textId="6CCCE948" w:rsidR="008E72A6" w:rsidRPr="007527D0" w:rsidRDefault="002923D7" w:rsidP="008E72A6">
      <w:pPr>
        <w:pStyle w:val="SingleTxtG"/>
      </w:pPr>
      <w:r>
        <w:rPr>
          <w:lang w:val="fr-FR"/>
        </w:rPr>
        <w:t>4</w:t>
      </w:r>
      <w:r w:rsidR="00DB737B">
        <w:rPr>
          <w:lang w:val="fr-FR"/>
        </w:rPr>
        <w:t>5</w:t>
      </w:r>
      <w:r w:rsidRPr="00DA74C9">
        <w:rPr>
          <w:lang w:val="fr-FR"/>
        </w:rPr>
        <w:t>.</w:t>
      </w:r>
      <w:r w:rsidRPr="00DA74C9">
        <w:rPr>
          <w:lang w:val="fr-FR"/>
        </w:rPr>
        <w:tab/>
      </w:r>
      <w:r w:rsidR="008E72A6" w:rsidRPr="00F1057E">
        <w:rPr>
          <w:b/>
          <w:bCs/>
        </w:rPr>
        <w:t>L’État partie est invité à diffuser largement le rapport soumis au Comité ainsi que les présentes observations finales, dans les langues voulues, au moyen des sites Web officiels et par l’intermédiaire des médias et des organisations non</w:t>
      </w:r>
      <w:r w:rsidR="00CA72E6">
        <w:rPr>
          <w:b/>
          <w:bCs/>
        </w:rPr>
        <w:t xml:space="preserve"> </w:t>
      </w:r>
      <w:r w:rsidR="008E72A6" w:rsidRPr="00F1057E">
        <w:rPr>
          <w:b/>
          <w:bCs/>
        </w:rPr>
        <w:t xml:space="preserve">gouvernementales, et à informer le Comité de ses activités de diffusion. </w:t>
      </w:r>
    </w:p>
    <w:p w14:paraId="19FD3A7D" w14:textId="035E73BB" w:rsidR="002923D7" w:rsidRDefault="002923D7" w:rsidP="008E72A6">
      <w:pPr>
        <w:pStyle w:val="SingleTxtG"/>
      </w:pPr>
      <w:r w:rsidRPr="005F2A4B">
        <w:t>4</w:t>
      </w:r>
      <w:r w:rsidR="00DB737B">
        <w:t>6</w:t>
      </w:r>
      <w:r w:rsidRPr="005F2A4B">
        <w:t>.</w:t>
      </w:r>
      <w:r w:rsidRPr="005F2A4B">
        <w:tab/>
      </w:r>
      <w:r w:rsidRPr="00F1057E">
        <w:rPr>
          <w:b/>
          <w:bCs/>
        </w:rPr>
        <w:t xml:space="preserve">Le Comité prie l’État partie de soumettre son prochain rapport périodique, qui sera le quatrième, le </w:t>
      </w:r>
      <w:r w:rsidR="00E91DE2" w:rsidRPr="00F1057E">
        <w:rPr>
          <w:b/>
          <w:bCs/>
        </w:rPr>
        <w:t>17 mai 2023</w:t>
      </w:r>
      <w:r w:rsidRPr="00F1057E">
        <w:rPr>
          <w:b/>
          <w:bCs/>
        </w:rPr>
        <w:t xml:space="preserve"> au plus tard. À cette fin, et compte tenu du fait que l’État partie a accepté d’établir son rapport selon la procédure simplifiée, le</w:t>
      </w:r>
      <w:r w:rsidR="007041C6">
        <w:rPr>
          <w:b/>
          <w:bCs/>
        </w:rPr>
        <w:t xml:space="preserve"> </w:t>
      </w:r>
      <w:r w:rsidRPr="00F1057E">
        <w:rPr>
          <w:b/>
          <w:bCs/>
        </w:rPr>
        <w:t>Comité lui adressera en temps voulu une liste préalable de points à traiter. Les</w:t>
      </w:r>
      <w:r w:rsidR="007041C6">
        <w:rPr>
          <w:b/>
          <w:bCs/>
        </w:rPr>
        <w:t xml:space="preserve"> </w:t>
      </w:r>
      <w:r w:rsidRPr="00F1057E">
        <w:rPr>
          <w:b/>
          <w:bCs/>
        </w:rPr>
        <w:t>réponses de l’État partie à cette liste constitueront le quatrième rapport périodique qu’il soumettra en application de l’article 19 de la Convention.</w:t>
      </w:r>
    </w:p>
    <w:p w14:paraId="22B99B0A" w14:textId="276F6932" w:rsidR="005F2A4B" w:rsidRPr="005F2A4B" w:rsidRDefault="005F2A4B" w:rsidP="005F2A4B">
      <w:pPr>
        <w:pStyle w:val="SingleTxtG"/>
        <w:spacing w:before="240" w:after="0"/>
        <w:jc w:val="center"/>
        <w:rPr>
          <w:u w:val="single"/>
        </w:rPr>
      </w:pPr>
      <w:r>
        <w:rPr>
          <w:u w:val="single"/>
        </w:rPr>
        <w:tab/>
      </w:r>
      <w:r>
        <w:rPr>
          <w:u w:val="single"/>
        </w:rPr>
        <w:tab/>
      </w:r>
      <w:r>
        <w:rPr>
          <w:u w:val="single"/>
        </w:rPr>
        <w:tab/>
      </w:r>
      <w:r w:rsidR="007947CC">
        <w:rPr>
          <w:u w:val="single"/>
        </w:rPr>
        <w:tab/>
      </w:r>
      <w:bookmarkStart w:id="0" w:name="_GoBack"/>
      <w:bookmarkEnd w:id="0"/>
    </w:p>
    <w:sectPr w:rsidR="005F2A4B" w:rsidRPr="005F2A4B" w:rsidSect="008158F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CCD5" w14:textId="77777777" w:rsidR="00DB4F55" w:rsidRDefault="00DB4F55">
      <w:pPr>
        <w:spacing w:line="240" w:lineRule="auto"/>
      </w:pPr>
    </w:p>
  </w:endnote>
  <w:endnote w:type="continuationSeparator" w:id="0">
    <w:p w14:paraId="1A2C1978" w14:textId="77777777" w:rsidR="00DB4F55" w:rsidRDefault="00DB4F55">
      <w:pPr>
        <w:pStyle w:val="Pieddepage"/>
      </w:pPr>
    </w:p>
  </w:endnote>
  <w:endnote w:type="continuationNotice" w:id="1">
    <w:p w14:paraId="4657ABCC" w14:textId="77777777" w:rsidR="00DB4F55" w:rsidRDefault="00DB4F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1364" w14:textId="512192AE" w:rsidR="00DB4F55" w:rsidRDefault="00DB4F55">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376C71">
      <w:rPr>
        <w:b/>
        <w:noProof/>
        <w:sz w:val="18"/>
      </w:rPr>
      <w:t>10</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2658" w14:textId="694A18E7" w:rsidR="00DB4F55" w:rsidRDefault="00DB4F55">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376C71">
      <w:rPr>
        <w:b/>
        <w:noProof/>
        <w:sz w:val="18"/>
      </w:rPr>
      <w:t>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4F51" w14:textId="1713D35C" w:rsidR="00DB4F55" w:rsidRPr="0027017D" w:rsidRDefault="0027017D">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0A1EDCEC" wp14:editId="68AFEB88">
          <wp:simplePos x="0" y="0"/>
          <wp:positionH relativeFrom="margin">
            <wp:posOffset>4383332</wp:posOffset>
          </wp:positionH>
          <wp:positionV relativeFrom="margin">
            <wp:posOffset>9159856</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szCs w:val="56"/>
        <w:lang w:eastAsia="fr-CH"/>
      </w:rPr>
      <w:drawing>
        <wp:anchor distT="0" distB="0" distL="114300" distR="114300" simplePos="0" relativeHeight="251660288" behindDoc="0" locked="0" layoutInCell="1" allowOverlap="1" wp14:anchorId="1D840C08" wp14:editId="603C4AD5">
          <wp:simplePos x="0" y="0"/>
          <wp:positionH relativeFrom="column">
            <wp:posOffset>5549827</wp:posOffset>
          </wp:positionH>
          <wp:positionV relativeFrom="paragraph">
            <wp:posOffset>0</wp:posOffset>
          </wp:positionV>
          <wp:extent cx="561975" cy="561975"/>
          <wp:effectExtent l="0" t="0" r="9525" b="9525"/>
          <wp:wrapNone/>
          <wp:docPr id="2" name="Image 1" descr="https://undocs.org/m2/QRCode.ashx?DS=CAT/C/BEN/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9</w:t>
    </w:r>
    <w:r>
      <w:rPr>
        <w:sz w:val="20"/>
      </w:rPr>
      <w:t>-0</w:t>
    </w:r>
    <w:r>
      <w:rPr>
        <w:sz w:val="20"/>
      </w:rPr>
      <w:t>8899</w:t>
    </w:r>
    <w:r>
      <w:rPr>
        <w:sz w:val="20"/>
      </w:rPr>
      <w:t xml:space="preserve">  (F)</w:t>
    </w:r>
    <w:r w:rsidRPr="0027017D">
      <w:rPr>
        <w:rFonts w:ascii="C39T30Lfz" w:hAnsi="C39T30Lfz"/>
        <w:noProof/>
        <w:sz w:val="56"/>
        <w:szCs w:val="56"/>
        <w:lang w:eastAsia="fr-FR"/>
      </w:rPr>
      <w:br/>
    </w:r>
    <w:r w:rsidRPr="0027017D">
      <w:rPr>
        <w:rFonts w:ascii="C39T30Lfz" w:hAnsi="C39T30Lfz"/>
        <w:noProof/>
        <w:sz w:val="56"/>
        <w:szCs w:val="56"/>
        <w:lang w:eastAsia="fr-FR"/>
      </w:rPr>
      <w:t></w:t>
    </w:r>
    <w:r w:rsidRPr="0027017D">
      <w:rPr>
        <w:rFonts w:ascii="C39T30Lfz" w:hAnsi="C39T30Lfz"/>
        <w:noProof/>
        <w:sz w:val="56"/>
        <w:szCs w:val="56"/>
        <w:lang w:eastAsia="fr-FR"/>
      </w:rPr>
      <w:t></w:t>
    </w:r>
    <w:r w:rsidRPr="0027017D">
      <w:rPr>
        <w:rFonts w:ascii="C39T30Lfz" w:hAnsi="C39T30Lfz"/>
        <w:noProof/>
        <w:sz w:val="56"/>
        <w:szCs w:val="56"/>
        <w:lang w:eastAsia="fr-FR"/>
      </w:rPr>
      <w:t></w:t>
    </w:r>
    <w:r w:rsidRPr="0027017D">
      <w:rPr>
        <w:rFonts w:ascii="C39T30Lfz" w:hAnsi="C39T30Lfz"/>
        <w:noProof/>
        <w:sz w:val="56"/>
        <w:szCs w:val="56"/>
        <w:lang w:eastAsia="fr-FR"/>
      </w:rPr>
      <w:t></w:t>
    </w:r>
    <w:r w:rsidRPr="0027017D">
      <w:rPr>
        <w:rFonts w:ascii="C39T30Lfz" w:hAnsi="C39T30Lfz"/>
        <w:noProof/>
        <w:sz w:val="56"/>
        <w:szCs w:val="56"/>
        <w:lang w:eastAsia="fr-FR"/>
      </w:rPr>
      <w:t></w:t>
    </w:r>
    <w:r w:rsidRPr="0027017D">
      <w:rPr>
        <w:rFonts w:ascii="C39T30Lfz" w:hAnsi="C39T30Lfz"/>
        <w:noProof/>
        <w:sz w:val="56"/>
        <w:szCs w:val="56"/>
        <w:lang w:eastAsia="fr-FR"/>
      </w:rPr>
      <w:t></w:t>
    </w:r>
    <w:r w:rsidRPr="0027017D">
      <w:rPr>
        <w:rFonts w:ascii="C39T30Lfz" w:hAnsi="C39T30Lfz"/>
        <w:noProof/>
        <w:sz w:val="56"/>
        <w:szCs w:val="56"/>
        <w:lang w:eastAsia="fr-FR"/>
      </w:rPr>
      <w:t></w:t>
    </w:r>
    <w:r w:rsidRPr="0027017D">
      <w:rPr>
        <w:rFonts w:ascii="C39T30Lfz" w:hAnsi="C39T30Lfz"/>
        <w:noProof/>
        <w:sz w:val="56"/>
        <w:szCs w:val="56"/>
        <w:lang w:eastAsia="fr-FR"/>
      </w:rPr>
      <w:t></w:t>
    </w:r>
    <w:r w:rsidR="00DB4F55" w:rsidRPr="0027017D">
      <w:rPr>
        <w:rFonts w:ascii="C39T30Lfz" w:hAnsi="C39T30Lfz"/>
        <w:noProof/>
        <w:sz w:val="56"/>
        <w:szCs w:val="56"/>
        <w:lang w:eastAsia="fr-FR"/>
      </w:rPr>
      <w:fldChar w:fldCharType="begin"/>
    </w:r>
    <w:r w:rsidR="00DB4F55" w:rsidRPr="0027017D">
      <w:rPr>
        <w:rFonts w:ascii="C39T30Lfz" w:hAnsi="C39T30Lfz"/>
        <w:noProof/>
        <w:sz w:val="56"/>
        <w:szCs w:val="56"/>
        <w:lang w:eastAsia="fr-FR"/>
      </w:rPr>
      <w:instrText xml:space="preserve"> DOCPROPERTY  bar  \* MERGEFORMAT </w:instrText>
    </w:r>
    <w:r w:rsidR="00DB4F55" w:rsidRPr="0027017D">
      <w:rPr>
        <w:rFonts w:ascii="C39T30Lfz" w:hAnsi="C39T30Lfz"/>
        <w:noProof/>
        <w:sz w:val="56"/>
        <w:szCs w:val="56"/>
        <w:lang w:eastAsia="fr-FR"/>
      </w:rPr>
      <w:fldChar w:fldCharType="end"/>
    </w:r>
    <w:r w:rsidRPr="0027017D">
      <w:rPr>
        <w:rFonts w:ascii="C39T30Lfz" w:hAnsi="C39T30Lfz"/>
        <w:noProof/>
        <w:sz w:val="56"/>
        <w:szCs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D948" w14:textId="77777777" w:rsidR="00DB4F55" w:rsidRDefault="00DB4F55">
      <w:pPr>
        <w:pStyle w:val="Pieddepage"/>
        <w:tabs>
          <w:tab w:val="right" w:pos="2155"/>
        </w:tabs>
        <w:spacing w:after="80" w:line="240" w:lineRule="atLeast"/>
        <w:ind w:left="680"/>
        <w:rPr>
          <w:u w:val="single"/>
        </w:rPr>
      </w:pPr>
      <w:r>
        <w:rPr>
          <w:u w:val="single"/>
        </w:rPr>
        <w:tab/>
      </w:r>
    </w:p>
  </w:footnote>
  <w:footnote w:type="continuationSeparator" w:id="0">
    <w:p w14:paraId="04FBFB6A" w14:textId="77777777" w:rsidR="00DB4F55" w:rsidRDefault="00DB4F55">
      <w:pPr>
        <w:pStyle w:val="Pieddepage"/>
        <w:tabs>
          <w:tab w:val="right" w:pos="2155"/>
        </w:tabs>
        <w:spacing w:after="80" w:line="240" w:lineRule="atLeast"/>
        <w:ind w:left="680"/>
        <w:rPr>
          <w:u w:val="single"/>
        </w:rPr>
      </w:pPr>
      <w:r>
        <w:rPr>
          <w:u w:val="single"/>
        </w:rPr>
        <w:tab/>
      </w:r>
    </w:p>
  </w:footnote>
  <w:footnote w:type="continuationNotice" w:id="1">
    <w:p w14:paraId="6A4FA3EA" w14:textId="77777777" w:rsidR="00DB4F55" w:rsidRDefault="00DB4F55">
      <w:pPr>
        <w:spacing w:line="240" w:lineRule="auto"/>
        <w:rPr>
          <w:sz w:val="2"/>
          <w:szCs w:val="2"/>
        </w:rPr>
      </w:pPr>
    </w:p>
  </w:footnote>
  <w:footnote w:id="2">
    <w:p w14:paraId="07385973" w14:textId="77777777" w:rsidR="00DB4F55" w:rsidRPr="000474C4" w:rsidRDefault="00DB4F55" w:rsidP="0027017D">
      <w:pPr>
        <w:pStyle w:val="Notedebasdepage"/>
        <w:spacing w:after="120"/>
        <w:rPr>
          <w:lang w:val="fr-FR"/>
        </w:rPr>
      </w:pPr>
      <w:r w:rsidRPr="00074F27">
        <w:rPr>
          <w:spacing w:val="-2"/>
        </w:rPr>
        <w:tab/>
      </w:r>
      <w:r w:rsidRPr="00074F27">
        <w:rPr>
          <w:spacing w:val="-2"/>
          <w:sz w:val="20"/>
        </w:rPr>
        <w:t>*</w:t>
      </w:r>
      <w:r w:rsidRPr="00074F27">
        <w:rPr>
          <w:spacing w:val="-2"/>
          <w:sz w:val="20"/>
        </w:rPr>
        <w:tab/>
      </w:r>
      <w:r>
        <w:t xml:space="preserve">Adoptées par le Comité à </w:t>
      </w:r>
      <w:r w:rsidRPr="00386AA8">
        <w:t xml:space="preserve">sa </w:t>
      </w:r>
      <w:fldSimple w:instr=" DOCPROPERTY  snum  \* MERGEFORMAT ">
        <w:r w:rsidRPr="00386AA8">
          <w:t>soixante-</w:t>
        </w:r>
        <w:r>
          <w:t>six</w:t>
        </w:r>
        <w:r w:rsidRPr="00386AA8">
          <w:t>ième</w:t>
        </w:r>
      </w:fldSimple>
      <w:r w:rsidRPr="00A47707">
        <w:t xml:space="preserve"> sess</w:t>
      </w:r>
      <w:r>
        <w:t>ion (</w:t>
      </w:r>
      <w:r w:rsidRPr="00386AA8">
        <w:t xml:space="preserve">23 </w:t>
      </w:r>
      <w:r>
        <w:t>avril</w:t>
      </w:r>
      <w:r w:rsidRPr="00386AA8">
        <w:t>-</w:t>
      </w:r>
      <w:r>
        <w:t>17 mai 2019)</w:t>
      </w:r>
      <w:r w:rsidRPr="00074F27">
        <w:rPr>
          <w:spacing w:val="-2"/>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336A" w14:textId="7D608784" w:rsidR="00DB4F55" w:rsidRDefault="00904323">
    <w:pPr>
      <w:pStyle w:val="En-tte"/>
    </w:pPr>
    <w:fldSimple w:instr=" DOCPROPERTY  symh  \* MERGEFORMAT ">
      <w:r w:rsidR="00376C71">
        <w:t>CAT/C/BEN/CO/3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C8C4" w14:textId="3E1E19F0" w:rsidR="00DB4F55" w:rsidRDefault="00904323">
    <w:pPr>
      <w:pStyle w:val="En-tte"/>
      <w:jc w:val="right"/>
    </w:pPr>
    <w:fldSimple w:instr=" DOCPROPERTY  symh  \* MERGEFORMAT ">
      <w:r w:rsidR="00376C71">
        <w:t>CAT/C/BEN/CO/3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3146D"/>
    <w:multiLevelType w:val="hybridMultilevel"/>
    <w:tmpl w:val="2E586680"/>
    <w:lvl w:ilvl="0" w:tplc="B0FC2544">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5E2588"/>
    <w:multiLevelType w:val="hybridMultilevel"/>
    <w:tmpl w:val="A4AE44B0"/>
    <w:lvl w:ilvl="0" w:tplc="613A6EAC">
      <w:start w:val="1"/>
      <w:numFmt w:val="lowerLetter"/>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0D954887"/>
    <w:multiLevelType w:val="hybridMultilevel"/>
    <w:tmpl w:val="D1262C5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B513D3"/>
    <w:multiLevelType w:val="hybridMultilevel"/>
    <w:tmpl w:val="A76C7202"/>
    <w:lvl w:ilvl="0" w:tplc="342604AC">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942249A"/>
    <w:multiLevelType w:val="hybridMultilevel"/>
    <w:tmpl w:val="968CE224"/>
    <w:lvl w:ilvl="0" w:tplc="545CD2EE">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5" w15:restartNumberingAfterBreak="0">
    <w:nsid w:val="1E432B4E"/>
    <w:multiLevelType w:val="hybridMultilevel"/>
    <w:tmpl w:val="1D48A14C"/>
    <w:lvl w:ilvl="0" w:tplc="6D20F36C">
      <w:start w:val="1"/>
      <w:numFmt w:val="lowerLetter"/>
      <w:lvlText w:val="%1)"/>
      <w:lvlJc w:val="left"/>
      <w:pPr>
        <w:ind w:left="1854" w:hanging="360"/>
      </w:pPr>
      <w:rPr>
        <w:rFonts w:hint="default"/>
        <w:b/>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08E2EA7"/>
    <w:multiLevelType w:val="hybridMultilevel"/>
    <w:tmpl w:val="0CA68F74"/>
    <w:lvl w:ilvl="0" w:tplc="DD58367E">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1317E82"/>
    <w:multiLevelType w:val="hybridMultilevel"/>
    <w:tmpl w:val="83C80062"/>
    <w:lvl w:ilvl="0" w:tplc="B9D6BC54">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134760"/>
    <w:multiLevelType w:val="hybridMultilevel"/>
    <w:tmpl w:val="4C5A76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FE3F7C"/>
    <w:multiLevelType w:val="hybridMultilevel"/>
    <w:tmpl w:val="11D69CA0"/>
    <w:lvl w:ilvl="0" w:tplc="22AA2768">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D955C33"/>
    <w:multiLevelType w:val="hybridMultilevel"/>
    <w:tmpl w:val="105E6D50"/>
    <w:lvl w:ilvl="0" w:tplc="D8FE0D6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ACF4EB2"/>
    <w:multiLevelType w:val="hybridMultilevel"/>
    <w:tmpl w:val="10200C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8E07604"/>
    <w:multiLevelType w:val="hybridMultilevel"/>
    <w:tmpl w:val="CFDCDFEE"/>
    <w:lvl w:ilvl="0" w:tplc="672EB770">
      <w:start w:val="1"/>
      <w:numFmt w:val="lowerLetter"/>
      <w:lvlText w:val="(%1)"/>
      <w:lvlJc w:val="left"/>
      <w:pPr>
        <w:ind w:left="1430" w:hanging="360"/>
      </w:pPr>
      <w:rPr>
        <w:rFonts w:hint="default"/>
        <w:b/>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3" w15:restartNumberingAfterBreak="0">
    <w:nsid w:val="4B5B2D1C"/>
    <w:multiLevelType w:val="hybridMultilevel"/>
    <w:tmpl w:val="046CE91C"/>
    <w:lvl w:ilvl="0" w:tplc="55F04AE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4DD52040"/>
    <w:multiLevelType w:val="hybridMultilevel"/>
    <w:tmpl w:val="58865F6C"/>
    <w:lvl w:ilvl="0" w:tplc="8D567F40">
      <w:start w:val="6"/>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5" w15:restartNumberingAfterBreak="0">
    <w:nsid w:val="4F024646"/>
    <w:multiLevelType w:val="hybridMultilevel"/>
    <w:tmpl w:val="5A18D0F2"/>
    <w:lvl w:ilvl="0" w:tplc="7D443664">
      <w:start w:val="1"/>
      <w:numFmt w:val="lowerLetter"/>
      <w:lvlText w:val="%1)"/>
      <w:lvlJc w:val="left"/>
      <w:pPr>
        <w:ind w:left="1854" w:hanging="360"/>
      </w:pPr>
      <w:rPr>
        <w:rFonts w:hint="default"/>
        <w:b/>
        <w:bCs/>
        <w:lang w:val="fr-CH"/>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6C46A3F"/>
    <w:multiLevelType w:val="hybridMultilevel"/>
    <w:tmpl w:val="992A83B2"/>
    <w:lvl w:ilvl="0" w:tplc="C0DAF478">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3156621"/>
    <w:multiLevelType w:val="hybridMultilevel"/>
    <w:tmpl w:val="4470FAFE"/>
    <w:lvl w:ilvl="0" w:tplc="0E763FA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68AD07B2"/>
    <w:multiLevelType w:val="hybridMultilevel"/>
    <w:tmpl w:val="B13CDD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8FA1359"/>
    <w:multiLevelType w:val="hybridMultilevel"/>
    <w:tmpl w:val="0FB029F2"/>
    <w:lvl w:ilvl="0" w:tplc="87D0B3D6">
      <w:start w:val="1"/>
      <w:numFmt w:val="lowerLetter"/>
      <w:lvlText w:val="%1)"/>
      <w:lvlJc w:val="left"/>
      <w:pPr>
        <w:ind w:left="1854" w:hanging="360"/>
      </w:pPr>
      <w:rPr>
        <w:rFonts w:hint="default"/>
        <w:b/>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BE56C02"/>
    <w:multiLevelType w:val="hybridMultilevel"/>
    <w:tmpl w:val="DDBE7C64"/>
    <w:lvl w:ilvl="0" w:tplc="17D0E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7B685F"/>
    <w:multiLevelType w:val="hybridMultilevel"/>
    <w:tmpl w:val="E0C2247A"/>
    <w:lvl w:ilvl="0" w:tplc="B3DEE58C">
      <w:start w:val="1"/>
      <w:numFmt w:val="decimal"/>
      <w:lvlText w:val="%1."/>
      <w:lvlJc w:val="left"/>
      <w:pPr>
        <w:ind w:left="1070" w:hanging="360"/>
      </w:pPr>
      <w:rPr>
        <w:rFonts w:asciiTheme="majorBidi" w:hAnsiTheme="majorBidi" w:cstheme="majorBidi" w:hint="default"/>
        <w:b w:val="0"/>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AC5FF1"/>
    <w:multiLevelType w:val="hybridMultilevel"/>
    <w:tmpl w:val="D3AC0C44"/>
    <w:lvl w:ilvl="0" w:tplc="08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CD842DC"/>
    <w:multiLevelType w:val="hybridMultilevel"/>
    <w:tmpl w:val="6E32DF26"/>
    <w:lvl w:ilvl="0" w:tplc="08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8"/>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2"/>
  </w:num>
  <w:num w:numId="17">
    <w:abstractNumId w:val="18"/>
  </w:num>
  <w:num w:numId="18">
    <w:abstractNumId w:val="31"/>
  </w:num>
  <w:num w:numId="19">
    <w:abstractNumId w:val="23"/>
  </w:num>
  <w:num w:numId="20">
    <w:abstractNumId w:val="11"/>
  </w:num>
  <w:num w:numId="21">
    <w:abstractNumId w:val="30"/>
  </w:num>
  <w:num w:numId="22">
    <w:abstractNumId w:val="13"/>
  </w:num>
  <w:num w:numId="23">
    <w:abstractNumId w:val="22"/>
  </w:num>
  <w:num w:numId="24">
    <w:abstractNumId w:val="14"/>
  </w:num>
  <w:num w:numId="25">
    <w:abstractNumId w:val="24"/>
  </w:num>
  <w:num w:numId="26">
    <w:abstractNumId w:val="27"/>
  </w:num>
  <w:num w:numId="27">
    <w:abstractNumId w:val="17"/>
  </w:num>
  <w:num w:numId="28">
    <w:abstractNumId w:val="33"/>
  </w:num>
  <w:num w:numId="29">
    <w:abstractNumId w:val="32"/>
  </w:num>
  <w:num w:numId="30">
    <w:abstractNumId w:val="10"/>
  </w:num>
  <w:num w:numId="31">
    <w:abstractNumId w:val="26"/>
  </w:num>
  <w:num w:numId="32">
    <w:abstractNumId w:val="16"/>
  </w:num>
  <w:num w:numId="33">
    <w:abstractNumId w:val="15"/>
  </w:num>
  <w:num w:numId="34">
    <w:abstractNumId w:val="29"/>
  </w:num>
  <w:num w:numId="35">
    <w:abstractNumId w:val="19"/>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defaultTabStop w:val="567"/>
  <w:hyphenationZone w:val="425"/>
  <w:evenAndOddHeaders/>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A9"/>
    <w:rsid w:val="00025428"/>
    <w:rsid w:val="00034A51"/>
    <w:rsid w:val="000467DF"/>
    <w:rsid w:val="0004772E"/>
    <w:rsid w:val="0005616E"/>
    <w:rsid w:val="00056FA5"/>
    <w:rsid w:val="00060BFE"/>
    <w:rsid w:val="0006720F"/>
    <w:rsid w:val="000A55A7"/>
    <w:rsid w:val="000B0212"/>
    <w:rsid w:val="000B0234"/>
    <w:rsid w:val="000B05DB"/>
    <w:rsid w:val="000E4493"/>
    <w:rsid w:val="00101CD2"/>
    <w:rsid w:val="001048B0"/>
    <w:rsid w:val="00113B8E"/>
    <w:rsid w:val="00145E04"/>
    <w:rsid w:val="001577BB"/>
    <w:rsid w:val="001624D2"/>
    <w:rsid w:val="00187B1A"/>
    <w:rsid w:val="00193C3C"/>
    <w:rsid w:val="001A2DCE"/>
    <w:rsid w:val="001A3D44"/>
    <w:rsid w:val="001B7728"/>
    <w:rsid w:val="001C719C"/>
    <w:rsid w:val="001C7DC8"/>
    <w:rsid w:val="001D74E3"/>
    <w:rsid w:val="001F3221"/>
    <w:rsid w:val="0020225A"/>
    <w:rsid w:val="002067AC"/>
    <w:rsid w:val="00207C59"/>
    <w:rsid w:val="00212D00"/>
    <w:rsid w:val="00213D1D"/>
    <w:rsid w:val="00213EF6"/>
    <w:rsid w:val="00215D00"/>
    <w:rsid w:val="0023049B"/>
    <w:rsid w:val="002308C1"/>
    <w:rsid w:val="002309AA"/>
    <w:rsid w:val="00241BC5"/>
    <w:rsid w:val="00244EF9"/>
    <w:rsid w:val="00253352"/>
    <w:rsid w:val="00254403"/>
    <w:rsid w:val="002606C2"/>
    <w:rsid w:val="00266BF0"/>
    <w:rsid w:val="002700E6"/>
    <w:rsid w:val="0027017D"/>
    <w:rsid w:val="002923D7"/>
    <w:rsid w:val="002B3F32"/>
    <w:rsid w:val="002C24C9"/>
    <w:rsid w:val="002C659B"/>
    <w:rsid w:val="002D03A1"/>
    <w:rsid w:val="002D2562"/>
    <w:rsid w:val="002F1FE4"/>
    <w:rsid w:val="002F5F19"/>
    <w:rsid w:val="002F6E3B"/>
    <w:rsid w:val="003201C8"/>
    <w:rsid w:val="00331EB5"/>
    <w:rsid w:val="003337BC"/>
    <w:rsid w:val="003707C1"/>
    <w:rsid w:val="00376C71"/>
    <w:rsid w:val="003A051C"/>
    <w:rsid w:val="003A4B1F"/>
    <w:rsid w:val="003B06C7"/>
    <w:rsid w:val="003D0144"/>
    <w:rsid w:val="003F4FEC"/>
    <w:rsid w:val="00432AC5"/>
    <w:rsid w:val="00440031"/>
    <w:rsid w:val="004447C9"/>
    <w:rsid w:val="00466CE6"/>
    <w:rsid w:val="00484728"/>
    <w:rsid w:val="00485295"/>
    <w:rsid w:val="00485F4E"/>
    <w:rsid w:val="00495B74"/>
    <w:rsid w:val="004A68E3"/>
    <w:rsid w:val="004B5EAD"/>
    <w:rsid w:val="004C3C20"/>
    <w:rsid w:val="004D7C08"/>
    <w:rsid w:val="004E2E60"/>
    <w:rsid w:val="00511E48"/>
    <w:rsid w:val="00520552"/>
    <w:rsid w:val="00521D47"/>
    <w:rsid w:val="0054554C"/>
    <w:rsid w:val="00585FD4"/>
    <w:rsid w:val="005A4CDA"/>
    <w:rsid w:val="005B0B76"/>
    <w:rsid w:val="005E4932"/>
    <w:rsid w:val="005F2A4B"/>
    <w:rsid w:val="005F6532"/>
    <w:rsid w:val="00600260"/>
    <w:rsid w:val="006179FA"/>
    <w:rsid w:val="006344AF"/>
    <w:rsid w:val="00686D10"/>
    <w:rsid w:val="00697BDA"/>
    <w:rsid w:val="006A1701"/>
    <w:rsid w:val="006B320B"/>
    <w:rsid w:val="006B6DEF"/>
    <w:rsid w:val="006C6CD0"/>
    <w:rsid w:val="006D2A69"/>
    <w:rsid w:val="006D5088"/>
    <w:rsid w:val="006E2B31"/>
    <w:rsid w:val="006E452E"/>
    <w:rsid w:val="006E6D8A"/>
    <w:rsid w:val="006E7179"/>
    <w:rsid w:val="006F4508"/>
    <w:rsid w:val="006F52BE"/>
    <w:rsid w:val="00701730"/>
    <w:rsid w:val="007041C6"/>
    <w:rsid w:val="00721C49"/>
    <w:rsid w:val="00726F27"/>
    <w:rsid w:val="00732E4E"/>
    <w:rsid w:val="00737B1B"/>
    <w:rsid w:val="00743D7E"/>
    <w:rsid w:val="00745CA8"/>
    <w:rsid w:val="007710AA"/>
    <w:rsid w:val="007947CC"/>
    <w:rsid w:val="007954A1"/>
    <w:rsid w:val="007A4A7D"/>
    <w:rsid w:val="007B6278"/>
    <w:rsid w:val="007C4E01"/>
    <w:rsid w:val="008158F4"/>
    <w:rsid w:val="008165E4"/>
    <w:rsid w:val="00821128"/>
    <w:rsid w:val="00823BC6"/>
    <w:rsid w:val="00837B2B"/>
    <w:rsid w:val="00871A25"/>
    <w:rsid w:val="00874EEB"/>
    <w:rsid w:val="00884728"/>
    <w:rsid w:val="00895EDF"/>
    <w:rsid w:val="008A50F5"/>
    <w:rsid w:val="008C721A"/>
    <w:rsid w:val="008D3AEF"/>
    <w:rsid w:val="008E72A6"/>
    <w:rsid w:val="008F7E82"/>
    <w:rsid w:val="00904323"/>
    <w:rsid w:val="00914C2C"/>
    <w:rsid w:val="00942542"/>
    <w:rsid w:val="00943F4B"/>
    <w:rsid w:val="009567E1"/>
    <w:rsid w:val="009875A9"/>
    <w:rsid w:val="009B1705"/>
    <w:rsid w:val="009B4F4A"/>
    <w:rsid w:val="009B6A1D"/>
    <w:rsid w:val="009C72BB"/>
    <w:rsid w:val="009F20D5"/>
    <w:rsid w:val="009F5F49"/>
    <w:rsid w:val="00A0037D"/>
    <w:rsid w:val="00A128A9"/>
    <w:rsid w:val="00A20788"/>
    <w:rsid w:val="00A572F0"/>
    <w:rsid w:val="00A940DF"/>
    <w:rsid w:val="00A95B9D"/>
    <w:rsid w:val="00AB1EBA"/>
    <w:rsid w:val="00AB5135"/>
    <w:rsid w:val="00AB6EC3"/>
    <w:rsid w:val="00AC4320"/>
    <w:rsid w:val="00AE4A93"/>
    <w:rsid w:val="00AF7306"/>
    <w:rsid w:val="00B37887"/>
    <w:rsid w:val="00B42320"/>
    <w:rsid w:val="00B7161E"/>
    <w:rsid w:val="00B72BA2"/>
    <w:rsid w:val="00B84889"/>
    <w:rsid w:val="00B92913"/>
    <w:rsid w:val="00BB1B43"/>
    <w:rsid w:val="00BC45A1"/>
    <w:rsid w:val="00BD5CB2"/>
    <w:rsid w:val="00BD7307"/>
    <w:rsid w:val="00BE0CF8"/>
    <w:rsid w:val="00C11D7E"/>
    <w:rsid w:val="00C1352C"/>
    <w:rsid w:val="00C20DF1"/>
    <w:rsid w:val="00C90791"/>
    <w:rsid w:val="00CA37A5"/>
    <w:rsid w:val="00CA3E5D"/>
    <w:rsid w:val="00CA72E6"/>
    <w:rsid w:val="00CB16BD"/>
    <w:rsid w:val="00CB2664"/>
    <w:rsid w:val="00CC1399"/>
    <w:rsid w:val="00CF0541"/>
    <w:rsid w:val="00CF2D59"/>
    <w:rsid w:val="00CF6699"/>
    <w:rsid w:val="00D100AD"/>
    <w:rsid w:val="00D40B98"/>
    <w:rsid w:val="00D464A9"/>
    <w:rsid w:val="00D6250E"/>
    <w:rsid w:val="00D862E4"/>
    <w:rsid w:val="00D87C25"/>
    <w:rsid w:val="00D91129"/>
    <w:rsid w:val="00D94987"/>
    <w:rsid w:val="00DA1441"/>
    <w:rsid w:val="00DA513E"/>
    <w:rsid w:val="00DA74C9"/>
    <w:rsid w:val="00DB4F55"/>
    <w:rsid w:val="00DB737B"/>
    <w:rsid w:val="00DC6DB3"/>
    <w:rsid w:val="00DD04C2"/>
    <w:rsid w:val="00DD65FD"/>
    <w:rsid w:val="00DE7275"/>
    <w:rsid w:val="00DE75A9"/>
    <w:rsid w:val="00DF51C9"/>
    <w:rsid w:val="00E14F8E"/>
    <w:rsid w:val="00E41C6C"/>
    <w:rsid w:val="00E4492A"/>
    <w:rsid w:val="00E44E01"/>
    <w:rsid w:val="00E465D7"/>
    <w:rsid w:val="00E75939"/>
    <w:rsid w:val="00E868C9"/>
    <w:rsid w:val="00E91DE2"/>
    <w:rsid w:val="00EC78FD"/>
    <w:rsid w:val="00EE778A"/>
    <w:rsid w:val="00F00F56"/>
    <w:rsid w:val="00F015DD"/>
    <w:rsid w:val="00F1057E"/>
    <w:rsid w:val="00F317DE"/>
    <w:rsid w:val="00F5129E"/>
    <w:rsid w:val="00F52CA2"/>
    <w:rsid w:val="00F553CA"/>
    <w:rsid w:val="00F75764"/>
    <w:rsid w:val="00F76551"/>
    <w:rsid w:val="00FD104C"/>
    <w:rsid w:val="00FD7F3C"/>
    <w:rsid w:val="00FF42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0EE5831"/>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qFormat/>
    <w:rsid w:val="00701730"/>
    <w:rPr>
      <w:rFonts w:ascii="Times New Roman" w:hAnsi="Times New Roman"/>
      <w:sz w:val="18"/>
      <w:vertAlign w:val="superscript"/>
      <w:lang w:val="fr-CH"/>
    </w:rPr>
  </w:style>
  <w:style w:type="character" w:styleId="Appeldenotedefin">
    <w:name w:val="endnote reference"/>
    <w:aliases w:val="1_G"/>
    <w:basedOn w:val="Policepardfaut"/>
    <w:qFormat/>
    <w:rsid w:val="00701730"/>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rsid w:val="0004772E"/>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04772E"/>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character" w:customStyle="1" w:styleId="st1">
    <w:name w:val="st1"/>
    <w:basedOn w:val="Policepardfaut"/>
    <w:rsid w:val="00DA74C9"/>
  </w:style>
  <w:style w:type="character" w:styleId="Marquedecommentaire">
    <w:name w:val="annotation reference"/>
    <w:basedOn w:val="Policepardfaut"/>
    <w:uiPriority w:val="99"/>
    <w:semiHidden/>
    <w:unhideWhenUsed/>
    <w:rsid w:val="00D862E4"/>
    <w:rPr>
      <w:sz w:val="16"/>
      <w:szCs w:val="16"/>
    </w:rPr>
  </w:style>
  <w:style w:type="paragraph" w:styleId="Commentaire">
    <w:name w:val="annotation text"/>
    <w:basedOn w:val="Normal"/>
    <w:link w:val="CommentaireCar"/>
    <w:uiPriority w:val="99"/>
    <w:unhideWhenUsed/>
    <w:rsid w:val="00D862E4"/>
    <w:pPr>
      <w:spacing w:line="240" w:lineRule="auto"/>
    </w:pPr>
  </w:style>
  <w:style w:type="character" w:customStyle="1" w:styleId="CommentaireCar">
    <w:name w:val="Commentaire Car"/>
    <w:basedOn w:val="Policepardfaut"/>
    <w:link w:val="Commentaire"/>
    <w:uiPriority w:val="99"/>
    <w:rsid w:val="00D862E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862E4"/>
    <w:rPr>
      <w:b/>
      <w:bCs/>
    </w:rPr>
  </w:style>
  <w:style w:type="character" w:customStyle="1" w:styleId="ObjetducommentaireCar">
    <w:name w:val="Objet du commentaire Car"/>
    <w:basedOn w:val="CommentaireCar"/>
    <w:link w:val="Objetducommentaire"/>
    <w:uiPriority w:val="99"/>
    <w:semiHidden/>
    <w:rsid w:val="00D862E4"/>
    <w:rPr>
      <w:rFonts w:ascii="Times New Roman" w:hAnsi="Times New Roman" w:cs="Times New Roman"/>
      <w:b/>
      <w:bCs/>
      <w:sz w:val="20"/>
      <w:szCs w:val="20"/>
    </w:rPr>
  </w:style>
  <w:style w:type="paragraph" w:styleId="Rvision">
    <w:name w:val="Revision"/>
    <w:hidden/>
    <w:uiPriority w:val="99"/>
    <w:semiHidden/>
    <w:rsid w:val="00DB4F5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16851">
      <w:bodyDiv w:val="1"/>
      <w:marLeft w:val="0"/>
      <w:marRight w:val="0"/>
      <w:marTop w:val="0"/>
      <w:marBottom w:val="0"/>
      <w:divBdr>
        <w:top w:val="none" w:sz="0" w:space="0" w:color="auto"/>
        <w:left w:val="none" w:sz="0" w:space="0" w:color="auto"/>
        <w:bottom w:val="none" w:sz="0" w:space="0" w:color="auto"/>
        <w:right w:val="none" w:sz="0" w:space="0" w:color="auto"/>
      </w:divBdr>
    </w:div>
    <w:div w:id="1679622641">
      <w:bodyDiv w:val="1"/>
      <w:marLeft w:val="0"/>
      <w:marRight w:val="0"/>
      <w:marTop w:val="0"/>
      <w:marBottom w:val="0"/>
      <w:divBdr>
        <w:top w:val="none" w:sz="0" w:space="0" w:color="auto"/>
        <w:left w:val="none" w:sz="0" w:space="0" w:color="auto"/>
        <w:bottom w:val="none" w:sz="0" w:space="0" w:color="auto"/>
        <w:right w:val="none" w:sz="0" w:space="0" w:color="auto"/>
      </w:divBdr>
    </w:div>
    <w:div w:id="20399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31ED-2D99-4B64-BEF9-36C91114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5561</Words>
  <Characters>30588</Characters>
  <Application>Microsoft Office Word</Application>
  <DocSecurity>0</DocSecurity>
  <Lines>254</Lines>
  <Paragraphs>72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CAT/C/BEN/CO/3</vt:lpstr>
      <vt:lpstr>CAT/C/BEN/CO/3</vt:lpstr>
      <vt:lpstr>a/hthhhh</vt:lpstr>
    </vt:vector>
  </TitlesOfParts>
  <Company>DCM</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CAT/C/BEN/CO/3</dc:title>
  <dc:subject>qrcode</dc:subject>
  <dc:creator>dvx</dc:creator>
  <cp:keywords/>
  <dc:description/>
  <cp:lastModifiedBy>Christine Devouassoux</cp:lastModifiedBy>
  <cp:revision>3</cp:revision>
  <cp:lastPrinted>2019-06-06T06:58:00Z</cp:lastPrinted>
  <dcterms:created xsi:type="dcterms:W3CDTF">2019-06-06T06:58:00Z</dcterms:created>
  <dcterms:modified xsi:type="dcterms:W3CDTF">2019-06-06T06:59:00Z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C/BEN/CO/R.3</vt:lpwstr>
  </property>
  <property fmtid="{D5CDD505-2E9C-101B-9397-08002B2CF9AE}" pid="3" name="symh">
    <vt:lpwstr>CAT/C/BEN/CO/3</vt:lpwstr>
  </property>
  <property fmtid="{D5CDD505-2E9C-101B-9397-08002B2CF9AE}" pid="4" name="dist">
    <vt:lpwstr>restreinte</vt:lpwstr>
  </property>
  <property fmtid="{D5CDD505-2E9C-101B-9397-08002B2CF9AE}" pid="5" name="date">
    <vt:lpwstr>9 mai 2019</vt:lpwstr>
  </property>
  <property fmtid="{D5CDD505-2E9C-101B-9397-08002B2CF9AE}" pid="6" name="sdate">
    <vt:lpwstr>23 avril-17 mai 2019</vt:lpwstr>
  </property>
  <property fmtid="{D5CDD505-2E9C-101B-9397-08002B2CF9AE}" pid="7" name="virs">
    <vt:lpwstr>Anglais, espagnol et français seulement</vt:lpwstr>
  </property>
  <property fmtid="{D5CDD505-2E9C-101B-9397-08002B2CF9AE}" pid="8" name="snum">
    <vt:lpwstr>Soixante-sixième</vt:lpwstr>
  </property>
  <property fmtid="{D5CDD505-2E9C-101B-9397-08002B2CF9AE}" pid="9" name="anum">
    <vt:lpwstr>4</vt:lpwstr>
  </property>
  <property fmtid="{D5CDD505-2E9C-101B-9397-08002B2CF9AE}" pid="10" name="count">
    <vt:lpwstr>du Bénin </vt:lpwstr>
  </property>
  <property fmtid="{D5CDD505-2E9C-101B-9397-08002B2CF9AE}" pid="11" name="countw">
    <vt:lpwstr>Bénin </vt:lpwstr>
  </property>
  <property fmtid="{D5CDD505-2E9C-101B-9397-08002B2CF9AE}" pid="12" name="countwd">
    <vt:lpwstr>le Bénin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troisième rapport périodique du Bénin </vt:lpwstr>
  </property>
  <property fmtid="{D5CDD505-2E9C-101B-9397-08002B2CF9AE}" pid="19" name="preps">
    <vt:lpwstr>troisième rapport périodique du Bénin </vt:lpwstr>
  </property>
  <property fmtid="{D5CDD505-2E9C-101B-9397-08002B2CF9AE}" pid="20" name="prepw">
    <vt:lpwstr>troisième rapport périodique</vt:lpwstr>
  </property>
  <property fmtid="{D5CDD505-2E9C-101B-9397-08002B2CF9AE}" pid="21" name="prepws">
    <vt:lpwstr>troisième rapport périodique</vt:lpwstr>
  </property>
  <property fmtid="{D5CDD505-2E9C-101B-9397-08002B2CF9AE}" pid="22" name="prepwc">
    <vt:lpwstr>Troisième rapport périodique </vt:lpwstr>
  </property>
  <property fmtid="{D5CDD505-2E9C-101B-9397-08002B2CF9AE}" pid="23" name="olang">
    <vt:lpwstr>français</vt:lpwstr>
  </property>
  <property fmtid="{D5CDD505-2E9C-101B-9397-08002B2CF9AE}" pid="24" name="Date-Generated">
    <vt:filetime>2019-05-09T07:42:33Z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vt:lpwstr>
  </property>
  <property fmtid="{D5CDD505-2E9C-101B-9397-08002B2CF9AE}" pid="29" name="doctype">
    <vt:lpwstr>Draft</vt:lpwstr>
  </property>
  <property fmtid="{D5CDD505-2E9C-101B-9397-08002B2CF9AE}" pid="30" name="category">
    <vt:lpwstr>CAT</vt:lpwstr>
  </property>
</Properties>
</file>