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0FBD3" w14:textId="77777777" w:rsidR="000A46F1" w:rsidRPr="001B46CB" w:rsidRDefault="000A46F1" w:rsidP="000A46F1">
      <w:pPr>
        <w:spacing w:line="240" w:lineRule="auto"/>
        <w:rPr>
          <w:sz w:val="2"/>
          <w:lang w:val="fr-FR"/>
        </w:rPr>
        <w:sectPr w:rsidR="000A46F1" w:rsidRPr="001B46CB" w:rsidSect="00E326FA">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1B46CB">
        <w:rPr>
          <w:rStyle w:val="CommentReference"/>
          <w:lang w:val="fr-FR"/>
        </w:rPr>
        <w:commentReference w:id="0"/>
      </w:r>
    </w:p>
    <w:p w14:paraId="0BB8CA74" w14:textId="428428D5" w:rsidR="00FB25EF" w:rsidRPr="001B46CB" w:rsidRDefault="00FB25EF" w:rsidP="00FB25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530"/>
        <w:rPr>
          <w:bCs/>
          <w:lang w:val="fr-FR"/>
        </w:rPr>
      </w:pPr>
      <w:r w:rsidRPr="001B46CB">
        <w:rPr>
          <w:lang w:val="fr-FR"/>
        </w:rPr>
        <w:t>Comité pour l</w:t>
      </w:r>
      <w:r w:rsidR="00801F15" w:rsidRPr="001B46CB">
        <w:rPr>
          <w:lang w:val="fr-FR"/>
        </w:rPr>
        <w:t>’</w:t>
      </w:r>
      <w:r w:rsidRPr="001B46CB">
        <w:rPr>
          <w:lang w:val="fr-FR"/>
        </w:rPr>
        <w:t>élimination de la discrimination à l</w:t>
      </w:r>
      <w:r w:rsidR="00801F15" w:rsidRPr="001B46CB">
        <w:rPr>
          <w:lang w:val="fr-FR"/>
        </w:rPr>
        <w:t>’</w:t>
      </w:r>
      <w:r w:rsidRPr="001B46CB">
        <w:rPr>
          <w:lang w:val="fr-FR"/>
        </w:rPr>
        <w:t>égard des femmes</w:t>
      </w:r>
    </w:p>
    <w:p w14:paraId="4B3B7A77" w14:textId="77777777" w:rsidR="00FB25EF" w:rsidRPr="001B46CB" w:rsidRDefault="00FB25EF" w:rsidP="00FB25EF">
      <w:pPr>
        <w:pStyle w:val="Session"/>
        <w:rPr>
          <w:lang w:val="fr-FR"/>
        </w:rPr>
      </w:pPr>
      <w:r w:rsidRPr="001B46CB">
        <w:rPr>
          <w:lang w:val="fr-FR"/>
        </w:rPr>
        <w:t>Soixante-dix-huitième session</w:t>
      </w:r>
    </w:p>
    <w:p w14:paraId="43D600A8" w14:textId="77777777" w:rsidR="00FB25EF" w:rsidRPr="001B46CB" w:rsidRDefault="00FB25EF" w:rsidP="00FB25E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1B46CB">
        <w:rPr>
          <w:lang w:val="fr-FR"/>
        </w:rPr>
        <w:t>8-26 février 2021</w:t>
      </w:r>
    </w:p>
    <w:p w14:paraId="03E411E4" w14:textId="4135E249" w:rsidR="00FB25EF" w:rsidRPr="001B46CB" w:rsidRDefault="00FB25EF" w:rsidP="00FB25EF">
      <w:pPr>
        <w:pStyle w:val="AgendaItemNormal"/>
        <w:rPr>
          <w:bCs/>
          <w:lang w:val="fr-FR"/>
        </w:rPr>
      </w:pPr>
      <w:r w:rsidRPr="001B46CB">
        <w:rPr>
          <w:lang w:val="fr-FR"/>
        </w:rPr>
        <w:t>Point 4 de l</w:t>
      </w:r>
      <w:r w:rsidR="00801F15" w:rsidRPr="001B46CB">
        <w:rPr>
          <w:lang w:val="fr-FR"/>
        </w:rPr>
        <w:t>’</w:t>
      </w:r>
      <w:r w:rsidRPr="001B46CB">
        <w:rPr>
          <w:lang w:val="fr-FR"/>
        </w:rPr>
        <w:t>ordre du jour provisoire</w:t>
      </w:r>
    </w:p>
    <w:p w14:paraId="119EA3C4" w14:textId="08362576" w:rsidR="00FB25EF" w:rsidRPr="001B46CB" w:rsidRDefault="00FB25EF" w:rsidP="00FB25EF">
      <w:pPr>
        <w:pStyle w:val="AgendaTitleH2"/>
        <w:rPr>
          <w:lang w:val="fr-FR"/>
        </w:rPr>
      </w:pPr>
      <w:r w:rsidRPr="001B46CB">
        <w:rPr>
          <w:lang w:val="fr-FR"/>
        </w:rPr>
        <w:t>Examen des rapports soumis par les États parties en application de l</w:t>
      </w:r>
      <w:r w:rsidR="00801F15" w:rsidRPr="001B46CB">
        <w:rPr>
          <w:lang w:val="fr-FR"/>
        </w:rPr>
        <w:t>’</w:t>
      </w:r>
      <w:r w:rsidRPr="001B46CB">
        <w:rPr>
          <w:lang w:val="fr-FR"/>
        </w:rPr>
        <w:t>article 18 de la Convention sur l</w:t>
      </w:r>
      <w:r w:rsidR="00801F15" w:rsidRPr="001B46CB">
        <w:rPr>
          <w:lang w:val="fr-FR"/>
        </w:rPr>
        <w:t>’</w:t>
      </w:r>
      <w:r w:rsidRPr="001B46CB">
        <w:rPr>
          <w:lang w:val="fr-FR"/>
        </w:rPr>
        <w:t>élimination de toutes les formes de discrimination à l</w:t>
      </w:r>
      <w:r w:rsidR="00801F15" w:rsidRPr="001B46CB">
        <w:rPr>
          <w:lang w:val="fr-FR"/>
        </w:rPr>
        <w:t>’</w:t>
      </w:r>
      <w:r w:rsidRPr="001B46CB">
        <w:rPr>
          <w:lang w:val="fr-FR"/>
        </w:rPr>
        <w:t>égard des femmes</w:t>
      </w:r>
    </w:p>
    <w:p w14:paraId="0DFD4F01" w14:textId="39B8D8AF" w:rsidR="00FB25EF" w:rsidRPr="001B46CB" w:rsidRDefault="00FB25EF" w:rsidP="00FB25EF">
      <w:pPr>
        <w:pStyle w:val="SingleTxt"/>
        <w:spacing w:after="0" w:line="120" w:lineRule="exact"/>
        <w:rPr>
          <w:sz w:val="10"/>
          <w:lang w:val="fr-FR"/>
        </w:rPr>
      </w:pPr>
    </w:p>
    <w:p w14:paraId="035D95D5" w14:textId="3849C134" w:rsidR="00FB25EF" w:rsidRPr="001B46CB" w:rsidRDefault="00FB25EF" w:rsidP="00FB25EF">
      <w:pPr>
        <w:pStyle w:val="SingleTxt"/>
        <w:spacing w:after="0" w:line="120" w:lineRule="exact"/>
        <w:rPr>
          <w:sz w:val="10"/>
          <w:lang w:val="fr-FR"/>
        </w:rPr>
      </w:pPr>
    </w:p>
    <w:p w14:paraId="0085C3E8" w14:textId="26B950DB" w:rsidR="00FB25EF" w:rsidRPr="001B46CB" w:rsidRDefault="00FB25EF" w:rsidP="00FB25EF">
      <w:pPr>
        <w:pStyle w:val="SingleTxt"/>
        <w:spacing w:after="0" w:line="120" w:lineRule="exact"/>
        <w:rPr>
          <w:sz w:val="10"/>
          <w:lang w:val="fr-FR"/>
        </w:rPr>
      </w:pPr>
    </w:p>
    <w:p w14:paraId="45723ABA" w14:textId="44C8C312" w:rsidR="00FB25EF" w:rsidRPr="001B46CB" w:rsidRDefault="00FB25EF" w:rsidP="00FB25EF">
      <w:pPr>
        <w:pStyle w:val="TitleHCH"/>
        <w:ind w:right="1260"/>
        <w:rPr>
          <w:lang w:val="fr-FR"/>
        </w:rPr>
      </w:pPr>
      <w:r w:rsidRPr="001B46CB">
        <w:rPr>
          <w:lang w:val="fr-FR"/>
        </w:rPr>
        <w:tab/>
      </w:r>
      <w:r w:rsidRPr="001B46CB">
        <w:rPr>
          <w:lang w:val="fr-FR"/>
        </w:rPr>
        <w:tab/>
        <w:t>Réponses du Royaume de Bahreïn à la liste de points et de questions concernant son quatrième rapport périodique</w:t>
      </w:r>
      <w:r w:rsidRPr="001B46CB">
        <w:rPr>
          <w:b w:val="0"/>
          <w:bCs/>
          <w:sz w:val="20"/>
          <w:szCs w:val="20"/>
          <w:lang w:val="fr-FR"/>
        </w:rPr>
        <w:footnoteReference w:customMarkFollows="1" w:id="1"/>
        <w:t>*</w:t>
      </w:r>
      <w:r w:rsidRPr="001B46CB">
        <w:rPr>
          <w:b w:val="0"/>
          <w:bCs/>
          <w:position w:val="4"/>
          <w:sz w:val="20"/>
          <w:szCs w:val="20"/>
          <w:lang w:val="fr-FR"/>
        </w:rPr>
        <w:t>,</w:t>
      </w:r>
      <w:r w:rsidR="00E16FB4" w:rsidRPr="001B46CB">
        <w:rPr>
          <w:b w:val="0"/>
          <w:bCs/>
          <w:sz w:val="20"/>
          <w:szCs w:val="20"/>
          <w:lang w:val="fr-FR"/>
        </w:rPr>
        <w:t xml:space="preserve"> </w:t>
      </w:r>
      <w:r w:rsidRPr="001B46CB">
        <w:rPr>
          <w:b w:val="0"/>
          <w:bCs/>
          <w:sz w:val="20"/>
          <w:szCs w:val="20"/>
          <w:lang w:val="fr-FR"/>
        </w:rPr>
        <w:t>**</w:t>
      </w:r>
    </w:p>
    <w:p w14:paraId="4A43DA65" w14:textId="676B455D" w:rsidR="00FB25EF" w:rsidRPr="001B46CB" w:rsidRDefault="00FB25EF" w:rsidP="00FB25EF">
      <w:pPr>
        <w:pStyle w:val="SingleTxt"/>
        <w:spacing w:after="0" w:line="120" w:lineRule="exact"/>
        <w:rPr>
          <w:sz w:val="10"/>
          <w:lang w:val="fr-FR"/>
        </w:rPr>
      </w:pPr>
    </w:p>
    <w:p w14:paraId="1950FA52" w14:textId="529FE717" w:rsidR="00FB25EF" w:rsidRPr="001B46CB" w:rsidRDefault="00FB25EF" w:rsidP="00FB25EF">
      <w:pPr>
        <w:pStyle w:val="SingleTxt"/>
        <w:spacing w:after="0" w:line="120" w:lineRule="exact"/>
        <w:rPr>
          <w:sz w:val="10"/>
          <w:lang w:val="fr-FR"/>
        </w:rPr>
      </w:pPr>
    </w:p>
    <w:p w14:paraId="281E32F4" w14:textId="274BE5F6" w:rsidR="00FB25EF" w:rsidRPr="001B46CB" w:rsidRDefault="00FB25EF" w:rsidP="00FB25EF">
      <w:pPr>
        <w:pStyle w:val="SingleTxt"/>
        <w:jc w:val="right"/>
        <w:rPr>
          <w:lang w:val="fr-FR"/>
        </w:rPr>
      </w:pPr>
      <w:r w:rsidRPr="001B46CB">
        <w:rPr>
          <w:lang w:val="fr-FR"/>
        </w:rPr>
        <w:t>[Date de réception</w:t>
      </w:r>
      <w:r w:rsidR="00801F15" w:rsidRPr="001B46CB">
        <w:rPr>
          <w:lang w:val="fr-FR"/>
        </w:rPr>
        <w:t> :</w:t>
      </w:r>
      <w:r w:rsidRPr="001B46CB">
        <w:rPr>
          <w:lang w:val="fr-FR"/>
        </w:rPr>
        <w:t xml:space="preserve"> 18 avril 2019]</w:t>
      </w:r>
    </w:p>
    <w:p w14:paraId="48AE73B2" w14:textId="2487067F" w:rsidR="00FB25EF" w:rsidRPr="001B46CB" w:rsidRDefault="00FB25EF">
      <w:pPr>
        <w:spacing w:after="200" w:line="276" w:lineRule="auto"/>
        <w:rPr>
          <w:lang w:val="fr-FR"/>
        </w:rPr>
      </w:pPr>
      <w:r w:rsidRPr="001B46CB">
        <w:rPr>
          <w:lang w:val="fr-FR"/>
        </w:rPr>
        <w:br w:type="page"/>
      </w:r>
    </w:p>
    <w:tbl>
      <w:tblPr>
        <w:tblStyle w:val="TableGrid2"/>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35"/>
        <w:gridCol w:w="1556"/>
        <w:gridCol w:w="594"/>
        <w:gridCol w:w="529"/>
        <w:gridCol w:w="451"/>
        <w:gridCol w:w="472"/>
        <w:gridCol w:w="394"/>
        <w:gridCol w:w="455"/>
        <w:gridCol w:w="201"/>
        <w:gridCol w:w="607"/>
        <w:gridCol w:w="453"/>
        <w:gridCol w:w="581"/>
        <w:gridCol w:w="2596"/>
      </w:tblGrid>
      <w:tr w:rsidR="00F36F51" w:rsidRPr="001B46CB" w14:paraId="32566BE3" w14:textId="77777777" w:rsidTr="0080608B">
        <w:trPr>
          <w:trHeight w:val="920"/>
          <w:tblCellSpacing w:w="20" w:type="dxa"/>
          <w:jc w:val="center"/>
        </w:trPr>
        <w:tc>
          <w:tcPr>
            <w:tcW w:w="4959" w:type="pct"/>
            <w:gridSpan w:val="13"/>
            <w:shd w:val="clear" w:color="auto" w:fill="C4BC96" w:themeFill="background2" w:themeFillShade="BF"/>
            <w:vAlign w:val="center"/>
          </w:tcPr>
          <w:p w14:paraId="24FDA958" w14:textId="4B62F59F" w:rsidR="00F36F51" w:rsidRPr="001B46CB" w:rsidRDefault="00F36F51" w:rsidP="00C70519">
            <w:pPr>
              <w:spacing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lastRenderedPageBreak/>
              <w:t>Réponses du Royaume de Bahreïn à la liste de points et de questions concernant son quatrième rapport périodique</w:t>
            </w:r>
            <w:r w:rsidRPr="001B46CB">
              <w:rPr>
                <w:rFonts w:asciiTheme="majorBidi" w:hAnsiTheme="majorBidi" w:cstheme="majorBidi"/>
                <w:lang w:val="fr-FR"/>
              </w:rPr>
              <w:t xml:space="preserve"> </w:t>
            </w:r>
            <w:r w:rsidRPr="001B46CB">
              <w:rPr>
                <w:rFonts w:asciiTheme="majorBidi" w:hAnsiTheme="majorBidi" w:cstheme="majorBidi"/>
                <w:b/>
                <w:bCs/>
                <w:lang w:val="fr-FR"/>
              </w:rPr>
              <w:t>sur le suivi de l</w:t>
            </w:r>
            <w:r w:rsidR="00801F15" w:rsidRPr="001B46CB">
              <w:rPr>
                <w:rFonts w:asciiTheme="majorBidi" w:hAnsiTheme="majorBidi" w:cstheme="majorBidi"/>
                <w:b/>
                <w:bCs/>
                <w:lang w:val="fr-FR"/>
              </w:rPr>
              <w:t>’</w:t>
            </w:r>
            <w:r w:rsidRPr="001B46CB">
              <w:rPr>
                <w:rFonts w:asciiTheme="majorBidi" w:hAnsiTheme="majorBidi" w:cstheme="majorBidi"/>
                <w:b/>
                <w:bCs/>
                <w:lang w:val="fr-FR"/>
              </w:rPr>
              <w:t>application de la Convention sur l</w:t>
            </w:r>
            <w:r w:rsidR="00801F15" w:rsidRPr="001B46CB">
              <w:rPr>
                <w:rFonts w:asciiTheme="majorBidi" w:hAnsiTheme="majorBidi" w:cstheme="majorBidi"/>
                <w:b/>
                <w:bCs/>
                <w:lang w:val="fr-FR"/>
              </w:rPr>
              <w:t>’</w:t>
            </w:r>
            <w:r w:rsidRPr="001B46CB">
              <w:rPr>
                <w:rFonts w:asciiTheme="majorBidi" w:hAnsiTheme="majorBidi" w:cstheme="majorBidi"/>
                <w:b/>
                <w:bCs/>
                <w:lang w:val="fr-FR"/>
              </w:rPr>
              <w:t>élimination de toutes les formes de</w:t>
            </w:r>
            <w:r w:rsidR="000B4DB5" w:rsidRPr="001B46CB">
              <w:rPr>
                <w:rFonts w:asciiTheme="majorBidi" w:hAnsiTheme="majorBidi" w:cstheme="majorBidi"/>
                <w:b/>
                <w:bCs/>
                <w:lang w:val="fr-FR"/>
              </w:rPr>
              <w:t> </w:t>
            </w:r>
            <w:r w:rsidRPr="001B46CB">
              <w:rPr>
                <w:rFonts w:asciiTheme="majorBidi" w:hAnsiTheme="majorBidi" w:cstheme="majorBidi"/>
                <w:b/>
                <w:bCs/>
                <w:lang w:val="fr-FR"/>
              </w:rPr>
              <w:t>discrimination à l</w:t>
            </w:r>
            <w:r w:rsidR="00801F15" w:rsidRPr="001B46CB">
              <w:rPr>
                <w:rFonts w:asciiTheme="majorBidi" w:hAnsiTheme="majorBidi" w:cstheme="majorBidi"/>
                <w:b/>
                <w:bCs/>
                <w:lang w:val="fr-FR"/>
              </w:rPr>
              <w:t>’</w:t>
            </w:r>
            <w:r w:rsidRPr="001B46CB">
              <w:rPr>
                <w:rFonts w:asciiTheme="majorBidi" w:hAnsiTheme="majorBidi" w:cstheme="majorBidi"/>
                <w:b/>
                <w:bCs/>
                <w:lang w:val="fr-FR"/>
              </w:rPr>
              <w:t>égard des femmes</w:t>
            </w:r>
          </w:p>
        </w:tc>
      </w:tr>
      <w:tr w:rsidR="00481471" w:rsidRPr="001B46CB" w14:paraId="606BE5BC" w14:textId="77777777" w:rsidTr="00767A10">
        <w:trPr>
          <w:trHeight w:val="451"/>
          <w:tblCellSpacing w:w="20" w:type="dxa"/>
          <w:jc w:val="center"/>
        </w:trPr>
        <w:tc>
          <w:tcPr>
            <w:tcW w:w="469" w:type="pct"/>
            <w:shd w:val="clear" w:color="auto" w:fill="EEECE1" w:themeFill="background2"/>
          </w:tcPr>
          <w:p w14:paraId="3875B1EA" w14:textId="5D7634D0" w:rsidR="00F36F51" w:rsidRPr="001B46CB" w:rsidRDefault="000B4DB5" w:rsidP="00C70519">
            <w:pPr>
              <w:spacing w:line="240" w:lineRule="auto"/>
              <w:jc w:val="center"/>
              <w:rPr>
                <w:rFonts w:asciiTheme="majorBidi" w:hAnsiTheme="majorBidi" w:cstheme="majorBidi"/>
                <w:b/>
                <w:bCs/>
                <w:lang w:val="fr-FR"/>
              </w:rPr>
            </w:pPr>
            <w:r w:rsidRPr="001B46CB">
              <w:rPr>
                <w:rFonts w:asciiTheme="majorBidi" w:hAnsiTheme="majorBidi" w:cstheme="majorBidi"/>
                <w:b/>
                <w:bCs/>
                <w:lang w:val="fr-FR"/>
              </w:rPr>
              <w:t>Note</w:t>
            </w:r>
          </w:p>
        </w:tc>
        <w:tc>
          <w:tcPr>
            <w:tcW w:w="4470" w:type="pct"/>
            <w:gridSpan w:val="12"/>
            <w:shd w:val="clear" w:color="auto" w:fill="auto"/>
          </w:tcPr>
          <w:p w14:paraId="16373EAB" w14:textId="4C41BDC7" w:rsidR="00F36F51" w:rsidRPr="001B46CB" w:rsidRDefault="000B4DB5" w:rsidP="000B4DB5">
            <w:pPr>
              <w:spacing w:after="40" w:line="240" w:lineRule="auto"/>
              <w:ind w:left="374" w:hanging="360"/>
              <w:rPr>
                <w:rFonts w:asciiTheme="majorBidi" w:hAnsiTheme="majorBidi" w:cstheme="majorBidi"/>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L</w:t>
            </w:r>
            <w:r w:rsidR="00801F15" w:rsidRPr="001B46CB">
              <w:rPr>
                <w:rFonts w:asciiTheme="majorBidi" w:hAnsiTheme="majorBidi" w:cstheme="majorBidi"/>
                <w:lang w:val="fr-FR"/>
              </w:rPr>
              <w:t>’</w:t>
            </w:r>
            <w:r w:rsidR="00F36F51" w:rsidRPr="001B46CB">
              <w:rPr>
                <w:rFonts w:asciiTheme="majorBidi" w:hAnsiTheme="majorBidi" w:cstheme="majorBidi"/>
                <w:lang w:val="fr-FR"/>
              </w:rPr>
              <w:t>ensemble des données, statistiques et chiffres figurant dans le présent rapport ont été réunis entre le 25 février 2018 et la fin mars 2019.</w:t>
            </w:r>
          </w:p>
        </w:tc>
      </w:tr>
      <w:tr w:rsidR="007D4344" w:rsidRPr="001B46CB" w14:paraId="15ADC471" w14:textId="77777777" w:rsidTr="00767A10">
        <w:trPr>
          <w:tblCellSpacing w:w="20" w:type="dxa"/>
          <w:jc w:val="center"/>
        </w:trPr>
        <w:tc>
          <w:tcPr>
            <w:tcW w:w="2787" w:type="pct"/>
            <w:gridSpan w:val="9"/>
            <w:shd w:val="clear" w:color="auto" w:fill="DDD9C3" w:themeFill="background2" w:themeFillShade="E6"/>
          </w:tcPr>
          <w:p w14:paraId="26593F4E" w14:textId="77777777" w:rsidR="00F36F51" w:rsidRPr="001B46CB" w:rsidRDefault="00F36F51" w:rsidP="00F6444B">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Domaine concerné</w:t>
            </w:r>
          </w:p>
        </w:tc>
        <w:tc>
          <w:tcPr>
            <w:tcW w:w="2152" w:type="pct"/>
            <w:gridSpan w:val="4"/>
            <w:shd w:val="clear" w:color="auto" w:fill="EEECE1" w:themeFill="background2"/>
          </w:tcPr>
          <w:p w14:paraId="48DE5D4A" w14:textId="77777777" w:rsidR="00F36F51" w:rsidRPr="001B46CB" w:rsidRDefault="00F36F51" w:rsidP="00F6444B">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Cadre législatif</w:t>
            </w:r>
          </w:p>
        </w:tc>
      </w:tr>
      <w:tr w:rsidR="00F36F51" w:rsidRPr="001B46CB" w14:paraId="64B51A7E" w14:textId="77777777" w:rsidTr="0080608B">
        <w:trPr>
          <w:tblCellSpacing w:w="20" w:type="dxa"/>
          <w:jc w:val="center"/>
        </w:trPr>
        <w:tc>
          <w:tcPr>
            <w:tcW w:w="4959" w:type="pct"/>
            <w:gridSpan w:val="13"/>
            <w:shd w:val="clear" w:color="auto" w:fill="C4BC96" w:themeFill="background2" w:themeFillShade="BF"/>
          </w:tcPr>
          <w:p w14:paraId="4655CD63" w14:textId="77777777" w:rsidR="00F36F51" w:rsidRPr="001B46CB" w:rsidRDefault="00F36F51" w:rsidP="00F6444B">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F36F51" w:rsidRPr="001B46CB" w14:paraId="585AAB80" w14:textId="77777777" w:rsidTr="0080608B">
        <w:trPr>
          <w:tblCellSpacing w:w="20" w:type="dxa"/>
          <w:jc w:val="center"/>
        </w:trPr>
        <w:tc>
          <w:tcPr>
            <w:tcW w:w="4959" w:type="pct"/>
            <w:gridSpan w:val="13"/>
            <w:shd w:val="clear" w:color="auto" w:fill="auto"/>
            <w:vAlign w:val="center"/>
          </w:tcPr>
          <w:p w14:paraId="12C63136" w14:textId="306E10D0" w:rsidR="00F36F51" w:rsidRPr="001B46CB" w:rsidRDefault="00F36F51" w:rsidP="004A2EE5">
            <w:pPr>
              <w:pStyle w:val="ListParagraph"/>
              <w:numPr>
                <w:ilvl w:val="0"/>
                <w:numId w:val="42"/>
              </w:numPr>
              <w:spacing w:after="20" w:line="240" w:lineRule="auto"/>
              <w:ind w:left="360" w:right="144"/>
              <w:contextualSpacing w:val="0"/>
              <w:jc w:val="both"/>
              <w:rPr>
                <w:rFonts w:asciiTheme="majorBidi" w:hAnsiTheme="majorBidi" w:cstheme="majorBidi"/>
                <w:color w:val="000000" w:themeColor="text1"/>
                <w:lang w:val="fr-FR"/>
              </w:rPr>
            </w:pPr>
            <w:r w:rsidRPr="001B46CB">
              <w:rPr>
                <w:rFonts w:asciiTheme="majorBidi" w:hAnsiTheme="majorBidi" w:cstheme="majorBidi"/>
                <w:lang w:val="fr-FR"/>
              </w:rPr>
              <w:t>Veuillez informer le Comité des mesures prises pour assurer la séparation effective des pouvoirs et la primauté de la loi, conformément à la Convention, en vue de garantir la pleine application de cette dernière. Veuillez fournir des renseignements sur les mesures prises pour faire participer les chefs religieux et traditionnels, en tant qu</w:t>
            </w:r>
            <w:r w:rsidR="00801F15" w:rsidRPr="001B46CB">
              <w:rPr>
                <w:rFonts w:asciiTheme="majorBidi" w:hAnsiTheme="majorBidi" w:cstheme="majorBidi"/>
                <w:lang w:val="fr-FR"/>
              </w:rPr>
              <w:t>’</w:t>
            </w:r>
            <w:r w:rsidRPr="001B46CB">
              <w:rPr>
                <w:rFonts w:asciiTheme="majorBidi" w:hAnsiTheme="majorBidi" w:cstheme="majorBidi"/>
                <w:lang w:val="fr-FR"/>
              </w:rPr>
              <w:t>acteurs non étatiques, à la mise en œuvre des dispositions de la Convention de façon générale. Au paragraphe 58 de son rapport (</w:t>
            </w:r>
            <w:hyperlink r:id="rId17" w:history="1">
              <w:r w:rsidRPr="001B46CB">
                <w:rPr>
                  <w:rStyle w:val="Hyperlink"/>
                  <w:rFonts w:asciiTheme="majorBidi" w:hAnsiTheme="majorBidi" w:cstheme="majorBidi"/>
                  <w:lang w:val="fr-FR"/>
                </w:rPr>
                <w:t>CEDAW/C/BHR/4</w:t>
              </w:r>
            </w:hyperlink>
            <w:r w:rsidRPr="001B46CB">
              <w:rPr>
                <w:rFonts w:asciiTheme="majorBidi" w:hAnsiTheme="majorBidi" w:cstheme="majorBidi"/>
                <w:lang w:val="fr-FR"/>
              </w:rPr>
              <w:t>), l</w:t>
            </w:r>
            <w:r w:rsidR="00801F15" w:rsidRPr="001B46CB">
              <w:rPr>
                <w:rFonts w:asciiTheme="majorBidi" w:hAnsiTheme="majorBidi" w:cstheme="majorBidi"/>
                <w:lang w:val="fr-FR"/>
              </w:rPr>
              <w:t>’</w:t>
            </w:r>
            <w:r w:rsidRPr="001B46CB">
              <w:rPr>
                <w:rFonts w:asciiTheme="majorBidi" w:hAnsiTheme="majorBidi" w:cstheme="majorBidi"/>
                <w:lang w:val="fr-FR"/>
              </w:rPr>
              <w:t>État partie indique qu</w:t>
            </w:r>
            <w:r w:rsidR="00801F15" w:rsidRPr="001B46CB">
              <w:rPr>
                <w:rFonts w:asciiTheme="majorBidi" w:hAnsiTheme="majorBidi" w:cstheme="majorBidi"/>
                <w:lang w:val="fr-FR"/>
              </w:rPr>
              <w:t>’</w:t>
            </w:r>
            <w:r w:rsidRPr="001B46CB">
              <w:rPr>
                <w:rFonts w:asciiTheme="majorBidi" w:hAnsiTheme="majorBidi" w:cstheme="majorBidi"/>
                <w:lang w:val="fr-FR"/>
              </w:rPr>
              <w:t>à la suite de son adhésion à la Convention, celle-ci est devenue partie intégrante de son droit interne et que la définition de la discrimination qui y figure fait autorité dans la législation nationale. Étant donné la teneur du paragraphe 2 de l</w:t>
            </w:r>
            <w:r w:rsidR="00801F15" w:rsidRPr="001B46CB">
              <w:rPr>
                <w:rFonts w:asciiTheme="majorBidi" w:hAnsiTheme="majorBidi" w:cstheme="majorBidi"/>
                <w:lang w:val="fr-FR"/>
              </w:rPr>
              <w:t>’</w:t>
            </w:r>
            <w:r w:rsidRPr="001B46CB">
              <w:rPr>
                <w:rFonts w:asciiTheme="majorBidi" w:hAnsiTheme="majorBidi" w:cstheme="majorBidi"/>
                <w:lang w:val="fr-FR"/>
              </w:rPr>
              <w:t>article 37 de la Constitution bahreïnienne, qui exige la promulgation par voie législative des traités portant sur les droits individuels des citoyens, et celle du paragraphe 59 du rapport, veuillez apporter des précisions sur les textes législatifs nationaux interdisant et sanctionnant expressément la discrimination directe et indirecte à l</w:t>
            </w:r>
            <w:r w:rsidR="00801F15" w:rsidRPr="001B46CB">
              <w:rPr>
                <w:rFonts w:asciiTheme="majorBidi" w:hAnsiTheme="majorBidi" w:cstheme="majorBidi"/>
                <w:lang w:val="fr-FR"/>
              </w:rPr>
              <w:t>’</w:t>
            </w:r>
            <w:r w:rsidRPr="001B46CB">
              <w:rPr>
                <w:rFonts w:asciiTheme="majorBidi" w:hAnsiTheme="majorBidi" w:cstheme="majorBidi"/>
                <w:lang w:val="fr-FR"/>
              </w:rPr>
              <w:t>égard des femmes dans les sphères publiques et privées, et ceux qui traitent des formes de discrimination croisées, qui ont été adoptés par l</w:t>
            </w:r>
            <w:r w:rsidR="00801F15" w:rsidRPr="001B46CB">
              <w:rPr>
                <w:rFonts w:asciiTheme="majorBidi" w:hAnsiTheme="majorBidi" w:cstheme="majorBidi"/>
                <w:lang w:val="fr-FR"/>
              </w:rPr>
              <w:t>’</w:t>
            </w:r>
            <w:r w:rsidRPr="001B46CB">
              <w:rPr>
                <w:rFonts w:asciiTheme="majorBidi" w:hAnsiTheme="majorBidi" w:cstheme="majorBidi"/>
                <w:lang w:val="fr-FR"/>
              </w:rPr>
              <w:t>État partie conformément aux obligations qui lui sont faites aux articles premier et 2 de la Convention et ainsi que le Comité le lui avait précédemment recommandé dans les observations finales se rapportant au troisième rapport périodique (</w:t>
            </w:r>
            <w:hyperlink r:id="rId18" w:history="1">
              <w:r w:rsidRPr="001B46CB">
                <w:rPr>
                  <w:rStyle w:val="Hyperlink"/>
                  <w:rFonts w:asciiTheme="majorBidi" w:hAnsiTheme="majorBidi" w:cstheme="majorBidi"/>
                  <w:lang w:val="fr-FR"/>
                </w:rPr>
                <w:t>CEDAW/C/BHR/CO/3</w:t>
              </w:r>
            </w:hyperlink>
            <w:r w:rsidRPr="001B46CB">
              <w:rPr>
                <w:rFonts w:asciiTheme="majorBidi" w:hAnsiTheme="majorBidi" w:cstheme="majorBidi"/>
                <w:lang w:val="fr-FR"/>
              </w:rPr>
              <w:t xml:space="preserve">, </w:t>
            </w:r>
            <w:r w:rsidR="00CC1C14" w:rsidRPr="001B46CB">
              <w:rPr>
                <w:rFonts w:asciiTheme="majorBidi" w:hAnsiTheme="majorBidi" w:cstheme="majorBidi"/>
                <w:lang w:val="fr-FR"/>
              </w:rPr>
              <w:t>par. </w:t>
            </w:r>
            <w:r w:rsidRPr="001B46CB">
              <w:rPr>
                <w:rFonts w:asciiTheme="majorBidi" w:hAnsiTheme="majorBidi" w:cstheme="majorBidi"/>
                <w:lang w:val="fr-FR"/>
              </w:rPr>
              <w:t>12), et dans la droite ligne de l</w:t>
            </w:r>
            <w:r w:rsidR="00801F15" w:rsidRPr="001B46CB">
              <w:rPr>
                <w:rFonts w:asciiTheme="majorBidi" w:hAnsiTheme="majorBidi" w:cstheme="majorBidi"/>
                <w:lang w:val="fr-FR"/>
              </w:rPr>
              <w:t>’</w:t>
            </w:r>
            <w:r w:rsidRPr="001B46CB">
              <w:rPr>
                <w:rFonts w:asciiTheme="majorBidi" w:hAnsiTheme="majorBidi" w:cstheme="majorBidi"/>
                <w:lang w:val="fr-FR"/>
              </w:rPr>
              <w:t>indicateur 5.1.1 des objectifs de développement durable. Au paragraphe 58 de son rapport, l</w:t>
            </w:r>
            <w:r w:rsidR="00801F15" w:rsidRPr="001B46CB">
              <w:rPr>
                <w:rFonts w:asciiTheme="majorBidi" w:hAnsiTheme="majorBidi" w:cstheme="majorBidi"/>
                <w:lang w:val="fr-FR"/>
              </w:rPr>
              <w:t>’</w:t>
            </w:r>
            <w:r w:rsidRPr="001B46CB">
              <w:rPr>
                <w:rFonts w:asciiTheme="majorBidi" w:hAnsiTheme="majorBidi" w:cstheme="majorBidi"/>
                <w:lang w:val="fr-FR"/>
              </w:rPr>
              <w:t>État partie indique que la définition de la discrimination énoncée dans la Convention est invoquée par les tribunaux lorsqu</w:t>
            </w:r>
            <w:r w:rsidR="00801F15" w:rsidRPr="001B46CB">
              <w:rPr>
                <w:rFonts w:asciiTheme="majorBidi" w:hAnsiTheme="majorBidi" w:cstheme="majorBidi"/>
                <w:lang w:val="fr-FR"/>
              </w:rPr>
              <w:t>’</w:t>
            </w:r>
            <w:r w:rsidRPr="001B46CB">
              <w:rPr>
                <w:rFonts w:asciiTheme="majorBidi" w:hAnsiTheme="majorBidi" w:cstheme="majorBidi"/>
                <w:lang w:val="fr-FR"/>
              </w:rPr>
              <w:t>ils statuent sur les affaires y relatives. Veuillez fournir des renseignements sur les projets de textes législatifs mentionnés au paragraphe 42 et sur les progrès accomplis en ce qui concerne la révision des dispositions législatives à caractère discriminatoire en vigueur, y compris celles figurant dans le Code pénal et dans la loi sur la nationalité (</w:t>
            </w:r>
            <w:hyperlink r:id="rId19" w:history="1">
              <w:r w:rsidRPr="001B46CB">
                <w:rPr>
                  <w:rStyle w:val="Hyperlink"/>
                  <w:rFonts w:asciiTheme="majorBidi" w:hAnsiTheme="majorBidi" w:cstheme="majorBidi"/>
                  <w:lang w:val="fr-FR"/>
                </w:rPr>
                <w:t>CEDAW/C/BHR/CO/3</w:t>
              </w:r>
            </w:hyperlink>
            <w:r w:rsidRPr="001B46CB">
              <w:rPr>
                <w:rFonts w:asciiTheme="majorBidi" w:hAnsiTheme="majorBidi" w:cstheme="majorBidi"/>
                <w:lang w:val="fr-FR"/>
              </w:rPr>
              <w:t xml:space="preserve">, </w:t>
            </w:r>
            <w:r w:rsidR="00CC1C14" w:rsidRPr="001B46CB">
              <w:rPr>
                <w:rFonts w:asciiTheme="majorBidi" w:hAnsiTheme="majorBidi" w:cstheme="majorBidi"/>
                <w:lang w:val="fr-FR"/>
              </w:rPr>
              <w:t>par. </w:t>
            </w:r>
            <w:r w:rsidRPr="001B46CB">
              <w:rPr>
                <w:rFonts w:asciiTheme="majorBidi" w:hAnsiTheme="majorBidi" w:cstheme="majorBidi"/>
                <w:lang w:val="fr-FR"/>
              </w:rPr>
              <w:t>14).</w:t>
            </w:r>
          </w:p>
        </w:tc>
      </w:tr>
      <w:tr w:rsidR="00F36F51" w:rsidRPr="001B46CB" w14:paraId="1A64D167" w14:textId="77777777" w:rsidTr="0080608B">
        <w:trPr>
          <w:tblCellSpacing w:w="20" w:type="dxa"/>
          <w:jc w:val="center"/>
        </w:trPr>
        <w:tc>
          <w:tcPr>
            <w:tcW w:w="4959" w:type="pct"/>
            <w:gridSpan w:val="13"/>
            <w:shd w:val="clear" w:color="auto" w:fill="C4BC96" w:themeFill="background2" w:themeFillShade="BF"/>
            <w:vAlign w:val="center"/>
          </w:tcPr>
          <w:p w14:paraId="297220E6" w14:textId="77777777" w:rsidR="00F36F51" w:rsidRPr="001B46CB" w:rsidRDefault="00F36F51" w:rsidP="00F6444B">
            <w:pPr>
              <w:pStyle w:val="ListParagraph"/>
              <w:spacing w:after="40" w:line="240" w:lineRule="auto"/>
              <w:ind w:left="319"/>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Réponse</w:t>
            </w:r>
          </w:p>
        </w:tc>
      </w:tr>
      <w:tr w:rsidR="00F36F51" w:rsidRPr="001B46CB" w14:paraId="375D8146" w14:textId="77777777" w:rsidTr="0080608B">
        <w:trPr>
          <w:tblCellSpacing w:w="20" w:type="dxa"/>
          <w:jc w:val="center"/>
        </w:trPr>
        <w:tc>
          <w:tcPr>
            <w:tcW w:w="4959" w:type="pct"/>
            <w:gridSpan w:val="13"/>
            <w:shd w:val="clear" w:color="auto" w:fill="auto"/>
            <w:vAlign w:val="center"/>
          </w:tcPr>
          <w:p w14:paraId="28C21896" w14:textId="77777777" w:rsidR="00F36F51" w:rsidRPr="001B46CB" w:rsidRDefault="00F36F51" w:rsidP="00C70519">
            <w:pPr>
              <w:pStyle w:val="ListParagraph"/>
              <w:numPr>
                <w:ilvl w:val="0"/>
                <w:numId w:val="43"/>
              </w:numPr>
              <w:spacing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La Constitution bahreïnienne garantit la séparation des pouvoirs législatif, exécutif et judiciaire et précise quelles sont les compétences et prérogatives de chacun de ces pouvoirs. Aucun des trois pouvoirs ne saurait outrepasser ses prérogatives.</w:t>
            </w:r>
          </w:p>
          <w:p w14:paraId="393606DD" w14:textId="2B54B041" w:rsidR="00F36F51" w:rsidRPr="001B46CB" w:rsidRDefault="00F36F51" w:rsidP="00C70519">
            <w:pPr>
              <w:pStyle w:val="ListParagraph"/>
              <w:numPr>
                <w:ilvl w:val="0"/>
                <w:numId w:val="43"/>
              </w:numPr>
              <w:spacing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De même, le décret-loi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15 de 2002, concernant le Conseil consultatif et la Chambre des députés, et le règlement intérieur de chacun de ces organes indiquent quelles sont leur mission et leurs prérogatives en matière de législation et de contrôle de l</w:t>
            </w:r>
            <w:r w:rsidR="00801F15" w:rsidRPr="001B46CB">
              <w:rPr>
                <w:rFonts w:asciiTheme="majorBidi" w:hAnsiTheme="majorBidi" w:cstheme="majorBidi"/>
                <w:lang w:val="fr-FR"/>
              </w:rPr>
              <w:t>’</w:t>
            </w:r>
            <w:r w:rsidRPr="001B46CB">
              <w:rPr>
                <w:rFonts w:asciiTheme="majorBidi" w:hAnsiTheme="majorBidi" w:cstheme="majorBidi"/>
                <w:lang w:val="fr-FR"/>
              </w:rPr>
              <w:t>action menée par le pouvoir exécutif.</w:t>
            </w:r>
          </w:p>
          <w:p w14:paraId="68B213FD" w14:textId="755C51C0" w:rsidR="00F36F51" w:rsidRPr="001B46CB" w:rsidRDefault="00F36F51" w:rsidP="00C70519">
            <w:pPr>
              <w:pStyle w:val="ListParagraph"/>
              <w:numPr>
                <w:ilvl w:val="0"/>
                <w:numId w:val="43"/>
              </w:numPr>
              <w:spacing w:line="240" w:lineRule="auto"/>
              <w:ind w:left="360" w:right="144"/>
              <w:jc w:val="both"/>
              <w:rPr>
                <w:rFonts w:asciiTheme="majorBidi" w:hAnsiTheme="majorBidi" w:cstheme="majorBidi"/>
                <w:lang w:val="fr-FR"/>
              </w:rPr>
            </w:pPr>
            <w:r w:rsidRPr="001B46CB">
              <w:rPr>
                <w:rFonts w:asciiTheme="majorBidi" w:hAnsiTheme="majorBidi" w:cstheme="majorBidi"/>
                <w:lang w:val="fr-FR"/>
              </w:rPr>
              <w:t>Le décret-loi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42 de 2002 portant promulgation de la loi sur le pouvoir judiciaire assoit l</w:t>
            </w:r>
            <w:r w:rsidR="00801F15" w:rsidRPr="001B46CB">
              <w:rPr>
                <w:rFonts w:asciiTheme="majorBidi" w:hAnsiTheme="majorBidi" w:cstheme="majorBidi"/>
                <w:lang w:val="fr-FR"/>
              </w:rPr>
              <w:t>’</w:t>
            </w:r>
            <w:r w:rsidRPr="001B46CB">
              <w:rPr>
                <w:rFonts w:asciiTheme="majorBidi" w:hAnsiTheme="majorBidi" w:cstheme="majorBidi"/>
                <w:lang w:val="fr-FR"/>
              </w:rPr>
              <w:t>indépendance du pouvoir judiciaire et prévoit un contrôle visant à établir dans quelle mesure les pouvoirs respectent</w:t>
            </w:r>
            <w:r w:rsidR="00801F15" w:rsidRPr="001B46CB">
              <w:rPr>
                <w:rFonts w:asciiTheme="majorBidi" w:hAnsiTheme="majorBidi" w:cstheme="majorBidi"/>
                <w:lang w:val="fr-FR"/>
              </w:rPr>
              <w:t xml:space="preserve"> </w:t>
            </w:r>
            <w:r w:rsidRPr="001B46CB">
              <w:rPr>
                <w:rFonts w:asciiTheme="majorBidi" w:hAnsiTheme="majorBidi" w:cstheme="majorBidi"/>
                <w:lang w:val="fr-FR"/>
              </w:rPr>
              <w:t>la loi.</w:t>
            </w:r>
          </w:p>
          <w:p w14:paraId="12B5CA99" w14:textId="00794E8C" w:rsidR="00F36F51" w:rsidRPr="001B46CB" w:rsidRDefault="00F36F51" w:rsidP="00C70519">
            <w:pPr>
              <w:pStyle w:val="ListParagraph"/>
              <w:numPr>
                <w:ilvl w:val="0"/>
                <w:numId w:val="43"/>
              </w:numPr>
              <w:spacing w:line="240" w:lineRule="auto"/>
              <w:ind w:left="360" w:right="144"/>
              <w:jc w:val="both"/>
              <w:rPr>
                <w:rFonts w:asciiTheme="majorBidi" w:hAnsiTheme="majorBidi" w:cstheme="majorBidi"/>
                <w:lang w:val="fr-FR"/>
              </w:rPr>
            </w:pPr>
            <w:r w:rsidRPr="001B46CB">
              <w:rPr>
                <w:rFonts w:asciiTheme="majorBidi" w:hAnsiTheme="majorBidi" w:cstheme="majorBidi"/>
                <w:lang w:val="fr-FR"/>
              </w:rPr>
              <w:t>Conformément au décret-loi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44 de 2012 portant modification de certaines dispositions de la loi sur le pouvoir judiciaire, le pouvoir judiciaire est doté d</w:t>
            </w:r>
            <w:r w:rsidR="00801F15" w:rsidRPr="001B46CB">
              <w:rPr>
                <w:rFonts w:asciiTheme="majorBidi" w:hAnsiTheme="majorBidi" w:cstheme="majorBidi"/>
                <w:lang w:val="fr-FR"/>
              </w:rPr>
              <w:t>’</w:t>
            </w:r>
            <w:r w:rsidRPr="001B46CB">
              <w:rPr>
                <w:rFonts w:asciiTheme="majorBidi" w:hAnsiTheme="majorBidi" w:cstheme="majorBidi"/>
                <w:lang w:val="fr-FR"/>
              </w:rPr>
              <w:t>un budget autonome.</w:t>
            </w:r>
          </w:p>
          <w:p w14:paraId="66CA6C50" w14:textId="29718FB0" w:rsidR="00801F15" w:rsidRPr="001B46CB" w:rsidRDefault="00F36F51" w:rsidP="00C70519">
            <w:pPr>
              <w:pStyle w:val="ListParagraph"/>
              <w:numPr>
                <w:ilvl w:val="0"/>
                <w:numId w:val="43"/>
              </w:numPr>
              <w:spacing w:line="240" w:lineRule="auto"/>
              <w:ind w:left="360" w:right="144"/>
              <w:jc w:val="both"/>
              <w:rPr>
                <w:rFonts w:asciiTheme="majorBidi" w:hAnsiTheme="majorBidi" w:cstheme="majorBidi"/>
                <w:lang w:val="fr-FR"/>
              </w:rPr>
            </w:pPr>
            <w:r w:rsidRPr="001B46CB">
              <w:rPr>
                <w:rFonts w:asciiTheme="majorBidi" w:hAnsiTheme="majorBidi" w:cstheme="majorBidi"/>
                <w:lang w:val="fr-FR"/>
              </w:rPr>
              <w:t>Bahreïn réaffirme la teneur des paragraphes 56 à 58 de son quatrième rapport périodique. Pour ce qui est d</w:t>
            </w:r>
            <w:r w:rsidR="00801F15" w:rsidRPr="001B46CB">
              <w:rPr>
                <w:rFonts w:asciiTheme="majorBidi" w:hAnsiTheme="majorBidi" w:cstheme="majorBidi"/>
                <w:lang w:val="fr-FR"/>
              </w:rPr>
              <w:t>’</w:t>
            </w:r>
            <w:r w:rsidRPr="001B46CB">
              <w:rPr>
                <w:rFonts w:asciiTheme="majorBidi" w:hAnsiTheme="majorBidi" w:cstheme="majorBidi"/>
                <w:lang w:val="fr-FR"/>
              </w:rPr>
              <w:t>interdire et de sanctionner les actes de discrimination à l</w:t>
            </w:r>
            <w:r w:rsidR="00801F15" w:rsidRPr="001B46CB">
              <w:rPr>
                <w:rFonts w:asciiTheme="majorBidi" w:hAnsiTheme="majorBidi" w:cstheme="majorBidi"/>
                <w:lang w:val="fr-FR"/>
              </w:rPr>
              <w:t>’</w:t>
            </w:r>
            <w:r w:rsidRPr="001B46CB">
              <w:rPr>
                <w:rFonts w:asciiTheme="majorBidi" w:hAnsiTheme="majorBidi" w:cstheme="majorBidi"/>
                <w:lang w:val="fr-FR"/>
              </w:rPr>
              <w:t>égard des femmes, les textes législatifs bahreïniens sont clairs et explicites. Par exemple, aux termes de l</w:t>
            </w:r>
            <w:r w:rsidR="00801F15" w:rsidRPr="001B46CB">
              <w:rPr>
                <w:rFonts w:asciiTheme="majorBidi" w:hAnsiTheme="majorBidi" w:cstheme="majorBidi"/>
                <w:lang w:val="fr-FR"/>
              </w:rPr>
              <w:t>’</w:t>
            </w:r>
            <w:r w:rsidRPr="001B46CB">
              <w:rPr>
                <w:rFonts w:asciiTheme="majorBidi" w:hAnsiTheme="majorBidi" w:cstheme="majorBidi"/>
                <w:lang w:val="fr-FR"/>
              </w:rPr>
              <w:t>article 29 de la 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36 de 2012 portant promulgation du Code du travail dans le secteur privé, «</w:t>
            </w:r>
            <w:r w:rsidR="00580F90" w:rsidRPr="001B46CB">
              <w:rPr>
                <w:rFonts w:asciiTheme="majorBidi" w:hAnsiTheme="majorBidi" w:cstheme="majorBidi"/>
                <w:lang w:val="fr-FR"/>
              </w:rPr>
              <w:t> </w:t>
            </w:r>
            <w:r w:rsidRPr="001B46CB">
              <w:rPr>
                <w:rFonts w:asciiTheme="majorBidi" w:hAnsiTheme="majorBidi" w:cstheme="majorBidi"/>
                <w:lang w:val="fr-FR"/>
              </w:rPr>
              <w:t>sous réserve des dispositions du présent chapitre, les travailleuses sont soumises à toutes les dispositions régissant l</w:t>
            </w:r>
            <w:r w:rsidR="00801F15" w:rsidRPr="001B46CB">
              <w:rPr>
                <w:rFonts w:asciiTheme="majorBidi" w:hAnsiTheme="majorBidi" w:cstheme="majorBidi"/>
                <w:lang w:val="fr-FR"/>
              </w:rPr>
              <w:t>’</w:t>
            </w:r>
            <w:r w:rsidRPr="001B46CB">
              <w:rPr>
                <w:rFonts w:asciiTheme="majorBidi" w:hAnsiTheme="majorBidi" w:cstheme="majorBidi"/>
                <w:lang w:val="fr-FR"/>
              </w:rPr>
              <w:t>emploi des travailleurs, sans aucune discrimination, et ce, lorsque leurs conditions de travail sont identiques à celles des hommes</w:t>
            </w:r>
            <w:r w:rsidR="00580F90" w:rsidRPr="001B46CB">
              <w:rPr>
                <w:rFonts w:asciiTheme="majorBidi" w:hAnsiTheme="majorBidi" w:cstheme="majorBidi"/>
                <w:lang w:val="fr-FR"/>
              </w:rPr>
              <w:t> </w:t>
            </w:r>
            <w:r w:rsidRPr="001B46CB">
              <w:rPr>
                <w:rFonts w:asciiTheme="majorBidi" w:hAnsiTheme="majorBidi" w:cstheme="majorBidi"/>
                <w:lang w:val="fr-FR"/>
              </w:rPr>
              <w:t>» et, aux termes de l</w:t>
            </w:r>
            <w:r w:rsidR="00801F15" w:rsidRPr="001B46CB">
              <w:rPr>
                <w:rFonts w:asciiTheme="majorBidi" w:hAnsiTheme="majorBidi" w:cstheme="majorBidi"/>
                <w:lang w:val="fr-FR"/>
              </w:rPr>
              <w:t>’</w:t>
            </w:r>
            <w:r w:rsidRPr="001B46CB">
              <w:rPr>
                <w:rFonts w:asciiTheme="majorBidi" w:hAnsiTheme="majorBidi" w:cstheme="majorBidi"/>
                <w:lang w:val="fr-FR"/>
              </w:rPr>
              <w:t>article 39 de ladite loi, «</w:t>
            </w:r>
            <w:r w:rsidR="00580F90" w:rsidRPr="001B46CB">
              <w:rPr>
                <w:rFonts w:asciiTheme="majorBidi" w:hAnsiTheme="majorBidi" w:cstheme="majorBidi"/>
                <w:lang w:val="fr-FR"/>
              </w:rPr>
              <w:t> </w:t>
            </w:r>
            <w:r w:rsidRPr="001B46CB">
              <w:rPr>
                <w:rFonts w:asciiTheme="majorBidi" w:hAnsiTheme="majorBidi" w:cstheme="majorBidi"/>
                <w:lang w:val="fr-FR"/>
              </w:rPr>
              <w:t>toute discrimination salariale fondée sur le sexe, l</w:t>
            </w:r>
            <w:r w:rsidR="00801F15" w:rsidRPr="001B46CB">
              <w:rPr>
                <w:rFonts w:asciiTheme="majorBidi" w:hAnsiTheme="majorBidi" w:cstheme="majorBidi"/>
                <w:lang w:val="fr-FR"/>
              </w:rPr>
              <w:t>’</w:t>
            </w:r>
            <w:r w:rsidRPr="001B46CB">
              <w:rPr>
                <w:rFonts w:asciiTheme="majorBidi" w:hAnsiTheme="majorBidi" w:cstheme="majorBidi"/>
                <w:lang w:val="fr-FR"/>
              </w:rPr>
              <w:t>origine, la langue, la religion ou la croyance est interdite</w:t>
            </w:r>
            <w:r w:rsidR="00580F90" w:rsidRPr="001B46CB">
              <w:rPr>
                <w:rFonts w:asciiTheme="majorBidi" w:hAnsiTheme="majorBidi" w:cstheme="majorBidi"/>
                <w:lang w:val="fr-FR"/>
              </w:rPr>
              <w:t> </w:t>
            </w:r>
            <w:r w:rsidRPr="001B46CB">
              <w:rPr>
                <w:rFonts w:asciiTheme="majorBidi" w:hAnsiTheme="majorBidi" w:cstheme="majorBidi"/>
                <w:lang w:val="fr-FR"/>
              </w:rPr>
              <w:t>». En outre, en cas d</w:t>
            </w:r>
            <w:r w:rsidR="00801F15" w:rsidRPr="001B46CB">
              <w:rPr>
                <w:rFonts w:asciiTheme="majorBidi" w:hAnsiTheme="majorBidi" w:cstheme="majorBidi"/>
                <w:lang w:val="fr-FR"/>
              </w:rPr>
              <w:t>’</w:t>
            </w:r>
            <w:r w:rsidRPr="001B46CB">
              <w:rPr>
                <w:rFonts w:asciiTheme="majorBidi" w:hAnsiTheme="majorBidi" w:cstheme="majorBidi"/>
                <w:lang w:val="fr-FR"/>
              </w:rPr>
              <w:t>atteinte ou de discrimination, en violation des dispositions de ces articles, le juge fonde directement sa décision sur ces dispositions, sans avoir à invoquer une loi particulière pour définir la discrimination.</w:t>
            </w:r>
          </w:p>
          <w:p w14:paraId="5DAD2927" w14:textId="6117BD6A" w:rsidR="00F36F51" w:rsidRPr="001B46CB" w:rsidRDefault="00F36F51" w:rsidP="004A2EE5">
            <w:pPr>
              <w:pStyle w:val="ListParagraph"/>
              <w:numPr>
                <w:ilvl w:val="0"/>
                <w:numId w:val="43"/>
              </w:numPr>
              <w:spacing w:after="20" w:line="240" w:lineRule="auto"/>
              <w:ind w:left="360" w:right="144"/>
              <w:contextualSpacing w:val="0"/>
              <w:jc w:val="both"/>
              <w:rPr>
                <w:rFonts w:asciiTheme="majorBidi" w:hAnsiTheme="majorBidi" w:cstheme="majorBidi"/>
                <w:color w:val="000000" w:themeColor="text1"/>
                <w:lang w:val="fr-FR"/>
              </w:rPr>
            </w:pPr>
            <w:r w:rsidRPr="001B46CB">
              <w:rPr>
                <w:rFonts w:asciiTheme="majorBidi" w:hAnsiTheme="majorBidi" w:cstheme="majorBidi"/>
                <w:lang w:val="fr-FR"/>
              </w:rPr>
              <w:t>Par ailleurs, conformément à la disposition constitutionnelle selon laquelle les traités font partie intégrante de l</w:t>
            </w:r>
            <w:r w:rsidR="00801F15" w:rsidRPr="001B46CB">
              <w:rPr>
                <w:rFonts w:asciiTheme="majorBidi" w:hAnsiTheme="majorBidi" w:cstheme="majorBidi"/>
                <w:lang w:val="fr-FR"/>
              </w:rPr>
              <w:t>’</w:t>
            </w:r>
            <w:r w:rsidRPr="001B46CB">
              <w:rPr>
                <w:rFonts w:asciiTheme="majorBidi" w:hAnsiTheme="majorBidi" w:cstheme="majorBidi"/>
                <w:lang w:val="fr-FR"/>
              </w:rPr>
              <w:t>ordre juridique de l</w:t>
            </w:r>
            <w:r w:rsidR="00801F15" w:rsidRPr="001B46CB">
              <w:rPr>
                <w:rFonts w:asciiTheme="majorBidi" w:hAnsiTheme="majorBidi" w:cstheme="majorBidi"/>
                <w:lang w:val="fr-FR"/>
              </w:rPr>
              <w:t>’</w:t>
            </w:r>
            <w:r w:rsidRPr="001B46CB">
              <w:rPr>
                <w:rFonts w:asciiTheme="majorBidi" w:hAnsiTheme="majorBidi" w:cstheme="majorBidi"/>
                <w:lang w:val="fr-FR"/>
              </w:rPr>
              <w:t>État, de nombreux arrêts judiciaires ont été rendus sur la base d</w:t>
            </w:r>
            <w:r w:rsidR="00801F15" w:rsidRPr="001B46CB">
              <w:rPr>
                <w:rFonts w:asciiTheme="majorBidi" w:hAnsiTheme="majorBidi" w:cstheme="majorBidi"/>
                <w:lang w:val="fr-FR"/>
              </w:rPr>
              <w:t>’</w:t>
            </w:r>
            <w:r w:rsidRPr="001B46CB">
              <w:rPr>
                <w:rFonts w:asciiTheme="majorBidi" w:hAnsiTheme="majorBidi" w:cstheme="majorBidi"/>
                <w:lang w:val="fr-FR"/>
              </w:rPr>
              <w:t>instruments internationaux. Les plus importants sont ceux pris par la Cour constitutionnelle de Bahreïn sur la base du Pacte international relatif aux droits civils et politiques.</w:t>
            </w:r>
          </w:p>
          <w:p w14:paraId="5710B786" w14:textId="76260C29" w:rsidR="00F36F51" w:rsidRPr="001B46CB" w:rsidRDefault="00F36F51" w:rsidP="00767A10">
            <w:pPr>
              <w:pStyle w:val="ListParagraph"/>
              <w:numPr>
                <w:ilvl w:val="0"/>
                <w:numId w:val="43"/>
              </w:numPr>
              <w:spacing w:after="20" w:line="240" w:lineRule="auto"/>
              <w:ind w:left="360" w:right="144"/>
              <w:contextualSpacing w:val="0"/>
              <w:jc w:val="both"/>
              <w:rPr>
                <w:rFonts w:asciiTheme="majorBidi" w:hAnsiTheme="majorBidi" w:cstheme="majorBidi"/>
                <w:lang w:val="fr-FR"/>
              </w:rPr>
            </w:pPr>
            <w:r w:rsidRPr="001B46CB">
              <w:rPr>
                <w:rFonts w:asciiTheme="majorBidi" w:hAnsiTheme="majorBidi" w:cstheme="majorBidi"/>
                <w:lang w:val="fr-FR"/>
              </w:rPr>
              <w:lastRenderedPageBreak/>
              <w:t>Le décret-loi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59 de 2018 a porté modification de certaines dispositions du Code du travail dans le secteur privé, y ajoutant l</w:t>
            </w:r>
            <w:r w:rsidR="00801F15" w:rsidRPr="001B46CB">
              <w:rPr>
                <w:rFonts w:asciiTheme="majorBidi" w:hAnsiTheme="majorBidi" w:cstheme="majorBidi"/>
                <w:lang w:val="fr-FR"/>
              </w:rPr>
              <w:t>’</w:t>
            </w:r>
            <w:r w:rsidRPr="001B46CB">
              <w:rPr>
                <w:rFonts w:asciiTheme="majorBidi" w:hAnsiTheme="majorBidi" w:cstheme="majorBidi"/>
                <w:lang w:val="fr-FR"/>
              </w:rPr>
              <w:t xml:space="preserve">article 2 </w:t>
            </w:r>
            <w:r w:rsidRPr="00767A10">
              <w:rPr>
                <w:rFonts w:asciiTheme="majorBidi" w:hAnsiTheme="majorBidi" w:cstheme="majorBidi"/>
                <w:i/>
                <w:iCs/>
                <w:lang w:val="fr-FR"/>
              </w:rPr>
              <w:t>bis</w:t>
            </w:r>
            <w:r w:rsidRPr="001B46CB">
              <w:rPr>
                <w:rFonts w:asciiTheme="majorBidi" w:hAnsiTheme="majorBidi" w:cstheme="majorBidi"/>
                <w:lang w:val="fr-FR"/>
              </w:rPr>
              <w:t xml:space="preserve"> qui interdit la discrimination entre les travailleurs visés par les dispositions du Code fondée sur le sexe, l</w:t>
            </w:r>
            <w:r w:rsidR="00801F15" w:rsidRPr="001B46CB">
              <w:rPr>
                <w:rFonts w:asciiTheme="majorBidi" w:hAnsiTheme="majorBidi" w:cstheme="majorBidi"/>
                <w:lang w:val="fr-FR"/>
              </w:rPr>
              <w:t>’</w:t>
            </w:r>
            <w:r w:rsidRPr="001B46CB">
              <w:rPr>
                <w:rFonts w:asciiTheme="majorBidi" w:hAnsiTheme="majorBidi" w:cstheme="majorBidi"/>
                <w:lang w:val="fr-FR"/>
              </w:rPr>
              <w:t>origine, la langue, la religion ou la croyance.</w:t>
            </w:r>
          </w:p>
        </w:tc>
      </w:tr>
      <w:tr w:rsidR="00AC6FEF" w:rsidRPr="001B46CB" w14:paraId="2F8E837A" w14:textId="77777777" w:rsidTr="00767A10">
        <w:trPr>
          <w:tblCellSpacing w:w="20" w:type="dxa"/>
          <w:jc w:val="center"/>
        </w:trPr>
        <w:tc>
          <w:tcPr>
            <w:tcW w:w="2701" w:type="pct"/>
            <w:gridSpan w:val="8"/>
            <w:shd w:val="clear" w:color="auto" w:fill="DDD9C3" w:themeFill="background2" w:themeFillShade="E6"/>
          </w:tcPr>
          <w:p w14:paraId="19351BFF" w14:textId="77777777" w:rsidR="00F36F51" w:rsidRPr="001B46CB" w:rsidRDefault="00F36F51" w:rsidP="00F6444B">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lastRenderedPageBreak/>
              <w:t>Domaine concerné</w:t>
            </w:r>
          </w:p>
        </w:tc>
        <w:tc>
          <w:tcPr>
            <w:tcW w:w="2238" w:type="pct"/>
            <w:gridSpan w:val="5"/>
            <w:shd w:val="clear" w:color="auto" w:fill="EEECE1" w:themeFill="background2"/>
          </w:tcPr>
          <w:p w14:paraId="257FB6A4" w14:textId="77777777" w:rsidR="00F36F51" w:rsidRPr="001B46CB" w:rsidRDefault="00F36F51" w:rsidP="00F6444B">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Réserves</w:t>
            </w:r>
          </w:p>
        </w:tc>
      </w:tr>
      <w:tr w:rsidR="00F36F51" w:rsidRPr="001B46CB" w14:paraId="5C5B2A79" w14:textId="77777777" w:rsidTr="0080608B">
        <w:trPr>
          <w:tblCellSpacing w:w="20" w:type="dxa"/>
          <w:jc w:val="center"/>
        </w:trPr>
        <w:tc>
          <w:tcPr>
            <w:tcW w:w="4959" w:type="pct"/>
            <w:gridSpan w:val="13"/>
            <w:shd w:val="clear" w:color="auto" w:fill="C4BC96" w:themeFill="background2" w:themeFillShade="BF"/>
          </w:tcPr>
          <w:p w14:paraId="0956A741" w14:textId="77777777" w:rsidR="00F36F51" w:rsidRPr="001B46CB" w:rsidRDefault="00F36F51" w:rsidP="00F6444B">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F36F51" w:rsidRPr="001B46CB" w14:paraId="3A1300F1" w14:textId="77777777" w:rsidTr="0080608B">
        <w:trPr>
          <w:tblCellSpacing w:w="20" w:type="dxa"/>
          <w:jc w:val="center"/>
        </w:trPr>
        <w:tc>
          <w:tcPr>
            <w:tcW w:w="4959" w:type="pct"/>
            <w:gridSpan w:val="13"/>
            <w:shd w:val="clear" w:color="auto" w:fill="auto"/>
            <w:vAlign w:val="center"/>
          </w:tcPr>
          <w:p w14:paraId="30795733" w14:textId="0C0F0941" w:rsidR="00F36F51" w:rsidRPr="001B46CB" w:rsidRDefault="00F36F51" w:rsidP="0080608B">
            <w:pPr>
              <w:pStyle w:val="ListParagraph"/>
              <w:numPr>
                <w:ilvl w:val="0"/>
                <w:numId w:val="42"/>
              </w:numPr>
              <w:spacing w:after="20" w:line="240" w:lineRule="auto"/>
              <w:ind w:left="360" w:right="144"/>
              <w:jc w:val="both"/>
              <w:rPr>
                <w:rFonts w:asciiTheme="majorBidi" w:hAnsiTheme="majorBidi" w:cstheme="majorBidi"/>
                <w:b/>
                <w:bCs/>
                <w:color w:val="000000" w:themeColor="text1"/>
                <w:lang w:val="fr-FR"/>
              </w:rPr>
            </w:pPr>
            <w:r w:rsidRPr="001B46CB">
              <w:rPr>
                <w:rFonts w:asciiTheme="majorBidi" w:hAnsiTheme="majorBidi" w:cstheme="majorBidi"/>
                <w:lang w:val="fr-FR"/>
              </w:rPr>
              <w:t>Au paragraphe 52 du rapport, l</w:t>
            </w:r>
            <w:r w:rsidR="00801F15" w:rsidRPr="001B46CB">
              <w:rPr>
                <w:rFonts w:asciiTheme="majorBidi" w:hAnsiTheme="majorBidi" w:cstheme="majorBidi"/>
                <w:lang w:val="fr-FR"/>
              </w:rPr>
              <w:t>’</w:t>
            </w:r>
            <w:r w:rsidRPr="001B46CB">
              <w:rPr>
                <w:rFonts w:asciiTheme="majorBidi" w:hAnsiTheme="majorBidi" w:cstheme="majorBidi"/>
                <w:lang w:val="fr-FR"/>
              </w:rPr>
              <w:t>État partie informe le Comité de l</w:t>
            </w:r>
            <w:r w:rsidR="00801F15" w:rsidRPr="001B46CB">
              <w:rPr>
                <w:rFonts w:asciiTheme="majorBidi" w:hAnsiTheme="majorBidi" w:cstheme="majorBidi"/>
                <w:lang w:val="fr-FR"/>
              </w:rPr>
              <w:t>’</w:t>
            </w:r>
            <w:r w:rsidRPr="001B46CB">
              <w:rPr>
                <w:rFonts w:asciiTheme="majorBidi" w:hAnsiTheme="majorBidi" w:cstheme="majorBidi"/>
                <w:lang w:val="fr-FR"/>
              </w:rPr>
              <w:t>adoption du décret-loi n</w:t>
            </w:r>
            <w:r w:rsidRPr="001B46CB">
              <w:rPr>
                <w:rFonts w:asciiTheme="majorBidi" w:hAnsiTheme="majorBidi" w:cstheme="majorBidi"/>
                <w:vertAlign w:val="superscript"/>
                <w:lang w:val="fr-FR"/>
              </w:rPr>
              <w:t>o</w:t>
            </w:r>
            <w:r w:rsidRPr="001B46CB">
              <w:rPr>
                <w:rFonts w:asciiTheme="majorBidi" w:hAnsiTheme="majorBidi" w:cstheme="majorBidi"/>
                <w:lang w:val="fr-FR"/>
              </w:rPr>
              <w:t> 70 de 2014, dans lequel est réaffirmé l</w:t>
            </w:r>
            <w:r w:rsidR="00801F15" w:rsidRPr="001B46CB">
              <w:rPr>
                <w:rFonts w:asciiTheme="majorBidi" w:hAnsiTheme="majorBidi" w:cstheme="majorBidi"/>
                <w:lang w:val="fr-FR"/>
              </w:rPr>
              <w:t>’</w:t>
            </w:r>
            <w:r w:rsidRPr="001B46CB">
              <w:rPr>
                <w:rFonts w:asciiTheme="majorBidi" w:hAnsiTheme="majorBidi" w:cstheme="majorBidi"/>
                <w:lang w:val="fr-FR"/>
              </w:rPr>
              <w:t>engagement de Bahreïn à appliquer l</w:t>
            </w:r>
            <w:r w:rsidR="00801F15" w:rsidRPr="001B46CB">
              <w:rPr>
                <w:rFonts w:asciiTheme="majorBidi" w:hAnsiTheme="majorBidi" w:cstheme="majorBidi"/>
                <w:lang w:val="fr-FR"/>
              </w:rPr>
              <w:t>’</w:t>
            </w:r>
            <w:r w:rsidRPr="001B46CB">
              <w:rPr>
                <w:rFonts w:asciiTheme="majorBidi" w:hAnsiTheme="majorBidi" w:cstheme="majorBidi"/>
                <w:lang w:val="fr-FR"/>
              </w:rPr>
              <w:t>article 2, le paragraphe 4 de l</w:t>
            </w:r>
            <w:r w:rsidR="00801F15" w:rsidRPr="001B46CB">
              <w:rPr>
                <w:rFonts w:asciiTheme="majorBidi" w:hAnsiTheme="majorBidi" w:cstheme="majorBidi"/>
                <w:lang w:val="fr-FR"/>
              </w:rPr>
              <w:t>’</w:t>
            </w:r>
            <w:r w:rsidRPr="001B46CB">
              <w:rPr>
                <w:rFonts w:asciiTheme="majorBidi" w:hAnsiTheme="majorBidi" w:cstheme="majorBidi"/>
                <w:lang w:val="fr-FR"/>
              </w:rPr>
              <w:t>article 15 et l</w:t>
            </w:r>
            <w:r w:rsidR="00801F15" w:rsidRPr="001B46CB">
              <w:rPr>
                <w:rFonts w:asciiTheme="majorBidi" w:hAnsiTheme="majorBidi" w:cstheme="majorBidi"/>
                <w:lang w:val="fr-FR"/>
              </w:rPr>
              <w:t>’</w:t>
            </w:r>
            <w:r w:rsidRPr="001B46CB">
              <w:rPr>
                <w:rFonts w:asciiTheme="majorBidi" w:hAnsiTheme="majorBidi" w:cstheme="majorBidi"/>
                <w:lang w:val="fr-FR"/>
              </w:rPr>
              <w:t>article 16 de la Convention. Étant donné qu</w:t>
            </w:r>
            <w:r w:rsidR="00801F15" w:rsidRPr="001B46CB">
              <w:rPr>
                <w:rFonts w:asciiTheme="majorBidi" w:hAnsiTheme="majorBidi" w:cstheme="majorBidi"/>
                <w:lang w:val="fr-FR"/>
              </w:rPr>
              <w:t>’</w:t>
            </w:r>
            <w:r w:rsidRPr="001B46CB">
              <w:rPr>
                <w:rFonts w:asciiTheme="majorBidi" w:hAnsiTheme="majorBidi" w:cstheme="majorBidi"/>
                <w:lang w:val="fr-FR"/>
              </w:rPr>
              <w:t>il est dit dans le même paragraphe que les réserves de l</w:t>
            </w:r>
            <w:r w:rsidR="00801F15" w:rsidRPr="001B46CB">
              <w:rPr>
                <w:rFonts w:asciiTheme="majorBidi" w:hAnsiTheme="majorBidi" w:cstheme="majorBidi"/>
                <w:lang w:val="fr-FR"/>
              </w:rPr>
              <w:t>’</w:t>
            </w:r>
            <w:r w:rsidRPr="001B46CB">
              <w:rPr>
                <w:rFonts w:asciiTheme="majorBidi" w:hAnsiTheme="majorBidi" w:cstheme="majorBidi"/>
                <w:lang w:val="fr-FR"/>
              </w:rPr>
              <w:t>État partie ne remettent pas en cause l</w:t>
            </w:r>
            <w:r w:rsidR="00801F15" w:rsidRPr="001B46CB">
              <w:rPr>
                <w:rFonts w:asciiTheme="majorBidi" w:hAnsiTheme="majorBidi" w:cstheme="majorBidi"/>
                <w:lang w:val="fr-FR"/>
              </w:rPr>
              <w:t>’</w:t>
            </w:r>
            <w:r w:rsidRPr="001B46CB">
              <w:rPr>
                <w:rFonts w:asciiTheme="majorBidi" w:hAnsiTheme="majorBidi" w:cstheme="majorBidi"/>
                <w:lang w:val="fr-FR"/>
              </w:rPr>
              <w:t>essence de la Convention ni le principe de l</w:t>
            </w:r>
            <w:r w:rsidR="00801F15" w:rsidRPr="001B46CB">
              <w:rPr>
                <w:rFonts w:asciiTheme="majorBidi" w:hAnsiTheme="majorBidi" w:cstheme="majorBidi"/>
                <w:lang w:val="fr-FR"/>
              </w:rPr>
              <w:t>’</w:t>
            </w:r>
            <w:r w:rsidRPr="001B46CB">
              <w:rPr>
                <w:rFonts w:asciiTheme="majorBidi" w:hAnsiTheme="majorBidi" w:cstheme="majorBidi"/>
                <w:lang w:val="fr-FR"/>
              </w:rPr>
              <w:t>égalité des femmes et des hommes en droits et en devoirs, veuillez donner un calendrier pour le réexamen des réserves qui, au 1</w:t>
            </w:r>
            <w:r w:rsidRPr="001B46CB">
              <w:rPr>
                <w:rFonts w:asciiTheme="majorBidi" w:hAnsiTheme="majorBidi" w:cstheme="majorBidi"/>
                <w:vertAlign w:val="superscript"/>
                <w:lang w:val="fr-FR"/>
              </w:rPr>
              <w:t>er</w:t>
            </w:r>
            <w:r w:rsidRPr="001B46CB">
              <w:rPr>
                <w:rFonts w:asciiTheme="majorBidi" w:hAnsiTheme="majorBidi" w:cstheme="majorBidi"/>
                <w:lang w:val="fr-FR"/>
              </w:rPr>
              <w:t xml:space="preserve"> juin 2016, concernaient l</w:t>
            </w:r>
            <w:r w:rsidR="00801F15" w:rsidRPr="001B46CB">
              <w:rPr>
                <w:rFonts w:asciiTheme="majorBidi" w:hAnsiTheme="majorBidi" w:cstheme="majorBidi"/>
                <w:lang w:val="fr-FR"/>
              </w:rPr>
              <w:t>’</w:t>
            </w:r>
            <w:r w:rsidRPr="001B46CB">
              <w:rPr>
                <w:rFonts w:asciiTheme="majorBidi" w:hAnsiTheme="majorBidi" w:cstheme="majorBidi"/>
                <w:lang w:val="fr-FR"/>
              </w:rPr>
              <w:t>article 2, le paragraphe 2 de l</w:t>
            </w:r>
            <w:r w:rsidR="00801F15" w:rsidRPr="001B46CB">
              <w:rPr>
                <w:rFonts w:asciiTheme="majorBidi" w:hAnsiTheme="majorBidi" w:cstheme="majorBidi"/>
                <w:lang w:val="fr-FR"/>
              </w:rPr>
              <w:t>’</w:t>
            </w:r>
            <w:r w:rsidRPr="001B46CB">
              <w:rPr>
                <w:rFonts w:asciiTheme="majorBidi" w:hAnsiTheme="majorBidi" w:cstheme="majorBidi"/>
                <w:lang w:val="fr-FR"/>
              </w:rPr>
              <w:t>article 9, le paragraphe 4 de l</w:t>
            </w:r>
            <w:r w:rsidR="00801F15" w:rsidRPr="001B46CB">
              <w:rPr>
                <w:rFonts w:asciiTheme="majorBidi" w:hAnsiTheme="majorBidi" w:cstheme="majorBidi"/>
                <w:lang w:val="fr-FR"/>
              </w:rPr>
              <w:t>’</w:t>
            </w:r>
            <w:r w:rsidRPr="001B46CB">
              <w:rPr>
                <w:rFonts w:asciiTheme="majorBidi" w:hAnsiTheme="majorBidi" w:cstheme="majorBidi"/>
                <w:lang w:val="fr-FR"/>
              </w:rPr>
              <w:t>article 15, l</w:t>
            </w:r>
            <w:r w:rsidR="00801F15" w:rsidRPr="001B46CB">
              <w:rPr>
                <w:rFonts w:asciiTheme="majorBidi" w:hAnsiTheme="majorBidi" w:cstheme="majorBidi"/>
                <w:lang w:val="fr-FR"/>
              </w:rPr>
              <w:t>’</w:t>
            </w:r>
            <w:r w:rsidRPr="001B46CB">
              <w:rPr>
                <w:rFonts w:asciiTheme="majorBidi" w:hAnsiTheme="majorBidi" w:cstheme="majorBidi"/>
                <w:lang w:val="fr-FR"/>
              </w:rPr>
              <w:t>article 16 et le paragraphe 1 de l</w:t>
            </w:r>
            <w:r w:rsidR="00801F15" w:rsidRPr="001B46CB">
              <w:rPr>
                <w:rFonts w:asciiTheme="majorBidi" w:hAnsiTheme="majorBidi" w:cstheme="majorBidi"/>
                <w:lang w:val="fr-FR"/>
              </w:rPr>
              <w:t>’</w:t>
            </w:r>
            <w:r w:rsidRPr="001B46CB">
              <w:rPr>
                <w:rFonts w:asciiTheme="majorBidi" w:hAnsiTheme="majorBidi" w:cstheme="majorBidi"/>
                <w:lang w:val="fr-FR"/>
              </w:rPr>
              <w:t>article 29, en vue de les lever et ainsi garantir la pleine application de la Convention.</w:t>
            </w:r>
          </w:p>
        </w:tc>
      </w:tr>
      <w:tr w:rsidR="00F36F51" w:rsidRPr="001B46CB" w14:paraId="5E050552" w14:textId="77777777" w:rsidTr="0080608B">
        <w:trPr>
          <w:tblCellSpacing w:w="20" w:type="dxa"/>
          <w:jc w:val="center"/>
        </w:trPr>
        <w:tc>
          <w:tcPr>
            <w:tcW w:w="4959" w:type="pct"/>
            <w:gridSpan w:val="13"/>
            <w:shd w:val="clear" w:color="auto" w:fill="C4BC96" w:themeFill="background2" w:themeFillShade="BF"/>
            <w:vAlign w:val="center"/>
          </w:tcPr>
          <w:p w14:paraId="0617E6FC" w14:textId="77777777" w:rsidR="00F36F51" w:rsidRPr="001B46CB" w:rsidRDefault="00F36F51" w:rsidP="00F6444B">
            <w:pPr>
              <w:pStyle w:val="ListParagraph"/>
              <w:spacing w:after="40" w:line="240" w:lineRule="auto"/>
              <w:ind w:left="319"/>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Réponse</w:t>
            </w:r>
          </w:p>
        </w:tc>
      </w:tr>
      <w:tr w:rsidR="00F36F51" w:rsidRPr="001B46CB" w14:paraId="22BB2337" w14:textId="77777777" w:rsidTr="0080608B">
        <w:trPr>
          <w:tblCellSpacing w:w="20" w:type="dxa"/>
          <w:jc w:val="center"/>
        </w:trPr>
        <w:tc>
          <w:tcPr>
            <w:tcW w:w="4959" w:type="pct"/>
            <w:gridSpan w:val="13"/>
            <w:shd w:val="clear" w:color="auto" w:fill="auto"/>
            <w:vAlign w:val="center"/>
          </w:tcPr>
          <w:p w14:paraId="618C4C95" w14:textId="2AC2A9C5" w:rsidR="00801F15" w:rsidRPr="001B46CB" w:rsidRDefault="00F36F51" w:rsidP="0080608B">
            <w:pPr>
              <w:pStyle w:val="ListParagraph"/>
              <w:numPr>
                <w:ilvl w:val="0"/>
                <w:numId w:val="43"/>
              </w:numPr>
              <w:spacing w:after="20" w:line="240" w:lineRule="auto"/>
              <w:ind w:left="360" w:right="144"/>
              <w:jc w:val="both"/>
              <w:rPr>
                <w:rFonts w:asciiTheme="majorBidi" w:hAnsiTheme="majorBidi" w:cstheme="majorBidi"/>
                <w:lang w:val="fr-FR"/>
              </w:rPr>
            </w:pPr>
            <w:r w:rsidRPr="001B46CB">
              <w:rPr>
                <w:rFonts w:asciiTheme="majorBidi" w:hAnsiTheme="majorBidi" w:cstheme="majorBidi"/>
                <w:lang w:val="fr-FR"/>
              </w:rPr>
              <w:t>L</w:t>
            </w:r>
            <w:r w:rsidR="00801F15" w:rsidRPr="001B46CB">
              <w:rPr>
                <w:rFonts w:asciiTheme="majorBidi" w:hAnsiTheme="majorBidi" w:cstheme="majorBidi"/>
                <w:lang w:val="fr-FR"/>
              </w:rPr>
              <w:t>’</w:t>
            </w:r>
            <w:r w:rsidRPr="001B46CB">
              <w:rPr>
                <w:rFonts w:asciiTheme="majorBidi" w:hAnsiTheme="majorBidi" w:cstheme="majorBidi"/>
                <w:lang w:val="fr-FR"/>
              </w:rPr>
              <w:t>article 2 de la Constitution dispose que «</w:t>
            </w:r>
            <w:r w:rsidR="0080608B" w:rsidRPr="001B46CB">
              <w:rPr>
                <w:rFonts w:asciiTheme="majorBidi" w:hAnsiTheme="majorBidi" w:cstheme="majorBidi"/>
                <w:lang w:val="fr-FR"/>
              </w:rPr>
              <w:t> </w:t>
            </w:r>
            <w:r w:rsidRPr="001B46CB">
              <w:rPr>
                <w:rFonts w:asciiTheme="majorBidi" w:hAnsiTheme="majorBidi" w:cstheme="majorBidi"/>
                <w:lang w:val="fr-FR"/>
              </w:rPr>
              <w:t>la religion de l</w:t>
            </w:r>
            <w:r w:rsidR="00801F15" w:rsidRPr="001B46CB">
              <w:rPr>
                <w:rFonts w:asciiTheme="majorBidi" w:hAnsiTheme="majorBidi" w:cstheme="majorBidi"/>
                <w:lang w:val="fr-FR"/>
              </w:rPr>
              <w:t>’</w:t>
            </w:r>
            <w:r w:rsidRPr="001B46CB">
              <w:rPr>
                <w:rFonts w:asciiTheme="majorBidi" w:hAnsiTheme="majorBidi" w:cstheme="majorBidi"/>
                <w:lang w:val="fr-FR"/>
              </w:rPr>
              <w:t>État est l</w:t>
            </w:r>
            <w:r w:rsidR="00801F15" w:rsidRPr="001B46CB">
              <w:rPr>
                <w:rFonts w:asciiTheme="majorBidi" w:hAnsiTheme="majorBidi" w:cstheme="majorBidi"/>
                <w:lang w:val="fr-FR"/>
              </w:rPr>
              <w:t>’</w:t>
            </w:r>
            <w:r w:rsidRPr="001B46CB">
              <w:rPr>
                <w:rFonts w:asciiTheme="majorBidi" w:hAnsiTheme="majorBidi" w:cstheme="majorBidi"/>
                <w:lang w:val="fr-FR"/>
              </w:rPr>
              <w:t>islam</w:t>
            </w:r>
            <w:r w:rsidR="00801F15" w:rsidRPr="001B46CB">
              <w:rPr>
                <w:rFonts w:asciiTheme="majorBidi" w:hAnsiTheme="majorBidi" w:cstheme="majorBidi"/>
                <w:lang w:val="fr-FR"/>
              </w:rPr>
              <w:t> ;</w:t>
            </w:r>
            <w:r w:rsidRPr="001B46CB">
              <w:rPr>
                <w:rFonts w:asciiTheme="majorBidi" w:hAnsiTheme="majorBidi" w:cstheme="majorBidi"/>
                <w:lang w:val="fr-FR"/>
              </w:rPr>
              <w:t xml:space="preserve"> la charia islamique est la principale source du droit</w:t>
            </w:r>
            <w:r w:rsidR="0080608B" w:rsidRPr="001B46CB">
              <w:rPr>
                <w:rFonts w:asciiTheme="majorBidi" w:hAnsiTheme="majorBidi" w:cstheme="majorBidi"/>
                <w:lang w:val="fr-FR"/>
              </w:rPr>
              <w:t> </w:t>
            </w:r>
            <w:r w:rsidRPr="001B46CB">
              <w:rPr>
                <w:rFonts w:asciiTheme="majorBidi" w:hAnsiTheme="majorBidi" w:cstheme="majorBidi"/>
                <w:lang w:val="fr-FR"/>
              </w:rPr>
              <w:t>». En conséquence, les conventions internationales auxquelles le Royaume de Bahreïn adhère ou qu</w:t>
            </w:r>
            <w:r w:rsidR="00801F15" w:rsidRPr="001B46CB">
              <w:rPr>
                <w:rFonts w:asciiTheme="majorBidi" w:hAnsiTheme="majorBidi" w:cstheme="majorBidi"/>
                <w:lang w:val="fr-FR"/>
              </w:rPr>
              <w:t>’</w:t>
            </w:r>
            <w:r w:rsidRPr="001B46CB">
              <w:rPr>
                <w:rFonts w:asciiTheme="majorBidi" w:hAnsiTheme="majorBidi" w:cstheme="majorBidi"/>
                <w:lang w:val="fr-FR"/>
              </w:rPr>
              <w:t>il ratifie ne doivent pas être contraires à la charia. La reformulation, conformément au décret-loi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70 de 2014, des réserves émises au sujet de l</w:t>
            </w:r>
            <w:r w:rsidR="00801F15" w:rsidRPr="001B46CB">
              <w:rPr>
                <w:rFonts w:asciiTheme="majorBidi" w:hAnsiTheme="majorBidi" w:cstheme="majorBidi"/>
                <w:lang w:val="fr-FR"/>
              </w:rPr>
              <w:t>’</w:t>
            </w:r>
            <w:r w:rsidRPr="001B46CB">
              <w:rPr>
                <w:rFonts w:asciiTheme="majorBidi" w:hAnsiTheme="majorBidi" w:cstheme="majorBidi"/>
                <w:lang w:val="fr-FR"/>
              </w:rPr>
              <w:t>article 2, du paragraphe 4 de l</w:t>
            </w:r>
            <w:r w:rsidR="00801F15" w:rsidRPr="001B46CB">
              <w:rPr>
                <w:rFonts w:asciiTheme="majorBidi" w:hAnsiTheme="majorBidi" w:cstheme="majorBidi"/>
                <w:lang w:val="fr-FR"/>
              </w:rPr>
              <w:t>’</w:t>
            </w:r>
            <w:r w:rsidRPr="001B46CB">
              <w:rPr>
                <w:rFonts w:asciiTheme="majorBidi" w:hAnsiTheme="majorBidi" w:cstheme="majorBidi"/>
                <w:lang w:val="fr-FR"/>
              </w:rPr>
              <w:t>article 15 et de l</w:t>
            </w:r>
            <w:r w:rsidR="00801F15" w:rsidRPr="001B46CB">
              <w:rPr>
                <w:rFonts w:asciiTheme="majorBidi" w:hAnsiTheme="majorBidi" w:cstheme="majorBidi"/>
                <w:lang w:val="fr-FR"/>
              </w:rPr>
              <w:t>’</w:t>
            </w:r>
            <w:r w:rsidRPr="001B46CB">
              <w:rPr>
                <w:rFonts w:asciiTheme="majorBidi" w:hAnsiTheme="majorBidi" w:cstheme="majorBidi"/>
                <w:lang w:val="fr-FR"/>
              </w:rPr>
              <w:t>article 16</w:t>
            </w:r>
            <w:r w:rsidR="00801F15" w:rsidRPr="001B46CB">
              <w:rPr>
                <w:rFonts w:asciiTheme="majorBidi" w:hAnsiTheme="majorBidi" w:cstheme="majorBidi"/>
                <w:lang w:val="fr-FR"/>
              </w:rPr>
              <w:t xml:space="preserve"> </w:t>
            </w:r>
            <w:r w:rsidRPr="001B46CB">
              <w:rPr>
                <w:rFonts w:asciiTheme="majorBidi" w:hAnsiTheme="majorBidi" w:cstheme="majorBidi"/>
                <w:lang w:val="fr-FR"/>
              </w:rPr>
              <w:t>ont réduit l</w:t>
            </w:r>
            <w:r w:rsidR="00801F15" w:rsidRPr="001B46CB">
              <w:rPr>
                <w:rFonts w:asciiTheme="majorBidi" w:hAnsiTheme="majorBidi" w:cstheme="majorBidi"/>
                <w:lang w:val="fr-FR"/>
              </w:rPr>
              <w:t>’</w:t>
            </w:r>
            <w:r w:rsidRPr="001B46CB">
              <w:rPr>
                <w:rFonts w:asciiTheme="majorBidi" w:hAnsiTheme="majorBidi" w:cstheme="majorBidi"/>
                <w:lang w:val="fr-FR"/>
              </w:rPr>
              <w:t>effet juridique de ces réserves, toujours à condition que les dispositions de la Convention ne soient pas contraires à celles de la charia.</w:t>
            </w:r>
          </w:p>
          <w:p w14:paraId="08F7B8CC" w14:textId="0B519B33" w:rsidR="00701624" w:rsidRPr="001B46CB" w:rsidRDefault="00701624" w:rsidP="0080608B">
            <w:pPr>
              <w:pStyle w:val="ListParagraph"/>
              <w:numPr>
                <w:ilvl w:val="0"/>
                <w:numId w:val="43"/>
              </w:numPr>
              <w:spacing w:after="20" w:line="240" w:lineRule="auto"/>
              <w:ind w:left="360" w:right="144"/>
              <w:jc w:val="both"/>
              <w:rPr>
                <w:rFonts w:asciiTheme="majorBidi" w:hAnsiTheme="majorBidi" w:cstheme="majorBidi"/>
                <w:lang w:val="fr-FR"/>
              </w:rPr>
            </w:pPr>
            <w:r w:rsidRPr="001B46CB">
              <w:rPr>
                <w:rFonts w:asciiTheme="majorBidi" w:hAnsiTheme="majorBidi" w:cstheme="majorBidi"/>
                <w:lang w:val="fr-FR"/>
              </w:rPr>
              <w:t>Le Royaume de Bahreïn réaffirme qu’il maintient les réserves absolues formulées au sujet du paragraphe 2 de l’article 9 et du paragraphe 1 de l’article 29 de la Convention conformément au décret-loi et comme indiqué dans le décret portant adhésion de Bahreïn à la Convention, sans aucune modification, précisant ce qui suit :</w:t>
            </w:r>
          </w:p>
          <w:p w14:paraId="11564588" w14:textId="638790E0" w:rsidR="00F36F51" w:rsidRPr="001B46CB" w:rsidRDefault="00606485" w:rsidP="00F4463A">
            <w:pPr>
              <w:pStyle w:val="ListParagraph"/>
              <w:spacing w:line="240" w:lineRule="auto"/>
              <w:ind w:right="144" w:hanging="360"/>
              <w:jc w:val="both"/>
              <w:rPr>
                <w:rFonts w:asciiTheme="majorBidi" w:hAnsiTheme="majorBidi" w:cstheme="majorBidi"/>
                <w:color w:val="000000" w:themeColor="text1"/>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Paragraphe 2 de l</w:t>
            </w:r>
            <w:r w:rsidR="00801F15" w:rsidRPr="001B46CB">
              <w:rPr>
                <w:rFonts w:asciiTheme="majorBidi" w:hAnsiTheme="majorBidi" w:cstheme="majorBidi"/>
                <w:lang w:val="fr-FR"/>
              </w:rPr>
              <w:t>’</w:t>
            </w:r>
            <w:r w:rsidR="00F36F51" w:rsidRPr="001B46CB">
              <w:rPr>
                <w:rFonts w:asciiTheme="majorBidi" w:hAnsiTheme="majorBidi" w:cstheme="majorBidi"/>
                <w:lang w:val="fr-FR"/>
              </w:rPr>
              <w:t>article 9</w:t>
            </w:r>
            <w:r w:rsidR="00801F15" w:rsidRPr="001B46CB">
              <w:rPr>
                <w:rFonts w:asciiTheme="majorBidi" w:hAnsiTheme="majorBidi" w:cstheme="majorBidi"/>
                <w:lang w:val="fr-FR"/>
              </w:rPr>
              <w:t> :</w:t>
            </w:r>
            <w:r w:rsidR="00F36F51" w:rsidRPr="001B46CB">
              <w:rPr>
                <w:rFonts w:asciiTheme="majorBidi" w:hAnsiTheme="majorBidi" w:cstheme="majorBidi"/>
                <w:lang w:val="fr-FR"/>
              </w:rPr>
              <w:t xml:space="preserve"> Bahreïn n</w:t>
            </w:r>
            <w:r w:rsidR="00801F15" w:rsidRPr="001B46CB">
              <w:rPr>
                <w:rFonts w:asciiTheme="majorBidi" w:hAnsiTheme="majorBidi" w:cstheme="majorBidi"/>
                <w:lang w:val="fr-FR"/>
              </w:rPr>
              <w:t>’</w:t>
            </w:r>
            <w:r w:rsidR="00F36F51" w:rsidRPr="001B46CB">
              <w:rPr>
                <w:rFonts w:asciiTheme="majorBidi" w:hAnsiTheme="majorBidi" w:cstheme="majorBidi"/>
                <w:lang w:val="fr-FR"/>
              </w:rPr>
              <w:t>est pas en mesure de s</w:t>
            </w:r>
            <w:r w:rsidR="00801F15" w:rsidRPr="001B46CB">
              <w:rPr>
                <w:rFonts w:asciiTheme="majorBidi" w:hAnsiTheme="majorBidi" w:cstheme="majorBidi"/>
                <w:lang w:val="fr-FR"/>
              </w:rPr>
              <w:t>’</w:t>
            </w:r>
            <w:r w:rsidR="00F36F51" w:rsidRPr="001B46CB">
              <w:rPr>
                <w:rFonts w:asciiTheme="majorBidi" w:hAnsiTheme="majorBidi" w:cstheme="majorBidi"/>
                <w:lang w:val="fr-FR"/>
              </w:rPr>
              <w:t>engager à appliquer les dispositions de cet article tant que la loi sur la nationalité n</w:t>
            </w:r>
            <w:r w:rsidR="00801F15" w:rsidRPr="001B46CB">
              <w:rPr>
                <w:rFonts w:asciiTheme="majorBidi" w:hAnsiTheme="majorBidi" w:cstheme="majorBidi"/>
                <w:lang w:val="fr-FR"/>
              </w:rPr>
              <w:t>’</w:t>
            </w:r>
            <w:r w:rsidR="00F36F51" w:rsidRPr="001B46CB">
              <w:rPr>
                <w:rFonts w:asciiTheme="majorBidi" w:hAnsiTheme="majorBidi" w:cstheme="majorBidi"/>
                <w:lang w:val="fr-FR"/>
              </w:rPr>
              <w:t>a pas été modifiée de façon à accorder la nationalité bahreïnienne aux enfants nés d</w:t>
            </w:r>
            <w:r w:rsidR="00801F15" w:rsidRPr="001B46CB">
              <w:rPr>
                <w:rFonts w:asciiTheme="majorBidi" w:hAnsiTheme="majorBidi" w:cstheme="majorBidi"/>
                <w:lang w:val="fr-FR"/>
              </w:rPr>
              <w:t>’</w:t>
            </w:r>
            <w:r w:rsidR="00F36F51" w:rsidRPr="001B46CB">
              <w:rPr>
                <w:rFonts w:asciiTheme="majorBidi" w:hAnsiTheme="majorBidi" w:cstheme="majorBidi"/>
                <w:lang w:val="fr-FR"/>
              </w:rPr>
              <w:t>une Bahreïnienne mariée à un étranger</w:t>
            </w:r>
            <w:r w:rsidR="00801F15" w:rsidRPr="001B46CB">
              <w:rPr>
                <w:rFonts w:asciiTheme="majorBidi" w:hAnsiTheme="majorBidi" w:cstheme="majorBidi"/>
                <w:lang w:val="fr-FR"/>
              </w:rPr>
              <w:t> ;</w:t>
            </w:r>
          </w:p>
          <w:p w14:paraId="35B63B9D" w14:textId="0E202A47" w:rsidR="00F36F51" w:rsidRPr="001B46CB" w:rsidRDefault="00606485" w:rsidP="00606485">
            <w:pPr>
              <w:pStyle w:val="ListParagraph"/>
              <w:autoSpaceDE w:val="0"/>
              <w:autoSpaceDN w:val="0"/>
              <w:adjustRightInd w:val="0"/>
              <w:spacing w:line="240" w:lineRule="auto"/>
              <w:ind w:right="144" w:hanging="360"/>
              <w:jc w:val="both"/>
              <w:rPr>
                <w:rFonts w:asciiTheme="majorBidi" w:hAnsiTheme="majorBidi" w:cstheme="majorBidi"/>
                <w:color w:val="000000" w:themeColor="text1"/>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Paragraphe 1 de l</w:t>
            </w:r>
            <w:r w:rsidR="00801F15" w:rsidRPr="001B46CB">
              <w:rPr>
                <w:rFonts w:asciiTheme="majorBidi" w:hAnsiTheme="majorBidi" w:cstheme="majorBidi"/>
                <w:lang w:val="fr-FR"/>
              </w:rPr>
              <w:t>’</w:t>
            </w:r>
            <w:r w:rsidR="00F36F51" w:rsidRPr="001B46CB">
              <w:rPr>
                <w:rFonts w:asciiTheme="majorBidi" w:hAnsiTheme="majorBidi" w:cstheme="majorBidi"/>
                <w:lang w:val="fr-FR"/>
              </w:rPr>
              <w:t>article 29</w:t>
            </w:r>
            <w:r w:rsidR="00801F15" w:rsidRPr="001B46CB">
              <w:rPr>
                <w:rFonts w:asciiTheme="majorBidi" w:hAnsiTheme="majorBidi" w:cstheme="majorBidi"/>
                <w:lang w:val="fr-FR"/>
              </w:rPr>
              <w:t xml:space="preserve"> : </w:t>
            </w:r>
            <w:r w:rsidR="00F36F51" w:rsidRPr="001B46CB">
              <w:rPr>
                <w:rFonts w:asciiTheme="majorBidi" w:hAnsiTheme="majorBidi" w:cstheme="majorBidi"/>
                <w:lang w:val="fr-FR"/>
              </w:rPr>
              <w:t>Bahreïn a émis une réserve à cet article car il refuse qu</w:t>
            </w:r>
            <w:r w:rsidR="00801F15" w:rsidRPr="001B46CB">
              <w:rPr>
                <w:rFonts w:asciiTheme="majorBidi" w:hAnsiTheme="majorBidi" w:cstheme="majorBidi"/>
                <w:lang w:val="fr-FR"/>
              </w:rPr>
              <w:t>’</w:t>
            </w:r>
            <w:r w:rsidR="00F36F51" w:rsidRPr="001B46CB">
              <w:rPr>
                <w:rFonts w:asciiTheme="majorBidi" w:hAnsiTheme="majorBidi" w:cstheme="majorBidi"/>
                <w:lang w:val="fr-FR"/>
              </w:rPr>
              <w:t>il soit porté atteinte à sa souveraineté et à son immunité judiciaire, Bahreïn refusant de comparaître devant toute juridiction internationale.</w:t>
            </w:r>
          </w:p>
          <w:p w14:paraId="784EACB4" w14:textId="77777777" w:rsidR="00801F15" w:rsidRPr="001B46CB" w:rsidRDefault="00F36F51" w:rsidP="00C70519">
            <w:pPr>
              <w:pStyle w:val="ListParagraph"/>
              <w:numPr>
                <w:ilvl w:val="0"/>
                <w:numId w:val="43"/>
              </w:numPr>
              <w:spacing w:line="240" w:lineRule="auto"/>
              <w:ind w:left="360" w:right="144"/>
              <w:jc w:val="both"/>
              <w:rPr>
                <w:rFonts w:asciiTheme="majorBidi" w:hAnsiTheme="majorBidi" w:cstheme="majorBidi"/>
                <w:lang w:val="fr-FR"/>
              </w:rPr>
            </w:pPr>
            <w:r w:rsidRPr="001B46CB">
              <w:rPr>
                <w:rFonts w:asciiTheme="majorBidi" w:hAnsiTheme="majorBidi" w:cstheme="majorBidi"/>
                <w:lang w:val="fr-FR"/>
              </w:rPr>
              <w:t>Le Royaume de Bahreïn réaffirme également qu</w:t>
            </w:r>
            <w:r w:rsidR="00801F15" w:rsidRPr="001B46CB">
              <w:rPr>
                <w:rFonts w:asciiTheme="majorBidi" w:hAnsiTheme="majorBidi" w:cstheme="majorBidi"/>
                <w:lang w:val="fr-FR"/>
              </w:rPr>
              <w:t>’</w:t>
            </w:r>
            <w:r w:rsidRPr="001B46CB">
              <w:rPr>
                <w:rFonts w:asciiTheme="majorBidi" w:hAnsiTheme="majorBidi" w:cstheme="majorBidi"/>
                <w:lang w:val="fr-FR"/>
              </w:rPr>
              <w:t>il s</w:t>
            </w:r>
            <w:r w:rsidR="00801F15" w:rsidRPr="001B46CB">
              <w:rPr>
                <w:rFonts w:asciiTheme="majorBidi" w:hAnsiTheme="majorBidi" w:cstheme="majorBidi"/>
                <w:lang w:val="fr-FR"/>
              </w:rPr>
              <w:t>’</w:t>
            </w:r>
            <w:r w:rsidRPr="001B46CB">
              <w:rPr>
                <w:rFonts w:asciiTheme="majorBidi" w:hAnsiTheme="majorBidi" w:cstheme="majorBidi"/>
                <w:lang w:val="fr-FR"/>
              </w:rPr>
              <w:t>engage à appliquer les dispositions de l</w:t>
            </w:r>
            <w:r w:rsidR="00801F15" w:rsidRPr="001B46CB">
              <w:rPr>
                <w:rFonts w:asciiTheme="majorBidi" w:hAnsiTheme="majorBidi" w:cstheme="majorBidi"/>
                <w:lang w:val="fr-FR"/>
              </w:rPr>
              <w:t>’</w:t>
            </w:r>
            <w:r w:rsidRPr="001B46CB">
              <w:rPr>
                <w:rFonts w:asciiTheme="majorBidi" w:hAnsiTheme="majorBidi" w:cstheme="majorBidi"/>
                <w:lang w:val="fr-FR"/>
              </w:rPr>
              <w:t>article 2, du paragraphe 4 de l</w:t>
            </w:r>
            <w:r w:rsidR="00801F15" w:rsidRPr="001B46CB">
              <w:rPr>
                <w:rFonts w:asciiTheme="majorBidi" w:hAnsiTheme="majorBidi" w:cstheme="majorBidi"/>
                <w:lang w:val="fr-FR"/>
              </w:rPr>
              <w:t>’</w:t>
            </w:r>
            <w:r w:rsidRPr="001B46CB">
              <w:rPr>
                <w:rFonts w:asciiTheme="majorBidi" w:hAnsiTheme="majorBidi" w:cstheme="majorBidi"/>
                <w:lang w:val="fr-FR"/>
              </w:rPr>
              <w:t>article 15 et de l</w:t>
            </w:r>
            <w:r w:rsidR="00801F15" w:rsidRPr="001B46CB">
              <w:rPr>
                <w:rFonts w:asciiTheme="majorBidi" w:hAnsiTheme="majorBidi" w:cstheme="majorBidi"/>
                <w:lang w:val="fr-FR"/>
              </w:rPr>
              <w:t>’</w:t>
            </w:r>
            <w:r w:rsidRPr="001B46CB">
              <w:rPr>
                <w:rFonts w:asciiTheme="majorBidi" w:hAnsiTheme="majorBidi" w:cstheme="majorBidi"/>
                <w:lang w:val="fr-FR"/>
              </w:rPr>
              <w:t>article 16 de la Convention, sans préjudice des dispositions de la charia.</w:t>
            </w:r>
          </w:p>
          <w:p w14:paraId="46549A7C" w14:textId="77777777" w:rsidR="00801F15" w:rsidRPr="001B46CB" w:rsidRDefault="00F36F51" w:rsidP="00C70519">
            <w:pPr>
              <w:pStyle w:val="ListParagraph"/>
              <w:numPr>
                <w:ilvl w:val="0"/>
                <w:numId w:val="43"/>
              </w:numPr>
              <w:spacing w:line="240" w:lineRule="auto"/>
              <w:ind w:left="360" w:right="144"/>
              <w:jc w:val="both"/>
              <w:rPr>
                <w:rFonts w:asciiTheme="majorBidi" w:hAnsiTheme="majorBidi" w:cstheme="majorBidi"/>
                <w:lang w:val="fr-FR"/>
              </w:rPr>
            </w:pPr>
            <w:r w:rsidRPr="001B46CB">
              <w:rPr>
                <w:rFonts w:asciiTheme="majorBidi" w:hAnsiTheme="majorBidi" w:cstheme="majorBidi"/>
                <w:lang w:val="fr-FR"/>
              </w:rPr>
              <w:t>En conséquence, aucun calendrier n</w:t>
            </w:r>
            <w:r w:rsidR="00801F15" w:rsidRPr="001B46CB">
              <w:rPr>
                <w:rFonts w:asciiTheme="majorBidi" w:hAnsiTheme="majorBidi" w:cstheme="majorBidi"/>
                <w:lang w:val="fr-FR"/>
              </w:rPr>
              <w:t>’</w:t>
            </w:r>
            <w:r w:rsidRPr="001B46CB">
              <w:rPr>
                <w:rFonts w:asciiTheme="majorBidi" w:hAnsiTheme="majorBidi" w:cstheme="majorBidi"/>
                <w:lang w:val="fr-FR"/>
              </w:rPr>
              <w:t>a été établi en vue de lever la réserve concernant le paragraphe 2 de l</w:t>
            </w:r>
            <w:r w:rsidR="00801F15" w:rsidRPr="001B46CB">
              <w:rPr>
                <w:rFonts w:asciiTheme="majorBidi" w:hAnsiTheme="majorBidi" w:cstheme="majorBidi"/>
                <w:lang w:val="fr-FR"/>
              </w:rPr>
              <w:t>’</w:t>
            </w:r>
            <w:r w:rsidRPr="001B46CB">
              <w:rPr>
                <w:rFonts w:asciiTheme="majorBidi" w:hAnsiTheme="majorBidi" w:cstheme="majorBidi"/>
                <w:lang w:val="fr-FR"/>
              </w:rPr>
              <w:t>article 9. En effet, le retrait éventuel de cette réserve est suspendu à la modification de la loi sur la nationalité et</w:t>
            </w:r>
            <w:r w:rsidR="00801F15" w:rsidRPr="001B46CB">
              <w:rPr>
                <w:rFonts w:asciiTheme="majorBidi" w:hAnsiTheme="majorBidi" w:cstheme="majorBidi"/>
                <w:lang w:val="fr-FR"/>
              </w:rPr>
              <w:t xml:space="preserve"> </w:t>
            </w:r>
            <w:r w:rsidRPr="001B46CB">
              <w:rPr>
                <w:rFonts w:asciiTheme="majorBidi" w:hAnsiTheme="majorBidi" w:cstheme="majorBidi"/>
                <w:lang w:val="fr-FR"/>
              </w:rPr>
              <w:t>il appartient exclusivement au pouvoir législatif de modifier cette loi.</w:t>
            </w:r>
          </w:p>
          <w:p w14:paraId="3E0D63D1" w14:textId="7D44754A" w:rsidR="00F36F51" w:rsidRPr="001B46CB" w:rsidRDefault="00F36F51" w:rsidP="0080608B">
            <w:pPr>
              <w:pStyle w:val="ListParagraph"/>
              <w:numPr>
                <w:ilvl w:val="0"/>
                <w:numId w:val="43"/>
              </w:numPr>
              <w:spacing w:after="20"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Le maintien de la réserve au paragraphe 1 de l</w:t>
            </w:r>
            <w:r w:rsidR="00801F15" w:rsidRPr="001B46CB">
              <w:rPr>
                <w:rFonts w:asciiTheme="majorBidi" w:hAnsiTheme="majorBidi" w:cstheme="majorBidi"/>
                <w:lang w:val="fr-FR"/>
              </w:rPr>
              <w:t>’</w:t>
            </w:r>
            <w:r w:rsidRPr="001B46CB">
              <w:rPr>
                <w:rFonts w:asciiTheme="majorBidi" w:hAnsiTheme="majorBidi" w:cstheme="majorBidi"/>
                <w:lang w:val="fr-FR"/>
              </w:rPr>
              <w:t>article 29 s</w:t>
            </w:r>
            <w:r w:rsidR="00801F15" w:rsidRPr="001B46CB">
              <w:rPr>
                <w:rFonts w:asciiTheme="majorBidi" w:hAnsiTheme="majorBidi" w:cstheme="majorBidi"/>
                <w:lang w:val="fr-FR"/>
              </w:rPr>
              <w:t>’</w:t>
            </w:r>
            <w:r w:rsidRPr="001B46CB">
              <w:rPr>
                <w:rFonts w:asciiTheme="majorBidi" w:hAnsiTheme="majorBidi" w:cstheme="majorBidi"/>
                <w:lang w:val="fr-FR"/>
              </w:rPr>
              <w:t>explique par des considérations liées à la souveraineté de Bahreïn. Les dispositions de l</w:t>
            </w:r>
            <w:r w:rsidR="00801F15" w:rsidRPr="001B46CB">
              <w:rPr>
                <w:rFonts w:asciiTheme="majorBidi" w:hAnsiTheme="majorBidi" w:cstheme="majorBidi"/>
                <w:lang w:val="fr-FR"/>
              </w:rPr>
              <w:t>’</w:t>
            </w:r>
            <w:r w:rsidRPr="001B46CB">
              <w:rPr>
                <w:rFonts w:asciiTheme="majorBidi" w:hAnsiTheme="majorBidi" w:cstheme="majorBidi"/>
                <w:lang w:val="fr-FR"/>
              </w:rPr>
              <w:t>article 2, du paragraphe 4 de l</w:t>
            </w:r>
            <w:r w:rsidR="00801F15" w:rsidRPr="001B46CB">
              <w:rPr>
                <w:rFonts w:asciiTheme="majorBidi" w:hAnsiTheme="majorBidi" w:cstheme="majorBidi"/>
                <w:lang w:val="fr-FR"/>
              </w:rPr>
              <w:t>’</w:t>
            </w:r>
            <w:r w:rsidRPr="001B46CB">
              <w:rPr>
                <w:rFonts w:asciiTheme="majorBidi" w:hAnsiTheme="majorBidi" w:cstheme="majorBidi"/>
                <w:lang w:val="fr-FR"/>
              </w:rPr>
              <w:t>article 15 et de l</w:t>
            </w:r>
            <w:r w:rsidR="00801F15" w:rsidRPr="001B46CB">
              <w:rPr>
                <w:rFonts w:asciiTheme="majorBidi" w:hAnsiTheme="majorBidi" w:cstheme="majorBidi"/>
                <w:lang w:val="fr-FR"/>
              </w:rPr>
              <w:t>’</w:t>
            </w:r>
            <w:r w:rsidRPr="001B46CB">
              <w:rPr>
                <w:rFonts w:asciiTheme="majorBidi" w:hAnsiTheme="majorBidi" w:cstheme="majorBidi"/>
                <w:lang w:val="fr-FR"/>
              </w:rPr>
              <w:t>article 16 continueront de ne pouvoir être mises en œuvre que si elles n</w:t>
            </w:r>
            <w:r w:rsidR="00801F15" w:rsidRPr="001B46CB">
              <w:rPr>
                <w:rFonts w:asciiTheme="majorBidi" w:hAnsiTheme="majorBidi" w:cstheme="majorBidi"/>
                <w:lang w:val="fr-FR"/>
              </w:rPr>
              <w:t>’</w:t>
            </w:r>
            <w:r w:rsidRPr="001B46CB">
              <w:rPr>
                <w:rFonts w:asciiTheme="majorBidi" w:hAnsiTheme="majorBidi" w:cstheme="majorBidi"/>
                <w:lang w:val="fr-FR"/>
              </w:rPr>
              <w:t xml:space="preserve">enfreignent pas les dispositions de la charia. </w:t>
            </w:r>
          </w:p>
        </w:tc>
      </w:tr>
      <w:tr w:rsidR="00AC6FEF" w:rsidRPr="001B46CB" w14:paraId="2253EAA6" w14:textId="77777777" w:rsidTr="00767A10">
        <w:trPr>
          <w:tblCellSpacing w:w="20" w:type="dxa"/>
          <w:jc w:val="center"/>
        </w:trPr>
        <w:tc>
          <w:tcPr>
            <w:tcW w:w="2701" w:type="pct"/>
            <w:gridSpan w:val="8"/>
            <w:shd w:val="clear" w:color="auto" w:fill="DDD9C3" w:themeFill="background2" w:themeFillShade="E6"/>
          </w:tcPr>
          <w:p w14:paraId="0042CA1A" w14:textId="77777777" w:rsidR="00F36F51" w:rsidRPr="001B46CB" w:rsidRDefault="00F36F51" w:rsidP="00F6444B">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Domaine concerné</w:t>
            </w:r>
          </w:p>
        </w:tc>
        <w:tc>
          <w:tcPr>
            <w:tcW w:w="2238" w:type="pct"/>
            <w:gridSpan w:val="5"/>
            <w:shd w:val="clear" w:color="auto" w:fill="EEECE1" w:themeFill="background2"/>
          </w:tcPr>
          <w:p w14:paraId="1D50081C" w14:textId="77777777" w:rsidR="00F36F51" w:rsidRPr="001B46CB" w:rsidRDefault="00F36F51" w:rsidP="00F6444B">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Les femmes et la paix et la sécurité</w:t>
            </w:r>
          </w:p>
        </w:tc>
      </w:tr>
      <w:tr w:rsidR="00F36F51" w:rsidRPr="001B46CB" w14:paraId="0BE88D12" w14:textId="77777777" w:rsidTr="0080608B">
        <w:trPr>
          <w:tblCellSpacing w:w="20" w:type="dxa"/>
          <w:jc w:val="center"/>
        </w:trPr>
        <w:tc>
          <w:tcPr>
            <w:tcW w:w="4959" w:type="pct"/>
            <w:gridSpan w:val="13"/>
            <w:shd w:val="clear" w:color="auto" w:fill="C4BC96" w:themeFill="background2" w:themeFillShade="BF"/>
          </w:tcPr>
          <w:p w14:paraId="085DA751" w14:textId="77777777" w:rsidR="00F36F51" w:rsidRPr="001B46CB" w:rsidRDefault="00F36F51" w:rsidP="00F6444B">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F36F51" w:rsidRPr="001B46CB" w14:paraId="749EB7F3" w14:textId="77777777" w:rsidTr="0080608B">
        <w:trPr>
          <w:tblCellSpacing w:w="20" w:type="dxa"/>
          <w:jc w:val="center"/>
        </w:trPr>
        <w:tc>
          <w:tcPr>
            <w:tcW w:w="4959" w:type="pct"/>
            <w:gridSpan w:val="13"/>
            <w:shd w:val="clear" w:color="auto" w:fill="auto"/>
            <w:vAlign w:val="center"/>
          </w:tcPr>
          <w:p w14:paraId="73789951" w14:textId="3B631E78" w:rsidR="00F36F51" w:rsidRPr="001B46CB" w:rsidRDefault="00F36F51" w:rsidP="0080608B">
            <w:pPr>
              <w:pStyle w:val="ListParagraph"/>
              <w:numPr>
                <w:ilvl w:val="0"/>
                <w:numId w:val="42"/>
              </w:numPr>
              <w:spacing w:after="20" w:line="240" w:lineRule="auto"/>
              <w:ind w:left="360" w:right="144"/>
              <w:jc w:val="both"/>
              <w:rPr>
                <w:rFonts w:asciiTheme="majorBidi" w:hAnsiTheme="majorBidi" w:cstheme="majorBidi"/>
                <w:b/>
                <w:bCs/>
                <w:color w:val="000000" w:themeColor="text1"/>
                <w:lang w:val="fr-FR"/>
              </w:rPr>
            </w:pPr>
            <w:r w:rsidRPr="001B46CB">
              <w:rPr>
                <w:rFonts w:asciiTheme="majorBidi" w:hAnsiTheme="majorBidi" w:cstheme="majorBidi"/>
                <w:lang w:val="fr-FR"/>
              </w:rPr>
              <w:t>Compte tenu de la recommandation générale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w:t>
            </w:r>
            <w:r w:rsidR="003A4D90" w:rsidRPr="00767A10">
              <w:t>30 (2013)</w:t>
            </w:r>
            <w:r w:rsidRPr="001B46CB">
              <w:rPr>
                <w:rFonts w:asciiTheme="majorBidi" w:hAnsiTheme="majorBidi" w:cstheme="majorBidi"/>
                <w:lang w:val="fr-FR"/>
              </w:rPr>
              <w:t xml:space="preserve"> du Comité sur les femmes dans la prévention des conflits, les conflits et les situations d</w:t>
            </w:r>
            <w:r w:rsidR="00801F15" w:rsidRPr="001B46CB">
              <w:rPr>
                <w:rFonts w:asciiTheme="majorBidi" w:hAnsiTheme="majorBidi" w:cstheme="majorBidi"/>
                <w:lang w:val="fr-FR"/>
              </w:rPr>
              <w:t>’</w:t>
            </w:r>
            <w:r w:rsidRPr="001B46CB">
              <w:rPr>
                <w:rFonts w:asciiTheme="majorBidi" w:hAnsiTheme="majorBidi" w:cstheme="majorBidi"/>
                <w:lang w:val="fr-FR"/>
              </w:rPr>
              <w:t xml:space="preserve">après conflit, de la résolution </w:t>
            </w:r>
            <w:hyperlink r:id="rId20" w:history="1">
              <w:r w:rsidRPr="001B46CB">
                <w:rPr>
                  <w:rStyle w:val="Hyperlink"/>
                  <w:rFonts w:asciiTheme="majorBidi" w:hAnsiTheme="majorBidi" w:cstheme="majorBidi"/>
                  <w:lang w:val="fr-FR"/>
                </w:rPr>
                <w:t>1325 (2000)</w:t>
              </w:r>
            </w:hyperlink>
            <w:r w:rsidRPr="001B46CB">
              <w:rPr>
                <w:rFonts w:asciiTheme="majorBidi" w:hAnsiTheme="majorBidi" w:cstheme="majorBidi"/>
                <w:lang w:val="fr-FR"/>
              </w:rPr>
              <w:t xml:space="preserve"> du Conseil de sécurité, ainsi que des résolutions ultérieures de celui-ci sur les femmes et la paix et la sécurité, veuillez présenter les mesures prises pour lever les obstacles, notamment d</w:t>
            </w:r>
            <w:r w:rsidR="00801F15" w:rsidRPr="001B46CB">
              <w:rPr>
                <w:rFonts w:asciiTheme="majorBidi" w:hAnsiTheme="majorBidi" w:cstheme="majorBidi"/>
                <w:lang w:val="fr-FR"/>
              </w:rPr>
              <w:t>’</w:t>
            </w:r>
            <w:r w:rsidRPr="001B46CB">
              <w:rPr>
                <w:rFonts w:asciiTheme="majorBidi" w:hAnsiTheme="majorBidi" w:cstheme="majorBidi"/>
                <w:lang w:val="fr-FR"/>
              </w:rPr>
              <w:t>ordre juridique, social, politique ou institutionnel, qui freinent la participation des femmes à la prévention, à la gestion et à la résolution des conflits, ainsi que pour adopter un plan d</w:t>
            </w:r>
            <w:r w:rsidR="00801F15" w:rsidRPr="001B46CB">
              <w:rPr>
                <w:rFonts w:asciiTheme="majorBidi" w:hAnsiTheme="majorBidi" w:cstheme="majorBidi"/>
                <w:lang w:val="fr-FR"/>
              </w:rPr>
              <w:t>’</w:t>
            </w:r>
            <w:r w:rsidRPr="001B46CB">
              <w:rPr>
                <w:rFonts w:asciiTheme="majorBidi" w:hAnsiTheme="majorBidi" w:cstheme="majorBidi"/>
                <w:lang w:val="fr-FR"/>
              </w:rPr>
              <w:t>action national en vue de l</w:t>
            </w:r>
            <w:r w:rsidR="00801F15" w:rsidRPr="001B46CB">
              <w:rPr>
                <w:rFonts w:asciiTheme="majorBidi" w:hAnsiTheme="majorBidi" w:cstheme="majorBidi"/>
                <w:lang w:val="fr-FR"/>
              </w:rPr>
              <w:t>’</w:t>
            </w:r>
            <w:r w:rsidRPr="001B46CB">
              <w:rPr>
                <w:rFonts w:asciiTheme="majorBidi" w:hAnsiTheme="majorBidi" w:cstheme="majorBidi"/>
                <w:lang w:val="fr-FR"/>
              </w:rPr>
              <w:t xml:space="preserve">application de la résolution </w:t>
            </w:r>
            <w:hyperlink r:id="rId21" w:history="1">
              <w:r w:rsidRPr="001B46CB">
                <w:rPr>
                  <w:rStyle w:val="Hyperlink"/>
                  <w:rFonts w:asciiTheme="majorBidi" w:hAnsiTheme="majorBidi" w:cstheme="majorBidi"/>
                  <w:lang w:val="fr-FR"/>
                </w:rPr>
                <w:t>1325 (2000)</w:t>
              </w:r>
            </w:hyperlink>
            <w:r w:rsidRPr="001B46CB">
              <w:rPr>
                <w:rFonts w:asciiTheme="majorBidi" w:hAnsiTheme="majorBidi" w:cstheme="majorBidi"/>
                <w:lang w:val="fr-FR"/>
              </w:rPr>
              <w:t>.</w:t>
            </w:r>
          </w:p>
        </w:tc>
      </w:tr>
      <w:tr w:rsidR="00F36F51" w:rsidRPr="001B46CB" w14:paraId="196D6716" w14:textId="77777777" w:rsidTr="0080608B">
        <w:trPr>
          <w:tblCellSpacing w:w="20" w:type="dxa"/>
          <w:jc w:val="center"/>
        </w:trPr>
        <w:tc>
          <w:tcPr>
            <w:tcW w:w="4959" w:type="pct"/>
            <w:gridSpan w:val="13"/>
            <w:shd w:val="clear" w:color="auto" w:fill="C4BC96" w:themeFill="background2" w:themeFillShade="BF"/>
            <w:vAlign w:val="center"/>
          </w:tcPr>
          <w:p w14:paraId="0803EB7A" w14:textId="77777777" w:rsidR="00F36F51" w:rsidRPr="001B46CB" w:rsidRDefault="00F36F51" w:rsidP="00F6444B">
            <w:pPr>
              <w:pStyle w:val="ListParagraph"/>
              <w:spacing w:after="40" w:line="240" w:lineRule="auto"/>
              <w:ind w:left="319" w:right="144"/>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Réponse</w:t>
            </w:r>
          </w:p>
        </w:tc>
      </w:tr>
      <w:tr w:rsidR="00F36F51" w:rsidRPr="001B46CB" w14:paraId="00AD7BC4" w14:textId="77777777" w:rsidTr="0080608B">
        <w:trPr>
          <w:tblCellSpacing w:w="20" w:type="dxa"/>
          <w:jc w:val="center"/>
        </w:trPr>
        <w:tc>
          <w:tcPr>
            <w:tcW w:w="4959" w:type="pct"/>
            <w:gridSpan w:val="13"/>
            <w:shd w:val="clear" w:color="auto" w:fill="auto"/>
            <w:vAlign w:val="center"/>
          </w:tcPr>
          <w:p w14:paraId="31C25085" w14:textId="77777777" w:rsidR="00801F15" w:rsidRPr="001B46CB" w:rsidRDefault="00F36F51" w:rsidP="0008075B">
            <w:pPr>
              <w:pStyle w:val="ListParagraph"/>
              <w:numPr>
                <w:ilvl w:val="0"/>
                <w:numId w:val="43"/>
              </w:numPr>
              <w:spacing w:line="240" w:lineRule="auto"/>
              <w:ind w:left="360" w:right="144"/>
              <w:jc w:val="both"/>
              <w:rPr>
                <w:rFonts w:asciiTheme="majorBidi" w:hAnsiTheme="majorBidi" w:cstheme="majorBidi"/>
                <w:spacing w:val="2"/>
                <w:lang w:val="fr-FR"/>
              </w:rPr>
            </w:pPr>
            <w:r w:rsidRPr="001B46CB">
              <w:rPr>
                <w:rFonts w:asciiTheme="majorBidi" w:hAnsiTheme="majorBidi" w:cstheme="majorBidi"/>
                <w:spacing w:val="2"/>
                <w:lang w:val="fr-FR"/>
              </w:rPr>
              <w:lastRenderedPageBreak/>
              <w:t>Le fait que les Bahreïniennes se trouvent dans des zones stables et éloignées des conflits armés ne signifie pas qu</w:t>
            </w:r>
            <w:r w:rsidR="00801F15" w:rsidRPr="001B46CB">
              <w:rPr>
                <w:rFonts w:asciiTheme="majorBidi" w:hAnsiTheme="majorBidi" w:cstheme="majorBidi"/>
                <w:spacing w:val="2"/>
                <w:lang w:val="fr-FR"/>
              </w:rPr>
              <w:t>’</w:t>
            </w:r>
            <w:r w:rsidRPr="001B46CB">
              <w:rPr>
                <w:rFonts w:asciiTheme="majorBidi" w:hAnsiTheme="majorBidi" w:cstheme="majorBidi"/>
                <w:spacing w:val="2"/>
                <w:lang w:val="fr-FR"/>
              </w:rPr>
              <w:t>elles ne jouent pas leur rôle pour ce qui est de fournir des services en vue de soutenir et d</w:t>
            </w:r>
            <w:r w:rsidR="00801F15" w:rsidRPr="001B46CB">
              <w:rPr>
                <w:rFonts w:asciiTheme="majorBidi" w:hAnsiTheme="majorBidi" w:cstheme="majorBidi"/>
                <w:spacing w:val="2"/>
                <w:lang w:val="fr-FR"/>
              </w:rPr>
              <w:t>’</w:t>
            </w:r>
            <w:r w:rsidRPr="001B46CB">
              <w:rPr>
                <w:rFonts w:asciiTheme="majorBidi" w:hAnsiTheme="majorBidi" w:cstheme="majorBidi"/>
                <w:spacing w:val="2"/>
                <w:lang w:val="fr-FR"/>
              </w:rPr>
              <w:t>aider les femmes dans des pays frères touchés par un conflit armé. Bahreïn s</w:t>
            </w:r>
            <w:r w:rsidR="00801F15" w:rsidRPr="001B46CB">
              <w:rPr>
                <w:rFonts w:asciiTheme="majorBidi" w:hAnsiTheme="majorBidi" w:cstheme="majorBidi"/>
                <w:spacing w:val="2"/>
                <w:lang w:val="fr-FR"/>
              </w:rPr>
              <w:t>’</w:t>
            </w:r>
            <w:r w:rsidRPr="001B46CB">
              <w:rPr>
                <w:rFonts w:asciiTheme="majorBidi" w:hAnsiTheme="majorBidi" w:cstheme="majorBidi"/>
                <w:spacing w:val="2"/>
                <w:lang w:val="fr-FR"/>
              </w:rPr>
              <w:t>efforce d</w:t>
            </w:r>
            <w:r w:rsidR="00801F15" w:rsidRPr="001B46CB">
              <w:rPr>
                <w:rFonts w:asciiTheme="majorBidi" w:hAnsiTheme="majorBidi" w:cstheme="majorBidi"/>
                <w:spacing w:val="2"/>
                <w:lang w:val="fr-FR"/>
              </w:rPr>
              <w:t>’</w:t>
            </w:r>
            <w:r w:rsidRPr="001B46CB">
              <w:rPr>
                <w:rFonts w:asciiTheme="majorBidi" w:hAnsiTheme="majorBidi" w:cstheme="majorBidi"/>
                <w:spacing w:val="2"/>
                <w:lang w:val="fr-FR"/>
              </w:rPr>
              <w:t>apporter un appui aux femmes dans les États subissant les conséquences de tels conflits en leur prêtant son secours et en allégeant leurs souffrances.</w:t>
            </w:r>
          </w:p>
          <w:p w14:paraId="6809491D" w14:textId="36B7519A" w:rsidR="00F36F51" w:rsidRPr="001B46CB" w:rsidRDefault="00F36F51" w:rsidP="0008075B">
            <w:pPr>
              <w:pStyle w:val="ListParagraph"/>
              <w:numPr>
                <w:ilvl w:val="0"/>
                <w:numId w:val="43"/>
              </w:numPr>
              <w:spacing w:after="20" w:line="240" w:lineRule="auto"/>
              <w:ind w:left="360" w:right="144"/>
              <w:contextualSpacing w:val="0"/>
              <w:jc w:val="both"/>
              <w:rPr>
                <w:rFonts w:asciiTheme="majorBidi" w:hAnsiTheme="majorBidi" w:cstheme="majorBidi"/>
                <w:color w:val="000000" w:themeColor="text1"/>
                <w:lang w:val="fr-FR"/>
              </w:rPr>
            </w:pPr>
            <w:r w:rsidRPr="001B46CB">
              <w:rPr>
                <w:rFonts w:asciiTheme="majorBidi" w:hAnsiTheme="majorBidi" w:cstheme="majorBidi"/>
                <w:lang w:val="fr-FR"/>
              </w:rPr>
              <w:t>Il n</w:t>
            </w:r>
            <w:r w:rsidR="00801F15" w:rsidRPr="001B46CB">
              <w:rPr>
                <w:rFonts w:asciiTheme="majorBidi" w:hAnsiTheme="majorBidi" w:cstheme="majorBidi"/>
                <w:lang w:val="fr-FR"/>
              </w:rPr>
              <w:t>’</w:t>
            </w:r>
            <w:r w:rsidRPr="001B46CB">
              <w:rPr>
                <w:rFonts w:asciiTheme="majorBidi" w:hAnsiTheme="majorBidi" w:cstheme="majorBidi"/>
                <w:lang w:val="fr-FR"/>
              </w:rPr>
              <w:t>existe aucun obstacle à la participation des femmes à la prévention, à la gestion et à la résolution des conflits.</w:t>
            </w:r>
          </w:p>
          <w:p w14:paraId="4746C2D7" w14:textId="015AC02C" w:rsidR="00F36F51" w:rsidRPr="001B46CB" w:rsidRDefault="00F36F51" w:rsidP="00767A10">
            <w:pPr>
              <w:pStyle w:val="ListParagraph"/>
              <w:numPr>
                <w:ilvl w:val="0"/>
                <w:numId w:val="43"/>
              </w:numPr>
              <w:spacing w:after="20" w:line="240" w:lineRule="auto"/>
              <w:ind w:left="360" w:right="144"/>
              <w:contextualSpacing w:val="0"/>
              <w:jc w:val="both"/>
              <w:rPr>
                <w:rFonts w:asciiTheme="majorBidi" w:hAnsiTheme="majorBidi" w:cstheme="majorBidi"/>
                <w:lang w:val="fr-FR"/>
              </w:rPr>
            </w:pPr>
            <w:r w:rsidRPr="001B46CB">
              <w:rPr>
                <w:rFonts w:asciiTheme="majorBidi" w:hAnsiTheme="majorBidi" w:cstheme="majorBidi"/>
                <w:lang w:val="fr-FR"/>
              </w:rPr>
              <w:t>À l</w:t>
            </w:r>
            <w:r w:rsidR="00801F15" w:rsidRPr="001B46CB">
              <w:rPr>
                <w:rFonts w:asciiTheme="majorBidi" w:hAnsiTheme="majorBidi" w:cstheme="majorBidi"/>
                <w:lang w:val="fr-FR"/>
              </w:rPr>
              <w:t>’</w:t>
            </w:r>
            <w:r w:rsidRPr="001B46CB">
              <w:rPr>
                <w:rFonts w:asciiTheme="majorBidi" w:hAnsiTheme="majorBidi" w:cstheme="majorBidi"/>
                <w:lang w:val="fr-FR"/>
              </w:rPr>
              <w:t>heure actuelle, un groupe de femmes membres des forces armées ou de la police bahreïniennes participent au programme de formation des femmes arabes en matière de maintien de la paix et de la sécurité que l</w:t>
            </w:r>
            <w:r w:rsidR="00801F15" w:rsidRPr="001B46CB">
              <w:rPr>
                <w:rFonts w:asciiTheme="majorBidi" w:hAnsiTheme="majorBidi" w:cstheme="majorBidi"/>
                <w:lang w:val="fr-FR"/>
              </w:rPr>
              <w:t>’</w:t>
            </w:r>
            <w:r w:rsidRPr="001B46CB">
              <w:rPr>
                <w:rFonts w:asciiTheme="majorBidi" w:hAnsiTheme="majorBidi" w:cstheme="majorBidi"/>
                <w:lang w:val="fr-FR"/>
              </w:rPr>
              <w:t>école militaire émirienne Khaoula bint el-Azouar, l</w:t>
            </w:r>
            <w:r w:rsidR="00801F15" w:rsidRPr="001B46CB">
              <w:rPr>
                <w:rFonts w:asciiTheme="majorBidi" w:hAnsiTheme="majorBidi" w:cstheme="majorBidi"/>
                <w:lang w:val="fr-FR"/>
              </w:rPr>
              <w:t>’</w:t>
            </w:r>
            <w:r w:rsidRPr="001B46CB">
              <w:rPr>
                <w:rFonts w:asciiTheme="majorBidi" w:hAnsiTheme="majorBidi" w:cstheme="majorBidi"/>
                <w:lang w:val="fr-FR"/>
              </w:rPr>
              <w:t>Entité des Nations Unies pour l</w:t>
            </w:r>
            <w:r w:rsidR="00801F15" w:rsidRPr="001B46CB">
              <w:rPr>
                <w:rFonts w:asciiTheme="majorBidi" w:hAnsiTheme="majorBidi" w:cstheme="majorBidi"/>
                <w:lang w:val="fr-FR"/>
              </w:rPr>
              <w:t>’</w:t>
            </w:r>
            <w:r w:rsidRPr="001B46CB">
              <w:rPr>
                <w:rFonts w:asciiTheme="majorBidi" w:hAnsiTheme="majorBidi" w:cstheme="majorBidi"/>
                <w:lang w:val="fr-FR"/>
              </w:rPr>
              <w:t>égalité des sexes et l</w:t>
            </w:r>
            <w:r w:rsidR="00801F15" w:rsidRPr="001B46CB">
              <w:rPr>
                <w:rFonts w:asciiTheme="majorBidi" w:hAnsiTheme="majorBidi" w:cstheme="majorBidi"/>
                <w:lang w:val="fr-FR"/>
              </w:rPr>
              <w:t>’</w:t>
            </w:r>
            <w:r w:rsidRPr="001B46CB">
              <w:rPr>
                <w:rFonts w:asciiTheme="majorBidi" w:hAnsiTheme="majorBidi" w:cstheme="majorBidi"/>
                <w:lang w:val="fr-FR"/>
              </w:rPr>
              <w:t>autonomisation des femmes (ONU-Femmes) et l</w:t>
            </w:r>
            <w:r w:rsidR="00801F15" w:rsidRPr="001B46CB">
              <w:rPr>
                <w:rFonts w:asciiTheme="majorBidi" w:hAnsiTheme="majorBidi" w:cstheme="majorBidi"/>
                <w:lang w:val="fr-FR"/>
              </w:rPr>
              <w:t>’</w:t>
            </w:r>
            <w:r w:rsidRPr="001B46CB">
              <w:rPr>
                <w:rFonts w:asciiTheme="majorBidi" w:hAnsiTheme="majorBidi" w:cstheme="majorBidi"/>
                <w:lang w:val="fr-FR"/>
              </w:rPr>
              <w:t>Union générale des femmes organisent à Abou Dhabi. Ce programme vise à préparer les femmes militaires à prendre part à des opérations de maintien de la paix des Nations Unies, à accroître le nombre de femmes qualifiées dans ce domaine, à établir des cadres permettant aux femmes travaillant dans le domaine militaire et dans le domaine du maintien de la paix de se concerter, et à contribuer à la réalisation des objectifs stratégiques énoncés dans la résolution du Conseil de sécurité concernant l</w:t>
            </w:r>
            <w:r w:rsidR="00801F15" w:rsidRPr="001B46CB">
              <w:rPr>
                <w:rFonts w:asciiTheme="majorBidi" w:hAnsiTheme="majorBidi" w:cstheme="majorBidi"/>
                <w:lang w:val="fr-FR"/>
              </w:rPr>
              <w:t>’</w:t>
            </w:r>
            <w:r w:rsidRPr="001B46CB">
              <w:rPr>
                <w:rFonts w:asciiTheme="majorBidi" w:hAnsiTheme="majorBidi" w:cstheme="majorBidi"/>
                <w:lang w:val="fr-FR"/>
              </w:rPr>
              <w:t>importance de la participation des femmes, qui contribuent activement à l</w:t>
            </w:r>
            <w:r w:rsidR="00801F15" w:rsidRPr="001B46CB">
              <w:rPr>
                <w:rFonts w:asciiTheme="majorBidi" w:hAnsiTheme="majorBidi" w:cstheme="majorBidi"/>
                <w:lang w:val="fr-FR"/>
              </w:rPr>
              <w:t>’</w:t>
            </w:r>
            <w:r w:rsidRPr="001B46CB">
              <w:rPr>
                <w:rFonts w:asciiTheme="majorBidi" w:hAnsiTheme="majorBidi" w:cstheme="majorBidi"/>
                <w:lang w:val="fr-FR"/>
              </w:rPr>
              <w:t>instauration de la paix et de la sécurité.</w:t>
            </w:r>
          </w:p>
        </w:tc>
      </w:tr>
      <w:tr w:rsidR="00AC6FEF" w:rsidRPr="001B46CB" w14:paraId="56F86708" w14:textId="77777777" w:rsidTr="00767A10">
        <w:trPr>
          <w:tblCellSpacing w:w="20" w:type="dxa"/>
          <w:jc w:val="center"/>
        </w:trPr>
        <w:tc>
          <w:tcPr>
            <w:tcW w:w="2701" w:type="pct"/>
            <w:gridSpan w:val="8"/>
            <w:shd w:val="clear" w:color="auto" w:fill="DDD9C3" w:themeFill="background2" w:themeFillShade="E6"/>
          </w:tcPr>
          <w:p w14:paraId="1A71B086" w14:textId="77777777" w:rsidR="00F36F51" w:rsidRPr="001B46CB" w:rsidRDefault="00F36F51" w:rsidP="00F6444B">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Domaine concerné</w:t>
            </w:r>
          </w:p>
        </w:tc>
        <w:tc>
          <w:tcPr>
            <w:tcW w:w="2238" w:type="pct"/>
            <w:gridSpan w:val="5"/>
            <w:shd w:val="clear" w:color="auto" w:fill="EEECE1" w:themeFill="background2"/>
          </w:tcPr>
          <w:p w14:paraId="168DBF81" w14:textId="77777777" w:rsidR="00F36F51" w:rsidRPr="001B46CB" w:rsidRDefault="00F36F51" w:rsidP="00F6444B">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Accès à la justice</w:t>
            </w:r>
          </w:p>
        </w:tc>
      </w:tr>
      <w:tr w:rsidR="00F36F51" w:rsidRPr="001B46CB" w14:paraId="0A384683" w14:textId="77777777" w:rsidTr="0080608B">
        <w:trPr>
          <w:tblCellSpacing w:w="20" w:type="dxa"/>
          <w:jc w:val="center"/>
        </w:trPr>
        <w:tc>
          <w:tcPr>
            <w:tcW w:w="4959" w:type="pct"/>
            <w:gridSpan w:val="13"/>
            <w:shd w:val="clear" w:color="auto" w:fill="C4BC96" w:themeFill="background2" w:themeFillShade="BF"/>
          </w:tcPr>
          <w:p w14:paraId="129571B7" w14:textId="77777777" w:rsidR="00F36F51" w:rsidRPr="001B46CB" w:rsidRDefault="00F36F51" w:rsidP="00F6444B">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F36F51" w:rsidRPr="001B46CB" w14:paraId="0CB6C6F5" w14:textId="77777777" w:rsidTr="0080608B">
        <w:trPr>
          <w:tblCellSpacing w:w="20" w:type="dxa"/>
          <w:jc w:val="center"/>
        </w:trPr>
        <w:tc>
          <w:tcPr>
            <w:tcW w:w="4959" w:type="pct"/>
            <w:gridSpan w:val="13"/>
            <w:shd w:val="clear" w:color="auto" w:fill="auto"/>
            <w:vAlign w:val="center"/>
          </w:tcPr>
          <w:p w14:paraId="2BF5B894" w14:textId="0EB4C0AF" w:rsidR="00F36F51" w:rsidRPr="001B46CB" w:rsidRDefault="00F36F51" w:rsidP="0080608B">
            <w:pPr>
              <w:pStyle w:val="ListParagraph"/>
              <w:numPr>
                <w:ilvl w:val="0"/>
                <w:numId w:val="42"/>
              </w:numPr>
              <w:spacing w:after="20" w:line="240" w:lineRule="auto"/>
              <w:ind w:left="360" w:right="144"/>
              <w:jc w:val="both"/>
              <w:rPr>
                <w:rFonts w:asciiTheme="majorBidi" w:hAnsiTheme="majorBidi" w:cstheme="majorBidi"/>
                <w:b/>
                <w:bCs/>
                <w:color w:val="000000" w:themeColor="text1"/>
                <w:lang w:val="fr-FR"/>
              </w:rPr>
            </w:pPr>
            <w:r w:rsidRPr="001B46CB">
              <w:rPr>
                <w:rFonts w:asciiTheme="majorBidi" w:hAnsiTheme="majorBidi" w:cstheme="majorBidi"/>
                <w:lang w:val="fr-FR"/>
              </w:rPr>
              <w:t>Au paragraphe 70 de son rapport, l</w:t>
            </w:r>
            <w:r w:rsidR="00801F15" w:rsidRPr="001B46CB">
              <w:rPr>
                <w:rFonts w:asciiTheme="majorBidi" w:hAnsiTheme="majorBidi" w:cstheme="majorBidi"/>
                <w:lang w:val="fr-FR"/>
              </w:rPr>
              <w:t>’</w:t>
            </w:r>
            <w:r w:rsidRPr="001B46CB">
              <w:rPr>
                <w:rFonts w:asciiTheme="majorBidi" w:hAnsiTheme="majorBidi" w:cstheme="majorBidi"/>
                <w:lang w:val="fr-FR"/>
              </w:rPr>
              <w:t>État partie indique que le Conseil supérieur de la femme accorde une assistance juridique gratuite pour les affaires relatives à la conciliation des époux, au divorce et à la garde des enfants, ainsi que dans les affaires civiles susceptibles de concerner d</w:t>
            </w:r>
            <w:r w:rsidR="00801F15" w:rsidRPr="001B46CB">
              <w:rPr>
                <w:rFonts w:asciiTheme="majorBidi" w:hAnsiTheme="majorBidi" w:cstheme="majorBidi"/>
                <w:lang w:val="fr-FR"/>
              </w:rPr>
              <w:t>’</w:t>
            </w:r>
            <w:r w:rsidRPr="001B46CB">
              <w:rPr>
                <w:rFonts w:asciiTheme="majorBidi" w:hAnsiTheme="majorBidi" w:cstheme="majorBidi"/>
                <w:lang w:val="fr-FR"/>
              </w:rPr>
              <w:t>autres questions liées à la famille. Veuillez fournir des données sur les cas signalés à cette institution, notamment sur les affaires concernant l</w:t>
            </w:r>
            <w:r w:rsidR="00801F15" w:rsidRPr="001B46CB">
              <w:rPr>
                <w:rFonts w:asciiTheme="majorBidi" w:hAnsiTheme="majorBidi" w:cstheme="majorBidi"/>
                <w:lang w:val="fr-FR"/>
              </w:rPr>
              <w:t>’</w:t>
            </w:r>
            <w:r w:rsidRPr="001B46CB">
              <w:rPr>
                <w:rFonts w:asciiTheme="majorBidi" w:hAnsiTheme="majorBidi" w:cstheme="majorBidi"/>
                <w:lang w:val="fr-FR"/>
              </w:rPr>
              <w:t>emploi, l</w:t>
            </w:r>
            <w:r w:rsidR="00801F15" w:rsidRPr="001B46CB">
              <w:rPr>
                <w:rFonts w:asciiTheme="majorBidi" w:hAnsiTheme="majorBidi" w:cstheme="majorBidi"/>
                <w:lang w:val="fr-FR"/>
              </w:rPr>
              <w:t>’</w:t>
            </w:r>
            <w:r w:rsidRPr="001B46CB">
              <w:rPr>
                <w:rFonts w:asciiTheme="majorBidi" w:hAnsiTheme="majorBidi" w:cstheme="majorBidi"/>
                <w:lang w:val="fr-FR"/>
              </w:rPr>
              <w:t>éducation, le harcèlement sexuel, la santé et la participation à la vie politique et publique.</w:t>
            </w:r>
          </w:p>
        </w:tc>
      </w:tr>
      <w:tr w:rsidR="00F36F51" w:rsidRPr="001B46CB" w14:paraId="77A6768B" w14:textId="77777777" w:rsidTr="0080608B">
        <w:trPr>
          <w:tblCellSpacing w:w="20" w:type="dxa"/>
          <w:jc w:val="center"/>
        </w:trPr>
        <w:tc>
          <w:tcPr>
            <w:tcW w:w="4959" w:type="pct"/>
            <w:gridSpan w:val="13"/>
            <w:shd w:val="clear" w:color="auto" w:fill="C4BC96" w:themeFill="background2" w:themeFillShade="BF"/>
            <w:vAlign w:val="center"/>
          </w:tcPr>
          <w:p w14:paraId="5AFB5987" w14:textId="77777777" w:rsidR="00F36F51" w:rsidRPr="001B46CB" w:rsidRDefault="00F36F51" w:rsidP="00F6444B">
            <w:pPr>
              <w:pStyle w:val="ListParagraph"/>
              <w:tabs>
                <w:tab w:val="left" w:pos="197"/>
              </w:tabs>
              <w:spacing w:after="40" w:line="240" w:lineRule="auto"/>
              <w:ind w:left="197" w:right="144"/>
              <w:jc w:val="center"/>
              <w:rPr>
                <w:rFonts w:asciiTheme="majorBidi" w:hAnsiTheme="majorBidi" w:cstheme="majorBidi"/>
                <w:lang w:val="fr-FR"/>
              </w:rPr>
            </w:pPr>
            <w:r w:rsidRPr="001B46CB">
              <w:rPr>
                <w:rFonts w:asciiTheme="majorBidi" w:hAnsiTheme="majorBidi" w:cstheme="majorBidi"/>
                <w:b/>
                <w:bCs/>
                <w:lang w:val="fr-FR"/>
              </w:rPr>
              <w:t>Réponse</w:t>
            </w:r>
          </w:p>
        </w:tc>
      </w:tr>
      <w:tr w:rsidR="00F36F51" w:rsidRPr="001B46CB" w14:paraId="59C370EA" w14:textId="77777777" w:rsidTr="0080608B">
        <w:trPr>
          <w:trHeight w:val="1405"/>
          <w:tblCellSpacing w:w="20" w:type="dxa"/>
          <w:jc w:val="center"/>
        </w:trPr>
        <w:tc>
          <w:tcPr>
            <w:tcW w:w="4959" w:type="pct"/>
            <w:gridSpan w:val="13"/>
            <w:shd w:val="clear" w:color="auto" w:fill="auto"/>
            <w:vAlign w:val="center"/>
          </w:tcPr>
          <w:p w14:paraId="481E9EEB" w14:textId="588BA7FE" w:rsidR="00F36F51" w:rsidRPr="001B46CB" w:rsidRDefault="00F36F51" w:rsidP="0080608B">
            <w:pPr>
              <w:pStyle w:val="ListParagraph"/>
              <w:numPr>
                <w:ilvl w:val="0"/>
                <w:numId w:val="43"/>
              </w:numPr>
              <w:spacing w:after="20" w:line="240" w:lineRule="auto"/>
              <w:ind w:left="360" w:right="144"/>
              <w:jc w:val="both"/>
              <w:rPr>
                <w:rFonts w:asciiTheme="majorBidi" w:hAnsiTheme="majorBidi" w:cstheme="majorBidi"/>
                <w:lang w:val="fr-FR"/>
              </w:rPr>
            </w:pPr>
            <w:r w:rsidRPr="001B46CB">
              <w:rPr>
                <w:rFonts w:asciiTheme="majorBidi" w:hAnsiTheme="majorBidi" w:cstheme="majorBidi"/>
                <w:lang w:val="fr-FR"/>
              </w:rPr>
              <w:t xml:space="preserve">La </w:t>
            </w:r>
            <w:r w:rsidR="00471F26" w:rsidRPr="001B46CB">
              <w:rPr>
                <w:rFonts w:asciiTheme="majorBidi" w:hAnsiTheme="majorBidi" w:cstheme="majorBidi"/>
                <w:lang w:val="fr-FR"/>
              </w:rPr>
              <w:t xml:space="preserve">Section </w:t>
            </w:r>
            <w:r w:rsidRPr="001B46CB">
              <w:rPr>
                <w:rFonts w:asciiTheme="majorBidi" w:hAnsiTheme="majorBidi" w:cstheme="majorBidi"/>
                <w:lang w:val="fr-FR"/>
              </w:rPr>
              <w:t xml:space="preserve">des avis juridiques du </w:t>
            </w:r>
            <w:r w:rsidR="00C022D3" w:rsidRPr="001B46CB">
              <w:rPr>
                <w:rFonts w:asciiTheme="majorBidi" w:hAnsiTheme="majorBidi" w:cstheme="majorBidi"/>
                <w:lang w:val="fr-FR"/>
              </w:rPr>
              <w:t xml:space="preserve">Centre </w:t>
            </w:r>
            <w:r w:rsidRPr="001B46CB">
              <w:rPr>
                <w:rFonts w:asciiTheme="majorBidi" w:hAnsiTheme="majorBidi" w:cstheme="majorBidi"/>
                <w:lang w:val="fr-FR"/>
              </w:rPr>
              <w:t>d</w:t>
            </w:r>
            <w:r w:rsidR="00801F15" w:rsidRPr="001B46CB">
              <w:rPr>
                <w:rFonts w:asciiTheme="majorBidi" w:hAnsiTheme="majorBidi" w:cstheme="majorBidi"/>
                <w:lang w:val="fr-FR"/>
              </w:rPr>
              <w:t>’</w:t>
            </w:r>
            <w:r w:rsidRPr="001B46CB">
              <w:rPr>
                <w:rFonts w:asciiTheme="majorBidi" w:hAnsiTheme="majorBidi" w:cstheme="majorBidi"/>
                <w:lang w:val="fr-FR"/>
              </w:rPr>
              <w:t>appui aux femmes, qui relève du Conseil supérieur de la femme</w:t>
            </w:r>
            <w:r w:rsidR="00C022D3" w:rsidRPr="001B46CB">
              <w:rPr>
                <w:rFonts w:asciiTheme="majorBidi" w:hAnsiTheme="majorBidi" w:cstheme="majorBidi"/>
                <w:lang w:val="fr-FR"/>
              </w:rPr>
              <w:t>,</w:t>
            </w:r>
            <w:r w:rsidRPr="001B46CB">
              <w:rPr>
                <w:rFonts w:asciiTheme="majorBidi" w:hAnsiTheme="majorBidi" w:cstheme="majorBidi"/>
                <w:lang w:val="fr-FR"/>
              </w:rPr>
              <w:t xml:space="preserve"> a reçu 418</w:t>
            </w:r>
            <w:r w:rsidR="00801F15" w:rsidRPr="001B46CB">
              <w:rPr>
                <w:rFonts w:asciiTheme="majorBidi" w:hAnsiTheme="majorBidi" w:cstheme="majorBidi"/>
                <w:lang w:val="fr-FR"/>
              </w:rPr>
              <w:t xml:space="preserve"> </w:t>
            </w:r>
            <w:r w:rsidRPr="001B46CB">
              <w:rPr>
                <w:rFonts w:asciiTheme="majorBidi" w:hAnsiTheme="majorBidi" w:cstheme="majorBidi"/>
                <w:lang w:val="fr-FR"/>
              </w:rPr>
              <w:t>demandes d</w:t>
            </w:r>
            <w:r w:rsidR="00801F15" w:rsidRPr="001B46CB">
              <w:rPr>
                <w:rFonts w:asciiTheme="majorBidi" w:hAnsiTheme="majorBidi" w:cstheme="majorBidi"/>
                <w:lang w:val="fr-FR"/>
              </w:rPr>
              <w:t>’</w:t>
            </w:r>
            <w:r w:rsidRPr="001B46CB">
              <w:rPr>
                <w:rFonts w:asciiTheme="majorBidi" w:hAnsiTheme="majorBidi" w:cstheme="majorBidi"/>
                <w:lang w:val="fr-FR"/>
              </w:rPr>
              <w:t>aide juridique en 2017</w:t>
            </w:r>
            <w:r w:rsidR="00801F15" w:rsidRPr="001B46CB">
              <w:rPr>
                <w:rFonts w:asciiTheme="majorBidi" w:hAnsiTheme="majorBidi" w:cstheme="majorBidi"/>
                <w:lang w:val="fr-FR"/>
              </w:rPr>
              <w:t xml:space="preserve"> </w:t>
            </w:r>
            <w:r w:rsidRPr="001B46CB">
              <w:rPr>
                <w:rFonts w:asciiTheme="majorBidi" w:hAnsiTheme="majorBidi" w:cstheme="majorBidi"/>
                <w:lang w:val="fr-FR"/>
              </w:rPr>
              <w:t>et 670 en 2018. Des conseils juridiques, un soutien psychosocial et une aide juridictionnelle ont été fournis et les demandes ont été transmises à des cabinets d</w:t>
            </w:r>
            <w:r w:rsidR="00801F15" w:rsidRPr="001B46CB">
              <w:rPr>
                <w:rFonts w:asciiTheme="majorBidi" w:hAnsiTheme="majorBidi" w:cstheme="majorBidi"/>
                <w:lang w:val="fr-FR"/>
              </w:rPr>
              <w:t>’</w:t>
            </w:r>
            <w:r w:rsidRPr="001B46CB">
              <w:rPr>
                <w:rFonts w:asciiTheme="majorBidi" w:hAnsiTheme="majorBidi" w:cstheme="majorBidi"/>
                <w:lang w:val="fr-FR"/>
              </w:rPr>
              <w:t>avocats afin que les femmes concernées puissent être représentées dans le cadre des poursuites judiciaires engagées devant les tribunaux religieux et les juridictions civiles. Des conseils juridiques et des services d</w:t>
            </w:r>
            <w:r w:rsidR="00801F15" w:rsidRPr="001B46CB">
              <w:rPr>
                <w:rFonts w:asciiTheme="majorBidi" w:hAnsiTheme="majorBidi" w:cstheme="majorBidi"/>
                <w:lang w:val="fr-FR"/>
              </w:rPr>
              <w:t>’</w:t>
            </w:r>
            <w:r w:rsidRPr="001B46CB">
              <w:rPr>
                <w:rFonts w:asciiTheme="majorBidi" w:hAnsiTheme="majorBidi" w:cstheme="majorBidi"/>
                <w:lang w:val="fr-FR"/>
              </w:rPr>
              <w:t>orientation ont été dispensés comme il se doit à 25 occasions en 2017 et 35 en 2018 dans le cadre de plaintes relatives au travail.</w:t>
            </w:r>
          </w:p>
        </w:tc>
      </w:tr>
      <w:tr w:rsidR="00F36F51" w:rsidRPr="001B46CB" w14:paraId="6F7F4574" w14:textId="77777777" w:rsidTr="0080608B">
        <w:trPr>
          <w:tblCellSpacing w:w="20" w:type="dxa"/>
          <w:jc w:val="center"/>
        </w:trPr>
        <w:tc>
          <w:tcPr>
            <w:tcW w:w="4959" w:type="pct"/>
            <w:gridSpan w:val="13"/>
            <w:shd w:val="clear" w:color="auto" w:fill="C4BC96" w:themeFill="background2" w:themeFillShade="BF"/>
            <w:vAlign w:val="center"/>
          </w:tcPr>
          <w:p w14:paraId="39CFAF27" w14:textId="77777777" w:rsidR="00F36F51" w:rsidRPr="001B46CB" w:rsidRDefault="00F36F51" w:rsidP="00F6444B">
            <w:pPr>
              <w:pStyle w:val="ListParagraph"/>
              <w:tabs>
                <w:tab w:val="left" w:pos="197"/>
              </w:tabs>
              <w:spacing w:after="40" w:line="240" w:lineRule="auto"/>
              <w:ind w:left="197" w:right="144"/>
              <w:jc w:val="center"/>
              <w:rPr>
                <w:rFonts w:asciiTheme="majorBidi" w:hAnsiTheme="majorBidi" w:cstheme="majorBidi"/>
                <w:b/>
                <w:bCs/>
                <w:lang w:val="fr-FR"/>
              </w:rPr>
            </w:pPr>
            <w:r w:rsidRPr="001B46CB">
              <w:rPr>
                <w:rFonts w:asciiTheme="majorBidi" w:hAnsiTheme="majorBidi" w:cstheme="majorBidi"/>
                <w:b/>
                <w:bCs/>
                <w:lang w:val="fr-FR"/>
              </w:rPr>
              <w:t>Observations du Comité</w:t>
            </w:r>
          </w:p>
        </w:tc>
      </w:tr>
      <w:tr w:rsidR="00F36F51" w:rsidRPr="001B46CB" w14:paraId="72D8B0C9" w14:textId="77777777" w:rsidTr="0080608B">
        <w:trPr>
          <w:trHeight w:val="568"/>
          <w:tblCellSpacing w:w="20" w:type="dxa"/>
          <w:jc w:val="center"/>
        </w:trPr>
        <w:tc>
          <w:tcPr>
            <w:tcW w:w="4959" w:type="pct"/>
            <w:gridSpan w:val="13"/>
            <w:shd w:val="clear" w:color="auto" w:fill="auto"/>
            <w:vAlign w:val="center"/>
          </w:tcPr>
          <w:p w14:paraId="00986EA0" w14:textId="6494BAAE" w:rsidR="00F36F51" w:rsidRPr="001B46CB" w:rsidRDefault="00F36F51" w:rsidP="0080608B">
            <w:pPr>
              <w:pStyle w:val="ListParagraph"/>
              <w:numPr>
                <w:ilvl w:val="0"/>
                <w:numId w:val="42"/>
              </w:numPr>
              <w:tabs>
                <w:tab w:val="left" w:pos="0"/>
              </w:tabs>
              <w:spacing w:after="20" w:line="240" w:lineRule="auto"/>
              <w:ind w:left="360" w:right="144"/>
              <w:contextualSpacing w:val="0"/>
              <w:jc w:val="both"/>
              <w:rPr>
                <w:rFonts w:asciiTheme="majorBidi" w:hAnsiTheme="majorBidi" w:cstheme="majorBidi"/>
                <w:lang w:val="fr-FR"/>
              </w:rPr>
            </w:pPr>
            <w:r w:rsidRPr="001B46CB">
              <w:rPr>
                <w:rFonts w:asciiTheme="majorBidi" w:hAnsiTheme="majorBidi" w:cstheme="majorBidi"/>
                <w:lang w:val="fr-FR"/>
              </w:rPr>
              <w:t>Veuillez fournir des renseignements sur le contenu des formations mentionnées au paragraphe 103, ainsi que sur le rôle des participantes et leur nombre. Veuillez indiquer les mesures prises pour encourager les femmes à signaler les cas de violence faite aux femmes [</w:t>
            </w:r>
            <w:hyperlink r:id="rId22" w:history="1">
              <w:r w:rsidRPr="001B46CB">
                <w:rPr>
                  <w:rStyle w:val="Hyperlink"/>
                  <w:rFonts w:asciiTheme="majorBidi" w:hAnsiTheme="majorBidi" w:cstheme="majorBidi"/>
                  <w:lang w:val="fr-FR"/>
                </w:rPr>
                <w:t>CEDAW/C/BHR/CO/3</w:t>
              </w:r>
            </w:hyperlink>
            <w:r w:rsidRPr="001B46CB">
              <w:rPr>
                <w:rFonts w:asciiTheme="majorBidi" w:hAnsiTheme="majorBidi" w:cstheme="majorBidi"/>
                <w:lang w:val="fr-FR"/>
              </w:rPr>
              <w:t xml:space="preserve">, </w:t>
            </w:r>
            <w:r w:rsidR="00CC1C14" w:rsidRPr="001B46CB">
              <w:rPr>
                <w:rFonts w:asciiTheme="majorBidi" w:hAnsiTheme="majorBidi" w:cstheme="majorBidi"/>
                <w:lang w:val="fr-FR"/>
              </w:rPr>
              <w:t>par. </w:t>
            </w:r>
            <w:r w:rsidRPr="001B46CB">
              <w:rPr>
                <w:rFonts w:asciiTheme="majorBidi" w:hAnsiTheme="majorBidi" w:cstheme="majorBidi"/>
                <w:lang w:val="fr-FR"/>
              </w:rPr>
              <w:t>22 f) et g)], y compris la violence sexuelle, le viol et la violence domestique, comme par exemple les initiatives visant à leur faire connaître les dispositions existant dans l</w:t>
            </w:r>
            <w:r w:rsidR="00801F15" w:rsidRPr="001B46CB">
              <w:rPr>
                <w:rFonts w:asciiTheme="majorBidi" w:hAnsiTheme="majorBidi" w:cstheme="majorBidi"/>
                <w:lang w:val="fr-FR"/>
              </w:rPr>
              <w:t>’</w:t>
            </w:r>
            <w:r w:rsidRPr="001B46CB">
              <w:rPr>
                <w:rFonts w:asciiTheme="majorBidi" w:hAnsiTheme="majorBidi" w:cstheme="majorBidi"/>
                <w:lang w:val="fr-FR"/>
              </w:rPr>
              <w:t>État partie pour assurer la protection des témoins (</w:t>
            </w:r>
            <w:r w:rsidR="00CC1C14" w:rsidRPr="001B46CB">
              <w:rPr>
                <w:rFonts w:asciiTheme="majorBidi" w:hAnsiTheme="majorBidi" w:cstheme="majorBidi"/>
                <w:lang w:val="fr-FR"/>
              </w:rPr>
              <w:t>par. </w:t>
            </w:r>
            <w:r w:rsidRPr="001B46CB">
              <w:rPr>
                <w:rFonts w:asciiTheme="majorBidi" w:hAnsiTheme="majorBidi" w:cstheme="majorBidi"/>
                <w:lang w:val="fr-FR"/>
              </w:rPr>
              <w:t>115) et garantir que les victimes et les auteurs soient interrogés séparément.</w:t>
            </w:r>
          </w:p>
        </w:tc>
      </w:tr>
      <w:tr w:rsidR="00F36F51" w:rsidRPr="001B46CB" w14:paraId="55048B15" w14:textId="77777777" w:rsidTr="0080608B">
        <w:trPr>
          <w:tblCellSpacing w:w="20" w:type="dxa"/>
          <w:jc w:val="center"/>
        </w:trPr>
        <w:tc>
          <w:tcPr>
            <w:tcW w:w="4959" w:type="pct"/>
            <w:gridSpan w:val="13"/>
            <w:shd w:val="clear" w:color="auto" w:fill="C4BC96" w:themeFill="background2" w:themeFillShade="BF"/>
            <w:vAlign w:val="center"/>
          </w:tcPr>
          <w:p w14:paraId="7E0305DA" w14:textId="77777777" w:rsidR="00F36F51" w:rsidRPr="001B46CB" w:rsidRDefault="00F36F51" w:rsidP="0080608B">
            <w:pPr>
              <w:pStyle w:val="ListParagraph"/>
              <w:tabs>
                <w:tab w:val="left" w:pos="197"/>
              </w:tabs>
              <w:spacing w:after="40" w:line="240" w:lineRule="auto"/>
              <w:ind w:left="197" w:right="144"/>
              <w:jc w:val="center"/>
              <w:rPr>
                <w:rFonts w:asciiTheme="majorBidi" w:hAnsiTheme="majorBidi" w:cstheme="majorBidi"/>
                <w:b/>
                <w:bCs/>
                <w:lang w:val="fr-FR"/>
              </w:rPr>
            </w:pPr>
            <w:r w:rsidRPr="001B46CB">
              <w:rPr>
                <w:rFonts w:asciiTheme="majorBidi" w:hAnsiTheme="majorBidi" w:cstheme="majorBidi"/>
                <w:b/>
                <w:bCs/>
                <w:lang w:val="fr-FR"/>
              </w:rPr>
              <w:t>Réponse</w:t>
            </w:r>
          </w:p>
        </w:tc>
      </w:tr>
      <w:tr w:rsidR="00F36F51" w:rsidRPr="001B46CB" w14:paraId="22377967" w14:textId="77777777" w:rsidTr="00767A10">
        <w:trPr>
          <w:tblCellSpacing w:w="20" w:type="dxa"/>
          <w:jc w:val="center"/>
        </w:trPr>
        <w:tc>
          <w:tcPr>
            <w:tcW w:w="4959" w:type="pct"/>
            <w:gridSpan w:val="13"/>
            <w:shd w:val="clear" w:color="auto" w:fill="auto"/>
            <w:vAlign w:val="center"/>
          </w:tcPr>
          <w:p w14:paraId="2A588D75" w14:textId="00B8A813" w:rsidR="00F36F51" w:rsidRPr="001B46CB" w:rsidRDefault="00F36F51" w:rsidP="00767A10">
            <w:pPr>
              <w:pStyle w:val="ListParagraph"/>
              <w:numPr>
                <w:ilvl w:val="0"/>
                <w:numId w:val="43"/>
              </w:numPr>
              <w:spacing w:after="20" w:line="240" w:lineRule="auto"/>
              <w:ind w:left="360" w:right="144"/>
              <w:contextualSpacing w:val="0"/>
              <w:jc w:val="both"/>
              <w:rPr>
                <w:rFonts w:asciiTheme="majorBidi" w:hAnsiTheme="majorBidi" w:cstheme="majorBidi"/>
                <w:lang w:val="fr-FR"/>
              </w:rPr>
            </w:pPr>
            <w:r w:rsidRPr="001B46CB">
              <w:rPr>
                <w:rFonts w:asciiTheme="majorBidi" w:hAnsiTheme="majorBidi" w:cstheme="majorBidi"/>
                <w:lang w:val="fr-FR"/>
              </w:rPr>
              <w:t>Bahreïn réaffirme la teneur du paragraphe 103 de son quatrième rapport périodique. Le ministère public propose à la population civile des programmes et des formations pour accroître la sensibilisation et les connaissances relatives aux droits des femmes, à la protection juridique, sociale et psychologique à laquelle elles ont accès et à l</w:t>
            </w:r>
            <w:r w:rsidR="00801F15" w:rsidRPr="001B46CB">
              <w:rPr>
                <w:rFonts w:asciiTheme="majorBidi" w:hAnsiTheme="majorBidi" w:cstheme="majorBidi"/>
                <w:lang w:val="fr-FR"/>
              </w:rPr>
              <w:t>’</w:t>
            </w:r>
            <w:r w:rsidRPr="001B46CB">
              <w:rPr>
                <w:rFonts w:asciiTheme="majorBidi" w:hAnsiTheme="majorBidi" w:cstheme="majorBidi"/>
                <w:lang w:val="fr-FR"/>
              </w:rPr>
              <w:t>importance de signaler tout acte de violence qu</w:t>
            </w:r>
            <w:r w:rsidR="00801F15" w:rsidRPr="001B46CB">
              <w:rPr>
                <w:rFonts w:asciiTheme="majorBidi" w:hAnsiTheme="majorBidi" w:cstheme="majorBidi"/>
                <w:lang w:val="fr-FR"/>
              </w:rPr>
              <w:t>’</w:t>
            </w:r>
            <w:r w:rsidRPr="001B46CB">
              <w:rPr>
                <w:rFonts w:asciiTheme="majorBidi" w:hAnsiTheme="majorBidi" w:cstheme="majorBidi"/>
                <w:lang w:val="fr-FR"/>
              </w:rPr>
              <w:t>elles subissent.</w:t>
            </w:r>
            <w:r w:rsidR="00801F15" w:rsidRPr="001B46CB">
              <w:rPr>
                <w:rFonts w:asciiTheme="majorBidi" w:hAnsiTheme="majorBidi" w:cstheme="majorBidi"/>
                <w:lang w:val="fr-FR"/>
              </w:rPr>
              <w:t xml:space="preserve"> </w:t>
            </w:r>
            <w:r w:rsidRPr="001B46CB">
              <w:rPr>
                <w:rFonts w:asciiTheme="majorBidi" w:hAnsiTheme="majorBidi" w:cstheme="majorBidi"/>
                <w:lang w:val="fr-FR"/>
              </w:rPr>
              <w:t>On trouvera à l</w:t>
            </w:r>
            <w:r w:rsidR="00801F15" w:rsidRPr="001B46CB">
              <w:rPr>
                <w:rFonts w:asciiTheme="majorBidi" w:hAnsiTheme="majorBidi" w:cstheme="majorBidi"/>
                <w:lang w:val="fr-FR"/>
              </w:rPr>
              <w:t>’</w:t>
            </w:r>
            <w:r w:rsidRPr="001B46CB">
              <w:rPr>
                <w:rFonts w:asciiTheme="majorBidi" w:hAnsiTheme="majorBidi" w:cstheme="majorBidi"/>
                <w:lang w:val="fr-FR"/>
              </w:rPr>
              <w:t>annexe</w:t>
            </w:r>
            <w:r w:rsidR="00574C2A" w:rsidRPr="001B46CB">
              <w:rPr>
                <w:rFonts w:asciiTheme="majorBidi" w:hAnsiTheme="majorBidi" w:cstheme="majorBidi"/>
                <w:lang w:val="fr-FR"/>
              </w:rPr>
              <w:t> </w:t>
            </w:r>
            <w:r w:rsidRPr="001B46CB">
              <w:rPr>
                <w:rFonts w:asciiTheme="majorBidi" w:hAnsiTheme="majorBidi" w:cstheme="majorBidi"/>
                <w:lang w:val="fr-FR"/>
              </w:rPr>
              <w:t>1 un tableau</w:t>
            </w:r>
            <w:r w:rsidR="00801F15" w:rsidRPr="001B46CB">
              <w:rPr>
                <w:rFonts w:asciiTheme="majorBidi" w:hAnsiTheme="majorBidi" w:cstheme="majorBidi"/>
                <w:lang w:val="fr-FR"/>
              </w:rPr>
              <w:t xml:space="preserve"> </w:t>
            </w:r>
            <w:r w:rsidRPr="001B46CB">
              <w:rPr>
                <w:rFonts w:asciiTheme="majorBidi" w:hAnsiTheme="majorBidi" w:cstheme="majorBidi"/>
                <w:lang w:val="fr-FR"/>
              </w:rPr>
              <w:t>récapitulatif des programmes et séances de formation organisées.</w:t>
            </w:r>
          </w:p>
        </w:tc>
      </w:tr>
      <w:tr w:rsidR="00AC6FEF" w:rsidRPr="001B46CB" w14:paraId="461E1877" w14:textId="77777777" w:rsidTr="00767A10">
        <w:trPr>
          <w:tblCellSpacing w:w="20" w:type="dxa"/>
          <w:jc w:val="center"/>
        </w:trPr>
        <w:tc>
          <w:tcPr>
            <w:tcW w:w="2479" w:type="pct"/>
            <w:gridSpan w:val="7"/>
            <w:shd w:val="clear" w:color="auto" w:fill="DDD9C3" w:themeFill="background2" w:themeFillShade="E6"/>
          </w:tcPr>
          <w:p w14:paraId="45392B3A" w14:textId="77777777" w:rsidR="00F36F51" w:rsidRPr="001B46CB" w:rsidRDefault="00F36F51" w:rsidP="00F6444B">
            <w:pPr>
              <w:spacing w:after="40" w:line="240" w:lineRule="auto"/>
              <w:ind w:right="144"/>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Domaine concerné</w:t>
            </w:r>
          </w:p>
        </w:tc>
        <w:tc>
          <w:tcPr>
            <w:tcW w:w="2460" w:type="pct"/>
            <w:gridSpan w:val="6"/>
            <w:shd w:val="clear" w:color="auto" w:fill="EEECE1" w:themeFill="background2"/>
          </w:tcPr>
          <w:p w14:paraId="3D3C1C7F" w14:textId="7B5E28D6" w:rsidR="00F36F51" w:rsidRPr="001B46CB" w:rsidRDefault="00F36F51" w:rsidP="00F6444B">
            <w:pPr>
              <w:spacing w:after="40" w:line="240" w:lineRule="auto"/>
              <w:ind w:right="144"/>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Institution nationale des droits de l</w:t>
            </w:r>
            <w:r w:rsidR="00801F15" w:rsidRPr="001B46CB">
              <w:rPr>
                <w:rFonts w:asciiTheme="majorBidi" w:hAnsiTheme="majorBidi" w:cstheme="majorBidi"/>
                <w:b/>
                <w:bCs/>
                <w:lang w:val="fr-FR"/>
              </w:rPr>
              <w:t>’</w:t>
            </w:r>
            <w:r w:rsidRPr="001B46CB">
              <w:rPr>
                <w:rFonts w:asciiTheme="majorBidi" w:hAnsiTheme="majorBidi" w:cstheme="majorBidi"/>
                <w:b/>
                <w:bCs/>
                <w:lang w:val="fr-FR"/>
              </w:rPr>
              <w:t>homme</w:t>
            </w:r>
          </w:p>
        </w:tc>
      </w:tr>
      <w:tr w:rsidR="00F36F51" w:rsidRPr="001B46CB" w14:paraId="31C700DB" w14:textId="77777777" w:rsidTr="0080608B">
        <w:trPr>
          <w:tblCellSpacing w:w="20" w:type="dxa"/>
          <w:jc w:val="center"/>
        </w:trPr>
        <w:tc>
          <w:tcPr>
            <w:tcW w:w="4959" w:type="pct"/>
            <w:gridSpan w:val="13"/>
            <w:shd w:val="clear" w:color="auto" w:fill="C4BC96" w:themeFill="background2" w:themeFillShade="BF"/>
          </w:tcPr>
          <w:p w14:paraId="0B9D6F64" w14:textId="77777777" w:rsidR="00F36F51" w:rsidRPr="001B46CB" w:rsidRDefault="00F36F51" w:rsidP="00F6444B">
            <w:pPr>
              <w:spacing w:after="40" w:line="240" w:lineRule="auto"/>
              <w:ind w:right="144"/>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F36F51" w:rsidRPr="001B46CB" w14:paraId="42B31575" w14:textId="77777777" w:rsidTr="0080608B">
        <w:trPr>
          <w:tblCellSpacing w:w="20" w:type="dxa"/>
          <w:jc w:val="center"/>
        </w:trPr>
        <w:tc>
          <w:tcPr>
            <w:tcW w:w="4959" w:type="pct"/>
            <w:gridSpan w:val="13"/>
            <w:shd w:val="clear" w:color="auto" w:fill="auto"/>
            <w:vAlign w:val="center"/>
          </w:tcPr>
          <w:p w14:paraId="3A78ADDF" w14:textId="5983E315" w:rsidR="00F36F51" w:rsidRPr="001B46CB" w:rsidRDefault="00F36F51" w:rsidP="0080608B">
            <w:pPr>
              <w:pStyle w:val="ListParagraph"/>
              <w:numPr>
                <w:ilvl w:val="0"/>
                <w:numId w:val="42"/>
              </w:numPr>
              <w:spacing w:after="20"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Veuillez fournir des informations sur le mandat de l</w:t>
            </w:r>
            <w:r w:rsidR="00801F15" w:rsidRPr="001B46CB">
              <w:rPr>
                <w:rFonts w:asciiTheme="majorBidi" w:hAnsiTheme="majorBidi" w:cstheme="majorBidi"/>
                <w:lang w:val="fr-FR"/>
              </w:rPr>
              <w:t>’</w:t>
            </w:r>
            <w:r w:rsidRPr="001B46CB">
              <w:rPr>
                <w:rFonts w:asciiTheme="majorBidi" w:hAnsiTheme="majorBidi" w:cstheme="majorBidi"/>
                <w:lang w:val="fr-FR"/>
              </w:rPr>
              <w:t>Institution nationale de défense des droits de l</w:t>
            </w:r>
            <w:r w:rsidR="00801F15" w:rsidRPr="001B46CB">
              <w:rPr>
                <w:rFonts w:asciiTheme="majorBidi" w:hAnsiTheme="majorBidi" w:cstheme="majorBidi"/>
                <w:lang w:val="fr-FR"/>
              </w:rPr>
              <w:t>’</w:t>
            </w:r>
            <w:r w:rsidRPr="001B46CB">
              <w:rPr>
                <w:rFonts w:asciiTheme="majorBidi" w:hAnsiTheme="majorBidi" w:cstheme="majorBidi"/>
                <w:lang w:val="fr-FR"/>
              </w:rPr>
              <w:t>homme en ce qui concerne les droits des femmes, le nombre de plaintes déposées par des femmes auprès de l</w:t>
            </w:r>
            <w:r w:rsidR="00801F15" w:rsidRPr="001B46CB">
              <w:rPr>
                <w:rFonts w:asciiTheme="majorBidi" w:hAnsiTheme="majorBidi" w:cstheme="majorBidi"/>
                <w:lang w:val="fr-FR"/>
              </w:rPr>
              <w:t>’</w:t>
            </w:r>
            <w:r w:rsidRPr="001B46CB">
              <w:rPr>
                <w:rFonts w:asciiTheme="majorBidi" w:hAnsiTheme="majorBidi" w:cstheme="majorBidi"/>
                <w:lang w:val="fr-FR"/>
              </w:rPr>
              <w:t>Institution et l</w:t>
            </w:r>
            <w:r w:rsidR="00801F15" w:rsidRPr="001B46CB">
              <w:rPr>
                <w:rFonts w:asciiTheme="majorBidi" w:hAnsiTheme="majorBidi" w:cstheme="majorBidi"/>
                <w:lang w:val="fr-FR"/>
              </w:rPr>
              <w:t>’</w:t>
            </w:r>
            <w:r w:rsidRPr="001B46CB">
              <w:rPr>
                <w:rFonts w:asciiTheme="majorBidi" w:hAnsiTheme="majorBidi" w:cstheme="majorBidi"/>
                <w:lang w:val="fr-FR"/>
              </w:rPr>
              <w:t>issue de ces plaintes. Veuillez indiquer aussi quelles mesures ont été prises pour informer les femmes de l</w:t>
            </w:r>
            <w:r w:rsidR="00801F15" w:rsidRPr="001B46CB">
              <w:rPr>
                <w:rFonts w:asciiTheme="majorBidi" w:hAnsiTheme="majorBidi" w:cstheme="majorBidi"/>
                <w:lang w:val="fr-FR"/>
              </w:rPr>
              <w:t>’</w:t>
            </w:r>
            <w:r w:rsidRPr="001B46CB">
              <w:rPr>
                <w:rFonts w:asciiTheme="majorBidi" w:hAnsiTheme="majorBidi" w:cstheme="majorBidi"/>
                <w:lang w:val="fr-FR"/>
              </w:rPr>
              <w:t xml:space="preserve">existence de ce mécanisme de plainte et si une assistance est proposée aux femmes qui portent plainte. Veuillez fournir des renseignements détaillés sur les mesures prises pour garantir </w:t>
            </w:r>
            <w:r w:rsidRPr="001B46CB">
              <w:rPr>
                <w:rFonts w:asciiTheme="majorBidi" w:hAnsiTheme="majorBidi" w:cstheme="majorBidi"/>
                <w:lang w:val="fr-FR"/>
              </w:rPr>
              <w:lastRenderedPageBreak/>
              <w:t>l</w:t>
            </w:r>
            <w:r w:rsidR="00801F15" w:rsidRPr="001B46CB">
              <w:rPr>
                <w:rFonts w:asciiTheme="majorBidi" w:hAnsiTheme="majorBidi" w:cstheme="majorBidi"/>
                <w:lang w:val="fr-FR"/>
              </w:rPr>
              <w:t>’</w:t>
            </w:r>
            <w:r w:rsidRPr="001B46CB">
              <w:rPr>
                <w:rFonts w:asciiTheme="majorBidi" w:hAnsiTheme="majorBidi" w:cstheme="majorBidi"/>
                <w:lang w:val="fr-FR"/>
              </w:rPr>
              <w:t>indépendance de l</w:t>
            </w:r>
            <w:r w:rsidR="00801F15" w:rsidRPr="001B46CB">
              <w:rPr>
                <w:rFonts w:asciiTheme="majorBidi" w:hAnsiTheme="majorBidi" w:cstheme="majorBidi"/>
                <w:lang w:val="fr-FR"/>
              </w:rPr>
              <w:t>’</w:t>
            </w:r>
            <w:r w:rsidRPr="001B46CB">
              <w:rPr>
                <w:rFonts w:asciiTheme="majorBidi" w:hAnsiTheme="majorBidi" w:cstheme="majorBidi"/>
                <w:lang w:val="fr-FR"/>
              </w:rPr>
              <w:t>Institution, lui fournir les ressources humaines et financières voulues pour lui permettre de s</w:t>
            </w:r>
            <w:r w:rsidR="00801F15" w:rsidRPr="001B46CB">
              <w:rPr>
                <w:rFonts w:asciiTheme="majorBidi" w:hAnsiTheme="majorBidi" w:cstheme="majorBidi"/>
                <w:lang w:val="fr-FR"/>
              </w:rPr>
              <w:t>’</w:t>
            </w:r>
            <w:r w:rsidRPr="001B46CB">
              <w:rPr>
                <w:rFonts w:asciiTheme="majorBidi" w:hAnsiTheme="majorBidi" w:cstheme="majorBidi"/>
                <w:lang w:val="fr-FR"/>
              </w:rPr>
              <w:t>acquitter efficacement de son mandat, ainsi que les mesures prises pour la mettre en conformité avec les principes concernant le statut des institutions nationales pour la promotion et la protection des droits de l</w:t>
            </w:r>
            <w:r w:rsidR="00801F15" w:rsidRPr="001B46CB">
              <w:rPr>
                <w:rFonts w:asciiTheme="majorBidi" w:hAnsiTheme="majorBidi" w:cstheme="majorBidi"/>
                <w:lang w:val="fr-FR"/>
              </w:rPr>
              <w:t>’</w:t>
            </w:r>
            <w:r w:rsidRPr="001B46CB">
              <w:rPr>
                <w:rFonts w:asciiTheme="majorBidi" w:hAnsiTheme="majorBidi" w:cstheme="majorBidi"/>
                <w:lang w:val="fr-FR"/>
              </w:rPr>
              <w:t>homme (Principes de Paris).</w:t>
            </w:r>
          </w:p>
        </w:tc>
      </w:tr>
      <w:tr w:rsidR="00F36F51" w:rsidRPr="001B46CB" w14:paraId="3A589B49" w14:textId="77777777" w:rsidTr="0080608B">
        <w:trPr>
          <w:tblCellSpacing w:w="20" w:type="dxa"/>
          <w:jc w:val="center"/>
        </w:trPr>
        <w:tc>
          <w:tcPr>
            <w:tcW w:w="4959" w:type="pct"/>
            <w:gridSpan w:val="13"/>
            <w:shd w:val="clear" w:color="auto" w:fill="C4BC96" w:themeFill="background2" w:themeFillShade="BF"/>
            <w:vAlign w:val="center"/>
          </w:tcPr>
          <w:p w14:paraId="6B4B1459" w14:textId="77777777" w:rsidR="00F36F51" w:rsidRPr="001B46CB" w:rsidRDefault="00F36F51" w:rsidP="00F6444B">
            <w:pPr>
              <w:pStyle w:val="ListParagraph"/>
              <w:keepNext/>
              <w:spacing w:after="40" w:line="240" w:lineRule="auto"/>
              <w:ind w:left="360"/>
              <w:jc w:val="center"/>
              <w:rPr>
                <w:rFonts w:asciiTheme="majorBidi" w:hAnsiTheme="majorBidi" w:cstheme="majorBidi"/>
                <w:b/>
                <w:bCs/>
                <w:color w:val="000000" w:themeColor="text1"/>
                <w:lang w:val="fr-FR"/>
              </w:rPr>
            </w:pPr>
            <w:r w:rsidRPr="001B46CB">
              <w:rPr>
                <w:rFonts w:asciiTheme="majorBidi" w:hAnsiTheme="majorBidi" w:cstheme="majorBidi"/>
                <w:b/>
                <w:bCs/>
                <w:lang w:val="fr-FR"/>
              </w:rPr>
              <w:lastRenderedPageBreak/>
              <w:t>Réponse</w:t>
            </w:r>
          </w:p>
        </w:tc>
      </w:tr>
      <w:tr w:rsidR="00F36F51" w:rsidRPr="001B46CB" w14:paraId="0CCFD433" w14:textId="77777777" w:rsidTr="0080608B">
        <w:trPr>
          <w:trHeight w:val="2448"/>
          <w:tblCellSpacing w:w="20" w:type="dxa"/>
          <w:jc w:val="center"/>
        </w:trPr>
        <w:tc>
          <w:tcPr>
            <w:tcW w:w="4959" w:type="pct"/>
            <w:gridSpan w:val="13"/>
            <w:shd w:val="clear" w:color="auto" w:fill="auto"/>
            <w:vAlign w:val="center"/>
          </w:tcPr>
          <w:p w14:paraId="744A0A38" w14:textId="38CAA44A" w:rsidR="00F36F51" w:rsidRPr="001B46CB" w:rsidRDefault="00F36F51" w:rsidP="0008075B">
            <w:pPr>
              <w:pStyle w:val="ListParagraph"/>
              <w:numPr>
                <w:ilvl w:val="0"/>
                <w:numId w:val="43"/>
              </w:numPr>
              <w:spacing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Le Royaume de Bahreïn précise que l</w:t>
            </w:r>
            <w:r w:rsidR="00801F15" w:rsidRPr="001B46CB">
              <w:rPr>
                <w:rFonts w:asciiTheme="majorBidi" w:hAnsiTheme="majorBidi" w:cstheme="majorBidi"/>
                <w:lang w:val="fr-FR"/>
              </w:rPr>
              <w:t>’</w:t>
            </w:r>
            <w:r w:rsidRPr="001B46CB">
              <w:rPr>
                <w:rFonts w:asciiTheme="majorBidi" w:hAnsiTheme="majorBidi" w:cstheme="majorBidi"/>
                <w:lang w:val="fr-FR"/>
              </w:rPr>
              <w:t>Institution nationale des droits de l</w:t>
            </w:r>
            <w:r w:rsidR="00801F15" w:rsidRPr="001B46CB">
              <w:rPr>
                <w:rFonts w:asciiTheme="majorBidi" w:hAnsiTheme="majorBidi" w:cstheme="majorBidi"/>
                <w:lang w:val="fr-FR"/>
              </w:rPr>
              <w:t>’</w:t>
            </w:r>
            <w:r w:rsidRPr="001B46CB">
              <w:rPr>
                <w:rFonts w:asciiTheme="majorBidi" w:hAnsiTheme="majorBidi" w:cstheme="majorBidi"/>
                <w:lang w:val="fr-FR"/>
              </w:rPr>
              <w:t>homme est totalement indépendante et n</w:t>
            </w:r>
            <w:r w:rsidR="00801F15" w:rsidRPr="001B46CB">
              <w:rPr>
                <w:rFonts w:asciiTheme="majorBidi" w:hAnsiTheme="majorBidi" w:cstheme="majorBidi"/>
                <w:lang w:val="fr-FR"/>
              </w:rPr>
              <w:t>’</w:t>
            </w:r>
            <w:r w:rsidRPr="001B46CB">
              <w:rPr>
                <w:rFonts w:asciiTheme="majorBidi" w:hAnsiTheme="majorBidi" w:cstheme="majorBidi"/>
                <w:lang w:val="fr-FR"/>
              </w:rPr>
              <w:t>est soumise au contrôle d</w:t>
            </w:r>
            <w:r w:rsidR="00801F15" w:rsidRPr="001B46CB">
              <w:rPr>
                <w:rFonts w:asciiTheme="majorBidi" w:hAnsiTheme="majorBidi" w:cstheme="majorBidi"/>
                <w:lang w:val="fr-FR"/>
              </w:rPr>
              <w:t>’</w:t>
            </w:r>
            <w:r w:rsidRPr="001B46CB">
              <w:rPr>
                <w:rFonts w:asciiTheme="majorBidi" w:hAnsiTheme="majorBidi" w:cstheme="majorBidi"/>
                <w:lang w:val="fr-FR"/>
              </w:rPr>
              <w:t>aucune partie ou autre institution. La 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26 de 2014 portant création de l</w:t>
            </w:r>
            <w:r w:rsidR="00801F15" w:rsidRPr="001B46CB">
              <w:rPr>
                <w:rFonts w:asciiTheme="majorBidi" w:hAnsiTheme="majorBidi" w:cstheme="majorBidi"/>
                <w:lang w:val="fr-FR"/>
              </w:rPr>
              <w:t>’</w:t>
            </w:r>
            <w:r w:rsidRPr="001B46CB">
              <w:rPr>
                <w:rFonts w:asciiTheme="majorBidi" w:hAnsiTheme="majorBidi" w:cstheme="majorBidi"/>
                <w:lang w:val="fr-FR"/>
              </w:rPr>
              <w:t xml:space="preserve">Institution a été promulguée et est entrée en vigueur après publication au </w:t>
            </w:r>
            <w:r w:rsidRPr="001B46CB">
              <w:rPr>
                <w:rFonts w:asciiTheme="majorBidi" w:hAnsiTheme="majorBidi" w:cstheme="majorBidi"/>
                <w:i/>
                <w:iCs/>
                <w:lang w:val="fr-FR"/>
              </w:rPr>
              <w:t xml:space="preserve">Journal officiel. </w:t>
            </w:r>
            <w:r w:rsidRPr="001B46CB">
              <w:rPr>
                <w:rFonts w:asciiTheme="majorBidi" w:hAnsiTheme="majorBidi" w:cstheme="majorBidi"/>
                <w:lang w:val="fr-FR"/>
              </w:rPr>
              <w:t>Elle a élargi le mandat de l</w:t>
            </w:r>
            <w:r w:rsidR="00801F15" w:rsidRPr="001B46CB">
              <w:rPr>
                <w:rFonts w:asciiTheme="majorBidi" w:hAnsiTheme="majorBidi" w:cstheme="majorBidi"/>
                <w:lang w:val="fr-FR"/>
              </w:rPr>
              <w:t>’</w:t>
            </w:r>
            <w:r w:rsidRPr="001B46CB">
              <w:rPr>
                <w:rFonts w:asciiTheme="majorBidi" w:hAnsiTheme="majorBidi" w:cstheme="majorBidi"/>
                <w:lang w:val="fr-FR"/>
              </w:rPr>
              <w:t>Institution en conformité avec les Principes concernant le statut des institutions nationales pour la promotion et la protection des droits de l</w:t>
            </w:r>
            <w:r w:rsidR="00801F15" w:rsidRPr="001B46CB">
              <w:rPr>
                <w:rFonts w:asciiTheme="majorBidi" w:hAnsiTheme="majorBidi" w:cstheme="majorBidi"/>
                <w:lang w:val="fr-FR"/>
              </w:rPr>
              <w:t>’</w:t>
            </w:r>
            <w:r w:rsidRPr="001B46CB">
              <w:rPr>
                <w:rFonts w:asciiTheme="majorBidi" w:hAnsiTheme="majorBidi" w:cstheme="majorBidi"/>
                <w:lang w:val="fr-FR"/>
              </w:rPr>
              <w:t>homme (Principes de Paris). L</w:t>
            </w:r>
            <w:r w:rsidR="00801F15" w:rsidRPr="001B46CB">
              <w:rPr>
                <w:rFonts w:asciiTheme="majorBidi" w:hAnsiTheme="majorBidi" w:cstheme="majorBidi"/>
                <w:lang w:val="fr-FR"/>
              </w:rPr>
              <w:t>’</w:t>
            </w:r>
            <w:r w:rsidRPr="001B46CB">
              <w:rPr>
                <w:rFonts w:asciiTheme="majorBidi" w:hAnsiTheme="majorBidi" w:cstheme="majorBidi"/>
                <w:lang w:val="fr-FR"/>
              </w:rPr>
              <w:t>Institution est saisie des affaires de violation des droits de l</w:t>
            </w:r>
            <w:r w:rsidR="00801F15" w:rsidRPr="001B46CB">
              <w:rPr>
                <w:rFonts w:asciiTheme="majorBidi" w:hAnsiTheme="majorBidi" w:cstheme="majorBidi"/>
                <w:lang w:val="fr-FR"/>
              </w:rPr>
              <w:t>’</w:t>
            </w:r>
            <w:r w:rsidRPr="001B46CB">
              <w:rPr>
                <w:rFonts w:asciiTheme="majorBidi" w:hAnsiTheme="majorBidi" w:cstheme="majorBidi"/>
                <w:lang w:val="fr-FR"/>
              </w:rPr>
              <w:t>homme. Elle mène les enquêtes nécessaires et appelle l</w:t>
            </w:r>
            <w:r w:rsidR="00801F15" w:rsidRPr="001B46CB">
              <w:rPr>
                <w:rFonts w:asciiTheme="majorBidi" w:hAnsiTheme="majorBidi" w:cstheme="majorBidi"/>
                <w:lang w:val="fr-FR"/>
              </w:rPr>
              <w:t>’</w:t>
            </w:r>
            <w:r w:rsidRPr="001B46CB">
              <w:rPr>
                <w:rFonts w:asciiTheme="majorBidi" w:hAnsiTheme="majorBidi" w:cstheme="majorBidi"/>
                <w:lang w:val="fr-FR"/>
              </w:rPr>
              <w:t>attention des parties concernées en proposant des mesures à prendre pour mettre fin à de telles situations. Elle reçoit et examine également les plaintes relatives aux droits humains, y donne suite et renvoie s</w:t>
            </w:r>
            <w:r w:rsidR="00801F15" w:rsidRPr="001B46CB">
              <w:rPr>
                <w:rFonts w:asciiTheme="majorBidi" w:hAnsiTheme="majorBidi" w:cstheme="majorBidi"/>
                <w:lang w:val="fr-FR"/>
              </w:rPr>
              <w:t>’</w:t>
            </w:r>
            <w:r w:rsidRPr="001B46CB">
              <w:rPr>
                <w:rFonts w:asciiTheme="majorBidi" w:hAnsiTheme="majorBidi" w:cstheme="majorBidi"/>
                <w:lang w:val="fr-FR"/>
              </w:rPr>
              <w:t>il y a lieu les affaires devant les parties compétentes en assurant un suivi efficace. Des informations plus détaillées sont disponibles à l</w:t>
            </w:r>
            <w:r w:rsidR="00801F15" w:rsidRPr="001B46CB">
              <w:rPr>
                <w:rFonts w:asciiTheme="majorBidi" w:hAnsiTheme="majorBidi" w:cstheme="majorBidi"/>
                <w:lang w:val="fr-FR"/>
              </w:rPr>
              <w:t>’</w:t>
            </w:r>
            <w:r w:rsidRPr="001B46CB">
              <w:rPr>
                <w:rFonts w:asciiTheme="majorBidi" w:hAnsiTheme="majorBidi" w:cstheme="majorBidi"/>
                <w:lang w:val="fr-FR"/>
              </w:rPr>
              <w:t>adresse électronique suivante</w:t>
            </w:r>
            <w:r w:rsidR="00801F15" w:rsidRPr="001B46CB">
              <w:rPr>
                <w:rFonts w:asciiTheme="majorBidi" w:hAnsiTheme="majorBidi" w:cstheme="majorBidi"/>
                <w:lang w:val="fr-FR"/>
              </w:rPr>
              <w:t> :</w:t>
            </w:r>
            <w:r w:rsidRPr="001B46CB">
              <w:rPr>
                <w:rFonts w:asciiTheme="majorBidi" w:hAnsiTheme="majorBidi" w:cstheme="majorBidi"/>
                <w:lang w:val="fr-FR"/>
              </w:rPr>
              <w:t xml:space="preserve"> </w:t>
            </w:r>
            <w:hyperlink r:id="rId23" w:history="1">
              <w:r w:rsidR="00B92D31" w:rsidRPr="001B46CB">
                <w:rPr>
                  <w:rStyle w:val="Hyperlink"/>
                  <w:rFonts w:asciiTheme="majorBidi" w:hAnsiTheme="majorBidi" w:cstheme="majorBidi"/>
                  <w:lang w:val="fr-FR"/>
                </w:rPr>
                <w:t>http://www.nihr.org.bh/EN/</w:t>
              </w:r>
            </w:hyperlink>
            <w:r w:rsidRPr="001B46CB">
              <w:rPr>
                <w:rFonts w:asciiTheme="majorBidi" w:hAnsiTheme="majorBidi" w:cstheme="majorBidi"/>
                <w:lang w:val="fr-FR"/>
              </w:rPr>
              <w:t>.</w:t>
            </w:r>
          </w:p>
          <w:p w14:paraId="57770A37" w14:textId="20C11D81" w:rsidR="00F36F51" w:rsidRPr="001B46CB" w:rsidRDefault="00F36F51" w:rsidP="00767A10">
            <w:pPr>
              <w:pStyle w:val="ListParagraph"/>
              <w:numPr>
                <w:ilvl w:val="0"/>
                <w:numId w:val="43"/>
              </w:numPr>
              <w:spacing w:after="20" w:line="240" w:lineRule="auto"/>
              <w:ind w:left="360" w:right="144"/>
              <w:contextualSpacing w:val="0"/>
              <w:jc w:val="both"/>
              <w:rPr>
                <w:rFonts w:asciiTheme="majorBidi" w:hAnsiTheme="majorBidi" w:cstheme="majorBidi"/>
                <w:color w:val="000000" w:themeColor="text1"/>
                <w:lang w:val="fr-FR"/>
              </w:rPr>
            </w:pPr>
            <w:r w:rsidRPr="001B46CB">
              <w:rPr>
                <w:rFonts w:asciiTheme="majorBidi" w:hAnsiTheme="majorBidi" w:cstheme="majorBidi"/>
                <w:lang w:val="fr-FR"/>
              </w:rPr>
              <w:t>On trouvera dans le tableau ci-après le nombre total de manifestations organisées en 2017 et en 2018 par l</w:t>
            </w:r>
            <w:r w:rsidR="00801F15" w:rsidRPr="001B46CB">
              <w:rPr>
                <w:rFonts w:asciiTheme="majorBidi" w:hAnsiTheme="majorBidi" w:cstheme="majorBidi"/>
                <w:lang w:val="fr-FR"/>
              </w:rPr>
              <w:t>’</w:t>
            </w:r>
            <w:r w:rsidRPr="001B46CB">
              <w:rPr>
                <w:rFonts w:asciiTheme="majorBidi" w:hAnsiTheme="majorBidi" w:cstheme="majorBidi"/>
                <w:lang w:val="fr-FR"/>
              </w:rPr>
              <w:t>Institution, ainsi que le nombre de participants et le pourcentage de participantes et d</w:t>
            </w:r>
            <w:r w:rsidR="00801F15" w:rsidRPr="001B46CB">
              <w:rPr>
                <w:rFonts w:asciiTheme="majorBidi" w:hAnsiTheme="majorBidi" w:cstheme="majorBidi"/>
                <w:lang w:val="fr-FR"/>
              </w:rPr>
              <w:t>’</w:t>
            </w:r>
            <w:r w:rsidRPr="001B46CB">
              <w:rPr>
                <w:rFonts w:asciiTheme="majorBidi" w:hAnsiTheme="majorBidi" w:cstheme="majorBidi"/>
                <w:lang w:val="fr-FR"/>
              </w:rPr>
              <w:t>intervenantes.</w:t>
            </w:r>
          </w:p>
        </w:tc>
      </w:tr>
      <w:tr w:rsidR="00A400E8" w:rsidRPr="001B46CB" w14:paraId="51B9041F" w14:textId="77777777" w:rsidTr="00767A10">
        <w:trPr>
          <w:tblCellSpacing w:w="20" w:type="dxa"/>
          <w:jc w:val="center"/>
        </w:trPr>
        <w:tc>
          <w:tcPr>
            <w:tcW w:w="1280" w:type="pct"/>
            <w:gridSpan w:val="2"/>
            <w:shd w:val="clear" w:color="auto" w:fill="DDD9C3" w:themeFill="background2" w:themeFillShade="E6"/>
            <w:vAlign w:val="center"/>
          </w:tcPr>
          <w:p w14:paraId="1C0C5171" w14:textId="77777777" w:rsidR="00F36F51" w:rsidRPr="001B46CB" w:rsidRDefault="00F36F51" w:rsidP="00C70519">
            <w:pPr>
              <w:pStyle w:val="ListParagraph"/>
              <w:spacing w:line="240" w:lineRule="auto"/>
              <w:ind w:left="0"/>
              <w:jc w:val="center"/>
              <w:rPr>
                <w:rFonts w:asciiTheme="majorBidi" w:hAnsiTheme="majorBidi" w:cstheme="majorBidi"/>
                <w:b/>
                <w:bCs/>
                <w:color w:val="000000" w:themeColor="text1"/>
                <w:lang w:val="fr-FR"/>
              </w:rPr>
            </w:pPr>
          </w:p>
        </w:tc>
        <w:tc>
          <w:tcPr>
            <w:tcW w:w="297" w:type="pct"/>
            <w:vMerge w:val="restart"/>
            <w:shd w:val="clear" w:color="auto" w:fill="EEECE1" w:themeFill="background2"/>
            <w:vAlign w:val="center"/>
          </w:tcPr>
          <w:p w14:paraId="1F9D1646" w14:textId="77777777" w:rsidR="00F36F51" w:rsidRPr="001B46CB" w:rsidRDefault="00F36F51" w:rsidP="00C70519">
            <w:pPr>
              <w:pStyle w:val="ListParagraph"/>
              <w:spacing w:line="240" w:lineRule="auto"/>
              <w:ind w:left="0"/>
              <w:jc w:val="center"/>
              <w:rPr>
                <w:rFonts w:asciiTheme="majorBidi" w:hAnsiTheme="majorBidi" w:cstheme="majorBidi"/>
                <w:color w:val="000000" w:themeColor="text1"/>
                <w:lang w:val="fr-FR"/>
              </w:rPr>
            </w:pPr>
            <w:r w:rsidRPr="001B46CB">
              <w:rPr>
                <w:rFonts w:asciiTheme="majorBidi" w:hAnsiTheme="majorBidi" w:cstheme="majorBidi"/>
                <w:b/>
                <w:bCs/>
                <w:lang w:val="fr-FR"/>
              </w:rPr>
              <w:t>2017</w:t>
            </w:r>
          </w:p>
        </w:tc>
        <w:tc>
          <w:tcPr>
            <w:tcW w:w="1734" w:type="pct"/>
            <w:gridSpan w:val="8"/>
            <w:shd w:val="clear" w:color="auto" w:fill="DDD9C3" w:themeFill="background2" w:themeFillShade="E6"/>
            <w:vAlign w:val="center"/>
          </w:tcPr>
          <w:p w14:paraId="686C3413" w14:textId="77777777" w:rsidR="00F36F51" w:rsidRPr="001B46CB" w:rsidRDefault="00F36F51" w:rsidP="0080608B">
            <w:pPr>
              <w:pStyle w:val="ListParagraph"/>
              <w:spacing w:line="240" w:lineRule="auto"/>
              <w:ind w:left="0"/>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Total</w:t>
            </w:r>
          </w:p>
        </w:tc>
        <w:tc>
          <w:tcPr>
            <w:tcW w:w="290" w:type="pct"/>
            <w:vMerge w:val="restart"/>
            <w:shd w:val="clear" w:color="auto" w:fill="EEECE1" w:themeFill="background2"/>
            <w:vAlign w:val="center"/>
          </w:tcPr>
          <w:p w14:paraId="1A16A308" w14:textId="77777777" w:rsidR="00F36F51" w:rsidRPr="001B46CB" w:rsidRDefault="00F36F51" w:rsidP="00C70519">
            <w:pPr>
              <w:pStyle w:val="ListParagraph"/>
              <w:spacing w:line="240" w:lineRule="auto"/>
              <w:ind w:left="0"/>
              <w:jc w:val="center"/>
              <w:rPr>
                <w:rFonts w:asciiTheme="majorBidi" w:hAnsiTheme="majorBidi" w:cstheme="majorBidi"/>
                <w:color w:val="000000" w:themeColor="text1"/>
                <w:lang w:val="fr-FR"/>
              </w:rPr>
            </w:pPr>
            <w:r w:rsidRPr="001B46CB">
              <w:rPr>
                <w:rFonts w:asciiTheme="majorBidi" w:hAnsiTheme="majorBidi" w:cstheme="majorBidi"/>
                <w:b/>
                <w:bCs/>
                <w:lang w:val="fr-FR"/>
              </w:rPr>
              <w:t>2018</w:t>
            </w:r>
          </w:p>
        </w:tc>
        <w:tc>
          <w:tcPr>
            <w:tcW w:w="1277" w:type="pct"/>
            <w:shd w:val="clear" w:color="auto" w:fill="DDD9C3" w:themeFill="background2" w:themeFillShade="E6"/>
            <w:vAlign w:val="center"/>
          </w:tcPr>
          <w:p w14:paraId="7179337C" w14:textId="77777777" w:rsidR="00F36F51" w:rsidRPr="001B46CB" w:rsidRDefault="00F36F51" w:rsidP="00C70519">
            <w:pPr>
              <w:pStyle w:val="ListParagraph"/>
              <w:spacing w:line="240" w:lineRule="auto"/>
              <w:ind w:left="0"/>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Total</w:t>
            </w:r>
          </w:p>
        </w:tc>
      </w:tr>
      <w:tr w:rsidR="00A400E8" w:rsidRPr="001B46CB" w14:paraId="33675BAB" w14:textId="77777777" w:rsidTr="00767A10">
        <w:trPr>
          <w:tblCellSpacing w:w="20" w:type="dxa"/>
          <w:jc w:val="center"/>
        </w:trPr>
        <w:tc>
          <w:tcPr>
            <w:tcW w:w="1280" w:type="pct"/>
            <w:gridSpan w:val="2"/>
            <w:shd w:val="clear" w:color="auto" w:fill="auto"/>
            <w:vAlign w:val="center"/>
          </w:tcPr>
          <w:p w14:paraId="41DFFEA4" w14:textId="77777777" w:rsidR="00F36F51" w:rsidRPr="001B46CB" w:rsidRDefault="00F36F51" w:rsidP="00C70519">
            <w:pPr>
              <w:pStyle w:val="ListParagraph"/>
              <w:spacing w:line="240" w:lineRule="auto"/>
              <w:ind w:left="0"/>
              <w:jc w:val="center"/>
              <w:rPr>
                <w:rFonts w:asciiTheme="majorBidi" w:hAnsiTheme="majorBidi" w:cstheme="majorBidi"/>
                <w:color w:val="000000" w:themeColor="text1"/>
                <w:lang w:val="fr-FR"/>
              </w:rPr>
            </w:pPr>
            <w:r w:rsidRPr="001B46CB">
              <w:rPr>
                <w:rFonts w:asciiTheme="majorBidi" w:hAnsiTheme="majorBidi" w:cstheme="majorBidi"/>
                <w:lang w:val="fr-FR"/>
              </w:rPr>
              <w:t>Nombre total de manifestations</w:t>
            </w:r>
          </w:p>
        </w:tc>
        <w:tc>
          <w:tcPr>
            <w:tcW w:w="297" w:type="pct"/>
            <w:vMerge/>
            <w:shd w:val="clear" w:color="auto" w:fill="EEECE1" w:themeFill="background2"/>
            <w:vAlign w:val="center"/>
          </w:tcPr>
          <w:p w14:paraId="4938AA33" w14:textId="77777777" w:rsidR="00F36F51" w:rsidRPr="001B46CB" w:rsidRDefault="00F36F51" w:rsidP="00C70519">
            <w:pPr>
              <w:pStyle w:val="ListParagraph"/>
              <w:bidi/>
              <w:spacing w:line="240" w:lineRule="auto"/>
              <w:ind w:left="360"/>
              <w:jc w:val="center"/>
              <w:rPr>
                <w:rFonts w:asciiTheme="majorBidi" w:hAnsiTheme="majorBidi" w:cstheme="majorBidi"/>
                <w:color w:val="000000" w:themeColor="text1"/>
                <w:rtl/>
                <w:lang w:val="fr-FR"/>
              </w:rPr>
            </w:pPr>
          </w:p>
        </w:tc>
        <w:tc>
          <w:tcPr>
            <w:tcW w:w="1734" w:type="pct"/>
            <w:gridSpan w:val="8"/>
            <w:shd w:val="clear" w:color="auto" w:fill="auto"/>
            <w:vAlign w:val="center"/>
          </w:tcPr>
          <w:p w14:paraId="1DE65174" w14:textId="77777777" w:rsidR="00F36F51" w:rsidRPr="001B46CB" w:rsidRDefault="00F36F51" w:rsidP="00C70519">
            <w:pPr>
              <w:pStyle w:val="ListParagraph"/>
              <w:spacing w:line="240" w:lineRule="auto"/>
              <w:ind w:left="0"/>
              <w:jc w:val="center"/>
              <w:rPr>
                <w:rFonts w:asciiTheme="majorBidi" w:hAnsiTheme="majorBidi" w:cstheme="majorBidi"/>
                <w:color w:val="000000" w:themeColor="text1"/>
                <w:lang w:val="fr-FR"/>
              </w:rPr>
            </w:pPr>
            <w:r w:rsidRPr="001B46CB">
              <w:rPr>
                <w:rFonts w:asciiTheme="majorBidi" w:hAnsiTheme="majorBidi" w:cstheme="majorBidi"/>
                <w:lang w:val="fr-FR"/>
              </w:rPr>
              <w:t>56</w:t>
            </w:r>
          </w:p>
        </w:tc>
        <w:tc>
          <w:tcPr>
            <w:tcW w:w="290" w:type="pct"/>
            <w:vMerge/>
            <w:shd w:val="clear" w:color="auto" w:fill="EEECE1" w:themeFill="background2"/>
            <w:vAlign w:val="center"/>
          </w:tcPr>
          <w:p w14:paraId="27CF8A56" w14:textId="77777777" w:rsidR="00F36F51" w:rsidRPr="001B46CB" w:rsidRDefault="00F36F51" w:rsidP="00C70519">
            <w:pPr>
              <w:pStyle w:val="ListParagraph"/>
              <w:bidi/>
              <w:spacing w:line="240" w:lineRule="auto"/>
              <w:ind w:left="0"/>
              <w:jc w:val="center"/>
              <w:rPr>
                <w:rFonts w:asciiTheme="majorBidi" w:hAnsiTheme="majorBidi" w:cstheme="majorBidi"/>
                <w:color w:val="000000" w:themeColor="text1"/>
                <w:rtl/>
                <w:lang w:val="fr-FR"/>
              </w:rPr>
            </w:pPr>
          </w:p>
        </w:tc>
        <w:tc>
          <w:tcPr>
            <w:tcW w:w="1277" w:type="pct"/>
            <w:shd w:val="clear" w:color="auto" w:fill="auto"/>
            <w:vAlign w:val="center"/>
          </w:tcPr>
          <w:p w14:paraId="5FFACBC0" w14:textId="77777777" w:rsidR="00F36F51" w:rsidRPr="001B46CB" w:rsidRDefault="00F36F51" w:rsidP="00C70519">
            <w:pPr>
              <w:pStyle w:val="ListParagraph"/>
              <w:spacing w:line="240" w:lineRule="auto"/>
              <w:ind w:left="0"/>
              <w:jc w:val="center"/>
              <w:rPr>
                <w:rFonts w:asciiTheme="majorBidi" w:hAnsiTheme="majorBidi" w:cstheme="majorBidi"/>
                <w:color w:val="000000" w:themeColor="text1"/>
                <w:lang w:val="fr-FR"/>
              </w:rPr>
            </w:pPr>
            <w:r w:rsidRPr="001B46CB">
              <w:rPr>
                <w:rFonts w:asciiTheme="majorBidi" w:hAnsiTheme="majorBidi" w:cstheme="majorBidi"/>
                <w:lang w:val="fr-FR"/>
              </w:rPr>
              <w:t>49</w:t>
            </w:r>
          </w:p>
        </w:tc>
      </w:tr>
      <w:tr w:rsidR="00A400E8" w:rsidRPr="001B46CB" w14:paraId="660FAF0A" w14:textId="77777777" w:rsidTr="00767A10">
        <w:trPr>
          <w:tblCellSpacing w:w="20" w:type="dxa"/>
          <w:jc w:val="center"/>
        </w:trPr>
        <w:tc>
          <w:tcPr>
            <w:tcW w:w="1280" w:type="pct"/>
            <w:gridSpan w:val="2"/>
            <w:shd w:val="clear" w:color="auto" w:fill="auto"/>
            <w:vAlign w:val="center"/>
          </w:tcPr>
          <w:p w14:paraId="1F347D93" w14:textId="77777777" w:rsidR="00F36F51" w:rsidRPr="001B46CB" w:rsidRDefault="00F36F51" w:rsidP="00C70519">
            <w:pPr>
              <w:pStyle w:val="ListParagraph"/>
              <w:spacing w:line="240" w:lineRule="auto"/>
              <w:ind w:left="0"/>
              <w:jc w:val="center"/>
              <w:rPr>
                <w:rFonts w:asciiTheme="majorBidi" w:hAnsiTheme="majorBidi" w:cstheme="majorBidi"/>
                <w:color w:val="000000" w:themeColor="text1"/>
                <w:lang w:val="fr-FR"/>
              </w:rPr>
            </w:pPr>
            <w:r w:rsidRPr="001B46CB">
              <w:rPr>
                <w:rFonts w:asciiTheme="majorBidi" w:hAnsiTheme="majorBidi" w:cstheme="majorBidi"/>
                <w:lang w:val="fr-FR"/>
              </w:rPr>
              <w:t>Nombre de participants</w:t>
            </w:r>
          </w:p>
        </w:tc>
        <w:tc>
          <w:tcPr>
            <w:tcW w:w="297" w:type="pct"/>
            <w:vMerge/>
            <w:shd w:val="clear" w:color="auto" w:fill="EEECE1" w:themeFill="background2"/>
            <w:vAlign w:val="center"/>
          </w:tcPr>
          <w:p w14:paraId="3BC22AB2" w14:textId="77777777" w:rsidR="00F36F51" w:rsidRPr="001B46CB" w:rsidRDefault="00F36F51" w:rsidP="00C70519">
            <w:pPr>
              <w:pStyle w:val="ListParagraph"/>
              <w:bidi/>
              <w:spacing w:line="240" w:lineRule="auto"/>
              <w:ind w:left="360"/>
              <w:jc w:val="center"/>
              <w:rPr>
                <w:rFonts w:asciiTheme="majorBidi" w:hAnsiTheme="majorBidi" w:cstheme="majorBidi"/>
                <w:color w:val="000000" w:themeColor="text1"/>
                <w:rtl/>
                <w:lang w:val="fr-FR"/>
              </w:rPr>
            </w:pPr>
          </w:p>
        </w:tc>
        <w:tc>
          <w:tcPr>
            <w:tcW w:w="1734" w:type="pct"/>
            <w:gridSpan w:val="8"/>
            <w:shd w:val="clear" w:color="auto" w:fill="auto"/>
            <w:vAlign w:val="center"/>
          </w:tcPr>
          <w:p w14:paraId="22ECD4A5" w14:textId="2A0938B2" w:rsidR="00F36F51" w:rsidRPr="001B46CB" w:rsidRDefault="00F36F51" w:rsidP="00C70519">
            <w:pPr>
              <w:pStyle w:val="ListParagraph"/>
              <w:spacing w:line="240" w:lineRule="auto"/>
              <w:ind w:left="0"/>
              <w:jc w:val="center"/>
              <w:rPr>
                <w:rFonts w:asciiTheme="majorBidi" w:hAnsiTheme="majorBidi" w:cstheme="majorBidi"/>
                <w:color w:val="000000" w:themeColor="text1"/>
                <w:lang w:val="fr-FR"/>
              </w:rPr>
            </w:pPr>
            <w:r w:rsidRPr="001B46CB">
              <w:rPr>
                <w:rFonts w:asciiTheme="majorBidi" w:hAnsiTheme="majorBidi" w:cstheme="majorBidi"/>
                <w:lang w:val="fr-FR"/>
              </w:rPr>
              <w:t>1</w:t>
            </w:r>
            <w:r w:rsidR="00F47200" w:rsidRPr="001B46CB">
              <w:rPr>
                <w:rFonts w:asciiTheme="majorBidi" w:hAnsiTheme="majorBidi" w:cstheme="majorBidi"/>
                <w:color w:val="FF0000"/>
                <w:lang w:val="fr-FR"/>
              </w:rPr>
              <w:t> </w:t>
            </w:r>
            <w:r w:rsidRPr="001B46CB">
              <w:rPr>
                <w:rFonts w:asciiTheme="majorBidi" w:hAnsiTheme="majorBidi" w:cstheme="majorBidi"/>
                <w:lang w:val="fr-FR"/>
              </w:rPr>
              <w:t>218</w:t>
            </w:r>
          </w:p>
        </w:tc>
        <w:tc>
          <w:tcPr>
            <w:tcW w:w="290" w:type="pct"/>
            <w:vMerge/>
            <w:shd w:val="clear" w:color="auto" w:fill="EEECE1" w:themeFill="background2"/>
            <w:vAlign w:val="center"/>
          </w:tcPr>
          <w:p w14:paraId="72A67995" w14:textId="77777777" w:rsidR="00F36F51" w:rsidRPr="001B46CB" w:rsidRDefault="00F36F51" w:rsidP="00C70519">
            <w:pPr>
              <w:pStyle w:val="ListParagraph"/>
              <w:bidi/>
              <w:spacing w:line="240" w:lineRule="auto"/>
              <w:ind w:left="0"/>
              <w:jc w:val="center"/>
              <w:rPr>
                <w:rFonts w:asciiTheme="majorBidi" w:hAnsiTheme="majorBidi" w:cstheme="majorBidi"/>
                <w:color w:val="000000" w:themeColor="text1"/>
                <w:rtl/>
                <w:lang w:val="fr-FR"/>
              </w:rPr>
            </w:pPr>
          </w:p>
        </w:tc>
        <w:tc>
          <w:tcPr>
            <w:tcW w:w="1277" w:type="pct"/>
            <w:shd w:val="clear" w:color="auto" w:fill="auto"/>
            <w:vAlign w:val="center"/>
          </w:tcPr>
          <w:p w14:paraId="77933971" w14:textId="3ED0C1E2" w:rsidR="00F36F51" w:rsidRPr="001B46CB" w:rsidRDefault="00F36F51" w:rsidP="00C70519">
            <w:pPr>
              <w:pStyle w:val="ListParagraph"/>
              <w:spacing w:line="240" w:lineRule="auto"/>
              <w:ind w:left="0"/>
              <w:jc w:val="center"/>
              <w:rPr>
                <w:rFonts w:asciiTheme="majorBidi" w:hAnsiTheme="majorBidi" w:cstheme="majorBidi"/>
                <w:color w:val="000000" w:themeColor="text1"/>
                <w:lang w:val="fr-FR"/>
              </w:rPr>
            </w:pPr>
            <w:r w:rsidRPr="001B46CB">
              <w:rPr>
                <w:rFonts w:asciiTheme="majorBidi" w:hAnsiTheme="majorBidi" w:cstheme="majorBidi"/>
                <w:lang w:val="fr-FR"/>
              </w:rPr>
              <w:t>2</w:t>
            </w:r>
            <w:r w:rsidR="00F47200" w:rsidRPr="001B46CB">
              <w:rPr>
                <w:rFonts w:asciiTheme="majorBidi" w:hAnsiTheme="majorBidi" w:cstheme="majorBidi"/>
                <w:color w:val="FF0000"/>
                <w:lang w:val="fr-FR"/>
              </w:rPr>
              <w:t> </w:t>
            </w:r>
            <w:r w:rsidRPr="001B46CB">
              <w:rPr>
                <w:rFonts w:asciiTheme="majorBidi" w:hAnsiTheme="majorBidi" w:cstheme="majorBidi"/>
                <w:lang w:val="fr-FR"/>
              </w:rPr>
              <w:t>773</w:t>
            </w:r>
          </w:p>
        </w:tc>
      </w:tr>
      <w:tr w:rsidR="00A400E8" w:rsidRPr="001B46CB" w14:paraId="3D17382D" w14:textId="77777777" w:rsidTr="00767A10">
        <w:trPr>
          <w:tblCellSpacing w:w="20" w:type="dxa"/>
          <w:jc w:val="center"/>
        </w:trPr>
        <w:tc>
          <w:tcPr>
            <w:tcW w:w="1280" w:type="pct"/>
            <w:gridSpan w:val="2"/>
            <w:shd w:val="clear" w:color="auto" w:fill="auto"/>
            <w:vAlign w:val="center"/>
          </w:tcPr>
          <w:p w14:paraId="02BB10BE" w14:textId="77777777" w:rsidR="00F36F51" w:rsidRPr="001B46CB" w:rsidRDefault="00F36F51" w:rsidP="00C70519">
            <w:pPr>
              <w:pStyle w:val="ListParagraph"/>
              <w:spacing w:line="240" w:lineRule="auto"/>
              <w:ind w:left="0"/>
              <w:jc w:val="center"/>
              <w:rPr>
                <w:rFonts w:asciiTheme="majorBidi" w:hAnsiTheme="majorBidi" w:cstheme="majorBidi"/>
                <w:color w:val="000000" w:themeColor="text1"/>
                <w:lang w:val="fr-FR"/>
              </w:rPr>
            </w:pPr>
            <w:r w:rsidRPr="001B46CB">
              <w:rPr>
                <w:rFonts w:asciiTheme="majorBidi" w:hAnsiTheme="majorBidi" w:cstheme="majorBidi"/>
                <w:lang w:val="fr-FR"/>
              </w:rPr>
              <w:t>Participantes (en pourcentage)</w:t>
            </w:r>
          </w:p>
        </w:tc>
        <w:tc>
          <w:tcPr>
            <w:tcW w:w="297" w:type="pct"/>
            <w:vMerge/>
            <w:shd w:val="clear" w:color="auto" w:fill="EEECE1" w:themeFill="background2"/>
            <w:vAlign w:val="center"/>
          </w:tcPr>
          <w:p w14:paraId="5D7DF109" w14:textId="77777777" w:rsidR="00F36F51" w:rsidRPr="001B46CB" w:rsidRDefault="00F36F51" w:rsidP="00C70519">
            <w:pPr>
              <w:pStyle w:val="ListParagraph"/>
              <w:bidi/>
              <w:spacing w:line="240" w:lineRule="auto"/>
              <w:ind w:left="360"/>
              <w:jc w:val="center"/>
              <w:rPr>
                <w:rFonts w:asciiTheme="majorBidi" w:hAnsiTheme="majorBidi" w:cstheme="majorBidi"/>
                <w:color w:val="000000" w:themeColor="text1"/>
                <w:rtl/>
                <w:lang w:val="fr-FR"/>
              </w:rPr>
            </w:pPr>
          </w:p>
        </w:tc>
        <w:tc>
          <w:tcPr>
            <w:tcW w:w="1734" w:type="pct"/>
            <w:gridSpan w:val="8"/>
            <w:shd w:val="clear" w:color="auto" w:fill="auto"/>
            <w:vAlign w:val="center"/>
          </w:tcPr>
          <w:p w14:paraId="4394BFF6" w14:textId="4DEB93F4" w:rsidR="00F36F51" w:rsidRPr="001B46CB" w:rsidRDefault="00F36F51" w:rsidP="00C70519">
            <w:pPr>
              <w:pStyle w:val="ListParagraph"/>
              <w:spacing w:line="240" w:lineRule="auto"/>
              <w:ind w:left="0"/>
              <w:jc w:val="center"/>
              <w:rPr>
                <w:rFonts w:asciiTheme="majorBidi" w:hAnsiTheme="majorBidi" w:cstheme="majorBidi"/>
                <w:color w:val="000000" w:themeColor="text1"/>
                <w:lang w:val="fr-FR"/>
              </w:rPr>
            </w:pPr>
            <w:r w:rsidRPr="001B46CB">
              <w:rPr>
                <w:rFonts w:asciiTheme="majorBidi" w:hAnsiTheme="majorBidi" w:cstheme="majorBidi"/>
                <w:lang w:val="fr-FR"/>
              </w:rPr>
              <w:t>48</w:t>
            </w:r>
            <w:r w:rsidR="007D4344" w:rsidRPr="001B46CB">
              <w:rPr>
                <w:rFonts w:asciiTheme="majorBidi" w:hAnsiTheme="majorBidi" w:cstheme="majorBidi"/>
                <w:lang w:val="fr-FR"/>
              </w:rPr>
              <w:t> %</w:t>
            </w:r>
          </w:p>
        </w:tc>
        <w:tc>
          <w:tcPr>
            <w:tcW w:w="290" w:type="pct"/>
            <w:vMerge/>
            <w:shd w:val="clear" w:color="auto" w:fill="EEECE1" w:themeFill="background2"/>
            <w:vAlign w:val="center"/>
          </w:tcPr>
          <w:p w14:paraId="3C951B1B" w14:textId="77777777" w:rsidR="00F36F51" w:rsidRPr="001B46CB" w:rsidRDefault="00F36F51" w:rsidP="00C70519">
            <w:pPr>
              <w:pStyle w:val="ListParagraph"/>
              <w:bidi/>
              <w:spacing w:line="240" w:lineRule="auto"/>
              <w:ind w:left="0"/>
              <w:jc w:val="center"/>
              <w:rPr>
                <w:rFonts w:asciiTheme="majorBidi" w:hAnsiTheme="majorBidi" w:cstheme="majorBidi"/>
                <w:color w:val="000000" w:themeColor="text1"/>
                <w:rtl/>
                <w:lang w:val="fr-FR"/>
              </w:rPr>
            </w:pPr>
          </w:p>
        </w:tc>
        <w:tc>
          <w:tcPr>
            <w:tcW w:w="1277" w:type="pct"/>
            <w:shd w:val="clear" w:color="auto" w:fill="auto"/>
            <w:vAlign w:val="center"/>
          </w:tcPr>
          <w:p w14:paraId="3F3DB360" w14:textId="1926A388" w:rsidR="00F36F51" w:rsidRPr="001B46CB" w:rsidRDefault="00F36F51" w:rsidP="00C70519">
            <w:pPr>
              <w:pStyle w:val="ListParagraph"/>
              <w:spacing w:line="240" w:lineRule="auto"/>
              <w:ind w:left="0"/>
              <w:jc w:val="center"/>
              <w:rPr>
                <w:rFonts w:asciiTheme="majorBidi" w:hAnsiTheme="majorBidi" w:cstheme="majorBidi"/>
                <w:color w:val="000000" w:themeColor="text1"/>
                <w:lang w:val="fr-FR"/>
              </w:rPr>
            </w:pPr>
            <w:r w:rsidRPr="001B46CB">
              <w:rPr>
                <w:rFonts w:asciiTheme="majorBidi" w:hAnsiTheme="majorBidi" w:cstheme="majorBidi"/>
                <w:lang w:val="fr-FR"/>
              </w:rPr>
              <w:t>54</w:t>
            </w:r>
            <w:r w:rsidR="007D4344" w:rsidRPr="001B46CB">
              <w:rPr>
                <w:rFonts w:asciiTheme="majorBidi" w:hAnsiTheme="majorBidi" w:cstheme="majorBidi"/>
                <w:lang w:val="fr-FR"/>
              </w:rPr>
              <w:t> %</w:t>
            </w:r>
          </w:p>
        </w:tc>
      </w:tr>
      <w:tr w:rsidR="00A400E8" w:rsidRPr="001B46CB" w14:paraId="01B4BD56" w14:textId="77777777" w:rsidTr="00767A10">
        <w:trPr>
          <w:tblCellSpacing w:w="20" w:type="dxa"/>
          <w:jc w:val="center"/>
        </w:trPr>
        <w:tc>
          <w:tcPr>
            <w:tcW w:w="1280" w:type="pct"/>
            <w:gridSpan w:val="2"/>
            <w:shd w:val="clear" w:color="auto" w:fill="auto"/>
            <w:vAlign w:val="center"/>
          </w:tcPr>
          <w:p w14:paraId="3ED2E912" w14:textId="77777777" w:rsidR="00F36F51" w:rsidRPr="001B46CB" w:rsidRDefault="00F36F51" w:rsidP="00C70519">
            <w:pPr>
              <w:pStyle w:val="ListParagraph"/>
              <w:spacing w:line="240" w:lineRule="auto"/>
              <w:ind w:left="0"/>
              <w:jc w:val="center"/>
              <w:rPr>
                <w:rFonts w:asciiTheme="majorBidi" w:hAnsiTheme="majorBidi" w:cstheme="majorBidi"/>
                <w:color w:val="000000" w:themeColor="text1"/>
                <w:lang w:val="fr-FR"/>
              </w:rPr>
            </w:pPr>
            <w:r w:rsidRPr="001B46CB">
              <w:rPr>
                <w:rFonts w:asciiTheme="majorBidi" w:hAnsiTheme="majorBidi" w:cstheme="majorBidi"/>
                <w:lang w:val="fr-FR"/>
              </w:rPr>
              <w:t>Intervenantes (en pourcentage)</w:t>
            </w:r>
          </w:p>
        </w:tc>
        <w:tc>
          <w:tcPr>
            <w:tcW w:w="297" w:type="pct"/>
            <w:vMerge/>
            <w:shd w:val="clear" w:color="auto" w:fill="EEECE1" w:themeFill="background2"/>
            <w:vAlign w:val="center"/>
          </w:tcPr>
          <w:p w14:paraId="3C441F65" w14:textId="77777777" w:rsidR="00F36F51" w:rsidRPr="001B46CB" w:rsidRDefault="00F36F51" w:rsidP="00C70519">
            <w:pPr>
              <w:pStyle w:val="ListParagraph"/>
              <w:bidi/>
              <w:spacing w:line="240" w:lineRule="auto"/>
              <w:ind w:left="360"/>
              <w:jc w:val="center"/>
              <w:rPr>
                <w:rFonts w:asciiTheme="majorBidi" w:hAnsiTheme="majorBidi" w:cstheme="majorBidi"/>
                <w:color w:val="000000" w:themeColor="text1"/>
                <w:rtl/>
                <w:lang w:val="fr-FR"/>
              </w:rPr>
            </w:pPr>
          </w:p>
        </w:tc>
        <w:tc>
          <w:tcPr>
            <w:tcW w:w="1734" w:type="pct"/>
            <w:gridSpan w:val="8"/>
            <w:shd w:val="clear" w:color="auto" w:fill="auto"/>
            <w:vAlign w:val="center"/>
          </w:tcPr>
          <w:p w14:paraId="1C7546F3" w14:textId="40D53A6A" w:rsidR="00F36F51" w:rsidRPr="001B46CB" w:rsidRDefault="00F36F51" w:rsidP="00C70519">
            <w:pPr>
              <w:pStyle w:val="ListParagraph"/>
              <w:spacing w:line="240" w:lineRule="auto"/>
              <w:ind w:left="0"/>
              <w:jc w:val="center"/>
              <w:rPr>
                <w:rFonts w:asciiTheme="majorBidi" w:hAnsiTheme="majorBidi" w:cstheme="majorBidi"/>
                <w:color w:val="000000" w:themeColor="text1"/>
                <w:lang w:val="fr-FR"/>
              </w:rPr>
            </w:pPr>
            <w:r w:rsidRPr="001B46CB">
              <w:rPr>
                <w:rFonts w:asciiTheme="majorBidi" w:hAnsiTheme="majorBidi" w:cstheme="majorBidi"/>
                <w:lang w:val="fr-FR"/>
              </w:rPr>
              <w:t>33</w:t>
            </w:r>
            <w:r w:rsidR="007D4344" w:rsidRPr="001B46CB">
              <w:rPr>
                <w:rFonts w:asciiTheme="majorBidi" w:hAnsiTheme="majorBidi" w:cstheme="majorBidi"/>
                <w:lang w:val="fr-FR"/>
              </w:rPr>
              <w:t> %</w:t>
            </w:r>
          </w:p>
        </w:tc>
        <w:tc>
          <w:tcPr>
            <w:tcW w:w="290" w:type="pct"/>
            <w:vMerge/>
            <w:shd w:val="clear" w:color="auto" w:fill="EEECE1" w:themeFill="background2"/>
            <w:vAlign w:val="center"/>
          </w:tcPr>
          <w:p w14:paraId="5A2FA946" w14:textId="77777777" w:rsidR="00F36F51" w:rsidRPr="001B46CB" w:rsidRDefault="00F36F51" w:rsidP="00C70519">
            <w:pPr>
              <w:pStyle w:val="ListParagraph"/>
              <w:bidi/>
              <w:spacing w:line="240" w:lineRule="auto"/>
              <w:ind w:left="0"/>
              <w:jc w:val="center"/>
              <w:rPr>
                <w:rFonts w:asciiTheme="majorBidi" w:hAnsiTheme="majorBidi" w:cstheme="majorBidi"/>
                <w:color w:val="000000" w:themeColor="text1"/>
                <w:rtl/>
                <w:lang w:val="fr-FR"/>
              </w:rPr>
            </w:pPr>
          </w:p>
        </w:tc>
        <w:tc>
          <w:tcPr>
            <w:tcW w:w="1277" w:type="pct"/>
            <w:shd w:val="clear" w:color="auto" w:fill="auto"/>
            <w:vAlign w:val="center"/>
          </w:tcPr>
          <w:p w14:paraId="717DC9D4" w14:textId="4FB514C4" w:rsidR="00F36F51" w:rsidRPr="001B46CB" w:rsidRDefault="00F36F51" w:rsidP="00C70519">
            <w:pPr>
              <w:pStyle w:val="ListParagraph"/>
              <w:spacing w:line="240" w:lineRule="auto"/>
              <w:ind w:left="0"/>
              <w:jc w:val="center"/>
              <w:rPr>
                <w:rFonts w:asciiTheme="majorBidi" w:hAnsiTheme="majorBidi" w:cstheme="majorBidi"/>
                <w:color w:val="000000" w:themeColor="text1"/>
                <w:lang w:val="fr-FR"/>
              </w:rPr>
            </w:pPr>
            <w:r w:rsidRPr="001B46CB">
              <w:rPr>
                <w:rFonts w:asciiTheme="majorBidi" w:hAnsiTheme="majorBidi" w:cstheme="majorBidi"/>
                <w:lang w:val="fr-FR"/>
              </w:rPr>
              <w:t>42</w:t>
            </w:r>
            <w:r w:rsidR="007D4344" w:rsidRPr="001B46CB">
              <w:rPr>
                <w:rFonts w:asciiTheme="majorBidi" w:hAnsiTheme="majorBidi" w:cstheme="majorBidi"/>
                <w:lang w:val="fr-FR"/>
              </w:rPr>
              <w:t> %</w:t>
            </w:r>
          </w:p>
        </w:tc>
      </w:tr>
      <w:tr w:rsidR="00F36F51" w:rsidRPr="001B46CB" w14:paraId="068E6586" w14:textId="77777777" w:rsidTr="0080608B">
        <w:trPr>
          <w:tblCellSpacing w:w="20" w:type="dxa"/>
          <w:jc w:val="center"/>
        </w:trPr>
        <w:tc>
          <w:tcPr>
            <w:tcW w:w="4959" w:type="pct"/>
            <w:gridSpan w:val="13"/>
            <w:shd w:val="clear" w:color="auto" w:fill="auto"/>
            <w:vAlign w:val="center"/>
          </w:tcPr>
          <w:p w14:paraId="0DD02E57" w14:textId="77777777" w:rsidR="00F36F51" w:rsidRPr="001B46CB" w:rsidRDefault="00F36F51" w:rsidP="00C70519">
            <w:pPr>
              <w:pStyle w:val="ListParagraph"/>
              <w:bidi/>
              <w:spacing w:line="240" w:lineRule="auto"/>
              <w:ind w:left="360"/>
              <w:jc w:val="both"/>
              <w:rPr>
                <w:rFonts w:asciiTheme="majorBidi" w:hAnsiTheme="majorBidi" w:cstheme="majorBidi"/>
                <w:b/>
                <w:bCs/>
                <w:color w:val="000000" w:themeColor="text1"/>
                <w:rtl/>
                <w:lang w:val="fr-FR"/>
              </w:rPr>
            </w:pPr>
          </w:p>
        </w:tc>
      </w:tr>
      <w:tr w:rsidR="007D4344" w:rsidRPr="001B46CB" w14:paraId="00A92ABF" w14:textId="77777777" w:rsidTr="00767A10">
        <w:trPr>
          <w:tblCellSpacing w:w="20" w:type="dxa"/>
          <w:jc w:val="center"/>
        </w:trPr>
        <w:tc>
          <w:tcPr>
            <w:tcW w:w="2059" w:type="pct"/>
            <w:gridSpan w:val="5"/>
            <w:shd w:val="clear" w:color="auto" w:fill="DDD9C3" w:themeFill="background2" w:themeFillShade="E6"/>
          </w:tcPr>
          <w:p w14:paraId="1FD98CB7" w14:textId="77777777" w:rsidR="00F36F51" w:rsidRPr="001B46CB" w:rsidRDefault="00F36F51" w:rsidP="00F6444B">
            <w:pPr>
              <w:spacing w:after="2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Domaine concerné</w:t>
            </w:r>
          </w:p>
        </w:tc>
        <w:tc>
          <w:tcPr>
            <w:tcW w:w="2880" w:type="pct"/>
            <w:gridSpan w:val="8"/>
            <w:shd w:val="clear" w:color="auto" w:fill="EEECE1" w:themeFill="background2"/>
          </w:tcPr>
          <w:p w14:paraId="77F80372" w14:textId="244324CA" w:rsidR="00F36F51" w:rsidRPr="001B46CB" w:rsidRDefault="00F36F51" w:rsidP="00F6444B">
            <w:pPr>
              <w:spacing w:after="2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Militantes, femmes journalistes et membres d</w:t>
            </w:r>
            <w:r w:rsidR="00801F15" w:rsidRPr="001B46CB">
              <w:rPr>
                <w:rFonts w:asciiTheme="majorBidi" w:hAnsiTheme="majorBidi" w:cstheme="majorBidi"/>
                <w:b/>
                <w:bCs/>
                <w:lang w:val="fr-FR"/>
              </w:rPr>
              <w:t>’</w:t>
            </w:r>
            <w:r w:rsidRPr="001B46CB">
              <w:rPr>
                <w:rFonts w:asciiTheme="majorBidi" w:hAnsiTheme="majorBidi" w:cstheme="majorBidi"/>
                <w:b/>
                <w:bCs/>
                <w:lang w:val="fr-FR"/>
              </w:rPr>
              <w:t>organisations de la société civile</w:t>
            </w:r>
          </w:p>
        </w:tc>
      </w:tr>
      <w:tr w:rsidR="00F36F51" w:rsidRPr="001B46CB" w14:paraId="5BA0A367" w14:textId="77777777" w:rsidTr="0080608B">
        <w:trPr>
          <w:tblCellSpacing w:w="20" w:type="dxa"/>
          <w:jc w:val="center"/>
        </w:trPr>
        <w:tc>
          <w:tcPr>
            <w:tcW w:w="4959" w:type="pct"/>
            <w:gridSpan w:val="13"/>
            <w:shd w:val="clear" w:color="auto" w:fill="C4BC96" w:themeFill="background2" w:themeFillShade="BF"/>
            <w:vAlign w:val="center"/>
          </w:tcPr>
          <w:p w14:paraId="74D99E73" w14:textId="77777777" w:rsidR="00F36F51" w:rsidRPr="001B46CB" w:rsidRDefault="00F36F51" w:rsidP="007D4344">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F36F51" w:rsidRPr="001B46CB" w14:paraId="50C391F4" w14:textId="77777777" w:rsidTr="0080608B">
        <w:trPr>
          <w:tblCellSpacing w:w="20" w:type="dxa"/>
          <w:jc w:val="center"/>
        </w:trPr>
        <w:tc>
          <w:tcPr>
            <w:tcW w:w="4959" w:type="pct"/>
            <w:gridSpan w:val="13"/>
            <w:shd w:val="clear" w:color="auto" w:fill="auto"/>
            <w:vAlign w:val="center"/>
          </w:tcPr>
          <w:p w14:paraId="3CA994F0" w14:textId="510D871E" w:rsidR="00F36F51" w:rsidRPr="001B46CB" w:rsidRDefault="00F36F51" w:rsidP="00F6444B">
            <w:pPr>
              <w:pStyle w:val="ListParagraph"/>
              <w:numPr>
                <w:ilvl w:val="0"/>
                <w:numId w:val="42"/>
              </w:numPr>
              <w:spacing w:after="20"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Dans ses précédentes observations finales (</w:t>
            </w:r>
            <w:hyperlink r:id="rId24" w:history="1">
              <w:r w:rsidRPr="001B46CB">
                <w:rPr>
                  <w:rStyle w:val="Hyperlink"/>
                  <w:rFonts w:asciiTheme="majorBidi" w:hAnsiTheme="majorBidi" w:cstheme="majorBidi"/>
                  <w:lang w:val="fr-FR"/>
                </w:rPr>
                <w:t>CEDAW/C/BHR/CO/3</w:t>
              </w:r>
            </w:hyperlink>
            <w:r w:rsidRPr="001B46CB">
              <w:rPr>
                <w:rFonts w:asciiTheme="majorBidi" w:hAnsiTheme="majorBidi" w:cstheme="majorBidi"/>
                <w:lang w:val="fr-FR"/>
              </w:rPr>
              <w:t xml:space="preserve">, </w:t>
            </w:r>
            <w:r w:rsidR="00CC1C14" w:rsidRPr="001B46CB">
              <w:rPr>
                <w:rFonts w:asciiTheme="majorBidi" w:hAnsiTheme="majorBidi" w:cstheme="majorBidi"/>
                <w:lang w:val="fr-FR"/>
              </w:rPr>
              <w:t>par. </w:t>
            </w:r>
            <w:r w:rsidRPr="001B46CB">
              <w:rPr>
                <w:rFonts w:asciiTheme="majorBidi" w:hAnsiTheme="majorBidi" w:cstheme="majorBidi"/>
                <w:lang w:val="fr-FR"/>
              </w:rPr>
              <w:t>29), le Comité s</w:t>
            </w:r>
            <w:r w:rsidR="00801F15" w:rsidRPr="001B46CB">
              <w:rPr>
                <w:rFonts w:asciiTheme="majorBidi" w:hAnsiTheme="majorBidi" w:cstheme="majorBidi"/>
                <w:lang w:val="fr-FR"/>
              </w:rPr>
              <w:t>’</w:t>
            </w:r>
            <w:r w:rsidRPr="001B46CB">
              <w:rPr>
                <w:rFonts w:asciiTheme="majorBidi" w:hAnsiTheme="majorBidi" w:cstheme="majorBidi"/>
                <w:lang w:val="fr-FR"/>
              </w:rPr>
              <w:t>est dit préoccupé par les différentes formes de représailles dont des femmes ont été victimes à raison de leur engagement civique. Au paragraphe 147 de son rapport, l</w:t>
            </w:r>
            <w:r w:rsidR="00801F15" w:rsidRPr="001B46CB">
              <w:rPr>
                <w:rFonts w:asciiTheme="majorBidi" w:hAnsiTheme="majorBidi" w:cstheme="majorBidi"/>
                <w:lang w:val="fr-FR"/>
              </w:rPr>
              <w:t>’</w:t>
            </w:r>
            <w:r w:rsidRPr="001B46CB">
              <w:rPr>
                <w:rFonts w:asciiTheme="majorBidi" w:hAnsiTheme="majorBidi" w:cstheme="majorBidi"/>
                <w:lang w:val="fr-FR"/>
              </w:rPr>
              <w:t>État partie informe le Comité que ces actes étaient fondés sur des décisions de justice et sur la loi en vigueur, lesquelles sont décrites aux paragraphes 144 et 145. Veuillez fournir des renseignements sur les mesures prises pour garantir la liberté d</w:t>
            </w:r>
            <w:r w:rsidR="00801F15" w:rsidRPr="001B46CB">
              <w:rPr>
                <w:rFonts w:asciiTheme="majorBidi" w:hAnsiTheme="majorBidi" w:cstheme="majorBidi"/>
                <w:lang w:val="fr-FR"/>
              </w:rPr>
              <w:t>’</w:t>
            </w:r>
            <w:r w:rsidRPr="001B46CB">
              <w:rPr>
                <w:rFonts w:asciiTheme="majorBidi" w:hAnsiTheme="majorBidi" w:cstheme="majorBidi"/>
                <w:lang w:val="fr-FR"/>
              </w:rPr>
              <w:t>expression, de circulation et d</w:t>
            </w:r>
            <w:r w:rsidR="00801F15" w:rsidRPr="001B46CB">
              <w:rPr>
                <w:rFonts w:asciiTheme="majorBidi" w:hAnsiTheme="majorBidi" w:cstheme="majorBidi"/>
                <w:lang w:val="fr-FR"/>
              </w:rPr>
              <w:t>’</w:t>
            </w:r>
            <w:r w:rsidRPr="001B46CB">
              <w:rPr>
                <w:rFonts w:asciiTheme="majorBidi" w:hAnsiTheme="majorBidi" w:cstheme="majorBidi"/>
                <w:lang w:val="fr-FR"/>
              </w:rPr>
              <w:t>association de toutes les femmes, y compris les militantes, les journalistes et les membres d</w:t>
            </w:r>
            <w:r w:rsidR="00801F15" w:rsidRPr="001B46CB">
              <w:rPr>
                <w:rFonts w:asciiTheme="majorBidi" w:hAnsiTheme="majorBidi" w:cstheme="majorBidi"/>
                <w:lang w:val="fr-FR"/>
              </w:rPr>
              <w:t>’</w:t>
            </w:r>
            <w:r w:rsidRPr="001B46CB">
              <w:rPr>
                <w:rFonts w:asciiTheme="majorBidi" w:hAnsiTheme="majorBidi" w:cstheme="majorBidi"/>
                <w:lang w:val="fr-FR"/>
              </w:rPr>
              <w:t>organisations de la société civile, dans l</w:t>
            </w:r>
            <w:r w:rsidR="00801F15" w:rsidRPr="001B46CB">
              <w:rPr>
                <w:rFonts w:asciiTheme="majorBidi" w:hAnsiTheme="majorBidi" w:cstheme="majorBidi"/>
                <w:lang w:val="fr-FR"/>
              </w:rPr>
              <w:t>’</w:t>
            </w:r>
            <w:r w:rsidRPr="001B46CB">
              <w:rPr>
                <w:rFonts w:asciiTheme="majorBidi" w:hAnsiTheme="majorBidi" w:cstheme="majorBidi"/>
                <w:lang w:val="fr-FR"/>
              </w:rPr>
              <w:t>État partie.</w:t>
            </w:r>
          </w:p>
        </w:tc>
      </w:tr>
      <w:tr w:rsidR="00F36F51" w:rsidRPr="001B46CB" w14:paraId="4E5CC4DA" w14:textId="77777777" w:rsidTr="0080608B">
        <w:trPr>
          <w:tblCellSpacing w:w="20" w:type="dxa"/>
          <w:jc w:val="center"/>
        </w:trPr>
        <w:tc>
          <w:tcPr>
            <w:tcW w:w="4959" w:type="pct"/>
            <w:gridSpan w:val="13"/>
            <w:shd w:val="clear" w:color="auto" w:fill="C4BC96" w:themeFill="background2" w:themeFillShade="BF"/>
            <w:vAlign w:val="center"/>
          </w:tcPr>
          <w:p w14:paraId="79C32484" w14:textId="77777777" w:rsidR="00F36F51" w:rsidRPr="001B46CB" w:rsidRDefault="00F36F51" w:rsidP="007D4344">
            <w:pPr>
              <w:pStyle w:val="ListParagraph"/>
              <w:spacing w:after="40" w:line="240" w:lineRule="auto"/>
              <w:ind w:left="0"/>
              <w:contextualSpacing w:val="0"/>
              <w:jc w:val="center"/>
              <w:rPr>
                <w:rFonts w:asciiTheme="majorBidi" w:hAnsiTheme="majorBidi" w:cstheme="majorBidi"/>
                <w:b/>
                <w:bCs/>
                <w:lang w:val="fr-FR"/>
              </w:rPr>
            </w:pPr>
            <w:r w:rsidRPr="001B46CB">
              <w:rPr>
                <w:rFonts w:asciiTheme="majorBidi" w:hAnsiTheme="majorBidi" w:cstheme="majorBidi"/>
                <w:b/>
                <w:bCs/>
                <w:lang w:val="fr-FR"/>
              </w:rPr>
              <w:t>Réponse</w:t>
            </w:r>
          </w:p>
        </w:tc>
      </w:tr>
      <w:tr w:rsidR="00F36F51" w:rsidRPr="001B46CB" w14:paraId="7D944C48" w14:textId="77777777" w:rsidTr="0080608B">
        <w:trPr>
          <w:trHeight w:val="505"/>
          <w:tblCellSpacing w:w="20" w:type="dxa"/>
          <w:jc w:val="center"/>
        </w:trPr>
        <w:tc>
          <w:tcPr>
            <w:tcW w:w="4959" w:type="pct"/>
            <w:gridSpan w:val="13"/>
            <w:shd w:val="clear" w:color="auto" w:fill="auto"/>
          </w:tcPr>
          <w:p w14:paraId="57F8C46C" w14:textId="2E335ABD" w:rsidR="00F36F51" w:rsidRPr="001B46CB" w:rsidRDefault="00F36F51" w:rsidP="00F6444B">
            <w:pPr>
              <w:pStyle w:val="ListParagraph"/>
              <w:numPr>
                <w:ilvl w:val="0"/>
                <w:numId w:val="43"/>
              </w:numPr>
              <w:spacing w:after="20" w:line="240" w:lineRule="auto"/>
              <w:ind w:left="360" w:right="144"/>
              <w:jc w:val="both"/>
              <w:rPr>
                <w:rFonts w:asciiTheme="majorBidi" w:hAnsiTheme="majorBidi" w:cstheme="majorBidi"/>
                <w:b/>
                <w:bCs/>
                <w:color w:val="000000" w:themeColor="text1"/>
                <w:lang w:val="fr-FR"/>
              </w:rPr>
            </w:pPr>
            <w:r w:rsidRPr="001B46CB">
              <w:rPr>
                <w:rFonts w:asciiTheme="majorBidi" w:hAnsiTheme="majorBidi" w:cstheme="majorBidi"/>
                <w:lang w:val="fr-FR"/>
              </w:rPr>
              <w:t>Le Royaume de Bahreïn réaffirme que les lois et les règlements administratifs n</w:t>
            </w:r>
            <w:r w:rsidR="00801F15" w:rsidRPr="001B46CB">
              <w:rPr>
                <w:rFonts w:asciiTheme="majorBidi" w:hAnsiTheme="majorBidi" w:cstheme="majorBidi"/>
                <w:lang w:val="fr-FR"/>
              </w:rPr>
              <w:t>’</w:t>
            </w:r>
            <w:r w:rsidRPr="001B46CB">
              <w:rPr>
                <w:rFonts w:asciiTheme="majorBidi" w:hAnsiTheme="majorBidi" w:cstheme="majorBidi"/>
                <w:lang w:val="fr-FR"/>
              </w:rPr>
              <w:t>autorisent pas l</w:t>
            </w:r>
            <w:r w:rsidR="00801F15" w:rsidRPr="001B46CB">
              <w:rPr>
                <w:rFonts w:asciiTheme="majorBidi" w:hAnsiTheme="majorBidi" w:cstheme="majorBidi"/>
                <w:lang w:val="fr-FR"/>
              </w:rPr>
              <w:t>’</w:t>
            </w:r>
            <w:r w:rsidRPr="001B46CB">
              <w:rPr>
                <w:rFonts w:asciiTheme="majorBidi" w:hAnsiTheme="majorBidi" w:cstheme="majorBidi"/>
                <w:lang w:val="fr-FR"/>
              </w:rPr>
              <w:t>imposition de sanctions telles que le licenciement, la suspension, la rétrogradation, le placement en détention ou le retrait de la nationalité simplement à raison de l</w:t>
            </w:r>
            <w:r w:rsidR="00801F15" w:rsidRPr="001B46CB">
              <w:rPr>
                <w:rFonts w:asciiTheme="majorBidi" w:hAnsiTheme="majorBidi" w:cstheme="majorBidi"/>
                <w:lang w:val="fr-FR"/>
              </w:rPr>
              <w:t>’</w:t>
            </w:r>
            <w:r w:rsidRPr="001B46CB">
              <w:rPr>
                <w:rFonts w:asciiTheme="majorBidi" w:hAnsiTheme="majorBidi" w:cstheme="majorBidi"/>
                <w:lang w:val="fr-FR"/>
              </w:rPr>
              <w:t>engagement civique des femmes. Il laisse à chacun la liberté d</w:t>
            </w:r>
            <w:r w:rsidR="00801F15" w:rsidRPr="001B46CB">
              <w:rPr>
                <w:rFonts w:asciiTheme="majorBidi" w:hAnsiTheme="majorBidi" w:cstheme="majorBidi"/>
                <w:lang w:val="fr-FR"/>
              </w:rPr>
              <w:t>’</w:t>
            </w:r>
            <w:r w:rsidRPr="001B46CB">
              <w:rPr>
                <w:rFonts w:asciiTheme="majorBidi" w:hAnsiTheme="majorBidi" w:cstheme="majorBidi"/>
                <w:lang w:val="fr-FR"/>
              </w:rPr>
              <w:t>exprimer son opinion et tous les citoyens sont libres de créer des associations, conformément au décret-loi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21 de 1989</w:t>
            </w:r>
            <w:r w:rsidR="00416382" w:rsidRPr="001B46CB">
              <w:rPr>
                <w:rFonts w:asciiTheme="majorBidi" w:hAnsiTheme="majorBidi" w:cstheme="majorBidi"/>
                <w:color w:val="FF0000"/>
                <w:lang w:val="fr-FR"/>
              </w:rPr>
              <w:t xml:space="preserve"> </w:t>
            </w:r>
            <w:r w:rsidRPr="001B46CB">
              <w:rPr>
                <w:rFonts w:asciiTheme="majorBidi" w:hAnsiTheme="majorBidi" w:cstheme="majorBidi"/>
                <w:lang w:val="fr-FR"/>
              </w:rPr>
              <w:t>portant promulgation de la loi sur les associations et cercles à caractère social et culturel, les organismes privés œuvrant pour la jeunesse et les sports et les institutions privées, tel que modifié,</w:t>
            </w:r>
            <w:r w:rsidR="00801F15" w:rsidRPr="001B46CB">
              <w:rPr>
                <w:rFonts w:asciiTheme="majorBidi" w:hAnsiTheme="majorBidi" w:cstheme="majorBidi"/>
                <w:lang w:val="fr-FR"/>
              </w:rPr>
              <w:t xml:space="preserve"> </w:t>
            </w:r>
            <w:r w:rsidRPr="001B46CB">
              <w:rPr>
                <w:rFonts w:asciiTheme="majorBidi" w:hAnsiTheme="majorBidi" w:cstheme="majorBidi"/>
                <w:lang w:val="fr-FR"/>
              </w:rPr>
              <w:t>et à la 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26 de 2005 sur les associations politiques, telle que modifiée.</w:t>
            </w:r>
          </w:p>
        </w:tc>
      </w:tr>
      <w:tr w:rsidR="00F36F51" w:rsidRPr="001B46CB" w14:paraId="42527FAC" w14:textId="77777777" w:rsidTr="0080608B">
        <w:trPr>
          <w:tblCellSpacing w:w="20" w:type="dxa"/>
          <w:jc w:val="center"/>
        </w:trPr>
        <w:tc>
          <w:tcPr>
            <w:tcW w:w="4959" w:type="pct"/>
            <w:gridSpan w:val="13"/>
            <w:shd w:val="clear" w:color="auto" w:fill="C4BC96" w:themeFill="background2" w:themeFillShade="BF"/>
          </w:tcPr>
          <w:p w14:paraId="3D3F5952" w14:textId="77777777" w:rsidR="00F36F51" w:rsidRPr="001B46CB" w:rsidRDefault="00F36F51" w:rsidP="00767A10">
            <w:pPr>
              <w:spacing w:after="40" w:line="240" w:lineRule="auto"/>
              <w:ind w:left="317"/>
              <w:jc w:val="center"/>
              <w:rPr>
                <w:rFonts w:asciiTheme="majorBidi" w:hAnsiTheme="majorBidi" w:cstheme="majorBidi"/>
                <w:b/>
                <w:bCs/>
                <w:lang w:val="fr-FR"/>
              </w:rPr>
            </w:pPr>
            <w:r w:rsidRPr="001B46CB">
              <w:rPr>
                <w:rFonts w:asciiTheme="majorBidi" w:hAnsiTheme="majorBidi" w:cstheme="majorBidi"/>
                <w:b/>
                <w:bCs/>
                <w:lang w:val="fr-FR"/>
              </w:rPr>
              <w:t>Observations du Comité</w:t>
            </w:r>
            <w:r w:rsidRPr="001B46CB">
              <w:rPr>
                <w:rFonts w:asciiTheme="majorBidi" w:hAnsiTheme="majorBidi" w:cstheme="majorBidi"/>
                <w:lang w:val="fr-FR"/>
              </w:rPr>
              <w:t xml:space="preserve"> </w:t>
            </w:r>
          </w:p>
        </w:tc>
      </w:tr>
      <w:tr w:rsidR="00F36F51" w:rsidRPr="001B46CB" w14:paraId="6E9E0201" w14:textId="77777777" w:rsidTr="0080608B">
        <w:trPr>
          <w:trHeight w:val="505"/>
          <w:tblCellSpacing w:w="20" w:type="dxa"/>
          <w:jc w:val="center"/>
        </w:trPr>
        <w:tc>
          <w:tcPr>
            <w:tcW w:w="4959" w:type="pct"/>
            <w:gridSpan w:val="13"/>
            <w:shd w:val="clear" w:color="auto" w:fill="auto"/>
          </w:tcPr>
          <w:p w14:paraId="71F8BE00" w14:textId="0F057ABE" w:rsidR="00F36F51" w:rsidRPr="001B46CB" w:rsidRDefault="00F36F51" w:rsidP="00767A10">
            <w:pPr>
              <w:numPr>
                <w:ilvl w:val="0"/>
                <w:numId w:val="42"/>
              </w:numPr>
              <w:spacing w:after="20" w:line="220" w:lineRule="exact"/>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Eu égard aux informations indiquant que des militantes et des journalistes auraient fait l</w:t>
            </w:r>
            <w:r w:rsidR="00801F15" w:rsidRPr="001B46CB">
              <w:rPr>
                <w:rFonts w:asciiTheme="majorBidi" w:hAnsiTheme="majorBidi" w:cstheme="majorBidi"/>
                <w:lang w:val="fr-FR"/>
              </w:rPr>
              <w:t>’</w:t>
            </w:r>
            <w:r w:rsidRPr="001B46CB">
              <w:rPr>
                <w:rFonts w:asciiTheme="majorBidi" w:hAnsiTheme="majorBidi" w:cstheme="majorBidi"/>
                <w:lang w:val="fr-FR"/>
              </w:rPr>
              <w:t>objet d</w:t>
            </w:r>
            <w:r w:rsidR="00801F15" w:rsidRPr="001B46CB">
              <w:rPr>
                <w:rFonts w:asciiTheme="majorBidi" w:hAnsiTheme="majorBidi" w:cstheme="majorBidi"/>
                <w:lang w:val="fr-FR"/>
              </w:rPr>
              <w:t>’</w:t>
            </w:r>
            <w:r w:rsidRPr="001B46CB">
              <w:rPr>
                <w:rFonts w:asciiTheme="majorBidi" w:hAnsiTheme="majorBidi" w:cstheme="majorBidi"/>
                <w:lang w:val="fr-FR"/>
              </w:rPr>
              <w:t>interdictions de voyager, été privées de leur nationalité, licenciées ou rétrogradées, victimes de menaces, de harcèlement sexuel ou autre, de violences, de détentions arbitraires et de torture, veuillez informer le Comité des mesures prises avant et après l</w:t>
            </w:r>
            <w:r w:rsidR="00801F15" w:rsidRPr="001B46CB">
              <w:rPr>
                <w:rFonts w:asciiTheme="majorBidi" w:hAnsiTheme="majorBidi" w:cstheme="majorBidi"/>
                <w:lang w:val="fr-FR"/>
              </w:rPr>
              <w:t>’</w:t>
            </w:r>
            <w:r w:rsidRPr="001B46CB">
              <w:rPr>
                <w:rFonts w:asciiTheme="majorBidi" w:hAnsiTheme="majorBidi" w:cstheme="majorBidi"/>
                <w:lang w:val="fr-FR"/>
              </w:rPr>
              <w:t>adoption de ses précédentes observations finales (</w:t>
            </w:r>
            <w:hyperlink r:id="rId25" w:history="1">
              <w:r w:rsidRPr="001B46CB">
                <w:rPr>
                  <w:rStyle w:val="Hyperlink"/>
                  <w:rFonts w:asciiTheme="majorBidi" w:hAnsiTheme="majorBidi" w:cstheme="majorBidi"/>
                  <w:lang w:val="fr-FR"/>
                </w:rPr>
                <w:t>CEDAW/C/BHR/CO/3</w:t>
              </w:r>
            </w:hyperlink>
            <w:r w:rsidRPr="001B46CB">
              <w:rPr>
                <w:rFonts w:asciiTheme="majorBidi" w:hAnsiTheme="majorBidi" w:cstheme="majorBidi"/>
                <w:lang w:val="fr-FR"/>
              </w:rPr>
              <w:t>) en vue d</w:t>
            </w:r>
            <w:r w:rsidR="00801F15" w:rsidRPr="001B46CB">
              <w:rPr>
                <w:rFonts w:asciiTheme="majorBidi" w:hAnsiTheme="majorBidi" w:cstheme="majorBidi"/>
                <w:lang w:val="fr-FR"/>
              </w:rPr>
              <w:t>’</w:t>
            </w:r>
            <w:r w:rsidRPr="001B46CB">
              <w:rPr>
                <w:rFonts w:asciiTheme="majorBidi" w:hAnsiTheme="majorBidi" w:cstheme="majorBidi"/>
                <w:lang w:val="fr-FR"/>
              </w:rPr>
              <w:t>empêcher la commission de tels abus et d</w:t>
            </w:r>
            <w:r w:rsidR="00801F15" w:rsidRPr="001B46CB">
              <w:rPr>
                <w:rFonts w:asciiTheme="majorBidi" w:hAnsiTheme="majorBidi" w:cstheme="majorBidi"/>
                <w:lang w:val="fr-FR"/>
              </w:rPr>
              <w:t>’</w:t>
            </w:r>
            <w:r w:rsidRPr="001B46CB">
              <w:rPr>
                <w:rFonts w:asciiTheme="majorBidi" w:hAnsiTheme="majorBidi" w:cstheme="majorBidi"/>
                <w:lang w:val="fr-FR"/>
              </w:rPr>
              <w:t xml:space="preserve">en poursuivre et punir les </w:t>
            </w:r>
            <w:r w:rsidRPr="001B46CB">
              <w:rPr>
                <w:rFonts w:asciiTheme="majorBidi" w:hAnsiTheme="majorBidi" w:cstheme="majorBidi"/>
                <w:lang w:val="fr-FR"/>
              </w:rPr>
              <w:lastRenderedPageBreak/>
              <w:t>auteurs, ainsi que pour veiller à ce que les victimes puissent bénéficier de mesures de réparation, notamment d</w:t>
            </w:r>
            <w:r w:rsidR="00801F15" w:rsidRPr="001B46CB">
              <w:rPr>
                <w:rFonts w:asciiTheme="majorBidi" w:hAnsiTheme="majorBidi" w:cstheme="majorBidi"/>
                <w:lang w:val="fr-FR"/>
              </w:rPr>
              <w:t>’</w:t>
            </w:r>
            <w:r w:rsidRPr="001B46CB">
              <w:rPr>
                <w:rFonts w:asciiTheme="majorBidi" w:hAnsiTheme="majorBidi" w:cstheme="majorBidi"/>
                <w:lang w:val="fr-FR"/>
              </w:rPr>
              <w:t>une indemnisation.</w:t>
            </w:r>
          </w:p>
        </w:tc>
      </w:tr>
      <w:tr w:rsidR="00F36F51" w:rsidRPr="001B46CB" w14:paraId="5FE385C5" w14:textId="77777777" w:rsidTr="00F6444B">
        <w:trPr>
          <w:tblCellSpacing w:w="20" w:type="dxa"/>
          <w:jc w:val="center"/>
        </w:trPr>
        <w:tc>
          <w:tcPr>
            <w:tcW w:w="4959" w:type="pct"/>
            <w:gridSpan w:val="13"/>
            <w:shd w:val="clear" w:color="auto" w:fill="C4BC96" w:themeFill="background2" w:themeFillShade="BF"/>
          </w:tcPr>
          <w:p w14:paraId="3EBFD1E1" w14:textId="77777777" w:rsidR="00F36F51" w:rsidRPr="001B46CB" w:rsidRDefault="00F36F51" w:rsidP="00767A10">
            <w:pPr>
              <w:keepNext/>
              <w:spacing w:after="40" w:line="240" w:lineRule="auto"/>
              <w:ind w:left="317"/>
              <w:jc w:val="center"/>
              <w:rPr>
                <w:rFonts w:asciiTheme="majorBidi" w:hAnsiTheme="majorBidi" w:cstheme="majorBidi"/>
                <w:b/>
                <w:bCs/>
                <w:lang w:val="fr-FR"/>
              </w:rPr>
            </w:pPr>
            <w:r w:rsidRPr="001B46CB">
              <w:rPr>
                <w:rFonts w:asciiTheme="majorBidi" w:hAnsiTheme="majorBidi" w:cstheme="majorBidi"/>
                <w:b/>
                <w:bCs/>
                <w:lang w:val="fr-FR"/>
              </w:rPr>
              <w:lastRenderedPageBreak/>
              <w:t>Réponse</w:t>
            </w:r>
          </w:p>
        </w:tc>
      </w:tr>
      <w:tr w:rsidR="00F36F51" w:rsidRPr="001B46CB" w14:paraId="42867C0A" w14:textId="77777777" w:rsidTr="00E0752A">
        <w:trPr>
          <w:tblCellSpacing w:w="20" w:type="dxa"/>
          <w:jc w:val="center"/>
        </w:trPr>
        <w:tc>
          <w:tcPr>
            <w:tcW w:w="4959" w:type="pct"/>
            <w:gridSpan w:val="13"/>
            <w:shd w:val="clear" w:color="auto" w:fill="auto"/>
          </w:tcPr>
          <w:p w14:paraId="368FB906" w14:textId="0631B33B" w:rsidR="00F36F51" w:rsidRPr="001B46CB" w:rsidRDefault="00F36F51" w:rsidP="00B422AB">
            <w:pPr>
              <w:keepNext/>
              <w:numPr>
                <w:ilvl w:val="0"/>
                <w:numId w:val="43"/>
              </w:numPr>
              <w:spacing w:line="240" w:lineRule="auto"/>
              <w:ind w:left="360"/>
              <w:jc w:val="both"/>
              <w:rPr>
                <w:rFonts w:asciiTheme="majorBidi" w:hAnsiTheme="majorBidi" w:cstheme="majorBidi"/>
                <w:color w:val="000000" w:themeColor="text1"/>
                <w:lang w:val="fr-FR"/>
              </w:rPr>
            </w:pPr>
            <w:r w:rsidRPr="001B46CB">
              <w:rPr>
                <w:rFonts w:asciiTheme="majorBidi" w:hAnsiTheme="majorBidi" w:cstheme="majorBidi"/>
                <w:lang w:val="fr-FR"/>
              </w:rPr>
              <w:t>Bahreïn réaffirme la teneur des paragraphes 139 à 146 de son quatrième rapport périodique, comme suit</w:t>
            </w:r>
            <w:r w:rsidR="00801F15" w:rsidRPr="001B46CB">
              <w:rPr>
                <w:rFonts w:asciiTheme="majorBidi" w:hAnsiTheme="majorBidi" w:cstheme="majorBidi"/>
                <w:lang w:val="fr-FR"/>
              </w:rPr>
              <w:t> :</w:t>
            </w:r>
          </w:p>
          <w:p w14:paraId="42B9E895" w14:textId="55BC1FD5" w:rsidR="00F36F51" w:rsidRPr="001B46CB" w:rsidRDefault="00F36F51" w:rsidP="00B422AB">
            <w:pPr>
              <w:keepNext/>
              <w:numPr>
                <w:ilvl w:val="0"/>
                <w:numId w:val="43"/>
              </w:numPr>
              <w:spacing w:line="240" w:lineRule="auto"/>
              <w:ind w:left="360" w:right="144"/>
              <w:jc w:val="both"/>
              <w:rPr>
                <w:rFonts w:asciiTheme="majorBidi" w:hAnsiTheme="majorBidi" w:cstheme="majorBidi"/>
                <w:lang w:val="fr-FR"/>
              </w:rPr>
            </w:pPr>
            <w:r w:rsidRPr="001B46CB">
              <w:rPr>
                <w:rFonts w:asciiTheme="majorBidi" w:hAnsiTheme="majorBidi" w:cstheme="majorBidi"/>
                <w:lang w:val="fr-FR"/>
              </w:rPr>
              <w:t>Le Gouvernement bahreïnien a accordé une attention particulière aux allégations selon lesquelles des femmes auraient été maltraitées, auraient subi des actes d</w:t>
            </w:r>
            <w:r w:rsidR="00801F15" w:rsidRPr="001B46CB">
              <w:rPr>
                <w:rFonts w:asciiTheme="majorBidi" w:hAnsiTheme="majorBidi" w:cstheme="majorBidi"/>
                <w:lang w:val="fr-FR"/>
              </w:rPr>
              <w:t>’</w:t>
            </w:r>
            <w:r w:rsidRPr="001B46CB">
              <w:rPr>
                <w:rFonts w:asciiTheme="majorBidi" w:hAnsiTheme="majorBidi" w:cstheme="majorBidi"/>
                <w:lang w:val="fr-FR"/>
              </w:rPr>
              <w:t>intimidation de la part d</w:t>
            </w:r>
            <w:r w:rsidR="00801F15" w:rsidRPr="001B46CB">
              <w:rPr>
                <w:rFonts w:asciiTheme="majorBidi" w:hAnsiTheme="majorBidi" w:cstheme="majorBidi"/>
                <w:lang w:val="fr-FR"/>
              </w:rPr>
              <w:t>’</w:t>
            </w:r>
            <w:r w:rsidRPr="001B46CB">
              <w:rPr>
                <w:rFonts w:asciiTheme="majorBidi" w:hAnsiTheme="majorBidi" w:cstheme="majorBidi"/>
                <w:lang w:val="fr-FR"/>
              </w:rPr>
              <w:t>agents des forces de l</w:t>
            </w:r>
            <w:r w:rsidR="00801F15" w:rsidRPr="001B46CB">
              <w:rPr>
                <w:rFonts w:asciiTheme="majorBidi" w:hAnsiTheme="majorBidi" w:cstheme="majorBidi"/>
                <w:lang w:val="fr-FR"/>
              </w:rPr>
              <w:t>’</w:t>
            </w:r>
            <w:r w:rsidRPr="001B46CB">
              <w:rPr>
                <w:rFonts w:asciiTheme="majorBidi" w:hAnsiTheme="majorBidi" w:cstheme="majorBidi"/>
                <w:lang w:val="fr-FR"/>
              </w:rPr>
              <w:t>ordre, auraient été licenciées ou suspendues dans les postes qu</w:t>
            </w:r>
            <w:r w:rsidR="00801F15" w:rsidRPr="001B46CB">
              <w:rPr>
                <w:rFonts w:asciiTheme="majorBidi" w:hAnsiTheme="majorBidi" w:cstheme="majorBidi"/>
                <w:lang w:val="fr-FR"/>
              </w:rPr>
              <w:t>’</w:t>
            </w:r>
            <w:r w:rsidRPr="001B46CB">
              <w:rPr>
                <w:rFonts w:asciiTheme="majorBidi" w:hAnsiTheme="majorBidi" w:cstheme="majorBidi"/>
                <w:lang w:val="fr-FR"/>
              </w:rPr>
              <w:t>elles occupaient ou auraient fait l</w:t>
            </w:r>
            <w:r w:rsidR="00801F15" w:rsidRPr="001B46CB">
              <w:rPr>
                <w:rFonts w:asciiTheme="majorBidi" w:hAnsiTheme="majorBidi" w:cstheme="majorBidi"/>
                <w:lang w:val="fr-FR"/>
              </w:rPr>
              <w:t>’</w:t>
            </w:r>
            <w:r w:rsidRPr="001B46CB">
              <w:rPr>
                <w:rFonts w:asciiTheme="majorBidi" w:hAnsiTheme="majorBidi" w:cstheme="majorBidi"/>
                <w:lang w:val="fr-FR"/>
              </w:rPr>
              <w:t>objet d</w:t>
            </w:r>
            <w:r w:rsidR="00801F15" w:rsidRPr="001B46CB">
              <w:rPr>
                <w:rFonts w:asciiTheme="majorBidi" w:hAnsiTheme="majorBidi" w:cstheme="majorBidi"/>
                <w:lang w:val="fr-FR"/>
              </w:rPr>
              <w:t>’</w:t>
            </w:r>
            <w:r w:rsidRPr="001B46CB">
              <w:rPr>
                <w:rFonts w:asciiTheme="majorBidi" w:hAnsiTheme="majorBidi" w:cstheme="majorBidi"/>
                <w:lang w:val="fr-FR"/>
              </w:rPr>
              <w:t>autres formes de représailles telles que le placement en détention ou le retrait de la nationalité. Les mesures législatives et exécutives nécessaires pour enquêter ont été prises, comme indiqué ci-dessous.</w:t>
            </w:r>
          </w:p>
          <w:p w14:paraId="711C67F4" w14:textId="604293A1" w:rsidR="00F36F51" w:rsidRPr="001B46CB" w:rsidRDefault="00F36F51" w:rsidP="00B422AB">
            <w:pPr>
              <w:keepNext/>
              <w:numPr>
                <w:ilvl w:val="0"/>
                <w:numId w:val="43"/>
              </w:numPr>
              <w:spacing w:line="240" w:lineRule="auto"/>
              <w:ind w:left="360" w:right="144"/>
              <w:jc w:val="both"/>
              <w:rPr>
                <w:rFonts w:asciiTheme="majorBidi" w:hAnsiTheme="majorBidi" w:cstheme="majorBidi"/>
                <w:lang w:val="fr-FR"/>
              </w:rPr>
            </w:pPr>
            <w:r w:rsidRPr="001B46CB">
              <w:rPr>
                <w:rFonts w:asciiTheme="majorBidi" w:hAnsiTheme="majorBidi" w:cstheme="majorBidi"/>
                <w:lang w:val="fr-FR"/>
              </w:rPr>
              <w:t xml:space="preserve">Le Bureau du </w:t>
            </w:r>
            <w:r w:rsidR="00763A87" w:rsidRPr="001B46CB">
              <w:rPr>
                <w:rFonts w:asciiTheme="majorBidi" w:hAnsiTheme="majorBidi" w:cstheme="majorBidi"/>
                <w:lang w:val="fr-FR"/>
              </w:rPr>
              <w:t>m</w:t>
            </w:r>
            <w:r w:rsidRPr="001B46CB">
              <w:rPr>
                <w:rFonts w:asciiTheme="majorBidi" w:hAnsiTheme="majorBidi" w:cstheme="majorBidi"/>
                <w:lang w:val="fr-FR"/>
              </w:rPr>
              <w:t>édiateur, ou de l</w:t>
            </w:r>
            <w:r w:rsidR="00801F15" w:rsidRPr="001B46CB">
              <w:rPr>
                <w:rFonts w:asciiTheme="majorBidi" w:hAnsiTheme="majorBidi" w:cstheme="majorBidi"/>
                <w:lang w:val="fr-FR"/>
              </w:rPr>
              <w:t>’</w:t>
            </w:r>
            <w:r w:rsidRPr="001B46CB">
              <w:rPr>
                <w:rFonts w:asciiTheme="majorBidi" w:hAnsiTheme="majorBidi" w:cstheme="majorBidi"/>
                <w:lang w:val="fr-FR"/>
              </w:rPr>
              <w:t>Ombudsman, a été créé en application du décret royal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27 de 2012 tel que modifié par le décret royal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35 de 2013. Bahreïn est le premier État de la région à avoir créé ce type d</w:t>
            </w:r>
            <w:r w:rsidR="00801F15" w:rsidRPr="001B46CB">
              <w:rPr>
                <w:rFonts w:asciiTheme="majorBidi" w:hAnsiTheme="majorBidi" w:cstheme="majorBidi"/>
                <w:lang w:val="fr-FR"/>
              </w:rPr>
              <w:t>’</w:t>
            </w:r>
            <w:r w:rsidRPr="001B46CB">
              <w:rPr>
                <w:rFonts w:asciiTheme="majorBidi" w:hAnsiTheme="majorBidi" w:cstheme="majorBidi"/>
                <w:lang w:val="fr-FR"/>
              </w:rPr>
              <w:t>organe, qui recueille les plaintes visant tout agent du Ministère de l</w:t>
            </w:r>
            <w:r w:rsidR="00801F15" w:rsidRPr="001B46CB">
              <w:rPr>
                <w:rFonts w:asciiTheme="majorBidi" w:hAnsiTheme="majorBidi" w:cstheme="majorBidi"/>
                <w:lang w:val="fr-FR"/>
              </w:rPr>
              <w:t>’</w:t>
            </w:r>
            <w:r w:rsidRPr="001B46CB">
              <w:rPr>
                <w:rFonts w:asciiTheme="majorBidi" w:hAnsiTheme="majorBidi" w:cstheme="majorBidi"/>
                <w:lang w:val="fr-FR"/>
              </w:rPr>
              <w:t>intérieur. En septembre 2013, il est devenu membre de l</w:t>
            </w:r>
            <w:r w:rsidR="00801F15" w:rsidRPr="001B46CB">
              <w:rPr>
                <w:rFonts w:asciiTheme="majorBidi" w:hAnsiTheme="majorBidi" w:cstheme="majorBidi"/>
                <w:lang w:val="fr-FR"/>
              </w:rPr>
              <w:t>’</w:t>
            </w:r>
            <w:r w:rsidRPr="001B46CB">
              <w:rPr>
                <w:rFonts w:asciiTheme="majorBidi" w:hAnsiTheme="majorBidi" w:cstheme="majorBidi"/>
                <w:lang w:val="fr-FR"/>
              </w:rPr>
              <w:t>Institut international de l</w:t>
            </w:r>
            <w:r w:rsidR="00801F15" w:rsidRPr="001B46CB">
              <w:rPr>
                <w:rFonts w:asciiTheme="majorBidi" w:hAnsiTheme="majorBidi" w:cstheme="majorBidi"/>
                <w:lang w:val="fr-FR"/>
              </w:rPr>
              <w:t>’</w:t>
            </w:r>
            <w:r w:rsidRPr="001B46CB">
              <w:rPr>
                <w:rFonts w:asciiTheme="majorBidi" w:hAnsiTheme="majorBidi" w:cstheme="majorBidi"/>
                <w:lang w:val="fr-FR"/>
              </w:rPr>
              <w:t>Ombudsman. En 2014, il a reçu le prix Chaillot pour la promotion des droits de l</w:t>
            </w:r>
            <w:r w:rsidR="00801F15" w:rsidRPr="001B46CB">
              <w:rPr>
                <w:rFonts w:asciiTheme="majorBidi" w:hAnsiTheme="majorBidi" w:cstheme="majorBidi"/>
                <w:lang w:val="fr-FR"/>
              </w:rPr>
              <w:t>’</w:t>
            </w:r>
            <w:r w:rsidRPr="001B46CB">
              <w:rPr>
                <w:rFonts w:asciiTheme="majorBidi" w:hAnsiTheme="majorBidi" w:cstheme="majorBidi"/>
                <w:lang w:val="fr-FR"/>
              </w:rPr>
              <w:t>homme dans la région du golfe Arabique, décerné par l</w:t>
            </w:r>
            <w:r w:rsidR="00801F15" w:rsidRPr="001B46CB">
              <w:rPr>
                <w:rFonts w:asciiTheme="majorBidi" w:hAnsiTheme="majorBidi" w:cstheme="majorBidi"/>
                <w:lang w:val="fr-FR"/>
              </w:rPr>
              <w:t>’</w:t>
            </w:r>
            <w:r w:rsidRPr="001B46CB">
              <w:rPr>
                <w:rFonts w:asciiTheme="majorBidi" w:hAnsiTheme="majorBidi" w:cstheme="majorBidi"/>
                <w:lang w:val="fr-FR"/>
              </w:rPr>
              <w:t>Union européenne. Des informations plus détaillées</w:t>
            </w:r>
            <w:r w:rsidR="00801F15" w:rsidRPr="001B46CB">
              <w:rPr>
                <w:rFonts w:asciiTheme="majorBidi" w:hAnsiTheme="majorBidi" w:cstheme="majorBidi"/>
                <w:lang w:val="fr-FR"/>
              </w:rPr>
              <w:t xml:space="preserve"> </w:t>
            </w:r>
            <w:r w:rsidRPr="001B46CB">
              <w:rPr>
                <w:rFonts w:asciiTheme="majorBidi" w:hAnsiTheme="majorBidi" w:cstheme="majorBidi"/>
                <w:lang w:val="fr-FR"/>
              </w:rPr>
              <w:t>sont disponibles à l</w:t>
            </w:r>
            <w:r w:rsidR="00801F15" w:rsidRPr="001B46CB">
              <w:rPr>
                <w:rFonts w:asciiTheme="majorBidi" w:hAnsiTheme="majorBidi" w:cstheme="majorBidi"/>
                <w:lang w:val="fr-FR"/>
              </w:rPr>
              <w:t>’</w:t>
            </w:r>
            <w:r w:rsidRPr="001B46CB">
              <w:rPr>
                <w:rFonts w:asciiTheme="majorBidi" w:hAnsiTheme="majorBidi" w:cstheme="majorBidi"/>
                <w:lang w:val="fr-FR"/>
              </w:rPr>
              <w:t>adresse électronique suivante</w:t>
            </w:r>
            <w:r w:rsidR="00801F15" w:rsidRPr="001B46CB">
              <w:rPr>
                <w:rFonts w:asciiTheme="majorBidi" w:hAnsiTheme="majorBidi" w:cstheme="majorBidi"/>
                <w:lang w:val="fr-FR"/>
              </w:rPr>
              <w:t> :</w:t>
            </w:r>
            <w:r w:rsidRPr="001B46CB">
              <w:rPr>
                <w:rFonts w:asciiTheme="majorBidi" w:hAnsiTheme="majorBidi" w:cstheme="majorBidi"/>
                <w:lang w:val="fr-FR"/>
              </w:rPr>
              <w:t xml:space="preserve"> </w:t>
            </w:r>
            <w:hyperlink r:id="rId26" w:history="1">
              <w:r w:rsidR="003465C1" w:rsidRPr="001B46CB">
                <w:rPr>
                  <w:rStyle w:val="Hyperlink"/>
                  <w:rFonts w:asciiTheme="majorBidi" w:hAnsiTheme="majorBidi" w:cstheme="majorBidi"/>
                  <w:lang w:val="fr-FR"/>
                </w:rPr>
                <w:t>https://www.ombudsman.bh/en/</w:t>
              </w:r>
            </w:hyperlink>
            <w:r w:rsidRPr="001B46CB">
              <w:rPr>
                <w:rFonts w:asciiTheme="majorBidi" w:hAnsiTheme="majorBidi" w:cstheme="majorBidi"/>
                <w:lang w:val="fr-FR"/>
              </w:rPr>
              <w:t>.</w:t>
            </w:r>
          </w:p>
          <w:p w14:paraId="69CCF4F3" w14:textId="752661B3" w:rsidR="00F36F51" w:rsidRPr="001B46CB" w:rsidRDefault="00F36F51" w:rsidP="00B422AB">
            <w:pPr>
              <w:keepNext/>
              <w:numPr>
                <w:ilvl w:val="0"/>
                <w:numId w:val="43"/>
              </w:numPr>
              <w:spacing w:line="240" w:lineRule="auto"/>
              <w:ind w:left="360" w:right="144"/>
              <w:jc w:val="both"/>
              <w:rPr>
                <w:rFonts w:asciiTheme="majorBidi" w:hAnsiTheme="majorBidi" w:cstheme="majorBidi"/>
                <w:lang w:val="fr-FR"/>
              </w:rPr>
            </w:pPr>
            <w:r w:rsidRPr="001B46CB">
              <w:rPr>
                <w:rFonts w:asciiTheme="majorBidi" w:hAnsiTheme="majorBidi" w:cstheme="majorBidi"/>
                <w:lang w:val="fr-FR"/>
              </w:rPr>
              <w:t>Le décret royal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61 du 2 septembre 2013 a porté création de la Commission de défense des droits des prisonniers et des détenus. Il est tenu compte dans le préambule des principes définis dans le Protocole facultatif se rapportant à la Convention contre la torture et autres peines ou traitements cruels, inhumains ou dégradants, que l</w:t>
            </w:r>
            <w:r w:rsidR="00801F15" w:rsidRPr="001B46CB">
              <w:rPr>
                <w:rFonts w:asciiTheme="majorBidi" w:hAnsiTheme="majorBidi" w:cstheme="majorBidi"/>
                <w:lang w:val="fr-FR"/>
              </w:rPr>
              <w:t>’</w:t>
            </w:r>
            <w:r w:rsidRPr="001B46CB">
              <w:rPr>
                <w:rFonts w:asciiTheme="majorBidi" w:hAnsiTheme="majorBidi" w:cstheme="majorBidi"/>
                <w:lang w:val="fr-FR"/>
              </w:rPr>
              <w:t xml:space="preserve">Assemblée générale a adopté le 18 décembre 2002 par sa résolution </w:t>
            </w:r>
            <w:hyperlink r:id="rId27" w:history="1">
              <w:r w:rsidRPr="001B46CB">
                <w:rPr>
                  <w:rStyle w:val="Hyperlink"/>
                  <w:rFonts w:asciiTheme="majorBidi" w:hAnsiTheme="majorBidi" w:cstheme="majorBidi"/>
                  <w:lang w:val="fr-FR"/>
                </w:rPr>
                <w:t>57/199</w:t>
              </w:r>
            </w:hyperlink>
            <w:r w:rsidRPr="001B46CB">
              <w:rPr>
                <w:rFonts w:asciiTheme="majorBidi" w:hAnsiTheme="majorBidi" w:cstheme="majorBidi"/>
                <w:lang w:val="fr-FR"/>
              </w:rPr>
              <w:t>. La Commission a pour mission de surveiller les prisons, les lieux de détention, les centres de placement pour mineurs et de placement provisoire et autres lieux de confinement, tels que les hôpitaux et les centres d</w:t>
            </w:r>
            <w:r w:rsidR="00801F15" w:rsidRPr="001B46CB">
              <w:rPr>
                <w:rFonts w:asciiTheme="majorBidi" w:hAnsiTheme="majorBidi" w:cstheme="majorBidi"/>
                <w:lang w:val="fr-FR"/>
              </w:rPr>
              <w:t>’</w:t>
            </w:r>
            <w:r w:rsidRPr="001B46CB">
              <w:rPr>
                <w:rFonts w:asciiTheme="majorBidi" w:hAnsiTheme="majorBidi" w:cstheme="majorBidi"/>
                <w:lang w:val="fr-FR"/>
              </w:rPr>
              <w:t>internement psychiatrique, afin d</w:t>
            </w:r>
            <w:r w:rsidR="00801F15" w:rsidRPr="001B46CB">
              <w:rPr>
                <w:rFonts w:asciiTheme="majorBidi" w:hAnsiTheme="majorBidi" w:cstheme="majorBidi"/>
                <w:lang w:val="fr-FR"/>
              </w:rPr>
              <w:t>’</w:t>
            </w:r>
            <w:r w:rsidRPr="001B46CB">
              <w:rPr>
                <w:rFonts w:asciiTheme="majorBidi" w:hAnsiTheme="majorBidi" w:cstheme="majorBidi"/>
                <w:lang w:val="fr-FR"/>
              </w:rPr>
              <w:t>examiner les conditions de détention et le traitement réservé aux détenus et de faire en sorte que ces personnes ne soient pas soumises à la torture ou à des traitements inhumains ou dégradants</w:t>
            </w:r>
            <w:r w:rsidR="00B90931" w:rsidRPr="001B46CB">
              <w:rPr>
                <w:rFonts w:asciiTheme="majorBidi" w:hAnsiTheme="majorBidi" w:cstheme="majorBidi"/>
                <w:lang w:val="fr-FR"/>
              </w:rPr>
              <w:t>.</w:t>
            </w:r>
          </w:p>
          <w:p w14:paraId="76DDEB1C" w14:textId="5BCA5E2D" w:rsidR="00F36F51" w:rsidRPr="001B46CB" w:rsidRDefault="00F36F51" w:rsidP="00B422AB">
            <w:pPr>
              <w:keepNext/>
              <w:numPr>
                <w:ilvl w:val="0"/>
                <w:numId w:val="43"/>
              </w:numPr>
              <w:spacing w:line="240" w:lineRule="auto"/>
              <w:ind w:left="360" w:right="144"/>
              <w:jc w:val="both"/>
              <w:rPr>
                <w:rFonts w:asciiTheme="majorBidi" w:hAnsiTheme="majorBidi" w:cstheme="majorBidi"/>
                <w:lang w:val="fr-FR"/>
              </w:rPr>
            </w:pPr>
            <w:r w:rsidRPr="001B46CB">
              <w:rPr>
                <w:rFonts w:asciiTheme="majorBidi" w:hAnsiTheme="majorBidi" w:cstheme="majorBidi"/>
                <w:lang w:val="fr-FR"/>
              </w:rPr>
              <w:t>Concernant l</w:t>
            </w:r>
            <w:r w:rsidR="00801F15" w:rsidRPr="001B46CB">
              <w:rPr>
                <w:rFonts w:asciiTheme="majorBidi" w:hAnsiTheme="majorBidi" w:cstheme="majorBidi"/>
                <w:lang w:val="fr-FR"/>
              </w:rPr>
              <w:t>’</w:t>
            </w:r>
            <w:r w:rsidRPr="001B46CB">
              <w:rPr>
                <w:rFonts w:asciiTheme="majorBidi" w:hAnsiTheme="majorBidi" w:cstheme="majorBidi"/>
                <w:lang w:val="fr-FR"/>
              </w:rPr>
              <w:t>allégation selon laquelle un certain nombre de femmes seraient encore en détention, celles-ci ont été reconnues coupables d</w:t>
            </w:r>
            <w:r w:rsidR="00801F15" w:rsidRPr="001B46CB">
              <w:rPr>
                <w:rFonts w:asciiTheme="majorBidi" w:hAnsiTheme="majorBidi" w:cstheme="majorBidi"/>
                <w:lang w:val="fr-FR"/>
              </w:rPr>
              <w:t>’</w:t>
            </w:r>
            <w:r w:rsidRPr="001B46CB">
              <w:rPr>
                <w:rFonts w:asciiTheme="majorBidi" w:hAnsiTheme="majorBidi" w:cstheme="majorBidi"/>
                <w:lang w:val="fr-FR"/>
              </w:rPr>
              <w:t>avoir commis une infraction pénale, après avoir fait l</w:t>
            </w:r>
            <w:r w:rsidR="00801F15" w:rsidRPr="001B46CB">
              <w:rPr>
                <w:rFonts w:asciiTheme="majorBidi" w:hAnsiTheme="majorBidi" w:cstheme="majorBidi"/>
                <w:lang w:val="fr-FR"/>
              </w:rPr>
              <w:t>’</w:t>
            </w:r>
            <w:r w:rsidRPr="001B46CB">
              <w:rPr>
                <w:rFonts w:asciiTheme="majorBidi" w:hAnsiTheme="majorBidi" w:cstheme="majorBidi"/>
                <w:lang w:val="fr-FR"/>
              </w:rPr>
              <w:t>objet d</w:t>
            </w:r>
            <w:r w:rsidR="00801F15" w:rsidRPr="001B46CB">
              <w:rPr>
                <w:rFonts w:asciiTheme="majorBidi" w:hAnsiTheme="majorBidi" w:cstheme="majorBidi"/>
                <w:lang w:val="fr-FR"/>
              </w:rPr>
              <w:t>’</w:t>
            </w:r>
            <w:r w:rsidRPr="001B46CB">
              <w:rPr>
                <w:rFonts w:asciiTheme="majorBidi" w:hAnsiTheme="majorBidi" w:cstheme="majorBidi"/>
                <w:lang w:val="fr-FR"/>
              </w:rPr>
              <w:t>une enquête et d</w:t>
            </w:r>
            <w:r w:rsidR="00801F15" w:rsidRPr="001B46CB">
              <w:rPr>
                <w:rFonts w:asciiTheme="majorBidi" w:hAnsiTheme="majorBidi" w:cstheme="majorBidi"/>
                <w:lang w:val="fr-FR"/>
              </w:rPr>
              <w:t>’</w:t>
            </w:r>
            <w:r w:rsidRPr="001B46CB">
              <w:rPr>
                <w:rFonts w:asciiTheme="majorBidi" w:hAnsiTheme="majorBidi" w:cstheme="majorBidi"/>
                <w:lang w:val="fr-FR"/>
              </w:rPr>
              <w:t>un procès équitable, grâce à l</w:t>
            </w:r>
            <w:r w:rsidR="00801F15" w:rsidRPr="001B46CB">
              <w:rPr>
                <w:rFonts w:asciiTheme="majorBidi" w:hAnsiTheme="majorBidi" w:cstheme="majorBidi"/>
                <w:lang w:val="fr-FR"/>
              </w:rPr>
              <w:t>’</w:t>
            </w:r>
            <w:r w:rsidRPr="001B46CB">
              <w:rPr>
                <w:rFonts w:asciiTheme="majorBidi" w:hAnsiTheme="majorBidi" w:cstheme="majorBidi"/>
                <w:lang w:val="fr-FR"/>
              </w:rPr>
              <w:t>adoption des mesures juridiques requises, et la mise en place des garanties prévues par la loi. Le Royaume de Bahreïn a pris des mesures vigoureuses pour protéger les droits et les libertés des personnes, prévenir les violations de ces droits et demander des comptes aux auteurs de ces violations, même lorsqu</w:t>
            </w:r>
            <w:r w:rsidR="00801F15" w:rsidRPr="001B46CB">
              <w:rPr>
                <w:rFonts w:asciiTheme="majorBidi" w:hAnsiTheme="majorBidi" w:cstheme="majorBidi"/>
                <w:lang w:val="fr-FR"/>
              </w:rPr>
              <w:t>’</w:t>
            </w:r>
            <w:r w:rsidRPr="001B46CB">
              <w:rPr>
                <w:rFonts w:asciiTheme="majorBidi" w:hAnsiTheme="majorBidi" w:cstheme="majorBidi"/>
                <w:lang w:val="fr-FR"/>
              </w:rPr>
              <w:t>ils relèvent des forces de l</w:t>
            </w:r>
            <w:r w:rsidR="00801F15" w:rsidRPr="001B46CB">
              <w:rPr>
                <w:rFonts w:asciiTheme="majorBidi" w:hAnsiTheme="majorBidi" w:cstheme="majorBidi"/>
                <w:lang w:val="fr-FR"/>
              </w:rPr>
              <w:t>’</w:t>
            </w:r>
            <w:r w:rsidRPr="001B46CB">
              <w:rPr>
                <w:rFonts w:asciiTheme="majorBidi" w:hAnsiTheme="majorBidi" w:cstheme="majorBidi"/>
                <w:lang w:val="fr-FR"/>
              </w:rPr>
              <w:t>ordre. Un groupe spécial d</w:t>
            </w:r>
            <w:r w:rsidR="00801F15" w:rsidRPr="001B46CB">
              <w:rPr>
                <w:rFonts w:asciiTheme="majorBidi" w:hAnsiTheme="majorBidi" w:cstheme="majorBidi"/>
                <w:lang w:val="fr-FR"/>
              </w:rPr>
              <w:t>’</w:t>
            </w:r>
            <w:r w:rsidRPr="001B46CB">
              <w:rPr>
                <w:rFonts w:asciiTheme="majorBidi" w:hAnsiTheme="majorBidi" w:cstheme="majorBidi"/>
                <w:lang w:val="fr-FR"/>
              </w:rPr>
              <w:t>enquête a été créé en application de la décision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8 de 2012 du Procureur général. Il est chargé d</w:t>
            </w:r>
            <w:r w:rsidR="00801F15" w:rsidRPr="001B46CB">
              <w:rPr>
                <w:rFonts w:asciiTheme="majorBidi" w:hAnsiTheme="majorBidi" w:cstheme="majorBidi"/>
                <w:lang w:val="fr-FR"/>
              </w:rPr>
              <w:t>’</w:t>
            </w:r>
            <w:r w:rsidRPr="001B46CB">
              <w:rPr>
                <w:rFonts w:asciiTheme="majorBidi" w:hAnsiTheme="majorBidi" w:cstheme="majorBidi"/>
                <w:lang w:val="fr-FR"/>
              </w:rPr>
              <w:t>enquêter en toute indépendance sur les affaires de torture et de mauvais traitements qui auraient été commis par de hauts responsables, au regard des normes internationales, y compris celles du Protocole d</w:t>
            </w:r>
            <w:r w:rsidR="00801F15" w:rsidRPr="001B46CB">
              <w:rPr>
                <w:rFonts w:asciiTheme="majorBidi" w:hAnsiTheme="majorBidi" w:cstheme="majorBidi"/>
                <w:lang w:val="fr-FR"/>
              </w:rPr>
              <w:t>’</w:t>
            </w:r>
            <w:r w:rsidRPr="001B46CB">
              <w:rPr>
                <w:rFonts w:asciiTheme="majorBidi" w:hAnsiTheme="majorBidi" w:cstheme="majorBidi"/>
                <w:lang w:val="fr-FR"/>
              </w:rPr>
              <w:t>Istanbul. Le groupe bénéficie des compétences nécessaires fournies par des médecins légistes, des psychiatres et des sociologues et ainsi que de l</w:t>
            </w:r>
            <w:r w:rsidR="00801F15" w:rsidRPr="001B46CB">
              <w:rPr>
                <w:rFonts w:asciiTheme="majorBidi" w:hAnsiTheme="majorBidi" w:cstheme="majorBidi"/>
                <w:lang w:val="fr-FR"/>
              </w:rPr>
              <w:t>’</w:t>
            </w:r>
            <w:r w:rsidRPr="001B46CB">
              <w:rPr>
                <w:rFonts w:asciiTheme="majorBidi" w:hAnsiTheme="majorBidi" w:cstheme="majorBidi"/>
                <w:lang w:val="fr-FR"/>
              </w:rPr>
              <w:t>ensemble des ressources humaines et matérielles lui permettant d</w:t>
            </w:r>
            <w:r w:rsidR="00801F15" w:rsidRPr="001B46CB">
              <w:rPr>
                <w:rFonts w:asciiTheme="majorBidi" w:hAnsiTheme="majorBidi" w:cstheme="majorBidi"/>
                <w:lang w:val="fr-FR"/>
              </w:rPr>
              <w:t>’</w:t>
            </w:r>
            <w:r w:rsidRPr="001B46CB">
              <w:rPr>
                <w:rFonts w:asciiTheme="majorBidi" w:hAnsiTheme="majorBidi" w:cstheme="majorBidi"/>
                <w:lang w:val="fr-FR"/>
              </w:rPr>
              <w:t>accomplir sa mission de manière efficace et indépendante.</w:t>
            </w:r>
          </w:p>
          <w:p w14:paraId="3A919366" w14:textId="1FC89F50" w:rsidR="00F36F51" w:rsidRPr="001B46CB" w:rsidRDefault="00F36F51" w:rsidP="00B422AB">
            <w:pPr>
              <w:keepNext/>
              <w:numPr>
                <w:ilvl w:val="0"/>
                <w:numId w:val="43"/>
              </w:numPr>
              <w:spacing w:line="240" w:lineRule="auto"/>
              <w:ind w:left="360" w:right="144"/>
              <w:jc w:val="both"/>
              <w:rPr>
                <w:rFonts w:asciiTheme="majorBidi" w:hAnsiTheme="majorBidi" w:cstheme="majorBidi"/>
                <w:lang w:val="fr-FR"/>
              </w:rPr>
            </w:pPr>
            <w:r w:rsidRPr="001B46CB">
              <w:rPr>
                <w:rFonts w:asciiTheme="majorBidi" w:hAnsiTheme="majorBidi" w:cstheme="majorBidi"/>
                <w:lang w:val="fr-FR"/>
              </w:rPr>
              <w:t>Le retrait ou la déchéance de la nationalité sont le résultat d</w:t>
            </w:r>
            <w:r w:rsidR="00801F15" w:rsidRPr="001B46CB">
              <w:rPr>
                <w:rFonts w:asciiTheme="majorBidi" w:hAnsiTheme="majorBidi" w:cstheme="majorBidi"/>
                <w:lang w:val="fr-FR"/>
              </w:rPr>
              <w:t>’</w:t>
            </w:r>
            <w:r w:rsidRPr="001B46CB">
              <w:rPr>
                <w:rFonts w:asciiTheme="majorBidi" w:hAnsiTheme="majorBidi" w:cstheme="majorBidi"/>
                <w:lang w:val="fr-FR"/>
              </w:rPr>
              <w:t>une décision de justice, prise dans les cas prévus par la 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21 de 2014 portant modification de certaines dispositions de la loi sur la nationalité bahreïnienne de 1963, notamment en cas de condamnation pour acte de terrorisme ou d</w:t>
            </w:r>
            <w:r w:rsidR="00801F15" w:rsidRPr="001B46CB">
              <w:rPr>
                <w:rFonts w:asciiTheme="majorBidi" w:hAnsiTheme="majorBidi" w:cstheme="majorBidi"/>
                <w:lang w:val="fr-FR"/>
              </w:rPr>
              <w:t>’</w:t>
            </w:r>
            <w:r w:rsidRPr="001B46CB">
              <w:rPr>
                <w:rFonts w:asciiTheme="majorBidi" w:hAnsiTheme="majorBidi" w:cstheme="majorBidi"/>
                <w:lang w:val="fr-FR"/>
              </w:rPr>
              <w:t>atteinte à la sûreté de l</w:t>
            </w:r>
            <w:r w:rsidR="00801F15" w:rsidRPr="001B46CB">
              <w:rPr>
                <w:rFonts w:asciiTheme="majorBidi" w:hAnsiTheme="majorBidi" w:cstheme="majorBidi"/>
                <w:lang w:val="fr-FR"/>
              </w:rPr>
              <w:t>’</w:t>
            </w:r>
            <w:r w:rsidRPr="001B46CB">
              <w:rPr>
                <w:rFonts w:asciiTheme="majorBidi" w:hAnsiTheme="majorBidi" w:cstheme="majorBidi"/>
                <w:lang w:val="fr-FR"/>
              </w:rPr>
              <w:t>État ou pour un des crimes prévus aux articles 5 à 9, 12 et 16 de la loi relative à la protection de la société contre les actes terroristes.</w:t>
            </w:r>
          </w:p>
          <w:p w14:paraId="7DD07E34" w14:textId="53D2FC41" w:rsidR="00F36F51" w:rsidRPr="001B46CB" w:rsidRDefault="00F36F51" w:rsidP="00B422AB">
            <w:pPr>
              <w:keepNext/>
              <w:numPr>
                <w:ilvl w:val="0"/>
                <w:numId w:val="43"/>
              </w:numPr>
              <w:spacing w:after="20" w:line="240" w:lineRule="auto"/>
              <w:ind w:left="360" w:right="144"/>
              <w:jc w:val="both"/>
              <w:rPr>
                <w:rFonts w:asciiTheme="majorBidi" w:hAnsiTheme="majorBidi" w:cstheme="majorBidi"/>
                <w:lang w:val="fr-FR"/>
              </w:rPr>
            </w:pPr>
            <w:r w:rsidRPr="001B46CB">
              <w:rPr>
                <w:rFonts w:asciiTheme="majorBidi" w:hAnsiTheme="majorBidi" w:cstheme="majorBidi"/>
                <w:lang w:val="fr-FR"/>
              </w:rPr>
              <w:t>Il convient de noter que la décision de déchéance de la nationalité ne peut être appliquée qu</w:t>
            </w:r>
            <w:r w:rsidR="00801F15" w:rsidRPr="001B46CB">
              <w:rPr>
                <w:rFonts w:asciiTheme="majorBidi" w:hAnsiTheme="majorBidi" w:cstheme="majorBidi"/>
                <w:lang w:val="fr-FR"/>
              </w:rPr>
              <w:t>’</w:t>
            </w:r>
            <w:r w:rsidRPr="001B46CB">
              <w:rPr>
                <w:rFonts w:asciiTheme="majorBidi" w:hAnsiTheme="majorBidi" w:cstheme="majorBidi"/>
                <w:lang w:val="fr-FR"/>
              </w:rPr>
              <w:t>après approbation du Roi.</w:t>
            </w:r>
          </w:p>
        </w:tc>
      </w:tr>
      <w:tr w:rsidR="00F36F51" w:rsidRPr="001B46CB" w14:paraId="183EB52F" w14:textId="77777777" w:rsidTr="00F6444B">
        <w:trPr>
          <w:tblCellSpacing w:w="20" w:type="dxa"/>
          <w:jc w:val="center"/>
        </w:trPr>
        <w:tc>
          <w:tcPr>
            <w:tcW w:w="4959" w:type="pct"/>
            <w:gridSpan w:val="13"/>
            <w:shd w:val="clear" w:color="auto" w:fill="C4BC96" w:themeFill="background2" w:themeFillShade="BF"/>
          </w:tcPr>
          <w:p w14:paraId="3C515BE2" w14:textId="77777777" w:rsidR="00F36F51" w:rsidRPr="001B46CB" w:rsidRDefault="00F36F51" w:rsidP="00F6444B">
            <w:pPr>
              <w:spacing w:after="40" w:line="240" w:lineRule="auto"/>
              <w:ind w:left="317"/>
              <w:jc w:val="center"/>
              <w:rPr>
                <w:rFonts w:asciiTheme="majorBidi" w:hAnsiTheme="majorBidi" w:cstheme="majorBidi"/>
                <w:b/>
                <w:bCs/>
                <w:lang w:val="fr-FR"/>
              </w:rPr>
            </w:pPr>
            <w:r w:rsidRPr="001B46CB">
              <w:rPr>
                <w:rFonts w:asciiTheme="majorBidi" w:hAnsiTheme="majorBidi" w:cstheme="majorBidi"/>
                <w:b/>
                <w:bCs/>
                <w:lang w:val="fr-FR"/>
              </w:rPr>
              <w:t>Observations du Comité</w:t>
            </w:r>
          </w:p>
        </w:tc>
      </w:tr>
      <w:tr w:rsidR="00F36F51" w:rsidRPr="001B46CB" w14:paraId="439DA502" w14:textId="77777777" w:rsidTr="0080608B">
        <w:trPr>
          <w:trHeight w:val="505"/>
          <w:tblCellSpacing w:w="20" w:type="dxa"/>
          <w:jc w:val="center"/>
        </w:trPr>
        <w:tc>
          <w:tcPr>
            <w:tcW w:w="4959" w:type="pct"/>
            <w:gridSpan w:val="13"/>
            <w:shd w:val="clear" w:color="auto" w:fill="auto"/>
          </w:tcPr>
          <w:p w14:paraId="38B99BE0" w14:textId="73D15B17" w:rsidR="00F36F51" w:rsidRPr="001B46CB" w:rsidRDefault="00F36F51" w:rsidP="00767A10">
            <w:pPr>
              <w:numPr>
                <w:ilvl w:val="0"/>
                <w:numId w:val="42"/>
              </w:numPr>
              <w:spacing w:after="200" w:line="240" w:lineRule="auto"/>
              <w:ind w:left="360" w:right="144"/>
              <w:contextualSpacing/>
              <w:jc w:val="both"/>
              <w:rPr>
                <w:rFonts w:asciiTheme="majorBidi" w:hAnsiTheme="majorBidi" w:cstheme="majorBidi"/>
                <w:b/>
                <w:bCs/>
                <w:lang w:val="fr-FR"/>
              </w:rPr>
            </w:pPr>
            <w:r w:rsidRPr="001B46CB">
              <w:rPr>
                <w:rFonts w:asciiTheme="majorBidi" w:hAnsiTheme="majorBidi" w:cstheme="majorBidi"/>
                <w:lang w:val="fr-FR"/>
              </w:rPr>
              <w:t>Veuillez fournir des données sur les plaintes déposées auprès du Bureau du médiateur depuis sa création en</w:t>
            </w:r>
            <w:r w:rsidR="00763A87" w:rsidRPr="001B46CB">
              <w:rPr>
                <w:rFonts w:asciiTheme="majorBidi" w:hAnsiTheme="majorBidi" w:cstheme="majorBidi"/>
                <w:lang w:val="fr-FR"/>
              </w:rPr>
              <w:t> </w:t>
            </w:r>
            <w:r w:rsidRPr="001B46CB">
              <w:rPr>
                <w:rFonts w:asciiTheme="majorBidi" w:hAnsiTheme="majorBidi" w:cstheme="majorBidi"/>
                <w:lang w:val="fr-FR"/>
              </w:rPr>
              <w:t>2012.</w:t>
            </w:r>
          </w:p>
        </w:tc>
      </w:tr>
      <w:tr w:rsidR="00F36F51" w:rsidRPr="001B46CB" w14:paraId="79584DFF" w14:textId="77777777" w:rsidTr="00F6444B">
        <w:trPr>
          <w:tblCellSpacing w:w="20" w:type="dxa"/>
          <w:jc w:val="center"/>
        </w:trPr>
        <w:tc>
          <w:tcPr>
            <w:tcW w:w="4959" w:type="pct"/>
            <w:gridSpan w:val="13"/>
            <w:shd w:val="clear" w:color="auto" w:fill="C4BC96" w:themeFill="background2" w:themeFillShade="BF"/>
          </w:tcPr>
          <w:p w14:paraId="11D02641" w14:textId="77777777" w:rsidR="00F36F51" w:rsidRPr="001B46CB" w:rsidRDefault="00F36F51" w:rsidP="00F6444B">
            <w:pPr>
              <w:spacing w:after="40" w:line="240" w:lineRule="auto"/>
              <w:ind w:left="317"/>
              <w:jc w:val="center"/>
              <w:rPr>
                <w:rFonts w:asciiTheme="majorBidi" w:hAnsiTheme="majorBidi" w:cstheme="majorBidi"/>
                <w:b/>
                <w:bCs/>
                <w:lang w:val="fr-FR"/>
              </w:rPr>
            </w:pPr>
            <w:r w:rsidRPr="001B46CB">
              <w:rPr>
                <w:rFonts w:asciiTheme="majorBidi" w:hAnsiTheme="majorBidi" w:cstheme="majorBidi"/>
                <w:b/>
                <w:bCs/>
                <w:lang w:val="fr-FR"/>
              </w:rPr>
              <w:t>Réponse</w:t>
            </w:r>
          </w:p>
        </w:tc>
      </w:tr>
      <w:tr w:rsidR="00F36F51" w:rsidRPr="001B46CB" w14:paraId="31ED36F1" w14:textId="77777777" w:rsidTr="00767A10">
        <w:trPr>
          <w:tblCellSpacing w:w="20" w:type="dxa"/>
          <w:jc w:val="center"/>
        </w:trPr>
        <w:tc>
          <w:tcPr>
            <w:tcW w:w="4959" w:type="pct"/>
            <w:gridSpan w:val="13"/>
            <w:shd w:val="clear" w:color="auto" w:fill="auto"/>
          </w:tcPr>
          <w:p w14:paraId="4BB52D4B" w14:textId="22C50706" w:rsidR="00F36F51" w:rsidRPr="001B46CB" w:rsidRDefault="00F36F51" w:rsidP="0008075B">
            <w:pPr>
              <w:numPr>
                <w:ilvl w:val="0"/>
                <w:numId w:val="43"/>
              </w:numPr>
              <w:spacing w:after="200" w:line="240" w:lineRule="auto"/>
              <w:ind w:left="360" w:right="144"/>
              <w:contextualSpacing/>
              <w:jc w:val="both"/>
              <w:rPr>
                <w:rFonts w:asciiTheme="majorBidi" w:hAnsiTheme="majorBidi" w:cstheme="majorBidi"/>
                <w:lang w:val="fr-FR"/>
              </w:rPr>
            </w:pPr>
            <w:r w:rsidRPr="001B46CB">
              <w:rPr>
                <w:rFonts w:asciiTheme="majorBidi" w:hAnsiTheme="majorBidi" w:cstheme="majorBidi"/>
                <w:lang w:val="fr-FR"/>
              </w:rPr>
              <w:t>En ce qui concerne les «</w:t>
            </w:r>
            <w:r w:rsidR="00F6444B" w:rsidRPr="001B46CB">
              <w:rPr>
                <w:rFonts w:asciiTheme="majorBidi" w:hAnsiTheme="majorBidi" w:cstheme="majorBidi"/>
                <w:lang w:val="fr-FR"/>
              </w:rPr>
              <w:t> </w:t>
            </w:r>
            <w:r w:rsidRPr="001B46CB">
              <w:rPr>
                <w:rFonts w:asciiTheme="majorBidi" w:hAnsiTheme="majorBidi" w:cstheme="majorBidi"/>
                <w:lang w:val="fr-FR"/>
              </w:rPr>
              <w:t>plaintes</w:t>
            </w:r>
            <w:r w:rsidR="00763A87" w:rsidRPr="001B46CB">
              <w:rPr>
                <w:rFonts w:asciiTheme="majorBidi" w:hAnsiTheme="majorBidi" w:cstheme="majorBidi"/>
                <w:lang w:val="fr-FR"/>
              </w:rPr>
              <w:t> </w:t>
            </w:r>
            <w:r w:rsidRPr="001B46CB">
              <w:rPr>
                <w:rFonts w:asciiTheme="majorBidi" w:hAnsiTheme="majorBidi" w:cstheme="majorBidi"/>
                <w:lang w:val="fr-FR"/>
              </w:rPr>
              <w:t>» que le Bureau du médiateur a reçues depuis sa création en 2012, ses travaux ayant officiellement commencé en juillet 2013, celui-ci publie un rapport annuel dans lequel figurent toutes les données statistiques relatives aux dossiers transmis, notamment les sources, des informations ventilées par sexe et le type de mesures prises. Les dossiers sont classés en deux grandes catégories</w:t>
            </w:r>
            <w:r w:rsidR="00801F15" w:rsidRPr="001B46CB">
              <w:rPr>
                <w:rFonts w:asciiTheme="majorBidi" w:hAnsiTheme="majorBidi" w:cstheme="majorBidi"/>
                <w:lang w:val="fr-FR"/>
              </w:rPr>
              <w:t> :</w:t>
            </w:r>
          </w:p>
          <w:p w14:paraId="00976141" w14:textId="6C63B154" w:rsidR="00F36F51" w:rsidRPr="001B46CB" w:rsidRDefault="00763A87" w:rsidP="00767A10">
            <w:pPr>
              <w:tabs>
                <w:tab w:val="left" w:pos="197"/>
              </w:tabs>
              <w:spacing w:after="200" w:line="240" w:lineRule="auto"/>
              <w:ind w:left="720" w:right="144" w:hanging="360"/>
              <w:contextualSpacing/>
              <w:jc w:val="both"/>
              <w:rPr>
                <w:rFonts w:asciiTheme="majorBidi" w:hAnsiTheme="majorBidi" w:cstheme="majorBidi"/>
                <w:lang w:val="fr-FR"/>
              </w:rPr>
            </w:pPr>
            <w:r w:rsidRPr="001B46CB">
              <w:rPr>
                <w:rFonts w:asciiTheme="majorBidi" w:hAnsiTheme="majorBidi" w:cstheme="majorBidi"/>
                <w:lang w:val="fr-FR"/>
              </w:rPr>
              <w:lastRenderedPageBreak/>
              <w:t>•</w:t>
            </w:r>
            <w:r w:rsidRPr="001B46CB">
              <w:rPr>
                <w:rFonts w:asciiTheme="majorBidi" w:hAnsiTheme="majorBidi" w:cstheme="majorBidi"/>
                <w:lang w:val="fr-FR"/>
              </w:rPr>
              <w:tab/>
            </w:r>
            <w:r w:rsidR="00F36F51" w:rsidRPr="001B46CB">
              <w:rPr>
                <w:rFonts w:asciiTheme="majorBidi" w:hAnsiTheme="majorBidi" w:cstheme="majorBidi"/>
                <w:lang w:val="fr-FR"/>
              </w:rPr>
              <w:t>les plaintes, relatives aux méfaits commis par des agents du Ministère de l</w:t>
            </w:r>
            <w:r w:rsidR="00801F15" w:rsidRPr="001B46CB">
              <w:rPr>
                <w:rFonts w:asciiTheme="majorBidi" w:hAnsiTheme="majorBidi" w:cstheme="majorBidi"/>
                <w:lang w:val="fr-FR"/>
              </w:rPr>
              <w:t>’</w:t>
            </w:r>
            <w:r w:rsidR="00F36F51" w:rsidRPr="001B46CB">
              <w:rPr>
                <w:rFonts w:asciiTheme="majorBidi" w:hAnsiTheme="majorBidi" w:cstheme="majorBidi"/>
                <w:lang w:val="fr-FR"/>
              </w:rPr>
              <w:t>intérieur nécessitant l</w:t>
            </w:r>
            <w:r w:rsidR="00801F15" w:rsidRPr="001B46CB">
              <w:rPr>
                <w:rFonts w:asciiTheme="majorBidi" w:hAnsiTheme="majorBidi" w:cstheme="majorBidi"/>
                <w:lang w:val="fr-FR"/>
              </w:rPr>
              <w:t>’</w:t>
            </w:r>
            <w:r w:rsidR="00F36F51" w:rsidRPr="001B46CB">
              <w:rPr>
                <w:rFonts w:asciiTheme="majorBidi" w:hAnsiTheme="majorBidi" w:cstheme="majorBidi"/>
                <w:lang w:val="fr-FR"/>
              </w:rPr>
              <w:t>engagement de poursuites judiciaires contre ces agents pour infraction aux lois, aux décisions ou aux règlements en vigueur</w:t>
            </w:r>
            <w:r w:rsidR="00801F15" w:rsidRPr="001B46CB">
              <w:rPr>
                <w:rFonts w:asciiTheme="majorBidi" w:hAnsiTheme="majorBidi" w:cstheme="majorBidi"/>
                <w:lang w:val="fr-FR"/>
              </w:rPr>
              <w:t> ;</w:t>
            </w:r>
          </w:p>
          <w:p w14:paraId="4A7AA745" w14:textId="7E16105A" w:rsidR="00F36F51" w:rsidRPr="001B46CB" w:rsidRDefault="00763A87" w:rsidP="00767A10">
            <w:pPr>
              <w:tabs>
                <w:tab w:val="left" w:pos="197"/>
              </w:tabs>
              <w:spacing w:after="200" w:line="240" w:lineRule="auto"/>
              <w:ind w:left="720" w:right="144" w:hanging="360"/>
              <w:contextualSpacing/>
              <w:jc w:val="both"/>
              <w:rPr>
                <w:rFonts w:asciiTheme="majorBidi" w:hAnsiTheme="majorBidi" w:cstheme="majorBidi"/>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les demandes d</w:t>
            </w:r>
            <w:r w:rsidR="00801F15" w:rsidRPr="001B46CB">
              <w:rPr>
                <w:rFonts w:asciiTheme="majorBidi" w:hAnsiTheme="majorBidi" w:cstheme="majorBidi"/>
                <w:lang w:val="fr-FR"/>
              </w:rPr>
              <w:t>’</w:t>
            </w:r>
            <w:r w:rsidR="00F36F51" w:rsidRPr="001B46CB">
              <w:rPr>
                <w:rFonts w:asciiTheme="majorBidi" w:hAnsiTheme="majorBidi" w:cstheme="majorBidi"/>
                <w:lang w:val="fr-FR"/>
              </w:rPr>
              <w:t>assistance, sans qu</w:t>
            </w:r>
            <w:r w:rsidR="00801F15" w:rsidRPr="001B46CB">
              <w:rPr>
                <w:rFonts w:asciiTheme="majorBidi" w:hAnsiTheme="majorBidi" w:cstheme="majorBidi"/>
                <w:lang w:val="fr-FR"/>
              </w:rPr>
              <w:t>’</w:t>
            </w:r>
            <w:r w:rsidR="00F36F51" w:rsidRPr="001B46CB">
              <w:rPr>
                <w:rFonts w:asciiTheme="majorBidi" w:hAnsiTheme="majorBidi" w:cstheme="majorBidi"/>
                <w:lang w:val="fr-FR"/>
              </w:rPr>
              <w:t>une infraction n</w:t>
            </w:r>
            <w:r w:rsidR="00801F15" w:rsidRPr="001B46CB">
              <w:rPr>
                <w:rFonts w:asciiTheme="majorBidi" w:hAnsiTheme="majorBidi" w:cstheme="majorBidi"/>
                <w:lang w:val="fr-FR"/>
              </w:rPr>
              <w:t>’</w:t>
            </w:r>
            <w:r w:rsidR="00F36F51" w:rsidRPr="001B46CB">
              <w:rPr>
                <w:rFonts w:asciiTheme="majorBidi" w:hAnsiTheme="majorBidi" w:cstheme="majorBidi"/>
                <w:lang w:val="fr-FR"/>
              </w:rPr>
              <w:t>ait été commise,</w:t>
            </w:r>
            <w:r w:rsidR="00801F15" w:rsidRPr="001B46CB">
              <w:rPr>
                <w:rFonts w:asciiTheme="majorBidi" w:hAnsiTheme="majorBidi" w:cstheme="majorBidi"/>
                <w:lang w:val="fr-FR"/>
              </w:rPr>
              <w:t xml:space="preserve"> </w:t>
            </w:r>
            <w:r w:rsidR="00F36F51" w:rsidRPr="001B46CB">
              <w:rPr>
                <w:rFonts w:asciiTheme="majorBidi" w:hAnsiTheme="majorBidi" w:cstheme="majorBidi"/>
                <w:lang w:val="fr-FR"/>
              </w:rPr>
              <w:t>concernant des besoins individuels ou collectifs ou visant l</w:t>
            </w:r>
            <w:r w:rsidR="00801F15" w:rsidRPr="001B46CB">
              <w:rPr>
                <w:rFonts w:asciiTheme="majorBidi" w:hAnsiTheme="majorBidi" w:cstheme="majorBidi"/>
                <w:lang w:val="fr-FR"/>
              </w:rPr>
              <w:t>’</w:t>
            </w:r>
            <w:r w:rsidR="00F36F51" w:rsidRPr="001B46CB">
              <w:rPr>
                <w:rFonts w:asciiTheme="majorBidi" w:hAnsiTheme="majorBidi" w:cstheme="majorBidi"/>
                <w:lang w:val="fr-FR"/>
              </w:rPr>
              <w:t>obtention de renseignements, par exemple au sujet des possibilités d</w:t>
            </w:r>
            <w:r w:rsidR="00801F15" w:rsidRPr="001B46CB">
              <w:rPr>
                <w:rFonts w:asciiTheme="majorBidi" w:hAnsiTheme="majorBidi" w:cstheme="majorBidi"/>
                <w:lang w:val="fr-FR"/>
              </w:rPr>
              <w:t>’</w:t>
            </w:r>
            <w:r w:rsidR="00F36F51" w:rsidRPr="001B46CB">
              <w:rPr>
                <w:rFonts w:asciiTheme="majorBidi" w:hAnsiTheme="majorBidi" w:cstheme="majorBidi"/>
                <w:lang w:val="fr-FR"/>
              </w:rPr>
              <w:t>éducation, des visites, des moyens de communication et des services médicaux fournis aux prisonniers, aux personnes placées en détention provisoire et aux détenus.</w:t>
            </w:r>
          </w:p>
          <w:p w14:paraId="5E6FE5CC" w14:textId="5B9C836A" w:rsidR="00F36F51" w:rsidRPr="001B46CB" w:rsidRDefault="00F36F51" w:rsidP="00767A10">
            <w:pPr>
              <w:numPr>
                <w:ilvl w:val="0"/>
                <w:numId w:val="43"/>
              </w:numPr>
              <w:spacing w:after="100" w:afterAutospacing="1" w:line="240" w:lineRule="auto"/>
              <w:ind w:left="360" w:right="144"/>
              <w:jc w:val="both"/>
              <w:rPr>
                <w:rFonts w:asciiTheme="majorBidi" w:hAnsiTheme="majorBidi" w:cstheme="majorBidi"/>
                <w:lang w:val="fr-FR"/>
              </w:rPr>
            </w:pPr>
            <w:r w:rsidRPr="001B46CB">
              <w:rPr>
                <w:rFonts w:asciiTheme="majorBidi" w:hAnsiTheme="majorBidi" w:cstheme="majorBidi"/>
                <w:lang w:val="fr-FR"/>
              </w:rPr>
              <w:t>Les demandes d</w:t>
            </w:r>
            <w:r w:rsidR="00801F15" w:rsidRPr="001B46CB">
              <w:rPr>
                <w:rFonts w:asciiTheme="majorBidi" w:hAnsiTheme="majorBidi" w:cstheme="majorBidi"/>
                <w:lang w:val="fr-FR"/>
              </w:rPr>
              <w:t>’</w:t>
            </w:r>
            <w:r w:rsidRPr="001B46CB">
              <w:rPr>
                <w:rFonts w:asciiTheme="majorBidi" w:hAnsiTheme="majorBidi" w:cstheme="majorBidi"/>
                <w:lang w:val="fr-FR"/>
              </w:rPr>
              <w:t>assistance, et non les plaintes, représentent 70</w:t>
            </w:r>
            <w:r w:rsidR="007D4344" w:rsidRPr="001B46CB">
              <w:rPr>
                <w:rFonts w:asciiTheme="majorBidi" w:hAnsiTheme="majorBidi" w:cstheme="majorBidi"/>
                <w:lang w:val="fr-FR"/>
              </w:rPr>
              <w:t> %</w:t>
            </w:r>
            <w:r w:rsidRPr="001B46CB">
              <w:rPr>
                <w:rFonts w:asciiTheme="majorBidi" w:hAnsiTheme="majorBidi" w:cstheme="majorBidi"/>
                <w:lang w:val="fr-FR"/>
              </w:rPr>
              <w:t xml:space="preserve"> de l</w:t>
            </w:r>
            <w:r w:rsidR="00801F15" w:rsidRPr="001B46CB">
              <w:rPr>
                <w:rFonts w:asciiTheme="majorBidi" w:hAnsiTheme="majorBidi" w:cstheme="majorBidi"/>
                <w:lang w:val="fr-FR"/>
              </w:rPr>
              <w:t>’</w:t>
            </w:r>
            <w:r w:rsidRPr="001B46CB">
              <w:rPr>
                <w:rFonts w:asciiTheme="majorBidi" w:hAnsiTheme="majorBidi" w:cstheme="majorBidi"/>
                <w:lang w:val="fr-FR"/>
              </w:rPr>
              <w:t>ensemble des dossiers qu</w:t>
            </w:r>
            <w:r w:rsidR="00801F15" w:rsidRPr="001B46CB">
              <w:rPr>
                <w:rFonts w:asciiTheme="majorBidi" w:hAnsiTheme="majorBidi" w:cstheme="majorBidi"/>
                <w:lang w:val="fr-FR"/>
              </w:rPr>
              <w:t>’</w:t>
            </w:r>
            <w:r w:rsidRPr="001B46CB">
              <w:rPr>
                <w:rFonts w:asciiTheme="majorBidi" w:hAnsiTheme="majorBidi" w:cstheme="majorBidi"/>
                <w:lang w:val="fr-FR"/>
              </w:rPr>
              <w:t>a eu à traiter le Bureau du médiateur.</w:t>
            </w:r>
          </w:p>
          <w:p w14:paraId="05CF9F5A" w14:textId="7A09E6C9" w:rsidR="00F36F51" w:rsidRPr="001B46CB" w:rsidRDefault="00F36F51" w:rsidP="0008075B">
            <w:pPr>
              <w:numPr>
                <w:ilvl w:val="0"/>
                <w:numId w:val="43"/>
              </w:numPr>
              <w:spacing w:after="200" w:line="240" w:lineRule="auto"/>
              <w:ind w:left="360" w:right="144"/>
              <w:contextualSpacing/>
              <w:jc w:val="both"/>
              <w:rPr>
                <w:rFonts w:asciiTheme="majorBidi" w:hAnsiTheme="majorBidi" w:cstheme="majorBidi"/>
                <w:lang w:val="fr-FR"/>
              </w:rPr>
            </w:pPr>
            <w:r w:rsidRPr="001B46CB">
              <w:rPr>
                <w:rFonts w:asciiTheme="majorBidi" w:hAnsiTheme="majorBidi" w:cstheme="majorBidi"/>
                <w:lang w:val="fr-FR"/>
              </w:rPr>
              <w:t>On trouvera dans le tableau ci-après le nombre de dossiers (plaintes et demandes d</w:t>
            </w:r>
            <w:r w:rsidR="00801F15" w:rsidRPr="001B46CB">
              <w:rPr>
                <w:rFonts w:asciiTheme="majorBidi" w:hAnsiTheme="majorBidi" w:cstheme="majorBidi"/>
                <w:lang w:val="fr-FR"/>
              </w:rPr>
              <w:t>’</w:t>
            </w:r>
            <w:r w:rsidRPr="001B46CB">
              <w:rPr>
                <w:rFonts w:asciiTheme="majorBidi" w:hAnsiTheme="majorBidi" w:cstheme="majorBidi"/>
                <w:lang w:val="fr-FR"/>
              </w:rPr>
              <w:t>assistance) reçus par le Bureau du médiateur, par année d</w:t>
            </w:r>
            <w:r w:rsidR="00801F15" w:rsidRPr="001B46CB">
              <w:rPr>
                <w:rFonts w:asciiTheme="majorBidi" w:hAnsiTheme="majorBidi" w:cstheme="majorBidi"/>
                <w:lang w:val="fr-FR"/>
              </w:rPr>
              <w:t>’</w:t>
            </w:r>
            <w:r w:rsidRPr="001B46CB">
              <w:rPr>
                <w:rFonts w:asciiTheme="majorBidi" w:hAnsiTheme="majorBidi" w:cstheme="majorBidi"/>
                <w:lang w:val="fr-FR"/>
              </w:rPr>
              <w:t>activité, tel qu</w:t>
            </w:r>
            <w:r w:rsidR="00801F15" w:rsidRPr="001B46CB">
              <w:rPr>
                <w:rFonts w:asciiTheme="majorBidi" w:hAnsiTheme="majorBidi" w:cstheme="majorBidi"/>
                <w:lang w:val="fr-FR"/>
              </w:rPr>
              <w:t>’</w:t>
            </w:r>
            <w:r w:rsidRPr="001B46CB">
              <w:rPr>
                <w:rFonts w:asciiTheme="majorBidi" w:hAnsiTheme="majorBidi" w:cstheme="majorBidi"/>
                <w:lang w:val="fr-FR"/>
              </w:rPr>
              <w:t>indiqué dans les cinq rapports annuels que le Bureau a publiés.</w:t>
            </w:r>
          </w:p>
          <w:p w14:paraId="0920E3D0" w14:textId="77777777" w:rsidR="00F36F51" w:rsidRPr="001B46CB" w:rsidRDefault="00F36F51" w:rsidP="00767A10">
            <w:pPr>
              <w:spacing w:line="240" w:lineRule="auto"/>
              <w:ind w:left="360"/>
              <w:jc w:val="both"/>
              <w:rPr>
                <w:rFonts w:asciiTheme="majorBidi" w:hAnsiTheme="majorBidi" w:cstheme="majorBidi"/>
                <w:lang w:val="fr-FR"/>
              </w:rPr>
            </w:pPr>
          </w:p>
          <w:tbl>
            <w:tblPr>
              <w:tblStyle w:val="TableGrid9"/>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434"/>
              <w:gridCol w:w="1414"/>
              <w:gridCol w:w="1413"/>
              <w:gridCol w:w="1414"/>
              <w:gridCol w:w="1414"/>
              <w:gridCol w:w="1434"/>
            </w:tblGrid>
            <w:tr w:rsidR="00F36F51" w:rsidRPr="001B46CB" w14:paraId="4B213AC7" w14:textId="77777777" w:rsidTr="00C70519">
              <w:trPr>
                <w:tblCellSpacing w:w="20" w:type="dxa"/>
                <w:jc w:val="center"/>
              </w:trPr>
              <w:tc>
                <w:tcPr>
                  <w:tcW w:w="1374" w:type="dxa"/>
                  <w:shd w:val="clear" w:color="auto" w:fill="EEECE1" w:themeFill="background2"/>
                  <w:vAlign w:val="center"/>
                </w:tcPr>
                <w:p w14:paraId="4DD06B2B" w14:textId="77777777" w:rsidR="00F36F51" w:rsidRPr="001B46CB" w:rsidRDefault="00F36F51" w:rsidP="00767A10">
                  <w:pPr>
                    <w:spacing w:after="140" w:line="240" w:lineRule="auto"/>
                    <w:jc w:val="center"/>
                    <w:rPr>
                      <w:rFonts w:asciiTheme="majorBidi" w:hAnsiTheme="majorBidi" w:cstheme="majorBidi"/>
                      <w:b/>
                      <w:bCs/>
                      <w:lang w:val="fr-FR"/>
                    </w:rPr>
                  </w:pPr>
                  <w:r w:rsidRPr="001B46CB">
                    <w:rPr>
                      <w:rFonts w:asciiTheme="majorBidi" w:hAnsiTheme="majorBidi" w:cstheme="majorBidi"/>
                      <w:b/>
                      <w:bCs/>
                      <w:lang w:val="fr-FR"/>
                    </w:rPr>
                    <w:t>Année</w:t>
                  </w:r>
                </w:p>
              </w:tc>
              <w:tc>
                <w:tcPr>
                  <w:tcW w:w="1374" w:type="dxa"/>
                  <w:shd w:val="clear" w:color="auto" w:fill="EEECE1" w:themeFill="background2"/>
                  <w:vAlign w:val="center"/>
                </w:tcPr>
                <w:p w14:paraId="4FAC2AD6" w14:textId="77777777" w:rsidR="00F36F51" w:rsidRPr="001B46CB" w:rsidRDefault="00F36F51" w:rsidP="00767A10">
                  <w:pPr>
                    <w:spacing w:after="140" w:line="240" w:lineRule="auto"/>
                    <w:jc w:val="center"/>
                    <w:rPr>
                      <w:rFonts w:asciiTheme="majorBidi" w:hAnsiTheme="majorBidi" w:cstheme="majorBidi"/>
                      <w:b/>
                      <w:bCs/>
                      <w:lang w:val="fr-FR"/>
                    </w:rPr>
                  </w:pPr>
                  <w:r w:rsidRPr="001B46CB">
                    <w:rPr>
                      <w:rFonts w:asciiTheme="majorBidi" w:hAnsiTheme="majorBidi" w:cstheme="majorBidi"/>
                      <w:lang w:val="fr-FR"/>
                    </w:rPr>
                    <w:t>2013/14</w:t>
                  </w:r>
                </w:p>
              </w:tc>
              <w:tc>
                <w:tcPr>
                  <w:tcW w:w="1373" w:type="dxa"/>
                  <w:shd w:val="clear" w:color="auto" w:fill="EEECE1" w:themeFill="background2"/>
                  <w:vAlign w:val="center"/>
                </w:tcPr>
                <w:p w14:paraId="1AF421E5" w14:textId="77777777" w:rsidR="00F36F51" w:rsidRPr="001B46CB" w:rsidRDefault="00F36F51" w:rsidP="00767A10">
                  <w:pPr>
                    <w:spacing w:after="140" w:line="240" w:lineRule="auto"/>
                    <w:jc w:val="center"/>
                    <w:rPr>
                      <w:rFonts w:asciiTheme="majorBidi" w:hAnsiTheme="majorBidi" w:cstheme="majorBidi"/>
                      <w:b/>
                      <w:bCs/>
                      <w:lang w:val="fr-FR"/>
                    </w:rPr>
                  </w:pPr>
                  <w:r w:rsidRPr="001B46CB">
                    <w:rPr>
                      <w:rFonts w:asciiTheme="majorBidi" w:hAnsiTheme="majorBidi" w:cstheme="majorBidi"/>
                      <w:lang w:val="fr-FR"/>
                    </w:rPr>
                    <w:t>2014/15</w:t>
                  </w:r>
                </w:p>
              </w:tc>
              <w:tc>
                <w:tcPr>
                  <w:tcW w:w="1374" w:type="dxa"/>
                  <w:shd w:val="clear" w:color="auto" w:fill="EEECE1" w:themeFill="background2"/>
                  <w:vAlign w:val="center"/>
                </w:tcPr>
                <w:p w14:paraId="22C512FA" w14:textId="77777777" w:rsidR="00F36F51" w:rsidRPr="001B46CB" w:rsidRDefault="00F36F51" w:rsidP="00767A10">
                  <w:pPr>
                    <w:spacing w:after="140" w:line="240" w:lineRule="auto"/>
                    <w:jc w:val="center"/>
                    <w:rPr>
                      <w:rFonts w:asciiTheme="majorBidi" w:hAnsiTheme="majorBidi" w:cstheme="majorBidi"/>
                      <w:b/>
                      <w:bCs/>
                      <w:lang w:val="fr-FR"/>
                    </w:rPr>
                  </w:pPr>
                  <w:r w:rsidRPr="001B46CB">
                    <w:rPr>
                      <w:rFonts w:asciiTheme="majorBidi" w:hAnsiTheme="majorBidi" w:cstheme="majorBidi"/>
                      <w:lang w:val="fr-FR"/>
                    </w:rPr>
                    <w:t>2015/16</w:t>
                  </w:r>
                </w:p>
              </w:tc>
              <w:tc>
                <w:tcPr>
                  <w:tcW w:w="1374" w:type="dxa"/>
                  <w:shd w:val="clear" w:color="auto" w:fill="EEECE1" w:themeFill="background2"/>
                  <w:vAlign w:val="center"/>
                </w:tcPr>
                <w:p w14:paraId="7D75D0EA" w14:textId="77777777" w:rsidR="00F36F51" w:rsidRPr="001B46CB" w:rsidRDefault="00F36F51" w:rsidP="00767A10">
                  <w:pPr>
                    <w:spacing w:after="140" w:line="240" w:lineRule="auto"/>
                    <w:jc w:val="center"/>
                    <w:rPr>
                      <w:rFonts w:asciiTheme="majorBidi" w:hAnsiTheme="majorBidi" w:cstheme="majorBidi"/>
                      <w:b/>
                      <w:bCs/>
                      <w:lang w:val="fr-FR"/>
                    </w:rPr>
                  </w:pPr>
                  <w:r w:rsidRPr="001B46CB">
                    <w:rPr>
                      <w:rFonts w:asciiTheme="majorBidi" w:hAnsiTheme="majorBidi" w:cstheme="majorBidi"/>
                      <w:lang w:val="fr-FR"/>
                    </w:rPr>
                    <w:t>2016/17</w:t>
                  </w:r>
                </w:p>
              </w:tc>
              <w:tc>
                <w:tcPr>
                  <w:tcW w:w="1374" w:type="dxa"/>
                  <w:shd w:val="clear" w:color="auto" w:fill="EEECE1" w:themeFill="background2"/>
                  <w:vAlign w:val="center"/>
                </w:tcPr>
                <w:p w14:paraId="2BDCA7E1" w14:textId="77777777" w:rsidR="00F36F51" w:rsidRPr="001B46CB" w:rsidRDefault="00F36F51" w:rsidP="00767A10">
                  <w:pPr>
                    <w:spacing w:after="140" w:line="240" w:lineRule="auto"/>
                    <w:jc w:val="center"/>
                    <w:rPr>
                      <w:rFonts w:asciiTheme="majorBidi" w:hAnsiTheme="majorBidi" w:cstheme="majorBidi"/>
                      <w:b/>
                      <w:bCs/>
                      <w:lang w:val="fr-FR"/>
                    </w:rPr>
                  </w:pPr>
                  <w:r w:rsidRPr="001B46CB">
                    <w:rPr>
                      <w:rFonts w:asciiTheme="majorBidi" w:hAnsiTheme="majorBidi" w:cstheme="majorBidi"/>
                      <w:lang w:val="fr-FR"/>
                    </w:rPr>
                    <w:t>2017/18</w:t>
                  </w:r>
                </w:p>
              </w:tc>
            </w:tr>
            <w:tr w:rsidR="00F36F51" w:rsidRPr="001B46CB" w14:paraId="39E95B22" w14:textId="77777777" w:rsidTr="00C70519">
              <w:trPr>
                <w:tblCellSpacing w:w="20" w:type="dxa"/>
                <w:jc w:val="center"/>
              </w:trPr>
              <w:tc>
                <w:tcPr>
                  <w:tcW w:w="1374" w:type="dxa"/>
                  <w:vAlign w:val="center"/>
                </w:tcPr>
                <w:p w14:paraId="54D8CE8A" w14:textId="77777777" w:rsidR="00F36F51" w:rsidRPr="001B46CB" w:rsidRDefault="00F36F51" w:rsidP="00767A10">
                  <w:pPr>
                    <w:spacing w:after="140" w:line="240" w:lineRule="auto"/>
                    <w:jc w:val="center"/>
                    <w:rPr>
                      <w:rFonts w:asciiTheme="majorBidi" w:hAnsiTheme="majorBidi" w:cstheme="majorBidi"/>
                      <w:lang w:val="fr-FR"/>
                    </w:rPr>
                  </w:pPr>
                  <w:r w:rsidRPr="001B46CB">
                    <w:rPr>
                      <w:rFonts w:asciiTheme="majorBidi" w:hAnsiTheme="majorBidi" w:cstheme="majorBidi"/>
                      <w:lang w:val="fr-FR"/>
                    </w:rPr>
                    <w:t>Nombre de dossiers</w:t>
                  </w:r>
                </w:p>
              </w:tc>
              <w:tc>
                <w:tcPr>
                  <w:tcW w:w="1374" w:type="dxa"/>
                  <w:vAlign w:val="center"/>
                </w:tcPr>
                <w:p w14:paraId="1C7873B4" w14:textId="77777777" w:rsidR="00F36F51" w:rsidRPr="001B46CB" w:rsidRDefault="00F36F51" w:rsidP="00767A10">
                  <w:pPr>
                    <w:spacing w:after="140" w:line="240" w:lineRule="auto"/>
                    <w:jc w:val="center"/>
                    <w:rPr>
                      <w:rFonts w:asciiTheme="majorBidi" w:hAnsiTheme="majorBidi" w:cstheme="majorBidi"/>
                      <w:lang w:val="fr-FR"/>
                    </w:rPr>
                  </w:pPr>
                  <w:r w:rsidRPr="001B46CB">
                    <w:rPr>
                      <w:rFonts w:asciiTheme="majorBidi" w:hAnsiTheme="majorBidi" w:cstheme="majorBidi"/>
                      <w:lang w:val="fr-FR"/>
                    </w:rPr>
                    <w:t>242</w:t>
                  </w:r>
                </w:p>
              </w:tc>
              <w:tc>
                <w:tcPr>
                  <w:tcW w:w="1373" w:type="dxa"/>
                  <w:vAlign w:val="center"/>
                </w:tcPr>
                <w:p w14:paraId="53FB85A0" w14:textId="77777777" w:rsidR="00F36F51" w:rsidRPr="001B46CB" w:rsidRDefault="00F36F51" w:rsidP="00767A10">
                  <w:pPr>
                    <w:spacing w:after="140" w:line="240" w:lineRule="auto"/>
                    <w:jc w:val="center"/>
                    <w:rPr>
                      <w:rFonts w:asciiTheme="majorBidi" w:hAnsiTheme="majorBidi" w:cstheme="majorBidi"/>
                      <w:lang w:val="fr-FR"/>
                    </w:rPr>
                  </w:pPr>
                  <w:r w:rsidRPr="001B46CB">
                    <w:rPr>
                      <w:rFonts w:asciiTheme="majorBidi" w:hAnsiTheme="majorBidi" w:cstheme="majorBidi"/>
                      <w:lang w:val="fr-FR"/>
                    </w:rPr>
                    <w:t>908</w:t>
                  </w:r>
                </w:p>
              </w:tc>
              <w:tc>
                <w:tcPr>
                  <w:tcW w:w="1374" w:type="dxa"/>
                  <w:vAlign w:val="center"/>
                </w:tcPr>
                <w:p w14:paraId="73421EAB" w14:textId="77777777" w:rsidR="00F36F51" w:rsidRPr="001B46CB" w:rsidRDefault="00F36F51" w:rsidP="00767A10">
                  <w:pPr>
                    <w:spacing w:after="140" w:line="240" w:lineRule="auto"/>
                    <w:jc w:val="center"/>
                    <w:rPr>
                      <w:rFonts w:asciiTheme="majorBidi" w:hAnsiTheme="majorBidi" w:cstheme="majorBidi"/>
                      <w:lang w:val="fr-FR"/>
                    </w:rPr>
                  </w:pPr>
                  <w:r w:rsidRPr="001B46CB">
                    <w:rPr>
                      <w:rFonts w:asciiTheme="majorBidi" w:hAnsiTheme="majorBidi" w:cstheme="majorBidi"/>
                      <w:lang w:val="fr-FR"/>
                    </w:rPr>
                    <w:t>992</w:t>
                  </w:r>
                </w:p>
              </w:tc>
              <w:tc>
                <w:tcPr>
                  <w:tcW w:w="1374" w:type="dxa"/>
                  <w:vAlign w:val="center"/>
                </w:tcPr>
                <w:p w14:paraId="4A9F7444" w14:textId="77777777" w:rsidR="00F36F51" w:rsidRPr="001B46CB" w:rsidRDefault="00F36F51" w:rsidP="00767A10">
                  <w:pPr>
                    <w:spacing w:after="140" w:line="240" w:lineRule="auto"/>
                    <w:jc w:val="center"/>
                    <w:rPr>
                      <w:rFonts w:asciiTheme="majorBidi" w:hAnsiTheme="majorBidi" w:cstheme="majorBidi"/>
                      <w:lang w:val="fr-FR"/>
                    </w:rPr>
                  </w:pPr>
                  <w:r w:rsidRPr="001B46CB">
                    <w:rPr>
                      <w:rFonts w:asciiTheme="majorBidi" w:hAnsiTheme="majorBidi" w:cstheme="majorBidi"/>
                      <w:lang w:val="fr-FR"/>
                    </w:rPr>
                    <w:t>1 156</w:t>
                  </w:r>
                </w:p>
              </w:tc>
              <w:tc>
                <w:tcPr>
                  <w:tcW w:w="1374" w:type="dxa"/>
                  <w:vAlign w:val="center"/>
                </w:tcPr>
                <w:p w14:paraId="623C2F24" w14:textId="77777777" w:rsidR="00F36F51" w:rsidRPr="001B46CB" w:rsidRDefault="00F36F51" w:rsidP="00767A10">
                  <w:pPr>
                    <w:spacing w:after="140" w:line="240" w:lineRule="auto"/>
                    <w:jc w:val="center"/>
                    <w:rPr>
                      <w:rFonts w:asciiTheme="majorBidi" w:hAnsiTheme="majorBidi" w:cstheme="majorBidi"/>
                      <w:lang w:val="fr-FR"/>
                    </w:rPr>
                  </w:pPr>
                  <w:r w:rsidRPr="001B46CB">
                    <w:rPr>
                      <w:rFonts w:asciiTheme="majorBidi" w:hAnsiTheme="majorBidi" w:cstheme="majorBidi"/>
                      <w:lang w:val="fr-FR"/>
                    </w:rPr>
                    <w:t>1 094</w:t>
                  </w:r>
                </w:p>
              </w:tc>
            </w:tr>
          </w:tbl>
          <w:p w14:paraId="5E16F621" w14:textId="5C7F048A" w:rsidR="00F36F51" w:rsidRPr="00767A10" w:rsidRDefault="00F36F51" w:rsidP="00767A10">
            <w:pPr>
              <w:numPr>
                <w:ilvl w:val="0"/>
                <w:numId w:val="45"/>
              </w:numPr>
              <w:tabs>
                <w:tab w:val="left" w:pos="0"/>
              </w:tabs>
              <w:spacing w:before="120" w:after="40" w:line="240" w:lineRule="auto"/>
              <w:ind w:left="360" w:right="144"/>
              <w:jc w:val="both"/>
              <w:rPr>
                <w:rFonts w:asciiTheme="majorBidi" w:hAnsiTheme="majorBidi" w:cstheme="majorBidi"/>
                <w:b/>
                <w:bCs/>
                <w:color w:val="0000FF"/>
                <w:lang w:val="fr-FR"/>
              </w:rPr>
            </w:pPr>
            <w:r w:rsidRPr="00767A10">
              <w:rPr>
                <w:rFonts w:asciiTheme="majorBidi" w:hAnsiTheme="majorBidi" w:cstheme="majorBidi"/>
                <w:i/>
                <w:iCs/>
                <w:lang w:val="fr-FR"/>
              </w:rPr>
              <w:t>Note</w:t>
            </w:r>
            <w:r w:rsidR="00801F15" w:rsidRPr="00767A10">
              <w:rPr>
                <w:rFonts w:asciiTheme="majorBidi" w:hAnsiTheme="majorBidi" w:cstheme="majorBidi"/>
                <w:lang w:val="fr-FR"/>
              </w:rPr>
              <w:t> :</w:t>
            </w:r>
            <w:r w:rsidRPr="001B46CB">
              <w:rPr>
                <w:rFonts w:asciiTheme="majorBidi" w:hAnsiTheme="majorBidi" w:cstheme="majorBidi"/>
                <w:lang w:val="fr-FR"/>
              </w:rPr>
              <w:t xml:space="preserve"> Les chiffres et statistiques susmentionnés ainsi que des informations sur la suite donnée à ces dossiers sont présentés en détail dans les rapports annuels du Bureau du médiateur, disponibles à l</w:t>
            </w:r>
            <w:r w:rsidR="00801F15" w:rsidRPr="001B46CB">
              <w:rPr>
                <w:rFonts w:asciiTheme="majorBidi" w:hAnsiTheme="majorBidi" w:cstheme="majorBidi"/>
                <w:lang w:val="fr-FR"/>
              </w:rPr>
              <w:t>’</w:t>
            </w:r>
            <w:r w:rsidRPr="001B46CB">
              <w:rPr>
                <w:rFonts w:asciiTheme="majorBidi" w:hAnsiTheme="majorBidi" w:cstheme="majorBidi"/>
                <w:lang w:val="fr-FR"/>
              </w:rPr>
              <w:t>adresse électronique suivante</w:t>
            </w:r>
            <w:r w:rsidR="00801F15" w:rsidRPr="001B46CB">
              <w:rPr>
                <w:rFonts w:asciiTheme="majorBidi" w:hAnsiTheme="majorBidi" w:cstheme="majorBidi"/>
                <w:lang w:val="fr-FR"/>
              </w:rPr>
              <w:t> :</w:t>
            </w:r>
            <w:r w:rsidR="00381795" w:rsidRPr="001B46CB">
              <w:rPr>
                <w:rFonts w:asciiTheme="majorBidi" w:hAnsiTheme="majorBidi" w:cstheme="majorBidi"/>
                <w:lang w:val="fr-FR"/>
              </w:rPr>
              <w:t xml:space="preserve"> </w:t>
            </w:r>
            <w:hyperlink r:id="rId28" w:history="1">
              <w:r w:rsidRPr="00767A10">
                <w:rPr>
                  <w:rFonts w:asciiTheme="majorBidi" w:hAnsiTheme="majorBidi" w:cstheme="majorBidi"/>
                  <w:color w:val="0000FF"/>
                  <w:lang w:val="fr-FR"/>
                </w:rPr>
                <w:t>http://www.ombudsman.bh/en/periodic-public-reports</w:t>
              </w:r>
            </w:hyperlink>
            <w:r w:rsidR="00FF3FD1" w:rsidRPr="001B46CB">
              <w:rPr>
                <w:rFonts w:asciiTheme="majorBidi" w:hAnsiTheme="majorBidi" w:cstheme="majorBidi"/>
                <w:lang w:val="fr-FR"/>
              </w:rPr>
              <w:t>.</w:t>
            </w:r>
          </w:p>
        </w:tc>
      </w:tr>
      <w:tr w:rsidR="00F36F51" w:rsidRPr="001B46CB" w14:paraId="5C3A4B31" w14:textId="77777777" w:rsidTr="007D4344">
        <w:trPr>
          <w:tblCellSpacing w:w="20" w:type="dxa"/>
          <w:jc w:val="center"/>
        </w:trPr>
        <w:tc>
          <w:tcPr>
            <w:tcW w:w="4959" w:type="pct"/>
            <w:gridSpan w:val="13"/>
            <w:shd w:val="clear" w:color="auto" w:fill="C4BC96" w:themeFill="background2" w:themeFillShade="BF"/>
          </w:tcPr>
          <w:p w14:paraId="7461850D" w14:textId="77777777" w:rsidR="00F36F51" w:rsidRPr="001B46CB" w:rsidRDefault="00F36F51" w:rsidP="007D4344">
            <w:pPr>
              <w:spacing w:after="40" w:line="240" w:lineRule="auto"/>
              <w:ind w:left="317"/>
              <w:jc w:val="center"/>
              <w:rPr>
                <w:rFonts w:asciiTheme="majorBidi" w:hAnsiTheme="majorBidi" w:cstheme="majorBidi"/>
                <w:b/>
                <w:bCs/>
                <w:lang w:val="fr-FR"/>
              </w:rPr>
            </w:pPr>
            <w:r w:rsidRPr="001B46CB">
              <w:rPr>
                <w:rFonts w:asciiTheme="majorBidi" w:hAnsiTheme="majorBidi" w:cstheme="majorBidi"/>
                <w:b/>
                <w:bCs/>
                <w:lang w:val="fr-FR"/>
              </w:rPr>
              <w:lastRenderedPageBreak/>
              <w:t>Observations du Comité</w:t>
            </w:r>
          </w:p>
        </w:tc>
      </w:tr>
      <w:tr w:rsidR="00F36F51" w:rsidRPr="001B46CB" w14:paraId="5B3AFA59" w14:textId="77777777" w:rsidTr="0080608B">
        <w:trPr>
          <w:trHeight w:val="505"/>
          <w:tblCellSpacing w:w="20" w:type="dxa"/>
          <w:jc w:val="center"/>
        </w:trPr>
        <w:tc>
          <w:tcPr>
            <w:tcW w:w="4959" w:type="pct"/>
            <w:gridSpan w:val="13"/>
            <w:shd w:val="clear" w:color="auto" w:fill="auto"/>
          </w:tcPr>
          <w:p w14:paraId="4363803A" w14:textId="6CD52856" w:rsidR="00F36F51" w:rsidRPr="001B46CB" w:rsidRDefault="00F36F51" w:rsidP="00481471">
            <w:pPr>
              <w:numPr>
                <w:ilvl w:val="0"/>
                <w:numId w:val="42"/>
              </w:numPr>
              <w:spacing w:after="20" w:line="240" w:lineRule="auto"/>
              <w:ind w:left="360"/>
              <w:rPr>
                <w:rFonts w:asciiTheme="majorBidi" w:hAnsiTheme="majorBidi" w:cstheme="majorBidi"/>
                <w:b/>
                <w:bCs/>
                <w:lang w:val="fr-FR"/>
              </w:rPr>
            </w:pPr>
            <w:r w:rsidRPr="001B46CB">
              <w:rPr>
                <w:rFonts w:asciiTheme="majorBidi" w:hAnsiTheme="majorBidi" w:cstheme="majorBidi"/>
                <w:lang w:val="fr-FR"/>
              </w:rPr>
              <w:t>Indiquer également si le projet de loi sur les organisations et les institutions civiles permettra aux associations de femmes de recevoir un financement de l</w:t>
            </w:r>
            <w:r w:rsidR="00801F15" w:rsidRPr="001B46CB">
              <w:rPr>
                <w:rFonts w:asciiTheme="majorBidi" w:hAnsiTheme="majorBidi" w:cstheme="majorBidi"/>
                <w:lang w:val="fr-FR"/>
              </w:rPr>
              <w:t>’</w:t>
            </w:r>
            <w:r w:rsidRPr="001B46CB">
              <w:rPr>
                <w:rFonts w:asciiTheme="majorBidi" w:hAnsiTheme="majorBidi" w:cstheme="majorBidi"/>
                <w:lang w:val="fr-FR"/>
              </w:rPr>
              <w:t>État partie dans le cas où elles mènent des activités politiques, s</w:t>
            </w:r>
            <w:r w:rsidR="00801F15" w:rsidRPr="001B46CB">
              <w:rPr>
                <w:rFonts w:asciiTheme="majorBidi" w:hAnsiTheme="majorBidi" w:cstheme="majorBidi"/>
                <w:lang w:val="fr-FR"/>
              </w:rPr>
              <w:t>’</w:t>
            </w:r>
            <w:r w:rsidRPr="001B46CB">
              <w:rPr>
                <w:rFonts w:asciiTheme="majorBidi" w:hAnsiTheme="majorBidi" w:cstheme="majorBidi"/>
                <w:lang w:val="fr-FR"/>
              </w:rPr>
              <w:t>il simplifie les procédures d</w:t>
            </w:r>
            <w:r w:rsidR="00801F15" w:rsidRPr="001B46CB">
              <w:rPr>
                <w:rFonts w:asciiTheme="majorBidi" w:hAnsiTheme="majorBidi" w:cstheme="majorBidi"/>
                <w:lang w:val="fr-FR"/>
              </w:rPr>
              <w:t>’</w:t>
            </w:r>
            <w:r w:rsidRPr="001B46CB">
              <w:rPr>
                <w:rFonts w:asciiTheme="majorBidi" w:hAnsiTheme="majorBidi" w:cstheme="majorBidi"/>
                <w:lang w:val="fr-FR"/>
              </w:rPr>
              <w:t>enregistrement de ces associations et allège le contrôle auquel elles sont soumises, et veuillez donner un calendrier pour l</w:t>
            </w:r>
            <w:r w:rsidR="00801F15" w:rsidRPr="001B46CB">
              <w:rPr>
                <w:rFonts w:asciiTheme="majorBidi" w:hAnsiTheme="majorBidi" w:cstheme="majorBidi"/>
                <w:lang w:val="fr-FR"/>
              </w:rPr>
              <w:t>’</w:t>
            </w:r>
            <w:r w:rsidRPr="001B46CB">
              <w:rPr>
                <w:rFonts w:asciiTheme="majorBidi" w:hAnsiTheme="majorBidi" w:cstheme="majorBidi"/>
                <w:lang w:val="fr-FR"/>
              </w:rPr>
              <w:t>adoption de ce projet (</w:t>
            </w:r>
            <w:r w:rsidR="00CC1C14" w:rsidRPr="001B46CB">
              <w:rPr>
                <w:rFonts w:asciiTheme="majorBidi" w:hAnsiTheme="majorBidi" w:cstheme="majorBidi"/>
                <w:lang w:val="fr-FR"/>
              </w:rPr>
              <w:t>par. </w:t>
            </w:r>
            <w:r w:rsidRPr="001B46CB">
              <w:rPr>
                <w:rFonts w:asciiTheme="majorBidi" w:hAnsiTheme="majorBidi" w:cstheme="majorBidi"/>
                <w:lang w:val="fr-FR"/>
              </w:rPr>
              <w:t>155).</w:t>
            </w:r>
          </w:p>
        </w:tc>
      </w:tr>
      <w:tr w:rsidR="00F36F51" w:rsidRPr="001B46CB" w14:paraId="0C4BB8FB" w14:textId="77777777" w:rsidTr="007D4344">
        <w:trPr>
          <w:tblCellSpacing w:w="20" w:type="dxa"/>
          <w:jc w:val="center"/>
        </w:trPr>
        <w:tc>
          <w:tcPr>
            <w:tcW w:w="4959" w:type="pct"/>
            <w:gridSpan w:val="13"/>
            <w:shd w:val="clear" w:color="auto" w:fill="C4BC96" w:themeFill="background2" w:themeFillShade="BF"/>
          </w:tcPr>
          <w:p w14:paraId="00A31AE7" w14:textId="77777777" w:rsidR="00F36F51" w:rsidRPr="001B46CB" w:rsidRDefault="00F36F51" w:rsidP="007D4344">
            <w:pPr>
              <w:spacing w:after="40" w:line="240" w:lineRule="auto"/>
              <w:ind w:left="317"/>
              <w:jc w:val="center"/>
              <w:rPr>
                <w:rFonts w:asciiTheme="majorBidi" w:hAnsiTheme="majorBidi" w:cstheme="majorBidi"/>
                <w:b/>
                <w:bCs/>
                <w:lang w:val="fr-FR"/>
              </w:rPr>
            </w:pPr>
            <w:r w:rsidRPr="001B46CB">
              <w:rPr>
                <w:rFonts w:asciiTheme="majorBidi" w:hAnsiTheme="majorBidi" w:cstheme="majorBidi"/>
                <w:b/>
                <w:bCs/>
                <w:lang w:val="fr-FR"/>
              </w:rPr>
              <w:t>Réponse</w:t>
            </w:r>
          </w:p>
        </w:tc>
      </w:tr>
      <w:tr w:rsidR="00F36F51" w:rsidRPr="001B46CB" w14:paraId="43D7A480" w14:textId="77777777" w:rsidTr="00767A10">
        <w:trPr>
          <w:tblCellSpacing w:w="20" w:type="dxa"/>
          <w:jc w:val="center"/>
        </w:trPr>
        <w:tc>
          <w:tcPr>
            <w:tcW w:w="4959" w:type="pct"/>
            <w:gridSpan w:val="13"/>
            <w:shd w:val="clear" w:color="auto" w:fill="auto"/>
          </w:tcPr>
          <w:p w14:paraId="09BC8EAC" w14:textId="3DD558EF" w:rsidR="00801F15" w:rsidRPr="001B46CB" w:rsidRDefault="00F36F51" w:rsidP="0008075B">
            <w:pPr>
              <w:numPr>
                <w:ilvl w:val="0"/>
                <w:numId w:val="43"/>
              </w:numPr>
              <w:spacing w:after="200" w:line="240" w:lineRule="auto"/>
              <w:ind w:left="360" w:right="144"/>
              <w:contextualSpacing/>
              <w:jc w:val="both"/>
              <w:rPr>
                <w:rFonts w:asciiTheme="majorBidi" w:hAnsiTheme="majorBidi" w:cstheme="majorBidi"/>
                <w:lang w:val="fr-FR"/>
              </w:rPr>
            </w:pPr>
            <w:r w:rsidRPr="001B46CB">
              <w:rPr>
                <w:rFonts w:asciiTheme="majorBidi" w:hAnsiTheme="majorBidi" w:cstheme="majorBidi"/>
                <w:lang w:val="fr-FR"/>
              </w:rPr>
              <w:t>Bahreïn réaffirme la teneur du paragraphe 151 de son quatrième rapport périodique. Les dispositions réglementaires et législatives couvrent ces questions conformément à la loi sur la collecte de fonds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21 de 2013 et au règlement d</w:t>
            </w:r>
            <w:r w:rsidR="00801F15" w:rsidRPr="001B46CB">
              <w:rPr>
                <w:rFonts w:asciiTheme="majorBidi" w:hAnsiTheme="majorBidi" w:cstheme="majorBidi"/>
                <w:lang w:val="fr-FR"/>
              </w:rPr>
              <w:t>’</w:t>
            </w:r>
            <w:r w:rsidRPr="001B46CB">
              <w:rPr>
                <w:rFonts w:asciiTheme="majorBidi" w:hAnsiTheme="majorBidi" w:cstheme="majorBidi"/>
                <w:lang w:val="fr-FR"/>
              </w:rPr>
              <w:t>exécution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47 de 2014 édicté par le Conseil des ministres. L</w:t>
            </w:r>
            <w:r w:rsidR="00801F15" w:rsidRPr="001B46CB">
              <w:rPr>
                <w:rFonts w:asciiTheme="majorBidi" w:hAnsiTheme="majorBidi" w:cstheme="majorBidi"/>
                <w:lang w:val="fr-FR"/>
              </w:rPr>
              <w:t>’</w:t>
            </w:r>
            <w:r w:rsidRPr="001B46CB">
              <w:rPr>
                <w:rFonts w:asciiTheme="majorBidi" w:hAnsiTheme="majorBidi" w:cstheme="majorBidi"/>
                <w:lang w:val="fr-FR"/>
              </w:rPr>
              <w:t>article 9 du décret-loi sur la question précise qu</w:t>
            </w:r>
            <w:r w:rsidR="00801F15" w:rsidRPr="001B46CB">
              <w:rPr>
                <w:rFonts w:asciiTheme="majorBidi" w:hAnsiTheme="majorBidi" w:cstheme="majorBidi"/>
                <w:lang w:val="fr-FR"/>
              </w:rPr>
              <w:t>’</w:t>
            </w:r>
            <w:r w:rsidRPr="001B46CB">
              <w:rPr>
                <w:rFonts w:asciiTheme="majorBidi" w:hAnsiTheme="majorBidi" w:cstheme="majorBidi"/>
                <w:lang w:val="fr-FR"/>
              </w:rPr>
              <w:t>aucun montant ne peut être transféré à une personne ou à une entité en dehors du Royaume sans l</w:t>
            </w:r>
            <w:r w:rsidR="00801F15" w:rsidRPr="001B46CB">
              <w:rPr>
                <w:rFonts w:asciiTheme="majorBidi" w:hAnsiTheme="majorBidi" w:cstheme="majorBidi"/>
                <w:lang w:val="fr-FR"/>
              </w:rPr>
              <w:t>’</w:t>
            </w:r>
            <w:r w:rsidRPr="001B46CB">
              <w:rPr>
                <w:rFonts w:asciiTheme="majorBidi" w:hAnsiTheme="majorBidi" w:cstheme="majorBidi"/>
                <w:lang w:val="fr-FR"/>
              </w:rPr>
              <w:t xml:space="preserve">autorisation du </w:t>
            </w:r>
            <w:r w:rsidR="00D2483F" w:rsidRPr="001B46CB">
              <w:rPr>
                <w:rFonts w:asciiTheme="majorBidi" w:hAnsiTheme="majorBidi" w:cstheme="majorBidi"/>
                <w:lang w:val="fr-FR"/>
              </w:rPr>
              <w:t xml:space="preserve">ministre </w:t>
            </w:r>
            <w:r w:rsidRPr="001B46CB">
              <w:rPr>
                <w:rFonts w:asciiTheme="majorBidi" w:hAnsiTheme="majorBidi" w:cstheme="majorBidi"/>
                <w:lang w:val="fr-FR"/>
              </w:rPr>
              <w:t>compétent, conformément au règlement d</w:t>
            </w:r>
            <w:r w:rsidR="00801F15" w:rsidRPr="001B46CB">
              <w:rPr>
                <w:rFonts w:asciiTheme="majorBidi" w:hAnsiTheme="majorBidi" w:cstheme="majorBidi"/>
                <w:lang w:val="fr-FR"/>
              </w:rPr>
              <w:t>’</w:t>
            </w:r>
            <w:r w:rsidRPr="001B46CB">
              <w:rPr>
                <w:rFonts w:asciiTheme="majorBidi" w:hAnsiTheme="majorBidi" w:cstheme="majorBidi"/>
                <w:lang w:val="fr-FR"/>
              </w:rPr>
              <w:t>exécution. Une autorisation est également nécessaire pour recevoir tout don de l</w:t>
            </w:r>
            <w:r w:rsidR="00801F15" w:rsidRPr="001B46CB">
              <w:rPr>
                <w:rFonts w:asciiTheme="majorBidi" w:hAnsiTheme="majorBidi" w:cstheme="majorBidi"/>
                <w:lang w:val="fr-FR"/>
              </w:rPr>
              <w:t>’</w:t>
            </w:r>
            <w:r w:rsidRPr="001B46CB">
              <w:rPr>
                <w:rFonts w:asciiTheme="majorBidi" w:hAnsiTheme="majorBidi" w:cstheme="majorBidi"/>
                <w:lang w:val="fr-FR"/>
              </w:rPr>
              <w:t>étranger, conformément aux articles 13 et</w:t>
            </w:r>
            <w:r w:rsidR="00D2483F" w:rsidRPr="001B46CB">
              <w:rPr>
                <w:rFonts w:asciiTheme="majorBidi" w:hAnsiTheme="majorBidi" w:cstheme="majorBidi"/>
                <w:lang w:val="fr-FR"/>
              </w:rPr>
              <w:t> </w:t>
            </w:r>
            <w:r w:rsidRPr="001B46CB">
              <w:rPr>
                <w:rFonts w:asciiTheme="majorBidi" w:hAnsiTheme="majorBidi" w:cstheme="majorBidi"/>
                <w:lang w:val="fr-FR"/>
              </w:rPr>
              <w:t>14 du règlement d</w:t>
            </w:r>
            <w:r w:rsidR="00801F15" w:rsidRPr="001B46CB">
              <w:rPr>
                <w:rFonts w:asciiTheme="majorBidi" w:hAnsiTheme="majorBidi" w:cstheme="majorBidi"/>
                <w:lang w:val="fr-FR"/>
              </w:rPr>
              <w:t>’</w:t>
            </w:r>
            <w:r w:rsidRPr="001B46CB">
              <w:rPr>
                <w:rFonts w:asciiTheme="majorBidi" w:hAnsiTheme="majorBidi" w:cstheme="majorBidi"/>
                <w:lang w:val="fr-FR"/>
              </w:rPr>
              <w:t>exécution.</w:t>
            </w:r>
          </w:p>
          <w:p w14:paraId="4DB214E0" w14:textId="0697D46A" w:rsidR="00F36F51" w:rsidRPr="001B46CB" w:rsidRDefault="00F36F51" w:rsidP="00481471">
            <w:pPr>
              <w:numPr>
                <w:ilvl w:val="0"/>
                <w:numId w:val="43"/>
              </w:numPr>
              <w:spacing w:after="20" w:line="240" w:lineRule="auto"/>
              <w:ind w:left="360" w:right="144"/>
              <w:jc w:val="both"/>
              <w:rPr>
                <w:rFonts w:asciiTheme="majorBidi" w:hAnsiTheme="majorBidi" w:cstheme="majorBidi"/>
                <w:lang w:val="fr-FR"/>
              </w:rPr>
            </w:pPr>
            <w:r w:rsidRPr="001B46CB">
              <w:rPr>
                <w:rFonts w:asciiTheme="majorBidi" w:hAnsiTheme="majorBidi" w:cstheme="majorBidi"/>
                <w:lang w:val="fr-FR"/>
              </w:rPr>
              <w:t>Les associations légalement autorisées bénéficient d</w:t>
            </w:r>
            <w:r w:rsidR="00801F15" w:rsidRPr="001B46CB">
              <w:rPr>
                <w:rFonts w:asciiTheme="majorBidi" w:hAnsiTheme="majorBidi" w:cstheme="majorBidi"/>
                <w:lang w:val="fr-FR"/>
              </w:rPr>
              <w:t>’</w:t>
            </w:r>
            <w:r w:rsidRPr="001B46CB">
              <w:rPr>
                <w:rFonts w:asciiTheme="majorBidi" w:hAnsiTheme="majorBidi" w:cstheme="majorBidi"/>
                <w:lang w:val="fr-FR"/>
              </w:rPr>
              <w:t>une aide de l</w:t>
            </w:r>
            <w:r w:rsidR="00801F15" w:rsidRPr="001B46CB">
              <w:rPr>
                <w:rFonts w:asciiTheme="majorBidi" w:hAnsiTheme="majorBidi" w:cstheme="majorBidi"/>
                <w:lang w:val="fr-FR"/>
              </w:rPr>
              <w:t>’</w:t>
            </w:r>
            <w:r w:rsidRPr="001B46CB">
              <w:rPr>
                <w:rFonts w:asciiTheme="majorBidi" w:hAnsiTheme="majorBidi" w:cstheme="majorBidi"/>
                <w:lang w:val="fr-FR"/>
              </w:rPr>
              <w:t>État et sont enregistrées conformément à la loi sur les associations et les clubs.</w:t>
            </w:r>
          </w:p>
        </w:tc>
      </w:tr>
      <w:tr w:rsidR="00AC6FEF" w:rsidRPr="001B46CB" w14:paraId="50FAD2AE" w14:textId="77777777" w:rsidTr="00767A10">
        <w:trPr>
          <w:tblCellSpacing w:w="20" w:type="dxa"/>
          <w:jc w:val="center"/>
        </w:trPr>
        <w:tc>
          <w:tcPr>
            <w:tcW w:w="2701" w:type="pct"/>
            <w:gridSpan w:val="8"/>
            <w:shd w:val="clear" w:color="auto" w:fill="DDD9C3" w:themeFill="background2" w:themeFillShade="E6"/>
          </w:tcPr>
          <w:p w14:paraId="42CE9525" w14:textId="77777777" w:rsidR="00F36F51" w:rsidRPr="001B46CB" w:rsidRDefault="00F36F51" w:rsidP="00481471">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Domaine concerné</w:t>
            </w:r>
          </w:p>
        </w:tc>
        <w:tc>
          <w:tcPr>
            <w:tcW w:w="2238" w:type="pct"/>
            <w:gridSpan w:val="5"/>
            <w:shd w:val="clear" w:color="auto" w:fill="EEECE1" w:themeFill="background2"/>
          </w:tcPr>
          <w:p w14:paraId="0A3C93B2" w14:textId="77777777" w:rsidR="00F36F51" w:rsidRPr="001B46CB" w:rsidRDefault="00F36F51" w:rsidP="00481471">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Mesures temporaires spéciales</w:t>
            </w:r>
          </w:p>
        </w:tc>
      </w:tr>
      <w:tr w:rsidR="00F36F51" w:rsidRPr="001B46CB" w14:paraId="2DF82F4E" w14:textId="77777777" w:rsidTr="0080608B">
        <w:trPr>
          <w:tblCellSpacing w:w="20" w:type="dxa"/>
          <w:jc w:val="center"/>
        </w:trPr>
        <w:tc>
          <w:tcPr>
            <w:tcW w:w="4959" w:type="pct"/>
            <w:gridSpan w:val="13"/>
            <w:shd w:val="clear" w:color="auto" w:fill="C4BC96" w:themeFill="background2" w:themeFillShade="BF"/>
            <w:vAlign w:val="center"/>
          </w:tcPr>
          <w:p w14:paraId="41712DD6" w14:textId="77777777" w:rsidR="00F36F51" w:rsidRPr="001B46CB" w:rsidRDefault="00F36F51" w:rsidP="00481471">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F36F51" w:rsidRPr="001B46CB" w14:paraId="7671EDE9" w14:textId="77777777" w:rsidTr="0080608B">
        <w:trPr>
          <w:tblCellSpacing w:w="20" w:type="dxa"/>
          <w:jc w:val="center"/>
        </w:trPr>
        <w:tc>
          <w:tcPr>
            <w:tcW w:w="4959" w:type="pct"/>
            <w:gridSpan w:val="13"/>
            <w:shd w:val="clear" w:color="auto" w:fill="auto"/>
            <w:vAlign w:val="center"/>
          </w:tcPr>
          <w:p w14:paraId="253B7E88" w14:textId="6ACC6DF6" w:rsidR="00F36F51" w:rsidRPr="001B46CB" w:rsidRDefault="00F36F51" w:rsidP="00481471">
            <w:pPr>
              <w:pStyle w:val="ListParagraph"/>
              <w:numPr>
                <w:ilvl w:val="0"/>
                <w:numId w:val="42"/>
              </w:numPr>
              <w:spacing w:after="20" w:line="240" w:lineRule="auto"/>
              <w:ind w:left="360"/>
              <w:contextualSpacing w:val="0"/>
              <w:rPr>
                <w:rFonts w:asciiTheme="majorBidi" w:hAnsiTheme="majorBidi" w:cstheme="majorBidi"/>
                <w:color w:val="000000" w:themeColor="text1"/>
                <w:lang w:val="fr-FR"/>
              </w:rPr>
            </w:pPr>
            <w:r w:rsidRPr="001B46CB">
              <w:rPr>
                <w:rFonts w:asciiTheme="majorBidi" w:hAnsiTheme="majorBidi" w:cstheme="majorBidi"/>
                <w:lang w:val="fr-FR"/>
              </w:rPr>
              <w:t>Dans son rapport, l</w:t>
            </w:r>
            <w:r w:rsidR="00801F15" w:rsidRPr="001B46CB">
              <w:rPr>
                <w:rFonts w:asciiTheme="majorBidi" w:hAnsiTheme="majorBidi" w:cstheme="majorBidi"/>
                <w:lang w:val="fr-FR"/>
              </w:rPr>
              <w:t>’</w:t>
            </w:r>
            <w:r w:rsidRPr="001B46CB">
              <w:rPr>
                <w:rFonts w:asciiTheme="majorBidi" w:hAnsiTheme="majorBidi" w:cstheme="majorBidi"/>
                <w:lang w:val="fr-FR"/>
              </w:rPr>
              <w:t xml:space="preserve">État partie souligne à différentes reprises que sa </w:t>
            </w:r>
            <w:r w:rsidR="007470E2" w:rsidRPr="001B46CB">
              <w:rPr>
                <w:rFonts w:asciiTheme="majorBidi" w:hAnsiTheme="majorBidi" w:cstheme="majorBidi"/>
                <w:lang w:val="fr-FR"/>
              </w:rPr>
              <w:t>c</w:t>
            </w:r>
            <w:r w:rsidRPr="001B46CB">
              <w:rPr>
                <w:rFonts w:asciiTheme="majorBidi" w:hAnsiTheme="majorBidi" w:cstheme="majorBidi"/>
                <w:lang w:val="fr-FR"/>
              </w:rPr>
              <w:t>onstitution, comme ses lois, ses règlements et ses circulaires ministérielles, accorde aux femmes et aux hommes l</w:t>
            </w:r>
            <w:r w:rsidR="00801F15" w:rsidRPr="001B46CB">
              <w:rPr>
                <w:rFonts w:asciiTheme="majorBidi" w:hAnsiTheme="majorBidi" w:cstheme="majorBidi"/>
                <w:lang w:val="fr-FR"/>
              </w:rPr>
              <w:t>’</w:t>
            </w:r>
            <w:r w:rsidRPr="001B46CB">
              <w:rPr>
                <w:rFonts w:asciiTheme="majorBidi" w:hAnsiTheme="majorBidi" w:cstheme="majorBidi"/>
                <w:lang w:val="fr-FR"/>
              </w:rPr>
              <w:t>égalité des droits, des libertés et des devoirs (</w:t>
            </w:r>
            <w:r w:rsidR="00CC1C14" w:rsidRPr="001B46CB">
              <w:rPr>
                <w:rFonts w:asciiTheme="majorBidi" w:hAnsiTheme="majorBidi" w:cstheme="majorBidi"/>
                <w:lang w:val="fr-FR"/>
              </w:rPr>
              <w:t>par. </w:t>
            </w:r>
            <w:r w:rsidRPr="001B46CB">
              <w:rPr>
                <w:rFonts w:asciiTheme="majorBidi" w:hAnsiTheme="majorBidi" w:cstheme="majorBidi"/>
                <w:lang w:val="fr-FR"/>
              </w:rPr>
              <w:t>56, 71, 74 et 82). Compte tenu des données fournies par l</w:t>
            </w:r>
            <w:r w:rsidR="00801F15" w:rsidRPr="001B46CB">
              <w:rPr>
                <w:rFonts w:asciiTheme="majorBidi" w:hAnsiTheme="majorBidi" w:cstheme="majorBidi"/>
                <w:lang w:val="fr-FR"/>
              </w:rPr>
              <w:t>’</w:t>
            </w:r>
            <w:r w:rsidRPr="001B46CB">
              <w:rPr>
                <w:rFonts w:asciiTheme="majorBidi" w:hAnsiTheme="majorBidi" w:cstheme="majorBidi"/>
                <w:lang w:val="fr-FR"/>
              </w:rPr>
              <w:t xml:space="preserve">État partie, qui révèlent une faible participation des femmes dans certains domaines visés par la Convention (voir, par exemple, </w:t>
            </w:r>
            <w:r w:rsidR="00CC1C14" w:rsidRPr="001B46CB">
              <w:rPr>
                <w:rFonts w:asciiTheme="majorBidi" w:hAnsiTheme="majorBidi" w:cstheme="majorBidi"/>
                <w:lang w:val="fr-FR"/>
              </w:rPr>
              <w:t>par. </w:t>
            </w:r>
            <w:r w:rsidRPr="001B46CB">
              <w:rPr>
                <w:rFonts w:asciiTheme="majorBidi" w:hAnsiTheme="majorBidi" w:cstheme="majorBidi"/>
                <w:lang w:val="fr-FR"/>
              </w:rPr>
              <w:t>75 à 77), veuillez informer le Comité des mesures prises pour remédier à ces inégalités de fait, conformément au paragraphe 1 de l</w:t>
            </w:r>
            <w:r w:rsidR="00801F15" w:rsidRPr="001B46CB">
              <w:rPr>
                <w:rFonts w:asciiTheme="majorBidi" w:hAnsiTheme="majorBidi" w:cstheme="majorBidi"/>
                <w:lang w:val="fr-FR"/>
              </w:rPr>
              <w:t>’</w:t>
            </w:r>
            <w:r w:rsidRPr="001B46CB">
              <w:rPr>
                <w:rFonts w:asciiTheme="majorBidi" w:hAnsiTheme="majorBidi" w:cstheme="majorBidi"/>
                <w:lang w:val="fr-FR"/>
              </w:rPr>
              <w:t>article 4 de la Convention et à la recommandation générale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25 du Comité (2004) sur les mesures temporaires spéciales, et pour veiller à ce que les femmes bénéficient sur un pied d</w:t>
            </w:r>
            <w:r w:rsidR="00801F15" w:rsidRPr="001B46CB">
              <w:rPr>
                <w:rFonts w:asciiTheme="majorBidi" w:hAnsiTheme="majorBidi" w:cstheme="majorBidi"/>
                <w:lang w:val="fr-FR"/>
              </w:rPr>
              <w:t>’</w:t>
            </w:r>
            <w:r w:rsidRPr="001B46CB">
              <w:rPr>
                <w:rFonts w:asciiTheme="majorBidi" w:hAnsiTheme="majorBidi" w:cstheme="majorBidi"/>
                <w:lang w:val="fr-FR"/>
              </w:rPr>
              <w:t>égalité des droits, libertés et devoirs conférés par la Constitution de l</w:t>
            </w:r>
            <w:r w:rsidR="00801F15" w:rsidRPr="001B46CB">
              <w:rPr>
                <w:rFonts w:asciiTheme="majorBidi" w:hAnsiTheme="majorBidi" w:cstheme="majorBidi"/>
                <w:lang w:val="fr-FR"/>
              </w:rPr>
              <w:t>’</w:t>
            </w:r>
            <w:r w:rsidRPr="001B46CB">
              <w:rPr>
                <w:rFonts w:asciiTheme="majorBidi" w:hAnsiTheme="majorBidi" w:cstheme="majorBidi"/>
                <w:lang w:val="fr-FR"/>
              </w:rPr>
              <w:t>État partie dans l</w:t>
            </w:r>
            <w:r w:rsidR="00801F15" w:rsidRPr="001B46CB">
              <w:rPr>
                <w:rFonts w:asciiTheme="majorBidi" w:hAnsiTheme="majorBidi" w:cstheme="majorBidi"/>
                <w:lang w:val="fr-FR"/>
              </w:rPr>
              <w:t>’</w:t>
            </w:r>
            <w:r w:rsidRPr="001B46CB">
              <w:rPr>
                <w:rFonts w:asciiTheme="majorBidi" w:hAnsiTheme="majorBidi" w:cstheme="majorBidi"/>
                <w:lang w:val="fr-FR"/>
              </w:rPr>
              <w:t>ensemble des domaines visés par la Convention.</w:t>
            </w:r>
          </w:p>
        </w:tc>
      </w:tr>
      <w:tr w:rsidR="00F36F51" w:rsidRPr="001B46CB" w14:paraId="064D528D" w14:textId="77777777" w:rsidTr="0080608B">
        <w:trPr>
          <w:tblCellSpacing w:w="20" w:type="dxa"/>
          <w:jc w:val="center"/>
        </w:trPr>
        <w:tc>
          <w:tcPr>
            <w:tcW w:w="4959" w:type="pct"/>
            <w:gridSpan w:val="13"/>
            <w:shd w:val="clear" w:color="auto" w:fill="C4BC96" w:themeFill="background2" w:themeFillShade="BF"/>
            <w:vAlign w:val="center"/>
          </w:tcPr>
          <w:p w14:paraId="0BC100EE" w14:textId="77777777" w:rsidR="00F36F51" w:rsidRPr="001B46CB" w:rsidRDefault="00F36F51" w:rsidP="00481471">
            <w:pPr>
              <w:pStyle w:val="ListParagraph"/>
              <w:spacing w:after="40" w:line="240" w:lineRule="auto"/>
              <w:ind w:left="360"/>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Réponse</w:t>
            </w:r>
          </w:p>
        </w:tc>
      </w:tr>
      <w:tr w:rsidR="00F36F51" w:rsidRPr="001B46CB" w14:paraId="1F121D35" w14:textId="77777777" w:rsidTr="0080608B">
        <w:trPr>
          <w:tblCellSpacing w:w="20" w:type="dxa"/>
          <w:jc w:val="center"/>
        </w:trPr>
        <w:tc>
          <w:tcPr>
            <w:tcW w:w="4959" w:type="pct"/>
            <w:gridSpan w:val="13"/>
            <w:shd w:val="clear" w:color="auto" w:fill="auto"/>
            <w:vAlign w:val="center"/>
          </w:tcPr>
          <w:p w14:paraId="7C140A3D" w14:textId="7109439F" w:rsidR="00801F15" w:rsidRPr="001B46CB" w:rsidRDefault="00F36F51" w:rsidP="0008075B">
            <w:pPr>
              <w:pStyle w:val="ListParagraph"/>
              <w:numPr>
                <w:ilvl w:val="0"/>
                <w:numId w:val="43"/>
              </w:numPr>
              <w:spacing w:after="200" w:line="240" w:lineRule="auto"/>
              <w:ind w:left="360" w:right="144"/>
              <w:jc w:val="both"/>
              <w:rPr>
                <w:rFonts w:asciiTheme="majorBidi" w:hAnsiTheme="majorBidi" w:cstheme="majorBidi"/>
                <w:lang w:val="fr-FR"/>
              </w:rPr>
            </w:pPr>
            <w:r w:rsidRPr="001B46CB">
              <w:rPr>
                <w:rFonts w:asciiTheme="majorBidi" w:hAnsiTheme="majorBidi" w:cstheme="majorBidi"/>
                <w:lang w:val="fr-FR"/>
              </w:rPr>
              <w:lastRenderedPageBreak/>
              <w:t>Bahreïn réaffirme la teneur du paragraphe 82 de son quatrième rapport périodique et ajoute qu</w:t>
            </w:r>
            <w:r w:rsidR="00801F15" w:rsidRPr="001B46CB">
              <w:rPr>
                <w:rFonts w:asciiTheme="majorBidi" w:hAnsiTheme="majorBidi" w:cstheme="majorBidi"/>
                <w:lang w:val="fr-FR"/>
              </w:rPr>
              <w:t>’</w:t>
            </w:r>
            <w:r w:rsidRPr="001B46CB">
              <w:rPr>
                <w:rFonts w:asciiTheme="majorBidi" w:hAnsiTheme="majorBidi" w:cstheme="majorBidi"/>
                <w:lang w:val="fr-FR"/>
              </w:rPr>
              <w:t>à la suite des élections législatives et municipales tenues en novembre et en décembre 2018, les femmes représentaient 15</w:t>
            </w:r>
            <w:r w:rsidR="007D4344" w:rsidRPr="001B46CB">
              <w:rPr>
                <w:rFonts w:asciiTheme="majorBidi" w:hAnsiTheme="majorBidi" w:cstheme="majorBidi"/>
                <w:lang w:val="fr-FR"/>
              </w:rPr>
              <w:t> %</w:t>
            </w:r>
            <w:r w:rsidRPr="001B46CB">
              <w:rPr>
                <w:rFonts w:asciiTheme="majorBidi" w:hAnsiTheme="majorBidi" w:cstheme="majorBidi"/>
                <w:lang w:val="fr-FR"/>
              </w:rPr>
              <w:t xml:space="preserve"> (6 sièges remportés) des membres de la Chambre des députés. De plus, une femme a accédé à la présidence de la Chambre des députés et quatre femmes ont été élues membres de conseils municipaux.</w:t>
            </w:r>
          </w:p>
          <w:p w14:paraId="69E360C9" w14:textId="77777777" w:rsidR="00801F15" w:rsidRPr="001B46CB" w:rsidRDefault="00F36F51" w:rsidP="00767A10">
            <w:pPr>
              <w:pStyle w:val="ListParagraph"/>
              <w:numPr>
                <w:ilvl w:val="0"/>
                <w:numId w:val="43"/>
              </w:numPr>
              <w:spacing w:line="240" w:lineRule="auto"/>
              <w:ind w:left="360" w:right="144"/>
              <w:jc w:val="both"/>
              <w:rPr>
                <w:rFonts w:asciiTheme="majorBidi" w:hAnsiTheme="majorBidi" w:cstheme="majorBidi"/>
                <w:lang w:val="fr-FR"/>
              </w:rPr>
            </w:pPr>
            <w:r w:rsidRPr="00767A10">
              <w:rPr>
                <w:rFonts w:asciiTheme="majorBidi" w:hAnsiTheme="majorBidi" w:cstheme="majorBidi"/>
                <w:lang w:val="fr-FR"/>
              </w:rPr>
              <w:t>Le Royaume de Bahreïn est attaché à la participation des femmes et veille à ce que les femmes soient bien représentées à un certain nombre</w:t>
            </w:r>
            <w:r w:rsidR="00801F15" w:rsidRPr="00767A10">
              <w:rPr>
                <w:rFonts w:asciiTheme="majorBidi" w:hAnsiTheme="majorBidi" w:cstheme="majorBidi"/>
                <w:lang w:val="fr-FR"/>
              </w:rPr>
              <w:t xml:space="preserve"> </w:t>
            </w:r>
            <w:r w:rsidRPr="00767A10">
              <w:rPr>
                <w:rFonts w:asciiTheme="majorBidi" w:hAnsiTheme="majorBidi" w:cstheme="majorBidi"/>
                <w:lang w:val="fr-FR"/>
              </w:rPr>
              <w:t>de postes.</w:t>
            </w:r>
          </w:p>
          <w:p w14:paraId="1E93F278" w14:textId="530CE6BA" w:rsidR="00F36F51" w:rsidRPr="001B46CB" w:rsidRDefault="00F36F51" w:rsidP="00481471">
            <w:pPr>
              <w:pStyle w:val="ListParagraph"/>
              <w:numPr>
                <w:ilvl w:val="0"/>
                <w:numId w:val="43"/>
              </w:numPr>
              <w:spacing w:after="20" w:line="240" w:lineRule="auto"/>
              <w:ind w:left="360" w:right="144"/>
              <w:contextualSpacing w:val="0"/>
              <w:jc w:val="both"/>
              <w:rPr>
                <w:rFonts w:asciiTheme="majorBidi" w:hAnsiTheme="majorBidi" w:cstheme="majorBidi"/>
                <w:lang w:val="fr-FR"/>
              </w:rPr>
            </w:pPr>
            <w:r w:rsidRPr="001B46CB">
              <w:rPr>
                <w:rFonts w:asciiTheme="majorBidi" w:hAnsiTheme="majorBidi" w:cstheme="majorBidi"/>
                <w:lang w:val="fr-FR"/>
              </w:rPr>
              <w:t>Par ailleurs, plusieurs décisions ont été prises ou modifiées de façon à assurer une représentation équilibrée des sexes et la participation équitable des femmes, notamment les mesures suivantes</w:t>
            </w:r>
            <w:r w:rsidR="00801F15" w:rsidRPr="001B46CB">
              <w:rPr>
                <w:rFonts w:asciiTheme="majorBidi" w:hAnsiTheme="majorBidi" w:cstheme="majorBidi"/>
                <w:lang w:val="fr-FR"/>
              </w:rPr>
              <w:t> :</w:t>
            </w:r>
          </w:p>
          <w:p w14:paraId="014FE46D" w14:textId="6EAD103E" w:rsidR="00801F15" w:rsidRPr="00767A10" w:rsidRDefault="00B801F4" w:rsidP="00767A10">
            <w:pPr>
              <w:tabs>
                <w:tab w:val="right" w:pos="900"/>
              </w:tabs>
              <w:spacing w:line="240" w:lineRule="auto"/>
              <w:ind w:left="720" w:right="144" w:hanging="360"/>
              <w:jc w:val="both"/>
              <w:rPr>
                <w:rFonts w:asciiTheme="majorBidi" w:hAnsiTheme="majorBidi" w:cstheme="majorBidi"/>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767A10">
              <w:rPr>
                <w:rFonts w:asciiTheme="majorBidi" w:hAnsiTheme="majorBidi" w:cstheme="majorBidi"/>
                <w:lang w:val="fr-FR"/>
              </w:rPr>
              <w:t>Le Conseil des ministres a décidé, à sa séance tenue le 30 avril 2018, de créer un observatoire national des indicateurs de l</w:t>
            </w:r>
            <w:r w:rsidR="00801F15" w:rsidRPr="00767A10">
              <w:rPr>
                <w:rFonts w:asciiTheme="majorBidi" w:hAnsiTheme="majorBidi" w:cstheme="majorBidi"/>
                <w:lang w:val="fr-FR"/>
              </w:rPr>
              <w:t>’</w:t>
            </w:r>
            <w:r w:rsidR="00F36F51" w:rsidRPr="00767A10">
              <w:rPr>
                <w:rFonts w:asciiTheme="majorBidi" w:hAnsiTheme="majorBidi" w:cstheme="majorBidi"/>
                <w:lang w:val="fr-FR"/>
              </w:rPr>
              <w:t>égalité femmes-hommes relevant de l</w:t>
            </w:r>
            <w:r w:rsidR="00801F15" w:rsidRPr="00767A10">
              <w:rPr>
                <w:rFonts w:asciiTheme="majorBidi" w:hAnsiTheme="majorBidi" w:cstheme="majorBidi"/>
                <w:lang w:val="fr-FR"/>
              </w:rPr>
              <w:t>’</w:t>
            </w:r>
            <w:r w:rsidR="00F36F51" w:rsidRPr="00767A10">
              <w:rPr>
                <w:rFonts w:asciiTheme="majorBidi" w:hAnsiTheme="majorBidi" w:cstheme="majorBidi"/>
                <w:lang w:val="fr-FR"/>
              </w:rPr>
              <w:t>Autorité de l</w:t>
            </w:r>
            <w:r w:rsidR="00801F15" w:rsidRPr="00767A10">
              <w:rPr>
                <w:rFonts w:asciiTheme="majorBidi" w:hAnsiTheme="majorBidi" w:cstheme="majorBidi"/>
                <w:lang w:val="fr-FR"/>
              </w:rPr>
              <w:t>’</w:t>
            </w:r>
            <w:r w:rsidR="00F36F51" w:rsidRPr="00767A10">
              <w:rPr>
                <w:rFonts w:asciiTheme="majorBidi" w:hAnsiTheme="majorBidi" w:cstheme="majorBidi"/>
                <w:lang w:val="fr-FR"/>
              </w:rPr>
              <w:t xml:space="preserve">information et des services en ligne du Gouvernement bahreïnien, chargé de comparer les résultats obtenus dans ce domaine </w:t>
            </w:r>
            <w:r w:rsidR="00381795" w:rsidRPr="001B46CB">
              <w:rPr>
                <w:rFonts w:asciiTheme="majorBidi" w:hAnsiTheme="majorBidi" w:cstheme="majorBidi"/>
                <w:lang w:val="fr-FR"/>
              </w:rPr>
              <w:t xml:space="preserve">par </w:t>
            </w:r>
            <w:r w:rsidR="00F36F51" w:rsidRPr="00767A10">
              <w:rPr>
                <w:rFonts w:asciiTheme="majorBidi" w:hAnsiTheme="majorBidi" w:cstheme="majorBidi"/>
                <w:lang w:val="fr-FR"/>
              </w:rPr>
              <w:t>le Royaume à ceux enregistrés sur les plans régional et international</w:t>
            </w:r>
            <w:r w:rsidR="00801F15" w:rsidRPr="00767A10">
              <w:rPr>
                <w:rFonts w:asciiTheme="majorBidi" w:hAnsiTheme="majorBidi" w:cstheme="majorBidi"/>
                <w:lang w:val="fr-FR"/>
              </w:rPr>
              <w:t> ;</w:t>
            </w:r>
          </w:p>
          <w:p w14:paraId="5060726A" w14:textId="3AF3A3E8" w:rsidR="00F36F51" w:rsidRPr="00767A10" w:rsidRDefault="00B801F4" w:rsidP="00767A10">
            <w:pPr>
              <w:tabs>
                <w:tab w:val="right" w:pos="900"/>
              </w:tabs>
              <w:spacing w:after="20" w:line="240" w:lineRule="auto"/>
              <w:ind w:left="720" w:right="144" w:hanging="360"/>
              <w:jc w:val="both"/>
              <w:rPr>
                <w:rFonts w:asciiTheme="majorBidi" w:hAnsiTheme="majorBidi" w:cstheme="majorBidi"/>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767A10">
              <w:rPr>
                <w:rFonts w:asciiTheme="majorBidi" w:hAnsiTheme="majorBidi" w:cstheme="majorBidi"/>
                <w:lang w:val="fr-FR"/>
              </w:rPr>
              <w:t>Le Comité de coordination, par sa décision n</w:t>
            </w:r>
            <w:r w:rsidR="00F36F51" w:rsidRPr="00767A10">
              <w:rPr>
                <w:rFonts w:asciiTheme="majorBidi" w:hAnsiTheme="majorBidi" w:cstheme="majorBidi"/>
                <w:vertAlign w:val="superscript"/>
                <w:lang w:val="fr-FR"/>
              </w:rPr>
              <w:t>o</w:t>
            </w:r>
            <w:r w:rsidR="00F36F51" w:rsidRPr="00767A10">
              <w:rPr>
                <w:rFonts w:asciiTheme="majorBidi" w:hAnsiTheme="majorBidi" w:cstheme="majorBidi"/>
                <w:lang w:val="fr-FR"/>
              </w:rPr>
              <w:t xml:space="preserve"> 3-228-2018, a chargé l</w:t>
            </w:r>
            <w:r w:rsidR="00801F15" w:rsidRPr="00767A10">
              <w:rPr>
                <w:rFonts w:asciiTheme="majorBidi" w:hAnsiTheme="majorBidi" w:cstheme="majorBidi"/>
                <w:lang w:val="fr-FR"/>
              </w:rPr>
              <w:t>’</w:t>
            </w:r>
            <w:r w:rsidR="00F36F51" w:rsidRPr="00767A10">
              <w:rPr>
                <w:rFonts w:asciiTheme="majorBidi" w:hAnsiTheme="majorBidi" w:cstheme="majorBidi"/>
                <w:lang w:val="fr-FR"/>
              </w:rPr>
              <w:t>Autorité de l</w:t>
            </w:r>
            <w:r w:rsidR="00801F15" w:rsidRPr="00767A10">
              <w:rPr>
                <w:rFonts w:asciiTheme="majorBidi" w:hAnsiTheme="majorBidi" w:cstheme="majorBidi"/>
                <w:lang w:val="fr-FR"/>
              </w:rPr>
              <w:t>’</w:t>
            </w:r>
            <w:r w:rsidR="00F36F51" w:rsidRPr="00767A10">
              <w:rPr>
                <w:rFonts w:asciiTheme="majorBidi" w:hAnsiTheme="majorBidi" w:cstheme="majorBidi"/>
                <w:lang w:val="fr-FR"/>
              </w:rPr>
              <w:t>information et des services en ligne du Gouvernement bahreïnien d</w:t>
            </w:r>
            <w:r w:rsidR="00801F15" w:rsidRPr="00767A10">
              <w:rPr>
                <w:rFonts w:asciiTheme="majorBidi" w:hAnsiTheme="majorBidi" w:cstheme="majorBidi"/>
                <w:lang w:val="fr-FR"/>
              </w:rPr>
              <w:t>’</w:t>
            </w:r>
            <w:r w:rsidR="00F36F51" w:rsidRPr="00767A10">
              <w:rPr>
                <w:rFonts w:asciiTheme="majorBidi" w:hAnsiTheme="majorBidi" w:cstheme="majorBidi"/>
                <w:lang w:val="fr-FR"/>
              </w:rPr>
              <w:t>établir, en coopération avec le Conseil supérieur de la femme, le rapport national bisannuel sur la représentation équilibrée des sexes à partir de 2018. Il revient à l</w:t>
            </w:r>
            <w:r w:rsidR="00801F15" w:rsidRPr="00767A10">
              <w:rPr>
                <w:rFonts w:asciiTheme="majorBidi" w:hAnsiTheme="majorBidi" w:cstheme="majorBidi"/>
                <w:lang w:val="fr-FR"/>
              </w:rPr>
              <w:t>’</w:t>
            </w:r>
            <w:r w:rsidR="00F36F51" w:rsidRPr="00767A10">
              <w:rPr>
                <w:rFonts w:asciiTheme="majorBidi" w:hAnsiTheme="majorBidi" w:cstheme="majorBidi"/>
                <w:lang w:val="fr-FR"/>
              </w:rPr>
              <w:t>Autorité de recueillir et de présenter les données selon le cadre défini par le Conseil.</w:t>
            </w:r>
          </w:p>
        </w:tc>
      </w:tr>
      <w:tr w:rsidR="00AC6FEF" w:rsidRPr="001B46CB" w14:paraId="547A4A9A" w14:textId="77777777" w:rsidTr="00767A10">
        <w:trPr>
          <w:tblCellSpacing w:w="20" w:type="dxa"/>
          <w:jc w:val="center"/>
        </w:trPr>
        <w:tc>
          <w:tcPr>
            <w:tcW w:w="2701" w:type="pct"/>
            <w:gridSpan w:val="8"/>
            <w:shd w:val="clear" w:color="auto" w:fill="DDD9C3" w:themeFill="background2" w:themeFillShade="E6"/>
          </w:tcPr>
          <w:p w14:paraId="14F745C9" w14:textId="77777777" w:rsidR="00F36F51" w:rsidRPr="001B46CB" w:rsidRDefault="00F36F51" w:rsidP="00481471">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Domaine concerné</w:t>
            </w:r>
          </w:p>
        </w:tc>
        <w:tc>
          <w:tcPr>
            <w:tcW w:w="2238" w:type="pct"/>
            <w:gridSpan w:val="5"/>
            <w:shd w:val="clear" w:color="auto" w:fill="EEECE1" w:themeFill="background2"/>
          </w:tcPr>
          <w:p w14:paraId="6D3CE717" w14:textId="77777777" w:rsidR="00F36F51" w:rsidRPr="001B46CB" w:rsidRDefault="00F36F51" w:rsidP="00481471">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Stéréotypes et pratiques néfastes</w:t>
            </w:r>
          </w:p>
        </w:tc>
      </w:tr>
      <w:tr w:rsidR="00F36F51" w:rsidRPr="001B46CB" w14:paraId="1E1AAE8F" w14:textId="77777777" w:rsidTr="0080608B">
        <w:trPr>
          <w:tblCellSpacing w:w="20" w:type="dxa"/>
          <w:jc w:val="center"/>
        </w:trPr>
        <w:tc>
          <w:tcPr>
            <w:tcW w:w="4959" w:type="pct"/>
            <w:gridSpan w:val="13"/>
            <w:shd w:val="clear" w:color="auto" w:fill="C4BC96" w:themeFill="background2" w:themeFillShade="BF"/>
            <w:vAlign w:val="center"/>
          </w:tcPr>
          <w:p w14:paraId="728CC97D" w14:textId="77777777" w:rsidR="00F36F51" w:rsidRPr="001B46CB" w:rsidRDefault="00F36F51" w:rsidP="00481471">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F36F51" w:rsidRPr="001B46CB" w14:paraId="2EE8C13C" w14:textId="77777777" w:rsidTr="0080608B">
        <w:trPr>
          <w:trHeight w:val="1774"/>
          <w:tblCellSpacing w:w="20" w:type="dxa"/>
          <w:jc w:val="center"/>
        </w:trPr>
        <w:tc>
          <w:tcPr>
            <w:tcW w:w="4959" w:type="pct"/>
            <w:gridSpan w:val="13"/>
            <w:shd w:val="clear" w:color="auto" w:fill="auto"/>
            <w:vAlign w:val="center"/>
          </w:tcPr>
          <w:p w14:paraId="00A75807" w14:textId="54B33320" w:rsidR="00F36F51" w:rsidRPr="001B46CB" w:rsidRDefault="00F36F51" w:rsidP="00767A10">
            <w:pPr>
              <w:pStyle w:val="ListParagraph"/>
              <w:numPr>
                <w:ilvl w:val="0"/>
                <w:numId w:val="42"/>
              </w:numPr>
              <w:spacing w:after="20" w:line="224" w:lineRule="exact"/>
              <w:ind w:left="360" w:right="144"/>
              <w:contextualSpacing w:val="0"/>
              <w:jc w:val="both"/>
              <w:rPr>
                <w:rFonts w:asciiTheme="majorBidi" w:hAnsiTheme="majorBidi" w:cstheme="majorBidi"/>
                <w:b/>
                <w:bCs/>
                <w:color w:val="000000" w:themeColor="text1"/>
                <w:lang w:val="fr-FR"/>
              </w:rPr>
            </w:pPr>
            <w:r w:rsidRPr="001B46CB">
              <w:rPr>
                <w:rFonts w:asciiTheme="majorBidi" w:hAnsiTheme="majorBidi" w:cstheme="majorBidi"/>
                <w:lang w:val="fr-FR"/>
              </w:rPr>
              <w:t>Le Comité prend note de la conception de l</w:t>
            </w:r>
            <w:r w:rsidR="00801F15" w:rsidRPr="001B46CB">
              <w:rPr>
                <w:rFonts w:asciiTheme="majorBidi" w:hAnsiTheme="majorBidi" w:cstheme="majorBidi"/>
                <w:lang w:val="fr-FR"/>
              </w:rPr>
              <w:t>’</w:t>
            </w:r>
            <w:r w:rsidRPr="001B46CB">
              <w:rPr>
                <w:rFonts w:asciiTheme="majorBidi" w:hAnsiTheme="majorBidi" w:cstheme="majorBidi"/>
                <w:lang w:val="fr-FR"/>
              </w:rPr>
              <w:t xml:space="preserve">État partie concernant les droits des femmes et constate que sont mentionnés dans sa </w:t>
            </w:r>
            <w:r w:rsidR="00C927C1" w:rsidRPr="001B46CB">
              <w:rPr>
                <w:rFonts w:asciiTheme="majorBidi" w:hAnsiTheme="majorBidi" w:cstheme="majorBidi"/>
                <w:lang w:val="fr-FR"/>
              </w:rPr>
              <w:t>c</w:t>
            </w:r>
            <w:r w:rsidRPr="001B46CB">
              <w:rPr>
                <w:rFonts w:asciiTheme="majorBidi" w:hAnsiTheme="majorBidi" w:cstheme="majorBidi"/>
                <w:lang w:val="fr-FR"/>
              </w:rPr>
              <w:t>onstitution «</w:t>
            </w:r>
            <w:r w:rsidR="00FE6005" w:rsidRPr="001B46CB">
              <w:rPr>
                <w:rFonts w:asciiTheme="majorBidi" w:hAnsiTheme="majorBidi" w:cstheme="majorBidi"/>
                <w:lang w:val="fr-FR"/>
              </w:rPr>
              <w:t> </w:t>
            </w:r>
            <w:r w:rsidRPr="001B46CB">
              <w:rPr>
                <w:rFonts w:asciiTheme="majorBidi" w:hAnsiTheme="majorBidi" w:cstheme="majorBidi"/>
                <w:lang w:val="fr-FR"/>
              </w:rPr>
              <w:t>leurs devoirs envers la famille</w:t>
            </w:r>
            <w:r w:rsidR="00FE6005" w:rsidRPr="001B46CB">
              <w:rPr>
                <w:rFonts w:asciiTheme="majorBidi" w:hAnsiTheme="majorBidi" w:cstheme="majorBidi"/>
                <w:lang w:val="fr-FR"/>
              </w:rPr>
              <w:t> </w:t>
            </w:r>
            <w:r w:rsidRPr="001B46CB">
              <w:rPr>
                <w:rFonts w:asciiTheme="majorBidi" w:hAnsiTheme="majorBidi" w:cstheme="majorBidi"/>
                <w:lang w:val="fr-FR"/>
              </w:rPr>
              <w:t>». Veuillez préciser les mesures prises pour interpréter cette conception d</w:t>
            </w:r>
            <w:r w:rsidR="00801F15" w:rsidRPr="001B46CB">
              <w:rPr>
                <w:rFonts w:asciiTheme="majorBidi" w:hAnsiTheme="majorBidi" w:cstheme="majorBidi"/>
                <w:lang w:val="fr-FR"/>
              </w:rPr>
              <w:t>’</w:t>
            </w:r>
            <w:r w:rsidRPr="001B46CB">
              <w:rPr>
                <w:rFonts w:asciiTheme="majorBidi" w:hAnsiTheme="majorBidi" w:cstheme="majorBidi"/>
                <w:lang w:val="fr-FR"/>
              </w:rPr>
              <w:t>une manière compatible avec la Convention. Veuillez également informer le Comité des mesures prises en matière d</w:t>
            </w:r>
            <w:r w:rsidR="00801F15" w:rsidRPr="001B46CB">
              <w:rPr>
                <w:rFonts w:asciiTheme="majorBidi" w:hAnsiTheme="majorBidi" w:cstheme="majorBidi"/>
                <w:lang w:val="fr-FR"/>
              </w:rPr>
              <w:t>’</w:t>
            </w:r>
            <w:r w:rsidRPr="001B46CB">
              <w:rPr>
                <w:rFonts w:asciiTheme="majorBidi" w:hAnsiTheme="majorBidi" w:cstheme="majorBidi"/>
                <w:lang w:val="fr-FR"/>
              </w:rPr>
              <w:t>évaluation de la conception des droits des femmes prévalant dans l</w:t>
            </w:r>
            <w:r w:rsidR="00801F15" w:rsidRPr="001B46CB">
              <w:rPr>
                <w:rFonts w:asciiTheme="majorBidi" w:hAnsiTheme="majorBidi" w:cstheme="majorBidi"/>
                <w:lang w:val="fr-FR"/>
              </w:rPr>
              <w:t>’</w:t>
            </w:r>
            <w:r w:rsidRPr="001B46CB">
              <w:rPr>
                <w:rFonts w:asciiTheme="majorBidi" w:hAnsiTheme="majorBidi" w:cstheme="majorBidi"/>
                <w:lang w:val="fr-FR"/>
              </w:rPr>
              <w:t>État partie, dans la perspective de faire évoluer les rôles stéréotypés traditionnels des hommes et des femmes qui sont largement admis et bien ancrés (</w:t>
            </w:r>
            <w:hyperlink r:id="rId29" w:history="1">
              <w:r w:rsidRPr="001B46CB">
                <w:rPr>
                  <w:rStyle w:val="Hyperlink"/>
                  <w:rFonts w:asciiTheme="majorBidi" w:hAnsiTheme="majorBidi" w:cstheme="majorBidi"/>
                  <w:lang w:val="fr-FR"/>
                </w:rPr>
                <w:t>CEDAW/C/BHR/CO/2</w:t>
              </w:r>
            </w:hyperlink>
            <w:r w:rsidRPr="001B46CB">
              <w:rPr>
                <w:rFonts w:asciiTheme="majorBidi" w:hAnsiTheme="majorBidi" w:cstheme="majorBidi"/>
                <w:lang w:val="fr-FR"/>
              </w:rPr>
              <w:t xml:space="preserve">, </w:t>
            </w:r>
            <w:r w:rsidR="00CC1C14" w:rsidRPr="001B46CB">
              <w:rPr>
                <w:rFonts w:asciiTheme="majorBidi" w:hAnsiTheme="majorBidi" w:cstheme="majorBidi"/>
                <w:lang w:val="fr-FR"/>
              </w:rPr>
              <w:t>par. </w:t>
            </w:r>
            <w:r w:rsidRPr="001B46CB">
              <w:rPr>
                <w:rFonts w:asciiTheme="majorBidi" w:hAnsiTheme="majorBidi" w:cstheme="majorBidi"/>
                <w:lang w:val="fr-FR"/>
              </w:rPr>
              <w:t xml:space="preserve">22 et </w:t>
            </w:r>
            <w:hyperlink r:id="rId30" w:history="1">
              <w:r w:rsidRPr="001B46CB">
                <w:rPr>
                  <w:rStyle w:val="Hyperlink"/>
                  <w:rFonts w:asciiTheme="majorBidi" w:hAnsiTheme="majorBidi" w:cstheme="majorBidi"/>
                  <w:lang w:val="fr-FR"/>
                </w:rPr>
                <w:t>CEDAW/C/BHR/CO/3</w:t>
              </w:r>
            </w:hyperlink>
            <w:r w:rsidRPr="001B46CB">
              <w:rPr>
                <w:rFonts w:asciiTheme="majorBidi" w:hAnsiTheme="majorBidi" w:cstheme="majorBidi"/>
                <w:lang w:val="fr-FR"/>
              </w:rPr>
              <w:t xml:space="preserve">, </w:t>
            </w:r>
            <w:r w:rsidR="00CC1C14" w:rsidRPr="001B46CB">
              <w:rPr>
                <w:rFonts w:asciiTheme="majorBidi" w:hAnsiTheme="majorBidi" w:cstheme="majorBidi"/>
                <w:lang w:val="fr-FR"/>
              </w:rPr>
              <w:t>par. </w:t>
            </w:r>
            <w:r w:rsidRPr="001B46CB">
              <w:rPr>
                <w:rFonts w:asciiTheme="majorBidi" w:hAnsiTheme="majorBidi" w:cstheme="majorBidi"/>
                <w:lang w:val="fr-FR"/>
              </w:rPr>
              <w:t>20) et de faire en sorte que les femmes jouissent de l</w:t>
            </w:r>
            <w:r w:rsidR="00801F15" w:rsidRPr="001B46CB">
              <w:rPr>
                <w:rFonts w:asciiTheme="majorBidi" w:hAnsiTheme="majorBidi" w:cstheme="majorBidi"/>
                <w:lang w:val="fr-FR"/>
              </w:rPr>
              <w:t>’</w:t>
            </w:r>
            <w:r w:rsidRPr="001B46CB">
              <w:rPr>
                <w:rFonts w:asciiTheme="majorBidi" w:hAnsiTheme="majorBidi" w:cstheme="majorBidi"/>
                <w:lang w:val="fr-FR"/>
              </w:rPr>
              <w:t>égalité réelle des droits et des devoirs sur un pied d</w:t>
            </w:r>
            <w:r w:rsidR="00801F15" w:rsidRPr="001B46CB">
              <w:rPr>
                <w:rFonts w:asciiTheme="majorBidi" w:hAnsiTheme="majorBidi" w:cstheme="majorBidi"/>
                <w:lang w:val="fr-FR"/>
              </w:rPr>
              <w:t>’</w:t>
            </w:r>
            <w:r w:rsidRPr="001B46CB">
              <w:rPr>
                <w:rFonts w:asciiTheme="majorBidi" w:hAnsiTheme="majorBidi" w:cstheme="majorBidi"/>
                <w:lang w:val="fr-FR"/>
              </w:rPr>
              <w:t>égalité avec les hommes dans la vie quotidienne, au-delà du contenu de la législation, de la réglementation et des circulaires ministérielles (</w:t>
            </w:r>
            <w:r w:rsidR="00CC1C14" w:rsidRPr="001B46CB">
              <w:rPr>
                <w:rFonts w:asciiTheme="majorBidi" w:hAnsiTheme="majorBidi" w:cstheme="majorBidi"/>
                <w:lang w:val="fr-FR"/>
              </w:rPr>
              <w:t>par. </w:t>
            </w:r>
            <w:r w:rsidRPr="001B46CB">
              <w:rPr>
                <w:rFonts w:asciiTheme="majorBidi" w:hAnsiTheme="majorBidi" w:cstheme="majorBidi"/>
                <w:lang w:val="fr-FR"/>
              </w:rPr>
              <w:t>71).</w:t>
            </w:r>
          </w:p>
        </w:tc>
      </w:tr>
      <w:tr w:rsidR="00F36F51" w:rsidRPr="001B46CB" w14:paraId="57FC866B" w14:textId="77777777" w:rsidTr="0080608B">
        <w:trPr>
          <w:trHeight w:val="3430"/>
          <w:tblCellSpacing w:w="20" w:type="dxa"/>
          <w:jc w:val="center"/>
        </w:trPr>
        <w:tc>
          <w:tcPr>
            <w:tcW w:w="4959" w:type="pct"/>
            <w:gridSpan w:val="13"/>
            <w:shd w:val="clear" w:color="auto" w:fill="auto"/>
            <w:vAlign w:val="center"/>
          </w:tcPr>
          <w:p w14:paraId="3249F995" w14:textId="58F8FC91" w:rsidR="00F36F51" w:rsidRPr="001B46CB" w:rsidRDefault="00F36F51" w:rsidP="00B422AB">
            <w:pPr>
              <w:pStyle w:val="ListParagraph"/>
              <w:numPr>
                <w:ilvl w:val="0"/>
                <w:numId w:val="43"/>
              </w:numPr>
              <w:spacing w:after="20" w:line="224" w:lineRule="exact"/>
              <w:ind w:left="360" w:right="144"/>
              <w:contextualSpacing w:val="0"/>
              <w:jc w:val="both"/>
              <w:rPr>
                <w:rFonts w:asciiTheme="majorBidi" w:hAnsiTheme="majorBidi" w:cstheme="majorBidi"/>
                <w:b/>
                <w:bCs/>
                <w:lang w:val="fr-FR"/>
              </w:rPr>
            </w:pPr>
            <w:r w:rsidRPr="001B46CB">
              <w:rPr>
                <w:rFonts w:asciiTheme="majorBidi" w:hAnsiTheme="majorBidi" w:cstheme="majorBidi"/>
                <w:lang w:val="fr-FR"/>
              </w:rPr>
              <w:t>Bahreïn réaffirme la teneur des paragraphes 84 à 91 de son quatrième rapport périodique pour ce qui est de l</w:t>
            </w:r>
            <w:r w:rsidR="00801F15" w:rsidRPr="001B46CB">
              <w:rPr>
                <w:rFonts w:asciiTheme="majorBidi" w:hAnsiTheme="majorBidi" w:cstheme="majorBidi"/>
                <w:lang w:val="fr-FR"/>
              </w:rPr>
              <w:t>’</w:t>
            </w:r>
            <w:r w:rsidRPr="001B46CB">
              <w:rPr>
                <w:rFonts w:asciiTheme="majorBidi" w:hAnsiTheme="majorBidi" w:cstheme="majorBidi"/>
                <w:lang w:val="fr-FR"/>
              </w:rPr>
              <w:t>action menée en vue de modifier l</w:t>
            </w:r>
            <w:r w:rsidR="00801F15" w:rsidRPr="001B46CB">
              <w:rPr>
                <w:rFonts w:asciiTheme="majorBidi" w:hAnsiTheme="majorBidi" w:cstheme="majorBidi"/>
                <w:lang w:val="fr-FR"/>
              </w:rPr>
              <w:t>’</w:t>
            </w:r>
            <w:r w:rsidRPr="001B46CB">
              <w:rPr>
                <w:rFonts w:asciiTheme="majorBidi" w:hAnsiTheme="majorBidi" w:cstheme="majorBidi"/>
                <w:lang w:val="fr-FR"/>
              </w:rPr>
              <w:t>image stéréotypée des femmes et ajoute ce qui suit</w:t>
            </w:r>
            <w:r w:rsidR="00801F15" w:rsidRPr="001B46CB">
              <w:rPr>
                <w:rFonts w:asciiTheme="majorBidi" w:hAnsiTheme="majorBidi" w:cstheme="majorBidi"/>
                <w:lang w:val="fr-FR"/>
              </w:rPr>
              <w:t> :</w:t>
            </w:r>
          </w:p>
          <w:p w14:paraId="640587CE" w14:textId="4D898E9A" w:rsidR="00801F15" w:rsidRPr="001B46CB" w:rsidRDefault="000B5ADC" w:rsidP="00B422AB">
            <w:pPr>
              <w:spacing w:line="224" w:lineRule="exact"/>
              <w:ind w:left="720" w:right="144" w:hanging="360"/>
              <w:jc w:val="both"/>
              <w:rPr>
                <w:rFonts w:asciiTheme="majorBidi" w:hAnsiTheme="majorBidi" w:cstheme="majorBidi"/>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À</w:t>
            </w:r>
            <w:r w:rsidR="00801F15" w:rsidRPr="001B46CB">
              <w:rPr>
                <w:rFonts w:asciiTheme="majorBidi" w:hAnsiTheme="majorBidi" w:cstheme="majorBidi"/>
                <w:lang w:val="fr-FR"/>
              </w:rPr>
              <w:t xml:space="preserve"> </w:t>
            </w:r>
            <w:r w:rsidR="00F36F51" w:rsidRPr="001B46CB">
              <w:rPr>
                <w:rFonts w:asciiTheme="majorBidi" w:hAnsiTheme="majorBidi" w:cstheme="majorBidi"/>
                <w:lang w:val="fr-FR"/>
              </w:rPr>
              <w:t>l</w:t>
            </w:r>
            <w:r w:rsidR="00801F15" w:rsidRPr="001B46CB">
              <w:rPr>
                <w:rFonts w:asciiTheme="majorBidi" w:hAnsiTheme="majorBidi" w:cstheme="majorBidi"/>
                <w:lang w:val="fr-FR"/>
              </w:rPr>
              <w:t>’</w:t>
            </w:r>
            <w:r w:rsidR="00F36F51" w:rsidRPr="001B46CB">
              <w:rPr>
                <w:rFonts w:asciiTheme="majorBidi" w:hAnsiTheme="majorBidi" w:cstheme="majorBidi"/>
                <w:lang w:val="fr-FR"/>
              </w:rPr>
              <w:t>aide du Modèle national d</w:t>
            </w:r>
            <w:r w:rsidR="00801F15" w:rsidRPr="001B46CB">
              <w:rPr>
                <w:rFonts w:asciiTheme="majorBidi" w:hAnsiTheme="majorBidi" w:cstheme="majorBidi"/>
                <w:lang w:val="fr-FR"/>
              </w:rPr>
              <w:t>’</w:t>
            </w:r>
            <w:r w:rsidR="00F36F51" w:rsidRPr="001B46CB">
              <w:rPr>
                <w:rFonts w:asciiTheme="majorBidi" w:hAnsiTheme="majorBidi" w:cstheme="majorBidi"/>
                <w:lang w:val="fr-FR"/>
              </w:rPr>
              <w:t>intégration des besoins des femmes au développement, le Royaume s</w:t>
            </w:r>
            <w:r w:rsidR="00801F15" w:rsidRPr="001B46CB">
              <w:rPr>
                <w:rFonts w:asciiTheme="majorBidi" w:hAnsiTheme="majorBidi" w:cstheme="majorBidi"/>
                <w:lang w:val="fr-FR"/>
              </w:rPr>
              <w:t>’</w:t>
            </w:r>
            <w:r w:rsidR="00F36F51" w:rsidRPr="001B46CB">
              <w:rPr>
                <w:rFonts w:asciiTheme="majorBidi" w:hAnsiTheme="majorBidi" w:cstheme="majorBidi"/>
                <w:lang w:val="fr-FR"/>
              </w:rPr>
              <w:t>emploie à établir l</w:t>
            </w:r>
            <w:r w:rsidR="00801F15" w:rsidRPr="001B46CB">
              <w:rPr>
                <w:rFonts w:asciiTheme="majorBidi" w:hAnsiTheme="majorBidi" w:cstheme="majorBidi"/>
                <w:lang w:val="fr-FR"/>
              </w:rPr>
              <w:t>’</w:t>
            </w:r>
            <w:r w:rsidR="00F36F51" w:rsidRPr="001B46CB">
              <w:rPr>
                <w:rFonts w:asciiTheme="majorBidi" w:hAnsiTheme="majorBidi" w:cstheme="majorBidi"/>
                <w:lang w:val="fr-FR"/>
              </w:rPr>
              <w:t>architecture institutionnelle appropriée afin que les femmes puissent bénéficier de progrès durables en matière d</w:t>
            </w:r>
            <w:r w:rsidR="00801F15" w:rsidRPr="001B46CB">
              <w:rPr>
                <w:rFonts w:asciiTheme="majorBidi" w:hAnsiTheme="majorBidi" w:cstheme="majorBidi"/>
                <w:lang w:val="fr-FR"/>
              </w:rPr>
              <w:t>’</w:t>
            </w:r>
            <w:r w:rsidR="00F36F51" w:rsidRPr="001B46CB">
              <w:rPr>
                <w:rFonts w:asciiTheme="majorBidi" w:hAnsiTheme="majorBidi" w:cstheme="majorBidi"/>
                <w:lang w:val="fr-FR"/>
              </w:rPr>
              <w:t>emploi et trouver l</w:t>
            </w:r>
            <w:r w:rsidR="00801F15" w:rsidRPr="001B46CB">
              <w:rPr>
                <w:rFonts w:asciiTheme="majorBidi" w:hAnsiTheme="majorBidi" w:cstheme="majorBidi"/>
                <w:lang w:val="fr-FR"/>
              </w:rPr>
              <w:t>’</w:t>
            </w:r>
            <w:r w:rsidR="00F36F51" w:rsidRPr="001B46CB">
              <w:rPr>
                <w:rFonts w:asciiTheme="majorBidi" w:hAnsiTheme="majorBidi" w:cstheme="majorBidi"/>
                <w:lang w:val="fr-FR"/>
              </w:rPr>
              <w:t>équilibre nécessaire entre le travail et leurs devoirs envers la famille. En s</w:t>
            </w:r>
            <w:r w:rsidR="00801F15" w:rsidRPr="001B46CB">
              <w:rPr>
                <w:rFonts w:asciiTheme="majorBidi" w:hAnsiTheme="majorBidi" w:cstheme="majorBidi"/>
                <w:lang w:val="fr-FR"/>
              </w:rPr>
              <w:t>’</w:t>
            </w:r>
            <w:r w:rsidR="00F36F51" w:rsidRPr="001B46CB">
              <w:rPr>
                <w:rFonts w:asciiTheme="majorBidi" w:hAnsiTheme="majorBidi" w:cstheme="majorBidi"/>
                <w:lang w:val="fr-FR"/>
              </w:rPr>
              <w:t>appuyant sur le Modèle, le Conseil supérieur de la femme s</w:t>
            </w:r>
            <w:r w:rsidR="00801F15" w:rsidRPr="001B46CB">
              <w:rPr>
                <w:rFonts w:asciiTheme="majorBidi" w:hAnsiTheme="majorBidi" w:cstheme="majorBidi"/>
                <w:lang w:val="fr-FR"/>
              </w:rPr>
              <w:t>’</w:t>
            </w:r>
            <w:r w:rsidR="00F36F51" w:rsidRPr="001B46CB">
              <w:rPr>
                <w:rFonts w:asciiTheme="majorBidi" w:hAnsiTheme="majorBidi" w:cstheme="majorBidi"/>
                <w:lang w:val="fr-FR"/>
              </w:rPr>
              <w:t>efforce de mettre en place un ensemble de mesures et initiatives dans ce domaine particulier, y compris les suivantes</w:t>
            </w:r>
            <w:r w:rsidR="00801F15" w:rsidRPr="001B46CB">
              <w:rPr>
                <w:rFonts w:asciiTheme="majorBidi" w:hAnsiTheme="majorBidi" w:cstheme="majorBidi"/>
                <w:lang w:val="fr-FR"/>
              </w:rPr>
              <w:t> :</w:t>
            </w:r>
            <w:r w:rsidR="00F36F51" w:rsidRPr="001B46CB">
              <w:rPr>
                <w:rFonts w:asciiTheme="majorBidi" w:hAnsiTheme="majorBidi" w:cstheme="majorBidi"/>
                <w:lang w:val="fr-FR"/>
              </w:rPr>
              <w:t xml:space="preserve"> création de services de soins et d</w:t>
            </w:r>
            <w:r w:rsidR="00801F15" w:rsidRPr="001B46CB">
              <w:rPr>
                <w:rFonts w:asciiTheme="majorBidi" w:hAnsiTheme="majorBidi" w:cstheme="majorBidi"/>
                <w:lang w:val="fr-FR"/>
              </w:rPr>
              <w:t>’</w:t>
            </w:r>
            <w:r w:rsidR="00F36F51" w:rsidRPr="001B46CB">
              <w:rPr>
                <w:rFonts w:asciiTheme="majorBidi" w:hAnsiTheme="majorBidi" w:cstheme="majorBidi"/>
                <w:lang w:val="fr-FR"/>
              </w:rPr>
              <w:t>éducation préscolaire, diversification des modalités de travail aménagées et télétravail, congé parental et postnatal accordé aux deux parents. Les mesures réglementaires visent à aider les deux parents et l</w:t>
            </w:r>
            <w:r w:rsidR="00801F15" w:rsidRPr="001B46CB">
              <w:rPr>
                <w:rFonts w:asciiTheme="majorBidi" w:hAnsiTheme="majorBidi" w:cstheme="majorBidi"/>
                <w:lang w:val="fr-FR"/>
              </w:rPr>
              <w:t>’</w:t>
            </w:r>
            <w:r w:rsidR="00F36F51" w:rsidRPr="001B46CB">
              <w:rPr>
                <w:rFonts w:asciiTheme="majorBidi" w:hAnsiTheme="majorBidi" w:cstheme="majorBidi"/>
                <w:lang w:val="fr-FR"/>
              </w:rPr>
              <w:t>institution que constitue la famille à instaurer un équilibre en son sein pour ce qui est du rôle de chacun de ses membres et de leurs</w:t>
            </w:r>
            <w:r w:rsidR="00801F15" w:rsidRPr="001B46CB">
              <w:rPr>
                <w:rFonts w:asciiTheme="majorBidi" w:hAnsiTheme="majorBidi" w:cstheme="majorBidi"/>
                <w:lang w:val="fr-FR"/>
              </w:rPr>
              <w:t xml:space="preserve"> </w:t>
            </w:r>
            <w:r w:rsidR="00F36F51" w:rsidRPr="001B46CB">
              <w:rPr>
                <w:rFonts w:asciiTheme="majorBidi" w:hAnsiTheme="majorBidi" w:cstheme="majorBidi"/>
                <w:lang w:val="fr-FR"/>
              </w:rPr>
              <w:t>responsabilités liées au travail et à l</w:t>
            </w:r>
            <w:r w:rsidR="00801F15" w:rsidRPr="001B46CB">
              <w:rPr>
                <w:rFonts w:asciiTheme="majorBidi" w:hAnsiTheme="majorBidi" w:cstheme="majorBidi"/>
                <w:lang w:val="fr-FR"/>
              </w:rPr>
              <w:t>’</w:t>
            </w:r>
            <w:r w:rsidR="00F36F51" w:rsidRPr="001B46CB">
              <w:rPr>
                <w:rFonts w:asciiTheme="majorBidi" w:hAnsiTheme="majorBidi" w:cstheme="majorBidi"/>
                <w:lang w:val="fr-FR"/>
              </w:rPr>
              <w:t>éducation.</w:t>
            </w:r>
          </w:p>
          <w:p w14:paraId="0FFF80CA" w14:textId="170C0280" w:rsidR="00F36F51" w:rsidRPr="001B46CB" w:rsidRDefault="000B5ADC" w:rsidP="00B422AB">
            <w:pPr>
              <w:spacing w:after="20" w:line="224" w:lineRule="exact"/>
              <w:ind w:left="720" w:right="144" w:hanging="360"/>
              <w:jc w:val="both"/>
              <w:rPr>
                <w:rFonts w:asciiTheme="majorBidi" w:hAnsiTheme="majorBidi" w:cstheme="majorBidi"/>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Des efforts sont également déployés pour promouvoir une culture favorisant la représentation équilibrée des sexes</w:t>
            </w:r>
            <w:r w:rsidR="00801F15" w:rsidRPr="001B46CB">
              <w:rPr>
                <w:rFonts w:asciiTheme="majorBidi" w:hAnsiTheme="majorBidi" w:cstheme="majorBidi"/>
                <w:lang w:val="fr-FR"/>
              </w:rPr>
              <w:t xml:space="preserve"> </w:t>
            </w:r>
            <w:r w:rsidR="00F36F51" w:rsidRPr="001B46CB">
              <w:rPr>
                <w:rFonts w:asciiTheme="majorBidi" w:hAnsiTheme="majorBidi" w:cstheme="majorBidi"/>
                <w:lang w:val="fr-FR"/>
              </w:rPr>
              <w:t>dans le cadre d</w:t>
            </w:r>
            <w:r w:rsidR="00801F15" w:rsidRPr="001B46CB">
              <w:rPr>
                <w:rFonts w:asciiTheme="majorBidi" w:hAnsiTheme="majorBidi" w:cstheme="majorBidi"/>
                <w:lang w:val="fr-FR"/>
              </w:rPr>
              <w:t>’</w:t>
            </w:r>
            <w:r w:rsidR="00F36F51" w:rsidRPr="001B46CB">
              <w:rPr>
                <w:rFonts w:asciiTheme="majorBidi" w:hAnsiTheme="majorBidi" w:cstheme="majorBidi"/>
                <w:lang w:val="fr-FR"/>
              </w:rPr>
              <w:t>une coopération étroite avec les universités, les écoles et les organisations de la société civile. On notera qu</w:t>
            </w:r>
            <w:r w:rsidR="00801F15" w:rsidRPr="001B46CB">
              <w:rPr>
                <w:rFonts w:asciiTheme="majorBidi" w:hAnsiTheme="majorBidi" w:cstheme="majorBidi"/>
                <w:lang w:val="fr-FR"/>
              </w:rPr>
              <w:t>’</w:t>
            </w:r>
            <w:r w:rsidR="00F36F51" w:rsidRPr="001B46CB">
              <w:rPr>
                <w:rFonts w:asciiTheme="majorBidi" w:hAnsiTheme="majorBidi" w:cstheme="majorBidi"/>
                <w:lang w:val="fr-FR"/>
              </w:rPr>
              <w:t>il n</w:t>
            </w:r>
            <w:r w:rsidR="00801F15" w:rsidRPr="001B46CB">
              <w:rPr>
                <w:rFonts w:asciiTheme="majorBidi" w:hAnsiTheme="majorBidi" w:cstheme="majorBidi"/>
                <w:lang w:val="fr-FR"/>
              </w:rPr>
              <w:t>’</w:t>
            </w:r>
            <w:r w:rsidR="00F36F51" w:rsidRPr="001B46CB">
              <w:rPr>
                <w:rFonts w:asciiTheme="majorBidi" w:hAnsiTheme="majorBidi" w:cstheme="majorBidi"/>
                <w:lang w:val="fr-FR"/>
              </w:rPr>
              <w:t>y a pas de stéréotypes associés à la participation des femmes à la vie publique à Bahreïn et que des plans et des programmes sont mis en place si nécessaire afin que les femmes puissent y participer de manière effective.</w:t>
            </w:r>
            <w:r w:rsidR="00801F15" w:rsidRPr="001B46CB">
              <w:rPr>
                <w:rFonts w:asciiTheme="majorBidi" w:hAnsiTheme="majorBidi" w:cstheme="majorBidi"/>
                <w:lang w:val="fr-FR"/>
              </w:rPr>
              <w:t xml:space="preserve"> </w:t>
            </w:r>
          </w:p>
        </w:tc>
      </w:tr>
      <w:tr w:rsidR="00F36F51" w:rsidRPr="001B46CB" w14:paraId="4036BBD2" w14:textId="77777777" w:rsidTr="0080608B">
        <w:trPr>
          <w:trHeight w:val="217"/>
          <w:tblCellSpacing w:w="20" w:type="dxa"/>
          <w:jc w:val="center"/>
        </w:trPr>
        <w:tc>
          <w:tcPr>
            <w:tcW w:w="4959" w:type="pct"/>
            <w:gridSpan w:val="13"/>
            <w:shd w:val="clear" w:color="auto" w:fill="C4BC96" w:themeFill="background2" w:themeFillShade="BF"/>
            <w:vAlign w:val="center"/>
          </w:tcPr>
          <w:p w14:paraId="0DBDAA30" w14:textId="77777777" w:rsidR="00F36F51" w:rsidRPr="001B46CB" w:rsidRDefault="00F36F51" w:rsidP="00481471">
            <w:pPr>
              <w:pStyle w:val="ListParagraph"/>
              <w:tabs>
                <w:tab w:val="right" w:pos="197"/>
              </w:tabs>
              <w:spacing w:after="40" w:line="240" w:lineRule="auto"/>
              <w:ind w:left="197"/>
              <w:jc w:val="center"/>
              <w:rPr>
                <w:rFonts w:asciiTheme="majorBidi" w:hAnsiTheme="majorBidi" w:cstheme="majorBidi"/>
                <w:b/>
                <w:bCs/>
                <w:lang w:val="fr-FR"/>
              </w:rPr>
            </w:pPr>
            <w:r w:rsidRPr="001B46CB">
              <w:rPr>
                <w:rFonts w:asciiTheme="majorBidi" w:hAnsiTheme="majorBidi" w:cstheme="majorBidi"/>
                <w:b/>
                <w:bCs/>
                <w:lang w:val="fr-FR"/>
              </w:rPr>
              <w:t>Observations du Comité</w:t>
            </w:r>
          </w:p>
        </w:tc>
      </w:tr>
      <w:tr w:rsidR="00F36F51" w:rsidRPr="001B46CB" w14:paraId="634BC418" w14:textId="77777777" w:rsidTr="0080608B">
        <w:trPr>
          <w:trHeight w:val="505"/>
          <w:tblCellSpacing w:w="20" w:type="dxa"/>
          <w:jc w:val="center"/>
        </w:trPr>
        <w:tc>
          <w:tcPr>
            <w:tcW w:w="4959" w:type="pct"/>
            <w:gridSpan w:val="13"/>
            <w:shd w:val="clear" w:color="auto" w:fill="auto"/>
            <w:vAlign w:val="center"/>
          </w:tcPr>
          <w:p w14:paraId="0ED02C9A" w14:textId="69C15E81" w:rsidR="00F36F51" w:rsidRPr="001B46CB" w:rsidRDefault="00F36F51" w:rsidP="00481471">
            <w:pPr>
              <w:pStyle w:val="ListParagraph"/>
              <w:numPr>
                <w:ilvl w:val="0"/>
                <w:numId w:val="42"/>
              </w:numPr>
              <w:tabs>
                <w:tab w:val="right" w:pos="-31"/>
              </w:tabs>
              <w:spacing w:after="20" w:line="240" w:lineRule="auto"/>
              <w:ind w:left="360" w:right="144"/>
              <w:jc w:val="both"/>
              <w:rPr>
                <w:rFonts w:asciiTheme="majorBidi" w:hAnsiTheme="majorBidi" w:cstheme="majorBidi"/>
                <w:b/>
                <w:bCs/>
                <w:lang w:val="fr-FR"/>
              </w:rPr>
            </w:pPr>
            <w:r w:rsidRPr="001B46CB">
              <w:rPr>
                <w:rFonts w:asciiTheme="majorBidi" w:hAnsiTheme="majorBidi" w:cstheme="majorBidi"/>
                <w:lang w:val="fr-FR"/>
              </w:rPr>
              <w:t>Veuillez fournir des données sur les mariages polygames et les mariages d</w:t>
            </w:r>
            <w:r w:rsidR="00801F15" w:rsidRPr="001B46CB">
              <w:rPr>
                <w:rFonts w:asciiTheme="majorBidi" w:hAnsiTheme="majorBidi" w:cstheme="majorBidi"/>
                <w:lang w:val="fr-FR"/>
              </w:rPr>
              <w:t>’</w:t>
            </w:r>
            <w:r w:rsidRPr="001B46CB">
              <w:rPr>
                <w:rFonts w:asciiTheme="majorBidi" w:hAnsiTheme="majorBidi" w:cstheme="majorBidi"/>
                <w:lang w:val="fr-FR"/>
              </w:rPr>
              <w:t>enfants contractés au cours de la période considérée, y compris sur les dérogations à l</w:t>
            </w:r>
            <w:r w:rsidR="00801F15" w:rsidRPr="001B46CB">
              <w:rPr>
                <w:rFonts w:asciiTheme="majorBidi" w:hAnsiTheme="majorBidi" w:cstheme="majorBidi"/>
                <w:lang w:val="fr-FR"/>
              </w:rPr>
              <w:t>’</w:t>
            </w:r>
            <w:r w:rsidRPr="001B46CB">
              <w:rPr>
                <w:rFonts w:asciiTheme="majorBidi" w:hAnsiTheme="majorBidi" w:cstheme="majorBidi"/>
                <w:lang w:val="fr-FR"/>
              </w:rPr>
              <w:t>âge minimum du mariage accordées par les tribunaux. Veuillez informer le Comité des mesures prises pour mettre le Code de la famille de 2017 en conformité avec la Convention en interdisant sur le territoire de l</w:t>
            </w:r>
            <w:r w:rsidR="00801F15" w:rsidRPr="001B46CB">
              <w:rPr>
                <w:rFonts w:asciiTheme="majorBidi" w:hAnsiTheme="majorBidi" w:cstheme="majorBidi"/>
                <w:lang w:val="fr-FR"/>
              </w:rPr>
              <w:t>’</w:t>
            </w:r>
            <w:r w:rsidRPr="001B46CB">
              <w:rPr>
                <w:rFonts w:asciiTheme="majorBidi" w:hAnsiTheme="majorBidi" w:cstheme="majorBidi"/>
                <w:lang w:val="fr-FR"/>
              </w:rPr>
              <w:t xml:space="preserve">État partie les pratiques néfastes, telles que </w:t>
            </w:r>
            <w:r w:rsidR="00C927C1" w:rsidRPr="001B46CB">
              <w:rPr>
                <w:rFonts w:asciiTheme="majorBidi" w:hAnsiTheme="majorBidi" w:cstheme="majorBidi"/>
                <w:lang w:val="fr-FR"/>
              </w:rPr>
              <w:t xml:space="preserve">notamment </w:t>
            </w:r>
            <w:r w:rsidRPr="001B46CB">
              <w:rPr>
                <w:rFonts w:asciiTheme="majorBidi" w:hAnsiTheme="majorBidi" w:cstheme="majorBidi"/>
                <w:lang w:val="fr-FR"/>
              </w:rPr>
              <w:t>les mariages d</w:t>
            </w:r>
            <w:r w:rsidR="00801F15" w:rsidRPr="001B46CB">
              <w:rPr>
                <w:rFonts w:asciiTheme="majorBidi" w:hAnsiTheme="majorBidi" w:cstheme="majorBidi"/>
                <w:lang w:val="fr-FR"/>
              </w:rPr>
              <w:t>’</w:t>
            </w:r>
            <w:r w:rsidRPr="001B46CB">
              <w:rPr>
                <w:rFonts w:asciiTheme="majorBidi" w:hAnsiTheme="majorBidi" w:cstheme="majorBidi"/>
                <w:lang w:val="fr-FR"/>
              </w:rPr>
              <w:t>enfants et les mariages forcés, y compris le mariage des filles de moins de 18 ans, la polygamie [</w:t>
            </w:r>
            <w:hyperlink r:id="rId31" w:history="1">
              <w:r w:rsidRPr="001B46CB">
                <w:rPr>
                  <w:rStyle w:val="Hyperlink"/>
                  <w:rFonts w:asciiTheme="majorBidi" w:hAnsiTheme="majorBidi" w:cstheme="majorBidi"/>
                  <w:lang w:val="fr-FR"/>
                </w:rPr>
                <w:t>CEDAW/C/BHR/CO/2</w:t>
              </w:r>
            </w:hyperlink>
            <w:r w:rsidRPr="001B46CB">
              <w:rPr>
                <w:rFonts w:asciiTheme="majorBidi" w:hAnsiTheme="majorBidi" w:cstheme="majorBidi"/>
                <w:lang w:val="fr-FR"/>
              </w:rPr>
              <w:t xml:space="preserve">, </w:t>
            </w:r>
            <w:r w:rsidR="00CC1C14" w:rsidRPr="001B46CB">
              <w:rPr>
                <w:rFonts w:asciiTheme="majorBidi" w:hAnsiTheme="majorBidi" w:cstheme="majorBidi"/>
                <w:lang w:val="fr-FR"/>
              </w:rPr>
              <w:t>par. </w:t>
            </w:r>
            <w:r w:rsidRPr="001B46CB">
              <w:rPr>
                <w:rFonts w:asciiTheme="majorBidi" w:hAnsiTheme="majorBidi" w:cstheme="majorBidi"/>
                <w:lang w:val="fr-FR"/>
              </w:rPr>
              <w:t xml:space="preserve">39, et </w:t>
            </w:r>
            <w:hyperlink r:id="rId32" w:history="1">
              <w:r w:rsidRPr="001B46CB">
                <w:rPr>
                  <w:rStyle w:val="Hyperlink"/>
                  <w:rFonts w:asciiTheme="majorBidi" w:hAnsiTheme="majorBidi" w:cstheme="majorBidi"/>
                  <w:lang w:val="fr-FR"/>
                </w:rPr>
                <w:t>CEDAW/C/BHR/CO/3</w:t>
              </w:r>
            </w:hyperlink>
            <w:r w:rsidRPr="001B46CB">
              <w:rPr>
                <w:rFonts w:asciiTheme="majorBidi" w:hAnsiTheme="majorBidi" w:cstheme="majorBidi"/>
                <w:lang w:val="fr-FR"/>
              </w:rPr>
              <w:t xml:space="preserve">, </w:t>
            </w:r>
            <w:r w:rsidR="00CC1C14" w:rsidRPr="001B46CB">
              <w:rPr>
                <w:rFonts w:asciiTheme="majorBidi" w:hAnsiTheme="majorBidi" w:cstheme="majorBidi"/>
                <w:lang w:val="fr-FR"/>
              </w:rPr>
              <w:t>par. </w:t>
            </w:r>
            <w:r w:rsidRPr="001B46CB">
              <w:rPr>
                <w:rFonts w:asciiTheme="majorBidi" w:hAnsiTheme="majorBidi" w:cstheme="majorBidi"/>
                <w:lang w:val="fr-FR"/>
              </w:rPr>
              <w:t>44 d)], le choix du mari par la famille, le paiement de sommes exorbitantes comme prix de la fiancée, la dot, les mutilations génitales féminines et la dissimulation du visage.</w:t>
            </w:r>
          </w:p>
        </w:tc>
      </w:tr>
      <w:tr w:rsidR="00F36F51" w:rsidRPr="001B46CB" w14:paraId="05A571B1" w14:textId="77777777" w:rsidTr="0080608B">
        <w:trPr>
          <w:trHeight w:val="39"/>
          <w:tblCellSpacing w:w="20" w:type="dxa"/>
          <w:jc w:val="center"/>
        </w:trPr>
        <w:tc>
          <w:tcPr>
            <w:tcW w:w="4959" w:type="pct"/>
            <w:gridSpan w:val="13"/>
            <w:shd w:val="clear" w:color="auto" w:fill="C4BC96" w:themeFill="background2" w:themeFillShade="BF"/>
            <w:vAlign w:val="center"/>
          </w:tcPr>
          <w:p w14:paraId="6CAEB6BD" w14:textId="77777777" w:rsidR="00F36F51" w:rsidRPr="001B46CB" w:rsidRDefault="00F36F51" w:rsidP="00481471">
            <w:pPr>
              <w:pStyle w:val="ListParagraph"/>
              <w:tabs>
                <w:tab w:val="right" w:pos="197"/>
              </w:tabs>
              <w:spacing w:after="40" w:line="240" w:lineRule="auto"/>
              <w:ind w:left="197"/>
              <w:jc w:val="center"/>
              <w:rPr>
                <w:rFonts w:asciiTheme="majorBidi" w:hAnsiTheme="majorBidi" w:cstheme="majorBidi"/>
                <w:b/>
                <w:bCs/>
                <w:lang w:val="fr-FR"/>
              </w:rPr>
            </w:pPr>
            <w:r w:rsidRPr="001B46CB">
              <w:rPr>
                <w:rFonts w:asciiTheme="majorBidi" w:hAnsiTheme="majorBidi" w:cstheme="majorBidi"/>
                <w:b/>
                <w:bCs/>
                <w:lang w:val="fr-FR"/>
              </w:rPr>
              <w:t>Réponse</w:t>
            </w:r>
          </w:p>
        </w:tc>
      </w:tr>
      <w:tr w:rsidR="00F36F51" w:rsidRPr="001B46CB" w14:paraId="5E703F96" w14:textId="77777777" w:rsidTr="00481471">
        <w:trPr>
          <w:tblCellSpacing w:w="20" w:type="dxa"/>
          <w:jc w:val="center"/>
        </w:trPr>
        <w:tc>
          <w:tcPr>
            <w:tcW w:w="4959" w:type="pct"/>
            <w:gridSpan w:val="13"/>
            <w:shd w:val="clear" w:color="auto" w:fill="auto"/>
            <w:vAlign w:val="center"/>
          </w:tcPr>
          <w:p w14:paraId="50517360" w14:textId="77777777" w:rsidR="00801F15" w:rsidRPr="001B46CB" w:rsidRDefault="00F36F51" w:rsidP="00767A10">
            <w:pPr>
              <w:pStyle w:val="ListParagraph"/>
              <w:numPr>
                <w:ilvl w:val="0"/>
                <w:numId w:val="43"/>
              </w:numPr>
              <w:spacing w:after="20" w:line="240" w:lineRule="auto"/>
              <w:ind w:left="360" w:right="144"/>
              <w:contextualSpacing w:val="0"/>
              <w:jc w:val="both"/>
              <w:rPr>
                <w:rFonts w:asciiTheme="majorBidi" w:hAnsiTheme="majorBidi" w:cstheme="majorBidi"/>
                <w:lang w:val="fr-FR"/>
              </w:rPr>
            </w:pPr>
            <w:r w:rsidRPr="001B46CB">
              <w:rPr>
                <w:rFonts w:asciiTheme="majorBidi" w:hAnsiTheme="majorBidi" w:cstheme="majorBidi"/>
                <w:lang w:val="fr-FR"/>
              </w:rPr>
              <w:lastRenderedPageBreak/>
              <w:t>Bahreïn réaffirme la teneur des paragraphes 201 et 202 de son quatrième rapport périodique.</w:t>
            </w:r>
            <w:r w:rsidR="00801F15" w:rsidRPr="001B46CB">
              <w:rPr>
                <w:rFonts w:asciiTheme="majorBidi" w:hAnsiTheme="majorBidi" w:cstheme="majorBidi"/>
                <w:lang w:val="fr-FR"/>
              </w:rPr>
              <w:t xml:space="preserve"> </w:t>
            </w:r>
            <w:r w:rsidRPr="001B46CB">
              <w:rPr>
                <w:rFonts w:asciiTheme="majorBidi" w:hAnsiTheme="majorBidi" w:cstheme="majorBidi"/>
                <w:lang w:val="fr-FR"/>
              </w:rPr>
              <w:t>Pour ce qui est de porter à 18 ans l</w:t>
            </w:r>
            <w:r w:rsidR="00801F15" w:rsidRPr="001B46CB">
              <w:rPr>
                <w:rFonts w:asciiTheme="majorBidi" w:hAnsiTheme="majorBidi" w:cstheme="majorBidi"/>
                <w:lang w:val="fr-FR"/>
              </w:rPr>
              <w:t>’</w:t>
            </w:r>
            <w:r w:rsidRPr="001B46CB">
              <w:rPr>
                <w:rFonts w:asciiTheme="majorBidi" w:hAnsiTheme="majorBidi" w:cstheme="majorBidi"/>
                <w:lang w:val="fr-FR"/>
              </w:rPr>
              <w:t>âge minimum du mariage des filles, comme recommandé, le Code de la famille fixe à 16 ans l</w:t>
            </w:r>
            <w:r w:rsidR="00801F15" w:rsidRPr="001B46CB">
              <w:rPr>
                <w:rFonts w:asciiTheme="majorBidi" w:hAnsiTheme="majorBidi" w:cstheme="majorBidi"/>
                <w:lang w:val="fr-FR"/>
              </w:rPr>
              <w:t>’</w:t>
            </w:r>
            <w:r w:rsidRPr="001B46CB">
              <w:rPr>
                <w:rFonts w:asciiTheme="majorBidi" w:hAnsiTheme="majorBidi" w:cstheme="majorBidi"/>
                <w:lang w:val="fr-FR"/>
              </w:rPr>
              <w:t>âge minimum du mariage. Conformément à l</w:t>
            </w:r>
            <w:r w:rsidR="00801F15" w:rsidRPr="001B46CB">
              <w:rPr>
                <w:rFonts w:asciiTheme="majorBidi" w:hAnsiTheme="majorBidi" w:cstheme="majorBidi"/>
                <w:lang w:val="fr-FR"/>
              </w:rPr>
              <w:t>’</w:t>
            </w:r>
            <w:r w:rsidRPr="001B46CB">
              <w:rPr>
                <w:rFonts w:asciiTheme="majorBidi" w:hAnsiTheme="majorBidi" w:cstheme="majorBidi"/>
                <w:lang w:val="fr-FR"/>
              </w:rPr>
              <w:t>article 12 de la décision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1 de 2016 qui comporte la liste des personnes habilitées à célébrer des mariages, pour qu</w:t>
            </w:r>
            <w:r w:rsidR="00801F15" w:rsidRPr="001B46CB">
              <w:rPr>
                <w:rFonts w:asciiTheme="majorBidi" w:hAnsiTheme="majorBidi" w:cstheme="majorBidi"/>
                <w:lang w:val="fr-FR"/>
              </w:rPr>
              <w:t>’</w:t>
            </w:r>
            <w:r w:rsidRPr="001B46CB">
              <w:rPr>
                <w:rFonts w:asciiTheme="majorBidi" w:hAnsiTheme="majorBidi" w:cstheme="majorBidi"/>
                <w:lang w:val="fr-FR"/>
              </w:rPr>
              <w:t>un contrat de mariage soit valide et reconnu, les deux époux (l</w:t>
            </w:r>
            <w:r w:rsidR="00801F15" w:rsidRPr="001B46CB">
              <w:rPr>
                <w:rFonts w:asciiTheme="majorBidi" w:hAnsiTheme="majorBidi" w:cstheme="majorBidi"/>
                <w:lang w:val="fr-FR"/>
              </w:rPr>
              <w:t>’</w:t>
            </w:r>
            <w:r w:rsidRPr="001B46CB">
              <w:rPr>
                <w:rFonts w:asciiTheme="majorBidi" w:hAnsiTheme="majorBidi" w:cstheme="majorBidi"/>
                <w:lang w:val="fr-FR"/>
              </w:rPr>
              <w:t>homme et la femme) doivent avoir 16 ans révolus au moment de contracter le mariage. La loi n</w:t>
            </w:r>
            <w:r w:rsidR="00801F15" w:rsidRPr="001B46CB">
              <w:rPr>
                <w:rFonts w:asciiTheme="majorBidi" w:hAnsiTheme="majorBidi" w:cstheme="majorBidi"/>
                <w:lang w:val="fr-FR"/>
              </w:rPr>
              <w:t>’</w:t>
            </w:r>
            <w:r w:rsidRPr="001B46CB">
              <w:rPr>
                <w:rFonts w:asciiTheme="majorBidi" w:hAnsiTheme="majorBidi" w:cstheme="majorBidi"/>
                <w:lang w:val="fr-FR"/>
              </w:rPr>
              <w:t>autorise le mariage de personnes âgées de moins de 16 ans qu</w:t>
            </w:r>
            <w:r w:rsidR="00801F15" w:rsidRPr="001B46CB">
              <w:rPr>
                <w:rFonts w:asciiTheme="majorBidi" w:hAnsiTheme="majorBidi" w:cstheme="majorBidi"/>
                <w:lang w:val="fr-FR"/>
              </w:rPr>
              <w:t>’</w:t>
            </w:r>
            <w:r w:rsidRPr="001B46CB">
              <w:rPr>
                <w:rFonts w:asciiTheme="majorBidi" w:hAnsiTheme="majorBidi" w:cstheme="majorBidi"/>
                <w:lang w:val="fr-FR"/>
              </w:rPr>
              <w:t>à la demande expresse des parties concernées et après l</w:t>
            </w:r>
            <w:r w:rsidR="00801F15" w:rsidRPr="001B46CB">
              <w:rPr>
                <w:rFonts w:asciiTheme="majorBidi" w:hAnsiTheme="majorBidi" w:cstheme="majorBidi"/>
                <w:lang w:val="fr-FR"/>
              </w:rPr>
              <w:t>’</w:t>
            </w:r>
            <w:r w:rsidRPr="001B46CB">
              <w:rPr>
                <w:rFonts w:asciiTheme="majorBidi" w:hAnsiTheme="majorBidi" w:cstheme="majorBidi"/>
                <w:lang w:val="fr-FR"/>
              </w:rPr>
              <w:t>aval d</w:t>
            </w:r>
            <w:r w:rsidR="00801F15" w:rsidRPr="001B46CB">
              <w:rPr>
                <w:rFonts w:asciiTheme="majorBidi" w:hAnsiTheme="majorBidi" w:cstheme="majorBidi"/>
                <w:lang w:val="fr-FR"/>
              </w:rPr>
              <w:t>’</w:t>
            </w:r>
            <w:r w:rsidRPr="001B46CB">
              <w:rPr>
                <w:rFonts w:asciiTheme="majorBidi" w:hAnsiTheme="majorBidi" w:cstheme="majorBidi"/>
                <w:lang w:val="fr-FR"/>
              </w:rPr>
              <w:t>un tribunal chargé des affaires familiales qui s</w:t>
            </w:r>
            <w:r w:rsidR="00801F15" w:rsidRPr="001B46CB">
              <w:rPr>
                <w:rFonts w:asciiTheme="majorBidi" w:hAnsiTheme="majorBidi" w:cstheme="majorBidi"/>
                <w:lang w:val="fr-FR"/>
              </w:rPr>
              <w:t>’</w:t>
            </w:r>
            <w:r w:rsidRPr="001B46CB">
              <w:rPr>
                <w:rFonts w:asciiTheme="majorBidi" w:hAnsiTheme="majorBidi" w:cstheme="majorBidi"/>
                <w:lang w:val="fr-FR"/>
              </w:rPr>
              <w:t>est assuré au préalable du bien-fondé de cette union. Cela est jugé conforme à la loi relative à l</w:t>
            </w:r>
            <w:r w:rsidR="00801F15" w:rsidRPr="001B46CB">
              <w:rPr>
                <w:rFonts w:asciiTheme="majorBidi" w:hAnsiTheme="majorBidi" w:cstheme="majorBidi"/>
                <w:lang w:val="fr-FR"/>
              </w:rPr>
              <w:t>’</w:t>
            </w:r>
            <w:r w:rsidRPr="001B46CB">
              <w:rPr>
                <w:rFonts w:asciiTheme="majorBidi" w:hAnsiTheme="majorBidi" w:cstheme="majorBidi"/>
                <w:lang w:val="fr-FR"/>
              </w:rPr>
              <w:t>enfant (loi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37 de 2012), qualifié à l</w:t>
            </w:r>
            <w:r w:rsidR="00801F15" w:rsidRPr="001B46CB">
              <w:rPr>
                <w:rFonts w:asciiTheme="majorBidi" w:hAnsiTheme="majorBidi" w:cstheme="majorBidi"/>
                <w:lang w:val="fr-FR"/>
              </w:rPr>
              <w:t>’</w:t>
            </w:r>
            <w:r w:rsidRPr="001B46CB">
              <w:rPr>
                <w:rFonts w:asciiTheme="majorBidi" w:hAnsiTheme="majorBidi" w:cstheme="majorBidi"/>
                <w:lang w:val="fr-FR"/>
              </w:rPr>
              <w:t>article 4 de toute personne âgée de moins de 18 ans révolus, les lois spéciales s</w:t>
            </w:r>
            <w:r w:rsidR="00801F15" w:rsidRPr="001B46CB">
              <w:rPr>
                <w:rFonts w:asciiTheme="majorBidi" w:hAnsiTheme="majorBidi" w:cstheme="majorBidi"/>
                <w:lang w:val="fr-FR"/>
              </w:rPr>
              <w:t>’</w:t>
            </w:r>
            <w:r w:rsidRPr="001B46CB">
              <w:rPr>
                <w:rFonts w:asciiTheme="majorBidi" w:hAnsiTheme="majorBidi" w:cstheme="majorBidi"/>
                <w:lang w:val="fr-FR"/>
              </w:rPr>
              <w:t>appliquant aux mineurs constituant une exception. Il convient de signaler que, dans les faits, à Bahreïn, l</w:t>
            </w:r>
            <w:r w:rsidR="00801F15" w:rsidRPr="001B46CB">
              <w:rPr>
                <w:rFonts w:asciiTheme="majorBidi" w:hAnsiTheme="majorBidi" w:cstheme="majorBidi"/>
                <w:lang w:val="fr-FR"/>
              </w:rPr>
              <w:t>’</w:t>
            </w:r>
            <w:r w:rsidRPr="001B46CB">
              <w:rPr>
                <w:rFonts w:asciiTheme="majorBidi" w:hAnsiTheme="majorBidi" w:cstheme="majorBidi"/>
                <w:lang w:val="fr-FR"/>
              </w:rPr>
              <w:t>âge moyen du mariage chez les femmes est de 24 ans.</w:t>
            </w:r>
          </w:p>
          <w:p w14:paraId="016CEB83" w14:textId="7A2398EC" w:rsidR="00801F15" w:rsidRPr="001B46CB" w:rsidRDefault="00F36F51" w:rsidP="0008075B">
            <w:pPr>
              <w:pStyle w:val="ListParagraph"/>
              <w:numPr>
                <w:ilvl w:val="0"/>
                <w:numId w:val="43"/>
              </w:numPr>
              <w:spacing w:after="200" w:line="240" w:lineRule="auto"/>
              <w:ind w:left="360" w:right="144"/>
              <w:jc w:val="both"/>
              <w:rPr>
                <w:rFonts w:asciiTheme="majorBidi" w:hAnsiTheme="majorBidi" w:cstheme="majorBidi"/>
                <w:lang w:val="fr-FR"/>
              </w:rPr>
            </w:pPr>
            <w:r w:rsidRPr="001B46CB">
              <w:rPr>
                <w:rFonts w:asciiTheme="majorBidi" w:hAnsiTheme="majorBidi" w:cstheme="majorBidi"/>
                <w:lang w:val="fr-FR"/>
              </w:rPr>
              <w:t>Bahreïn réaffirme également que la polygamie est régie par la charia, conformément aux règles et dispositions légales applicables. Le législateur bahreïnien a abordé cette règle de la charia dans le Code de la famille et a imposé au conjoint de faire état dans l</w:t>
            </w:r>
            <w:r w:rsidR="00801F15" w:rsidRPr="001B46CB">
              <w:rPr>
                <w:rFonts w:asciiTheme="majorBidi" w:hAnsiTheme="majorBidi" w:cstheme="majorBidi"/>
                <w:lang w:val="fr-FR"/>
              </w:rPr>
              <w:t>’</w:t>
            </w:r>
            <w:r w:rsidRPr="001B46CB">
              <w:rPr>
                <w:rFonts w:asciiTheme="majorBidi" w:hAnsiTheme="majorBidi" w:cstheme="majorBidi"/>
                <w:lang w:val="fr-FR"/>
              </w:rPr>
              <w:t>acte de mariage de sa situation sociale</w:t>
            </w:r>
            <w:r w:rsidR="00801F15" w:rsidRPr="001B46CB">
              <w:rPr>
                <w:rFonts w:asciiTheme="majorBidi" w:hAnsiTheme="majorBidi" w:cstheme="majorBidi"/>
                <w:lang w:val="fr-FR"/>
              </w:rPr>
              <w:t> :</w:t>
            </w:r>
            <w:r w:rsidRPr="001B46CB">
              <w:rPr>
                <w:rFonts w:asciiTheme="majorBidi" w:hAnsiTheme="majorBidi" w:cstheme="majorBidi"/>
                <w:lang w:val="fr-FR"/>
              </w:rPr>
              <w:t xml:space="preserve"> s</w:t>
            </w:r>
            <w:r w:rsidR="00801F15" w:rsidRPr="001B46CB">
              <w:rPr>
                <w:rFonts w:asciiTheme="majorBidi" w:hAnsiTheme="majorBidi" w:cstheme="majorBidi"/>
                <w:lang w:val="fr-FR"/>
              </w:rPr>
              <w:t>’</w:t>
            </w:r>
            <w:r w:rsidRPr="001B46CB">
              <w:rPr>
                <w:rFonts w:asciiTheme="majorBidi" w:hAnsiTheme="majorBidi" w:cstheme="majorBidi"/>
                <w:lang w:val="fr-FR"/>
              </w:rPr>
              <w:t>il est marié, il doit indiquer le nombre d</w:t>
            </w:r>
            <w:r w:rsidR="00801F15" w:rsidRPr="001B46CB">
              <w:rPr>
                <w:rFonts w:asciiTheme="majorBidi" w:hAnsiTheme="majorBidi" w:cstheme="majorBidi"/>
                <w:lang w:val="fr-FR"/>
              </w:rPr>
              <w:t>’</w:t>
            </w:r>
            <w:r w:rsidRPr="001B46CB">
              <w:rPr>
                <w:rFonts w:asciiTheme="majorBidi" w:hAnsiTheme="majorBidi" w:cstheme="majorBidi"/>
                <w:lang w:val="fr-FR"/>
              </w:rPr>
              <w:t>épouses à sa charge (article 19 du Code de la famille).</w:t>
            </w:r>
          </w:p>
          <w:p w14:paraId="15905DEE" w14:textId="5FC41BD7" w:rsidR="00F36F51" w:rsidRPr="001B46CB" w:rsidRDefault="00F36F51" w:rsidP="00767A10">
            <w:pPr>
              <w:pStyle w:val="ListParagraph"/>
              <w:numPr>
                <w:ilvl w:val="0"/>
                <w:numId w:val="43"/>
              </w:numPr>
              <w:spacing w:after="20" w:line="240" w:lineRule="auto"/>
              <w:ind w:left="360" w:right="144"/>
              <w:contextualSpacing w:val="0"/>
              <w:jc w:val="both"/>
              <w:rPr>
                <w:rFonts w:asciiTheme="majorBidi" w:hAnsiTheme="majorBidi" w:cstheme="majorBidi"/>
                <w:b/>
                <w:bCs/>
                <w:lang w:val="fr-FR"/>
              </w:rPr>
            </w:pPr>
            <w:r w:rsidRPr="001B46CB">
              <w:rPr>
                <w:rFonts w:asciiTheme="majorBidi" w:hAnsiTheme="majorBidi" w:cstheme="majorBidi"/>
                <w:lang w:val="fr-FR"/>
              </w:rPr>
              <w:t>La société bahreïnienne n</w:t>
            </w:r>
            <w:r w:rsidR="00801F15" w:rsidRPr="001B46CB">
              <w:rPr>
                <w:rFonts w:asciiTheme="majorBidi" w:hAnsiTheme="majorBidi" w:cstheme="majorBidi"/>
                <w:lang w:val="fr-FR"/>
              </w:rPr>
              <w:t>’</w:t>
            </w:r>
            <w:r w:rsidRPr="001B46CB">
              <w:rPr>
                <w:rFonts w:asciiTheme="majorBidi" w:hAnsiTheme="majorBidi" w:cstheme="majorBidi"/>
                <w:lang w:val="fr-FR"/>
              </w:rPr>
              <w:t>est pas concernée par les pratiques telles que le mariage forcé et les mutilations génitales féminines, qui y sont totalement absentes.</w:t>
            </w:r>
          </w:p>
        </w:tc>
      </w:tr>
      <w:tr w:rsidR="00481471" w:rsidRPr="001B46CB" w14:paraId="61AC90FF" w14:textId="77777777" w:rsidTr="00767A10">
        <w:trPr>
          <w:tblCellSpacing w:w="20" w:type="dxa"/>
          <w:jc w:val="center"/>
        </w:trPr>
        <w:tc>
          <w:tcPr>
            <w:tcW w:w="1839" w:type="pct"/>
            <w:gridSpan w:val="4"/>
            <w:shd w:val="clear" w:color="auto" w:fill="DDD9C3" w:themeFill="background2" w:themeFillShade="E6"/>
          </w:tcPr>
          <w:p w14:paraId="13444C50" w14:textId="77777777" w:rsidR="00F36F51" w:rsidRPr="001B46CB" w:rsidRDefault="00F36F51" w:rsidP="00481471">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Domaine concerné</w:t>
            </w:r>
          </w:p>
        </w:tc>
        <w:tc>
          <w:tcPr>
            <w:tcW w:w="3100" w:type="pct"/>
            <w:gridSpan w:val="9"/>
            <w:shd w:val="clear" w:color="auto" w:fill="EEECE1" w:themeFill="background2"/>
          </w:tcPr>
          <w:p w14:paraId="3E306557" w14:textId="4A9F4F0B" w:rsidR="00F36F51" w:rsidRPr="001B46CB" w:rsidRDefault="00F36F51" w:rsidP="00481471">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Violence fondée sur le genre à l</w:t>
            </w:r>
            <w:r w:rsidR="00801F15" w:rsidRPr="001B46CB">
              <w:rPr>
                <w:rFonts w:asciiTheme="majorBidi" w:hAnsiTheme="majorBidi" w:cstheme="majorBidi"/>
                <w:b/>
                <w:bCs/>
                <w:lang w:val="fr-FR"/>
              </w:rPr>
              <w:t>’</w:t>
            </w:r>
            <w:r w:rsidRPr="001B46CB">
              <w:rPr>
                <w:rFonts w:asciiTheme="majorBidi" w:hAnsiTheme="majorBidi" w:cstheme="majorBidi"/>
                <w:b/>
                <w:bCs/>
                <w:lang w:val="fr-FR"/>
              </w:rPr>
              <w:t>égard des femmes</w:t>
            </w:r>
          </w:p>
        </w:tc>
      </w:tr>
      <w:tr w:rsidR="00F36F51" w:rsidRPr="001B46CB" w14:paraId="1A543D6A" w14:textId="77777777" w:rsidTr="00481471">
        <w:trPr>
          <w:tblCellSpacing w:w="20" w:type="dxa"/>
          <w:jc w:val="center"/>
        </w:trPr>
        <w:tc>
          <w:tcPr>
            <w:tcW w:w="4959" w:type="pct"/>
            <w:gridSpan w:val="13"/>
            <w:shd w:val="clear" w:color="auto" w:fill="C4BC96" w:themeFill="background2" w:themeFillShade="BF"/>
          </w:tcPr>
          <w:p w14:paraId="34437109" w14:textId="77777777" w:rsidR="00F36F51" w:rsidRPr="001B46CB" w:rsidRDefault="00F36F51" w:rsidP="00481471">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F36F51" w:rsidRPr="001B46CB" w14:paraId="144CAACC" w14:textId="77777777" w:rsidTr="0080608B">
        <w:trPr>
          <w:trHeight w:val="550"/>
          <w:tblCellSpacing w:w="20" w:type="dxa"/>
          <w:jc w:val="center"/>
        </w:trPr>
        <w:tc>
          <w:tcPr>
            <w:tcW w:w="4959" w:type="pct"/>
            <w:gridSpan w:val="13"/>
            <w:shd w:val="clear" w:color="auto" w:fill="auto"/>
            <w:vAlign w:val="center"/>
          </w:tcPr>
          <w:p w14:paraId="2CC4C880" w14:textId="420DED53" w:rsidR="00F36F51" w:rsidRPr="001B46CB" w:rsidRDefault="00F36F51" w:rsidP="00481471">
            <w:pPr>
              <w:pStyle w:val="ListParagraph"/>
              <w:numPr>
                <w:ilvl w:val="0"/>
                <w:numId w:val="42"/>
              </w:numPr>
              <w:spacing w:after="20"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Veuillez fournir des informations détaillées sur les formes de violence à l</w:t>
            </w:r>
            <w:r w:rsidR="00801F15" w:rsidRPr="001B46CB">
              <w:rPr>
                <w:rFonts w:asciiTheme="majorBidi" w:hAnsiTheme="majorBidi" w:cstheme="majorBidi"/>
                <w:lang w:val="fr-FR"/>
              </w:rPr>
              <w:t>’</w:t>
            </w:r>
            <w:r w:rsidRPr="001B46CB">
              <w:rPr>
                <w:rFonts w:asciiTheme="majorBidi" w:hAnsiTheme="majorBidi" w:cstheme="majorBidi"/>
                <w:lang w:val="fr-FR"/>
              </w:rPr>
              <w:t>égard des femmes et des filles qui sont réprimées pénalement et indiquer si le viol conjugal, les châtiments corporels infligés aux femmes et aux filles par leurs maris, tuteurs ou pères, et la violence exercée en dehors du cadre familial en font partie. Veuillez fournir des données, ventilées par âge, nationalité, appartenance ethnique, handicap, milieu (urbain ou rural) et relation entre la victime et l</w:t>
            </w:r>
            <w:r w:rsidR="00801F15" w:rsidRPr="001B46CB">
              <w:rPr>
                <w:rFonts w:asciiTheme="majorBidi" w:hAnsiTheme="majorBidi" w:cstheme="majorBidi"/>
                <w:lang w:val="fr-FR"/>
              </w:rPr>
              <w:t>’</w:t>
            </w:r>
            <w:r w:rsidRPr="001B46CB">
              <w:rPr>
                <w:rFonts w:asciiTheme="majorBidi" w:hAnsiTheme="majorBidi" w:cstheme="majorBidi"/>
                <w:lang w:val="fr-FR"/>
              </w:rPr>
              <w:t>auteur, concernant les cas de violences perpétrées à l</w:t>
            </w:r>
            <w:r w:rsidR="00801F15" w:rsidRPr="001B46CB">
              <w:rPr>
                <w:rFonts w:asciiTheme="majorBidi" w:hAnsiTheme="majorBidi" w:cstheme="majorBidi"/>
                <w:lang w:val="fr-FR"/>
              </w:rPr>
              <w:t>’</w:t>
            </w:r>
            <w:r w:rsidRPr="001B46CB">
              <w:rPr>
                <w:rFonts w:asciiTheme="majorBidi" w:hAnsiTheme="majorBidi" w:cstheme="majorBidi"/>
                <w:lang w:val="fr-FR"/>
              </w:rPr>
              <w:t>égard de femmes, le nombre de plaintes déposées, d</w:t>
            </w:r>
            <w:r w:rsidR="00801F15" w:rsidRPr="001B46CB">
              <w:rPr>
                <w:rFonts w:asciiTheme="majorBidi" w:hAnsiTheme="majorBidi" w:cstheme="majorBidi"/>
                <w:lang w:val="fr-FR"/>
              </w:rPr>
              <w:t>’</w:t>
            </w:r>
            <w:r w:rsidRPr="001B46CB">
              <w:rPr>
                <w:rFonts w:asciiTheme="majorBidi" w:hAnsiTheme="majorBidi" w:cstheme="majorBidi"/>
                <w:lang w:val="fr-FR"/>
              </w:rPr>
              <w:t>enquêtes ouvertes et de condamnations prononcées, ainsi que sur les peines qui ont été imposées. Veuillez également fournir des informations sur le nombre d</w:t>
            </w:r>
            <w:r w:rsidR="00801F15" w:rsidRPr="001B46CB">
              <w:rPr>
                <w:rFonts w:asciiTheme="majorBidi" w:hAnsiTheme="majorBidi" w:cstheme="majorBidi"/>
                <w:lang w:val="fr-FR"/>
              </w:rPr>
              <w:t>’</w:t>
            </w:r>
            <w:r w:rsidRPr="001B46CB">
              <w:rPr>
                <w:rFonts w:asciiTheme="majorBidi" w:hAnsiTheme="majorBidi" w:cstheme="majorBidi"/>
                <w:lang w:val="fr-FR"/>
              </w:rPr>
              <w:t>ordonnances de protection délivrées depuis la promulgation de la loi sur la protection contre la violence domestique, qu</w:t>
            </w:r>
            <w:r w:rsidR="00801F15" w:rsidRPr="001B46CB">
              <w:rPr>
                <w:rFonts w:asciiTheme="majorBidi" w:hAnsiTheme="majorBidi" w:cstheme="majorBidi"/>
                <w:lang w:val="fr-FR"/>
              </w:rPr>
              <w:t>’</w:t>
            </w:r>
            <w:r w:rsidRPr="001B46CB">
              <w:rPr>
                <w:rFonts w:asciiTheme="majorBidi" w:hAnsiTheme="majorBidi" w:cstheme="majorBidi"/>
                <w:lang w:val="fr-FR"/>
              </w:rPr>
              <w:t>elles aient été prononcées à la demande de la victime ou d</w:t>
            </w:r>
            <w:r w:rsidR="00801F15" w:rsidRPr="001B46CB">
              <w:rPr>
                <w:rFonts w:asciiTheme="majorBidi" w:hAnsiTheme="majorBidi" w:cstheme="majorBidi"/>
                <w:lang w:val="fr-FR"/>
              </w:rPr>
              <w:t>’</w:t>
            </w:r>
            <w:r w:rsidRPr="001B46CB">
              <w:rPr>
                <w:rFonts w:asciiTheme="majorBidi" w:hAnsiTheme="majorBidi" w:cstheme="majorBidi"/>
                <w:lang w:val="fr-FR"/>
              </w:rPr>
              <w:t>une entité requérante, les motifs de leur délivrance et la durée de leur validité.</w:t>
            </w:r>
          </w:p>
        </w:tc>
      </w:tr>
      <w:tr w:rsidR="00F36F51" w:rsidRPr="001B46CB" w14:paraId="47C9A046" w14:textId="77777777" w:rsidTr="00481471">
        <w:trPr>
          <w:tblCellSpacing w:w="20" w:type="dxa"/>
          <w:jc w:val="center"/>
        </w:trPr>
        <w:tc>
          <w:tcPr>
            <w:tcW w:w="4959" w:type="pct"/>
            <w:gridSpan w:val="13"/>
            <w:shd w:val="clear" w:color="auto" w:fill="C4BC96" w:themeFill="background2" w:themeFillShade="BF"/>
            <w:vAlign w:val="center"/>
          </w:tcPr>
          <w:p w14:paraId="5C4114D9" w14:textId="77777777" w:rsidR="00F36F51" w:rsidRPr="001B46CB" w:rsidRDefault="00F36F51" w:rsidP="00767A10">
            <w:pPr>
              <w:spacing w:after="40" w:line="240" w:lineRule="auto"/>
              <w:ind w:left="317"/>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Réponse</w:t>
            </w:r>
          </w:p>
        </w:tc>
      </w:tr>
      <w:tr w:rsidR="00F36F51" w:rsidRPr="001B46CB" w14:paraId="169D983D" w14:textId="77777777" w:rsidTr="0080608B">
        <w:trPr>
          <w:trHeight w:val="3061"/>
          <w:tblCellSpacing w:w="20" w:type="dxa"/>
          <w:jc w:val="center"/>
        </w:trPr>
        <w:tc>
          <w:tcPr>
            <w:tcW w:w="4959" w:type="pct"/>
            <w:gridSpan w:val="13"/>
            <w:shd w:val="clear" w:color="auto" w:fill="auto"/>
            <w:vAlign w:val="center"/>
          </w:tcPr>
          <w:p w14:paraId="1D16764C" w14:textId="3D64D940" w:rsidR="00F36F51" w:rsidRPr="001B46CB" w:rsidRDefault="00F36F51" w:rsidP="0008075B">
            <w:pPr>
              <w:numPr>
                <w:ilvl w:val="0"/>
                <w:numId w:val="43"/>
              </w:numPr>
              <w:spacing w:after="200" w:line="240" w:lineRule="auto"/>
              <w:ind w:left="360" w:right="144"/>
              <w:contextualSpacing/>
              <w:jc w:val="both"/>
              <w:rPr>
                <w:rFonts w:asciiTheme="majorBidi" w:hAnsiTheme="majorBidi" w:cstheme="majorBidi"/>
                <w:b/>
                <w:bCs/>
                <w:lang w:val="fr-FR"/>
              </w:rPr>
            </w:pPr>
            <w:r w:rsidRPr="001B46CB">
              <w:rPr>
                <w:rFonts w:asciiTheme="majorBidi" w:hAnsiTheme="majorBidi" w:cstheme="majorBidi"/>
                <w:lang w:val="fr-FR"/>
              </w:rPr>
              <w:t>Bahreïn réaffirme la teneur des paragraphes 93 à 116 de son quatrième rapport périodique en ce qui concerne les formes de violence à l</w:t>
            </w:r>
            <w:r w:rsidR="00801F15" w:rsidRPr="001B46CB">
              <w:rPr>
                <w:rFonts w:asciiTheme="majorBidi" w:hAnsiTheme="majorBidi" w:cstheme="majorBidi"/>
                <w:lang w:val="fr-FR"/>
              </w:rPr>
              <w:t>’</w:t>
            </w:r>
            <w:r w:rsidRPr="001B46CB">
              <w:rPr>
                <w:rFonts w:asciiTheme="majorBidi" w:hAnsiTheme="majorBidi" w:cstheme="majorBidi"/>
                <w:lang w:val="fr-FR"/>
              </w:rPr>
              <w:t>égard des femmes et ajoute ce qui suit</w:t>
            </w:r>
            <w:r w:rsidR="00801F15" w:rsidRPr="001B46CB">
              <w:rPr>
                <w:rFonts w:asciiTheme="majorBidi" w:hAnsiTheme="majorBidi" w:cstheme="majorBidi"/>
                <w:lang w:val="fr-FR"/>
              </w:rPr>
              <w:t> :</w:t>
            </w:r>
          </w:p>
          <w:p w14:paraId="21BA2778" w14:textId="77777777" w:rsidR="00801F15" w:rsidRPr="001B46CB" w:rsidRDefault="00F36F51" w:rsidP="0008075B">
            <w:pPr>
              <w:numPr>
                <w:ilvl w:val="0"/>
                <w:numId w:val="43"/>
              </w:numPr>
              <w:spacing w:after="200" w:line="240" w:lineRule="auto"/>
              <w:ind w:left="360" w:right="144"/>
              <w:contextualSpacing/>
              <w:jc w:val="both"/>
              <w:rPr>
                <w:rFonts w:asciiTheme="majorBidi" w:hAnsiTheme="majorBidi" w:cstheme="majorBidi"/>
                <w:lang w:val="fr-FR"/>
              </w:rPr>
            </w:pPr>
            <w:r w:rsidRPr="001B46CB">
              <w:rPr>
                <w:rFonts w:asciiTheme="majorBidi" w:hAnsiTheme="majorBidi" w:cstheme="majorBidi"/>
                <w:lang w:val="fr-FR"/>
              </w:rPr>
              <w:t>Tout acte de violence physique, psychologique, sexuelle ou économique commis contre des femmes dans le cercle familial par l</w:t>
            </w:r>
            <w:r w:rsidR="00801F15" w:rsidRPr="001B46CB">
              <w:rPr>
                <w:rFonts w:asciiTheme="majorBidi" w:hAnsiTheme="majorBidi" w:cstheme="majorBidi"/>
                <w:lang w:val="fr-FR"/>
              </w:rPr>
              <w:t>’</w:t>
            </w:r>
            <w:r w:rsidRPr="001B46CB">
              <w:rPr>
                <w:rFonts w:asciiTheme="majorBidi" w:hAnsiTheme="majorBidi" w:cstheme="majorBidi"/>
                <w:lang w:val="fr-FR"/>
              </w:rPr>
              <w:t>époux, un frère ou une sœur ou tout autre membre de la famille est punissable en vertu des dispositions claires énoncées à ce sujet dans la loi sur la protection contre la violence domestique et constitue une infraction</w:t>
            </w:r>
            <w:r w:rsidR="00801F15" w:rsidRPr="001B46CB">
              <w:rPr>
                <w:rFonts w:asciiTheme="majorBidi" w:hAnsiTheme="majorBidi" w:cstheme="majorBidi"/>
                <w:lang w:val="fr-FR"/>
              </w:rPr>
              <w:t xml:space="preserve"> </w:t>
            </w:r>
            <w:r w:rsidRPr="001B46CB">
              <w:rPr>
                <w:rFonts w:asciiTheme="majorBidi" w:hAnsiTheme="majorBidi" w:cstheme="majorBidi"/>
                <w:lang w:val="fr-FR"/>
              </w:rPr>
              <w:t>passible de sanctions, comme le prévoit le Code pénal.</w:t>
            </w:r>
          </w:p>
          <w:p w14:paraId="7E6DC278" w14:textId="4A93C35A" w:rsidR="00F36F51" w:rsidRPr="001B46CB" w:rsidRDefault="00F36F51" w:rsidP="0008075B">
            <w:pPr>
              <w:numPr>
                <w:ilvl w:val="0"/>
                <w:numId w:val="43"/>
              </w:numPr>
              <w:spacing w:after="200" w:line="240" w:lineRule="auto"/>
              <w:ind w:left="360" w:right="144"/>
              <w:contextualSpacing/>
              <w:jc w:val="both"/>
              <w:rPr>
                <w:rFonts w:asciiTheme="majorBidi" w:hAnsiTheme="majorBidi" w:cstheme="majorBidi"/>
                <w:lang w:val="fr-FR"/>
              </w:rPr>
            </w:pPr>
            <w:r w:rsidRPr="001B46CB">
              <w:rPr>
                <w:rFonts w:asciiTheme="majorBidi" w:hAnsiTheme="majorBidi" w:cstheme="majorBidi"/>
                <w:lang w:val="fr-FR"/>
              </w:rPr>
              <w:t>Tout acte de violence physique, psychologique ou sexuelle commis contre une femme en dehors du cercle familial tombe sous le coup du Code pénal, qu</w:t>
            </w:r>
            <w:r w:rsidR="00801F15" w:rsidRPr="001B46CB">
              <w:rPr>
                <w:rFonts w:asciiTheme="majorBidi" w:hAnsiTheme="majorBidi" w:cstheme="majorBidi"/>
                <w:lang w:val="fr-FR"/>
              </w:rPr>
              <w:t>’</w:t>
            </w:r>
            <w:r w:rsidRPr="001B46CB">
              <w:rPr>
                <w:rFonts w:asciiTheme="majorBidi" w:hAnsiTheme="majorBidi" w:cstheme="majorBidi"/>
                <w:lang w:val="fr-FR"/>
              </w:rPr>
              <w:t>il s</w:t>
            </w:r>
            <w:r w:rsidR="00801F15" w:rsidRPr="001B46CB">
              <w:rPr>
                <w:rFonts w:asciiTheme="majorBidi" w:hAnsiTheme="majorBidi" w:cstheme="majorBidi"/>
                <w:lang w:val="fr-FR"/>
              </w:rPr>
              <w:t>’</w:t>
            </w:r>
            <w:r w:rsidRPr="001B46CB">
              <w:rPr>
                <w:rFonts w:asciiTheme="majorBidi" w:hAnsiTheme="majorBidi" w:cstheme="majorBidi"/>
                <w:lang w:val="fr-FR"/>
              </w:rPr>
              <w:t>agisse de violences corporelles telles qu</w:t>
            </w:r>
            <w:r w:rsidR="00801F15" w:rsidRPr="001B46CB">
              <w:rPr>
                <w:rFonts w:asciiTheme="majorBidi" w:hAnsiTheme="majorBidi" w:cstheme="majorBidi"/>
                <w:lang w:val="fr-FR"/>
              </w:rPr>
              <w:t>’</w:t>
            </w:r>
            <w:r w:rsidRPr="001B46CB">
              <w:rPr>
                <w:rFonts w:asciiTheme="majorBidi" w:hAnsiTheme="majorBidi" w:cstheme="majorBidi"/>
                <w:lang w:val="fr-FR"/>
              </w:rPr>
              <w:t>une agression ou des coups, d</w:t>
            </w:r>
            <w:r w:rsidR="00801F15" w:rsidRPr="001B46CB">
              <w:rPr>
                <w:rFonts w:asciiTheme="majorBidi" w:hAnsiTheme="majorBidi" w:cstheme="majorBidi"/>
                <w:lang w:val="fr-FR"/>
              </w:rPr>
              <w:t>’</w:t>
            </w:r>
            <w:r w:rsidRPr="001B46CB">
              <w:rPr>
                <w:rFonts w:asciiTheme="majorBidi" w:hAnsiTheme="majorBidi" w:cstheme="majorBidi"/>
                <w:lang w:val="fr-FR"/>
              </w:rPr>
              <w:t>une agression psychologique telle que l</w:t>
            </w:r>
            <w:r w:rsidR="00801F15" w:rsidRPr="001B46CB">
              <w:rPr>
                <w:rFonts w:asciiTheme="majorBidi" w:hAnsiTheme="majorBidi" w:cstheme="majorBidi"/>
                <w:lang w:val="fr-FR"/>
              </w:rPr>
              <w:t>’</w:t>
            </w:r>
            <w:r w:rsidRPr="001B46CB">
              <w:rPr>
                <w:rFonts w:asciiTheme="majorBidi" w:hAnsiTheme="majorBidi" w:cstheme="majorBidi"/>
                <w:lang w:val="fr-FR"/>
              </w:rPr>
              <w:t>insulte ou la diffamation, d</w:t>
            </w:r>
            <w:r w:rsidR="00801F15" w:rsidRPr="001B46CB">
              <w:rPr>
                <w:rFonts w:asciiTheme="majorBidi" w:hAnsiTheme="majorBidi" w:cstheme="majorBidi"/>
                <w:lang w:val="fr-FR"/>
              </w:rPr>
              <w:t>’</w:t>
            </w:r>
            <w:r w:rsidRPr="001B46CB">
              <w:rPr>
                <w:rFonts w:asciiTheme="majorBidi" w:hAnsiTheme="majorBidi" w:cstheme="majorBidi"/>
                <w:lang w:val="fr-FR"/>
              </w:rPr>
              <w:t>agression sexuelle telle que le viol, d</w:t>
            </w:r>
            <w:r w:rsidR="00801F15" w:rsidRPr="001B46CB">
              <w:rPr>
                <w:rFonts w:asciiTheme="majorBidi" w:hAnsiTheme="majorBidi" w:cstheme="majorBidi"/>
                <w:lang w:val="fr-FR"/>
              </w:rPr>
              <w:t>’</w:t>
            </w:r>
            <w:r w:rsidRPr="001B46CB">
              <w:rPr>
                <w:rFonts w:asciiTheme="majorBidi" w:hAnsiTheme="majorBidi" w:cstheme="majorBidi"/>
                <w:lang w:val="fr-FR"/>
              </w:rPr>
              <w:t>atteinte à l</w:t>
            </w:r>
            <w:r w:rsidR="00801F15" w:rsidRPr="001B46CB">
              <w:rPr>
                <w:rFonts w:asciiTheme="majorBidi" w:hAnsiTheme="majorBidi" w:cstheme="majorBidi"/>
                <w:lang w:val="fr-FR"/>
              </w:rPr>
              <w:t>’</w:t>
            </w:r>
            <w:r w:rsidRPr="001B46CB">
              <w:rPr>
                <w:rFonts w:asciiTheme="majorBidi" w:hAnsiTheme="majorBidi" w:cstheme="majorBidi"/>
                <w:lang w:val="fr-FR"/>
              </w:rPr>
              <w:t>honneur, d</w:t>
            </w:r>
            <w:r w:rsidR="00801F15" w:rsidRPr="001B46CB">
              <w:rPr>
                <w:rFonts w:asciiTheme="majorBidi" w:hAnsiTheme="majorBidi" w:cstheme="majorBidi"/>
                <w:lang w:val="fr-FR"/>
              </w:rPr>
              <w:t>’</w:t>
            </w:r>
            <w:r w:rsidRPr="001B46CB">
              <w:rPr>
                <w:rFonts w:asciiTheme="majorBidi" w:hAnsiTheme="majorBidi" w:cstheme="majorBidi"/>
                <w:lang w:val="fr-FR"/>
              </w:rPr>
              <w:t>incitation à la débauche ou de toute autre infraction d</w:t>
            </w:r>
            <w:r w:rsidR="00801F15" w:rsidRPr="001B46CB">
              <w:rPr>
                <w:rFonts w:asciiTheme="majorBidi" w:hAnsiTheme="majorBidi" w:cstheme="majorBidi"/>
                <w:lang w:val="fr-FR"/>
              </w:rPr>
              <w:t>’</w:t>
            </w:r>
            <w:r w:rsidRPr="001B46CB">
              <w:rPr>
                <w:rFonts w:asciiTheme="majorBidi" w:hAnsiTheme="majorBidi" w:cstheme="majorBidi"/>
                <w:lang w:val="fr-FR"/>
              </w:rPr>
              <w:t>exploitation sexuelle.</w:t>
            </w:r>
          </w:p>
          <w:p w14:paraId="53CA6550" w14:textId="2E218990" w:rsidR="00F36F51" w:rsidRPr="001B46CB" w:rsidRDefault="00F36F51" w:rsidP="00481471">
            <w:pPr>
              <w:numPr>
                <w:ilvl w:val="0"/>
                <w:numId w:val="43"/>
              </w:numPr>
              <w:spacing w:after="20" w:line="240" w:lineRule="auto"/>
              <w:ind w:left="360" w:right="144"/>
              <w:jc w:val="both"/>
              <w:rPr>
                <w:rFonts w:asciiTheme="majorBidi" w:hAnsiTheme="majorBidi" w:cstheme="majorBidi"/>
                <w:b/>
                <w:bCs/>
                <w:lang w:val="fr-FR"/>
              </w:rPr>
            </w:pPr>
            <w:r w:rsidRPr="001B46CB">
              <w:rPr>
                <w:rFonts w:asciiTheme="majorBidi" w:hAnsiTheme="majorBidi" w:cstheme="majorBidi"/>
                <w:lang w:val="fr-FR"/>
              </w:rPr>
              <w:t>En ce qui concerne le détail des plaintes déposées dans ce domaine, ces informations sont personnelles et confidentielles. La confidentialité doit être assurée pour protéger la vie privée des parties prenantes et préserver la souveraineté de l</w:t>
            </w:r>
            <w:r w:rsidR="00801F15" w:rsidRPr="001B46CB">
              <w:rPr>
                <w:rFonts w:asciiTheme="majorBidi" w:hAnsiTheme="majorBidi" w:cstheme="majorBidi"/>
                <w:lang w:val="fr-FR"/>
              </w:rPr>
              <w:t>’</w:t>
            </w:r>
            <w:r w:rsidRPr="001B46CB">
              <w:rPr>
                <w:rFonts w:asciiTheme="majorBidi" w:hAnsiTheme="majorBidi" w:cstheme="majorBidi"/>
                <w:lang w:val="fr-FR"/>
              </w:rPr>
              <w:t>État. Certaines tendances et données statistiques pourront être présentées par l</w:t>
            </w:r>
            <w:r w:rsidR="00801F15" w:rsidRPr="001B46CB">
              <w:rPr>
                <w:rFonts w:asciiTheme="majorBidi" w:hAnsiTheme="majorBidi" w:cstheme="majorBidi"/>
                <w:lang w:val="fr-FR"/>
              </w:rPr>
              <w:t>’</w:t>
            </w:r>
            <w:r w:rsidRPr="001B46CB">
              <w:rPr>
                <w:rFonts w:asciiTheme="majorBidi" w:hAnsiTheme="majorBidi" w:cstheme="majorBidi"/>
                <w:lang w:val="fr-FR"/>
              </w:rPr>
              <w:t>entité compétente dans le cadre de l</w:t>
            </w:r>
            <w:r w:rsidR="00801F15" w:rsidRPr="001B46CB">
              <w:rPr>
                <w:rFonts w:asciiTheme="majorBidi" w:hAnsiTheme="majorBidi" w:cstheme="majorBidi"/>
                <w:lang w:val="fr-FR"/>
              </w:rPr>
              <w:t>’</w:t>
            </w:r>
            <w:r w:rsidRPr="001B46CB">
              <w:rPr>
                <w:rFonts w:asciiTheme="majorBidi" w:hAnsiTheme="majorBidi" w:cstheme="majorBidi"/>
                <w:lang w:val="fr-FR"/>
              </w:rPr>
              <w:t>examen du quatrième rapport périodique.</w:t>
            </w:r>
          </w:p>
        </w:tc>
      </w:tr>
      <w:tr w:rsidR="00F36F51" w:rsidRPr="001B46CB" w14:paraId="3528F869" w14:textId="77777777" w:rsidTr="0080608B">
        <w:trPr>
          <w:tblCellSpacing w:w="20" w:type="dxa"/>
          <w:jc w:val="center"/>
        </w:trPr>
        <w:tc>
          <w:tcPr>
            <w:tcW w:w="4959" w:type="pct"/>
            <w:gridSpan w:val="13"/>
            <w:shd w:val="clear" w:color="auto" w:fill="C4BC96" w:themeFill="background2" w:themeFillShade="BF"/>
            <w:vAlign w:val="center"/>
          </w:tcPr>
          <w:p w14:paraId="36E61E66" w14:textId="77777777" w:rsidR="00F36F51" w:rsidRPr="001B46CB" w:rsidRDefault="00F36F51" w:rsidP="00767A10">
            <w:pPr>
              <w:tabs>
                <w:tab w:val="left" w:pos="197"/>
              </w:tabs>
              <w:spacing w:after="40" w:line="240" w:lineRule="auto"/>
              <w:ind w:left="317"/>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F36F51" w:rsidRPr="001B46CB" w14:paraId="35F599BB" w14:textId="77777777" w:rsidTr="00B422AB">
        <w:trPr>
          <w:tblCellSpacing w:w="20" w:type="dxa"/>
          <w:jc w:val="center"/>
        </w:trPr>
        <w:tc>
          <w:tcPr>
            <w:tcW w:w="4959" w:type="pct"/>
            <w:gridSpan w:val="13"/>
            <w:shd w:val="clear" w:color="auto" w:fill="auto"/>
            <w:vAlign w:val="center"/>
          </w:tcPr>
          <w:p w14:paraId="7FCEA750" w14:textId="2F3725FF" w:rsidR="00F36F51" w:rsidRPr="001B46CB" w:rsidRDefault="00F36F51" w:rsidP="00B422AB">
            <w:pPr>
              <w:numPr>
                <w:ilvl w:val="0"/>
                <w:numId w:val="42"/>
              </w:numPr>
              <w:tabs>
                <w:tab w:val="left" w:pos="0"/>
              </w:tabs>
              <w:spacing w:after="20" w:line="224" w:lineRule="exact"/>
              <w:ind w:left="360" w:right="144"/>
              <w:contextualSpacing/>
              <w:jc w:val="both"/>
              <w:rPr>
                <w:rFonts w:asciiTheme="majorBidi" w:hAnsiTheme="majorBidi" w:cstheme="majorBidi"/>
                <w:b/>
                <w:bCs/>
                <w:color w:val="000000" w:themeColor="text1"/>
                <w:lang w:val="fr-FR"/>
              </w:rPr>
            </w:pPr>
            <w:r w:rsidRPr="001B46CB">
              <w:rPr>
                <w:rFonts w:asciiTheme="majorBidi" w:hAnsiTheme="majorBidi" w:cstheme="majorBidi"/>
                <w:lang w:val="fr-FR"/>
              </w:rPr>
              <w:t>Veuillez donner un calendrier pour l</w:t>
            </w:r>
            <w:r w:rsidR="00801F15" w:rsidRPr="001B46CB">
              <w:rPr>
                <w:rFonts w:asciiTheme="majorBidi" w:hAnsiTheme="majorBidi" w:cstheme="majorBidi"/>
                <w:lang w:val="fr-FR"/>
              </w:rPr>
              <w:t>’</w:t>
            </w:r>
            <w:r w:rsidRPr="001B46CB">
              <w:rPr>
                <w:rFonts w:asciiTheme="majorBidi" w:hAnsiTheme="majorBidi" w:cstheme="majorBidi"/>
                <w:lang w:val="fr-FR"/>
              </w:rPr>
              <w:t>adoption de dispositions législatives portant abrogation</w:t>
            </w:r>
            <w:r w:rsidR="00801F15" w:rsidRPr="001B46CB">
              <w:rPr>
                <w:rFonts w:asciiTheme="majorBidi" w:hAnsiTheme="majorBidi" w:cstheme="majorBidi"/>
                <w:lang w:val="fr-FR"/>
              </w:rPr>
              <w:t> :</w:t>
            </w:r>
            <w:r w:rsidRPr="001B46CB">
              <w:rPr>
                <w:rFonts w:asciiTheme="majorBidi" w:hAnsiTheme="majorBidi" w:cstheme="majorBidi"/>
                <w:lang w:val="fr-FR"/>
              </w:rPr>
              <w:t xml:space="preserve"> a) de l</w:t>
            </w:r>
            <w:r w:rsidR="00801F15" w:rsidRPr="001B46CB">
              <w:rPr>
                <w:rFonts w:asciiTheme="majorBidi" w:hAnsiTheme="majorBidi" w:cstheme="majorBidi"/>
                <w:lang w:val="fr-FR"/>
              </w:rPr>
              <w:t>’</w:t>
            </w:r>
            <w:r w:rsidRPr="001B46CB">
              <w:rPr>
                <w:rFonts w:asciiTheme="majorBidi" w:hAnsiTheme="majorBidi" w:cstheme="majorBidi"/>
                <w:lang w:val="fr-FR"/>
              </w:rPr>
              <w:t>article</w:t>
            </w:r>
            <w:r w:rsidR="00CC2722" w:rsidRPr="001B46CB">
              <w:rPr>
                <w:rFonts w:asciiTheme="majorBidi" w:hAnsiTheme="majorBidi" w:cstheme="majorBidi"/>
                <w:lang w:val="fr-FR"/>
              </w:rPr>
              <w:t> </w:t>
            </w:r>
            <w:r w:rsidRPr="001B46CB">
              <w:rPr>
                <w:rFonts w:asciiTheme="majorBidi" w:hAnsiTheme="majorBidi" w:cstheme="majorBidi"/>
                <w:lang w:val="fr-FR"/>
              </w:rPr>
              <w:t>353 du décret-loi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15 de 1976, de sorte que le viol soit incriminé de manière uniforme, qu</w:t>
            </w:r>
            <w:r w:rsidR="00801F15" w:rsidRPr="001B46CB">
              <w:rPr>
                <w:rFonts w:asciiTheme="majorBidi" w:hAnsiTheme="majorBidi" w:cstheme="majorBidi"/>
                <w:lang w:val="fr-FR"/>
              </w:rPr>
              <w:t>’</w:t>
            </w:r>
            <w:r w:rsidRPr="001B46CB">
              <w:rPr>
                <w:rFonts w:asciiTheme="majorBidi" w:hAnsiTheme="majorBidi" w:cstheme="majorBidi"/>
                <w:lang w:val="fr-FR"/>
              </w:rPr>
              <w:t>il s</w:t>
            </w:r>
            <w:r w:rsidR="00801F15" w:rsidRPr="001B46CB">
              <w:rPr>
                <w:rFonts w:asciiTheme="majorBidi" w:hAnsiTheme="majorBidi" w:cstheme="majorBidi"/>
                <w:lang w:val="fr-FR"/>
              </w:rPr>
              <w:t>’</w:t>
            </w:r>
            <w:r w:rsidRPr="001B46CB">
              <w:rPr>
                <w:rFonts w:asciiTheme="majorBidi" w:hAnsiTheme="majorBidi" w:cstheme="majorBidi"/>
                <w:lang w:val="fr-FR"/>
              </w:rPr>
              <w:t>agisse de viol par un seul auteur, de viol en réunion ou de viol conjugal, en supprimant la possibilité pour l</w:t>
            </w:r>
            <w:r w:rsidR="00801F15" w:rsidRPr="001B46CB">
              <w:rPr>
                <w:rFonts w:asciiTheme="majorBidi" w:hAnsiTheme="majorBidi" w:cstheme="majorBidi"/>
                <w:lang w:val="fr-FR"/>
              </w:rPr>
              <w:t>’</w:t>
            </w:r>
            <w:r w:rsidRPr="001B46CB">
              <w:rPr>
                <w:rFonts w:asciiTheme="majorBidi" w:hAnsiTheme="majorBidi" w:cstheme="majorBidi"/>
                <w:lang w:val="fr-FR"/>
              </w:rPr>
              <w:t>auteur d</w:t>
            </w:r>
            <w:r w:rsidR="00801F15" w:rsidRPr="001B46CB">
              <w:rPr>
                <w:rFonts w:asciiTheme="majorBidi" w:hAnsiTheme="majorBidi" w:cstheme="majorBidi"/>
                <w:lang w:val="fr-FR"/>
              </w:rPr>
              <w:t>’</w:t>
            </w:r>
            <w:r w:rsidRPr="001B46CB">
              <w:rPr>
                <w:rFonts w:asciiTheme="majorBidi" w:hAnsiTheme="majorBidi" w:cstheme="majorBidi"/>
                <w:lang w:val="fr-FR"/>
              </w:rPr>
              <w:t>un viol d</w:t>
            </w:r>
            <w:r w:rsidR="00801F15" w:rsidRPr="001B46CB">
              <w:rPr>
                <w:rFonts w:asciiTheme="majorBidi" w:hAnsiTheme="majorBidi" w:cstheme="majorBidi"/>
                <w:lang w:val="fr-FR"/>
              </w:rPr>
              <w:t>’</w:t>
            </w:r>
            <w:r w:rsidRPr="001B46CB">
              <w:rPr>
                <w:rFonts w:asciiTheme="majorBidi" w:hAnsiTheme="majorBidi" w:cstheme="majorBidi"/>
                <w:lang w:val="fr-FR"/>
              </w:rPr>
              <w:t>échapper à la sanction en épousant sa victime quelles que soient les circonstances</w:t>
            </w:r>
            <w:r w:rsidR="00801F15" w:rsidRPr="001B46CB">
              <w:rPr>
                <w:rFonts w:asciiTheme="majorBidi" w:hAnsiTheme="majorBidi" w:cstheme="majorBidi"/>
                <w:lang w:val="fr-FR"/>
              </w:rPr>
              <w:t> ;</w:t>
            </w:r>
            <w:r w:rsidRPr="001B46CB">
              <w:rPr>
                <w:rFonts w:asciiTheme="majorBidi" w:hAnsiTheme="majorBidi" w:cstheme="majorBidi"/>
                <w:lang w:val="fr-FR"/>
              </w:rPr>
              <w:t xml:space="preserve"> b)</w:t>
            </w:r>
            <w:r w:rsidR="00CC2722" w:rsidRPr="001B46CB">
              <w:rPr>
                <w:rFonts w:asciiTheme="majorBidi" w:hAnsiTheme="majorBidi" w:cstheme="majorBidi"/>
                <w:lang w:val="fr-FR"/>
              </w:rPr>
              <w:t> </w:t>
            </w:r>
            <w:r w:rsidRPr="001B46CB">
              <w:rPr>
                <w:rFonts w:asciiTheme="majorBidi" w:hAnsiTheme="majorBidi" w:cstheme="majorBidi"/>
                <w:lang w:val="fr-FR"/>
              </w:rPr>
              <w:t>des articles 16 et 334 du décret-loi n</w:t>
            </w:r>
            <w:r w:rsidRPr="001B46CB">
              <w:rPr>
                <w:rFonts w:asciiTheme="majorBidi" w:hAnsiTheme="majorBidi" w:cstheme="majorBidi"/>
                <w:vertAlign w:val="superscript"/>
                <w:lang w:val="fr-FR"/>
              </w:rPr>
              <w:t xml:space="preserve">o </w:t>
            </w:r>
            <w:r w:rsidRPr="001B46CB">
              <w:rPr>
                <w:rFonts w:asciiTheme="majorBidi" w:hAnsiTheme="majorBidi" w:cstheme="majorBidi"/>
                <w:lang w:val="fr-FR"/>
              </w:rPr>
              <w:t>15, qui accordent les circonstances atténuantes à un mari auteur de coups et blessures ou de meurtre sur la personne de son épouse adultère.</w:t>
            </w:r>
          </w:p>
        </w:tc>
      </w:tr>
      <w:tr w:rsidR="00F36F51" w:rsidRPr="001B46CB" w14:paraId="5E527F58" w14:textId="77777777" w:rsidTr="0080608B">
        <w:trPr>
          <w:tblCellSpacing w:w="20" w:type="dxa"/>
          <w:jc w:val="center"/>
        </w:trPr>
        <w:tc>
          <w:tcPr>
            <w:tcW w:w="4959" w:type="pct"/>
            <w:gridSpan w:val="13"/>
            <w:shd w:val="clear" w:color="auto" w:fill="C4BC96" w:themeFill="background2" w:themeFillShade="BF"/>
            <w:vAlign w:val="center"/>
          </w:tcPr>
          <w:p w14:paraId="2A17638A" w14:textId="77777777" w:rsidR="00F36F51" w:rsidRPr="001B46CB" w:rsidRDefault="00F36F51" w:rsidP="00481471">
            <w:pPr>
              <w:tabs>
                <w:tab w:val="left" w:pos="197"/>
              </w:tabs>
              <w:spacing w:after="40" w:line="240" w:lineRule="auto"/>
              <w:ind w:left="317"/>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Réponse</w:t>
            </w:r>
          </w:p>
        </w:tc>
      </w:tr>
      <w:tr w:rsidR="00F36F51" w:rsidRPr="001B46CB" w14:paraId="04B4CF7B" w14:textId="77777777" w:rsidTr="00481471">
        <w:trPr>
          <w:tblCellSpacing w:w="20" w:type="dxa"/>
          <w:jc w:val="center"/>
        </w:trPr>
        <w:tc>
          <w:tcPr>
            <w:tcW w:w="4959" w:type="pct"/>
            <w:gridSpan w:val="13"/>
            <w:shd w:val="clear" w:color="auto" w:fill="auto"/>
            <w:vAlign w:val="center"/>
          </w:tcPr>
          <w:p w14:paraId="0847BD83" w14:textId="71B96932" w:rsidR="00801F15" w:rsidRPr="001B46CB" w:rsidRDefault="00F36F51" w:rsidP="00767A10">
            <w:pPr>
              <w:numPr>
                <w:ilvl w:val="0"/>
                <w:numId w:val="43"/>
              </w:numPr>
              <w:spacing w:after="20" w:line="224" w:lineRule="exact"/>
              <w:ind w:left="360" w:right="144"/>
              <w:jc w:val="both"/>
              <w:rPr>
                <w:rFonts w:asciiTheme="majorBidi" w:hAnsiTheme="majorBidi" w:cstheme="majorBidi"/>
                <w:lang w:val="fr-FR"/>
              </w:rPr>
            </w:pPr>
            <w:r w:rsidRPr="001B46CB">
              <w:rPr>
                <w:rFonts w:asciiTheme="majorBidi" w:hAnsiTheme="majorBidi" w:cstheme="majorBidi"/>
                <w:lang w:val="fr-FR"/>
              </w:rPr>
              <w:lastRenderedPageBreak/>
              <w:t>Bahreïn rappelle qu</w:t>
            </w:r>
            <w:r w:rsidR="00801F15" w:rsidRPr="001B46CB">
              <w:rPr>
                <w:rFonts w:asciiTheme="majorBidi" w:hAnsiTheme="majorBidi" w:cstheme="majorBidi"/>
                <w:lang w:val="fr-FR"/>
              </w:rPr>
              <w:t>’</w:t>
            </w:r>
            <w:r w:rsidRPr="001B46CB">
              <w:rPr>
                <w:rFonts w:asciiTheme="majorBidi" w:hAnsiTheme="majorBidi" w:cstheme="majorBidi"/>
                <w:lang w:val="fr-FR"/>
              </w:rPr>
              <w:t>une proposition de loi visant à abroger l</w:t>
            </w:r>
            <w:r w:rsidR="00801F15" w:rsidRPr="001B46CB">
              <w:rPr>
                <w:rFonts w:asciiTheme="majorBidi" w:hAnsiTheme="majorBidi" w:cstheme="majorBidi"/>
                <w:lang w:val="fr-FR"/>
              </w:rPr>
              <w:t>’</w:t>
            </w:r>
            <w:r w:rsidRPr="001B46CB">
              <w:rPr>
                <w:rFonts w:asciiTheme="majorBidi" w:hAnsiTheme="majorBidi" w:cstheme="majorBidi"/>
                <w:lang w:val="fr-FR"/>
              </w:rPr>
              <w:t>article 353 du décret-loi n</w:t>
            </w:r>
            <w:r w:rsidRPr="001B46CB">
              <w:rPr>
                <w:rFonts w:asciiTheme="majorBidi" w:hAnsiTheme="majorBidi" w:cstheme="majorBidi"/>
                <w:vertAlign w:val="superscript"/>
                <w:lang w:val="fr-FR"/>
              </w:rPr>
              <w:t>o</w:t>
            </w:r>
            <w:r w:rsidR="00CC2722" w:rsidRPr="001B46CB">
              <w:rPr>
                <w:rFonts w:asciiTheme="majorBidi" w:hAnsiTheme="majorBidi" w:cstheme="majorBidi"/>
                <w:lang w:val="fr-FR"/>
              </w:rPr>
              <w:t> </w:t>
            </w:r>
            <w:r w:rsidRPr="001B46CB">
              <w:rPr>
                <w:rFonts w:asciiTheme="majorBidi" w:hAnsiTheme="majorBidi" w:cstheme="majorBidi"/>
                <w:lang w:val="fr-FR"/>
              </w:rPr>
              <w:t>15 de 1976 promulguant le Code pénal, qui exempte de sanctions l</w:t>
            </w:r>
            <w:r w:rsidR="00801F15" w:rsidRPr="001B46CB">
              <w:rPr>
                <w:rFonts w:asciiTheme="majorBidi" w:hAnsiTheme="majorBidi" w:cstheme="majorBidi"/>
                <w:lang w:val="fr-FR"/>
              </w:rPr>
              <w:t>’</w:t>
            </w:r>
            <w:r w:rsidRPr="001B46CB">
              <w:rPr>
                <w:rFonts w:asciiTheme="majorBidi" w:hAnsiTheme="majorBidi" w:cstheme="majorBidi"/>
                <w:lang w:val="fr-FR"/>
              </w:rPr>
              <w:t>auteur d</w:t>
            </w:r>
            <w:r w:rsidR="00801F15" w:rsidRPr="001B46CB">
              <w:rPr>
                <w:rFonts w:asciiTheme="majorBidi" w:hAnsiTheme="majorBidi" w:cstheme="majorBidi"/>
                <w:lang w:val="fr-FR"/>
              </w:rPr>
              <w:t>’</w:t>
            </w:r>
            <w:r w:rsidRPr="001B46CB">
              <w:rPr>
                <w:rFonts w:asciiTheme="majorBidi" w:hAnsiTheme="majorBidi" w:cstheme="majorBidi"/>
                <w:lang w:val="fr-FR"/>
              </w:rPr>
              <w:t>un viol qui épouse sa victime, a été soumise au pouvoir législatif. Il est difficile de donner un calendrier pour l</w:t>
            </w:r>
            <w:r w:rsidR="00801F15" w:rsidRPr="001B46CB">
              <w:rPr>
                <w:rFonts w:asciiTheme="majorBidi" w:hAnsiTheme="majorBidi" w:cstheme="majorBidi"/>
                <w:lang w:val="fr-FR"/>
              </w:rPr>
              <w:t>’</w:t>
            </w:r>
            <w:r w:rsidRPr="001B46CB">
              <w:rPr>
                <w:rFonts w:asciiTheme="majorBidi" w:hAnsiTheme="majorBidi" w:cstheme="majorBidi"/>
                <w:lang w:val="fr-FR"/>
              </w:rPr>
              <w:t>adoption de cette proposition de loi car cette question relève des prérogatives du pouvoir législatif, libre d</w:t>
            </w:r>
            <w:r w:rsidR="00801F15" w:rsidRPr="001B46CB">
              <w:rPr>
                <w:rFonts w:asciiTheme="majorBidi" w:hAnsiTheme="majorBidi" w:cstheme="majorBidi"/>
                <w:lang w:val="fr-FR"/>
              </w:rPr>
              <w:t>’</w:t>
            </w:r>
            <w:r w:rsidRPr="001B46CB">
              <w:rPr>
                <w:rFonts w:asciiTheme="majorBidi" w:hAnsiTheme="majorBidi" w:cstheme="majorBidi"/>
                <w:lang w:val="fr-FR"/>
              </w:rPr>
              <w:t>examiner les propositions de loi dont il est saisi comme il l</w:t>
            </w:r>
            <w:r w:rsidR="00801F15" w:rsidRPr="001B46CB">
              <w:rPr>
                <w:rFonts w:asciiTheme="majorBidi" w:hAnsiTheme="majorBidi" w:cstheme="majorBidi"/>
                <w:lang w:val="fr-FR"/>
              </w:rPr>
              <w:t>’</w:t>
            </w:r>
            <w:r w:rsidRPr="001B46CB">
              <w:rPr>
                <w:rFonts w:asciiTheme="majorBidi" w:hAnsiTheme="majorBidi" w:cstheme="majorBidi"/>
                <w:lang w:val="fr-FR"/>
              </w:rPr>
              <w:t>entend. Le pouvoir exécutif n</w:t>
            </w:r>
            <w:r w:rsidR="00801F15" w:rsidRPr="001B46CB">
              <w:rPr>
                <w:rFonts w:asciiTheme="majorBidi" w:hAnsiTheme="majorBidi" w:cstheme="majorBidi"/>
                <w:lang w:val="fr-FR"/>
              </w:rPr>
              <w:t>’</w:t>
            </w:r>
            <w:r w:rsidRPr="001B46CB">
              <w:rPr>
                <w:rFonts w:asciiTheme="majorBidi" w:hAnsiTheme="majorBidi" w:cstheme="majorBidi"/>
                <w:lang w:val="fr-FR"/>
              </w:rPr>
              <w:t>intervient pas dans les travaux du pouvoir législatif, en application du principe de séparation des pouvoirs. En outre, si le pouvoir législatif accepte d</w:t>
            </w:r>
            <w:r w:rsidR="00801F15" w:rsidRPr="001B46CB">
              <w:rPr>
                <w:rFonts w:asciiTheme="majorBidi" w:hAnsiTheme="majorBidi" w:cstheme="majorBidi"/>
                <w:lang w:val="fr-FR"/>
              </w:rPr>
              <w:t>’</w:t>
            </w:r>
            <w:r w:rsidRPr="001B46CB">
              <w:rPr>
                <w:rFonts w:asciiTheme="majorBidi" w:hAnsiTheme="majorBidi" w:cstheme="majorBidi"/>
                <w:lang w:val="fr-FR"/>
              </w:rPr>
              <w:t>abroger l</w:t>
            </w:r>
            <w:r w:rsidR="00801F15" w:rsidRPr="001B46CB">
              <w:rPr>
                <w:rFonts w:asciiTheme="majorBidi" w:hAnsiTheme="majorBidi" w:cstheme="majorBidi"/>
                <w:lang w:val="fr-FR"/>
              </w:rPr>
              <w:t>’</w:t>
            </w:r>
            <w:r w:rsidRPr="001B46CB">
              <w:rPr>
                <w:rFonts w:asciiTheme="majorBidi" w:hAnsiTheme="majorBidi" w:cstheme="majorBidi"/>
                <w:lang w:val="fr-FR"/>
              </w:rPr>
              <w:t>article 353, la sanction encourue par l</w:t>
            </w:r>
            <w:r w:rsidR="00801F15" w:rsidRPr="001B46CB">
              <w:rPr>
                <w:rFonts w:asciiTheme="majorBidi" w:hAnsiTheme="majorBidi" w:cstheme="majorBidi"/>
                <w:lang w:val="fr-FR"/>
              </w:rPr>
              <w:t>’</w:t>
            </w:r>
            <w:r w:rsidRPr="001B46CB">
              <w:rPr>
                <w:rFonts w:asciiTheme="majorBidi" w:hAnsiTheme="majorBidi" w:cstheme="majorBidi"/>
                <w:lang w:val="fr-FR"/>
              </w:rPr>
              <w:t>auteur du viol sera maintenue, même si celui-ci épouse sa victime. Il convient de signaler que le viol constitue une infraction à Bahreïn, qu</w:t>
            </w:r>
            <w:r w:rsidR="00801F15" w:rsidRPr="001B46CB">
              <w:rPr>
                <w:rFonts w:asciiTheme="majorBidi" w:hAnsiTheme="majorBidi" w:cstheme="majorBidi"/>
                <w:lang w:val="fr-FR"/>
              </w:rPr>
              <w:t>’</w:t>
            </w:r>
            <w:r w:rsidRPr="001B46CB">
              <w:rPr>
                <w:rFonts w:asciiTheme="majorBidi" w:hAnsiTheme="majorBidi" w:cstheme="majorBidi"/>
                <w:lang w:val="fr-FR"/>
              </w:rPr>
              <w:t>il ait été commis par un ou plusieurs auteurs.</w:t>
            </w:r>
          </w:p>
          <w:p w14:paraId="0C7F24D6" w14:textId="711E3978" w:rsidR="00F36F51" w:rsidRPr="00B422AB" w:rsidRDefault="00F36F51" w:rsidP="00B422AB">
            <w:pPr>
              <w:numPr>
                <w:ilvl w:val="0"/>
                <w:numId w:val="43"/>
              </w:numPr>
              <w:spacing w:after="20" w:line="224" w:lineRule="exact"/>
              <w:ind w:left="360" w:right="144"/>
              <w:jc w:val="both"/>
              <w:rPr>
                <w:rFonts w:asciiTheme="majorBidi" w:hAnsiTheme="majorBidi" w:cstheme="majorBidi"/>
                <w:b/>
                <w:bCs/>
                <w:spacing w:val="1"/>
                <w:lang w:val="fr-FR"/>
              </w:rPr>
            </w:pPr>
            <w:r w:rsidRPr="00B422AB">
              <w:rPr>
                <w:rFonts w:asciiTheme="majorBidi" w:hAnsiTheme="majorBidi" w:cstheme="majorBidi"/>
                <w:spacing w:val="1"/>
                <w:lang w:val="fr-FR"/>
              </w:rPr>
              <w:t>L</w:t>
            </w:r>
            <w:r w:rsidR="00801F15" w:rsidRPr="00B422AB">
              <w:rPr>
                <w:rFonts w:asciiTheme="majorBidi" w:hAnsiTheme="majorBidi" w:cstheme="majorBidi"/>
                <w:spacing w:val="1"/>
                <w:lang w:val="fr-FR"/>
              </w:rPr>
              <w:t>’</w:t>
            </w:r>
            <w:r w:rsidRPr="00B422AB">
              <w:rPr>
                <w:rFonts w:asciiTheme="majorBidi" w:hAnsiTheme="majorBidi" w:cstheme="majorBidi"/>
                <w:spacing w:val="1"/>
                <w:lang w:val="fr-FR"/>
              </w:rPr>
              <w:t>article 334 du Code pénal n</w:t>
            </w:r>
            <w:r w:rsidR="00801F15" w:rsidRPr="00B422AB">
              <w:rPr>
                <w:rFonts w:asciiTheme="majorBidi" w:hAnsiTheme="majorBidi" w:cstheme="majorBidi"/>
                <w:spacing w:val="1"/>
                <w:lang w:val="fr-FR"/>
              </w:rPr>
              <w:t>’</w:t>
            </w:r>
            <w:r w:rsidRPr="00B422AB">
              <w:rPr>
                <w:rFonts w:asciiTheme="majorBidi" w:hAnsiTheme="majorBidi" w:cstheme="majorBidi"/>
                <w:spacing w:val="1"/>
                <w:lang w:val="fr-FR"/>
              </w:rPr>
              <w:t>établit pas de discrimination entre l</w:t>
            </w:r>
            <w:r w:rsidR="00801F15" w:rsidRPr="00B422AB">
              <w:rPr>
                <w:rFonts w:asciiTheme="majorBidi" w:hAnsiTheme="majorBidi" w:cstheme="majorBidi"/>
                <w:spacing w:val="1"/>
                <w:lang w:val="fr-FR"/>
              </w:rPr>
              <w:t>’</w:t>
            </w:r>
            <w:r w:rsidRPr="00B422AB">
              <w:rPr>
                <w:rFonts w:asciiTheme="majorBidi" w:hAnsiTheme="majorBidi" w:cstheme="majorBidi"/>
                <w:spacing w:val="1"/>
                <w:lang w:val="fr-FR"/>
              </w:rPr>
              <w:t>homme et la femme et le mot «</w:t>
            </w:r>
            <w:r w:rsidR="002D1368" w:rsidRPr="00B422AB">
              <w:rPr>
                <w:rFonts w:asciiTheme="majorBidi" w:hAnsiTheme="majorBidi" w:cstheme="majorBidi"/>
                <w:spacing w:val="1"/>
                <w:lang w:val="fr-FR"/>
              </w:rPr>
              <w:t> </w:t>
            </w:r>
            <w:r w:rsidRPr="00B422AB">
              <w:rPr>
                <w:rFonts w:asciiTheme="majorBidi" w:hAnsiTheme="majorBidi" w:cstheme="majorBidi"/>
                <w:spacing w:val="1"/>
                <w:lang w:val="fr-FR"/>
              </w:rPr>
              <w:t>époux</w:t>
            </w:r>
            <w:r w:rsidR="002D1368" w:rsidRPr="00B422AB">
              <w:rPr>
                <w:rFonts w:asciiTheme="majorBidi" w:hAnsiTheme="majorBidi" w:cstheme="majorBidi"/>
                <w:spacing w:val="1"/>
                <w:lang w:val="fr-FR"/>
              </w:rPr>
              <w:t> </w:t>
            </w:r>
            <w:r w:rsidRPr="00B422AB">
              <w:rPr>
                <w:rFonts w:asciiTheme="majorBidi" w:hAnsiTheme="majorBidi" w:cstheme="majorBidi"/>
                <w:spacing w:val="1"/>
                <w:lang w:val="fr-FR"/>
              </w:rPr>
              <w:t>» a été employé dans un sens générique. L</w:t>
            </w:r>
            <w:r w:rsidR="00801F15" w:rsidRPr="00B422AB">
              <w:rPr>
                <w:rFonts w:asciiTheme="majorBidi" w:hAnsiTheme="majorBidi" w:cstheme="majorBidi"/>
                <w:spacing w:val="1"/>
                <w:lang w:val="fr-FR"/>
              </w:rPr>
              <w:t>’</w:t>
            </w:r>
            <w:r w:rsidRPr="00B422AB">
              <w:rPr>
                <w:rFonts w:asciiTheme="majorBidi" w:hAnsiTheme="majorBidi" w:cstheme="majorBidi"/>
                <w:spacing w:val="1"/>
                <w:lang w:val="fr-FR"/>
              </w:rPr>
              <w:t>époux ou l</w:t>
            </w:r>
            <w:r w:rsidR="00801F15" w:rsidRPr="00B422AB">
              <w:rPr>
                <w:rFonts w:asciiTheme="majorBidi" w:hAnsiTheme="majorBidi" w:cstheme="majorBidi"/>
                <w:spacing w:val="1"/>
                <w:lang w:val="fr-FR"/>
              </w:rPr>
              <w:t>’</w:t>
            </w:r>
            <w:r w:rsidRPr="00B422AB">
              <w:rPr>
                <w:rFonts w:asciiTheme="majorBidi" w:hAnsiTheme="majorBidi" w:cstheme="majorBidi"/>
                <w:spacing w:val="1"/>
                <w:lang w:val="fr-FR"/>
              </w:rPr>
              <w:t>épouse bénéficient de circonstances atténuantes lorsque l</w:t>
            </w:r>
            <w:r w:rsidR="00801F15" w:rsidRPr="00B422AB">
              <w:rPr>
                <w:rFonts w:asciiTheme="majorBidi" w:hAnsiTheme="majorBidi" w:cstheme="majorBidi"/>
                <w:spacing w:val="1"/>
                <w:lang w:val="fr-FR"/>
              </w:rPr>
              <w:t>’</w:t>
            </w:r>
            <w:r w:rsidRPr="00B422AB">
              <w:rPr>
                <w:rFonts w:asciiTheme="majorBidi" w:hAnsiTheme="majorBidi" w:cstheme="majorBidi"/>
                <w:spacing w:val="1"/>
                <w:lang w:val="fr-FR"/>
              </w:rPr>
              <w:t>un est pris en flagrant délit d</w:t>
            </w:r>
            <w:r w:rsidR="00801F15" w:rsidRPr="00B422AB">
              <w:rPr>
                <w:rFonts w:asciiTheme="majorBidi" w:hAnsiTheme="majorBidi" w:cstheme="majorBidi"/>
                <w:spacing w:val="1"/>
                <w:lang w:val="fr-FR"/>
              </w:rPr>
              <w:t>’</w:t>
            </w:r>
            <w:r w:rsidRPr="00B422AB">
              <w:rPr>
                <w:rFonts w:asciiTheme="majorBidi" w:hAnsiTheme="majorBidi" w:cstheme="majorBidi"/>
                <w:spacing w:val="1"/>
                <w:lang w:val="fr-FR"/>
              </w:rPr>
              <w:t>adultère par l</w:t>
            </w:r>
            <w:r w:rsidR="00801F15" w:rsidRPr="00B422AB">
              <w:rPr>
                <w:rFonts w:asciiTheme="majorBidi" w:hAnsiTheme="majorBidi" w:cstheme="majorBidi"/>
                <w:spacing w:val="1"/>
                <w:lang w:val="fr-FR"/>
              </w:rPr>
              <w:t>’</w:t>
            </w:r>
            <w:r w:rsidRPr="00B422AB">
              <w:rPr>
                <w:rFonts w:asciiTheme="majorBidi" w:hAnsiTheme="majorBidi" w:cstheme="majorBidi"/>
                <w:spacing w:val="1"/>
                <w:lang w:val="fr-FR"/>
              </w:rPr>
              <w:t>autre. Dans tous les cas, le «</w:t>
            </w:r>
            <w:r w:rsidR="002D1368" w:rsidRPr="00B422AB">
              <w:rPr>
                <w:rFonts w:asciiTheme="majorBidi" w:hAnsiTheme="majorBidi" w:cstheme="majorBidi"/>
                <w:spacing w:val="1"/>
                <w:lang w:val="fr-FR"/>
              </w:rPr>
              <w:t> </w:t>
            </w:r>
            <w:r w:rsidRPr="00B422AB">
              <w:rPr>
                <w:rFonts w:asciiTheme="majorBidi" w:hAnsiTheme="majorBidi" w:cstheme="majorBidi"/>
                <w:spacing w:val="1"/>
                <w:lang w:val="fr-FR"/>
              </w:rPr>
              <w:t>crime d</w:t>
            </w:r>
            <w:r w:rsidR="00801F15" w:rsidRPr="00B422AB">
              <w:rPr>
                <w:rFonts w:asciiTheme="majorBidi" w:hAnsiTheme="majorBidi" w:cstheme="majorBidi"/>
                <w:spacing w:val="1"/>
                <w:lang w:val="fr-FR"/>
              </w:rPr>
              <w:t>’</w:t>
            </w:r>
            <w:r w:rsidRPr="00B422AB">
              <w:rPr>
                <w:rFonts w:asciiTheme="majorBidi" w:hAnsiTheme="majorBidi" w:cstheme="majorBidi"/>
                <w:spacing w:val="1"/>
                <w:lang w:val="fr-FR"/>
              </w:rPr>
              <w:t>honneur</w:t>
            </w:r>
            <w:r w:rsidR="002D1368" w:rsidRPr="00B422AB">
              <w:rPr>
                <w:rFonts w:asciiTheme="majorBidi" w:hAnsiTheme="majorBidi" w:cstheme="majorBidi"/>
                <w:spacing w:val="1"/>
                <w:lang w:val="fr-FR"/>
              </w:rPr>
              <w:t> </w:t>
            </w:r>
            <w:r w:rsidRPr="00B422AB">
              <w:rPr>
                <w:rFonts w:asciiTheme="majorBidi" w:hAnsiTheme="majorBidi" w:cstheme="majorBidi"/>
                <w:spacing w:val="1"/>
                <w:lang w:val="fr-FR"/>
              </w:rPr>
              <w:t>» n</w:t>
            </w:r>
            <w:r w:rsidR="00801F15" w:rsidRPr="00B422AB">
              <w:rPr>
                <w:rFonts w:asciiTheme="majorBidi" w:hAnsiTheme="majorBidi" w:cstheme="majorBidi"/>
                <w:spacing w:val="1"/>
                <w:lang w:val="fr-FR"/>
              </w:rPr>
              <w:t>’</w:t>
            </w:r>
            <w:r w:rsidRPr="00B422AB">
              <w:rPr>
                <w:rFonts w:asciiTheme="majorBidi" w:hAnsiTheme="majorBidi" w:cstheme="majorBidi"/>
                <w:spacing w:val="1"/>
                <w:lang w:val="fr-FR"/>
              </w:rPr>
              <w:t>existe pas à Bahreïn.</w:t>
            </w:r>
          </w:p>
        </w:tc>
      </w:tr>
      <w:tr w:rsidR="00F36F51" w:rsidRPr="001B46CB" w14:paraId="3537AC0F" w14:textId="77777777" w:rsidTr="0080608B">
        <w:trPr>
          <w:tblCellSpacing w:w="20" w:type="dxa"/>
          <w:jc w:val="center"/>
        </w:trPr>
        <w:tc>
          <w:tcPr>
            <w:tcW w:w="4959" w:type="pct"/>
            <w:gridSpan w:val="13"/>
            <w:shd w:val="clear" w:color="auto" w:fill="C4BC96" w:themeFill="background2" w:themeFillShade="BF"/>
            <w:vAlign w:val="center"/>
          </w:tcPr>
          <w:p w14:paraId="27885BD4" w14:textId="77777777" w:rsidR="00F36F51" w:rsidRPr="001B46CB" w:rsidRDefault="00F36F51" w:rsidP="003471AB">
            <w:pPr>
              <w:spacing w:after="40" w:line="240" w:lineRule="auto"/>
              <w:ind w:left="360"/>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F36F51" w:rsidRPr="001B46CB" w14:paraId="60B1CF72" w14:textId="77777777" w:rsidTr="0080608B">
        <w:trPr>
          <w:tblCellSpacing w:w="20" w:type="dxa"/>
          <w:jc w:val="center"/>
        </w:trPr>
        <w:tc>
          <w:tcPr>
            <w:tcW w:w="4959" w:type="pct"/>
            <w:gridSpan w:val="13"/>
            <w:shd w:val="clear" w:color="auto" w:fill="auto"/>
            <w:vAlign w:val="center"/>
          </w:tcPr>
          <w:p w14:paraId="33D07F56" w14:textId="6D816B48" w:rsidR="00F36F51" w:rsidRPr="001B46CB" w:rsidRDefault="00F36F51" w:rsidP="003471AB">
            <w:pPr>
              <w:numPr>
                <w:ilvl w:val="0"/>
                <w:numId w:val="42"/>
              </w:numPr>
              <w:spacing w:after="20" w:line="240" w:lineRule="auto"/>
              <w:ind w:left="360" w:right="144"/>
              <w:jc w:val="both"/>
              <w:rPr>
                <w:rFonts w:asciiTheme="majorBidi" w:hAnsiTheme="majorBidi" w:cstheme="majorBidi"/>
                <w:b/>
                <w:bCs/>
                <w:color w:val="000000" w:themeColor="text1"/>
                <w:lang w:val="fr-FR"/>
              </w:rPr>
            </w:pPr>
            <w:r w:rsidRPr="001B46CB">
              <w:rPr>
                <w:rFonts w:asciiTheme="majorBidi" w:hAnsiTheme="majorBidi" w:cstheme="majorBidi"/>
                <w:lang w:val="fr-FR"/>
              </w:rPr>
              <w:t>Veuillez informer le Comité des projets visant à porter à 18 ans l</w:t>
            </w:r>
            <w:r w:rsidR="00801F15" w:rsidRPr="001B46CB">
              <w:rPr>
                <w:rFonts w:asciiTheme="majorBidi" w:hAnsiTheme="majorBidi" w:cstheme="majorBidi"/>
                <w:lang w:val="fr-FR"/>
              </w:rPr>
              <w:t>’</w:t>
            </w:r>
            <w:r w:rsidRPr="001B46CB">
              <w:rPr>
                <w:rFonts w:asciiTheme="majorBidi" w:hAnsiTheme="majorBidi" w:cstheme="majorBidi"/>
                <w:lang w:val="fr-FR"/>
              </w:rPr>
              <w:t>âge de consentement sexuel et des peines encourues par les femmes pour adultère, et veuillez fournir des données sur la lapidation et la condamnation à mort des femmes dans l</w:t>
            </w:r>
            <w:r w:rsidR="00801F15" w:rsidRPr="001B46CB">
              <w:rPr>
                <w:rFonts w:asciiTheme="majorBidi" w:hAnsiTheme="majorBidi" w:cstheme="majorBidi"/>
                <w:lang w:val="fr-FR"/>
              </w:rPr>
              <w:t>’</w:t>
            </w:r>
            <w:r w:rsidRPr="001B46CB">
              <w:rPr>
                <w:rFonts w:asciiTheme="majorBidi" w:hAnsiTheme="majorBidi" w:cstheme="majorBidi"/>
                <w:lang w:val="fr-FR"/>
              </w:rPr>
              <w:t>État partie.</w:t>
            </w:r>
          </w:p>
        </w:tc>
      </w:tr>
      <w:tr w:rsidR="00F36F51" w:rsidRPr="001B46CB" w14:paraId="0B882AA3" w14:textId="77777777" w:rsidTr="0080608B">
        <w:trPr>
          <w:tblCellSpacing w:w="20" w:type="dxa"/>
          <w:jc w:val="center"/>
        </w:trPr>
        <w:tc>
          <w:tcPr>
            <w:tcW w:w="4959" w:type="pct"/>
            <w:gridSpan w:val="13"/>
            <w:shd w:val="clear" w:color="auto" w:fill="C4BC96" w:themeFill="background2" w:themeFillShade="BF"/>
            <w:vAlign w:val="center"/>
          </w:tcPr>
          <w:p w14:paraId="20703403" w14:textId="77777777" w:rsidR="00F36F51" w:rsidRPr="001B46CB" w:rsidRDefault="00F36F51" w:rsidP="003471AB">
            <w:pPr>
              <w:spacing w:after="40" w:line="240" w:lineRule="auto"/>
              <w:ind w:left="360"/>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Réponse</w:t>
            </w:r>
          </w:p>
        </w:tc>
      </w:tr>
      <w:tr w:rsidR="00F36F51" w:rsidRPr="001B46CB" w14:paraId="6859EEEC" w14:textId="77777777" w:rsidTr="0080608B">
        <w:trPr>
          <w:tblCellSpacing w:w="20" w:type="dxa"/>
          <w:jc w:val="center"/>
        </w:trPr>
        <w:tc>
          <w:tcPr>
            <w:tcW w:w="4959" w:type="pct"/>
            <w:gridSpan w:val="13"/>
            <w:shd w:val="clear" w:color="auto" w:fill="auto"/>
            <w:vAlign w:val="center"/>
          </w:tcPr>
          <w:p w14:paraId="01D87700" w14:textId="2F8FA76E" w:rsidR="00F36F51" w:rsidRPr="001B46CB" w:rsidRDefault="00F36F51" w:rsidP="00481471">
            <w:pPr>
              <w:numPr>
                <w:ilvl w:val="0"/>
                <w:numId w:val="43"/>
              </w:numPr>
              <w:spacing w:after="20"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Bahreïn rappelle que les sanctions prévues en cas d</w:t>
            </w:r>
            <w:r w:rsidR="00801F15" w:rsidRPr="001B46CB">
              <w:rPr>
                <w:rFonts w:asciiTheme="majorBidi" w:hAnsiTheme="majorBidi" w:cstheme="majorBidi"/>
                <w:lang w:val="fr-FR"/>
              </w:rPr>
              <w:t>’</w:t>
            </w:r>
            <w:r w:rsidRPr="001B46CB">
              <w:rPr>
                <w:rFonts w:asciiTheme="majorBidi" w:hAnsiTheme="majorBidi" w:cstheme="majorBidi"/>
                <w:lang w:val="fr-FR"/>
              </w:rPr>
              <w:t>adultère ou de toute autre infraction définie dans le Code pénal s</w:t>
            </w:r>
            <w:r w:rsidR="00801F15" w:rsidRPr="001B46CB">
              <w:rPr>
                <w:rFonts w:asciiTheme="majorBidi" w:hAnsiTheme="majorBidi" w:cstheme="majorBidi"/>
                <w:lang w:val="fr-FR"/>
              </w:rPr>
              <w:t>’</w:t>
            </w:r>
            <w:r w:rsidRPr="001B46CB">
              <w:rPr>
                <w:rFonts w:asciiTheme="majorBidi" w:hAnsiTheme="majorBidi" w:cstheme="majorBidi"/>
                <w:lang w:val="fr-FR"/>
              </w:rPr>
              <w:t>appliquent à l</w:t>
            </w:r>
            <w:r w:rsidR="00801F15" w:rsidRPr="001B46CB">
              <w:rPr>
                <w:rFonts w:asciiTheme="majorBidi" w:hAnsiTheme="majorBidi" w:cstheme="majorBidi"/>
                <w:lang w:val="fr-FR"/>
              </w:rPr>
              <w:t>’</w:t>
            </w:r>
            <w:r w:rsidRPr="001B46CB">
              <w:rPr>
                <w:rFonts w:asciiTheme="majorBidi" w:hAnsiTheme="majorBidi" w:cstheme="majorBidi"/>
                <w:lang w:val="fr-FR"/>
              </w:rPr>
              <w:t>auteur sans distinction, qu</w:t>
            </w:r>
            <w:r w:rsidR="00801F15" w:rsidRPr="001B46CB">
              <w:rPr>
                <w:rFonts w:asciiTheme="majorBidi" w:hAnsiTheme="majorBidi" w:cstheme="majorBidi"/>
                <w:lang w:val="fr-FR"/>
              </w:rPr>
              <w:t>’</w:t>
            </w:r>
            <w:r w:rsidRPr="001B46CB">
              <w:rPr>
                <w:rFonts w:asciiTheme="majorBidi" w:hAnsiTheme="majorBidi" w:cstheme="majorBidi"/>
                <w:lang w:val="fr-FR"/>
              </w:rPr>
              <w:t>il s</w:t>
            </w:r>
            <w:r w:rsidR="00801F15" w:rsidRPr="001B46CB">
              <w:rPr>
                <w:rFonts w:asciiTheme="majorBidi" w:hAnsiTheme="majorBidi" w:cstheme="majorBidi"/>
                <w:lang w:val="fr-FR"/>
              </w:rPr>
              <w:t>’</w:t>
            </w:r>
            <w:r w:rsidRPr="001B46CB">
              <w:rPr>
                <w:rFonts w:asciiTheme="majorBidi" w:hAnsiTheme="majorBidi" w:cstheme="majorBidi"/>
                <w:lang w:val="fr-FR"/>
              </w:rPr>
              <w:t>agisse d</w:t>
            </w:r>
            <w:r w:rsidR="00801F15" w:rsidRPr="001B46CB">
              <w:rPr>
                <w:rFonts w:asciiTheme="majorBidi" w:hAnsiTheme="majorBidi" w:cstheme="majorBidi"/>
                <w:lang w:val="fr-FR"/>
              </w:rPr>
              <w:t>’</w:t>
            </w:r>
            <w:r w:rsidRPr="001B46CB">
              <w:rPr>
                <w:rFonts w:asciiTheme="majorBidi" w:hAnsiTheme="majorBidi" w:cstheme="majorBidi"/>
                <w:lang w:val="fr-FR"/>
              </w:rPr>
              <w:t>un homme ou d</w:t>
            </w:r>
            <w:r w:rsidR="00801F15" w:rsidRPr="001B46CB">
              <w:rPr>
                <w:rFonts w:asciiTheme="majorBidi" w:hAnsiTheme="majorBidi" w:cstheme="majorBidi"/>
                <w:lang w:val="fr-FR"/>
              </w:rPr>
              <w:t>’</w:t>
            </w:r>
            <w:r w:rsidRPr="001B46CB">
              <w:rPr>
                <w:rFonts w:asciiTheme="majorBidi" w:hAnsiTheme="majorBidi" w:cstheme="majorBidi"/>
                <w:lang w:val="fr-FR"/>
              </w:rPr>
              <w:t>une femme. La peine de mort n</w:t>
            </w:r>
            <w:r w:rsidR="00801F15" w:rsidRPr="001B46CB">
              <w:rPr>
                <w:rFonts w:asciiTheme="majorBidi" w:hAnsiTheme="majorBidi" w:cstheme="majorBidi"/>
                <w:lang w:val="fr-FR"/>
              </w:rPr>
              <w:t>’</w:t>
            </w:r>
            <w:r w:rsidRPr="001B46CB">
              <w:rPr>
                <w:rFonts w:asciiTheme="majorBidi" w:hAnsiTheme="majorBidi" w:cstheme="majorBidi"/>
                <w:lang w:val="fr-FR"/>
              </w:rPr>
              <w:t>est imposée qu</w:t>
            </w:r>
            <w:r w:rsidR="00801F15" w:rsidRPr="001B46CB">
              <w:rPr>
                <w:rFonts w:asciiTheme="majorBidi" w:hAnsiTheme="majorBidi" w:cstheme="majorBidi"/>
                <w:lang w:val="fr-FR"/>
              </w:rPr>
              <w:t>’</w:t>
            </w:r>
            <w:r w:rsidRPr="001B46CB">
              <w:rPr>
                <w:rFonts w:asciiTheme="majorBidi" w:hAnsiTheme="majorBidi" w:cstheme="majorBidi"/>
                <w:lang w:val="fr-FR"/>
              </w:rPr>
              <w:t>en cas de crimes graves avec circonstances aggravantes (art</w:t>
            </w:r>
            <w:r w:rsidR="002D1368" w:rsidRPr="001B46CB">
              <w:rPr>
                <w:rFonts w:asciiTheme="majorBidi" w:hAnsiTheme="majorBidi" w:cstheme="majorBidi"/>
                <w:lang w:val="fr-FR"/>
              </w:rPr>
              <w:t>. </w:t>
            </w:r>
            <w:r w:rsidRPr="001B46CB">
              <w:rPr>
                <w:rFonts w:asciiTheme="majorBidi" w:hAnsiTheme="majorBidi" w:cstheme="majorBidi"/>
                <w:lang w:val="fr-FR"/>
              </w:rPr>
              <w:t>348 et 349 du Code pénal). On trouvera de plus amples informations au paragraphe 177 du quatrième rapport périodique. Le Royaume de Bahreïn affirme que la lapidation n</w:t>
            </w:r>
            <w:r w:rsidR="00801F15" w:rsidRPr="001B46CB">
              <w:rPr>
                <w:rFonts w:asciiTheme="majorBidi" w:hAnsiTheme="majorBidi" w:cstheme="majorBidi"/>
                <w:lang w:val="fr-FR"/>
              </w:rPr>
              <w:t>’</w:t>
            </w:r>
            <w:r w:rsidRPr="001B46CB">
              <w:rPr>
                <w:rFonts w:asciiTheme="majorBidi" w:hAnsiTheme="majorBidi" w:cstheme="majorBidi"/>
                <w:lang w:val="fr-FR"/>
              </w:rPr>
              <w:t>est pas une sanction prévue dans sa législation.</w:t>
            </w:r>
          </w:p>
        </w:tc>
      </w:tr>
      <w:tr w:rsidR="00F36F51" w:rsidRPr="001B46CB" w14:paraId="0E2D6F03" w14:textId="77777777" w:rsidTr="0080608B">
        <w:trPr>
          <w:tblCellSpacing w:w="20" w:type="dxa"/>
          <w:jc w:val="center"/>
        </w:trPr>
        <w:tc>
          <w:tcPr>
            <w:tcW w:w="4959" w:type="pct"/>
            <w:gridSpan w:val="13"/>
            <w:shd w:val="clear" w:color="auto" w:fill="C4BC96" w:themeFill="background2" w:themeFillShade="BF"/>
            <w:vAlign w:val="center"/>
          </w:tcPr>
          <w:p w14:paraId="5D2FCF38" w14:textId="77777777" w:rsidR="00F36F51" w:rsidRPr="001B46CB" w:rsidRDefault="00F36F51" w:rsidP="003471AB">
            <w:pPr>
              <w:spacing w:after="40" w:line="240" w:lineRule="auto"/>
              <w:ind w:left="360"/>
              <w:jc w:val="center"/>
              <w:rPr>
                <w:rFonts w:asciiTheme="majorBidi" w:hAnsiTheme="majorBidi" w:cstheme="majorBidi"/>
                <w:b/>
                <w:bCs/>
                <w:lang w:val="fr-FR"/>
              </w:rPr>
            </w:pPr>
            <w:r w:rsidRPr="001B46CB">
              <w:rPr>
                <w:rFonts w:asciiTheme="majorBidi" w:hAnsiTheme="majorBidi" w:cstheme="majorBidi"/>
                <w:b/>
                <w:bCs/>
                <w:lang w:val="fr-FR"/>
              </w:rPr>
              <w:t>Observations du Comité</w:t>
            </w:r>
          </w:p>
        </w:tc>
      </w:tr>
      <w:tr w:rsidR="00F36F51" w:rsidRPr="001B46CB" w14:paraId="63291EF2" w14:textId="77777777" w:rsidTr="0080608B">
        <w:trPr>
          <w:tblCellSpacing w:w="20" w:type="dxa"/>
          <w:jc w:val="center"/>
        </w:trPr>
        <w:tc>
          <w:tcPr>
            <w:tcW w:w="4959" w:type="pct"/>
            <w:gridSpan w:val="13"/>
            <w:shd w:val="clear" w:color="auto" w:fill="auto"/>
            <w:vAlign w:val="center"/>
          </w:tcPr>
          <w:p w14:paraId="00088D80" w14:textId="6D42D49A" w:rsidR="00F36F51" w:rsidRPr="001B46CB" w:rsidRDefault="00F36F51" w:rsidP="00B422AB">
            <w:pPr>
              <w:numPr>
                <w:ilvl w:val="0"/>
                <w:numId w:val="42"/>
              </w:numPr>
              <w:spacing w:after="20" w:line="224" w:lineRule="exact"/>
              <w:ind w:left="360" w:right="144"/>
              <w:jc w:val="both"/>
              <w:rPr>
                <w:rFonts w:asciiTheme="majorBidi" w:hAnsiTheme="majorBidi" w:cstheme="majorBidi"/>
                <w:lang w:val="fr-FR"/>
              </w:rPr>
            </w:pPr>
            <w:r w:rsidRPr="001B46CB">
              <w:rPr>
                <w:rFonts w:asciiTheme="majorBidi" w:hAnsiTheme="majorBidi" w:cstheme="majorBidi"/>
                <w:lang w:val="fr-FR"/>
              </w:rPr>
              <w:t>Veuillez fournir des renseignements sur les résultats obtenus par la stratégie nationale pour la protection des femmes contre la violence domestique, le nombre de places actuellement disponibles dans les foyers d</w:t>
            </w:r>
            <w:r w:rsidR="00801F15" w:rsidRPr="001B46CB">
              <w:rPr>
                <w:rFonts w:asciiTheme="majorBidi" w:hAnsiTheme="majorBidi" w:cstheme="majorBidi"/>
                <w:lang w:val="fr-FR"/>
              </w:rPr>
              <w:t>’</w:t>
            </w:r>
            <w:r w:rsidRPr="001B46CB">
              <w:rPr>
                <w:rFonts w:asciiTheme="majorBidi" w:hAnsiTheme="majorBidi" w:cstheme="majorBidi"/>
                <w:lang w:val="fr-FR"/>
              </w:rPr>
              <w:t>accueil pour les victimes de ce type de violence et les efforts entrepris pour étendre les services d</w:t>
            </w:r>
            <w:r w:rsidR="00801F15" w:rsidRPr="001B46CB">
              <w:rPr>
                <w:rFonts w:asciiTheme="majorBidi" w:hAnsiTheme="majorBidi" w:cstheme="majorBidi"/>
                <w:lang w:val="fr-FR"/>
              </w:rPr>
              <w:t>’</w:t>
            </w:r>
            <w:r w:rsidRPr="001B46CB">
              <w:rPr>
                <w:rFonts w:asciiTheme="majorBidi" w:hAnsiTheme="majorBidi" w:cstheme="majorBidi"/>
                <w:lang w:val="fr-FR"/>
              </w:rPr>
              <w:t>accueil destinés à leurs victimes sur l</w:t>
            </w:r>
            <w:r w:rsidR="00801F15" w:rsidRPr="001B46CB">
              <w:rPr>
                <w:rFonts w:asciiTheme="majorBidi" w:hAnsiTheme="majorBidi" w:cstheme="majorBidi"/>
                <w:lang w:val="fr-FR"/>
              </w:rPr>
              <w:t>’</w:t>
            </w:r>
            <w:r w:rsidRPr="001B46CB">
              <w:rPr>
                <w:rFonts w:asciiTheme="majorBidi" w:hAnsiTheme="majorBidi" w:cstheme="majorBidi"/>
                <w:lang w:val="fr-FR"/>
              </w:rPr>
              <w:t>ensemble du territoire de l</w:t>
            </w:r>
            <w:r w:rsidR="00801F15" w:rsidRPr="001B46CB">
              <w:rPr>
                <w:rFonts w:asciiTheme="majorBidi" w:hAnsiTheme="majorBidi" w:cstheme="majorBidi"/>
                <w:lang w:val="fr-FR"/>
              </w:rPr>
              <w:t>’</w:t>
            </w:r>
            <w:r w:rsidRPr="001B46CB">
              <w:rPr>
                <w:rFonts w:asciiTheme="majorBidi" w:hAnsiTheme="majorBidi" w:cstheme="majorBidi"/>
                <w:lang w:val="fr-FR"/>
              </w:rPr>
              <w:t>État partie. Veuillez également fournir des informations sur le nombre d</w:t>
            </w:r>
            <w:r w:rsidR="00801F15" w:rsidRPr="001B46CB">
              <w:rPr>
                <w:rFonts w:asciiTheme="majorBidi" w:hAnsiTheme="majorBidi" w:cstheme="majorBidi"/>
                <w:lang w:val="fr-FR"/>
              </w:rPr>
              <w:t>’</w:t>
            </w:r>
            <w:r w:rsidRPr="001B46CB">
              <w:rPr>
                <w:rFonts w:asciiTheme="majorBidi" w:hAnsiTheme="majorBidi" w:cstheme="majorBidi"/>
                <w:lang w:val="fr-FR"/>
              </w:rPr>
              <w:t>ordonnances de protection délivrées depuis la promulgation de la loi sur la violence domestique, qu</w:t>
            </w:r>
            <w:r w:rsidR="00801F15" w:rsidRPr="001B46CB">
              <w:rPr>
                <w:rFonts w:asciiTheme="majorBidi" w:hAnsiTheme="majorBidi" w:cstheme="majorBidi"/>
                <w:lang w:val="fr-FR"/>
              </w:rPr>
              <w:t>’</w:t>
            </w:r>
            <w:r w:rsidRPr="001B46CB">
              <w:rPr>
                <w:rFonts w:asciiTheme="majorBidi" w:hAnsiTheme="majorBidi" w:cstheme="majorBidi"/>
                <w:lang w:val="fr-FR"/>
              </w:rPr>
              <w:t>elles aient été prononcées à la demande de la victime ou d</w:t>
            </w:r>
            <w:r w:rsidR="00801F15" w:rsidRPr="001B46CB">
              <w:rPr>
                <w:rFonts w:asciiTheme="majorBidi" w:hAnsiTheme="majorBidi" w:cstheme="majorBidi"/>
                <w:lang w:val="fr-FR"/>
              </w:rPr>
              <w:t>’</w:t>
            </w:r>
            <w:r w:rsidRPr="001B46CB">
              <w:rPr>
                <w:rFonts w:asciiTheme="majorBidi" w:hAnsiTheme="majorBidi" w:cstheme="majorBidi"/>
                <w:lang w:val="fr-FR"/>
              </w:rPr>
              <w:t>une entité requérante, les motifs de leur délivrance et la durée de leur validité.</w:t>
            </w:r>
          </w:p>
        </w:tc>
      </w:tr>
      <w:tr w:rsidR="00F36F51" w:rsidRPr="001B46CB" w14:paraId="611F4701" w14:textId="77777777" w:rsidTr="0080608B">
        <w:trPr>
          <w:tblCellSpacing w:w="20" w:type="dxa"/>
          <w:jc w:val="center"/>
        </w:trPr>
        <w:tc>
          <w:tcPr>
            <w:tcW w:w="4959" w:type="pct"/>
            <w:gridSpan w:val="13"/>
            <w:shd w:val="clear" w:color="auto" w:fill="C4BC96" w:themeFill="background2" w:themeFillShade="BF"/>
            <w:vAlign w:val="center"/>
          </w:tcPr>
          <w:p w14:paraId="3B9513A4" w14:textId="77777777" w:rsidR="00F36F51" w:rsidRPr="001B46CB" w:rsidRDefault="00F36F51" w:rsidP="003471AB">
            <w:pPr>
              <w:spacing w:after="40" w:line="240" w:lineRule="auto"/>
              <w:ind w:left="360"/>
              <w:jc w:val="center"/>
              <w:rPr>
                <w:rFonts w:asciiTheme="majorBidi" w:hAnsiTheme="majorBidi" w:cstheme="majorBidi"/>
                <w:b/>
                <w:bCs/>
                <w:lang w:val="fr-FR"/>
              </w:rPr>
            </w:pPr>
            <w:r w:rsidRPr="001B46CB">
              <w:rPr>
                <w:rFonts w:asciiTheme="majorBidi" w:hAnsiTheme="majorBidi" w:cstheme="majorBidi"/>
                <w:b/>
                <w:bCs/>
                <w:lang w:val="fr-FR"/>
              </w:rPr>
              <w:t>Réponse</w:t>
            </w:r>
          </w:p>
        </w:tc>
      </w:tr>
      <w:tr w:rsidR="00F36F51" w:rsidRPr="001B46CB" w14:paraId="591935F2" w14:textId="77777777" w:rsidTr="0080608B">
        <w:trPr>
          <w:tblCellSpacing w:w="20" w:type="dxa"/>
          <w:jc w:val="center"/>
        </w:trPr>
        <w:tc>
          <w:tcPr>
            <w:tcW w:w="4959" w:type="pct"/>
            <w:gridSpan w:val="13"/>
            <w:shd w:val="clear" w:color="auto" w:fill="auto"/>
            <w:vAlign w:val="center"/>
          </w:tcPr>
          <w:p w14:paraId="07F3D5B2" w14:textId="00AFEA54" w:rsidR="00F36F51" w:rsidRPr="001B46CB" w:rsidRDefault="00F36F51" w:rsidP="00B422AB">
            <w:pPr>
              <w:numPr>
                <w:ilvl w:val="0"/>
                <w:numId w:val="43"/>
              </w:numPr>
              <w:spacing w:after="200" w:line="224" w:lineRule="exact"/>
              <w:ind w:left="360" w:right="144"/>
              <w:contextualSpacing/>
              <w:jc w:val="both"/>
              <w:rPr>
                <w:rFonts w:asciiTheme="majorBidi" w:hAnsiTheme="majorBidi" w:cstheme="majorBidi"/>
                <w:color w:val="000000" w:themeColor="text1"/>
                <w:lang w:val="fr-FR"/>
              </w:rPr>
            </w:pPr>
            <w:r w:rsidRPr="001B46CB">
              <w:rPr>
                <w:rFonts w:asciiTheme="majorBidi" w:hAnsiTheme="majorBidi" w:cstheme="majorBidi"/>
                <w:lang w:val="fr-FR"/>
              </w:rPr>
              <w:t>Le Conseil supérieur de la femme a lancé en novembre 2015 la stratégie nationale de protection des femmes contre la violence domestique, articulée autour de plusieurs axes</w:t>
            </w:r>
            <w:r w:rsidR="00801F15" w:rsidRPr="001B46CB">
              <w:rPr>
                <w:rFonts w:asciiTheme="majorBidi" w:hAnsiTheme="majorBidi" w:cstheme="majorBidi"/>
                <w:lang w:val="fr-FR"/>
              </w:rPr>
              <w:t> :</w:t>
            </w:r>
            <w:r w:rsidRPr="001B46CB">
              <w:rPr>
                <w:rFonts w:asciiTheme="majorBidi" w:hAnsiTheme="majorBidi" w:cstheme="majorBidi"/>
                <w:lang w:val="fr-FR"/>
              </w:rPr>
              <w:t xml:space="preserve"> la prévention</w:t>
            </w:r>
            <w:r w:rsidR="00801F15" w:rsidRPr="001B46CB">
              <w:rPr>
                <w:rFonts w:asciiTheme="majorBidi" w:hAnsiTheme="majorBidi" w:cstheme="majorBidi"/>
                <w:lang w:val="fr-FR"/>
              </w:rPr>
              <w:t> ;</w:t>
            </w:r>
            <w:r w:rsidRPr="001B46CB">
              <w:rPr>
                <w:rFonts w:asciiTheme="majorBidi" w:hAnsiTheme="majorBidi" w:cstheme="majorBidi"/>
                <w:lang w:val="fr-FR"/>
              </w:rPr>
              <w:t xml:space="preserve"> la protection et les services</w:t>
            </w:r>
            <w:r w:rsidR="00801F15" w:rsidRPr="001B46CB">
              <w:rPr>
                <w:rFonts w:asciiTheme="majorBidi" w:hAnsiTheme="majorBidi" w:cstheme="majorBidi"/>
                <w:lang w:val="fr-FR"/>
              </w:rPr>
              <w:t> ;</w:t>
            </w:r>
            <w:r w:rsidRPr="001B46CB">
              <w:rPr>
                <w:rFonts w:asciiTheme="majorBidi" w:hAnsiTheme="majorBidi" w:cstheme="majorBidi"/>
                <w:lang w:val="fr-FR"/>
              </w:rPr>
              <w:t xml:space="preserve"> la législation</w:t>
            </w:r>
            <w:r w:rsidR="00801F15" w:rsidRPr="001B46CB">
              <w:rPr>
                <w:rFonts w:asciiTheme="majorBidi" w:hAnsiTheme="majorBidi" w:cstheme="majorBidi"/>
                <w:lang w:val="fr-FR"/>
              </w:rPr>
              <w:t> ;</w:t>
            </w:r>
            <w:r w:rsidRPr="001B46CB">
              <w:rPr>
                <w:rFonts w:asciiTheme="majorBidi" w:hAnsiTheme="majorBidi" w:cstheme="majorBidi"/>
                <w:lang w:val="fr-FR"/>
              </w:rPr>
              <w:t xml:space="preserve"> la sensibilisation et les médias</w:t>
            </w:r>
            <w:r w:rsidR="00801F15" w:rsidRPr="001B46CB">
              <w:rPr>
                <w:rFonts w:asciiTheme="majorBidi" w:hAnsiTheme="majorBidi" w:cstheme="majorBidi"/>
                <w:lang w:val="fr-FR"/>
              </w:rPr>
              <w:t> ;</w:t>
            </w:r>
            <w:r w:rsidRPr="001B46CB">
              <w:rPr>
                <w:rFonts w:asciiTheme="majorBidi" w:hAnsiTheme="majorBidi" w:cstheme="majorBidi"/>
                <w:lang w:val="fr-FR"/>
              </w:rPr>
              <w:t xml:space="preserve"> les études et recherches</w:t>
            </w:r>
            <w:r w:rsidR="00801F15" w:rsidRPr="001B46CB">
              <w:rPr>
                <w:rFonts w:asciiTheme="majorBidi" w:hAnsiTheme="majorBidi" w:cstheme="majorBidi"/>
                <w:lang w:val="fr-FR"/>
              </w:rPr>
              <w:t> ;</w:t>
            </w:r>
            <w:r w:rsidRPr="001B46CB">
              <w:rPr>
                <w:rFonts w:asciiTheme="majorBidi" w:hAnsiTheme="majorBidi" w:cstheme="majorBidi"/>
                <w:lang w:val="fr-FR"/>
              </w:rPr>
              <w:t xml:space="preserve"> l</w:t>
            </w:r>
            <w:r w:rsidR="00801F15" w:rsidRPr="001B46CB">
              <w:rPr>
                <w:rFonts w:asciiTheme="majorBidi" w:hAnsiTheme="majorBidi" w:cstheme="majorBidi"/>
                <w:lang w:val="fr-FR"/>
              </w:rPr>
              <w:t>’</w:t>
            </w:r>
            <w:r w:rsidRPr="001B46CB">
              <w:rPr>
                <w:rFonts w:asciiTheme="majorBidi" w:hAnsiTheme="majorBidi" w:cstheme="majorBidi"/>
                <w:lang w:val="fr-FR"/>
              </w:rPr>
              <w:t>évaluation et le suivi. La stratégie a été élaborée avec le concours d</w:t>
            </w:r>
            <w:r w:rsidR="00801F15" w:rsidRPr="001B46CB">
              <w:rPr>
                <w:rFonts w:asciiTheme="majorBidi" w:hAnsiTheme="majorBidi" w:cstheme="majorBidi"/>
                <w:lang w:val="fr-FR"/>
              </w:rPr>
              <w:t>’</w:t>
            </w:r>
            <w:r w:rsidRPr="001B46CB">
              <w:rPr>
                <w:rFonts w:asciiTheme="majorBidi" w:hAnsiTheme="majorBidi" w:cstheme="majorBidi"/>
                <w:lang w:val="fr-FR"/>
              </w:rPr>
              <w:t>une équipe nationale représentant l</w:t>
            </w:r>
            <w:r w:rsidR="00801F15" w:rsidRPr="001B46CB">
              <w:rPr>
                <w:rFonts w:asciiTheme="majorBidi" w:hAnsiTheme="majorBidi" w:cstheme="majorBidi"/>
                <w:lang w:val="fr-FR"/>
              </w:rPr>
              <w:t>’</w:t>
            </w:r>
            <w:r w:rsidRPr="001B46CB">
              <w:rPr>
                <w:rFonts w:asciiTheme="majorBidi" w:hAnsiTheme="majorBidi" w:cstheme="majorBidi"/>
                <w:lang w:val="fr-FR"/>
              </w:rPr>
              <w:t>ensemble des ministères, institutions officielles et organisations de la société civile compétents. Un plan d</w:t>
            </w:r>
            <w:r w:rsidR="00801F15" w:rsidRPr="001B46CB">
              <w:rPr>
                <w:rFonts w:asciiTheme="majorBidi" w:hAnsiTheme="majorBidi" w:cstheme="majorBidi"/>
                <w:lang w:val="fr-FR"/>
              </w:rPr>
              <w:t>’</w:t>
            </w:r>
            <w:r w:rsidRPr="001B46CB">
              <w:rPr>
                <w:rFonts w:asciiTheme="majorBidi" w:hAnsiTheme="majorBidi" w:cstheme="majorBidi"/>
                <w:lang w:val="fr-FR"/>
              </w:rPr>
              <w:t>exécution a également été conçu, qui comporte des indications détaillées sur les étapes de la mise en œuvre pour chaque entité en fonction de sa compétence.</w:t>
            </w:r>
          </w:p>
          <w:p w14:paraId="3059C975" w14:textId="7FF4F641" w:rsidR="00F36F51" w:rsidRPr="001B46CB" w:rsidRDefault="00F36F51" w:rsidP="00767A10">
            <w:pPr>
              <w:numPr>
                <w:ilvl w:val="0"/>
                <w:numId w:val="43"/>
              </w:numPr>
              <w:spacing w:after="200" w:line="224" w:lineRule="exact"/>
              <w:ind w:left="360" w:right="144"/>
              <w:contextualSpacing/>
              <w:jc w:val="both"/>
              <w:rPr>
                <w:rFonts w:asciiTheme="majorBidi" w:hAnsiTheme="majorBidi" w:cstheme="majorBidi"/>
                <w:lang w:val="fr-FR"/>
              </w:rPr>
            </w:pPr>
            <w:r w:rsidRPr="001B46CB">
              <w:rPr>
                <w:rFonts w:asciiTheme="majorBidi" w:hAnsiTheme="majorBidi" w:cstheme="majorBidi"/>
                <w:lang w:val="fr-FR"/>
              </w:rPr>
              <w:t>En coopération et en partenariat avec les ministères, les institutions gouvernementales et les organisations de la société civile concernés, des progrès ont été accomplis dans l</w:t>
            </w:r>
            <w:r w:rsidR="00801F15" w:rsidRPr="001B46CB">
              <w:rPr>
                <w:rFonts w:asciiTheme="majorBidi" w:hAnsiTheme="majorBidi" w:cstheme="majorBidi"/>
                <w:lang w:val="fr-FR"/>
              </w:rPr>
              <w:t>’</w:t>
            </w:r>
            <w:r w:rsidRPr="001B46CB">
              <w:rPr>
                <w:rFonts w:asciiTheme="majorBidi" w:hAnsiTheme="majorBidi" w:cstheme="majorBidi"/>
                <w:lang w:val="fr-FR"/>
              </w:rPr>
              <w:t>exécution de la stratégie et des programmes et initiatives qui y sont prévus. Ainsi la stratégie a été mise en œuvre à 81</w:t>
            </w:r>
            <w:r w:rsidR="007D4344" w:rsidRPr="001B46CB">
              <w:rPr>
                <w:rFonts w:asciiTheme="majorBidi" w:hAnsiTheme="majorBidi" w:cstheme="majorBidi"/>
                <w:lang w:val="fr-FR"/>
              </w:rPr>
              <w:t> %</w:t>
            </w:r>
            <w:r w:rsidRPr="001B46CB">
              <w:rPr>
                <w:rFonts w:asciiTheme="majorBidi" w:hAnsiTheme="majorBidi" w:cstheme="majorBidi"/>
                <w:lang w:val="fr-FR"/>
              </w:rPr>
              <w:t xml:space="preserve"> entre 2015 et 2018, ce qui a contribué, après la promulgation de la loi sur la protection contre la violence domestique, à faire reculer la violence domestique à l</w:t>
            </w:r>
            <w:r w:rsidR="00801F15" w:rsidRPr="001B46CB">
              <w:rPr>
                <w:rFonts w:asciiTheme="majorBidi" w:hAnsiTheme="majorBidi" w:cstheme="majorBidi"/>
                <w:lang w:val="fr-FR"/>
              </w:rPr>
              <w:t>’</w:t>
            </w:r>
            <w:r w:rsidRPr="001B46CB">
              <w:rPr>
                <w:rFonts w:asciiTheme="majorBidi" w:hAnsiTheme="majorBidi" w:cstheme="majorBidi"/>
                <w:lang w:val="fr-FR"/>
              </w:rPr>
              <w:t>égard des Bahreïniennes.</w:t>
            </w:r>
          </w:p>
          <w:p w14:paraId="3F00448D" w14:textId="77777777" w:rsidR="00801F15" w:rsidRPr="001B46CB" w:rsidRDefault="00F36F51" w:rsidP="00B422AB">
            <w:pPr>
              <w:numPr>
                <w:ilvl w:val="0"/>
                <w:numId w:val="43"/>
              </w:numPr>
              <w:spacing w:after="200" w:line="224" w:lineRule="exact"/>
              <w:ind w:left="360" w:right="144"/>
              <w:contextualSpacing/>
              <w:jc w:val="both"/>
              <w:rPr>
                <w:rFonts w:asciiTheme="majorBidi" w:hAnsiTheme="majorBidi" w:cstheme="majorBidi"/>
                <w:lang w:val="fr-FR"/>
              </w:rPr>
            </w:pPr>
            <w:r w:rsidRPr="001B46CB">
              <w:rPr>
                <w:rFonts w:asciiTheme="majorBidi" w:hAnsiTheme="majorBidi" w:cstheme="majorBidi"/>
                <w:lang w:val="fr-FR"/>
              </w:rPr>
              <w:t>Bahreïn rappelle les paragraphes 82, 98, 101, 104, 107, 108, 199 et 206 de son quatrième rapport périodique pour ce qui est des résultats obtenus dans le cadre de l</w:t>
            </w:r>
            <w:r w:rsidR="00801F15" w:rsidRPr="001B46CB">
              <w:rPr>
                <w:rFonts w:asciiTheme="majorBidi" w:hAnsiTheme="majorBidi" w:cstheme="majorBidi"/>
                <w:lang w:val="fr-FR"/>
              </w:rPr>
              <w:t>’</w:t>
            </w:r>
            <w:r w:rsidRPr="001B46CB">
              <w:rPr>
                <w:rFonts w:asciiTheme="majorBidi" w:hAnsiTheme="majorBidi" w:cstheme="majorBidi"/>
                <w:lang w:val="fr-FR"/>
              </w:rPr>
              <w:t>exécution de la stratégie nationale de protection des femmes contre la violence domestique.</w:t>
            </w:r>
          </w:p>
          <w:p w14:paraId="67074B00" w14:textId="3641081E" w:rsidR="00801F15" w:rsidRPr="001B46CB" w:rsidRDefault="00F36F51" w:rsidP="00767A10">
            <w:pPr>
              <w:numPr>
                <w:ilvl w:val="0"/>
                <w:numId w:val="43"/>
              </w:numPr>
              <w:spacing w:after="20" w:line="224" w:lineRule="exact"/>
              <w:ind w:left="360" w:right="144"/>
              <w:jc w:val="both"/>
              <w:rPr>
                <w:rFonts w:asciiTheme="majorBidi" w:hAnsiTheme="majorBidi" w:cstheme="majorBidi"/>
                <w:lang w:val="fr-FR"/>
              </w:rPr>
            </w:pPr>
            <w:r w:rsidRPr="001B46CB">
              <w:rPr>
                <w:rFonts w:asciiTheme="majorBidi" w:hAnsiTheme="majorBidi" w:cstheme="majorBidi"/>
                <w:lang w:val="fr-FR"/>
              </w:rPr>
              <w:t>En ce qui concerne le nombre de places actuellement disponibles dans les foyers d</w:t>
            </w:r>
            <w:r w:rsidR="00801F15" w:rsidRPr="001B46CB">
              <w:rPr>
                <w:rFonts w:asciiTheme="majorBidi" w:hAnsiTheme="majorBidi" w:cstheme="majorBidi"/>
                <w:lang w:val="fr-FR"/>
              </w:rPr>
              <w:t>’</w:t>
            </w:r>
            <w:r w:rsidRPr="001B46CB">
              <w:rPr>
                <w:rFonts w:asciiTheme="majorBidi" w:hAnsiTheme="majorBidi" w:cstheme="majorBidi"/>
                <w:lang w:val="fr-FR"/>
              </w:rPr>
              <w:t>accueil pour les victimes de violence domestique, Bahreïn réaffirme la teneur des paragraphes 110 à 113 de son quatrième rapport périodique et ajoute ce qui suit</w:t>
            </w:r>
            <w:r w:rsidR="00801F15" w:rsidRPr="001B46CB">
              <w:rPr>
                <w:rFonts w:asciiTheme="majorBidi" w:hAnsiTheme="majorBidi" w:cstheme="majorBidi"/>
                <w:lang w:val="fr-FR"/>
              </w:rPr>
              <w:t> :</w:t>
            </w:r>
          </w:p>
          <w:p w14:paraId="3594E7D0" w14:textId="26CDCFDC" w:rsidR="00F36F51" w:rsidRPr="001B46CB" w:rsidRDefault="003A2471" w:rsidP="00B422AB">
            <w:pPr>
              <w:spacing w:after="200" w:line="224" w:lineRule="exact"/>
              <w:ind w:left="720" w:right="144" w:hanging="360"/>
              <w:contextualSpacing/>
              <w:jc w:val="both"/>
              <w:rPr>
                <w:rFonts w:asciiTheme="majorBidi" w:hAnsiTheme="majorBidi" w:cstheme="majorBidi"/>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Le Centre Batelco de prise en charge des cas de violence domestique est le premier centre de la région du golfe Arabique spécialisé dans l</w:t>
            </w:r>
            <w:r w:rsidR="00801F15" w:rsidRPr="001B46CB">
              <w:rPr>
                <w:rFonts w:asciiTheme="majorBidi" w:hAnsiTheme="majorBidi" w:cstheme="majorBidi"/>
                <w:lang w:val="fr-FR"/>
              </w:rPr>
              <w:t>’</w:t>
            </w:r>
            <w:r w:rsidR="00F36F51" w:rsidRPr="001B46CB">
              <w:rPr>
                <w:rFonts w:asciiTheme="majorBidi" w:hAnsiTheme="majorBidi" w:cstheme="majorBidi"/>
                <w:lang w:val="fr-FR"/>
              </w:rPr>
              <w:t>aide aux victimes de la violence domestique. Il fournit gratuitement des services de pointe à toutes les victimes (hommes, femmes et enfants de toute nationalité). Y sont notamment proposés des activités de formation, des consultations et des cours de sensibilisation en matière de lutte contre la violence domestique.</w:t>
            </w:r>
          </w:p>
          <w:p w14:paraId="2C8DDB0C" w14:textId="40ABE8F6" w:rsidR="00F36F51" w:rsidRPr="001B46CB" w:rsidRDefault="003A2471" w:rsidP="00B422AB">
            <w:pPr>
              <w:spacing w:after="20" w:line="224" w:lineRule="exact"/>
              <w:ind w:left="720" w:right="144" w:hanging="360"/>
              <w:jc w:val="both"/>
              <w:rPr>
                <w:rFonts w:asciiTheme="majorBidi" w:hAnsiTheme="majorBidi" w:cstheme="majorBidi"/>
                <w:strike/>
                <w:lang w:val="fr-FR"/>
              </w:rPr>
            </w:pPr>
            <w:r w:rsidRPr="001B46CB">
              <w:rPr>
                <w:rFonts w:asciiTheme="majorBidi" w:hAnsiTheme="majorBidi" w:cstheme="majorBidi"/>
                <w:lang w:val="fr-FR"/>
              </w:rPr>
              <w:lastRenderedPageBreak/>
              <w:t>•</w:t>
            </w:r>
            <w:r w:rsidRPr="001B46CB">
              <w:rPr>
                <w:rFonts w:asciiTheme="majorBidi" w:hAnsiTheme="majorBidi" w:cstheme="majorBidi"/>
                <w:lang w:val="fr-FR"/>
              </w:rPr>
              <w:tab/>
            </w:r>
            <w:r w:rsidR="00F36F51" w:rsidRPr="001B46CB">
              <w:rPr>
                <w:rFonts w:asciiTheme="majorBidi" w:hAnsiTheme="majorBidi" w:cstheme="majorBidi"/>
                <w:lang w:val="fr-FR"/>
              </w:rPr>
              <w:t>Le Centre de protection de l</w:t>
            </w:r>
            <w:r w:rsidR="00801F15" w:rsidRPr="001B46CB">
              <w:rPr>
                <w:rFonts w:asciiTheme="majorBidi" w:hAnsiTheme="majorBidi" w:cstheme="majorBidi"/>
                <w:lang w:val="fr-FR"/>
              </w:rPr>
              <w:t>’</w:t>
            </w:r>
            <w:r w:rsidR="00F36F51" w:rsidRPr="001B46CB">
              <w:rPr>
                <w:rFonts w:asciiTheme="majorBidi" w:hAnsiTheme="majorBidi" w:cstheme="majorBidi"/>
                <w:lang w:val="fr-FR"/>
              </w:rPr>
              <w:t>enfance, créé en mai 2007, est une institution de protection sociale relevant du Département de la protection sociale du Ministère du travail et du développement social. Il a pour mission de protéger les enfants jusqu</w:t>
            </w:r>
            <w:r w:rsidR="00801F15" w:rsidRPr="001B46CB">
              <w:rPr>
                <w:rFonts w:asciiTheme="majorBidi" w:hAnsiTheme="majorBidi" w:cstheme="majorBidi"/>
                <w:lang w:val="fr-FR"/>
              </w:rPr>
              <w:t>’</w:t>
            </w:r>
            <w:r w:rsidR="00F36F51" w:rsidRPr="001B46CB">
              <w:rPr>
                <w:rFonts w:asciiTheme="majorBidi" w:hAnsiTheme="majorBidi" w:cstheme="majorBidi"/>
                <w:lang w:val="fr-FR"/>
              </w:rPr>
              <w:t>à l</w:t>
            </w:r>
            <w:r w:rsidR="00801F15" w:rsidRPr="001B46CB">
              <w:rPr>
                <w:rFonts w:asciiTheme="majorBidi" w:hAnsiTheme="majorBidi" w:cstheme="majorBidi"/>
                <w:lang w:val="fr-FR"/>
              </w:rPr>
              <w:t>’</w:t>
            </w:r>
            <w:r w:rsidR="00F36F51" w:rsidRPr="001B46CB">
              <w:rPr>
                <w:rFonts w:asciiTheme="majorBidi" w:hAnsiTheme="majorBidi" w:cstheme="majorBidi"/>
                <w:lang w:val="fr-FR"/>
              </w:rPr>
              <w:t>âge de 18 ans de toutes les formes de violence et de négligence, et de traiter les cas de maltraitance physique et psychologique, les cas d</w:t>
            </w:r>
            <w:r w:rsidR="00801F15" w:rsidRPr="001B46CB">
              <w:rPr>
                <w:rFonts w:asciiTheme="majorBidi" w:hAnsiTheme="majorBidi" w:cstheme="majorBidi"/>
                <w:lang w:val="fr-FR"/>
              </w:rPr>
              <w:t>’</w:t>
            </w:r>
            <w:r w:rsidR="00F36F51" w:rsidRPr="001B46CB">
              <w:rPr>
                <w:rFonts w:asciiTheme="majorBidi" w:hAnsiTheme="majorBidi" w:cstheme="majorBidi"/>
                <w:lang w:val="fr-FR"/>
              </w:rPr>
              <w:t>agressions sexuelles et les cas de négligence grave.</w:t>
            </w:r>
          </w:p>
        </w:tc>
      </w:tr>
      <w:tr w:rsidR="00AC6FEF" w:rsidRPr="001B46CB" w14:paraId="233F3FA0" w14:textId="77777777" w:rsidTr="00767A10">
        <w:trPr>
          <w:tblCellSpacing w:w="20" w:type="dxa"/>
          <w:jc w:val="center"/>
        </w:trPr>
        <w:tc>
          <w:tcPr>
            <w:tcW w:w="2701" w:type="pct"/>
            <w:gridSpan w:val="8"/>
            <w:shd w:val="clear" w:color="auto" w:fill="DDD9C3" w:themeFill="background2" w:themeFillShade="E6"/>
          </w:tcPr>
          <w:p w14:paraId="373775E8" w14:textId="77777777" w:rsidR="00F36F51" w:rsidRPr="001B46CB" w:rsidRDefault="00F36F51" w:rsidP="00767A10">
            <w:pPr>
              <w:keepNext/>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lastRenderedPageBreak/>
              <w:t>Domaine concerné</w:t>
            </w:r>
          </w:p>
        </w:tc>
        <w:tc>
          <w:tcPr>
            <w:tcW w:w="2238" w:type="pct"/>
            <w:gridSpan w:val="5"/>
            <w:shd w:val="clear" w:color="auto" w:fill="EEECE1" w:themeFill="background2"/>
          </w:tcPr>
          <w:p w14:paraId="65B31BD2" w14:textId="77777777" w:rsidR="00F36F51" w:rsidRPr="001B46CB" w:rsidRDefault="00F36F51" w:rsidP="00767A10">
            <w:pPr>
              <w:keepNext/>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Traite et exploitation de la prostitution</w:t>
            </w:r>
          </w:p>
        </w:tc>
      </w:tr>
      <w:tr w:rsidR="00F36F51" w:rsidRPr="001B46CB" w14:paraId="4C6C4649" w14:textId="77777777" w:rsidTr="0080608B">
        <w:trPr>
          <w:tblCellSpacing w:w="20" w:type="dxa"/>
          <w:jc w:val="center"/>
        </w:trPr>
        <w:tc>
          <w:tcPr>
            <w:tcW w:w="4959" w:type="pct"/>
            <w:gridSpan w:val="13"/>
            <w:shd w:val="clear" w:color="auto" w:fill="C4BC96" w:themeFill="background2" w:themeFillShade="BF"/>
            <w:vAlign w:val="center"/>
          </w:tcPr>
          <w:p w14:paraId="4C78AC06" w14:textId="77777777" w:rsidR="00F36F51" w:rsidRPr="001B46CB" w:rsidRDefault="00F36F51" w:rsidP="003471AB">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F36F51" w:rsidRPr="001B46CB" w14:paraId="238908D3" w14:textId="77777777" w:rsidTr="0080608B">
        <w:trPr>
          <w:tblCellSpacing w:w="20" w:type="dxa"/>
          <w:jc w:val="center"/>
        </w:trPr>
        <w:tc>
          <w:tcPr>
            <w:tcW w:w="4959" w:type="pct"/>
            <w:gridSpan w:val="13"/>
            <w:shd w:val="clear" w:color="auto" w:fill="auto"/>
            <w:vAlign w:val="center"/>
          </w:tcPr>
          <w:p w14:paraId="70D12BC5" w14:textId="3A536197" w:rsidR="00F36F51" w:rsidRPr="001B46CB" w:rsidRDefault="00F36F51" w:rsidP="00B422AB">
            <w:pPr>
              <w:pStyle w:val="ListParagraph"/>
              <w:numPr>
                <w:ilvl w:val="0"/>
                <w:numId w:val="42"/>
              </w:numPr>
              <w:spacing w:after="20" w:line="224" w:lineRule="exact"/>
              <w:ind w:left="360" w:right="144"/>
              <w:contextualSpacing w:val="0"/>
              <w:jc w:val="both"/>
              <w:rPr>
                <w:rFonts w:asciiTheme="majorBidi" w:hAnsiTheme="majorBidi" w:cstheme="majorBidi"/>
                <w:color w:val="000000" w:themeColor="text1"/>
                <w:lang w:val="fr-FR"/>
              </w:rPr>
            </w:pPr>
            <w:r w:rsidRPr="001B46CB">
              <w:rPr>
                <w:rFonts w:asciiTheme="majorBidi" w:hAnsiTheme="majorBidi" w:cstheme="majorBidi"/>
                <w:lang w:val="fr-FR"/>
              </w:rPr>
              <w:t>Veuillez fournir des données chiffrées concernant les cas de traite de femmes et de filles, en particulier le nombre d</w:t>
            </w:r>
            <w:r w:rsidR="00801F15" w:rsidRPr="001B46CB">
              <w:rPr>
                <w:rFonts w:asciiTheme="majorBidi" w:hAnsiTheme="majorBidi" w:cstheme="majorBidi"/>
                <w:lang w:val="fr-FR"/>
              </w:rPr>
              <w:t>’</w:t>
            </w:r>
            <w:r w:rsidRPr="001B46CB">
              <w:rPr>
                <w:rFonts w:asciiTheme="majorBidi" w:hAnsiTheme="majorBidi" w:cstheme="majorBidi"/>
                <w:lang w:val="fr-FR"/>
              </w:rPr>
              <w:t>enquêtes ouvertes, de poursuites engagées et de condamnations prononcées, ainsi que les sanctions infligées aux auteurs des actes en cause au cours de la période considérée. Veuillez également fournir des informations sur les affaires portées devant les tribunaux par des travailleuses domestiques migrantes, ou «</w:t>
            </w:r>
            <w:r w:rsidR="00EE4AF9" w:rsidRPr="001B46CB">
              <w:rPr>
                <w:rFonts w:asciiTheme="majorBidi" w:hAnsiTheme="majorBidi" w:cstheme="majorBidi"/>
                <w:lang w:val="fr-FR"/>
              </w:rPr>
              <w:t> </w:t>
            </w:r>
            <w:r w:rsidRPr="001B46CB">
              <w:rPr>
                <w:rFonts w:asciiTheme="majorBidi" w:hAnsiTheme="majorBidi" w:cstheme="majorBidi"/>
                <w:lang w:val="fr-FR"/>
              </w:rPr>
              <w:t>travailleuses étrangères</w:t>
            </w:r>
            <w:r w:rsidR="00EE4AF9" w:rsidRPr="001B46CB">
              <w:rPr>
                <w:rFonts w:asciiTheme="majorBidi" w:hAnsiTheme="majorBidi" w:cstheme="majorBidi"/>
                <w:lang w:val="fr-FR"/>
              </w:rPr>
              <w:t> </w:t>
            </w:r>
            <w:r w:rsidRPr="001B46CB">
              <w:rPr>
                <w:rFonts w:asciiTheme="majorBidi" w:hAnsiTheme="majorBidi" w:cstheme="majorBidi"/>
                <w:lang w:val="fr-FR"/>
              </w:rPr>
              <w:t>» dans l</w:t>
            </w:r>
            <w:r w:rsidR="00801F15" w:rsidRPr="001B46CB">
              <w:rPr>
                <w:rFonts w:asciiTheme="majorBidi" w:hAnsiTheme="majorBidi" w:cstheme="majorBidi"/>
                <w:lang w:val="fr-FR"/>
              </w:rPr>
              <w:t>’</w:t>
            </w:r>
            <w:r w:rsidRPr="001B46CB">
              <w:rPr>
                <w:rFonts w:asciiTheme="majorBidi" w:hAnsiTheme="majorBidi" w:cstheme="majorBidi"/>
                <w:lang w:val="fr-FR"/>
              </w:rPr>
              <w:t>État partie, concernant le non-paiement de leur salaire, la rétention de leur passeport et d</w:t>
            </w:r>
            <w:r w:rsidR="00801F15" w:rsidRPr="001B46CB">
              <w:rPr>
                <w:rFonts w:asciiTheme="majorBidi" w:hAnsiTheme="majorBidi" w:cstheme="majorBidi"/>
                <w:lang w:val="fr-FR"/>
              </w:rPr>
              <w:t>’</w:t>
            </w:r>
            <w:r w:rsidRPr="001B46CB">
              <w:rPr>
                <w:rFonts w:asciiTheme="majorBidi" w:hAnsiTheme="majorBidi" w:cstheme="majorBidi"/>
                <w:lang w:val="fr-FR"/>
              </w:rPr>
              <w:t>autres documents personnels, ainsi que la commission à leur encontre d</w:t>
            </w:r>
            <w:r w:rsidR="00801F15" w:rsidRPr="001B46CB">
              <w:rPr>
                <w:rFonts w:asciiTheme="majorBidi" w:hAnsiTheme="majorBidi" w:cstheme="majorBidi"/>
                <w:lang w:val="fr-FR"/>
              </w:rPr>
              <w:t>’</w:t>
            </w:r>
            <w:r w:rsidRPr="001B46CB">
              <w:rPr>
                <w:rFonts w:asciiTheme="majorBidi" w:hAnsiTheme="majorBidi" w:cstheme="majorBidi"/>
                <w:lang w:val="fr-FR"/>
              </w:rPr>
              <w:t>actes de violence sexuelle, de violence physique ou psychologique, par leur employeur</w:t>
            </w:r>
            <w:r w:rsidR="00EE4AF9" w:rsidRPr="001B46CB">
              <w:rPr>
                <w:rFonts w:asciiTheme="majorBidi" w:hAnsiTheme="majorBidi" w:cstheme="majorBidi"/>
                <w:lang w:val="fr-FR"/>
              </w:rPr>
              <w:t>,</w:t>
            </w:r>
            <w:r w:rsidRPr="001B46CB">
              <w:rPr>
                <w:rFonts w:asciiTheme="majorBidi" w:hAnsiTheme="majorBidi" w:cstheme="majorBidi"/>
                <w:lang w:val="fr-FR"/>
              </w:rPr>
              <w:t xml:space="preserve"> indiquer si ces affaires ont été instruites au titre des dispositions du Code du travail ou de la traite et fournir des informations sur les sanctions prononcées à l</w:t>
            </w:r>
            <w:r w:rsidR="00801F15" w:rsidRPr="001B46CB">
              <w:rPr>
                <w:rFonts w:asciiTheme="majorBidi" w:hAnsiTheme="majorBidi" w:cstheme="majorBidi"/>
                <w:lang w:val="fr-FR"/>
              </w:rPr>
              <w:t>’</w:t>
            </w:r>
            <w:r w:rsidRPr="001B46CB">
              <w:rPr>
                <w:rFonts w:asciiTheme="majorBidi" w:hAnsiTheme="majorBidi" w:cstheme="majorBidi"/>
                <w:lang w:val="fr-FR"/>
              </w:rPr>
              <w:t>encontre des auteurs de ces actes. Veuillez indiquer si la définition de la traite en vigueur dans l</w:t>
            </w:r>
            <w:r w:rsidR="00801F15" w:rsidRPr="001B46CB">
              <w:rPr>
                <w:rFonts w:asciiTheme="majorBidi" w:hAnsiTheme="majorBidi" w:cstheme="majorBidi"/>
                <w:lang w:val="fr-FR"/>
              </w:rPr>
              <w:t>’</w:t>
            </w:r>
            <w:r w:rsidRPr="001B46CB">
              <w:rPr>
                <w:rFonts w:asciiTheme="majorBidi" w:hAnsiTheme="majorBidi" w:cstheme="majorBidi"/>
                <w:lang w:val="fr-FR"/>
              </w:rPr>
              <w:t>État partie est compatible avec le Protocole additionnel à la Convention des Nations Unies contre la criminalité transnationale organisée visant à prévenir, réprimer et punir la traite des personnes, en particulier des femmes et des enfants, fournir des renseignements sur le nombre de foyers d</w:t>
            </w:r>
            <w:r w:rsidR="00801F15" w:rsidRPr="001B46CB">
              <w:rPr>
                <w:rFonts w:asciiTheme="majorBidi" w:hAnsiTheme="majorBidi" w:cstheme="majorBidi"/>
                <w:lang w:val="fr-FR"/>
              </w:rPr>
              <w:t>’</w:t>
            </w:r>
            <w:r w:rsidRPr="001B46CB">
              <w:rPr>
                <w:rFonts w:asciiTheme="majorBidi" w:hAnsiTheme="majorBidi" w:cstheme="majorBidi"/>
                <w:lang w:val="fr-FR"/>
              </w:rPr>
              <w:t>accueil ouverts aux victimes de la traite (</w:t>
            </w:r>
            <w:r w:rsidR="00CC1C14" w:rsidRPr="001B46CB">
              <w:rPr>
                <w:rFonts w:asciiTheme="majorBidi" w:hAnsiTheme="majorBidi" w:cstheme="majorBidi"/>
                <w:lang w:val="fr-FR"/>
              </w:rPr>
              <w:t>par. </w:t>
            </w:r>
            <w:r w:rsidRPr="001B46CB">
              <w:rPr>
                <w:rFonts w:asciiTheme="majorBidi" w:hAnsiTheme="majorBidi" w:cstheme="majorBidi"/>
                <w:lang w:val="fr-FR"/>
              </w:rPr>
              <w:t>122), la répartition géographique de ceux-ci et le nombre de personnes qui peuvent y être admises, ainsi que la nature de leur financement, et indiquer les critères sur la base desquels les victimes sont orientées vers ces foyers ou vers le centre d</w:t>
            </w:r>
            <w:r w:rsidR="00801F15" w:rsidRPr="001B46CB">
              <w:rPr>
                <w:rFonts w:asciiTheme="majorBidi" w:hAnsiTheme="majorBidi" w:cstheme="majorBidi"/>
                <w:lang w:val="fr-FR"/>
              </w:rPr>
              <w:t>’</w:t>
            </w:r>
            <w:r w:rsidRPr="001B46CB">
              <w:rPr>
                <w:rFonts w:asciiTheme="majorBidi" w:hAnsiTheme="majorBidi" w:cstheme="majorBidi"/>
                <w:lang w:val="fr-FR"/>
              </w:rPr>
              <w:t>hébergement et de services réservé aux travailleurs étrangers (</w:t>
            </w:r>
            <w:r w:rsidR="00CC1C14" w:rsidRPr="001B46CB">
              <w:rPr>
                <w:rFonts w:asciiTheme="majorBidi" w:hAnsiTheme="majorBidi" w:cstheme="majorBidi"/>
                <w:lang w:val="fr-FR"/>
              </w:rPr>
              <w:t>par. </w:t>
            </w:r>
            <w:r w:rsidRPr="001B46CB">
              <w:rPr>
                <w:rFonts w:asciiTheme="majorBidi" w:hAnsiTheme="majorBidi" w:cstheme="majorBidi"/>
                <w:lang w:val="fr-FR"/>
              </w:rPr>
              <w:t>126). Conformément à la précédente recommandation du Comité [</w:t>
            </w:r>
            <w:hyperlink r:id="rId33" w:history="1">
              <w:r w:rsidRPr="001B46CB">
                <w:rPr>
                  <w:rStyle w:val="Hyperlink"/>
                  <w:rFonts w:asciiTheme="majorBidi" w:hAnsiTheme="majorBidi" w:cstheme="majorBidi"/>
                  <w:lang w:val="fr-FR"/>
                </w:rPr>
                <w:t>CEDAW/C/BHR/CO/3</w:t>
              </w:r>
            </w:hyperlink>
            <w:r w:rsidRPr="001B46CB">
              <w:rPr>
                <w:rFonts w:asciiTheme="majorBidi" w:hAnsiTheme="majorBidi" w:cstheme="majorBidi"/>
                <w:lang w:val="fr-FR"/>
              </w:rPr>
              <w:t xml:space="preserve">, </w:t>
            </w:r>
            <w:r w:rsidR="00CC1C14" w:rsidRPr="001B46CB">
              <w:rPr>
                <w:rFonts w:asciiTheme="majorBidi" w:hAnsiTheme="majorBidi" w:cstheme="majorBidi"/>
                <w:lang w:val="fr-FR"/>
              </w:rPr>
              <w:t>par. </w:t>
            </w:r>
            <w:r w:rsidRPr="001B46CB">
              <w:rPr>
                <w:rFonts w:asciiTheme="majorBidi" w:hAnsiTheme="majorBidi" w:cstheme="majorBidi"/>
                <w:lang w:val="fr-FR"/>
              </w:rPr>
              <w:t>26 f)], veuillez fournir des renseignements détaillés sur l</w:t>
            </w:r>
            <w:r w:rsidR="00801F15" w:rsidRPr="001B46CB">
              <w:rPr>
                <w:rFonts w:asciiTheme="majorBidi" w:hAnsiTheme="majorBidi" w:cstheme="majorBidi"/>
                <w:lang w:val="fr-FR"/>
              </w:rPr>
              <w:t>’</w:t>
            </w:r>
            <w:r w:rsidRPr="001B46CB">
              <w:rPr>
                <w:rFonts w:asciiTheme="majorBidi" w:hAnsiTheme="majorBidi" w:cstheme="majorBidi"/>
                <w:lang w:val="fr-FR"/>
              </w:rPr>
              <w:t>ampleur de la prostitution dans l</w:t>
            </w:r>
            <w:r w:rsidR="00801F15" w:rsidRPr="001B46CB">
              <w:rPr>
                <w:rFonts w:asciiTheme="majorBidi" w:hAnsiTheme="majorBidi" w:cstheme="majorBidi"/>
                <w:lang w:val="fr-FR"/>
              </w:rPr>
              <w:t>’</w:t>
            </w:r>
            <w:r w:rsidRPr="001B46CB">
              <w:rPr>
                <w:rFonts w:asciiTheme="majorBidi" w:hAnsiTheme="majorBidi" w:cstheme="majorBidi"/>
                <w:lang w:val="fr-FR"/>
              </w:rPr>
              <w:t>État partie et sur les politiques et les mesures adoptées pour prévenir l</w:t>
            </w:r>
            <w:r w:rsidR="00801F15" w:rsidRPr="001B46CB">
              <w:rPr>
                <w:rFonts w:asciiTheme="majorBidi" w:hAnsiTheme="majorBidi" w:cstheme="majorBidi"/>
                <w:lang w:val="fr-FR"/>
              </w:rPr>
              <w:t>’</w:t>
            </w:r>
            <w:r w:rsidRPr="001B46CB">
              <w:rPr>
                <w:rFonts w:asciiTheme="majorBidi" w:hAnsiTheme="majorBidi" w:cstheme="majorBidi"/>
                <w:lang w:val="fr-FR"/>
              </w:rPr>
              <w:t>exploitation sexuelle des femmes et des filles par la prostitution. Veuillez également fournir des renseignements sur les mesures envisagées ou en place pour dépénaliser la prostitution, réduire la demande de prostitution et soutenir les femmes qui souhaitent en sortir.</w:t>
            </w:r>
          </w:p>
        </w:tc>
      </w:tr>
      <w:tr w:rsidR="00F36F51" w:rsidRPr="001B46CB" w14:paraId="18105314" w14:textId="77777777" w:rsidTr="0080608B">
        <w:trPr>
          <w:tblCellSpacing w:w="20" w:type="dxa"/>
          <w:jc w:val="center"/>
        </w:trPr>
        <w:tc>
          <w:tcPr>
            <w:tcW w:w="4959" w:type="pct"/>
            <w:gridSpan w:val="13"/>
            <w:shd w:val="clear" w:color="auto" w:fill="C4BC96" w:themeFill="background2" w:themeFillShade="BF"/>
            <w:vAlign w:val="center"/>
          </w:tcPr>
          <w:p w14:paraId="5B243BA0" w14:textId="77777777" w:rsidR="00F36F51" w:rsidRPr="001B46CB" w:rsidRDefault="00F36F51" w:rsidP="003471AB">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Réponse</w:t>
            </w:r>
          </w:p>
        </w:tc>
      </w:tr>
      <w:tr w:rsidR="00F36F51" w:rsidRPr="001B46CB" w14:paraId="6C9A1F22" w14:textId="77777777" w:rsidTr="0080608B">
        <w:trPr>
          <w:tblCellSpacing w:w="20" w:type="dxa"/>
          <w:jc w:val="center"/>
        </w:trPr>
        <w:tc>
          <w:tcPr>
            <w:tcW w:w="4959" w:type="pct"/>
            <w:gridSpan w:val="13"/>
            <w:shd w:val="clear" w:color="auto" w:fill="auto"/>
            <w:vAlign w:val="center"/>
          </w:tcPr>
          <w:p w14:paraId="454FD399" w14:textId="4BAA755A" w:rsidR="00F36F51" w:rsidRPr="001B46CB" w:rsidRDefault="00F36F51" w:rsidP="00EF1E34">
            <w:pPr>
              <w:pStyle w:val="ListParagraph"/>
              <w:numPr>
                <w:ilvl w:val="0"/>
                <w:numId w:val="43"/>
              </w:numPr>
              <w:spacing w:after="200" w:line="220" w:lineRule="exact"/>
              <w:ind w:left="360" w:right="144"/>
              <w:jc w:val="both"/>
              <w:rPr>
                <w:rFonts w:asciiTheme="majorBidi" w:hAnsiTheme="majorBidi" w:cstheme="majorBidi"/>
                <w:lang w:val="fr-FR"/>
              </w:rPr>
            </w:pPr>
            <w:r w:rsidRPr="001B46CB">
              <w:rPr>
                <w:rFonts w:asciiTheme="majorBidi" w:hAnsiTheme="majorBidi" w:cstheme="majorBidi"/>
                <w:lang w:val="fr-FR"/>
              </w:rPr>
              <w:t>Pour ce qui est de fournir des informations détaillées sur les affaires et les victimes, ces informations sont personnelles et confidentielles. La confidentialité doit être assurée pour protéger la vie privée des parties prenantes et préserver la souveraineté de l</w:t>
            </w:r>
            <w:r w:rsidR="00801F15" w:rsidRPr="001B46CB">
              <w:rPr>
                <w:rFonts w:asciiTheme="majorBidi" w:hAnsiTheme="majorBidi" w:cstheme="majorBidi"/>
                <w:lang w:val="fr-FR"/>
              </w:rPr>
              <w:t>’</w:t>
            </w:r>
            <w:r w:rsidRPr="001B46CB">
              <w:rPr>
                <w:rFonts w:asciiTheme="majorBidi" w:hAnsiTheme="majorBidi" w:cstheme="majorBidi"/>
                <w:lang w:val="fr-FR"/>
              </w:rPr>
              <w:t>État. Certaines tendances et données statistiques seront présentées directement par l</w:t>
            </w:r>
            <w:r w:rsidR="00801F15" w:rsidRPr="001B46CB">
              <w:rPr>
                <w:rFonts w:asciiTheme="majorBidi" w:hAnsiTheme="majorBidi" w:cstheme="majorBidi"/>
                <w:lang w:val="fr-FR"/>
              </w:rPr>
              <w:t>’</w:t>
            </w:r>
            <w:r w:rsidRPr="001B46CB">
              <w:rPr>
                <w:rFonts w:asciiTheme="majorBidi" w:hAnsiTheme="majorBidi" w:cstheme="majorBidi"/>
                <w:lang w:val="fr-FR"/>
              </w:rPr>
              <w:t>entité compétente dans le cadre de l</w:t>
            </w:r>
            <w:r w:rsidR="00801F15" w:rsidRPr="001B46CB">
              <w:rPr>
                <w:rFonts w:asciiTheme="majorBidi" w:hAnsiTheme="majorBidi" w:cstheme="majorBidi"/>
                <w:lang w:val="fr-FR"/>
              </w:rPr>
              <w:t>’</w:t>
            </w:r>
            <w:r w:rsidRPr="001B46CB">
              <w:rPr>
                <w:rFonts w:asciiTheme="majorBidi" w:hAnsiTheme="majorBidi" w:cstheme="majorBidi"/>
                <w:lang w:val="fr-FR"/>
              </w:rPr>
              <w:t>examen du quatrième rapport périodique.</w:t>
            </w:r>
          </w:p>
          <w:p w14:paraId="22756A4D" w14:textId="1533754D" w:rsidR="00F36F51" w:rsidRPr="001B46CB" w:rsidRDefault="00F36F51" w:rsidP="00EF1E34">
            <w:pPr>
              <w:pStyle w:val="ListParagraph"/>
              <w:numPr>
                <w:ilvl w:val="0"/>
                <w:numId w:val="43"/>
              </w:numPr>
              <w:spacing w:after="200" w:line="220" w:lineRule="exact"/>
              <w:ind w:left="360" w:right="144"/>
              <w:jc w:val="both"/>
              <w:rPr>
                <w:rFonts w:asciiTheme="majorBidi" w:hAnsiTheme="majorBidi" w:cstheme="majorBidi"/>
                <w:lang w:val="fr-FR"/>
              </w:rPr>
            </w:pPr>
            <w:r w:rsidRPr="001B46CB">
              <w:rPr>
                <w:rFonts w:asciiTheme="majorBidi" w:hAnsiTheme="majorBidi" w:cstheme="majorBidi"/>
                <w:lang w:val="fr-FR"/>
              </w:rPr>
              <w:t>S</w:t>
            </w:r>
            <w:r w:rsidR="00801F15" w:rsidRPr="001B46CB">
              <w:rPr>
                <w:rFonts w:asciiTheme="majorBidi" w:hAnsiTheme="majorBidi" w:cstheme="majorBidi"/>
                <w:lang w:val="fr-FR"/>
              </w:rPr>
              <w:t>’</w:t>
            </w:r>
            <w:r w:rsidRPr="001B46CB">
              <w:rPr>
                <w:rFonts w:asciiTheme="majorBidi" w:hAnsiTheme="majorBidi" w:cstheme="majorBidi"/>
                <w:lang w:val="fr-FR"/>
              </w:rPr>
              <w:t>agissant des sanctions encourues en cas de traite des personnes, la 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1 de 2008 sur la lutte contre la traite des personnes prévoit une peine de prison et une amende d</w:t>
            </w:r>
            <w:r w:rsidR="00801F15" w:rsidRPr="001B46CB">
              <w:rPr>
                <w:rFonts w:asciiTheme="majorBidi" w:hAnsiTheme="majorBidi" w:cstheme="majorBidi"/>
                <w:lang w:val="fr-FR"/>
              </w:rPr>
              <w:t>’</w:t>
            </w:r>
            <w:r w:rsidRPr="001B46CB">
              <w:rPr>
                <w:rFonts w:asciiTheme="majorBidi" w:hAnsiTheme="majorBidi" w:cstheme="majorBidi"/>
                <w:lang w:val="fr-FR"/>
              </w:rPr>
              <w:t>un montant allant de 2 000 dinars à 10 000 dinars (art</w:t>
            </w:r>
            <w:r w:rsidR="00765A13" w:rsidRPr="001B46CB">
              <w:rPr>
                <w:rFonts w:asciiTheme="majorBidi" w:hAnsiTheme="majorBidi" w:cstheme="majorBidi"/>
                <w:lang w:val="fr-FR"/>
              </w:rPr>
              <w:t>. </w:t>
            </w:r>
            <w:r w:rsidRPr="001B46CB">
              <w:rPr>
                <w:rFonts w:asciiTheme="majorBidi" w:hAnsiTheme="majorBidi" w:cstheme="majorBidi"/>
                <w:lang w:val="fr-FR"/>
              </w:rPr>
              <w:t>2). En outre, le fait que la victime soit âgée de moins de 15 ans, soit une fille ou une femme ou ait des besoins particuliers constitue une circonstance aggravante (art</w:t>
            </w:r>
            <w:r w:rsidR="00765A13" w:rsidRPr="001B46CB">
              <w:rPr>
                <w:rFonts w:asciiTheme="majorBidi" w:hAnsiTheme="majorBidi" w:cstheme="majorBidi"/>
                <w:lang w:val="fr-FR"/>
              </w:rPr>
              <w:t>. </w:t>
            </w:r>
            <w:r w:rsidRPr="001B46CB">
              <w:rPr>
                <w:rFonts w:asciiTheme="majorBidi" w:hAnsiTheme="majorBidi" w:cstheme="majorBidi"/>
                <w:lang w:val="fr-FR"/>
              </w:rPr>
              <w:t xml:space="preserve">4, </w:t>
            </w:r>
            <w:r w:rsidR="00CC1C14" w:rsidRPr="001B46CB">
              <w:rPr>
                <w:rFonts w:asciiTheme="majorBidi" w:hAnsiTheme="majorBidi" w:cstheme="majorBidi"/>
                <w:lang w:val="fr-FR"/>
              </w:rPr>
              <w:t>par. </w:t>
            </w:r>
            <w:r w:rsidRPr="001B46CB">
              <w:rPr>
                <w:rFonts w:asciiTheme="majorBidi" w:hAnsiTheme="majorBidi" w:cstheme="majorBidi"/>
                <w:lang w:val="fr-FR"/>
              </w:rPr>
              <w:t>2).</w:t>
            </w:r>
          </w:p>
          <w:p w14:paraId="0D7BDE06" w14:textId="158EFA94" w:rsidR="00F36F51" w:rsidRPr="00767A10" w:rsidRDefault="00F36F51" w:rsidP="00EF1E34">
            <w:pPr>
              <w:pStyle w:val="ListParagraph"/>
              <w:numPr>
                <w:ilvl w:val="0"/>
                <w:numId w:val="43"/>
              </w:numPr>
              <w:spacing w:after="200" w:line="220" w:lineRule="exact"/>
              <w:ind w:left="360" w:right="144"/>
              <w:jc w:val="both"/>
              <w:rPr>
                <w:rFonts w:asciiTheme="majorBidi" w:hAnsiTheme="majorBidi" w:cstheme="majorBidi"/>
                <w:lang w:val="fr-FR"/>
              </w:rPr>
            </w:pPr>
            <w:r w:rsidRPr="001B46CB">
              <w:rPr>
                <w:rFonts w:asciiTheme="majorBidi" w:hAnsiTheme="majorBidi" w:cstheme="majorBidi"/>
                <w:lang w:val="fr-FR"/>
              </w:rPr>
              <w:t>La traite des personnes est définie dans la 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1 de 2008 sur la question. Le texte de la loi est disponible à l</w:t>
            </w:r>
            <w:r w:rsidR="00801F15" w:rsidRPr="001B46CB">
              <w:rPr>
                <w:rFonts w:asciiTheme="majorBidi" w:hAnsiTheme="majorBidi" w:cstheme="majorBidi"/>
                <w:lang w:val="fr-FR"/>
              </w:rPr>
              <w:t>’</w:t>
            </w:r>
            <w:r w:rsidRPr="001B46CB">
              <w:rPr>
                <w:rFonts w:asciiTheme="majorBidi" w:hAnsiTheme="majorBidi" w:cstheme="majorBidi"/>
                <w:lang w:val="fr-FR"/>
              </w:rPr>
              <w:t>adresse électronique suivante</w:t>
            </w:r>
            <w:r w:rsidR="00801F15" w:rsidRPr="001B46CB">
              <w:rPr>
                <w:rFonts w:asciiTheme="majorBidi" w:hAnsiTheme="majorBidi" w:cstheme="majorBidi"/>
                <w:lang w:val="fr-FR"/>
              </w:rPr>
              <w:t> :</w:t>
            </w:r>
          </w:p>
          <w:p w14:paraId="64013BAF" w14:textId="2BD3B8D2" w:rsidR="00F36F51" w:rsidRPr="001B46CB" w:rsidRDefault="00F36F51" w:rsidP="00C70519">
            <w:pPr>
              <w:pStyle w:val="ListParagraph"/>
              <w:spacing w:line="240" w:lineRule="auto"/>
              <w:jc w:val="center"/>
              <w:rPr>
                <w:rFonts w:asciiTheme="majorBidi" w:hAnsiTheme="majorBidi" w:cstheme="majorBidi"/>
                <w:lang w:val="fr-FR"/>
              </w:rPr>
            </w:pPr>
            <w:hyperlink r:id="rId34" w:anchor=".XLIPivZuJdg. " w:history="1">
              <w:r w:rsidRPr="001B46CB">
                <w:rPr>
                  <w:rStyle w:val="Hyperlink"/>
                  <w:rFonts w:asciiTheme="majorBidi" w:hAnsiTheme="majorBidi" w:cstheme="majorBidi"/>
                  <w:lang w:val="fr-FR"/>
                </w:rPr>
                <w:t>http://www.legalaffairs.gov.bh/LegislationSearchDetails.aspx?id=519#.XLIPivZuJdg.</w:t>
              </w:r>
            </w:hyperlink>
          </w:p>
          <w:p w14:paraId="1E5B888F" w14:textId="704439E9" w:rsidR="00F36F51" w:rsidRPr="001B46CB" w:rsidRDefault="00F36F51" w:rsidP="00EF1E34">
            <w:pPr>
              <w:pStyle w:val="ListParagraph"/>
              <w:numPr>
                <w:ilvl w:val="0"/>
                <w:numId w:val="43"/>
              </w:numPr>
              <w:spacing w:after="200" w:line="220" w:lineRule="exact"/>
              <w:ind w:left="360" w:right="144"/>
              <w:jc w:val="both"/>
              <w:rPr>
                <w:rFonts w:asciiTheme="majorBidi" w:hAnsiTheme="majorBidi" w:cstheme="majorBidi"/>
                <w:lang w:val="fr-FR"/>
              </w:rPr>
            </w:pPr>
            <w:r w:rsidRPr="001B46CB">
              <w:rPr>
                <w:rFonts w:asciiTheme="majorBidi" w:hAnsiTheme="majorBidi" w:cstheme="majorBidi"/>
                <w:lang w:val="fr-FR"/>
              </w:rPr>
              <w:t>Le centre de protection et d</w:t>
            </w:r>
            <w:r w:rsidR="00801F15" w:rsidRPr="001B46CB">
              <w:rPr>
                <w:rFonts w:asciiTheme="majorBidi" w:hAnsiTheme="majorBidi" w:cstheme="majorBidi"/>
                <w:lang w:val="fr-FR"/>
              </w:rPr>
              <w:t>’</w:t>
            </w:r>
            <w:r w:rsidRPr="001B46CB">
              <w:rPr>
                <w:rFonts w:asciiTheme="majorBidi" w:hAnsiTheme="majorBidi" w:cstheme="majorBidi"/>
                <w:lang w:val="fr-FR"/>
              </w:rPr>
              <w:t>appui pour la main</w:t>
            </w:r>
            <w:r w:rsidR="00B0064D" w:rsidRPr="001B46CB">
              <w:rPr>
                <w:rFonts w:asciiTheme="majorBidi" w:hAnsiTheme="majorBidi" w:cstheme="majorBidi"/>
                <w:lang w:val="fr-FR"/>
              </w:rPr>
              <w:t>-</w:t>
            </w:r>
            <w:r w:rsidRPr="001B46CB">
              <w:rPr>
                <w:rFonts w:asciiTheme="majorBidi" w:hAnsiTheme="majorBidi" w:cstheme="majorBidi"/>
                <w:lang w:val="fr-FR"/>
              </w:rPr>
              <w:t>d</w:t>
            </w:r>
            <w:r w:rsidR="00801F15" w:rsidRPr="001B46CB">
              <w:rPr>
                <w:rFonts w:asciiTheme="majorBidi" w:hAnsiTheme="majorBidi" w:cstheme="majorBidi"/>
                <w:lang w:val="fr-FR"/>
              </w:rPr>
              <w:t>’</w:t>
            </w:r>
            <w:r w:rsidRPr="001B46CB">
              <w:rPr>
                <w:rFonts w:asciiTheme="majorBidi" w:hAnsiTheme="majorBidi" w:cstheme="majorBidi"/>
                <w:lang w:val="fr-FR"/>
              </w:rPr>
              <w:t>œuvre étrangère, mis en place en 2015, est le premier centre global regroupant un centre d</w:t>
            </w:r>
            <w:r w:rsidR="00801F15" w:rsidRPr="001B46CB">
              <w:rPr>
                <w:rFonts w:asciiTheme="majorBidi" w:hAnsiTheme="majorBidi" w:cstheme="majorBidi"/>
                <w:lang w:val="fr-FR"/>
              </w:rPr>
              <w:t>’</w:t>
            </w:r>
            <w:r w:rsidRPr="001B46CB">
              <w:rPr>
                <w:rFonts w:asciiTheme="majorBidi" w:hAnsiTheme="majorBidi" w:cstheme="majorBidi"/>
                <w:lang w:val="fr-FR"/>
              </w:rPr>
              <w:t>hébergement réservé aux victimes de la traite des personnes et proposant des services intégrés aux travailleuses et travailleurs étrangers. L</w:t>
            </w:r>
            <w:r w:rsidR="00801F15" w:rsidRPr="001B46CB">
              <w:rPr>
                <w:rFonts w:asciiTheme="majorBidi" w:hAnsiTheme="majorBidi" w:cstheme="majorBidi"/>
                <w:lang w:val="fr-FR"/>
              </w:rPr>
              <w:t>’</w:t>
            </w:r>
            <w:r w:rsidRPr="001B46CB">
              <w:rPr>
                <w:rFonts w:asciiTheme="majorBidi" w:hAnsiTheme="majorBidi" w:cstheme="majorBidi"/>
                <w:lang w:val="fr-FR"/>
              </w:rPr>
              <w:t>Organisation des Nations Unies a salué le centre et recommandé qu</w:t>
            </w:r>
            <w:r w:rsidR="00801F15" w:rsidRPr="001B46CB">
              <w:rPr>
                <w:rFonts w:asciiTheme="majorBidi" w:hAnsiTheme="majorBidi" w:cstheme="majorBidi"/>
                <w:lang w:val="fr-FR"/>
              </w:rPr>
              <w:t>’</w:t>
            </w:r>
            <w:r w:rsidRPr="001B46CB">
              <w:rPr>
                <w:rFonts w:asciiTheme="majorBidi" w:hAnsiTheme="majorBidi" w:cstheme="majorBidi"/>
                <w:lang w:val="fr-FR"/>
              </w:rPr>
              <w:t>il serve de modèle ailleurs. Le centre d</w:t>
            </w:r>
            <w:r w:rsidR="00801F15" w:rsidRPr="001B46CB">
              <w:rPr>
                <w:rFonts w:asciiTheme="majorBidi" w:hAnsiTheme="majorBidi" w:cstheme="majorBidi"/>
                <w:lang w:val="fr-FR"/>
              </w:rPr>
              <w:t>’</w:t>
            </w:r>
            <w:r w:rsidRPr="001B46CB">
              <w:rPr>
                <w:rFonts w:asciiTheme="majorBidi" w:hAnsiTheme="majorBidi" w:cstheme="majorBidi"/>
                <w:lang w:val="fr-FR"/>
              </w:rPr>
              <w:t>hébergement peut accueillir 120</w:t>
            </w:r>
            <w:r w:rsidR="008C2D6B" w:rsidRPr="001B46CB">
              <w:rPr>
                <w:rFonts w:asciiTheme="majorBidi" w:hAnsiTheme="majorBidi" w:cstheme="majorBidi"/>
                <w:lang w:val="fr-FR"/>
              </w:rPr>
              <w:t> </w:t>
            </w:r>
            <w:r w:rsidRPr="001B46CB">
              <w:rPr>
                <w:rFonts w:asciiTheme="majorBidi" w:hAnsiTheme="majorBidi" w:cstheme="majorBidi"/>
                <w:lang w:val="fr-FR"/>
              </w:rPr>
              <w:t>personnes des deux sexes, la capacité d</w:t>
            </w:r>
            <w:r w:rsidR="00801F15" w:rsidRPr="001B46CB">
              <w:rPr>
                <w:rFonts w:asciiTheme="majorBidi" w:hAnsiTheme="majorBidi" w:cstheme="majorBidi"/>
                <w:lang w:val="fr-FR"/>
              </w:rPr>
              <w:t>’</w:t>
            </w:r>
            <w:r w:rsidRPr="001B46CB">
              <w:rPr>
                <w:rFonts w:asciiTheme="majorBidi" w:hAnsiTheme="majorBidi" w:cstheme="majorBidi"/>
                <w:lang w:val="fr-FR"/>
              </w:rPr>
              <w:t>accueil pouvant être portée à 200 personnes, si nécessaire. Un ensemble de services intégrés y sont proposés</w:t>
            </w:r>
            <w:r w:rsidR="00801F15" w:rsidRPr="001B46CB">
              <w:rPr>
                <w:rFonts w:asciiTheme="majorBidi" w:hAnsiTheme="majorBidi" w:cstheme="majorBidi"/>
                <w:lang w:val="fr-FR"/>
              </w:rPr>
              <w:t> :</w:t>
            </w:r>
            <w:r w:rsidRPr="001B46CB">
              <w:rPr>
                <w:rFonts w:asciiTheme="majorBidi" w:hAnsiTheme="majorBidi" w:cstheme="majorBidi"/>
                <w:lang w:val="fr-FR"/>
              </w:rPr>
              <w:t xml:space="preserve"> protection, soins médicaux primaires, aide psychologique, conseils et assistance juridiques. Par exemple, le résident reçoit des conseils juridiques, est informé de ses droits et des moyens de les exercer et bénéficie d</w:t>
            </w:r>
            <w:r w:rsidR="00801F15" w:rsidRPr="001B46CB">
              <w:rPr>
                <w:rFonts w:asciiTheme="majorBidi" w:hAnsiTheme="majorBidi" w:cstheme="majorBidi"/>
                <w:lang w:val="fr-FR"/>
              </w:rPr>
              <w:t>’</w:t>
            </w:r>
            <w:r w:rsidRPr="001B46CB">
              <w:rPr>
                <w:rFonts w:asciiTheme="majorBidi" w:hAnsiTheme="majorBidi" w:cstheme="majorBidi"/>
                <w:lang w:val="fr-FR"/>
              </w:rPr>
              <w:t>une aide</w:t>
            </w:r>
            <w:r w:rsidR="00801F15" w:rsidRPr="001B46CB">
              <w:rPr>
                <w:rFonts w:asciiTheme="majorBidi" w:hAnsiTheme="majorBidi" w:cstheme="majorBidi"/>
                <w:lang w:val="fr-FR"/>
              </w:rPr>
              <w:t xml:space="preserve"> </w:t>
            </w:r>
            <w:r w:rsidRPr="001B46CB">
              <w:rPr>
                <w:rFonts w:asciiTheme="majorBidi" w:hAnsiTheme="majorBidi" w:cstheme="majorBidi"/>
                <w:lang w:val="fr-FR"/>
              </w:rPr>
              <w:t>pour le règlement de litiges et le lancement d</w:t>
            </w:r>
            <w:r w:rsidR="00801F15" w:rsidRPr="001B46CB">
              <w:rPr>
                <w:rFonts w:asciiTheme="majorBidi" w:hAnsiTheme="majorBidi" w:cstheme="majorBidi"/>
                <w:lang w:val="fr-FR"/>
              </w:rPr>
              <w:t>’</w:t>
            </w:r>
            <w:r w:rsidRPr="001B46CB">
              <w:rPr>
                <w:rFonts w:asciiTheme="majorBidi" w:hAnsiTheme="majorBidi" w:cstheme="majorBidi"/>
                <w:lang w:val="fr-FR"/>
              </w:rPr>
              <w:t>une action en justice.</w:t>
            </w:r>
          </w:p>
          <w:p w14:paraId="3892A393" w14:textId="046E9C67" w:rsidR="00F36F51" w:rsidRPr="001B46CB" w:rsidRDefault="00F36F51" w:rsidP="00767A10">
            <w:pPr>
              <w:pStyle w:val="ListParagraph"/>
              <w:numPr>
                <w:ilvl w:val="0"/>
                <w:numId w:val="43"/>
              </w:numPr>
              <w:spacing w:after="20" w:line="220" w:lineRule="exact"/>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La création du centre de protection pour la main</w:t>
            </w:r>
            <w:r w:rsidR="009D67E3" w:rsidRPr="001B46CB">
              <w:rPr>
                <w:rFonts w:asciiTheme="majorBidi" w:hAnsiTheme="majorBidi" w:cstheme="majorBidi"/>
                <w:lang w:val="fr-FR"/>
              </w:rPr>
              <w:t>-</w:t>
            </w:r>
            <w:r w:rsidRPr="001B46CB">
              <w:rPr>
                <w:rFonts w:asciiTheme="majorBidi" w:hAnsiTheme="majorBidi" w:cstheme="majorBidi"/>
                <w:lang w:val="fr-FR"/>
              </w:rPr>
              <w:t>d</w:t>
            </w:r>
            <w:r w:rsidR="00801F15" w:rsidRPr="001B46CB">
              <w:rPr>
                <w:rFonts w:asciiTheme="majorBidi" w:hAnsiTheme="majorBidi" w:cstheme="majorBidi"/>
                <w:lang w:val="fr-FR"/>
              </w:rPr>
              <w:t>’</w:t>
            </w:r>
            <w:r w:rsidRPr="001B46CB">
              <w:rPr>
                <w:rFonts w:asciiTheme="majorBidi" w:hAnsiTheme="majorBidi" w:cstheme="majorBidi"/>
                <w:lang w:val="fr-FR"/>
              </w:rPr>
              <w:t>œuvre étrangère a été financée par le Royaume de Bahreïn et l</w:t>
            </w:r>
            <w:r w:rsidR="00801F15" w:rsidRPr="001B46CB">
              <w:rPr>
                <w:rFonts w:asciiTheme="majorBidi" w:hAnsiTheme="majorBidi" w:cstheme="majorBidi"/>
                <w:lang w:val="fr-FR"/>
              </w:rPr>
              <w:t>’</w:t>
            </w:r>
            <w:r w:rsidRPr="001B46CB">
              <w:rPr>
                <w:rFonts w:asciiTheme="majorBidi" w:hAnsiTheme="majorBidi" w:cstheme="majorBidi"/>
                <w:lang w:val="fr-FR"/>
              </w:rPr>
              <w:t>accueil et l</w:t>
            </w:r>
            <w:r w:rsidR="00801F15" w:rsidRPr="001B46CB">
              <w:rPr>
                <w:rFonts w:asciiTheme="majorBidi" w:hAnsiTheme="majorBidi" w:cstheme="majorBidi"/>
                <w:lang w:val="fr-FR"/>
              </w:rPr>
              <w:t>’</w:t>
            </w:r>
            <w:r w:rsidRPr="001B46CB">
              <w:rPr>
                <w:rFonts w:asciiTheme="majorBidi" w:hAnsiTheme="majorBidi" w:cstheme="majorBidi"/>
                <w:lang w:val="fr-FR"/>
              </w:rPr>
              <w:t>orientation des victimes se font conformément à la loi et au système d</w:t>
            </w:r>
            <w:r w:rsidR="00801F15" w:rsidRPr="001B46CB">
              <w:rPr>
                <w:rFonts w:asciiTheme="majorBidi" w:hAnsiTheme="majorBidi" w:cstheme="majorBidi"/>
                <w:lang w:val="fr-FR"/>
              </w:rPr>
              <w:t>’</w:t>
            </w:r>
            <w:r w:rsidRPr="001B46CB">
              <w:rPr>
                <w:rFonts w:asciiTheme="majorBidi" w:hAnsiTheme="majorBidi" w:cstheme="majorBidi"/>
                <w:lang w:val="fr-FR"/>
              </w:rPr>
              <w:t>orientation utilisé dans le centre.</w:t>
            </w:r>
          </w:p>
        </w:tc>
      </w:tr>
      <w:tr w:rsidR="00481471" w:rsidRPr="001B46CB" w14:paraId="6AACB748" w14:textId="77777777" w:rsidTr="00767A10">
        <w:trPr>
          <w:tblCellSpacing w:w="20" w:type="dxa"/>
          <w:jc w:val="center"/>
        </w:trPr>
        <w:tc>
          <w:tcPr>
            <w:tcW w:w="2290" w:type="pct"/>
            <w:gridSpan w:val="6"/>
            <w:shd w:val="clear" w:color="auto" w:fill="DDD9C3" w:themeFill="background2" w:themeFillShade="E6"/>
          </w:tcPr>
          <w:p w14:paraId="6FA9484B" w14:textId="77777777" w:rsidR="00F36F51" w:rsidRPr="001B46CB" w:rsidRDefault="00F36F51" w:rsidP="003471AB">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Domaine concerné</w:t>
            </w:r>
          </w:p>
        </w:tc>
        <w:tc>
          <w:tcPr>
            <w:tcW w:w="2649" w:type="pct"/>
            <w:gridSpan w:val="7"/>
            <w:shd w:val="clear" w:color="auto" w:fill="EEECE1" w:themeFill="background2"/>
          </w:tcPr>
          <w:p w14:paraId="4C4769A5" w14:textId="77777777" w:rsidR="00F36F51" w:rsidRPr="001B46CB" w:rsidRDefault="00F36F51" w:rsidP="003471AB">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Participation à la vie politique et publique</w:t>
            </w:r>
          </w:p>
        </w:tc>
      </w:tr>
      <w:tr w:rsidR="00F36F51" w:rsidRPr="001B46CB" w14:paraId="43950418" w14:textId="77777777" w:rsidTr="0080608B">
        <w:trPr>
          <w:tblCellSpacing w:w="20" w:type="dxa"/>
          <w:jc w:val="center"/>
        </w:trPr>
        <w:tc>
          <w:tcPr>
            <w:tcW w:w="4959" w:type="pct"/>
            <w:gridSpan w:val="13"/>
            <w:shd w:val="clear" w:color="auto" w:fill="C4BC96" w:themeFill="background2" w:themeFillShade="BF"/>
          </w:tcPr>
          <w:p w14:paraId="7F0024E9" w14:textId="77777777" w:rsidR="00F36F51" w:rsidRPr="001B46CB" w:rsidRDefault="00F36F51" w:rsidP="003471AB">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F36F51" w:rsidRPr="001B46CB" w14:paraId="6E21AE78" w14:textId="77777777" w:rsidTr="0080608B">
        <w:trPr>
          <w:tblCellSpacing w:w="20" w:type="dxa"/>
          <w:jc w:val="center"/>
        </w:trPr>
        <w:tc>
          <w:tcPr>
            <w:tcW w:w="4959" w:type="pct"/>
            <w:gridSpan w:val="13"/>
            <w:shd w:val="clear" w:color="auto" w:fill="auto"/>
          </w:tcPr>
          <w:p w14:paraId="46CAD387" w14:textId="0B9C65FF" w:rsidR="00F36F51" w:rsidRPr="001B46CB" w:rsidRDefault="00F36F51" w:rsidP="00EF1E34">
            <w:pPr>
              <w:pStyle w:val="ListParagraph"/>
              <w:numPr>
                <w:ilvl w:val="0"/>
                <w:numId w:val="42"/>
              </w:numPr>
              <w:tabs>
                <w:tab w:val="left" w:pos="4515"/>
              </w:tabs>
              <w:spacing w:after="20" w:line="220" w:lineRule="exact"/>
              <w:ind w:left="360" w:right="144"/>
              <w:contextualSpacing w:val="0"/>
              <w:jc w:val="both"/>
              <w:rPr>
                <w:rFonts w:asciiTheme="majorBidi" w:hAnsiTheme="majorBidi" w:cstheme="majorBidi"/>
                <w:color w:val="000000" w:themeColor="text1"/>
                <w:lang w:val="fr-FR"/>
              </w:rPr>
            </w:pPr>
            <w:r w:rsidRPr="001B46CB">
              <w:rPr>
                <w:rFonts w:asciiTheme="majorBidi" w:hAnsiTheme="majorBidi" w:cstheme="majorBidi"/>
                <w:lang w:val="fr-FR"/>
              </w:rPr>
              <w:lastRenderedPageBreak/>
              <w:t>Veuillez fournir des données actualisées, ventilées par sexe, âge, nationalité, appartenance ethnique, handicap et milieu (urbain ou rural), concernant les femmes occupant des postes auxquels elles ont été élues ou nommées dans les organes des pouvoirs législatif, exécutif et judiciaire, au niveau national et au niveau local. Étant donné que les femmes occupent seulement 15</w:t>
            </w:r>
            <w:r w:rsidR="007D4344" w:rsidRPr="001B46CB">
              <w:rPr>
                <w:rFonts w:asciiTheme="majorBidi" w:hAnsiTheme="majorBidi" w:cstheme="majorBidi"/>
                <w:lang w:val="fr-FR"/>
              </w:rPr>
              <w:t> %</w:t>
            </w:r>
            <w:r w:rsidRPr="001B46CB">
              <w:rPr>
                <w:rFonts w:asciiTheme="majorBidi" w:hAnsiTheme="majorBidi" w:cstheme="majorBidi"/>
                <w:lang w:val="fr-FR"/>
              </w:rPr>
              <w:t xml:space="preserve"> des postes au Parlement et 20</w:t>
            </w:r>
            <w:r w:rsidR="007D4344" w:rsidRPr="001B46CB">
              <w:rPr>
                <w:rFonts w:asciiTheme="majorBidi" w:hAnsiTheme="majorBidi" w:cstheme="majorBidi"/>
                <w:lang w:val="fr-FR"/>
              </w:rPr>
              <w:t> %</w:t>
            </w:r>
            <w:r w:rsidRPr="001B46CB">
              <w:rPr>
                <w:rFonts w:asciiTheme="majorBidi" w:hAnsiTheme="majorBidi" w:cstheme="majorBidi"/>
                <w:lang w:val="fr-FR"/>
              </w:rPr>
              <w:t xml:space="preserve"> des sièges des conseils municipaux (</w:t>
            </w:r>
            <w:r w:rsidR="00CC1C14" w:rsidRPr="001B46CB">
              <w:rPr>
                <w:rFonts w:asciiTheme="majorBidi" w:hAnsiTheme="majorBidi" w:cstheme="majorBidi"/>
                <w:lang w:val="fr-FR"/>
              </w:rPr>
              <w:t>par. </w:t>
            </w:r>
            <w:r w:rsidRPr="001B46CB">
              <w:rPr>
                <w:rFonts w:asciiTheme="majorBidi" w:hAnsiTheme="majorBidi" w:cstheme="majorBidi"/>
                <w:lang w:val="fr-FR"/>
              </w:rPr>
              <w:t>75), veuillez également donner des précisions sur les mesures spéciales prises, assorties d</w:t>
            </w:r>
            <w:r w:rsidR="00801F15" w:rsidRPr="001B46CB">
              <w:rPr>
                <w:rFonts w:asciiTheme="majorBidi" w:hAnsiTheme="majorBidi" w:cstheme="majorBidi"/>
                <w:lang w:val="fr-FR"/>
              </w:rPr>
              <w:t>’</w:t>
            </w:r>
            <w:r w:rsidRPr="001B46CB">
              <w:rPr>
                <w:rFonts w:asciiTheme="majorBidi" w:hAnsiTheme="majorBidi" w:cstheme="majorBidi"/>
                <w:lang w:val="fr-FR"/>
              </w:rPr>
              <w:t>objectifs et de calendriers précis, pour parvenir à une égalité réelle de fait dans la vie politique et publique à tous les niveaux et dans tous les domaines (</w:t>
            </w:r>
            <w:hyperlink r:id="rId35" w:history="1">
              <w:r w:rsidRPr="001B46CB">
                <w:rPr>
                  <w:rStyle w:val="Hyperlink"/>
                  <w:rFonts w:asciiTheme="majorBidi" w:hAnsiTheme="majorBidi" w:cstheme="majorBidi"/>
                  <w:lang w:val="fr-FR"/>
                </w:rPr>
                <w:t>CEDAW/C/BHR/CO/2</w:t>
              </w:r>
            </w:hyperlink>
            <w:r w:rsidRPr="001B46CB">
              <w:rPr>
                <w:rFonts w:asciiTheme="majorBidi" w:hAnsiTheme="majorBidi" w:cstheme="majorBidi"/>
                <w:lang w:val="fr-FR"/>
              </w:rPr>
              <w:t xml:space="preserve">, </w:t>
            </w:r>
            <w:r w:rsidR="00CC1C14" w:rsidRPr="001B46CB">
              <w:rPr>
                <w:rFonts w:asciiTheme="majorBidi" w:hAnsiTheme="majorBidi" w:cstheme="majorBidi"/>
                <w:lang w:val="fr-FR"/>
              </w:rPr>
              <w:t>par. </w:t>
            </w:r>
            <w:r w:rsidRPr="001B46CB">
              <w:rPr>
                <w:rFonts w:asciiTheme="majorBidi" w:hAnsiTheme="majorBidi" w:cstheme="majorBidi"/>
                <w:lang w:val="fr-FR"/>
              </w:rPr>
              <w:t xml:space="preserve">29, et </w:t>
            </w:r>
            <w:hyperlink r:id="rId36" w:history="1">
              <w:r w:rsidRPr="001B46CB">
                <w:rPr>
                  <w:rStyle w:val="Hyperlink"/>
                  <w:rFonts w:asciiTheme="majorBidi" w:hAnsiTheme="majorBidi" w:cstheme="majorBidi"/>
                  <w:lang w:val="fr-FR"/>
                </w:rPr>
                <w:t>CEDAW/C/BHR/CO/3</w:t>
              </w:r>
            </w:hyperlink>
            <w:r w:rsidRPr="001B46CB">
              <w:rPr>
                <w:rFonts w:asciiTheme="majorBidi" w:hAnsiTheme="majorBidi" w:cstheme="majorBidi"/>
                <w:lang w:val="fr-FR"/>
              </w:rPr>
              <w:t xml:space="preserve">, </w:t>
            </w:r>
            <w:r w:rsidR="00CC1C14" w:rsidRPr="001B46CB">
              <w:rPr>
                <w:rFonts w:asciiTheme="majorBidi" w:hAnsiTheme="majorBidi" w:cstheme="majorBidi"/>
                <w:lang w:val="fr-FR"/>
              </w:rPr>
              <w:t>par. </w:t>
            </w:r>
            <w:r w:rsidRPr="001B46CB">
              <w:rPr>
                <w:rFonts w:asciiTheme="majorBidi" w:hAnsiTheme="majorBidi" w:cstheme="majorBidi"/>
                <w:lang w:val="fr-FR"/>
              </w:rPr>
              <w:t>28).</w:t>
            </w:r>
          </w:p>
        </w:tc>
      </w:tr>
      <w:tr w:rsidR="00F36F51" w:rsidRPr="001B46CB" w14:paraId="3268E0F7" w14:textId="77777777" w:rsidTr="0080608B">
        <w:trPr>
          <w:tblCellSpacing w:w="20" w:type="dxa"/>
          <w:jc w:val="center"/>
        </w:trPr>
        <w:tc>
          <w:tcPr>
            <w:tcW w:w="4959" w:type="pct"/>
            <w:gridSpan w:val="13"/>
            <w:shd w:val="clear" w:color="auto" w:fill="C4BC96" w:themeFill="background2" w:themeFillShade="BF"/>
          </w:tcPr>
          <w:p w14:paraId="1D2F15ED" w14:textId="77777777" w:rsidR="00F36F51" w:rsidRPr="001B46CB" w:rsidRDefault="00F36F51" w:rsidP="003471AB">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Réponse</w:t>
            </w:r>
          </w:p>
        </w:tc>
      </w:tr>
      <w:tr w:rsidR="00F36F51" w:rsidRPr="001B46CB" w14:paraId="69C6A700" w14:textId="77777777" w:rsidTr="0080608B">
        <w:trPr>
          <w:tblCellSpacing w:w="20" w:type="dxa"/>
          <w:jc w:val="center"/>
        </w:trPr>
        <w:tc>
          <w:tcPr>
            <w:tcW w:w="4959" w:type="pct"/>
            <w:gridSpan w:val="13"/>
            <w:shd w:val="clear" w:color="auto" w:fill="auto"/>
            <w:vAlign w:val="center"/>
          </w:tcPr>
          <w:p w14:paraId="158DE61B" w14:textId="77777777" w:rsidR="00801F15" w:rsidRPr="001B46CB" w:rsidRDefault="00F36F51" w:rsidP="00A61EF9">
            <w:pPr>
              <w:pStyle w:val="ListParagraph"/>
              <w:numPr>
                <w:ilvl w:val="0"/>
                <w:numId w:val="43"/>
              </w:numPr>
              <w:spacing w:after="20" w:line="220" w:lineRule="exact"/>
              <w:ind w:left="360" w:right="144"/>
              <w:contextualSpacing w:val="0"/>
              <w:jc w:val="both"/>
              <w:rPr>
                <w:rFonts w:asciiTheme="majorBidi" w:hAnsiTheme="majorBidi" w:cstheme="majorBidi"/>
                <w:lang w:val="fr-FR"/>
              </w:rPr>
            </w:pPr>
            <w:r w:rsidRPr="001B46CB">
              <w:rPr>
                <w:rFonts w:asciiTheme="majorBidi" w:hAnsiTheme="majorBidi" w:cstheme="majorBidi"/>
                <w:lang w:val="fr-FR"/>
              </w:rPr>
              <w:t>Bahreïn réaffirme la teneur des paragraphes 130 à 136 de son rapport périodique. On trouvera ci-après des données statistiques ventilées par sexe dans plusieurs domaines.</w:t>
            </w:r>
          </w:p>
          <w:p w14:paraId="0586730D" w14:textId="7FF161A2" w:rsidR="00F36F51" w:rsidRPr="001B46CB" w:rsidRDefault="00A61EF9" w:rsidP="00A61EF9">
            <w:pPr>
              <w:spacing w:line="220" w:lineRule="exact"/>
              <w:ind w:left="720" w:right="144" w:hanging="360"/>
              <w:jc w:val="both"/>
              <w:rPr>
                <w:rFonts w:asciiTheme="majorBidi" w:hAnsiTheme="majorBidi" w:cstheme="majorBidi"/>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La représentation des femmes à la Chambre des députés (dont les membres sont élus) a augmenté, passant de 7,5</w:t>
            </w:r>
            <w:r w:rsidR="007D4344" w:rsidRPr="001B46CB">
              <w:rPr>
                <w:rFonts w:asciiTheme="majorBidi" w:hAnsiTheme="majorBidi" w:cstheme="majorBidi"/>
                <w:lang w:val="fr-FR"/>
              </w:rPr>
              <w:t> %</w:t>
            </w:r>
            <w:r w:rsidR="00F36F51" w:rsidRPr="001B46CB">
              <w:rPr>
                <w:rFonts w:asciiTheme="majorBidi" w:hAnsiTheme="majorBidi" w:cstheme="majorBidi"/>
                <w:lang w:val="fr-FR"/>
              </w:rPr>
              <w:t xml:space="preserve"> à la quatrième session législative de 2014 à 15</w:t>
            </w:r>
            <w:r w:rsidR="007D4344" w:rsidRPr="001B46CB">
              <w:rPr>
                <w:rFonts w:asciiTheme="majorBidi" w:hAnsiTheme="majorBidi" w:cstheme="majorBidi"/>
                <w:lang w:val="fr-FR"/>
              </w:rPr>
              <w:t> %</w:t>
            </w:r>
            <w:r w:rsidR="00F36F51" w:rsidRPr="001B46CB">
              <w:rPr>
                <w:rFonts w:asciiTheme="majorBidi" w:hAnsiTheme="majorBidi" w:cstheme="majorBidi"/>
                <w:lang w:val="fr-FR"/>
              </w:rPr>
              <w:t xml:space="preserve"> à la cinquième session législative de 2018.</w:t>
            </w:r>
            <w:r w:rsidR="00801F15" w:rsidRPr="001B46CB">
              <w:rPr>
                <w:rFonts w:asciiTheme="majorBidi" w:hAnsiTheme="majorBidi" w:cstheme="majorBidi"/>
                <w:lang w:val="fr-FR"/>
              </w:rPr>
              <w:t xml:space="preserve"> </w:t>
            </w:r>
            <w:r w:rsidR="00F36F51" w:rsidRPr="001B46CB">
              <w:rPr>
                <w:rFonts w:asciiTheme="majorBidi" w:hAnsiTheme="majorBidi" w:cstheme="majorBidi"/>
                <w:lang w:val="fr-FR"/>
              </w:rPr>
              <w:t>En 2018, pour la première fois dans l</w:t>
            </w:r>
            <w:r w:rsidR="00801F15" w:rsidRPr="001B46CB">
              <w:rPr>
                <w:rFonts w:asciiTheme="majorBidi" w:hAnsiTheme="majorBidi" w:cstheme="majorBidi"/>
                <w:lang w:val="fr-FR"/>
              </w:rPr>
              <w:t>’</w:t>
            </w:r>
            <w:r w:rsidR="00F36F51" w:rsidRPr="001B46CB">
              <w:rPr>
                <w:rFonts w:asciiTheme="majorBidi" w:hAnsiTheme="majorBidi" w:cstheme="majorBidi"/>
                <w:lang w:val="fr-FR"/>
              </w:rPr>
              <w:t>histoire de cet organe dont les membres sont élus, une femme a accédé à la présidence de la Chambre des députés.</w:t>
            </w:r>
          </w:p>
          <w:p w14:paraId="11F86542" w14:textId="6A3B8ED7" w:rsidR="00F36F51" w:rsidRPr="001B46CB" w:rsidRDefault="00A61EF9" w:rsidP="00A61EF9">
            <w:pPr>
              <w:spacing w:line="220" w:lineRule="exact"/>
              <w:ind w:left="720" w:right="144" w:hanging="360"/>
              <w:jc w:val="both"/>
              <w:rPr>
                <w:rFonts w:asciiTheme="majorBidi" w:hAnsiTheme="majorBidi" w:cstheme="majorBidi"/>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La représentation des</w:t>
            </w:r>
            <w:r w:rsidR="00801F15" w:rsidRPr="001B46CB">
              <w:rPr>
                <w:rFonts w:asciiTheme="majorBidi" w:hAnsiTheme="majorBidi" w:cstheme="majorBidi"/>
                <w:lang w:val="fr-FR"/>
              </w:rPr>
              <w:t xml:space="preserve"> </w:t>
            </w:r>
            <w:r w:rsidR="00F36F51" w:rsidRPr="001B46CB">
              <w:rPr>
                <w:rFonts w:asciiTheme="majorBidi" w:hAnsiTheme="majorBidi" w:cstheme="majorBidi"/>
                <w:lang w:val="fr-FR"/>
              </w:rPr>
              <w:t>femmes au Conseil consultatif (dont les membres sont nommés) était de 23</w:t>
            </w:r>
            <w:r w:rsidR="007D4344" w:rsidRPr="001B46CB">
              <w:rPr>
                <w:rFonts w:asciiTheme="majorBidi" w:hAnsiTheme="majorBidi" w:cstheme="majorBidi"/>
                <w:lang w:val="fr-FR"/>
              </w:rPr>
              <w:t> %</w:t>
            </w:r>
            <w:r w:rsidR="00F36F51" w:rsidRPr="001B46CB">
              <w:rPr>
                <w:rFonts w:asciiTheme="majorBidi" w:hAnsiTheme="majorBidi" w:cstheme="majorBidi"/>
                <w:lang w:val="fr-FR"/>
              </w:rPr>
              <w:t xml:space="preserve"> à la cinquième session législative de 2018, soit la même proportion de femmes atteinte à la quatrième session législative de 2014.</w:t>
            </w:r>
          </w:p>
          <w:p w14:paraId="01515CE9" w14:textId="09E3CC37" w:rsidR="00F36F51" w:rsidRPr="001B46CB" w:rsidRDefault="00A61EF9" w:rsidP="00A61EF9">
            <w:pPr>
              <w:spacing w:line="220" w:lineRule="exact"/>
              <w:ind w:left="720" w:right="144" w:hanging="360"/>
              <w:jc w:val="both"/>
              <w:rPr>
                <w:rFonts w:asciiTheme="majorBidi" w:hAnsiTheme="majorBidi" w:cstheme="majorBidi"/>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La représentation des femmes à la Chambre des députés (dont les membres sont élus) et au Conseil consultatif (dont les membres sont nommés) est passée de 15</w:t>
            </w:r>
            <w:r w:rsidR="007D4344" w:rsidRPr="001B46CB">
              <w:rPr>
                <w:rFonts w:asciiTheme="majorBidi" w:hAnsiTheme="majorBidi" w:cstheme="majorBidi"/>
                <w:lang w:val="fr-FR"/>
              </w:rPr>
              <w:t> %</w:t>
            </w:r>
            <w:r w:rsidR="00F36F51" w:rsidRPr="001B46CB">
              <w:rPr>
                <w:rFonts w:asciiTheme="majorBidi" w:hAnsiTheme="majorBidi" w:cstheme="majorBidi"/>
                <w:lang w:val="fr-FR"/>
              </w:rPr>
              <w:t xml:space="preserve"> à la quatrième session législative de 2014 à 18,75</w:t>
            </w:r>
            <w:r w:rsidR="007D4344" w:rsidRPr="001B46CB">
              <w:rPr>
                <w:rFonts w:asciiTheme="majorBidi" w:hAnsiTheme="majorBidi" w:cstheme="majorBidi"/>
                <w:lang w:val="fr-FR"/>
              </w:rPr>
              <w:t> %</w:t>
            </w:r>
            <w:r w:rsidR="00F36F51" w:rsidRPr="001B46CB">
              <w:rPr>
                <w:rFonts w:asciiTheme="majorBidi" w:hAnsiTheme="majorBidi" w:cstheme="majorBidi"/>
                <w:lang w:val="fr-FR"/>
              </w:rPr>
              <w:t xml:space="preserve"> à la cinquième session législative de 2018.</w:t>
            </w:r>
          </w:p>
          <w:p w14:paraId="29661882" w14:textId="031E01FF" w:rsidR="00F36F51" w:rsidRPr="001B46CB" w:rsidRDefault="00A61EF9" w:rsidP="00A61EF9">
            <w:pPr>
              <w:spacing w:line="220" w:lineRule="exact"/>
              <w:ind w:left="720" w:right="144" w:hanging="360"/>
              <w:jc w:val="both"/>
              <w:rPr>
                <w:rFonts w:asciiTheme="majorBidi" w:hAnsiTheme="majorBidi" w:cstheme="majorBidi"/>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La représentation des femmes aux conseils municipaux a augmenté, passant de 20</w:t>
            </w:r>
            <w:r w:rsidR="007D4344" w:rsidRPr="001B46CB">
              <w:rPr>
                <w:rFonts w:asciiTheme="majorBidi" w:hAnsiTheme="majorBidi" w:cstheme="majorBidi"/>
                <w:lang w:val="fr-FR"/>
              </w:rPr>
              <w:t> %</w:t>
            </w:r>
            <w:r w:rsidR="00F36F51" w:rsidRPr="001B46CB">
              <w:rPr>
                <w:rFonts w:asciiTheme="majorBidi" w:hAnsiTheme="majorBidi" w:cstheme="majorBidi"/>
                <w:lang w:val="fr-FR"/>
              </w:rPr>
              <w:t xml:space="preserve"> à la quatrième session législative de 2014 à 23</w:t>
            </w:r>
            <w:r w:rsidR="007D4344" w:rsidRPr="001B46CB">
              <w:rPr>
                <w:rFonts w:asciiTheme="majorBidi" w:hAnsiTheme="majorBidi" w:cstheme="majorBidi"/>
                <w:lang w:val="fr-FR"/>
              </w:rPr>
              <w:t> %</w:t>
            </w:r>
            <w:r w:rsidR="00F36F51" w:rsidRPr="001B46CB">
              <w:rPr>
                <w:rFonts w:asciiTheme="majorBidi" w:hAnsiTheme="majorBidi" w:cstheme="majorBidi"/>
                <w:lang w:val="fr-FR"/>
              </w:rPr>
              <w:t xml:space="preserve"> à la cinquième session législative de 2018. Les conseils municipaux comprennent le conseil municipal de la capitale (dont les membres sont nommés) et les conseils municipaux des autres villes (dont les membres sont élus).</w:t>
            </w:r>
          </w:p>
          <w:p w14:paraId="4CC7001B" w14:textId="313F46F7" w:rsidR="00F36F51" w:rsidRPr="001B46CB" w:rsidRDefault="00A61EF9" w:rsidP="00A61EF9">
            <w:pPr>
              <w:spacing w:line="220" w:lineRule="exact"/>
              <w:ind w:left="720" w:right="144" w:hanging="360"/>
              <w:jc w:val="both"/>
              <w:rPr>
                <w:rFonts w:asciiTheme="majorBidi" w:hAnsiTheme="majorBidi" w:cstheme="majorBidi"/>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La proportion de femmes occupant un poste de direction dans le secteur public est passée de 21</w:t>
            </w:r>
            <w:r w:rsidR="007D4344" w:rsidRPr="001B46CB">
              <w:rPr>
                <w:rFonts w:asciiTheme="majorBidi" w:hAnsiTheme="majorBidi" w:cstheme="majorBidi"/>
                <w:lang w:val="fr-FR"/>
              </w:rPr>
              <w:t> %</w:t>
            </w:r>
            <w:r w:rsidR="00F36F51" w:rsidRPr="001B46CB">
              <w:rPr>
                <w:rFonts w:asciiTheme="majorBidi" w:hAnsiTheme="majorBidi" w:cstheme="majorBidi"/>
                <w:lang w:val="fr-FR"/>
              </w:rPr>
              <w:t xml:space="preserve"> en 2006 à 40</w:t>
            </w:r>
            <w:r w:rsidR="007D4344" w:rsidRPr="001B46CB">
              <w:rPr>
                <w:rFonts w:asciiTheme="majorBidi" w:hAnsiTheme="majorBidi" w:cstheme="majorBidi"/>
                <w:lang w:val="fr-FR"/>
              </w:rPr>
              <w:t> %</w:t>
            </w:r>
            <w:r w:rsidR="00F36F51" w:rsidRPr="001B46CB">
              <w:rPr>
                <w:rFonts w:asciiTheme="majorBidi" w:hAnsiTheme="majorBidi" w:cstheme="majorBidi"/>
                <w:lang w:val="fr-FR"/>
              </w:rPr>
              <w:t xml:space="preserve"> en 2016, soit une augmentation de 19</w:t>
            </w:r>
            <w:r w:rsidR="007D4344" w:rsidRPr="001B46CB">
              <w:rPr>
                <w:rFonts w:asciiTheme="majorBidi" w:hAnsiTheme="majorBidi" w:cstheme="majorBidi"/>
                <w:lang w:val="fr-FR"/>
              </w:rPr>
              <w:t> %</w:t>
            </w:r>
            <w:r w:rsidR="00F36F51" w:rsidRPr="001B46CB">
              <w:rPr>
                <w:rFonts w:asciiTheme="majorBidi" w:hAnsiTheme="majorBidi" w:cstheme="majorBidi"/>
                <w:lang w:val="fr-FR"/>
              </w:rPr>
              <w:t xml:space="preserve"> en 10 ans.</w:t>
            </w:r>
          </w:p>
          <w:p w14:paraId="095BD8BA" w14:textId="63923577" w:rsidR="00F36F51" w:rsidRPr="001B46CB" w:rsidRDefault="00A61EF9" w:rsidP="00A61EF9">
            <w:pPr>
              <w:spacing w:line="220" w:lineRule="exact"/>
              <w:ind w:left="720" w:right="144" w:hanging="360"/>
              <w:jc w:val="both"/>
              <w:rPr>
                <w:rFonts w:asciiTheme="majorBidi" w:hAnsiTheme="majorBidi" w:cstheme="majorBidi"/>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La proportion de femmes occupant un poste de direction (encadrement et administration) dans le secteur privé est passée de 32</w:t>
            </w:r>
            <w:r w:rsidR="007D4344" w:rsidRPr="001B46CB">
              <w:rPr>
                <w:rFonts w:asciiTheme="majorBidi" w:hAnsiTheme="majorBidi" w:cstheme="majorBidi"/>
                <w:lang w:val="fr-FR"/>
              </w:rPr>
              <w:t> %</w:t>
            </w:r>
            <w:r w:rsidR="00F36F51" w:rsidRPr="001B46CB">
              <w:rPr>
                <w:rFonts w:asciiTheme="majorBidi" w:hAnsiTheme="majorBidi" w:cstheme="majorBidi"/>
                <w:lang w:val="fr-FR"/>
              </w:rPr>
              <w:t xml:space="preserve"> en 2008 à 34</w:t>
            </w:r>
            <w:r w:rsidR="007D4344" w:rsidRPr="001B46CB">
              <w:rPr>
                <w:rFonts w:asciiTheme="majorBidi" w:hAnsiTheme="majorBidi" w:cstheme="majorBidi"/>
                <w:lang w:val="fr-FR"/>
              </w:rPr>
              <w:t> %</w:t>
            </w:r>
            <w:r w:rsidR="00F36F51" w:rsidRPr="001B46CB">
              <w:rPr>
                <w:rFonts w:asciiTheme="majorBidi" w:hAnsiTheme="majorBidi" w:cstheme="majorBidi"/>
                <w:lang w:val="fr-FR"/>
              </w:rPr>
              <w:t xml:space="preserve"> en 2018.</w:t>
            </w:r>
          </w:p>
          <w:p w14:paraId="23960953" w14:textId="7B1A0EDD" w:rsidR="00F36F51" w:rsidRPr="001B46CB" w:rsidRDefault="00A61EF9" w:rsidP="00A61EF9">
            <w:pPr>
              <w:spacing w:line="220" w:lineRule="exact"/>
              <w:ind w:left="720" w:right="144" w:hanging="360"/>
              <w:jc w:val="both"/>
              <w:rPr>
                <w:rFonts w:asciiTheme="majorBidi" w:hAnsiTheme="majorBidi" w:cstheme="majorBidi"/>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Le nombre de femmes occupant des postes dans la magistrature et le secteur de la justice en général a augmenté, passant de 9 en 2008 à 19, soit plus du double, en 2018.</w:t>
            </w:r>
          </w:p>
          <w:p w14:paraId="4DF08001" w14:textId="2272DF88" w:rsidR="00F36F51" w:rsidRPr="001B46CB" w:rsidRDefault="00A61EF9" w:rsidP="00A61EF9">
            <w:pPr>
              <w:spacing w:after="20" w:line="220" w:lineRule="exact"/>
              <w:ind w:left="720" w:right="144" w:hanging="360"/>
              <w:jc w:val="both"/>
              <w:rPr>
                <w:rFonts w:asciiTheme="majorBidi" w:hAnsiTheme="majorBidi" w:cstheme="majorBidi"/>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On trouvera dans le tableau ci-après les principales données statistiques concernant les femmes occupant des postes de direction</w:t>
            </w:r>
            <w:r w:rsidR="00F4463A" w:rsidRPr="001B46CB">
              <w:rPr>
                <w:rFonts w:asciiTheme="majorBidi" w:hAnsiTheme="majorBidi" w:cstheme="majorBidi"/>
                <w:lang w:val="fr-FR"/>
              </w:rPr>
              <w:t>.</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344"/>
              <w:gridCol w:w="347"/>
              <w:gridCol w:w="347"/>
              <w:gridCol w:w="347"/>
              <w:gridCol w:w="347"/>
              <w:gridCol w:w="347"/>
              <w:gridCol w:w="347"/>
              <w:gridCol w:w="347"/>
              <w:gridCol w:w="347"/>
              <w:gridCol w:w="347"/>
              <w:gridCol w:w="347"/>
              <w:gridCol w:w="347"/>
              <w:gridCol w:w="347"/>
              <w:gridCol w:w="347"/>
              <w:gridCol w:w="346"/>
              <w:gridCol w:w="346"/>
              <w:gridCol w:w="346"/>
              <w:gridCol w:w="346"/>
              <w:gridCol w:w="1459"/>
            </w:tblGrid>
            <w:tr w:rsidR="00F36F51" w:rsidRPr="001B46CB" w14:paraId="1FC59E2C" w14:textId="77777777" w:rsidTr="00C70519">
              <w:trPr>
                <w:tblCellSpacing w:w="20" w:type="dxa"/>
                <w:jc w:val="center"/>
              </w:trPr>
              <w:tc>
                <w:tcPr>
                  <w:tcW w:w="4958" w:type="pct"/>
                  <w:gridSpan w:val="19"/>
                  <w:shd w:val="clear" w:color="auto" w:fill="DDD9C3" w:themeFill="background2" w:themeFillShade="E6"/>
                  <w:vAlign w:val="center"/>
                </w:tcPr>
                <w:p w14:paraId="1E6B91D0" w14:textId="782926F2" w:rsidR="00F36F51" w:rsidRPr="001B46CB" w:rsidRDefault="00F36F51" w:rsidP="00420FDE">
                  <w:pPr>
                    <w:spacing w:after="20" w:line="240" w:lineRule="auto"/>
                    <w:jc w:val="center"/>
                    <w:rPr>
                      <w:rFonts w:asciiTheme="majorBidi" w:hAnsiTheme="majorBidi" w:cstheme="majorBidi"/>
                      <w:b/>
                      <w:bCs/>
                      <w:lang w:val="fr-FR"/>
                    </w:rPr>
                  </w:pPr>
                  <w:r w:rsidRPr="001B46CB">
                    <w:rPr>
                      <w:rFonts w:asciiTheme="majorBidi" w:hAnsiTheme="majorBidi" w:cstheme="majorBidi"/>
                      <w:b/>
                      <w:bCs/>
                      <w:lang w:val="fr-FR"/>
                    </w:rPr>
                    <w:t>Tableau 1</w:t>
                  </w:r>
                  <w:r w:rsidR="00801F15" w:rsidRPr="001B46CB">
                    <w:rPr>
                      <w:rFonts w:asciiTheme="majorBidi" w:hAnsiTheme="majorBidi" w:cstheme="majorBidi"/>
                      <w:b/>
                      <w:bCs/>
                      <w:lang w:val="fr-FR"/>
                    </w:rPr>
                    <w:t> :</w:t>
                  </w:r>
                  <w:r w:rsidRPr="001B46CB">
                    <w:rPr>
                      <w:rFonts w:asciiTheme="majorBidi" w:hAnsiTheme="majorBidi" w:cstheme="majorBidi"/>
                      <w:b/>
                      <w:bCs/>
                      <w:lang w:val="fr-FR"/>
                    </w:rPr>
                    <w:t xml:space="preserve"> femmes occupant des postes de direction clefs (2001-2018)</w:t>
                  </w:r>
                </w:p>
              </w:tc>
            </w:tr>
            <w:tr w:rsidR="00F36F51" w:rsidRPr="001B46CB" w14:paraId="17E27FC1" w14:textId="77777777" w:rsidTr="00EF1E34">
              <w:trPr>
                <w:cantSplit/>
                <w:trHeight w:val="720"/>
                <w:tblCellSpacing w:w="20" w:type="dxa"/>
                <w:jc w:val="center"/>
              </w:trPr>
              <w:tc>
                <w:tcPr>
                  <w:tcW w:w="1272" w:type="pct"/>
                  <w:shd w:val="clear" w:color="auto" w:fill="C4BC96" w:themeFill="background2" w:themeFillShade="BF"/>
                  <w:vAlign w:val="center"/>
                </w:tcPr>
                <w:p w14:paraId="7B51CE01" w14:textId="77777777" w:rsidR="00F36F51" w:rsidRPr="001B46CB" w:rsidRDefault="00F36F51" w:rsidP="00C70519">
                  <w:pPr>
                    <w:spacing w:line="240" w:lineRule="auto"/>
                    <w:jc w:val="center"/>
                    <w:rPr>
                      <w:rFonts w:asciiTheme="majorBidi" w:hAnsiTheme="majorBidi" w:cstheme="majorBidi"/>
                      <w:b/>
                      <w:bCs/>
                      <w:lang w:val="fr-FR"/>
                    </w:rPr>
                  </w:pPr>
                  <w:r w:rsidRPr="001B46CB">
                    <w:rPr>
                      <w:rFonts w:asciiTheme="majorBidi" w:hAnsiTheme="majorBidi" w:cstheme="majorBidi"/>
                      <w:b/>
                      <w:bCs/>
                      <w:lang w:val="fr-FR"/>
                    </w:rPr>
                    <w:t>Poste</w:t>
                  </w:r>
                </w:p>
              </w:tc>
              <w:tc>
                <w:tcPr>
                  <w:tcW w:w="171" w:type="pct"/>
                  <w:shd w:val="clear" w:color="auto" w:fill="EEECE1" w:themeFill="background2"/>
                  <w:textDirection w:val="btLr"/>
                  <w:vAlign w:val="center"/>
                </w:tcPr>
                <w:p w14:paraId="0C58FC45" w14:textId="77777777" w:rsidR="00F36F51" w:rsidRPr="001B46CB" w:rsidRDefault="00F36F51" w:rsidP="00C70519">
                  <w:pPr>
                    <w:spacing w:line="240" w:lineRule="auto"/>
                    <w:ind w:left="113" w:right="113"/>
                    <w:jc w:val="both"/>
                    <w:rPr>
                      <w:rFonts w:asciiTheme="majorBidi" w:hAnsiTheme="majorBidi" w:cstheme="majorBidi"/>
                      <w:b/>
                      <w:bCs/>
                      <w:lang w:val="fr-FR"/>
                    </w:rPr>
                  </w:pPr>
                  <w:r w:rsidRPr="001B46CB">
                    <w:rPr>
                      <w:rFonts w:asciiTheme="majorBidi" w:hAnsiTheme="majorBidi" w:cstheme="majorBidi"/>
                      <w:b/>
                      <w:bCs/>
                      <w:lang w:val="fr-FR"/>
                    </w:rPr>
                    <w:t>2001</w:t>
                  </w:r>
                </w:p>
              </w:tc>
              <w:tc>
                <w:tcPr>
                  <w:tcW w:w="171" w:type="pct"/>
                  <w:shd w:val="clear" w:color="auto" w:fill="EEECE1" w:themeFill="background2"/>
                  <w:textDirection w:val="btLr"/>
                  <w:vAlign w:val="center"/>
                </w:tcPr>
                <w:p w14:paraId="4CD298F0" w14:textId="77777777" w:rsidR="00F36F51" w:rsidRPr="001B46CB" w:rsidRDefault="00F36F51" w:rsidP="00C70519">
                  <w:pPr>
                    <w:spacing w:line="240" w:lineRule="auto"/>
                    <w:ind w:left="113" w:right="113"/>
                    <w:jc w:val="both"/>
                    <w:rPr>
                      <w:rFonts w:asciiTheme="majorBidi" w:hAnsiTheme="majorBidi" w:cstheme="majorBidi"/>
                      <w:b/>
                      <w:bCs/>
                      <w:lang w:val="fr-FR"/>
                    </w:rPr>
                  </w:pPr>
                  <w:r w:rsidRPr="001B46CB">
                    <w:rPr>
                      <w:rFonts w:asciiTheme="majorBidi" w:hAnsiTheme="majorBidi" w:cstheme="majorBidi"/>
                      <w:b/>
                      <w:bCs/>
                      <w:lang w:val="fr-FR"/>
                    </w:rPr>
                    <w:t>2002</w:t>
                  </w:r>
                </w:p>
              </w:tc>
              <w:tc>
                <w:tcPr>
                  <w:tcW w:w="171" w:type="pct"/>
                  <w:shd w:val="clear" w:color="auto" w:fill="EEECE1" w:themeFill="background2"/>
                  <w:textDirection w:val="btLr"/>
                  <w:vAlign w:val="center"/>
                </w:tcPr>
                <w:p w14:paraId="46422008" w14:textId="77777777" w:rsidR="00F36F51" w:rsidRPr="001B46CB" w:rsidRDefault="00F36F51" w:rsidP="00C70519">
                  <w:pPr>
                    <w:spacing w:line="240" w:lineRule="auto"/>
                    <w:ind w:left="113" w:right="113"/>
                    <w:jc w:val="both"/>
                    <w:rPr>
                      <w:rFonts w:asciiTheme="majorBidi" w:hAnsiTheme="majorBidi" w:cstheme="majorBidi"/>
                      <w:b/>
                      <w:bCs/>
                      <w:lang w:val="fr-FR"/>
                    </w:rPr>
                  </w:pPr>
                  <w:r w:rsidRPr="001B46CB">
                    <w:rPr>
                      <w:rFonts w:asciiTheme="majorBidi" w:hAnsiTheme="majorBidi" w:cstheme="majorBidi"/>
                      <w:b/>
                      <w:bCs/>
                      <w:lang w:val="fr-FR"/>
                    </w:rPr>
                    <w:t>2003</w:t>
                  </w:r>
                </w:p>
              </w:tc>
              <w:tc>
                <w:tcPr>
                  <w:tcW w:w="171" w:type="pct"/>
                  <w:shd w:val="clear" w:color="auto" w:fill="EEECE1" w:themeFill="background2"/>
                  <w:textDirection w:val="btLr"/>
                  <w:vAlign w:val="center"/>
                </w:tcPr>
                <w:p w14:paraId="71D39B82" w14:textId="77777777" w:rsidR="00F36F51" w:rsidRPr="001B46CB" w:rsidRDefault="00F36F51" w:rsidP="00C70519">
                  <w:pPr>
                    <w:spacing w:line="240" w:lineRule="auto"/>
                    <w:ind w:left="113" w:right="113"/>
                    <w:jc w:val="both"/>
                    <w:rPr>
                      <w:rFonts w:asciiTheme="majorBidi" w:hAnsiTheme="majorBidi" w:cstheme="majorBidi"/>
                      <w:b/>
                      <w:bCs/>
                      <w:lang w:val="fr-FR"/>
                    </w:rPr>
                  </w:pPr>
                  <w:r w:rsidRPr="001B46CB">
                    <w:rPr>
                      <w:rFonts w:asciiTheme="majorBidi" w:hAnsiTheme="majorBidi" w:cstheme="majorBidi"/>
                      <w:b/>
                      <w:bCs/>
                      <w:lang w:val="fr-FR"/>
                    </w:rPr>
                    <w:t>2004</w:t>
                  </w:r>
                </w:p>
              </w:tc>
              <w:tc>
                <w:tcPr>
                  <w:tcW w:w="171" w:type="pct"/>
                  <w:shd w:val="clear" w:color="auto" w:fill="EEECE1" w:themeFill="background2"/>
                  <w:textDirection w:val="btLr"/>
                  <w:vAlign w:val="center"/>
                </w:tcPr>
                <w:p w14:paraId="5E01CACD" w14:textId="77777777" w:rsidR="00F36F51" w:rsidRPr="001B46CB" w:rsidRDefault="00F36F51" w:rsidP="00C70519">
                  <w:pPr>
                    <w:spacing w:line="240" w:lineRule="auto"/>
                    <w:ind w:left="113" w:right="113"/>
                    <w:jc w:val="both"/>
                    <w:rPr>
                      <w:rFonts w:asciiTheme="majorBidi" w:hAnsiTheme="majorBidi" w:cstheme="majorBidi"/>
                      <w:b/>
                      <w:bCs/>
                      <w:lang w:val="fr-FR"/>
                    </w:rPr>
                  </w:pPr>
                  <w:r w:rsidRPr="001B46CB">
                    <w:rPr>
                      <w:rFonts w:asciiTheme="majorBidi" w:hAnsiTheme="majorBidi" w:cstheme="majorBidi"/>
                      <w:b/>
                      <w:bCs/>
                      <w:lang w:val="fr-FR"/>
                    </w:rPr>
                    <w:t>2005</w:t>
                  </w:r>
                </w:p>
              </w:tc>
              <w:tc>
                <w:tcPr>
                  <w:tcW w:w="171" w:type="pct"/>
                  <w:shd w:val="clear" w:color="auto" w:fill="EEECE1" w:themeFill="background2"/>
                  <w:textDirection w:val="btLr"/>
                  <w:vAlign w:val="center"/>
                </w:tcPr>
                <w:p w14:paraId="05CE0EFD" w14:textId="77777777" w:rsidR="00F36F51" w:rsidRPr="001B46CB" w:rsidRDefault="00F36F51" w:rsidP="00C70519">
                  <w:pPr>
                    <w:spacing w:line="240" w:lineRule="auto"/>
                    <w:ind w:left="113" w:right="113"/>
                    <w:jc w:val="both"/>
                    <w:rPr>
                      <w:rFonts w:asciiTheme="majorBidi" w:hAnsiTheme="majorBidi" w:cstheme="majorBidi"/>
                      <w:b/>
                      <w:bCs/>
                      <w:lang w:val="fr-FR"/>
                    </w:rPr>
                  </w:pPr>
                  <w:r w:rsidRPr="001B46CB">
                    <w:rPr>
                      <w:rFonts w:asciiTheme="majorBidi" w:hAnsiTheme="majorBidi" w:cstheme="majorBidi"/>
                      <w:b/>
                      <w:bCs/>
                      <w:lang w:val="fr-FR"/>
                    </w:rPr>
                    <w:t>2006</w:t>
                  </w:r>
                </w:p>
              </w:tc>
              <w:tc>
                <w:tcPr>
                  <w:tcW w:w="171" w:type="pct"/>
                  <w:shd w:val="clear" w:color="auto" w:fill="EEECE1" w:themeFill="background2"/>
                  <w:textDirection w:val="btLr"/>
                  <w:vAlign w:val="center"/>
                </w:tcPr>
                <w:p w14:paraId="4D21C4B2" w14:textId="77777777" w:rsidR="00F36F51" w:rsidRPr="001B46CB" w:rsidRDefault="00F36F51" w:rsidP="00C70519">
                  <w:pPr>
                    <w:spacing w:line="240" w:lineRule="auto"/>
                    <w:ind w:left="113" w:right="113"/>
                    <w:jc w:val="both"/>
                    <w:rPr>
                      <w:rFonts w:asciiTheme="majorBidi" w:hAnsiTheme="majorBidi" w:cstheme="majorBidi"/>
                      <w:b/>
                      <w:bCs/>
                      <w:lang w:val="fr-FR"/>
                    </w:rPr>
                  </w:pPr>
                  <w:r w:rsidRPr="001B46CB">
                    <w:rPr>
                      <w:rFonts w:asciiTheme="majorBidi" w:hAnsiTheme="majorBidi" w:cstheme="majorBidi"/>
                      <w:b/>
                      <w:bCs/>
                      <w:lang w:val="fr-FR"/>
                    </w:rPr>
                    <w:t>2007</w:t>
                  </w:r>
                </w:p>
              </w:tc>
              <w:tc>
                <w:tcPr>
                  <w:tcW w:w="171" w:type="pct"/>
                  <w:shd w:val="clear" w:color="auto" w:fill="EEECE1" w:themeFill="background2"/>
                  <w:textDirection w:val="btLr"/>
                  <w:vAlign w:val="center"/>
                </w:tcPr>
                <w:p w14:paraId="2383B0C4" w14:textId="77777777" w:rsidR="00F36F51" w:rsidRPr="001B46CB" w:rsidRDefault="00F36F51" w:rsidP="00C70519">
                  <w:pPr>
                    <w:spacing w:line="240" w:lineRule="auto"/>
                    <w:ind w:left="113" w:right="113"/>
                    <w:jc w:val="both"/>
                    <w:rPr>
                      <w:rFonts w:asciiTheme="majorBidi" w:hAnsiTheme="majorBidi" w:cstheme="majorBidi"/>
                      <w:b/>
                      <w:bCs/>
                      <w:lang w:val="fr-FR"/>
                    </w:rPr>
                  </w:pPr>
                  <w:r w:rsidRPr="001B46CB">
                    <w:rPr>
                      <w:rFonts w:asciiTheme="majorBidi" w:hAnsiTheme="majorBidi" w:cstheme="majorBidi"/>
                      <w:b/>
                      <w:bCs/>
                      <w:lang w:val="fr-FR"/>
                    </w:rPr>
                    <w:t>2008</w:t>
                  </w:r>
                </w:p>
              </w:tc>
              <w:tc>
                <w:tcPr>
                  <w:tcW w:w="171" w:type="pct"/>
                  <w:shd w:val="clear" w:color="auto" w:fill="EEECE1" w:themeFill="background2"/>
                  <w:textDirection w:val="btLr"/>
                  <w:vAlign w:val="center"/>
                </w:tcPr>
                <w:p w14:paraId="0E21095A" w14:textId="77777777" w:rsidR="00F36F51" w:rsidRPr="001B46CB" w:rsidRDefault="00F36F51" w:rsidP="00C70519">
                  <w:pPr>
                    <w:spacing w:line="240" w:lineRule="auto"/>
                    <w:ind w:left="113" w:right="113"/>
                    <w:jc w:val="both"/>
                    <w:rPr>
                      <w:rFonts w:asciiTheme="majorBidi" w:hAnsiTheme="majorBidi" w:cstheme="majorBidi"/>
                      <w:b/>
                      <w:bCs/>
                      <w:lang w:val="fr-FR"/>
                    </w:rPr>
                  </w:pPr>
                  <w:r w:rsidRPr="001B46CB">
                    <w:rPr>
                      <w:rFonts w:asciiTheme="majorBidi" w:hAnsiTheme="majorBidi" w:cstheme="majorBidi"/>
                      <w:b/>
                      <w:bCs/>
                      <w:lang w:val="fr-FR"/>
                    </w:rPr>
                    <w:t>2009</w:t>
                  </w:r>
                </w:p>
              </w:tc>
              <w:tc>
                <w:tcPr>
                  <w:tcW w:w="171" w:type="pct"/>
                  <w:shd w:val="clear" w:color="auto" w:fill="EEECE1" w:themeFill="background2"/>
                  <w:textDirection w:val="btLr"/>
                  <w:vAlign w:val="center"/>
                </w:tcPr>
                <w:p w14:paraId="24707360" w14:textId="77777777" w:rsidR="00F36F51" w:rsidRPr="001B46CB" w:rsidRDefault="00F36F51" w:rsidP="00C70519">
                  <w:pPr>
                    <w:spacing w:line="240" w:lineRule="auto"/>
                    <w:ind w:left="113" w:right="113"/>
                    <w:jc w:val="both"/>
                    <w:rPr>
                      <w:rFonts w:asciiTheme="majorBidi" w:hAnsiTheme="majorBidi" w:cstheme="majorBidi"/>
                      <w:b/>
                      <w:bCs/>
                      <w:lang w:val="fr-FR"/>
                    </w:rPr>
                  </w:pPr>
                  <w:r w:rsidRPr="001B46CB">
                    <w:rPr>
                      <w:rFonts w:asciiTheme="majorBidi" w:hAnsiTheme="majorBidi" w:cstheme="majorBidi"/>
                      <w:b/>
                      <w:bCs/>
                      <w:lang w:val="fr-FR"/>
                    </w:rPr>
                    <w:t>2010</w:t>
                  </w:r>
                </w:p>
              </w:tc>
              <w:tc>
                <w:tcPr>
                  <w:tcW w:w="171" w:type="pct"/>
                  <w:shd w:val="clear" w:color="auto" w:fill="EEECE1" w:themeFill="background2"/>
                  <w:textDirection w:val="btLr"/>
                  <w:vAlign w:val="center"/>
                </w:tcPr>
                <w:p w14:paraId="0906EDC4" w14:textId="77777777" w:rsidR="00F36F51" w:rsidRPr="001B46CB" w:rsidRDefault="00F36F51" w:rsidP="00C70519">
                  <w:pPr>
                    <w:spacing w:line="240" w:lineRule="auto"/>
                    <w:ind w:left="113" w:right="113"/>
                    <w:jc w:val="both"/>
                    <w:rPr>
                      <w:rFonts w:asciiTheme="majorBidi" w:hAnsiTheme="majorBidi" w:cstheme="majorBidi"/>
                      <w:b/>
                      <w:bCs/>
                      <w:lang w:val="fr-FR"/>
                    </w:rPr>
                  </w:pPr>
                  <w:r w:rsidRPr="001B46CB">
                    <w:rPr>
                      <w:rFonts w:asciiTheme="majorBidi" w:hAnsiTheme="majorBidi" w:cstheme="majorBidi"/>
                      <w:b/>
                      <w:bCs/>
                      <w:lang w:val="fr-FR"/>
                    </w:rPr>
                    <w:t>2011</w:t>
                  </w:r>
                </w:p>
              </w:tc>
              <w:tc>
                <w:tcPr>
                  <w:tcW w:w="171" w:type="pct"/>
                  <w:shd w:val="clear" w:color="auto" w:fill="EEECE1" w:themeFill="background2"/>
                  <w:textDirection w:val="btLr"/>
                  <w:vAlign w:val="center"/>
                </w:tcPr>
                <w:p w14:paraId="69DC1B0B" w14:textId="77777777" w:rsidR="00F36F51" w:rsidRPr="001B46CB" w:rsidRDefault="00F36F51" w:rsidP="00C70519">
                  <w:pPr>
                    <w:spacing w:line="240" w:lineRule="auto"/>
                    <w:ind w:left="113" w:right="113"/>
                    <w:jc w:val="both"/>
                    <w:rPr>
                      <w:rFonts w:asciiTheme="majorBidi" w:hAnsiTheme="majorBidi" w:cstheme="majorBidi"/>
                      <w:b/>
                      <w:bCs/>
                      <w:lang w:val="fr-FR"/>
                    </w:rPr>
                  </w:pPr>
                  <w:r w:rsidRPr="001B46CB">
                    <w:rPr>
                      <w:rFonts w:asciiTheme="majorBidi" w:hAnsiTheme="majorBidi" w:cstheme="majorBidi"/>
                      <w:b/>
                      <w:bCs/>
                      <w:lang w:val="fr-FR"/>
                    </w:rPr>
                    <w:t>2012</w:t>
                  </w:r>
                </w:p>
              </w:tc>
              <w:tc>
                <w:tcPr>
                  <w:tcW w:w="171" w:type="pct"/>
                  <w:shd w:val="clear" w:color="auto" w:fill="EEECE1" w:themeFill="background2"/>
                  <w:textDirection w:val="btLr"/>
                  <w:vAlign w:val="center"/>
                </w:tcPr>
                <w:p w14:paraId="3C066098" w14:textId="77777777" w:rsidR="00F36F51" w:rsidRPr="001B46CB" w:rsidRDefault="00F36F51" w:rsidP="00C70519">
                  <w:pPr>
                    <w:spacing w:line="240" w:lineRule="auto"/>
                    <w:ind w:left="113" w:right="113"/>
                    <w:jc w:val="both"/>
                    <w:rPr>
                      <w:rFonts w:asciiTheme="majorBidi" w:hAnsiTheme="majorBidi" w:cstheme="majorBidi"/>
                      <w:b/>
                      <w:bCs/>
                      <w:lang w:val="fr-FR"/>
                    </w:rPr>
                  </w:pPr>
                  <w:r w:rsidRPr="001B46CB">
                    <w:rPr>
                      <w:rFonts w:asciiTheme="majorBidi" w:hAnsiTheme="majorBidi" w:cstheme="majorBidi"/>
                      <w:b/>
                      <w:bCs/>
                      <w:lang w:val="fr-FR"/>
                    </w:rPr>
                    <w:t>2013</w:t>
                  </w:r>
                </w:p>
              </w:tc>
              <w:tc>
                <w:tcPr>
                  <w:tcW w:w="171" w:type="pct"/>
                  <w:shd w:val="clear" w:color="auto" w:fill="EEECE1" w:themeFill="background2"/>
                  <w:textDirection w:val="btLr"/>
                  <w:vAlign w:val="center"/>
                </w:tcPr>
                <w:p w14:paraId="5BB47AC3" w14:textId="77777777" w:rsidR="00F36F51" w:rsidRPr="001B46CB" w:rsidRDefault="00F36F51" w:rsidP="00C70519">
                  <w:pPr>
                    <w:spacing w:line="240" w:lineRule="auto"/>
                    <w:ind w:left="113" w:right="113"/>
                    <w:jc w:val="both"/>
                    <w:rPr>
                      <w:rFonts w:asciiTheme="majorBidi" w:hAnsiTheme="majorBidi" w:cstheme="majorBidi"/>
                      <w:b/>
                      <w:bCs/>
                      <w:lang w:val="fr-FR"/>
                    </w:rPr>
                  </w:pPr>
                  <w:r w:rsidRPr="001B46CB">
                    <w:rPr>
                      <w:rFonts w:asciiTheme="majorBidi" w:hAnsiTheme="majorBidi" w:cstheme="majorBidi"/>
                      <w:b/>
                      <w:bCs/>
                      <w:lang w:val="fr-FR"/>
                    </w:rPr>
                    <w:t>2014</w:t>
                  </w:r>
                </w:p>
              </w:tc>
              <w:tc>
                <w:tcPr>
                  <w:tcW w:w="171" w:type="pct"/>
                  <w:shd w:val="clear" w:color="auto" w:fill="EEECE1" w:themeFill="background2"/>
                  <w:textDirection w:val="btLr"/>
                  <w:vAlign w:val="center"/>
                </w:tcPr>
                <w:p w14:paraId="35D678FC" w14:textId="77777777" w:rsidR="00F36F51" w:rsidRPr="001B46CB" w:rsidRDefault="00F36F51" w:rsidP="00C70519">
                  <w:pPr>
                    <w:spacing w:line="240" w:lineRule="auto"/>
                    <w:ind w:left="113" w:right="113"/>
                    <w:jc w:val="both"/>
                    <w:rPr>
                      <w:rFonts w:asciiTheme="majorBidi" w:hAnsiTheme="majorBidi" w:cstheme="majorBidi"/>
                      <w:b/>
                      <w:bCs/>
                      <w:lang w:val="fr-FR"/>
                    </w:rPr>
                  </w:pPr>
                  <w:r w:rsidRPr="001B46CB">
                    <w:rPr>
                      <w:rFonts w:asciiTheme="majorBidi" w:hAnsiTheme="majorBidi" w:cstheme="majorBidi"/>
                      <w:b/>
                      <w:bCs/>
                      <w:lang w:val="fr-FR"/>
                    </w:rPr>
                    <w:t>2015</w:t>
                  </w:r>
                </w:p>
              </w:tc>
              <w:tc>
                <w:tcPr>
                  <w:tcW w:w="171" w:type="pct"/>
                  <w:shd w:val="clear" w:color="auto" w:fill="EEECE1" w:themeFill="background2"/>
                  <w:textDirection w:val="btLr"/>
                  <w:vAlign w:val="center"/>
                </w:tcPr>
                <w:p w14:paraId="7FEC35D5" w14:textId="77777777" w:rsidR="00F36F51" w:rsidRPr="001B46CB" w:rsidRDefault="00F36F51" w:rsidP="00C70519">
                  <w:pPr>
                    <w:spacing w:line="240" w:lineRule="auto"/>
                    <w:ind w:left="113" w:right="113"/>
                    <w:jc w:val="both"/>
                    <w:rPr>
                      <w:rFonts w:asciiTheme="majorBidi" w:hAnsiTheme="majorBidi" w:cstheme="majorBidi"/>
                      <w:b/>
                      <w:bCs/>
                      <w:lang w:val="fr-FR"/>
                    </w:rPr>
                  </w:pPr>
                  <w:r w:rsidRPr="001B46CB">
                    <w:rPr>
                      <w:rFonts w:asciiTheme="majorBidi" w:hAnsiTheme="majorBidi" w:cstheme="majorBidi"/>
                      <w:b/>
                      <w:bCs/>
                      <w:lang w:val="fr-FR"/>
                    </w:rPr>
                    <w:t>2016</w:t>
                  </w:r>
                </w:p>
              </w:tc>
              <w:tc>
                <w:tcPr>
                  <w:tcW w:w="171" w:type="pct"/>
                  <w:shd w:val="clear" w:color="auto" w:fill="EEECE1" w:themeFill="background2"/>
                  <w:textDirection w:val="btLr"/>
                  <w:vAlign w:val="center"/>
                </w:tcPr>
                <w:p w14:paraId="23DA27DD" w14:textId="77777777" w:rsidR="00F36F51" w:rsidRPr="001B46CB" w:rsidRDefault="00F36F51" w:rsidP="00C70519">
                  <w:pPr>
                    <w:spacing w:line="240" w:lineRule="auto"/>
                    <w:ind w:left="113" w:right="113"/>
                    <w:jc w:val="both"/>
                    <w:rPr>
                      <w:rFonts w:asciiTheme="majorBidi" w:hAnsiTheme="majorBidi" w:cstheme="majorBidi"/>
                      <w:b/>
                      <w:bCs/>
                      <w:lang w:val="fr-FR"/>
                    </w:rPr>
                  </w:pPr>
                  <w:r w:rsidRPr="001B46CB">
                    <w:rPr>
                      <w:rFonts w:asciiTheme="majorBidi" w:hAnsiTheme="majorBidi" w:cstheme="majorBidi"/>
                      <w:b/>
                      <w:bCs/>
                      <w:lang w:val="fr-FR"/>
                    </w:rPr>
                    <w:t>2017</w:t>
                  </w:r>
                </w:p>
              </w:tc>
              <w:tc>
                <w:tcPr>
                  <w:tcW w:w="397" w:type="pct"/>
                  <w:shd w:val="clear" w:color="auto" w:fill="EEECE1" w:themeFill="background2"/>
                  <w:textDirection w:val="btLr"/>
                  <w:vAlign w:val="center"/>
                </w:tcPr>
                <w:p w14:paraId="033809F4" w14:textId="77777777" w:rsidR="00F36F51" w:rsidRPr="001B46CB" w:rsidRDefault="00F36F51" w:rsidP="00C70519">
                  <w:pPr>
                    <w:spacing w:line="240" w:lineRule="auto"/>
                    <w:ind w:left="113" w:right="113"/>
                    <w:jc w:val="both"/>
                    <w:rPr>
                      <w:rFonts w:asciiTheme="majorBidi" w:hAnsiTheme="majorBidi" w:cstheme="majorBidi"/>
                      <w:b/>
                      <w:bCs/>
                      <w:lang w:val="fr-FR"/>
                    </w:rPr>
                  </w:pPr>
                  <w:r w:rsidRPr="001B46CB">
                    <w:rPr>
                      <w:rFonts w:asciiTheme="majorBidi" w:hAnsiTheme="majorBidi" w:cstheme="majorBidi"/>
                      <w:b/>
                      <w:bCs/>
                      <w:lang w:val="fr-FR"/>
                    </w:rPr>
                    <w:t>2018</w:t>
                  </w:r>
                </w:p>
              </w:tc>
            </w:tr>
            <w:tr w:rsidR="00F36F51" w:rsidRPr="001B46CB" w14:paraId="39EA55FA" w14:textId="77777777" w:rsidTr="003A6C0C">
              <w:trPr>
                <w:cantSplit/>
                <w:tblCellSpacing w:w="20" w:type="dxa"/>
                <w:jc w:val="center"/>
              </w:trPr>
              <w:tc>
                <w:tcPr>
                  <w:tcW w:w="1272" w:type="pct"/>
                  <w:shd w:val="clear" w:color="auto" w:fill="EEECE1" w:themeFill="background2"/>
                  <w:vAlign w:val="center"/>
                </w:tcPr>
                <w:p w14:paraId="674BC5BC" w14:textId="77777777" w:rsidR="00F36F51" w:rsidRPr="001B46CB" w:rsidRDefault="00F36F51" w:rsidP="00420FDE">
                  <w:pPr>
                    <w:spacing w:line="220" w:lineRule="exact"/>
                    <w:jc w:val="center"/>
                    <w:rPr>
                      <w:rFonts w:asciiTheme="majorBidi" w:hAnsiTheme="majorBidi" w:cstheme="majorBidi"/>
                      <w:b/>
                      <w:bCs/>
                      <w:lang w:val="fr-FR"/>
                    </w:rPr>
                  </w:pPr>
                  <w:r w:rsidRPr="001B46CB">
                    <w:rPr>
                      <w:rFonts w:asciiTheme="majorBidi" w:hAnsiTheme="majorBidi" w:cstheme="majorBidi"/>
                      <w:b/>
                      <w:bCs/>
                      <w:lang w:val="fr-FR"/>
                    </w:rPr>
                    <w:t>Ministre ou poste équivalent</w:t>
                  </w:r>
                </w:p>
              </w:tc>
              <w:tc>
                <w:tcPr>
                  <w:tcW w:w="171" w:type="pct"/>
                  <w:shd w:val="clear" w:color="auto" w:fill="auto"/>
                  <w:vAlign w:val="center"/>
                </w:tcPr>
                <w:p w14:paraId="60EDBE19"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1BA2A824"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4A192580"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41C070B9"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2</w:t>
                  </w:r>
                </w:p>
              </w:tc>
              <w:tc>
                <w:tcPr>
                  <w:tcW w:w="171" w:type="pct"/>
                  <w:shd w:val="clear" w:color="auto" w:fill="auto"/>
                  <w:vAlign w:val="center"/>
                </w:tcPr>
                <w:p w14:paraId="0EB13F27"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3</w:t>
                  </w:r>
                </w:p>
              </w:tc>
              <w:tc>
                <w:tcPr>
                  <w:tcW w:w="171" w:type="pct"/>
                  <w:shd w:val="clear" w:color="auto" w:fill="auto"/>
                  <w:vAlign w:val="center"/>
                </w:tcPr>
                <w:p w14:paraId="40D07BC2"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3</w:t>
                  </w:r>
                </w:p>
              </w:tc>
              <w:tc>
                <w:tcPr>
                  <w:tcW w:w="171" w:type="pct"/>
                  <w:shd w:val="clear" w:color="auto" w:fill="auto"/>
                  <w:vAlign w:val="center"/>
                </w:tcPr>
                <w:p w14:paraId="19288AFC"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3</w:t>
                  </w:r>
                </w:p>
              </w:tc>
              <w:tc>
                <w:tcPr>
                  <w:tcW w:w="171" w:type="pct"/>
                  <w:shd w:val="clear" w:color="auto" w:fill="auto"/>
                  <w:vAlign w:val="center"/>
                </w:tcPr>
                <w:p w14:paraId="4368A04A"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3</w:t>
                  </w:r>
                </w:p>
              </w:tc>
              <w:tc>
                <w:tcPr>
                  <w:tcW w:w="171" w:type="pct"/>
                  <w:shd w:val="clear" w:color="auto" w:fill="auto"/>
                  <w:vAlign w:val="center"/>
                </w:tcPr>
                <w:p w14:paraId="1FDA204F"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3</w:t>
                  </w:r>
                </w:p>
              </w:tc>
              <w:tc>
                <w:tcPr>
                  <w:tcW w:w="171" w:type="pct"/>
                  <w:shd w:val="clear" w:color="auto" w:fill="auto"/>
                  <w:vAlign w:val="center"/>
                </w:tcPr>
                <w:p w14:paraId="0E163FFC"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3</w:t>
                  </w:r>
                </w:p>
              </w:tc>
              <w:tc>
                <w:tcPr>
                  <w:tcW w:w="171" w:type="pct"/>
                  <w:shd w:val="clear" w:color="auto" w:fill="auto"/>
                  <w:vAlign w:val="center"/>
                </w:tcPr>
                <w:p w14:paraId="06A14C64"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4</w:t>
                  </w:r>
                </w:p>
              </w:tc>
              <w:tc>
                <w:tcPr>
                  <w:tcW w:w="171" w:type="pct"/>
                  <w:shd w:val="clear" w:color="auto" w:fill="auto"/>
                  <w:vAlign w:val="center"/>
                </w:tcPr>
                <w:p w14:paraId="74FC4163"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4</w:t>
                  </w:r>
                </w:p>
              </w:tc>
              <w:tc>
                <w:tcPr>
                  <w:tcW w:w="171" w:type="pct"/>
                  <w:shd w:val="clear" w:color="auto" w:fill="auto"/>
                  <w:vAlign w:val="center"/>
                </w:tcPr>
                <w:p w14:paraId="0C65617D"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4</w:t>
                  </w:r>
                </w:p>
              </w:tc>
              <w:tc>
                <w:tcPr>
                  <w:tcW w:w="171" w:type="pct"/>
                  <w:shd w:val="clear" w:color="auto" w:fill="auto"/>
                  <w:vAlign w:val="center"/>
                </w:tcPr>
                <w:p w14:paraId="2859A8E4"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4</w:t>
                  </w:r>
                </w:p>
              </w:tc>
              <w:tc>
                <w:tcPr>
                  <w:tcW w:w="171" w:type="pct"/>
                  <w:shd w:val="clear" w:color="auto" w:fill="auto"/>
                  <w:vAlign w:val="center"/>
                </w:tcPr>
                <w:p w14:paraId="12B0FA50"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4</w:t>
                  </w:r>
                </w:p>
              </w:tc>
              <w:tc>
                <w:tcPr>
                  <w:tcW w:w="171" w:type="pct"/>
                  <w:shd w:val="clear" w:color="auto" w:fill="auto"/>
                  <w:vAlign w:val="center"/>
                </w:tcPr>
                <w:p w14:paraId="2A7F8D7B"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4</w:t>
                  </w:r>
                </w:p>
              </w:tc>
              <w:tc>
                <w:tcPr>
                  <w:tcW w:w="171" w:type="pct"/>
                  <w:shd w:val="clear" w:color="auto" w:fill="auto"/>
                  <w:vAlign w:val="center"/>
                </w:tcPr>
                <w:p w14:paraId="7A6366EB"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4</w:t>
                  </w:r>
                </w:p>
              </w:tc>
              <w:tc>
                <w:tcPr>
                  <w:tcW w:w="397" w:type="pct"/>
                  <w:shd w:val="clear" w:color="auto" w:fill="auto"/>
                  <w:vAlign w:val="center"/>
                </w:tcPr>
                <w:p w14:paraId="52705143"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4</w:t>
                  </w:r>
                </w:p>
              </w:tc>
            </w:tr>
            <w:tr w:rsidR="00F36F51" w:rsidRPr="001B46CB" w14:paraId="5BFBB9A0" w14:textId="77777777" w:rsidTr="003A6C0C">
              <w:trPr>
                <w:cantSplit/>
                <w:tblCellSpacing w:w="20" w:type="dxa"/>
                <w:jc w:val="center"/>
              </w:trPr>
              <w:tc>
                <w:tcPr>
                  <w:tcW w:w="1272" w:type="pct"/>
                  <w:shd w:val="clear" w:color="auto" w:fill="EEECE1" w:themeFill="background2"/>
                  <w:vAlign w:val="center"/>
                </w:tcPr>
                <w:p w14:paraId="6DF11B1A" w14:textId="77777777" w:rsidR="00F36F51" w:rsidRPr="001B46CB" w:rsidRDefault="00F36F51" w:rsidP="00420FDE">
                  <w:pPr>
                    <w:spacing w:line="220" w:lineRule="exact"/>
                    <w:jc w:val="center"/>
                    <w:rPr>
                      <w:rFonts w:asciiTheme="majorBidi" w:hAnsiTheme="majorBidi" w:cstheme="majorBidi"/>
                      <w:b/>
                      <w:bCs/>
                      <w:lang w:val="fr-FR"/>
                    </w:rPr>
                  </w:pPr>
                  <w:r w:rsidRPr="001B46CB">
                    <w:rPr>
                      <w:rFonts w:asciiTheme="majorBidi" w:hAnsiTheme="majorBidi" w:cstheme="majorBidi"/>
                      <w:b/>
                      <w:bCs/>
                      <w:lang w:val="fr-FR"/>
                    </w:rPr>
                    <w:t>Vice-Ministre ou poste équivalent</w:t>
                  </w:r>
                </w:p>
              </w:tc>
              <w:tc>
                <w:tcPr>
                  <w:tcW w:w="171" w:type="pct"/>
                  <w:shd w:val="clear" w:color="auto" w:fill="auto"/>
                  <w:vAlign w:val="center"/>
                </w:tcPr>
                <w:p w14:paraId="55A9B8FE" w14:textId="03968D2B" w:rsidR="00F36F51" w:rsidRPr="001B46CB" w:rsidRDefault="00420FDE"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6B2ACE8C" w14:textId="71EDA0F8" w:rsidR="00F36F51" w:rsidRPr="001B46CB" w:rsidRDefault="00420FDE"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6442CEBD" w14:textId="2E3ADA39" w:rsidR="00F36F51" w:rsidRPr="001B46CB" w:rsidRDefault="00420FDE"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7202087E"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530CAFD3"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28C21AC7"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2</w:t>
                  </w:r>
                </w:p>
              </w:tc>
              <w:tc>
                <w:tcPr>
                  <w:tcW w:w="171" w:type="pct"/>
                  <w:shd w:val="clear" w:color="auto" w:fill="auto"/>
                  <w:vAlign w:val="center"/>
                </w:tcPr>
                <w:p w14:paraId="398A1810"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2</w:t>
                  </w:r>
                </w:p>
              </w:tc>
              <w:tc>
                <w:tcPr>
                  <w:tcW w:w="171" w:type="pct"/>
                  <w:shd w:val="clear" w:color="auto" w:fill="auto"/>
                  <w:vAlign w:val="center"/>
                </w:tcPr>
                <w:p w14:paraId="01C9FA81"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2</w:t>
                  </w:r>
                </w:p>
              </w:tc>
              <w:tc>
                <w:tcPr>
                  <w:tcW w:w="171" w:type="pct"/>
                  <w:shd w:val="clear" w:color="auto" w:fill="auto"/>
                  <w:vAlign w:val="center"/>
                </w:tcPr>
                <w:p w14:paraId="3C9BCE6D"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3</w:t>
                  </w:r>
                </w:p>
              </w:tc>
              <w:tc>
                <w:tcPr>
                  <w:tcW w:w="171" w:type="pct"/>
                  <w:shd w:val="clear" w:color="auto" w:fill="auto"/>
                  <w:vAlign w:val="center"/>
                </w:tcPr>
                <w:p w14:paraId="404B01D8"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3</w:t>
                  </w:r>
                </w:p>
              </w:tc>
              <w:tc>
                <w:tcPr>
                  <w:tcW w:w="171" w:type="pct"/>
                  <w:shd w:val="clear" w:color="auto" w:fill="auto"/>
                  <w:vAlign w:val="center"/>
                </w:tcPr>
                <w:p w14:paraId="18928893"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4</w:t>
                  </w:r>
                </w:p>
              </w:tc>
              <w:tc>
                <w:tcPr>
                  <w:tcW w:w="171" w:type="pct"/>
                  <w:shd w:val="clear" w:color="auto" w:fill="auto"/>
                  <w:vAlign w:val="center"/>
                </w:tcPr>
                <w:p w14:paraId="488E1F5B"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4</w:t>
                  </w:r>
                </w:p>
              </w:tc>
              <w:tc>
                <w:tcPr>
                  <w:tcW w:w="171" w:type="pct"/>
                  <w:shd w:val="clear" w:color="auto" w:fill="auto"/>
                  <w:vAlign w:val="center"/>
                </w:tcPr>
                <w:p w14:paraId="0F55C97E"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5</w:t>
                  </w:r>
                </w:p>
              </w:tc>
              <w:tc>
                <w:tcPr>
                  <w:tcW w:w="171" w:type="pct"/>
                  <w:shd w:val="clear" w:color="auto" w:fill="auto"/>
                  <w:vAlign w:val="center"/>
                </w:tcPr>
                <w:p w14:paraId="691F9BAC"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6</w:t>
                  </w:r>
                </w:p>
              </w:tc>
              <w:tc>
                <w:tcPr>
                  <w:tcW w:w="171" w:type="pct"/>
                  <w:shd w:val="clear" w:color="auto" w:fill="auto"/>
                  <w:vAlign w:val="center"/>
                </w:tcPr>
                <w:p w14:paraId="7CA3F876"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7</w:t>
                  </w:r>
                </w:p>
              </w:tc>
              <w:tc>
                <w:tcPr>
                  <w:tcW w:w="171" w:type="pct"/>
                  <w:shd w:val="clear" w:color="auto" w:fill="auto"/>
                  <w:vAlign w:val="center"/>
                </w:tcPr>
                <w:p w14:paraId="397FC50C"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7</w:t>
                  </w:r>
                </w:p>
              </w:tc>
              <w:tc>
                <w:tcPr>
                  <w:tcW w:w="171" w:type="pct"/>
                  <w:shd w:val="clear" w:color="auto" w:fill="auto"/>
                  <w:vAlign w:val="center"/>
                </w:tcPr>
                <w:p w14:paraId="75B732B3"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6</w:t>
                  </w:r>
                </w:p>
              </w:tc>
              <w:tc>
                <w:tcPr>
                  <w:tcW w:w="397" w:type="pct"/>
                  <w:shd w:val="clear" w:color="auto" w:fill="auto"/>
                  <w:vAlign w:val="center"/>
                </w:tcPr>
                <w:p w14:paraId="1020F8F6"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5</w:t>
                  </w:r>
                </w:p>
              </w:tc>
            </w:tr>
            <w:tr w:rsidR="00F36F51" w:rsidRPr="001B46CB" w14:paraId="1CCA9C70" w14:textId="77777777" w:rsidTr="003A6C0C">
              <w:trPr>
                <w:cantSplit/>
                <w:tblCellSpacing w:w="20" w:type="dxa"/>
                <w:jc w:val="center"/>
              </w:trPr>
              <w:tc>
                <w:tcPr>
                  <w:tcW w:w="1272" w:type="pct"/>
                  <w:shd w:val="clear" w:color="auto" w:fill="EEECE1" w:themeFill="background2"/>
                  <w:vAlign w:val="center"/>
                </w:tcPr>
                <w:p w14:paraId="630D1B2B" w14:textId="77777777" w:rsidR="00F36F51" w:rsidRPr="001B46CB" w:rsidRDefault="00F36F51" w:rsidP="00420FDE">
                  <w:pPr>
                    <w:spacing w:line="220" w:lineRule="exact"/>
                    <w:jc w:val="center"/>
                    <w:rPr>
                      <w:rFonts w:asciiTheme="majorBidi" w:hAnsiTheme="majorBidi" w:cstheme="majorBidi"/>
                      <w:b/>
                      <w:bCs/>
                      <w:lang w:val="fr-FR"/>
                    </w:rPr>
                  </w:pPr>
                  <w:r w:rsidRPr="001B46CB">
                    <w:rPr>
                      <w:rFonts w:asciiTheme="majorBidi" w:hAnsiTheme="majorBidi" w:cstheme="majorBidi"/>
                      <w:b/>
                      <w:bCs/>
                      <w:lang w:val="fr-FR"/>
                    </w:rPr>
                    <w:t>Vice-ministre adjointe ou poste équivalent</w:t>
                  </w:r>
                </w:p>
              </w:tc>
              <w:tc>
                <w:tcPr>
                  <w:tcW w:w="171" w:type="pct"/>
                  <w:shd w:val="clear" w:color="auto" w:fill="auto"/>
                  <w:vAlign w:val="center"/>
                </w:tcPr>
                <w:p w14:paraId="08D83DFB"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6ACE753C"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2</w:t>
                  </w:r>
                </w:p>
              </w:tc>
              <w:tc>
                <w:tcPr>
                  <w:tcW w:w="171" w:type="pct"/>
                  <w:shd w:val="clear" w:color="auto" w:fill="auto"/>
                  <w:vAlign w:val="center"/>
                </w:tcPr>
                <w:p w14:paraId="0D7481B3"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3</w:t>
                  </w:r>
                </w:p>
              </w:tc>
              <w:tc>
                <w:tcPr>
                  <w:tcW w:w="171" w:type="pct"/>
                  <w:shd w:val="clear" w:color="auto" w:fill="auto"/>
                  <w:vAlign w:val="center"/>
                </w:tcPr>
                <w:p w14:paraId="49A07017"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4</w:t>
                  </w:r>
                </w:p>
              </w:tc>
              <w:tc>
                <w:tcPr>
                  <w:tcW w:w="171" w:type="pct"/>
                  <w:shd w:val="clear" w:color="auto" w:fill="auto"/>
                  <w:vAlign w:val="center"/>
                </w:tcPr>
                <w:p w14:paraId="2AF907CF"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6</w:t>
                  </w:r>
                </w:p>
              </w:tc>
              <w:tc>
                <w:tcPr>
                  <w:tcW w:w="171" w:type="pct"/>
                  <w:shd w:val="clear" w:color="auto" w:fill="auto"/>
                  <w:vAlign w:val="center"/>
                </w:tcPr>
                <w:p w14:paraId="2EAD67CB"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10</w:t>
                  </w:r>
                </w:p>
              </w:tc>
              <w:tc>
                <w:tcPr>
                  <w:tcW w:w="171" w:type="pct"/>
                  <w:shd w:val="clear" w:color="auto" w:fill="auto"/>
                  <w:vAlign w:val="center"/>
                </w:tcPr>
                <w:p w14:paraId="4D73972F"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12</w:t>
                  </w:r>
                </w:p>
              </w:tc>
              <w:tc>
                <w:tcPr>
                  <w:tcW w:w="171" w:type="pct"/>
                  <w:shd w:val="clear" w:color="auto" w:fill="auto"/>
                  <w:vAlign w:val="center"/>
                </w:tcPr>
                <w:p w14:paraId="667BC801"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14</w:t>
                  </w:r>
                </w:p>
              </w:tc>
              <w:tc>
                <w:tcPr>
                  <w:tcW w:w="171" w:type="pct"/>
                  <w:shd w:val="clear" w:color="auto" w:fill="auto"/>
                  <w:vAlign w:val="center"/>
                </w:tcPr>
                <w:p w14:paraId="35B4B7B7"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11</w:t>
                  </w:r>
                </w:p>
              </w:tc>
              <w:tc>
                <w:tcPr>
                  <w:tcW w:w="171" w:type="pct"/>
                  <w:shd w:val="clear" w:color="auto" w:fill="auto"/>
                  <w:vAlign w:val="center"/>
                </w:tcPr>
                <w:p w14:paraId="70F8A9CA"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11</w:t>
                  </w:r>
                </w:p>
              </w:tc>
              <w:tc>
                <w:tcPr>
                  <w:tcW w:w="171" w:type="pct"/>
                  <w:shd w:val="clear" w:color="auto" w:fill="auto"/>
                  <w:vAlign w:val="center"/>
                </w:tcPr>
                <w:p w14:paraId="0E96A113"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13</w:t>
                  </w:r>
                </w:p>
              </w:tc>
              <w:tc>
                <w:tcPr>
                  <w:tcW w:w="171" w:type="pct"/>
                  <w:shd w:val="clear" w:color="auto" w:fill="auto"/>
                  <w:vAlign w:val="center"/>
                </w:tcPr>
                <w:p w14:paraId="43ADFE97"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11</w:t>
                  </w:r>
                </w:p>
              </w:tc>
              <w:tc>
                <w:tcPr>
                  <w:tcW w:w="171" w:type="pct"/>
                  <w:shd w:val="clear" w:color="auto" w:fill="auto"/>
                  <w:vAlign w:val="center"/>
                </w:tcPr>
                <w:p w14:paraId="050CB289"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12</w:t>
                  </w:r>
                </w:p>
              </w:tc>
              <w:tc>
                <w:tcPr>
                  <w:tcW w:w="171" w:type="pct"/>
                  <w:shd w:val="clear" w:color="auto" w:fill="auto"/>
                  <w:vAlign w:val="center"/>
                </w:tcPr>
                <w:p w14:paraId="5329F6C7"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22</w:t>
                  </w:r>
                </w:p>
              </w:tc>
              <w:tc>
                <w:tcPr>
                  <w:tcW w:w="171" w:type="pct"/>
                  <w:shd w:val="clear" w:color="auto" w:fill="auto"/>
                  <w:vAlign w:val="center"/>
                </w:tcPr>
                <w:p w14:paraId="0BED154D"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23</w:t>
                  </w:r>
                </w:p>
              </w:tc>
              <w:tc>
                <w:tcPr>
                  <w:tcW w:w="171" w:type="pct"/>
                  <w:shd w:val="clear" w:color="auto" w:fill="auto"/>
                  <w:vAlign w:val="center"/>
                </w:tcPr>
                <w:p w14:paraId="2156D8C2"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26</w:t>
                  </w:r>
                </w:p>
              </w:tc>
              <w:tc>
                <w:tcPr>
                  <w:tcW w:w="171" w:type="pct"/>
                  <w:shd w:val="clear" w:color="auto" w:fill="auto"/>
                  <w:vAlign w:val="center"/>
                </w:tcPr>
                <w:p w14:paraId="1BC63D48"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27</w:t>
                  </w:r>
                </w:p>
              </w:tc>
              <w:tc>
                <w:tcPr>
                  <w:tcW w:w="397" w:type="pct"/>
                  <w:shd w:val="clear" w:color="auto" w:fill="auto"/>
                  <w:vAlign w:val="center"/>
                </w:tcPr>
                <w:p w14:paraId="1F29AC7B"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31</w:t>
                  </w:r>
                </w:p>
              </w:tc>
            </w:tr>
            <w:tr w:rsidR="00F36F51" w:rsidRPr="001B46CB" w14:paraId="425CD038" w14:textId="77777777" w:rsidTr="003A6C0C">
              <w:trPr>
                <w:cantSplit/>
                <w:tblCellSpacing w:w="20" w:type="dxa"/>
                <w:jc w:val="center"/>
              </w:trPr>
              <w:tc>
                <w:tcPr>
                  <w:tcW w:w="1272" w:type="pct"/>
                  <w:shd w:val="clear" w:color="auto" w:fill="EEECE1" w:themeFill="background2"/>
                  <w:vAlign w:val="center"/>
                </w:tcPr>
                <w:p w14:paraId="23E03F8B" w14:textId="77777777" w:rsidR="00F36F51" w:rsidRPr="001B46CB" w:rsidRDefault="00F36F51" w:rsidP="00420FDE">
                  <w:pPr>
                    <w:spacing w:line="220" w:lineRule="exact"/>
                    <w:jc w:val="center"/>
                    <w:rPr>
                      <w:rFonts w:asciiTheme="majorBidi" w:hAnsiTheme="majorBidi" w:cstheme="majorBidi"/>
                      <w:b/>
                      <w:bCs/>
                      <w:lang w:val="fr-FR"/>
                    </w:rPr>
                  </w:pPr>
                  <w:r w:rsidRPr="001B46CB">
                    <w:rPr>
                      <w:rFonts w:asciiTheme="majorBidi" w:hAnsiTheme="majorBidi" w:cstheme="majorBidi"/>
                      <w:b/>
                      <w:bCs/>
                      <w:lang w:val="fr-FR"/>
                    </w:rPr>
                    <w:t>Membres de la Chambre des députés (élues)</w:t>
                  </w:r>
                </w:p>
              </w:tc>
              <w:tc>
                <w:tcPr>
                  <w:tcW w:w="171" w:type="pct"/>
                  <w:shd w:val="clear" w:color="auto" w:fill="auto"/>
                  <w:vAlign w:val="center"/>
                </w:tcPr>
                <w:p w14:paraId="6CF27C94" w14:textId="7F939C51" w:rsidR="00F36F51" w:rsidRPr="001B46CB" w:rsidRDefault="00420FDE"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2DA225BD" w14:textId="3986EE45" w:rsidR="00F36F51" w:rsidRPr="001B46CB" w:rsidRDefault="00420FDE"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408E93C2" w14:textId="3E3D85A2" w:rsidR="00F36F51" w:rsidRPr="001B46CB" w:rsidRDefault="00420FDE"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38C759FC" w14:textId="0118AB80" w:rsidR="00F36F51" w:rsidRPr="001B46CB" w:rsidRDefault="00420FDE"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52D3F096" w14:textId="57CA7401" w:rsidR="00F36F51" w:rsidRPr="001B46CB" w:rsidRDefault="00420FDE"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27C194BE"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4874063A"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261FCAAB"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2CAED5AB"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4A47C8E7"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3EF32035"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4</w:t>
                  </w:r>
                </w:p>
              </w:tc>
              <w:tc>
                <w:tcPr>
                  <w:tcW w:w="171" w:type="pct"/>
                  <w:shd w:val="clear" w:color="auto" w:fill="auto"/>
                  <w:vAlign w:val="center"/>
                </w:tcPr>
                <w:p w14:paraId="10276660"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4</w:t>
                  </w:r>
                </w:p>
              </w:tc>
              <w:tc>
                <w:tcPr>
                  <w:tcW w:w="171" w:type="pct"/>
                  <w:shd w:val="clear" w:color="auto" w:fill="auto"/>
                  <w:vAlign w:val="center"/>
                </w:tcPr>
                <w:p w14:paraId="528F318A"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4</w:t>
                  </w:r>
                </w:p>
              </w:tc>
              <w:tc>
                <w:tcPr>
                  <w:tcW w:w="171" w:type="pct"/>
                  <w:shd w:val="clear" w:color="auto" w:fill="auto"/>
                  <w:vAlign w:val="center"/>
                </w:tcPr>
                <w:p w14:paraId="5A6C4B9B"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3</w:t>
                  </w:r>
                </w:p>
              </w:tc>
              <w:tc>
                <w:tcPr>
                  <w:tcW w:w="171" w:type="pct"/>
                  <w:shd w:val="clear" w:color="auto" w:fill="auto"/>
                  <w:vAlign w:val="center"/>
                </w:tcPr>
                <w:p w14:paraId="079D564C"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3</w:t>
                  </w:r>
                </w:p>
              </w:tc>
              <w:tc>
                <w:tcPr>
                  <w:tcW w:w="171" w:type="pct"/>
                  <w:shd w:val="clear" w:color="auto" w:fill="auto"/>
                  <w:vAlign w:val="center"/>
                </w:tcPr>
                <w:p w14:paraId="3A04650C"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3</w:t>
                  </w:r>
                </w:p>
              </w:tc>
              <w:tc>
                <w:tcPr>
                  <w:tcW w:w="171" w:type="pct"/>
                  <w:shd w:val="clear" w:color="auto" w:fill="auto"/>
                  <w:vAlign w:val="center"/>
                </w:tcPr>
                <w:p w14:paraId="55A5431E"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3</w:t>
                  </w:r>
                </w:p>
              </w:tc>
              <w:tc>
                <w:tcPr>
                  <w:tcW w:w="397" w:type="pct"/>
                  <w:shd w:val="clear" w:color="auto" w:fill="auto"/>
                  <w:vAlign w:val="center"/>
                </w:tcPr>
                <w:p w14:paraId="400CB3DC"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6</w:t>
                  </w:r>
                </w:p>
              </w:tc>
            </w:tr>
            <w:tr w:rsidR="00F36F51" w:rsidRPr="001B46CB" w14:paraId="0B973772" w14:textId="77777777" w:rsidTr="003A6C0C">
              <w:trPr>
                <w:cantSplit/>
                <w:tblCellSpacing w:w="20" w:type="dxa"/>
                <w:jc w:val="center"/>
              </w:trPr>
              <w:tc>
                <w:tcPr>
                  <w:tcW w:w="1272" w:type="pct"/>
                  <w:shd w:val="clear" w:color="auto" w:fill="EEECE1" w:themeFill="background2"/>
                  <w:vAlign w:val="center"/>
                </w:tcPr>
                <w:p w14:paraId="7DACD140" w14:textId="77777777" w:rsidR="00F36F51" w:rsidRPr="001B46CB" w:rsidRDefault="00F36F51" w:rsidP="00420FDE">
                  <w:pPr>
                    <w:spacing w:line="220" w:lineRule="exact"/>
                    <w:jc w:val="center"/>
                    <w:rPr>
                      <w:rFonts w:asciiTheme="majorBidi" w:hAnsiTheme="majorBidi" w:cstheme="majorBidi"/>
                      <w:b/>
                      <w:bCs/>
                      <w:lang w:val="fr-FR"/>
                    </w:rPr>
                  </w:pPr>
                  <w:r w:rsidRPr="001B46CB">
                    <w:rPr>
                      <w:rFonts w:asciiTheme="majorBidi" w:hAnsiTheme="majorBidi" w:cstheme="majorBidi"/>
                      <w:b/>
                      <w:bCs/>
                      <w:lang w:val="fr-FR"/>
                    </w:rPr>
                    <w:t>Membres du Conseil consultatif (nommées)</w:t>
                  </w:r>
                </w:p>
              </w:tc>
              <w:tc>
                <w:tcPr>
                  <w:tcW w:w="171" w:type="pct"/>
                  <w:shd w:val="clear" w:color="auto" w:fill="auto"/>
                  <w:vAlign w:val="center"/>
                </w:tcPr>
                <w:p w14:paraId="69E48D71" w14:textId="4D87EA8C" w:rsidR="00F36F51" w:rsidRPr="001B46CB" w:rsidRDefault="00420FDE"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0013185F"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6</w:t>
                  </w:r>
                </w:p>
              </w:tc>
              <w:tc>
                <w:tcPr>
                  <w:tcW w:w="171" w:type="pct"/>
                  <w:shd w:val="clear" w:color="auto" w:fill="auto"/>
                  <w:vAlign w:val="center"/>
                </w:tcPr>
                <w:p w14:paraId="779AB2B3"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6</w:t>
                  </w:r>
                </w:p>
              </w:tc>
              <w:tc>
                <w:tcPr>
                  <w:tcW w:w="171" w:type="pct"/>
                  <w:shd w:val="clear" w:color="auto" w:fill="auto"/>
                  <w:vAlign w:val="center"/>
                </w:tcPr>
                <w:p w14:paraId="04C67418"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7</w:t>
                  </w:r>
                </w:p>
              </w:tc>
              <w:tc>
                <w:tcPr>
                  <w:tcW w:w="171" w:type="pct"/>
                  <w:shd w:val="clear" w:color="auto" w:fill="auto"/>
                  <w:vAlign w:val="center"/>
                </w:tcPr>
                <w:p w14:paraId="4C606F98"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6</w:t>
                  </w:r>
                </w:p>
              </w:tc>
              <w:tc>
                <w:tcPr>
                  <w:tcW w:w="171" w:type="pct"/>
                  <w:shd w:val="clear" w:color="auto" w:fill="auto"/>
                  <w:vAlign w:val="center"/>
                </w:tcPr>
                <w:p w14:paraId="2AA600DF"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10</w:t>
                  </w:r>
                </w:p>
              </w:tc>
              <w:tc>
                <w:tcPr>
                  <w:tcW w:w="171" w:type="pct"/>
                  <w:shd w:val="clear" w:color="auto" w:fill="auto"/>
                  <w:vAlign w:val="center"/>
                </w:tcPr>
                <w:p w14:paraId="3D7C3F02"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11</w:t>
                  </w:r>
                </w:p>
              </w:tc>
              <w:tc>
                <w:tcPr>
                  <w:tcW w:w="171" w:type="pct"/>
                  <w:shd w:val="clear" w:color="auto" w:fill="auto"/>
                  <w:vAlign w:val="center"/>
                </w:tcPr>
                <w:p w14:paraId="6289FAF4"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10</w:t>
                  </w:r>
                </w:p>
              </w:tc>
              <w:tc>
                <w:tcPr>
                  <w:tcW w:w="171" w:type="pct"/>
                  <w:shd w:val="clear" w:color="auto" w:fill="auto"/>
                  <w:vAlign w:val="center"/>
                </w:tcPr>
                <w:p w14:paraId="626D4A90"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10</w:t>
                  </w:r>
                </w:p>
              </w:tc>
              <w:tc>
                <w:tcPr>
                  <w:tcW w:w="171" w:type="pct"/>
                  <w:shd w:val="clear" w:color="auto" w:fill="auto"/>
                  <w:vAlign w:val="center"/>
                </w:tcPr>
                <w:p w14:paraId="15D2740C"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11</w:t>
                  </w:r>
                </w:p>
              </w:tc>
              <w:tc>
                <w:tcPr>
                  <w:tcW w:w="171" w:type="pct"/>
                  <w:shd w:val="clear" w:color="auto" w:fill="auto"/>
                  <w:vAlign w:val="center"/>
                </w:tcPr>
                <w:p w14:paraId="45BA9BE5"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11</w:t>
                  </w:r>
                </w:p>
              </w:tc>
              <w:tc>
                <w:tcPr>
                  <w:tcW w:w="171" w:type="pct"/>
                  <w:shd w:val="clear" w:color="auto" w:fill="auto"/>
                  <w:vAlign w:val="center"/>
                </w:tcPr>
                <w:p w14:paraId="22FB6820"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11</w:t>
                  </w:r>
                </w:p>
              </w:tc>
              <w:tc>
                <w:tcPr>
                  <w:tcW w:w="171" w:type="pct"/>
                  <w:shd w:val="clear" w:color="auto" w:fill="auto"/>
                  <w:vAlign w:val="center"/>
                </w:tcPr>
                <w:p w14:paraId="21D6557D"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11</w:t>
                  </w:r>
                </w:p>
              </w:tc>
              <w:tc>
                <w:tcPr>
                  <w:tcW w:w="171" w:type="pct"/>
                  <w:shd w:val="clear" w:color="auto" w:fill="auto"/>
                  <w:vAlign w:val="center"/>
                </w:tcPr>
                <w:p w14:paraId="369A694A"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9</w:t>
                  </w:r>
                </w:p>
              </w:tc>
              <w:tc>
                <w:tcPr>
                  <w:tcW w:w="171" w:type="pct"/>
                  <w:shd w:val="clear" w:color="auto" w:fill="auto"/>
                  <w:vAlign w:val="center"/>
                </w:tcPr>
                <w:p w14:paraId="5CC5FD4B"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9</w:t>
                  </w:r>
                </w:p>
              </w:tc>
              <w:tc>
                <w:tcPr>
                  <w:tcW w:w="171" w:type="pct"/>
                  <w:shd w:val="clear" w:color="auto" w:fill="auto"/>
                  <w:vAlign w:val="center"/>
                </w:tcPr>
                <w:p w14:paraId="3293160A"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9</w:t>
                  </w:r>
                </w:p>
              </w:tc>
              <w:tc>
                <w:tcPr>
                  <w:tcW w:w="171" w:type="pct"/>
                  <w:shd w:val="clear" w:color="auto" w:fill="auto"/>
                  <w:vAlign w:val="center"/>
                </w:tcPr>
                <w:p w14:paraId="4FC157C5"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9</w:t>
                  </w:r>
                </w:p>
              </w:tc>
              <w:tc>
                <w:tcPr>
                  <w:tcW w:w="397" w:type="pct"/>
                  <w:shd w:val="clear" w:color="auto" w:fill="auto"/>
                  <w:vAlign w:val="center"/>
                </w:tcPr>
                <w:p w14:paraId="47510E1D" w14:textId="77777777" w:rsidR="00F36F51" w:rsidRPr="001B46CB" w:rsidRDefault="00F36F51" w:rsidP="00420FDE">
                  <w:pPr>
                    <w:spacing w:line="220" w:lineRule="exact"/>
                    <w:jc w:val="center"/>
                    <w:rPr>
                      <w:rFonts w:asciiTheme="majorBidi" w:hAnsiTheme="majorBidi" w:cstheme="majorBidi"/>
                      <w:lang w:val="fr-FR"/>
                    </w:rPr>
                  </w:pPr>
                  <w:r w:rsidRPr="001B46CB">
                    <w:rPr>
                      <w:rFonts w:asciiTheme="majorBidi" w:hAnsiTheme="majorBidi" w:cstheme="majorBidi"/>
                      <w:lang w:val="fr-FR"/>
                    </w:rPr>
                    <w:t>9</w:t>
                  </w:r>
                </w:p>
              </w:tc>
            </w:tr>
            <w:tr w:rsidR="00F36F51" w:rsidRPr="001B46CB" w14:paraId="7AF13EC4" w14:textId="77777777" w:rsidTr="003A6C0C">
              <w:trPr>
                <w:cantSplit/>
                <w:tblCellSpacing w:w="20" w:type="dxa"/>
                <w:jc w:val="center"/>
              </w:trPr>
              <w:tc>
                <w:tcPr>
                  <w:tcW w:w="1272" w:type="pct"/>
                  <w:shd w:val="clear" w:color="auto" w:fill="EEECE1" w:themeFill="background2"/>
                  <w:vAlign w:val="center"/>
                </w:tcPr>
                <w:p w14:paraId="4336B9C6" w14:textId="77777777" w:rsidR="00F36F51" w:rsidRPr="001B46CB" w:rsidRDefault="00F36F51" w:rsidP="00C70519">
                  <w:pPr>
                    <w:spacing w:line="240" w:lineRule="auto"/>
                    <w:jc w:val="center"/>
                    <w:rPr>
                      <w:rFonts w:asciiTheme="majorBidi" w:hAnsiTheme="majorBidi" w:cstheme="majorBidi"/>
                      <w:b/>
                      <w:bCs/>
                      <w:lang w:val="fr-FR"/>
                    </w:rPr>
                  </w:pPr>
                  <w:r w:rsidRPr="001B46CB">
                    <w:rPr>
                      <w:rFonts w:asciiTheme="majorBidi" w:hAnsiTheme="majorBidi" w:cstheme="majorBidi"/>
                      <w:b/>
                      <w:bCs/>
                      <w:lang w:val="fr-FR"/>
                    </w:rPr>
                    <w:t>Ambassadrices</w:t>
                  </w:r>
                </w:p>
              </w:tc>
              <w:tc>
                <w:tcPr>
                  <w:tcW w:w="171" w:type="pct"/>
                  <w:shd w:val="clear" w:color="auto" w:fill="auto"/>
                  <w:vAlign w:val="center"/>
                </w:tcPr>
                <w:p w14:paraId="2581C4F6" w14:textId="77777777" w:rsidR="00F36F51" w:rsidRPr="001B46CB" w:rsidRDefault="00F36F51" w:rsidP="00C70519">
                  <w:pPr>
                    <w:spacing w:line="240" w:lineRule="auto"/>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7E6DD7A5" w14:textId="77777777" w:rsidR="00F36F51" w:rsidRPr="001B46CB" w:rsidRDefault="00F36F51" w:rsidP="00C70519">
                  <w:pPr>
                    <w:spacing w:line="240" w:lineRule="auto"/>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56F6E3AE" w14:textId="77777777" w:rsidR="00F36F51" w:rsidRPr="001B46CB" w:rsidRDefault="00F36F51" w:rsidP="00C70519">
                  <w:pPr>
                    <w:spacing w:line="240" w:lineRule="auto"/>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58896519" w14:textId="77777777" w:rsidR="00F36F51" w:rsidRPr="001B46CB" w:rsidRDefault="00F36F51" w:rsidP="00C70519">
                  <w:pPr>
                    <w:spacing w:line="240" w:lineRule="auto"/>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29F85696" w14:textId="77777777" w:rsidR="00F36F51" w:rsidRPr="001B46CB" w:rsidRDefault="00F36F51" w:rsidP="00C70519">
                  <w:pPr>
                    <w:spacing w:line="240" w:lineRule="auto"/>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371E7E8D" w14:textId="4AAA13F5" w:rsidR="00F36F51" w:rsidRPr="001B46CB" w:rsidRDefault="00420FDE" w:rsidP="00C70519">
                  <w:pPr>
                    <w:spacing w:line="240" w:lineRule="auto"/>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27E9BAB2" w14:textId="77777777" w:rsidR="00F36F51" w:rsidRPr="001B46CB" w:rsidRDefault="00F36F51" w:rsidP="00C70519">
                  <w:pPr>
                    <w:spacing w:line="240" w:lineRule="auto"/>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4CABFF7A" w14:textId="77777777" w:rsidR="00F36F51" w:rsidRPr="001B46CB" w:rsidRDefault="00F36F51" w:rsidP="00C70519">
                  <w:pPr>
                    <w:spacing w:line="240" w:lineRule="auto"/>
                    <w:jc w:val="center"/>
                    <w:rPr>
                      <w:rFonts w:asciiTheme="majorBidi" w:hAnsiTheme="majorBidi" w:cstheme="majorBidi"/>
                      <w:lang w:val="fr-FR"/>
                    </w:rPr>
                  </w:pPr>
                  <w:r w:rsidRPr="001B46CB">
                    <w:rPr>
                      <w:rFonts w:asciiTheme="majorBidi" w:hAnsiTheme="majorBidi" w:cstheme="majorBidi"/>
                      <w:lang w:val="fr-FR"/>
                    </w:rPr>
                    <w:t>2</w:t>
                  </w:r>
                </w:p>
              </w:tc>
              <w:tc>
                <w:tcPr>
                  <w:tcW w:w="171" w:type="pct"/>
                  <w:shd w:val="clear" w:color="auto" w:fill="auto"/>
                  <w:vAlign w:val="center"/>
                </w:tcPr>
                <w:p w14:paraId="7D74C9BA" w14:textId="77777777" w:rsidR="00F36F51" w:rsidRPr="001B46CB" w:rsidRDefault="00F36F51" w:rsidP="00C70519">
                  <w:pPr>
                    <w:spacing w:line="240" w:lineRule="auto"/>
                    <w:jc w:val="center"/>
                    <w:rPr>
                      <w:rFonts w:asciiTheme="majorBidi" w:hAnsiTheme="majorBidi" w:cstheme="majorBidi"/>
                      <w:lang w:val="fr-FR"/>
                    </w:rPr>
                  </w:pPr>
                  <w:r w:rsidRPr="001B46CB">
                    <w:rPr>
                      <w:rFonts w:asciiTheme="majorBidi" w:hAnsiTheme="majorBidi" w:cstheme="majorBidi"/>
                      <w:lang w:val="fr-FR"/>
                    </w:rPr>
                    <w:t>2</w:t>
                  </w:r>
                </w:p>
              </w:tc>
              <w:tc>
                <w:tcPr>
                  <w:tcW w:w="171" w:type="pct"/>
                  <w:shd w:val="clear" w:color="auto" w:fill="auto"/>
                  <w:vAlign w:val="center"/>
                </w:tcPr>
                <w:p w14:paraId="046BDFAE" w14:textId="77777777" w:rsidR="00F36F51" w:rsidRPr="001B46CB" w:rsidRDefault="00F36F51" w:rsidP="00C70519">
                  <w:pPr>
                    <w:spacing w:line="240" w:lineRule="auto"/>
                    <w:jc w:val="center"/>
                    <w:rPr>
                      <w:rFonts w:asciiTheme="majorBidi" w:hAnsiTheme="majorBidi" w:cstheme="majorBidi"/>
                      <w:lang w:val="fr-FR"/>
                    </w:rPr>
                  </w:pPr>
                  <w:r w:rsidRPr="001B46CB">
                    <w:rPr>
                      <w:rFonts w:asciiTheme="majorBidi" w:hAnsiTheme="majorBidi" w:cstheme="majorBidi"/>
                      <w:lang w:val="fr-FR"/>
                    </w:rPr>
                    <w:t>2</w:t>
                  </w:r>
                </w:p>
              </w:tc>
              <w:tc>
                <w:tcPr>
                  <w:tcW w:w="171" w:type="pct"/>
                  <w:shd w:val="clear" w:color="auto" w:fill="auto"/>
                  <w:vAlign w:val="center"/>
                </w:tcPr>
                <w:p w14:paraId="3970DA79" w14:textId="77777777" w:rsidR="00F36F51" w:rsidRPr="001B46CB" w:rsidRDefault="00F36F51" w:rsidP="00C70519">
                  <w:pPr>
                    <w:spacing w:line="240" w:lineRule="auto"/>
                    <w:jc w:val="center"/>
                    <w:rPr>
                      <w:rFonts w:asciiTheme="majorBidi" w:hAnsiTheme="majorBidi" w:cstheme="majorBidi"/>
                      <w:lang w:val="fr-FR"/>
                    </w:rPr>
                  </w:pPr>
                  <w:r w:rsidRPr="001B46CB">
                    <w:rPr>
                      <w:rFonts w:asciiTheme="majorBidi" w:hAnsiTheme="majorBidi" w:cstheme="majorBidi"/>
                      <w:lang w:val="fr-FR"/>
                    </w:rPr>
                    <w:t>3</w:t>
                  </w:r>
                </w:p>
              </w:tc>
              <w:tc>
                <w:tcPr>
                  <w:tcW w:w="171" w:type="pct"/>
                  <w:shd w:val="clear" w:color="auto" w:fill="auto"/>
                  <w:vAlign w:val="center"/>
                </w:tcPr>
                <w:p w14:paraId="397A19A4" w14:textId="77777777" w:rsidR="00F36F51" w:rsidRPr="001B46CB" w:rsidRDefault="00F36F51" w:rsidP="00C70519">
                  <w:pPr>
                    <w:spacing w:line="240" w:lineRule="auto"/>
                    <w:jc w:val="center"/>
                    <w:rPr>
                      <w:rFonts w:asciiTheme="majorBidi" w:hAnsiTheme="majorBidi" w:cstheme="majorBidi"/>
                      <w:lang w:val="fr-FR"/>
                    </w:rPr>
                  </w:pPr>
                  <w:r w:rsidRPr="001B46CB">
                    <w:rPr>
                      <w:rFonts w:asciiTheme="majorBidi" w:hAnsiTheme="majorBidi" w:cstheme="majorBidi"/>
                      <w:lang w:val="fr-FR"/>
                    </w:rPr>
                    <w:t>3</w:t>
                  </w:r>
                </w:p>
              </w:tc>
              <w:tc>
                <w:tcPr>
                  <w:tcW w:w="171" w:type="pct"/>
                  <w:shd w:val="clear" w:color="auto" w:fill="auto"/>
                  <w:vAlign w:val="center"/>
                </w:tcPr>
                <w:p w14:paraId="1C367F93" w14:textId="77777777" w:rsidR="00F36F51" w:rsidRPr="001B46CB" w:rsidRDefault="00F36F51" w:rsidP="00C70519">
                  <w:pPr>
                    <w:spacing w:line="240" w:lineRule="auto"/>
                    <w:jc w:val="center"/>
                    <w:rPr>
                      <w:rFonts w:asciiTheme="majorBidi" w:hAnsiTheme="majorBidi" w:cstheme="majorBidi"/>
                      <w:lang w:val="fr-FR"/>
                    </w:rPr>
                  </w:pPr>
                  <w:r w:rsidRPr="001B46CB">
                    <w:rPr>
                      <w:rFonts w:asciiTheme="majorBidi" w:hAnsiTheme="majorBidi" w:cstheme="majorBidi"/>
                      <w:lang w:val="fr-FR"/>
                    </w:rPr>
                    <w:t>3</w:t>
                  </w:r>
                </w:p>
              </w:tc>
              <w:tc>
                <w:tcPr>
                  <w:tcW w:w="171" w:type="pct"/>
                  <w:shd w:val="clear" w:color="auto" w:fill="auto"/>
                  <w:vAlign w:val="center"/>
                </w:tcPr>
                <w:p w14:paraId="71C8D974" w14:textId="77777777" w:rsidR="00F36F51" w:rsidRPr="001B46CB" w:rsidRDefault="00F36F51" w:rsidP="00C70519">
                  <w:pPr>
                    <w:spacing w:line="240" w:lineRule="auto"/>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414B3A0A" w14:textId="77777777" w:rsidR="00F36F51" w:rsidRPr="001B46CB" w:rsidRDefault="00F36F51" w:rsidP="00C70519">
                  <w:pPr>
                    <w:spacing w:line="240" w:lineRule="auto"/>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7DFE780E" w14:textId="77777777" w:rsidR="00F36F51" w:rsidRPr="001B46CB" w:rsidRDefault="00F36F51" w:rsidP="00C70519">
                  <w:pPr>
                    <w:spacing w:line="240" w:lineRule="auto"/>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2650BCE7" w14:textId="77777777" w:rsidR="00F36F51" w:rsidRPr="001B46CB" w:rsidRDefault="00F36F51" w:rsidP="00C70519">
                  <w:pPr>
                    <w:spacing w:line="240" w:lineRule="auto"/>
                    <w:jc w:val="center"/>
                    <w:rPr>
                      <w:rFonts w:asciiTheme="majorBidi" w:hAnsiTheme="majorBidi" w:cstheme="majorBidi"/>
                      <w:lang w:val="fr-FR"/>
                    </w:rPr>
                  </w:pPr>
                  <w:r w:rsidRPr="001B46CB">
                    <w:rPr>
                      <w:rFonts w:asciiTheme="majorBidi" w:hAnsiTheme="majorBidi" w:cstheme="majorBidi"/>
                      <w:lang w:val="fr-FR"/>
                    </w:rPr>
                    <w:t>1</w:t>
                  </w:r>
                </w:p>
              </w:tc>
              <w:tc>
                <w:tcPr>
                  <w:tcW w:w="397" w:type="pct"/>
                  <w:shd w:val="clear" w:color="auto" w:fill="auto"/>
                  <w:vAlign w:val="center"/>
                </w:tcPr>
                <w:p w14:paraId="026BC1AA" w14:textId="77777777" w:rsidR="00F36F51" w:rsidRPr="001B46CB" w:rsidRDefault="00F36F51" w:rsidP="00C70519">
                  <w:pPr>
                    <w:spacing w:line="240" w:lineRule="auto"/>
                    <w:jc w:val="center"/>
                    <w:rPr>
                      <w:rFonts w:asciiTheme="majorBidi" w:hAnsiTheme="majorBidi" w:cstheme="majorBidi"/>
                      <w:lang w:val="fr-FR"/>
                    </w:rPr>
                  </w:pPr>
                  <w:r w:rsidRPr="001B46CB">
                    <w:rPr>
                      <w:rFonts w:asciiTheme="majorBidi" w:hAnsiTheme="majorBidi" w:cstheme="majorBidi"/>
                      <w:lang w:val="fr-FR"/>
                    </w:rPr>
                    <w:t>1</w:t>
                  </w:r>
                </w:p>
              </w:tc>
            </w:tr>
            <w:tr w:rsidR="00F36F51" w:rsidRPr="001B46CB" w14:paraId="2C11ABA1" w14:textId="77777777" w:rsidTr="003A6C0C">
              <w:trPr>
                <w:cantSplit/>
                <w:tblCellSpacing w:w="20" w:type="dxa"/>
                <w:jc w:val="center"/>
              </w:trPr>
              <w:tc>
                <w:tcPr>
                  <w:tcW w:w="1272" w:type="pct"/>
                  <w:shd w:val="clear" w:color="auto" w:fill="EEECE1" w:themeFill="background2"/>
                  <w:vAlign w:val="center"/>
                </w:tcPr>
                <w:p w14:paraId="1401E543" w14:textId="2B3F48DA" w:rsidR="00F36F51" w:rsidRPr="001B46CB" w:rsidRDefault="00F36F51" w:rsidP="00EF1E34">
                  <w:pPr>
                    <w:spacing w:line="220" w:lineRule="exact"/>
                    <w:jc w:val="center"/>
                    <w:rPr>
                      <w:rFonts w:asciiTheme="majorBidi" w:hAnsiTheme="majorBidi" w:cstheme="majorBidi"/>
                      <w:b/>
                      <w:bCs/>
                      <w:lang w:val="fr-FR"/>
                    </w:rPr>
                  </w:pPr>
                  <w:r w:rsidRPr="001B46CB">
                    <w:rPr>
                      <w:rFonts w:asciiTheme="majorBidi" w:hAnsiTheme="majorBidi" w:cstheme="majorBidi"/>
                      <w:b/>
                      <w:bCs/>
                      <w:lang w:val="fr-FR"/>
                    </w:rPr>
                    <w:t>Membres des conseils municipaux, dont</w:t>
                  </w:r>
                  <w:r w:rsidR="00A01FA6" w:rsidRPr="001B46CB">
                    <w:rPr>
                      <w:rFonts w:asciiTheme="majorBidi" w:hAnsiTheme="majorBidi" w:cstheme="majorBidi"/>
                      <w:b/>
                      <w:bCs/>
                      <w:lang w:val="fr-FR"/>
                    </w:rPr>
                    <w:br/>
                  </w:r>
                  <w:r w:rsidRPr="001B46CB">
                    <w:rPr>
                      <w:rFonts w:asciiTheme="majorBidi" w:hAnsiTheme="majorBidi" w:cstheme="majorBidi"/>
                      <w:b/>
                      <w:bCs/>
                      <w:lang w:val="fr-FR"/>
                    </w:rPr>
                    <w:t>le conseil municipal</w:t>
                  </w:r>
                  <w:r w:rsidR="00A01FA6" w:rsidRPr="001B46CB">
                    <w:rPr>
                      <w:rFonts w:asciiTheme="majorBidi" w:hAnsiTheme="majorBidi" w:cstheme="majorBidi"/>
                      <w:b/>
                      <w:bCs/>
                      <w:lang w:val="fr-FR"/>
                    </w:rPr>
                    <w:br/>
                  </w:r>
                  <w:r w:rsidRPr="001B46CB">
                    <w:rPr>
                      <w:rFonts w:asciiTheme="majorBidi" w:hAnsiTheme="majorBidi" w:cstheme="majorBidi"/>
                      <w:b/>
                      <w:bCs/>
                      <w:lang w:val="fr-FR"/>
                    </w:rPr>
                    <w:t>de la capitale</w:t>
                  </w:r>
                </w:p>
              </w:tc>
              <w:tc>
                <w:tcPr>
                  <w:tcW w:w="171" w:type="pct"/>
                  <w:shd w:val="clear" w:color="auto" w:fill="auto"/>
                  <w:vAlign w:val="center"/>
                </w:tcPr>
                <w:p w14:paraId="27C4EFB7" w14:textId="32A2FC36" w:rsidR="00F36F51" w:rsidRPr="001B46CB" w:rsidRDefault="00420FDE"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492D180C" w14:textId="2880B7CC" w:rsidR="00F36F51" w:rsidRPr="001B46CB" w:rsidRDefault="00420FDE"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620052A8" w14:textId="4657A8BB" w:rsidR="00F36F51" w:rsidRPr="001B46CB" w:rsidRDefault="00420FDE"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416FF01E" w14:textId="51690616" w:rsidR="00F36F51" w:rsidRPr="001B46CB" w:rsidRDefault="00420FDE"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7E5B76C0" w14:textId="472F043D" w:rsidR="00F36F51" w:rsidRPr="001B46CB" w:rsidRDefault="00420FDE"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15E7AB60" w14:textId="491858A4" w:rsidR="00F36F51" w:rsidRPr="001B46CB" w:rsidRDefault="00420FDE"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73A62CA8" w14:textId="0B4907ED" w:rsidR="00F36F51" w:rsidRPr="001B46CB" w:rsidRDefault="00420FDE"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490C1E5E" w14:textId="2335945F" w:rsidR="00F36F51" w:rsidRPr="001B46CB" w:rsidRDefault="00420FDE"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70F5E75E" w14:textId="1326BE72" w:rsidR="00F36F51" w:rsidRPr="001B46CB" w:rsidRDefault="00420FDE"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24B9FE95" w14:textId="77777777" w:rsidR="00F36F51" w:rsidRPr="001B46CB" w:rsidRDefault="00F36F51"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0E68504E" w14:textId="77777777" w:rsidR="00F36F51" w:rsidRPr="001B46CB" w:rsidRDefault="00F36F51"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52DD8053" w14:textId="77777777" w:rsidR="00F36F51" w:rsidRPr="001B46CB" w:rsidRDefault="00F36F51"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1690CEA4" w14:textId="77777777" w:rsidR="00F36F51" w:rsidRPr="001B46CB" w:rsidRDefault="00F36F51"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4C541EED" w14:textId="77777777" w:rsidR="00F36F51" w:rsidRPr="001B46CB" w:rsidRDefault="00F36F51"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9</w:t>
                  </w:r>
                </w:p>
              </w:tc>
              <w:tc>
                <w:tcPr>
                  <w:tcW w:w="171" w:type="pct"/>
                  <w:shd w:val="clear" w:color="auto" w:fill="auto"/>
                  <w:vAlign w:val="center"/>
                </w:tcPr>
                <w:p w14:paraId="52335086" w14:textId="77777777" w:rsidR="00F36F51" w:rsidRPr="001B46CB" w:rsidRDefault="00F36F51"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9</w:t>
                  </w:r>
                </w:p>
              </w:tc>
              <w:tc>
                <w:tcPr>
                  <w:tcW w:w="171" w:type="pct"/>
                  <w:shd w:val="clear" w:color="auto" w:fill="auto"/>
                  <w:vAlign w:val="center"/>
                </w:tcPr>
                <w:p w14:paraId="15A50A23" w14:textId="77777777" w:rsidR="00F36F51" w:rsidRPr="001B46CB" w:rsidRDefault="00F36F51"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8</w:t>
                  </w:r>
                </w:p>
              </w:tc>
              <w:tc>
                <w:tcPr>
                  <w:tcW w:w="171" w:type="pct"/>
                  <w:shd w:val="clear" w:color="auto" w:fill="auto"/>
                  <w:vAlign w:val="center"/>
                </w:tcPr>
                <w:p w14:paraId="778291F1" w14:textId="77777777" w:rsidR="00F36F51" w:rsidRPr="001B46CB" w:rsidRDefault="00F36F51"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8</w:t>
                  </w:r>
                </w:p>
              </w:tc>
              <w:tc>
                <w:tcPr>
                  <w:tcW w:w="397" w:type="pct"/>
                  <w:shd w:val="clear" w:color="auto" w:fill="auto"/>
                  <w:vAlign w:val="center"/>
                </w:tcPr>
                <w:p w14:paraId="6725B15A" w14:textId="77777777" w:rsidR="00F36F51" w:rsidRPr="001B46CB" w:rsidRDefault="00F36F51"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9</w:t>
                  </w:r>
                </w:p>
              </w:tc>
            </w:tr>
            <w:tr w:rsidR="00F36F51" w:rsidRPr="001B46CB" w14:paraId="42502242" w14:textId="77777777" w:rsidTr="003A6C0C">
              <w:trPr>
                <w:cantSplit/>
                <w:tblCellSpacing w:w="20" w:type="dxa"/>
                <w:jc w:val="center"/>
              </w:trPr>
              <w:tc>
                <w:tcPr>
                  <w:tcW w:w="1272" w:type="pct"/>
                  <w:shd w:val="clear" w:color="auto" w:fill="EEECE1" w:themeFill="background2"/>
                  <w:vAlign w:val="center"/>
                </w:tcPr>
                <w:p w14:paraId="3CF2027A" w14:textId="57CAB0AE" w:rsidR="00F36F51" w:rsidRPr="001B46CB" w:rsidRDefault="00F36F51" w:rsidP="00EF1E34">
                  <w:pPr>
                    <w:spacing w:line="220" w:lineRule="exact"/>
                    <w:jc w:val="center"/>
                    <w:rPr>
                      <w:rFonts w:asciiTheme="majorBidi" w:hAnsiTheme="majorBidi" w:cstheme="majorBidi"/>
                      <w:b/>
                      <w:bCs/>
                      <w:lang w:val="fr-FR"/>
                    </w:rPr>
                  </w:pPr>
                  <w:r w:rsidRPr="001B46CB">
                    <w:rPr>
                      <w:rFonts w:asciiTheme="majorBidi" w:hAnsiTheme="majorBidi" w:cstheme="majorBidi"/>
                      <w:b/>
                      <w:bCs/>
                      <w:lang w:val="fr-FR"/>
                    </w:rPr>
                    <w:lastRenderedPageBreak/>
                    <w:t>Femmes occupant des postes dans</w:t>
                  </w:r>
                  <w:r w:rsidR="00A01FA6" w:rsidRPr="001B46CB">
                    <w:rPr>
                      <w:rFonts w:asciiTheme="majorBidi" w:hAnsiTheme="majorBidi" w:cstheme="majorBidi"/>
                      <w:b/>
                      <w:bCs/>
                      <w:lang w:val="fr-FR"/>
                    </w:rPr>
                    <w:br/>
                  </w:r>
                  <w:r w:rsidRPr="001B46CB">
                    <w:rPr>
                      <w:rFonts w:asciiTheme="majorBidi" w:hAnsiTheme="majorBidi" w:cstheme="majorBidi"/>
                      <w:b/>
                      <w:bCs/>
                      <w:lang w:val="fr-FR"/>
                    </w:rPr>
                    <w:t>la magistrature</w:t>
                  </w:r>
                  <w:r w:rsidR="00A01FA6" w:rsidRPr="001B46CB">
                    <w:rPr>
                      <w:rFonts w:asciiTheme="majorBidi" w:hAnsiTheme="majorBidi" w:cstheme="majorBidi"/>
                      <w:b/>
                      <w:bCs/>
                      <w:lang w:val="fr-FR"/>
                    </w:rPr>
                    <w:br/>
                  </w:r>
                  <w:r w:rsidRPr="001B46CB">
                    <w:rPr>
                      <w:rFonts w:asciiTheme="majorBidi" w:hAnsiTheme="majorBidi" w:cstheme="majorBidi"/>
                      <w:b/>
                      <w:bCs/>
                      <w:lang w:val="fr-FR"/>
                    </w:rPr>
                    <w:t>et le secteur de la justice</w:t>
                  </w:r>
                  <w:r w:rsidR="00A01FA6" w:rsidRPr="001B46CB">
                    <w:rPr>
                      <w:rFonts w:asciiTheme="majorBidi" w:hAnsiTheme="majorBidi" w:cstheme="majorBidi"/>
                      <w:b/>
                      <w:bCs/>
                      <w:lang w:val="fr-FR"/>
                    </w:rPr>
                    <w:br/>
                  </w:r>
                  <w:r w:rsidRPr="001B46CB">
                    <w:rPr>
                      <w:rFonts w:asciiTheme="majorBidi" w:hAnsiTheme="majorBidi" w:cstheme="majorBidi"/>
                      <w:b/>
                      <w:bCs/>
                      <w:lang w:val="fr-FR"/>
                    </w:rPr>
                    <w:t>en général ou postes équivalents</w:t>
                  </w:r>
                </w:p>
              </w:tc>
              <w:tc>
                <w:tcPr>
                  <w:tcW w:w="171" w:type="pct"/>
                  <w:shd w:val="clear" w:color="auto" w:fill="auto"/>
                  <w:vAlign w:val="center"/>
                </w:tcPr>
                <w:p w14:paraId="2B55C4A2" w14:textId="799CF661" w:rsidR="00F36F51" w:rsidRPr="001B46CB" w:rsidRDefault="00420FDE"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14654B2D" w14:textId="714177F4" w:rsidR="00F36F51" w:rsidRPr="001B46CB" w:rsidRDefault="00420FDE"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0D01CC67" w14:textId="5D99FFA3" w:rsidR="00F36F51" w:rsidRPr="001B46CB" w:rsidRDefault="00420FDE"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190B30BC" w14:textId="71E25AA6" w:rsidR="00F36F51" w:rsidRPr="001B46CB" w:rsidRDefault="00420FDE"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5D59614E" w14:textId="44085A14" w:rsidR="00F36F51" w:rsidRPr="001B46CB" w:rsidRDefault="00420FDE"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w:t>
                  </w:r>
                </w:p>
              </w:tc>
              <w:tc>
                <w:tcPr>
                  <w:tcW w:w="171" w:type="pct"/>
                  <w:shd w:val="clear" w:color="auto" w:fill="auto"/>
                  <w:vAlign w:val="center"/>
                </w:tcPr>
                <w:p w14:paraId="48F6D257" w14:textId="77777777" w:rsidR="00F36F51" w:rsidRPr="001B46CB" w:rsidRDefault="00F36F51"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1</w:t>
                  </w:r>
                </w:p>
              </w:tc>
              <w:tc>
                <w:tcPr>
                  <w:tcW w:w="171" w:type="pct"/>
                  <w:shd w:val="clear" w:color="auto" w:fill="auto"/>
                  <w:vAlign w:val="center"/>
                </w:tcPr>
                <w:p w14:paraId="3FF027C0" w14:textId="77777777" w:rsidR="00F36F51" w:rsidRPr="001B46CB" w:rsidRDefault="00F36F51"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3</w:t>
                  </w:r>
                </w:p>
              </w:tc>
              <w:tc>
                <w:tcPr>
                  <w:tcW w:w="171" w:type="pct"/>
                  <w:shd w:val="clear" w:color="auto" w:fill="auto"/>
                  <w:vAlign w:val="center"/>
                </w:tcPr>
                <w:p w14:paraId="7B31C9E9" w14:textId="77777777" w:rsidR="00F36F51" w:rsidRPr="001B46CB" w:rsidRDefault="00F36F51"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9</w:t>
                  </w:r>
                </w:p>
              </w:tc>
              <w:tc>
                <w:tcPr>
                  <w:tcW w:w="171" w:type="pct"/>
                  <w:shd w:val="clear" w:color="auto" w:fill="auto"/>
                  <w:vAlign w:val="center"/>
                </w:tcPr>
                <w:p w14:paraId="401BF5B1" w14:textId="77777777" w:rsidR="00F36F51" w:rsidRPr="001B46CB" w:rsidRDefault="00F36F51"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15</w:t>
                  </w:r>
                </w:p>
              </w:tc>
              <w:tc>
                <w:tcPr>
                  <w:tcW w:w="171" w:type="pct"/>
                  <w:shd w:val="clear" w:color="auto" w:fill="auto"/>
                  <w:vAlign w:val="center"/>
                </w:tcPr>
                <w:p w14:paraId="0BAD5F7F" w14:textId="77777777" w:rsidR="00F36F51" w:rsidRPr="001B46CB" w:rsidRDefault="00F36F51"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18</w:t>
                  </w:r>
                </w:p>
              </w:tc>
              <w:tc>
                <w:tcPr>
                  <w:tcW w:w="171" w:type="pct"/>
                  <w:shd w:val="clear" w:color="auto" w:fill="auto"/>
                  <w:vAlign w:val="center"/>
                </w:tcPr>
                <w:p w14:paraId="15353699" w14:textId="77777777" w:rsidR="00F36F51" w:rsidRPr="001B46CB" w:rsidRDefault="00F36F51"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18</w:t>
                  </w:r>
                </w:p>
              </w:tc>
              <w:tc>
                <w:tcPr>
                  <w:tcW w:w="171" w:type="pct"/>
                  <w:shd w:val="clear" w:color="auto" w:fill="auto"/>
                  <w:vAlign w:val="center"/>
                </w:tcPr>
                <w:p w14:paraId="357C4C8C" w14:textId="77777777" w:rsidR="00F36F51" w:rsidRPr="001B46CB" w:rsidRDefault="00F36F51"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17</w:t>
                  </w:r>
                </w:p>
              </w:tc>
              <w:tc>
                <w:tcPr>
                  <w:tcW w:w="171" w:type="pct"/>
                  <w:shd w:val="clear" w:color="auto" w:fill="auto"/>
                  <w:vAlign w:val="center"/>
                </w:tcPr>
                <w:p w14:paraId="7C915CD7" w14:textId="77777777" w:rsidR="00F36F51" w:rsidRPr="001B46CB" w:rsidRDefault="00F36F51"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17</w:t>
                  </w:r>
                </w:p>
              </w:tc>
              <w:tc>
                <w:tcPr>
                  <w:tcW w:w="171" w:type="pct"/>
                  <w:shd w:val="clear" w:color="auto" w:fill="auto"/>
                  <w:vAlign w:val="center"/>
                </w:tcPr>
                <w:p w14:paraId="6FA396F8" w14:textId="77777777" w:rsidR="00F36F51" w:rsidRPr="001B46CB" w:rsidRDefault="00F36F51" w:rsidP="00EF1E34">
                  <w:pPr>
                    <w:spacing w:line="220" w:lineRule="exact"/>
                    <w:jc w:val="center"/>
                    <w:rPr>
                      <w:rFonts w:asciiTheme="majorBidi" w:hAnsiTheme="majorBidi" w:cstheme="majorBidi"/>
                      <w:lang w:val="fr-FR"/>
                    </w:rPr>
                  </w:pPr>
                  <w:r w:rsidRPr="001B46CB">
                    <w:rPr>
                      <w:rFonts w:asciiTheme="majorBidi" w:hAnsiTheme="majorBidi" w:cstheme="majorBidi"/>
                      <w:lang w:val="fr-FR"/>
                    </w:rPr>
                    <w:t>17</w:t>
                  </w:r>
                </w:p>
              </w:tc>
              <w:tc>
                <w:tcPr>
                  <w:tcW w:w="171" w:type="pct"/>
                  <w:shd w:val="clear" w:color="auto" w:fill="auto"/>
                  <w:vAlign w:val="center"/>
                </w:tcPr>
                <w:p w14:paraId="71E39377" w14:textId="77777777" w:rsidR="00F36F51" w:rsidRPr="001B46CB" w:rsidRDefault="00F36F51" w:rsidP="00EF1E34">
                  <w:pPr>
                    <w:keepNext/>
                    <w:spacing w:line="220" w:lineRule="exact"/>
                    <w:jc w:val="center"/>
                    <w:rPr>
                      <w:rFonts w:asciiTheme="majorBidi" w:hAnsiTheme="majorBidi" w:cstheme="majorBidi"/>
                      <w:lang w:val="fr-FR"/>
                    </w:rPr>
                  </w:pPr>
                  <w:r w:rsidRPr="001B46CB">
                    <w:rPr>
                      <w:rFonts w:asciiTheme="majorBidi" w:hAnsiTheme="majorBidi" w:cstheme="majorBidi"/>
                      <w:lang w:val="fr-FR"/>
                    </w:rPr>
                    <w:t>17</w:t>
                  </w:r>
                </w:p>
              </w:tc>
              <w:tc>
                <w:tcPr>
                  <w:tcW w:w="171" w:type="pct"/>
                  <w:shd w:val="clear" w:color="auto" w:fill="auto"/>
                  <w:vAlign w:val="center"/>
                </w:tcPr>
                <w:p w14:paraId="429D214F" w14:textId="77777777" w:rsidR="00F36F51" w:rsidRPr="001B46CB" w:rsidRDefault="00F36F51" w:rsidP="00EF1E34">
                  <w:pPr>
                    <w:keepNext/>
                    <w:spacing w:line="220" w:lineRule="exact"/>
                    <w:jc w:val="center"/>
                    <w:rPr>
                      <w:rFonts w:asciiTheme="majorBidi" w:hAnsiTheme="majorBidi" w:cstheme="majorBidi"/>
                      <w:lang w:val="fr-FR"/>
                    </w:rPr>
                  </w:pPr>
                  <w:r w:rsidRPr="001B46CB">
                    <w:rPr>
                      <w:rFonts w:asciiTheme="majorBidi" w:hAnsiTheme="majorBidi" w:cstheme="majorBidi"/>
                      <w:lang w:val="fr-FR"/>
                    </w:rPr>
                    <w:t>14</w:t>
                  </w:r>
                </w:p>
              </w:tc>
              <w:tc>
                <w:tcPr>
                  <w:tcW w:w="171" w:type="pct"/>
                  <w:shd w:val="clear" w:color="auto" w:fill="auto"/>
                  <w:vAlign w:val="center"/>
                </w:tcPr>
                <w:p w14:paraId="2113AEE4" w14:textId="77777777" w:rsidR="00F36F51" w:rsidRPr="001B46CB" w:rsidRDefault="00F36F51" w:rsidP="00EF1E34">
                  <w:pPr>
                    <w:keepNext/>
                    <w:spacing w:line="220" w:lineRule="exact"/>
                    <w:jc w:val="center"/>
                    <w:rPr>
                      <w:rFonts w:asciiTheme="majorBidi" w:hAnsiTheme="majorBidi" w:cstheme="majorBidi"/>
                      <w:lang w:val="fr-FR"/>
                    </w:rPr>
                  </w:pPr>
                  <w:r w:rsidRPr="001B46CB">
                    <w:rPr>
                      <w:rFonts w:asciiTheme="majorBidi" w:hAnsiTheme="majorBidi" w:cstheme="majorBidi"/>
                      <w:lang w:val="fr-FR"/>
                    </w:rPr>
                    <w:t>18</w:t>
                  </w:r>
                </w:p>
              </w:tc>
              <w:tc>
                <w:tcPr>
                  <w:tcW w:w="397" w:type="pct"/>
                  <w:shd w:val="clear" w:color="auto" w:fill="auto"/>
                  <w:vAlign w:val="center"/>
                </w:tcPr>
                <w:p w14:paraId="0B29167B" w14:textId="77777777" w:rsidR="00F36F51" w:rsidRPr="001B46CB" w:rsidRDefault="00F36F51" w:rsidP="00EF1E34">
                  <w:pPr>
                    <w:keepNext/>
                    <w:spacing w:line="220" w:lineRule="exact"/>
                    <w:jc w:val="center"/>
                    <w:rPr>
                      <w:rFonts w:asciiTheme="majorBidi" w:hAnsiTheme="majorBidi" w:cstheme="majorBidi"/>
                      <w:lang w:val="fr-FR"/>
                    </w:rPr>
                  </w:pPr>
                  <w:r w:rsidRPr="001B46CB">
                    <w:rPr>
                      <w:rFonts w:asciiTheme="majorBidi" w:hAnsiTheme="majorBidi" w:cstheme="majorBidi"/>
                      <w:lang w:val="fr-FR"/>
                    </w:rPr>
                    <w:t>19</w:t>
                  </w:r>
                </w:p>
              </w:tc>
            </w:tr>
          </w:tbl>
          <w:p w14:paraId="173F12F3" w14:textId="77777777" w:rsidR="00F36F51" w:rsidRPr="001B46CB" w:rsidRDefault="00F36F51" w:rsidP="00C70519">
            <w:pPr>
              <w:pStyle w:val="ListParagraph"/>
              <w:spacing w:line="240" w:lineRule="auto"/>
              <w:ind w:left="689"/>
              <w:jc w:val="both"/>
              <w:rPr>
                <w:rFonts w:asciiTheme="majorBidi" w:hAnsiTheme="majorBidi" w:cstheme="majorBidi"/>
                <w:lang w:val="fr-FR"/>
              </w:rPr>
            </w:pPr>
          </w:p>
        </w:tc>
      </w:tr>
      <w:tr w:rsidR="00481471" w:rsidRPr="001B46CB" w14:paraId="49352857" w14:textId="77777777" w:rsidTr="00767A10">
        <w:trPr>
          <w:tblCellSpacing w:w="20" w:type="dxa"/>
          <w:jc w:val="center"/>
        </w:trPr>
        <w:tc>
          <w:tcPr>
            <w:tcW w:w="3090" w:type="pct"/>
            <w:gridSpan w:val="10"/>
            <w:shd w:val="clear" w:color="auto" w:fill="DDD9C3" w:themeFill="background2" w:themeFillShade="E6"/>
          </w:tcPr>
          <w:p w14:paraId="0501AA15" w14:textId="77777777" w:rsidR="00F36F51" w:rsidRPr="001B46CB" w:rsidRDefault="00F36F51" w:rsidP="00420FDE">
            <w:pPr>
              <w:spacing w:after="40" w:line="240" w:lineRule="auto"/>
              <w:jc w:val="center"/>
              <w:rPr>
                <w:rFonts w:asciiTheme="majorBidi" w:hAnsiTheme="majorBidi" w:cstheme="majorBidi"/>
                <w:b/>
                <w:bCs/>
                <w:highlight w:val="magenta"/>
                <w:lang w:val="fr-FR"/>
              </w:rPr>
            </w:pPr>
            <w:r w:rsidRPr="00767A10">
              <w:rPr>
                <w:rFonts w:asciiTheme="majorBidi" w:hAnsiTheme="majorBidi" w:cstheme="majorBidi"/>
                <w:b/>
                <w:bCs/>
                <w:lang w:val="fr-FR"/>
              </w:rPr>
              <w:lastRenderedPageBreak/>
              <w:t>Domaine concerné</w:t>
            </w:r>
          </w:p>
        </w:tc>
        <w:tc>
          <w:tcPr>
            <w:tcW w:w="1849" w:type="pct"/>
            <w:gridSpan w:val="3"/>
            <w:shd w:val="clear" w:color="auto" w:fill="EEECE1" w:themeFill="background2"/>
          </w:tcPr>
          <w:p w14:paraId="2BE69D81" w14:textId="77777777" w:rsidR="00F36F51" w:rsidRPr="001B46CB" w:rsidRDefault="00F36F51" w:rsidP="00420FDE">
            <w:pPr>
              <w:tabs>
                <w:tab w:val="left" w:pos="4515"/>
              </w:tabs>
              <w:spacing w:after="40" w:line="240" w:lineRule="auto"/>
              <w:jc w:val="center"/>
              <w:rPr>
                <w:rFonts w:asciiTheme="majorBidi" w:hAnsiTheme="majorBidi" w:cstheme="majorBidi"/>
                <w:b/>
                <w:bCs/>
                <w:lang w:val="fr-FR"/>
              </w:rPr>
            </w:pPr>
            <w:r w:rsidRPr="001B46CB">
              <w:rPr>
                <w:rFonts w:asciiTheme="majorBidi" w:hAnsiTheme="majorBidi" w:cstheme="majorBidi"/>
                <w:b/>
                <w:bCs/>
                <w:lang w:val="fr-FR"/>
              </w:rPr>
              <w:t>Nationalité</w:t>
            </w:r>
          </w:p>
        </w:tc>
      </w:tr>
      <w:tr w:rsidR="00F36F51" w:rsidRPr="001B46CB" w14:paraId="5FA6619D" w14:textId="77777777" w:rsidTr="0080608B">
        <w:trPr>
          <w:tblCellSpacing w:w="20" w:type="dxa"/>
          <w:jc w:val="center"/>
        </w:trPr>
        <w:tc>
          <w:tcPr>
            <w:tcW w:w="4959" w:type="pct"/>
            <w:gridSpan w:val="13"/>
            <w:shd w:val="clear" w:color="auto" w:fill="C4BC96" w:themeFill="background2" w:themeFillShade="BF"/>
            <w:vAlign w:val="center"/>
          </w:tcPr>
          <w:p w14:paraId="17598094" w14:textId="77777777" w:rsidR="00F36F51" w:rsidRPr="001B46CB" w:rsidRDefault="00F36F51" w:rsidP="00420FDE">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r w:rsidRPr="001B46CB">
              <w:rPr>
                <w:rFonts w:asciiTheme="majorBidi" w:hAnsiTheme="majorBidi" w:cstheme="majorBidi"/>
                <w:lang w:val="fr-FR"/>
              </w:rPr>
              <w:t xml:space="preserve"> </w:t>
            </w:r>
          </w:p>
        </w:tc>
      </w:tr>
      <w:tr w:rsidR="00F36F51" w:rsidRPr="001B46CB" w14:paraId="2FE3BE02" w14:textId="77777777" w:rsidTr="0080608B">
        <w:trPr>
          <w:tblCellSpacing w:w="20" w:type="dxa"/>
          <w:jc w:val="center"/>
        </w:trPr>
        <w:tc>
          <w:tcPr>
            <w:tcW w:w="4959" w:type="pct"/>
            <w:gridSpan w:val="13"/>
            <w:shd w:val="clear" w:color="auto" w:fill="auto"/>
            <w:vAlign w:val="center"/>
          </w:tcPr>
          <w:p w14:paraId="0CFBB88D" w14:textId="79C2838D" w:rsidR="00F36F51" w:rsidRPr="001B46CB" w:rsidRDefault="00F36F51" w:rsidP="003471AB">
            <w:pPr>
              <w:numPr>
                <w:ilvl w:val="0"/>
                <w:numId w:val="42"/>
              </w:numPr>
              <w:spacing w:after="20" w:line="240" w:lineRule="auto"/>
              <w:ind w:left="360" w:right="144"/>
              <w:jc w:val="both"/>
              <w:rPr>
                <w:rFonts w:asciiTheme="majorBidi" w:hAnsiTheme="majorBidi" w:cstheme="majorBidi"/>
                <w:b/>
                <w:bCs/>
                <w:color w:val="000000" w:themeColor="text1"/>
                <w:lang w:val="fr-FR"/>
              </w:rPr>
            </w:pPr>
            <w:r w:rsidRPr="001B46CB">
              <w:rPr>
                <w:rFonts w:asciiTheme="majorBidi" w:hAnsiTheme="majorBidi" w:cstheme="majorBidi"/>
                <w:lang w:val="fr-FR"/>
              </w:rPr>
              <w:t>Compte tenu des précédentes recommandations du Comité (</w:t>
            </w:r>
            <w:hyperlink r:id="rId37" w:history="1">
              <w:r w:rsidRPr="001B46CB">
                <w:rPr>
                  <w:rStyle w:val="Hyperlink"/>
                  <w:rFonts w:asciiTheme="majorBidi" w:hAnsiTheme="majorBidi" w:cstheme="majorBidi"/>
                  <w:lang w:val="fr-FR"/>
                </w:rPr>
                <w:t>CEDAW/C/BHR/CO/2</w:t>
              </w:r>
            </w:hyperlink>
            <w:r w:rsidRPr="001B46CB">
              <w:rPr>
                <w:rFonts w:asciiTheme="majorBidi" w:hAnsiTheme="majorBidi" w:cstheme="majorBidi"/>
                <w:lang w:val="fr-FR"/>
              </w:rPr>
              <w:t xml:space="preserve">, </w:t>
            </w:r>
            <w:r w:rsidR="00CC1C14" w:rsidRPr="001B46CB">
              <w:rPr>
                <w:rFonts w:asciiTheme="majorBidi" w:hAnsiTheme="majorBidi" w:cstheme="majorBidi"/>
                <w:lang w:val="fr-FR"/>
              </w:rPr>
              <w:t>par. </w:t>
            </w:r>
            <w:r w:rsidRPr="001B46CB">
              <w:rPr>
                <w:rFonts w:asciiTheme="majorBidi" w:hAnsiTheme="majorBidi" w:cstheme="majorBidi"/>
                <w:lang w:val="fr-FR"/>
              </w:rPr>
              <w:t xml:space="preserve">31, et </w:t>
            </w:r>
            <w:hyperlink r:id="rId38" w:history="1">
              <w:r w:rsidRPr="001B46CB">
                <w:rPr>
                  <w:rStyle w:val="Hyperlink"/>
                  <w:rFonts w:asciiTheme="majorBidi" w:hAnsiTheme="majorBidi" w:cstheme="majorBidi"/>
                  <w:lang w:val="fr-FR"/>
                </w:rPr>
                <w:t>CEDAW/C/BHR/CO/3</w:t>
              </w:r>
            </w:hyperlink>
            <w:r w:rsidRPr="001B46CB">
              <w:rPr>
                <w:rFonts w:asciiTheme="majorBidi" w:hAnsiTheme="majorBidi" w:cstheme="majorBidi"/>
                <w:lang w:val="fr-FR"/>
              </w:rPr>
              <w:t xml:space="preserve">, </w:t>
            </w:r>
            <w:r w:rsidR="00CC1C14" w:rsidRPr="001B46CB">
              <w:rPr>
                <w:rFonts w:asciiTheme="majorBidi" w:hAnsiTheme="majorBidi" w:cstheme="majorBidi"/>
                <w:lang w:val="fr-FR"/>
              </w:rPr>
              <w:t>par. </w:t>
            </w:r>
            <w:r w:rsidRPr="001B46CB">
              <w:rPr>
                <w:rFonts w:asciiTheme="majorBidi" w:hAnsiTheme="majorBidi" w:cstheme="majorBidi"/>
                <w:lang w:val="fr-FR"/>
              </w:rPr>
              <w:t>34), veuillez donner un calendrier pour l</w:t>
            </w:r>
            <w:r w:rsidR="00801F15" w:rsidRPr="001B46CB">
              <w:rPr>
                <w:rFonts w:asciiTheme="majorBidi" w:hAnsiTheme="majorBidi" w:cstheme="majorBidi"/>
                <w:lang w:val="fr-FR"/>
              </w:rPr>
              <w:t>’</w:t>
            </w:r>
            <w:r w:rsidRPr="001B46CB">
              <w:rPr>
                <w:rFonts w:asciiTheme="majorBidi" w:hAnsiTheme="majorBidi" w:cstheme="majorBidi"/>
                <w:lang w:val="fr-FR"/>
              </w:rPr>
              <w:t>adoption des modifications à la loi sur la nationalité qui permettraient à une femme bahreïnienne mariée à un étranger de transmettre la nationalité bahreïnienne à ses enfants sous certaines conditions (</w:t>
            </w:r>
            <w:r w:rsidR="00CC1C14" w:rsidRPr="001B46CB">
              <w:rPr>
                <w:rFonts w:asciiTheme="majorBidi" w:hAnsiTheme="majorBidi" w:cstheme="majorBidi"/>
                <w:lang w:val="fr-FR"/>
              </w:rPr>
              <w:t>par. </w:t>
            </w:r>
            <w:r w:rsidRPr="001B46CB">
              <w:rPr>
                <w:rFonts w:asciiTheme="majorBidi" w:hAnsiTheme="majorBidi" w:cstheme="majorBidi"/>
                <w:lang w:val="fr-FR"/>
              </w:rPr>
              <w:t>159) et fournir des renseignements sur les mesures prévues par ailleurs pour garantir que les femmes bahreïniennes puissent transmettre leur nationalité à leur mari et à leurs enfants dans les mêmes conditions que les hommes. Veuillez également fournir un calendrier pour l</w:t>
            </w:r>
            <w:r w:rsidR="00801F15" w:rsidRPr="001B46CB">
              <w:rPr>
                <w:rFonts w:asciiTheme="majorBidi" w:hAnsiTheme="majorBidi" w:cstheme="majorBidi"/>
                <w:lang w:val="fr-FR"/>
              </w:rPr>
              <w:t>’</w:t>
            </w:r>
            <w:r w:rsidRPr="001B46CB">
              <w:rPr>
                <w:rFonts w:asciiTheme="majorBidi" w:hAnsiTheme="majorBidi" w:cstheme="majorBidi"/>
                <w:lang w:val="fr-FR"/>
              </w:rPr>
              <w:t>adhésion de Bahreïn à la Convention relative au statut des apatrides (1954) et à la Convention sur la réduction des cas d</w:t>
            </w:r>
            <w:r w:rsidR="00801F15" w:rsidRPr="001B46CB">
              <w:rPr>
                <w:rFonts w:asciiTheme="majorBidi" w:hAnsiTheme="majorBidi" w:cstheme="majorBidi"/>
                <w:lang w:val="fr-FR"/>
              </w:rPr>
              <w:t>’</w:t>
            </w:r>
            <w:r w:rsidRPr="001B46CB">
              <w:rPr>
                <w:rFonts w:asciiTheme="majorBidi" w:hAnsiTheme="majorBidi" w:cstheme="majorBidi"/>
                <w:lang w:val="fr-FR"/>
              </w:rPr>
              <w:t>apatridie (1961).</w:t>
            </w:r>
          </w:p>
        </w:tc>
      </w:tr>
      <w:tr w:rsidR="00F36F51" w:rsidRPr="001B46CB" w14:paraId="602DD929" w14:textId="77777777" w:rsidTr="0080608B">
        <w:trPr>
          <w:tblCellSpacing w:w="20" w:type="dxa"/>
          <w:jc w:val="center"/>
        </w:trPr>
        <w:tc>
          <w:tcPr>
            <w:tcW w:w="4959" w:type="pct"/>
            <w:gridSpan w:val="13"/>
            <w:shd w:val="clear" w:color="auto" w:fill="C4BC96" w:themeFill="background2" w:themeFillShade="BF"/>
            <w:vAlign w:val="center"/>
          </w:tcPr>
          <w:p w14:paraId="4EFD22D3" w14:textId="77777777" w:rsidR="00F36F51" w:rsidRPr="001B46CB" w:rsidRDefault="00F36F51" w:rsidP="008E3A5E">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Réponse</w:t>
            </w:r>
          </w:p>
        </w:tc>
      </w:tr>
      <w:tr w:rsidR="00F36F51" w:rsidRPr="001B46CB" w14:paraId="0EE6AA1C" w14:textId="77777777" w:rsidTr="00E6259C">
        <w:trPr>
          <w:tblCellSpacing w:w="20" w:type="dxa"/>
          <w:jc w:val="center"/>
        </w:trPr>
        <w:tc>
          <w:tcPr>
            <w:tcW w:w="4959" w:type="pct"/>
            <w:gridSpan w:val="13"/>
            <w:tcBorders>
              <w:bottom w:val="nil"/>
            </w:tcBorders>
            <w:shd w:val="clear" w:color="auto" w:fill="auto"/>
            <w:vAlign w:val="center"/>
          </w:tcPr>
          <w:p w14:paraId="35BEBB31" w14:textId="2BF61C28" w:rsidR="00801F15" w:rsidRPr="001B46CB" w:rsidRDefault="00F36F51" w:rsidP="0008075B">
            <w:pPr>
              <w:numPr>
                <w:ilvl w:val="0"/>
                <w:numId w:val="43"/>
              </w:numPr>
              <w:spacing w:after="200" w:line="240" w:lineRule="auto"/>
              <w:ind w:left="360" w:right="144"/>
              <w:contextualSpacing/>
              <w:jc w:val="both"/>
              <w:rPr>
                <w:rFonts w:asciiTheme="majorBidi" w:hAnsiTheme="majorBidi" w:cstheme="majorBidi"/>
                <w:lang w:val="fr-FR"/>
              </w:rPr>
            </w:pPr>
            <w:r w:rsidRPr="001B46CB">
              <w:rPr>
                <w:rFonts w:asciiTheme="majorBidi" w:hAnsiTheme="majorBidi" w:cstheme="majorBidi"/>
                <w:lang w:val="fr-FR"/>
              </w:rPr>
              <w:t>Bahreïn rappelle qu</w:t>
            </w:r>
            <w:r w:rsidR="00801F15" w:rsidRPr="001B46CB">
              <w:rPr>
                <w:rFonts w:asciiTheme="majorBidi" w:hAnsiTheme="majorBidi" w:cstheme="majorBidi"/>
                <w:lang w:val="fr-FR"/>
              </w:rPr>
              <w:t>’</w:t>
            </w:r>
            <w:r w:rsidRPr="001B46CB">
              <w:rPr>
                <w:rFonts w:asciiTheme="majorBidi" w:hAnsiTheme="majorBidi" w:cstheme="majorBidi"/>
                <w:lang w:val="fr-FR"/>
              </w:rPr>
              <w:t>en 2014, le Conseil des ministres a transmis au pouvoir législatif une proposition de modification de la loi sur la national</w:t>
            </w:r>
            <w:r w:rsidR="00D165D7" w:rsidRPr="001B46CB">
              <w:rPr>
                <w:rFonts w:asciiTheme="majorBidi" w:hAnsiTheme="majorBidi" w:cstheme="majorBidi"/>
                <w:lang w:val="fr-FR"/>
              </w:rPr>
              <w:t>ité</w:t>
            </w:r>
            <w:r w:rsidRPr="001B46CB">
              <w:rPr>
                <w:rFonts w:asciiTheme="majorBidi" w:hAnsiTheme="majorBidi" w:cstheme="majorBidi"/>
                <w:lang w:val="fr-FR"/>
              </w:rPr>
              <w:t xml:space="preserve"> tendant à ce que les enfants nés d</w:t>
            </w:r>
            <w:r w:rsidR="00801F15" w:rsidRPr="001B46CB">
              <w:rPr>
                <w:rFonts w:asciiTheme="majorBidi" w:hAnsiTheme="majorBidi" w:cstheme="majorBidi"/>
                <w:lang w:val="fr-FR"/>
              </w:rPr>
              <w:t>’</w:t>
            </w:r>
            <w:r w:rsidRPr="001B46CB">
              <w:rPr>
                <w:rFonts w:asciiTheme="majorBidi" w:hAnsiTheme="majorBidi" w:cstheme="majorBidi"/>
                <w:lang w:val="fr-FR"/>
              </w:rPr>
              <w:t>une mère bahreïnienne puissent acquérir la nationalité de la mère. Le pouvoir législatif reste saisi de ce projet de texte.</w:t>
            </w:r>
            <w:r w:rsidR="00801F15" w:rsidRPr="001B46CB">
              <w:rPr>
                <w:rFonts w:asciiTheme="majorBidi" w:hAnsiTheme="majorBidi" w:cstheme="majorBidi"/>
                <w:lang w:val="fr-FR"/>
              </w:rPr>
              <w:t xml:space="preserve"> </w:t>
            </w:r>
            <w:r w:rsidRPr="001B46CB">
              <w:rPr>
                <w:rFonts w:asciiTheme="majorBidi" w:hAnsiTheme="majorBidi" w:cstheme="majorBidi"/>
                <w:lang w:val="fr-FR"/>
              </w:rPr>
              <w:t>Il est difficile de donner un calendrier pour l</w:t>
            </w:r>
            <w:r w:rsidR="00801F15" w:rsidRPr="001B46CB">
              <w:rPr>
                <w:rFonts w:asciiTheme="majorBidi" w:hAnsiTheme="majorBidi" w:cstheme="majorBidi"/>
                <w:lang w:val="fr-FR"/>
              </w:rPr>
              <w:t>’</w:t>
            </w:r>
            <w:r w:rsidRPr="001B46CB">
              <w:rPr>
                <w:rFonts w:asciiTheme="majorBidi" w:hAnsiTheme="majorBidi" w:cstheme="majorBidi"/>
                <w:lang w:val="fr-FR"/>
              </w:rPr>
              <w:t>adoption de ce projet de loi car cette question relève des prérogatives du pouvoir législatif, libre d</w:t>
            </w:r>
            <w:r w:rsidR="00801F15" w:rsidRPr="001B46CB">
              <w:rPr>
                <w:rFonts w:asciiTheme="majorBidi" w:hAnsiTheme="majorBidi" w:cstheme="majorBidi"/>
                <w:lang w:val="fr-FR"/>
              </w:rPr>
              <w:t>’</w:t>
            </w:r>
            <w:r w:rsidRPr="001B46CB">
              <w:rPr>
                <w:rFonts w:asciiTheme="majorBidi" w:hAnsiTheme="majorBidi" w:cstheme="majorBidi"/>
                <w:lang w:val="fr-FR"/>
              </w:rPr>
              <w:t>examiner les propositions de loi dont il est saisi comme il l</w:t>
            </w:r>
            <w:r w:rsidR="00801F15" w:rsidRPr="001B46CB">
              <w:rPr>
                <w:rFonts w:asciiTheme="majorBidi" w:hAnsiTheme="majorBidi" w:cstheme="majorBidi"/>
                <w:lang w:val="fr-FR"/>
              </w:rPr>
              <w:t>’</w:t>
            </w:r>
            <w:r w:rsidRPr="001B46CB">
              <w:rPr>
                <w:rFonts w:asciiTheme="majorBidi" w:hAnsiTheme="majorBidi" w:cstheme="majorBidi"/>
                <w:lang w:val="fr-FR"/>
              </w:rPr>
              <w:t>entend. Le pouvoir exécutif n</w:t>
            </w:r>
            <w:r w:rsidR="00801F15" w:rsidRPr="001B46CB">
              <w:rPr>
                <w:rFonts w:asciiTheme="majorBidi" w:hAnsiTheme="majorBidi" w:cstheme="majorBidi"/>
                <w:lang w:val="fr-FR"/>
              </w:rPr>
              <w:t>’</w:t>
            </w:r>
            <w:r w:rsidRPr="001B46CB">
              <w:rPr>
                <w:rFonts w:asciiTheme="majorBidi" w:hAnsiTheme="majorBidi" w:cstheme="majorBidi"/>
                <w:lang w:val="fr-FR"/>
              </w:rPr>
              <w:t>intervient pas dans les travaux du pouvoir législatif, en application du principe de séparation des pouvoirs, comme indiqué aux paragraphes 160 à 163 de son quatrième rapport périodique.</w:t>
            </w:r>
          </w:p>
          <w:p w14:paraId="06B2A814" w14:textId="7FC14D48" w:rsidR="00F36F51" w:rsidRPr="001B46CB" w:rsidRDefault="00F36F51" w:rsidP="00481471">
            <w:pPr>
              <w:numPr>
                <w:ilvl w:val="0"/>
                <w:numId w:val="43"/>
              </w:numPr>
              <w:spacing w:after="20" w:line="240" w:lineRule="auto"/>
              <w:ind w:left="360" w:right="144"/>
              <w:jc w:val="both"/>
              <w:rPr>
                <w:rFonts w:asciiTheme="majorBidi" w:hAnsiTheme="majorBidi" w:cstheme="majorBidi"/>
                <w:lang w:val="fr-FR"/>
              </w:rPr>
            </w:pPr>
            <w:r w:rsidRPr="001B46CB">
              <w:rPr>
                <w:rFonts w:asciiTheme="majorBidi" w:hAnsiTheme="majorBidi" w:cstheme="majorBidi"/>
                <w:lang w:val="fr-FR"/>
              </w:rPr>
              <w:t>La 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35 de 2009 est une des principales mesures temporaires prises. Conformément à cette loi, l</w:t>
            </w:r>
            <w:r w:rsidR="00801F15" w:rsidRPr="001B46CB">
              <w:rPr>
                <w:rFonts w:asciiTheme="majorBidi" w:hAnsiTheme="majorBidi" w:cstheme="majorBidi"/>
                <w:lang w:val="fr-FR"/>
              </w:rPr>
              <w:t>’</w:t>
            </w:r>
            <w:r w:rsidRPr="001B46CB">
              <w:rPr>
                <w:rFonts w:asciiTheme="majorBidi" w:hAnsiTheme="majorBidi" w:cstheme="majorBidi"/>
                <w:lang w:val="fr-FR"/>
              </w:rPr>
              <w:t>épouse non bahreïnienne d</w:t>
            </w:r>
            <w:r w:rsidR="00801F15" w:rsidRPr="001B46CB">
              <w:rPr>
                <w:rFonts w:asciiTheme="majorBidi" w:hAnsiTheme="majorBidi" w:cstheme="majorBidi"/>
                <w:lang w:val="fr-FR"/>
              </w:rPr>
              <w:t>’</w:t>
            </w:r>
            <w:r w:rsidRPr="001B46CB">
              <w:rPr>
                <w:rFonts w:asciiTheme="majorBidi" w:hAnsiTheme="majorBidi" w:cstheme="majorBidi"/>
                <w:lang w:val="fr-FR"/>
              </w:rPr>
              <w:t>un Bahreïnien et les enfants de Bahreïniennes mariées à un étranger bénéficient du même traitement que les Bahreïniens en ce qui concerne certaines redevances fixées pour des services publics, notamment en matière d</w:t>
            </w:r>
            <w:r w:rsidR="00801F15" w:rsidRPr="001B46CB">
              <w:rPr>
                <w:rFonts w:asciiTheme="majorBidi" w:hAnsiTheme="majorBidi" w:cstheme="majorBidi"/>
                <w:lang w:val="fr-FR"/>
              </w:rPr>
              <w:t>’</w:t>
            </w:r>
            <w:r w:rsidRPr="001B46CB">
              <w:rPr>
                <w:rFonts w:asciiTheme="majorBidi" w:hAnsiTheme="majorBidi" w:cstheme="majorBidi"/>
                <w:lang w:val="fr-FR"/>
              </w:rPr>
              <w:t>éducation, de santé, de la prise en charge d</w:t>
            </w:r>
            <w:r w:rsidR="00801F15" w:rsidRPr="001B46CB">
              <w:rPr>
                <w:rFonts w:asciiTheme="majorBidi" w:hAnsiTheme="majorBidi" w:cstheme="majorBidi"/>
                <w:lang w:val="fr-FR"/>
              </w:rPr>
              <w:t>’</w:t>
            </w:r>
            <w:r w:rsidRPr="001B46CB">
              <w:rPr>
                <w:rFonts w:asciiTheme="majorBidi" w:hAnsiTheme="majorBidi" w:cstheme="majorBidi"/>
                <w:lang w:val="fr-FR"/>
              </w:rPr>
              <w:t>enfants, de logement et de services sociaux.</w:t>
            </w:r>
          </w:p>
        </w:tc>
      </w:tr>
    </w:tbl>
    <w:tbl>
      <w:tblPr>
        <w:tblStyle w:val="TableGrid"/>
        <w:tblW w:w="4998"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760"/>
        <w:gridCol w:w="727"/>
        <w:gridCol w:w="294"/>
        <w:gridCol w:w="87"/>
        <w:gridCol w:w="487"/>
        <w:gridCol w:w="195"/>
        <w:gridCol w:w="4051"/>
        <w:gridCol w:w="219"/>
      </w:tblGrid>
      <w:tr w:rsidR="0039501E" w:rsidRPr="001B46CB" w14:paraId="4CA2F0FC" w14:textId="77777777" w:rsidTr="00767A10">
        <w:trPr>
          <w:tblCellSpacing w:w="20" w:type="dxa"/>
          <w:jc w:val="center"/>
        </w:trPr>
        <w:tc>
          <w:tcPr>
            <w:tcW w:w="2773" w:type="pct"/>
            <w:gridSpan w:val="6"/>
            <w:tcBorders>
              <w:top w:val="nil"/>
            </w:tcBorders>
            <w:shd w:val="clear" w:color="auto" w:fill="DDD9C3" w:themeFill="background2" w:themeFillShade="E6"/>
          </w:tcPr>
          <w:p w14:paraId="4E3D7274" w14:textId="77777777" w:rsidR="00F36F51" w:rsidRPr="001B46CB" w:rsidRDefault="00F36F51" w:rsidP="002339D9">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Domaine concerné</w:t>
            </w:r>
          </w:p>
        </w:tc>
        <w:tc>
          <w:tcPr>
            <w:tcW w:w="2166" w:type="pct"/>
            <w:gridSpan w:val="2"/>
            <w:tcBorders>
              <w:top w:val="nil"/>
            </w:tcBorders>
            <w:shd w:val="clear" w:color="auto" w:fill="EEECE1" w:themeFill="background2"/>
          </w:tcPr>
          <w:p w14:paraId="265CAE99" w14:textId="77777777" w:rsidR="00F36F51" w:rsidRPr="001B46CB" w:rsidRDefault="00F36F51" w:rsidP="002339D9">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Emploi</w:t>
            </w:r>
          </w:p>
        </w:tc>
      </w:tr>
      <w:tr w:rsidR="0039501E" w:rsidRPr="001B46CB" w14:paraId="04D198D3" w14:textId="77777777" w:rsidTr="0039501E">
        <w:trPr>
          <w:tblCellSpacing w:w="20" w:type="dxa"/>
          <w:jc w:val="center"/>
        </w:trPr>
        <w:tc>
          <w:tcPr>
            <w:tcW w:w="4959" w:type="pct"/>
            <w:gridSpan w:val="8"/>
            <w:shd w:val="clear" w:color="auto" w:fill="C4BC96" w:themeFill="background2" w:themeFillShade="BF"/>
            <w:vAlign w:val="center"/>
          </w:tcPr>
          <w:p w14:paraId="2203BF60" w14:textId="77777777" w:rsidR="00F36F51" w:rsidRPr="001B46CB" w:rsidRDefault="00F36F51" w:rsidP="002339D9">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39501E" w:rsidRPr="001B46CB" w14:paraId="7C90009D" w14:textId="77777777" w:rsidTr="0039501E">
        <w:trPr>
          <w:tblCellSpacing w:w="20" w:type="dxa"/>
          <w:jc w:val="center"/>
        </w:trPr>
        <w:tc>
          <w:tcPr>
            <w:tcW w:w="4959" w:type="pct"/>
            <w:gridSpan w:val="8"/>
            <w:shd w:val="clear" w:color="auto" w:fill="auto"/>
            <w:vAlign w:val="center"/>
          </w:tcPr>
          <w:p w14:paraId="77E08D0C" w14:textId="363DA864" w:rsidR="00F36F51" w:rsidRPr="001B46CB" w:rsidRDefault="00F36F51" w:rsidP="00DA4AAC">
            <w:pPr>
              <w:numPr>
                <w:ilvl w:val="0"/>
                <w:numId w:val="42"/>
              </w:numPr>
              <w:spacing w:after="20" w:line="240" w:lineRule="auto"/>
              <w:ind w:left="360" w:right="144"/>
              <w:jc w:val="both"/>
              <w:rPr>
                <w:rFonts w:asciiTheme="majorBidi" w:hAnsiTheme="majorBidi" w:cstheme="majorBidi"/>
                <w:b/>
                <w:bCs/>
                <w:color w:val="000000" w:themeColor="text1"/>
                <w:lang w:val="fr-FR"/>
              </w:rPr>
            </w:pPr>
            <w:r w:rsidRPr="001B46CB">
              <w:rPr>
                <w:rFonts w:asciiTheme="majorBidi" w:hAnsiTheme="majorBidi" w:cstheme="majorBidi"/>
                <w:lang w:val="fr-FR"/>
              </w:rPr>
              <w:t>Veuillez informer le Comité des mesures envisagées pour abroger la décision n</w:t>
            </w:r>
            <w:r w:rsidRPr="001B46CB">
              <w:rPr>
                <w:rFonts w:asciiTheme="majorBidi" w:hAnsiTheme="majorBidi" w:cstheme="majorBidi"/>
                <w:vertAlign w:val="superscript"/>
                <w:lang w:val="fr-FR"/>
              </w:rPr>
              <w:t>o</w:t>
            </w:r>
            <w:r w:rsidRPr="001B46CB">
              <w:rPr>
                <w:rFonts w:asciiTheme="majorBidi" w:hAnsiTheme="majorBidi" w:cstheme="majorBidi"/>
                <w:lang w:val="fr-FR"/>
              </w:rPr>
              <w:t> 23 de 2013 relative aux emplois interdits aux femmes. Veuillez indiquer les mesures prises pour abroger le système de parrainage pour toutes les femmes, y compris les femmes bahreïniennes, les «</w:t>
            </w:r>
            <w:r w:rsidR="006D77CD" w:rsidRPr="001B46CB">
              <w:rPr>
                <w:rFonts w:asciiTheme="majorBidi" w:hAnsiTheme="majorBidi" w:cstheme="majorBidi"/>
                <w:lang w:val="fr-FR"/>
              </w:rPr>
              <w:t> </w:t>
            </w:r>
            <w:r w:rsidRPr="001B46CB">
              <w:rPr>
                <w:rFonts w:asciiTheme="majorBidi" w:hAnsiTheme="majorBidi" w:cstheme="majorBidi"/>
                <w:lang w:val="fr-FR"/>
              </w:rPr>
              <w:t>travailleuses domestiques étrangères</w:t>
            </w:r>
            <w:r w:rsidR="006D77CD" w:rsidRPr="001B46CB">
              <w:rPr>
                <w:rFonts w:asciiTheme="majorBidi" w:hAnsiTheme="majorBidi" w:cstheme="majorBidi"/>
                <w:lang w:val="fr-FR"/>
              </w:rPr>
              <w:t> </w:t>
            </w:r>
            <w:r w:rsidRPr="001B46CB">
              <w:rPr>
                <w:rFonts w:asciiTheme="majorBidi" w:hAnsiTheme="majorBidi" w:cstheme="majorBidi"/>
                <w:lang w:val="fr-FR"/>
              </w:rPr>
              <w:t>» et les femmes titulaires de permis de travail souples. Veuillez fournir des informations sur les mécanismes en place pour surveiller l</w:t>
            </w:r>
            <w:r w:rsidR="00801F15" w:rsidRPr="001B46CB">
              <w:rPr>
                <w:rFonts w:asciiTheme="majorBidi" w:hAnsiTheme="majorBidi" w:cstheme="majorBidi"/>
                <w:lang w:val="fr-FR"/>
              </w:rPr>
              <w:t>’</w:t>
            </w:r>
            <w:r w:rsidRPr="001B46CB">
              <w:rPr>
                <w:rFonts w:asciiTheme="majorBidi" w:hAnsiTheme="majorBidi" w:cstheme="majorBidi"/>
                <w:lang w:val="fr-FR"/>
              </w:rPr>
              <w:t>application de l</w:t>
            </w:r>
            <w:r w:rsidR="00801F15" w:rsidRPr="001B46CB">
              <w:rPr>
                <w:rFonts w:asciiTheme="majorBidi" w:hAnsiTheme="majorBidi" w:cstheme="majorBidi"/>
                <w:lang w:val="fr-FR"/>
              </w:rPr>
              <w:t>’</w:t>
            </w:r>
            <w:r w:rsidRPr="001B46CB">
              <w:rPr>
                <w:rFonts w:asciiTheme="majorBidi" w:hAnsiTheme="majorBidi" w:cstheme="majorBidi"/>
                <w:lang w:val="fr-FR"/>
              </w:rPr>
              <w:t>article 39 de la loi sur le travail et de l</w:t>
            </w:r>
            <w:r w:rsidR="00801F15" w:rsidRPr="001B46CB">
              <w:rPr>
                <w:rFonts w:asciiTheme="majorBidi" w:hAnsiTheme="majorBidi" w:cstheme="majorBidi"/>
                <w:lang w:val="fr-FR"/>
              </w:rPr>
              <w:t>’</w:t>
            </w:r>
            <w:r w:rsidRPr="001B46CB">
              <w:rPr>
                <w:rFonts w:asciiTheme="majorBidi" w:hAnsiTheme="majorBidi" w:cstheme="majorBidi"/>
                <w:lang w:val="fr-FR"/>
              </w:rPr>
              <w:t>article 39 du Code du travail dans le secteur privé, qui interdisent tous deux toute discrimination salariale fondée sur le sexe, et fournir des données sur les salaires versés dans l</w:t>
            </w:r>
            <w:r w:rsidR="00801F15" w:rsidRPr="001B46CB">
              <w:rPr>
                <w:rFonts w:asciiTheme="majorBidi" w:hAnsiTheme="majorBidi" w:cstheme="majorBidi"/>
                <w:lang w:val="fr-FR"/>
              </w:rPr>
              <w:t>’</w:t>
            </w:r>
            <w:r w:rsidRPr="001B46CB">
              <w:rPr>
                <w:rFonts w:asciiTheme="majorBidi" w:hAnsiTheme="majorBidi" w:cstheme="majorBidi"/>
                <w:lang w:val="fr-FR"/>
              </w:rPr>
              <w:t>État partie, ventilées par sexe, nationalité, appartenance ethnique, milieu (rural ou urbain) et secteur (public ou privé). Veuillez également fournir des données sur les actions intentées, au cours de la période considérée, pour discrimination à l</w:t>
            </w:r>
            <w:r w:rsidR="00801F15" w:rsidRPr="001B46CB">
              <w:rPr>
                <w:rFonts w:asciiTheme="majorBidi" w:hAnsiTheme="majorBidi" w:cstheme="majorBidi"/>
                <w:lang w:val="fr-FR"/>
              </w:rPr>
              <w:t>’</w:t>
            </w:r>
            <w:r w:rsidRPr="001B46CB">
              <w:rPr>
                <w:rFonts w:asciiTheme="majorBidi" w:hAnsiTheme="majorBidi" w:cstheme="majorBidi"/>
                <w:lang w:val="fr-FR"/>
              </w:rPr>
              <w:t>égard des femmes sur le lieu de travail, notamment discrimination salariale et harcèlement sexuel, ainsi que sur l</w:t>
            </w:r>
            <w:r w:rsidR="00801F15" w:rsidRPr="001B46CB">
              <w:rPr>
                <w:rFonts w:asciiTheme="majorBidi" w:hAnsiTheme="majorBidi" w:cstheme="majorBidi"/>
                <w:lang w:val="fr-FR"/>
              </w:rPr>
              <w:t>’</w:t>
            </w:r>
            <w:r w:rsidRPr="001B46CB">
              <w:rPr>
                <w:rFonts w:asciiTheme="majorBidi" w:hAnsiTheme="majorBidi" w:cstheme="majorBidi"/>
                <w:lang w:val="fr-FR"/>
              </w:rPr>
              <w:t>issue de ces affaires. Veuillez informer le Comité des mesures prises pour encourager l</w:t>
            </w:r>
            <w:r w:rsidR="00801F15" w:rsidRPr="001B46CB">
              <w:rPr>
                <w:rFonts w:asciiTheme="majorBidi" w:hAnsiTheme="majorBidi" w:cstheme="majorBidi"/>
                <w:lang w:val="fr-FR"/>
              </w:rPr>
              <w:t>’</w:t>
            </w:r>
            <w:r w:rsidRPr="001B46CB">
              <w:rPr>
                <w:rFonts w:asciiTheme="majorBidi" w:hAnsiTheme="majorBidi" w:cstheme="majorBidi"/>
                <w:lang w:val="fr-FR"/>
              </w:rPr>
              <w:t>accession des femmes à des postes à responsabilité dans les secteurs privé et public et donner un calendrier pour l</w:t>
            </w:r>
            <w:r w:rsidR="00801F15" w:rsidRPr="001B46CB">
              <w:rPr>
                <w:rFonts w:asciiTheme="majorBidi" w:hAnsiTheme="majorBidi" w:cstheme="majorBidi"/>
                <w:lang w:val="fr-FR"/>
              </w:rPr>
              <w:t>’</w:t>
            </w:r>
            <w:r w:rsidRPr="001B46CB">
              <w:rPr>
                <w:rFonts w:asciiTheme="majorBidi" w:hAnsiTheme="majorBidi" w:cstheme="majorBidi"/>
                <w:lang w:val="fr-FR"/>
              </w:rPr>
              <w:t>adhésion de l</w:t>
            </w:r>
            <w:r w:rsidR="00801F15" w:rsidRPr="001B46CB">
              <w:rPr>
                <w:rFonts w:asciiTheme="majorBidi" w:hAnsiTheme="majorBidi" w:cstheme="majorBidi"/>
                <w:lang w:val="fr-FR"/>
              </w:rPr>
              <w:t>’</w:t>
            </w:r>
            <w:r w:rsidRPr="001B46CB">
              <w:rPr>
                <w:rFonts w:asciiTheme="majorBidi" w:hAnsiTheme="majorBidi" w:cstheme="majorBidi"/>
                <w:lang w:val="fr-FR"/>
              </w:rPr>
              <w:t>État partie à la Convention de 1951 sur l</w:t>
            </w:r>
            <w:r w:rsidR="00801F15" w:rsidRPr="001B46CB">
              <w:rPr>
                <w:rFonts w:asciiTheme="majorBidi" w:hAnsiTheme="majorBidi" w:cstheme="majorBidi"/>
                <w:lang w:val="fr-FR"/>
              </w:rPr>
              <w:t>’</w:t>
            </w:r>
            <w:r w:rsidRPr="001B46CB">
              <w:rPr>
                <w:rFonts w:asciiTheme="majorBidi" w:hAnsiTheme="majorBidi" w:cstheme="majorBidi"/>
                <w:lang w:val="fr-FR"/>
              </w:rPr>
              <w:t>égalité de rémunération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100) de l</w:t>
            </w:r>
            <w:r w:rsidR="00801F15" w:rsidRPr="001B46CB">
              <w:rPr>
                <w:rFonts w:asciiTheme="majorBidi" w:hAnsiTheme="majorBidi" w:cstheme="majorBidi"/>
                <w:lang w:val="fr-FR"/>
              </w:rPr>
              <w:t>’</w:t>
            </w:r>
            <w:r w:rsidRPr="001B46CB">
              <w:rPr>
                <w:rFonts w:asciiTheme="majorBidi" w:hAnsiTheme="majorBidi" w:cstheme="majorBidi"/>
                <w:lang w:val="fr-FR"/>
              </w:rPr>
              <w:t>Organisation internationale du Travail (OIT) (</w:t>
            </w:r>
            <w:hyperlink r:id="rId39" w:history="1">
              <w:r w:rsidRPr="001B46CB">
                <w:rPr>
                  <w:rStyle w:val="Hyperlink"/>
                  <w:rFonts w:asciiTheme="majorBidi" w:hAnsiTheme="majorBidi" w:cstheme="majorBidi"/>
                  <w:lang w:val="fr-FR"/>
                </w:rPr>
                <w:t>CEDAW/C/BHR/CO/3</w:t>
              </w:r>
            </w:hyperlink>
            <w:r w:rsidRPr="001B46CB">
              <w:rPr>
                <w:rFonts w:asciiTheme="majorBidi" w:hAnsiTheme="majorBidi" w:cstheme="majorBidi"/>
                <w:lang w:val="fr-FR"/>
              </w:rPr>
              <w:t xml:space="preserve">, </w:t>
            </w:r>
            <w:r w:rsidR="00CC1C14" w:rsidRPr="001B46CB">
              <w:rPr>
                <w:rFonts w:asciiTheme="majorBidi" w:hAnsiTheme="majorBidi" w:cstheme="majorBidi"/>
                <w:lang w:val="fr-FR"/>
              </w:rPr>
              <w:t>par. </w:t>
            </w:r>
            <w:r w:rsidRPr="001B46CB">
              <w:rPr>
                <w:rFonts w:asciiTheme="majorBidi" w:hAnsiTheme="majorBidi" w:cstheme="majorBidi"/>
                <w:lang w:val="fr-FR"/>
              </w:rPr>
              <w:t>38).</w:t>
            </w:r>
          </w:p>
        </w:tc>
      </w:tr>
      <w:tr w:rsidR="008466D3" w:rsidRPr="001B46CB" w14:paraId="7F4FCE18" w14:textId="77777777" w:rsidTr="0039501E">
        <w:trPr>
          <w:tblCellSpacing w:w="20" w:type="dxa"/>
          <w:jc w:val="center"/>
        </w:trPr>
        <w:tc>
          <w:tcPr>
            <w:tcW w:w="4959" w:type="pct"/>
            <w:gridSpan w:val="8"/>
            <w:shd w:val="clear" w:color="auto" w:fill="C4BC96" w:themeFill="background2" w:themeFillShade="BF"/>
            <w:vAlign w:val="center"/>
          </w:tcPr>
          <w:p w14:paraId="3B747F98" w14:textId="77777777" w:rsidR="00F36F51" w:rsidRPr="001B46CB" w:rsidRDefault="00F36F51" w:rsidP="008E3A5E">
            <w:pPr>
              <w:spacing w:after="40" w:line="240" w:lineRule="auto"/>
              <w:jc w:val="center"/>
              <w:rPr>
                <w:rFonts w:asciiTheme="majorBidi" w:hAnsiTheme="majorBidi" w:cstheme="majorBidi"/>
                <w:b/>
                <w:bCs/>
                <w:color w:val="000000" w:themeColor="text1"/>
                <w:lang w:val="fr-FR"/>
              </w:rPr>
            </w:pPr>
            <w:r w:rsidRPr="00767A10">
              <w:rPr>
                <w:rFonts w:asciiTheme="majorBidi" w:hAnsiTheme="majorBidi" w:cstheme="majorBidi"/>
                <w:b/>
                <w:bCs/>
                <w:lang w:val="fr-FR"/>
              </w:rPr>
              <w:t>Réponse</w:t>
            </w:r>
          </w:p>
        </w:tc>
      </w:tr>
      <w:tr w:rsidR="0039501E" w:rsidRPr="001B46CB" w14:paraId="284907BD" w14:textId="77777777" w:rsidTr="0039501E">
        <w:trPr>
          <w:tblCellSpacing w:w="20" w:type="dxa"/>
          <w:jc w:val="center"/>
        </w:trPr>
        <w:tc>
          <w:tcPr>
            <w:tcW w:w="4959" w:type="pct"/>
            <w:gridSpan w:val="8"/>
            <w:shd w:val="clear" w:color="auto" w:fill="auto"/>
            <w:vAlign w:val="center"/>
          </w:tcPr>
          <w:p w14:paraId="788585C4" w14:textId="77777777" w:rsidR="00801F15" w:rsidRPr="001B46CB" w:rsidRDefault="00F36F51" w:rsidP="00F4463A">
            <w:pPr>
              <w:numPr>
                <w:ilvl w:val="0"/>
                <w:numId w:val="43"/>
              </w:numPr>
              <w:spacing w:after="200" w:line="240" w:lineRule="auto"/>
              <w:ind w:left="360" w:right="144"/>
              <w:contextualSpacing/>
              <w:jc w:val="both"/>
              <w:rPr>
                <w:rFonts w:asciiTheme="majorBidi" w:hAnsiTheme="majorBidi" w:cstheme="majorBidi"/>
                <w:lang w:val="fr-FR"/>
              </w:rPr>
            </w:pPr>
            <w:r w:rsidRPr="001B46CB">
              <w:rPr>
                <w:rFonts w:asciiTheme="majorBidi" w:hAnsiTheme="majorBidi" w:cstheme="majorBidi"/>
                <w:lang w:val="fr-FR"/>
              </w:rPr>
              <w:t>Bahreïn réaffirme la teneur des paragraphes 172, 173, 180 et 181 de son quatrième rapport périodique. Par ailleurs, la décision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23 de 2013 reste en vigueur car elle garantit la protection</w:t>
            </w:r>
            <w:r w:rsidR="00801F15" w:rsidRPr="001B46CB">
              <w:rPr>
                <w:rFonts w:asciiTheme="majorBidi" w:hAnsiTheme="majorBidi" w:cstheme="majorBidi"/>
                <w:lang w:val="fr-FR"/>
              </w:rPr>
              <w:t xml:space="preserve"> </w:t>
            </w:r>
            <w:r w:rsidRPr="001B46CB">
              <w:rPr>
                <w:rFonts w:asciiTheme="majorBidi" w:hAnsiTheme="majorBidi" w:cstheme="majorBidi"/>
                <w:lang w:val="fr-FR"/>
              </w:rPr>
              <w:t>des femmes et il appartient au pouvoir législatif de se prononcer sur l</w:t>
            </w:r>
            <w:r w:rsidR="00801F15" w:rsidRPr="001B46CB">
              <w:rPr>
                <w:rFonts w:asciiTheme="majorBidi" w:hAnsiTheme="majorBidi" w:cstheme="majorBidi"/>
                <w:lang w:val="fr-FR"/>
              </w:rPr>
              <w:t>’</w:t>
            </w:r>
            <w:r w:rsidRPr="001B46CB">
              <w:rPr>
                <w:rFonts w:asciiTheme="majorBidi" w:hAnsiTheme="majorBidi" w:cstheme="majorBidi"/>
                <w:lang w:val="fr-FR"/>
              </w:rPr>
              <w:t>abrogation ou la modification de ce texte.</w:t>
            </w:r>
          </w:p>
          <w:p w14:paraId="7A40FCFF" w14:textId="71202056" w:rsidR="00F36F51" w:rsidRPr="001B46CB" w:rsidRDefault="00F36F51" w:rsidP="00F4463A">
            <w:pPr>
              <w:numPr>
                <w:ilvl w:val="0"/>
                <w:numId w:val="43"/>
              </w:numPr>
              <w:spacing w:after="200" w:line="240" w:lineRule="auto"/>
              <w:ind w:left="360" w:right="144"/>
              <w:contextualSpacing/>
              <w:jc w:val="both"/>
              <w:rPr>
                <w:rFonts w:asciiTheme="majorBidi" w:hAnsiTheme="majorBidi" w:cstheme="majorBidi"/>
                <w:color w:val="000000" w:themeColor="text1"/>
                <w:lang w:val="fr-FR"/>
              </w:rPr>
            </w:pPr>
            <w:r w:rsidRPr="001B46CB">
              <w:rPr>
                <w:rFonts w:asciiTheme="majorBidi" w:hAnsiTheme="majorBidi" w:cstheme="majorBidi"/>
                <w:lang w:val="fr-FR"/>
              </w:rPr>
              <w:t>Le Royaume de Bahreïn occupait le 12</w:t>
            </w:r>
            <w:r w:rsidRPr="001B46CB">
              <w:rPr>
                <w:rFonts w:asciiTheme="majorBidi" w:hAnsiTheme="majorBidi" w:cstheme="majorBidi"/>
                <w:vertAlign w:val="superscript"/>
                <w:lang w:val="fr-FR"/>
              </w:rPr>
              <w:t>e</w:t>
            </w:r>
            <w:r w:rsidRPr="001B46CB">
              <w:rPr>
                <w:rFonts w:asciiTheme="majorBidi" w:hAnsiTheme="majorBidi" w:cstheme="majorBidi"/>
                <w:lang w:val="fr-FR"/>
              </w:rPr>
              <w:t xml:space="preserve"> rang mondial pour ce qui est des critères d</w:t>
            </w:r>
            <w:r w:rsidR="00801F15" w:rsidRPr="001B46CB">
              <w:rPr>
                <w:rFonts w:asciiTheme="majorBidi" w:hAnsiTheme="majorBidi" w:cstheme="majorBidi"/>
                <w:lang w:val="fr-FR"/>
              </w:rPr>
              <w:t>’</w:t>
            </w:r>
            <w:r w:rsidRPr="001B46CB">
              <w:rPr>
                <w:rFonts w:asciiTheme="majorBidi" w:hAnsiTheme="majorBidi" w:cstheme="majorBidi"/>
                <w:lang w:val="fr-FR"/>
              </w:rPr>
              <w:t>égalité de salaire à travail égal d</w:t>
            </w:r>
            <w:r w:rsidR="00801F15" w:rsidRPr="001B46CB">
              <w:rPr>
                <w:rFonts w:asciiTheme="majorBidi" w:hAnsiTheme="majorBidi" w:cstheme="majorBidi"/>
                <w:lang w:val="fr-FR"/>
              </w:rPr>
              <w:t>’</w:t>
            </w:r>
            <w:r w:rsidRPr="001B46CB">
              <w:rPr>
                <w:rFonts w:asciiTheme="majorBidi" w:hAnsiTheme="majorBidi" w:cstheme="majorBidi"/>
                <w:lang w:val="fr-FR"/>
              </w:rPr>
              <w:t>après le rapport sur la compétitivité mondial (2018) publié par le Forum économique mondial (de Davos).</w:t>
            </w:r>
          </w:p>
          <w:p w14:paraId="2F4E7DCF" w14:textId="3FFC6190" w:rsidR="00801F15" w:rsidRPr="001B46CB" w:rsidRDefault="00F36F51" w:rsidP="00F4463A">
            <w:pPr>
              <w:numPr>
                <w:ilvl w:val="0"/>
                <w:numId w:val="43"/>
              </w:numPr>
              <w:spacing w:after="200" w:line="240" w:lineRule="auto"/>
              <w:ind w:left="360" w:right="144"/>
              <w:contextualSpacing/>
              <w:jc w:val="both"/>
              <w:rPr>
                <w:rFonts w:asciiTheme="majorBidi" w:hAnsiTheme="majorBidi" w:cstheme="majorBidi"/>
                <w:lang w:val="fr-FR"/>
              </w:rPr>
            </w:pPr>
            <w:r w:rsidRPr="001B46CB">
              <w:rPr>
                <w:rFonts w:asciiTheme="majorBidi" w:hAnsiTheme="majorBidi" w:cstheme="majorBidi"/>
                <w:lang w:val="fr-FR"/>
              </w:rPr>
              <w:lastRenderedPageBreak/>
              <w:t>Le Code du travail dans le secteur privé a été modifié par le décret-loi n</w:t>
            </w:r>
            <w:r w:rsidRPr="00767A10">
              <w:rPr>
                <w:rFonts w:asciiTheme="majorBidi" w:hAnsiTheme="majorBidi" w:cstheme="majorBidi"/>
                <w:vertAlign w:val="superscript"/>
                <w:lang w:val="fr-FR"/>
              </w:rPr>
              <w:t>o</w:t>
            </w:r>
            <w:r w:rsidR="00AC796F" w:rsidRPr="001B46CB">
              <w:rPr>
                <w:rFonts w:asciiTheme="majorBidi" w:hAnsiTheme="majorBidi" w:cstheme="majorBidi"/>
                <w:lang w:val="fr-FR"/>
              </w:rPr>
              <w:t> </w:t>
            </w:r>
            <w:r w:rsidRPr="001B46CB">
              <w:rPr>
                <w:rFonts w:asciiTheme="majorBidi" w:hAnsiTheme="majorBidi" w:cstheme="majorBidi"/>
                <w:lang w:val="fr-FR"/>
              </w:rPr>
              <w:t>59 de 2018 et deux articles y ont été ajoutés, à savoir l</w:t>
            </w:r>
            <w:r w:rsidR="00801F15" w:rsidRPr="001B46CB">
              <w:rPr>
                <w:rFonts w:asciiTheme="majorBidi" w:hAnsiTheme="majorBidi" w:cstheme="majorBidi"/>
                <w:lang w:val="fr-FR"/>
              </w:rPr>
              <w:t>’</w:t>
            </w:r>
            <w:r w:rsidRPr="001B46CB">
              <w:rPr>
                <w:rFonts w:asciiTheme="majorBidi" w:hAnsiTheme="majorBidi" w:cstheme="majorBidi"/>
                <w:lang w:val="fr-FR"/>
              </w:rPr>
              <w:t xml:space="preserve">article 2 </w:t>
            </w:r>
            <w:r w:rsidRPr="00767A10">
              <w:rPr>
                <w:rFonts w:asciiTheme="majorBidi" w:hAnsiTheme="majorBidi" w:cstheme="majorBidi"/>
                <w:i/>
                <w:iCs/>
                <w:lang w:val="fr-FR"/>
              </w:rPr>
              <w:t>bis</w:t>
            </w:r>
            <w:r w:rsidRPr="001B46CB">
              <w:rPr>
                <w:rFonts w:asciiTheme="majorBidi" w:hAnsiTheme="majorBidi" w:cstheme="majorBidi"/>
                <w:lang w:val="fr-FR"/>
              </w:rPr>
              <w:t>, interdisant d</w:t>
            </w:r>
            <w:r w:rsidR="00801F15" w:rsidRPr="001B46CB">
              <w:rPr>
                <w:rFonts w:asciiTheme="majorBidi" w:hAnsiTheme="majorBidi" w:cstheme="majorBidi"/>
                <w:lang w:val="fr-FR"/>
              </w:rPr>
              <w:t>’</w:t>
            </w:r>
            <w:r w:rsidRPr="001B46CB">
              <w:rPr>
                <w:rFonts w:asciiTheme="majorBidi" w:hAnsiTheme="majorBidi" w:cstheme="majorBidi"/>
                <w:lang w:val="fr-FR"/>
              </w:rPr>
              <w:t>établir une distinction entre les travailleurs, et l</w:t>
            </w:r>
            <w:r w:rsidR="00801F15" w:rsidRPr="001B46CB">
              <w:rPr>
                <w:rFonts w:asciiTheme="majorBidi" w:hAnsiTheme="majorBidi" w:cstheme="majorBidi"/>
                <w:lang w:val="fr-FR"/>
              </w:rPr>
              <w:t>’</w:t>
            </w:r>
            <w:r w:rsidRPr="001B46CB">
              <w:rPr>
                <w:rFonts w:asciiTheme="majorBidi" w:hAnsiTheme="majorBidi" w:cstheme="majorBidi"/>
                <w:lang w:val="fr-FR"/>
              </w:rPr>
              <w:t>article 192</w:t>
            </w:r>
            <w:r w:rsidR="00AC796F" w:rsidRPr="001B46CB">
              <w:rPr>
                <w:rFonts w:asciiTheme="majorBidi" w:hAnsiTheme="majorBidi" w:cstheme="majorBidi"/>
                <w:lang w:val="fr-FR"/>
              </w:rPr>
              <w:t> </w:t>
            </w:r>
            <w:r w:rsidRPr="00767A10">
              <w:rPr>
                <w:rFonts w:asciiTheme="majorBidi" w:hAnsiTheme="majorBidi" w:cstheme="majorBidi"/>
                <w:i/>
                <w:iCs/>
                <w:lang w:val="fr-FR"/>
              </w:rPr>
              <w:t>bis</w:t>
            </w:r>
            <w:r w:rsidRPr="001B46CB">
              <w:rPr>
                <w:rFonts w:asciiTheme="majorBidi" w:hAnsiTheme="majorBidi" w:cstheme="majorBidi"/>
                <w:lang w:val="fr-FR"/>
              </w:rPr>
              <w:t>, qui érige en infraction le harcèlement sexuel sur le lieu de travail. Par ailleurs, le texte de l</w:t>
            </w:r>
            <w:r w:rsidR="00801F15" w:rsidRPr="001B46CB">
              <w:rPr>
                <w:rFonts w:asciiTheme="majorBidi" w:hAnsiTheme="majorBidi" w:cstheme="majorBidi"/>
                <w:lang w:val="fr-FR"/>
              </w:rPr>
              <w:t>’</w:t>
            </w:r>
            <w:r w:rsidRPr="001B46CB">
              <w:rPr>
                <w:rFonts w:asciiTheme="majorBidi" w:hAnsiTheme="majorBidi" w:cstheme="majorBidi"/>
                <w:lang w:val="fr-FR"/>
              </w:rPr>
              <w:t>article</w:t>
            </w:r>
            <w:r w:rsidR="00AC796F" w:rsidRPr="001B46CB">
              <w:rPr>
                <w:rFonts w:asciiTheme="majorBidi" w:hAnsiTheme="majorBidi" w:cstheme="majorBidi"/>
                <w:lang w:val="fr-FR"/>
              </w:rPr>
              <w:t> </w:t>
            </w:r>
            <w:r w:rsidRPr="001B46CB">
              <w:rPr>
                <w:rFonts w:asciiTheme="majorBidi" w:hAnsiTheme="majorBidi" w:cstheme="majorBidi"/>
                <w:lang w:val="fr-FR"/>
              </w:rPr>
              <w:t>46 a été remplacé par de nouvelles dispositions visant à garantir que les travailleurs perçoivent les salaires qui leur sont dus selon des règles et un dispositif précis auxquels les employeurs sont tenus de se conformer. Le texte du décret-loi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59 de 2018 portant modification de certaines dispositions du Code du travail dans le secteur privé promulgué par la 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36 de 2012 est disponible à l</w:t>
            </w:r>
            <w:r w:rsidR="00801F15" w:rsidRPr="001B46CB">
              <w:rPr>
                <w:rFonts w:asciiTheme="majorBidi" w:hAnsiTheme="majorBidi" w:cstheme="majorBidi"/>
                <w:lang w:val="fr-FR"/>
              </w:rPr>
              <w:t>’</w:t>
            </w:r>
            <w:r w:rsidRPr="001B46CB">
              <w:rPr>
                <w:rFonts w:asciiTheme="majorBidi" w:hAnsiTheme="majorBidi" w:cstheme="majorBidi"/>
                <w:lang w:val="fr-FR"/>
              </w:rPr>
              <w:t>adresse électronique suivante</w:t>
            </w:r>
            <w:r w:rsidR="00801F15" w:rsidRPr="001B46CB">
              <w:rPr>
                <w:rFonts w:asciiTheme="majorBidi" w:hAnsiTheme="majorBidi" w:cstheme="majorBidi"/>
                <w:lang w:val="fr-FR"/>
              </w:rPr>
              <w:t> :</w:t>
            </w:r>
          </w:p>
          <w:p w14:paraId="11E6238B" w14:textId="7671DB04" w:rsidR="00F36F51" w:rsidRPr="001B46CB" w:rsidRDefault="00221A48" w:rsidP="00F4463A">
            <w:pPr>
              <w:spacing w:line="240" w:lineRule="auto"/>
              <w:ind w:left="377"/>
              <w:contextualSpacing/>
              <w:jc w:val="center"/>
              <w:rPr>
                <w:rFonts w:asciiTheme="majorBidi" w:hAnsiTheme="majorBidi" w:cstheme="majorBidi"/>
                <w:color w:val="000000" w:themeColor="text1"/>
                <w:lang w:val="fr-FR"/>
              </w:rPr>
            </w:pPr>
            <w:hyperlink r:id="rId40" w:anchor=".XLISOvZuJdg" w:history="1">
              <w:r w:rsidR="00F36F51" w:rsidRPr="00767A10">
                <w:rPr>
                  <w:rFonts w:asciiTheme="majorBidi" w:hAnsiTheme="majorBidi" w:cstheme="majorBidi"/>
                  <w:color w:val="0000FF"/>
                  <w:lang w:val="fr-FR"/>
                </w:rPr>
                <w:t>http://www.legalaffairs.gov.bh/LegislationSearchDetails.aspx?id=</w:t>
              </w:r>
              <w:r w:rsidR="00F36F51" w:rsidRPr="00767A10">
                <w:rPr>
                  <w:rFonts w:asciiTheme="majorBidi" w:hAnsiTheme="majorBidi" w:cstheme="majorBidi"/>
                  <w:lang w:val="fr-FR"/>
                </w:rPr>
                <w:t>166542</w:t>
              </w:r>
              <w:r w:rsidR="00F36F51" w:rsidRPr="00767A10">
                <w:rPr>
                  <w:rFonts w:asciiTheme="majorBidi" w:hAnsiTheme="majorBidi" w:cstheme="majorBidi"/>
                  <w:color w:val="0000FF"/>
                  <w:lang w:val="fr-FR"/>
                </w:rPr>
                <w:t>#.XLISOvZuJdg</w:t>
              </w:r>
            </w:hyperlink>
            <w:r w:rsidR="00F36F51" w:rsidRPr="001B46CB">
              <w:rPr>
                <w:rFonts w:asciiTheme="majorBidi" w:hAnsiTheme="majorBidi" w:cstheme="majorBidi"/>
                <w:lang w:val="fr-FR"/>
              </w:rPr>
              <w:t>.</w:t>
            </w:r>
          </w:p>
          <w:p w14:paraId="44EE4019" w14:textId="345D8139" w:rsidR="00F36F51" w:rsidRPr="001B46CB" w:rsidRDefault="00F36F51" w:rsidP="00F4463A">
            <w:pPr>
              <w:numPr>
                <w:ilvl w:val="0"/>
                <w:numId w:val="43"/>
              </w:numPr>
              <w:spacing w:after="200" w:line="240" w:lineRule="auto"/>
              <w:ind w:left="360" w:right="144"/>
              <w:contextualSpacing/>
              <w:jc w:val="both"/>
              <w:rPr>
                <w:rFonts w:asciiTheme="majorBidi" w:hAnsiTheme="majorBidi" w:cstheme="majorBidi"/>
                <w:color w:val="000000" w:themeColor="text1"/>
                <w:lang w:val="fr-FR"/>
              </w:rPr>
            </w:pPr>
            <w:r w:rsidRPr="001B46CB">
              <w:rPr>
                <w:rFonts w:asciiTheme="majorBidi" w:hAnsiTheme="majorBidi" w:cstheme="majorBidi"/>
                <w:lang w:val="fr-FR"/>
              </w:rPr>
              <w:t>Les statistiques ventilées par sexe montrent que les Bahreïniennes accèdent à des postes de direction et de décision dans divers organes relevant des pouvoirs législatif, exécutif et judiciaire, ainsi que dans le secteur privé (voir à l</w:t>
            </w:r>
            <w:r w:rsidR="00801F15" w:rsidRPr="001B46CB">
              <w:rPr>
                <w:rFonts w:asciiTheme="majorBidi" w:hAnsiTheme="majorBidi" w:cstheme="majorBidi"/>
                <w:lang w:val="fr-FR"/>
              </w:rPr>
              <w:t>’</w:t>
            </w:r>
            <w:r w:rsidRPr="001B46CB">
              <w:rPr>
                <w:rFonts w:asciiTheme="majorBidi" w:hAnsiTheme="majorBidi" w:cstheme="majorBidi"/>
                <w:lang w:val="fr-FR"/>
              </w:rPr>
              <w:t>annexe IV le tableau de statistiques relatives aux Bahreïniennes).</w:t>
            </w:r>
          </w:p>
          <w:p w14:paraId="031DC631" w14:textId="79F7D2B9" w:rsidR="00F36F51" w:rsidRPr="001B46CB" w:rsidRDefault="00F36F51" w:rsidP="00F4463A">
            <w:pPr>
              <w:numPr>
                <w:ilvl w:val="0"/>
                <w:numId w:val="43"/>
              </w:numPr>
              <w:spacing w:after="20"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L</w:t>
            </w:r>
            <w:r w:rsidR="00801F15" w:rsidRPr="001B46CB">
              <w:rPr>
                <w:rFonts w:asciiTheme="majorBidi" w:hAnsiTheme="majorBidi" w:cstheme="majorBidi"/>
                <w:lang w:val="fr-FR"/>
              </w:rPr>
              <w:t>’</w:t>
            </w:r>
            <w:r w:rsidRPr="001B46CB">
              <w:rPr>
                <w:rFonts w:asciiTheme="majorBidi" w:hAnsiTheme="majorBidi" w:cstheme="majorBidi"/>
                <w:lang w:val="fr-FR"/>
              </w:rPr>
              <w:t>article 56 du Code de la famille ne constitue pas un obstacle au droit des femmes de travailler. Il établit le droit au travail des femmes et le droit des femmes de conserver leur salaire sans avoir à en dépenser une partie au profit de la famille, sauf si elles le souhaitent. Le paragraphe b) dudit article n</w:t>
            </w:r>
            <w:r w:rsidR="00801F15" w:rsidRPr="001B46CB">
              <w:rPr>
                <w:rFonts w:asciiTheme="majorBidi" w:hAnsiTheme="majorBidi" w:cstheme="majorBidi"/>
                <w:lang w:val="fr-FR"/>
              </w:rPr>
              <w:t>’</w:t>
            </w:r>
            <w:r w:rsidRPr="001B46CB">
              <w:rPr>
                <w:rFonts w:asciiTheme="majorBidi" w:hAnsiTheme="majorBidi" w:cstheme="majorBidi"/>
                <w:lang w:val="fr-FR"/>
              </w:rPr>
              <w:t>entrave pas non plus la liberté ou le choix de la femme de travailler. Il suffit que l</w:t>
            </w:r>
            <w:r w:rsidR="00801F15" w:rsidRPr="001B46CB">
              <w:rPr>
                <w:rFonts w:asciiTheme="majorBidi" w:hAnsiTheme="majorBidi" w:cstheme="majorBidi"/>
                <w:lang w:val="fr-FR"/>
              </w:rPr>
              <w:t>’</w:t>
            </w:r>
            <w:r w:rsidRPr="001B46CB">
              <w:rPr>
                <w:rFonts w:asciiTheme="majorBidi" w:hAnsiTheme="majorBidi" w:cstheme="majorBidi"/>
                <w:lang w:val="fr-FR"/>
              </w:rPr>
              <w:t>épouse fasse clairement connaître cette condition à l</w:t>
            </w:r>
            <w:r w:rsidR="00801F15" w:rsidRPr="001B46CB">
              <w:rPr>
                <w:rFonts w:asciiTheme="majorBidi" w:hAnsiTheme="majorBidi" w:cstheme="majorBidi"/>
                <w:lang w:val="fr-FR"/>
              </w:rPr>
              <w:t>’</w:t>
            </w:r>
            <w:r w:rsidRPr="001B46CB">
              <w:rPr>
                <w:rFonts w:asciiTheme="majorBidi" w:hAnsiTheme="majorBidi" w:cstheme="majorBidi"/>
                <w:lang w:val="fr-FR"/>
              </w:rPr>
              <w:t>époux dans le contrat de mariage. En outre, l</w:t>
            </w:r>
            <w:r w:rsidR="00801F15" w:rsidRPr="001B46CB">
              <w:rPr>
                <w:rFonts w:asciiTheme="majorBidi" w:hAnsiTheme="majorBidi" w:cstheme="majorBidi"/>
                <w:lang w:val="fr-FR"/>
              </w:rPr>
              <w:t>’</w:t>
            </w:r>
            <w:r w:rsidRPr="001B46CB">
              <w:rPr>
                <w:rFonts w:asciiTheme="majorBidi" w:hAnsiTheme="majorBidi" w:cstheme="majorBidi"/>
                <w:lang w:val="fr-FR"/>
              </w:rPr>
              <w:t>épouse n</w:t>
            </w:r>
            <w:r w:rsidR="00801F15" w:rsidRPr="001B46CB">
              <w:rPr>
                <w:rFonts w:asciiTheme="majorBidi" w:hAnsiTheme="majorBidi" w:cstheme="majorBidi"/>
                <w:lang w:val="fr-FR"/>
              </w:rPr>
              <w:t>’</w:t>
            </w:r>
            <w:r w:rsidRPr="001B46CB">
              <w:rPr>
                <w:rFonts w:asciiTheme="majorBidi" w:hAnsiTheme="majorBidi" w:cstheme="majorBidi"/>
                <w:lang w:val="fr-FR"/>
              </w:rPr>
              <w:t>a pas besoin de l</w:t>
            </w:r>
            <w:r w:rsidR="00801F15" w:rsidRPr="001B46CB">
              <w:rPr>
                <w:rFonts w:asciiTheme="majorBidi" w:hAnsiTheme="majorBidi" w:cstheme="majorBidi"/>
                <w:lang w:val="fr-FR"/>
              </w:rPr>
              <w:t>’</w:t>
            </w:r>
            <w:r w:rsidRPr="001B46CB">
              <w:rPr>
                <w:rFonts w:asciiTheme="majorBidi" w:hAnsiTheme="majorBidi" w:cstheme="majorBidi"/>
                <w:lang w:val="fr-FR"/>
              </w:rPr>
              <w:t>autorisation de son mari si elle travaillait déjà avant le mariage et que l</w:t>
            </w:r>
            <w:r w:rsidR="00801F15" w:rsidRPr="001B46CB">
              <w:rPr>
                <w:rFonts w:asciiTheme="majorBidi" w:hAnsiTheme="majorBidi" w:cstheme="majorBidi"/>
                <w:lang w:val="fr-FR"/>
              </w:rPr>
              <w:t>’</w:t>
            </w:r>
            <w:r w:rsidRPr="001B46CB">
              <w:rPr>
                <w:rFonts w:asciiTheme="majorBidi" w:hAnsiTheme="majorBidi" w:cstheme="majorBidi"/>
                <w:lang w:val="fr-FR"/>
              </w:rPr>
              <w:t>époux le savait.</w:t>
            </w:r>
          </w:p>
        </w:tc>
      </w:tr>
      <w:tr w:rsidR="00E6259C" w:rsidRPr="001B46CB" w14:paraId="6BD9816A" w14:textId="77777777" w:rsidTr="00767A10">
        <w:trPr>
          <w:tblCellSpacing w:w="20" w:type="dxa"/>
          <w:jc w:val="center"/>
        </w:trPr>
        <w:tc>
          <w:tcPr>
            <w:tcW w:w="2692" w:type="pct"/>
            <w:gridSpan w:val="5"/>
            <w:shd w:val="clear" w:color="auto" w:fill="DDD9C3" w:themeFill="background2" w:themeFillShade="E6"/>
          </w:tcPr>
          <w:p w14:paraId="14BAB183" w14:textId="77777777" w:rsidR="00F36F51" w:rsidRPr="001B46CB" w:rsidRDefault="00F36F51" w:rsidP="00F4463A">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lastRenderedPageBreak/>
              <w:t>Domaine concerné</w:t>
            </w:r>
          </w:p>
        </w:tc>
        <w:tc>
          <w:tcPr>
            <w:tcW w:w="2247" w:type="pct"/>
            <w:gridSpan w:val="3"/>
            <w:shd w:val="clear" w:color="auto" w:fill="EEECE1" w:themeFill="background2"/>
          </w:tcPr>
          <w:p w14:paraId="59389C85" w14:textId="6C7FDEF1" w:rsidR="00F36F51" w:rsidRPr="001B46CB" w:rsidRDefault="00F36F51" w:rsidP="00F4463A">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Travailleuses domestiques migrantes (main d</w:t>
            </w:r>
            <w:r w:rsidR="00801F15" w:rsidRPr="001B46CB">
              <w:rPr>
                <w:rFonts w:asciiTheme="majorBidi" w:hAnsiTheme="majorBidi" w:cstheme="majorBidi"/>
                <w:b/>
                <w:bCs/>
                <w:lang w:val="fr-FR"/>
              </w:rPr>
              <w:t>’</w:t>
            </w:r>
            <w:r w:rsidRPr="001B46CB">
              <w:rPr>
                <w:rFonts w:asciiTheme="majorBidi" w:hAnsiTheme="majorBidi" w:cstheme="majorBidi"/>
                <w:b/>
                <w:bCs/>
                <w:lang w:val="fr-FR"/>
              </w:rPr>
              <w:t>œuvre étrangère)</w:t>
            </w:r>
          </w:p>
        </w:tc>
      </w:tr>
      <w:tr w:rsidR="0039501E" w:rsidRPr="001B46CB" w14:paraId="3ED97F01" w14:textId="77777777" w:rsidTr="0039501E">
        <w:trPr>
          <w:tblCellSpacing w:w="20" w:type="dxa"/>
          <w:jc w:val="center"/>
        </w:trPr>
        <w:tc>
          <w:tcPr>
            <w:tcW w:w="4959" w:type="pct"/>
            <w:gridSpan w:val="8"/>
            <w:shd w:val="clear" w:color="auto" w:fill="C4BC96" w:themeFill="background2" w:themeFillShade="BF"/>
            <w:vAlign w:val="center"/>
          </w:tcPr>
          <w:p w14:paraId="1246BD51" w14:textId="77777777" w:rsidR="00F36F51" w:rsidRPr="001B46CB" w:rsidRDefault="00F36F51" w:rsidP="00F4463A">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39501E" w:rsidRPr="001B46CB" w14:paraId="07138D90" w14:textId="77777777" w:rsidTr="0039501E">
        <w:trPr>
          <w:tblCellSpacing w:w="20" w:type="dxa"/>
          <w:jc w:val="center"/>
        </w:trPr>
        <w:tc>
          <w:tcPr>
            <w:tcW w:w="4959" w:type="pct"/>
            <w:gridSpan w:val="8"/>
            <w:shd w:val="clear" w:color="auto" w:fill="auto"/>
            <w:vAlign w:val="center"/>
          </w:tcPr>
          <w:p w14:paraId="38EA1424" w14:textId="08EC2EBA" w:rsidR="00F36F51" w:rsidRPr="001B46CB" w:rsidRDefault="00F36F51" w:rsidP="00F4463A">
            <w:pPr>
              <w:pStyle w:val="ListParagraph"/>
              <w:numPr>
                <w:ilvl w:val="0"/>
                <w:numId w:val="42"/>
              </w:numPr>
              <w:spacing w:after="20" w:line="240" w:lineRule="auto"/>
              <w:ind w:left="360" w:right="144"/>
              <w:contextualSpacing w:val="0"/>
              <w:jc w:val="both"/>
              <w:rPr>
                <w:rFonts w:asciiTheme="majorBidi" w:hAnsiTheme="majorBidi" w:cstheme="majorBidi"/>
                <w:b/>
                <w:bCs/>
                <w:color w:val="000000" w:themeColor="text1"/>
                <w:lang w:val="fr-FR"/>
              </w:rPr>
            </w:pPr>
            <w:r w:rsidRPr="001B46CB">
              <w:rPr>
                <w:rFonts w:asciiTheme="majorBidi" w:hAnsiTheme="majorBidi" w:cstheme="majorBidi"/>
                <w:lang w:val="fr-FR"/>
              </w:rPr>
              <w:t>Veuillez préciser si les travailleuses domestiques migrantes, ou «</w:t>
            </w:r>
            <w:r w:rsidR="00DA4AAC" w:rsidRPr="001B46CB">
              <w:rPr>
                <w:rFonts w:asciiTheme="majorBidi" w:hAnsiTheme="majorBidi" w:cstheme="majorBidi"/>
                <w:lang w:val="fr-FR"/>
              </w:rPr>
              <w:t> </w:t>
            </w:r>
            <w:r w:rsidRPr="001B46CB">
              <w:rPr>
                <w:rFonts w:asciiTheme="majorBidi" w:hAnsiTheme="majorBidi" w:cstheme="majorBidi"/>
                <w:lang w:val="fr-FR"/>
              </w:rPr>
              <w:t>travailleuses étrangères</w:t>
            </w:r>
            <w:r w:rsidR="00DA4AAC" w:rsidRPr="001B46CB">
              <w:rPr>
                <w:rFonts w:asciiTheme="majorBidi" w:hAnsiTheme="majorBidi" w:cstheme="majorBidi"/>
                <w:lang w:val="fr-FR"/>
              </w:rPr>
              <w:t> </w:t>
            </w:r>
            <w:r w:rsidRPr="001B46CB">
              <w:rPr>
                <w:rFonts w:asciiTheme="majorBidi" w:hAnsiTheme="majorBidi" w:cstheme="majorBidi"/>
                <w:lang w:val="fr-FR"/>
              </w:rPr>
              <w:t>» employées dans le secteur du travail domestique, ainsi que les femmes titulaires d</w:t>
            </w:r>
            <w:r w:rsidR="00801F15" w:rsidRPr="001B46CB">
              <w:rPr>
                <w:rFonts w:asciiTheme="majorBidi" w:hAnsiTheme="majorBidi" w:cstheme="majorBidi"/>
                <w:lang w:val="fr-FR"/>
              </w:rPr>
              <w:t>’</w:t>
            </w:r>
            <w:r w:rsidRPr="001B46CB">
              <w:rPr>
                <w:rFonts w:asciiTheme="majorBidi" w:hAnsiTheme="majorBidi" w:cstheme="majorBidi"/>
                <w:lang w:val="fr-FR"/>
              </w:rPr>
              <w:t>un permis de travail souple sont couvertes par les dispositions du Code du travail dans le secteur privé en ce qui concerne les salaires, les congés, le règlement des différends par le Ministère du travail et du développement social et les indemnités de fin de contrat, malgré le libellé de l</w:t>
            </w:r>
            <w:r w:rsidR="00801F15" w:rsidRPr="001B46CB">
              <w:rPr>
                <w:rFonts w:asciiTheme="majorBidi" w:hAnsiTheme="majorBidi" w:cstheme="majorBidi"/>
                <w:lang w:val="fr-FR"/>
              </w:rPr>
              <w:t>’</w:t>
            </w:r>
            <w:r w:rsidRPr="001B46CB">
              <w:rPr>
                <w:rFonts w:asciiTheme="majorBidi" w:hAnsiTheme="majorBidi" w:cstheme="majorBidi"/>
                <w:lang w:val="fr-FR"/>
              </w:rPr>
              <w:t>article 2 b) dudit Code (</w:t>
            </w:r>
            <w:r w:rsidR="00CC1C14" w:rsidRPr="001B46CB">
              <w:rPr>
                <w:rFonts w:asciiTheme="majorBidi" w:hAnsiTheme="majorBidi" w:cstheme="majorBidi"/>
                <w:lang w:val="fr-FR"/>
              </w:rPr>
              <w:t>par. </w:t>
            </w:r>
            <w:r w:rsidRPr="001B46CB">
              <w:rPr>
                <w:rFonts w:asciiTheme="majorBidi" w:hAnsiTheme="majorBidi" w:cstheme="majorBidi"/>
                <w:lang w:val="fr-FR"/>
              </w:rPr>
              <w:t>184). Si les «</w:t>
            </w:r>
            <w:r w:rsidR="00DA4AAC" w:rsidRPr="001B46CB">
              <w:rPr>
                <w:rFonts w:asciiTheme="majorBidi" w:hAnsiTheme="majorBidi" w:cstheme="majorBidi"/>
                <w:lang w:val="fr-FR"/>
              </w:rPr>
              <w:t> </w:t>
            </w:r>
            <w:r w:rsidRPr="001B46CB">
              <w:rPr>
                <w:rFonts w:asciiTheme="majorBidi" w:hAnsiTheme="majorBidi" w:cstheme="majorBidi"/>
                <w:lang w:val="fr-FR"/>
              </w:rPr>
              <w:t>travailleuses étrangères</w:t>
            </w:r>
            <w:r w:rsidR="00DA4AAC" w:rsidRPr="001B46CB">
              <w:rPr>
                <w:rFonts w:asciiTheme="majorBidi" w:hAnsiTheme="majorBidi" w:cstheme="majorBidi"/>
                <w:lang w:val="fr-FR"/>
              </w:rPr>
              <w:t> </w:t>
            </w:r>
            <w:r w:rsidRPr="001B46CB">
              <w:rPr>
                <w:rFonts w:asciiTheme="majorBidi" w:hAnsiTheme="majorBidi" w:cstheme="majorBidi"/>
                <w:lang w:val="fr-FR"/>
              </w:rPr>
              <w:t>» employées dans le secteur du travail domestique et les femmes titulaires de permis de travail souples ne sont pas couvertes par ces dispositions, veuillez fournir des informations sur les mesures prises pour adopter des dispositions législatives leur conférant une protection. Dans le cas où les mesures de protection susmentionnées sont applicables aux «</w:t>
            </w:r>
            <w:r w:rsidR="00DA4AAC" w:rsidRPr="001B46CB">
              <w:rPr>
                <w:rFonts w:asciiTheme="majorBidi" w:hAnsiTheme="majorBidi" w:cstheme="majorBidi"/>
                <w:lang w:val="fr-FR"/>
              </w:rPr>
              <w:t> </w:t>
            </w:r>
            <w:r w:rsidRPr="001B46CB">
              <w:rPr>
                <w:rFonts w:asciiTheme="majorBidi" w:hAnsiTheme="majorBidi" w:cstheme="majorBidi"/>
                <w:lang w:val="fr-FR"/>
              </w:rPr>
              <w:t>travailleuses domestiques étrangères</w:t>
            </w:r>
            <w:r w:rsidR="00DA4AAC" w:rsidRPr="001B46CB">
              <w:rPr>
                <w:rFonts w:asciiTheme="majorBidi" w:hAnsiTheme="majorBidi" w:cstheme="majorBidi"/>
                <w:lang w:val="fr-FR"/>
              </w:rPr>
              <w:t> </w:t>
            </w:r>
            <w:r w:rsidRPr="001B46CB">
              <w:rPr>
                <w:rFonts w:asciiTheme="majorBidi" w:hAnsiTheme="majorBidi" w:cstheme="majorBidi"/>
                <w:lang w:val="fr-FR"/>
              </w:rPr>
              <w:t>» et aux femmes titulaires d</w:t>
            </w:r>
            <w:r w:rsidR="00801F15" w:rsidRPr="001B46CB">
              <w:rPr>
                <w:rFonts w:asciiTheme="majorBidi" w:hAnsiTheme="majorBidi" w:cstheme="majorBidi"/>
                <w:lang w:val="fr-FR"/>
              </w:rPr>
              <w:t>’</w:t>
            </w:r>
            <w:r w:rsidRPr="001B46CB">
              <w:rPr>
                <w:rFonts w:asciiTheme="majorBidi" w:hAnsiTheme="majorBidi" w:cstheme="majorBidi"/>
                <w:lang w:val="fr-FR"/>
              </w:rPr>
              <w:t>un permis de travail souple, veuillez donner des informations sur les mesures prises pour leur faire connaître ces dispositions, surveiller leur application et aider les femmes victimes de leur violation à déposer plainte et à accéder à des mesures de réparation avant l</w:t>
            </w:r>
            <w:r w:rsidR="00801F15" w:rsidRPr="001B46CB">
              <w:rPr>
                <w:rFonts w:asciiTheme="majorBidi" w:hAnsiTheme="majorBidi" w:cstheme="majorBidi"/>
                <w:lang w:val="fr-FR"/>
              </w:rPr>
              <w:t>’</w:t>
            </w:r>
            <w:r w:rsidRPr="001B46CB">
              <w:rPr>
                <w:rFonts w:asciiTheme="majorBidi" w:hAnsiTheme="majorBidi" w:cstheme="majorBidi"/>
                <w:lang w:val="fr-FR"/>
              </w:rPr>
              <w:t>expiration de leur titre de séjour, et veuillez fournir des données à cet égard. Veuillez également préciser si ces femmes ont accès à l</w:t>
            </w:r>
            <w:r w:rsidR="00801F15" w:rsidRPr="001B46CB">
              <w:rPr>
                <w:rFonts w:asciiTheme="majorBidi" w:hAnsiTheme="majorBidi" w:cstheme="majorBidi"/>
                <w:lang w:val="fr-FR"/>
              </w:rPr>
              <w:t>’</w:t>
            </w:r>
            <w:r w:rsidRPr="001B46CB">
              <w:rPr>
                <w:rFonts w:asciiTheme="majorBidi" w:hAnsiTheme="majorBidi" w:cstheme="majorBidi"/>
                <w:lang w:val="fr-FR"/>
              </w:rPr>
              <w:t>assurance maladie et indiquer le calendrier d</w:t>
            </w:r>
            <w:r w:rsidR="00801F15" w:rsidRPr="001B46CB">
              <w:rPr>
                <w:rFonts w:asciiTheme="majorBidi" w:hAnsiTheme="majorBidi" w:cstheme="majorBidi"/>
                <w:lang w:val="fr-FR"/>
              </w:rPr>
              <w:t>’</w:t>
            </w:r>
            <w:r w:rsidRPr="001B46CB">
              <w:rPr>
                <w:rFonts w:asciiTheme="majorBidi" w:hAnsiTheme="majorBidi" w:cstheme="majorBidi"/>
                <w:lang w:val="fr-FR"/>
              </w:rPr>
              <w:t>adoption du projet de loi sur l</w:t>
            </w:r>
            <w:r w:rsidR="00801F15" w:rsidRPr="001B46CB">
              <w:rPr>
                <w:rFonts w:asciiTheme="majorBidi" w:hAnsiTheme="majorBidi" w:cstheme="majorBidi"/>
                <w:lang w:val="fr-FR"/>
              </w:rPr>
              <w:t>’</w:t>
            </w:r>
            <w:r w:rsidRPr="001B46CB">
              <w:rPr>
                <w:rFonts w:asciiTheme="majorBidi" w:hAnsiTheme="majorBidi" w:cstheme="majorBidi"/>
                <w:lang w:val="fr-FR"/>
              </w:rPr>
              <w:t>assurance maladie. Veuillez par ailleurs informer le Comité des mesures prises pour ratifier la Convention internationale sur la protection des droits de tous les travailleurs migrants et des membres de leur famille (</w:t>
            </w:r>
            <w:hyperlink r:id="rId41" w:history="1">
              <w:r w:rsidRPr="001B46CB">
                <w:rPr>
                  <w:rStyle w:val="Hyperlink"/>
                  <w:rFonts w:asciiTheme="majorBidi" w:hAnsiTheme="majorBidi" w:cstheme="majorBidi"/>
                  <w:lang w:val="fr-FR"/>
                </w:rPr>
                <w:t>CEDAW/C/BHR/CO/3</w:t>
              </w:r>
            </w:hyperlink>
            <w:r w:rsidRPr="001B46CB">
              <w:rPr>
                <w:rFonts w:asciiTheme="majorBidi" w:hAnsiTheme="majorBidi" w:cstheme="majorBidi"/>
                <w:lang w:val="fr-FR"/>
              </w:rPr>
              <w:t xml:space="preserve">, </w:t>
            </w:r>
            <w:r w:rsidR="00CC1C14" w:rsidRPr="001B46CB">
              <w:rPr>
                <w:rFonts w:asciiTheme="majorBidi" w:hAnsiTheme="majorBidi" w:cstheme="majorBidi"/>
                <w:lang w:val="fr-FR"/>
              </w:rPr>
              <w:t>par. </w:t>
            </w:r>
            <w:r w:rsidRPr="001B46CB">
              <w:rPr>
                <w:rFonts w:asciiTheme="majorBidi" w:hAnsiTheme="majorBidi" w:cstheme="majorBidi"/>
                <w:lang w:val="fr-FR"/>
              </w:rPr>
              <w:t>54) et la Convention de 2011 sur les travailleuses et travailleurs domestiques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189) de l</w:t>
            </w:r>
            <w:r w:rsidR="00801F15" w:rsidRPr="001B46CB">
              <w:rPr>
                <w:rFonts w:asciiTheme="majorBidi" w:hAnsiTheme="majorBidi" w:cstheme="majorBidi"/>
                <w:lang w:val="fr-FR"/>
              </w:rPr>
              <w:t>’</w:t>
            </w:r>
            <w:r w:rsidRPr="001B46CB">
              <w:rPr>
                <w:rFonts w:asciiTheme="majorBidi" w:hAnsiTheme="majorBidi" w:cstheme="majorBidi"/>
                <w:lang w:val="fr-FR"/>
              </w:rPr>
              <w:t>Organisation internationale du Travail.</w:t>
            </w:r>
          </w:p>
        </w:tc>
      </w:tr>
      <w:tr w:rsidR="0039501E" w:rsidRPr="001B46CB" w14:paraId="3B3192DC" w14:textId="77777777" w:rsidTr="0039501E">
        <w:trPr>
          <w:tblCellSpacing w:w="20" w:type="dxa"/>
          <w:jc w:val="center"/>
        </w:trPr>
        <w:tc>
          <w:tcPr>
            <w:tcW w:w="4959" w:type="pct"/>
            <w:gridSpan w:val="8"/>
            <w:shd w:val="clear" w:color="auto" w:fill="C4BC96" w:themeFill="background2" w:themeFillShade="BF"/>
            <w:vAlign w:val="center"/>
          </w:tcPr>
          <w:p w14:paraId="142A70AF" w14:textId="77777777" w:rsidR="00F36F51" w:rsidRPr="001B46CB" w:rsidRDefault="00F36F51" w:rsidP="00F4463A">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Réponse</w:t>
            </w:r>
          </w:p>
        </w:tc>
      </w:tr>
      <w:tr w:rsidR="0039501E" w:rsidRPr="001B46CB" w14:paraId="462F5FE1" w14:textId="77777777" w:rsidTr="0039501E">
        <w:trPr>
          <w:tblCellSpacing w:w="20" w:type="dxa"/>
          <w:jc w:val="center"/>
        </w:trPr>
        <w:tc>
          <w:tcPr>
            <w:tcW w:w="4959" w:type="pct"/>
            <w:gridSpan w:val="8"/>
            <w:shd w:val="clear" w:color="auto" w:fill="auto"/>
            <w:vAlign w:val="center"/>
          </w:tcPr>
          <w:p w14:paraId="77DBDEFB" w14:textId="6206A1EF" w:rsidR="00F36F51" w:rsidRPr="001B46CB" w:rsidRDefault="00F36F51" w:rsidP="00F4463A">
            <w:pPr>
              <w:pStyle w:val="ListParagraph"/>
              <w:numPr>
                <w:ilvl w:val="0"/>
                <w:numId w:val="43"/>
              </w:numPr>
              <w:spacing w:after="200"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Bahreïn réaffirme la teneur des paragraphes 184 et 185 de son quatrième rapport périodique. Les droits des travailleuses domestiques sont garantis par les articles du Code du travail applicables, notamment en ce qui concerne l</w:t>
            </w:r>
            <w:r w:rsidR="00801F15" w:rsidRPr="001B46CB">
              <w:rPr>
                <w:rFonts w:asciiTheme="majorBidi" w:hAnsiTheme="majorBidi" w:cstheme="majorBidi"/>
                <w:lang w:val="fr-FR"/>
              </w:rPr>
              <w:t>’</w:t>
            </w:r>
            <w:r w:rsidRPr="001B46CB">
              <w:rPr>
                <w:rFonts w:asciiTheme="majorBidi" w:hAnsiTheme="majorBidi" w:cstheme="majorBidi"/>
                <w:lang w:val="fr-FR"/>
              </w:rPr>
              <w:t>établissement et</w:t>
            </w:r>
            <w:r w:rsidR="00801F15" w:rsidRPr="001B46CB">
              <w:rPr>
                <w:rFonts w:asciiTheme="majorBidi" w:hAnsiTheme="majorBidi" w:cstheme="majorBidi"/>
                <w:lang w:val="fr-FR"/>
              </w:rPr>
              <w:t xml:space="preserve"> </w:t>
            </w:r>
            <w:r w:rsidRPr="001B46CB">
              <w:rPr>
                <w:rFonts w:asciiTheme="majorBidi" w:hAnsiTheme="majorBidi" w:cstheme="majorBidi"/>
                <w:lang w:val="fr-FR"/>
              </w:rPr>
              <w:t>la validation des contrats de travail, qui doivent garantir leurs droits, y compris les salaires, un minimum de 30 jours de congés annuels payés</w:t>
            </w:r>
            <w:r w:rsidR="00801F15" w:rsidRPr="001B46CB">
              <w:rPr>
                <w:rFonts w:asciiTheme="majorBidi" w:hAnsiTheme="majorBidi" w:cstheme="majorBidi"/>
                <w:lang w:val="fr-FR"/>
              </w:rPr>
              <w:t xml:space="preserve"> </w:t>
            </w:r>
            <w:r w:rsidRPr="001B46CB">
              <w:rPr>
                <w:rFonts w:asciiTheme="majorBidi" w:hAnsiTheme="majorBidi" w:cstheme="majorBidi"/>
                <w:lang w:val="fr-FR"/>
              </w:rPr>
              <w:t>et les indemnités de fin de contrat.</w:t>
            </w:r>
          </w:p>
          <w:p w14:paraId="56D09B81" w14:textId="1335A458" w:rsidR="00801F15" w:rsidRPr="001B46CB" w:rsidRDefault="00F36F51" w:rsidP="00F4463A">
            <w:pPr>
              <w:pStyle w:val="ListParagraph"/>
              <w:numPr>
                <w:ilvl w:val="0"/>
                <w:numId w:val="43"/>
              </w:numPr>
              <w:spacing w:after="200" w:line="240" w:lineRule="auto"/>
              <w:ind w:left="360" w:right="144"/>
              <w:jc w:val="both"/>
              <w:rPr>
                <w:rFonts w:asciiTheme="majorBidi" w:hAnsiTheme="majorBidi" w:cstheme="majorBidi"/>
                <w:lang w:val="fr-FR"/>
              </w:rPr>
            </w:pPr>
            <w:r w:rsidRPr="001B46CB">
              <w:rPr>
                <w:rFonts w:asciiTheme="majorBidi" w:hAnsiTheme="majorBidi" w:cstheme="majorBidi"/>
                <w:lang w:val="fr-FR"/>
              </w:rPr>
              <w:t>Pour ce qui est des différends, le chapitre 13 du Code du travail, concernant les litiges individuels au travail, s</w:t>
            </w:r>
            <w:r w:rsidR="00801F15" w:rsidRPr="001B46CB">
              <w:rPr>
                <w:rFonts w:asciiTheme="majorBidi" w:hAnsiTheme="majorBidi" w:cstheme="majorBidi"/>
                <w:lang w:val="fr-FR"/>
              </w:rPr>
              <w:t>’</w:t>
            </w:r>
            <w:r w:rsidRPr="001B46CB">
              <w:rPr>
                <w:rFonts w:asciiTheme="majorBidi" w:hAnsiTheme="majorBidi" w:cstheme="majorBidi"/>
                <w:lang w:val="fr-FR"/>
              </w:rPr>
              <w:t>applique aux travailleuses et travailleurs domestiques.</w:t>
            </w:r>
          </w:p>
          <w:p w14:paraId="0CD70039" w14:textId="77777777" w:rsidR="00801F15" w:rsidRPr="001B46CB" w:rsidRDefault="00F36F51" w:rsidP="00F4463A">
            <w:pPr>
              <w:pStyle w:val="ListParagraph"/>
              <w:numPr>
                <w:ilvl w:val="0"/>
                <w:numId w:val="43"/>
              </w:numPr>
              <w:spacing w:after="200" w:line="240" w:lineRule="auto"/>
              <w:ind w:left="360" w:right="144"/>
              <w:jc w:val="both"/>
              <w:rPr>
                <w:rFonts w:asciiTheme="majorBidi" w:hAnsiTheme="majorBidi" w:cstheme="majorBidi"/>
                <w:lang w:val="fr-FR"/>
              </w:rPr>
            </w:pPr>
            <w:r w:rsidRPr="001B46CB">
              <w:rPr>
                <w:rFonts w:asciiTheme="majorBidi" w:hAnsiTheme="majorBidi" w:cstheme="majorBidi"/>
                <w:lang w:val="fr-FR"/>
              </w:rPr>
              <w:t>Bahreïn souligne de nouveau qu</w:t>
            </w:r>
            <w:r w:rsidR="00801F15" w:rsidRPr="001B46CB">
              <w:rPr>
                <w:rFonts w:asciiTheme="majorBidi" w:hAnsiTheme="majorBidi" w:cstheme="majorBidi"/>
                <w:lang w:val="fr-FR"/>
              </w:rPr>
              <w:t>’</w:t>
            </w:r>
            <w:r w:rsidRPr="001B46CB">
              <w:rPr>
                <w:rFonts w:asciiTheme="majorBidi" w:hAnsiTheme="majorBidi" w:cstheme="majorBidi"/>
                <w:lang w:val="fr-FR"/>
              </w:rPr>
              <w:t>il n</w:t>
            </w:r>
            <w:r w:rsidR="00801F15" w:rsidRPr="001B46CB">
              <w:rPr>
                <w:rFonts w:asciiTheme="majorBidi" w:hAnsiTheme="majorBidi" w:cstheme="majorBidi"/>
                <w:lang w:val="fr-FR"/>
              </w:rPr>
              <w:t>’</w:t>
            </w:r>
            <w:r w:rsidRPr="001B46CB">
              <w:rPr>
                <w:rFonts w:asciiTheme="majorBidi" w:hAnsiTheme="majorBidi" w:cstheme="majorBidi"/>
                <w:lang w:val="fr-FR"/>
              </w:rPr>
              <w:t>existe pas dans le Royaume de main-d</w:t>
            </w:r>
            <w:r w:rsidR="00801F15" w:rsidRPr="001B46CB">
              <w:rPr>
                <w:rFonts w:asciiTheme="majorBidi" w:hAnsiTheme="majorBidi" w:cstheme="majorBidi"/>
                <w:lang w:val="fr-FR"/>
              </w:rPr>
              <w:t>’</w:t>
            </w:r>
            <w:r w:rsidRPr="001B46CB">
              <w:rPr>
                <w:rFonts w:asciiTheme="majorBidi" w:hAnsiTheme="majorBidi" w:cstheme="majorBidi"/>
                <w:lang w:val="fr-FR"/>
              </w:rPr>
              <w:t>œuvre dite migrante mais une main-d</w:t>
            </w:r>
            <w:r w:rsidR="00801F15" w:rsidRPr="001B46CB">
              <w:rPr>
                <w:rFonts w:asciiTheme="majorBidi" w:hAnsiTheme="majorBidi" w:cstheme="majorBidi"/>
                <w:lang w:val="fr-FR"/>
              </w:rPr>
              <w:t>’</w:t>
            </w:r>
            <w:r w:rsidRPr="001B46CB">
              <w:rPr>
                <w:rFonts w:asciiTheme="majorBidi" w:hAnsiTheme="majorBidi" w:cstheme="majorBidi"/>
                <w:lang w:val="fr-FR"/>
              </w:rPr>
              <w:t>œuvre étrangère.</w:t>
            </w:r>
          </w:p>
          <w:p w14:paraId="44B63700" w14:textId="1BEA76A9" w:rsidR="00F36F51" w:rsidRPr="001B46CB" w:rsidRDefault="00F36F51" w:rsidP="00F4463A">
            <w:pPr>
              <w:pStyle w:val="ListParagraph"/>
              <w:numPr>
                <w:ilvl w:val="0"/>
                <w:numId w:val="43"/>
              </w:numPr>
              <w:spacing w:after="200"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En ce qui concerne les mesures prises pour adopter des dispositions législatives conférant une protection aux travailleuses étrangères employées dans le secteur du travail domestique et les femmes titulaires de permis de travail souples, l</w:t>
            </w:r>
            <w:r w:rsidR="00801F15" w:rsidRPr="001B46CB">
              <w:rPr>
                <w:rFonts w:asciiTheme="majorBidi" w:hAnsiTheme="majorBidi" w:cstheme="majorBidi"/>
                <w:lang w:val="fr-FR"/>
              </w:rPr>
              <w:t>’</w:t>
            </w:r>
            <w:r w:rsidRPr="001B46CB">
              <w:rPr>
                <w:rFonts w:asciiTheme="majorBidi" w:hAnsiTheme="majorBidi" w:cstheme="majorBidi"/>
                <w:lang w:val="fr-FR"/>
              </w:rPr>
              <w:t>Organisme de réglementation du marché du travail a mis en place un mécanisme souple, en s</w:t>
            </w:r>
            <w:r w:rsidR="00801F15" w:rsidRPr="001B46CB">
              <w:rPr>
                <w:rFonts w:asciiTheme="majorBidi" w:hAnsiTheme="majorBidi" w:cstheme="majorBidi"/>
                <w:lang w:val="fr-FR"/>
              </w:rPr>
              <w:t>’</w:t>
            </w:r>
            <w:r w:rsidRPr="001B46CB">
              <w:rPr>
                <w:rFonts w:asciiTheme="majorBidi" w:hAnsiTheme="majorBidi" w:cstheme="majorBidi"/>
                <w:lang w:val="fr-FR"/>
              </w:rPr>
              <w:t>appuyant sur la décision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108 de 2017 relative à la régularisation du statut relatif à la résidence des arrivants afin de délivrer une autorisation à l</w:t>
            </w:r>
            <w:r w:rsidR="00801F15" w:rsidRPr="001B46CB">
              <w:rPr>
                <w:rFonts w:asciiTheme="majorBidi" w:hAnsiTheme="majorBidi" w:cstheme="majorBidi"/>
                <w:lang w:val="fr-FR"/>
              </w:rPr>
              <w:t>’</w:t>
            </w:r>
            <w:r w:rsidRPr="001B46CB">
              <w:rPr>
                <w:rFonts w:asciiTheme="majorBidi" w:hAnsiTheme="majorBidi" w:cstheme="majorBidi"/>
                <w:lang w:val="fr-FR"/>
              </w:rPr>
              <w:t>employeur (modalités de travail souples). Les travailleuses étrangères dont le permis de travail n</w:t>
            </w:r>
            <w:r w:rsidR="00801F15" w:rsidRPr="001B46CB">
              <w:rPr>
                <w:rFonts w:asciiTheme="majorBidi" w:hAnsiTheme="majorBidi" w:cstheme="majorBidi"/>
                <w:lang w:val="fr-FR"/>
              </w:rPr>
              <w:t>’</w:t>
            </w:r>
            <w:r w:rsidRPr="001B46CB">
              <w:rPr>
                <w:rFonts w:asciiTheme="majorBidi" w:hAnsiTheme="majorBidi" w:cstheme="majorBidi"/>
                <w:lang w:val="fr-FR"/>
              </w:rPr>
              <w:t>est plus valide ou a été annulé et n</w:t>
            </w:r>
            <w:r w:rsidR="00801F15" w:rsidRPr="001B46CB">
              <w:rPr>
                <w:rFonts w:asciiTheme="majorBidi" w:hAnsiTheme="majorBidi" w:cstheme="majorBidi"/>
                <w:lang w:val="fr-FR"/>
              </w:rPr>
              <w:t>’</w:t>
            </w:r>
            <w:r w:rsidRPr="001B46CB">
              <w:rPr>
                <w:rFonts w:asciiTheme="majorBidi" w:hAnsiTheme="majorBidi" w:cstheme="majorBidi"/>
                <w:lang w:val="fr-FR"/>
              </w:rPr>
              <w:t>a pas été renouvelé par l</w:t>
            </w:r>
            <w:r w:rsidR="00801F15" w:rsidRPr="001B46CB">
              <w:rPr>
                <w:rFonts w:asciiTheme="majorBidi" w:hAnsiTheme="majorBidi" w:cstheme="majorBidi"/>
                <w:lang w:val="fr-FR"/>
              </w:rPr>
              <w:t>’</w:t>
            </w:r>
            <w:r w:rsidRPr="001B46CB">
              <w:rPr>
                <w:rFonts w:asciiTheme="majorBidi" w:hAnsiTheme="majorBidi" w:cstheme="majorBidi"/>
                <w:lang w:val="fr-FR"/>
              </w:rPr>
              <w:t xml:space="preserve">employeur </w:t>
            </w:r>
            <w:r w:rsidRPr="001B46CB">
              <w:rPr>
                <w:rFonts w:asciiTheme="majorBidi" w:hAnsiTheme="majorBidi" w:cstheme="majorBidi"/>
                <w:lang w:val="fr-FR"/>
              </w:rPr>
              <w:lastRenderedPageBreak/>
              <w:t>peuvent se voir délivrer un permis de travail souple, ce qui les aide à se prendre en main sur les plans financier et professionnel.</w:t>
            </w:r>
          </w:p>
          <w:p w14:paraId="1D68C4A8" w14:textId="335D512F" w:rsidR="00F36F51" w:rsidRPr="001B46CB" w:rsidRDefault="00F36F51" w:rsidP="00F4463A">
            <w:pPr>
              <w:pStyle w:val="ListParagraph"/>
              <w:numPr>
                <w:ilvl w:val="0"/>
                <w:numId w:val="43"/>
              </w:numPr>
              <w:spacing w:after="200"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Le permis de travail souple permet notamment aux travailleuses d</w:t>
            </w:r>
            <w:r w:rsidR="00801F15" w:rsidRPr="001B46CB">
              <w:rPr>
                <w:rFonts w:asciiTheme="majorBidi" w:hAnsiTheme="majorBidi" w:cstheme="majorBidi"/>
                <w:lang w:val="fr-FR"/>
              </w:rPr>
              <w:t>’</w:t>
            </w:r>
            <w:r w:rsidRPr="001B46CB">
              <w:rPr>
                <w:rFonts w:asciiTheme="majorBidi" w:hAnsiTheme="majorBidi" w:cstheme="majorBidi"/>
                <w:lang w:val="fr-FR"/>
              </w:rPr>
              <w:t>être en situation régulière sur le plan juridique. De plus, un employeur n</w:t>
            </w:r>
            <w:r w:rsidR="00801F15" w:rsidRPr="001B46CB">
              <w:rPr>
                <w:rFonts w:asciiTheme="majorBidi" w:hAnsiTheme="majorBidi" w:cstheme="majorBidi"/>
                <w:lang w:val="fr-FR"/>
              </w:rPr>
              <w:t>’</w:t>
            </w:r>
            <w:r w:rsidRPr="001B46CB">
              <w:rPr>
                <w:rFonts w:asciiTheme="majorBidi" w:hAnsiTheme="majorBidi" w:cstheme="majorBidi"/>
                <w:lang w:val="fr-FR"/>
              </w:rPr>
              <w:t>a pas à être désigné, la travailleuse pouvant être à son compte et proposer ses services à la personne de son choix sur une base contractuelle, selon sa profession. Les travailleuses et travailleurs</w:t>
            </w:r>
            <w:r w:rsidR="00801F15" w:rsidRPr="001B46CB">
              <w:rPr>
                <w:rFonts w:asciiTheme="majorBidi" w:hAnsiTheme="majorBidi" w:cstheme="majorBidi"/>
                <w:lang w:val="fr-FR"/>
              </w:rPr>
              <w:t xml:space="preserve"> </w:t>
            </w:r>
            <w:r w:rsidRPr="001B46CB">
              <w:rPr>
                <w:rFonts w:asciiTheme="majorBidi" w:hAnsiTheme="majorBidi" w:cstheme="majorBidi"/>
                <w:lang w:val="fr-FR"/>
              </w:rPr>
              <w:t>peuvent voyager et revenir dans le pays car le titre de séjour est renouvelé pour une période de deux ans et des visas pour entrées multiples sont également délivrés.</w:t>
            </w:r>
          </w:p>
          <w:p w14:paraId="574D29B6" w14:textId="7874D9AE" w:rsidR="00F36F51" w:rsidRPr="001B46CB" w:rsidRDefault="00F36F51" w:rsidP="00F4463A">
            <w:pPr>
              <w:pStyle w:val="ListParagraph"/>
              <w:numPr>
                <w:ilvl w:val="0"/>
                <w:numId w:val="43"/>
              </w:numPr>
              <w:spacing w:after="200"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Conformément à l</w:t>
            </w:r>
            <w:r w:rsidR="00801F15" w:rsidRPr="001B46CB">
              <w:rPr>
                <w:rFonts w:asciiTheme="majorBidi" w:hAnsiTheme="majorBidi" w:cstheme="majorBidi"/>
                <w:lang w:val="fr-FR"/>
              </w:rPr>
              <w:t>’</w:t>
            </w:r>
            <w:r w:rsidRPr="001B46CB">
              <w:rPr>
                <w:rFonts w:asciiTheme="majorBidi" w:hAnsiTheme="majorBidi" w:cstheme="majorBidi"/>
                <w:lang w:val="fr-FR"/>
              </w:rPr>
              <w:t>article 37, le salaire du travailleur est fixé par le contrat de travail individuel, le contrat de travail collectif ou le règlement régissant le travail dans l</w:t>
            </w:r>
            <w:r w:rsidR="00801F15" w:rsidRPr="001B46CB">
              <w:rPr>
                <w:rFonts w:asciiTheme="majorBidi" w:hAnsiTheme="majorBidi" w:cstheme="majorBidi"/>
                <w:lang w:val="fr-FR"/>
              </w:rPr>
              <w:t>’</w:t>
            </w:r>
            <w:r w:rsidRPr="001B46CB">
              <w:rPr>
                <w:rFonts w:asciiTheme="majorBidi" w:hAnsiTheme="majorBidi" w:cstheme="majorBidi"/>
                <w:lang w:val="fr-FR"/>
              </w:rPr>
              <w:t>entreprise. Si le salaire n</w:t>
            </w:r>
            <w:r w:rsidR="00801F15" w:rsidRPr="001B46CB">
              <w:rPr>
                <w:rFonts w:asciiTheme="majorBidi" w:hAnsiTheme="majorBidi" w:cstheme="majorBidi"/>
                <w:lang w:val="fr-FR"/>
              </w:rPr>
              <w:t>’</w:t>
            </w:r>
            <w:r w:rsidRPr="001B46CB">
              <w:rPr>
                <w:rFonts w:asciiTheme="majorBidi" w:hAnsiTheme="majorBidi" w:cstheme="majorBidi"/>
                <w:lang w:val="fr-FR"/>
              </w:rPr>
              <w:t>est pas fixé selon l</w:t>
            </w:r>
            <w:r w:rsidR="00801F15" w:rsidRPr="001B46CB">
              <w:rPr>
                <w:rFonts w:asciiTheme="majorBidi" w:hAnsiTheme="majorBidi" w:cstheme="majorBidi"/>
                <w:lang w:val="fr-FR"/>
              </w:rPr>
              <w:t>’</w:t>
            </w:r>
            <w:r w:rsidRPr="001B46CB">
              <w:rPr>
                <w:rFonts w:asciiTheme="majorBidi" w:hAnsiTheme="majorBidi" w:cstheme="majorBidi"/>
                <w:lang w:val="fr-FR"/>
              </w:rPr>
              <w:t>une de ces méthodes, le travailleur a droit à un salaire équivalent à celui qui est versé pour un travail de même nature, le cas échéant. À défaut d</w:t>
            </w:r>
            <w:r w:rsidR="00801F15" w:rsidRPr="001B46CB">
              <w:rPr>
                <w:rFonts w:asciiTheme="majorBidi" w:hAnsiTheme="majorBidi" w:cstheme="majorBidi"/>
                <w:lang w:val="fr-FR"/>
              </w:rPr>
              <w:t>’</w:t>
            </w:r>
            <w:r w:rsidRPr="001B46CB">
              <w:rPr>
                <w:rFonts w:asciiTheme="majorBidi" w:hAnsiTheme="majorBidi" w:cstheme="majorBidi"/>
                <w:lang w:val="fr-FR"/>
              </w:rPr>
              <w:t>un travail de même nature, le salaire est estimé selon les usages de la profession ou de l</w:t>
            </w:r>
            <w:r w:rsidR="00801F15" w:rsidRPr="001B46CB">
              <w:rPr>
                <w:rFonts w:asciiTheme="majorBidi" w:hAnsiTheme="majorBidi" w:cstheme="majorBidi"/>
                <w:lang w:val="fr-FR"/>
              </w:rPr>
              <w:t>’</w:t>
            </w:r>
            <w:r w:rsidRPr="001B46CB">
              <w:rPr>
                <w:rFonts w:asciiTheme="majorBidi" w:hAnsiTheme="majorBidi" w:cstheme="majorBidi"/>
                <w:lang w:val="fr-FR"/>
              </w:rPr>
              <w:t>industrie concernée de la région où le travail est effectué. En l</w:t>
            </w:r>
            <w:r w:rsidR="00801F15" w:rsidRPr="001B46CB">
              <w:rPr>
                <w:rFonts w:asciiTheme="majorBidi" w:hAnsiTheme="majorBidi" w:cstheme="majorBidi"/>
                <w:lang w:val="fr-FR"/>
              </w:rPr>
              <w:t>’</w:t>
            </w:r>
            <w:r w:rsidRPr="001B46CB">
              <w:rPr>
                <w:rFonts w:asciiTheme="majorBidi" w:hAnsiTheme="majorBidi" w:cstheme="majorBidi"/>
                <w:lang w:val="fr-FR"/>
              </w:rPr>
              <w:t>absence de tels usages, le tribunal compétent estimera le salaire dû au travailleur conformément aux exigences de justice.</w:t>
            </w:r>
          </w:p>
          <w:p w14:paraId="46460C4D" w14:textId="6E026A9E" w:rsidR="00F36F51" w:rsidRPr="001B46CB" w:rsidRDefault="00F36F51" w:rsidP="00F4463A">
            <w:pPr>
              <w:pStyle w:val="ListParagraph"/>
              <w:numPr>
                <w:ilvl w:val="0"/>
                <w:numId w:val="43"/>
              </w:numPr>
              <w:spacing w:after="200"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La 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23 de 2018 portant promulgation de la loi sur l</w:t>
            </w:r>
            <w:r w:rsidR="00801F15" w:rsidRPr="001B46CB">
              <w:rPr>
                <w:rFonts w:asciiTheme="majorBidi" w:hAnsiTheme="majorBidi" w:cstheme="majorBidi"/>
                <w:lang w:val="fr-FR"/>
              </w:rPr>
              <w:t>’</w:t>
            </w:r>
            <w:r w:rsidRPr="001B46CB">
              <w:rPr>
                <w:rFonts w:asciiTheme="majorBidi" w:hAnsiTheme="majorBidi" w:cstheme="majorBidi"/>
                <w:lang w:val="fr-FR"/>
              </w:rPr>
              <w:t>assurance maladie garantit l</w:t>
            </w:r>
            <w:r w:rsidR="00801F15" w:rsidRPr="001B46CB">
              <w:rPr>
                <w:rFonts w:asciiTheme="majorBidi" w:hAnsiTheme="majorBidi" w:cstheme="majorBidi"/>
                <w:lang w:val="fr-FR"/>
              </w:rPr>
              <w:t>’</w:t>
            </w:r>
            <w:r w:rsidRPr="001B46CB">
              <w:rPr>
                <w:rFonts w:asciiTheme="majorBidi" w:hAnsiTheme="majorBidi" w:cstheme="majorBidi"/>
                <w:lang w:val="fr-FR"/>
              </w:rPr>
              <w:t>accès des travailleuses étrangères employées dans le secteur du travail domestique à l</w:t>
            </w:r>
            <w:r w:rsidR="00801F15" w:rsidRPr="001B46CB">
              <w:rPr>
                <w:rFonts w:asciiTheme="majorBidi" w:hAnsiTheme="majorBidi" w:cstheme="majorBidi"/>
                <w:lang w:val="fr-FR"/>
              </w:rPr>
              <w:t>’</w:t>
            </w:r>
            <w:r w:rsidRPr="001B46CB">
              <w:rPr>
                <w:rFonts w:asciiTheme="majorBidi" w:hAnsiTheme="majorBidi" w:cstheme="majorBidi"/>
                <w:lang w:val="fr-FR"/>
              </w:rPr>
              <w:t>assurance maladie. Selon l</w:t>
            </w:r>
            <w:r w:rsidR="00801F15" w:rsidRPr="001B46CB">
              <w:rPr>
                <w:rFonts w:asciiTheme="majorBidi" w:hAnsiTheme="majorBidi" w:cstheme="majorBidi"/>
                <w:lang w:val="fr-FR"/>
              </w:rPr>
              <w:t>’</w:t>
            </w:r>
            <w:r w:rsidRPr="001B46CB">
              <w:rPr>
                <w:rFonts w:asciiTheme="majorBidi" w:hAnsiTheme="majorBidi" w:cstheme="majorBidi"/>
                <w:lang w:val="fr-FR"/>
              </w:rPr>
              <w:t>article 37 d) de ladite loi, le Gouvernement prend en charge les cotisations obligatoires d</w:t>
            </w:r>
            <w:r w:rsidR="00801F15" w:rsidRPr="001B46CB">
              <w:rPr>
                <w:rFonts w:asciiTheme="majorBidi" w:hAnsiTheme="majorBidi" w:cstheme="majorBidi"/>
                <w:lang w:val="fr-FR"/>
              </w:rPr>
              <w:t>’</w:t>
            </w:r>
            <w:r w:rsidRPr="001B46CB">
              <w:rPr>
                <w:rFonts w:asciiTheme="majorBidi" w:hAnsiTheme="majorBidi" w:cstheme="majorBidi"/>
                <w:lang w:val="fr-FR"/>
              </w:rPr>
              <w:t>assurance maladie des résidents employés par un citoyen bahreïnien dans le secteur du travail domestique ou apparenté.</w:t>
            </w:r>
          </w:p>
          <w:p w14:paraId="0852B001" w14:textId="7EBB0EA2" w:rsidR="00F36F51" w:rsidRPr="001B46CB" w:rsidRDefault="00F36F51" w:rsidP="00F4463A">
            <w:pPr>
              <w:pStyle w:val="ListParagraph"/>
              <w:numPr>
                <w:ilvl w:val="0"/>
                <w:numId w:val="43"/>
              </w:numPr>
              <w:spacing w:after="200" w:line="240" w:lineRule="auto"/>
              <w:ind w:left="360" w:right="144"/>
              <w:jc w:val="both"/>
              <w:rPr>
                <w:rFonts w:asciiTheme="majorBidi" w:hAnsiTheme="majorBidi" w:cstheme="majorBidi"/>
                <w:lang w:val="fr-FR"/>
              </w:rPr>
            </w:pPr>
            <w:r w:rsidRPr="001B46CB">
              <w:rPr>
                <w:rFonts w:asciiTheme="majorBidi" w:hAnsiTheme="majorBidi" w:cstheme="majorBidi"/>
                <w:lang w:val="fr-FR"/>
              </w:rPr>
              <w:t>Deux articles ont été ajoutés en vertu du décret-loi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59 de 2018 portant modification du Code du travail dans le secteur privé</w:t>
            </w:r>
            <w:r w:rsidR="00801F15" w:rsidRPr="001B46CB">
              <w:rPr>
                <w:rFonts w:asciiTheme="majorBidi" w:hAnsiTheme="majorBidi" w:cstheme="majorBidi"/>
                <w:lang w:val="fr-FR"/>
              </w:rPr>
              <w:t> :</w:t>
            </w:r>
            <w:r w:rsidRPr="001B46CB">
              <w:rPr>
                <w:rFonts w:asciiTheme="majorBidi" w:hAnsiTheme="majorBidi" w:cstheme="majorBidi"/>
                <w:lang w:val="fr-FR"/>
              </w:rPr>
              <w:t xml:space="preserve"> l</w:t>
            </w:r>
            <w:r w:rsidR="00801F15" w:rsidRPr="001B46CB">
              <w:rPr>
                <w:rFonts w:asciiTheme="majorBidi" w:hAnsiTheme="majorBidi" w:cstheme="majorBidi"/>
                <w:lang w:val="fr-FR"/>
              </w:rPr>
              <w:t>’</w:t>
            </w:r>
            <w:r w:rsidRPr="001B46CB">
              <w:rPr>
                <w:rFonts w:asciiTheme="majorBidi" w:hAnsiTheme="majorBidi" w:cstheme="majorBidi"/>
                <w:lang w:val="fr-FR"/>
              </w:rPr>
              <w:t>un interdit d</w:t>
            </w:r>
            <w:r w:rsidR="00801F15" w:rsidRPr="001B46CB">
              <w:rPr>
                <w:rFonts w:asciiTheme="majorBidi" w:hAnsiTheme="majorBidi" w:cstheme="majorBidi"/>
                <w:lang w:val="fr-FR"/>
              </w:rPr>
              <w:t>’</w:t>
            </w:r>
            <w:r w:rsidRPr="001B46CB">
              <w:rPr>
                <w:rFonts w:asciiTheme="majorBidi" w:hAnsiTheme="majorBidi" w:cstheme="majorBidi"/>
                <w:lang w:val="fr-FR"/>
              </w:rPr>
              <w:t>établir une distinction entre les travailleurs et l</w:t>
            </w:r>
            <w:r w:rsidR="00801F15" w:rsidRPr="001B46CB">
              <w:rPr>
                <w:rFonts w:asciiTheme="majorBidi" w:hAnsiTheme="majorBidi" w:cstheme="majorBidi"/>
                <w:lang w:val="fr-FR"/>
              </w:rPr>
              <w:t>’</w:t>
            </w:r>
            <w:r w:rsidRPr="001B46CB">
              <w:rPr>
                <w:rFonts w:asciiTheme="majorBidi" w:hAnsiTheme="majorBidi" w:cstheme="majorBidi"/>
                <w:lang w:val="fr-FR"/>
              </w:rPr>
              <w:t>autre définit les modalités de paiement des salaires des travailleurs. Le texte des articles dont les dispositions sont applicables au travail domestique et à des activités apparentées, notamment les articles 46 a) et b) 58 et 116, est</w:t>
            </w:r>
            <w:r w:rsidR="00801F15" w:rsidRPr="001B46CB">
              <w:rPr>
                <w:rFonts w:asciiTheme="majorBidi" w:hAnsiTheme="majorBidi" w:cstheme="majorBidi"/>
                <w:lang w:val="fr-FR"/>
              </w:rPr>
              <w:t xml:space="preserve"> </w:t>
            </w:r>
            <w:r w:rsidRPr="001B46CB">
              <w:rPr>
                <w:rFonts w:asciiTheme="majorBidi" w:hAnsiTheme="majorBidi" w:cstheme="majorBidi"/>
                <w:lang w:val="fr-FR"/>
              </w:rPr>
              <w:t>disponible à l</w:t>
            </w:r>
            <w:r w:rsidR="00801F15" w:rsidRPr="001B46CB">
              <w:rPr>
                <w:rFonts w:asciiTheme="majorBidi" w:hAnsiTheme="majorBidi" w:cstheme="majorBidi"/>
                <w:lang w:val="fr-FR"/>
              </w:rPr>
              <w:t>’</w:t>
            </w:r>
            <w:r w:rsidRPr="001B46CB">
              <w:rPr>
                <w:rFonts w:asciiTheme="majorBidi" w:hAnsiTheme="majorBidi" w:cstheme="majorBidi"/>
                <w:lang w:val="fr-FR"/>
              </w:rPr>
              <w:t>adresse électronique suivante</w:t>
            </w:r>
            <w:r w:rsidR="00801F15" w:rsidRPr="001B46CB">
              <w:rPr>
                <w:rFonts w:asciiTheme="majorBidi" w:hAnsiTheme="majorBidi" w:cstheme="majorBidi"/>
                <w:lang w:val="fr-FR"/>
              </w:rPr>
              <w:t> :</w:t>
            </w:r>
          </w:p>
          <w:p w14:paraId="6736DB85" w14:textId="67C95C3A" w:rsidR="00F36F51" w:rsidRPr="001B46CB" w:rsidRDefault="00221A48" w:rsidP="00F4463A">
            <w:pPr>
              <w:pStyle w:val="ListParagraph"/>
              <w:spacing w:line="240" w:lineRule="auto"/>
              <w:ind w:left="319"/>
              <w:jc w:val="center"/>
              <w:rPr>
                <w:rFonts w:asciiTheme="majorBidi" w:hAnsiTheme="majorBidi" w:cstheme="majorBidi"/>
                <w:color w:val="000000" w:themeColor="text1"/>
                <w:lang w:val="fr-FR"/>
              </w:rPr>
            </w:pPr>
            <w:hyperlink r:id="rId42" w:anchor=".XLISOvZuJdg. " w:history="1">
              <w:r w:rsidR="00F36F51" w:rsidRPr="001B46CB">
                <w:rPr>
                  <w:rStyle w:val="Hyperlink"/>
                  <w:rFonts w:asciiTheme="majorBidi" w:hAnsiTheme="majorBidi" w:cstheme="majorBidi"/>
                  <w:lang w:val="fr-FR"/>
                </w:rPr>
                <w:t>http://www.legalaffairs.gov.bh/LegislationSearchDetails.aspx?id=166542#.XLISOvZuJdg.</w:t>
              </w:r>
            </w:hyperlink>
          </w:p>
          <w:p w14:paraId="3E907042" w14:textId="54A1E7CC" w:rsidR="00F36F51" w:rsidRPr="001B46CB" w:rsidRDefault="00F36F51" w:rsidP="00F4463A">
            <w:pPr>
              <w:pStyle w:val="ListParagraph"/>
              <w:numPr>
                <w:ilvl w:val="0"/>
                <w:numId w:val="43"/>
              </w:numPr>
              <w:spacing w:after="20"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Les étrangers titulaires d</w:t>
            </w:r>
            <w:r w:rsidR="00801F15" w:rsidRPr="001B46CB">
              <w:rPr>
                <w:rFonts w:asciiTheme="majorBidi" w:hAnsiTheme="majorBidi" w:cstheme="majorBidi"/>
                <w:lang w:val="fr-FR"/>
              </w:rPr>
              <w:t>’</w:t>
            </w:r>
            <w:r w:rsidRPr="001B46CB">
              <w:rPr>
                <w:rFonts w:asciiTheme="majorBidi" w:hAnsiTheme="majorBidi" w:cstheme="majorBidi"/>
                <w:lang w:val="fr-FR"/>
              </w:rPr>
              <w:t>un permis de travail souple ne sont pas visés par les dispositions du Code du travail dans le secteur privé car ils sont non-ressortissants. Si un étranger travaille au service d</w:t>
            </w:r>
            <w:r w:rsidR="00801F15" w:rsidRPr="001B46CB">
              <w:rPr>
                <w:rFonts w:asciiTheme="majorBidi" w:hAnsiTheme="majorBidi" w:cstheme="majorBidi"/>
                <w:lang w:val="fr-FR"/>
              </w:rPr>
              <w:t>’</w:t>
            </w:r>
            <w:r w:rsidRPr="001B46CB">
              <w:rPr>
                <w:rFonts w:asciiTheme="majorBidi" w:hAnsiTheme="majorBidi" w:cstheme="majorBidi"/>
                <w:lang w:val="fr-FR"/>
              </w:rPr>
              <w:t>une autre personne, il le fait à titre individuel, sur une base contractuelle et pour son compte. La définition du travailleur relative à l</w:t>
            </w:r>
            <w:r w:rsidR="00801F15" w:rsidRPr="001B46CB">
              <w:rPr>
                <w:rFonts w:asciiTheme="majorBidi" w:hAnsiTheme="majorBidi" w:cstheme="majorBidi"/>
                <w:lang w:val="fr-FR"/>
              </w:rPr>
              <w:t>’</w:t>
            </w:r>
            <w:r w:rsidRPr="001B46CB">
              <w:rPr>
                <w:rFonts w:asciiTheme="majorBidi" w:hAnsiTheme="majorBidi" w:cstheme="majorBidi"/>
                <w:lang w:val="fr-FR"/>
              </w:rPr>
              <w:t>encadrement et à la gestion ne s</w:t>
            </w:r>
            <w:r w:rsidR="00801F15" w:rsidRPr="001B46CB">
              <w:rPr>
                <w:rFonts w:asciiTheme="majorBidi" w:hAnsiTheme="majorBidi" w:cstheme="majorBidi"/>
                <w:lang w:val="fr-FR"/>
              </w:rPr>
              <w:t>’</w:t>
            </w:r>
            <w:r w:rsidRPr="001B46CB">
              <w:rPr>
                <w:rFonts w:asciiTheme="majorBidi" w:hAnsiTheme="majorBidi" w:cstheme="majorBidi"/>
                <w:lang w:val="fr-FR"/>
              </w:rPr>
              <w:t>applique pas aux étrangers titulaires d</w:t>
            </w:r>
            <w:r w:rsidR="00801F15" w:rsidRPr="001B46CB">
              <w:rPr>
                <w:rFonts w:asciiTheme="majorBidi" w:hAnsiTheme="majorBidi" w:cstheme="majorBidi"/>
                <w:lang w:val="fr-FR"/>
              </w:rPr>
              <w:t>’</w:t>
            </w:r>
            <w:r w:rsidRPr="001B46CB">
              <w:rPr>
                <w:rFonts w:asciiTheme="majorBidi" w:hAnsiTheme="majorBidi" w:cstheme="majorBidi"/>
                <w:lang w:val="fr-FR"/>
              </w:rPr>
              <w:t>un permis de travail souple, qui jouissent d</w:t>
            </w:r>
            <w:r w:rsidR="00801F15" w:rsidRPr="001B46CB">
              <w:rPr>
                <w:rFonts w:asciiTheme="majorBidi" w:hAnsiTheme="majorBidi" w:cstheme="majorBidi"/>
                <w:lang w:val="fr-FR"/>
              </w:rPr>
              <w:t>’</w:t>
            </w:r>
            <w:r w:rsidRPr="001B46CB">
              <w:rPr>
                <w:rFonts w:asciiTheme="majorBidi" w:hAnsiTheme="majorBidi" w:cstheme="majorBidi"/>
                <w:lang w:val="fr-FR"/>
              </w:rPr>
              <w:t>un meilleur statut juridique que le travailleur. Elle s</w:t>
            </w:r>
            <w:r w:rsidR="00801F15" w:rsidRPr="001B46CB">
              <w:rPr>
                <w:rFonts w:asciiTheme="majorBidi" w:hAnsiTheme="majorBidi" w:cstheme="majorBidi"/>
                <w:lang w:val="fr-FR"/>
              </w:rPr>
              <w:t>’</w:t>
            </w:r>
            <w:r w:rsidRPr="001B46CB">
              <w:rPr>
                <w:rFonts w:asciiTheme="majorBidi" w:hAnsiTheme="majorBidi" w:cstheme="majorBidi"/>
                <w:lang w:val="fr-FR"/>
              </w:rPr>
              <w:t>applique à eux s</w:t>
            </w:r>
            <w:r w:rsidR="00801F15" w:rsidRPr="001B46CB">
              <w:rPr>
                <w:rFonts w:asciiTheme="majorBidi" w:hAnsiTheme="majorBidi" w:cstheme="majorBidi"/>
                <w:lang w:val="fr-FR"/>
              </w:rPr>
              <w:t>’</w:t>
            </w:r>
            <w:r w:rsidRPr="001B46CB">
              <w:rPr>
                <w:rFonts w:asciiTheme="majorBidi" w:hAnsiTheme="majorBidi" w:cstheme="majorBidi"/>
                <w:lang w:val="fr-FR"/>
              </w:rPr>
              <w:t>ils nouent une relation de travail contractuelle avec un employeur, auquel cas ils bénéficient alors de toutes les garanties prévues par la loi.</w:t>
            </w:r>
          </w:p>
        </w:tc>
      </w:tr>
      <w:tr w:rsidR="008E3A5E" w:rsidRPr="001B46CB" w14:paraId="2CB662F8" w14:textId="77777777" w:rsidTr="00767A10">
        <w:trPr>
          <w:gridAfter w:val="1"/>
          <w:wAfter w:w="63" w:type="pct"/>
          <w:tblCellSpacing w:w="20" w:type="dxa"/>
          <w:jc w:val="center"/>
        </w:trPr>
        <w:tc>
          <w:tcPr>
            <w:tcW w:w="2433" w:type="pct"/>
            <w:gridSpan w:val="3"/>
            <w:shd w:val="clear" w:color="auto" w:fill="DDD9C3" w:themeFill="background2" w:themeFillShade="E6"/>
          </w:tcPr>
          <w:p w14:paraId="227E14A8" w14:textId="77777777" w:rsidR="00F36F51" w:rsidRPr="001B46CB" w:rsidRDefault="00F36F51" w:rsidP="00F4463A">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lastRenderedPageBreak/>
              <w:t>Domaine concerné</w:t>
            </w:r>
          </w:p>
        </w:tc>
        <w:tc>
          <w:tcPr>
            <w:tcW w:w="2422" w:type="pct"/>
            <w:gridSpan w:val="4"/>
            <w:shd w:val="clear" w:color="auto" w:fill="EEECE1" w:themeFill="background2"/>
          </w:tcPr>
          <w:p w14:paraId="59EB234F" w14:textId="77777777" w:rsidR="00F36F51" w:rsidRPr="001B46CB" w:rsidRDefault="00F36F51" w:rsidP="00F4463A">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Santé</w:t>
            </w:r>
          </w:p>
        </w:tc>
      </w:tr>
      <w:tr w:rsidR="00F36F51" w:rsidRPr="001B46CB" w14:paraId="46AB7EE5" w14:textId="77777777" w:rsidTr="00767A10">
        <w:trPr>
          <w:gridAfter w:val="1"/>
          <w:wAfter w:w="63" w:type="pct"/>
          <w:tblCellSpacing w:w="20" w:type="dxa"/>
          <w:jc w:val="center"/>
        </w:trPr>
        <w:tc>
          <w:tcPr>
            <w:tcW w:w="4876" w:type="pct"/>
            <w:gridSpan w:val="7"/>
            <w:shd w:val="clear" w:color="auto" w:fill="C4BC96" w:themeFill="background2" w:themeFillShade="BF"/>
          </w:tcPr>
          <w:p w14:paraId="6BFF92B1" w14:textId="77777777" w:rsidR="00F36F51" w:rsidRPr="001B46CB" w:rsidRDefault="00F36F51" w:rsidP="00F4463A">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F36F51" w:rsidRPr="001B46CB" w14:paraId="16D40ADB" w14:textId="77777777" w:rsidTr="00767A10">
        <w:trPr>
          <w:gridAfter w:val="1"/>
          <w:wAfter w:w="63" w:type="pct"/>
          <w:tblCellSpacing w:w="20" w:type="dxa"/>
          <w:jc w:val="center"/>
        </w:trPr>
        <w:tc>
          <w:tcPr>
            <w:tcW w:w="4876" w:type="pct"/>
            <w:gridSpan w:val="7"/>
            <w:shd w:val="clear" w:color="auto" w:fill="auto"/>
          </w:tcPr>
          <w:p w14:paraId="3C2FF4ED" w14:textId="32E401ED" w:rsidR="00F36F51" w:rsidRPr="001B46CB" w:rsidRDefault="00F36F51" w:rsidP="00F4463A">
            <w:pPr>
              <w:pStyle w:val="ListParagraph"/>
              <w:numPr>
                <w:ilvl w:val="0"/>
                <w:numId w:val="42"/>
              </w:numPr>
              <w:tabs>
                <w:tab w:val="left" w:pos="4515"/>
              </w:tabs>
              <w:spacing w:after="20" w:line="240" w:lineRule="auto"/>
              <w:ind w:left="360" w:right="144"/>
              <w:contextualSpacing w:val="0"/>
              <w:jc w:val="both"/>
              <w:rPr>
                <w:rFonts w:asciiTheme="majorBidi" w:hAnsiTheme="majorBidi" w:cstheme="majorBidi"/>
                <w:b/>
                <w:bCs/>
                <w:color w:val="000000" w:themeColor="text1"/>
                <w:lang w:val="fr-FR"/>
              </w:rPr>
            </w:pPr>
            <w:r w:rsidRPr="001B46CB">
              <w:rPr>
                <w:rFonts w:asciiTheme="majorBidi" w:hAnsiTheme="majorBidi" w:cstheme="majorBidi"/>
                <w:lang w:val="fr-FR"/>
              </w:rPr>
              <w:t>Veuillez informer le Comité des mesures prises ou envisagées par l</w:t>
            </w:r>
            <w:r w:rsidR="00801F15" w:rsidRPr="001B46CB">
              <w:rPr>
                <w:rFonts w:asciiTheme="majorBidi" w:hAnsiTheme="majorBidi" w:cstheme="majorBidi"/>
                <w:lang w:val="fr-FR"/>
              </w:rPr>
              <w:t>’</w:t>
            </w:r>
            <w:r w:rsidRPr="001B46CB">
              <w:rPr>
                <w:rFonts w:asciiTheme="majorBidi" w:hAnsiTheme="majorBidi" w:cstheme="majorBidi"/>
                <w:lang w:val="fr-FR"/>
              </w:rPr>
              <w:t xml:space="preserve">État partie pour modifier son </w:t>
            </w:r>
            <w:r w:rsidR="00527860" w:rsidRPr="001B46CB">
              <w:rPr>
                <w:rFonts w:asciiTheme="majorBidi" w:hAnsiTheme="majorBidi" w:cstheme="majorBidi"/>
                <w:lang w:val="fr-FR"/>
              </w:rPr>
              <w:t>c</w:t>
            </w:r>
            <w:r w:rsidRPr="001B46CB">
              <w:rPr>
                <w:rFonts w:asciiTheme="majorBidi" w:hAnsiTheme="majorBidi" w:cstheme="majorBidi"/>
                <w:lang w:val="fr-FR"/>
              </w:rPr>
              <w:t>ode pénal en vue de dépénaliser l</w:t>
            </w:r>
            <w:r w:rsidR="00801F15" w:rsidRPr="001B46CB">
              <w:rPr>
                <w:rFonts w:asciiTheme="majorBidi" w:hAnsiTheme="majorBidi" w:cstheme="majorBidi"/>
                <w:lang w:val="fr-FR"/>
              </w:rPr>
              <w:t>’</w:t>
            </w:r>
            <w:r w:rsidRPr="001B46CB">
              <w:rPr>
                <w:rFonts w:asciiTheme="majorBidi" w:hAnsiTheme="majorBidi" w:cstheme="majorBidi"/>
                <w:lang w:val="fr-FR"/>
              </w:rPr>
              <w:t>avortement et d</w:t>
            </w:r>
            <w:r w:rsidR="00801F15" w:rsidRPr="001B46CB">
              <w:rPr>
                <w:rFonts w:asciiTheme="majorBidi" w:hAnsiTheme="majorBidi" w:cstheme="majorBidi"/>
                <w:lang w:val="fr-FR"/>
              </w:rPr>
              <w:t>’</w:t>
            </w:r>
            <w:r w:rsidRPr="001B46CB">
              <w:rPr>
                <w:rFonts w:asciiTheme="majorBidi" w:hAnsiTheme="majorBidi" w:cstheme="majorBidi"/>
                <w:lang w:val="fr-FR"/>
              </w:rPr>
              <w:t>élargir les motifs permettant d</w:t>
            </w:r>
            <w:r w:rsidR="00801F15" w:rsidRPr="001B46CB">
              <w:rPr>
                <w:rFonts w:asciiTheme="majorBidi" w:hAnsiTheme="majorBidi" w:cstheme="majorBidi"/>
                <w:lang w:val="fr-FR"/>
              </w:rPr>
              <w:t>’</w:t>
            </w:r>
            <w:r w:rsidRPr="001B46CB">
              <w:rPr>
                <w:rFonts w:asciiTheme="majorBidi" w:hAnsiTheme="majorBidi" w:cstheme="majorBidi"/>
                <w:lang w:val="fr-FR"/>
              </w:rPr>
              <w:t>obtenir un avortement dans des situations autres que celles où la vie de la mère est menacée, pour y inclure en particulier les cas de malformation grave du fœtus et de grossesses dues à un inceste ou un viol (</w:t>
            </w:r>
            <w:hyperlink r:id="rId43" w:history="1">
              <w:r w:rsidRPr="001B46CB">
                <w:rPr>
                  <w:rStyle w:val="Hyperlink"/>
                  <w:rFonts w:asciiTheme="majorBidi" w:hAnsiTheme="majorBidi" w:cstheme="majorBidi"/>
                  <w:lang w:val="fr-FR"/>
                </w:rPr>
                <w:t>CEDAW/C/BHR/CO/3</w:t>
              </w:r>
            </w:hyperlink>
            <w:r w:rsidRPr="001B46CB">
              <w:rPr>
                <w:rFonts w:asciiTheme="majorBidi" w:hAnsiTheme="majorBidi" w:cstheme="majorBidi"/>
                <w:lang w:val="fr-FR"/>
              </w:rPr>
              <w:t xml:space="preserve">, </w:t>
            </w:r>
            <w:r w:rsidR="00CC1C14" w:rsidRPr="001B46CB">
              <w:rPr>
                <w:rFonts w:asciiTheme="majorBidi" w:hAnsiTheme="majorBidi" w:cstheme="majorBidi"/>
                <w:lang w:val="fr-FR"/>
              </w:rPr>
              <w:t>par. </w:t>
            </w:r>
            <w:r w:rsidRPr="001B46CB">
              <w:rPr>
                <w:rFonts w:asciiTheme="majorBidi" w:hAnsiTheme="majorBidi" w:cstheme="majorBidi"/>
                <w:lang w:val="fr-FR"/>
              </w:rPr>
              <w:t>42). Veuillez fournir des données sur les peines imposées aux femmes qui ont subi un avortement au cours de la période considérée. Veuillez également fournir des données, ventilées par âge, nationalité, appartenance ethnique, handicap et milieu (urbain ou rural) concernant les femmes vivant avec le VIH/ sida, ainsi que sur la prévalence des cancers du sein et du col de l</w:t>
            </w:r>
            <w:r w:rsidR="00801F15" w:rsidRPr="001B46CB">
              <w:rPr>
                <w:rFonts w:asciiTheme="majorBidi" w:hAnsiTheme="majorBidi" w:cstheme="majorBidi"/>
                <w:lang w:val="fr-FR"/>
              </w:rPr>
              <w:t>’</w:t>
            </w:r>
            <w:r w:rsidRPr="001B46CB">
              <w:rPr>
                <w:rFonts w:asciiTheme="majorBidi" w:hAnsiTheme="majorBidi" w:cstheme="majorBidi"/>
                <w:lang w:val="fr-FR"/>
              </w:rPr>
              <w:t>utérus. Veuillez informer le Comité des mesures prises pour prévenir la transmission du VIH et d</w:t>
            </w:r>
            <w:r w:rsidR="00801F15" w:rsidRPr="001B46CB">
              <w:rPr>
                <w:rFonts w:asciiTheme="majorBidi" w:hAnsiTheme="majorBidi" w:cstheme="majorBidi"/>
                <w:lang w:val="fr-FR"/>
              </w:rPr>
              <w:t>’</w:t>
            </w:r>
            <w:r w:rsidRPr="001B46CB">
              <w:rPr>
                <w:rFonts w:asciiTheme="majorBidi" w:hAnsiTheme="majorBidi" w:cstheme="majorBidi"/>
                <w:lang w:val="fr-FR"/>
              </w:rPr>
              <w:t>autres maladies sexuellement transmissibles, améliorer l</w:t>
            </w:r>
            <w:r w:rsidR="00801F15" w:rsidRPr="001B46CB">
              <w:rPr>
                <w:rFonts w:asciiTheme="majorBidi" w:hAnsiTheme="majorBidi" w:cstheme="majorBidi"/>
                <w:lang w:val="fr-FR"/>
              </w:rPr>
              <w:t>’</w:t>
            </w:r>
            <w:r w:rsidRPr="001B46CB">
              <w:rPr>
                <w:rFonts w:asciiTheme="majorBidi" w:hAnsiTheme="majorBidi" w:cstheme="majorBidi"/>
                <w:lang w:val="fr-FR"/>
              </w:rPr>
              <w:t>accès des femmes et des filles à l</w:t>
            </w:r>
            <w:r w:rsidR="00801F15" w:rsidRPr="001B46CB">
              <w:rPr>
                <w:rFonts w:asciiTheme="majorBidi" w:hAnsiTheme="majorBidi" w:cstheme="majorBidi"/>
                <w:lang w:val="fr-FR"/>
              </w:rPr>
              <w:t>’</w:t>
            </w:r>
            <w:r w:rsidRPr="001B46CB">
              <w:rPr>
                <w:rFonts w:asciiTheme="majorBidi" w:hAnsiTheme="majorBidi" w:cstheme="majorBidi"/>
                <w:lang w:val="fr-FR"/>
              </w:rPr>
              <w:t>information et aux services dans le domaine de la planification familiale, ainsi qu</w:t>
            </w:r>
            <w:r w:rsidR="00801F15" w:rsidRPr="001B46CB">
              <w:rPr>
                <w:rFonts w:asciiTheme="majorBidi" w:hAnsiTheme="majorBidi" w:cstheme="majorBidi"/>
                <w:lang w:val="fr-FR"/>
              </w:rPr>
              <w:t>’</w:t>
            </w:r>
            <w:r w:rsidRPr="001B46CB">
              <w:rPr>
                <w:rFonts w:asciiTheme="majorBidi" w:hAnsiTheme="majorBidi" w:cstheme="majorBidi"/>
                <w:lang w:val="fr-FR"/>
              </w:rPr>
              <w:t>à la contraception, et intégrer une éducation adaptée à l</w:t>
            </w:r>
            <w:r w:rsidR="00801F15" w:rsidRPr="001B46CB">
              <w:rPr>
                <w:rFonts w:asciiTheme="majorBidi" w:hAnsiTheme="majorBidi" w:cstheme="majorBidi"/>
                <w:lang w:val="fr-FR"/>
              </w:rPr>
              <w:t>’</w:t>
            </w:r>
            <w:r w:rsidRPr="001B46CB">
              <w:rPr>
                <w:rFonts w:asciiTheme="majorBidi" w:hAnsiTheme="majorBidi" w:cstheme="majorBidi"/>
                <w:lang w:val="fr-FR"/>
              </w:rPr>
              <w:t>âge sur la santé et les droits en matière de sexualité et de procréation, y compris sur les comportements sexuels responsables, dans les programmes d</w:t>
            </w:r>
            <w:r w:rsidR="00801F15" w:rsidRPr="001B46CB">
              <w:rPr>
                <w:rFonts w:asciiTheme="majorBidi" w:hAnsiTheme="majorBidi" w:cstheme="majorBidi"/>
                <w:lang w:val="fr-FR"/>
              </w:rPr>
              <w:t>’</w:t>
            </w:r>
            <w:r w:rsidRPr="001B46CB">
              <w:rPr>
                <w:rFonts w:asciiTheme="majorBidi" w:hAnsiTheme="majorBidi" w:cstheme="majorBidi"/>
                <w:lang w:val="fr-FR"/>
              </w:rPr>
              <w:t>enseignement primaire et secondaire en dispensant une formation appropriée aux enseignantes et enseignants. Veuillez fournir des informations sur les centres sportifs mis à disposition des femmes, outre Dar al-Aman, en vue de promouvoir leur santé physique et mentale et indiquer si l</w:t>
            </w:r>
            <w:r w:rsidR="00801F15" w:rsidRPr="001B46CB">
              <w:rPr>
                <w:rFonts w:asciiTheme="majorBidi" w:hAnsiTheme="majorBidi" w:cstheme="majorBidi"/>
                <w:lang w:val="fr-FR"/>
              </w:rPr>
              <w:t>’</w:t>
            </w:r>
            <w:r w:rsidRPr="001B46CB">
              <w:rPr>
                <w:rFonts w:asciiTheme="majorBidi" w:hAnsiTheme="majorBidi" w:cstheme="majorBidi"/>
                <w:lang w:val="fr-FR"/>
              </w:rPr>
              <w:t>État partie encourage les équipes sportives nationales féminines.</w:t>
            </w:r>
          </w:p>
        </w:tc>
      </w:tr>
      <w:tr w:rsidR="00F36F51" w:rsidRPr="001B46CB" w14:paraId="2C837B4D" w14:textId="77777777" w:rsidTr="00767A10">
        <w:trPr>
          <w:gridAfter w:val="1"/>
          <w:wAfter w:w="63" w:type="pct"/>
          <w:tblCellSpacing w:w="20" w:type="dxa"/>
          <w:jc w:val="center"/>
        </w:trPr>
        <w:tc>
          <w:tcPr>
            <w:tcW w:w="4876" w:type="pct"/>
            <w:gridSpan w:val="7"/>
            <w:shd w:val="clear" w:color="auto" w:fill="C4BC96" w:themeFill="background2" w:themeFillShade="BF"/>
          </w:tcPr>
          <w:p w14:paraId="5FB13678" w14:textId="77777777" w:rsidR="00F36F51" w:rsidRPr="001B46CB" w:rsidRDefault="00F36F51" w:rsidP="00767A10">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Réponse</w:t>
            </w:r>
          </w:p>
        </w:tc>
      </w:tr>
      <w:tr w:rsidR="00F36F51" w:rsidRPr="001B46CB" w14:paraId="62B0226A" w14:textId="77777777" w:rsidTr="00767A10">
        <w:trPr>
          <w:gridAfter w:val="1"/>
          <w:wAfter w:w="63" w:type="pct"/>
          <w:tblCellSpacing w:w="20" w:type="dxa"/>
          <w:jc w:val="center"/>
        </w:trPr>
        <w:tc>
          <w:tcPr>
            <w:tcW w:w="4876" w:type="pct"/>
            <w:gridSpan w:val="7"/>
            <w:shd w:val="clear" w:color="auto" w:fill="auto"/>
            <w:vAlign w:val="center"/>
          </w:tcPr>
          <w:p w14:paraId="4B1E0D6B" w14:textId="45EACAEE" w:rsidR="00F36F51" w:rsidRPr="001B46CB" w:rsidRDefault="00F36F51" w:rsidP="00F4463A">
            <w:pPr>
              <w:pStyle w:val="ListParagraph"/>
              <w:numPr>
                <w:ilvl w:val="0"/>
                <w:numId w:val="43"/>
              </w:numPr>
              <w:spacing w:after="200" w:line="240" w:lineRule="auto"/>
              <w:ind w:left="360" w:right="144"/>
              <w:jc w:val="both"/>
              <w:rPr>
                <w:rFonts w:asciiTheme="majorBidi" w:hAnsiTheme="majorBidi" w:cstheme="majorBidi"/>
                <w:lang w:val="fr-FR"/>
              </w:rPr>
            </w:pPr>
            <w:r w:rsidRPr="001B46CB">
              <w:rPr>
                <w:rFonts w:asciiTheme="majorBidi" w:hAnsiTheme="majorBidi" w:cstheme="majorBidi"/>
                <w:lang w:val="fr-FR"/>
              </w:rPr>
              <w:t>Bahreïn réaffirme la teneur du paragraphe 193 de son quatrième rapport périodique, dans lequel il est indiqué qu</w:t>
            </w:r>
            <w:r w:rsidR="00801F15" w:rsidRPr="001B46CB">
              <w:rPr>
                <w:rFonts w:asciiTheme="majorBidi" w:hAnsiTheme="majorBidi" w:cstheme="majorBidi"/>
                <w:lang w:val="fr-FR"/>
              </w:rPr>
              <w:t>’</w:t>
            </w:r>
            <w:r w:rsidRPr="001B46CB">
              <w:rPr>
                <w:rFonts w:asciiTheme="majorBidi" w:hAnsiTheme="majorBidi" w:cstheme="majorBidi"/>
                <w:lang w:val="fr-FR"/>
              </w:rPr>
              <w:t>en application des articles 321 à 323 du Code pénal, l</w:t>
            </w:r>
            <w:r w:rsidR="00801F15" w:rsidRPr="001B46CB">
              <w:rPr>
                <w:rFonts w:asciiTheme="majorBidi" w:hAnsiTheme="majorBidi" w:cstheme="majorBidi"/>
                <w:lang w:val="fr-FR"/>
              </w:rPr>
              <w:t>’</w:t>
            </w:r>
            <w:r w:rsidRPr="001B46CB">
              <w:rPr>
                <w:rFonts w:asciiTheme="majorBidi" w:hAnsiTheme="majorBidi" w:cstheme="majorBidi"/>
                <w:lang w:val="fr-FR"/>
              </w:rPr>
              <w:t>avortement sous contrôle médical est autorisé dans des cas précis. Les règlements régissant la profession médicale permettent de procéder à un avortement, lorsqu</w:t>
            </w:r>
            <w:r w:rsidR="00801F15" w:rsidRPr="001B46CB">
              <w:rPr>
                <w:rFonts w:asciiTheme="majorBidi" w:hAnsiTheme="majorBidi" w:cstheme="majorBidi"/>
                <w:lang w:val="fr-FR"/>
              </w:rPr>
              <w:t>’</w:t>
            </w:r>
            <w:r w:rsidRPr="001B46CB">
              <w:rPr>
                <w:rFonts w:asciiTheme="majorBidi" w:hAnsiTheme="majorBidi" w:cstheme="majorBidi"/>
                <w:lang w:val="fr-FR"/>
              </w:rPr>
              <w:t xml:space="preserve">une telle intervention est nécessaire pour sauver la vie de la femme concernée. Aux </w:t>
            </w:r>
            <w:r w:rsidRPr="001B46CB">
              <w:rPr>
                <w:rFonts w:asciiTheme="majorBidi" w:hAnsiTheme="majorBidi" w:cstheme="majorBidi"/>
                <w:lang w:val="fr-FR"/>
              </w:rPr>
              <w:lastRenderedPageBreak/>
              <w:t>termes de l</w:t>
            </w:r>
            <w:r w:rsidR="00801F15" w:rsidRPr="001B46CB">
              <w:rPr>
                <w:rFonts w:asciiTheme="majorBidi" w:hAnsiTheme="majorBidi" w:cstheme="majorBidi"/>
                <w:lang w:val="fr-FR"/>
              </w:rPr>
              <w:t>’</w:t>
            </w:r>
            <w:r w:rsidRPr="001B46CB">
              <w:rPr>
                <w:rFonts w:asciiTheme="majorBidi" w:hAnsiTheme="majorBidi" w:cstheme="majorBidi"/>
                <w:lang w:val="fr-FR"/>
              </w:rPr>
              <w:t>article 321, «</w:t>
            </w:r>
            <w:r w:rsidR="00221A48" w:rsidRPr="001B46CB">
              <w:rPr>
                <w:rFonts w:asciiTheme="majorBidi" w:hAnsiTheme="majorBidi" w:cstheme="majorBidi"/>
                <w:lang w:val="fr-FR"/>
              </w:rPr>
              <w:t> </w:t>
            </w:r>
            <w:r w:rsidRPr="001B46CB">
              <w:rPr>
                <w:rFonts w:asciiTheme="majorBidi" w:hAnsiTheme="majorBidi" w:cstheme="majorBidi"/>
                <w:lang w:val="fr-FR"/>
              </w:rPr>
              <w:t>Toute femme qui se fait avorter sans y être conseillée par un médecin sera punie d</w:t>
            </w:r>
            <w:r w:rsidR="00801F15" w:rsidRPr="001B46CB">
              <w:rPr>
                <w:rFonts w:asciiTheme="majorBidi" w:hAnsiTheme="majorBidi" w:cstheme="majorBidi"/>
                <w:lang w:val="fr-FR"/>
              </w:rPr>
              <w:t>’</w:t>
            </w:r>
            <w:r w:rsidRPr="001B46CB">
              <w:rPr>
                <w:rFonts w:asciiTheme="majorBidi" w:hAnsiTheme="majorBidi" w:cstheme="majorBidi"/>
                <w:lang w:val="fr-FR"/>
              </w:rPr>
              <w:t>une peine d</w:t>
            </w:r>
            <w:r w:rsidR="00801F15" w:rsidRPr="001B46CB">
              <w:rPr>
                <w:rFonts w:asciiTheme="majorBidi" w:hAnsiTheme="majorBidi" w:cstheme="majorBidi"/>
                <w:lang w:val="fr-FR"/>
              </w:rPr>
              <w:t>’</w:t>
            </w:r>
            <w:r w:rsidRPr="001B46CB">
              <w:rPr>
                <w:rFonts w:asciiTheme="majorBidi" w:hAnsiTheme="majorBidi" w:cstheme="majorBidi"/>
                <w:lang w:val="fr-FR"/>
              </w:rPr>
              <w:t>emprisonnement maximale de six mois ou d</w:t>
            </w:r>
            <w:r w:rsidR="00801F15" w:rsidRPr="001B46CB">
              <w:rPr>
                <w:rFonts w:asciiTheme="majorBidi" w:hAnsiTheme="majorBidi" w:cstheme="majorBidi"/>
                <w:lang w:val="fr-FR"/>
              </w:rPr>
              <w:t>’</w:t>
            </w:r>
            <w:r w:rsidRPr="001B46CB">
              <w:rPr>
                <w:rFonts w:asciiTheme="majorBidi" w:hAnsiTheme="majorBidi" w:cstheme="majorBidi"/>
                <w:lang w:val="fr-FR"/>
              </w:rPr>
              <w:t>une amende n</w:t>
            </w:r>
            <w:r w:rsidR="00801F15" w:rsidRPr="001B46CB">
              <w:rPr>
                <w:rFonts w:asciiTheme="majorBidi" w:hAnsiTheme="majorBidi" w:cstheme="majorBidi"/>
                <w:lang w:val="fr-FR"/>
              </w:rPr>
              <w:t>’</w:t>
            </w:r>
            <w:r w:rsidRPr="001B46CB">
              <w:rPr>
                <w:rFonts w:asciiTheme="majorBidi" w:hAnsiTheme="majorBidi" w:cstheme="majorBidi"/>
                <w:lang w:val="fr-FR"/>
              </w:rPr>
              <w:t>excédant pas 50 dinars</w:t>
            </w:r>
            <w:r w:rsidR="00221A48" w:rsidRPr="001B46CB">
              <w:rPr>
                <w:rFonts w:asciiTheme="majorBidi" w:hAnsiTheme="majorBidi" w:cstheme="majorBidi"/>
                <w:lang w:val="fr-FR"/>
              </w:rPr>
              <w:t> </w:t>
            </w:r>
            <w:r w:rsidRPr="001B46CB">
              <w:rPr>
                <w:rFonts w:asciiTheme="majorBidi" w:hAnsiTheme="majorBidi" w:cstheme="majorBidi"/>
                <w:lang w:val="fr-FR"/>
              </w:rPr>
              <w:t>».</w:t>
            </w:r>
          </w:p>
          <w:p w14:paraId="5AF5908B" w14:textId="3BBF3410" w:rsidR="00F36F51" w:rsidRPr="001B46CB" w:rsidRDefault="00F36F51" w:rsidP="00F4463A">
            <w:pPr>
              <w:pStyle w:val="ListParagraph"/>
              <w:numPr>
                <w:ilvl w:val="0"/>
                <w:numId w:val="43"/>
              </w:numPr>
              <w:spacing w:after="20" w:line="240" w:lineRule="auto"/>
              <w:ind w:left="360" w:right="144"/>
              <w:contextualSpacing w:val="0"/>
              <w:jc w:val="both"/>
              <w:rPr>
                <w:rFonts w:asciiTheme="majorBidi" w:hAnsiTheme="majorBidi" w:cstheme="majorBidi"/>
                <w:color w:val="000000" w:themeColor="text1"/>
                <w:lang w:val="fr-FR"/>
              </w:rPr>
            </w:pPr>
            <w:r w:rsidRPr="001B46CB">
              <w:rPr>
                <w:rFonts w:asciiTheme="majorBidi" w:hAnsiTheme="majorBidi" w:cstheme="majorBidi"/>
                <w:lang w:val="fr-FR"/>
              </w:rPr>
              <w:t>Aux termes de l</w:t>
            </w:r>
            <w:r w:rsidR="00801F15" w:rsidRPr="001B46CB">
              <w:rPr>
                <w:rFonts w:asciiTheme="majorBidi" w:hAnsiTheme="majorBidi" w:cstheme="majorBidi"/>
                <w:lang w:val="fr-FR"/>
              </w:rPr>
              <w:t>’</w:t>
            </w:r>
            <w:r w:rsidRPr="001B46CB">
              <w:rPr>
                <w:rFonts w:asciiTheme="majorBidi" w:hAnsiTheme="majorBidi" w:cstheme="majorBidi"/>
                <w:lang w:val="fr-FR"/>
              </w:rPr>
              <w:t>article 322, «</w:t>
            </w:r>
            <w:r w:rsidR="00221A48" w:rsidRPr="001B46CB">
              <w:rPr>
                <w:rFonts w:asciiTheme="majorBidi" w:hAnsiTheme="majorBidi" w:cstheme="majorBidi"/>
                <w:lang w:val="fr-FR"/>
              </w:rPr>
              <w:t> </w:t>
            </w:r>
            <w:r w:rsidRPr="001B46CB">
              <w:rPr>
                <w:rFonts w:asciiTheme="majorBidi" w:hAnsiTheme="majorBidi" w:cstheme="majorBidi"/>
                <w:lang w:val="fr-FR"/>
              </w:rPr>
              <w:t>Quiconque fait avorter une femme sans son consentement sera puni d</w:t>
            </w:r>
            <w:r w:rsidR="00801F15" w:rsidRPr="001B46CB">
              <w:rPr>
                <w:rFonts w:asciiTheme="majorBidi" w:hAnsiTheme="majorBidi" w:cstheme="majorBidi"/>
                <w:lang w:val="fr-FR"/>
              </w:rPr>
              <w:t>’</w:t>
            </w:r>
            <w:r w:rsidRPr="001B46CB">
              <w:rPr>
                <w:rFonts w:asciiTheme="majorBidi" w:hAnsiTheme="majorBidi" w:cstheme="majorBidi"/>
                <w:lang w:val="fr-FR"/>
              </w:rPr>
              <w:t>une peine d</w:t>
            </w:r>
            <w:r w:rsidR="00801F15" w:rsidRPr="001B46CB">
              <w:rPr>
                <w:rFonts w:asciiTheme="majorBidi" w:hAnsiTheme="majorBidi" w:cstheme="majorBidi"/>
                <w:lang w:val="fr-FR"/>
              </w:rPr>
              <w:t>’</w:t>
            </w:r>
            <w:r w:rsidRPr="001B46CB">
              <w:rPr>
                <w:rFonts w:asciiTheme="majorBidi" w:hAnsiTheme="majorBidi" w:cstheme="majorBidi"/>
                <w:lang w:val="fr-FR"/>
              </w:rPr>
              <w:t>emprisonnement maximale de dix ans. L</w:t>
            </w:r>
            <w:r w:rsidR="00801F15" w:rsidRPr="001B46CB">
              <w:rPr>
                <w:rFonts w:asciiTheme="majorBidi" w:hAnsiTheme="majorBidi" w:cstheme="majorBidi"/>
                <w:lang w:val="fr-FR"/>
              </w:rPr>
              <w:t>’</w:t>
            </w:r>
            <w:r w:rsidRPr="001B46CB">
              <w:rPr>
                <w:rFonts w:asciiTheme="majorBidi" w:hAnsiTheme="majorBidi" w:cstheme="majorBidi"/>
                <w:lang w:val="fr-FR"/>
              </w:rPr>
              <w:t>emprisonnement est également prévu si la victime décède des conséquences directes de l</w:t>
            </w:r>
            <w:r w:rsidR="00801F15" w:rsidRPr="001B46CB">
              <w:rPr>
                <w:rFonts w:asciiTheme="majorBidi" w:hAnsiTheme="majorBidi" w:cstheme="majorBidi"/>
                <w:lang w:val="fr-FR"/>
              </w:rPr>
              <w:t>’</w:t>
            </w:r>
            <w:r w:rsidRPr="001B46CB">
              <w:rPr>
                <w:rFonts w:asciiTheme="majorBidi" w:hAnsiTheme="majorBidi" w:cstheme="majorBidi"/>
                <w:lang w:val="fr-FR"/>
              </w:rPr>
              <w:t>avortement</w:t>
            </w:r>
            <w:r w:rsidR="00221A48" w:rsidRPr="001B46CB">
              <w:rPr>
                <w:rFonts w:asciiTheme="majorBidi" w:hAnsiTheme="majorBidi" w:cstheme="majorBidi"/>
                <w:lang w:val="fr-FR"/>
              </w:rPr>
              <w:t> </w:t>
            </w:r>
            <w:r w:rsidRPr="001B46CB">
              <w:rPr>
                <w:rFonts w:asciiTheme="majorBidi" w:hAnsiTheme="majorBidi" w:cstheme="majorBidi"/>
                <w:lang w:val="fr-FR"/>
              </w:rPr>
              <w:t>». Aux termes de l</w:t>
            </w:r>
            <w:r w:rsidR="00801F15" w:rsidRPr="001B46CB">
              <w:rPr>
                <w:rFonts w:asciiTheme="majorBidi" w:hAnsiTheme="majorBidi" w:cstheme="majorBidi"/>
                <w:lang w:val="fr-FR"/>
              </w:rPr>
              <w:t>’</w:t>
            </w:r>
            <w:r w:rsidRPr="001B46CB">
              <w:rPr>
                <w:rFonts w:asciiTheme="majorBidi" w:hAnsiTheme="majorBidi" w:cstheme="majorBidi"/>
                <w:lang w:val="fr-FR"/>
              </w:rPr>
              <w:t>article 323, «</w:t>
            </w:r>
            <w:r w:rsidR="00221A48" w:rsidRPr="001B46CB">
              <w:rPr>
                <w:rFonts w:asciiTheme="majorBidi" w:hAnsiTheme="majorBidi" w:cstheme="majorBidi"/>
                <w:lang w:val="fr-FR"/>
              </w:rPr>
              <w:t> </w:t>
            </w:r>
            <w:r w:rsidRPr="001B46CB">
              <w:rPr>
                <w:rFonts w:asciiTheme="majorBidi" w:hAnsiTheme="majorBidi" w:cstheme="majorBidi"/>
                <w:lang w:val="fr-FR"/>
              </w:rPr>
              <w:t>La tentative d</w:t>
            </w:r>
            <w:r w:rsidR="00801F15" w:rsidRPr="001B46CB">
              <w:rPr>
                <w:rFonts w:asciiTheme="majorBidi" w:hAnsiTheme="majorBidi" w:cstheme="majorBidi"/>
                <w:lang w:val="fr-FR"/>
              </w:rPr>
              <w:t>’</w:t>
            </w:r>
            <w:r w:rsidRPr="001B46CB">
              <w:rPr>
                <w:rFonts w:asciiTheme="majorBidi" w:hAnsiTheme="majorBidi" w:cstheme="majorBidi"/>
                <w:lang w:val="fr-FR"/>
              </w:rPr>
              <w:t>avortement n</w:t>
            </w:r>
            <w:r w:rsidR="00801F15" w:rsidRPr="001B46CB">
              <w:rPr>
                <w:rFonts w:asciiTheme="majorBidi" w:hAnsiTheme="majorBidi" w:cstheme="majorBidi"/>
                <w:lang w:val="fr-FR"/>
              </w:rPr>
              <w:t>’</w:t>
            </w:r>
            <w:r w:rsidRPr="001B46CB">
              <w:rPr>
                <w:rFonts w:asciiTheme="majorBidi" w:hAnsiTheme="majorBidi" w:cstheme="majorBidi"/>
                <w:lang w:val="fr-FR"/>
              </w:rPr>
              <w:t>est passible d</w:t>
            </w:r>
            <w:r w:rsidR="00801F15" w:rsidRPr="001B46CB">
              <w:rPr>
                <w:rFonts w:asciiTheme="majorBidi" w:hAnsiTheme="majorBidi" w:cstheme="majorBidi"/>
                <w:lang w:val="fr-FR"/>
              </w:rPr>
              <w:t>’</w:t>
            </w:r>
            <w:r w:rsidRPr="001B46CB">
              <w:rPr>
                <w:rFonts w:asciiTheme="majorBidi" w:hAnsiTheme="majorBidi" w:cstheme="majorBidi"/>
                <w:lang w:val="fr-FR"/>
              </w:rPr>
              <w:t>aucune peine</w:t>
            </w:r>
            <w:r w:rsidR="00221A48" w:rsidRPr="001B46CB">
              <w:rPr>
                <w:rFonts w:asciiTheme="majorBidi" w:hAnsiTheme="majorBidi" w:cstheme="majorBidi"/>
                <w:lang w:val="fr-FR"/>
              </w:rPr>
              <w:t> </w:t>
            </w:r>
            <w:r w:rsidRPr="001B46CB">
              <w:rPr>
                <w:rFonts w:asciiTheme="majorBidi" w:hAnsiTheme="majorBidi" w:cstheme="majorBidi"/>
                <w:lang w:val="fr-FR"/>
              </w:rPr>
              <w:t>».</w:t>
            </w:r>
          </w:p>
          <w:p w14:paraId="19B71A10" w14:textId="5F26DF58" w:rsidR="00F36F51" w:rsidRPr="001B46CB" w:rsidRDefault="00F36F51" w:rsidP="00F4463A">
            <w:pPr>
              <w:pStyle w:val="ListParagraph"/>
              <w:numPr>
                <w:ilvl w:val="0"/>
                <w:numId w:val="43"/>
              </w:numPr>
              <w:spacing w:after="200" w:line="240" w:lineRule="auto"/>
              <w:ind w:left="360" w:right="144"/>
              <w:jc w:val="both"/>
              <w:rPr>
                <w:rFonts w:asciiTheme="majorBidi" w:hAnsiTheme="majorBidi" w:cstheme="majorBidi"/>
                <w:lang w:val="fr-FR"/>
              </w:rPr>
            </w:pPr>
            <w:r w:rsidRPr="001B46CB">
              <w:rPr>
                <w:rFonts w:asciiTheme="majorBidi" w:hAnsiTheme="majorBidi" w:cstheme="majorBidi"/>
                <w:lang w:val="fr-FR"/>
              </w:rPr>
              <w:t>Le Ministère de la santé s</w:t>
            </w:r>
            <w:r w:rsidR="00801F15" w:rsidRPr="001B46CB">
              <w:rPr>
                <w:rFonts w:asciiTheme="majorBidi" w:hAnsiTheme="majorBidi" w:cstheme="majorBidi"/>
                <w:lang w:val="fr-FR"/>
              </w:rPr>
              <w:t>’</w:t>
            </w:r>
            <w:r w:rsidRPr="001B46CB">
              <w:rPr>
                <w:rFonts w:asciiTheme="majorBidi" w:hAnsiTheme="majorBidi" w:cstheme="majorBidi"/>
                <w:lang w:val="fr-FR"/>
              </w:rPr>
              <w:t>emploie à sensibiliser les membres de la société aux maladies contagieuses et à leur faire connaître les services ayant trait à la planification familiale et à la contraception.</w:t>
            </w:r>
          </w:p>
          <w:p w14:paraId="206F8B11" w14:textId="77777777" w:rsidR="00F36F51" w:rsidRPr="001B46CB" w:rsidRDefault="00F36F51" w:rsidP="00F4463A">
            <w:pPr>
              <w:pStyle w:val="ListParagraph"/>
              <w:numPr>
                <w:ilvl w:val="0"/>
                <w:numId w:val="43"/>
              </w:numPr>
              <w:spacing w:after="200" w:line="240" w:lineRule="auto"/>
              <w:ind w:left="360" w:right="144"/>
              <w:jc w:val="both"/>
              <w:rPr>
                <w:rFonts w:asciiTheme="majorBidi" w:hAnsiTheme="majorBidi" w:cstheme="majorBidi"/>
                <w:lang w:val="fr-FR"/>
              </w:rPr>
            </w:pPr>
            <w:r w:rsidRPr="001B46CB">
              <w:rPr>
                <w:rFonts w:asciiTheme="majorBidi" w:hAnsiTheme="majorBidi" w:cstheme="majorBidi"/>
                <w:lang w:val="fr-FR"/>
              </w:rPr>
              <w:t>Bahreïn réaffirme la teneur du paragraphe 113 de son quatrième rapport périodique concernant les services fournis à Dar el-Aman, qui a notamment ouvert un club sportif contribuant à améliorer la santé des femmes.</w:t>
            </w:r>
          </w:p>
          <w:p w14:paraId="694CDD0E" w14:textId="77777777" w:rsidR="00801F15" w:rsidRPr="001B46CB" w:rsidRDefault="00F36F51" w:rsidP="00F4463A">
            <w:pPr>
              <w:pStyle w:val="ListParagraph"/>
              <w:numPr>
                <w:ilvl w:val="0"/>
                <w:numId w:val="43"/>
              </w:numPr>
              <w:spacing w:after="200" w:line="240" w:lineRule="auto"/>
              <w:ind w:left="360" w:right="144"/>
              <w:jc w:val="both"/>
              <w:rPr>
                <w:rFonts w:asciiTheme="majorBidi" w:hAnsiTheme="majorBidi" w:cstheme="majorBidi"/>
                <w:lang w:val="fr-FR"/>
              </w:rPr>
            </w:pPr>
            <w:r w:rsidRPr="001B46CB">
              <w:rPr>
                <w:rFonts w:asciiTheme="majorBidi" w:hAnsiTheme="majorBidi" w:cstheme="majorBidi"/>
                <w:lang w:val="fr-FR"/>
              </w:rPr>
              <w:t>L</w:t>
            </w:r>
            <w:r w:rsidR="00801F15" w:rsidRPr="001B46CB">
              <w:rPr>
                <w:rFonts w:asciiTheme="majorBidi" w:hAnsiTheme="majorBidi" w:cstheme="majorBidi"/>
                <w:lang w:val="fr-FR"/>
              </w:rPr>
              <w:t>’</w:t>
            </w:r>
            <w:r w:rsidRPr="001B46CB">
              <w:rPr>
                <w:rFonts w:asciiTheme="majorBidi" w:hAnsiTheme="majorBidi" w:cstheme="majorBidi"/>
                <w:lang w:val="fr-FR"/>
              </w:rPr>
              <w:t>arrêté du Premier Ministre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20 de 1995 a porté création du Comité national de prévention du syndrome d</w:t>
            </w:r>
            <w:r w:rsidR="00801F15" w:rsidRPr="001B46CB">
              <w:rPr>
                <w:rFonts w:asciiTheme="majorBidi" w:hAnsiTheme="majorBidi" w:cstheme="majorBidi"/>
                <w:lang w:val="fr-FR"/>
              </w:rPr>
              <w:t>’</w:t>
            </w:r>
            <w:r w:rsidRPr="001B46CB">
              <w:rPr>
                <w:rFonts w:asciiTheme="majorBidi" w:hAnsiTheme="majorBidi" w:cstheme="majorBidi"/>
                <w:lang w:val="fr-FR"/>
              </w:rPr>
              <w:t>immunodéficience acquise (sida). Le Comité, dont le mandat est défini dans l</w:t>
            </w:r>
            <w:r w:rsidR="00801F15" w:rsidRPr="001B46CB">
              <w:rPr>
                <w:rFonts w:asciiTheme="majorBidi" w:hAnsiTheme="majorBidi" w:cstheme="majorBidi"/>
                <w:lang w:val="fr-FR"/>
              </w:rPr>
              <w:t>’</w:t>
            </w:r>
            <w:r w:rsidRPr="001B46CB">
              <w:rPr>
                <w:rFonts w:asciiTheme="majorBidi" w:hAnsiTheme="majorBidi" w:cstheme="majorBidi"/>
                <w:lang w:val="fr-FR"/>
              </w:rPr>
              <w:t>arrêté,</w:t>
            </w:r>
            <w:r w:rsidR="00801F15" w:rsidRPr="001B46CB">
              <w:rPr>
                <w:rFonts w:asciiTheme="majorBidi" w:hAnsiTheme="majorBidi" w:cstheme="majorBidi"/>
                <w:lang w:val="fr-FR"/>
              </w:rPr>
              <w:t xml:space="preserve"> </w:t>
            </w:r>
            <w:r w:rsidRPr="001B46CB">
              <w:rPr>
                <w:rFonts w:asciiTheme="majorBidi" w:hAnsiTheme="majorBidi" w:cstheme="majorBidi"/>
                <w:lang w:val="fr-FR"/>
              </w:rPr>
              <w:t>a notamment pour mission d</w:t>
            </w:r>
            <w:r w:rsidR="00801F15" w:rsidRPr="001B46CB">
              <w:rPr>
                <w:rFonts w:asciiTheme="majorBidi" w:hAnsiTheme="majorBidi" w:cstheme="majorBidi"/>
                <w:lang w:val="fr-FR"/>
              </w:rPr>
              <w:t>’</w:t>
            </w:r>
            <w:r w:rsidRPr="001B46CB">
              <w:rPr>
                <w:rFonts w:asciiTheme="majorBidi" w:hAnsiTheme="majorBidi" w:cstheme="majorBidi"/>
                <w:lang w:val="fr-FR"/>
              </w:rPr>
              <w:t>élaborer une stratégie générale visant à prévenir la transmission du virus parmi l</w:t>
            </w:r>
            <w:r w:rsidR="00801F15" w:rsidRPr="001B46CB">
              <w:rPr>
                <w:rFonts w:asciiTheme="majorBidi" w:hAnsiTheme="majorBidi" w:cstheme="majorBidi"/>
                <w:lang w:val="fr-FR"/>
              </w:rPr>
              <w:t>’</w:t>
            </w:r>
            <w:r w:rsidRPr="001B46CB">
              <w:rPr>
                <w:rFonts w:asciiTheme="majorBidi" w:hAnsiTheme="majorBidi" w:cstheme="majorBidi"/>
                <w:lang w:val="fr-FR"/>
              </w:rPr>
              <w:t>ensemble de la population, y compris les femmes, et de mettre en place des programmes de sensibilisation de la société à cette maladie et d</w:t>
            </w:r>
            <w:r w:rsidR="00801F15" w:rsidRPr="001B46CB">
              <w:rPr>
                <w:rFonts w:asciiTheme="majorBidi" w:hAnsiTheme="majorBidi" w:cstheme="majorBidi"/>
                <w:lang w:val="fr-FR"/>
              </w:rPr>
              <w:t>’</w:t>
            </w:r>
            <w:r w:rsidRPr="001B46CB">
              <w:rPr>
                <w:rFonts w:asciiTheme="majorBidi" w:hAnsiTheme="majorBidi" w:cstheme="majorBidi"/>
                <w:lang w:val="fr-FR"/>
              </w:rPr>
              <w:t>information sur les modes de transmission du virus et les moyens de la prévenir. Le Comité a fait l</w:t>
            </w:r>
            <w:r w:rsidR="00801F15" w:rsidRPr="001B46CB">
              <w:rPr>
                <w:rFonts w:asciiTheme="majorBidi" w:hAnsiTheme="majorBidi" w:cstheme="majorBidi"/>
                <w:lang w:val="fr-FR"/>
              </w:rPr>
              <w:t>’</w:t>
            </w:r>
            <w:r w:rsidRPr="001B46CB">
              <w:rPr>
                <w:rFonts w:asciiTheme="majorBidi" w:hAnsiTheme="majorBidi" w:cstheme="majorBidi"/>
                <w:lang w:val="fr-FR"/>
              </w:rPr>
              <w:t>objet d</w:t>
            </w:r>
            <w:r w:rsidR="00801F15" w:rsidRPr="001B46CB">
              <w:rPr>
                <w:rFonts w:asciiTheme="majorBidi" w:hAnsiTheme="majorBidi" w:cstheme="majorBidi"/>
                <w:lang w:val="fr-FR"/>
              </w:rPr>
              <w:t>’</w:t>
            </w:r>
            <w:r w:rsidRPr="001B46CB">
              <w:rPr>
                <w:rFonts w:asciiTheme="majorBidi" w:hAnsiTheme="majorBidi" w:cstheme="majorBidi"/>
                <w:lang w:val="fr-FR"/>
              </w:rPr>
              <w:t>une restructuration plus d</w:t>
            </w:r>
            <w:r w:rsidR="00801F15" w:rsidRPr="001B46CB">
              <w:rPr>
                <w:rFonts w:asciiTheme="majorBidi" w:hAnsiTheme="majorBidi" w:cstheme="majorBidi"/>
                <w:lang w:val="fr-FR"/>
              </w:rPr>
              <w:t>’</w:t>
            </w:r>
            <w:r w:rsidRPr="001B46CB">
              <w:rPr>
                <w:rFonts w:asciiTheme="majorBidi" w:hAnsiTheme="majorBidi" w:cstheme="majorBidi"/>
                <w:lang w:val="fr-FR"/>
              </w:rPr>
              <w:t>une fois afin qu</w:t>
            </w:r>
            <w:r w:rsidR="00801F15" w:rsidRPr="001B46CB">
              <w:rPr>
                <w:rFonts w:asciiTheme="majorBidi" w:hAnsiTheme="majorBidi" w:cstheme="majorBidi"/>
                <w:lang w:val="fr-FR"/>
              </w:rPr>
              <w:t>’</w:t>
            </w:r>
            <w:r w:rsidRPr="001B46CB">
              <w:rPr>
                <w:rFonts w:asciiTheme="majorBidi" w:hAnsiTheme="majorBidi" w:cstheme="majorBidi"/>
                <w:lang w:val="fr-FR"/>
              </w:rPr>
              <w:t>il puisse exécuter le mandat défini dans l</w:t>
            </w:r>
            <w:r w:rsidR="00801F15" w:rsidRPr="001B46CB">
              <w:rPr>
                <w:rFonts w:asciiTheme="majorBidi" w:hAnsiTheme="majorBidi" w:cstheme="majorBidi"/>
                <w:lang w:val="fr-FR"/>
              </w:rPr>
              <w:t>’</w:t>
            </w:r>
            <w:r w:rsidRPr="001B46CB">
              <w:rPr>
                <w:rFonts w:asciiTheme="majorBidi" w:hAnsiTheme="majorBidi" w:cstheme="majorBidi"/>
                <w:lang w:val="fr-FR"/>
              </w:rPr>
              <w:t>arrêté par lequel il a été créé.</w:t>
            </w:r>
          </w:p>
          <w:p w14:paraId="3AA14E4E" w14:textId="313D20F5" w:rsidR="00F36F51" w:rsidRPr="001B46CB" w:rsidRDefault="00F36F51" w:rsidP="00F4463A">
            <w:pPr>
              <w:pStyle w:val="ListParagraph"/>
              <w:numPr>
                <w:ilvl w:val="0"/>
                <w:numId w:val="43"/>
              </w:numPr>
              <w:spacing w:after="200"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La 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1 de 2017 sur la prévention du syndrome d</w:t>
            </w:r>
            <w:r w:rsidR="00801F15" w:rsidRPr="001B46CB">
              <w:rPr>
                <w:rFonts w:asciiTheme="majorBidi" w:hAnsiTheme="majorBidi" w:cstheme="majorBidi"/>
                <w:lang w:val="fr-FR"/>
              </w:rPr>
              <w:t>’</w:t>
            </w:r>
            <w:r w:rsidRPr="001B46CB">
              <w:rPr>
                <w:rFonts w:asciiTheme="majorBidi" w:hAnsiTheme="majorBidi" w:cstheme="majorBidi"/>
                <w:lang w:val="fr-FR"/>
              </w:rPr>
              <w:t>immunodéficience acquise (sida) et la protection des personnes vivant avec le sida a été promulguée. Les droits des personnes vivant avec le VIH/sida sont énoncés aux articles 2 à 12 de la section II de la loi, interdisant</w:t>
            </w:r>
            <w:r w:rsidR="00801F15" w:rsidRPr="001B46CB">
              <w:rPr>
                <w:rFonts w:asciiTheme="majorBidi" w:hAnsiTheme="majorBidi" w:cstheme="majorBidi"/>
                <w:lang w:val="fr-FR"/>
              </w:rPr>
              <w:t xml:space="preserve"> </w:t>
            </w:r>
            <w:r w:rsidRPr="001B46CB">
              <w:rPr>
                <w:rFonts w:asciiTheme="majorBidi" w:hAnsiTheme="majorBidi" w:cstheme="majorBidi"/>
                <w:lang w:val="fr-FR"/>
              </w:rPr>
              <w:t>tout acte ou refus discriminatoire à l</w:t>
            </w:r>
            <w:r w:rsidR="00801F15" w:rsidRPr="001B46CB">
              <w:rPr>
                <w:rFonts w:asciiTheme="majorBidi" w:hAnsiTheme="majorBidi" w:cstheme="majorBidi"/>
                <w:lang w:val="fr-FR"/>
              </w:rPr>
              <w:t>’</w:t>
            </w:r>
            <w:r w:rsidRPr="001B46CB">
              <w:rPr>
                <w:rFonts w:asciiTheme="majorBidi" w:hAnsiTheme="majorBidi" w:cstheme="majorBidi"/>
                <w:lang w:val="fr-FR"/>
              </w:rPr>
              <w:t>égard d</w:t>
            </w:r>
            <w:r w:rsidR="00801F15" w:rsidRPr="001B46CB">
              <w:rPr>
                <w:rFonts w:asciiTheme="majorBidi" w:hAnsiTheme="majorBidi" w:cstheme="majorBidi"/>
                <w:lang w:val="fr-FR"/>
              </w:rPr>
              <w:t>’</w:t>
            </w:r>
            <w:r w:rsidRPr="001B46CB">
              <w:rPr>
                <w:rFonts w:asciiTheme="majorBidi" w:hAnsiTheme="majorBidi" w:cstheme="majorBidi"/>
                <w:lang w:val="fr-FR"/>
              </w:rPr>
              <w:t>une personne vivant avec le VIH/sida ou exploitation de</w:t>
            </w:r>
            <w:r w:rsidR="00801F15" w:rsidRPr="001B46CB">
              <w:rPr>
                <w:rFonts w:asciiTheme="majorBidi" w:hAnsiTheme="majorBidi" w:cstheme="majorBidi"/>
                <w:lang w:val="fr-FR"/>
              </w:rPr>
              <w:t xml:space="preserve"> </w:t>
            </w:r>
            <w:r w:rsidRPr="001B46CB">
              <w:rPr>
                <w:rFonts w:asciiTheme="majorBidi" w:hAnsiTheme="majorBidi" w:cstheme="majorBidi"/>
                <w:lang w:val="fr-FR"/>
              </w:rPr>
              <w:t>cette personne, quel que soit son sexe ou son âge, en raison de la maladie. La personne vivant avec le VIH/sida a également la possibilité de sensibiliser d</w:t>
            </w:r>
            <w:r w:rsidR="00801F15" w:rsidRPr="001B46CB">
              <w:rPr>
                <w:rFonts w:asciiTheme="majorBidi" w:hAnsiTheme="majorBidi" w:cstheme="majorBidi"/>
                <w:lang w:val="fr-FR"/>
              </w:rPr>
              <w:t>’</w:t>
            </w:r>
            <w:r w:rsidRPr="001B46CB">
              <w:rPr>
                <w:rFonts w:asciiTheme="majorBidi" w:hAnsiTheme="majorBidi" w:cstheme="majorBidi"/>
                <w:lang w:val="fr-FR"/>
              </w:rPr>
              <w:t>autres personnes en vue de prévenir la maladie. Les articles 16 à 21 de la section IV de la loi traitent de la protection, de la sensibilisation et de l</w:t>
            </w:r>
            <w:r w:rsidR="00801F15" w:rsidRPr="001B46CB">
              <w:rPr>
                <w:rFonts w:asciiTheme="majorBidi" w:hAnsiTheme="majorBidi" w:cstheme="majorBidi"/>
                <w:lang w:val="fr-FR"/>
              </w:rPr>
              <w:t>’</w:t>
            </w:r>
            <w:r w:rsidRPr="001B46CB">
              <w:rPr>
                <w:rFonts w:asciiTheme="majorBidi" w:hAnsiTheme="majorBidi" w:cstheme="majorBidi"/>
                <w:lang w:val="fr-FR"/>
              </w:rPr>
              <w:t>information, l</w:t>
            </w:r>
            <w:r w:rsidR="00801F15" w:rsidRPr="001B46CB">
              <w:rPr>
                <w:rFonts w:asciiTheme="majorBidi" w:hAnsiTheme="majorBidi" w:cstheme="majorBidi"/>
                <w:lang w:val="fr-FR"/>
              </w:rPr>
              <w:t>’</w:t>
            </w:r>
            <w:r w:rsidRPr="001B46CB">
              <w:rPr>
                <w:rFonts w:asciiTheme="majorBidi" w:hAnsiTheme="majorBidi" w:cstheme="majorBidi"/>
                <w:lang w:val="fr-FR"/>
              </w:rPr>
              <w:t xml:space="preserve">article 16 portant création de la </w:t>
            </w:r>
            <w:r w:rsidR="00A324DC" w:rsidRPr="001B46CB">
              <w:rPr>
                <w:rFonts w:asciiTheme="majorBidi" w:hAnsiTheme="majorBidi" w:cstheme="majorBidi"/>
                <w:lang w:val="fr-FR"/>
              </w:rPr>
              <w:t>C</w:t>
            </w:r>
            <w:r w:rsidRPr="001B46CB">
              <w:rPr>
                <w:rFonts w:asciiTheme="majorBidi" w:hAnsiTheme="majorBidi" w:cstheme="majorBidi"/>
                <w:lang w:val="fr-FR"/>
              </w:rPr>
              <w:t>ommission nationale de lutte contre le syndrome d</w:t>
            </w:r>
            <w:r w:rsidR="00801F15" w:rsidRPr="001B46CB">
              <w:rPr>
                <w:rFonts w:asciiTheme="majorBidi" w:hAnsiTheme="majorBidi" w:cstheme="majorBidi"/>
                <w:lang w:val="fr-FR"/>
              </w:rPr>
              <w:t>’</w:t>
            </w:r>
            <w:r w:rsidRPr="001B46CB">
              <w:rPr>
                <w:rFonts w:asciiTheme="majorBidi" w:hAnsiTheme="majorBidi" w:cstheme="majorBidi"/>
                <w:lang w:val="fr-FR"/>
              </w:rPr>
              <w:t>immunodéficience acquise (sida), composée de</w:t>
            </w:r>
            <w:r w:rsidR="00801F15" w:rsidRPr="001B46CB">
              <w:rPr>
                <w:rFonts w:asciiTheme="majorBidi" w:hAnsiTheme="majorBidi" w:cstheme="majorBidi"/>
                <w:lang w:val="fr-FR"/>
              </w:rPr>
              <w:t xml:space="preserve"> </w:t>
            </w:r>
            <w:r w:rsidRPr="001B46CB">
              <w:rPr>
                <w:rFonts w:asciiTheme="majorBidi" w:hAnsiTheme="majorBidi" w:cstheme="majorBidi"/>
                <w:lang w:val="fr-FR"/>
              </w:rPr>
              <w:t>représentants des organes gouvernementaux et autres services compétents.</w:t>
            </w:r>
          </w:p>
          <w:p w14:paraId="788DF370" w14:textId="11261400" w:rsidR="00801F15" w:rsidRPr="001B46CB" w:rsidRDefault="00F36F51" w:rsidP="00F4463A">
            <w:pPr>
              <w:pStyle w:val="ListParagraph"/>
              <w:numPr>
                <w:ilvl w:val="0"/>
                <w:numId w:val="43"/>
              </w:numPr>
              <w:spacing w:after="200" w:line="240" w:lineRule="auto"/>
              <w:ind w:left="360" w:right="144"/>
              <w:jc w:val="both"/>
              <w:rPr>
                <w:rFonts w:asciiTheme="majorBidi" w:hAnsiTheme="majorBidi" w:cstheme="majorBidi"/>
                <w:lang w:val="fr-FR"/>
              </w:rPr>
            </w:pPr>
            <w:r w:rsidRPr="001B46CB">
              <w:rPr>
                <w:rFonts w:asciiTheme="majorBidi" w:hAnsiTheme="majorBidi" w:cstheme="majorBidi"/>
                <w:lang w:val="fr-FR"/>
              </w:rPr>
              <w:t xml:space="preserve"> En vertu de l</w:t>
            </w:r>
            <w:r w:rsidR="00801F15" w:rsidRPr="001B46CB">
              <w:rPr>
                <w:rFonts w:asciiTheme="majorBidi" w:hAnsiTheme="majorBidi" w:cstheme="majorBidi"/>
                <w:lang w:val="fr-FR"/>
              </w:rPr>
              <w:t>’</w:t>
            </w:r>
            <w:r w:rsidRPr="001B46CB">
              <w:rPr>
                <w:rFonts w:asciiTheme="majorBidi" w:hAnsiTheme="majorBidi" w:cstheme="majorBidi"/>
                <w:lang w:val="fr-FR"/>
              </w:rPr>
              <w:t>article 21, les autorités compétentes et les organes chargés des questions relatives à l</w:t>
            </w:r>
            <w:r w:rsidR="00801F15" w:rsidRPr="001B46CB">
              <w:rPr>
                <w:rFonts w:asciiTheme="majorBidi" w:hAnsiTheme="majorBidi" w:cstheme="majorBidi"/>
                <w:lang w:val="fr-FR"/>
              </w:rPr>
              <w:t>’</w:t>
            </w:r>
            <w:r w:rsidRPr="001B46CB">
              <w:rPr>
                <w:rFonts w:asciiTheme="majorBidi" w:hAnsiTheme="majorBidi" w:cstheme="majorBidi"/>
                <w:lang w:val="fr-FR"/>
              </w:rPr>
              <w:t>information sont tenus de s</w:t>
            </w:r>
            <w:r w:rsidR="00801F15" w:rsidRPr="001B46CB">
              <w:rPr>
                <w:rFonts w:asciiTheme="majorBidi" w:hAnsiTheme="majorBidi" w:cstheme="majorBidi"/>
                <w:lang w:val="fr-FR"/>
              </w:rPr>
              <w:t>’</w:t>
            </w:r>
            <w:r w:rsidRPr="001B46CB">
              <w:rPr>
                <w:rFonts w:asciiTheme="majorBidi" w:hAnsiTheme="majorBidi" w:cstheme="majorBidi"/>
                <w:lang w:val="fr-FR"/>
              </w:rPr>
              <w:t>employer, en coopération avec le Ministère de la santé et les autres ministères, dont le Ministère de l</w:t>
            </w:r>
            <w:r w:rsidR="00801F15" w:rsidRPr="001B46CB">
              <w:rPr>
                <w:rFonts w:asciiTheme="majorBidi" w:hAnsiTheme="majorBidi" w:cstheme="majorBidi"/>
                <w:lang w:val="fr-FR"/>
              </w:rPr>
              <w:t>’</w:t>
            </w:r>
            <w:r w:rsidRPr="001B46CB">
              <w:rPr>
                <w:rFonts w:asciiTheme="majorBidi" w:hAnsiTheme="majorBidi" w:cstheme="majorBidi"/>
                <w:lang w:val="fr-FR"/>
              </w:rPr>
              <w:t>éducation, à faire mieux connaître les comportements sexuels responsables en vue de prévenir les risques de transmission de la maladie parmi la population.</w:t>
            </w:r>
          </w:p>
          <w:p w14:paraId="66D305BF" w14:textId="44C945F7" w:rsidR="00F36F51" w:rsidRPr="001B46CB" w:rsidRDefault="00F36F51" w:rsidP="00F4463A">
            <w:pPr>
              <w:pStyle w:val="ListParagraph"/>
              <w:numPr>
                <w:ilvl w:val="0"/>
                <w:numId w:val="43"/>
              </w:numPr>
              <w:spacing w:after="200"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Le Ministère de la santé s</w:t>
            </w:r>
            <w:r w:rsidR="00801F15" w:rsidRPr="001B46CB">
              <w:rPr>
                <w:rFonts w:asciiTheme="majorBidi" w:hAnsiTheme="majorBidi" w:cstheme="majorBidi"/>
                <w:lang w:val="fr-FR"/>
              </w:rPr>
              <w:t>’</w:t>
            </w:r>
            <w:r w:rsidRPr="001B46CB">
              <w:rPr>
                <w:rFonts w:asciiTheme="majorBidi" w:hAnsiTheme="majorBidi" w:cstheme="majorBidi"/>
                <w:lang w:val="fr-FR"/>
              </w:rPr>
              <w:t>est employé à élaborer un projet de règlement d</w:t>
            </w:r>
            <w:r w:rsidR="00801F15" w:rsidRPr="001B46CB">
              <w:rPr>
                <w:rFonts w:asciiTheme="majorBidi" w:hAnsiTheme="majorBidi" w:cstheme="majorBidi"/>
                <w:lang w:val="fr-FR"/>
              </w:rPr>
              <w:t>’</w:t>
            </w:r>
            <w:r w:rsidRPr="001B46CB">
              <w:rPr>
                <w:rFonts w:asciiTheme="majorBidi" w:hAnsiTheme="majorBidi" w:cstheme="majorBidi"/>
                <w:lang w:val="fr-FR"/>
              </w:rPr>
              <w:t>exécution de la 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1 de 2017 sur la prévention du syndrome d</w:t>
            </w:r>
            <w:r w:rsidR="00801F15" w:rsidRPr="001B46CB">
              <w:rPr>
                <w:rFonts w:asciiTheme="majorBidi" w:hAnsiTheme="majorBidi" w:cstheme="majorBidi"/>
                <w:lang w:val="fr-FR"/>
              </w:rPr>
              <w:t>’</w:t>
            </w:r>
            <w:r w:rsidRPr="001B46CB">
              <w:rPr>
                <w:rFonts w:asciiTheme="majorBidi" w:hAnsiTheme="majorBidi" w:cstheme="majorBidi"/>
                <w:lang w:val="fr-FR"/>
              </w:rPr>
              <w:t>immunodéficience acquise (sida) et la protection des personnes vivant avec le sida dans lequel figurent des dispositions précises sur l</w:t>
            </w:r>
            <w:r w:rsidR="00801F15" w:rsidRPr="001B46CB">
              <w:rPr>
                <w:rFonts w:asciiTheme="majorBidi" w:hAnsiTheme="majorBidi" w:cstheme="majorBidi"/>
                <w:lang w:val="fr-FR"/>
              </w:rPr>
              <w:t>’</w:t>
            </w:r>
            <w:r w:rsidRPr="001B46CB">
              <w:rPr>
                <w:rFonts w:asciiTheme="majorBidi" w:hAnsiTheme="majorBidi" w:cstheme="majorBidi"/>
                <w:lang w:val="fr-FR"/>
              </w:rPr>
              <w:t>application de la loi. Le texte final du projet a été arrêté et la procédure légale établie est en cours aux fins de sa promulgation.</w:t>
            </w:r>
          </w:p>
          <w:p w14:paraId="48904B93" w14:textId="02A6DDD8" w:rsidR="00F36F51" w:rsidRPr="001B46CB" w:rsidRDefault="00F36F51" w:rsidP="00F4463A">
            <w:pPr>
              <w:pStyle w:val="ListParagraph"/>
              <w:numPr>
                <w:ilvl w:val="0"/>
                <w:numId w:val="43"/>
              </w:numPr>
              <w:spacing w:after="20" w:line="240" w:lineRule="auto"/>
              <w:ind w:left="360" w:right="144"/>
              <w:contextualSpacing w:val="0"/>
              <w:jc w:val="both"/>
              <w:rPr>
                <w:rFonts w:asciiTheme="majorBidi" w:hAnsiTheme="majorBidi" w:cstheme="majorBidi"/>
                <w:b/>
                <w:bCs/>
                <w:color w:val="000000" w:themeColor="text1"/>
                <w:lang w:val="fr-FR"/>
              </w:rPr>
            </w:pPr>
            <w:r w:rsidRPr="001B46CB">
              <w:rPr>
                <w:rFonts w:asciiTheme="majorBidi" w:hAnsiTheme="majorBidi" w:cstheme="majorBidi"/>
                <w:lang w:val="fr-FR"/>
              </w:rPr>
              <w:t>La question des maladies transmissibles est abordée aux articles 37 à 52 de la section XI de la loi n</w:t>
            </w:r>
            <w:r w:rsidRPr="001B46CB">
              <w:rPr>
                <w:rFonts w:asciiTheme="majorBidi" w:hAnsiTheme="majorBidi" w:cstheme="majorBidi"/>
                <w:vertAlign w:val="superscript"/>
                <w:lang w:val="fr-FR"/>
              </w:rPr>
              <w:t>o</w:t>
            </w:r>
            <w:r w:rsidRPr="00767A10">
              <w:rPr>
                <w:rFonts w:asciiTheme="majorBidi" w:hAnsiTheme="majorBidi" w:cstheme="majorBidi"/>
                <w:lang w:val="fr-FR"/>
              </w:rPr>
              <w:t> </w:t>
            </w:r>
            <w:r w:rsidRPr="001B46CB">
              <w:rPr>
                <w:rFonts w:asciiTheme="majorBidi" w:hAnsiTheme="majorBidi" w:cstheme="majorBidi"/>
                <w:lang w:val="fr-FR"/>
              </w:rPr>
              <w:t>34 de 2018 sur la santé publique en vue de prévenir la propagation des maladies transmissibles</w:t>
            </w:r>
            <w:r w:rsidR="00801F15" w:rsidRPr="001B46CB">
              <w:rPr>
                <w:rFonts w:asciiTheme="majorBidi" w:hAnsiTheme="majorBidi" w:cstheme="majorBidi"/>
                <w:lang w:val="fr-FR"/>
              </w:rPr>
              <w:t xml:space="preserve"> </w:t>
            </w:r>
            <w:r w:rsidRPr="001B46CB">
              <w:rPr>
                <w:rFonts w:asciiTheme="majorBidi" w:hAnsiTheme="majorBidi" w:cstheme="majorBidi"/>
                <w:lang w:val="fr-FR"/>
              </w:rPr>
              <w:t>et de protéger la société contre les risques qui leur sont associés, que la transmission se fasse par voie sexuelle ou par d</w:t>
            </w:r>
            <w:r w:rsidR="00801F15" w:rsidRPr="001B46CB">
              <w:rPr>
                <w:rFonts w:asciiTheme="majorBidi" w:hAnsiTheme="majorBidi" w:cstheme="majorBidi"/>
                <w:lang w:val="fr-FR"/>
              </w:rPr>
              <w:t>’</w:t>
            </w:r>
            <w:r w:rsidRPr="001B46CB">
              <w:rPr>
                <w:rFonts w:asciiTheme="majorBidi" w:hAnsiTheme="majorBidi" w:cstheme="majorBidi"/>
                <w:lang w:val="fr-FR"/>
              </w:rPr>
              <w:t>autres voies.</w:t>
            </w:r>
          </w:p>
        </w:tc>
      </w:tr>
      <w:tr w:rsidR="008E3A5E" w:rsidRPr="001B46CB" w14:paraId="378D62B1" w14:textId="77777777" w:rsidTr="00767A10">
        <w:trPr>
          <w:gridAfter w:val="1"/>
          <w:wAfter w:w="63" w:type="pct"/>
          <w:tblCellSpacing w:w="20" w:type="dxa"/>
          <w:jc w:val="center"/>
        </w:trPr>
        <w:tc>
          <w:tcPr>
            <w:tcW w:w="1940" w:type="pct"/>
            <w:shd w:val="clear" w:color="auto" w:fill="DDD9C3" w:themeFill="background2" w:themeFillShade="E6"/>
          </w:tcPr>
          <w:p w14:paraId="1A251873" w14:textId="77777777" w:rsidR="00F36F51" w:rsidRPr="001B46CB" w:rsidRDefault="00F36F51" w:rsidP="00F4463A">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lastRenderedPageBreak/>
              <w:t>Domaine concerné</w:t>
            </w:r>
          </w:p>
        </w:tc>
        <w:tc>
          <w:tcPr>
            <w:tcW w:w="2915" w:type="pct"/>
            <w:gridSpan w:val="6"/>
            <w:shd w:val="clear" w:color="auto" w:fill="EEECE1" w:themeFill="background2"/>
          </w:tcPr>
          <w:p w14:paraId="1C27A263" w14:textId="77777777" w:rsidR="00F36F51" w:rsidRPr="001B46CB" w:rsidRDefault="00F36F51" w:rsidP="00F4463A">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Femmes confrontées à des formes de discrimination croisées</w:t>
            </w:r>
          </w:p>
        </w:tc>
      </w:tr>
      <w:tr w:rsidR="00F36F51" w:rsidRPr="001B46CB" w14:paraId="6DD0EAB0" w14:textId="77777777" w:rsidTr="00767A10">
        <w:trPr>
          <w:gridAfter w:val="1"/>
          <w:wAfter w:w="63" w:type="pct"/>
          <w:tblCellSpacing w:w="20" w:type="dxa"/>
          <w:jc w:val="center"/>
        </w:trPr>
        <w:tc>
          <w:tcPr>
            <w:tcW w:w="4876" w:type="pct"/>
            <w:gridSpan w:val="7"/>
            <w:shd w:val="clear" w:color="auto" w:fill="C4BC96" w:themeFill="background2" w:themeFillShade="BF"/>
          </w:tcPr>
          <w:p w14:paraId="460FF904" w14:textId="77777777" w:rsidR="00F36F51" w:rsidRPr="001B46CB" w:rsidRDefault="00F36F51" w:rsidP="00F4463A">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F36F51" w:rsidRPr="001B46CB" w14:paraId="5A1C8B69" w14:textId="77777777" w:rsidTr="00767A10">
        <w:trPr>
          <w:gridAfter w:val="1"/>
          <w:wAfter w:w="63" w:type="pct"/>
          <w:tblCellSpacing w:w="20" w:type="dxa"/>
          <w:jc w:val="center"/>
        </w:trPr>
        <w:tc>
          <w:tcPr>
            <w:tcW w:w="4876" w:type="pct"/>
            <w:gridSpan w:val="7"/>
            <w:shd w:val="clear" w:color="auto" w:fill="auto"/>
          </w:tcPr>
          <w:p w14:paraId="02C852C9" w14:textId="702AA74E" w:rsidR="00F36F51" w:rsidRPr="001B46CB" w:rsidRDefault="00F36F51" w:rsidP="00F4463A">
            <w:pPr>
              <w:pStyle w:val="ListParagraph"/>
              <w:numPr>
                <w:ilvl w:val="0"/>
                <w:numId w:val="42"/>
              </w:numPr>
              <w:spacing w:after="20" w:line="240" w:lineRule="auto"/>
              <w:ind w:left="360" w:right="144"/>
              <w:contextualSpacing w:val="0"/>
              <w:jc w:val="both"/>
              <w:rPr>
                <w:rFonts w:asciiTheme="majorBidi" w:hAnsiTheme="majorBidi" w:cstheme="majorBidi"/>
                <w:color w:val="000000" w:themeColor="text1"/>
                <w:lang w:val="fr-FR"/>
              </w:rPr>
            </w:pPr>
            <w:r w:rsidRPr="001B46CB">
              <w:rPr>
                <w:rFonts w:asciiTheme="majorBidi" w:hAnsiTheme="majorBidi" w:cstheme="majorBidi"/>
                <w:lang w:val="fr-FR"/>
              </w:rPr>
              <w:t>Veuillez fournir des informations sur les mesures prises pour protéger des discours haineux et des incitations à la haine et pour soutenir les femmes et les filles bahreïniennes vivant au Qatar, celles qui sont revenues du Qatar à la suite de la décision du 5 juin 2017 de rompre les relations diplomatiques avec ce pays, celles qui figurent sur la liste des 59 terroristes présumés publiée conjointement avec l</w:t>
            </w:r>
            <w:r w:rsidR="00801F15" w:rsidRPr="001B46CB">
              <w:rPr>
                <w:rFonts w:asciiTheme="majorBidi" w:hAnsiTheme="majorBidi" w:cstheme="majorBidi"/>
                <w:lang w:val="fr-FR"/>
              </w:rPr>
              <w:t>’</w:t>
            </w:r>
            <w:r w:rsidRPr="001B46CB">
              <w:rPr>
                <w:rFonts w:asciiTheme="majorBidi" w:hAnsiTheme="majorBidi" w:cstheme="majorBidi"/>
                <w:lang w:val="fr-FR"/>
              </w:rPr>
              <w:t>Arabie saoudite, l</w:t>
            </w:r>
            <w:r w:rsidR="00801F15" w:rsidRPr="001B46CB">
              <w:rPr>
                <w:rFonts w:asciiTheme="majorBidi" w:hAnsiTheme="majorBidi" w:cstheme="majorBidi"/>
                <w:lang w:val="fr-FR"/>
              </w:rPr>
              <w:t>’</w:t>
            </w:r>
            <w:r w:rsidRPr="001B46CB">
              <w:rPr>
                <w:rFonts w:asciiTheme="majorBidi" w:hAnsiTheme="majorBidi" w:cstheme="majorBidi"/>
                <w:lang w:val="fr-FR"/>
              </w:rPr>
              <w:t>Égypte et les Émirats arabes unis, laquelle peut aussi comprendre des militantes, de même que les femmes et les filles appartenant à la famille de personnes figurant sur cette liste. Veuillez informer le Comité des mesures prises pour mettre les conditions de détention dans les lieux de privation de liberté, y compris dans les centres de détention avant expulsion pour femmes, en conformité avec l</w:t>
            </w:r>
            <w:r w:rsidR="00801F15" w:rsidRPr="001B46CB">
              <w:rPr>
                <w:rFonts w:asciiTheme="majorBidi" w:hAnsiTheme="majorBidi" w:cstheme="majorBidi"/>
                <w:lang w:val="fr-FR"/>
              </w:rPr>
              <w:t>’</w:t>
            </w:r>
            <w:r w:rsidRPr="001B46CB">
              <w:rPr>
                <w:rFonts w:asciiTheme="majorBidi" w:hAnsiTheme="majorBidi" w:cstheme="majorBidi"/>
                <w:lang w:val="fr-FR"/>
              </w:rPr>
              <w:t>Ensemble de règles minima des Nations Unies pour le traitement des détenus (Règles Nelson Mandela) et les Règles des Nations Unies concernant le traitement des détenues et l</w:t>
            </w:r>
            <w:r w:rsidR="00801F15" w:rsidRPr="001B46CB">
              <w:rPr>
                <w:rFonts w:asciiTheme="majorBidi" w:hAnsiTheme="majorBidi" w:cstheme="majorBidi"/>
                <w:lang w:val="fr-FR"/>
              </w:rPr>
              <w:t>’</w:t>
            </w:r>
            <w:r w:rsidRPr="001B46CB">
              <w:rPr>
                <w:rFonts w:asciiTheme="majorBidi" w:hAnsiTheme="majorBidi" w:cstheme="majorBidi"/>
                <w:lang w:val="fr-FR"/>
              </w:rPr>
              <w:t>imposition de mesures non privatives de liberté aux délinquantes (Règles de Bangkok) [</w:t>
            </w:r>
            <w:hyperlink r:id="rId44" w:history="1">
              <w:r w:rsidRPr="001B46CB">
                <w:rPr>
                  <w:rStyle w:val="Hyperlink"/>
                  <w:rFonts w:asciiTheme="majorBidi" w:hAnsiTheme="majorBidi" w:cstheme="majorBidi"/>
                  <w:lang w:val="fr-FR"/>
                </w:rPr>
                <w:t>CAT/C/BHR/CO/2-3</w:t>
              </w:r>
            </w:hyperlink>
            <w:r w:rsidRPr="001B46CB">
              <w:rPr>
                <w:rFonts w:asciiTheme="majorBidi" w:hAnsiTheme="majorBidi" w:cstheme="majorBidi"/>
                <w:lang w:val="fr-FR"/>
              </w:rPr>
              <w:t xml:space="preserve">, </w:t>
            </w:r>
            <w:r w:rsidR="00CC1C14" w:rsidRPr="001B46CB">
              <w:rPr>
                <w:rFonts w:asciiTheme="majorBidi" w:hAnsiTheme="majorBidi" w:cstheme="majorBidi"/>
                <w:lang w:val="fr-FR"/>
              </w:rPr>
              <w:t>par. </w:t>
            </w:r>
            <w:r w:rsidRPr="001B46CB">
              <w:rPr>
                <w:rFonts w:asciiTheme="majorBidi" w:hAnsiTheme="majorBidi" w:cstheme="majorBidi"/>
                <w:lang w:val="fr-FR"/>
              </w:rPr>
              <w:t>23 a)].</w:t>
            </w:r>
          </w:p>
        </w:tc>
      </w:tr>
      <w:tr w:rsidR="00F36F51" w:rsidRPr="001B46CB" w14:paraId="3CDFF785" w14:textId="77777777" w:rsidTr="00767A10">
        <w:trPr>
          <w:gridAfter w:val="1"/>
          <w:wAfter w:w="63" w:type="pct"/>
          <w:tblCellSpacing w:w="20" w:type="dxa"/>
          <w:jc w:val="center"/>
        </w:trPr>
        <w:tc>
          <w:tcPr>
            <w:tcW w:w="4876" w:type="pct"/>
            <w:gridSpan w:val="7"/>
            <w:shd w:val="clear" w:color="auto" w:fill="C4BC96" w:themeFill="background2" w:themeFillShade="BF"/>
          </w:tcPr>
          <w:p w14:paraId="141D234D" w14:textId="77777777" w:rsidR="00F36F51" w:rsidRPr="001B46CB" w:rsidRDefault="00F36F51" w:rsidP="00767A10">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Réponse</w:t>
            </w:r>
          </w:p>
        </w:tc>
      </w:tr>
      <w:tr w:rsidR="00F36F51" w:rsidRPr="001B46CB" w14:paraId="74F9BE36" w14:textId="77777777" w:rsidTr="00767A10">
        <w:trPr>
          <w:gridAfter w:val="1"/>
          <w:wAfter w:w="63" w:type="pct"/>
          <w:tblCellSpacing w:w="20" w:type="dxa"/>
          <w:jc w:val="center"/>
        </w:trPr>
        <w:tc>
          <w:tcPr>
            <w:tcW w:w="4876" w:type="pct"/>
            <w:gridSpan w:val="7"/>
            <w:tcBorders>
              <w:bottom w:val="inset" w:sz="6" w:space="0" w:color="auto"/>
            </w:tcBorders>
            <w:shd w:val="clear" w:color="auto" w:fill="auto"/>
            <w:vAlign w:val="center"/>
          </w:tcPr>
          <w:p w14:paraId="77278C25" w14:textId="0E153FDE" w:rsidR="00F36F51" w:rsidRPr="001B46CB" w:rsidRDefault="00F36F51" w:rsidP="00F4463A">
            <w:pPr>
              <w:pStyle w:val="ListParagraph"/>
              <w:numPr>
                <w:ilvl w:val="0"/>
                <w:numId w:val="43"/>
              </w:numPr>
              <w:spacing w:line="240" w:lineRule="auto"/>
              <w:ind w:left="360" w:right="144"/>
              <w:jc w:val="both"/>
              <w:rPr>
                <w:rFonts w:asciiTheme="majorBidi" w:hAnsiTheme="majorBidi" w:cstheme="majorBidi"/>
                <w:lang w:val="fr-FR"/>
              </w:rPr>
            </w:pPr>
            <w:r w:rsidRPr="001B46CB">
              <w:rPr>
                <w:rFonts w:asciiTheme="majorBidi" w:hAnsiTheme="majorBidi" w:cstheme="majorBidi"/>
                <w:lang w:val="fr-FR"/>
              </w:rPr>
              <w:t>Bahreïn réaffirme la teneur du paragraphe 143 de son quatrième rapport périodique et ajoute ce qui suit</w:t>
            </w:r>
            <w:r w:rsidR="00801F15" w:rsidRPr="001B46CB">
              <w:rPr>
                <w:rFonts w:asciiTheme="majorBidi" w:hAnsiTheme="majorBidi" w:cstheme="majorBidi"/>
                <w:lang w:val="fr-FR"/>
              </w:rPr>
              <w:t> :</w:t>
            </w:r>
          </w:p>
          <w:p w14:paraId="433857AF" w14:textId="5314F52B" w:rsidR="00F36F51" w:rsidRPr="001B46CB" w:rsidRDefault="00F36F51" w:rsidP="00F4463A">
            <w:pPr>
              <w:pStyle w:val="ListParagraph"/>
              <w:numPr>
                <w:ilvl w:val="0"/>
                <w:numId w:val="43"/>
              </w:numPr>
              <w:spacing w:after="20" w:line="240" w:lineRule="auto"/>
              <w:ind w:left="360" w:right="144"/>
              <w:contextualSpacing w:val="0"/>
              <w:jc w:val="both"/>
              <w:rPr>
                <w:rFonts w:asciiTheme="majorBidi" w:hAnsiTheme="majorBidi" w:cstheme="majorBidi"/>
                <w:color w:val="000000" w:themeColor="text1"/>
                <w:lang w:val="fr-FR"/>
              </w:rPr>
            </w:pPr>
            <w:r w:rsidRPr="001B46CB">
              <w:rPr>
                <w:rFonts w:asciiTheme="majorBidi" w:hAnsiTheme="majorBidi" w:cstheme="majorBidi"/>
                <w:lang w:val="fr-FR"/>
              </w:rPr>
              <w:lastRenderedPageBreak/>
              <w:t>Il convient de noter que tous les citoyens bahreïniens, y compris les femmes et les filles, sont totalement libres de se déplacer et de se rendre au Qatar et de quitter le pays conformément aux règlements et décisions applicables. Ces mesures réglementaires ne visent pas à restreindre les libertés de quelque</w:t>
            </w:r>
            <w:r w:rsidR="00801F15" w:rsidRPr="001B46CB">
              <w:rPr>
                <w:rFonts w:asciiTheme="majorBidi" w:hAnsiTheme="majorBidi" w:cstheme="majorBidi"/>
                <w:lang w:val="fr-FR"/>
              </w:rPr>
              <w:t xml:space="preserve"> </w:t>
            </w:r>
            <w:r w:rsidRPr="001B46CB">
              <w:rPr>
                <w:rFonts w:asciiTheme="majorBidi" w:hAnsiTheme="majorBidi" w:cstheme="majorBidi"/>
                <w:lang w:val="fr-FR"/>
              </w:rPr>
              <w:t>manière que ce soit. Aucune plainte n</w:t>
            </w:r>
            <w:r w:rsidR="00801F15" w:rsidRPr="001B46CB">
              <w:rPr>
                <w:rFonts w:asciiTheme="majorBidi" w:hAnsiTheme="majorBidi" w:cstheme="majorBidi"/>
                <w:lang w:val="fr-FR"/>
              </w:rPr>
              <w:t>’</w:t>
            </w:r>
            <w:r w:rsidRPr="001B46CB">
              <w:rPr>
                <w:rFonts w:asciiTheme="majorBidi" w:hAnsiTheme="majorBidi" w:cstheme="majorBidi"/>
                <w:lang w:val="fr-FR"/>
              </w:rPr>
              <w:t>a été reçue à cet égard.</w:t>
            </w:r>
          </w:p>
          <w:p w14:paraId="6388B24F" w14:textId="7CD9F1ED" w:rsidR="00F36F51" w:rsidRPr="001B46CB" w:rsidRDefault="00F36F51" w:rsidP="00F4463A">
            <w:pPr>
              <w:pStyle w:val="ListParagraph"/>
              <w:numPr>
                <w:ilvl w:val="0"/>
                <w:numId w:val="43"/>
              </w:numPr>
              <w:spacing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Le Ministère de l</w:t>
            </w:r>
            <w:r w:rsidR="00801F15" w:rsidRPr="001B46CB">
              <w:rPr>
                <w:rFonts w:asciiTheme="majorBidi" w:hAnsiTheme="majorBidi" w:cstheme="majorBidi"/>
                <w:lang w:val="fr-FR"/>
              </w:rPr>
              <w:t>’</w:t>
            </w:r>
            <w:r w:rsidRPr="001B46CB">
              <w:rPr>
                <w:rFonts w:asciiTheme="majorBidi" w:hAnsiTheme="majorBidi" w:cstheme="majorBidi"/>
                <w:lang w:val="fr-FR"/>
              </w:rPr>
              <w:t>intérieur s</w:t>
            </w:r>
            <w:r w:rsidR="00801F15" w:rsidRPr="001B46CB">
              <w:rPr>
                <w:rFonts w:asciiTheme="majorBidi" w:hAnsiTheme="majorBidi" w:cstheme="majorBidi"/>
                <w:lang w:val="fr-FR"/>
              </w:rPr>
              <w:t>’</w:t>
            </w:r>
            <w:r w:rsidRPr="001B46CB">
              <w:rPr>
                <w:rFonts w:asciiTheme="majorBidi" w:hAnsiTheme="majorBidi" w:cstheme="majorBidi"/>
                <w:lang w:val="fr-FR"/>
              </w:rPr>
              <w:t>est engagé à appliquer toutes les lois et règlements concernant les centres pénitentiaires et de réadaptation et les conventions signées par le Royaume dans ce domaine. Il s</w:t>
            </w:r>
            <w:r w:rsidR="00801F15" w:rsidRPr="001B46CB">
              <w:rPr>
                <w:rFonts w:asciiTheme="majorBidi" w:hAnsiTheme="majorBidi" w:cstheme="majorBidi"/>
                <w:lang w:val="fr-FR"/>
              </w:rPr>
              <w:t>’</w:t>
            </w:r>
            <w:r w:rsidRPr="001B46CB">
              <w:rPr>
                <w:rFonts w:asciiTheme="majorBidi" w:hAnsiTheme="majorBidi" w:cstheme="majorBidi"/>
                <w:lang w:val="fr-FR"/>
              </w:rPr>
              <w:t>emploie à garantir que les droits et devoirs des détenus soient respectés dans les centres pénitentiaires, conformément au décret royal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18 de 2014 portant promulgation de la loi sur l</w:t>
            </w:r>
            <w:r w:rsidR="00801F15" w:rsidRPr="001B46CB">
              <w:rPr>
                <w:rFonts w:asciiTheme="majorBidi" w:hAnsiTheme="majorBidi" w:cstheme="majorBidi"/>
                <w:lang w:val="fr-FR"/>
              </w:rPr>
              <w:t>’</w:t>
            </w:r>
            <w:r w:rsidRPr="001B46CB">
              <w:rPr>
                <w:rFonts w:asciiTheme="majorBidi" w:hAnsiTheme="majorBidi" w:cstheme="majorBidi"/>
                <w:lang w:val="fr-FR"/>
              </w:rPr>
              <w:t>institution pénitentiaire et à son règlement d</w:t>
            </w:r>
            <w:r w:rsidR="00801F15" w:rsidRPr="001B46CB">
              <w:rPr>
                <w:rFonts w:asciiTheme="majorBidi" w:hAnsiTheme="majorBidi" w:cstheme="majorBidi"/>
                <w:lang w:val="fr-FR"/>
              </w:rPr>
              <w:t>’</w:t>
            </w:r>
            <w:r w:rsidRPr="001B46CB">
              <w:rPr>
                <w:rFonts w:asciiTheme="majorBidi" w:hAnsiTheme="majorBidi" w:cstheme="majorBidi"/>
                <w:lang w:val="fr-FR"/>
              </w:rPr>
              <w:t>exécution, notamment le droit aux soins de santé, à un soutien psychosocial, à la poursuite de l</w:t>
            </w:r>
            <w:r w:rsidR="00801F15" w:rsidRPr="001B46CB">
              <w:rPr>
                <w:rFonts w:asciiTheme="majorBidi" w:hAnsiTheme="majorBidi" w:cstheme="majorBidi"/>
                <w:lang w:val="fr-FR"/>
              </w:rPr>
              <w:t>’</w:t>
            </w:r>
            <w:r w:rsidRPr="001B46CB">
              <w:rPr>
                <w:rFonts w:asciiTheme="majorBidi" w:hAnsiTheme="majorBidi" w:cstheme="majorBidi"/>
                <w:lang w:val="fr-FR"/>
              </w:rPr>
              <w:t>éducation, au contact avec le monde extérieur, par exemple au moyen de communications téléphoniques, la liberté de pratiquer leur religion, le droit aux visites hebdomadaires ainsi que d</w:t>
            </w:r>
            <w:r w:rsidR="00801F15" w:rsidRPr="001B46CB">
              <w:rPr>
                <w:rFonts w:asciiTheme="majorBidi" w:hAnsiTheme="majorBidi" w:cstheme="majorBidi"/>
                <w:lang w:val="fr-FR"/>
              </w:rPr>
              <w:t>’</w:t>
            </w:r>
            <w:r w:rsidRPr="001B46CB">
              <w:rPr>
                <w:rFonts w:asciiTheme="majorBidi" w:hAnsiTheme="majorBidi" w:cstheme="majorBidi"/>
                <w:lang w:val="fr-FR"/>
              </w:rPr>
              <w:t>autres droits prévus par cette loi, qui accorde au détenu le droit de déposer des plaintes et des demandes auprès des autorités judiciaires compétentes. Des directives concernant l</w:t>
            </w:r>
            <w:r w:rsidR="00801F15" w:rsidRPr="001B46CB">
              <w:rPr>
                <w:rFonts w:asciiTheme="majorBidi" w:hAnsiTheme="majorBidi" w:cstheme="majorBidi"/>
                <w:lang w:val="fr-FR"/>
              </w:rPr>
              <w:t>’</w:t>
            </w:r>
            <w:r w:rsidRPr="001B46CB">
              <w:rPr>
                <w:rFonts w:asciiTheme="majorBidi" w:hAnsiTheme="majorBidi" w:cstheme="majorBidi"/>
                <w:lang w:val="fr-FR"/>
              </w:rPr>
              <w:t>arrestation et la détention provisoire ont été établies conformément aux lois et aux règlements nationaux et aux critères et règles internationa</w:t>
            </w:r>
            <w:r w:rsidR="00083537" w:rsidRPr="001B46CB">
              <w:rPr>
                <w:rFonts w:asciiTheme="majorBidi" w:hAnsiTheme="majorBidi" w:cstheme="majorBidi"/>
                <w:lang w:val="fr-FR"/>
              </w:rPr>
              <w:t>ux</w:t>
            </w:r>
            <w:r w:rsidRPr="001B46CB">
              <w:rPr>
                <w:rFonts w:asciiTheme="majorBidi" w:hAnsiTheme="majorBidi" w:cstheme="majorBidi"/>
                <w:lang w:val="fr-FR"/>
              </w:rPr>
              <w:t>. Elles sont axées sur les six principes suivis par la police (réponse rapide, transparence, humanité, responsabilité, partenariat avec la société et efficacité) et visent à normaliser les mesures appliquées dans les lieux de détention et de détention provisoire gérés par les services relevant du Ministère de l</w:t>
            </w:r>
            <w:r w:rsidR="00801F15" w:rsidRPr="001B46CB">
              <w:rPr>
                <w:rFonts w:asciiTheme="majorBidi" w:hAnsiTheme="majorBidi" w:cstheme="majorBidi"/>
                <w:lang w:val="fr-FR"/>
              </w:rPr>
              <w:t>’</w:t>
            </w:r>
            <w:r w:rsidRPr="001B46CB">
              <w:rPr>
                <w:rFonts w:asciiTheme="majorBidi" w:hAnsiTheme="majorBidi" w:cstheme="majorBidi"/>
                <w:lang w:val="fr-FR"/>
              </w:rPr>
              <w:t>intérieur.</w:t>
            </w:r>
          </w:p>
          <w:p w14:paraId="0E2D6375" w14:textId="34E96A8A" w:rsidR="00F36F51" w:rsidRPr="001B46CB" w:rsidRDefault="00F36F51" w:rsidP="00F4463A">
            <w:pPr>
              <w:pStyle w:val="ListParagraph"/>
              <w:numPr>
                <w:ilvl w:val="0"/>
                <w:numId w:val="43"/>
              </w:numPr>
              <w:spacing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Par ailleurs, le Ministère de l</w:t>
            </w:r>
            <w:r w:rsidR="00801F15" w:rsidRPr="001B46CB">
              <w:rPr>
                <w:rFonts w:asciiTheme="majorBidi" w:hAnsiTheme="majorBidi" w:cstheme="majorBidi"/>
                <w:lang w:val="fr-FR"/>
              </w:rPr>
              <w:t>’</w:t>
            </w:r>
            <w:r w:rsidRPr="001B46CB">
              <w:rPr>
                <w:rFonts w:asciiTheme="majorBidi" w:hAnsiTheme="majorBidi" w:cstheme="majorBidi"/>
                <w:lang w:val="fr-FR"/>
              </w:rPr>
              <w:t>intérieur et le Comité international de la Croix-Rouge (CICR) ont signé un mémorandum au titre duquel le CICR est autorisé à effectuer des visites dans les prisons et les centres de détention et à organiser des activités de formation dans les domaines des droits humains et du droit international humanitaire à l</w:t>
            </w:r>
            <w:r w:rsidR="00801F15" w:rsidRPr="001B46CB">
              <w:rPr>
                <w:rFonts w:asciiTheme="majorBidi" w:hAnsiTheme="majorBidi" w:cstheme="majorBidi"/>
                <w:lang w:val="fr-FR"/>
              </w:rPr>
              <w:t>’</w:t>
            </w:r>
            <w:r w:rsidRPr="001B46CB">
              <w:rPr>
                <w:rFonts w:asciiTheme="majorBidi" w:hAnsiTheme="majorBidi" w:cstheme="majorBidi"/>
                <w:lang w:val="fr-FR"/>
              </w:rPr>
              <w:t>intention des agents du Ministère de l</w:t>
            </w:r>
            <w:r w:rsidR="00801F15" w:rsidRPr="001B46CB">
              <w:rPr>
                <w:rFonts w:asciiTheme="majorBidi" w:hAnsiTheme="majorBidi" w:cstheme="majorBidi"/>
                <w:lang w:val="fr-FR"/>
              </w:rPr>
              <w:t>’</w:t>
            </w:r>
            <w:r w:rsidRPr="001B46CB">
              <w:rPr>
                <w:rFonts w:asciiTheme="majorBidi" w:hAnsiTheme="majorBidi" w:cstheme="majorBidi"/>
                <w:lang w:val="fr-FR"/>
              </w:rPr>
              <w:t>intérieur dans leur ensemble en vue d</w:t>
            </w:r>
            <w:r w:rsidR="00801F15" w:rsidRPr="001B46CB">
              <w:rPr>
                <w:rFonts w:asciiTheme="majorBidi" w:hAnsiTheme="majorBidi" w:cstheme="majorBidi"/>
                <w:lang w:val="fr-FR"/>
              </w:rPr>
              <w:t>’</w:t>
            </w:r>
            <w:r w:rsidRPr="001B46CB">
              <w:rPr>
                <w:rFonts w:asciiTheme="majorBidi" w:hAnsiTheme="majorBidi" w:cstheme="majorBidi"/>
                <w:lang w:val="fr-FR"/>
              </w:rPr>
              <w:t>améliorer leurs compétences et de consolider et diffuser la culture des droits humains.</w:t>
            </w:r>
          </w:p>
          <w:p w14:paraId="7E4D4269" w14:textId="77777777" w:rsidR="00F36F51" w:rsidRPr="001B46CB" w:rsidRDefault="00F36F51" w:rsidP="00F4463A">
            <w:pPr>
              <w:pStyle w:val="ListParagraph"/>
              <w:numPr>
                <w:ilvl w:val="0"/>
                <w:numId w:val="43"/>
              </w:numPr>
              <w:spacing w:after="20" w:line="240" w:lineRule="auto"/>
              <w:ind w:left="360" w:right="144"/>
              <w:contextualSpacing w:val="0"/>
              <w:jc w:val="both"/>
              <w:rPr>
                <w:rFonts w:asciiTheme="majorBidi" w:hAnsiTheme="majorBidi" w:cstheme="majorBidi"/>
                <w:lang w:val="fr-FR"/>
              </w:rPr>
            </w:pPr>
            <w:r w:rsidRPr="001B46CB">
              <w:rPr>
                <w:rFonts w:asciiTheme="majorBidi" w:hAnsiTheme="majorBidi" w:cstheme="majorBidi"/>
                <w:lang w:val="fr-FR"/>
              </w:rPr>
              <w:t>Enfin, le centre de détention avant expulsion pour femmes est soumis aux mêmes règlements et lois, conformes au droit international et aux conventions et traités sur la question.</w:t>
            </w:r>
          </w:p>
        </w:tc>
      </w:tr>
      <w:tr w:rsidR="0096193D" w:rsidRPr="001B46CB" w14:paraId="072E1881" w14:textId="77777777" w:rsidTr="00767A10">
        <w:trPr>
          <w:gridAfter w:val="1"/>
          <w:wAfter w:w="63" w:type="pct"/>
          <w:tblCellSpacing w:w="20" w:type="dxa"/>
          <w:jc w:val="center"/>
        </w:trPr>
        <w:tc>
          <w:tcPr>
            <w:tcW w:w="2458" w:type="pct"/>
            <w:gridSpan w:val="4"/>
            <w:shd w:val="clear" w:color="auto" w:fill="DDD9C3" w:themeFill="background2" w:themeFillShade="E6"/>
          </w:tcPr>
          <w:p w14:paraId="2C03186D" w14:textId="77777777" w:rsidR="00F36F51" w:rsidRPr="001B46CB" w:rsidRDefault="00F36F51" w:rsidP="00767A10">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lastRenderedPageBreak/>
              <w:t>Domaine concerné</w:t>
            </w:r>
          </w:p>
        </w:tc>
        <w:tc>
          <w:tcPr>
            <w:tcW w:w="2398" w:type="pct"/>
            <w:gridSpan w:val="3"/>
            <w:shd w:val="clear" w:color="auto" w:fill="EEECE1" w:themeFill="background2"/>
          </w:tcPr>
          <w:p w14:paraId="0DCCDC5A" w14:textId="77777777" w:rsidR="00F36F51" w:rsidRPr="001B46CB" w:rsidRDefault="00F36F51" w:rsidP="00767A10">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Égalité devant la loi et en matière civile</w:t>
            </w:r>
          </w:p>
        </w:tc>
      </w:tr>
      <w:tr w:rsidR="0096193D" w:rsidRPr="001B46CB" w14:paraId="492EE2C7" w14:textId="77777777" w:rsidTr="00767A10">
        <w:trPr>
          <w:gridAfter w:val="1"/>
          <w:wAfter w:w="63" w:type="pct"/>
          <w:tblCellSpacing w:w="20" w:type="dxa"/>
          <w:jc w:val="center"/>
        </w:trPr>
        <w:tc>
          <w:tcPr>
            <w:tcW w:w="4876" w:type="pct"/>
            <w:gridSpan w:val="7"/>
            <w:shd w:val="clear" w:color="auto" w:fill="C4BC96" w:themeFill="background2" w:themeFillShade="BF"/>
          </w:tcPr>
          <w:p w14:paraId="0E6EBBFF" w14:textId="77777777" w:rsidR="00F36F51" w:rsidRPr="001B46CB" w:rsidRDefault="00F36F51" w:rsidP="00767A10">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96193D" w:rsidRPr="001B46CB" w14:paraId="0105C98B" w14:textId="77777777" w:rsidTr="00767A10">
        <w:trPr>
          <w:gridAfter w:val="1"/>
          <w:wAfter w:w="63" w:type="pct"/>
          <w:tblCellSpacing w:w="20" w:type="dxa"/>
          <w:jc w:val="center"/>
        </w:trPr>
        <w:tc>
          <w:tcPr>
            <w:tcW w:w="4876" w:type="pct"/>
            <w:gridSpan w:val="7"/>
            <w:shd w:val="clear" w:color="auto" w:fill="auto"/>
          </w:tcPr>
          <w:p w14:paraId="26BECE87" w14:textId="15A31A3C" w:rsidR="00F36F51" w:rsidRPr="001B46CB" w:rsidRDefault="00F36F51" w:rsidP="00F4463A">
            <w:pPr>
              <w:pStyle w:val="ListParagraph"/>
              <w:numPr>
                <w:ilvl w:val="0"/>
                <w:numId w:val="42"/>
              </w:numPr>
              <w:tabs>
                <w:tab w:val="left" w:pos="4515"/>
              </w:tabs>
              <w:spacing w:after="20" w:line="240" w:lineRule="auto"/>
              <w:ind w:left="360" w:right="144"/>
              <w:contextualSpacing w:val="0"/>
              <w:jc w:val="both"/>
              <w:rPr>
                <w:rFonts w:asciiTheme="majorBidi" w:hAnsiTheme="majorBidi" w:cstheme="majorBidi"/>
                <w:b/>
                <w:bCs/>
                <w:color w:val="000000" w:themeColor="text1"/>
                <w:lang w:val="fr-FR"/>
              </w:rPr>
            </w:pPr>
            <w:r w:rsidRPr="001B46CB">
              <w:rPr>
                <w:rFonts w:asciiTheme="majorBidi" w:hAnsiTheme="majorBidi" w:cstheme="majorBidi"/>
                <w:lang w:val="fr-FR"/>
              </w:rPr>
              <w:t>Aux paragraphes 70 et 82 de son rapport, l</w:t>
            </w:r>
            <w:r w:rsidR="00801F15" w:rsidRPr="001B46CB">
              <w:rPr>
                <w:rFonts w:asciiTheme="majorBidi" w:hAnsiTheme="majorBidi" w:cstheme="majorBidi"/>
                <w:lang w:val="fr-FR"/>
              </w:rPr>
              <w:t>’</w:t>
            </w:r>
            <w:r w:rsidRPr="001B46CB">
              <w:rPr>
                <w:rFonts w:asciiTheme="majorBidi" w:hAnsiTheme="majorBidi" w:cstheme="majorBidi"/>
                <w:lang w:val="fr-FR"/>
              </w:rPr>
              <w:t>État partie informe le Comité des mesures prises pour permettre aux femmes divorcées, abandonnées, veuves sans enfant ou à la fois célibataires et orphelines d</w:t>
            </w:r>
            <w:r w:rsidR="00801F15" w:rsidRPr="001B46CB">
              <w:rPr>
                <w:rFonts w:asciiTheme="majorBidi" w:hAnsiTheme="majorBidi" w:cstheme="majorBidi"/>
                <w:lang w:val="fr-FR"/>
              </w:rPr>
              <w:t>’</w:t>
            </w:r>
            <w:r w:rsidRPr="001B46CB">
              <w:rPr>
                <w:rFonts w:asciiTheme="majorBidi" w:hAnsiTheme="majorBidi" w:cstheme="majorBidi"/>
                <w:lang w:val="fr-FR"/>
              </w:rPr>
              <w:t>obtenir un logement temporaire. Veuillez indiquer les mesures prises pour permettre à toutes les femmes de disposer d</w:t>
            </w:r>
            <w:r w:rsidR="00801F15" w:rsidRPr="001B46CB">
              <w:rPr>
                <w:rFonts w:asciiTheme="majorBidi" w:hAnsiTheme="majorBidi" w:cstheme="majorBidi"/>
                <w:lang w:val="fr-FR"/>
              </w:rPr>
              <w:t>’</w:t>
            </w:r>
            <w:r w:rsidRPr="001B46CB">
              <w:rPr>
                <w:rFonts w:asciiTheme="majorBidi" w:hAnsiTheme="majorBidi" w:cstheme="majorBidi"/>
                <w:lang w:val="fr-FR"/>
              </w:rPr>
              <w:t>un logement permanent, y compris avec une aide accordée par l</w:t>
            </w:r>
            <w:r w:rsidR="00801F15" w:rsidRPr="001B46CB">
              <w:rPr>
                <w:rFonts w:asciiTheme="majorBidi" w:hAnsiTheme="majorBidi" w:cstheme="majorBidi"/>
                <w:lang w:val="fr-FR"/>
              </w:rPr>
              <w:t>’</w:t>
            </w:r>
            <w:r w:rsidRPr="001B46CB">
              <w:rPr>
                <w:rFonts w:asciiTheme="majorBidi" w:hAnsiTheme="majorBidi" w:cstheme="majorBidi"/>
                <w:lang w:val="fr-FR"/>
              </w:rPr>
              <w:t>État, sans avoir à obtenir l</w:t>
            </w:r>
            <w:r w:rsidR="00801F15" w:rsidRPr="001B46CB">
              <w:rPr>
                <w:rFonts w:asciiTheme="majorBidi" w:hAnsiTheme="majorBidi" w:cstheme="majorBidi"/>
                <w:lang w:val="fr-FR"/>
              </w:rPr>
              <w:t>’</w:t>
            </w:r>
            <w:r w:rsidRPr="001B46CB">
              <w:rPr>
                <w:rFonts w:asciiTheme="majorBidi" w:hAnsiTheme="majorBidi" w:cstheme="majorBidi"/>
                <w:lang w:val="fr-FR"/>
              </w:rPr>
              <w:t>autorisation de leur mari ou ex-mari.</w:t>
            </w:r>
          </w:p>
        </w:tc>
      </w:tr>
      <w:tr w:rsidR="0096193D" w:rsidRPr="001B46CB" w14:paraId="7A1AC0F9" w14:textId="77777777" w:rsidTr="00767A10">
        <w:trPr>
          <w:gridAfter w:val="1"/>
          <w:wAfter w:w="63" w:type="pct"/>
          <w:tblCellSpacing w:w="20" w:type="dxa"/>
          <w:jc w:val="center"/>
        </w:trPr>
        <w:tc>
          <w:tcPr>
            <w:tcW w:w="4876" w:type="pct"/>
            <w:gridSpan w:val="7"/>
            <w:shd w:val="clear" w:color="auto" w:fill="C4BC96" w:themeFill="background2" w:themeFillShade="BF"/>
          </w:tcPr>
          <w:p w14:paraId="56118B53" w14:textId="77777777" w:rsidR="00F36F51" w:rsidRPr="001B46CB" w:rsidRDefault="00F36F51" w:rsidP="00F4463A">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Réponse</w:t>
            </w:r>
          </w:p>
        </w:tc>
      </w:tr>
      <w:tr w:rsidR="0096193D" w:rsidRPr="001B46CB" w14:paraId="57F7F2A8" w14:textId="77777777" w:rsidTr="00767A10">
        <w:trPr>
          <w:gridAfter w:val="1"/>
          <w:wAfter w:w="63" w:type="pct"/>
          <w:tblCellSpacing w:w="20" w:type="dxa"/>
          <w:jc w:val="center"/>
        </w:trPr>
        <w:tc>
          <w:tcPr>
            <w:tcW w:w="4876" w:type="pct"/>
            <w:gridSpan w:val="7"/>
            <w:shd w:val="clear" w:color="auto" w:fill="auto"/>
            <w:vAlign w:val="center"/>
          </w:tcPr>
          <w:p w14:paraId="6F6A033F" w14:textId="0B0E6016" w:rsidR="00F36F51" w:rsidRPr="001B46CB" w:rsidRDefault="00F36F51" w:rsidP="00F4463A">
            <w:pPr>
              <w:pStyle w:val="ListParagraph"/>
              <w:numPr>
                <w:ilvl w:val="0"/>
                <w:numId w:val="43"/>
              </w:numPr>
              <w:spacing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À Bahreïn, le logement est considéré comme un droit qu</w:t>
            </w:r>
            <w:r w:rsidR="00801F15" w:rsidRPr="001B46CB">
              <w:rPr>
                <w:rFonts w:asciiTheme="majorBidi" w:hAnsiTheme="majorBidi" w:cstheme="majorBidi"/>
                <w:lang w:val="fr-FR"/>
              </w:rPr>
              <w:t>’</w:t>
            </w:r>
            <w:r w:rsidRPr="001B46CB">
              <w:rPr>
                <w:rFonts w:asciiTheme="majorBidi" w:hAnsiTheme="majorBidi" w:cstheme="majorBidi"/>
                <w:lang w:val="fr-FR"/>
              </w:rPr>
              <w:t>ont toutes les familles. Le logement est accordé à une personne non pas parce que le bénéficiaire est un homme mais parce qu</w:t>
            </w:r>
            <w:r w:rsidR="00801F15" w:rsidRPr="001B46CB">
              <w:rPr>
                <w:rFonts w:asciiTheme="majorBidi" w:hAnsiTheme="majorBidi" w:cstheme="majorBidi"/>
                <w:lang w:val="fr-FR"/>
              </w:rPr>
              <w:t>’</w:t>
            </w:r>
            <w:r w:rsidRPr="001B46CB">
              <w:rPr>
                <w:rFonts w:asciiTheme="majorBidi" w:hAnsiTheme="majorBidi" w:cstheme="majorBidi"/>
                <w:lang w:val="fr-FR"/>
              </w:rPr>
              <w:t>il est chef de ménage. Le chef de famille peut être un homme ou une femme selon son statut social et sa situation de famille. Pour exercer ce droit, le bénéficiaire doit être chef de ménage. Les catégories de familles ayant droit à un logement, dont les femmes, sont définies dans la loi sur le logement. L</w:t>
            </w:r>
            <w:r w:rsidR="00801F15" w:rsidRPr="001B46CB">
              <w:rPr>
                <w:rFonts w:asciiTheme="majorBidi" w:hAnsiTheme="majorBidi" w:cstheme="majorBidi"/>
                <w:lang w:val="fr-FR"/>
              </w:rPr>
              <w:t>’</w:t>
            </w:r>
            <w:r w:rsidRPr="001B46CB">
              <w:rPr>
                <w:rFonts w:asciiTheme="majorBidi" w:hAnsiTheme="majorBidi" w:cstheme="majorBidi"/>
                <w:lang w:val="fr-FR"/>
              </w:rPr>
              <w:t>article 4 de la décision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909 de 2015 concernant le règlement relatif au logement prévoit ce qui suit</w:t>
            </w:r>
            <w:r w:rsidR="00801F15" w:rsidRPr="001B46CB">
              <w:rPr>
                <w:rFonts w:asciiTheme="majorBidi" w:hAnsiTheme="majorBidi" w:cstheme="majorBidi"/>
                <w:lang w:val="fr-FR"/>
              </w:rPr>
              <w:t> :</w:t>
            </w:r>
          </w:p>
          <w:p w14:paraId="510B6C37" w14:textId="3D619434" w:rsidR="00F36F51" w:rsidRPr="001B46CB" w:rsidRDefault="00F36F51" w:rsidP="00F4463A">
            <w:pPr>
              <w:pStyle w:val="ListParagraph"/>
              <w:numPr>
                <w:ilvl w:val="0"/>
                <w:numId w:val="43"/>
              </w:numPr>
              <w:spacing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Le chef de famille désigne chacune des catégories ci-après, mentionnées à l</w:t>
            </w:r>
            <w:r w:rsidR="00801F15" w:rsidRPr="001B46CB">
              <w:rPr>
                <w:rFonts w:asciiTheme="majorBidi" w:hAnsiTheme="majorBidi" w:cstheme="majorBidi"/>
                <w:lang w:val="fr-FR"/>
              </w:rPr>
              <w:t>’</w:t>
            </w:r>
            <w:r w:rsidRPr="001B46CB">
              <w:rPr>
                <w:rFonts w:asciiTheme="majorBidi" w:hAnsiTheme="majorBidi" w:cstheme="majorBidi"/>
                <w:lang w:val="fr-FR"/>
              </w:rPr>
              <w:t>article 3 de la décision</w:t>
            </w:r>
            <w:r w:rsidR="00801F15" w:rsidRPr="001B46CB">
              <w:rPr>
                <w:rFonts w:asciiTheme="majorBidi" w:hAnsiTheme="majorBidi" w:cstheme="majorBidi"/>
                <w:lang w:val="fr-FR"/>
              </w:rPr>
              <w:t> :</w:t>
            </w:r>
          </w:p>
          <w:p w14:paraId="3E435C36" w14:textId="028D5DC2" w:rsidR="00F36F51" w:rsidRPr="001B46CB" w:rsidRDefault="00AB119C" w:rsidP="00767A10">
            <w:pPr>
              <w:spacing w:line="240" w:lineRule="auto"/>
              <w:ind w:left="720" w:right="144" w:hanging="360"/>
              <w:jc w:val="both"/>
              <w:rPr>
                <w:rFonts w:asciiTheme="majorBidi" w:hAnsiTheme="majorBidi" w:cstheme="majorBidi"/>
                <w:color w:val="000000" w:themeColor="text1"/>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la première catégorie</w:t>
            </w:r>
            <w:r w:rsidR="00801F15" w:rsidRPr="001B46CB">
              <w:rPr>
                <w:rFonts w:asciiTheme="majorBidi" w:hAnsiTheme="majorBidi" w:cstheme="majorBidi"/>
                <w:lang w:val="fr-FR"/>
              </w:rPr>
              <w:t xml:space="preserve"> : </w:t>
            </w:r>
            <w:r w:rsidR="00F36F51" w:rsidRPr="001B46CB">
              <w:rPr>
                <w:rFonts w:asciiTheme="majorBidi" w:hAnsiTheme="majorBidi" w:cstheme="majorBidi"/>
                <w:lang w:val="fr-FR"/>
              </w:rPr>
              <w:t>l</w:t>
            </w:r>
            <w:r w:rsidR="00801F15" w:rsidRPr="001B46CB">
              <w:rPr>
                <w:rFonts w:asciiTheme="majorBidi" w:hAnsiTheme="majorBidi" w:cstheme="majorBidi"/>
                <w:lang w:val="fr-FR"/>
              </w:rPr>
              <w:t>’</w:t>
            </w:r>
            <w:r w:rsidR="00F36F51" w:rsidRPr="001B46CB">
              <w:rPr>
                <w:rFonts w:asciiTheme="majorBidi" w:hAnsiTheme="majorBidi" w:cstheme="majorBidi"/>
                <w:lang w:val="fr-FR"/>
              </w:rPr>
              <w:t>époux bahreïnien ou l</w:t>
            </w:r>
            <w:r w:rsidR="00801F15" w:rsidRPr="001B46CB">
              <w:rPr>
                <w:rFonts w:asciiTheme="majorBidi" w:hAnsiTheme="majorBidi" w:cstheme="majorBidi"/>
                <w:lang w:val="fr-FR"/>
              </w:rPr>
              <w:t>’</w:t>
            </w:r>
            <w:r w:rsidR="00F36F51" w:rsidRPr="001B46CB">
              <w:rPr>
                <w:rFonts w:asciiTheme="majorBidi" w:hAnsiTheme="majorBidi" w:cstheme="majorBidi"/>
                <w:lang w:val="fr-FR"/>
              </w:rPr>
              <w:t>épouse bahreïnienne, avec le consentement de son mari, ou les deux époux, d</w:t>
            </w:r>
            <w:r w:rsidR="00801F15" w:rsidRPr="001B46CB">
              <w:rPr>
                <w:rFonts w:asciiTheme="majorBidi" w:hAnsiTheme="majorBidi" w:cstheme="majorBidi"/>
                <w:lang w:val="fr-FR"/>
              </w:rPr>
              <w:t>’</w:t>
            </w:r>
            <w:r w:rsidR="00F36F51" w:rsidRPr="001B46CB">
              <w:rPr>
                <w:rFonts w:asciiTheme="majorBidi" w:hAnsiTheme="majorBidi" w:cstheme="majorBidi"/>
                <w:lang w:val="fr-FR"/>
              </w:rPr>
              <w:t>un commun accord</w:t>
            </w:r>
            <w:r w:rsidR="00801F15" w:rsidRPr="001B46CB">
              <w:rPr>
                <w:rFonts w:asciiTheme="majorBidi" w:hAnsiTheme="majorBidi" w:cstheme="majorBidi"/>
                <w:lang w:val="fr-FR"/>
              </w:rPr>
              <w:t> ;</w:t>
            </w:r>
          </w:p>
          <w:p w14:paraId="3935627A" w14:textId="20129140" w:rsidR="00F36F51" w:rsidRPr="001B46CB" w:rsidRDefault="00AB119C" w:rsidP="00F4463A">
            <w:pPr>
              <w:spacing w:line="240" w:lineRule="auto"/>
              <w:ind w:left="720" w:hanging="360"/>
              <w:jc w:val="both"/>
              <w:rPr>
                <w:rFonts w:asciiTheme="majorBidi" w:hAnsiTheme="majorBidi" w:cstheme="majorBidi"/>
                <w:color w:val="000000" w:themeColor="text1"/>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la deuxième catégorie</w:t>
            </w:r>
            <w:r w:rsidR="00801F15" w:rsidRPr="001B46CB">
              <w:rPr>
                <w:rFonts w:asciiTheme="majorBidi" w:hAnsiTheme="majorBidi" w:cstheme="majorBidi"/>
                <w:lang w:val="fr-FR"/>
              </w:rPr>
              <w:t> :</w:t>
            </w:r>
            <w:r w:rsidR="00F36F51" w:rsidRPr="001B46CB">
              <w:rPr>
                <w:rFonts w:asciiTheme="majorBidi" w:hAnsiTheme="majorBidi" w:cstheme="majorBidi"/>
                <w:lang w:val="fr-FR"/>
              </w:rPr>
              <w:t xml:space="preserve"> l</w:t>
            </w:r>
            <w:r w:rsidR="00801F15" w:rsidRPr="001B46CB">
              <w:rPr>
                <w:rFonts w:asciiTheme="majorBidi" w:hAnsiTheme="majorBidi" w:cstheme="majorBidi"/>
                <w:lang w:val="fr-FR"/>
              </w:rPr>
              <w:t>’</w:t>
            </w:r>
            <w:r w:rsidR="00F36F51" w:rsidRPr="001B46CB">
              <w:rPr>
                <w:rFonts w:asciiTheme="majorBidi" w:hAnsiTheme="majorBidi" w:cstheme="majorBidi"/>
                <w:lang w:val="fr-FR"/>
              </w:rPr>
              <w:t>un des parents ou l</w:t>
            </w:r>
            <w:r w:rsidR="00801F15" w:rsidRPr="001B46CB">
              <w:rPr>
                <w:rFonts w:asciiTheme="majorBidi" w:hAnsiTheme="majorBidi" w:cstheme="majorBidi"/>
                <w:lang w:val="fr-FR"/>
              </w:rPr>
              <w:t>’</w:t>
            </w:r>
            <w:r w:rsidR="00F36F51" w:rsidRPr="001B46CB">
              <w:rPr>
                <w:rFonts w:asciiTheme="majorBidi" w:hAnsiTheme="majorBidi" w:cstheme="majorBidi"/>
                <w:lang w:val="fr-FR"/>
              </w:rPr>
              <w:t>épouse bahreïnienne</w:t>
            </w:r>
            <w:r w:rsidR="00801F15" w:rsidRPr="001B46CB">
              <w:rPr>
                <w:rFonts w:asciiTheme="majorBidi" w:hAnsiTheme="majorBidi" w:cstheme="majorBidi"/>
                <w:lang w:val="fr-FR"/>
              </w:rPr>
              <w:t> ;</w:t>
            </w:r>
          </w:p>
          <w:p w14:paraId="1F358A7A" w14:textId="035B0ECF" w:rsidR="00801F15" w:rsidRPr="001B46CB" w:rsidRDefault="00AB119C" w:rsidP="00F4463A">
            <w:pPr>
              <w:spacing w:line="240" w:lineRule="auto"/>
              <w:ind w:left="720" w:hanging="360"/>
              <w:jc w:val="both"/>
              <w:rPr>
                <w:rFonts w:asciiTheme="majorBidi" w:hAnsiTheme="majorBidi" w:cstheme="majorBidi"/>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la troisième catégorie</w:t>
            </w:r>
            <w:r w:rsidR="00801F15" w:rsidRPr="001B46CB">
              <w:rPr>
                <w:rFonts w:asciiTheme="majorBidi" w:hAnsiTheme="majorBidi" w:cstheme="majorBidi"/>
                <w:lang w:val="fr-FR"/>
              </w:rPr>
              <w:t> :</w:t>
            </w:r>
            <w:r w:rsidR="00F36F51" w:rsidRPr="001B46CB">
              <w:rPr>
                <w:rFonts w:asciiTheme="majorBidi" w:hAnsiTheme="majorBidi" w:cstheme="majorBidi"/>
                <w:lang w:val="fr-FR"/>
              </w:rPr>
              <w:t xml:space="preserve"> l</w:t>
            </w:r>
            <w:r w:rsidR="00801F15" w:rsidRPr="001B46CB">
              <w:rPr>
                <w:rFonts w:asciiTheme="majorBidi" w:hAnsiTheme="majorBidi" w:cstheme="majorBidi"/>
                <w:lang w:val="fr-FR"/>
              </w:rPr>
              <w:t>’</w:t>
            </w:r>
            <w:r w:rsidR="00F36F51" w:rsidRPr="001B46CB">
              <w:rPr>
                <w:rFonts w:asciiTheme="majorBidi" w:hAnsiTheme="majorBidi" w:cstheme="majorBidi"/>
                <w:lang w:val="fr-FR"/>
              </w:rPr>
              <w:t>enfant choisi conformément aux dispositions relatives à cette catégorie</w:t>
            </w:r>
            <w:r w:rsidR="00801F15" w:rsidRPr="001B46CB">
              <w:rPr>
                <w:rFonts w:asciiTheme="majorBidi" w:hAnsiTheme="majorBidi" w:cstheme="majorBidi"/>
                <w:lang w:val="fr-FR"/>
              </w:rPr>
              <w:t> ;</w:t>
            </w:r>
          </w:p>
          <w:p w14:paraId="0F90CAA4" w14:textId="5753C469" w:rsidR="00801F15" w:rsidRPr="001B46CB" w:rsidRDefault="00AB119C" w:rsidP="00F4463A">
            <w:pPr>
              <w:spacing w:line="240" w:lineRule="auto"/>
              <w:ind w:left="720" w:hanging="360"/>
              <w:jc w:val="both"/>
              <w:rPr>
                <w:rFonts w:asciiTheme="majorBidi" w:hAnsiTheme="majorBidi" w:cstheme="majorBidi"/>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la quatrième catégorie</w:t>
            </w:r>
            <w:r w:rsidR="00801F15" w:rsidRPr="001B46CB">
              <w:rPr>
                <w:rFonts w:asciiTheme="majorBidi" w:hAnsiTheme="majorBidi" w:cstheme="majorBidi"/>
                <w:lang w:val="fr-FR"/>
              </w:rPr>
              <w:t> :</w:t>
            </w:r>
            <w:r w:rsidR="00F36F51" w:rsidRPr="001B46CB">
              <w:rPr>
                <w:rFonts w:asciiTheme="majorBidi" w:hAnsiTheme="majorBidi" w:cstheme="majorBidi"/>
                <w:lang w:val="fr-FR"/>
              </w:rPr>
              <w:t xml:space="preserve"> l</w:t>
            </w:r>
            <w:r w:rsidR="00801F15" w:rsidRPr="001B46CB">
              <w:rPr>
                <w:rFonts w:asciiTheme="majorBidi" w:hAnsiTheme="majorBidi" w:cstheme="majorBidi"/>
                <w:lang w:val="fr-FR"/>
              </w:rPr>
              <w:t>’</w:t>
            </w:r>
            <w:r w:rsidR="00F36F51" w:rsidRPr="001B46CB">
              <w:rPr>
                <w:rFonts w:asciiTheme="majorBidi" w:hAnsiTheme="majorBidi" w:cstheme="majorBidi"/>
                <w:lang w:val="fr-FR"/>
              </w:rPr>
              <w:t>enfant âgé de 21 ans</w:t>
            </w:r>
            <w:r w:rsidR="00801F15" w:rsidRPr="001B46CB">
              <w:rPr>
                <w:rFonts w:asciiTheme="majorBidi" w:hAnsiTheme="majorBidi" w:cstheme="majorBidi"/>
                <w:lang w:val="fr-FR"/>
              </w:rPr>
              <w:t> ;</w:t>
            </w:r>
          </w:p>
          <w:p w14:paraId="05A37479" w14:textId="43A2C63D" w:rsidR="00F36F51" w:rsidRPr="001B46CB" w:rsidRDefault="00AB119C" w:rsidP="00F4463A">
            <w:pPr>
              <w:spacing w:line="240" w:lineRule="auto"/>
              <w:ind w:left="720" w:hanging="360"/>
              <w:jc w:val="both"/>
              <w:rPr>
                <w:rFonts w:asciiTheme="majorBidi" w:hAnsiTheme="majorBidi" w:cstheme="majorBidi"/>
                <w:color w:val="000000" w:themeColor="text1"/>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la cinquième catégorie</w:t>
            </w:r>
            <w:r w:rsidR="00801F15" w:rsidRPr="001B46CB">
              <w:rPr>
                <w:rFonts w:asciiTheme="majorBidi" w:hAnsiTheme="majorBidi" w:cstheme="majorBidi"/>
                <w:lang w:val="fr-FR"/>
              </w:rPr>
              <w:t> :</w:t>
            </w:r>
            <w:r w:rsidR="00F36F51" w:rsidRPr="001B46CB">
              <w:rPr>
                <w:rFonts w:asciiTheme="majorBidi" w:hAnsiTheme="majorBidi" w:cstheme="majorBidi"/>
                <w:lang w:val="fr-FR"/>
              </w:rPr>
              <w:t xml:space="preserve"> la femme divorcée, abandonnée, veuve ou célibataire.</w:t>
            </w:r>
          </w:p>
          <w:p w14:paraId="6AB80BF0" w14:textId="2D2D9C1E" w:rsidR="00F36F51" w:rsidRPr="001B46CB" w:rsidRDefault="00F36F51" w:rsidP="00F4463A">
            <w:pPr>
              <w:pStyle w:val="ListParagraph"/>
              <w:numPr>
                <w:ilvl w:val="0"/>
                <w:numId w:val="43"/>
              </w:numPr>
              <w:spacing w:line="240" w:lineRule="auto"/>
              <w:ind w:left="360" w:right="144"/>
              <w:jc w:val="both"/>
              <w:rPr>
                <w:rFonts w:asciiTheme="majorBidi" w:hAnsiTheme="majorBidi" w:cstheme="majorBidi"/>
                <w:lang w:val="fr-FR"/>
              </w:rPr>
            </w:pPr>
            <w:r w:rsidRPr="001B46CB">
              <w:rPr>
                <w:rFonts w:asciiTheme="majorBidi" w:hAnsiTheme="majorBidi" w:cstheme="majorBidi"/>
                <w:lang w:val="fr-FR"/>
              </w:rPr>
              <w:t>En ce qui concerne le droit des femmes divorcées, abandonnées, veuves</w:t>
            </w:r>
            <w:r w:rsidR="00801F15" w:rsidRPr="001B46CB">
              <w:rPr>
                <w:rFonts w:asciiTheme="majorBidi" w:hAnsiTheme="majorBidi" w:cstheme="majorBidi"/>
                <w:lang w:val="fr-FR"/>
              </w:rPr>
              <w:t xml:space="preserve"> </w:t>
            </w:r>
            <w:r w:rsidRPr="001B46CB">
              <w:rPr>
                <w:rFonts w:asciiTheme="majorBidi" w:hAnsiTheme="majorBidi" w:cstheme="majorBidi"/>
                <w:lang w:val="fr-FR"/>
              </w:rPr>
              <w:t>ou à la fois célibataires et orphelines de père et de mère d</w:t>
            </w:r>
            <w:r w:rsidR="00801F15" w:rsidRPr="001B46CB">
              <w:rPr>
                <w:rFonts w:asciiTheme="majorBidi" w:hAnsiTheme="majorBidi" w:cstheme="majorBidi"/>
                <w:lang w:val="fr-FR"/>
              </w:rPr>
              <w:t>’</w:t>
            </w:r>
            <w:r w:rsidRPr="001B46CB">
              <w:rPr>
                <w:rFonts w:asciiTheme="majorBidi" w:hAnsiTheme="majorBidi" w:cstheme="majorBidi"/>
                <w:lang w:val="fr-FR"/>
              </w:rPr>
              <w:t>obtenir un logement, Bahreïn réitère ce qui figure dans son quatrième rapport périodique au sujet de l</w:t>
            </w:r>
            <w:r w:rsidR="00801F15" w:rsidRPr="001B46CB">
              <w:rPr>
                <w:rFonts w:asciiTheme="majorBidi" w:hAnsiTheme="majorBidi" w:cstheme="majorBidi"/>
                <w:lang w:val="fr-FR"/>
              </w:rPr>
              <w:t>’</w:t>
            </w:r>
            <w:r w:rsidRPr="001B46CB">
              <w:rPr>
                <w:rFonts w:asciiTheme="majorBidi" w:hAnsiTheme="majorBidi" w:cstheme="majorBidi"/>
                <w:lang w:val="fr-FR"/>
              </w:rPr>
              <w:t>accès des personnes de la cinquième catégorie aux services de logement temporaires. L</w:t>
            </w:r>
            <w:r w:rsidR="00801F15" w:rsidRPr="001B46CB">
              <w:rPr>
                <w:rFonts w:asciiTheme="majorBidi" w:hAnsiTheme="majorBidi" w:cstheme="majorBidi"/>
                <w:lang w:val="fr-FR"/>
              </w:rPr>
              <w:t>’</w:t>
            </w:r>
            <w:r w:rsidRPr="001B46CB">
              <w:rPr>
                <w:rFonts w:asciiTheme="majorBidi" w:hAnsiTheme="majorBidi" w:cstheme="majorBidi"/>
                <w:lang w:val="fr-FR"/>
              </w:rPr>
              <w:t>acceptation des demandes est laissée à l</w:t>
            </w:r>
            <w:r w:rsidR="00801F15" w:rsidRPr="001B46CB">
              <w:rPr>
                <w:rFonts w:asciiTheme="majorBidi" w:hAnsiTheme="majorBidi" w:cstheme="majorBidi"/>
                <w:lang w:val="fr-FR"/>
              </w:rPr>
              <w:t>’</w:t>
            </w:r>
            <w:r w:rsidRPr="001B46CB">
              <w:rPr>
                <w:rFonts w:asciiTheme="majorBidi" w:hAnsiTheme="majorBidi" w:cstheme="majorBidi"/>
                <w:lang w:val="fr-FR"/>
              </w:rPr>
              <w:t>appréciation de la commission du logement. Dans le cadre de ces services, une femme peut bénéficier d</w:t>
            </w:r>
            <w:r w:rsidR="00801F15" w:rsidRPr="001B46CB">
              <w:rPr>
                <w:rFonts w:asciiTheme="majorBidi" w:hAnsiTheme="majorBidi" w:cstheme="majorBidi"/>
                <w:lang w:val="fr-FR"/>
              </w:rPr>
              <w:t>’</w:t>
            </w:r>
            <w:r w:rsidRPr="001B46CB">
              <w:rPr>
                <w:rFonts w:asciiTheme="majorBidi" w:hAnsiTheme="majorBidi" w:cstheme="majorBidi"/>
                <w:lang w:val="fr-FR"/>
              </w:rPr>
              <w:t>un logement à vie selon des règles et conditions précises.</w:t>
            </w:r>
          </w:p>
          <w:p w14:paraId="5791E61D" w14:textId="77777777" w:rsidR="00801F15" w:rsidRPr="001B46CB" w:rsidRDefault="00F36F51" w:rsidP="00F4463A">
            <w:pPr>
              <w:pStyle w:val="ListParagraph"/>
              <w:numPr>
                <w:ilvl w:val="0"/>
                <w:numId w:val="43"/>
              </w:numPr>
              <w:spacing w:after="20" w:line="240" w:lineRule="auto"/>
              <w:ind w:left="360" w:right="144"/>
              <w:contextualSpacing w:val="0"/>
              <w:jc w:val="both"/>
              <w:rPr>
                <w:rFonts w:asciiTheme="majorBidi" w:hAnsiTheme="majorBidi" w:cstheme="majorBidi"/>
                <w:lang w:val="fr-FR"/>
              </w:rPr>
            </w:pPr>
            <w:r w:rsidRPr="001B46CB">
              <w:rPr>
                <w:rFonts w:asciiTheme="majorBidi" w:hAnsiTheme="majorBidi" w:cstheme="majorBidi"/>
                <w:lang w:val="fr-FR"/>
              </w:rPr>
              <w:t>Le Royaume garantit l</w:t>
            </w:r>
            <w:r w:rsidR="00801F15" w:rsidRPr="001B46CB">
              <w:rPr>
                <w:rFonts w:asciiTheme="majorBidi" w:hAnsiTheme="majorBidi" w:cstheme="majorBidi"/>
                <w:lang w:val="fr-FR"/>
              </w:rPr>
              <w:t>’</w:t>
            </w:r>
            <w:r w:rsidRPr="001B46CB">
              <w:rPr>
                <w:rFonts w:asciiTheme="majorBidi" w:hAnsiTheme="majorBidi" w:cstheme="majorBidi"/>
                <w:lang w:val="fr-FR"/>
              </w:rPr>
              <w:t>égalité femmes-hommes pour ce qui est des conditions à remplir. L</w:t>
            </w:r>
            <w:r w:rsidR="00801F15" w:rsidRPr="001B46CB">
              <w:rPr>
                <w:rFonts w:asciiTheme="majorBidi" w:hAnsiTheme="majorBidi" w:cstheme="majorBidi"/>
                <w:lang w:val="fr-FR"/>
              </w:rPr>
              <w:t>’</w:t>
            </w:r>
            <w:r w:rsidRPr="001B46CB">
              <w:rPr>
                <w:rFonts w:asciiTheme="majorBidi" w:hAnsiTheme="majorBidi" w:cstheme="majorBidi"/>
                <w:lang w:val="fr-FR"/>
              </w:rPr>
              <w:t xml:space="preserve">épouse, la veuve et la femme divorcée ayant à charge des enfants mineurs ont les mêmes droits que les hommes qui </w:t>
            </w:r>
            <w:r w:rsidRPr="001B46CB">
              <w:rPr>
                <w:rFonts w:asciiTheme="majorBidi" w:hAnsiTheme="majorBidi" w:cstheme="majorBidi"/>
                <w:lang w:val="fr-FR"/>
              </w:rPr>
              <w:lastRenderedPageBreak/>
              <w:t>satisfont aux conditions ouvrant droit aux services de logement. La femme peut y prétendre au titre de n</w:t>
            </w:r>
            <w:r w:rsidR="00801F15" w:rsidRPr="001B46CB">
              <w:rPr>
                <w:rFonts w:asciiTheme="majorBidi" w:hAnsiTheme="majorBidi" w:cstheme="majorBidi"/>
                <w:lang w:val="fr-FR"/>
              </w:rPr>
              <w:t>’</w:t>
            </w:r>
            <w:r w:rsidRPr="001B46CB">
              <w:rPr>
                <w:rFonts w:asciiTheme="majorBidi" w:hAnsiTheme="majorBidi" w:cstheme="majorBidi"/>
                <w:lang w:val="fr-FR"/>
              </w:rPr>
              <w:t>importe quelle catégorie de famille, mais le Ministère est allé plus loin et a réservé des services aux femmes célibataires, veuves et divorcées ou abandonnées sans enfants (la cinquième catégorie).</w:t>
            </w:r>
          </w:p>
          <w:p w14:paraId="1E2F8306" w14:textId="40BAC12E" w:rsidR="00F36F51" w:rsidRPr="001B46CB" w:rsidRDefault="00F36F51" w:rsidP="00F4463A">
            <w:pPr>
              <w:pStyle w:val="ListParagraph"/>
              <w:numPr>
                <w:ilvl w:val="0"/>
                <w:numId w:val="43"/>
              </w:numPr>
              <w:spacing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La femme bahreïnienne mariée à un étranger dont les enfants mineurs sont de nationalité bahreïnienne entre dans la catégorie des bénéficiaires principaux de l</w:t>
            </w:r>
            <w:r w:rsidR="00801F15" w:rsidRPr="001B46CB">
              <w:rPr>
                <w:rFonts w:asciiTheme="majorBidi" w:hAnsiTheme="majorBidi" w:cstheme="majorBidi"/>
                <w:lang w:val="fr-FR"/>
              </w:rPr>
              <w:t>’</w:t>
            </w:r>
            <w:r w:rsidRPr="001B46CB">
              <w:rPr>
                <w:rFonts w:asciiTheme="majorBidi" w:hAnsiTheme="majorBidi" w:cstheme="majorBidi"/>
                <w:lang w:val="fr-FR"/>
              </w:rPr>
              <w:t>aide au logement et non dans celle des personnes ayant accès uniquement à un logement temporaire.</w:t>
            </w:r>
          </w:p>
          <w:p w14:paraId="1FC234DB" w14:textId="6A174143" w:rsidR="00F36F51" w:rsidRPr="001B46CB" w:rsidRDefault="00F36F51" w:rsidP="00F4463A">
            <w:pPr>
              <w:pStyle w:val="ListParagraph"/>
              <w:numPr>
                <w:ilvl w:val="0"/>
                <w:numId w:val="43"/>
              </w:numPr>
              <w:spacing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Une aide au logement est versée aux Bahreïniennes dont la cellule familiale correspond à la deuxième catégorie (divorcées ou veuves) afin qu</w:t>
            </w:r>
            <w:r w:rsidR="00801F15" w:rsidRPr="001B46CB">
              <w:rPr>
                <w:rFonts w:asciiTheme="majorBidi" w:hAnsiTheme="majorBidi" w:cstheme="majorBidi"/>
                <w:lang w:val="fr-FR"/>
              </w:rPr>
              <w:t>’</w:t>
            </w:r>
            <w:r w:rsidRPr="001B46CB">
              <w:rPr>
                <w:rFonts w:asciiTheme="majorBidi" w:hAnsiTheme="majorBidi" w:cstheme="majorBidi"/>
                <w:lang w:val="fr-FR"/>
              </w:rPr>
              <w:t>elles puissent avoir accès à un logement convenable à compter de la date d</w:t>
            </w:r>
            <w:r w:rsidR="00801F15" w:rsidRPr="001B46CB">
              <w:rPr>
                <w:rFonts w:asciiTheme="majorBidi" w:hAnsiTheme="majorBidi" w:cstheme="majorBidi"/>
                <w:lang w:val="fr-FR"/>
              </w:rPr>
              <w:t>’</w:t>
            </w:r>
            <w:r w:rsidRPr="001B46CB">
              <w:rPr>
                <w:rFonts w:asciiTheme="majorBidi" w:hAnsiTheme="majorBidi" w:cstheme="majorBidi"/>
                <w:lang w:val="fr-FR"/>
              </w:rPr>
              <w:t>acceptation de la demande alors que les hommes ne perçoivent cette allocation que cinq ans à compter de l</w:t>
            </w:r>
            <w:r w:rsidR="00801F15" w:rsidRPr="001B46CB">
              <w:rPr>
                <w:rFonts w:asciiTheme="majorBidi" w:hAnsiTheme="majorBidi" w:cstheme="majorBidi"/>
                <w:lang w:val="fr-FR"/>
              </w:rPr>
              <w:t>’</w:t>
            </w:r>
            <w:r w:rsidRPr="001B46CB">
              <w:rPr>
                <w:rFonts w:asciiTheme="majorBidi" w:hAnsiTheme="majorBidi" w:cstheme="majorBidi"/>
                <w:lang w:val="fr-FR"/>
              </w:rPr>
              <w:t>acceptation de la demande.</w:t>
            </w:r>
          </w:p>
          <w:p w14:paraId="78726775" w14:textId="13F76D8F" w:rsidR="00F36F51" w:rsidRPr="001B46CB" w:rsidRDefault="00F36F51" w:rsidP="00F4463A">
            <w:pPr>
              <w:pStyle w:val="ListParagraph"/>
              <w:numPr>
                <w:ilvl w:val="0"/>
                <w:numId w:val="43"/>
              </w:numPr>
              <w:spacing w:after="20" w:line="240" w:lineRule="auto"/>
              <w:ind w:left="360" w:right="144"/>
              <w:contextualSpacing w:val="0"/>
              <w:jc w:val="both"/>
              <w:rPr>
                <w:rFonts w:asciiTheme="majorBidi" w:hAnsiTheme="majorBidi" w:cstheme="majorBidi"/>
                <w:lang w:val="fr-FR"/>
              </w:rPr>
            </w:pPr>
            <w:r w:rsidRPr="001B46CB">
              <w:rPr>
                <w:rFonts w:asciiTheme="majorBidi" w:hAnsiTheme="majorBidi" w:cstheme="majorBidi"/>
                <w:lang w:val="fr-FR"/>
              </w:rPr>
              <w:t>Par ailleurs, l</w:t>
            </w:r>
            <w:r w:rsidR="00801F15" w:rsidRPr="001B46CB">
              <w:rPr>
                <w:rFonts w:asciiTheme="majorBidi" w:hAnsiTheme="majorBidi" w:cstheme="majorBidi"/>
                <w:lang w:val="fr-FR"/>
              </w:rPr>
              <w:t>’</w:t>
            </w:r>
            <w:r w:rsidRPr="001B46CB">
              <w:rPr>
                <w:rFonts w:asciiTheme="majorBidi" w:hAnsiTheme="majorBidi" w:cstheme="majorBidi"/>
                <w:lang w:val="fr-FR"/>
              </w:rPr>
              <w:t>épouse peut être copropriétaire du logement si son époux le souhaite, sans qu</w:t>
            </w:r>
            <w:r w:rsidR="00801F15" w:rsidRPr="001B46CB">
              <w:rPr>
                <w:rFonts w:asciiTheme="majorBidi" w:hAnsiTheme="majorBidi" w:cstheme="majorBidi"/>
                <w:lang w:val="fr-FR"/>
              </w:rPr>
              <w:t>’</w:t>
            </w:r>
            <w:r w:rsidRPr="001B46CB">
              <w:rPr>
                <w:rFonts w:asciiTheme="majorBidi" w:hAnsiTheme="majorBidi" w:cstheme="majorBidi"/>
                <w:lang w:val="fr-FR"/>
              </w:rPr>
              <w:t>elle n</w:t>
            </w:r>
            <w:r w:rsidR="00801F15" w:rsidRPr="001B46CB">
              <w:rPr>
                <w:rFonts w:asciiTheme="majorBidi" w:hAnsiTheme="majorBidi" w:cstheme="majorBidi"/>
                <w:lang w:val="fr-FR"/>
              </w:rPr>
              <w:t>’</w:t>
            </w:r>
            <w:r w:rsidRPr="001B46CB">
              <w:rPr>
                <w:rFonts w:asciiTheme="majorBidi" w:hAnsiTheme="majorBidi" w:cstheme="majorBidi"/>
                <w:lang w:val="fr-FR"/>
              </w:rPr>
              <w:t>ait à contribuer aux remboursements échelonnés, la demande peut être transférée au nom de l</w:t>
            </w:r>
            <w:r w:rsidR="00801F15" w:rsidRPr="001B46CB">
              <w:rPr>
                <w:rFonts w:asciiTheme="majorBidi" w:hAnsiTheme="majorBidi" w:cstheme="majorBidi"/>
                <w:lang w:val="fr-FR"/>
              </w:rPr>
              <w:t>’</w:t>
            </w:r>
            <w:r w:rsidRPr="001B46CB">
              <w:rPr>
                <w:rFonts w:asciiTheme="majorBidi" w:hAnsiTheme="majorBidi" w:cstheme="majorBidi"/>
                <w:lang w:val="fr-FR"/>
              </w:rPr>
              <w:t>épouse en cas de décès du mari ou si celui-ci ne satisfait plus aux critères ouvrant droit aux services d</w:t>
            </w:r>
            <w:r w:rsidR="00801F15" w:rsidRPr="001B46CB">
              <w:rPr>
                <w:rFonts w:asciiTheme="majorBidi" w:hAnsiTheme="majorBidi" w:cstheme="majorBidi"/>
                <w:lang w:val="fr-FR"/>
              </w:rPr>
              <w:t>’</w:t>
            </w:r>
            <w:r w:rsidRPr="001B46CB">
              <w:rPr>
                <w:rFonts w:asciiTheme="majorBidi" w:hAnsiTheme="majorBidi" w:cstheme="majorBidi"/>
                <w:lang w:val="fr-FR"/>
              </w:rPr>
              <w:t>aide au logement, à condition que la femme réunisse les conditions à remplir et forme une cellule familiale indépendante.</w:t>
            </w:r>
          </w:p>
        </w:tc>
      </w:tr>
      <w:tr w:rsidR="0096193D" w:rsidRPr="001B46CB" w14:paraId="4BA39C63" w14:textId="77777777" w:rsidTr="00767A10">
        <w:trPr>
          <w:gridAfter w:val="1"/>
          <w:wAfter w:w="63" w:type="pct"/>
          <w:tblCellSpacing w:w="20" w:type="dxa"/>
          <w:jc w:val="center"/>
        </w:trPr>
        <w:tc>
          <w:tcPr>
            <w:tcW w:w="4876" w:type="pct"/>
            <w:gridSpan w:val="7"/>
            <w:shd w:val="clear" w:color="auto" w:fill="C4BC96" w:themeFill="background2" w:themeFillShade="BF"/>
            <w:vAlign w:val="center"/>
          </w:tcPr>
          <w:p w14:paraId="5E24FA4F" w14:textId="77777777" w:rsidR="00F36F51" w:rsidRPr="001B46CB" w:rsidRDefault="00F36F51" w:rsidP="00F4463A">
            <w:pPr>
              <w:pStyle w:val="ListParagraph"/>
              <w:tabs>
                <w:tab w:val="left" w:pos="377"/>
              </w:tabs>
              <w:spacing w:after="40" w:line="240" w:lineRule="auto"/>
              <w:ind w:left="377"/>
              <w:jc w:val="center"/>
              <w:rPr>
                <w:rFonts w:asciiTheme="majorBidi" w:hAnsiTheme="majorBidi" w:cstheme="majorBidi"/>
                <w:b/>
                <w:bCs/>
                <w:color w:val="000000" w:themeColor="text1"/>
                <w:lang w:val="fr-FR"/>
              </w:rPr>
            </w:pPr>
            <w:r w:rsidRPr="001B46CB">
              <w:rPr>
                <w:rFonts w:asciiTheme="majorBidi" w:hAnsiTheme="majorBidi" w:cstheme="majorBidi"/>
                <w:b/>
                <w:bCs/>
                <w:lang w:val="fr-FR"/>
              </w:rPr>
              <w:lastRenderedPageBreak/>
              <w:t>Observations du Comité</w:t>
            </w:r>
          </w:p>
        </w:tc>
      </w:tr>
      <w:tr w:rsidR="0096193D" w:rsidRPr="001B46CB" w14:paraId="2470A182" w14:textId="77777777" w:rsidTr="00767A10">
        <w:trPr>
          <w:gridAfter w:val="1"/>
          <w:wAfter w:w="63" w:type="pct"/>
          <w:tblCellSpacing w:w="20" w:type="dxa"/>
          <w:jc w:val="center"/>
        </w:trPr>
        <w:tc>
          <w:tcPr>
            <w:tcW w:w="4876" w:type="pct"/>
            <w:gridSpan w:val="7"/>
            <w:shd w:val="clear" w:color="auto" w:fill="auto"/>
            <w:vAlign w:val="center"/>
          </w:tcPr>
          <w:p w14:paraId="5EB36D30" w14:textId="77777777" w:rsidR="00F36F51" w:rsidRPr="001B46CB" w:rsidRDefault="00F36F51" w:rsidP="00F4463A">
            <w:pPr>
              <w:pStyle w:val="ListParagraph"/>
              <w:numPr>
                <w:ilvl w:val="0"/>
                <w:numId w:val="42"/>
              </w:numPr>
              <w:tabs>
                <w:tab w:val="left" w:pos="-31"/>
              </w:tabs>
              <w:spacing w:after="20" w:line="240" w:lineRule="auto"/>
              <w:ind w:left="360" w:right="144"/>
              <w:contextualSpacing w:val="0"/>
              <w:jc w:val="both"/>
              <w:rPr>
                <w:rFonts w:asciiTheme="majorBidi" w:hAnsiTheme="majorBidi" w:cstheme="majorBidi"/>
                <w:b/>
                <w:bCs/>
                <w:color w:val="000000" w:themeColor="text1"/>
                <w:lang w:val="fr-FR"/>
              </w:rPr>
            </w:pPr>
            <w:r w:rsidRPr="001B46CB">
              <w:rPr>
                <w:rFonts w:asciiTheme="majorBidi" w:hAnsiTheme="majorBidi" w:cstheme="majorBidi"/>
                <w:lang w:val="fr-FR"/>
              </w:rPr>
              <w:t>Veuillez fournir des informations sur les mesures prises pour abroger les dispositions légales exigeant le consentement du mari en ce qui concerne la prévention de la grossesse.</w:t>
            </w:r>
          </w:p>
        </w:tc>
      </w:tr>
      <w:tr w:rsidR="0096193D" w:rsidRPr="001B46CB" w14:paraId="1F59A5AB" w14:textId="77777777" w:rsidTr="00767A10">
        <w:trPr>
          <w:gridAfter w:val="1"/>
          <w:wAfter w:w="63" w:type="pct"/>
          <w:tblCellSpacing w:w="20" w:type="dxa"/>
          <w:jc w:val="center"/>
        </w:trPr>
        <w:tc>
          <w:tcPr>
            <w:tcW w:w="4876" w:type="pct"/>
            <w:gridSpan w:val="7"/>
            <w:shd w:val="clear" w:color="auto" w:fill="C4BC96" w:themeFill="background2" w:themeFillShade="BF"/>
            <w:vAlign w:val="center"/>
          </w:tcPr>
          <w:p w14:paraId="0FF0AE41" w14:textId="77777777" w:rsidR="00F36F51" w:rsidRPr="001B46CB" w:rsidRDefault="00F36F51" w:rsidP="00F4463A">
            <w:pPr>
              <w:pStyle w:val="ListParagraph"/>
              <w:tabs>
                <w:tab w:val="left" w:pos="377"/>
              </w:tabs>
              <w:spacing w:after="40" w:line="240" w:lineRule="auto"/>
              <w:ind w:left="377"/>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Réponse</w:t>
            </w:r>
          </w:p>
        </w:tc>
      </w:tr>
      <w:tr w:rsidR="0096193D" w:rsidRPr="001B46CB" w14:paraId="1183DD03" w14:textId="77777777" w:rsidTr="00767A10">
        <w:trPr>
          <w:gridAfter w:val="1"/>
          <w:wAfter w:w="63" w:type="pct"/>
          <w:trHeight w:val="1405"/>
          <w:tblCellSpacing w:w="20" w:type="dxa"/>
          <w:jc w:val="center"/>
        </w:trPr>
        <w:tc>
          <w:tcPr>
            <w:tcW w:w="4876" w:type="pct"/>
            <w:gridSpan w:val="7"/>
            <w:shd w:val="clear" w:color="auto" w:fill="auto"/>
            <w:vAlign w:val="center"/>
          </w:tcPr>
          <w:p w14:paraId="4D35517C" w14:textId="33F0CF13" w:rsidR="00F36F51" w:rsidRPr="001B46CB" w:rsidRDefault="00F36F51" w:rsidP="00F4463A">
            <w:pPr>
              <w:pStyle w:val="ListParagraph"/>
              <w:numPr>
                <w:ilvl w:val="0"/>
                <w:numId w:val="43"/>
              </w:numPr>
              <w:spacing w:after="20" w:line="240" w:lineRule="auto"/>
              <w:ind w:left="360" w:right="144"/>
              <w:contextualSpacing w:val="0"/>
              <w:jc w:val="both"/>
              <w:rPr>
                <w:rFonts w:asciiTheme="majorBidi" w:hAnsiTheme="majorBidi" w:cstheme="majorBidi"/>
                <w:b/>
                <w:bCs/>
                <w:color w:val="000000" w:themeColor="text1"/>
                <w:lang w:val="fr-FR"/>
              </w:rPr>
            </w:pPr>
            <w:r w:rsidRPr="001B46CB">
              <w:rPr>
                <w:rFonts w:asciiTheme="majorBidi" w:hAnsiTheme="majorBidi" w:cstheme="majorBidi"/>
                <w:lang w:val="fr-FR"/>
              </w:rPr>
              <w:t>Dans la législation bahreïnienne, la procréation et la grossesse constituent un droit qu</w:t>
            </w:r>
            <w:r w:rsidR="00801F15" w:rsidRPr="001B46CB">
              <w:rPr>
                <w:rFonts w:asciiTheme="majorBidi" w:hAnsiTheme="majorBidi" w:cstheme="majorBidi"/>
                <w:lang w:val="fr-FR"/>
              </w:rPr>
              <w:t>’</w:t>
            </w:r>
            <w:r w:rsidRPr="001B46CB">
              <w:rPr>
                <w:rFonts w:asciiTheme="majorBidi" w:hAnsiTheme="majorBidi" w:cstheme="majorBidi"/>
                <w:lang w:val="fr-FR"/>
              </w:rPr>
              <w:t>ont les deux époux. En ce qui concerne l</w:t>
            </w:r>
            <w:r w:rsidR="00801F15" w:rsidRPr="001B46CB">
              <w:rPr>
                <w:rFonts w:asciiTheme="majorBidi" w:hAnsiTheme="majorBidi" w:cstheme="majorBidi"/>
                <w:lang w:val="fr-FR"/>
              </w:rPr>
              <w:t>’</w:t>
            </w:r>
            <w:r w:rsidRPr="001B46CB">
              <w:rPr>
                <w:rFonts w:asciiTheme="majorBidi" w:hAnsiTheme="majorBidi" w:cstheme="majorBidi"/>
                <w:lang w:val="fr-FR"/>
              </w:rPr>
              <w:t>épouse, ce droit est énoncé à l</w:t>
            </w:r>
            <w:r w:rsidR="00801F15" w:rsidRPr="001B46CB">
              <w:rPr>
                <w:rFonts w:asciiTheme="majorBidi" w:hAnsiTheme="majorBidi" w:cstheme="majorBidi"/>
                <w:lang w:val="fr-FR"/>
              </w:rPr>
              <w:t>’</w:t>
            </w:r>
            <w:r w:rsidRPr="001B46CB">
              <w:rPr>
                <w:rFonts w:asciiTheme="majorBidi" w:hAnsiTheme="majorBidi" w:cstheme="majorBidi"/>
                <w:lang w:val="fr-FR"/>
              </w:rPr>
              <w:t>article 39 du Code de la famille, précisant que l</w:t>
            </w:r>
            <w:r w:rsidR="00801F15" w:rsidRPr="001B46CB">
              <w:rPr>
                <w:rFonts w:asciiTheme="majorBidi" w:hAnsiTheme="majorBidi" w:cstheme="majorBidi"/>
                <w:lang w:val="fr-FR"/>
              </w:rPr>
              <w:t>’</w:t>
            </w:r>
            <w:r w:rsidRPr="001B46CB">
              <w:rPr>
                <w:rFonts w:asciiTheme="majorBidi" w:hAnsiTheme="majorBidi" w:cstheme="majorBidi"/>
                <w:lang w:val="fr-FR"/>
              </w:rPr>
              <w:t>époux ne saurait priver son épouse des enfants qu</w:t>
            </w:r>
            <w:r w:rsidR="00801F15" w:rsidRPr="001B46CB">
              <w:rPr>
                <w:rFonts w:asciiTheme="majorBidi" w:hAnsiTheme="majorBidi" w:cstheme="majorBidi"/>
                <w:lang w:val="fr-FR"/>
              </w:rPr>
              <w:t>’</w:t>
            </w:r>
            <w:r w:rsidRPr="001B46CB">
              <w:rPr>
                <w:rFonts w:asciiTheme="majorBidi" w:hAnsiTheme="majorBidi" w:cstheme="majorBidi"/>
                <w:lang w:val="fr-FR"/>
              </w:rPr>
              <w:t>il a engendrés. S</w:t>
            </w:r>
            <w:r w:rsidR="00801F15" w:rsidRPr="001B46CB">
              <w:rPr>
                <w:rFonts w:asciiTheme="majorBidi" w:hAnsiTheme="majorBidi" w:cstheme="majorBidi"/>
                <w:lang w:val="fr-FR"/>
              </w:rPr>
              <w:t>’</w:t>
            </w:r>
            <w:r w:rsidRPr="001B46CB">
              <w:rPr>
                <w:rFonts w:asciiTheme="majorBidi" w:hAnsiTheme="majorBidi" w:cstheme="majorBidi"/>
                <w:lang w:val="fr-FR"/>
              </w:rPr>
              <w:t>agissant de l</w:t>
            </w:r>
            <w:r w:rsidR="00801F15" w:rsidRPr="001B46CB">
              <w:rPr>
                <w:rFonts w:asciiTheme="majorBidi" w:hAnsiTheme="majorBidi" w:cstheme="majorBidi"/>
                <w:lang w:val="fr-FR"/>
              </w:rPr>
              <w:t>’</w:t>
            </w:r>
            <w:r w:rsidRPr="001B46CB">
              <w:rPr>
                <w:rFonts w:asciiTheme="majorBidi" w:hAnsiTheme="majorBidi" w:cstheme="majorBidi"/>
                <w:lang w:val="fr-FR"/>
              </w:rPr>
              <w:t>homme, l</w:t>
            </w:r>
            <w:r w:rsidR="00801F15" w:rsidRPr="001B46CB">
              <w:rPr>
                <w:rFonts w:asciiTheme="majorBidi" w:hAnsiTheme="majorBidi" w:cstheme="majorBidi"/>
                <w:lang w:val="fr-FR"/>
              </w:rPr>
              <w:t>’</w:t>
            </w:r>
            <w:r w:rsidRPr="001B46CB">
              <w:rPr>
                <w:rFonts w:asciiTheme="majorBidi" w:hAnsiTheme="majorBidi" w:cstheme="majorBidi"/>
                <w:lang w:val="fr-FR"/>
              </w:rPr>
              <w:t>article 40 du Code de la famille dispose que l</w:t>
            </w:r>
            <w:r w:rsidR="00801F15" w:rsidRPr="001B46CB">
              <w:rPr>
                <w:rFonts w:asciiTheme="majorBidi" w:hAnsiTheme="majorBidi" w:cstheme="majorBidi"/>
                <w:lang w:val="fr-FR"/>
              </w:rPr>
              <w:t>’</w:t>
            </w:r>
            <w:r w:rsidRPr="001B46CB">
              <w:rPr>
                <w:rFonts w:asciiTheme="majorBidi" w:hAnsiTheme="majorBidi" w:cstheme="majorBidi"/>
                <w:lang w:val="fr-FR"/>
              </w:rPr>
              <w:t>épouse ne peut prévenir une grossesse qu</w:t>
            </w:r>
            <w:r w:rsidR="00801F15" w:rsidRPr="001B46CB">
              <w:rPr>
                <w:rFonts w:asciiTheme="majorBidi" w:hAnsiTheme="majorBidi" w:cstheme="majorBidi"/>
                <w:lang w:val="fr-FR"/>
              </w:rPr>
              <w:t>’</w:t>
            </w:r>
            <w:r w:rsidRPr="001B46CB">
              <w:rPr>
                <w:rFonts w:asciiTheme="majorBidi" w:hAnsiTheme="majorBidi" w:cstheme="majorBidi"/>
                <w:lang w:val="fr-FR"/>
              </w:rPr>
              <w:t>avec le consentement de son époux ou si cela est justifié. L</w:t>
            </w:r>
            <w:r w:rsidR="00801F15" w:rsidRPr="001B46CB">
              <w:rPr>
                <w:rFonts w:asciiTheme="majorBidi" w:hAnsiTheme="majorBidi" w:cstheme="majorBidi"/>
                <w:lang w:val="fr-FR"/>
              </w:rPr>
              <w:t>’</w:t>
            </w:r>
            <w:r w:rsidRPr="001B46CB">
              <w:rPr>
                <w:rFonts w:asciiTheme="majorBidi" w:hAnsiTheme="majorBidi" w:cstheme="majorBidi"/>
                <w:lang w:val="fr-FR"/>
              </w:rPr>
              <w:t>épouse peut donc prévenir une grossesse sans le consentement de son mari pour un motif précis. La procréation ou l</w:t>
            </w:r>
            <w:r w:rsidR="00801F15" w:rsidRPr="001B46CB">
              <w:rPr>
                <w:rFonts w:asciiTheme="majorBidi" w:hAnsiTheme="majorBidi" w:cstheme="majorBidi"/>
                <w:lang w:val="fr-FR"/>
              </w:rPr>
              <w:t>’</w:t>
            </w:r>
            <w:r w:rsidRPr="001B46CB">
              <w:rPr>
                <w:rFonts w:asciiTheme="majorBidi" w:hAnsiTheme="majorBidi" w:cstheme="majorBidi"/>
                <w:lang w:val="fr-FR"/>
              </w:rPr>
              <w:t xml:space="preserve">absence de procréation est donc une question tranchée par les deux époux, comme on le constate habituellement dans les faits. </w:t>
            </w:r>
          </w:p>
        </w:tc>
      </w:tr>
      <w:tr w:rsidR="0096193D" w:rsidRPr="001B46CB" w14:paraId="632FFD76" w14:textId="77777777" w:rsidTr="00767A10">
        <w:trPr>
          <w:gridAfter w:val="1"/>
          <w:wAfter w:w="63" w:type="pct"/>
          <w:tblCellSpacing w:w="20" w:type="dxa"/>
          <w:jc w:val="center"/>
        </w:trPr>
        <w:tc>
          <w:tcPr>
            <w:tcW w:w="4876" w:type="pct"/>
            <w:gridSpan w:val="7"/>
            <w:shd w:val="clear" w:color="auto" w:fill="C4BC96" w:themeFill="background2" w:themeFillShade="BF"/>
            <w:vAlign w:val="center"/>
          </w:tcPr>
          <w:p w14:paraId="0AC28333" w14:textId="77777777" w:rsidR="00F36F51" w:rsidRPr="001B46CB" w:rsidRDefault="00F36F51" w:rsidP="00F4463A">
            <w:pPr>
              <w:pStyle w:val="ListParagraph"/>
              <w:spacing w:after="40" w:line="240" w:lineRule="auto"/>
              <w:ind w:left="377"/>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96193D" w:rsidRPr="001B46CB" w14:paraId="13BFC68F" w14:textId="77777777" w:rsidTr="00767A10">
        <w:trPr>
          <w:gridAfter w:val="1"/>
          <w:wAfter w:w="63" w:type="pct"/>
          <w:tblCellSpacing w:w="20" w:type="dxa"/>
          <w:jc w:val="center"/>
        </w:trPr>
        <w:tc>
          <w:tcPr>
            <w:tcW w:w="4876" w:type="pct"/>
            <w:gridSpan w:val="7"/>
            <w:shd w:val="clear" w:color="auto" w:fill="auto"/>
            <w:vAlign w:val="center"/>
          </w:tcPr>
          <w:p w14:paraId="431B9213" w14:textId="460EDD1E" w:rsidR="00F36F51" w:rsidRPr="001B46CB" w:rsidRDefault="00F36F51" w:rsidP="00F4463A">
            <w:pPr>
              <w:pStyle w:val="ListParagraph"/>
              <w:numPr>
                <w:ilvl w:val="0"/>
                <w:numId w:val="42"/>
              </w:numPr>
              <w:spacing w:after="20" w:line="240" w:lineRule="auto"/>
              <w:ind w:left="360" w:right="144"/>
              <w:contextualSpacing w:val="0"/>
              <w:jc w:val="both"/>
              <w:rPr>
                <w:rFonts w:asciiTheme="majorBidi" w:hAnsiTheme="majorBidi" w:cstheme="majorBidi"/>
                <w:color w:val="000000" w:themeColor="text1"/>
                <w:lang w:val="fr-FR"/>
              </w:rPr>
            </w:pPr>
            <w:r w:rsidRPr="001B46CB">
              <w:rPr>
                <w:rFonts w:asciiTheme="majorBidi" w:hAnsiTheme="majorBidi" w:cstheme="majorBidi"/>
                <w:lang w:val="fr-FR"/>
              </w:rPr>
              <w:t>Veuillez fournir des informations sur les mesures prises pour que les femmes puissent quitter le domicile conjugal, et faire rapport sur les mesures prises en vue de permettre à toutes les femmes d</w:t>
            </w:r>
            <w:r w:rsidR="00801F15" w:rsidRPr="001B46CB">
              <w:rPr>
                <w:rFonts w:asciiTheme="majorBidi" w:hAnsiTheme="majorBidi" w:cstheme="majorBidi"/>
                <w:lang w:val="fr-FR"/>
              </w:rPr>
              <w:t>’</w:t>
            </w:r>
            <w:r w:rsidRPr="001B46CB">
              <w:rPr>
                <w:rFonts w:asciiTheme="majorBidi" w:hAnsiTheme="majorBidi" w:cstheme="majorBidi"/>
                <w:lang w:val="fr-FR"/>
              </w:rPr>
              <w:t>exercer leur droit de se déplacer librement sans tuteur légal, y compris pour participer au hajj.</w:t>
            </w:r>
          </w:p>
        </w:tc>
      </w:tr>
      <w:tr w:rsidR="0096193D" w:rsidRPr="001B46CB" w14:paraId="5B8233BB" w14:textId="77777777" w:rsidTr="00767A10">
        <w:trPr>
          <w:gridAfter w:val="1"/>
          <w:wAfter w:w="63" w:type="pct"/>
          <w:tblCellSpacing w:w="20" w:type="dxa"/>
          <w:jc w:val="center"/>
        </w:trPr>
        <w:tc>
          <w:tcPr>
            <w:tcW w:w="4876" w:type="pct"/>
            <w:gridSpan w:val="7"/>
            <w:shd w:val="clear" w:color="auto" w:fill="C4BC96" w:themeFill="background2" w:themeFillShade="BF"/>
            <w:vAlign w:val="center"/>
          </w:tcPr>
          <w:p w14:paraId="3F3125C1" w14:textId="77777777" w:rsidR="00F36F51" w:rsidRPr="001B46CB" w:rsidRDefault="00F36F51" w:rsidP="00F4463A">
            <w:pPr>
              <w:pStyle w:val="ListParagraph"/>
              <w:spacing w:after="40" w:line="240" w:lineRule="auto"/>
              <w:ind w:left="377"/>
              <w:jc w:val="center"/>
              <w:rPr>
                <w:rFonts w:asciiTheme="majorBidi" w:hAnsiTheme="majorBidi" w:cstheme="majorBidi"/>
                <w:color w:val="000000" w:themeColor="text1"/>
                <w:lang w:val="fr-FR"/>
              </w:rPr>
            </w:pPr>
            <w:r w:rsidRPr="001B46CB">
              <w:rPr>
                <w:rFonts w:asciiTheme="majorBidi" w:hAnsiTheme="majorBidi" w:cstheme="majorBidi"/>
                <w:b/>
                <w:bCs/>
                <w:lang w:val="fr-FR"/>
              </w:rPr>
              <w:t>Réponse</w:t>
            </w:r>
          </w:p>
        </w:tc>
      </w:tr>
      <w:tr w:rsidR="0096193D" w:rsidRPr="001B46CB" w14:paraId="553B2B08" w14:textId="77777777" w:rsidTr="00767A10">
        <w:trPr>
          <w:gridAfter w:val="1"/>
          <w:wAfter w:w="63" w:type="pct"/>
          <w:tblCellSpacing w:w="20" w:type="dxa"/>
          <w:jc w:val="center"/>
        </w:trPr>
        <w:tc>
          <w:tcPr>
            <w:tcW w:w="4876" w:type="pct"/>
            <w:gridSpan w:val="7"/>
            <w:shd w:val="clear" w:color="auto" w:fill="auto"/>
            <w:vAlign w:val="center"/>
          </w:tcPr>
          <w:p w14:paraId="2D0765E0" w14:textId="4F02A2A9" w:rsidR="00F36F51" w:rsidRPr="001B46CB" w:rsidRDefault="00F36F51" w:rsidP="00F4463A">
            <w:pPr>
              <w:pStyle w:val="ListParagraph"/>
              <w:numPr>
                <w:ilvl w:val="0"/>
                <w:numId w:val="43"/>
              </w:numPr>
              <w:spacing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Le droit de l</w:t>
            </w:r>
            <w:r w:rsidR="00801F15" w:rsidRPr="001B46CB">
              <w:rPr>
                <w:rFonts w:asciiTheme="majorBidi" w:hAnsiTheme="majorBidi" w:cstheme="majorBidi"/>
                <w:lang w:val="fr-FR"/>
              </w:rPr>
              <w:t>’</w:t>
            </w:r>
            <w:r w:rsidRPr="001B46CB">
              <w:rPr>
                <w:rFonts w:asciiTheme="majorBidi" w:hAnsiTheme="majorBidi" w:cstheme="majorBidi"/>
                <w:lang w:val="fr-FR"/>
              </w:rPr>
              <w:t>épouse de quitter le domicile conjugal n</w:t>
            </w:r>
            <w:r w:rsidR="00801F15" w:rsidRPr="001B46CB">
              <w:rPr>
                <w:rFonts w:asciiTheme="majorBidi" w:hAnsiTheme="majorBidi" w:cstheme="majorBidi"/>
                <w:lang w:val="fr-FR"/>
              </w:rPr>
              <w:t>’</w:t>
            </w:r>
            <w:r w:rsidRPr="001B46CB">
              <w:rPr>
                <w:rFonts w:asciiTheme="majorBidi" w:hAnsiTheme="majorBidi" w:cstheme="majorBidi"/>
                <w:lang w:val="fr-FR"/>
              </w:rPr>
              <w:t>est pas fonction de l</w:t>
            </w:r>
            <w:r w:rsidR="00801F15" w:rsidRPr="001B46CB">
              <w:rPr>
                <w:rFonts w:asciiTheme="majorBidi" w:hAnsiTheme="majorBidi" w:cstheme="majorBidi"/>
                <w:lang w:val="fr-FR"/>
              </w:rPr>
              <w:t>’</w:t>
            </w:r>
            <w:r w:rsidRPr="001B46CB">
              <w:rPr>
                <w:rFonts w:asciiTheme="majorBidi" w:hAnsiTheme="majorBidi" w:cstheme="majorBidi"/>
                <w:lang w:val="fr-FR"/>
              </w:rPr>
              <w:t>assentiment de l</w:t>
            </w:r>
            <w:r w:rsidR="00801F15" w:rsidRPr="001B46CB">
              <w:rPr>
                <w:rFonts w:asciiTheme="majorBidi" w:hAnsiTheme="majorBidi" w:cstheme="majorBidi"/>
                <w:lang w:val="fr-FR"/>
              </w:rPr>
              <w:t>’</w:t>
            </w:r>
            <w:r w:rsidRPr="001B46CB">
              <w:rPr>
                <w:rFonts w:asciiTheme="majorBidi" w:hAnsiTheme="majorBidi" w:cstheme="majorBidi"/>
                <w:lang w:val="fr-FR"/>
              </w:rPr>
              <w:t>époux. La femme peut sortir pour vaquer à toutes ses occupations, se rendre au travail ou rendre visite à ses parents. La femme qui quitte le domicile conjugal car elle ne veut pas y rester ou en raison de toute atteinte à ses droits n</w:t>
            </w:r>
            <w:r w:rsidR="00801F15" w:rsidRPr="001B46CB">
              <w:rPr>
                <w:rFonts w:asciiTheme="majorBidi" w:hAnsiTheme="majorBidi" w:cstheme="majorBidi"/>
                <w:lang w:val="fr-FR"/>
              </w:rPr>
              <w:t>’</w:t>
            </w:r>
            <w:r w:rsidRPr="001B46CB">
              <w:rPr>
                <w:rFonts w:asciiTheme="majorBidi" w:hAnsiTheme="majorBidi" w:cstheme="majorBidi"/>
                <w:lang w:val="fr-FR"/>
              </w:rPr>
              <w:t>est en aucun cas contrainte d</w:t>
            </w:r>
            <w:r w:rsidR="00801F15" w:rsidRPr="001B46CB">
              <w:rPr>
                <w:rFonts w:asciiTheme="majorBidi" w:hAnsiTheme="majorBidi" w:cstheme="majorBidi"/>
                <w:lang w:val="fr-FR"/>
              </w:rPr>
              <w:t>’</w:t>
            </w:r>
            <w:r w:rsidRPr="001B46CB">
              <w:rPr>
                <w:rFonts w:asciiTheme="majorBidi" w:hAnsiTheme="majorBidi" w:cstheme="majorBidi"/>
                <w:lang w:val="fr-FR"/>
              </w:rPr>
              <w:t>y retourner si elle ne le souhaite pas. Le Code de la famille interdit d</w:t>
            </w:r>
            <w:r w:rsidR="00801F15" w:rsidRPr="001B46CB">
              <w:rPr>
                <w:rFonts w:asciiTheme="majorBidi" w:hAnsiTheme="majorBidi" w:cstheme="majorBidi"/>
                <w:lang w:val="fr-FR"/>
              </w:rPr>
              <w:t>’</w:t>
            </w:r>
            <w:r w:rsidRPr="001B46CB">
              <w:rPr>
                <w:rFonts w:asciiTheme="majorBidi" w:hAnsiTheme="majorBidi" w:cstheme="majorBidi"/>
                <w:lang w:val="fr-FR"/>
              </w:rPr>
              <w:t>user de la contrainte dans de tels cas.</w:t>
            </w:r>
          </w:p>
          <w:p w14:paraId="126C5A2B" w14:textId="77777777" w:rsidR="00801F15" w:rsidRPr="001B46CB" w:rsidRDefault="00F36F51" w:rsidP="00F4463A">
            <w:pPr>
              <w:pStyle w:val="ListParagraph"/>
              <w:numPr>
                <w:ilvl w:val="0"/>
                <w:numId w:val="43"/>
              </w:numPr>
              <w:spacing w:line="240" w:lineRule="auto"/>
              <w:ind w:left="360" w:right="144"/>
              <w:jc w:val="both"/>
              <w:rPr>
                <w:rFonts w:asciiTheme="majorBidi" w:hAnsiTheme="majorBidi" w:cstheme="majorBidi"/>
                <w:lang w:val="fr-FR"/>
              </w:rPr>
            </w:pPr>
            <w:r w:rsidRPr="001B46CB">
              <w:rPr>
                <w:rFonts w:asciiTheme="majorBidi" w:hAnsiTheme="majorBidi" w:cstheme="majorBidi"/>
                <w:lang w:val="fr-FR"/>
              </w:rPr>
              <w:t>La femme, comme l</w:t>
            </w:r>
            <w:r w:rsidR="00801F15" w:rsidRPr="001B46CB">
              <w:rPr>
                <w:rFonts w:asciiTheme="majorBidi" w:hAnsiTheme="majorBidi" w:cstheme="majorBidi"/>
                <w:lang w:val="fr-FR"/>
              </w:rPr>
              <w:t>’</w:t>
            </w:r>
            <w:r w:rsidRPr="001B46CB">
              <w:rPr>
                <w:rFonts w:asciiTheme="majorBidi" w:hAnsiTheme="majorBidi" w:cstheme="majorBidi"/>
                <w:lang w:val="fr-FR"/>
              </w:rPr>
              <w:t>homme, a le droit de déménager comme bon lui semble, dans le Royaume ou à l</w:t>
            </w:r>
            <w:r w:rsidR="00801F15" w:rsidRPr="001B46CB">
              <w:rPr>
                <w:rFonts w:asciiTheme="majorBidi" w:hAnsiTheme="majorBidi" w:cstheme="majorBidi"/>
                <w:lang w:val="fr-FR"/>
              </w:rPr>
              <w:t>’</w:t>
            </w:r>
            <w:r w:rsidRPr="001B46CB">
              <w:rPr>
                <w:rFonts w:asciiTheme="majorBidi" w:hAnsiTheme="majorBidi" w:cstheme="majorBidi"/>
                <w:lang w:val="fr-FR"/>
              </w:rPr>
              <w:t>étranger, sans l</w:t>
            </w:r>
            <w:r w:rsidR="00801F15" w:rsidRPr="001B46CB">
              <w:rPr>
                <w:rFonts w:asciiTheme="majorBidi" w:hAnsiTheme="majorBidi" w:cstheme="majorBidi"/>
                <w:lang w:val="fr-FR"/>
              </w:rPr>
              <w:t>’</w:t>
            </w:r>
            <w:r w:rsidRPr="001B46CB">
              <w:rPr>
                <w:rFonts w:asciiTheme="majorBidi" w:hAnsiTheme="majorBidi" w:cstheme="majorBidi"/>
                <w:lang w:val="fr-FR"/>
              </w:rPr>
              <w:t>approbation de l</w:t>
            </w:r>
            <w:r w:rsidR="00801F15" w:rsidRPr="001B46CB">
              <w:rPr>
                <w:rFonts w:asciiTheme="majorBidi" w:hAnsiTheme="majorBidi" w:cstheme="majorBidi"/>
                <w:lang w:val="fr-FR"/>
              </w:rPr>
              <w:t>’</w:t>
            </w:r>
            <w:r w:rsidRPr="001B46CB">
              <w:rPr>
                <w:rFonts w:asciiTheme="majorBidi" w:hAnsiTheme="majorBidi" w:cstheme="majorBidi"/>
                <w:lang w:val="fr-FR"/>
              </w:rPr>
              <w:t>époux. Conformément à l</w:t>
            </w:r>
            <w:r w:rsidR="00801F15" w:rsidRPr="001B46CB">
              <w:rPr>
                <w:rFonts w:asciiTheme="majorBidi" w:hAnsiTheme="majorBidi" w:cstheme="majorBidi"/>
                <w:lang w:val="fr-FR"/>
              </w:rPr>
              <w:t>’</w:t>
            </w:r>
            <w:r w:rsidRPr="001B46CB">
              <w:rPr>
                <w:rFonts w:asciiTheme="majorBidi" w:hAnsiTheme="majorBidi" w:cstheme="majorBidi"/>
                <w:lang w:val="fr-FR"/>
              </w:rPr>
              <w:t>article 19 b) de la Constitution bahreïnienne, nul ne peut être arrêté, détenu, emprisonné ni faire l</w:t>
            </w:r>
            <w:r w:rsidR="00801F15" w:rsidRPr="001B46CB">
              <w:rPr>
                <w:rFonts w:asciiTheme="majorBidi" w:hAnsiTheme="majorBidi" w:cstheme="majorBidi"/>
                <w:lang w:val="fr-FR"/>
              </w:rPr>
              <w:t>’</w:t>
            </w:r>
            <w:r w:rsidRPr="001B46CB">
              <w:rPr>
                <w:rFonts w:asciiTheme="majorBidi" w:hAnsiTheme="majorBidi" w:cstheme="majorBidi"/>
                <w:lang w:val="fr-FR"/>
              </w:rPr>
              <w:t>objet d</w:t>
            </w:r>
            <w:r w:rsidR="00801F15" w:rsidRPr="001B46CB">
              <w:rPr>
                <w:rFonts w:asciiTheme="majorBidi" w:hAnsiTheme="majorBidi" w:cstheme="majorBidi"/>
                <w:lang w:val="fr-FR"/>
              </w:rPr>
              <w:t>’</w:t>
            </w:r>
            <w:r w:rsidRPr="001B46CB">
              <w:rPr>
                <w:rFonts w:asciiTheme="majorBidi" w:hAnsiTheme="majorBidi" w:cstheme="majorBidi"/>
                <w:lang w:val="fr-FR"/>
              </w:rPr>
              <w:t>une perquisition, ni assigné à résidence dans un endroit particulier ni voir sa liberté de choisir sa résidence ou sa liberté de circulation limitée, sauf dans les conditions définies par la loi et sous le contrôle de l</w:t>
            </w:r>
            <w:r w:rsidR="00801F15" w:rsidRPr="001B46CB">
              <w:rPr>
                <w:rFonts w:asciiTheme="majorBidi" w:hAnsiTheme="majorBidi" w:cstheme="majorBidi"/>
                <w:lang w:val="fr-FR"/>
              </w:rPr>
              <w:t>’</w:t>
            </w:r>
            <w:r w:rsidRPr="001B46CB">
              <w:rPr>
                <w:rFonts w:asciiTheme="majorBidi" w:hAnsiTheme="majorBidi" w:cstheme="majorBidi"/>
                <w:lang w:val="fr-FR"/>
              </w:rPr>
              <w:t>autorité judiciaire.</w:t>
            </w:r>
          </w:p>
          <w:p w14:paraId="07F175A7" w14:textId="50231E90" w:rsidR="00F36F51" w:rsidRPr="001B46CB" w:rsidRDefault="00F36F51" w:rsidP="00F4463A">
            <w:pPr>
              <w:pStyle w:val="ListParagraph"/>
              <w:numPr>
                <w:ilvl w:val="0"/>
                <w:numId w:val="43"/>
              </w:numPr>
              <w:spacing w:after="20" w:line="240" w:lineRule="auto"/>
              <w:ind w:left="360" w:right="144"/>
              <w:contextualSpacing w:val="0"/>
              <w:jc w:val="both"/>
              <w:rPr>
                <w:rFonts w:asciiTheme="majorBidi" w:hAnsiTheme="majorBidi" w:cstheme="majorBidi"/>
                <w:color w:val="000000" w:themeColor="text1"/>
                <w:lang w:val="fr-FR"/>
              </w:rPr>
            </w:pPr>
            <w:r w:rsidRPr="001B46CB">
              <w:rPr>
                <w:rFonts w:asciiTheme="majorBidi" w:hAnsiTheme="majorBidi" w:cstheme="majorBidi"/>
                <w:lang w:val="fr-FR"/>
              </w:rPr>
              <w:t>Aucune disposition du décret-loi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26 de 1976 réglementant les questions liées au pèlerinage à La</w:t>
            </w:r>
            <w:r w:rsidR="00F644C2" w:rsidRPr="001B46CB">
              <w:rPr>
                <w:rFonts w:asciiTheme="majorBidi" w:hAnsiTheme="majorBidi" w:cstheme="majorBidi"/>
                <w:lang w:val="fr-FR"/>
              </w:rPr>
              <w:t> </w:t>
            </w:r>
            <w:r w:rsidRPr="001B46CB">
              <w:rPr>
                <w:rFonts w:asciiTheme="majorBidi" w:hAnsiTheme="majorBidi" w:cstheme="majorBidi"/>
                <w:lang w:val="fr-FR"/>
              </w:rPr>
              <w:t>Mecque ne restreint la liberté de la femme d</w:t>
            </w:r>
            <w:r w:rsidR="00801F15" w:rsidRPr="001B46CB">
              <w:rPr>
                <w:rFonts w:asciiTheme="majorBidi" w:hAnsiTheme="majorBidi" w:cstheme="majorBidi"/>
                <w:lang w:val="fr-FR"/>
              </w:rPr>
              <w:t>’</w:t>
            </w:r>
            <w:r w:rsidRPr="001B46CB">
              <w:rPr>
                <w:rFonts w:asciiTheme="majorBidi" w:hAnsiTheme="majorBidi" w:cstheme="majorBidi"/>
                <w:lang w:val="fr-FR"/>
              </w:rPr>
              <w:t>accomplis le hajj.</w:t>
            </w:r>
          </w:p>
        </w:tc>
      </w:tr>
      <w:tr w:rsidR="0096193D" w:rsidRPr="001B46CB" w14:paraId="7CF1EFBA" w14:textId="77777777" w:rsidTr="00767A10">
        <w:trPr>
          <w:gridAfter w:val="1"/>
          <w:wAfter w:w="63" w:type="pct"/>
          <w:tblCellSpacing w:w="20" w:type="dxa"/>
          <w:jc w:val="center"/>
        </w:trPr>
        <w:tc>
          <w:tcPr>
            <w:tcW w:w="2458" w:type="pct"/>
            <w:gridSpan w:val="4"/>
            <w:shd w:val="clear" w:color="auto" w:fill="DDD9C3" w:themeFill="background2" w:themeFillShade="E6"/>
          </w:tcPr>
          <w:p w14:paraId="59EEC7EB" w14:textId="77777777" w:rsidR="00F36F51" w:rsidRPr="001B46CB" w:rsidRDefault="00F36F51" w:rsidP="00F4463A">
            <w:pPr>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Domaine concerné</w:t>
            </w:r>
          </w:p>
        </w:tc>
        <w:tc>
          <w:tcPr>
            <w:tcW w:w="2397" w:type="pct"/>
            <w:gridSpan w:val="3"/>
            <w:shd w:val="clear" w:color="auto" w:fill="EEECE1" w:themeFill="background2"/>
          </w:tcPr>
          <w:p w14:paraId="38785F6F" w14:textId="77777777" w:rsidR="00F36F51" w:rsidRPr="001B46CB" w:rsidRDefault="00F36F51" w:rsidP="00F4463A">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Mariage et rapports familiaux</w:t>
            </w:r>
          </w:p>
        </w:tc>
      </w:tr>
      <w:tr w:rsidR="00BF5493" w:rsidRPr="001B46CB" w14:paraId="0EE4B161" w14:textId="77777777" w:rsidTr="00767A10">
        <w:trPr>
          <w:gridAfter w:val="1"/>
          <w:wAfter w:w="63" w:type="pct"/>
          <w:tblCellSpacing w:w="20" w:type="dxa"/>
          <w:jc w:val="center"/>
        </w:trPr>
        <w:tc>
          <w:tcPr>
            <w:tcW w:w="4876" w:type="pct"/>
            <w:gridSpan w:val="7"/>
            <w:shd w:val="clear" w:color="auto" w:fill="C4BC96" w:themeFill="background2" w:themeFillShade="BF"/>
          </w:tcPr>
          <w:p w14:paraId="68869A92" w14:textId="77777777" w:rsidR="00F36F51" w:rsidRPr="001B46CB" w:rsidRDefault="00F36F51" w:rsidP="00F4463A">
            <w:pPr>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BF5493" w:rsidRPr="001B46CB" w14:paraId="170A303D" w14:textId="77777777" w:rsidTr="00767A10">
        <w:trPr>
          <w:gridAfter w:val="1"/>
          <w:wAfter w:w="63" w:type="pct"/>
          <w:tblCellSpacing w:w="20" w:type="dxa"/>
          <w:jc w:val="center"/>
        </w:trPr>
        <w:tc>
          <w:tcPr>
            <w:tcW w:w="4876" w:type="pct"/>
            <w:gridSpan w:val="7"/>
            <w:shd w:val="clear" w:color="auto" w:fill="auto"/>
          </w:tcPr>
          <w:p w14:paraId="6474E6D6" w14:textId="406BC760" w:rsidR="00801F15" w:rsidRPr="001B46CB" w:rsidRDefault="00F36F51" w:rsidP="00F4463A">
            <w:pPr>
              <w:pStyle w:val="ListParagraph"/>
              <w:numPr>
                <w:ilvl w:val="0"/>
                <w:numId w:val="42"/>
              </w:numPr>
              <w:tabs>
                <w:tab w:val="left" w:pos="4515"/>
              </w:tabs>
              <w:spacing w:line="240" w:lineRule="auto"/>
              <w:ind w:left="360" w:right="144"/>
              <w:jc w:val="both"/>
              <w:rPr>
                <w:rFonts w:asciiTheme="majorBidi" w:hAnsiTheme="majorBidi" w:cstheme="majorBidi"/>
                <w:lang w:val="fr-FR"/>
              </w:rPr>
            </w:pPr>
            <w:r w:rsidRPr="001B46CB">
              <w:rPr>
                <w:rFonts w:asciiTheme="majorBidi" w:hAnsiTheme="majorBidi" w:cstheme="majorBidi"/>
                <w:lang w:val="fr-FR"/>
              </w:rPr>
              <w:t>Veuillez fournir des renseignements sur les mesures prises pour mettre la législation en conformité avec la Convention, notamment en abrogeant les dispositions</w:t>
            </w:r>
            <w:r w:rsidR="00801F15" w:rsidRPr="001B46CB">
              <w:rPr>
                <w:rFonts w:asciiTheme="majorBidi" w:hAnsiTheme="majorBidi" w:cstheme="majorBidi"/>
                <w:lang w:val="fr-FR"/>
              </w:rPr>
              <w:t> :</w:t>
            </w:r>
            <w:r w:rsidRPr="001B46CB">
              <w:rPr>
                <w:rFonts w:asciiTheme="majorBidi" w:hAnsiTheme="majorBidi" w:cstheme="majorBidi"/>
                <w:lang w:val="fr-FR"/>
              </w:rPr>
              <w:t xml:space="preserve"> a) requérant le consentement au mariage d</w:t>
            </w:r>
            <w:r w:rsidR="00801F15" w:rsidRPr="001B46CB">
              <w:rPr>
                <w:rFonts w:asciiTheme="majorBidi" w:hAnsiTheme="majorBidi" w:cstheme="majorBidi"/>
                <w:lang w:val="fr-FR"/>
              </w:rPr>
              <w:t>’</w:t>
            </w:r>
            <w:r w:rsidRPr="001B46CB">
              <w:rPr>
                <w:rFonts w:asciiTheme="majorBidi" w:hAnsiTheme="majorBidi" w:cstheme="majorBidi"/>
                <w:lang w:val="fr-FR"/>
              </w:rPr>
              <w:t>un tuteur masculin ou d</w:t>
            </w:r>
            <w:r w:rsidR="00801F15" w:rsidRPr="001B46CB">
              <w:rPr>
                <w:rFonts w:asciiTheme="majorBidi" w:hAnsiTheme="majorBidi" w:cstheme="majorBidi"/>
                <w:lang w:val="fr-FR"/>
              </w:rPr>
              <w:t>’</w:t>
            </w:r>
            <w:r w:rsidRPr="001B46CB">
              <w:rPr>
                <w:rFonts w:asciiTheme="majorBidi" w:hAnsiTheme="majorBidi" w:cstheme="majorBidi"/>
                <w:lang w:val="fr-FR"/>
              </w:rPr>
              <w:t>un juge, au lieu de celui de l</w:t>
            </w:r>
            <w:r w:rsidR="00801F15" w:rsidRPr="001B46CB">
              <w:rPr>
                <w:rFonts w:asciiTheme="majorBidi" w:hAnsiTheme="majorBidi" w:cstheme="majorBidi"/>
                <w:lang w:val="fr-FR"/>
              </w:rPr>
              <w:t>’</w:t>
            </w:r>
            <w:r w:rsidRPr="001B46CB">
              <w:rPr>
                <w:rFonts w:asciiTheme="majorBidi" w:hAnsiTheme="majorBidi" w:cstheme="majorBidi"/>
                <w:lang w:val="fr-FR"/>
              </w:rPr>
              <w:t>intéressée</w:t>
            </w:r>
            <w:r w:rsidR="00801F15" w:rsidRPr="001B46CB">
              <w:rPr>
                <w:rFonts w:asciiTheme="majorBidi" w:hAnsiTheme="majorBidi" w:cstheme="majorBidi"/>
                <w:lang w:val="fr-FR"/>
              </w:rPr>
              <w:t> ;</w:t>
            </w:r>
            <w:r w:rsidRPr="001B46CB">
              <w:rPr>
                <w:rFonts w:asciiTheme="majorBidi" w:hAnsiTheme="majorBidi" w:cstheme="majorBidi"/>
                <w:lang w:val="fr-FR"/>
              </w:rPr>
              <w:t xml:space="preserve"> b) accordant aux hommes le droit de divorcer de leurs épouses unilatéralement</w:t>
            </w:r>
            <w:r w:rsidR="00801F15" w:rsidRPr="001B46CB">
              <w:rPr>
                <w:rFonts w:asciiTheme="majorBidi" w:hAnsiTheme="majorBidi" w:cstheme="majorBidi"/>
                <w:lang w:val="fr-FR"/>
              </w:rPr>
              <w:t> ;</w:t>
            </w:r>
            <w:r w:rsidRPr="001B46CB">
              <w:rPr>
                <w:rFonts w:asciiTheme="majorBidi" w:hAnsiTheme="majorBidi" w:cstheme="majorBidi"/>
                <w:lang w:val="fr-FR"/>
              </w:rPr>
              <w:t xml:space="preserve"> c) obligeant les femmes à verser une indemnisation en cas de divorce sans le consentement de leur mari</w:t>
            </w:r>
            <w:r w:rsidR="00801F15" w:rsidRPr="001B46CB">
              <w:rPr>
                <w:rFonts w:asciiTheme="majorBidi" w:hAnsiTheme="majorBidi" w:cstheme="majorBidi"/>
                <w:lang w:val="fr-FR"/>
              </w:rPr>
              <w:t> ;</w:t>
            </w:r>
            <w:r w:rsidRPr="001B46CB">
              <w:rPr>
                <w:rFonts w:asciiTheme="majorBidi" w:hAnsiTheme="majorBidi" w:cstheme="majorBidi"/>
                <w:lang w:val="fr-FR"/>
              </w:rPr>
              <w:t xml:space="preserve"> d) imposant aux femmes abandonnées un délai de quatre ans avant de leur permettre d</w:t>
            </w:r>
            <w:r w:rsidR="00801F15" w:rsidRPr="001B46CB">
              <w:rPr>
                <w:rFonts w:asciiTheme="majorBidi" w:hAnsiTheme="majorBidi" w:cstheme="majorBidi"/>
                <w:lang w:val="fr-FR"/>
              </w:rPr>
              <w:t>’</w:t>
            </w:r>
            <w:r w:rsidRPr="001B46CB">
              <w:rPr>
                <w:rFonts w:asciiTheme="majorBidi" w:hAnsiTheme="majorBidi" w:cstheme="majorBidi"/>
                <w:lang w:val="fr-FR"/>
              </w:rPr>
              <w:t>engager une procédure de divorce</w:t>
            </w:r>
            <w:r w:rsidR="00801F15" w:rsidRPr="001B46CB">
              <w:rPr>
                <w:rFonts w:asciiTheme="majorBidi" w:hAnsiTheme="majorBidi" w:cstheme="majorBidi"/>
                <w:lang w:val="fr-FR"/>
              </w:rPr>
              <w:t> ;</w:t>
            </w:r>
            <w:r w:rsidRPr="001B46CB">
              <w:rPr>
                <w:rFonts w:asciiTheme="majorBidi" w:hAnsiTheme="majorBidi" w:cstheme="majorBidi"/>
                <w:lang w:val="fr-FR"/>
              </w:rPr>
              <w:t xml:space="preserve"> e) empêchant la production d</w:t>
            </w:r>
            <w:r w:rsidR="00801F15" w:rsidRPr="001B46CB">
              <w:rPr>
                <w:rFonts w:asciiTheme="majorBidi" w:hAnsiTheme="majorBidi" w:cstheme="majorBidi"/>
                <w:lang w:val="fr-FR"/>
              </w:rPr>
              <w:t>’</w:t>
            </w:r>
            <w:r w:rsidRPr="001B46CB">
              <w:rPr>
                <w:rFonts w:asciiTheme="majorBidi" w:hAnsiTheme="majorBidi" w:cstheme="majorBidi"/>
                <w:lang w:val="fr-FR"/>
              </w:rPr>
              <w:t xml:space="preserve">éléments de preuve écrits sur les questions touchant aux relations matrimoniales, ce qui peut entraîner une répartition </w:t>
            </w:r>
            <w:r w:rsidRPr="001B46CB">
              <w:rPr>
                <w:rFonts w:asciiTheme="majorBidi" w:hAnsiTheme="majorBidi" w:cstheme="majorBidi"/>
                <w:lang w:val="fr-FR"/>
              </w:rPr>
              <w:lastRenderedPageBreak/>
              <w:t>discriminatoire des dettes et des biens lors du divorce</w:t>
            </w:r>
            <w:r w:rsidR="00801F15" w:rsidRPr="001B46CB">
              <w:rPr>
                <w:rFonts w:asciiTheme="majorBidi" w:hAnsiTheme="majorBidi" w:cstheme="majorBidi"/>
                <w:lang w:val="fr-FR"/>
              </w:rPr>
              <w:t> ;</w:t>
            </w:r>
            <w:r w:rsidRPr="001B46CB">
              <w:rPr>
                <w:rFonts w:asciiTheme="majorBidi" w:hAnsiTheme="majorBidi" w:cstheme="majorBidi"/>
                <w:lang w:val="fr-FR"/>
              </w:rPr>
              <w:t xml:space="preserve"> f) prévoyant un traitement différent pour les femmes sunnites et chiites, y compris en ce qui concerne le mariage, le divorce et la garde des enfants.</w:t>
            </w:r>
          </w:p>
          <w:p w14:paraId="146237FA" w14:textId="67DDF9FD" w:rsidR="00F36F51" w:rsidRPr="001B46CB" w:rsidRDefault="00F36F51" w:rsidP="00767A10">
            <w:pPr>
              <w:pStyle w:val="ListParagraph"/>
              <w:tabs>
                <w:tab w:val="left" w:pos="4515"/>
              </w:tabs>
              <w:spacing w:after="20" w:line="240" w:lineRule="auto"/>
              <w:ind w:left="360" w:right="144"/>
              <w:contextualSpacing w:val="0"/>
              <w:jc w:val="both"/>
              <w:rPr>
                <w:rFonts w:asciiTheme="majorBidi" w:hAnsiTheme="majorBidi" w:cstheme="majorBidi"/>
                <w:b/>
                <w:bCs/>
                <w:color w:val="000000" w:themeColor="text1"/>
                <w:lang w:val="fr-FR"/>
              </w:rPr>
            </w:pPr>
            <w:r w:rsidRPr="001B46CB">
              <w:rPr>
                <w:rFonts w:asciiTheme="majorBidi" w:hAnsiTheme="majorBidi" w:cstheme="majorBidi"/>
                <w:lang w:val="fr-FR"/>
              </w:rPr>
              <w:t>Veuillez également fournir des renseignements sur les mesures prises pour permettre aux femmes d</w:t>
            </w:r>
            <w:r w:rsidR="00801F15" w:rsidRPr="001B46CB">
              <w:rPr>
                <w:rFonts w:asciiTheme="majorBidi" w:hAnsiTheme="majorBidi" w:cstheme="majorBidi"/>
                <w:lang w:val="fr-FR"/>
              </w:rPr>
              <w:t>’</w:t>
            </w:r>
            <w:r w:rsidRPr="001B46CB">
              <w:rPr>
                <w:rFonts w:asciiTheme="majorBidi" w:hAnsiTheme="majorBidi" w:cstheme="majorBidi"/>
                <w:lang w:val="fr-FR"/>
              </w:rPr>
              <w:t>assumer la tutelle et la garde exclusive de leurs enfants en cas de divorce et d</w:t>
            </w:r>
            <w:r w:rsidR="00801F15" w:rsidRPr="001B46CB">
              <w:rPr>
                <w:rFonts w:asciiTheme="majorBidi" w:hAnsiTheme="majorBidi" w:cstheme="majorBidi"/>
                <w:lang w:val="fr-FR"/>
              </w:rPr>
              <w:t>’</w:t>
            </w:r>
            <w:r w:rsidRPr="001B46CB">
              <w:rPr>
                <w:rFonts w:asciiTheme="majorBidi" w:hAnsiTheme="majorBidi" w:cstheme="majorBidi"/>
                <w:lang w:val="fr-FR"/>
              </w:rPr>
              <w:t>en conserver la garde si elles se remarient, de veiller à ce que les femmes ne soient en aucun cas contraintes par la loi ou la pratique à accepter une conciliation (</w:t>
            </w:r>
            <w:r w:rsidR="00CC1C14" w:rsidRPr="001B46CB">
              <w:rPr>
                <w:rFonts w:asciiTheme="majorBidi" w:hAnsiTheme="majorBidi" w:cstheme="majorBidi"/>
                <w:lang w:val="fr-FR"/>
              </w:rPr>
              <w:t>par. </w:t>
            </w:r>
            <w:r w:rsidRPr="001B46CB">
              <w:rPr>
                <w:rFonts w:asciiTheme="majorBidi" w:hAnsiTheme="majorBidi" w:cstheme="majorBidi"/>
                <w:lang w:val="fr-FR"/>
              </w:rPr>
              <w:t>206), ainsi que pour garantir que les biens seront également répartis entre les époux, en cas d</w:t>
            </w:r>
            <w:r w:rsidR="00801F15" w:rsidRPr="001B46CB">
              <w:rPr>
                <w:rFonts w:asciiTheme="majorBidi" w:hAnsiTheme="majorBidi" w:cstheme="majorBidi"/>
                <w:lang w:val="fr-FR"/>
              </w:rPr>
              <w:t>’</w:t>
            </w:r>
            <w:r w:rsidRPr="001B46CB">
              <w:rPr>
                <w:rFonts w:asciiTheme="majorBidi" w:hAnsiTheme="majorBidi" w:cstheme="majorBidi"/>
                <w:lang w:val="fr-FR"/>
              </w:rPr>
              <w:t>abandon de l</w:t>
            </w:r>
            <w:r w:rsidR="00801F15" w:rsidRPr="001B46CB">
              <w:rPr>
                <w:rFonts w:asciiTheme="majorBidi" w:hAnsiTheme="majorBidi" w:cstheme="majorBidi"/>
                <w:lang w:val="fr-FR"/>
              </w:rPr>
              <w:t>’</w:t>
            </w:r>
            <w:r w:rsidRPr="001B46CB">
              <w:rPr>
                <w:rFonts w:asciiTheme="majorBidi" w:hAnsiTheme="majorBidi" w:cstheme="majorBidi"/>
                <w:lang w:val="fr-FR"/>
              </w:rPr>
              <w:t>épouse, et entre les filles et les fils survivants, en cas d</w:t>
            </w:r>
            <w:r w:rsidR="00801F15" w:rsidRPr="001B46CB">
              <w:rPr>
                <w:rFonts w:asciiTheme="majorBidi" w:hAnsiTheme="majorBidi" w:cstheme="majorBidi"/>
                <w:lang w:val="fr-FR"/>
              </w:rPr>
              <w:t>’</w:t>
            </w:r>
            <w:r w:rsidRPr="001B46CB">
              <w:rPr>
                <w:rFonts w:asciiTheme="majorBidi" w:hAnsiTheme="majorBidi" w:cstheme="majorBidi"/>
                <w:lang w:val="fr-FR"/>
              </w:rPr>
              <w:t>héritage.</w:t>
            </w:r>
          </w:p>
        </w:tc>
      </w:tr>
      <w:tr w:rsidR="00BF5493" w:rsidRPr="001B46CB" w14:paraId="1E315596" w14:textId="77777777" w:rsidTr="00767A10">
        <w:trPr>
          <w:gridAfter w:val="1"/>
          <w:wAfter w:w="63" w:type="pct"/>
          <w:tblCellSpacing w:w="20" w:type="dxa"/>
          <w:jc w:val="center"/>
        </w:trPr>
        <w:tc>
          <w:tcPr>
            <w:tcW w:w="4876" w:type="pct"/>
            <w:gridSpan w:val="7"/>
            <w:shd w:val="clear" w:color="auto" w:fill="C4BC96" w:themeFill="background2" w:themeFillShade="BF"/>
          </w:tcPr>
          <w:p w14:paraId="7CE95365" w14:textId="77777777" w:rsidR="00F36F51" w:rsidRPr="001B46CB" w:rsidRDefault="00F36F51" w:rsidP="00767A10">
            <w:pPr>
              <w:keepNext/>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lastRenderedPageBreak/>
              <w:t>Réponse</w:t>
            </w:r>
          </w:p>
        </w:tc>
      </w:tr>
      <w:tr w:rsidR="00BF5493" w:rsidRPr="001B46CB" w14:paraId="33CDB972" w14:textId="77777777" w:rsidTr="00767A10">
        <w:trPr>
          <w:gridAfter w:val="1"/>
          <w:wAfter w:w="63" w:type="pct"/>
          <w:tblCellSpacing w:w="20" w:type="dxa"/>
          <w:jc w:val="center"/>
        </w:trPr>
        <w:tc>
          <w:tcPr>
            <w:tcW w:w="4876" w:type="pct"/>
            <w:gridSpan w:val="7"/>
            <w:shd w:val="clear" w:color="auto" w:fill="auto"/>
            <w:vAlign w:val="center"/>
          </w:tcPr>
          <w:p w14:paraId="65AD13C3" w14:textId="22D8734E" w:rsidR="00F36F51" w:rsidRPr="001B46CB" w:rsidRDefault="00F36F51" w:rsidP="00F4463A">
            <w:pPr>
              <w:pStyle w:val="ListParagraph"/>
              <w:numPr>
                <w:ilvl w:val="0"/>
                <w:numId w:val="43"/>
              </w:numPr>
              <w:spacing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Conformément au Code de la famille, un mariage ne peut être contracté sans le consentement de la fille. Un mariage ne peut être contracté si ce pilier (proposition et acceptation) n</w:t>
            </w:r>
            <w:r w:rsidR="00801F15" w:rsidRPr="001B46CB">
              <w:rPr>
                <w:rFonts w:asciiTheme="majorBidi" w:hAnsiTheme="majorBidi" w:cstheme="majorBidi"/>
                <w:lang w:val="fr-FR"/>
              </w:rPr>
              <w:t>’</w:t>
            </w:r>
            <w:r w:rsidRPr="001B46CB">
              <w:rPr>
                <w:rFonts w:asciiTheme="majorBidi" w:hAnsiTheme="majorBidi" w:cstheme="majorBidi"/>
                <w:lang w:val="fr-FR"/>
              </w:rPr>
              <w:t>est pas respecté.</w:t>
            </w:r>
          </w:p>
          <w:p w14:paraId="3BDC097D" w14:textId="7C0BB75E" w:rsidR="00F36F51" w:rsidRPr="001B46CB" w:rsidRDefault="00F36F51" w:rsidP="00F4463A">
            <w:pPr>
              <w:pStyle w:val="ListParagraph"/>
              <w:numPr>
                <w:ilvl w:val="0"/>
                <w:numId w:val="43"/>
              </w:numPr>
              <w:spacing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La présence obligatoire du tuteur est une prescription de la charia qui ne va en aucun cas à l</w:t>
            </w:r>
            <w:r w:rsidR="00801F15" w:rsidRPr="001B46CB">
              <w:rPr>
                <w:rFonts w:asciiTheme="majorBidi" w:hAnsiTheme="majorBidi" w:cstheme="majorBidi"/>
                <w:lang w:val="fr-FR"/>
              </w:rPr>
              <w:t>’</w:t>
            </w:r>
            <w:r w:rsidRPr="001B46CB">
              <w:rPr>
                <w:rFonts w:asciiTheme="majorBidi" w:hAnsiTheme="majorBidi" w:cstheme="majorBidi"/>
                <w:lang w:val="fr-FR"/>
              </w:rPr>
              <w:t>encontre du droit de la fille de refuser le mariage ou de l</w:t>
            </w:r>
            <w:r w:rsidR="00801F15" w:rsidRPr="001B46CB">
              <w:rPr>
                <w:rFonts w:asciiTheme="majorBidi" w:hAnsiTheme="majorBidi" w:cstheme="majorBidi"/>
                <w:lang w:val="fr-FR"/>
              </w:rPr>
              <w:t>’</w:t>
            </w:r>
            <w:r w:rsidRPr="001B46CB">
              <w:rPr>
                <w:rFonts w:asciiTheme="majorBidi" w:hAnsiTheme="majorBidi" w:cstheme="majorBidi"/>
                <w:lang w:val="fr-FR"/>
              </w:rPr>
              <w:t>accepter, selon sa volonté. Le Code de la famille restreint le droit du tuteur de telle sorte que la tutelle peut lui être retirée s</w:t>
            </w:r>
            <w:r w:rsidR="00801F15" w:rsidRPr="001B46CB">
              <w:rPr>
                <w:rFonts w:asciiTheme="majorBidi" w:hAnsiTheme="majorBidi" w:cstheme="majorBidi"/>
                <w:lang w:val="fr-FR"/>
              </w:rPr>
              <w:t>’</w:t>
            </w:r>
            <w:r w:rsidRPr="001B46CB">
              <w:rPr>
                <w:rFonts w:asciiTheme="majorBidi" w:hAnsiTheme="majorBidi" w:cstheme="majorBidi"/>
                <w:lang w:val="fr-FR"/>
              </w:rPr>
              <w:t>il empêche la fille de se marier et que le juge peut autoriser le mariage en l</w:t>
            </w:r>
            <w:r w:rsidR="00801F15" w:rsidRPr="001B46CB">
              <w:rPr>
                <w:rFonts w:asciiTheme="majorBidi" w:hAnsiTheme="majorBidi" w:cstheme="majorBidi"/>
                <w:lang w:val="fr-FR"/>
              </w:rPr>
              <w:t>’</w:t>
            </w:r>
            <w:r w:rsidRPr="001B46CB">
              <w:rPr>
                <w:rFonts w:asciiTheme="majorBidi" w:hAnsiTheme="majorBidi" w:cstheme="majorBidi"/>
                <w:lang w:val="fr-FR"/>
              </w:rPr>
              <w:t>absence d</w:t>
            </w:r>
            <w:r w:rsidR="00801F15" w:rsidRPr="001B46CB">
              <w:rPr>
                <w:rFonts w:asciiTheme="majorBidi" w:hAnsiTheme="majorBidi" w:cstheme="majorBidi"/>
                <w:lang w:val="fr-FR"/>
              </w:rPr>
              <w:t>’</w:t>
            </w:r>
            <w:r w:rsidRPr="001B46CB">
              <w:rPr>
                <w:rFonts w:asciiTheme="majorBidi" w:hAnsiTheme="majorBidi" w:cstheme="majorBidi"/>
                <w:lang w:val="fr-FR"/>
              </w:rPr>
              <w:t>approbation du tuteur.</w:t>
            </w:r>
          </w:p>
          <w:p w14:paraId="7222DECA" w14:textId="77777777" w:rsidR="00801F15" w:rsidRPr="001B46CB" w:rsidRDefault="00F36F51" w:rsidP="00F4463A">
            <w:pPr>
              <w:pStyle w:val="ListParagraph"/>
              <w:numPr>
                <w:ilvl w:val="0"/>
                <w:numId w:val="43"/>
              </w:numPr>
              <w:spacing w:line="240" w:lineRule="auto"/>
              <w:ind w:left="360" w:right="144"/>
              <w:jc w:val="both"/>
              <w:rPr>
                <w:rFonts w:asciiTheme="majorBidi" w:hAnsiTheme="majorBidi" w:cstheme="majorBidi"/>
                <w:lang w:val="fr-FR"/>
              </w:rPr>
            </w:pPr>
            <w:r w:rsidRPr="001B46CB">
              <w:rPr>
                <w:rFonts w:asciiTheme="majorBidi" w:hAnsiTheme="majorBidi" w:cstheme="majorBidi"/>
                <w:lang w:val="fr-FR"/>
              </w:rPr>
              <w:t>Le divorce est un droit que la charia accorde à l</w:t>
            </w:r>
            <w:r w:rsidR="00801F15" w:rsidRPr="001B46CB">
              <w:rPr>
                <w:rFonts w:asciiTheme="majorBidi" w:hAnsiTheme="majorBidi" w:cstheme="majorBidi"/>
                <w:lang w:val="fr-FR"/>
              </w:rPr>
              <w:t>’</w:t>
            </w:r>
            <w:r w:rsidRPr="001B46CB">
              <w:rPr>
                <w:rFonts w:asciiTheme="majorBidi" w:hAnsiTheme="majorBidi" w:cstheme="majorBidi"/>
                <w:lang w:val="fr-FR"/>
              </w:rPr>
              <w:t xml:space="preserve">homme. Le </w:t>
            </w:r>
            <w:r w:rsidRPr="00767A10">
              <w:rPr>
                <w:rFonts w:asciiTheme="majorBidi" w:hAnsiTheme="majorBidi" w:cstheme="majorBidi"/>
                <w:i/>
                <w:iCs/>
                <w:lang w:val="fr-FR"/>
              </w:rPr>
              <w:t>khoul</w:t>
            </w:r>
            <w:r w:rsidR="00801F15" w:rsidRPr="00767A10">
              <w:rPr>
                <w:rFonts w:asciiTheme="majorBidi" w:hAnsiTheme="majorBidi" w:cstheme="majorBidi"/>
                <w:i/>
                <w:iCs/>
                <w:lang w:val="fr-FR"/>
              </w:rPr>
              <w:t>’</w:t>
            </w:r>
            <w:r w:rsidRPr="001B46CB">
              <w:rPr>
                <w:rFonts w:asciiTheme="majorBidi" w:hAnsiTheme="majorBidi" w:cstheme="majorBidi"/>
                <w:lang w:val="fr-FR"/>
              </w:rPr>
              <w:t xml:space="preserve"> est le droit correspondant qu</w:t>
            </w:r>
            <w:r w:rsidR="00801F15" w:rsidRPr="001B46CB">
              <w:rPr>
                <w:rFonts w:asciiTheme="majorBidi" w:hAnsiTheme="majorBidi" w:cstheme="majorBidi"/>
                <w:lang w:val="fr-FR"/>
              </w:rPr>
              <w:t>’</w:t>
            </w:r>
            <w:r w:rsidRPr="001B46CB">
              <w:rPr>
                <w:rFonts w:asciiTheme="majorBidi" w:hAnsiTheme="majorBidi" w:cstheme="majorBidi"/>
                <w:lang w:val="fr-FR"/>
              </w:rPr>
              <w:t>a la femme de demander la dissolution du mariage. Cette disposition de la charia ne peut être supprimée, la charia étant la principale source du droit dans le Royaume.</w:t>
            </w:r>
          </w:p>
          <w:p w14:paraId="643A2169" w14:textId="77777777" w:rsidR="00801F15" w:rsidRPr="001B46CB" w:rsidRDefault="00F36F51" w:rsidP="00F4463A">
            <w:pPr>
              <w:pStyle w:val="ListParagraph"/>
              <w:numPr>
                <w:ilvl w:val="0"/>
                <w:numId w:val="43"/>
              </w:numPr>
              <w:spacing w:line="240" w:lineRule="auto"/>
              <w:ind w:left="360" w:right="144"/>
              <w:jc w:val="both"/>
              <w:rPr>
                <w:rFonts w:asciiTheme="majorBidi" w:hAnsiTheme="majorBidi" w:cstheme="majorBidi"/>
                <w:lang w:val="fr-FR"/>
              </w:rPr>
            </w:pPr>
            <w:r w:rsidRPr="001B46CB">
              <w:rPr>
                <w:rFonts w:asciiTheme="majorBidi" w:hAnsiTheme="majorBidi" w:cstheme="majorBidi"/>
                <w:lang w:val="fr-FR"/>
              </w:rPr>
              <w:t>L</w:t>
            </w:r>
            <w:r w:rsidR="00801F15" w:rsidRPr="001B46CB">
              <w:rPr>
                <w:rFonts w:asciiTheme="majorBidi" w:hAnsiTheme="majorBidi" w:cstheme="majorBidi"/>
                <w:lang w:val="fr-FR"/>
              </w:rPr>
              <w:t>’</w:t>
            </w:r>
            <w:r w:rsidRPr="001B46CB">
              <w:rPr>
                <w:rFonts w:asciiTheme="majorBidi" w:hAnsiTheme="majorBidi" w:cstheme="majorBidi"/>
                <w:lang w:val="fr-FR"/>
              </w:rPr>
              <w:t>épouse a la possibilité de demander le divorce judiciaire</w:t>
            </w:r>
            <w:r w:rsidR="00801F15" w:rsidRPr="001B46CB">
              <w:rPr>
                <w:rFonts w:asciiTheme="majorBidi" w:hAnsiTheme="majorBidi" w:cstheme="majorBidi"/>
                <w:lang w:val="fr-FR"/>
              </w:rPr>
              <w:t xml:space="preserve"> </w:t>
            </w:r>
            <w:r w:rsidRPr="001B46CB">
              <w:rPr>
                <w:rFonts w:asciiTheme="majorBidi" w:hAnsiTheme="majorBidi" w:cstheme="majorBidi"/>
                <w:lang w:val="fr-FR"/>
              </w:rPr>
              <w:t>sans le consentement de l</w:t>
            </w:r>
            <w:r w:rsidR="00801F15" w:rsidRPr="001B46CB">
              <w:rPr>
                <w:rFonts w:asciiTheme="majorBidi" w:hAnsiTheme="majorBidi" w:cstheme="majorBidi"/>
                <w:lang w:val="fr-FR"/>
              </w:rPr>
              <w:t>’</w:t>
            </w:r>
            <w:r w:rsidRPr="001B46CB">
              <w:rPr>
                <w:rFonts w:asciiTheme="majorBidi" w:hAnsiTheme="majorBidi" w:cstheme="majorBidi"/>
                <w:lang w:val="fr-FR"/>
              </w:rPr>
              <w:t>époux pour divers motifs, énoncés dans le Code de la famille, tels que le préjudice, la discorde, l</w:t>
            </w:r>
            <w:r w:rsidR="00801F15" w:rsidRPr="001B46CB">
              <w:rPr>
                <w:rFonts w:asciiTheme="majorBidi" w:hAnsiTheme="majorBidi" w:cstheme="majorBidi"/>
                <w:lang w:val="fr-FR"/>
              </w:rPr>
              <w:t>’</w:t>
            </w:r>
            <w:r w:rsidRPr="001B46CB">
              <w:rPr>
                <w:rFonts w:asciiTheme="majorBidi" w:hAnsiTheme="majorBidi" w:cstheme="majorBidi"/>
                <w:lang w:val="fr-FR"/>
              </w:rPr>
              <w:t>emprisonnement de l</w:t>
            </w:r>
            <w:r w:rsidR="00801F15" w:rsidRPr="001B46CB">
              <w:rPr>
                <w:rFonts w:asciiTheme="majorBidi" w:hAnsiTheme="majorBidi" w:cstheme="majorBidi"/>
                <w:lang w:val="fr-FR"/>
              </w:rPr>
              <w:t>’</w:t>
            </w:r>
            <w:r w:rsidRPr="001B46CB">
              <w:rPr>
                <w:rFonts w:asciiTheme="majorBidi" w:hAnsiTheme="majorBidi" w:cstheme="majorBidi"/>
                <w:lang w:val="fr-FR"/>
              </w:rPr>
              <w:t>époux, la dépendance de l</w:t>
            </w:r>
            <w:r w:rsidR="00801F15" w:rsidRPr="001B46CB">
              <w:rPr>
                <w:rFonts w:asciiTheme="majorBidi" w:hAnsiTheme="majorBidi" w:cstheme="majorBidi"/>
                <w:lang w:val="fr-FR"/>
              </w:rPr>
              <w:t>’</w:t>
            </w:r>
            <w:r w:rsidRPr="001B46CB">
              <w:rPr>
                <w:rFonts w:asciiTheme="majorBidi" w:hAnsiTheme="majorBidi" w:cstheme="majorBidi"/>
                <w:lang w:val="fr-FR"/>
              </w:rPr>
              <w:t>époux à des substances, l</w:t>
            </w:r>
            <w:r w:rsidR="00801F15" w:rsidRPr="001B46CB">
              <w:rPr>
                <w:rFonts w:asciiTheme="majorBidi" w:hAnsiTheme="majorBidi" w:cstheme="majorBidi"/>
                <w:lang w:val="fr-FR"/>
              </w:rPr>
              <w:t>’</w:t>
            </w:r>
            <w:r w:rsidRPr="001B46CB">
              <w:rPr>
                <w:rFonts w:asciiTheme="majorBidi" w:hAnsiTheme="majorBidi" w:cstheme="majorBidi"/>
                <w:lang w:val="fr-FR"/>
              </w:rPr>
              <w:t>absence de contribution de l</w:t>
            </w:r>
            <w:r w:rsidR="00801F15" w:rsidRPr="001B46CB">
              <w:rPr>
                <w:rFonts w:asciiTheme="majorBidi" w:hAnsiTheme="majorBidi" w:cstheme="majorBidi"/>
                <w:lang w:val="fr-FR"/>
              </w:rPr>
              <w:t>’</w:t>
            </w:r>
            <w:r w:rsidRPr="001B46CB">
              <w:rPr>
                <w:rFonts w:asciiTheme="majorBidi" w:hAnsiTheme="majorBidi" w:cstheme="majorBidi"/>
                <w:lang w:val="fr-FR"/>
              </w:rPr>
              <w:t>époux aux dépenses. Elle peut également faire valoir l</w:t>
            </w:r>
            <w:r w:rsidR="00801F15" w:rsidRPr="001B46CB">
              <w:rPr>
                <w:rFonts w:asciiTheme="majorBidi" w:hAnsiTheme="majorBidi" w:cstheme="majorBidi"/>
                <w:lang w:val="fr-FR"/>
              </w:rPr>
              <w:t>’</w:t>
            </w:r>
            <w:r w:rsidRPr="001B46CB">
              <w:rPr>
                <w:rFonts w:asciiTheme="majorBidi" w:hAnsiTheme="majorBidi" w:cstheme="majorBidi"/>
                <w:lang w:val="fr-FR"/>
              </w:rPr>
              <w:t>ensemble de ses droits découlant de la relation conjugale.</w:t>
            </w:r>
          </w:p>
          <w:p w14:paraId="06D926C9" w14:textId="3EC9F148" w:rsidR="00F36F51" w:rsidRPr="001B46CB" w:rsidRDefault="00F36F51" w:rsidP="00F4463A">
            <w:pPr>
              <w:pStyle w:val="ListParagraph"/>
              <w:numPr>
                <w:ilvl w:val="0"/>
                <w:numId w:val="43"/>
              </w:numPr>
              <w:spacing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Lorsqu</w:t>
            </w:r>
            <w:r w:rsidR="00801F15" w:rsidRPr="001B46CB">
              <w:rPr>
                <w:rFonts w:asciiTheme="majorBidi" w:hAnsiTheme="majorBidi" w:cstheme="majorBidi"/>
                <w:lang w:val="fr-FR"/>
              </w:rPr>
              <w:t>’</w:t>
            </w:r>
            <w:r w:rsidRPr="001B46CB">
              <w:rPr>
                <w:rFonts w:asciiTheme="majorBidi" w:hAnsiTheme="majorBidi" w:cstheme="majorBidi"/>
                <w:lang w:val="fr-FR"/>
              </w:rPr>
              <w:t>elle demande la dissolution du mariage (</w:t>
            </w:r>
            <w:r w:rsidRPr="00767A10">
              <w:rPr>
                <w:rFonts w:asciiTheme="majorBidi" w:hAnsiTheme="majorBidi" w:cstheme="majorBidi"/>
                <w:i/>
                <w:iCs/>
                <w:lang w:val="fr-FR"/>
              </w:rPr>
              <w:t>khoul</w:t>
            </w:r>
            <w:r w:rsidR="00801F15" w:rsidRPr="00767A10">
              <w:rPr>
                <w:rFonts w:asciiTheme="majorBidi" w:hAnsiTheme="majorBidi" w:cstheme="majorBidi"/>
                <w:i/>
                <w:iCs/>
                <w:lang w:val="fr-FR"/>
              </w:rPr>
              <w:t>’</w:t>
            </w:r>
            <w:r w:rsidRPr="001B46CB">
              <w:rPr>
                <w:rFonts w:asciiTheme="majorBidi" w:hAnsiTheme="majorBidi" w:cstheme="majorBidi"/>
                <w:lang w:val="fr-FR"/>
              </w:rPr>
              <w:t>), la femme verse une indemnité n</w:t>
            </w:r>
            <w:r w:rsidR="00801F15" w:rsidRPr="001B46CB">
              <w:rPr>
                <w:rFonts w:asciiTheme="majorBidi" w:hAnsiTheme="majorBidi" w:cstheme="majorBidi"/>
                <w:lang w:val="fr-FR"/>
              </w:rPr>
              <w:t>’</w:t>
            </w:r>
            <w:r w:rsidRPr="001B46CB">
              <w:rPr>
                <w:rFonts w:asciiTheme="majorBidi" w:hAnsiTheme="majorBidi" w:cstheme="majorBidi"/>
                <w:lang w:val="fr-FR"/>
              </w:rPr>
              <w:t>excédant pas le montant de la dot. Ce principe, consacré par la charia, est inscrit dans le Code de la famille.</w:t>
            </w:r>
          </w:p>
          <w:p w14:paraId="6DBC3ED4" w14:textId="1EB026F5" w:rsidR="00801F15" w:rsidRPr="001B46CB" w:rsidRDefault="00F36F51" w:rsidP="00F4463A">
            <w:pPr>
              <w:pStyle w:val="ListParagraph"/>
              <w:numPr>
                <w:ilvl w:val="0"/>
                <w:numId w:val="43"/>
              </w:numPr>
              <w:spacing w:after="20" w:line="240" w:lineRule="auto"/>
              <w:ind w:left="360" w:right="144"/>
              <w:contextualSpacing w:val="0"/>
              <w:jc w:val="both"/>
              <w:rPr>
                <w:rFonts w:asciiTheme="majorBidi" w:hAnsiTheme="majorBidi" w:cstheme="majorBidi"/>
                <w:lang w:val="fr-FR"/>
              </w:rPr>
            </w:pPr>
            <w:r w:rsidRPr="001B46CB">
              <w:rPr>
                <w:rFonts w:asciiTheme="majorBidi" w:hAnsiTheme="majorBidi" w:cstheme="majorBidi"/>
                <w:lang w:val="fr-FR"/>
              </w:rPr>
              <w:t>En ce qui concerne la période d</w:t>
            </w:r>
            <w:r w:rsidR="00801F15" w:rsidRPr="001B46CB">
              <w:rPr>
                <w:rFonts w:asciiTheme="majorBidi" w:hAnsiTheme="majorBidi" w:cstheme="majorBidi"/>
                <w:lang w:val="fr-FR"/>
              </w:rPr>
              <w:t>’</w:t>
            </w:r>
            <w:r w:rsidRPr="001B46CB">
              <w:rPr>
                <w:rFonts w:asciiTheme="majorBidi" w:hAnsiTheme="majorBidi" w:cstheme="majorBidi"/>
                <w:lang w:val="fr-FR"/>
              </w:rPr>
              <w:t>attente imposée aux femmes abandonnées, le Code de la famille impose un délai de quatre ans avant de pouvoir engager une procédure de divorce</w:t>
            </w:r>
            <w:r w:rsidR="00801F15" w:rsidRPr="001B46CB">
              <w:rPr>
                <w:rFonts w:asciiTheme="majorBidi" w:hAnsiTheme="majorBidi" w:cstheme="majorBidi"/>
                <w:lang w:val="fr-FR"/>
              </w:rPr>
              <w:t xml:space="preserve"> </w:t>
            </w:r>
            <w:r w:rsidRPr="001B46CB">
              <w:rPr>
                <w:rFonts w:asciiTheme="majorBidi" w:hAnsiTheme="majorBidi" w:cstheme="majorBidi"/>
                <w:lang w:val="fr-FR"/>
              </w:rPr>
              <w:t>uniquement dans des cas précis et lorsque cela est nécessaire car une distinction est établie entre l</w:t>
            </w:r>
            <w:r w:rsidR="00801F15" w:rsidRPr="001B46CB">
              <w:rPr>
                <w:rFonts w:asciiTheme="majorBidi" w:hAnsiTheme="majorBidi" w:cstheme="majorBidi"/>
                <w:lang w:val="fr-FR"/>
              </w:rPr>
              <w:t>’</w:t>
            </w:r>
            <w:r w:rsidRPr="001B46CB">
              <w:rPr>
                <w:rFonts w:asciiTheme="majorBidi" w:hAnsiTheme="majorBidi" w:cstheme="majorBidi"/>
                <w:lang w:val="fr-FR"/>
              </w:rPr>
              <w:t>abandon et l</w:t>
            </w:r>
            <w:r w:rsidR="00801F15" w:rsidRPr="001B46CB">
              <w:rPr>
                <w:rFonts w:asciiTheme="majorBidi" w:hAnsiTheme="majorBidi" w:cstheme="majorBidi"/>
                <w:lang w:val="fr-FR"/>
              </w:rPr>
              <w:t>’</w:t>
            </w:r>
            <w:r w:rsidRPr="001B46CB">
              <w:rPr>
                <w:rFonts w:asciiTheme="majorBidi" w:hAnsiTheme="majorBidi" w:cstheme="majorBidi"/>
                <w:lang w:val="fr-FR"/>
              </w:rPr>
              <w:t>absence, comme suit</w:t>
            </w:r>
            <w:r w:rsidR="00801F15" w:rsidRPr="001B46CB">
              <w:rPr>
                <w:rFonts w:asciiTheme="majorBidi" w:hAnsiTheme="majorBidi" w:cstheme="majorBidi"/>
                <w:lang w:val="fr-FR"/>
              </w:rPr>
              <w:t> :</w:t>
            </w:r>
          </w:p>
          <w:p w14:paraId="61EB0859" w14:textId="6051DF6D" w:rsidR="00F36F51" w:rsidRPr="001B46CB" w:rsidRDefault="008466D3" w:rsidP="00F4463A">
            <w:pPr>
              <w:pStyle w:val="ListParagraph"/>
              <w:spacing w:line="240" w:lineRule="auto"/>
              <w:ind w:right="144" w:hanging="360"/>
              <w:jc w:val="both"/>
              <w:rPr>
                <w:rFonts w:asciiTheme="majorBidi" w:hAnsiTheme="majorBidi" w:cstheme="majorBidi"/>
                <w:color w:val="000000" w:themeColor="text1"/>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Premier cas</w:t>
            </w:r>
            <w:r w:rsidR="00801F15" w:rsidRPr="001B46CB">
              <w:rPr>
                <w:rFonts w:asciiTheme="majorBidi" w:hAnsiTheme="majorBidi" w:cstheme="majorBidi"/>
                <w:lang w:val="fr-FR"/>
              </w:rPr>
              <w:t> :</w:t>
            </w:r>
            <w:r w:rsidR="00F36F51" w:rsidRPr="001B46CB">
              <w:rPr>
                <w:rFonts w:asciiTheme="majorBidi" w:hAnsiTheme="majorBidi" w:cstheme="majorBidi"/>
                <w:lang w:val="fr-FR"/>
              </w:rPr>
              <w:t xml:space="preserve"> selon l</w:t>
            </w:r>
            <w:r w:rsidR="00801F15" w:rsidRPr="001B46CB">
              <w:rPr>
                <w:rFonts w:asciiTheme="majorBidi" w:hAnsiTheme="majorBidi" w:cstheme="majorBidi"/>
                <w:lang w:val="fr-FR"/>
              </w:rPr>
              <w:t>’</w:t>
            </w:r>
            <w:r w:rsidR="00F36F51" w:rsidRPr="001B46CB">
              <w:rPr>
                <w:rFonts w:asciiTheme="majorBidi" w:hAnsiTheme="majorBidi" w:cstheme="majorBidi"/>
                <w:lang w:val="fr-FR"/>
              </w:rPr>
              <w:t>article 107, concernant l</w:t>
            </w:r>
            <w:r w:rsidR="00801F15" w:rsidRPr="001B46CB">
              <w:rPr>
                <w:rFonts w:asciiTheme="majorBidi" w:hAnsiTheme="majorBidi" w:cstheme="majorBidi"/>
                <w:lang w:val="fr-FR"/>
              </w:rPr>
              <w:t>’</w:t>
            </w:r>
            <w:r w:rsidR="00F36F51" w:rsidRPr="001B46CB">
              <w:rPr>
                <w:rFonts w:asciiTheme="majorBidi" w:hAnsiTheme="majorBidi" w:cstheme="majorBidi"/>
                <w:lang w:val="fr-FR"/>
              </w:rPr>
              <w:t>abandon de l</w:t>
            </w:r>
            <w:r w:rsidR="00801F15" w:rsidRPr="001B46CB">
              <w:rPr>
                <w:rFonts w:asciiTheme="majorBidi" w:hAnsiTheme="majorBidi" w:cstheme="majorBidi"/>
                <w:lang w:val="fr-FR"/>
              </w:rPr>
              <w:t>’</w:t>
            </w:r>
            <w:r w:rsidR="00F36F51" w:rsidRPr="001B46CB">
              <w:rPr>
                <w:rFonts w:asciiTheme="majorBidi" w:hAnsiTheme="majorBidi" w:cstheme="majorBidi"/>
                <w:lang w:val="fr-FR"/>
              </w:rPr>
              <w:t>épouse ou l</w:t>
            </w:r>
            <w:r w:rsidR="00801F15" w:rsidRPr="001B46CB">
              <w:rPr>
                <w:rFonts w:asciiTheme="majorBidi" w:hAnsiTheme="majorBidi" w:cstheme="majorBidi"/>
                <w:lang w:val="fr-FR"/>
              </w:rPr>
              <w:t>’</w:t>
            </w:r>
            <w:r w:rsidR="00F36F51" w:rsidRPr="001B46CB">
              <w:rPr>
                <w:rFonts w:asciiTheme="majorBidi" w:hAnsiTheme="majorBidi" w:cstheme="majorBidi"/>
                <w:lang w:val="fr-FR"/>
              </w:rPr>
              <w:t>absence injustifiée du mari dont le domicile ou le lieu de résidence est connu. Dans ce cas, l</w:t>
            </w:r>
            <w:r w:rsidR="00801F15" w:rsidRPr="001B46CB">
              <w:rPr>
                <w:rFonts w:asciiTheme="majorBidi" w:hAnsiTheme="majorBidi" w:cstheme="majorBidi"/>
                <w:lang w:val="fr-FR"/>
              </w:rPr>
              <w:t>’</w:t>
            </w:r>
            <w:r w:rsidR="00F36F51" w:rsidRPr="001B46CB">
              <w:rPr>
                <w:rFonts w:asciiTheme="majorBidi" w:hAnsiTheme="majorBidi" w:cstheme="majorBidi"/>
                <w:lang w:val="fr-FR"/>
              </w:rPr>
              <w:t>épouse n</w:t>
            </w:r>
            <w:r w:rsidR="00801F15" w:rsidRPr="001B46CB">
              <w:rPr>
                <w:rFonts w:asciiTheme="majorBidi" w:hAnsiTheme="majorBidi" w:cstheme="majorBidi"/>
                <w:lang w:val="fr-FR"/>
              </w:rPr>
              <w:t>’</w:t>
            </w:r>
            <w:r w:rsidR="00F36F51" w:rsidRPr="001B46CB">
              <w:rPr>
                <w:rFonts w:asciiTheme="majorBidi" w:hAnsiTheme="majorBidi" w:cstheme="majorBidi"/>
                <w:lang w:val="fr-FR"/>
              </w:rPr>
              <w:t>est pas tenue d</w:t>
            </w:r>
            <w:r w:rsidR="00801F15" w:rsidRPr="001B46CB">
              <w:rPr>
                <w:rFonts w:asciiTheme="majorBidi" w:hAnsiTheme="majorBidi" w:cstheme="majorBidi"/>
                <w:lang w:val="fr-FR"/>
              </w:rPr>
              <w:t>’</w:t>
            </w:r>
            <w:r w:rsidR="00F36F51" w:rsidRPr="001B46CB">
              <w:rPr>
                <w:rFonts w:asciiTheme="majorBidi" w:hAnsiTheme="majorBidi" w:cstheme="majorBidi"/>
                <w:lang w:val="fr-FR"/>
              </w:rPr>
              <w:t>observer un quelconque délai et a le droit de demander le divorce pour préjudice. Le juge prononce le divorce après avoir prévenu l</w:t>
            </w:r>
            <w:r w:rsidR="00801F15" w:rsidRPr="001B46CB">
              <w:rPr>
                <w:rFonts w:asciiTheme="majorBidi" w:hAnsiTheme="majorBidi" w:cstheme="majorBidi"/>
                <w:lang w:val="fr-FR"/>
              </w:rPr>
              <w:t>’</w:t>
            </w:r>
            <w:r w:rsidR="00F36F51" w:rsidRPr="001B46CB">
              <w:rPr>
                <w:rFonts w:asciiTheme="majorBidi" w:hAnsiTheme="majorBidi" w:cstheme="majorBidi"/>
                <w:lang w:val="fr-FR"/>
              </w:rPr>
              <w:t>époux que celui-ci devait résider au même domicile que son épouse, faire en sorte que l</w:t>
            </w:r>
            <w:r w:rsidR="00801F15" w:rsidRPr="001B46CB">
              <w:rPr>
                <w:rFonts w:asciiTheme="majorBidi" w:hAnsiTheme="majorBidi" w:cstheme="majorBidi"/>
                <w:lang w:val="fr-FR"/>
              </w:rPr>
              <w:t>’</w:t>
            </w:r>
            <w:r w:rsidR="00F36F51" w:rsidRPr="001B46CB">
              <w:rPr>
                <w:rFonts w:asciiTheme="majorBidi" w:hAnsiTheme="majorBidi" w:cstheme="majorBidi"/>
                <w:lang w:val="fr-FR"/>
              </w:rPr>
              <w:t>épouse emménage avec lui ou divorcer d</w:t>
            </w:r>
            <w:r w:rsidR="00801F15" w:rsidRPr="001B46CB">
              <w:rPr>
                <w:rFonts w:asciiTheme="majorBidi" w:hAnsiTheme="majorBidi" w:cstheme="majorBidi"/>
                <w:lang w:val="fr-FR"/>
              </w:rPr>
              <w:t>’</w:t>
            </w:r>
            <w:r w:rsidR="00F36F51" w:rsidRPr="001B46CB">
              <w:rPr>
                <w:rFonts w:asciiTheme="majorBidi" w:hAnsiTheme="majorBidi" w:cstheme="majorBidi"/>
                <w:lang w:val="fr-FR"/>
              </w:rPr>
              <w:t>avec elle.</w:t>
            </w:r>
          </w:p>
          <w:p w14:paraId="023DEB22" w14:textId="3FF5494A" w:rsidR="00801F15" w:rsidRPr="001B46CB" w:rsidRDefault="008466D3" w:rsidP="00F4463A">
            <w:pPr>
              <w:pStyle w:val="ListParagraph"/>
              <w:spacing w:after="20" w:line="240" w:lineRule="auto"/>
              <w:ind w:right="144" w:hanging="360"/>
              <w:contextualSpacing w:val="0"/>
              <w:jc w:val="both"/>
              <w:rPr>
                <w:rFonts w:asciiTheme="majorBidi" w:hAnsiTheme="majorBidi" w:cstheme="majorBidi"/>
                <w:lang w:val="fr-FR"/>
              </w:rPr>
            </w:pPr>
            <w:r w:rsidRPr="001B46CB">
              <w:rPr>
                <w:rFonts w:asciiTheme="majorBidi" w:hAnsiTheme="majorBidi" w:cstheme="majorBidi"/>
                <w:lang w:val="fr-FR"/>
              </w:rPr>
              <w:t>•</w:t>
            </w:r>
            <w:r w:rsidRPr="001B46CB">
              <w:rPr>
                <w:rFonts w:asciiTheme="majorBidi" w:hAnsiTheme="majorBidi" w:cstheme="majorBidi"/>
                <w:lang w:val="fr-FR"/>
              </w:rPr>
              <w:tab/>
            </w:r>
            <w:r w:rsidR="00F36F51" w:rsidRPr="001B46CB">
              <w:rPr>
                <w:rFonts w:asciiTheme="majorBidi" w:hAnsiTheme="majorBidi" w:cstheme="majorBidi"/>
                <w:lang w:val="fr-FR"/>
              </w:rPr>
              <w:t>Deuxième cas</w:t>
            </w:r>
            <w:r w:rsidR="00801F15" w:rsidRPr="001B46CB">
              <w:rPr>
                <w:rFonts w:asciiTheme="majorBidi" w:hAnsiTheme="majorBidi" w:cstheme="majorBidi"/>
                <w:lang w:val="fr-FR"/>
              </w:rPr>
              <w:t> :</w:t>
            </w:r>
            <w:r w:rsidR="00F36F51" w:rsidRPr="001B46CB">
              <w:rPr>
                <w:rFonts w:asciiTheme="majorBidi" w:hAnsiTheme="majorBidi" w:cstheme="majorBidi"/>
                <w:lang w:val="fr-FR"/>
              </w:rPr>
              <w:t xml:space="preserve"> selon l</w:t>
            </w:r>
            <w:r w:rsidR="00801F15" w:rsidRPr="001B46CB">
              <w:rPr>
                <w:rFonts w:asciiTheme="majorBidi" w:hAnsiTheme="majorBidi" w:cstheme="majorBidi"/>
                <w:lang w:val="fr-FR"/>
              </w:rPr>
              <w:t>’</w:t>
            </w:r>
            <w:r w:rsidR="00F36F51" w:rsidRPr="001B46CB">
              <w:rPr>
                <w:rFonts w:asciiTheme="majorBidi" w:hAnsiTheme="majorBidi" w:cstheme="majorBidi"/>
                <w:lang w:val="fr-FR"/>
              </w:rPr>
              <w:t>article 108, concernant l</w:t>
            </w:r>
            <w:r w:rsidR="00801F15" w:rsidRPr="001B46CB">
              <w:rPr>
                <w:rFonts w:asciiTheme="majorBidi" w:hAnsiTheme="majorBidi" w:cstheme="majorBidi"/>
                <w:lang w:val="fr-FR"/>
              </w:rPr>
              <w:t>’</w:t>
            </w:r>
            <w:r w:rsidR="00F36F51" w:rsidRPr="001B46CB">
              <w:rPr>
                <w:rFonts w:asciiTheme="majorBidi" w:hAnsiTheme="majorBidi" w:cstheme="majorBidi"/>
                <w:lang w:val="fr-FR"/>
              </w:rPr>
              <w:t>absence ou la disparition de l</w:t>
            </w:r>
            <w:r w:rsidR="00801F15" w:rsidRPr="001B46CB">
              <w:rPr>
                <w:rFonts w:asciiTheme="majorBidi" w:hAnsiTheme="majorBidi" w:cstheme="majorBidi"/>
                <w:lang w:val="fr-FR"/>
              </w:rPr>
              <w:t>’</w:t>
            </w:r>
            <w:r w:rsidR="00F36F51" w:rsidRPr="001B46CB">
              <w:rPr>
                <w:rFonts w:asciiTheme="majorBidi" w:hAnsiTheme="majorBidi" w:cstheme="majorBidi"/>
                <w:lang w:val="fr-FR"/>
              </w:rPr>
              <w:t>époux, dont on ignore s</w:t>
            </w:r>
            <w:r w:rsidR="00801F15" w:rsidRPr="001B46CB">
              <w:rPr>
                <w:rFonts w:asciiTheme="majorBidi" w:hAnsiTheme="majorBidi" w:cstheme="majorBidi"/>
                <w:lang w:val="fr-FR"/>
              </w:rPr>
              <w:t>’</w:t>
            </w:r>
            <w:r w:rsidR="00F36F51" w:rsidRPr="001B46CB">
              <w:rPr>
                <w:rFonts w:asciiTheme="majorBidi" w:hAnsiTheme="majorBidi" w:cstheme="majorBidi"/>
                <w:lang w:val="fr-FR"/>
              </w:rPr>
              <w:t>il est toujours en vie et dont le domicile ou le lieu de résidence ne sont pas connus, l</w:t>
            </w:r>
            <w:r w:rsidR="00801F15" w:rsidRPr="001B46CB">
              <w:rPr>
                <w:rFonts w:asciiTheme="majorBidi" w:hAnsiTheme="majorBidi" w:cstheme="majorBidi"/>
                <w:lang w:val="fr-FR"/>
              </w:rPr>
              <w:t>’</w:t>
            </w:r>
            <w:r w:rsidR="00F36F51" w:rsidRPr="001B46CB">
              <w:rPr>
                <w:rFonts w:asciiTheme="majorBidi" w:hAnsiTheme="majorBidi" w:cstheme="majorBidi"/>
                <w:lang w:val="fr-FR"/>
              </w:rPr>
              <w:t>épouse a le droit de demander le divorce, que le juge prononce après avoir fait procéder à des recherches et à une enquête au sujet de l</w:t>
            </w:r>
            <w:r w:rsidR="00801F15" w:rsidRPr="001B46CB">
              <w:rPr>
                <w:rFonts w:asciiTheme="majorBidi" w:hAnsiTheme="majorBidi" w:cstheme="majorBidi"/>
                <w:lang w:val="fr-FR"/>
              </w:rPr>
              <w:t>’</w:t>
            </w:r>
            <w:r w:rsidR="00F36F51" w:rsidRPr="001B46CB">
              <w:rPr>
                <w:rFonts w:asciiTheme="majorBidi" w:hAnsiTheme="majorBidi" w:cstheme="majorBidi"/>
                <w:lang w:val="fr-FR"/>
              </w:rPr>
              <w:t>époux afin de savoir si celui-ci est toujours vivant quatre ans après que l</w:t>
            </w:r>
            <w:r w:rsidR="00801F15" w:rsidRPr="001B46CB">
              <w:rPr>
                <w:rFonts w:asciiTheme="majorBidi" w:hAnsiTheme="majorBidi" w:cstheme="majorBidi"/>
                <w:lang w:val="fr-FR"/>
              </w:rPr>
              <w:t>’</w:t>
            </w:r>
            <w:r w:rsidR="00F36F51" w:rsidRPr="001B46CB">
              <w:rPr>
                <w:rFonts w:asciiTheme="majorBidi" w:hAnsiTheme="majorBidi" w:cstheme="majorBidi"/>
                <w:lang w:val="fr-FR"/>
              </w:rPr>
              <w:t>absence ou la disparition a été confirmée. Ce délai est important et nécessaire et a été fixé dans l</w:t>
            </w:r>
            <w:r w:rsidR="00801F15" w:rsidRPr="001B46CB">
              <w:rPr>
                <w:rFonts w:asciiTheme="majorBidi" w:hAnsiTheme="majorBidi" w:cstheme="majorBidi"/>
                <w:lang w:val="fr-FR"/>
              </w:rPr>
              <w:t>’</w:t>
            </w:r>
            <w:r w:rsidR="00F36F51" w:rsidRPr="001B46CB">
              <w:rPr>
                <w:rFonts w:asciiTheme="majorBidi" w:hAnsiTheme="majorBidi" w:cstheme="majorBidi"/>
                <w:lang w:val="fr-FR"/>
              </w:rPr>
              <w:t>intérêt de l</w:t>
            </w:r>
            <w:r w:rsidR="00801F15" w:rsidRPr="001B46CB">
              <w:rPr>
                <w:rFonts w:asciiTheme="majorBidi" w:hAnsiTheme="majorBidi" w:cstheme="majorBidi"/>
                <w:lang w:val="fr-FR"/>
              </w:rPr>
              <w:t>’</w:t>
            </w:r>
            <w:r w:rsidR="00F36F51" w:rsidRPr="001B46CB">
              <w:rPr>
                <w:rFonts w:asciiTheme="majorBidi" w:hAnsiTheme="majorBidi" w:cstheme="majorBidi"/>
                <w:lang w:val="fr-FR"/>
              </w:rPr>
              <w:t>épouse car il n</w:t>
            </w:r>
            <w:r w:rsidR="00801F15" w:rsidRPr="001B46CB">
              <w:rPr>
                <w:rFonts w:asciiTheme="majorBidi" w:hAnsiTheme="majorBidi" w:cstheme="majorBidi"/>
                <w:lang w:val="fr-FR"/>
              </w:rPr>
              <w:t>’</w:t>
            </w:r>
            <w:r w:rsidR="00F36F51" w:rsidRPr="001B46CB">
              <w:rPr>
                <w:rFonts w:asciiTheme="majorBidi" w:hAnsiTheme="majorBidi" w:cstheme="majorBidi"/>
                <w:lang w:val="fr-FR"/>
              </w:rPr>
              <w:t>est pas raisonnable d</w:t>
            </w:r>
            <w:r w:rsidR="00801F15" w:rsidRPr="001B46CB">
              <w:rPr>
                <w:rFonts w:asciiTheme="majorBidi" w:hAnsiTheme="majorBidi" w:cstheme="majorBidi"/>
                <w:lang w:val="fr-FR"/>
              </w:rPr>
              <w:t>’</w:t>
            </w:r>
            <w:r w:rsidR="00F36F51" w:rsidRPr="001B46CB">
              <w:rPr>
                <w:rFonts w:asciiTheme="majorBidi" w:hAnsiTheme="majorBidi" w:cstheme="majorBidi"/>
                <w:lang w:val="fr-FR"/>
              </w:rPr>
              <w:t>accorder le divorce à l</w:t>
            </w:r>
            <w:r w:rsidR="00801F15" w:rsidRPr="001B46CB">
              <w:rPr>
                <w:rFonts w:asciiTheme="majorBidi" w:hAnsiTheme="majorBidi" w:cstheme="majorBidi"/>
                <w:lang w:val="fr-FR"/>
              </w:rPr>
              <w:t>’</w:t>
            </w:r>
            <w:r w:rsidR="00F36F51" w:rsidRPr="001B46CB">
              <w:rPr>
                <w:rFonts w:asciiTheme="majorBidi" w:hAnsiTheme="majorBidi" w:cstheme="majorBidi"/>
                <w:lang w:val="fr-FR"/>
              </w:rPr>
              <w:t>épouse avant d</w:t>
            </w:r>
            <w:r w:rsidR="00801F15" w:rsidRPr="001B46CB">
              <w:rPr>
                <w:rFonts w:asciiTheme="majorBidi" w:hAnsiTheme="majorBidi" w:cstheme="majorBidi"/>
                <w:lang w:val="fr-FR"/>
              </w:rPr>
              <w:t>’</w:t>
            </w:r>
            <w:r w:rsidR="00F36F51" w:rsidRPr="001B46CB">
              <w:rPr>
                <w:rFonts w:asciiTheme="majorBidi" w:hAnsiTheme="majorBidi" w:cstheme="majorBidi"/>
                <w:lang w:val="fr-FR"/>
              </w:rPr>
              <w:t>avoir établi que l</w:t>
            </w:r>
            <w:r w:rsidR="00801F15" w:rsidRPr="001B46CB">
              <w:rPr>
                <w:rFonts w:asciiTheme="majorBidi" w:hAnsiTheme="majorBidi" w:cstheme="majorBidi"/>
                <w:lang w:val="fr-FR"/>
              </w:rPr>
              <w:t>’</w:t>
            </w:r>
            <w:r w:rsidR="00F36F51" w:rsidRPr="001B46CB">
              <w:rPr>
                <w:rFonts w:asciiTheme="majorBidi" w:hAnsiTheme="majorBidi" w:cstheme="majorBidi"/>
                <w:lang w:val="fr-FR"/>
              </w:rPr>
              <w:t>époux est décédé ou non.</w:t>
            </w:r>
          </w:p>
          <w:p w14:paraId="37F3E174" w14:textId="69C33E67" w:rsidR="00F36F51" w:rsidRPr="001B46CB" w:rsidRDefault="00F36F51" w:rsidP="00F4463A">
            <w:pPr>
              <w:pStyle w:val="ListParagraph"/>
              <w:numPr>
                <w:ilvl w:val="0"/>
                <w:numId w:val="43"/>
              </w:numPr>
              <w:spacing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L</w:t>
            </w:r>
            <w:r w:rsidR="00801F15" w:rsidRPr="001B46CB">
              <w:rPr>
                <w:rFonts w:asciiTheme="majorBidi" w:hAnsiTheme="majorBidi" w:cstheme="majorBidi"/>
                <w:lang w:val="fr-FR"/>
              </w:rPr>
              <w:t>’</w:t>
            </w:r>
            <w:r w:rsidRPr="001B46CB">
              <w:rPr>
                <w:rFonts w:asciiTheme="majorBidi" w:hAnsiTheme="majorBidi" w:cstheme="majorBidi"/>
                <w:lang w:val="fr-FR"/>
              </w:rPr>
              <w:t>indépendance financière des époux est à l</w:t>
            </w:r>
            <w:r w:rsidR="00801F15" w:rsidRPr="001B46CB">
              <w:rPr>
                <w:rFonts w:asciiTheme="majorBidi" w:hAnsiTheme="majorBidi" w:cstheme="majorBidi"/>
                <w:lang w:val="fr-FR"/>
              </w:rPr>
              <w:t>’</w:t>
            </w:r>
            <w:r w:rsidRPr="001B46CB">
              <w:rPr>
                <w:rFonts w:asciiTheme="majorBidi" w:hAnsiTheme="majorBidi" w:cstheme="majorBidi"/>
                <w:lang w:val="fr-FR"/>
              </w:rPr>
              <w:t>origine prévue dans la charia, ce qui n</w:t>
            </w:r>
            <w:r w:rsidR="00801F15" w:rsidRPr="001B46CB">
              <w:rPr>
                <w:rFonts w:asciiTheme="majorBidi" w:hAnsiTheme="majorBidi" w:cstheme="majorBidi"/>
                <w:lang w:val="fr-FR"/>
              </w:rPr>
              <w:t>’</w:t>
            </w:r>
            <w:r w:rsidRPr="001B46CB">
              <w:rPr>
                <w:rFonts w:asciiTheme="majorBidi" w:hAnsiTheme="majorBidi" w:cstheme="majorBidi"/>
                <w:lang w:val="fr-FR"/>
              </w:rPr>
              <w:t>empêche pas les époux de décider d</w:t>
            </w:r>
            <w:r w:rsidR="00801F15" w:rsidRPr="001B46CB">
              <w:rPr>
                <w:rFonts w:asciiTheme="majorBidi" w:hAnsiTheme="majorBidi" w:cstheme="majorBidi"/>
                <w:lang w:val="fr-FR"/>
              </w:rPr>
              <w:t>’</w:t>
            </w:r>
            <w:r w:rsidRPr="001B46CB">
              <w:rPr>
                <w:rFonts w:asciiTheme="majorBidi" w:hAnsiTheme="majorBidi" w:cstheme="majorBidi"/>
                <w:lang w:val="fr-FR"/>
              </w:rPr>
              <w:t>un commun accord de procéder autrement, en choisissant le régime de la communauté ou en se</w:t>
            </w:r>
            <w:r w:rsidR="00801F15" w:rsidRPr="001B46CB">
              <w:rPr>
                <w:rFonts w:asciiTheme="majorBidi" w:hAnsiTheme="majorBidi" w:cstheme="majorBidi"/>
                <w:lang w:val="fr-FR"/>
              </w:rPr>
              <w:t xml:space="preserve"> </w:t>
            </w:r>
            <w:r w:rsidRPr="001B46CB">
              <w:rPr>
                <w:rFonts w:asciiTheme="majorBidi" w:hAnsiTheme="majorBidi" w:cstheme="majorBidi"/>
                <w:lang w:val="fr-FR"/>
              </w:rPr>
              <w:t>répartissant les dettes et les biens comme ils l</w:t>
            </w:r>
            <w:r w:rsidR="00801F15" w:rsidRPr="001B46CB">
              <w:rPr>
                <w:rFonts w:asciiTheme="majorBidi" w:hAnsiTheme="majorBidi" w:cstheme="majorBidi"/>
                <w:lang w:val="fr-FR"/>
              </w:rPr>
              <w:t>’</w:t>
            </w:r>
            <w:r w:rsidRPr="001B46CB">
              <w:rPr>
                <w:rFonts w:asciiTheme="majorBidi" w:hAnsiTheme="majorBidi" w:cstheme="majorBidi"/>
                <w:lang w:val="fr-FR"/>
              </w:rPr>
              <w:t>entendent.</w:t>
            </w:r>
          </w:p>
          <w:p w14:paraId="221D0233" w14:textId="561D51CE" w:rsidR="00F36F51" w:rsidRPr="001B46CB" w:rsidRDefault="00F36F51" w:rsidP="00F4463A">
            <w:pPr>
              <w:pStyle w:val="ListParagraph"/>
              <w:numPr>
                <w:ilvl w:val="0"/>
                <w:numId w:val="43"/>
              </w:numPr>
              <w:spacing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Il n</w:t>
            </w:r>
            <w:r w:rsidR="00801F15" w:rsidRPr="001B46CB">
              <w:rPr>
                <w:rFonts w:asciiTheme="majorBidi" w:hAnsiTheme="majorBidi" w:cstheme="majorBidi"/>
                <w:lang w:val="fr-FR"/>
              </w:rPr>
              <w:t>’</w:t>
            </w:r>
            <w:r w:rsidRPr="001B46CB">
              <w:rPr>
                <w:rFonts w:asciiTheme="majorBidi" w:hAnsiTheme="majorBidi" w:cstheme="majorBidi"/>
                <w:lang w:val="fr-FR"/>
              </w:rPr>
              <w:t>est pas précisé dans la question quels sont les sujets sur lesquels il y aurait un traitement différent pour les femmes sunnites et chiites. En tout état de cause, s</w:t>
            </w:r>
            <w:r w:rsidR="00801F15" w:rsidRPr="001B46CB">
              <w:rPr>
                <w:rFonts w:asciiTheme="majorBidi" w:hAnsiTheme="majorBidi" w:cstheme="majorBidi"/>
                <w:lang w:val="fr-FR"/>
              </w:rPr>
              <w:t>’</w:t>
            </w:r>
            <w:r w:rsidRPr="001B46CB">
              <w:rPr>
                <w:rFonts w:asciiTheme="majorBidi" w:hAnsiTheme="majorBidi" w:cstheme="majorBidi"/>
                <w:lang w:val="fr-FR"/>
              </w:rPr>
              <w:t>agissant du divorce, de la tutelle, du mariage et d</w:t>
            </w:r>
            <w:r w:rsidR="00801F15" w:rsidRPr="001B46CB">
              <w:rPr>
                <w:rFonts w:asciiTheme="majorBidi" w:hAnsiTheme="majorBidi" w:cstheme="majorBidi"/>
                <w:lang w:val="fr-FR"/>
              </w:rPr>
              <w:t>’</w:t>
            </w:r>
            <w:r w:rsidRPr="001B46CB">
              <w:rPr>
                <w:rFonts w:asciiTheme="majorBidi" w:hAnsiTheme="majorBidi" w:cstheme="majorBidi"/>
                <w:lang w:val="fr-FR"/>
              </w:rPr>
              <w:t>autres questions ayant trait à la charia, il faut se référer aux dispositions propres à chaque doctrine, le Code de la famille respectant les particularités de chaque confession. Rien ne permet d</w:t>
            </w:r>
            <w:r w:rsidR="00801F15" w:rsidRPr="001B46CB">
              <w:rPr>
                <w:rFonts w:asciiTheme="majorBidi" w:hAnsiTheme="majorBidi" w:cstheme="majorBidi"/>
                <w:lang w:val="fr-FR"/>
              </w:rPr>
              <w:t>’</w:t>
            </w:r>
            <w:r w:rsidRPr="001B46CB">
              <w:rPr>
                <w:rFonts w:asciiTheme="majorBidi" w:hAnsiTheme="majorBidi" w:cstheme="majorBidi"/>
                <w:lang w:val="fr-FR"/>
              </w:rPr>
              <w:t>établir une distinction dans le traitement des femmes sunnites et des femmes jaafarites.</w:t>
            </w:r>
          </w:p>
          <w:p w14:paraId="4DEA16F3" w14:textId="4D4531FA" w:rsidR="00F36F51" w:rsidRPr="001B46CB" w:rsidRDefault="00F36F51" w:rsidP="00F4463A">
            <w:pPr>
              <w:pStyle w:val="ListParagraph"/>
              <w:numPr>
                <w:ilvl w:val="0"/>
                <w:numId w:val="43"/>
              </w:numPr>
              <w:spacing w:line="240" w:lineRule="auto"/>
              <w:ind w:left="360" w:right="144"/>
              <w:jc w:val="both"/>
              <w:rPr>
                <w:rFonts w:asciiTheme="majorBidi" w:hAnsiTheme="majorBidi" w:cstheme="majorBidi"/>
                <w:color w:val="000000" w:themeColor="text1"/>
                <w:lang w:val="fr-FR"/>
              </w:rPr>
            </w:pPr>
            <w:r w:rsidRPr="001B46CB">
              <w:rPr>
                <w:rFonts w:asciiTheme="majorBidi" w:hAnsiTheme="majorBidi" w:cstheme="majorBidi"/>
                <w:lang w:val="fr-FR"/>
              </w:rPr>
              <w:t>En ce qui concerne la garde des enfants, les deux époux l</w:t>
            </w:r>
            <w:r w:rsidR="00801F15" w:rsidRPr="001B46CB">
              <w:rPr>
                <w:rFonts w:asciiTheme="majorBidi" w:hAnsiTheme="majorBidi" w:cstheme="majorBidi"/>
                <w:lang w:val="fr-FR"/>
              </w:rPr>
              <w:t>’</w:t>
            </w:r>
            <w:r w:rsidRPr="001B46CB">
              <w:rPr>
                <w:rFonts w:asciiTheme="majorBidi" w:hAnsiTheme="majorBidi" w:cstheme="majorBidi"/>
                <w:lang w:val="fr-FR"/>
              </w:rPr>
              <w:t>exercent conjointement durant la vie conjugale mais si l</w:t>
            </w:r>
            <w:r w:rsidR="00801F15" w:rsidRPr="001B46CB">
              <w:rPr>
                <w:rFonts w:asciiTheme="majorBidi" w:hAnsiTheme="majorBidi" w:cstheme="majorBidi"/>
                <w:lang w:val="fr-FR"/>
              </w:rPr>
              <w:t>’</w:t>
            </w:r>
            <w:r w:rsidRPr="001B46CB">
              <w:rPr>
                <w:rFonts w:asciiTheme="majorBidi" w:hAnsiTheme="majorBidi" w:cstheme="majorBidi"/>
                <w:lang w:val="fr-FR"/>
              </w:rPr>
              <w:t>épouse est séparée de son mari, la garde est confiée à l</w:t>
            </w:r>
            <w:r w:rsidR="00801F15" w:rsidRPr="001B46CB">
              <w:rPr>
                <w:rFonts w:asciiTheme="majorBidi" w:hAnsiTheme="majorBidi" w:cstheme="majorBidi"/>
                <w:lang w:val="fr-FR"/>
              </w:rPr>
              <w:t>’</w:t>
            </w:r>
            <w:r w:rsidRPr="001B46CB">
              <w:rPr>
                <w:rFonts w:asciiTheme="majorBidi" w:hAnsiTheme="majorBidi" w:cstheme="majorBidi"/>
                <w:lang w:val="fr-FR"/>
              </w:rPr>
              <w:t>épouse (la mère) dans les deux doctrines. L</w:t>
            </w:r>
            <w:r w:rsidR="00801F15" w:rsidRPr="001B46CB">
              <w:rPr>
                <w:rFonts w:asciiTheme="majorBidi" w:hAnsiTheme="majorBidi" w:cstheme="majorBidi"/>
                <w:lang w:val="fr-FR"/>
              </w:rPr>
              <w:t>’</w:t>
            </w:r>
            <w:r w:rsidRPr="001B46CB">
              <w:rPr>
                <w:rFonts w:asciiTheme="majorBidi" w:hAnsiTheme="majorBidi" w:cstheme="majorBidi"/>
                <w:lang w:val="fr-FR"/>
              </w:rPr>
              <w:t>attribution et le retrait de la garde ainsi que les modalités de la garde sont régis par le Code de la famille, compte tenu de l</w:t>
            </w:r>
            <w:r w:rsidR="00801F15" w:rsidRPr="001B46CB">
              <w:rPr>
                <w:rFonts w:asciiTheme="majorBidi" w:hAnsiTheme="majorBidi" w:cstheme="majorBidi"/>
                <w:lang w:val="fr-FR"/>
              </w:rPr>
              <w:t>’</w:t>
            </w:r>
            <w:r w:rsidRPr="001B46CB">
              <w:rPr>
                <w:rFonts w:asciiTheme="majorBidi" w:hAnsiTheme="majorBidi" w:cstheme="majorBidi"/>
                <w:lang w:val="fr-FR"/>
              </w:rPr>
              <w:t>intérêt de l</w:t>
            </w:r>
            <w:r w:rsidR="00801F15" w:rsidRPr="001B46CB">
              <w:rPr>
                <w:rFonts w:asciiTheme="majorBidi" w:hAnsiTheme="majorBidi" w:cstheme="majorBidi"/>
                <w:lang w:val="fr-FR"/>
              </w:rPr>
              <w:t>’</w:t>
            </w:r>
            <w:r w:rsidRPr="001B46CB">
              <w:rPr>
                <w:rFonts w:asciiTheme="majorBidi" w:hAnsiTheme="majorBidi" w:cstheme="majorBidi"/>
                <w:lang w:val="fr-FR"/>
              </w:rPr>
              <w:t>enfant. Par ailleurs, même si elle se remarie, la mère peut se voir attribuer la garde si la juridiction compétente établi</w:t>
            </w:r>
            <w:r w:rsidR="007D5576" w:rsidRPr="001B46CB">
              <w:rPr>
                <w:rFonts w:asciiTheme="majorBidi" w:hAnsiTheme="majorBidi" w:cstheme="majorBidi"/>
                <w:lang w:val="fr-FR"/>
              </w:rPr>
              <w:t>t</w:t>
            </w:r>
            <w:r w:rsidRPr="001B46CB">
              <w:rPr>
                <w:rFonts w:asciiTheme="majorBidi" w:hAnsiTheme="majorBidi" w:cstheme="majorBidi"/>
                <w:lang w:val="fr-FR"/>
              </w:rPr>
              <w:t xml:space="preserve"> que c</w:t>
            </w:r>
            <w:r w:rsidR="00801F15" w:rsidRPr="001B46CB">
              <w:rPr>
                <w:rFonts w:asciiTheme="majorBidi" w:hAnsiTheme="majorBidi" w:cstheme="majorBidi"/>
                <w:lang w:val="fr-FR"/>
              </w:rPr>
              <w:t>’</w:t>
            </w:r>
            <w:r w:rsidRPr="001B46CB">
              <w:rPr>
                <w:rFonts w:asciiTheme="majorBidi" w:hAnsiTheme="majorBidi" w:cstheme="majorBidi"/>
                <w:lang w:val="fr-FR"/>
              </w:rPr>
              <w:t>est dans l</w:t>
            </w:r>
            <w:r w:rsidR="00801F15" w:rsidRPr="001B46CB">
              <w:rPr>
                <w:rFonts w:asciiTheme="majorBidi" w:hAnsiTheme="majorBidi" w:cstheme="majorBidi"/>
                <w:lang w:val="fr-FR"/>
              </w:rPr>
              <w:t>’</w:t>
            </w:r>
            <w:r w:rsidRPr="001B46CB">
              <w:rPr>
                <w:rFonts w:asciiTheme="majorBidi" w:hAnsiTheme="majorBidi" w:cstheme="majorBidi"/>
                <w:lang w:val="fr-FR"/>
              </w:rPr>
              <w:t>intérêt de l</w:t>
            </w:r>
            <w:r w:rsidR="00801F15" w:rsidRPr="001B46CB">
              <w:rPr>
                <w:rFonts w:asciiTheme="majorBidi" w:hAnsiTheme="majorBidi" w:cstheme="majorBidi"/>
                <w:lang w:val="fr-FR"/>
              </w:rPr>
              <w:t>’</w:t>
            </w:r>
            <w:r w:rsidRPr="001B46CB">
              <w:rPr>
                <w:rFonts w:asciiTheme="majorBidi" w:hAnsiTheme="majorBidi" w:cstheme="majorBidi"/>
                <w:lang w:val="fr-FR"/>
              </w:rPr>
              <w:t>enfant, cette possibilité existant dans les deux doctrines, sunnite et jaafarite.</w:t>
            </w:r>
          </w:p>
          <w:p w14:paraId="287F3980" w14:textId="607664FB" w:rsidR="00F36F51" w:rsidRPr="001B46CB" w:rsidRDefault="00F36F51" w:rsidP="00F4463A">
            <w:pPr>
              <w:pStyle w:val="ListParagraph"/>
              <w:numPr>
                <w:ilvl w:val="0"/>
                <w:numId w:val="43"/>
              </w:numPr>
              <w:spacing w:after="20" w:line="240" w:lineRule="auto"/>
              <w:ind w:left="360" w:right="144"/>
              <w:contextualSpacing w:val="0"/>
              <w:jc w:val="both"/>
              <w:rPr>
                <w:rFonts w:asciiTheme="majorBidi" w:hAnsiTheme="majorBidi" w:cstheme="majorBidi"/>
                <w:color w:val="000000" w:themeColor="text1"/>
                <w:lang w:val="fr-FR"/>
              </w:rPr>
            </w:pPr>
            <w:r w:rsidRPr="001B46CB">
              <w:rPr>
                <w:rFonts w:asciiTheme="majorBidi" w:hAnsiTheme="majorBidi" w:cstheme="majorBidi"/>
                <w:lang w:val="fr-FR"/>
              </w:rPr>
              <w:t>Les dispositions applicables à l</w:t>
            </w:r>
            <w:r w:rsidR="00801F15" w:rsidRPr="001B46CB">
              <w:rPr>
                <w:rFonts w:asciiTheme="majorBidi" w:hAnsiTheme="majorBidi" w:cstheme="majorBidi"/>
                <w:lang w:val="fr-FR"/>
              </w:rPr>
              <w:t>’</w:t>
            </w:r>
            <w:r w:rsidRPr="001B46CB">
              <w:rPr>
                <w:rFonts w:asciiTheme="majorBidi" w:hAnsiTheme="majorBidi" w:cstheme="majorBidi"/>
                <w:lang w:val="fr-FR"/>
              </w:rPr>
              <w:t>héritage sont fondées sur la charia et les interprétations juridiques des textes religieux. La femme bénéficie, en cas de décès de ses proches de sexe masculin, d</w:t>
            </w:r>
            <w:r w:rsidR="00801F15" w:rsidRPr="001B46CB">
              <w:rPr>
                <w:rFonts w:asciiTheme="majorBidi" w:hAnsiTheme="majorBidi" w:cstheme="majorBidi"/>
                <w:lang w:val="fr-FR"/>
              </w:rPr>
              <w:t>’</w:t>
            </w:r>
            <w:r w:rsidRPr="001B46CB">
              <w:rPr>
                <w:rFonts w:asciiTheme="majorBidi" w:hAnsiTheme="majorBidi" w:cstheme="majorBidi"/>
                <w:lang w:val="fr-FR"/>
              </w:rPr>
              <w:t xml:space="preserve">une part </w:t>
            </w:r>
            <w:r w:rsidRPr="001B46CB">
              <w:rPr>
                <w:rFonts w:asciiTheme="majorBidi" w:hAnsiTheme="majorBidi" w:cstheme="majorBidi"/>
                <w:lang w:val="fr-FR"/>
              </w:rPr>
              <w:lastRenderedPageBreak/>
              <w:t>d</w:t>
            </w:r>
            <w:r w:rsidR="00801F15" w:rsidRPr="001B46CB">
              <w:rPr>
                <w:rFonts w:asciiTheme="majorBidi" w:hAnsiTheme="majorBidi" w:cstheme="majorBidi"/>
                <w:lang w:val="fr-FR"/>
              </w:rPr>
              <w:t>’</w:t>
            </w:r>
            <w:r w:rsidRPr="001B46CB">
              <w:rPr>
                <w:rFonts w:asciiTheme="majorBidi" w:hAnsiTheme="majorBidi" w:cstheme="majorBidi"/>
                <w:lang w:val="fr-FR"/>
              </w:rPr>
              <w:t>héritage plus grande que celle revenant à l</w:t>
            </w:r>
            <w:r w:rsidR="00801F15" w:rsidRPr="001B46CB">
              <w:rPr>
                <w:rFonts w:asciiTheme="majorBidi" w:hAnsiTheme="majorBidi" w:cstheme="majorBidi"/>
                <w:lang w:val="fr-FR"/>
              </w:rPr>
              <w:t>’</w:t>
            </w:r>
            <w:r w:rsidRPr="001B46CB">
              <w:rPr>
                <w:rFonts w:asciiTheme="majorBidi" w:hAnsiTheme="majorBidi" w:cstheme="majorBidi"/>
                <w:lang w:val="fr-FR"/>
              </w:rPr>
              <w:t>homme en cas de décès de proches de sexe féminin. Enfin, les dispositions de la charia ne sont pas donc discriminatoires à cet égard, compte tenu de toutes les prestations fondées sur les textes coraniques dont les femmes bénéficient.</w:t>
            </w:r>
          </w:p>
        </w:tc>
      </w:tr>
      <w:tr w:rsidR="0096193D" w:rsidRPr="001B46CB" w14:paraId="0C529BD5" w14:textId="77777777" w:rsidTr="00767A10">
        <w:trPr>
          <w:gridAfter w:val="1"/>
          <w:wAfter w:w="63" w:type="pct"/>
          <w:tblCellSpacing w:w="20" w:type="dxa"/>
          <w:jc w:val="center"/>
        </w:trPr>
        <w:tc>
          <w:tcPr>
            <w:tcW w:w="2300" w:type="pct"/>
            <w:gridSpan w:val="2"/>
            <w:shd w:val="clear" w:color="auto" w:fill="DDD9C3" w:themeFill="background2" w:themeFillShade="E6"/>
          </w:tcPr>
          <w:p w14:paraId="76500B00" w14:textId="77777777" w:rsidR="00F36F51" w:rsidRPr="001B46CB" w:rsidRDefault="00F36F51">
            <w:pPr>
              <w:keepNext/>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lastRenderedPageBreak/>
              <w:t>Domaine concerné</w:t>
            </w:r>
          </w:p>
        </w:tc>
        <w:tc>
          <w:tcPr>
            <w:tcW w:w="2555" w:type="pct"/>
            <w:gridSpan w:val="5"/>
            <w:shd w:val="clear" w:color="auto" w:fill="EEECE1" w:themeFill="background2"/>
          </w:tcPr>
          <w:p w14:paraId="77C2EEDD" w14:textId="3EBDC9D9" w:rsidR="00F36F51" w:rsidRPr="001B46CB" w:rsidRDefault="00F36F51">
            <w:pPr>
              <w:keepNext/>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Protocole facultatif et amendement au paragraphe 1 de l</w:t>
            </w:r>
            <w:r w:rsidR="00801F15" w:rsidRPr="001B46CB">
              <w:rPr>
                <w:rFonts w:asciiTheme="majorBidi" w:hAnsiTheme="majorBidi" w:cstheme="majorBidi"/>
                <w:b/>
                <w:bCs/>
                <w:lang w:val="fr-FR"/>
              </w:rPr>
              <w:t>’</w:t>
            </w:r>
            <w:r w:rsidRPr="001B46CB">
              <w:rPr>
                <w:rFonts w:asciiTheme="majorBidi" w:hAnsiTheme="majorBidi" w:cstheme="majorBidi"/>
                <w:b/>
                <w:bCs/>
                <w:lang w:val="fr-FR"/>
              </w:rPr>
              <w:t>article 20 de la Convention</w:t>
            </w:r>
          </w:p>
        </w:tc>
      </w:tr>
      <w:tr w:rsidR="0096193D" w:rsidRPr="001B46CB" w14:paraId="6B85D52C" w14:textId="77777777" w:rsidTr="00767A10">
        <w:trPr>
          <w:gridAfter w:val="1"/>
          <w:wAfter w:w="63" w:type="pct"/>
          <w:tblCellSpacing w:w="20" w:type="dxa"/>
          <w:jc w:val="center"/>
        </w:trPr>
        <w:tc>
          <w:tcPr>
            <w:tcW w:w="4876" w:type="pct"/>
            <w:gridSpan w:val="7"/>
            <w:shd w:val="clear" w:color="auto" w:fill="C4BC96" w:themeFill="background2" w:themeFillShade="BF"/>
          </w:tcPr>
          <w:p w14:paraId="5831047B" w14:textId="77777777" w:rsidR="00F36F51" w:rsidRPr="001B46CB" w:rsidRDefault="00F36F51" w:rsidP="00767A10">
            <w:pPr>
              <w:keepNext/>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Observations du Comité</w:t>
            </w:r>
          </w:p>
        </w:tc>
      </w:tr>
      <w:tr w:rsidR="0096193D" w:rsidRPr="001B46CB" w14:paraId="7C7C962F" w14:textId="77777777" w:rsidTr="00767A10">
        <w:trPr>
          <w:gridAfter w:val="1"/>
          <w:wAfter w:w="63" w:type="pct"/>
          <w:tblCellSpacing w:w="20" w:type="dxa"/>
          <w:jc w:val="center"/>
        </w:trPr>
        <w:tc>
          <w:tcPr>
            <w:tcW w:w="4876" w:type="pct"/>
            <w:gridSpan w:val="7"/>
            <w:shd w:val="clear" w:color="auto" w:fill="auto"/>
          </w:tcPr>
          <w:p w14:paraId="084FE7CF" w14:textId="0123C9A9" w:rsidR="00F36F51" w:rsidRPr="001B46CB" w:rsidRDefault="00F36F51" w:rsidP="00F4463A">
            <w:pPr>
              <w:pStyle w:val="ListParagraph"/>
              <w:numPr>
                <w:ilvl w:val="0"/>
                <w:numId w:val="42"/>
              </w:numPr>
              <w:tabs>
                <w:tab w:val="left" w:pos="4515"/>
              </w:tabs>
              <w:spacing w:after="20" w:line="240" w:lineRule="auto"/>
              <w:ind w:left="360" w:right="144"/>
              <w:contextualSpacing w:val="0"/>
              <w:jc w:val="both"/>
              <w:rPr>
                <w:rFonts w:asciiTheme="majorBidi" w:hAnsiTheme="majorBidi" w:cstheme="majorBidi"/>
                <w:b/>
                <w:bCs/>
                <w:color w:val="000000" w:themeColor="text1"/>
                <w:lang w:val="fr-FR"/>
              </w:rPr>
            </w:pPr>
            <w:r w:rsidRPr="001B46CB">
              <w:rPr>
                <w:rFonts w:asciiTheme="majorBidi" w:hAnsiTheme="majorBidi" w:cstheme="majorBidi"/>
                <w:lang w:val="fr-FR"/>
              </w:rPr>
              <w:t>Veuillez indiquer au Comité le calendrier prévu pour l</w:t>
            </w:r>
            <w:r w:rsidR="00801F15" w:rsidRPr="001B46CB">
              <w:rPr>
                <w:rFonts w:asciiTheme="majorBidi" w:hAnsiTheme="majorBidi" w:cstheme="majorBidi"/>
                <w:lang w:val="fr-FR"/>
              </w:rPr>
              <w:t>’</w:t>
            </w:r>
            <w:r w:rsidRPr="001B46CB">
              <w:rPr>
                <w:rFonts w:asciiTheme="majorBidi" w:hAnsiTheme="majorBidi" w:cstheme="majorBidi"/>
                <w:lang w:val="fr-FR"/>
              </w:rPr>
              <w:t>adhésion de l</w:t>
            </w:r>
            <w:r w:rsidR="00801F15" w:rsidRPr="001B46CB">
              <w:rPr>
                <w:rFonts w:asciiTheme="majorBidi" w:hAnsiTheme="majorBidi" w:cstheme="majorBidi"/>
                <w:lang w:val="fr-FR"/>
              </w:rPr>
              <w:t>’</w:t>
            </w:r>
            <w:r w:rsidRPr="001B46CB">
              <w:rPr>
                <w:rFonts w:asciiTheme="majorBidi" w:hAnsiTheme="majorBidi" w:cstheme="majorBidi"/>
                <w:lang w:val="fr-FR"/>
              </w:rPr>
              <w:t>État partie au Protocole facultatif à la Convention et l</w:t>
            </w:r>
            <w:r w:rsidR="00801F15" w:rsidRPr="001B46CB">
              <w:rPr>
                <w:rFonts w:asciiTheme="majorBidi" w:hAnsiTheme="majorBidi" w:cstheme="majorBidi"/>
                <w:lang w:val="fr-FR"/>
              </w:rPr>
              <w:t>’</w:t>
            </w:r>
            <w:r w:rsidRPr="001B46CB">
              <w:rPr>
                <w:rFonts w:asciiTheme="majorBidi" w:hAnsiTheme="majorBidi" w:cstheme="majorBidi"/>
                <w:lang w:val="fr-FR"/>
              </w:rPr>
              <w:t>acceptation de l</w:t>
            </w:r>
            <w:r w:rsidR="00801F15" w:rsidRPr="001B46CB">
              <w:rPr>
                <w:rFonts w:asciiTheme="majorBidi" w:hAnsiTheme="majorBidi" w:cstheme="majorBidi"/>
                <w:lang w:val="fr-FR"/>
              </w:rPr>
              <w:t>’</w:t>
            </w:r>
            <w:r w:rsidRPr="001B46CB">
              <w:rPr>
                <w:rFonts w:asciiTheme="majorBidi" w:hAnsiTheme="majorBidi" w:cstheme="majorBidi"/>
                <w:lang w:val="fr-FR"/>
              </w:rPr>
              <w:t>amendement au paragraphe 1 de l</w:t>
            </w:r>
            <w:r w:rsidR="00801F15" w:rsidRPr="001B46CB">
              <w:rPr>
                <w:rFonts w:asciiTheme="majorBidi" w:hAnsiTheme="majorBidi" w:cstheme="majorBidi"/>
                <w:lang w:val="fr-FR"/>
              </w:rPr>
              <w:t>’</w:t>
            </w:r>
            <w:r w:rsidRPr="001B46CB">
              <w:rPr>
                <w:rFonts w:asciiTheme="majorBidi" w:hAnsiTheme="majorBidi" w:cstheme="majorBidi"/>
                <w:lang w:val="fr-FR"/>
              </w:rPr>
              <w:t>article 20 de la Convention.</w:t>
            </w:r>
          </w:p>
        </w:tc>
      </w:tr>
      <w:tr w:rsidR="0096193D" w:rsidRPr="001B46CB" w14:paraId="0E18548A" w14:textId="77777777" w:rsidTr="00767A10">
        <w:trPr>
          <w:gridAfter w:val="1"/>
          <w:wAfter w:w="63" w:type="pct"/>
          <w:tblCellSpacing w:w="20" w:type="dxa"/>
          <w:jc w:val="center"/>
        </w:trPr>
        <w:tc>
          <w:tcPr>
            <w:tcW w:w="4876" w:type="pct"/>
            <w:gridSpan w:val="7"/>
            <w:shd w:val="clear" w:color="auto" w:fill="C4BC96" w:themeFill="background2" w:themeFillShade="BF"/>
          </w:tcPr>
          <w:p w14:paraId="529A8CCC" w14:textId="77777777" w:rsidR="00F36F51" w:rsidRPr="001B46CB" w:rsidRDefault="00F36F51" w:rsidP="00F4463A">
            <w:pPr>
              <w:keepNext/>
              <w:tabs>
                <w:tab w:val="left" w:pos="4515"/>
              </w:tabs>
              <w:spacing w:after="40" w:line="240" w:lineRule="auto"/>
              <w:jc w:val="center"/>
              <w:rPr>
                <w:rFonts w:asciiTheme="majorBidi" w:hAnsiTheme="majorBidi" w:cstheme="majorBidi"/>
                <w:b/>
                <w:bCs/>
                <w:color w:val="000000" w:themeColor="text1"/>
                <w:lang w:val="fr-FR"/>
              </w:rPr>
            </w:pPr>
            <w:r w:rsidRPr="001B46CB">
              <w:rPr>
                <w:rFonts w:asciiTheme="majorBidi" w:hAnsiTheme="majorBidi" w:cstheme="majorBidi"/>
                <w:b/>
                <w:bCs/>
                <w:lang w:val="fr-FR"/>
              </w:rPr>
              <w:t>Réponse</w:t>
            </w:r>
          </w:p>
        </w:tc>
      </w:tr>
      <w:tr w:rsidR="0096193D" w:rsidRPr="001B46CB" w14:paraId="1F85EF4D" w14:textId="77777777" w:rsidTr="00767A10">
        <w:trPr>
          <w:gridAfter w:val="1"/>
          <w:wAfter w:w="63" w:type="pct"/>
          <w:tblCellSpacing w:w="20" w:type="dxa"/>
          <w:jc w:val="center"/>
        </w:trPr>
        <w:tc>
          <w:tcPr>
            <w:tcW w:w="4876" w:type="pct"/>
            <w:gridSpan w:val="7"/>
            <w:shd w:val="clear" w:color="auto" w:fill="auto"/>
            <w:vAlign w:val="center"/>
          </w:tcPr>
          <w:p w14:paraId="566FF139" w14:textId="3116A65C" w:rsidR="00F36F51" w:rsidRPr="001B46CB" w:rsidRDefault="00F36F51" w:rsidP="00F4463A">
            <w:pPr>
              <w:pStyle w:val="ListParagraph"/>
              <w:numPr>
                <w:ilvl w:val="0"/>
                <w:numId w:val="43"/>
              </w:numPr>
              <w:spacing w:after="20" w:line="240" w:lineRule="auto"/>
              <w:ind w:left="360" w:right="144"/>
              <w:contextualSpacing w:val="0"/>
              <w:jc w:val="both"/>
              <w:rPr>
                <w:rFonts w:asciiTheme="majorBidi" w:hAnsiTheme="majorBidi" w:cstheme="majorBidi"/>
                <w:b/>
                <w:bCs/>
                <w:color w:val="000000" w:themeColor="text1"/>
                <w:lang w:val="fr-FR"/>
              </w:rPr>
            </w:pPr>
            <w:r w:rsidRPr="001B46CB">
              <w:rPr>
                <w:rFonts w:asciiTheme="majorBidi" w:hAnsiTheme="majorBidi" w:cstheme="majorBidi"/>
                <w:lang w:val="fr-FR"/>
              </w:rPr>
              <w:t>Le Royaume de Bahreïn ne ratifiera pas le Protocole facultatif à la Convention sur l</w:t>
            </w:r>
            <w:r w:rsidR="00801F15" w:rsidRPr="001B46CB">
              <w:rPr>
                <w:rFonts w:asciiTheme="majorBidi" w:hAnsiTheme="majorBidi" w:cstheme="majorBidi"/>
                <w:lang w:val="fr-FR"/>
              </w:rPr>
              <w:t>’</w:t>
            </w:r>
            <w:r w:rsidRPr="001B46CB">
              <w:rPr>
                <w:rFonts w:asciiTheme="majorBidi" w:hAnsiTheme="majorBidi" w:cstheme="majorBidi"/>
                <w:lang w:val="fr-FR"/>
              </w:rPr>
              <w:t>élimination de toutes les formes de discrimination à l</w:t>
            </w:r>
            <w:r w:rsidR="00801F15" w:rsidRPr="001B46CB">
              <w:rPr>
                <w:rFonts w:asciiTheme="majorBidi" w:hAnsiTheme="majorBidi" w:cstheme="majorBidi"/>
                <w:lang w:val="fr-FR"/>
              </w:rPr>
              <w:t>’</w:t>
            </w:r>
            <w:r w:rsidRPr="001B46CB">
              <w:rPr>
                <w:rFonts w:asciiTheme="majorBidi" w:hAnsiTheme="majorBidi" w:cstheme="majorBidi"/>
                <w:lang w:val="fr-FR"/>
              </w:rPr>
              <w:t>égard des femmes. Ce texte porte atteinte à la souveraineté nationale car il autorise des acteurs étatiques à intervenir dans les affaires intérieures du Royaume, en particulier pour ce qui est de l</w:t>
            </w:r>
            <w:r w:rsidR="00801F15" w:rsidRPr="001B46CB">
              <w:rPr>
                <w:rFonts w:asciiTheme="majorBidi" w:hAnsiTheme="majorBidi" w:cstheme="majorBidi"/>
                <w:lang w:val="fr-FR"/>
              </w:rPr>
              <w:t>’</w:t>
            </w:r>
            <w:r w:rsidRPr="001B46CB">
              <w:rPr>
                <w:rFonts w:asciiTheme="majorBidi" w:hAnsiTheme="majorBidi" w:cstheme="majorBidi"/>
                <w:lang w:val="fr-FR"/>
              </w:rPr>
              <w:t>activité du pouvoir judiciaire, seul habilité à examiner les plaintes des citoyens, à rendre la justice et à faire appliquer la loi. De telles dispositions sont en contradiction avec les réserves émises par Bahreïn lorsque le Royaume a adhéré à la Convention et dont certaines ont récemment été reformulées mais pas retirées (décret-loi n</w:t>
            </w:r>
            <w:r w:rsidRPr="001B46CB">
              <w:rPr>
                <w:rFonts w:asciiTheme="majorBidi" w:hAnsiTheme="majorBidi" w:cstheme="majorBidi"/>
                <w:vertAlign w:val="superscript"/>
                <w:lang w:val="fr-FR"/>
              </w:rPr>
              <w:t>o</w:t>
            </w:r>
            <w:r w:rsidRPr="001B46CB">
              <w:rPr>
                <w:rFonts w:asciiTheme="majorBidi" w:hAnsiTheme="majorBidi" w:cstheme="majorBidi"/>
                <w:lang w:val="fr-FR"/>
              </w:rPr>
              <w:t xml:space="preserve"> 70 de 2014). Ces réserves ont été émises pour les raisons suivantes</w:t>
            </w:r>
            <w:r w:rsidR="00801F15" w:rsidRPr="001B46CB">
              <w:rPr>
                <w:rFonts w:asciiTheme="majorBidi" w:hAnsiTheme="majorBidi" w:cstheme="majorBidi"/>
                <w:lang w:val="fr-FR"/>
              </w:rPr>
              <w:t> :</w:t>
            </w:r>
            <w:r w:rsidRPr="001B46CB">
              <w:rPr>
                <w:rFonts w:asciiTheme="majorBidi" w:hAnsiTheme="majorBidi" w:cstheme="majorBidi"/>
                <w:lang w:val="fr-FR"/>
              </w:rPr>
              <w:t xml:space="preserve"> la législation nationale et la Convention ne concordent pas (par</w:t>
            </w:r>
            <w:r w:rsidR="0035008C" w:rsidRPr="001B46CB">
              <w:rPr>
                <w:rFonts w:asciiTheme="majorBidi" w:hAnsiTheme="majorBidi" w:cstheme="majorBidi"/>
                <w:lang w:val="fr-FR"/>
              </w:rPr>
              <w:t>. </w:t>
            </w:r>
            <w:r w:rsidRPr="001B46CB">
              <w:rPr>
                <w:rFonts w:asciiTheme="majorBidi" w:hAnsiTheme="majorBidi" w:cstheme="majorBidi"/>
                <w:lang w:val="fr-FR"/>
              </w:rPr>
              <w:t>2 de l</w:t>
            </w:r>
            <w:r w:rsidR="00801F15" w:rsidRPr="001B46CB">
              <w:rPr>
                <w:rFonts w:asciiTheme="majorBidi" w:hAnsiTheme="majorBidi" w:cstheme="majorBidi"/>
                <w:lang w:val="fr-FR"/>
              </w:rPr>
              <w:t>’</w:t>
            </w:r>
            <w:r w:rsidRPr="001B46CB">
              <w:rPr>
                <w:rFonts w:asciiTheme="majorBidi" w:hAnsiTheme="majorBidi" w:cstheme="majorBidi"/>
                <w:lang w:val="fr-FR"/>
              </w:rPr>
              <w:t>article 9)</w:t>
            </w:r>
            <w:r w:rsidR="00801F15" w:rsidRPr="001B46CB">
              <w:rPr>
                <w:rFonts w:asciiTheme="majorBidi" w:hAnsiTheme="majorBidi" w:cstheme="majorBidi"/>
                <w:lang w:val="fr-FR"/>
              </w:rPr>
              <w:t> ;</w:t>
            </w:r>
            <w:r w:rsidRPr="001B46CB">
              <w:rPr>
                <w:rFonts w:asciiTheme="majorBidi" w:hAnsiTheme="majorBidi" w:cstheme="majorBidi"/>
                <w:lang w:val="fr-FR"/>
              </w:rPr>
              <w:t xml:space="preserve"> des dispositions de la Convention peuvent aller à l</w:t>
            </w:r>
            <w:r w:rsidR="00801F15" w:rsidRPr="001B46CB">
              <w:rPr>
                <w:rFonts w:asciiTheme="majorBidi" w:hAnsiTheme="majorBidi" w:cstheme="majorBidi"/>
                <w:lang w:val="fr-FR"/>
              </w:rPr>
              <w:t>’</w:t>
            </w:r>
            <w:r w:rsidRPr="001B46CB">
              <w:rPr>
                <w:rFonts w:asciiTheme="majorBidi" w:hAnsiTheme="majorBidi" w:cstheme="majorBidi"/>
                <w:lang w:val="fr-FR"/>
              </w:rPr>
              <w:t>encontre des dispositions absolues de la charia (art</w:t>
            </w:r>
            <w:r w:rsidR="0035008C" w:rsidRPr="001B46CB">
              <w:rPr>
                <w:rFonts w:asciiTheme="majorBidi" w:hAnsiTheme="majorBidi" w:cstheme="majorBidi"/>
                <w:lang w:val="fr-FR"/>
              </w:rPr>
              <w:t>. </w:t>
            </w:r>
            <w:r w:rsidRPr="001B46CB">
              <w:rPr>
                <w:rFonts w:asciiTheme="majorBidi" w:hAnsiTheme="majorBidi" w:cstheme="majorBidi"/>
                <w:lang w:val="fr-FR"/>
              </w:rPr>
              <w:t>2, art</w:t>
            </w:r>
            <w:r w:rsidR="0035008C" w:rsidRPr="001B46CB">
              <w:rPr>
                <w:rFonts w:asciiTheme="majorBidi" w:hAnsiTheme="majorBidi" w:cstheme="majorBidi"/>
                <w:lang w:val="fr-FR"/>
              </w:rPr>
              <w:t>. </w:t>
            </w:r>
            <w:r w:rsidRPr="001B46CB">
              <w:rPr>
                <w:rFonts w:asciiTheme="majorBidi" w:hAnsiTheme="majorBidi" w:cstheme="majorBidi"/>
                <w:lang w:val="fr-FR"/>
              </w:rPr>
              <w:t>16 et par</w:t>
            </w:r>
            <w:r w:rsidR="0035008C" w:rsidRPr="001B46CB">
              <w:rPr>
                <w:rFonts w:asciiTheme="majorBidi" w:hAnsiTheme="majorBidi" w:cstheme="majorBidi"/>
                <w:lang w:val="fr-FR"/>
              </w:rPr>
              <w:t>. </w:t>
            </w:r>
            <w:r w:rsidRPr="001B46CB">
              <w:rPr>
                <w:rFonts w:asciiTheme="majorBidi" w:hAnsiTheme="majorBidi" w:cstheme="majorBidi"/>
                <w:lang w:val="fr-FR"/>
              </w:rPr>
              <w:t>4 de l</w:t>
            </w:r>
            <w:r w:rsidR="00801F15" w:rsidRPr="001B46CB">
              <w:rPr>
                <w:rFonts w:asciiTheme="majorBidi" w:hAnsiTheme="majorBidi" w:cstheme="majorBidi"/>
                <w:lang w:val="fr-FR"/>
              </w:rPr>
              <w:t>’</w:t>
            </w:r>
            <w:r w:rsidRPr="001B46CB">
              <w:rPr>
                <w:rFonts w:asciiTheme="majorBidi" w:hAnsiTheme="majorBidi" w:cstheme="majorBidi"/>
                <w:lang w:val="fr-FR"/>
              </w:rPr>
              <w:t>article 15) ou portent atteinte à la souveraineté de l</w:t>
            </w:r>
            <w:r w:rsidR="00801F15" w:rsidRPr="001B46CB">
              <w:rPr>
                <w:rFonts w:asciiTheme="majorBidi" w:hAnsiTheme="majorBidi" w:cstheme="majorBidi"/>
                <w:lang w:val="fr-FR"/>
              </w:rPr>
              <w:t>’</w:t>
            </w:r>
            <w:r w:rsidRPr="001B46CB">
              <w:rPr>
                <w:rFonts w:asciiTheme="majorBidi" w:hAnsiTheme="majorBidi" w:cstheme="majorBidi"/>
                <w:lang w:val="fr-FR"/>
              </w:rPr>
              <w:t>État (art</w:t>
            </w:r>
            <w:r w:rsidR="0035008C" w:rsidRPr="001B46CB">
              <w:rPr>
                <w:rFonts w:asciiTheme="majorBidi" w:hAnsiTheme="majorBidi" w:cstheme="majorBidi"/>
                <w:lang w:val="fr-FR"/>
              </w:rPr>
              <w:t xml:space="preserve">. </w:t>
            </w:r>
            <w:r w:rsidRPr="001B46CB">
              <w:rPr>
                <w:rFonts w:asciiTheme="majorBidi" w:hAnsiTheme="majorBidi" w:cstheme="majorBidi"/>
                <w:lang w:val="fr-FR"/>
              </w:rPr>
              <w:t>29).</w:t>
            </w:r>
            <w:r w:rsidR="00801F15" w:rsidRPr="001B46CB">
              <w:rPr>
                <w:rFonts w:asciiTheme="majorBidi" w:hAnsiTheme="majorBidi" w:cstheme="majorBidi"/>
                <w:lang w:val="fr-FR"/>
              </w:rPr>
              <w:t xml:space="preserve"> </w:t>
            </w:r>
          </w:p>
        </w:tc>
      </w:tr>
    </w:tbl>
    <w:bookmarkStart w:id="1" w:name="_GoBack"/>
    <w:bookmarkEnd w:id="1"/>
    <w:p w14:paraId="02193EB1" w14:textId="7B74E3BC" w:rsidR="00FB25EF" w:rsidRPr="001B46CB" w:rsidRDefault="00801F15" w:rsidP="00801F15">
      <w:pPr>
        <w:pStyle w:val="SingleTxt"/>
        <w:spacing w:after="0" w:line="240" w:lineRule="auto"/>
        <w:rPr>
          <w:lang w:val="fr-FR"/>
        </w:rPr>
      </w:pPr>
      <w:r w:rsidRPr="001B46CB">
        <w:rPr>
          <w:noProof/>
          <w:w w:val="100"/>
          <w:lang w:val="fr-FR"/>
        </w:rPr>
        <mc:AlternateContent>
          <mc:Choice Requires="wps">
            <w:drawing>
              <wp:anchor distT="0" distB="0" distL="114300" distR="114300" simplePos="0" relativeHeight="251659264" behindDoc="0" locked="0" layoutInCell="1" allowOverlap="1" wp14:anchorId="4E51A2D3" wp14:editId="23B79D55">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312D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B25EF" w:rsidRPr="001B46CB" w:rsidSect="00E326FA">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1-30T09:44:00Z" w:initials="Start">
    <w:p w14:paraId="6A408C47" w14:textId="77777777" w:rsidR="00221A48" w:rsidRDefault="00221A48">
      <w:pPr>
        <w:pStyle w:val="CommentText"/>
      </w:pPr>
      <w:r>
        <w:rPr>
          <w:rStyle w:val="CommentReference"/>
        </w:rPr>
        <w:annotationRef/>
      </w:r>
      <w:r>
        <w:t>&lt;&lt;ODS JOB NO&gt;&gt;N2027559F&lt;&lt;ODS JOB NO&gt;&gt;</w:t>
      </w:r>
    </w:p>
    <w:p w14:paraId="495276A1" w14:textId="77777777" w:rsidR="00221A48" w:rsidRDefault="00221A48">
      <w:pPr>
        <w:pStyle w:val="CommentText"/>
      </w:pPr>
      <w:r>
        <w:t>&lt;&lt;ODS DOC SYMBOL1&gt;&gt;CEDAW/C/BHR/RQ/4&lt;&lt;ODS DOC SYMBOL1&gt;&gt;</w:t>
      </w:r>
    </w:p>
    <w:p w14:paraId="7B9DDB79" w14:textId="77777777" w:rsidR="00221A48" w:rsidRDefault="00221A4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9DDB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9DDB79" w16cid:durableId="236F3D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4D958" w14:textId="77777777" w:rsidR="00230F79" w:rsidRDefault="00230F79" w:rsidP="00101B18">
      <w:pPr>
        <w:spacing w:line="240" w:lineRule="auto"/>
      </w:pPr>
      <w:r>
        <w:separator/>
      </w:r>
    </w:p>
  </w:endnote>
  <w:endnote w:type="continuationSeparator" w:id="0">
    <w:p w14:paraId="3AD9AFA0" w14:textId="77777777" w:rsidR="00230F79" w:rsidRDefault="00230F7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21A48" w14:paraId="523F8291" w14:textId="77777777" w:rsidTr="000A46F1">
      <w:tc>
        <w:tcPr>
          <w:tcW w:w="4920" w:type="dxa"/>
          <w:shd w:val="clear" w:color="auto" w:fill="auto"/>
        </w:tcPr>
        <w:p w14:paraId="5E0F8F6D" w14:textId="205CFE21" w:rsidR="00221A48" w:rsidRPr="000A46F1" w:rsidRDefault="00221A48" w:rsidP="000A46F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418A">
            <w:rPr>
              <w:b w:val="0"/>
              <w:w w:val="103"/>
              <w:sz w:val="14"/>
            </w:rPr>
            <w:t>20-13775</w:t>
          </w:r>
          <w:r>
            <w:rPr>
              <w:b w:val="0"/>
              <w:w w:val="103"/>
              <w:sz w:val="14"/>
            </w:rPr>
            <w:fldChar w:fldCharType="end"/>
          </w:r>
        </w:p>
      </w:tc>
      <w:tc>
        <w:tcPr>
          <w:tcW w:w="4920" w:type="dxa"/>
          <w:shd w:val="clear" w:color="auto" w:fill="auto"/>
        </w:tcPr>
        <w:p w14:paraId="15FE2789" w14:textId="77777777" w:rsidR="00221A48" w:rsidRPr="000A46F1" w:rsidRDefault="00221A48" w:rsidP="000A46F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980DFAC" w14:textId="77777777" w:rsidR="00221A48" w:rsidRPr="000A46F1" w:rsidRDefault="00221A48" w:rsidP="000A4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21A48" w14:paraId="75F4ABF6" w14:textId="77777777" w:rsidTr="000A46F1">
      <w:tc>
        <w:tcPr>
          <w:tcW w:w="4920" w:type="dxa"/>
          <w:shd w:val="clear" w:color="auto" w:fill="auto"/>
        </w:tcPr>
        <w:p w14:paraId="11E6DF7B" w14:textId="77777777" w:rsidR="00221A48" w:rsidRPr="000A46F1" w:rsidRDefault="00221A48" w:rsidP="000A46F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6118229C" w14:textId="249FC299" w:rsidR="00221A48" w:rsidRPr="000A46F1" w:rsidRDefault="00221A48" w:rsidP="000A46F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418A">
            <w:rPr>
              <w:b w:val="0"/>
              <w:w w:val="103"/>
              <w:sz w:val="14"/>
            </w:rPr>
            <w:t>20-13775</w:t>
          </w:r>
          <w:r>
            <w:rPr>
              <w:b w:val="0"/>
              <w:w w:val="103"/>
              <w:sz w:val="14"/>
            </w:rPr>
            <w:fldChar w:fldCharType="end"/>
          </w:r>
        </w:p>
      </w:tc>
    </w:tr>
  </w:tbl>
  <w:p w14:paraId="4675EEC8" w14:textId="77777777" w:rsidR="00221A48" w:rsidRPr="000A46F1" w:rsidRDefault="00221A48" w:rsidP="000A46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D9F2" w14:textId="77777777" w:rsidR="00221A48" w:rsidRDefault="00221A48">
    <w:pPr>
      <w:pStyle w:val="Footer"/>
    </w:pPr>
    <w:r>
      <w:rPr>
        <w:noProof/>
      </w:rPr>
      <w:drawing>
        <wp:anchor distT="0" distB="0" distL="114300" distR="114300" simplePos="0" relativeHeight="251658240" behindDoc="0" locked="0" layoutInCell="1" allowOverlap="1" wp14:anchorId="3C2682C4" wp14:editId="2C735C7E">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221A48" w14:paraId="0A8BC7EF" w14:textId="77777777" w:rsidTr="000A46F1">
      <w:tc>
        <w:tcPr>
          <w:tcW w:w="3758" w:type="dxa"/>
        </w:tcPr>
        <w:p w14:paraId="012DE51F" w14:textId="365E5448" w:rsidR="00221A48" w:rsidRDefault="00221A48" w:rsidP="000A46F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F418A">
            <w:rPr>
              <w:b w:val="0"/>
              <w:sz w:val="20"/>
            </w:rPr>
            <w:t>20-13775 (F)</w:t>
          </w:r>
          <w:r>
            <w:rPr>
              <w:b w:val="0"/>
              <w:sz w:val="20"/>
            </w:rPr>
            <w:fldChar w:fldCharType="end"/>
          </w:r>
          <w:r>
            <w:rPr>
              <w:b w:val="0"/>
              <w:sz w:val="20"/>
            </w:rPr>
            <w:t xml:space="preserve">    301120    081220</w:t>
          </w:r>
        </w:p>
        <w:p w14:paraId="58BB7F52" w14:textId="7299AFA1" w:rsidR="00221A48" w:rsidRPr="000A46F1" w:rsidRDefault="00221A48" w:rsidP="000A46F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1F418A">
            <w:rPr>
              <w:rFonts w:ascii="Barcode 3 of 9 by request" w:hAnsi="Barcode 3 of 9 by request"/>
              <w:spacing w:val="0"/>
              <w:w w:val="100"/>
              <w:sz w:val="24"/>
            </w:rPr>
            <w:t>*2013775*</w:t>
          </w:r>
          <w:r>
            <w:rPr>
              <w:rFonts w:ascii="Barcode 3 of 9 by request" w:hAnsi="Barcode 3 of 9 by request"/>
              <w:spacing w:val="0"/>
              <w:w w:val="100"/>
              <w:sz w:val="24"/>
            </w:rPr>
            <w:fldChar w:fldCharType="end"/>
          </w:r>
        </w:p>
      </w:tc>
      <w:tc>
        <w:tcPr>
          <w:tcW w:w="4920" w:type="dxa"/>
        </w:tcPr>
        <w:p w14:paraId="2C105B50" w14:textId="77777777" w:rsidR="00221A48" w:rsidRDefault="00221A48" w:rsidP="000A46F1">
          <w:pPr>
            <w:pStyle w:val="Footer"/>
            <w:spacing w:line="240" w:lineRule="atLeast"/>
            <w:jc w:val="right"/>
            <w:rPr>
              <w:b w:val="0"/>
              <w:sz w:val="20"/>
            </w:rPr>
          </w:pPr>
          <w:r>
            <w:rPr>
              <w:b w:val="0"/>
              <w:noProof/>
              <w:sz w:val="20"/>
            </w:rPr>
            <w:drawing>
              <wp:inline distT="0" distB="0" distL="0" distR="0" wp14:anchorId="60B00598" wp14:editId="5BD37E6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F81D452" w14:textId="77777777" w:rsidR="00221A48" w:rsidRPr="000A46F1" w:rsidRDefault="00221A48" w:rsidP="000A46F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C00ED" w14:textId="77777777" w:rsidR="00230F79" w:rsidRPr="00FB25EF" w:rsidRDefault="00230F79" w:rsidP="00FB25EF">
      <w:pPr>
        <w:pStyle w:val="Footer"/>
        <w:spacing w:after="80"/>
        <w:ind w:left="792"/>
        <w:rPr>
          <w:sz w:val="16"/>
        </w:rPr>
      </w:pPr>
      <w:r w:rsidRPr="00FB25EF">
        <w:rPr>
          <w:sz w:val="16"/>
        </w:rPr>
        <w:t>__________________</w:t>
      </w:r>
    </w:p>
  </w:footnote>
  <w:footnote w:type="continuationSeparator" w:id="0">
    <w:p w14:paraId="3BE64B56" w14:textId="77777777" w:rsidR="00230F79" w:rsidRPr="00FB25EF" w:rsidRDefault="00230F79" w:rsidP="00FB25EF">
      <w:pPr>
        <w:pStyle w:val="Footer"/>
        <w:spacing w:after="80"/>
        <w:ind w:left="792"/>
        <w:rPr>
          <w:sz w:val="16"/>
        </w:rPr>
      </w:pPr>
      <w:r w:rsidRPr="00FB25EF">
        <w:rPr>
          <w:sz w:val="16"/>
        </w:rPr>
        <w:t>__________________</w:t>
      </w:r>
    </w:p>
  </w:footnote>
  <w:footnote w:id="1">
    <w:p w14:paraId="29958173" w14:textId="7B0497F9" w:rsidR="00221A48" w:rsidRPr="00FB25EF" w:rsidRDefault="00221A48" w:rsidP="00FB25EF">
      <w:pPr>
        <w:tabs>
          <w:tab w:val="right" w:pos="1195"/>
          <w:tab w:val="left" w:pos="1267"/>
          <w:tab w:val="left" w:pos="1742"/>
          <w:tab w:val="left" w:pos="2218"/>
          <w:tab w:val="left" w:pos="2693"/>
        </w:tabs>
        <w:spacing w:line="210" w:lineRule="exact"/>
        <w:ind w:left="1267" w:right="1260" w:hanging="576"/>
        <w:rPr>
          <w:sz w:val="17"/>
          <w:lang w:val="fr-FR"/>
        </w:rPr>
      </w:pPr>
      <w:r>
        <w:rPr>
          <w:lang w:val="fr-FR"/>
        </w:rPr>
        <w:tab/>
      </w:r>
      <w:r w:rsidRPr="00FB25EF">
        <w:rPr>
          <w:sz w:val="17"/>
          <w:szCs w:val="17"/>
          <w:lang w:val="fr-FR"/>
        </w:rPr>
        <w:t>*</w:t>
      </w:r>
      <w:r w:rsidRPr="00FB25EF">
        <w:rPr>
          <w:sz w:val="17"/>
          <w:lang w:val="fr-FR"/>
        </w:rPr>
        <w:tab/>
        <w:t>La version originale du présent document n</w:t>
      </w:r>
      <w:r>
        <w:rPr>
          <w:sz w:val="17"/>
          <w:lang w:val="fr-FR"/>
        </w:rPr>
        <w:t>’</w:t>
      </w:r>
      <w:r w:rsidRPr="00FB25EF">
        <w:rPr>
          <w:sz w:val="17"/>
          <w:lang w:val="fr-FR"/>
        </w:rPr>
        <w:t>a pas été revue par les services d</w:t>
      </w:r>
      <w:r>
        <w:rPr>
          <w:sz w:val="17"/>
          <w:lang w:val="fr-FR"/>
        </w:rPr>
        <w:t>’</w:t>
      </w:r>
      <w:r w:rsidRPr="00FB25EF">
        <w:rPr>
          <w:sz w:val="17"/>
          <w:lang w:val="fr-FR"/>
        </w:rPr>
        <w:t>édition.</w:t>
      </w:r>
    </w:p>
    <w:p w14:paraId="6793E534" w14:textId="1412CA38" w:rsidR="00221A48" w:rsidRPr="002B229B" w:rsidRDefault="00221A48" w:rsidP="00FB25EF">
      <w:pPr>
        <w:tabs>
          <w:tab w:val="right" w:pos="1195"/>
          <w:tab w:val="left" w:pos="1267"/>
          <w:tab w:val="left" w:pos="1742"/>
          <w:tab w:val="left" w:pos="2218"/>
          <w:tab w:val="left" w:pos="2693"/>
        </w:tabs>
        <w:spacing w:line="210" w:lineRule="exact"/>
        <w:ind w:left="1267" w:right="1260" w:hanging="576"/>
        <w:rPr>
          <w:lang w:val="fr-FR"/>
        </w:rPr>
      </w:pPr>
      <w:r>
        <w:rPr>
          <w:sz w:val="17"/>
          <w:lang w:val="fr-FR"/>
        </w:rPr>
        <w:tab/>
      </w:r>
      <w:r w:rsidRPr="00FB25EF">
        <w:rPr>
          <w:sz w:val="17"/>
          <w:lang w:val="fr-FR"/>
        </w:rPr>
        <w:t>**</w:t>
      </w:r>
      <w:r w:rsidRPr="00FB25EF">
        <w:rPr>
          <w:sz w:val="17"/>
          <w:lang w:val="fr-FR"/>
        </w:rPr>
        <w:tab/>
        <w:t>L</w:t>
      </w:r>
      <w:r>
        <w:rPr>
          <w:sz w:val="17"/>
          <w:lang w:val="fr-FR"/>
        </w:rPr>
        <w:t>’</w:t>
      </w:r>
      <w:r w:rsidRPr="00FB25EF">
        <w:rPr>
          <w:sz w:val="17"/>
          <w:lang w:val="fr-FR"/>
        </w:rPr>
        <w:t>annexe au présent rapport peut être consultée sur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21A48" w14:paraId="1739FBE4" w14:textId="77777777" w:rsidTr="000A46F1">
      <w:trPr>
        <w:trHeight w:hRule="exact" w:val="864"/>
      </w:trPr>
      <w:tc>
        <w:tcPr>
          <w:tcW w:w="4920" w:type="dxa"/>
          <w:shd w:val="clear" w:color="auto" w:fill="auto"/>
          <w:vAlign w:val="bottom"/>
        </w:tcPr>
        <w:p w14:paraId="1C150879" w14:textId="5A5A087D" w:rsidR="00221A48" w:rsidRPr="000A46F1" w:rsidRDefault="00221A48" w:rsidP="000A46F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F418A">
            <w:rPr>
              <w:b/>
              <w:color w:val="000000"/>
            </w:rPr>
            <w:t>CEDAW/C/BHR/RQ/4</w:t>
          </w:r>
          <w:r>
            <w:rPr>
              <w:b/>
              <w:color w:val="000000"/>
            </w:rPr>
            <w:fldChar w:fldCharType="end"/>
          </w:r>
        </w:p>
      </w:tc>
      <w:tc>
        <w:tcPr>
          <w:tcW w:w="4920" w:type="dxa"/>
          <w:shd w:val="clear" w:color="auto" w:fill="auto"/>
          <w:vAlign w:val="bottom"/>
        </w:tcPr>
        <w:p w14:paraId="6DF2D09D" w14:textId="77777777" w:rsidR="00221A48" w:rsidRDefault="00221A48" w:rsidP="000A46F1">
          <w:pPr>
            <w:pStyle w:val="Header"/>
          </w:pPr>
        </w:p>
      </w:tc>
    </w:tr>
  </w:tbl>
  <w:p w14:paraId="26812030" w14:textId="77777777" w:rsidR="00221A48" w:rsidRPr="000A46F1" w:rsidRDefault="00221A48" w:rsidP="000A46F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21A48" w14:paraId="231E8E5E" w14:textId="77777777" w:rsidTr="000A46F1">
      <w:trPr>
        <w:trHeight w:hRule="exact" w:val="864"/>
      </w:trPr>
      <w:tc>
        <w:tcPr>
          <w:tcW w:w="4920" w:type="dxa"/>
          <w:shd w:val="clear" w:color="auto" w:fill="auto"/>
          <w:vAlign w:val="bottom"/>
        </w:tcPr>
        <w:p w14:paraId="587CD190" w14:textId="77777777" w:rsidR="00221A48" w:rsidRDefault="00221A48" w:rsidP="000A46F1">
          <w:pPr>
            <w:pStyle w:val="Header"/>
          </w:pPr>
        </w:p>
      </w:tc>
      <w:tc>
        <w:tcPr>
          <w:tcW w:w="4920" w:type="dxa"/>
          <w:shd w:val="clear" w:color="auto" w:fill="auto"/>
          <w:vAlign w:val="bottom"/>
        </w:tcPr>
        <w:p w14:paraId="47806138" w14:textId="09D508EE" w:rsidR="00221A48" w:rsidRPr="000A46F1" w:rsidRDefault="00221A48" w:rsidP="000A46F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F418A">
            <w:rPr>
              <w:b/>
              <w:color w:val="000000"/>
            </w:rPr>
            <w:t>CEDAW/C/BHR/RQ/4</w:t>
          </w:r>
          <w:r>
            <w:rPr>
              <w:b/>
              <w:color w:val="000000"/>
            </w:rPr>
            <w:fldChar w:fldCharType="end"/>
          </w:r>
        </w:p>
      </w:tc>
    </w:tr>
  </w:tbl>
  <w:p w14:paraId="66486AA3" w14:textId="77777777" w:rsidR="00221A48" w:rsidRPr="000A46F1" w:rsidRDefault="00221A48" w:rsidP="000A46F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21A48" w14:paraId="4BE578FD" w14:textId="77777777" w:rsidTr="000A46F1">
      <w:trPr>
        <w:trHeight w:hRule="exact" w:val="864"/>
      </w:trPr>
      <w:tc>
        <w:tcPr>
          <w:tcW w:w="1267" w:type="dxa"/>
          <w:tcBorders>
            <w:bottom w:val="single" w:sz="4" w:space="0" w:color="auto"/>
          </w:tcBorders>
          <w:shd w:val="clear" w:color="auto" w:fill="auto"/>
          <w:vAlign w:val="bottom"/>
        </w:tcPr>
        <w:p w14:paraId="4C44697F" w14:textId="77777777" w:rsidR="00221A48" w:rsidRDefault="00221A48" w:rsidP="000A46F1">
          <w:pPr>
            <w:pStyle w:val="Header"/>
            <w:spacing w:after="120"/>
          </w:pPr>
        </w:p>
      </w:tc>
      <w:tc>
        <w:tcPr>
          <w:tcW w:w="2059" w:type="dxa"/>
          <w:tcBorders>
            <w:bottom w:val="single" w:sz="4" w:space="0" w:color="auto"/>
          </w:tcBorders>
          <w:shd w:val="clear" w:color="auto" w:fill="auto"/>
          <w:vAlign w:val="bottom"/>
        </w:tcPr>
        <w:p w14:paraId="778FFF08" w14:textId="77777777" w:rsidR="00221A48" w:rsidRPr="000A46F1" w:rsidRDefault="00221A48" w:rsidP="000A46F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A37C433" w14:textId="77777777" w:rsidR="00221A48" w:rsidRDefault="00221A48" w:rsidP="000A46F1">
          <w:pPr>
            <w:pStyle w:val="Header"/>
            <w:spacing w:after="120"/>
          </w:pPr>
        </w:p>
      </w:tc>
      <w:tc>
        <w:tcPr>
          <w:tcW w:w="6466" w:type="dxa"/>
          <w:gridSpan w:val="3"/>
          <w:tcBorders>
            <w:bottom w:val="single" w:sz="4" w:space="0" w:color="auto"/>
          </w:tcBorders>
          <w:shd w:val="clear" w:color="auto" w:fill="auto"/>
          <w:vAlign w:val="bottom"/>
        </w:tcPr>
        <w:p w14:paraId="786EC0C0" w14:textId="77777777" w:rsidR="00221A48" w:rsidRPr="000A46F1" w:rsidRDefault="00221A48" w:rsidP="000A46F1">
          <w:pPr>
            <w:spacing w:after="80" w:line="240" w:lineRule="auto"/>
            <w:jc w:val="right"/>
            <w:rPr>
              <w:position w:val="-4"/>
            </w:rPr>
          </w:pPr>
          <w:r>
            <w:rPr>
              <w:position w:val="-4"/>
              <w:sz w:val="40"/>
            </w:rPr>
            <w:t>CEDAW</w:t>
          </w:r>
          <w:r>
            <w:rPr>
              <w:position w:val="-4"/>
            </w:rPr>
            <w:t>/C/BHR/RQ/4</w:t>
          </w:r>
        </w:p>
      </w:tc>
    </w:tr>
    <w:tr w:rsidR="00221A48" w:rsidRPr="000A46F1" w14:paraId="0F95F1C7" w14:textId="77777777" w:rsidTr="000A46F1">
      <w:trPr>
        <w:trHeight w:hRule="exact" w:val="2880"/>
      </w:trPr>
      <w:tc>
        <w:tcPr>
          <w:tcW w:w="1267" w:type="dxa"/>
          <w:tcBorders>
            <w:top w:val="single" w:sz="4" w:space="0" w:color="auto"/>
            <w:bottom w:val="single" w:sz="12" w:space="0" w:color="auto"/>
          </w:tcBorders>
          <w:shd w:val="clear" w:color="auto" w:fill="auto"/>
        </w:tcPr>
        <w:p w14:paraId="3D5F69D6" w14:textId="77777777" w:rsidR="00221A48" w:rsidRPr="000A46F1" w:rsidRDefault="00221A48" w:rsidP="000A46F1">
          <w:pPr>
            <w:pStyle w:val="Header"/>
            <w:spacing w:before="120" w:line="240" w:lineRule="auto"/>
            <w:ind w:left="-72"/>
            <w:jc w:val="center"/>
          </w:pPr>
          <w:r>
            <w:t xml:space="preserve">  </w:t>
          </w:r>
          <w:r>
            <w:rPr>
              <w:noProof/>
            </w:rPr>
            <w:drawing>
              <wp:inline distT="0" distB="0" distL="0" distR="0" wp14:anchorId="37CCBB55" wp14:editId="443B909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06C0E1D" w14:textId="00A2B358" w:rsidR="00221A48" w:rsidRPr="000A46F1" w:rsidRDefault="00221A48" w:rsidP="000A46F1">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1C661A12" w14:textId="77777777" w:rsidR="00221A48" w:rsidRPr="000A46F1" w:rsidRDefault="00221A48" w:rsidP="000A46F1">
          <w:pPr>
            <w:pStyle w:val="Header"/>
            <w:spacing w:before="109"/>
          </w:pPr>
        </w:p>
      </w:tc>
      <w:tc>
        <w:tcPr>
          <w:tcW w:w="3110" w:type="dxa"/>
          <w:tcBorders>
            <w:top w:val="single" w:sz="4" w:space="0" w:color="auto"/>
            <w:bottom w:val="single" w:sz="12" w:space="0" w:color="auto"/>
          </w:tcBorders>
          <w:shd w:val="clear" w:color="auto" w:fill="auto"/>
        </w:tcPr>
        <w:p w14:paraId="1402EC79" w14:textId="77777777" w:rsidR="00221A48" w:rsidRDefault="00221A48" w:rsidP="000A46F1">
          <w:pPr>
            <w:pStyle w:val="Distribution"/>
            <w:rPr>
              <w:color w:val="000000"/>
            </w:rPr>
          </w:pPr>
          <w:r>
            <w:rPr>
              <w:color w:val="000000"/>
            </w:rPr>
            <w:t>Distr. générale</w:t>
          </w:r>
        </w:p>
        <w:p w14:paraId="4F369FD2" w14:textId="77777777" w:rsidR="00221A48" w:rsidRDefault="00221A48" w:rsidP="000A46F1">
          <w:pPr>
            <w:pStyle w:val="Publication"/>
            <w:rPr>
              <w:color w:val="000000"/>
            </w:rPr>
          </w:pPr>
          <w:r>
            <w:rPr>
              <w:color w:val="000000"/>
            </w:rPr>
            <w:t>19 octobre 2020</w:t>
          </w:r>
        </w:p>
        <w:p w14:paraId="7D9E0829" w14:textId="77777777" w:rsidR="00221A48" w:rsidRDefault="00221A48" w:rsidP="000A46F1">
          <w:pPr>
            <w:rPr>
              <w:lang w:val="en-US"/>
            </w:rPr>
          </w:pPr>
          <w:r>
            <w:rPr>
              <w:lang w:val="en-US"/>
            </w:rPr>
            <w:t>Français</w:t>
          </w:r>
        </w:p>
        <w:p w14:paraId="52B42742" w14:textId="46728E4B" w:rsidR="00221A48" w:rsidRDefault="00221A48" w:rsidP="000A46F1">
          <w:pPr>
            <w:pStyle w:val="Original"/>
            <w:rPr>
              <w:color w:val="000000"/>
            </w:rPr>
          </w:pPr>
          <w:r>
            <w:rPr>
              <w:color w:val="000000"/>
            </w:rPr>
            <w:t>Original : arabe</w:t>
          </w:r>
        </w:p>
        <w:p w14:paraId="32AC1B09" w14:textId="6D76C184" w:rsidR="00221A48" w:rsidRPr="00E326FA" w:rsidRDefault="00221A48" w:rsidP="00E326FA">
          <w:pPr>
            <w:rPr>
              <w:lang w:val="en-US"/>
            </w:rPr>
          </w:pPr>
          <w:r w:rsidRPr="00E326FA">
            <w:rPr>
              <w:lang w:val="en-US"/>
            </w:rPr>
            <w:t>Anglais, arabe, espagnol et français seulement</w:t>
          </w:r>
        </w:p>
      </w:tc>
    </w:tr>
  </w:tbl>
  <w:p w14:paraId="06691A0A" w14:textId="77777777" w:rsidR="00221A48" w:rsidRPr="000A46F1" w:rsidRDefault="00221A48" w:rsidP="000A46F1">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BB52C07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D56DA"/>
    <w:multiLevelType w:val="hybridMultilevel"/>
    <w:tmpl w:val="4D4A6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06795"/>
    <w:multiLevelType w:val="hybridMultilevel"/>
    <w:tmpl w:val="FE86245A"/>
    <w:lvl w:ilvl="0" w:tplc="45D69A40">
      <w:start w:val="1"/>
      <w:numFmt w:val="bullet"/>
      <w:lvlText w:val="-"/>
      <w:lvlJc w:val="left"/>
      <w:pPr>
        <w:ind w:left="720" w:hanging="360"/>
      </w:pPr>
      <w:rPr>
        <w:rFonts w:ascii="Sylfaen" w:hAnsi="Sylfae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B0C64"/>
    <w:multiLevelType w:val="hybridMultilevel"/>
    <w:tmpl w:val="EF669BAA"/>
    <w:lvl w:ilvl="0" w:tplc="45D69A40">
      <w:start w:val="1"/>
      <w:numFmt w:val="bullet"/>
      <w:lvlText w:val="-"/>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04BB4"/>
    <w:multiLevelType w:val="hybridMultilevel"/>
    <w:tmpl w:val="18781F98"/>
    <w:lvl w:ilvl="0" w:tplc="45D69A40">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60072"/>
    <w:multiLevelType w:val="hybridMultilevel"/>
    <w:tmpl w:val="2D92C298"/>
    <w:lvl w:ilvl="0" w:tplc="C1686CD4">
      <w:start w:val="1"/>
      <w:numFmt w:val="bullet"/>
      <w:lvlText w:val="-"/>
      <w:lvlJc w:val="left"/>
      <w:pPr>
        <w:ind w:left="917" w:hanging="360"/>
      </w:pPr>
      <w:rPr>
        <w:rFonts w:ascii="Sylfaen" w:hAnsi="Sylfaen" w:hint="default"/>
        <w:b w:val="0"/>
        <w:bCs w:val="0"/>
        <w:strike w:val="0"/>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9" w15:restartNumberingAfterBreak="0">
    <w:nsid w:val="6ECA1954"/>
    <w:multiLevelType w:val="hybridMultilevel"/>
    <w:tmpl w:val="D63C68B8"/>
    <w:lvl w:ilvl="0" w:tplc="45D69A40">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D4E52"/>
    <w:multiLevelType w:val="hybridMultilevel"/>
    <w:tmpl w:val="85209ECC"/>
    <w:lvl w:ilvl="0" w:tplc="89DAF5B0">
      <w:start w:val="1"/>
      <w:numFmt w:val="bullet"/>
      <w:lvlText w:val=""/>
      <w:lvlJc w:val="left"/>
      <w:pPr>
        <w:ind w:left="720" w:hanging="360"/>
      </w:pPr>
      <w:rPr>
        <w:rFonts w:ascii="Wingdings" w:hAnsi="Wingdings" w:hint="default"/>
        <w:b w:val="0"/>
        <w:bCs/>
        <w:strike w:val="0"/>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A6DF8"/>
    <w:multiLevelType w:val="hybridMultilevel"/>
    <w:tmpl w:val="F76CA83E"/>
    <w:lvl w:ilvl="0" w:tplc="FE5C96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64C8E"/>
    <w:multiLevelType w:val="hybridMultilevel"/>
    <w:tmpl w:val="7F74EB4A"/>
    <w:lvl w:ilvl="0" w:tplc="A2422F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2"/>
  </w:num>
  <w:num w:numId="6">
    <w:abstractNumId w:val="6"/>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6"/>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6"/>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3"/>
    <w:lvlOverride w:ilvl="0">
      <w:lvl w:ilvl="0" w:tplc="04090005">
        <w:start w:val="1"/>
        <w:numFmt w:val="bullet"/>
        <w:lvlText w:val=""/>
        <w:lvlJc w:val="left"/>
        <w:pPr>
          <w:ind w:left="720" w:hanging="360"/>
        </w:pPr>
        <w:rPr>
          <w:rFonts w:ascii="Wingdings" w:hAnsi="Wingdings" w:hint="default"/>
        </w:rPr>
      </w:lvl>
    </w:lvlOverride>
  </w:num>
  <w:num w:numId="42">
    <w:abstractNumId w:val="12"/>
    <w:lvlOverride w:ilvl="0">
      <w:lvl w:ilvl="0" w:tplc="A2422F44">
        <w:start w:val="1"/>
        <w:numFmt w:val="decimal"/>
        <w:lvlText w:val="%1."/>
        <w:lvlJc w:val="left"/>
        <w:pPr>
          <w:ind w:left="720" w:hanging="360"/>
        </w:pPr>
        <w:rPr>
          <w:rFonts w:hint="default"/>
          <w:b w:val="0"/>
          <w:bCs w:val="0"/>
        </w:rPr>
      </w:lvl>
    </w:lvlOverride>
  </w:num>
  <w:num w:numId="43">
    <w:abstractNumId w:val="10"/>
    <w:lvlOverride w:ilvl="0">
      <w:lvl w:ilvl="0" w:tplc="89DAF5B0">
        <w:start w:val="1"/>
        <w:numFmt w:val="bullet"/>
        <w:lvlText w:val=""/>
        <w:lvlJc w:val="left"/>
        <w:pPr>
          <w:ind w:left="720" w:hanging="360"/>
        </w:pPr>
        <w:rPr>
          <w:rFonts w:ascii="Wingdings" w:hAnsi="Wingdings" w:hint="default"/>
          <w:b w:val="0"/>
          <w:bCs/>
          <w:strike w:val="0"/>
          <w:color w:val="auto"/>
          <w:lang w:bidi="ar-SA"/>
        </w:rPr>
      </w:lvl>
    </w:lvlOverride>
  </w:num>
  <w:num w:numId="44">
    <w:abstractNumId w:val="5"/>
    <w:lvlOverride w:ilvl="0">
      <w:lvl w:ilvl="0" w:tplc="45D69A40">
        <w:start w:val="1"/>
        <w:numFmt w:val="bullet"/>
        <w:lvlText w:val="-"/>
        <w:lvlJc w:val="left"/>
        <w:pPr>
          <w:ind w:left="720" w:hanging="360"/>
        </w:pPr>
        <w:rPr>
          <w:rFonts w:ascii="Sylfaen" w:hAnsi="Sylfaen" w:hint="default"/>
        </w:rPr>
      </w:lvl>
    </w:lvlOverride>
  </w:num>
  <w:num w:numId="45">
    <w:abstractNumId w:val="11"/>
    <w:lvlOverride w:ilvl="0">
      <w:lvl w:ilvl="0" w:tplc="FE5C9614">
        <w:start w:val="1"/>
        <w:numFmt w:val="bullet"/>
        <w:lvlText w:val=""/>
        <w:lvlJc w:val="left"/>
        <w:pPr>
          <w:ind w:left="720" w:hanging="360"/>
        </w:pPr>
        <w:rPr>
          <w:rFonts w:ascii="Wingdings" w:hAnsi="Wingdings" w:hint="default"/>
          <w:color w:val="auto"/>
        </w:rPr>
      </w:lvl>
    </w:lvlOverride>
  </w:num>
  <w:num w:numId="46">
    <w:abstractNumId w:val="9"/>
    <w:lvlOverride w:ilvl="0">
      <w:lvl w:ilvl="0" w:tplc="45D69A40">
        <w:start w:val="1"/>
        <w:numFmt w:val="bullet"/>
        <w:lvlText w:val="-"/>
        <w:lvlJc w:val="left"/>
        <w:pPr>
          <w:ind w:left="720" w:hanging="360"/>
        </w:pPr>
        <w:rPr>
          <w:rFonts w:ascii="Sylfaen" w:hAnsi="Sylfaen" w:hint="default"/>
        </w:rPr>
      </w:lvl>
    </w:lvlOverride>
  </w:num>
  <w:num w:numId="47">
    <w:abstractNumId w:val="4"/>
    <w:lvlOverride w:ilvl="0">
      <w:lvl w:ilvl="0" w:tplc="45D69A40">
        <w:start w:val="1"/>
        <w:numFmt w:val="bullet"/>
        <w:lvlText w:val="-"/>
        <w:lvlJc w:val="left"/>
        <w:pPr>
          <w:ind w:left="720" w:hanging="360"/>
        </w:pPr>
        <w:rPr>
          <w:rFonts w:ascii="Sylfaen" w:hAnsi="Sylfaen" w:hint="default"/>
          <w:color w:val="000000" w:themeColor="text1"/>
        </w:rPr>
      </w:lvl>
    </w:lvlOverride>
  </w:num>
  <w:num w:numId="48">
    <w:abstractNumId w:val="8"/>
    <w:lvlOverride w:ilvl="0">
      <w:lvl w:ilvl="0" w:tplc="C1686CD4">
        <w:start w:val="1"/>
        <w:numFmt w:val="bullet"/>
        <w:lvlText w:val="-"/>
        <w:lvlJc w:val="left"/>
        <w:pPr>
          <w:ind w:left="917" w:hanging="360"/>
        </w:pPr>
        <w:rPr>
          <w:rFonts w:ascii="Sylfaen" w:hAnsi="Sylfaen" w:hint="default"/>
          <w:b w:val="0"/>
          <w:bCs w:val="0"/>
          <w:strike w:val="0"/>
        </w:rPr>
      </w:lvl>
    </w:lvlOverride>
  </w:num>
  <w:num w:numId="49">
    <w:abstractNumId w:val="7"/>
    <w:lvlOverride w:ilvl="0">
      <w:lvl w:ilvl="0" w:tplc="45D69A40">
        <w:start w:val="1"/>
        <w:numFmt w:val="bullet"/>
        <w:lvlText w:val="-"/>
        <w:lvlJc w:val="left"/>
        <w:pPr>
          <w:ind w:left="720" w:hanging="360"/>
        </w:pPr>
        <w:rPr>
          <w:rFonts w:ascii="Sylfaen" w:hAnsi="Sylfaen" w:hint="default"/>
        </w:rPr>
      </w:lvl>
    </w:lvlOverride>
  </w:num>
  <w:num w:numId="50">
    <w:abstractNumId w:val="4"/>
  </w:num>
  <w:num w:numId="51">
    <w:abstractNumId w:val="11"/>
  </w:num>
  <w:num w:numId="52">
    <w:abstractNumId w:val="5"/>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3775*"/>
    <w:docVar w:name="CreationDt" w:val="30/11/2020 9:43: AM"/>
    <w:docVar w:name="DocCategory" w:val="Doc"/>
    <w:docVar w:name="DocType" w:val="Final"/>
    <w:docVar w:name="DutyStation" w:val="New York"/>
    <w:docVar w:name="FooterJN" w:val="20-13775"/>
    <w:docVar w:name="jobn" w:val="20-13775 (F)"/>
    <w:docVar w:name="jobnDT" w:val="20-13775 (F)   301120"/>
    <w:docVar w:name="jobnDTDT" w:val="20-13775 (F)   301120   301120"/>
    <w:docVar w:name="JobNo" w:val="2013775F"/>
    <w:docVar w:name="JobNo2" w:val="2027559F"/>
    <w:docVar w:name="LocalDrive" w:val="0"/>
    <w:docVar w:name="OandT" w:val="dll"/>
    <w:docVar w:name="sss1" w:val="CEDAW/C/BHR/RQ/4"/>
    <w:docVar w:name="sss2" w:val="-"/>
    <w:docVar w:name="Symbol1" w:val="CEDAW/C/BHR/RQ/4"/>
    <w:docVar w:name="Symbol2" w:val="-"/>
  </w:docVars>
  <w:rsids>
    <w:rsidRoot w:val="00CC5179"/>
    <w:rsid w:val="00001936"/>
    <w:rsid w:val="00002584"/>
    <w:rsid w:val="00002F00"/>
    <w:rsid w:val="00004A4A"/>
    <w:rsid w:val="00007650"/>
    <w:rsid w:val="00012BB9"/>
    <w:rsid w:val="0002140C"/>
    <w:rsid w:val="00021A24"/>
    <w:rsid w:val="00031018"/>
    <w:rsid w:val="00043FE3"/>
    <w:rsid w:val="000637AE"/>
    <w:rsid w:val="0006491F"/>
    <w:rsid w:val="00066127"/>
    <w:rsid w:val="00071D43"/>
    <w:rsid w:val="00073898"/>
    <w:rsid w:val="0007535B"/>
    <w:rsid w:val="00076CE4"/>
    <w:rsid w:val="00077FE0"/>
    <w:rsid w:val="00080349"/>
    <w:rsid w:val="0008075B"/>
    <w:rsid w:val="000807D2"/>
    <w:rsid w:val="00080F5D"/>
    <w:rsid w:val="00082144"/>
    <w:rsid w:val="0008301F"/>
    <w:rsid w:val="00083537"/>
    <w:rsid w:val="00085942"/>
    <w:rsid w:val="00085EEB"/>
    <w:rsid w:val="00086794"/>
    <w:rsid w:val="00092CB7"/>
    <w:rsid w:val="000A46F1"/>
    <w:rsid w:val="000B3C9C"/>
    <w:rsid w:val="000B4DB5"/>
    <w:rsid w:val="000B586F"/>
    <w:rsid w:val="000B5ADC"/>
    <w:rsid w:val="000B7C37"/>
    <w:rsid w:val="000C3864"/>
    <w:rsid w:val="000C5C1E"/>
    <w:rsid w:val="000D41E4"/>
    <w:rsid w:val="000D5822"/>
    <w:rsid w:val="000D73F4"/>
    <w:rsid w:val="000F3066"/>
    <w:rsid w:val="00101B18"/>
    <w:rsid w:val="001030AE"/>
    <w:rsid w:val="00116571"/>
    <w:rsid w:val="001171F7"/>
    <w:rsid w:val="001177E1"/>
    <w:rsid w:val="0012108B"/>
    <w:rsid w:val="00122A56"/>
    <w:rsid w:val="001256D4"/>
    <w:rsid w:val="00127B53"/>
    <w:rsid w:val="0013083B"/>
    <w:rsid w:val="00134FEE"/>
    <w:rsid w:val="001449D0"/>
    <w:rsid w:val="00146C6A"/>
    <w:rsid w:val="0015398D"/>
    <w:rsid w:val="00154347"/>
    <w:rsid w:val="001543FD"/>
    <w:rsid w:val="0015505D"/>
    <w:rsid w:val="00160490"/>
    <w:rsid w:val="0016319D"/>
    <w:rsid w:val="00166A0D"/>
    <w:rsid w:val="0016762E"/>
    <w:rsid w:val="001717BE"/>
    <w:rsid w:val="001770A2"/>
    <w:rsid w:val="001934B5"/>
    <w:rsid w:val="00193DD7"/>
    <w:rsid w:val="00194F8B"/>
    <w:rsid w:val="001A299E"/>
    <w:rsid w:val="001A4B19"/>
    <w:rsid w:val="001B0D20"/>
    <w:rsid w:val="001B4526"/>
    <w:rsid w:val="001B46CB"/>
    <w:rsid w:val="001D5F53"/>
    <w:rsid w:val="001E0CA2"/>
    <w:rsid w:val="001E2379"/>
    <w:rsid w:val="001E2C6E"/>
    <w:rsid w:val="001E4B50"/>
    <w:rsid w:val="001E5506"/>
    <w:rsid w:val="001F418A"/>
    <w:rsid w:val="00202F6E"/>
    <w:rsid w:val="002072F3"/>
    <w:rsid w:val="0021412C"/>
    <w:rsid w:val="00215425"/>
    <w:rsid w:val="00215745"/>
    <w:rsid w:val="00221A48"/>
    <w:rsid w:val="00223D4C"/>
    <w:rsid w:val="002252CA"/>
    <w:rsid w:val="002252FD"/>
    <w:rsid w:val="00230F79"/>
    <w:rsid w:val="002339D9"/>
    <w:rsid w:val="00236E19"/>
    <w:rsid w:val="00241E1C"/>
    <w:rsid w:val="00244C58"/>
    <w:rsid w:val="00245107"/>
    <w:rsid w:val="00245FDC"/>
    <w:rsid w:val="002478A0"/>
    <w:rsid w:val="00251DFC"/>
    <w:rsid w:val="00257BDE"/>
    <w:rsid w:val="002630E9"/>
    <w:rsid w:val="00264B0C"/>
    <w:rsid w:val="00267DEC"/>
    <w:rsid w:val="0027695B"/>
    <w:rsid w:val="0028340A"/>
    <w:rsid w:val="00291DF9"/>
    <w:rsid w:val="0029218A"/>
    <w:rsid w:val="002A5E20"/>
    <w:rsid w:val="002B4F74"/>
    <w:rsid w:val="002B575D"/>
    <w:rsid w:val="002B5877"/>
    <w:rsid w:val="002B5B5F"/>
    <w:rsid w:val="002B611E"/>
    <w:rsid w:val="002B6DB3"/>
    <w:rsid w:val="002C1107"/>
    <w:rsid w:val="002C4AEF"/>
    <w:rsid w:val="002C6C92"/>
    <w:rsid w:val="002C7B00"/>
    <w:rsid w:val="002D1368"/>
    <w:rsid w:val="002D3F98"/>
    <w:rsid w:val="002E04BE"/>
    <w:rsid w:val="002E7138"/>
    <w:rsid w:val="00300A2C"/>
    <w:rsid w:val="003016C1"/>
    <w:rsid w:val="003066CF"/>
    <w:rsid w:val="0030765E"/>
    <w:rsid w:val="003254E5"/>
    <w:rsid w:val="00336440"/>
    <w:rsid w:val="003373E3"/>
    <w:rsid w:val="00340E8D"/>
    <w:rsid w:val="00341502"/>
    <w:rsid w:val="003451A6"/>
    <w:rsid w:val="003465C1"/>
    <w:rsid w:val="003471AB"/>
    <w:rsid w:val="0035008C"/>
    <w:rsid w:val="003538B6"/>
    <w:rsid w:val="003558D2"/>
    <w:rsid w:val="0035619D"/>
    <w:rsid w:val="003603C7"/>
    <w:rsid w:val="00361E62"/>
    <w:rsid w:val="0036397F"/>
    <w:rsid w:val="0036647A"/>
    <w:rsid w:val="00366D21"/>
    <w:rsid w:val="003670DC"/>
    <w:rsid w:val="00373914"/>
    <w:rsid w:val="0037795D"/>
    <w:rsid w:val="00381795"/>
    <w:rsid w:val="003910C9"/>
    <w:rsid w:val="0039501E"/>
    <w:rsid w:val="00395642"/>
    <w:rsid w:val="00396CFD"/>
    <w:rsid w:val="003A2471"/>
    <w:rsid w:val="003A4D90"/>
    <w:rsid w:val="003A675A"/>
    <w:rsid w:val="003A6C0C"/>
    <w:rsid w:val="003B1425"/>
    <w:rsid w:val="003C371F"/>
    <w:rsid w:val="003C3A50"/>
    <w:rsid w:val="003C536A"/>
    <w:rsid w:val="003D28C1"/>
    <w:rsid w:val="003D5A8F"/>
    <w:rsid w:val="003D7F68"/>
    <w:rsid w:val="003E3DAD"/>
    <w:rsid w:val="003E4528"/>
    <w:rsid w:val="003E63DE"/>
    <w:rsid w:val="003E6A5D"/>
    <w:rsid w:val="003F61E1"/>
    <w:rsid w:val="003F7941"/>
    <w:rsid w:val="00403DFD"/>
    <w:rsid w:val="00406B5C"/>
    <w:rsid w:val="00410399"/>
    <w:rsid w:val="00410BE8"/>
    <w:rsid w:val="00416382"/>
    <w:rsid w:val="00416552"/>
    <w:rsid w:val="00420FDE"/>
    <w:rsid w:val="0042572F"/>
    <w:rsid w:val="00426A20"/>
    <w:rsid w:val="0042780B"/>
    <w:rsid w:val="00430A4D"/>
    <w:rsid w:val="004317D5"/>
    <w:rsid w:val="0043449C"/>
    <w:rsid w:val="00440C93"/>
    <w:rsid w:val="00444719"/>
    <w:rsid w:val="00450211"/>
    <w:rsid w:val="00452D41"/>
    <w:rsid w:val="00457511"/>
    <w:rsid w:val="004575C0"/>
    <w:rsid w:val="00461503"/>
    <w:rsid w:val="00471F26"/>
    <w:rsid w:val="00472B7F"/>
    <w:rsid w:val="00480B84"/>
    <w:rsid w:val="00481471"/>
    <w:rsid w:val="00490818"/>
    <w:rsid w:val="00490DCB"/>
    <w:rsid w:val="00491DD9"/>
    <w:rsid w:val="004A2EE5"/>
    <w:rsid w:val="004B64F9"/>
    <w:rsid w:val="004C1A25"/>
    <w:rsid w:val="004D24D5"/>
    <w:rsid w:val="004D3F0A"/>
    <w:rsid w:val="004E0892"/>
    <w:rsid w:val="004E491B"/>
    <w:rsid w:val="004E51B9"/>
    <w:rsid w:val="004F15F8"/>
    <w:rsid w:val="00501BD0"/>
    <w:rsid w:val="00506AAA"/>
    <w:rsid w:val="00507E96"/>
    <w:rsid w:val="005139A6"/>
    <w:rsid w:val="0051527C"/>
    <w:rsid w:val="00515991"/>
    <w:rsid w:val="00520ECD"/>
    <w:rsid w:val="00521AA2"/>
    <w:rsid w:val="005225EC"/>
    <w:rsid w:val="00523A64"/>
    <w:rsid w:val="00525097"/>
    <w:rsid w:val="00527860"/>
    <w:rsid w:val="005363E7"/>
    <w:rsid w:val="0054640D"/>
    <w:rsid w:val="005509B6"/>
    <w:rsid w:val="00550EA0"/>
    <w:rsid w:val="00556BC0"/>
    <w:rsid w:val="00562CFC"/>
    <w:rsid w:val="0056340E"/>
    <w:rsid w:val="005709A6"/>
    <w:rsid w:val="00571235"/>
    <w:rsid w:val="00574C2A"/>
    <w:rsid w:val="00575CB4"/>
    <w:rsid w:val="00577A36"/>
    <w:rsid w:val="00580CF2"/>
    <w:rsid w:val="00580F90"/>
    <w:rsid w:val="00582866"/>
    <w:rsid w:val="005872AE"/>
    <w:rsid w:val="00590865"/>
    <w:rsid w:val="0059466F"/>
    <w:rsid w:val="0059475C"/>
    <w:rsid w:val="00597925"/>
    <w:rsid w:val="005B398E"/>
    <w:rsid w:val="005B4A2B"/>
    <w:rsid w:val="005C03A7"/>
    <w:rsid w:val="005C5330"/>
    <w:rsid w:val="005C632D"/>
    <w:rsid w:val="005D0CD7"/>
    <w:rsid w:val="005D60B5"/>
    <w:rsid w:val="005E1D0E"/>
    <w:rsid w:val="005E2FF2"/>
    <w:rsid w:val="005F02EC"/>
    <w:rsid w:val="005F1F5F"/>
    <w:rsid w:val="005F3633"/>
    <w:rsid w:val="00606485"/>
    <w:rsid w:val="006064FE"/>
    <w:rsid w:val="0061422C"/>
    <w:rsid w:val="0061735B"/>
    <w:rsid w:val="00624498"/>
    <w:rsid w:val="00632C10"/>
    <w:rsid w:val="006336C2"/>
    <w:rsid w:val="00637DF9"/>
    <w:rsid w:val="006421F1"/>
    <w:rsid w:val="006428C2"/>
    <w:rsid w:val="00650010"/>
    <w:rsid w:val="00653921"/>
    <w:rsid w:val="00661B96"/>
    <w:rsid w:val="00661DB6"/>
    <w:rsid w:val="00663CF9"/>
    <w:rsid w:val="00664E0D"/>
    <w:rsid w:val="00666391"/>
    <w:rsid w:val="006726A3"/>
    <w:rsid w:val="00675E0E"/>
    <w:rsid w:val="00680483"/>
    <w:rsid w:val="00690698"/>
    <w:rsid w:val="006A0EDB"/>
    <w:rsid w:val="006A5676"/>
    <w:rsid w:val="006D0027"/>
    <w:rsid w:val="006D1C11"/>
    <w:rsid w:val="006D1F73"/>
    <w:rsid w:val="006D77CD"/>
    <w:rsid w:val="006D79F5"/>
    <w:rsid w:val="006E03DA"/>
    <w:rsid w:val="006E4A4B"/>
    <w:rsid w:val="006E5107"/>
    <w:rsid w:val="006E5315"/>
    <w:rsid w:val="006F370E"/>
    <w:rsid w:val="00701624"/>
    <w:rsid w:val="00703106"/>
    <w:rsid w:val="0070580C"/>
    <w:rsid w:val="00727470"/>
    <w:rsid w:val="00735FD3"/>
    <w:rsid w:val="0074049C"/>
    <w:rsid w:val="007435CA"/>
    <w:rsid w:val="0074398C"/>
    <w:rsid w:val="007459AE"/>
    <w:rsid w:val="007470E2"/>
    <w:rsid w:val="007531A5"/>
    <w:rsid w:val="00761928"/>
    <w:rsid w:val="007632B4"/>
    <w:rsid w:val="00763A87"/>
    <w:rsid w:val="00765A13"/>
    <w:rsid w:val="00767A10"/>
    <w:rsid w:val="0077050D"/>
    <w:rsid w:val="00771C9E"/>
    <w:rsid w:val="00780D43"/>
    <w:rsid w:val="0078560A"/>
    <w:rsid w:val="00787DBE"/>
    <w:rsid w:val="007957D6"/>
    <w:rsid w:val="007A0D7D"/>
    <w:rsid w:val="007A3E90"/>
    <w:rsid w:val="007B25AA"/>
    <w:rsid w:val="007B3251"/>
    <w:rsid w:val="007B39C9"/>
    <w:rsid w:val="007B4B2F"/>
    <w:rsid w:val="007B53DC"/>
    <w:rsid w:val="007B770F"/>
    <w:rsid w:val="007C283F"/>
    <w:rsid w:val="007C7D05"/>
    <w:rsid w:val="007D4344"/>
    <w:rsid w:val="007D5576"/>
    <w:rsid w:val="007E1EEC"/>
    <w:rsid w:val="007E224F"/>
    <w:rsid w:val="00801F15"/>
    <w:rsid w:val="0080608B"/>
    <w:rsid w:val="0082045E"/>
    <w:rsid w:val="00820C96"/>
    <w:rsid w:val="00820E86"/>
    <w:rsid w:val="008222A3"/>
    <w:rsid w:val="00822C41"/>
    <w:rsid w:val="008407F1"/>
    <w:rsid w:val="00840D12"/>
    <w:rsid w:val="008446A5"/>
    <w:rsid w:val="008466D3"/>
    <w:rsid w:val="008577D6"/>
    <w:rsid w:val="008613B3"/>
    <w:rsid w:val="00862BA0"/>
    <w:rsid w:val="00864C97"/>
    <w:rsid w:val="00870613"/>
    <w:rsid w:val="00870B24"/>
    <w:rsid w:val="00875C99"/>
    <w:rsid w:val="00876489"/>
    <w:rsid w:val="00883D3C"/>
    <w:rsid w:val="00884EC6"/>
    <w:rsid w:val="00886CF2"/>
    <w:rsid w:val="008A3E90"/>
    <w:rsid w:val="008C2D6B"/>
    <w:rsid w:val="008C36B2"/>
    <w:rsid w:val="008C5DA4"/>
    <w:rsid w:val="008D2A25"/>
    <w:rsid w:val="008D3879"/>
    <w:rsid w:val="008E013B"/>
    <w:rsid w:val="008E3A5E"/>
    <w:rsid w:val="008E54A2"/>
    <w:rsid w:val="008F1218"/>
    <w:rsid w:val="008F19AC"/>
    <w:rsid w:val="008F3462"/>
    <w:rsid w:val="008F79DE"/>
    <w:rsid w:val="00901DBA"/>
    <w:rsid w:val="0090346B"/>
    <w:rsid w:val="009107D8"/>
    <w:rsid w:val="00913A23"/>
    <w:rsid w:val="009177A7"/>
    <w:rsid w:val="009237A6"/>
    <w:rsid w:val="00923C06"/>
    <w:rsid w:val="00924856"/>
    <w:rsid w:val="009248BF"/>
    <w:rsid w:val="00932F05"/>
    <w:rsid w:val="009351BE"/>
    <w:rsid w:val="00935432"/>
    <w:rsid w:val="00935932"/>
    <w:rsid w:val="009547DC"/>
    <w:rsid w:val="00957488"/>
    <w:rsid w:val="009574A2"/>
    <w:rsid w:val="0096193D"/>
    <w:rsid w:val="00965424"/>
    <w:rsid w:val="00967689"/>
    <w:rsid w:val="00983B6C"/>
    <w:rsid w:val="009851A6"/>
    <w:rsid w:val="00990E1D"/>
    <w:rsid w:val="00991C6E"/>
    <w:rsid w:val="00993C36"/>
    <w:rsid w:val="00993CB7"/>
    <w:rsid w:val="00994877"/>
    <w:rsid w:val="00995E44"/>
    <w:rsid w:val="009A2938"/>
    <w:rsid w:val="009A4644"/>
    <w:rsid w:val="009A663B"/>
    <w:rsid w:val="009B49FB"/>
    <w:rsid w:val="009C3BFE"/>
    <w:rsid w:val="009D0EE3"/>
    <w:rsid w:val="009D4F34"/>
    <w:rsid w:val="009D67E3"/>
    <w:rsid w:val="009E19CE"/>
    <w:rsid w:val="009E29DF"/>
    <w:rsid w:val="009E3220"/>
    <w:rsid w:val="009E5F30"/>
    <w:rsid w:val="009F0E81"/>
    <w:rsid w:val="009F40B9"/>
    <w:rsid w:val="009F4AF7"/>
    <w:rsid w:val="009F4CD5"/>
    <w:rsid w:val="009F6E36"/>
    <w:rsid w:val="00A0197E"/>
    <w:rsid w:val="00A01EF1"/>
    <w:rsid w:val="00A01FA6"/>
    <w:rsid w:val="00A07B6D"/>
    <w:rsid w:val="00A11713"/>
    <w:rsid w:val="00A126D7"/>
    <w:rsid w:val="00A15227"/>
    <w:rsid w:val="00A169D4"/>
    <w:rsid w:val="00A2494D"/>
    <w:rsid w:val="00A24FB8"/>
    <w:rsid w:val="00A324DC"/>
    <w:rsid w:val="00A32CA5"/>
    <w:rsid w:val="00A400E8"/>
    <w:rsid w:val="00A41410"/>
    <w:rsid w:val="00A42A46"/>
    <w:rsid w:val="00A42B1C"/>
    <w:rsid w:val="00A47818"/>
    <w:rsid w:val="00A51A91"/>
    <w:rsid w:val="00A536A1"/>
    <w:rsid w:val="00A6156E"/>
    <w:rsid w:val="00A61EF9"/>
    <w:rsid w:val="00A6292E"/>
    <w:rsid w:val="00A64896"/>
    <w:rsid w:val="00A80DFB"/>
    <w:rsid w:val="00A831C8"/>
    <w:rsid w:val="00A94BF3"/>
    <w:rsid w:val="00A95567"/>
    <w:rsid w:val="00AB0B7D"/>
    <w:rsid w:val="00AB119C"/>
    <w:rsid w:val="00AB550D"/>
    <w:rsid w:val="00AC16B7"/>
    <w:rsid w:val="00AC6497"/>
    <w:rsid w:val="00AC6FEF"/>
    <w:rsid w:val="00AC796F"/>
    <w:rsid w:val="00AD1C3D"/>
    <w:rsid w:val="00AD392D"/>
    <w:rsid w:val="00AD5F2F"/>
    <w:rsid w:val="00AE0CEB"/>
    <w:rsid w:val="00AE6EA8"/>
    <w:rsid w:val="00AE7872"/>
    <w:rsid w:val="00AF31AD"/>
    <w:rsid w:val="00AF5ECD"/>
    <w:rsid w:val="00B0064D"/>
    <w:rsid w:val="00B01526"/>
    <w:rsid w:val="00B10D8A"/>
    <w:rsid w:val="00B15E70"/>
    <w:rsid w:val="00B20C8B"/>
    <w:rsid w:val="00B23E54"/>
    <w:rsid w:val="00B24AE5"/>
    <w:rsid w:val="00B277D2"/>
    <w:rsid w:val="00B30919"/>
    <w:rsid w:val="00B3665A"/>
    <w:rsid w:val="00B41AA3"/>
    <w:rsid w:val="00B422AB"/>
    <w:rsid w:val="00B42C97"/>
    <w:rsid w:val="00B473F3"/>
    <w:rsid w:val="00B56553"/>
    <w:rsid w:val="00B5757B"/>
    <w:rsid w:val="00B645D4"/>
    <w:rsid w:val="00B6560D"/>
    <w:rsid w:val="00B71370"/>
    <w:rsid w:val="00B801F4"/>
    <w:rsid w:val="00B858D5"/>
    <w:rsid w:val="00B90931"/>
    <w:rsid w:val="00B90E3E"/>
    <w:rsid w:val="00B92D31"/>
    <w:rsid w:val="00B9733E"/>
    <w:rsid w:val="00BA1F87"/>
    <w:rsid w:val="00BA2C89"/>
    <w:rsid w:val="00BA2D2D"/>
    <w:rsid w:val="00BA503B"/>
    <w:rsid w:val="00BA5BB0"/>
    <w:rsid w:val="00BB5D65"/>
    <w:rsid w:val="00BC729C"/>
    <w:rsid w:val="00BD6428"/>
    <w:rsid w:val="00BE0C96"/>
    <w:rsid w:val="00BE2A24"/>
    <w:rsid w:val="00BE672D"/>
    <w:rsid w:val="00BF4360"/>
    <w:rsid w:val="00BF5493"/>
    <w:rsid w:val="00C022D3"/>
    <w:rsid w:val="00C047E3"/>
    <w:rsid w:val="00C04FBA"/>
    <w:rsid w:val="00C06993"/>
    <w:rsid w:val="00C138C6"/>
    <w:rsid w:val="00C22F4C"/>
    <w:rsid w:val="00C26A62"/>
    <w:rsid w:val="00C40F08"/>
    <w:rsid w:val="00C41939"/>
    <w:rsid w:val="00C43046"/>
    <w:rsid w:val="00C525E1"/>
    <w:rsid w:val="00C556F2"/>
    <w:rsid w:val="00C57290"/>
    <w:rsid w:val="00C60D19"/>
    <w:rsid w:val="00C615C2"/>
    <w:rsid w:val="00C67883"/>
    <w:rsid w:val="00C70519"/>
    <w:rsid w:val="00C86C55"/>
    <w:rsid w:val="00C927C1"/>
    <w:rsid w:val="00C95DAE"/>
    <w:rsid w:val="00CA06DA"/>
    <w:rsid w:val="00CA62DD"/>
    <w:rsid w:val="00CB06FB"/>
    <w:rsid w:val="00CB38C2"/>
    <w:rsid w:val="00CB62E7"/>
    <w:rsid w:val="00CB63C5"/>
    <w:rsid w:val="00CC0F60"/>
    <w:rsid w:val="00CC13CC"/>
    <w:rsid w:val="00CC1C14"/>
    <w:rsid w:val="00CC2722"/>
    <w:rsid w:val="00CC5179"/>
    <w:rsid w:val="00CD263D"/>
    <w:rsid w:val="00CE09BC"/>
    <w:rsid w:val="00CE2455"/>
    <w:rsid w:val="00CE2901"/>
    <w:rsid w:val="00CE2F25"/>
    <w:rsid w:val="00CE6A7B"/>
    <w:rsid w:val="00CF4534"/>
    <w:rsid w:val="00CF5710"/>
    <w:rsid w:val="00D0071C"/>
    <w:rsid w:val="00D05F14"/>
    <w:rsid w:val="00D10973"/>
    <w:rsid w:val="00D14E6F"/>
    <w:rsid w:val="00D165D7"/>
    <w:rsid w:val="00D2005A"/>
    <w:rsid w:val="00D2483F"/>
    <w:rsid w:val="00D30EED"/>
    <w:rsid w:val="00D509E8"/>
    <w:rsid w:val="00D54581"/>
    <w:rsid w:val="00D62814"/>
    <w:rsid w:val="00D62F41"/>
    <w:rsid w:val="00D66412"/>
    <w:rsid w:val="00D76CCF"/>
    <w:rsid w:val="00D85B1C"/>
    <w:rsid w:val="00D935AE"/>
    <w:rsid w:val="00DA0FA7"/>
    <w:rsid w:val="00DA4AAC"/>
    <w:rsid w:val="00DA5075"/>
    <w:rsid w:val="00DB0280"/>
    <w:rsid w:val="00DC7881"/>
    <w:rsid w:val="00DD0696"/>
    <w:rsid w:val="00DD11AE"/>
    <w:rsid w:val="00DD3953"/>
    <w:rsid w:val="00DD4BD7"/>
    <w:rsid w:val="00DD4C9A"/>
    <w:rsid w:val="00DE0625"/>
    <w:rsid w:val="00DE2A00"/>
    <w:rsid w:val="00DF621A"/>
    <w:rsid w:val="00E0752A"/>
    <w:rsid w:val="00E126C3"/>
    <w:rsid w:val="00E16FB4"/>
    <w:rsid w:val="00E326FA"/>
    <w:rsid w:val="00E343A6"/>
    <w:rsid w:val="00E443AC"/>
    <w:rsid w:val="00E47A1E"/>
    <w:rsid w:val="00E50854"/>
    <w:rsid w:val="00E6259C"/>
    <w:rsid w:val="00E7105F"/>
    <w:rsid w:val="00E71A14"/>
    <w:rsid w:val="00E745E3"/>
    <w:rsid w:val="00E7512F"/>
    <w:rsid w:val="00E7792F"/>
    <w:rsid w:val="00EA4FF0"/>
    <w:rsid w:val="00EA6571"/>
    <w:rsid w:val="00EA6AD9"/>
    <w:rsid w:val="00EA6D53"/>
    <w:rsid w:val="00EA747B"/>
    <w:rsid w:val="00EB19F0"/>
    <w:rsid w:val="00EB758B"/>
    <w:rsid w:val="00EC2029"/>
    <w:rsid w:val="00EC5369"/>
    <w:rsid w:val="00EE369E"/>
    <w:rsid w:val="00EE37EC"/>
    <w:rsid w:val="00EE4AF9"/>
    <w:rsid w:val="00EE552F"/>
    <w:rsid w:val="00EE7FC4"/>
    <w:rsid w:val="00EF0BA3"/>
    <w:rsid w:val="00EF1E34"/>
    <w:rsid w:val="00EF2DFA"/>
    <w:rsid w:val="00EF3D28"/>
    <w:rsid w:val="00EF5205"/>
    <w:rsid w:val="00F01EC0"/>
    <w:rsid w:val="00F15F0C"/>
    <w:rsid w:val="00F246F6"/>
    <w:rsid w:val="00F27A9E"/>
    <w:rsid w:val="00F313F6"/>
    <w:rsid w:val="00F36F51"/>
    <w:rsid w:val="00F4463A"/>
    <w:rsid w:val="00F44B5A"/>
    <w:rsid w:val="00F4588C"/>
    <w:rsid w:val="00F47200"/>
    <w:rsid w:val="00F5012D"/>
    <w:rsid w:val="00F551F6"/>
    <w:rsid w:val="00F55E84"/>
    <w:rsid w:val="00F608C8"/>
    <w:rsid w:val="00F62B8B"/>
    <w:rsid w:val="00F62BFF"/>
    <w:rsid w:val="00F6444B"/>
    <w:rsid w:val="00F644C2"/>
    <w:rsid w:val="00F65C32"/>
    <w:rsid w:val="00F7078D"/>
    <w:rsid w:val="00F71F8E"/>
    <w:rsid w:val="00F73093"/>
    <w:rsid w:val="00F752AB"/>
    <w:rsid w:val="00F7640F"/>
    <w:rsid w:val="00F767A3"/>
    <w:rsid w:val="00F80FA2"/>
    <w:rsid w:val="00F83514"/>
    <w:rsid w:val="00F83928"/>
    <w:rsid w:val="00F86B44"/>
    <w:rsid w:val="00F87E6A"/>
    <w:rsid w:val="00FA3D05"/>
    <w:rsid w:val="00FA5CC9"/>
    <w:rsid w:val="00FA63AB"/>
    <w:rsid w:val="00FB0A2C"/>
    <w:rsid w:val="00FB25EF"/>
    <w:rsid w:val="00FB2A94"/>
    <w:rsid w:val="00FB6E36"/>
    <w:rsid w:val="00FB7276"/>
    <w:rsid w:val="00FC3A85"/>
    <w:rsid w:val="00FC59F1"/>
    <w:rsid w:val="00FC6FA7"/>
    <w:rsid w:val="00FD1BBD"/>
    <w:rsid w:val="00FE2FE9"/>
    <w:rsid w:val="00FE3C5A"/>
    <w:rsid w:val="00FE6005"/>
    <w:rsid w:val="00FF3445"/>
    <w:rsid w:val="00FF3FD1"/>
    <w:rsid w:val="00FF6F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A5C5C8"/>
  <w15:chartTrackingRefBased/>
  <w15:docId w15:val="{789EAB59-9021-4894-AD48-15B3DD85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3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9A2938"/>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A2938"/>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A2938"/>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9A2938"/>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9A2938"/>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9A2938"/>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9A2938"/>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A2938"/>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A2938"/>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A2938"/>
    <w:pPr>
      <w:keepNext/>
      <w:keepLines/>
      <w:suppressAutoHyphens/>
      <w:spacing w:line="270" w:lineRule="exact"/>
      <w:outlineLvl w:val="0"/>
    </w:pPr>
    <w:rPr>
      <w:b/>
      <w:sz w:val="24"/>
    </w:rPr>
  </w:style>
  <w:style w:type="paragraph" w:customStyle="1" w:styleId="HCH">
    <w:name w:val="_ H _CH"/>
    <w:basedOn w:val="H1"/>
    <w:next w:val="Normal"/>
    <w:qFormat/>
    <w:rsid w:val="009A2938"/>
    <w:pPr>
      <w:spacing w:line="300" w:lineRule="exact"/>
    </w:pPr>
    <w:rPr>
      <w:spacing w:val="-2"/>
      <w:sz w:val="28"/>
    </w:rPr>
  </w:style>
  <w:style w:type="paragraph" w:customStyle="1" w:styleId="HM">
    <w:name w:val="_ H __M"/>
    <w:basedOn w:val="HCH"/>
    <w:next w:val="Normal"/>
    <w:qFormat/>
    <w:rsid w:val="009A2938"/>
    <w:pPr>
      <w:spacing w:line="360" w:lineRule="exact"/>
    </w:pPr>
    <w:rPr>
      <w:spacing w:val="-3"/>
      <w:w w:val="99"/>
      <w:sz w:val="34"/>
    </w:rPr>
  </w:style>
  <w:style w:type="paragraph" w:customStyle="1" w:styleId="H23">
    <w:name w:val="_ H_2/3"/>
    <w:basedOn w:val="H1"/>
    <w:next w:val="SingleTxt"/>
    <w:qFormat/>
    <w:rsid w:val="009A2938"/>
    <w:pPr>
      <w:spacing w:line="240" w:lineRule="exact"/>
      <w:outlineLvl w:val="1"/>
    </w:pPr>
    <w:rPr>
      <w:spacing w:val="2"/>
      <w:sz w:val="20"/>
    </w:rPr>
  </w:style>
  <w:style w:type="paragraph" w:customStyle="1" w:styleId="H4">
    <w:name w:val="_ H_4"/>
    <w:basedOn w:val="Normal"/>
    <w:next w:val="Normal"/>
    <w:qFormat/>
    <w:rsid w:val="009A2938"/>
    <w:pPr>
      <w:keepNext/>
      <w:keepLines/>
      <w:tabs>
        <w:tab w:val="right" w:pos="360"/>
      </w:tabs>
      <w:suppressAutoHyphens/>
      <w:outlineLvl w:val="3"/>
    </w:pPr>
    <w:rPr>
      <w:i/>
      <w:spacing w:val="3"/>
    </w:rPr>
  </w:style>
  <w:style w:type="paragraph" w:customStyle="1" w:styleId="H56">
    <w:name w:val="_ H_5/6"/>
    <w:basedOn w:val="Normal"/>
    <w:next w:val="SingleTxt"/>
    <w:qFormat/>
    <w:rsid w:val="009A293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A293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A293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A2938"/>
    <w:pPr>
      <w:spacing w:line="540" w:lineRule="exact"/>
    </w:pPr>
    <w:rPr>
      <w:spacing w:val="-8"/>
      <w:w w:val="96"/>
      <w:sz w:val="57"/>
    </w:rPr>
  </w:style>
  <w:style w:type="paragraph" w:customStyle="1" w:styleId="SS">
    <w:name w:val="__S_S"/>
    <w:basedOn w:val="HCH"/>
    <w:next w:val="Normal"/>
    <w:qFormat/>
    <w:rsid w:val="009A2938"/>
    <w:pPr>
      <w:ind w:left="1267" w:right="1267"/>
    </w:pPr>
  </w:style>
  <w:style w:type="paragraph" w:customStyle="1" w:styleId="SingleTxt">
    <w:name w:val="__Single Txt"/>
    <w:basedOn w:val="Normal"/>
    <w:qFormat/>
    <w:rsid w:val="009A293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A293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9A29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9A293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A293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293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A2938"/>
    <w:pPr>
      <w:numPr>
        <w:numId w:val="29"/>
      </w:numPr>
      <w:spacing w:after="120"/>
      <w:ind w:right="1267"/>
      <w:jc w:val="both"/>
    </w:pPr>
  </w:style>
  <w:style w:type="paragraph" w:customStyle="1" w:styleId="Bullet2">
    <w:name w:val="Bullet 2"/>
    <w:basedOn w:val="Normal"/>
    <w:qFormat/>
    <w:rsid w:val="009A2938"/>
    <w:pPr>
      <w:numPr>
        <w:numId w:val="30"/>
      </w:numPr>
      <w:spacing w:after="120"/>
      <w:ind w:right="1264"/>
      <w:jc w:val="both"/>
    </w:pPr>
  </w:style>
  <w:style w:type="paragraph" w:customStyle="1" w:styleId="Bullet3">
    <w:name w:val="Bullet 3"/>
    <w:basedOn w:val="SingleTxt"/>
    <w:qFormat/>
    <w:rsid w:val="009A2938"/>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A293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9A293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9A2938"/>
    <w:pPr>
      <w:spacing w:line="210" w:lineRule="exact"/>
    </w:pPr>
    <w:rPr>
      <w:sz w:val="17"/>
      <w:szCs w:val="20"/>
    </w:rPr>
  </w:style>
  <w:style w:type="character" w:customStyle="1" w:styleId="EndnoteTextChar">
    <w:name w:val="Endnote Text Char"/>
    <w:link w:val="EndnoteText"/>
    <w:uiPriority w:val="99"/>
    <w:semiHidden/>
    <w:rsid w:val="009A293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9A293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9A293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9A2938"/>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9A2938"/>
    <w:pPr>
      <w:spacing w:line="210" w:lineRule="exact"/>
    </w:pPr>
    <w:rPr>
      <w:sz w:val="17"/>
      <w:szCs w:val="20"/>
    </w:rPr>
  </w:style>
  <w:style w:type="character" w:customStyle="1" w:styleId="FootnoteTextChar">
    <w:name w:val="Footnote Text Char"/>
    <w:link w:val="FootnoteText"/>
    <w:uiPriority w:val="99"/>
    <w:rsid w:val="009A293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9A293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9A293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9A293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9A293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9A293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9A293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9A293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9A293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9A293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9A293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9A293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A2938"/>
    <w:rPr>
      <w:sz w:val="14"/>
    </w:rPr>
  </w:style>
  <w:style w:type="paragraph" w:styleId="ListParagraph">
    <w:name w:val="List Paragraph"/>
    <w:aliases w:val="BPList,lp1,numbered,FooterText,List Paragraph1,Paragraphe de liste1,Bulletr List Paragraph,列出段落,列出段落1,List Paragraph2,List Paragraph21,Párrafo de lista1,Parágrafo da Lista1,リスト段落1,Listeafsnit1,Use Case List Paragraph,Bullet List,????"/>
    <w:basedOn w:val="Normal"/>
    <w:link w:val="ListParagraphChar"/>
    <w:uiPriority w:val="34"/>
    <w:qFormat/>
    <w:rsid w:val="009A2938"/>
    <w:pPr>
      <w:ind w:left="720"/>
      <w:contextualSpacing/>
    </w:pPr>
  </w:style>
  <w:style w:type="paragraph" w:styleId="NoSpacing">
    <w:name w:val="No Spacing"/>
    <w:uiPriority w:val="1"/>
    <w:rsid w:val="009A293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9A293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9A293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9A293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A2938"/>
    <w:pPr>
      <w:tabs>
        <w:tab w:val="right" w:pos="9965"/>
      </w:tabs>
      <w:spacing w:line="210" w:lineRule="exact"/>
    </w:pPr>
    <w:rPr>
      <w:spacing w:val="5"/>
      <w:w w:val="104"/>
      <w:sz w:val="17"/>
    </w:rPr>
  </w:style>
  <w:style w:type="paragraph" w:customStyle="1" w:styleId="SmallX">
    <w:name w:val="SmallX"/>
    <w:basedOn w:val="Small"/>
    <w:next w:val="Normal"/>
    <w:qFormat/>
    <w:rsid w:val="009A2938"/>
    <w:pPr>
      <w:spacing w:line="180" w:lineRule="exact"/>
      <w:jc w:val="right"/>
    </w:pPr>
    <w:rPr>
      <w:spacing w:val="6"/>
      <w:w w:val="106"/>
      <w:sz w:val="14"/>
    </w:rPr>
  </w:style>
  <w:style w:type="character" w:styleId="Strong">
    <w:name w:val="Strong"/>
    <w:uiPriority w:val="22"/>
    <w:rsid w:val="009A2938"/>
    <w:rPr>
      <w:b/>
      <w:bCs/>
    </w:rPr>
  </w:style>
  <w:style w:type="paragraph" w:customStyle="1" w:styleId="Style1">
    <w:name w:val="Style1"/>
    <w:basedOn w:val="Normal"/>
    <w:qFormat/>
    <w:rsid w:val="009A2938"/>
  </w:style>
  <w:style w:type="paragraph" w:customStyle="1" w:styleId="Style2">
    <w:name w:val="Style2"/>
    <w:basedOn w:val="Normal"/>
    <w:autoRedefine/>
    <w:qFormat/>
    <w:rsid w:val="009A2938"/>
  </w:style>
  <w:style w:type="paragraph" w:customStyle="1" w:styleId="TitleHCH">
    <w:name w:val="Title_H_CH"/>
    <w:basedOn w:val="H1"/>
    <w:next w:val="SingleTxt"/>
    <w:qFormat/>
    <w:rsid w:val="009A29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A29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A2938"/>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0A46F1"/>
    <w:rPr>
      <w:sz w:val="16"/>
      <w:szCs w:val="16"/>
    </w:rPr>
  </w:style>
  <w:style w:type="paragraph" w:styleId="CommentText">
    <w:name w:val="annotation text"/>
    <w:basedOn w:val="Normal"/>
    <w:link w:val="CommentTextChar"/>
    <w:uiPriority w:val="99"/>
    <w:semiHidden/>
    <w:unhideWhenUsed/>
    <w:rsid w:val="000A46F1"/>
    <w:pPr>
      <w:spacing w:line="240" w:lineRule="auto"/>
    </w:pPr>
    <w:rPr>
      <w:szCs w:val="20"/>
    </w:rPr>
  </w:style>
  <w:style w:type="character" w:customStyle="1" w:styleId="CommentTextChar">
    <w:name w:val="Comment Text Char"/>
    <w:basedOn w:val="DefaultParagraphFont"/>
    <w:link w:val="CommentText"/>
    <w:uiPriority w:val="99"/>
    <w:semiHidden/>
    <w:rsid w:val="000A46F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0A46F1"/>
    <w:rPr>
      <w:b/>
      <w:bCs/>
    </w:rPr>
  </w:style>
  <w:style w:type="character" w:customStyle="1" w:styleId="CommentSubjectChar">
    <w:name w:val="Comment Subject Char"/>
    <w:basedOn w:val="CommentTextChar"/>
    <w:link w:val="CommentSubject"/>
    <w:uiPriority w:val="99"/>
    <w:semiHidden/>
    <w:rsid w:val="000A46F1"/>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39"/>
    <w:rsid w:val="00F36F51"/>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F36F51"/>
    <w:rPr>
      <w:color w:val="0000FF"/>
      <w:u w:val="none"/>
    </w:rPr>
  </w:style>
  <w:style w:type="table" w:customStyle="1" w:styleId="TableGrid2">
    <w:name w:val="Table Grid2"/>
    <w:basedOn w:val="TableNormal"/>
    <w:next w:val="TableGrid"/>
    <w:uiPriority w:val="39"/>
    <w:rsid w:val="00F36F51"/>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ListParagraphChar">
    <w:name w:val="List Paragraph Char"/>
    <w:aliases w:val="BPList Char,lp1 Char,numbered Char,FooterText Char,List Paragraph1 Char,Paragraphe de liste1 Char,Bulletr List Paragraph Char,列出段落 Char,列出段落1 Char,List Paragraph2 Char,List Paragraph21 Char,Párrafo de lista1 Char,リスト段落1 Char"/>
    <w:basedOn w:val="DefaultParagraphFont"/>
    <w:link w:val="ListParagraph"/>
    <w:uiPriority w:val="34"/>
    <w:locked/>
    <w:rsid w:val="00F36F51"/>
    <w:rPr>
      <w:rFonts w:ascii="Times New Roman" w:eastAsiaTheme="minorHAnsi" w:hAnsi="Times New Roman" w:cs="Times New Roman"/>
      <w:spacing w:val="4"/>
      <w:w w:val="103"/>
      <w:kern w:val="14"/>
      <w:sz w:val="20"/>
      <w:lang w:val="fr-CA" w:eastAsia="en-US"/>
    </w:rPr>
  </w:style>
  <w:style w:type="table" w:customStyle="1" w:styleId="TableGrid9">
    <w:name w:val="Table Grid9"/>
    <w:basedOn w:val="TableNormal"/>
    <w:next w:val="TableGrid"/>
    <w:uiPriority w:val="39"/>
    <w:rsid w:val="00F36F51"/>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unhideWhenUsed/>
    <w:rsid w:val="007C283F"/>
    <w:rPr>
      <w:color w:val="0000FF"/>
      <w:u w:val="none"/>
    </w:rPr>
  </w:style>
  <w:style w:type="character" w:styleId="UnresolvedMention">
    <w:name w:val="Unresolved Mention"/>
    <w:basedOn w:val="DefaultParagraphFont"/>
    <w:uiPriority w:val="99"/>
    <w:semiHidden/>
    <w:unhideWhenUsed/>
    <w:rsid w:val="007C283F"/>
    <w:rPr>
      <w:color w:val="605E5C"/>
      <w:shd w:val="clear" w:color="auto" w:fill="E1DFDD"/>
    </w:rPr>
  </w:style>
  <w:style w:type="paragraph" w:styleId="Revision">
    <w:name w:val="Revision"/>
    <w:hidden/>
    <w:uiPriority w:val="99"/>
    <w:semiHidden/>
    <w:rsid w:val="00767A10"/>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BHR/CO/3" TargetMode="External"/><Relationship Id="rId26" Type="http://schemas.openxmlformats.org/officeDocument/2006/relationships/hyperlink" Target="https://www.ombudsman.bh/en/" TargetMode="External"/><Relationship Id="rId39" Type="http://schemas.openxmlformats.org/officeDocument/2006/relationships/hyperlink" Target="https://undocs.org/fr/CEDAW/C/BHR/CO/3" TargetMode="External"/><Relationship Id="rId3" Type="http://schemas.openxmlformats.org/officeDocument/2006/relationships/styles" Target="styles.xml"/><Relationship Id="rId21" Type="http://schemas.openxmlformats.org/officeDocument/2006/relationships/hyperlink" Target="https://undocs.org/fr/S/RES/1325(2000)" TargetMode="External"/><Relationship Id="rId34" Type="http://schemas.openxmlformats.org/officeDocument/2006/relationships/hyperlink" Target="http://www.legalaffairs.gov.bh/LegislationSearchDetails.aspx?id=519" TargetMode="External"/><Relationship Id="rId42" Type="http://schemas.openxmlformats.org/officeDocument/2006/relationships/hyperlink" Target="http://www.legalaffairs.gov.bh/LegislationSearchDetails.aspx?id=16654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BHR/4" TargetMode="External"/><Relationship Id="rId25" Type="http://schemas.openxmlformats.org/officeDocument/2006/relationships/hyperlink" Target="https://undocs.org/fr/CEDAW/C/BHR/CO/3" TargetMode="External"/><Relationship Id="rId33" Type="http://schemas.openxmlformats.org/officeDocument/2006/relationships/hyperlink" Target="https://undocs.org/fr/CEDAW/C/BHR/CO/3" TargetMode="External"/><Relationship Id="rId38" Type="http://schemas.openxmlformats.org/officeDocument/2006/relationships/hyperlink" Target="https://undocs.org/fr/CEDAW/C/BHR/CO/3" TargetMode="External"/><Relationship Id="rId46"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fr/S/RES/1325(2000)" TargetMode="External"/><Relationship Id="rId29" Type="http://schemas.openxmlformats.org/officeDocument/2006/relationships/hyperlink" Target="https://undocs.org/fr/CEDAW/C/BHR/CO/2" TargetMode="External"/><Relationship Id="rId41" Type="http://schemas.openxmlformats.org/officeDocument/2006/relationships/hyperlink" Target="https://undocs.org/fr/CEDAW/C/BHR/CO/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CEDAW/C/BHR/CO/3" TargetMode="External"/><Relationship Id="rId32" Type="http://schemas.openxmlformats.org/officeDocument/2006/relationships/hyperlink" Target="https://undocs.org/fr/CEDAW/C/BHR/CO/3" TargetMode="External"/><Relationship Id="rId37" Type="http://schemas.openxmlformats.org/officeDocument/2006/relationships/hyperlink" Target="https://undocs.org/fr/CEDAW/C/BHR/CO/2" TargetMode="External"/><Relationship Id="rId40" Type="http://schemas.openxmlformats.org/officeDocument/2006/relationships/hyperlink" Target="http://www.legalaffairs.gov.bh/LegislationSearchDetails.aspx?id=16654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www.nihr.org.bh/EN/" TargetMode="External"/><Relationship Id="rId28" Type="http://schemas.openxmlformats.org/officeDocument/2006/relationships/hyperlink" Target="http://www.ombudsman.bh/en/periodic-public-reports" TargetMode="External"/><Relationship Id="rId36" Type="http://schemas.openxmlformats.org/officeDocument/2006/relationships/hyperlink" Target="https://undocs.org/fr/CEDAW/C/BHR/CO/3" TargetMode="External"/><Relationship Id="rId10" Type="http://schemas.openxmlformats.org/officeDocument/2006/relationships/footer" Target="footer1.xml"/><Relationship Id="rId19" Type="http://schemas.openxmlformats.org/officeDocument/2006/relationships/hyperlink" Target="https://undocs.org/fr/CEDAW/C/BHR/CO/3" TargetMode="External"/><Relationship Id="rId31" Type="http://schemas.openxmlformats.org/officeDocument/2006/relationships/hyperlink" Target="https://undocs.org/fr/CEDAW/C/BHR/CO/2" TargetMode="External"/><Relationship Id="rId44" Type="http://schemas.openxmlformats.org/officeDocument/2006/relationships/hyperlink" Target="https://undocs.org/fr/CAT/C/BHR/CO/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CEDAW/C/BHR/CO/3" TargetMode="External"/><Relationship Id="rId27" Type="http://schemas.openxmlformats.org/officeDocument/2006/relationships/hyperlink" Target="https://undocs.org/fr/A/RES/57/199" TargetMode="External"/><Relationship Id="rId30" Type="http://schemas.openxmlformats.org/officeDocument/2006/relationships/hyperlink" Target="https://undocs.org/fr/CEDAW/C/BHR/CO/3" TargetMode="External"/><Relationship Id="rId35" Type="http://schemas.openxmlformats.org/officeDocument/2006/relationships/hyperlink" Target="https://undocs.org/fr/CEDAW/C/BHR/CO/2" TargetMode="External"/><Relationship Id="rId43" Type="http://schemas.openxmlformats.org/officeDocument/2006/relationships/hyperlink" Target="https://undocs.org/fr/CEDAW/C/BHR/CO/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F81D9-EB0B-4ABC-A62E-0E8E9205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12926</Words>
  <Characters>73683</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Dominique Leroy</cp:lastModifiedBy>
  <cp:revision>3</cp:revision>
  <cp:lastPrinted>2020-12-01T20:24:00Z</cp:lastPrinted>
  <dcterms:created xsi:type="dcterms:W3CDTF">2020-12-01T20:24:00Z</dcterms:created>
  <dcterms:modified xsi:type="dcterms:W3CDTF">2020-12-01T20:24:00Z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2013775F</vt:lpwstr>
  </property>
  <property fmtid="{D5CDD505-2E9C-101B-9397-08002B2CF9AE}" pid="3" name="ODSRefJobNo">
    <vt:lpwstr>2027559F</vt:lpwstr>
  </property>
  <property fmtid="{D5CDD505-2E9C-101B-9397-08002B2CF9AE}" pid="4" name="Symbol1">
    <vt:lpwstr>CEDAW/C/BHR/RQ/4</vt:lpwstr>
  </property>
  <property fmtid="{D5CDD505-2E9C-101B-9397-08002B2CF9AE}" pid="5" name="Symbol2">
    <vt:lpwstr/>
  </property>
  <property fmtid="{D5CDD505-2E9C-101B-9397-08002B2CF9AE}" pid="6" name="Translator">
    <vt:lpwstr/>
  </property>
  <property fmtid="{D5CDD505-2E9C-101B-9397-08002B2CF9AE}" pid="7" name="Operator">
    <vt:lpwstr>dll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Session1">
    <vt:lpwstr>Soixante-dix-huitième session_x000d_</vt:lpwstr>
  </property>
  <property fmtid="{D5CDD505-2E9C-101B-9397-08002B2CF9AE}" pid="14" name="Agenda1">
    <vt:lpwstr>Point 4 de l’ordre du jour provisoire_x000d_</vt:lpwstr>
  </property>
  <property fmtid="{D5CDD505-2E9C-101B-9397-08002B2CF9AE}" pid="15" name="Agenda Title1">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Réponses du Royaume de Bahreïn à la liste de points et de questions concernant son quatrième rapport périodique*, **_x000d_</vt:lpwstr>
  </property>
</Properties>
</file>