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0F38B7" w:rsidRPr="000F38B7" w:rsidTr="008A71FC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0F38B7" w:rsidRPr="000F38B7" w:rsidRDefault="000F38B7" w:rsidP="000F38B7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0F38B7" w:rsidRPr="000F38B7" w:rsidRDefault="000F38B7" w:rsidP="000F38B7">
            <w:pPr>
              <w:spacing w:after="80" w:line="300" w:lineRule="exact"/>
              <w:rPr>
                <w:sz w:val="28"/>
              </w:rPr>
            </w:pPr>
            <w:r w:rsidRPr="000F38B7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0F38B7" w:rsidRPr="000F38B7" w:rsidRDefault="008A71FC" w:rsidP="008A71FC">
            <w:pPr>
              <w:jc w:val="right"/>
            </w:pPr>
            <w:r w:rsidRPr="008A71FC">
              <w:rPr>
                <w:sz w:val="40"/>
              </w:rPr>
              <w:t>CEDAW</w:t>
            </w:r>
            <w:r>
              <w:t>/C/BGD/Q/7</w:t>
            </w:r>
          </w:p>
        </w:tc>
      </w:tr>
      <w:tr w:rsidR="000F38B7" w:rsidRPr="000F38B7" w:rsidTr="000F38B7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0F38B7" w:rsidRPr="000F38B7" w:rsidRDefault="000F38B7" w:rsidP="000F38B7">
            <w:pPr>
              <w:spacing w:before="120"/>
              <w:jc w:val="center"/>
            </w:pPr>
            <w:r w:rsidRPr="000F38B7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0F38B7" w:rsidRPr="000F38B7" w:rsidRDefault="000F38B7" w:rsidP="000F38B7">
            <w:pPr>
              <w:spacing w:before="120" w:line="380" w:lineRule="exact"/>
              <w:rPr>
                <w:b/>
                <w:sz w:val="34"/>
                <w:szCs w:val="34"/>
              </w:rPr>
            </w:pPr>
            <w:r w:rsidRPr="000F38B7">
              <w:rPr>
                <w:b/>
                <w:sz w:val="34"/>
                <w:szCs w:val="34"/>
              </w:rPr>
              <w:t>Convention sur l</w:t>
            </w:r>
            <w:r w:rsidR="00A67BA3">
              <w:rPr>
                <w:b/>
                <w:sz w:val="34"/>
                <w:szCs w:val="34"/>
              </w:rPr>
              <w:t>’</w:t>
            </w:r>
            <w:r w:rsidRPr="000F38B7">
              <w:rPr>
                <w:b/>
                <w:sz w:val="34"/>
                <w:szCs w:val="34"/>
              </w:rPr>
              <w:t>élimination</w:t>
            </w:r>
            <w:r>
              <w:rPr>
                <w:b/>
                <w:sz w:val="34"/>
                <w:szCs w:val="34"/>
              </w:rPr>
              <w:br/>
            </w:r>
            <w:r w:rsidRPr="000F38B7">
              <w:rPr>
                <w:b/>
                <w:sz w:val="34"/>
                <w:szCs w:val="34"/>
              </w:rPr>
              <w:t>de toutes les formes</w:t>
            </w:r>
            <w:r>
              <w:rPr>
                <w:b/>
                <w:sz w:val="34"/>
                <w:szCs w:val="34"/>
              </w:rPr>
              <w:br/>
            </w:r>
            <w:r w:rsidRPr="000F38B7">
              <w:rPr>
                <w:b/>
                <w:sz w:val="34"/>
                <w:szCs w:val="34"/>
              </w:rPr>
              <w:t>de discrimination</w:t>
            </w:r>
            <w:r>
              <w:rPr>
                <w:b/>
                <w:sz w:val="34"/>
                <w:szCs w:val="34"/>
              </w:rPr>
              <w:t xml:space="preserve"> </w:t>
            </w:r>
            <w:r w:rsidRPr="000F38B7">
              <w:rPr>
                <w:b/>
                <w:sz w:val="34"/>
                <w:szCs w:val="34"/>
              </w:rPr>
              <w:t>à l</w:t>
            </w:r>
            <w:r w:rsidR="00A67BA3">
              <w:rPr>
                <w:b/>
                <w:sz w:val="34"/>
                <w:szCs w:val="34"/>
              </w:rPr>
              <w:t>’</w:t>
            </w:r>
            <w:r w:rsidRPr="000F38B7">
              <w:rPr>
                <w:b/>
                <w:sz w:val="34"/>
                <w:szCs w:val="34"/>
              </w:rPr>
              <w:t>égard</w:t>
            </w:r>
            <w:r>
              <w:rPr>
                <w:b/>
                <w:sz w:val="34"/>
                <w:szCs w:val="34"/>
              </w:rPr>
              <w:br/>
            </w:r>
            <w:r w:rsidRPr="000F38B7">
              <w:rPr>
                <w:b/>
                <w:sz w:val="34"/>
                <w:szCs w:val="34"/>
              </w:rPr>
              <w:t>des femmes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8A71FC" w:rsidRDefault="008A71FC" w:rsidP="000F38B7">
            <w:pPr>
              <w:spacing w:before="240"/>
            </w:pPr>
            <w:r>
              <w:t>Distr. générale</w:t>
            </w:r>
          </w:p>
          <w:p w:rsidR="008A71FC" w:rsidRDefault="008A71FC" w:rsidP="008A71FC">
            <w:pPr>
              <w:spacing w:line="240" w:lineRule="exact"/>
            </w:pPr>
            <w:r>
              <w:t>6 septembre 2010</w:t>
            </w:r>
          </w:p>
          <w:p w:rsidR="008A71FC" w:rsidRDefault="008A71FC" w:rsidP="008A71FC">
            <w:pPr>
              <w:spacing w:line="240" w:lineRule="exact"/>
            </w:pPr>
            <w:r>
              <w:t>Français</w:t>
            </w:r>
          </w:p>
          <w:p w:rsidR="000F38B7" w:rsidRPr="000F38B7" w:rsidRDefault="008A71FC" w:rsidP="008A71FC">
            <w:pPr>
              <w:spacing w:line="240" w:lineRule="exact"/>
            </w:pPr>
            <w:r>
              <w:t>Original: anglais</w:t>
            </w:r>
          </w:p>
        </w:tc>
      </w:tr>
    </w:tbl>
    <w:p w:rsidR="008A71FC" w:rsidRPr="008A71FC" w:rsidRDefault="008A71FC" w:rsidP="008A71FC">
      <w:pPr>
        <w:spacing w:before="120"/>
        <w:rPr>
          <w:b/>
          <w:sz w:val="24"/>
          <w:szCs w:val="24"/>
        </w:rPr>
      </w:pPr>
      <w:r w:rsidRPr="008A71FC">
        <w:rPr>
          <w:b/>
          <w:sz w:val="24"/>
          <w:szCs w:val="24"/>
        </w:rPr>
        <w:t>Comité pour l</w:t>
      </w:r>
      <w:r w:rsidR="00A67BA3">
        <w:rPr>
          <w:b/>
          <w:sz w:val="24"/>
          <w:szCs w:val="24"/>
        </w:rPr>
        <w:t>’</w:t>
      </w:r>
      <w:r w:rsidRPr="008A71FC">
        <w:rPr>
          <w:b/>
          <w:sz w:val="24"/>
          <w:szCs w:val="24"/>
        </w:rPr>
        <w:t xml:space="preserve">élimination de la discrimination </w:t>
      </w:r>
      <w:r w:rsidRPr="008A71FC">
        <w:rPr>
          <w:b/>
          <w:sz w:val="24"/>
          <w:szCs w:val="24"/>
        </w:rPr>
        <w:br/>
        <w:t>à l</w:t>
      </w:r>
      <w:r w:rsidR="00A67BA3">
        <w:rPr>
          <w:b/>
          <w:sz w:val="24"/>
          <w:szCs w:val="24"/>
        </w:rPr>
        <w:t>’</w:t>
      </w:r>
      <w:r w:rsidRPr="008A71FC">
        <w:rPr>
          <w:b/>
          <w:sz w:val="24"/>
          <w:szCs w:val="24"/>
        </w:rPr>
        <w:t>égard des femmes</w:t>
      </w:r>
    </w:p>
    <w:p w:rsidR="008A71FC" w:rsidRPr="00602393" w:rsidRDefault="008A71FC" w:rsidP="008A71FC">
      <w:pPr>
        <w:rPr>
          <w:b/>
          <w:szCs w:val="24"/>
        </w:rPr>
      </w:pPr>
      <w:r w:rsidRPr="00602393">
        <w:rPr>
          <w:b/>
          <w:szCs w:val="24"/>
        </w:rPr>
        <w:t>Groupe de travail d</w:t>
      </w:r>
      <w:r w:rsidR="00A67BA3">
        <w:rPr>
          <w:b/>
          <w:szCs w:val="24"/>
        </w:rPr>
        <w:t>’</w:t>
      </w:r>
      <w:r w:rsidRPr="00602393">
        <w:rPr>
          <w:b/>
          <w:szCs w:val="24"/>
        </w:rPr>
        <w:t>avant-session</w:t>
      </w:r>
    </w:p>
    <w:p w:rsidR="008A71FC" w:rsidRPr="00602393" w:rsidRDefault="008A71FC" w:rsidP="008A71FC">
      <w:pPr>
        <w:rPr>
          <w:b/>
          <w:szCs w:val="24"/>
        </w:rPr>
      </w:pPr>
      <w:r w:rsidRPr="00602393">
        <w:rPr>
          <w:b/>
          <w:szCs w:val="24"/>
        </w:rPr>
        <w:t>Quarante-huitième session</w:t>
      </w:r>
    </w:p>
    <w:p w:rsidR="008A71FC" w:rsidRPr="00602393" w:rsidRDefault="008A71FC" w:rsidP="008A71FC">
      <w:pPr>
        <w:rPr>
          <w:szCs w:val="24"/>
        </w:rPr>
      </w:pPr>
      <w:r w:rsidRPr="00602393">
        <w:rPr>
          <w:szCs w:val="24"/>
        </w:rPr>
        <w:t>17 janvier-4 février 2011</w:t>
      </w:r>
    </w:p>
    <w:p w:rsidR="008A71FC" w:rsidRPr="00602393" w:rsidRDefault="008A71FC" w:rsidP="008A71FC">
      <w:pPr>
        <w:pStyle w:val="HChG"/>
      </w:pPr>
      <w:r w:rsidRPr="00602393">
        <w:tab/>
      </w:r>
      <w:r w:rsidRPr="00602393">
        <w:tab/>
        <w:t>Liste des points et questions concernant l</w:t>
      </w:r>
      <w:r w:rsidR="00A67BA3">
        <w:t>’</w:t>
      </w:r>
      <w:r w:rsidRPr="00602393">
        <w:t>examen</w:t>
      </w:r>
      <w:r w:rsidRPr="00602393">
        <w:br/>
        <w:t>des rapports périodiques</w:t>
      </w:r>
    </w:p>
    <w:p w:rsidR="008A71FC" w:rsidRDefault="008A71FC" w:rsidP="00105E01">
      <w:pPr>
        <w:pStyle w:val="H1G"/>
      </w:pPr>
      <w:r w:rsidRPr="00602393">
        <w:tab/>
      </w:r>
      <w:r w:rsidRPr="00602393">
        <w:tab/>
        <w:t>Bangladesh</w:t>
      </w:r>
    </w:p>
    <w:p w:rsidR="008A71FC" w:rsidRPr="008A71FC" w:rsidRDefault="008A71FC" w:rsidP="008A71FC">
      <w:pPr>
        <w:pStyle w:val="SingleTxtG"/>
        <w:ind w:firstLine="567"/>
      </w:pPr>
      <w:r w:rsidRPr="008A71FC">
        <w:t>Le groupe de travail d</w:t>
      </w:r>
      <w:r w:rsidR="00A67BA3">
        <w:t>’</w:t>
      </w:r>
      <w:r w:rsidRPr="008A71FC">
        <w:t>avant-session a examiné les sixième et septième rapports périodiques combinés du Bangladesh (CEDAW/C/BGD/6-7).</w:t>
      </w:r>
    </w:p>
    <w:p w:rsidR="008A71FC" w:rsidRPr="008A71FC" w:rsidRDefault="008A71FC" w:rsidP="00105E01">
      <w:pPr>
        <w:pStyle w:val="H23G"/>
      </w:pPr>
      <w:r w:rsidRPr="008A71FC">
        <w:tab/>
      </w:r>
      <w:r w:rsidRPr="008A71FC">
        <w:tab/>
        <w:t>Cadre législatif, définition de la discrimination, réserves</w:t>
      </w:r>
    </w:p>
    <w:p w:rsidR="008A71FC" w:rsidRPr="008A71FC" w:rsidRDefault="008A71FC" w:rsidP="008A71FC">
      <w:pPr>
        <w:pStyle w:val="SingleTxtG"/>
      </w:pPr>
      <w:r w:rsidRPr="008A71FC">
        <w:t>1.</w:t>
      </w:r>
      <w:r w:rsidRPr="008A71FC">
        <w:tab/>
        <w:t xml:space="preserve">Le Bangladesh </w:t>
      </w:r>
      <w:r w:rsidR="009C794D">
        <w:t>a maintenu s</w:t>
      </w:r>
      <w:r w:rsidRPr="008A71FC">
        <w:t>es réserves à l</w:t>
      </w:r>
      <w:r w:rsidR="00A67BA3">
        <w:t>’</w:t>
      </w:r>
      <w:r w:rsidRPr="008A71FC">
        <w:t>article 2 et au paragraphe 1) c) de l</w:t>
      </w:r>
      <w:r w:rsidR="00A67BA3">
        <w:t>’</w:t>
      </w:r>
      <w:r w:rsidRPr="008A71FC">
        <w:t>article 16</w:t>
      </w:r>
      <w:r w:rsidR="005C2999">
        <w:t xml:space="preserve"> </w:t>
      </w:r>
      <w:r w:rsidRPr="008A71FC">
        <w:t xml:space="preserve">de la Convention, </w:t>
      </w:r>
      <w:r w:rsidR="009C794D">
        <w:t>alors que le</w:t>
      </w:r>
      <w:r w:rsidRPr="008A71FC">
        <w:t xml:space="preserve"> Comité</w:t>
      </w:r>
      <w:r w:rsidR="009C794D">
        <w:t xml:space="preserve"> lui avait recommandé</w:t>
      </w:r>
      <w:r w:rsidRPr="008A71FC">
        <w:t xml:space="preserve"> (voir A/59/38, </w:t>
      </w:r>
      <w:r w:rsidR="009C794D">
        <w:t>deuxième p</w:t>
      </w:r>
      <w:r w:rsidRPr="008A71FC">
        <w:t>artie, par. 236) de prendre rapidement la décision de lever</w:t>
      </w:r>
      <w:r w:rsidR="005C2999">
        <w:t xml:space="preserve"> </w:t>
      </w:r>
      <w:r w:rsidRPr="008A71FC">
        <w:t>les réserves restantes à la Convention dans des délais bien définis. Au paragraphe 68 du rapport, il est indiqué que le retrait des réserves est à l</w:t>
      </w:r>
      <w:r w:rsidR="00A67BA3">
        <w:t>’</w:t>
      </w:r>
      <w:r w:rsidRPr="008A71FC">
        <w:t xml:space="preserve">examen. Indiquer quand une décision sera prise. </w:t>
      </w:r>
    </w:p>
    <w:p w:rsidR="008A71FC" w:rsidRPr="008A71FC" w:rsidRDefault="008A71FC" w:rsidP="008A71FC">
      <w:pPr>
        <w:pStyle w:val="SingleTxtG"/>
      </w:pPr>
      <w:r w:rsidRPr="008A71FC">
        <w:t>2.</w:t>
      </w:r>
      <w:r w:rsidRPr="008A71FC">
        <w:tab/>
        <w:t>Dans ses précédentes observations finales, le Comité a demandé à l</w:t>
      </w:r>
      <w:r w:rsidR="00A67BA3">
        <w:t>’</w:t>
      </w:r>
      <w:r w:rsidRPr="008A71FC">
        <w:t>État partie de mettre sa définition de la discrimination en conformité avec l</w:t>
      </w:r>
      <w:r w:rsidR="00A67BA3">
        <w:t>’</w:t>
      </w:r>
      <w:r w:rsidRPr="008A71FC">
        <w:t>article premier</w:t>
      </w:r>
      <w:r w:rsidR="005C2999">
        <w:t xml:space="preserve"> </w:t>
      </w:r>
      <w:r w:rsidRPr="008A71FC">
        <w:t>de la Convention et de veiller à ce que la responsabilité qu</w:t>
      </w:r>
      <w:r w:rsidR="00A67BA3">
        <w:t>’</w:t>
      </w:r>
      <w:r w:rsidRPr="008A71FC">
        <w:t>a l</w:t>
      </w:r>
      <w:r w:rsidR="00A67BA3">
        <w:t>’</w:t>
      </w:r>
      <w:r w:rsidRPr="008A71FC">
        <w:t>État partie d</w:t>
      </w:r>
      <w:r w:rsidR="00A67BA3">
        <w:t>’</w:t>
      </w:r>
      <w:r w:rsidRPr="008A71FC">
        <w:t>éliminer toutes les formes de discrimination à l</w:t>
      </w:r>
      <w:r w:rsidR="00A67BA3">
        <w:t>’</w:t>
      </w:r>
      <w:r w:rsidRPr="008A71FC">
        <w:t>égard des femmes soit étendue à la discrim</w:t>
      </w:r>
      <w:r w:rsidR="009C794D">
        <w:t>ination dans le secteur privé, conform</w:t>
      </w:r>
      <w:r w:rsidRPr="008A71FC">
        <w:t>é</w:t>
      </w:r>
      <w:r w:rsidR="009C794D">
        <w:t>ment à</w:t>
      </w:r>
      <w:r w:rsidRPr="008A71FC">
        <w:t xml:space="preserve"> l</w:t>
      </w:r>
      <w:r w:rsidR="00A67BA3">
        <w:t>’</w:t>
      </w:r>
      <w:r w:rsidRPr="008A71FC">
        <w:t xml:space="preserve">article 2 de la Convention (A/59/38, </w:t>
      </w:r>
      <w:r w:rsidR="009C794D">
        <w:t>deuxièm</w:t>
      </w:r>
      <w:r w:rsidRPr="008A71FC">
        <w:t>e Partie, par.</w:t>
      </w:r>
      <w:r w:rsidR="004C7958">
        <w:t> </w:t>
      </w:r>
      <w:r w:rsidRPr="008A71FC">
        <w:t xml:space="preserve">238). Quelles </w:t>
      </w:r>
      <w:r w:rsidR="00E921B1">
        <w:t xml:space="preserve">mesures </w:t>
      </w:r>
      <w:r w:rsidRPr="008A71FC">
        <w:t>ont été prises pour appliquer</w:t>
      </w:r>
      <w:r w:rsidR="005C2999">
        <w:t xml:space="preserve"> </w:t>
      </w:r>
      <w:r w:rsidRPr="008A71FC">
        <w:t>cette recommandation?</w:t>
      </w:r>
    </w:p>
    <w:p w:rsidR="008A71FC" w:rsidRPr="008A71FC" w:rsidRDefault="008A71FC" w:rsidP="00105E01">
      <w:pPr>
        <w:pStyle w:val="H23G"/>
      </w:pPr>
      <w:r w:rsidRPr="008A71FC">
        <w:tab/>
      </w:r>
      <w:r w:rsidRPr="008A71FC">
        <w:tab/>
        <w:t>Accès à la justice</w:t>
      </w:r>
    </w:p>
    <w:p w:rsidR="008A71FC" w:rsidRPr="008A71FC" w:rsidRDefault="008A71FC" w:rsidP="008A71FC">
      <w:pPr>
        <w:pStyle w:val="SingleTxtG"/>
      </w:pPr>
      <w:r w:rsidRPr="008A71FC">
        <w:t>3.</w:t>
      </w:r>
      <w:r w:rsidRPr="008A71FC">
        <w:tab/>
      </w:r>
      <w:r w:rsidR="009C794D">
        <w:t>Au</w:t>
      </w:r>
      <w:r w:rsidRPr="008A71FC">
        <w:t xml:space="preserve"> paragraphe 294</w:t>
      </w:r>
      <w:r w:rsidR="00E921B1">
        <w:t xml:space="preserve"> du rapport</w:t>
      </w:r>
      <w:r w:rsidR="009C794D">
        <w:t>, il est indiqué</w:t>
      </w:r>
      <w:r w:rsidRPr="008A71FC">
        <w:t xml:space="preserve"> que des systèmes et dispositifs non sexistes sont nécessaires pour prévenir la violence à l</w:t>
      </w:r>
      <w:r w:rsidR="00A67BA3">
        <w:t>’</w:t>
      </w:r>
      <w:r w:rsidRPr="008A71FC">
        <w:t>égard des femmes et qu</w:t>
      </w:r>
      <w:r w:rsidR="00A67BA3">
        <w:t>’</w:t>
      </w:r>
      <w:r w:rsidRPr="008A71FC">
        <w:t>il est essentiel d</w:t>
      </w:r>
      <w:r w:rsidR="00A67BA3">
        <w:t>’</w:t>
      </w:r>
      <w:r w:rsidRPr="008A71FC">
        <w:t>assurer un accès effectif</w:t>
      </w:r>
      <w:r w:rsidR="005C2999">
        <w:t xml:space="preserve"> </w:t>
      </w:r>
      <w:r w:rsidRPr="008A71FC">
        <w:t>à la justice. Quels sont les systèmes et dispositifs en place pour assurer l</w:t>
      </w:r>
      <w:r w:rsidR="00A67BA3">
        <w:t>’</w:t>
      </w:r>
      <w:r w:rsidRPr="008A71FC">
        <w:t>accès des femmes à la justice, non seulement dans les cas de violences, mais dans tous les domaines visés par la Convention?</w:t>
      </w:r>
    </w:p>
    <w:p w:rsidR="008A71FC" w:rsidRPr="008A71FC" w:rsidRDefault="008A71FC" w:rsidP="00105E01">
      <w:pPr>
        <w:pStyle w:val="H23G"/>
      </w:pPr>
      <w:r w:rsidRPr="008A71FC">
        <w:tab/>
      </w:r>
      <w:r w:rsidRPr="008A71FC">
        <w:tab/>
        <w:t>Prise en compte des différences liées au sexe</w:t>
      </w:r>
    </w:p>
    <w:p w:rsidR="008A71FC" w:rsidRPr="008A71FC" w:rsidRDefault="008A71FC" w:rsidP="008A71FC">
      <w:pPr>
        <w:pStyle w:val="SingleTxtG"/>
      </w:pPr>
      <w:r w:rsidRPr="008A71FC">
        <w:t>4.</w:t>
      </w:r>
      <w:r w:rsidRPr="008A71FC">
        <w:tab/>
        <w:t>Au paragraphe 175 du rapport, il est indiqué que le</w:t>
      </w:r>
      <w:r w:rsidR="005C2999">
        <w:t xml:space="preserve"> </w:t>
      </w:r>
      <w:r w:rsidRPr="008A71FC">
        <w:t>Ministère des finances a pris l</w:t>
      </w:r>
      <w:r w:rsidR="00A67BA3">
        <w:t>’</w:t>
      </w:r>
      <w:r w:rsidRPr="008A71FC">
        <w:t>initiative de ventiler par sexe les budgets de</w:t>
      </w:r>
      <w:r w:rsidR="005C2999">
        <w:t xml:space="preserve"> </w:t>
      </w:r>
      <w:r w:rsidRPr="008A71FC">
        <w:t>quatre ministères importants et qu</w:t>
      </w:r>
      <w:r w:rsidR="00A67BA3">
        <w:t>’</w:t>
      </w:r>
      <w:r w:rsidRPr="008A71FC">
        <w:t>il est prévu d</w:t>
      </w:r>
      <w:r w:rsidR="00A67BA3">
        <w:t>’</w:t>
      </w:r>
      <w:r w:rsidRPr="008A71FC">
        <w:t>étendre cette initiative à d</w:t>
      </w:r>
      <w:r w:rsidR="00A67BA3">
        <w:t>’</w:t>
      </w:r>
      <w:r w:rsidRPr="008A71FC">
        <w:t>autres ministères à l</w:t>
      </w:r>
      <w:r w:rsidR="00A67BA3">
        <w:t>’</w:t>
      </w:r>
      <w:r w:rsidRPr="008A71FC">
        <w:t>avenir. Quel</w:t>
      </w:r>
      <w:r w:rsidR="0005243C">
        <w:t>s ont</w:t>
      </w:r>
      <w:r w:rsidRPr="008A71FC">
        <w:t xml:space="preserve"> été l</w:t>
      </w:r>
      <w:r w:rsidR="0005243C">
        <w:t xml:space="preserve">es </w:t>
      </w:r>
      <w:r w:rsidRPr="008A71FC">
        <w:t>i</w:t>
      </w:r>
      <w:r w:rsidR="0005243C">
        <w:t>ncidences</w:t>
      </w:r>
      <w:r w:rsidRPr="008A71FC">
        <w:t xml:space="preserve"> de la prise en compte des besoins des femmes</w:t>
      </w:r>
      <w:r w:rsidR="005C2999">
        <w:t xml:space="preserve"> </w:t>
      </w:r>
      <w:r w:rsidRPr="008A71FC">
        <w:t>dans l</w:t>
      </w:r>
      <w:r w:rsidR="00A67BA3">
        <w:t>’</w:t>
      </w:r>
      <w:r w:rsidRPr="008A71FC">
        <w:t xml:space="preserve">établissement des budgets de ces quatre ministères et quand </w:t>
      </w:r>
      <w:r w:rsidR="0005243C">
        <w:t xml:space="preserve">cette initiative </w:t>
      </w:r>
      <w:r w:rsidRPr="008A71FC">
        <w:t>sera-t-elle étendue à d</w:t>
      </w:r>
      <w:r w:rsidR="00A67BA3">
        <w:t>’</w:t>
      </w:r>
      <w:r w:rsidRPr="008A71FC">
        <w:t xml:space="preserve">autres ministères? </w:t>
      </w:r>
    </w:p>
    <w:p w:rsidR="008A71FC" w:rsidRPr="008A71FC" w:rsidRDefault="008A71FC" w:rsidP="00105E01">
      <w:pPr>
        <w:pStyle w:val="H23G"/>
      </w:pPr>
      <w:r>
        <w:tab/>
      </w:r>
      <w:r>
        <w:tab/>
      </w:r>
      <w:r w:rsidRPr="008A71FC">
        <w:t>Violence à l</w:t>
      </w:r>
      <w:r w:rsidR="00A67BA3">
        <w:t>’</w:t>
      </w:r>
      <w:r w:rsidRPr="008A71FC">
        <w:t>égard des femmes</w:t>
      </w:r>
    </w:p>
    <w:p w:rsidR="008A71FC" w:rsidRPr="008A71FC" w:rsidRDefault="008A71FC" w:rsidP="008A71FC">
      <w:pPr>
        <w:pStyle w:val="SingleTxtG"/>
      </w:pPr>
      <w:r w:rsidRPr="008A71FC">
        <w:t>5.</w:t>
      </w:r>
      <w:r w:rsidRPr="008A71FC">
        <w:tab/>
        <w:t>D</w:t>
      </w:r>
      <w:r w:rsidR="00A67BA3">
        <w:t>’</w:t>
      </w:r>
      <w:r w:rsidR="0005243C">
        <w:t>après d</w:t>
      </w:r>
      <w:r w:rsidRPr="008A71FC">
        <w:t>es études récentes</w:t>
      </w:r>
      <w:r w:rsidR="0005243C">
        <w:t>,</w:t>
      </w:r>
      <w:r w:rsidRPr="008A71FC">
        <w:t xml:space="preserve"> 49</w:t>
      </w:r>
      <w:r w:rsidR="0005243C">
        <w:t> </w:t>
      </w:r>
      <w:r w:rsidRPr="008A71FC">
        <w:t xml:space="preserve">% des femmes </w:t>
      </w:r>
      <w:r w:rsidR="0005243C">
        <w:t xml:space="preserve">mariées ou </w:t>
      </w:r>
      <w:r w:rsidRPr="008A71FC">
        <w:t xml:space="preserve">qui </w:t>
      </w:r>
      <w:r w:rsidR="0005243C">
        <w:t>l</w:t>
      </w:r>
      <w:r w:rsidR="00A67BA3">
        <w:t>’</w:t>
      </w:r>
      <w:r w:rsidRPr="008A71FC">
        <w:t xml:space="preserve">ont </w:t>
      </w:r>
      <w:r w:rsidR="0005243C">
        <w:t xml:space="preserve">été </w:t>
      </w:r>
      <w:r w:rsidRPr="008A71FC">
        <w:t xml:space="preserve">ont subi des violences physiques de la part de leur conjoint, et </w:t>
      </w:r>
      <w:r w:rsidR="0005243C">
        <w:t>l</w:t>
      </w:r>
      <w:r w:rsidRPr="008A71FC">
        <w:t xml:space="preserve">es femmes qui </w:t>
      </w:r>
      <w:r w:rsidR="0005243C">
        <w:t>vers</w:t>
      </w:r>
      <w:r w:rsidRPr="008A71FC">
        <w:t>ent une dot risque</w:t>
      </w:r>
      <w:r w:rsidR="0005243C">
        <w:t>nt davantage d</w:t>
      </w:r>
      <w:r w:rsidR="00A67BA3">
        <w:t>’</w:t>
      </w:r>
      <w:r w:rsidR="0005243C">
        <w:t>être victimes de violences</w:t>
      </w:r>
      <w:r w:rsidRPr="008A71FC">
        <w:t xml:space="preserve"> physiques que </w:t>
      </w:r>
      <w:r w:rsidR="0005243C">
        <w:t>celles</w:t>
      </w:r>
      <w:r w:rsidRPr="008A71FC">
        <w:t xml:space="preserve"> qui se marient sans qu</w:t>
      </w:r>
      <w:r w:rsidR="00A67BA3">
        <w:t>’</w:t>
      </w:r>
      <w:r w:rsidRPr="008A71FC">
        <w:t>il soit demandé de dot. Il e</w:t>
      </w:r>
      <w:r w:rsidR="0005243C">
        <w:t>xiste une législation nationale − l</w:t>
      </w:r>
      <w:r w:rsidRPr="008A71FC">
        <w:t>oi de 1980 interdisant la dot, loi de</w:t>
      </w:r>
      <w:r w:rsidR="005C2999">
        <w:t xml:space="preserve"> </w:t>
      </w:r>
      <w:r w:rsidRPr="008A71FC">
        <w:t>2000</w:t>
      </w:r>
      <w:r w:rsidR="0005243C">
        <w:t xml:space="preserve">, modifiée en 2003, </w:t>
      </w:r>
      <w:r w:rsidRPr="008A71FC">
        <w:t>sur la prévention de la cruauté envers les femmes et les enf</w:t>
      </w:r>
      <w:r w:rsidR="0005243C">
        <w:t>ants et l</w:t>
      </w:r>
      <w:r w:rsidRPr="008A71FC">
        <w:t>oi de 2002</w:t>
      </w:r>
      <w:r w:rsidR="0005243C">
        <w:t>, modifiée en 2006,</w:t>
      </w:r>
      <w:r w:rsidRPr="008A71FC">
        <w:t xml:space="preserve"> réprimant les attaques à l</w:t>
      </w:r>
      <w:r w:rsidR="00A67BA3">
        <w:t>’</w:t>
      </w:r>
      <w:r w:rsidRPr="008A71FC">
        <w:t>acide</w:t>
      </w:r>
      <w:r w:rsidR="0005243C">
        <w:t xml:space="preserve"> − </w:t>
      </w:r>
      <w:r w:rsidRPr="008A71FC">
        <w:t xml:space="preserve">mais quelles sont les mesures en place pour assurer son application effective? Les femmes ont-elles connaissance des dispositions de ces lois, </w:t>
      </w:r>
      <w:r w:rsidR="0005243C">
        <w:t>et</w:t>
      </w:r>
      <w:r w:rsidRPr="008A71FC">
        <w:t xml:space="preserve"> des </w:t>
      </w:r>
      <w:r w:rsidR="0005243C">
        <w:t>lieux</w:t>
      </w:r>
      <w:r w:rsidRPr="008A71FC">
        <w:t xml:space="preserve"> où elles peuvent signaler des cas de violations?</w:t>
      </w:r>
    </w:p>
    <w:p w:rsidR="008A71FC" w:rsidRPr="008A71FC" w:rsidRDefault="008A71FC" w:rsidP="008A71FC">
      <w:pPr>
        <w:pStyle w:val="SingleTxtG"/>
      </w:pPr>
      <w:r w:rsidRPr="008A71FC">
        <w:t>6.</w:t>
      </w:r>
      <w:r w:rsidRPr="008A71FC">
        <w:tab/>
        <w:t xml:space="preserve">Le paragraphe 89 du rapport indique que le projet de loi de 2009 sur la prévention de la violence familiale et la protection contre celle-ci devait être présenté </w:t>
      </w:r>
      <w:r w:rsidR="0005243C">
        <w:t>au</w:t>
      </w:r>
      <w:r w:rsidRPr="008A71FC">
        <w:t xml:space="preserve"> Parlement à sa session de janvier 2010. </w:t>
      </w:r>
      <w:r w:rsidR="0005243C">
        <w:t>Donne</w:t>
      </w:r>
      <w:r w:rsidRPr="008A71FC">
        <w:t>r des informations sur l</w:t>
      </w:r>
      <w:r w:rsidR="00A67BA3">
        <w:t>’</w:t>
      </w:r>
      <w:r w:rsidRPr="008A71FC">
        <w:t>état d</w:t>
      </w:r>
      <w:r w:rsidR="00A67BA3">
        <w:t>’</w:t>
      </w:r>
      <w:r w:rsidRPr="008A71FC">
        <w:t>avancement de ce projet</w:t>
      </w:r>
      <w:r w:rsidR="0005243C">
        <w:t xml:space="preserve"> et</w:t>
      </w:r>
      <w:r w:rsidRPr="008A71FC">
        <w:t xml:space="preserve"> sur </w:t>
      </w:r>
      <w:r w:rsidR="00E020B8">
        <w:t>ses</w:t>
      </w:r>
      <w:r w:rsidR="0005243C">
        <w:t xml:space="preserve"> principales dispositions</w:t>
      </w:r>
      <w:r w:rsidRPr="008A71FC">
        <w:t xml:space="preserve">. </w:t>
      </w:r>
    </w:p>
    <w:p w:rsidR="008A71FC" w:rsidRPr="008A71FC" w:rsidRDefault="008A71FC" w:rsidP="008A71FC">
      <w:pPr>
        <w:pStyle w:val="SingleTxtG"/>
      </w:pPr>
      <w:r w:rsidRPr="008A71FC">
        <w:t>7.</w:t>
      </w:r>
      <w:r w:rsidRPr="008A71FC">
        <w:tab/>
        <w:t xml:space="preserve">Le rapport, au paragraphe 90, se réfère à un jugement historique de la Haute Cour sur le harcèlement sexuel et aux directives en cas de harcèlement sexuel des femmes fournies par la Cour. </w:t>
      </w:r>
      <w:r w:rsidR="0005243C">
        <w:t>Donner</w:t>
      </w:r>
      <w:r w:rsidRPr="008A71FC">
        <w:t xml:space="preserve"> des précisions sur ces directives. Quelles mesures ont été prises par le Ministère des affaires féminines et de l</w:t>
      </w:r>
      <w:r w:rsidR="00A67BA3">
        <w:t>’</w:t>
      </w:r>
      <w:r w:rsidRPr="008A71FC">
        <w:t xml:space="preserve">enfance pour </w:t>
      </w:r>
      <w:r w:rsidR="0005243C">
        <w:t>élabor</w:t>
      </w:r>
      <w:r w:rsidRPr="008A71FC">
        <w:t>er une loi sur le harcèlement sexuel, comme l</w:t>
      </w:r>
      <w:r w:rsidR="00A67BA3">
        <w:t>’</w:t>
      </w:r>
      <w:r w:rsidR="0005243C">
        <w:t xml:space="preserve">en </w:t>
      </w:r>
      <w:r w:rsidRPr="008A71FC">
        <w:t>a enjoint la Cour?</w:t>
      </w:r>
    </w:p>
    <w:p w:rsidR="008A71FC" w:rsidRPr="008A71FC" w:rsidRDefault="008A71FC" w:rsidP="00105E01">
      <w:pPr>
        <w:pStyle w:val="H23G"/>
      </w:pPr>
      <w:r w:rsidRPr="008A71FC">
        <w:tab/>
      </w:r>
      <w:r w:rsidRPr="008A71FC">
        <w:tab/>
        <w:t>Stéréotypes et pratiques traditionnelles préjudiciables</w:t>
      </w:r>
    </w:p>
    <w:p w:rsidR="008A71FC" w:rsidRPr="008A71FC" w:rsidRDefault="008A71FC" w:rsidP="008A71FC">
      <w:pPr>
        <w:pStyle w:val="SingleTxtG"/>
      </w:pPr>
      <w:r w:rsidRPr="008A71FC">
        <w:t>8.</w:t>
      </w:r>
      <w:r w:rsidRPr="008A71FC">
        <w:tab/>
        <w:t xml:space="preserve">Dans ses précédentes observations finales, le Comité </w:t>
      </w:r>
      <w:r w:rsidR="0005243C">
        <w:t>s</w:t>
      </w:r>
      <w:r w:rsidR="00A67BA3">
        <w:t>’</w:t>
      </w:r>
      <w:r w:rsidR="0005243C">
        <w:t>est dit</w:t>
      </w:r>
      <w:r w:rsidRPr="008A71FC">
        <w:t xml:space="preserve"> préoccup</w:t>
      </w:r>
      <w:r w:rsidR="0005243C">
        <w:t>é</w:t>
      </w:r>
      <w:r w:rsidRPr="008A71FC">
        <w:t xml:space="preserve"> </w:t>
      </w:r>
      <w:r w:rsidR="0005243C">
        <w:t xml:space="preserve">par </w:t>
      </w:r>
      <w:r w:rsidRPr="008A71FC">
        <w:t xml:space="preserve">les pratiques traditionnelles et culturelles, </w:t>
      </w:r>
      <w:r w:rsidR="0005243C">
        <w:t>notamment</w:t>
      </w:r>
      <w:r w:rsidRPr="008A71FC">
        <w:t xml:space="preserve"> la polygamie et les mariages d</w:t>
      </w:r>
      <w:r w:rsidR="00A67BA3">
        <w:t>’</w:t>
      </w:r>
      <w:r w:rsidRPr="008A71FC">
        <w:t xml:space="preserve">enfants, qui nuisent aux droits des femmes (A/59/38, </w:t>
      </w:r>
      <w:r w:rsidR="0005243C">
        <w:t>deuxièm</w:t>
      </w:r>
      <w:r w:rsidRPr="008A71FC">
        <w:t>e partie, par. 245 et 257). Dans ses observations finales (CRC/C/BGD/CO/4, par. 67), le Comité des droits de l</w:t>
      </w:r>
      <w:r w:rsidR="00A67BA3">
        <w:t>’</w:t>
      </w:r>
      <w:r w:rsidRPr="008A71FC">
        <w:t>enfant a également relevé la pratique traditionnelle préjudiciable du mariage précoce et forcé des filles qui aboutit fréquemment</w:t>
      </w:r>
      <w:r w:rsidR="005C2999">
        <w:t xml:space="preserve"> </w:t>
      </w:r>
      <w:r w:rsidRPr="008A71FC">
        <w:t xml:space="preserve">à des violences à caractère sexiste. </w:t>
      </w:r>
      <w:r w:rsidR="0005243C">
        <w:t>Donne</w:t>
      </w:r>
      <w:r w:rsidRPr="008A71FC">
        <w:t>r des informations sur les mesures prises pour modifier ou éliminer ces pratiques et pour répondre aux préoccupations exprimées par les deux Comités.</w:t>
      </w:r>
    </w:p>
    <w:p w:rsidR="008A71FC" w:rsidRPr="008A71FC" w:rsidRDefault="008A71FC" w:rsidP="008A71FC">
      <w:pPr>
        <w:pStyle w:val="SingleTxtG"/>
      </w:pPr>
      <w:r w:rsidRPr="008A71FC">
        <w:t>9.</w:t>
      </w:r>
      <w:r w:rsidRPr="008A71FC">
        <w:tab/>
        <w:t>De quelles manières les activités et programmes de développement mentionnés au paragraphe 110 du rapport encouragent-ils les hommes à modifier leurs attitudes stéréotypées et leurs normes relatives aux rôles et responsabilités des hommes et des femmes dans la famille et la société? Existe-t-il des évaluations tirées de l</w:t>
      </w:r>
      <w:r w:rsidR="00A67BA3">
        <w:t>’</w:t>
      </w:r>
      <w:r w:rsidRPr="008A71FC">
        <w:t xml:space="preserve">examen mensuel des progrès et du système de rapports trimestriels qui permettraient de mesurer le succès ou manque de succès initial de ces projets? </w:t>
      </w:r>
    </w:p>
    <w:p w:rsidR="008A71FC" w:rsidRPr="008A71FC" w:rsidRDefault="008A71FC" w:rsidP="00105E01">
      <w:pPr>
        <w:pStyle w:val="H23G"/>
      </w:pPr>
      <w:r>
        <w:tab/>
      </w:r>
      <w:r>
        <w:tab/>
      </w:r>
      <w:r w:rsidRPr="008A71FC">
        <w:t>Traite et exploitation à des fins de</w:t>
      </w:r>
      <w:r w:rsidR="005C2999">
        <w:t xml:space="preserve"> </w:t>
      </w:r>
      <w:r w:rsidRPr="008A71FC">
        <w:t>prostitution</w:t>
      </w:r>
    </w:p>
    <w:p w:rsidR="008A71FC" w:rsidRPr="008A71FC" w:rsidRDefault="008A71FC" w:rsidP="008A71FC">
      <w:pPr>
        <w:pStyle w:val="SingleTxtG"/>
        <w:rPr>
          <w:lang w:val="fr-FR"/>
        </w:rPr>
      </w:pPr>
      <w:r w:rsidRPr="008A71FC">
        <w:rPr>
          <w:lang w:val="fr-FR"/>
        </w:rPr>
        <w:t>10.</w:t>
      </w:r>
      <w:r w:rsidRPr="008A71FC">
        <w:rPr>
          <w:lang w:val="fr-FR"/>
        </w:rPr>
        <w:tab/>
        <w:t>Quels effets a eu</w:t>
      </w:r>
      <w:r w:rsidR="005C2999">
        <w:rPr>
          <w:lang w:val="fr-FR"/>
        </w:rPr>
        <w:t xml:space="preserve"> </w:t>
      </w:r>
      <w:r w:rsidRPr="008A71FC">
        <w:rPr>
          <w:lang w:val="fr-FR"/>
        </w:rPr>
        <w:t>l</w:t>
      </w:r>
      <w:r w:rsidR="00A67BA3">
        <w:rPr>
          <w:lang w:val="fr-FR"/>
        </w:rPr>
        <w:t>’</w:t>
      </w:r>
      <w:r w:rsidRPr="008A71FC">
        <w:rPr>
          <w:lang w:val="fr-FR"/>
        </w:rPr>
        <w:t>action</w:t>
      </w:r>
      <w:r w:rsidR="005C2999">
        <w:rPr>
          <w:lang w:val="fr-FR"/>
        </w:rPr>
        <w:t xml:space="preserve"> </w:t>
      </w:r>
      <w:r w:rsidRPr="008A71FC">
        <w:rPr>
          <w:lang w:val="fr-FR"/>
        </w:rPr>
        <w:t xml:space="preserve">du comité interministériel et interagences et du comité national de coordination entre les organisations gouvernementales et les organisations non gouvernementales </w:t>
      </w:r>
      <w:r w:rsidR="0005243C">
        <w:rPr>
          <w:lang w:val="fr-FR"/>
        </w:rPr>
        <w:t xml:space="preserve">(ONG) </w:t>
      </w:r>
      <w:r w:rsidRPr="008A71FC">
        <w:rPr>
          <w:lang w:val="fr-FR"/>
        </w:rPr>
        <w:t>sur la lutte contre la traite des personnes?</w:t>
      </w:r>
    </w:p>
    <w:p w:rsidR="008A71FC" w:rsidRPr="008A71FC" w:rsidRDefault="008A71FC" w:rsidP="008A71FC">
      <w:pPr>
        <w:pStyle w:val="SingleTxtG"/>
        <w:rPr>
          <w:lang w:val="fr-FR"/>
        </w:rPr>
      </w:pPr>
      <w:r w:rsidRPr="008A71FC">
        <w:rPr>
          <w:lang w:val="fr-FR"/>
        </w:rPr>
        <w:t>11.</w:t>
      </w:r>
      <w:r w:rsidRPr="008A71FC">
        <w:rPr>
          <w:lang w:val="fr-FR"/>
        </w:rPr>
        <w:tab/>
      </w:r>
      <w:r w:rsidR="0005243C">
        <w:rPr>
          <w:lang w:val="fr-FR"/>
        </w:rPr>
        <w:t>Donne</w:t>
      </w:r>
      <w:r w:rsidRPr="008A71FC">
        <w:rPr>
          <w:lang w:val="fr-FR"/>
        </w:rPr>
        <w:t>r des précisions sur le «</w:t>
      </w:r>
      <w:r w:rsidRPr="008A71FC">
        <w:t>projet de directives sur la lutte contre la traite de personnes à l</w:t>
      </w:r>
      <w:r w:rsidR="00A67BA3">
        <w:t>’</w:t>
      </w:r>
      <w:r w:rsidRPr="008A71FC">
        <w:t>intention des missions du Bangladesh</w:t>
      </w:r>
      <w:r w:rsidR="005C2999">
        <w:t xml:space="preserve"> </w:t>
      </w:r>
      <w:r w:rsidRPr="008A71FC">
        <w:t>à l</w:t>
      </w:r>
      <w:r w:rsidR="00A67BA3">
        <w:t>’</w:t>
      </w:r>
      <w:r w:rsidRPr="008A71FC">
        <w:t>étranger» mentionné au paragrap</w:t>
      </w:r>
      <w:r w:rsidR="0005243C">
        <w:t>he 99 du rapport. E</w:t>
      </w:r>
      <w:r w:rsidRPr="008A71FC">
        <w:t>xpliquer plus en détail la coordination</w:t>
      </w:r>
      <w:r w:rsidR="0005243C">
        <w:t>,</w:t>
      </w:r>
      <w:r w:rsidR="0005243C" w:rsidRPr="008A71FC">
        <w:t xml:space="preserve"> évoqué</w:t>
      </w:r>
      <w:r w:rsidR="0005243C">
        <w:t>e au paragraphe 100, mise en place</w:t>
      </w:r>
      <w:r w:rsidRPr="008A71FC">
        <w:t xml:space="preserve"> avec le Fonds des Nations Unies pour l</w:t>
      </w:r>
      <w:r w:rsidR="00A67BA3">
        <w:t>’</w:t>
      </w:r>
      <w:r w:rsidRPr="008A71FC">
        <w:t>enfance (UNICEF), l</w:t>
      </w:r>
      <w:r w:rsidR="00A67BA3">
        <w:t>’</w:t>
      </w:r>
      <w:r w:rsidRPr="008A71FC">
        <w:t>Organisation internationale pour les migrations (OIM)</w:t>
      </w:r>
      <w:r w:rsidRPr="008A71FC">
        <w:rPr>
          <w:lang w:val="fr-FR"/>
        </w:rPr>
        <w:t xml:space="preserve"> et l</w:t>
      </w:r>
      <w:r w:rsidR="00A67BA3">
        <w:rPr>
          <w:lang w:val="fr-FR"/>
        </w:rPr>
        <w:t>’</w:t>
      </w:r>
      <w:r w:rsidRPr="008A71FC">
        <w:rPr>
          <w:lang w:val="fr-FR"/>
        </w:rPr>
        <w:t xml:space="preserve">ambassade des États-Unis </w:t>
      </w:r>
      <w:r w:rsidR="0005243C">
        <w:rPr>
          <w:lang w:val="fr-FR"/>
        </w:rPr>
        <w:t xml:space="preserve">pour mieux faire face au </w:t>
      </w:r>
      <w:r w:rsidRPr="008A71FC">
        <w:rPr>
          <w:lang w:val="fr-FR"/>
        </w:rPr>
        <w:t>problème de la traite des personnes.</w:t>
      </w:r>
    </w:p>
    <w:p w:rsidR="008A71FC" w:rsidRPr="008A71FC" w:rsidRDefault="008A71FC" w:rsidP="00105E01">
      <w:pPr>
        <w:pStyle w:val="H23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8A71FC">
        <w:rPr>
          <w:lang w:val="fr-FR"/>
        </w:rPr>
        <w:t>Éducation</w:t>
      </w:r>
    </w:p>
    <w:p w:rsidR="008A71FC" w:rsidRPr="008A71FC" w:rsidRDefault="008A71FC" w:rsidP="008A71FC">
      <w:pPr>
        <w:pStyle w:val="SingleTxtG"/>
        <w:rPr>
          <w:lang w:val="fr-FR"/>
        </w:rPr>
      </w:pPr>
      <w:r w:rsidRPr="008A71FC">
        <w:rPr>
          <w:lang w:val="fr-FR"/>
        </w:rPr>
        <w:t>12.</w:t>
      </w:r>
      <w:r w:rsidRPr="008A71FC">
        <w:rPr>
          <w:lang w:val="fr-FR"/>
        </w:rPr>
        <w:tab/>
        <w:t>Dans leur déclaration commune sur l</w:t>
      </w:r>
      <w:r w:rsidR="00A67BA3">
        <w:rPr>
          <w:lang w:val="fr-FR"/>
        </w:rPr>
        <w:t>’</w:t>
      </w:r>
      <w:r w:rsidRPr="008A71FC">
        <w:rPr>
          <w:lang w:val="fr-FR"/>
        </w:rPr>
        <w:t>eau et l</w:t>
      </w:r>
      <w:r w:rsidR="00A67BA3">
        <w:rPr>
          <w:lang w:val="fr-FR"/>
        </w:rPr>
        <w:t>’</w:t>
      </w:r>
      <w:r w:rsidRPr="008A71FC">
        <w:rPr>
          <w:lang w:val="fr-FR"/>
        </w:rPr>
        <w:t>assainissement et sur la question des droits de l</w:t>
      </w:r>
      <w:r w:rsidR="00A67BA3">
        <w:rPr>
          <w:lang w:val="fr-FR"/>
        </w:rPr>
        <w:t>’</w:t>
      </w:r>
      <w:r w:rsidRPr="008A71FC">
        <w:rPr>
          <w:lang w:val="fr-FR"/>
        </w:rPr>
        <w:t>homme et de l</w:t>
      </w:r>
      <w:r w:rsidR="00A67BA3">
        <w:rPr>
          <w:lang w:val="fr-FR"/>
        </w:rPr>
        <w:t>’</w:t>
      </w:r>
      <w:r w:rsidRPr="008A71FC">
        <w:rPr>
          <w:lang w:val="fr-FR"/>
        </w:rPr>
        <w:t>extrême pauvreté, faite à Dhaka le 10 décembre 2009, l</w:t>
      </w:r>
      <w:r w:rsidR="00A67BA3">
        <w:rPr>
          <w:lang w:val="fr-FR"/>
        </w:rPr>
        <w:t>’</w:t>
      </w:r>
      <w:r w:rsidRPr="008A71FC">
        <w:rPr>
          <w:lang w:val="fr-FR"/>
        </w:rPr>
        <w:t xml:space="preserve">expert indépendant </w:t>
      </w:r>
      <w:r w:rsidR="00E921B1">
        <w:rPr>
          <w:lang w:val="fr-FR"/>
        </w:rPr>
        <w:t>chargé d’examiner</w:t>
      </w:r>
      <w:r w:rsidRPr="008A71FC">
        <w:rPr>
          <w:lang w:val="fr-FR"/>
        </w:rPr>
        <w:t xml:space="preserve"> la question des obligations en rapport avec les</w:t>
      </w:r>
      <w:r w:rsidR="005C2999">
        <w:rPr>
          <w:lang w:val="fr-FR"/>
        </w:rPr>
        <w:t xml:space="preserve"> </w:t>
      </w:r>
      <w:r w:rsidRPr="008A71FC">
        <w:rPr>
          <w:lang w:val="fr-FR"/>
        </w:rPr>
        <w:t>droits de l</w:t>
      </w:r>
      <w:r w:rsidR="00A67BA3">
        <w:rPr>
          <w:lang w:val="fr-FR"/>
        </w:rPr>
        <w:t>’</w:t>
      </w:r>
      <w:r w:rsidRPr="008A71FC">
        <w:rPr>
          <w:lang w:val="fr-FR"/>
        </w:rPr>
        <w:t>homme qui concernent l</w:t>
      </w:r>
      <w:r w:rsidR="00A67BA3">
        <w:rPr>
          <w:lang w:val="fr-FR"/>
        </w:rPr>
        <w:t>’</w:t>
      </w:r>
      <w:r w:rsidRPr="008A71FC">
        <w:rPr>
          <w:lang w:val="fr-FR"/>
        </w:rPr>
        <w:t>accès à l</w:t>
      </w:r>
      <w:r w:rsidR="00A67BA3">
        <w:rPr>
          <w:lang w:val="fr-FR"/>
        </w:rPr>
        <w:t>’</w:t>
      </w:r>
      <w:r w:rsidRPr="008A71FC">
        <w:rPr>
          <w:lang w:val="fr-FR"/>
        </w:rPr>
        <w:t>eau potable et à l</w:t>
      </w:r>
      <w:r w:rsidR="00A67BA3">
        <w:rPr>
          <w:lang w:val="fr-FR"/>
        </w:rPr>
        <w:t>’</w:t>
      </w:r>
      <w:r w:rsidRPr="008A71FC">
        <w:rPr>
          <w:lang w:val="fr-FR"/>
        </w:rPr>
        <w:t>assainissement et l</w:t>
      </w:r>
      <w:r w:rsidR="00A67BA3">
        <w:rPr>
          <w:lang w:val="fr-FR"/>
        </w:rPr>
        <w:t>’</w:t>
      </w:r>
      <w:r w:rsidRPr="008A71FC">
        <w:rPr>
          <w:lang w:val="fr-FR"/>
        </w:rPr>
        <w:t xml:space="preserve">expert indépendant </w:t>
      </w:r>
      <w:r w:rsidR="00E921B1">
        <w:rPr>
          <w:lang w:val="fr-FR"/>
        </w:rPr>
        <w:t xml:space="preserve">sur </w:t>
      </w:r>
      <w:r w:rsidRPr="008A71FC">
        <w:rPr>
          <w:lang w:val="fr-FR"/>
        </w:rPr>
        <w:t>la question des droits de l</w:t>
      </w:r>
      <w:r w:rsidR="00A67BA3">
        <w:rPr>
          <w:lang w:val="fr-FR"/>
        </w:rPr>
        <w:t>’</w:t>
      </w:r>
      <w:r w:rsidRPr="008A71FC">
        <w:rPr>
          <w:lang w:val="fr-FR"/>
        </w:rPr>
        <w:t>homme et de l</w:t>
      </w:r>
      <w:r w:rsidR="00A67BA3">
        <w:rPr>
          <w:lang w:val="fr-FR"/>
        </w:rPr>
        <w:t>’</w:t>
      </w:r>
      <w:r w:rsidRPr="008A71FC">
        <w:rPr>
          <w:lang w:val="fr-FR"/>
        </w:rPr>
        <w:t xml:space="preserve">extrême pauvreté </w:t>
      </w:r>
      <w:r w:rsidR="0005243C">
        <w:rPr>
          <w:lang w:val="fr-FR"/>
        </w:rPr>
        <w:t>se s</w:t>
      </w:r>
      <w:r w:rsidRPr="008A71FC">
        <w:rPr>
          <w:lang w:val="fr-FR"/>
        </w:rPr>
        <w:t xml:space="preserve">ont </w:t>
      </w:r>
      <w:r w:rsidR="0005243C">
        <w:rPr>
          <w:lang w:val="fr-FR"/>
        </w:rPr>
        <w:t>dits</w:t>
      </w:r>
      <w:r w:rsidRPr="008A71FC">
        <w:rPr>
          <w:lang w:val="fr-FR"/>
        </w:rPr>
        <w:t xml:space="preserve"> préoccup</w:t>
      </w:r>
      <w:r w:rsidR="0005243C">
        <w:rPr>
          <w:lang w:val="fr-FR"/>
        </w:rPr>
        <w:t>és par le</w:t>
      </w:r>
      <w:r w:rsidRPr="008A71FC">
        <w:rPr>
          <w:lang w:val="fr-FR"/>
        </w:rPr>
        <w:t xml:space="preserve"> taux élevé d</w:t>
      </w:r>
      <w:r w:rsidR="00A67BA3">
        <w:rPr>
          <w:lang w:val="fr-FR"/>
        </w:rPr>
        <w:t>’</w:t>
      </w:r>
      <w:r w:rsidRPr="008A71FC">
        <w:rPr>
          <w:lang w:val="fr-FR"/>
        </w:rPr>
        <w:t xml:space="preserve">abandon scolaire des filles et </w:t>
      </w:r>
      <w:r w:rsidR="0005243C">
        <w:rPr>
          <w:lang w:val="fr-FR"/>
        </w:rPr>
        <w:t xml:space="preserve">ont préconisé </w:t>
      </w:r>
      <w:r w:rsidR="00E921B1">
        <w:rPr>
          <w:lang w:val="fr-FR"/>
        </w:rPr>
        <w:t>d</w:t>
      </w:r>
      <w:r w:rsidR="00A67BA3">
        <w:rPr>
          <w:lang w:val="fr-FR"/>
        </w:rPr>
        <w:t>’</w:t>
      </w:r>
      <w:r w:rsidR="0005243C">
        <w:rPr>
          <w:lang w:val="fr-FR"/>
        </w:rPr>
        <w:t>améliorer la form</w:t>
      </w:r>
      <w:r w:rsidRPr="008A71FC">
        <w:rPr>
          <w:lang w:val="fr-FR"/>
        </w:rPr>
        <w:t>ation des enseignants et d</w:t>
      </w:r>
      <w:r w:rsidR="00A67BA3">
        <w:rPr>
          <w:lang w:val="fr-FR"/>
        </w:rPr>
        <w:t>’</w:t>
      </w:r>
      <w:r w:rsidRPr="008A71FC">
        <w:rPr>
          <w:lang w:val="fr-FR"/>
        </w:rPr>
        <w:t>a</w:t>
      </w:r>
      <w:r w:rsidR="0005243C">
        <w:rPr>
          <w:lang w:val="fr-FR"/>
        </w:rPr>
        <w:t>ccroître le</w:t>
      </w:r>
      <w:r w:rsidRPr="008A71FC">
        <w:rPr>
          <w:lang w:val="fr-FR"/>
        </w:rPr>
        <w:t xml:space="preserve"> </w:t>
      </w:r>
      <w:r w:rsidR="0005243C">
        <w:rPr>
          <w:lang w:val="fr-FR"/>
        </w:rPr>
        <w:t>nombre de femmes dans l</w:t>
      </w:r>
      <w:r w:rsidR="00A67BA3">
        <w:rPr>
          <w:lang w:val="fr-FR"/>
        </w:rPr>
        <w:t>’</w:t>
      </w:r>
      <w:r w:rsidRPr="008A71FC">
        <w:rPr>
          <w:lang w:val="fr-FR"/>
        </w:rPr>
        <w:t>enseignement supérieur. Comment l</w:t>
      </w:r>
      <w:r w:rsidR="00A67BA3">
        <w:rPr>
          <w:lang w:val="fr-FR"/>
        </w:rPr>
        <w:t>’</w:t>
      </w:r>
      <w:r w:rsidRPr="008A71FC">
        <w:rPr>
          <w:lang w:val="fr-FR"/>
        </w:rPr>
        <w:t>État partie a-t-il réagi à ces problèmes?</w:t>
      </w:r>
    </w:p>
    <w:p w:rsidR="008A71FC" w:rsidRPr="008A71FC" w:rsidRDefault="008A71FC" w:rsidP="008A71FC">
      <w:pPr>
        <w:pStyle w:val="SingleTxtG"/>
        <w:rPr>
          <w:lang w:val="fr-FR"/>
        </w:rPr>
      </w:pPr>
      <w:r w:rsidRPr="008A71FC">
        <w:rPr>
          <w:lang w:val="fr-FR"/>
        </w:rPr>
        <w:t>13.</w:t>
      </w:r>
      <w:r w:rsidRPr="008A71FC">
        <w:rPr>
          <w:lang w:val="fr-FR"/>
        </w:rPr>
        <w:tab/>
        <w:t>Indiquer si la nouvelle politique d</w:t>
      </w:r>
      <w:r w:rsidR="00A67BA3">
        <w:rPr>
          <w:lang w:val="fr-FR"/>
        </w:rPr>
        <w:t>’</w:t>
      </w:r>
      <w:r w:rsidRPr="008A71FC">
        <w:rPr>
          <w:lang w:val="fr-FR"/>
        </w:rPr>
        <w:t>éducation</w:t>
      </w:r>
      <w:r w:rsidR="005C2999">
        <w:rPr>
          <w:lang w:val="fr-FR"/>
        </w:rPr>
        <w:t xml:space="preserve"> </w:t>
      </w:r>
      <w:r w:rsidRPr="008A71FC">
        <w:rPr>
          <w:lang w:val="fr-FR"/>
        </w:rPr>
        <w:t>de 2009 mentionnée au paragrap</w:t>
      </w:r>
      <w:r w:rsidR="0005243C">
        <w:rPr>
          <w:lang w:val="fr-FR"/>
        </w:rPr>
        <w:t>he 111 du rapport a été établi</w:t>
      </w:r>
      <w:r w:rsidRPr="008A71FC">
        <w:rPr>
          <w:lang w:val="fr-FR"/>
        </w:rPr>
        <w:t>e</w:t>
      </w:r>
      <w:r w:rsidR="0005243C">
        <w:rPr>
          <w:lang w:val="fr-FR"/>
        </w:rPr>
        <w:t xml:space="preserve"> sous sa forme définitive</w:t>
      </w:r>
      <w:r w:rsidRPr="008A71FC">
        <w:rPr>
          <w:lang w:val="fr-FR"/>
        </w:rPr>
        <w:t>. Expliquer les stéréotypes et les attitudes existant à l</w:t>
      </w:r>
      <w:r w:rsidR="00A67BA3">
        <w:rPr>
          <w:lang w:val="fr-FR"/>
        </w:rPr>
        <w:t>’</w:t>
      </w:r>
      <w:r w:rsidRPr="008A71FC">
        <w:rPr>
          <w:lang w:val="fr-FR"/>
        </w:rPr>
        <w:t>égard des femmes et</w:t>
      </w:r>
      <w:r w:rsidR="002C5F60">
        <w:rPr>
          <w:lang w:val="fr-FR"/>
        </w:rPr>
        <w:t xml:space="preserve"> préciser</w:t>
      </w:r>
      <w:r w:rsidRPr="008A71FC">
        <w:rPr>
          <w:lang w:val="fr-FR"/>
        </w:rPr>
        <w:t xml:space="preserve"> si un programme spécifique sera adopté au titre de la nouvelle politique d</w:t>
      </w:r>
      <w:r w:rsidR="00A67BA3">
        <w:rPr>
          <w:lang w:val="fr-FR"/>
        </w:rPr>
        <w:t>’</w:t>
      </w:r>
      <w:r w:rsidRPr="008A71FC">
        <w:rPr>
          <w:lang w:val="fr-FR"/>
        </w:rPr>
        <w:t xml:space="preserve">éducation pour </w:t>
      </w:r>
      <w:r w:rsidR="002C5F60">
        <w:rPr>
          <w:lang w:val="fr-FR"/>
        </w:rPr>
        <w:t>trait</w:t>
      </w:r>
      <w:r w:rsidRPr="008A71FC">
        <w:rPr>
          <w:lang w:val="fr-FR"/>
        </w:rPr>
        <w:t>er ces questions.</w:t>
      </w:r>
    </w:p>
    <w:p w:rsidR="008A71FC" w:rsidRPr="008A71FC" w:rsidRDefault="008A71FC" w:rsidP="008A71FC">
      <w:pPr>
        <w:pStyle w:val="SingleTxtG"/>
      </w:pPr>
      <w:r w:rsidRPr="008A71FC">
        <w:rPr>
          <w:lang w:val="fr-FR"/>
        </w:rPr>
        <w:t>14.</w:t>
      </w:r>
      <w:r w:rsidRPr="008A71FC">
        <w:rPr>
          <w:lang w:val="fr-FR"/>
        </w:rPr>
        <w:tab/>
      </w:r>
      <w:r w:rsidR="002C5F60">
        <w:rPr>
          <w:lang w:val="fr-FR"/>
        </w:rPr>
        <w:t>D</w:t>
      </w:r>
      <w:r w:rsidR="00A67BA3">
        <w:rPr>
          <w:lang w:val="fr-FR"/>
        </w:rPr>
        <w:t>’</w:t>
      </w:r>
      <w:r w:rsidR="002C5F60">
        <w:rPr>
          <w:lang w:val="fr-FR"/>
        </w:rPr>
        <w:t>après l</w:t>
      </w:r>
      <w:r w:rsidRPr="008A71FC">
        <w:rPr>
          <w:lang w:val="fr-FR"/>
        </w:rPr>
        <w:t>e paragraphe 18 du rapport</w:t>
      </w:r>
      <w:r w:rsidR="002C5F60">
        <w:rPr>
          <w:lang w:val="fr-FR"/>
        </w:rPr>
        <w:t xml:space="preserve">, </w:t>
      </w:r>
      <w:r w:rsidRPr="008A71FC">
        <w:rPr>
          <w:lang w:val="fr-FR"/>
        </w:rPr>
        <w:t>il existe des différences dans la qualité de l</w:t>
      </w:r>
      <w:r w:rsidR="00A67BA3">
        <w:rPr>
          <w:lang w:val="fr-FR"/>
        </w:rPr>
        <w:t>’</w:t>
      </w:r>
      <w:r w:rsidRPr="008A71FC">
        <w:rPr>
          <w:lang w:val="fr-FR"/>
        </w:rPr>
        <w:t xml:space="preserve">éducation </w:t>
      </w:r>
      <w:r w:rsidRPr="008A71FC">
        <w:t>entre les zones rurales et les zones urbaines</w:t>
      </w:r>
      <w:r w:rsidR="002C5F60">
        <w:t>,</w:t>
      </w:r>
      <w:r w:rsidRPr="008A71FC">
        <w:rPr>
          <w:lang w:val="fr-FR"/>
        </w:rPr>
        <w:t xml:space="preserve"> et </w:t>
      </w:r>
      <w:r w:rsidRPr="008A71FC">
        <w:t>un écart entre les sexes dans l</w:t>
      </w:r>
      <w:r w:rsidR="00A67BA3">
        <w:t>’</w:t>
      </w:r>
      <w:r w:rsidRPr="008A71FC">
        <w:t>enseignement technique et professionnel et</w:t>
      </w:r>
      <w:r w:rsidR="002C5F60">
        <w:t xml:space="preserve"> </w:t>
      </w:r>
      <w:r w:rsidRPr="008A71FC">
        <w:t>l</w:t>
      </w:r>
      <w:r w:rsidR="00A67BA3">
        <w:t>’</w:t>
      </w:r>
      <w:r w:rsidRPr="008A71FC">
        <w:t>enseignement</w:t>
      </w:r>
      <w:r w:rsidR="002C5F60" w:rsidRPr="008A71FC">
        <w:t xml:space="preserve"> </w:t>
      </w:r>
      <w:r w:rsidR="002C5F60">
        <w:t>tertiaire</w:t>
      </w:r>
      <w:r w:rsidRPr="008A71FC">
        <w:t>. Quelles mesures l</w:t>
      </w:r>
      <w:r w:rsidR="00A67BA3">
        <w:t>’</w:t>
      </w:r>
      <w:r w:rsidRPr="008A71FC">
        <w:t xml:space="preserve">État partie </w:t>
      </w:r>
      <w:r w:rsidR="002C5F60">
        <w:t xml:space="preserve">a-t-il prises </w:t>
      </w:r>
      <w:r w:rsidRPr="008A71FC">
        <w:t>pour améliorer la qualité de l</w:t>
      </w:r>
      <w:r w:rsidR="00A67BA3">
        <w:t>’</w:t>
      </w:r>
      <w:r w:rsidRPr="008A71FC">
        <w:t>éducation dans les zones rurales et pour réduire</w:t>
      </w:r>
      <w:r w:rsidR="005C2999">
        <w:t xml:space="preserve"> </w:t>
      </w:r>
      <w:r w:rsidRPr="008A71FC">
        <w:t>l</w:t>
      </w:r>
      <w:r w:rsidR="00A67BA3">
        <w:t>’</w:t>
      </w:r>
      <w:r w:rsidRPr="008A71FC">
        <w:t>écart entre les sexes dans l</w:t>
      </w:r>
      <w:r w:rsidR="00A67BA3">
        <w:t>’</w:t>
      </w:r>
      <w:r w:rsidRPr="008A71FC">
        <w:t>enseignement techni</w:t>
      </w:r>
      <w:r w:rsidR="002C5F60">
        <w:t>que et professionnel et</w:t>
      </w:r>
      <w:r w:rsidRPr="008A71FC">
        <w:t xml:space="preserve"> l</w:t>
      </w:r>
      <w:r w:rsidR="00A67BA3">
        <w:t>’</w:t>
      </w:r>
      <w:r w:rsidRPr="008A71FC">
        <w:t>enseignement</w:t>
      </w:r>
      <w:r w:rsidR="002C5F60">
        <w:t xml:space="preserve"> </w:t>
      </w:r>
      <w:r w:rsidR="002C5F60" w:rsidRPr="008A71FC">
        <w:t>tertiaire</w:t>
      </w:r>
      <w:r w:rsidRPr="008A71FC">
        <w:t>?</w:t>
      </w:r>
    </w:p>
    <w:p w:rsidR="008A71FC" w:rsidRPr="008A71FC" w:rsidRDefault="008A71FC" w:rsidP="00105E01">
      <w:pPr>
        <w:pStyle w:val="H23G"/>
      </w:pPr>
      <w:r>
        <w:tab/>
      </w:r>
      <w:r>
        <w:tab/>
      </w:r>
      <w:r w:rsidRPr="008A71FC">
        <w:t>Emploi</w:t>
      </w:r>
    </w:p>
    <w:p w:rsidR="008A71FC" w:rsidRPr="008A71FC" w:rsidRDefault="008A71FC" w:rsidP="008A71FC">
      <w:pPr>
        <w:pStyle w:val="SingleTxtG"/>
        <w:rPr>
          <w:lang w:val="fr-FR"/>
        </w:rPr>
      </w:pPr>
      <w:r w:rsidRPr="008A71FC">
        <w:rPr>
          <w:lang w:val="fr-FR"/>
        </w:rPr>
        <w:t>15.</w:t>
      </w:r>
      <w:r w:rsidRPr="008A71FC">
        <w:rPr>
          <w:lang w:val="fr-FR"/>
        </w:rPr>
        <w:tab/>
      </w:r>
      <w:r w:rsidR="002C5F60">
        <w:rPr>
          <w:lang w:val="fr-FR"/>
        </w:rPr>
        <w:t>En ce qui concerne la l</w:t>
      </w:r>
      <w:r w:rsidRPr="008A71FC">
        <w:rPr>
          <w:lang w:val="fr-FR"/>
        </w:rPr>
        <w:t xml:space="preserve">oi bangladaise de 2006 sur le travail mentionnée au paragraphe 43 du rapport, préciser </w:t>
      </w:r>
      <w:r w:rsidR="002C5F60">
        <w:rPr>
          <w:lang w:val="fr-FR"/>
        </w:rPr>
        <w:t>de quelle</w:t>
      </w:r>
      <w:r w:rsidRPr="008A71FC">
        <w:rPr>
          <w:lang w:val="fr-FR"/>
        </w:rPr>
        <w:t xml:space="preserve"> protection bénéficient les femmes contre le harcèlement sexuel. </w:t>
      </w:r>
    </w:p>
    <w:p w:rsidR="008A71FC" w:rsidRPr="008A71FC" w:rsidRDefault="008A71FC" w:rsidP="008A71FC">
      <w:pPr>
        <w:pStyle w:val="SingleTxtG"/>
        <w:rPr>
          <w:lang w:val="fr-FR"/>
        </w:rPr>
      </w:pPr>
      <w:r w:rsidRPr="008A71FC">
        <w:rPr>
          <w:lang w:val="fr-FR"/>
        </w:rPr>
        <w:t>16.</w:t>
      </w:r>
      <w:r w:rsidRPr="008A71FC">
        <w:rPr>
          <w:lang w:val="fr-FR"/>
        </w:rPr>
        <w:tab/>
      </w:r>
      <w:r w:rsidR="002C5F60">
        <w:rPr>
          <w:lang w:val="fr-FR"/>
        </w:rPr>
        <w:t>Eu égard</w:t>
      </w:r>
      <w:r w:rsidRPr="008A71FC">
        <w:rPr>
          <w:lang w:val="fr-FR"/>
        </w:rPr>
        <w:t xml:space="preserve"> au paragraphe 124 du rapport, qui</w:t>
      </w:r>
      <w:r w:rsidR="005C2999">
        <w:rPr>
          <w:lang w:val="fr-FR"/>
        </w:rPr>
        <w:t xml:space="preserve"> </w:t>
      </w:r>
      <w:r w:rsidRPr="008A71FC">
        <w:rPr>
          <w:lang w:val="fr-FR"/>
        </w:rPr>
        <w:t xml:space="preserve">est une réponse aux précédentes observations finales du Comité, </w:t>
      </w:r>
      <w:r w:rsidR="002C5F60">
        <w:rPr>
          <w:lang w:val="fr-FR"/>
        </w:rPr>
        <w:t>donne</w:t>
      </w:r>
      <w:r w:rsidRPr="008A71FC">
        <w:rPr>
          <w:lang w:val="fr-FR"/>
        </w:rPr>
        <w:t xml:space="preserve">r des renseignements sur les dispositifs </w:t>
      </w:r>
      <w:r w:rsidR="002C5F60">
        <w:rPr>
          <w:lang w:val="fr-FR"/>
        </w:rPr>
        <w:t xml:space="preserve">mis </w:t>
      </w:r>
      <w:r w:rsidRPr="008A71FC">
        <w:rPr>
          <w:lang w:val="fr-FR"/>
        </w:rPr>
        <w:t xml:space="preserve">en place </w:t>
      </w:r>
      <w:r w:rsidR="002C5F60">
        <w:rPr>
          <w:lang w:val="fr-FR"/>
        </w:rPr>
        <w:t>pour</w:t>
      </w:r>
      <w:r w:rsidRPr="008A71FC">
        <w:rPr>
          <w:lang w:val="fr-FR"/>
        </w:rPr>
        <w:t xml:space="preserve"> surveiller l</w:t>
      </w:r>
      <w:r w:rsidR="00A67BA3">
        <w:rPr>
          <w:lang w:val="fr-FR"/>
        </w:rPr>
        <w:t>’</w:t>
      </w:r>
      <w:r w:rsidRPr="008A71FC">
        <w:rPr>
          <w:lang w:val="fr-FR"/>
        </w:rPr>
        <w:t>application de la loi bangladaise de 2006 sur le travail. Les femmes travaillant dans le secteur privé bénéficient-elles</w:t>
      </w:r>
      <w:r w:rsidR="005C2999">
        <w:rPr>
          <w:lang w:val="fr-FR"/>
        </w:rPr>
        <w:t xml:space="preserve"> </w:t>
      </w:r>
      <w:r w:rsidRPr="008A71FC">
        <w:rPr>
          <w:lang w:val="fr-FR"/>
        </w:rPr>
        <w:t>du même congé de maternité d</w:t>
      </w:r>
      <w:r w:rsidR="00A67BA3">
        <w:rPr>
          <w:lang w:val="fr-FR"/>
        </w:rPr>
        <w:t>’</w:t>
      </w:r>
      <w:r w:rsidRPr="008A71FC">
        <w:rPr>
          <w:lang w:val="fr-FR"/>
        </w:rPr>
        <w:t xml:space="preserve">une durée de </w:t>
      </w:r>
      <w:r w:rsidR="00E921B1">
        <w:rPr>
          <w:lang w:val="fr-FR"/>
        </w:rPr>
        <w:t>seize</w:t>
      </w:r>
      <w:r w:rsidRPr="008A71FC">
        <w:rPr>
          <w:lang w:val="fr-FR"/>
        </w:rPr>
        <w:t xml:space="preserve"> semaines?</w:t>
      </w:r>
    </w:p>
    <w:p w:rsidR="008A71FC" w:rsidRPr="008A71FC" w:rsidRDefault="008A71FC" w:rsidP="008A71FC">
      <w:pPr>
        <w:pStyle w:val="SingleTxtG"/>
        <w:rPr>
          <w:lang w:val="fr-FR"/>
        </w:rPr>
      </w:pPr>
      <w:r w:rsidRPr="008A71FC">
        <w:rPr>
          <w:lang w:val="fr-FR"/>
        </w:rPr>
        <w:t>17.</w:t>
      </w:r>
      <w:r w:rsidRPr="008A71FC">
        <w:rPr>
          <w:lang w:val="fr-FR"/>
        </w:rPr>
        <w:tab/>
        <w:t xml:space="preserve">Il est indiqué à la page </w:t>
      </w:r>
      <w:r w:rsidR="002C5F60">
        <w:rPr>
          <w:lang w:val="fr-FR"/>
        </w:rPr>
        <w:t>89</w:t>
      </w:r>
      <w:r w:rsidRPr="008A71FC">
        <w:rPr>
          <w:lang w:val="fr-FR"/>
        </w:rPr>
        <w:t xml:space="preserve"> du rapport que les salaires des femmes ne représentent que 58,2</w:t>
      </w:r>
      <w:r w:rsidR="002C5F60">
        <w:rPr>
          <w:lang w:val="fr-FR"/>
        </w:rPr>
        <w:t> </w:t>
      </w:r>
      <w:r w:rsidRPr="008A71FC">
        <w:rPr>
          <w:lang w:val="fr-FR"/>
        </w:rPr>
        <w:t>% de ceux des hommes, et que cet écart de rémunération est dû en</w:t>
      </w:r>
      <w:r w:rsidR="002C5F60">
        <w:rPr>
          <w:lang w:val="fr-FR"/>
        </w:rPr>
        <w:t xml:space="preserve"> partie aux attitudes sociales et aux différences dans</w:t>
      </w:r>
      <w:r w:rsidRPr="008A71FC">
        <w:rPr>
          <w:lang w:val="fr-FR"/>
        </w:rPr>
        <w:t xml:space="preserve"> l</w:t>
      </w:r>
      <w:r w:rsidR="00A67BA3">
        <w:rPr>
          <w:lang w:val="fr-FR"/>
        </w:rPr>
        <w:t>’</w:t>
      </w:r>
      <w:r w:rsidRPr="008A71FC">
        <w:rPr>
          <w:lang w:val="fr-FR"/>
        </w:rPr>
        <w:t xml:space="preserve">éducation et les compétences. </w:t>
      </w:r>
      <w:r w:rsidR="002C5F60">
        <w:rPr>
          <w:lang w:val="fr-FR"/>
        </w:rPr>
        <w:t>Comment ce problème est-il trait</w:t>
      </w:r>
      <w:r w:rsidRPr="008A71FC">
        <w:rPr>
          <w:lang w:val="fr-FR"/>
        </w:rPr>
        <w:t>é?</w:t>
      </w:r>
    </w:p>
    <w:p w:rsidR="008A71FC" w:rsidRPr="008A71FC" w:rsidRDefault="008A71FC" w:rsidP="00105E01">
      <w:pPr>
        <w:pStyle w:val="H23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8A71FC">
        <w:rPr>
          <w:lang w:val="fr-FR"/>
        </w:rPr>
        <w:t>Santé</w:t>
      </w:r>
    </w:p>
    <w:p w:rsidR="008A71FC" w:rsidRPr="008A71FC" w:rsidRDefault="002C5F60" w:rsidP="008A71FC">
      <w:pPr>
        <w:pStyle w:val="SingleTxtG"/>
        <w:rPr>
          <w:lang w:val="fr-FR"/>
        </w:rPr>
      </w:pPr>
      <w:r>
        <w:rPr>
          <w:lang w:val="fr-FR"/>
        </w:rPr>
        <w:t>18.</w:t>
      </w:r>
      <w:r>
        <w:rPr>
          <w:lang w:val="fr-FR"/>
        </w:rPr>
        <w:tab/>
        <w:t>Le paragraphe 63 des o</w:t>
      </w:r>
      <w:r w:rsidR="008A71FC" w:rsidRPr="008A71FC">
        <w:rPr>
          <w:lang w:val="fr-FR"/>
        </w:rPr>
        <w:t>bservations finales du Comité des droits de l</w:t>
      </w:r>
      <w:r w:rsidR="00A67BA3">
        <w:rPr>
          <w:lang w:val="fr-FR"/>
        </w:rPr>
        <w:t>’</w:t>
      </w:r>
      <w:r w:rsidR="008A71FC" w:rsidRPr="008A71FC">
        <w:rPr>
          <w:lang w:val="fr-FR"/>
        </w:rPr>
        <w:t>enfant indique que «les questions les plus urgentes dans ce domaine sont la violence à l</w:t>
      </w:r>
      <w:r w:rsidR="00A67BA3">
        <w:rPr>
          <w:lang w:val="fr-FR"/>
        </w:rPr>
        <w:t>’</w:t>
      </w:r>
      <w:r w:rsidR="008A71FC" w:rsidRPr="008A71FC">
        <w:rPr>
          <w:lang w:val="fr-FR"/>
        </w:rPr>
        <w:t>égard des filles, les mariages précoces, la sous-alimentation et l</w:t>
      </w:r>
      <w:r w:rsidR="00A67BA3">
        <w:rPr>
          <w:lang w:val="fr-FR"/>
        </w:rPr>
        <w:t>’</w:t>
      </w:r>
      <w:r w:rsidR="008A71FC" w:rsidRPr="008A71FC">
        <w:rPr>
          <w:lang w:val="fr-FR"/>
        </w:rPr>
        <w:t>accès à l</w:t>
      </w:r>
      <w:r w:rsidR="00A67BA3">
        <w:rPr>
          <w:lang w:val="fr-FR"/>
        </w:rPr>
        <w:t>’</w:t>
      </w:r>
      <w:r w:rsidR="008A71FC" w:rsidRPr="008A71FC">
        <w:rPr>
          <w:lang w:val="fr-FR"/>
        </w:rPr>
        <w:t>éducation et aux installations sanitaires, et en particulier à des installations sanitaires séparées et adaptées dans les établissements scolaires. Le Comité est aussi préoccupé par l</w:t>
      </w:r>
      <w:r w:rsidR="00A67BA3">
        <w:rPr>
          <w:lang w:val="fr-FR"/>
        </w:rPr>
        <w:t>’</w:t>
      </w:r>
      <w:r w:rsidR="008A71FC" w:rsidRPr="008A71FC">
        <w:rPr>
          <w:lang w:val="fr-FR"/>
        </w:rPr>
        <w:t xml:space="preserve">insuffisance des structures et des services de conseil destinés aux adolescents dans le domaine de la santé mentale et de la santé </w:t>
      </w:r>
      <w:r>
        <w:rPr>
          <w:lang w:val="fr-FR"/>
        </w:rPr>
        <w:t>génésique</w:t>
      </w:r>
      <w:r w:rsidR="008A71FC" w:rsidRPr="008A71FC">
        <w:rPr>
          <w:lang w:val="fr-FR"/>
        </w:rPr>
        <w:t xml:space="preserve">». </w:t>
      </w:r>
      <w:r>
        <w:rPr>
          <w:lang w:val="fr-FR"/>
        </w:rPr>
        <w:t>Donne</w:t>
      </w:r>
      <w:r w:rsidR="008A71FC" w:rsidRPr="008A71FC">
        <w:rPr>
          <w:lang w:val="fr-FR"/>
        </w:rPr>
        <w:t xml:space="preserve">r des </w:t>
      </w:r>
      <w:r>
        <w:rPr>
          <w:lang w:val="fr-FR"/>
        </w:rPr>
        <w:t>précision</w:t>
      </w:r>
      <w:r w:rsidR="008A71FC" w:rsidRPr="008A71FC">
        <w:rPr>
          <w:lang w:val="fr-FR"/>
        </w:rPr>
        <w:t xml:space="preserve">s sur les efforts </w:t>
      </w:r>
      <w:r>
        <w:rPr>
          <w:lang w:val="fr-FR"/>
        </w:rPr>
        <w:t>fait</w:t>
      </w:r>
      <w:r w:rsidR="008A71FC" w:rsidRPr="008A71FC">
        <w:rPr>
          <w:lang w:val="fr-FR"/>
        </w:rPr>
        <w:t xml:space="preserve">s pour </w:t>
      </w:r>
      <w:r>
        <w:rPr>
          <w:lang w:val="fr-FR"/>
        </w:rPr>
        <w:t>trait</w:t>
      </w:r>
      <w:r w:rsidR="008A71FC" w:rsidRPr="008A71FC">
        <w:rPr>
          <w:lang w:val="fr-FR"/>
        </w:rPr>
        <w:t>er ces problèmes et pour développer une politique de santé progressiste qui soit particulièrement attentive aux adolescentes.</w:t>
      </w:r>
      <w:r w:rsidR="005C2999">
        <w:rPr>
          <w:lang w:val="fr-FR"/>
        </w:rPr>
        <w:t xml:space="preserve"> </w:t>
      </w:r>
      <w:r w:rsidR="008A71FC" w:rsidRPr="008A71FC">
        <w:rPr>
          <w:lang w:val="fr-FR"/>
        </w:rPr>
        <w:t>Des ins</w:t>
      </w:r>
      <w:r>
        <w:rPr>
          <w:lang w:val="fr-FR"/>
        </w:rPr>
        <w:t xml:space="preserve">tallations sanitaires séparées </w:t>
      </w:r>
      <w:r w:rsidR="008A71FC" w:rsidRPr="008A71FC">
        <w:rPr>
          <w:lang w:val="fr-FR"/>
        </w:rPr>
        <w:t xml:space="preserve">ont-elles </w:t>
      </w:r>
      <w:r w:rsidR="00E921B1">
        <w:rPr>
          <w:lang w:val="fr-FR"/>
        </w:rPr>
        <w:t xml:space="preserve">été </w:t>
      </w:r>
      <w:r>
        <w:rPr>
          <w:lang w:val="fr-FR"/>
        </w:rPr>
        <w:t>mises en place</w:t>
      </w:r>
      <w:r w:rsidR="008A71FC" w:rsidRPr="008A71FC">
        <w:rPr>
          <w:lang w:val="fr-FR"/>
        </w:rPr>
        <w:t xml:space="preserve"> pour les adolescentes?</w:t>
      </w:r>
    </w:p>
    <w:p w:rsidR="008A71FC" w:rsidRPr="008A71FC" w:rsidRDefault="008A71FC" w:rsidP="008A71FC">
      <w:pPr>
        <w:pStyle w:val="SingleTxtG"/>
        <w:rPr>
          <w:lang w:val="fr-FR"/>
        </w:rPr>
      </w:pPr>
      <w:r w:rsidRPr="008A71FC">
        <w:rPr>
          <w:lang w:val="fr-FR"/>
        </w:rPr>
        <w:t>19.</w:t>
      </w:r>
      <w:r w:rsidRPr="008A71FC">
        <w:rPr>
          <w:lang w:val="fr-FR"/>
        </w:rPr>
        <w:tab/>
      </w:r>
      <w:r w:rsidR="002C5F60">
        <w:rPr>
          <w:lang w:val="fr-FR"/>
        </w:rPr>
        <w:t>Eu égard</w:t>
      </w:r>
      <w:r w:rsidRPr="008A71FC">
        <w:rPr>
          <w:lang w:val="fr-FR"/>
        </w:rPr>
        <w:t xml:space="preserve"> au paragraphe 20 du rapport, expliquer si les services de santé fournis par les dispensaires communautaires sont a</w:t>
      </w:r>
      <w:r w:rsidR="002C5F60">
        <w:rPr>
          <w:lang w:val="fr-FR"/>
        </w:rPr>
        <w:t>pproprié</w:t>
      </w:r>
      <w:r w:rsidRPr="008A71FC">
        <w:rPr>
          <w:lang w:val="fr-FR"/>
        </w:rPr>
        <w:t xml:space="preserve">s, accessibles et abordables. Ces dispensaires existent-ils également dans les zones rurales? </w:t>
      </w:r>
      <w:r w:rsidR="002C5F60">
        <w:rPr>
          <w:lang w:val="fr-FR"/>
        </w:rPr>
        <w:t>Donne</w:t>
      </w:r>
      <w:r w:rsidRPr="008A71FC">
        <w:rPr>
          <w:lang w:val="fr-FR"/>
        </w:rPr>
        <w:t>r des renseignements sur le fonctionnement des comités sanitaires villageois et leur influence</w:t>
      </w:r>
      <w:r w:rsidR="005C2999">
        <w:rPr>
          <w:lang w:val="fr-FR"/>
        </w:rPr>
        <w:t xml:space="preserve"> </w:t>
      </w:r>
      <w:r w:rsidRPr="008A71FC">
        <w:rPr>
          <w:lang w:val="fr-FR"/>
        </w:rPr>
        <w:t>sur l</w:t>
      </w:r>
      <w:r w:rsidR="00A67BA3">
        <w:rPr>
          <w:lang w:val="fr-FR"/>
        </w:rPr>
        <w:t>’</w:t>
      </w:r>
      <w:r w:rsidRPr="008A71FC">
        <w:rPr>
          <w:lang w:val="fr-FR"/>
        </w:rPr>
        <w:t>accès des femmes aux services de santé dans les zones rurales.</w:t>
      </w:r>
    </w:p>
    <w:p w:rsidR="008A71FC" w:rsidRPr="002C5F60" w:rsidRDefault="008A71FC" w:rsidP="002C5F60">
      <w:pPr>
        <w:pStyle w:val="SingleTxtG"/>
      </w:pPr>
      <w:r w:rsidRPr="008A71FC">
        <w:rPr>
          <w:lang w:val="fr-FR"/>
        </w:rPr>
        <w:t>20.</w:t>
      </w:r>
      <w:r w:rsidRPr="008A71FC">
        <w:rPr>
          <w:lang w:val="fr-FR"/>
        </w:rPr>
        <w:tab/>
      </w:r>
      <w:r w:rsidR="002C5F60">
        <w:rPr>
          <w:lang w:val="fr-FR"/>
        </w:rPr>
        <w:t>D</w:t>
      </w:r>
      <w:r w:rsidR="00A67BA3">
        <w:rPr>
          <w:lang w:val="fr-FR"/>
        </w:rPr>
        <w:t>’</w:t>
      </w:r>
      <w:r w:rsidR="002C5F60">
        <w:rPr>
          <w:lang w:val="fr-FR"/>
        </w:rPr>
        <w:t>après le</w:t>
      </w:r>
      <w:r w:rsidRPr="008A71FC">
        <w:rPr>
          <w:lang w:val="fr-FR"/>
        </w:rPr>
        <w:t xml:space="preserve"> paragraphe 19 </w:t>
      </w:r>
      <w:r w:rsidR="002C5F60">
        <w:rPr>
          <w:lang w:val="fr-FR"/>
        </w:rPr>
        <w:t xml:space="preserve">du rapport, </w:t>
      </w:r>
      <w:r w:rsidRPr="008A71FC">
        <w:t>le taux de mortalité maternelle (pour 1</w:t>
      </w:r>
      <w:r w:rsidR="00BD0EA7">
        <w:t> </w:t>
      </w:r>
      <w:r w:rsidRPr="008A71FC">
        <w:t>000 naissances vivantes) qui était de 3,65 en 2004 est tombé à 3,51 en 2007</w:t>
      </w:r>
      <w:r w:rsidR="002C5F60">
        <w:t xml:space="preserve"> −</w:t>
      </w:r>
      <w:r w:rsidRPr="008A71FC">
        <w:t xml:space="preserve"> mais il n</w:t>
      </w:r>
      <w:r w:rsidR="00A67BA3">
        <w:t>’</w:t>
      </w:r>
      <w:r w:rsidRPr="008A71FC">
        <w:t>y a pas d</w:t>
      </w:r>
      <w:r w:rsidR="00A67BA3">
        <w:t>’</w:t>
      </w:r>
      <w:r w:rsidRPr="008A71FC">
        <w:t>in</w:t>
      </w:r>
      <w:r w:rsidR="002C5F60">
        <w:t>form</w:t>
      </w:r>
      <w:r w:rsidRPr="008A71FC">
        <w:t xml:space="preserve">ations </w:t>
      </w:r>
      <w:r w:rsidR="002C5F60">
        <w:t>com</w:t>
      </w:r>
      <w:r w:rsidRPr="008A71FC">
        <w:t xml:space="preserve">plémentaires </w:t>
      </w:r>
      <w:r w:rsidR="002C5F60">
        <w:t>sur</w:t>
      </w:r>
      <w:r w:rsidRPr="008A71FC">
        <w:t xml:space="preserve"> la situation actuelle. Fournir des données sur les taux de mortali</w:t>
      </w:r>
      <w:r w:rsidR="002C5F60">
        <w:t>té maternelle ventilés par zone urbaine et zone rurale</w:t>
      </w:r>
      <w:r w:rsidRPr="008A71FC">
        <w:t xml:space="preserve"> et</w:t>
      </w:r>
      <w:r w:rsidR="002C5F60">
        <w:t xml:space="preserve"> par </w:t>
      </w:r>
      <w:r w:rsidRPr="008A71FC">
        <w:t>facteurs d</w:t>
      </w:r>
      <w:r w:rsidR="00A67BA3">
        <w:t>’</w:t>
      </w:r>
      <w:r w:rsidRPr="008A71FC">
        <w:t>appartenance à des groupes minoritaires ou à des groupes autochtones</w:t>
      </w:r>
      <w:r w:rsidRPr="008A71FC">
        <w:rPr>
          <w:lang w:val="fr-FR"/>
        </w:rPr>
        <w:t>.</w:t>
      </w:r>
    </w:p>
    <w:p w:rsidR="008A71FC" w:rsidRPr="008A71FC" w:rsidRDefault="008A71FC" w:rsidP="00105E01">
      <w:pPr>
        <w:pStyle w:val="H23G"/>
        <w:rPr>
          <w:lang w:val="fr-FR"/>
        </w:rPr>
      </w:pPr>
      <w:r>
        <w:rPr>
          <w:lang w:val="fr-FR"/>
        </w:rPr>
        <w:tab/>
      </w:r>
      <w:r w:rsidRPr="008A71FC">
        <w:rPr>
          <w:lang w:val="fr-FR"/>
        </w:rPr>
        <w:tab/>
        <w:t>Vie économique et sociale</w:t>
      </w:r>
    </w:p>
    <w:p w:rsidR="008A71FC" w:rsidRPr="008A71FC" w:rsidRDefault="008A71FC" w:rsidP="008A71FC">
      <w:pPr>
        <w:pStyle w:val="SingleTxtG"/>
        <w:rPr>
          <w:lang w:val="fr-FR"/>
        </w:rPr>
      </w:pPr>
      <w:r w:rsidRPr="008A71FC">
        <w:rPr>
          <w:lang w:val="fr-FR"/>
        </w:rPr>
        <w:t>21.</w:t>
      </w:r>
      <w:r w:rsidRPr="008A71FC">
        <w:rPr>
          <w:lang w:val="fr-FR"/>
        </w:rPr>
        <w:tab/>
        <w:t>L</w:t>
      </w:r>
      <w:r w:rsidR="00A67BA3">
        <w:rPr>
          <w:lang w:val="fr-FR"/>
        </w:rPr>
        <w:t>’</w:t>
      </w:r>
      <w:r w:rsidRPr="008A71FC">
        <w:rPr>
          <w:lang w:val="fr-FR"/>
        </w:rPr>
        <w:t>introduction du rapport mentionne la réduction de la pauvreté chez les fe</w:t>
      </w:r>
      <w:r w:rsidR="002C5F60">
        <w:rPr>
          <w:lang w:val="fr-FR"/>
        </w:rPr>
        <w:t>mmes</w:t>
      </w:r>
      <w:r w:rsidR="005C2999">
        <w:rPr>
          <w:lang w:val="fr-FR"/>
        </w:rPr>
        <w:t xml:space="preserve"> </w:t>
      </w:r>
      <w:r w:rsidR="002C5F60">
        <w:rPr>
          <w:lang w:val="fr-FR"/>
        </w:rPr>
        <w:t>grâce au soutien fourni aux</w:t>
      </w:r>
      <w:r w:rsidRPr="008A71FC">
        <w:rPr>
          <w:lang w:val="fr-FR"/>
        </w:rPr>
        <w:t xml:space="preserve"> initiatives de création de </w:t>
      </w:r>
      <w:r w:rsidR="00E921B1">
        <w:rPr>
          <w:lang w:val="fr-FR"/>
        </w:rPr>
        <w:t>p</w:t>
      </w:r>
      <w:r w:rsidRPr="008A71FC">
        <w:rPr>
          <w:lang w:val="fr-FR"/>
        </w:rPr>
        <w:t xml:space="preserve">etites et moyennes entreprises (PME) et </w:t>
      </w:r>
      <w:r w:rsidR="002C5F60">
        <w:rPr>
          <w:lang w:val="fr-FR"/>
        </w:rPr>
        <w:t>aux</w:t>
      </w:r>
      <w:r w:rsidRPr="008A71FC">
        <w:rPr>
          <w:lang w:val="fr-FR"/>
        </w:rPr>
        <w:t xml:space="preserve"> facilités de crédit accordées. Existe-t-il des données indiquant le succès ou </w:t>
      </w:r>
      <w:r w:rsidR="002C5F60">
        <w:rPr>
          <w:lang w:val="fr-FR"/>
        </w:rPr>
        <w:t>l</w:t>
      </w:r>
      <w:r w:rsidR="00A67BA3">
        <w:rPr>
          <w:lang w:val="fr-FR"/>
        </w:rPr>
        <w:t>’</w:t>
      </w:r>
      <w:r w:rsidR="002C5F60">
        <w:rPr>
          <w:lang w:val="fr-FR"/>
        </w:rPr>
        <w:t>échec</w:t>
      </w:r>
      <w:r w:rsidRPr="008A71FC">
        <w:rPr>
          <w:lang w:val="fr-FR"/>
        </w:rPr>
        <w:t xml:space="preserve"> de ces initiatives financières? Ces initiatives sont-elles également accessibles aux femmes </w:t>
      </w:r>
      <w:r w:rsidR="002C5F60">
        <w:rPr>
          <w:lang w:val="fr-FR"/>
        </w:rPr>
        <w:t xml:space="preserve">vivant en zones </w:t>
      </w:r>
      <w:r w:rsidRPr="008A71FC">
        <w:rPr>
          <w:lang w:val="fr-FR"/>
        </w:rPr>
        <w:t>rurales et appartenant à des minorités</w:t>
      </w:r>
      <w:r w:rsidR="002C5F60">
        <w:rPr>
          <w:lang w:val="fr-FR"/>
        </w:rPr>
        <w:t xml:space="preserve"> ethniques ou autres</w:t>
      </w:r>
      <w:r w:rsidRPr="008A71FC">
        <w:rPr>
          <w:lang w:val="fr-FR"/>
        </w:rPr>
        <w:t>? Fournir des données</w:t>
      </w:r>
      <w:r w:rsidR="002C5F60">
        <w:rPr>
          <w:lang w:val="fr-FR"/>
        </w:rPr>
        <w:t xml:space="preserve"> sur le nombre de femmes ayant</w:t>
      </w:r>
      <w:r w:rsidRPr="008A71FC">
        <w:rPr>
          <w:lang w:val="fr-FR"/>
        </w:rPr>
        <w:t xml:space="preserve"> bénéficié d</w:t>
      </w:r>
      <w:r w:rsidR="002C5F60">
        <w:rPr>
          <w:lang w:val="fr-FR"/>
        </w:rPr>
        <w:t>e ce programme, ventilées par zone rurale et zone urbaine</w:t>
      </w:r>
      <w:r w:rsidRPr="008A71FC">
        <w:rPr>
          <w:lang w:val="fr-FR"/>
        </w:rPr>
        <w:t>,</w:t>
      </w:r>
      <w:r w:rsidR="002C5F60">
        <w:rPr>
          <w:lang w:val="fr-FR"/>
        </w:rPr>
        <w:t xml:space="preserve"> ainsi que par appartenance aux</w:t>
      </w:r>
      <w:r w:rsidRPr="008A71FC">
        <w:rPr>
          <w:lang w:val="fr-FR"/>
        </w:rPr>
        <w:t xml:space="preserve"> divers groupes minoritaires et ethniques. Commenter également le taux de succès </w:t>
      </w:r>
      <w:r w:rsidR="002C5F60">
        <w:rPr>
          <w:lang w:val="fr-FR"/>
        </w:rPr>
        <w:t xml:space="preserve">enregistrés </w:t>
      </w:r>
      <w:r w:rsidRPr="008A71FC">
        <w:rPr>
          <w:lang w:val="fr-FR"/>
        </w:rPr>
        <w:t xml:space="preserve">dans </w:t>
      </w:r>
      <w:r w:rsidR="002C5F60">
        <w:rPr>
          <w:lang w:val="fr-FR"/>
        </w:rPr>
        <w:t>la création</w:t>
      </w:r>
      <w:r w:rsidRPr="008A71FC">
        <w:rPr>
          <w:lang w:val="fr-FR"/>
        </w:rPr>
        <w:t xml:space="preserve"> de coopé</w:t>
      </w:r>
      <w:r w:rsidR="002C5F60">
        <w:rPr>
          <w:lang w:val="fr-FR"/>
        </w:rPr>
        <w:t>ratives et dans la</w:t>
      </w:r>
      <w:r w:rsidRPr="008A71FC">
        <w:rPr>
          <w:lang w:val="fr-FR"/>
        </w:rPr>
        <w:t xml:space="preserve"> formation </w:t>
      </w:r>
      <w:r w:rsidR="002C5F60">
        <w:rPr>
          <w:lang w:val="fr-FR"/>
        </w:rPr>
        <w:t>et le perfectionnement</w:t>
      </w:r>
      <w:r w:rsidRPr="008A71FC">
        <w:rPr>
          <w:lang w:val="fr-FR"/>
        </w:rPr>
        <w:t xml:space="preserve">. </w:t>
      </w:r>
    </w:p>
    <w:p w:rsidR="008A71FC" w:rsidRPr="008A71FC" w:rsidRDefault="008A71FC" w:rsidP="008A71FC">
      <w:pPr>
        <w:pStyle w:val="SingleTxtG"/>
      </w:pPr>
      <w:r w:rsidRPr="008A71FC">
        <w:t>22.</w:t>
      </w:r>
      <w:r w:rsidRPr="008A71FC">
        <w:tab/>
        <w:t xml:space="preserve">Existe-t-il des données permettant de mesurer le succès des programmes suivants: </w:t>
      </w:r>
      <w:r w:rsidR="002C5F60">
        <w:t>prest</w:t>
      </w:r>
      <w:r w:rsidRPr="008A71FC">
        <w:t>ation</w:t>
      </w:r>
      <w:r w:rsidR="002C5F60">
        <w:t>s</w:t>
      </w:r>
      <w:r w:rsidRPr="008A71FC">
        <w:t xml:space="preserve"> de veuve; allocation </w:t>
      </w:r>
      <w:r w:rsidR="002C5F60">
        <w:t>aux</w:t>
      </w:r>
      <w:r w:rsidRPr="008A71FC">
        <w:t xml:space="preserve"> personnes âgées; allocations de maternité et </w:t>
      </w:r>
      <w:r w:rsidR="002C5F60">
        <w:t>allocations aux</w:t>
      </w:r>
      <w:r w:rsidRPr="008A71FC">
        <w:t xml:space="preserve"> mères allaitantes et allocations </w:t>
      </w:r>
      <w:r w:rsidR="002C5F60">
        <w:t>aux</w:t>
      </w:r>
      <w:r w:rsidRPr="008A71FC">
        <w:t xml:space="preserve"> personnes handicapées? </w:t>
      </w:r>
    </w:p>
    <w:p w:rsidR="008A71FC" w:rsidRPr="008A71FC" w:rsidRDefault="008A71FC" w:rsidP="008A71FC">
      <w:pPr>
        <w:pStyle w:val="SingleTxtG"/>
      </w:pPr>
      <w:r w:rsidRPr="008A71FC">
        <w:t>23.</w:t>
      </w:r>
      <w:r w:rsidRPr="008A71FC">
        <w:tab/>
      </w:r>
      <w:r w:rsidR="002C5F60">
        <w:t>Compte tenu d</w:t>
      </w:r>
      <w:r w:rsidRPr="008A71FC">
        <w:t xml:space="preserve">u paragraphe 22 du rapport, de quelles manières les facilités et informations concernant les marchés pour les activités agricoles et non agricoles prennent davantage en compte les besoins des femmes? </w:t>
      </w:r>
    </w:p>
    <w:p w:rsidR="008A71FC" w:rsidRPr="008A71FC" w:rsidRDefault="008A71FC" w:rsidP="00105E01">
      <w:pPr>
        <w:pStyle w:val="H23G"/>
        <w:rPr>
          <w:lang w:val="fr-FR"/>
        </w:rPr>
      </w:pPr>
      <w:r w:rsidRPr="008A71FC">
        <w:rPr>
          <w:lang w:val="fr-FR"/>
        </w:rPr>
        <w:tab/>
      </w:r>
      <w:r w:rsidRPr="008A71FC">
        <w:rPr>
          <w:lang w:val="fr-FR"/>
        </w:rPr>
        <w:tab/>
        <w:t>Égalité devant la loi et en matière civile</w:t>
      </w:r>
    </w:p>
    <w:p w:rsidR="008A71FC" w:rsidRPr="008A71FC" w:rsidRDefault="00E40738" w:rsidP="008A71FC">
      <w:pPr>
        <w:pStyle w:val="SingleTxtG"/>
      </w:pPr>
      <w:r>
        <w:t>24.</w:t>
      </w:r>
      <w:r>
        <w:tab/>
        <w:t>Au titre de la</w:t>
      </w:r>
      <w:r w:rsidR="005C2999">
        <w:t xml:space="preserve"> </w:t>
      </w:r>
      <w:r>
        <w:t>nouvelle l</w:t>
      </w:r>
      <w:r w:rsidR="008A71FC" w:rsidRPr="008A71FC">
        <w:t xml:space="preserve">oi de 2009 </w:t>
      </w:r>
      <w:r>
        <w:t xml:space="preserve">portant modification de la loi </w:t>
      </w:r>
      <w:r w:rsidR="008A71FC" w:rsidRPr="008A71FC">
        <w:t>sur la nationalité, mentionnée au paragraphe 85 du rapport, préciser si une femme peut transmettre sa nationalité à son</w:t>
      </w:r>
      <w:r w:rsidR="005C2999">
        <w:t xml:space="preserve"> </w:t>
      </w:r>
      <w:r w:rsidR="008A71FC" w:rsidRPr="008A71FC">
        <w:t xml:space="preserve">conjoint étranger. </w:t>
      </w:r>
    </w:p>
    <w:p w:rsidR="008A71FC" w:rsidRPr="008A71FC" w:rsidRDefault="008A71FC" w:rsidP="008A71FC">
      <w:pPr>
        <w:pStyle w:val="SingleTxtG"/>
      </w:pPr>
      <w:r w:rsidRPr="008A71FC">
        <w:t>25.</w:t>
      </w:r>
      <w:r w:rsidRPr="008A71FC">
        <w:tab/>
        <w:t>Au paragrap</w:t>
      </w:r>
      <w:r w:rsidR="00E40738">
        <w:t>he 143, le rapport</w:t>
      </w:r>
      <w:r w:rsidR="005C2999">
        <w:t xml:space="preserve"> </w:t>
      </w:r>
      <w:r w:rsidR="00E40738">
        <w:t>indique que l</w:t>
      </w:r>
      <w:r w:rsidR="00A67BA3">
        <w:t>’</w:t>
      </w:r>
      <w:r w:rsidR="00E40738">
        <w:t xml:space="preserve">adoption </w:t>
      </w:r>
      <w:r w:rsidRPr="008A71FC">
        <w:t xml:space="preserve">du </w:t>
      </w:r>
      <w:r w:rsidRPr="004C7958">
        <w:rPr>
          <w:i/>
        </w:rPr>
        <w:t>Child Marriage Restraint Act</w:t>
      </w:r>
      <w:r w:rsidRPr="008A71FC">
        <w:t xml:space="preserve"> (loi restreignant le mariage des enfants) est à l</w:t>
      </w:r>
      <w:r w:rsidR="00A67BA3">
        <w:t>’</w:t>
      </w:r>
      <w:r w:rsidRPr="008A71FC">
        <w:t xml:space="preserve">examen. Expliquer </w:t>
      </w:r>
      <w:r w:rsidR="00E40738">
        <w:t>pourquoi l</w:t>
      </w:r>
      <w:r w:rsidR="00A67BA3">
        <w:t>’</w:t>
      </w:r>
      <w:r w:rsidR="00E40738">
        <w:t>État partie tarde à adopter ce projet de loi</w:t>
      </w:r>
      <w:r w:rsidRPr="008A71FC">
        <w:t>.</w:t>
      </w:r>
    </w:p>
    <w:p w:rsidR="008A71FC" w:rsidRPr="008A71FC" w:rsidRDefault="008A71FC" w:rsidP="008A71FC">
      <w:pPr>
        <w:pStyle w:val="SingleTxtG"/>
      </w:pPr>
      <w:r w:rsidRPr="008A71FC">
        <w:t>26.</w:t>
      </w:r>
      <w:r w:rsidRPr="008A71FC">
        <w:tab/>
      </w:r>
      <w:r w:rsidR="00E40738">
        <w:t>En ce qui concerne l</w:t>
      </w:r>
      <w:r w:rsidRPr="008A71FC">
        <w:t xml:space="preserve">es lois </w:t>
      </w:r>
      <w:r w:rsidR="00E40738">
        <w:t>de l</w:t>
      </w:r>
      <w:r w:rsidR="00A67BA3">
        <w:t>’</w:t>
      </w:r>
      <w:r w:rsidR="00E40738">
        <w:t>État régissant la propriété, indiquer</w:t>
      </w:r>
      <w:r w:rsidRPr="008A71FC">
        <w:t xml:space="preserve"> si les femmes ont le droit </w:t>
      </w:r>
      <w:r w:rsidR="00E40738">
        <w:t>d</w:t>
      </w:r>
      <w:r w:rsidR="00A67BA3">
        <w:t>’</w:t>
      </w:r>
      <w:r w:rsidR="00E40738">
        <w:t>administrer</w:t>
      </w:r>
      <w:r w:rsidRPr="008A71FC">
        <w:t xml:space="preserve"> leurs biens sans </w:t>
      </w:r>
      <w:r w:rsidR="00E40738">
        <w:t>qu</w:t>
      </w:r>
      <w:r w:rsidR="00A67BA3">
        <w:t>’</w:t>
      </w:r>
      <w:r w:rsidR="00E40738">
        <w:t>un homme intervienne</w:t>
      </w:r>
      <w:r w:rsidRPr="008A71FC">
        <w:t xml:space="preserve"> ou </w:t>
      </w:r>
      <w:r w:rsidR="00E40738">
        <w:t>donne son consentement</w:t>
      </w:r>
      <w:r w:rsidRPr="008A71FC">
        <w:t>, qu</w:t>
      </w:r>
      <w:r w:rsidR="00A67BA3">
        <w:t>’</w:t>
      </w:r>
      <w:r w:rsidRPr="008A71FC">
        <w:t xml:space="preserve">elles </w:t>
      </w:r>
      <w:r w:rsidR="00E40738">
        <w:t>aient acquis ces biens pend</w:t>
      </w:r>
      <w:r w:rsidRPr="008A71FC">
        <w:t>ant le mariage, les aient apporté</w:t>
      </w:r>
      <w:r w:rsidR="00E40738">
        <w:t>s</w:t>
      </w:r>
      <w:r w:rsidRPr="008A71FC">
        <w:t xml:space="preserve"> au mariage ou qu</w:t>
      </w:r>
      <w:r w:rsidR="00A67BA3">
        <w:t>’</w:t>
      </w:r>
      <w:r w:rsidRPr="008A71FC">
        <w:t xml:space="preserve">elles </w:t>
      </w:r>
      <w:r w:rsidR="00E40738">
        <w:t xml:space="preserve">ne </w:t>
      </w:r>
      <w:r w:rsidRPr="008A71FC">
        <w:t xml:space="preserve">soient </w:t>
      </w:r>
      <w:r w:rsidR="00E40738">
        <w:t>pas</w:t>
      </w:r>
      <w:r w:rsidRPr="008A71FC">
        <w:t xml:space="preserve"> mariées. </w:t>
      </w:r>
      <w:r w:rsidR="00E40738">
        <w:t>Donne</w:t>
      </w:r>
      <w:r w:rsidRPr="008A71FC">
        <w:t xml:space="preserve">r également des renseignements sur les </w:t>
      </w:r>
      <w:r w:rsidR="00E40738">
        <w:t xml:space="preserve">éventuelles </w:t>
      </w:r>
      <w:r w:rsidRPr="008A71FC">
        <w:t>restrictions au droit des femmes d</w:t>
      </w:r>
      <w:r w:rsidR="00A67BA3">
        <w:t>’</w:t>
      </w:r>
      <w:r w:rsidR="00E40738">
        <w:t>administrer des biens et sur la manière dont l</w:t>
      </w:r>
      <w:r w:rsidR="00A67BA3">
        <w:t>’</w:t>
      </w:r>
      <w:r w:rsidR="00E40738">
        <w:t>État partie a traité cette question</w:t>
      </w:r>
      <w:r w:rsidRPr="008A71FC">
        <w:t xml:space="preserve">. </w:t>
      </w:r>
    </w:p>
    <w:p w:rsidR="008A71FC" w:rsidRPr="008A71FC" w:rsidRDefault="008A71FC" w:rsidP="00105E01">
      <w:pPr>
        <w:pStyle w:val="H23G"/>
      </w:pPr>
      <w:r>
        <w:tab/>
      </w:r>
      <w:r>
        <w:tab/>
      </w:r>
      <w:r w:rsidRPr="008A71FC">
        <w:t>Femmes rurales, femmes âgées et autres catégories de femmes défavorisées</w:t>
      </w:r>
    </w:p>
    <w:p w:rsidR="008A71FC" w:rsidRPr="008A71FC" w:rsidRDefault="008A71FC" w:rsidP="008A71FC">
      <w:pPr>
        <w:pStyle w:val="SingleTxtG"/>
      </w:pPr>
      <w:r w:rsidRPr="008A71FC">
        <w:t>27.</w:t>
      </w:r>
      <w:r w:rsidRPr="008A71FC">
        <w:tab/>
        <w:t xml:space="preserve">Le rapport </w:t>
      </w:r>
      <w:r w:rsidR="00E40738">
        <w:t>ne contient pas</w:t>
      </w:r>
      <w:r w:rsidRPr="008A71FC">
        <w:t xml:space="preserve"> de renseignements </w:t>
      </w:r>
      <w:r w:rsidR="00E40738">
        <w:t>sur</w:t>
      </w:r>
      <w:r w:rsidRPr="008A71FC">
        <w:t xml:space="preserve"> la situation des femmes rurales et autres catégories de femmes défavorisées, y compris les femmes âgées. </w:t>
      </w:r>
      <w:r w:rsidR="00E40738">
        <w:t>Donne</w:t>
      </w:r>
      <w:r w:rsidRPr="008A71FC">
        <w:t xml:space="preserve">r des informations sur leur situation en </w:t>
      </w:r>
      <w:r w:rsidR="00E40738">
        <w:t>ce qui concerne l</w:t>
      </w:r>
      <w:r w:rsidR="00A67BA3">
        <w:t>’</w:t>
      </w:r>
      <w:r w:rsidRPr="008A71FC">
        <w:t>accès à la santé, l</w:t>
      </w:r>
      <w:r w:rsidR="00A67BA3">
        <w:t>’</w:t>
      </w:r>
      <w:r w:rsidRPr="008A71FC">
        <w:t xml:space="preserve">éducation et les </w:t>
      </w:r>
      <w:r w:rsidR="00E40738">
        <w:t>prestations sociales</w:t>
      </w:r>
      <w:r w:rsidRPr="008A71FC">
        <w:t xml:space="preserve">, ainsi que tous les autres domaines visés par la Convention. </w:t>
      </w:r>
    </w:p>
    <w:p w:rsidR="008A71FC" w:rsidRPr="008A71FC" w:rsidRDefault="008A71FC" w:rsidP="00105E01">
      <w:pPr>
        <w:pStyle w:val="H23G"/>
      </w:pPr>
      <w:r>
        <w:tab/>
      </w:r>
      <w:r>
        <w:tab/>
      </w:r>
      <w:r w:rsidRPr="008A71FC">
        <w:t xml:space="preserve">Femmes appartenant à des </w:t>
      </w:r>
      <w:r w:rsidR="00E40738">
        <w:t>minorité</w:t>
      </w:r>
      <w:r w:rsidRPr="008A71FC">
        <w:t>s et à des groupes autochtones</w:t>
      </w:r>
    </w:p>
    <w:p w:rsidR="008A71FC" w:rsidRPr="008A71FC" w:rsidRDefault="008A71FC" w:rsidP="008A71FC">
      <w:pPr>
        <w:pStyle w:val="SingleTxtG"/>
      </w:pPr>
      <w:r w:rsidRPr="008A71FC">
        <w:t>28.</w:t>
      </w:r>
      <w:r w:rsidRPr="008A71FC">
        <w:tab/>
        <w:t xml:space="preserve">Le rapport ne </w:t>
      </w:r>
      <w:r w:rsidR="00E40738">
        <w:t>contient aucun renseignement</w:t>
      </w:r>
      <w:r w:rsidRPr="008A71FC">
        <w:t xml:space="preserve"> sur la situation des femmes appartenant à des </w:t>
      </w:r>
      <w:r w:rsidR="00E40738">
        <w:t>minorité</w:t>
      </w:r>
      <w:r w:rsidRPr="008A71FC">
        <w:t>s ou à des groupes autochtones, en particulier ce</w:t>
      </w:r>
      <w:r w:rsidR="00E40738">
        <w:t>lles qui vive</w:t>
      </w:r>
      <w:r w:rsidRPr="008A71FC">
        <w:t xml:space="preserve">nt </w:t>
      </w:r>
      <w:r w:rsidR="00E40738">
        <w:t>dans la région des collines de Chittagong</w:t>
      </w:r>
      <w:r w:rsidRPr="008A71FC">
        <w:t xml:space="preserve">. </w:t>
      </w:r>
      <w:r w:rsidR="00E40738">
        <w:t>Donne</w:t>
      </w:r>
      <w:r w:rsidRPr="008A71FC">
        <w:t xml:space="preserve">r des renseignements sur leur accès à la terre et aux autres services sociaux. </w:t>
      </w:r>
    </w:p>
    <w:p w:rsidR="008A71FC" w:rsidRPr="008A71FC" w:rsidRDefault="008A71FC" w:rsidP="00105E01">
      <w:pPr>
        <w:pStyle w:val="H23G"/>
        <w:rPr>
          <w:lang w:val="fr-FR"/>
        </w:rPr>
      </w:pPr>
      <w:r w:rsidRPr="008A71FC">
        <w:rPr>
          <w:lang w:val="fr-FR"/>
        </w:rPr>
        <w:tab/>
      </w:r>
      <w:r w:rsidRPr="008A71FC">
        <w:rPr>
          <w:lang w:val="fr-FR"/>
        </w:rPr>
        <w:tab/>
        <w:t>Mariage et relations familiales</w:t>
      </w:r>
    </w:p>
    <w:p w:rsidR="001C6663" w:rsidRDefault="008A71FC" w:rsidP="00A67BA3">
      <w:pPr>
        <w:pStyle w:val="SingleTxtG"/>
      </w:pPr>
      <w:r w:rsidRPr="008A71FC">
        <w:t>29.</w:t>
      </w:r>
      <w:r w:rsidRPr="008A71FC">
        <w:tab/>
        <w:t>Il est mentionné au paragraphe 114 d</w:t>
      </w:r>
      <w:r w:rsidR="00E40738">
        <w:t>u rapport que la deuxième s</w:t>
      </w:r>
      <w:r w:rsidRPr="008A71FC">
        <w:t>tratégie nationale pour la réduction accél</w:t>
      </w:r>
      <w:r w:rsidR="00E40738">
        <w:t xml:space="preserve">érée de la pauvreté a inclus </w:t>
      </w:r>
      <w:r w:rsidRPr="008A71FC">
        <w:t>l</w:t>
      </w:r>
      <w:r w:rsidR="00A67BA3">
        <w:t>’</w:t>
      </w:r>
      <w:r w:rsidRPr="008A71FC">
        <w:t>adoption d</w:t>
      </w:r>
      <w:r w:rsidR="00A67BA3">
        <w:t>’</w:t>
      </w:r>
      <w:r w:rsidRPr="008A71FC">
        <w:t>un Code uniforme de la famille dans son choix actuel d</w:t>
      </w:r>
      <w:r w:rsidR="00A67BA3">
        <w:t>’</w:t>
      </w:r>
      <w:r w:rsidRPr="008A71FC">
        <w:t>orientations. Quelles mesures ont é</w:t>
      </w:r>
      <w:r w:rsidR="00E40738">
        <w:t>té prises pour mettre au point c</w:t>
      </w:r>
      <w:r w:rsidRPr="008A71FC">
        <w:t>e projet de loi? Expliquer également plus en détail l</w:t>
      </w:r>
      <w:r w:rsidR="00A67BA3">
        <w:t>’</w:t>
      </w:r>
      <w:r w:rsidRPr="008A71FC">
        <w:t xml:space="preserve">ordonnance de 1985 relative aux tribunaux de famille, </w:t>
      </w:r>
      <w:r w:rsidR="00E40738">
        <w:t xml:space="preserve">exposer </w:t>
      </w:r>
      <w:r w:rsidRPr="008A71FC">
        <w:t xml:space="preserve">ses éléments et </w:t>
      </w:r>
      <w:r w:rsidR="00E40738">
        <w:t xml:space="preserve">préciser </w:t>
      </w:r>
      <w:r w:rsidRPr="008A71FC">
        <w:t xml:space="preserve">pourquoi elle ne </w:t>
      </w:r>
      <w:r w:rsidR="00E40738">
        <w:t>s</w:t>
      </w:r>
      <w:r w:rsidR="00A67BA3">
        <w:t>’</w:t>
      </w:r>
      <w:r w:rsidR="00E40738">
        <w:t>applique</w:t>
      </w:r>
      <w:r w:rsidRPr="008A71FC">
        <w:t xml:space="preserve"> pas </w:t>
      </w:r>
      <w:r w:rsidR="00E40738">
        <w:t>à</w:t>
      </w:r>
      <w:r w:rsidRPr="008A71FC">
        <w:t xml:space="preserve"> tous les citoyens</w:t>
      </w:r>
      <w:r w:rsidR="00E40738">
        <w:t xml:space="preserve"> sur la totalité du territoire</w:t>
      </w:r>
      <w:r w:rsidRPr="008A71FC">
        <w:t>.</w:t>
      </w:r>
    </w:p>
    <w:p w:rsidR="008A71FC" w:rsidRPr="008A71FC" w:rsidRDefault="008A71FC" w:rsidP="008A71FC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8A71FC" w:rsidRPr="008A71FC" w:rsidSect="008A71FC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813" w:rsidRDefault="00497813"/>
  </w:endnote>
  <w:endnote w:type="continuationSeparator" w:id="0">
    <w:p w:rsidR="00497813" w:rsidRDefault="00497813"/>
  </w:endnote>
  <w:endnote w:type="continuationNotice" w:id="1">
    <w:p w:rsidR="00497813" w:rsidRDefault="004978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813" w:rsidRPr="008A71FC" w:rsidRDefault="00497813" w:rsidP="008A71FC">
    <w:pPr>
      <w:pStyle w:val="Footer"/>
      <w:tabs>
        <w:tab w:val="right" w:pos="9638"/>
      </w:tabs>
    </w:pPr>
    <w:r w:rsidRPr="008A71FC">
      <w:rPr>
        <w:b/>
        <w:sz w:val="18"/>
      </w:rPr>
      <w:fldChar w:fldCharType="begin"/>
    </w:r>
    <w:r w:rsidRPr="008A71FC">
      <w:rPr>
        <w:b/>
        <w:sz w:val="18"/>
      </w:rPr>
      <w:instrText xml:space="preserve"> PAGE  \* MERGEFORMAT </w:instrText>
    </w:r>
    <w:r w:rsidRPr="008A71FC">
      <w:rPr>
        <w:b/>
        <w:sz w:val="18"/>
      </w:rPr>
      <w:fldChar w:fldCharType="separate"/>
    </w:r>
    <w:r>
      <w:rPr>
        <w:b/>
        <w:noProof/>
        <w:sz w:val="18"/>
      </w:rPr>
      <w:t>4</w:t>
    </w:r>
    <w:r w:rsidRPr="008A71FC">
      <w:rPr>
        <w:b/>
        <w:sz w:val="18"/>
      </w:rPr>
      <w:fldChar w:fldCharType="end"/>
    </w:r>
    <w:r>
      <w:rPr>
        <w:b/>
        <w:sz w:val="18"/>
      </w:rPr>
      <w:tab/>
    </w:r>
    <w:r>
      <w:t>GE.10-44830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813" w:rsidRPr="008A71FC" w:rsidRDefault="00497813" w:rsidP="008A71FC">
    <w:pPr>
      <w:pStyle w:val="Footer"/>
      <w:tabs>
        <w:tab w:val="right" w:pos="9638"/>
      </w:tabs>
      <w:rPr>
        <w:b/>
        <w:sz w:val="18"/>
      </w:rPr>
    </w:pPr>
    <w:r>
      <w:t>GE.10-44830</w:t>
    </w:r>
    <w:r>
      <w:tab/>
    </w:r>
    <w:r w:rsidRPr="008A71FC">
      <w:rPr>
        <w:b/>
        <w:sz w:val="18"/>
      </w:rPr>
      <w:fldChar w:fldCharType="begin"/>
    </w:r>
    <w:r w:rsidRPr="008A71FC">
      <w:rPr>
        <w:b/>
        <w:sz w:val="18"/>
      </w:rPr>
      <w:instrText xml:space="preserve"> PAGE  \* MERGEFORMAT </w:instrText>
    </w:r>
    <w:r w:rsidRPr="008A71FC">
      <w:rPr>
        <w:b/>
        <w:sz w:val="18"/>
      </w:rPr>
      <w:fldChar w:fldCharType="separate"/>
    </w:r>
    <w:r>
      <w:rPr>
        <w:b/>
        <w:noProof/>
        <w:sz w:val="18"/>
      </w:rPr>
      <w:t>5</w:t>
    </w:r>
    <w:r w:rsidRPr="008A71F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813" w:rsidRPr="008A71FC" w:rsidRDefault="00497813">
    <w:pPr>
      <w:pStyle w:val="Footer"/>
      <w:rPr>
        <w:sz w:val="20"/>
      </w:rPr>
    </w:pPr>
    <w:r>
      <w:rPr>
        <w:sz w:val="20"/>
      </w:rPr>
      <w:t>GE.</w:t>
    </w:r>
    <w:r w:rsidRPr="00A50BD5">
      <w:rPr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395.4pt;margin-top:-8.05pt;width:86.95pt;height:18.35pt;z-index:1;mso-position-horizontal-relative:text;mso-position-vertical-relative:text">
          <v:imagedata r:id="rId1" o:title="recycle_French"/>
        </v:shape>
      </w:pict>
    </w:r>
    <w:r>
      <w:rPr>
        <w:sz w:val="20"/>
      </w:rPr>
      <w:t>10-44830  (F)    051110    051110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813" w:rsidRPr="000B175B" w:rsidRDefault="00497813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497813" w:rsidRPr="00FC68B7" w:rsidRDefault="00497813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497813" w:rsidRDefault="0049781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813" w:rsidRPr="008A71FC" w:rsidRDefault="00497813">
    <w:pPr>
      <w:pStyle w:val="Header"/>
    </w:pPr>
    <w:r>
      <w:t>CEDAW/C/BGD/Q/7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813" w:rsidRPr="008A71FC" w:rsidRDefault="00497813" w:rsidP="008A71FC">
    <w:pPr>
      <w:pStyle w:val="Header"/>
      <w:jc w:val="right"/>
    </w:pPr>
    <w:r>
      <w:t>CEDAW/C/BGD/Q/7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1E253887"/>
    <w:multiLevelType w:val="hybridMultilevel"/>
    <w:tmpl w:val="497EC7CC"/>
    <w:lvl w:ilvl="0" w:tplc="FAE4B376">
      <w:start w:val="1"/>
      <w:numFmt w:val="bullet"/>
      <w:pStyle w:val="Bullet1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A12325"/>
    <w:multiLevelType w:val="hybridMultilevel"/>
    <w:tmpl w:val="FF0E5B48"/>
    <w:lvl w:ilvl="0" w:tplc="6D5E22D8">
      <w:start w:val="1"/>
      <w:numFmt w:val="bullet"/>
      <w:pStyle w:val="EndnoteTex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4"/>
  </w:num>
  <w:num w:numId="13">
    <w:abstractNumId w:val="10"/>
  </w:num>
  <w:num w:numId="14">
    <w:abstractNumId w:val="12"/>
  </w:num>
  <w:num w:numId="15">
    <w:abstractNumId w:val="16"/>
  </w:num>
  <w:num w:numId="16">
    <w:abstractNumId w:val="13"/>
  </w:num>
  <w:num w:numId="17">
    <w:abstractNumId w:val="11"/>
  </w:num>
  <w:num w:numId="18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7" w:nlCheck="1" w:checkStyle="1"/>
  <w:activeWritingStyle w:appName="MSWord" w:lang="fr-CH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footnoteLayoutLikeWW8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7289"/>
    <w:rsid w:val="00001804"/>
    <w:rsid w:val="00002A7D"/>
    <w:rsid w:val="000038A8"/>
    <w:rsid w:val="00006790"/>
    <w:rsid w:val="00027624"/>
    <w:rsid w:val="00034BE1"/>
    <w:rsid w:val="00044871"/>
    <w:rsid w:val="00050F6B"/>
    <w:rsid w:val="0005243C"/>
    <w:rsid w:val="000678CD"/>
    <w:rsid w:val="0007091A"/>
    <w:rsid w:val="00072C8C"/>
    <w:rsid w:val="00081CE0"/>
    <w:rsid w:val="00084D30"/>
    <w:rsid w:val="00087744"/>
    <w:rsid w:val="00090320"/>
    <w:rsid w:val="000931C0"/>
    <w:rsid w:val="000A2E09"/>
    <w:rsid w:val="000B175B"/>
    <w:rsid w:val="000B33CE"/>
    <w:rsid w:val="000B3A0F"/>
    <w:rsid w:val="000C16CE"/>
    <w:rsid w:val="000C7963"/>
    <w:rsid w:val="000D5CE6"/>
    <w:rsid w:val="000E0415"/>
    <w:rsid w:val="000E2FF9"/>
    <w:rsid w:val="000E3DCF"/>
    <w:rsid w:val="000F38B7"/>
    <w:rsid w:val="000F56E2"/>
    <w:rsid w:val="000F7715"/>
    <w:rsid w:val="000F7B6F"/>
    <w:rsid w:val="000F7B76"/>
    <w:rsid w:val="00105E01"/>
    <w:rsid w:val="0011765F"/>
    <w:rsid w:val="00126F57"/>
    <w:rsid w:val="00147FD4"/>
    <w:rsid w:val="00156B99"/>
    <w:rsid w:val="00166124"/>
    <w:rsid w:val="00166158"/>
    <w:rsid w:val="0018490B"/>
    <w:rsid w:val="00184DDA"/>
    <w:rsid w:val="001900CD"/>
    <w:rsid w:val="001A0452"/>
    <w:rsid w:val="001A3FA6"/>
    <w:rsid w:val="001B4B04"/>
    <w:rsid w:val="001B5875"/>
    <w:rsid w:val="001C4B9C"/>
    <w:rsid w:val="001C6663"/>
    <w:rsid w:val="001C7895"/>
    <w:rsid w:val="001D26DF"/>
    <w:rsid w:val="001F1599"/>
    <w:rsid w:val="001F19C4"/>
    <w:rsid w:val="002043F0"/>
    <w:rsid w:val="00211E0B"/>
    <w:rsid w:val="0023098D"/>
    <w:rsid w:val="00232575"/>
    <w:rsid w:val="002373AF"/>
    <w:rsid w:val="00247258"/>
    <w:rsid w:val="00247D90"/>
    <w:rsid w:val="00257CAC"/>
    <w:rsid w:val="002974E9"/>
    <w:rsid w:val="002A7F94"/>
    <w:rsid w:val="002B078E"/>
    <w:rsid w:val="002B109A"/>
    <w:rsid w:val="002C2837"/>
    <w:rsid w:val="002C5F60"/>
    <w:rsid w:val="002C6D45"/>
    <w:rsid w:val="002D06FB"/>
    <w:rsid w:val="002D6E53"/>
    <w:rsid w:val="002E3E4B"/>
    <w:rsid w:val="002F046D"/>
    <w:rsid w:val="00301764"/>
    <w:rsid w:val="003225DB"/>
    <w:rsid w:val="003229D8"/>
    <w:rsid w:val="00336C97"/>
    <w:rsid w:val="00342432"/>
    <w:rsid w:val="00352D4B"/>
    <w:rsid w:val="0035638C"/>
    <w:rsid w:val="003709D8"/>
    <w:rsid w:val="00380A9A"/>
    <w:rsid w:val="003812A1"/>
    <w:rsid w:val="003A46BB"/>
    <w:rsid w:val="003A4EC7"/>
    <w:rsid w:val="003A7295"/>
    <w:rsid w:val="003B1F60"/>
    <w:rsid w:val="003C2CC4"/>
    <w:rsid w:val="003D4B23"/>
    <w:rsid w:val="003E278A"/>
    <w:rsid w:val="00413520"/>
    <w:rsid w:val="004235DC"/>
    <w:rsid w:val="004325CB"/>
    <w:rsid w:val="00440A07"/>
    <w:rsid w:val="004506F7"/>
    <w:rsid w:val="00451982"/>
    <w:rsid w:val="00462880"/>
    <w:rsid w:val="00476F24"/>
    <w:rsid w:val="00494310"/>
    <w:rsid w:val="004951FF"/>
    <w:rsid w:val="00497813"/>
    <w:rsid w:val="004C4252"/>
    <w:rsid w:val="004C55B0"/>
    <w:rsid w:val="004C6B7B"/>
    <w:rsid w:val="004C7958"/>
    <w:rsid w:val="004E517A"/>
    <w:rsid w:val="004F6BA0"/>
    <w:rsid w:val="00503BEA"/>
    <w:rsid w:val="00516A1F"/>
    <w:rsid w:val="00533616"/>
    <w:rsid w:val="00535ABA"/>
    <w:rsid w:val="0053768B"/>
    <w:rsid w:val="005420F2"/>
    <w:rsid w:val="0054285C"/>
    <w:rsid w:val="00546224"/>
    <w:rsid w:val="0056237B"/>
    <w:rsid w:val="00584173"/>
    <w:rsid w:val="00595520"/>
    <w:rsid w:val="005A3211"/>
    <w:rsid w:val="005A3A2D"/>
    <w:rsid w:val="005A4018"/>
    <w:rsid w:val="005A44B9"/>
    <w:rsid w:val="005B1BA0"/>
    <w:rsid w:val="005B3DB3"/>
    <w:rsid w:val="005B4DBF"/>
    <w:rsid w:val="005C2999"/>
    <w:rsid w:val="005D15CA"/>
    <w:rsid w:val="005F3066"/>
    <w:rsid w:val="005F3E61"/>
    <w:rsid w:val="00604DDD"/>
    <w:rsid w:val="00605704"/>
    <w:rsid w:val="006115CC"/>
    <w:rsid w:val="00611FC4"/>
    <w:rsid w:val="006176FB"/>
    <w:rsid w:val="00630FCB"/>
    <w:rsid w:val="00636011"/>
    <w:rsid w:val="00640B26"/>
    <w:rsid w:val="00641130"/>
    <w:rsid w:val="006770B2"/>
    <w:rsid w:val="006940E1"/>
    <w:rsid w:val="006A3C72"/>
    <w:rsid w:val="006A7392"/>
    <w:rsid w:val="006B03A1"/>
    <w:rsid w:val="006B67D9"/>
    <w:rsid w:val="006C5535"/>
    <w:rsid w:val="006D0196"/>
    <w:rsid w:val="006D0589"/>
    <w:rsid w:val="006D34A4"/>
    <w:rsid w:val="006E564B"/>
    <w:rsid w:val="006E7154"/>
    <w:rsid w:val="007003CD"/>
    <w:rsid w:val="0070701E"/>
    <w:rsid w:val="007070A5"/>
    <w:rsid w:val="0071067D"/>
    <w:rsid w:val="0072632A"/>
    <w:rsid w:val="007358E8"/>
    <w:rsid w:val="00736ECE"/>
    <w:rsid w:val="0074533B"/>
    <w:rsid w:val="007643BC"/>
    <w:rsid w:val="0076548B"/>
    <w:rsid w:val="00767EA7"/>
    <w:rsid w:val="00776A28"/>
    <w:rsid w:val="007959FE"/>
    <w:rsid w:val="007A0CF1"/>
    <w:rsid w:val="007B6BA5"/>
    <w:rsid w:val="007C3390"/>
    <w:rsid w:val="007C42D8"/>
    <w:rsid w:val="007C4F4B"/>
    <w:rsid w:val="007D7362"/>
    <w:rsid w:val="007F5CE2"/>
    <w:rsid w:val="007F6611"/>
    <w:rsid w:val="00810BAC"/>
    <w:rsid w:val="008175E9"/>
    <w:rsid w:val="008242D7"/>
    <w:rsid w:val="0082577B"/>
    <w:rsid w:val="00860685"/>
    <w:rsid w:val="00866893"/>
    <w:rsid w:val="00866F02"/>
    <w:rsid w:val="00867D18"/>
    <w:rsid w:val="008701A6"/>
    <w:rsid w:val="00871F9A"/>
    <w:rsid w:val="00871FD5"/>
    <w:rsid w:val="0088172E"/>
    <w:rsid w:val="00881EFA"/>
    <w:rsid w:val="008838DF"/>
    <w:rsid w:val="008979B1"/>
    <w:rsid w:val="008A41D9"/>
    <w:rsid w:val="008A6B25"/>
    <w:rsid w:val="008A6C4F"/>
    <w:rsid w:val="008A71FC"/>
    <w:rsid w:val="008A7B48"/>
    <w:rsid w:val="008B389E"/>
    <w:rsid w:val="008B7964"/>
    <w:rsid w:val="008D045E"/>
    <w:rsid w:val="008D3F25"/>
    <w:rsid w:val="008D4D82"/>
    <w:rsid w:val="008E0E46"/>
    <w:rsid w:val="008E47FA"/>
    <w:rsid w:val="008E7116"/>
    <w:rsid w:val="008F143B"/>
    <w:rsid w:val="008F3882"/>
    <w:rsid w:val="008F4B7C"/>
    <w:rsid w:val="00913AB7"/>
    <w:rsid w:val="009265B3"/>
    <w:rsid w:val="00926E47"/>
    <w:rsid w:val="00947162"/>
    <w:rsid w:val="0096375C"/>
    <w:rsid w:val="009662E6"/>
    <w:rsid w:val="0097095E"/>
    <w:rsid w:val="0098592B"/>
    <w:rsid w:val="00985FC4"/>
    <w:rsid w:val="00990766"/>
    <w:rsid w:val="00991261"/>
    <w:rsid w:val="009964C4"/>
    <w:rsid w:val="009A7B81"/>
    <w:rsid w:val="009C7289"/>
    <w:rsid w:val="009C794D"/>
    <w:rsid w:val="009D01C0"/>
    <w:rsid w:val="009D6A08"/>
    <w:rsid w:val="009E0A16"/>
    <w:rsid w:val="009E7970"/>
    <w:rsid w:val="009F2EAC"/>
    <w:rsid w:val="009F420B"/>
    <w:rsid w:val="009F57E3"/>
    <w:rsid w:val="00A10F4F"/>
    <w:rsid w:val="00A11067"/>
    <w:rsid w:val="00A1704A"/>
    <w:rsid w:val="00A425EB"/>
    <w:rsid w:val="00A50BD5"/>
    <w:rsid w:val="00A65B63"/>
    <w:rsid w:val="00A67BA3"/>
    <w:rsid w:val="00A72F22"/>
    <w:rsid w:val="00A733BC"/>
    <w:rsid w:val="00A748A6"/>
    <w:rsid w:val="00A76A69"/>
    <w:rsid w:val="00A879A4"/>
    <w:rsid w:val="00AB2A4A"/>
    <w:rsid w:val="00AC0F2C"/>
    <w:rsid w:val="00AC502A"/>
    <w:rsid w:val="00AF58C1"/>
    <w:rsid w:val="00B06643"/>
    <w:rsid w:val="00B15055"/>
    <w:rsid w:val="00B30179"/>
    <w:rsid w:val="00B33A88"/>
    <w:rsid w:val="00B37B15"/>
    <w:rsid w:val="00B45C02"/>
    <w:rsid w:val="00B51C59"/>
    <w:rsid w:val="00B53C63"/>
    <w:rsid w:val="00B567C4"/>
    <w:rsid w:val="00B72A1E"/>
    <w:rsid w:val="00B81E12"/>
    <w:rsid w:val="00BA339B"/>
    <w:rsid w:val="00BA6E3F"/>
    <w:rsid w:val="00BC021A"/>
    <w:rsid w:val="00BC1E7E"/>
    <w:rsid w:val="00BC74E9"/>
    <w:rsid w:val="00BD0EA7"/>
    <w:rsid w:val="00BE36A9"/>
    <w:rsid w:val="00BE618E"/>
    <w:rsid w:val="00BE7BEC"/>
    <w:rsid w:val="00BF0A5A"/>
    <w:rsid w:val="00BF0E37"/>
    <w:rsid w:val="00BF0E63"/>
    <w:rsid w:val="00BF12A3"/>
    <w:rsid w:val="00BF16D7"/>
    <w:rsid w:val="00BF2373"/>
    <w:rsid w:val="00C044E2"/>
    <w:rsid w:val="00C048CB"/>
    <w:rsid w:val="00C066F3"/>
    <w:rsid w:val="00C463DD"/>
    <w:rsid w:val="00C745C3"/>
    <w:rsid w:val="00C97DDF"/>
    <w:rsid w:val="00CA24A4"/>
    <w:rsid w:val="00CB348D"/>
    <w:rsid w:val="00CC4EDE"/>
    <w:rsid w:val="00CD318B"/>
    <w:rsid w:val="00CD46F5"/>
    <w:rsid w:val="00CE4A8F"/>
    <w:rsid w:val="00CF071D"/>
    <w:rsid w:val="00D15B04"/>
    <w:rsid w:val="00D2031B"/>
    <w:rsid w:val="00D25FE2"/>
    <w:rsid w:val="00D37DA9"/>
    <w:rsid w:val="00D406A7"/>
    <w:rsid w:val="00D43252"/>
    <w:rsid w:val="00D44D86"/>
    <w:rsid w:val="00D50B7D"/>
    <w:rsid w:val="00D52012"/>
    <w:rsid w:val="00D704E5"/>
    <w:rsid w:val="00D72727"/>
    <w:rsid w:val="00D7526D"/>
    <w:rsid w:val="00D87200"/>
    <w:rsid w:val="00D973C4"/>
    <w:rsid w:val="00D978C6"/>
    <w:rsid w:val="00DA0956"/>
    <w:rsid w:val="00DA357F"/>
    <w:rsid w:val="00DA3E12"/>
    <w:rsid w:val="00DB2D60"/>
    <w:rsid w:val="00DC18AD"/>
    <w:rsid w:val="00DD469C"/>
    <w:rsid w:val="00DE591A"/>
    <w:rsid w:val="00DF19DD"/>
    <w:rsid w:val="00DF7CAE"/>
    <w:rsid w:val="00E020B8"/>
    <w:rsid w:val="00E15023"/>
    <w:rsid w:val="00E225DF"/>
    <w:rsid w:val="00E40738"/>
    <w:rsid w:val="00E423C0"/>
    <w:rsid w:val="00E450D1"/>
    <w:rsid w:val="00E6414C"/>
    <w:rsid w:val="00E7260F"/>
    <w:rsid w:val="00E77B38"/>
    <w:rsid w:val="00E8702D"/>
    <w:rsid w:val="00E916A9"/>
    <w:rsid w:val="00E916DE"/>
    <w:rsid w:val="00E921B1"/>
    <w:rsid w:val="00E96630"/>
    <w:rsid w:val="00ED18DC"/>
    <w:rsid w:val="00ED6201"/>
    <w:rsid w:val="00ED7A2A"/>
    <w:rsid w:val="00EF1D7F"/>
    <w:rsid w:val="00F0137E"/>
    <w:rsid w:val="00F035E5"/>
    <w:rsid w:val="00F17B25"/>
    <w:rsid w:val="00F21786"/>
    <w:rsid w:val="00F3742B"/>
    <w:rsid w:val="00F5612B"/>
    <w:rsid w:val="00F56D63"/>
    <w:rsid w:val="00F609A9"/>
    <w:rsid w:val="00F75677"/>
    <w:rsid w:val="00F80C99"/>
    <w:rsid w:val="00F867EC"/>
    <w:rsid w:val="00F91B2B"/>
    <w:rsid w:val="00FB1BCB"/>
    <w:rsid w:val="00FB205F"/>
    <w:rsid w:val="00FC03CD"/>
    <w:rsid w:val="00FC0646"/>
    <w:rsid w:val="00FC509F"/>
    <w:rsid w:val="00FC68B7"/>
    <w:rsid w:val="00FD3520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7FD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ingleTxtG">
    <w:name w:val="_ Single Txt_G"/>
    <w:basedOn w:val="Normal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F0137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styleId="EndnoteText">
    <w:name w:val="endnote text"/>
    <w:aliases w:val="2_G"/>
    <w:basedOn w:val="FootnoteText"/>
    <w:rsid w:val="007B6BA5"/>
  </w:style>
  <w:style w:type="paragraph" w:customStyle="1" w:styleId="H56G">
    <w:name w:val="_ H_5/6_G"/>
    <w:basedOn w:val="Normal"/>
    <w:next w:val="Normal"/>
    <w:rsid w:val="000C16CE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H1G">
    <w:name w:val="_ H_1_G"/>
    <w:basedOn w:val="Normal"/>
    <w:next w:val="Normal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Bullet1G">
    <w:name w:val="_Bullet 1_G"/>
    <w:basedOn w:val="Normal"/>
    <w:rsid w:val="000C7963"/>
    <w:pPr>
      <w:numPr>
        <w:numId w:val="17"/>
      </w:numPr>
      <w:spacing w:after="120"/>
      <w:ind w:right="1134"/>
      <w:jc w:val="both"/>
    </w:pPr>
  </w:style>
  <w:style w:type="character" w:styleId="Hyperlink">
    <w:name w:val="Hyperlink"/>
    <w:semiHidden/>
    <w:rsid w:val="00F035E5"/>
    <w:rPr>
      <w:color w:val="auto"/>
      <w:u w:val="none"/>
    </w:rPr>
  </w:style>
  <w:style w:type="paragraph" w:styleId="Footer">
    <w:name w:val="footer"/>
    <w:aliases w:val="3_G"/>
    <w:basedOn w:val="Normal"/>
    <w:rsid w:val="009F2EAC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Bullet2G">
    <w:name w:val="_Bullet 2_G"/>
    <w:basedOn w:val="Normal"/>
    <w:rsid w:val="000C7963"/>
    <w:pPr>
      <w:numPr>
        <w:numId w:val="18"/>
      </w:numPr>
      <w:spacing w:after="120"/>
      <w:ind w:right="1134"/>
      <w:jc w:val="both"/>
    </w:pPr>
  </w:style>
  <w:style w:type="table" w:styleId="TableGrid">
    <w:name w:val="Table Grid"/>
    <w:basedOn w:val="TableNormal"/>
    <w:semiHidden/>
    <w:rsid w:val="00F035E5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FollowedHyperlink">
    <w:name w:val="FollowedHyperlink"/>
    <w:semiHidden/>
    <w:rsid w:val="00F035E5"/>
    <w:rPr>
      <w:color w:val="auto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NEWFORMAT\TEMPLATES\CEDA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CEDAW</Template>
  <TotalTime>0</TotalTime>
  <Pages>5</Pages>
  <Words>2083</Words>
  <Characters>11358</Characters>
  <Application>Microsoft Office Word</Application>
  <DocSecurity>4</DocSecurity>
  <Lines>192</Lines>
  <Paragraphs>67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CEDAW/C/BGD/Q/7</vt:lpstr>
    </vt:vector>
  </TitlesOfParts>
  <Company>CSD</Company>
  <LinksUpToDate>false</LinksUpToDate>
  <CharactersWithSpaces>13374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CEDAW/C/BGD/Q/7</dc:title>
  <dc:subject>Final</dc:subject>
  <dc:creator>Letaillieur</dc:creator>
  <cp:keywords/>
  <dc:description/>
  <cp:lastModifiedBy>Y.Gibert</cp:lastModifiedBy>
  <cp:revision>2</cp:revision>
  <cp:lastPrinted>2010-11-05T11:50:00Z</cp:lastPrinted>
  <dcterms:created xsi:type="dcterms:W3CDTF">2010-11-05T11:51:00Z</dcterms:created>
  <dcterms:modified xsi:type="dcterms:W3CDTF">2010-11-05T11:51:00Z</dcterms:modified>
</cp:coreProperties>
</file>