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1" w:rsidRDefault="000249E1" w:rsidP="000249E1">
      <w:pPr>
        <w:spacing w:line="240" w:lineRule="auto"/>
        <w:jc w:val="left"/>
        <w:rPr>
          <w:szCs w:val="6"/>
        </w:rPr>
        <w:sectPr w:rsidR="000249E1" w:rsidSect="000249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</w:p>
    <w:p w:rsidR="00F4643F" w:rsidRPr="00F4643F" w:rsidRDefault="00F4643F" w:rsidP="00F4643F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Fonts w:hint="cs"/>
          <w:rtl/>
        </w:rPr>
      </w:pPr>
      <w:r w:rsidRPr="00F4643F">
        <w:rPr>
          <w:rtl/>
        </w:rPr>
        <w:t>اللجنة</w:t>
      </w:r>
      <w:r w:rsidR="00F671F5">
        <w:rPr>
          <w:rtl/>
        </w:rPr>
        <w:t xml:space="preserve"> </w:t>
      </w:r>
      <w:r w:rsidRPr="00F4643F">
        <w:rPr>
          <w:rtl/>
        </w:rPr>
        <w:t>المعنية</w:t>
      </w:r>
      <w:r w:rsidR="00F671F5">
        <w:rPr>
          <w:rtl/>
        </w:rPr>
        <w:t xml:space="preserve"> </w:t>
      </w:r>
      <w:r w:rsidRPr="00F4643F">
        <w:rPr>
          <w:rtl/>
        </w:rPr>
        <w:t>بالقضاء</w:t>
      </w:r>
      <w:r w:rsidR="00F671F5">
        <w:rPr>
          <w:rtl/>
        </w:rPr>
        <w:t xml:space="preserve"> </w:t>
      </w:r>
      <w:r w:rsidRPr="00F4643F">
        <w:rPr>
          <w:rtl/>
        </w:rPr>
        <w:t>على</w:t>
      </w:r>
      <w:r w:rsidR="00F671F5">
        <w:rPr>
          <w:rtl/>
        </w:rPr>
        <w:t xml:space="preserve"> </w:t>
      </w:r>
      <w:r w:rsidRPr="00F4643F">
        <w:rPr>
          <w:rtl/>
        </w:rPr>
        <w:t>التمييز</w:t>
      </w:r>
      <w:r w:rsidR="00F671F5">
        <w:rPr>
          <w:rtl/>
        </w:rPr>
        <w:t xml:space="preserve"> </w:t>
      </w:r>
      <w:r w:rsidRPr="00F4643F">
        <w:rPr>
          <w:rtl/>
        </w:rPr>
        <w:t>ضد</w:t>
      </w:r>
      <w:r w:rsidR="00F671F5">
        <w:rPr>
          <w:rtl/>
        </w:rPr>
        <w:t xml:space="preserve"> </w:t>
      </w:r>
      <w:r w:rsidRPr="00F4643F">
        <w:rPr>
          <w:rtl/>
        </w:rPr>
        <w:t>المرأة</w:t>
      </w:r>
    </w:p>
    <w:p w:rsidR="00F4643F" w:rsidRPr="00F4643F" w:rsidRDefault="00F4643F" w:rsidP="00F4643F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jc w:val="lowKashida"/>
        <w:rPr>
          <w:rFonts w:hint="cs"/>
          <w:rtl/>
        </w:rPr>
      </w:pPr>
      <w:r w:rsidRPr="00F4643F">
        <w:rPr>
          <w:rFonts w:hint="cs"/>
          <w:rtl/>
        </w:rPr>
        <w:t>الفريق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الخامسة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والثلاثين</w:t>
      </w:r>
    </w:p>
    <w:p w:rsidR="00F4643F" w:rsidRPr="00F4643F" w:rsidRDefault="00F4643F" w:rsidP="00F4643F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F4643F">
        <w:rPr>
          <w:rFonts w:hint="cs"/>
          <w:rtl/>
        </w:rPr>
        <w:t>15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أيار/مايو</w:t>
      </w:r>
      <w:r w:rsidR="00F671F5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حزيران/يونيه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2006</w:t>
      </w:r>
    </w:p>
    <w:p w:rsidR="00F4643F" w:rsidRPr="00F4643F" w:rsidRDefault="00F4643F" w:rsidP="00F4643F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F4643F" w:rsidRPr="00F4643F" w:rsidRDefault="00F4643F" w:rsidP="00F4643F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F4643F" w:rsidRPr="00F4643F" w:rsidRDefault="00F4643F" w:rsidP="00F4643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 w:rsidRPr="00F4643F">
        <w:rPr>
          <w:rFonts w:hint="cs"/>
          <w:rtl/>
        </w:rPr>
        <w:tab/>
      </w:r>
      <w:r w:rsidRPr="00F4643F">
        <w:rPr>
          <w:rFonts w:hint="cs"/>
          <w:rtl/>
        </w:rPr>
        <w:tab/>
      </w:r>
      <w:r w:rsidRPr="00F4643F">
        <w:rPr>
          <w:rtl/>
        </w:rPr>
        <w:t>قائمة</w:t>
      </w:r>
      <w:r w:rsidR="00F671F5">
        <w:rPr>
          <w:rtl/>
        </w:rPr>
        <w:t xml:space="preserve"> </w:t>
      </w:r>
      <w:r w:rsidRPr="00F4643F">
        <w:rPr>
          <w:rtl/>
        </w:rPr>
        <w:t>القضايا</w:t>
      </w:r>
      <w:r w:rsidR="00F671F5">
        <w:rPr>
          <w:rtl/>
        </w:rPr>
        <w:t xml:space="preserve"> </w:t>
      </w:r>
      <w:r w:rsidRPr="00F4643F">
        <w:rPr>
          <w:rtl/>
        </w:rPr>
        <w:t>والأسئلة</w:t>
      </w:r>
      <w:r w:rsidR="00F671F5">
        <w:rPr>
          <w:rtl/>
        </w:rPr>
        <w:t xml:space="preserve"> </w:t>
      </w:r>
      <w:r w:rsidRPr="00F4643F">
        <w:rPr>
          <w:rtl/>
        </w:rPr>
        <w:t>الم</w:t>
      </w:r>
      <w:r w:rsidRPr="00F4643F">
        <w:rPr>
          <w:rFonts w:hint="cs"/>
          <w:rtl/>
        </w:rPr>
        <w:t>طروحة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للنظر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tl/>
        </w:rPr>
        <w:t>التقارير</w:t>
      </w:r>
      <w:r w:rsidR="00F671F5">
        <w:rPr>
          <w:rtl/>
        </w:rPr>
        <w:t xml:space="preserve"> </w:t>
      </w:r>
      <w:r w:rsidRPr="00F4643F">
        <w:rPr>
          <w:rFonts w:hint="cs"/>
          <w:rtl/>
        </w:rPr>
        <w:t>الأولية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</w:t>
      </w:r>
      <w:r w:rsidRPr="00F4643F">
        <w:rPr>
          <w:rtl/>
        </w:rPr>
        <w:t>الدورية</w:t>
      </w:r>
    </w:p>
    <w:p w:rsidR="00F4643F" w:rsidRPr="00F4643F" w:rsidRDefault="00F4643F" w:rsidP="00F4643F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ab/>
        <w:t>نظر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الفريق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الدوري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المجمع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الأول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والثاني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والثالث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المقدم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</w:t>
      </w:r>
      <w:r w:rsidRPr="00F4643F">
        <w:t>CEDAW/C/BIH/1-3</w:t>
      </w:r>
      <w:r w:rsidRPr="00F4643F">
        <w:rPr>
          <w:rFonts w:hint="cs"/>
          <w:rtl/>
        </w:rPr>
        <w:t>).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معلومات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عامة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عملية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إعداد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الدوري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المجمع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الأول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والثاني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والثالث.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وينبغي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الإدارات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والمؤسسات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الحكومية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شاركت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إعداده،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وطبيعة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مشاركتها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ومداها،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وتوضيح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مشاورات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عقدت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بهذا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الشأن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منظمات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غير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حكومية،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ولا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منظمات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نسائية،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حكومة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اعتمدت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موضوع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مناقشة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وتقييم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صعيد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البرلمان.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المادتان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2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2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المركز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للاتفاقية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النظام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الداخلي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وينبغي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توضيح</w:t>
      </w:r>
      <w:r w:rsidR="00F671F5">
        <w:rPr>
          <w:rFonts w:hint="cs"/>
          <w:rtl/>
        </w:rPr>
        <w:t xml:space="preserve"> </w:t>
      </w:r>
      <w:r w:rsidRPr="00F4643F">
        <w:rPr>
          <w:rtl/>
        </w:rPr>
        <w:t>ما</w:t>
      </w:r>
      <w:r w:rsidR="00F671F5">
        <w:rPr>
          <w:rtl/>
        </w:rPr>
        <w:t xml:space="preserve"> </w:t>
      </w:r>
      <w:r w:rsidRPr="00F4643F">
        <w:rPr>
          <w:rtl/>
        </w:rPr>
        <w:t>إذا</w:t>
      </w:r>
      <w:r w:rsidR="00F671F5">
        <w:rPr>
          <w:rtl/>
        </w:rPr>
        <w:t xml:space="preserve"> </w:t>
      </w:r>
      <w:r w:rsidRPr="00F4643F">
        <w:rPr>
          <w:rtl/>
        </w:rPr>
        <w:t>كانت</w:t>
      </w:r>
      <w:r w:rsidR="00F671F5">
        <w:rPr>
          <w:rtl/>
        </w:rPr>
        <w:t xml:space="preserve"> </w:t>
      </w:r>
      <w:r w:rsidRPr="00F4643F">
        <w:rPr>
          <w:rFonts w:hint="cs"/>
          <w:rtl/>
        </w:rPr>
        <w:t>الاتفاقية</w:t>
      </w:r>
      <w:r w:rsidR="00F671F5">
        <w:rPr>
          <w:rFonts w:hint="cs"/>
          <w:rtl/>
        </w:rPr>
        <w:t xml:space="preserve"> </w:t>
      </w:r>
      <w:r w:rsidRPr="00F4643F">
        <w:rPr>
          <w:rtl/>
        </w:rPr>
        <w:t>تطبق</w:t>
      </w:r>
      <w:r w:rsidR="00F671F5">
        <w:rPr>
          <w:rtl/>
        </w:rPr>
        <w:t xml:space="preserve"> </w:t>
      </w:r>
      <w:r w:rsidRPr="00F4643F">
        <w:rPr>
          <w:rtl/>
        </w:rPr>
        <w:t>مباشرة</w:t>
      </w:r>
      <w:r w:rsidR="00F671F5">
        <w:rPr>
          <w:rtl/>
        </w:rPr>
        <w:t xml:space="preserve"> </w:t>
      </w:r>
      <w:r w:rsidRPr="00F4643F">
        <w:rPr>
          <w:rtl/>
        </w:rPr>
        <w:t>أمام</w:t>
      </w:r>
      <w:r w:rsidR="00F671F5">
        <w:rPr>
          <w:rtl/>
        </w:rPr>
        <w:t xml:space="preserve"> </w:t>
      </w:r>
      <w:r w:rsidRPr="00F4643F">
        <w:rPr>
          <w:rtl/>
        </w:rPr>
        <w:t>المحاكم</w:t>
      </w:r>
      <w:r w:rsidRPr="00F4643F">
        <w:rPr>
          <w:rFonts w:hint="cs"/>
          <w:rtl/>
        </w:rPr>
        <w:t>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وذكر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عدد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الدعاوى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جرى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الاحتكام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الصك.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</w:rPr>
        <w:t>3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وصف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آليات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الرقابة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والتشاور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المتاحة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النظام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السياسي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لكفالة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التطابق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والاتساق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إعمال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حقوق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تحميها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الاتفاقية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اتحاد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وجمهورية</w:t>
      </w:r>
      <w:r w:rsidR="00F671F5">
        <w:rPr>
          <w:rFonts w:hint="cs"/>
          <w:rtl/>
        </w:rPr>
        <w:t xml:space="preserve"> </w:t>
      </w:r>
      <w:r w:rsidRPr="00F4643F">
        <w:rPr>
          <w:rtl/>
        </w:rPr>
        <w:t>صربسكا</w:t>
      </w:r>
      <w:r w:rsidRPr="00F4643F">
        <w:rPr>
          <w:rFonts w:hint="cs"/>
          <w:rtl/>
        </w:rPr>
        <w:t>.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  <w:lang w:bidi="ar-EG"/>
        </w:rPr>
      </w:pPr>
      <w:r w:rsidRPr="00F4643F">
        <w:rPr>
          <w:rFonts w:hint="cs"/>
          <w:rtl/>
        </w:rPr>
        <w:t>4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وأفاد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أنه،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الرغم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  <w:lang w:bidi="ar-EG"/>
        </w:rPr>
        <w:t>الإطار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التشريعي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العام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القوي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المتوفر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لدى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البوسنة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والهرسك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لمنع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التمييز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أساس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نوع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فإن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المحاكم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يتعذر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عليها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تطبيق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هذه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القوانين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بسبب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تضخم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عام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عدد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القضايا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المعروضة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عليها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وبسب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عدم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وجود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محاكم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العمل.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توضيح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أدى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إصلاح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النظام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القضائي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زيادة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الدعاوى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الفردية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المتصلة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بالتمييز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ترفعها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النساء،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وبخاصة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سوق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العمل.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أيضا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الإشارة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كان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أمين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المظالم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يعالج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الدعاوى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تقدمها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تتعلق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بالتمييز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أساس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ونوع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الجنس.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  <w:lang w:bidi="ar-EG"/>
        </w:rPr>
        <w:t>5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-</w:t>
      </w:r>
      <w:r w:rsidRPr="00F4643F">
        <w:rPr>
          <w:rFonts w:hint="cs"/>
          <w:rtl/>
          <w:lang w:bidi="ar-EG"/>
        </w:rPr>
        <w:tab/>
        <w:t>ويرجى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بيان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النتائج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تحقيقها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حتى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الآن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بفضل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القانونية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السياسة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العامة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تضطلع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الدولة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والكيانان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لجمع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بيانات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إحصائية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موزعة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حسب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والعرق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بشأن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كافة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أشكال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التمييز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ضد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المرأة،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وتحليل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تلك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البيانات،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واستخدامها.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توضيح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الكيفية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يتم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تنسيق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الجهود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لبلوغ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نتائج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شاملة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ومتسقة.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3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</w:rPr>
        <w:t>6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أفاد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17)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  <w:lang w:bidi="ar-EG"/>
        </w:rPr>
        <w:t>قانون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المساواة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الجنسين،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الذي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يحظر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التمييز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أساس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جميع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مجالات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حياة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المرأة،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يهدف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إنشاء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وكالة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المساواة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الجنسين،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مستوى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الدولة،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بوزارة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حقوق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الإنسان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واللاجئين،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وهي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تعمل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حاليا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باعتبارها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آلية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وطنية.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توضيح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الوكالة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أنشئت،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بالإيجاب،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مركزها،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وولايتها،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وموار</w:t>
      </w:r>
      <w:r w:rsidR="00F671F5">
        <w:rPr>
          <w:rFonts w:hint="cs"/>
          <w:rtl/>
        </w:rPr>
        <w:t>د</w:t>
      </w:r>
      <w:r w:rsidRPr="00F4643F">
        <w:rPr>
          <w:rFonts w:hint="cs"/>
          <w:rtl/>
        </w:rPr>
        <w:t>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البشرية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والمالية،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وأنشطتها،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فضلا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آلياتها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الاتصالية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لرصد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مراعاة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المنظور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الجنساني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داخل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الحكومات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صعيدي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والكيانين.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</w:rPr>
        <w:t>7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تفاصيل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الأهداف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المحددة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والأطر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الزمنية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لخطة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الوطنية</w:t>
      </w:r>
      <w:r w:rsidR="00F671F5">
        <w:rPr>
          <w:rFonts w:hint="cs"/>
          <w:rtl/>
        </w:rPr>
        <w:t xml:space="preserve"> </w:t>
      </w:r>
      <w:r w:rsidRPr="00E913A1">
        <w:rPr>
          <w:rFonts w:hint="cs"/>
          <w:w w:val="100"/>
          <w:rtl/>
        </w:rPr>
        <w:t>لتحسين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وضع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المرأة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المعدة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على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مستوى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الكيانين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على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أساس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منهاج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عمل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بيجين.</w:t>
      </w:r>
      <w:r w:rsidR="00F671F5" w:rsidRPr="00E913A1">
        <w:rPr>
          <w:rFonts w:hint="cs"/>
          <w:w w:val="100"/>
          <w:rtl/>
        </w:rPr>
        <w:t xml:space="preserve"> </w:t>
      </w:r>
      <w:r w:rsidRPr="00E913A1">
        <w:rPr>
          <w:rFonts w:hint="cs"/>
          <w:w w:val="100"/>
          <w:rtl/>
        </w:rPr>
        <w:t>ويرجى</w:t>
      </w:r>
      <w:r w:rsidR="00F671F5" w:rsidRPr="00E913A1">
        <w:rPr>
          <w:rFonts w:hint="cs"/>
          <w:w w:val="100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توضيح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الخطة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اعتمدت،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وتحديد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الجهة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المسؤولة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تنفيذها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ورصد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تنفيذها.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4</w:t>
      </w:r>
    </w:p>
    <w:p w:rsidR="00F4643F" w:rsidRPr="00F4643F" w:rsidRDefault="00F4643F" w:rsidP="00F4643F">
      <w:pPr>
        <w:pStyle w:val="SingleTxt"/>
        <w:rPr>
          <w:rFonts w:hint="cs"/>
          <w:rtl/>
          <w:lang w:bidi="ar-EG"/>
        </w:rPr>
      </w:pPr>
      <w:r w:rsidRPr="00F4643F">
        <w:rPr>
          <w:rFonts w:hint="cs"/>
          <w:rtl/>
        </w:rPr>
        <w:t>8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أ</w:t>
      </w:r>
      <w:r w:rsidRPr="00F4643F">
        <w:rPr>
          <w:rFonts w:hint="cs"/>
          <w:rtl/>
          <w:lang w:bidi="ar-EG"/>
        </w:rPr>
        <w:t>شار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التقرير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المقتضيات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المتعلقة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بالحصص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الانتخابية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برنامج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توفير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التدريب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والدعم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للقائمات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بتنظيم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الأعمال.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توضيح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كانت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الحكومة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تتخذ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خطوات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إضافية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لاعتماد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خاصة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مؤقتة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بغية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الإسراع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بتحقيق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المساواة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للمرأة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مجالات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أخرى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حياتهن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تمشيا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4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الاتفاقية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والتوصية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العامة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25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المتعلقة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بالتدابير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الخاصة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المؤقتة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أصدرتها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اللجنة.</w:t>
      </w: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F4643F" w:rsidRPr="00F4643F">
        <w:rPr>
          <w:rFonts w:hint="cs"/>
          <w:rtl/>
          <w:lang w:bidi="ar-EG"/>
        </w:rPr>
        <w:t>المادة</w:t>
      </w:r>
      <w:r>
        <w:rPr>
          <w:rFonts w:hint="cs"/>
          <w:rtl/>
          <w:lang w:bidi="ar-EG"/>
        </w:rPr>
        <w:t xml:space="preserve"> </w:t>
      </w:r>
      <w:r w:rsidR="00F4643F" w:rsidRPr="00F4643F">
        <w:rPr>
          <w:rFonts w:hint="cs"/>
          <w:rtl/>
          <w:lang w:bidi="ar-EG"/>
        </w:rPr>
        <w:t>5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  <w:lang w:bidi="ar-EG"/>
        </w:rPr>
        <w:t>9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-</w:t>
      </w:r>
      <w:r w:rsidRPr="00F4643F">
        <w:rPr>
          <w:rFonts w:hint="cs"/>
          <w:rtl/>
          <w:lang w:bidi="ar-EG"/>
        </w:rPr>
        <w:tab/>
        <w:t>لاحظ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التقرير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استمرار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القوالب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النمطية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المتعلقة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بدور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الجنسين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توزيع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داخل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الأسرة</w:t>
      </w:r>
      <w:r w:rsidRPr="00F4643F">
        <w:rPr>
          <w:rFonts w:hint="cs"/>
          <w:rtl/>
          <w:lang w:bidi="ar-EG"/>
        </w:rPr>
        <w:t>،</w:t>
      </w:r>
      <w:r w:rsidR="00F671F5">
        <w:rPr>
          <w:rFonts w:hint="cs"/>
          <w:rtl/>
          <w:lang w:bidi="ar-EG"/>
        </w:rPr>
        <w:t xml:space="preserve"> لا </w:t>
      </w:r>
      <w:r w:rsidRPr="00F4643F">
        <w:rPr>
          <w:rFonts w:hint="cs"/>
          <w:rtl/>
          <w:lang w:bidi="ar-EG"/>
        </w:rPr>
        <w:t>سيما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المناطق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الريفية</w:t>
      </w:r>
      <w:r w:rsidRPr="00F4643F">
        <w:rPr>
          <w:rFonts w:hint="cs"/>
          <w:rtl/>
        </w:rPr>
        <w:t>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وأشار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استمرار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القوالب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النمطية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المتعلقة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بدور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الرجل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وسائط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الإعلام.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تبيان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المتخذة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والنتائج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المحققة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صعيد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كافة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الحكومات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والمؤسسات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الأخرى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لتغيير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المواقف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وأنماط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السلوك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تنطوي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التمييز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خلال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تسخير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التعليم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والإعلام،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وكذلك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استهداف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المناطق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الريفية.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العنف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ضد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المرأة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10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قدمت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اللجنة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1994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تقريرا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شفويا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استثنائيا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انتهاك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حقوق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أثناء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الحروب،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مشددة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بوجه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خاص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الاغتصاب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الجماعي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والمنهجي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وحالات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</w:t>
      </w:r>
      <w:r w:rsidRPr="00F4643F">
        <w:rPr>
          <w:rtl/>
        </w:rPr>
        <w:t>حمل</w:t>
      </w:r>
      <w:r w:rsidR="00F671F5">
        <w:rPr>
          <w:rtl/>
        </w:rPr>
        <w:t xml:space="preserve"> </w:t>
      </w:r>
      <w:r w:rsidRPr="00F4643F">
        <w:rPr>
          <w:rFonts w:hint="cs"/>
          <w:rtl/>
        </w:rPr>
        <w:t>ال</w:t>
      </w:r>
      <w:r w:rsidRPr="00F4643F">
        <w:rPr>
          <w:rtl/>
        </w:rPr>
        <w:t>قسري</w:t>
      </w:r>
      <w:r w:rsidRPr="00F4643F">
        <w:rPr>
          <w:rFonts w:hint="cs"/>
          <w:rtl/>
        </w:rPr>
        <w:t>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محاكمة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الجرائم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التأهيل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المتاحة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اللائي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يقعن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ضحايا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لمثل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أعمال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هذه.</w:t>
      </w:r>
    </w:p>
    <w:p w:rsidR="00F4643F" w:rsidRPr="00F4643F" w:rsidRDefault="00F4643F" w:rsidP="00F671F5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11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وأشار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وجود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تشريعات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راسخة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نسبياً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بشأن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الجنائي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والعلاقات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الأسرية</w:t>
      </w:r>
      <w:r w:rsidR="00F671F5">
        <w:rPr>
          <w:rFonts w:hint="cs"/>
          <w:rtl/>
        </w:rPr>
        <w:t xml:space="preserve">. وأشار أيضا إلى </w:t>
      </w:r>
      <w:r w:rsidR="00F671F5">
        <w:rPr>
          <w:rFonts w:hint="eastAsia"/>
          <w:rtl/>
          <w:lang w:bidi="ar-EG"/>
        </w:rPr>
        <w:t>”</w:t>
      </w:r>
      <w:r w:rsidRPr="00F4643F">
        <w:rPr>
          <w:rFonts w:hint="cs"/>
          <w:rtl/>
          <w:lang w:bidi="ar-EG"/>
        </w:rPr>
        <w:t>طرح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مبادرة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لاستحداث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قانون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للحماية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العنف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الأسري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بمشاركة</w:t>
      </w:r>
      <w:r w:rsidR="00F671F5">
        <w:rPr>
          <w:rFonts w:hint="cs"/>
          <w:rtl/>
          <w:lang w:bidi="ar-EG"/>
        </w:rPr>
        <w:t xml:space="preserve"> القطاعين الحكومي وغير الحكومي</w:t>
      </w:r>
      <w:r w:rsidR="00F671F5">
        <w:rPr>
          <w:rFonts w:hint="eastAsia"/>
          <w:rtl/>
          <w:lang w:bidi="ar-EG"/>
        </w:rPr>
        <w:t>“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</w:rPr>
        <w:t>(الصفحة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155)</w:t>
      </w:r>
      <w:r w:rsidRPr="00F4643F">
        <w:rPr>
          <w:rFonts w:hint="cs"/>
          <w:rtl/>
          <w:lang w:bidi="ar-EG"/>
        </w:rPr>
        <w:t>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وأفاد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بأن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</w:rPr>
        <w:t>البلد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ليس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لديه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خطة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استراتيجية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لمكافح</w:t>
      </w:r>
      <w:r w:rsidRPr="00F4643F">
        <w:rPr>
          <w:rtl/>
        </w:rPr>
        <w:t>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  <w:lang w:bidi="ar-EG"/>
        </w:rPr>
        <w:t>(الفقرة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70)</w:t>
      </w:r>
      <w:r w:rsidRPr="00F4643F">
        <w:rPr>
          <w:rFonts w:hint="cs"/>
          <w:rtl/>
        </w:rPr>
        <w:t>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تفاصيل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الإطار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للتصدي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المرحلة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بلغها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إعداد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المقترح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المتعلق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بالحماية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الأسري.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الحكومة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بذلت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جهودا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للتعجيل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بتنفيذ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خلال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خطة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وطنية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بشأن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وحماية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الضحايا.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12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أنواع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الحماية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المتاحة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حاليا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لضحايا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كلا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العراقيل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تواجهها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وحكومتا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لتحسين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حماية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العائلي.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13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وأعربت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المقررة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الخاصة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للجنة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حقوق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الإنسان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وأسبابه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ونتائجه،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تقريرها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</w:t>
      </w:r>
      <w:r w:rsidRPr="00F4643F">
        <w:t>E/CN.4/2003/75/Add.1</w:t>
      </w:r>
      <w:r w:rsidRPr="00F4643F">
        <w:rPr>
          <w:rFonts w:hint="cs"/>
          <w:rtl/>
        </w:rPr>
        <w:t>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1921)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قلقها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امتناع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الإبلاغ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قضايا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الأسري،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نظرا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لسواد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النظام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الأبوي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التقليدي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المجتمع،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وبحكم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اعتبار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العائلي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جزءا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صروف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الحياة.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ولفتت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الانتباه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إحجام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ضحايا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العائلي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إبلاغ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الشرطة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لسبب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أساسي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الخوف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عدم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المزيد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المقاطعة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كشفن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حياتهن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الخاصة،</w:t>
      </w:r>
      <w:r w:rsidR="00F671F5">
        <w:rPr>
          <w:rFonts w:hint="cs"/>
          <w:rtl/>
        </w:rPr>
        <w:t xml:space="preserve"> لا سيما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الاغتصاب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حالات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أخرى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الاعتداء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الجنسي.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وهناك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صدى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القلق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الطرف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77).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وضعتها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وحكومتا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للتشجيع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الإبلاغ،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وتوعية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بحقوقهن،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وإتاحة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سبل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الاستفادة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المساعدة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وزيادة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الموظفين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العامين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مختلف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الميادين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أفراد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الشرطة،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والأخصائيين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الاجتماعيين،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ومقدمي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خدمات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الرعاية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الصحية)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دعم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يراعي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الفوارق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الجنسين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لضحايا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العائلي؟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14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المتاحة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لجمع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البيانات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بانتظام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بما</w:t>
      </w:r>
      <w:r w:rsidR="00F671F5">
        <w:rPr>
          <w:rFonts w:hint="eastAsia"/>
          <w:rtl/>
        </w:rPr>
        <w:t> 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ذلك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حوادث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ومحاكمة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مرتكبي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أعمال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العنف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ومعاقبتهم.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6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15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أعربت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المقررة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الخاصة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للجنة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حقوق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الإنسان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بالاتجار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بالأشخاص،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والأطفال،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تقريرها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مهمتها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قلقها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وجود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أوجه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تعارض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القوانين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الاتحادية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وقوانين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المسألة،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مقترنة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بمسائل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الاختصاص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القضائي،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تفضي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ظهور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حاجز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إضافي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أمام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إنفاذ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القوانين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والملاحقة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الفعالة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</w:t>
      </w:r>
      <w:r w:rsidRPr="00F4643F">
        <w:t>E/CN.4/2005/71/Add.1</w:t>
      </w:r>
      <w:r w:rsidRPr="00F4643F">
        <w:rPr>
          <w:rFonts w:hint="cs"/>
          <w:rtl/>
        </w:rPr>
        <w:t>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8).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الخطوات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تتخذها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الحكومة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أجل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المواءمة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كافة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القوانين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المتعلقة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بالاتجار.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توضح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قانون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حماية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الشهود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عدل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لتوفير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الحماية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للضحايا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بعد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اختتام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المحاكمة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يتم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تأمين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إعادتهم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أوطانهم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إعادة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إدماجهم.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7</w:t>
      </w:r>
    </w:p>
    <w:p w:rsidR="00F4643F" w:rsidRPr="00F4643F" w:rsidRDefault="00F4643F" w:rsidP="00F4643F">
      <w:pPr>
        <w:pStyle w:val="SingleTxt"/>
        <w:rPr>
          <w:rFonts w:hint="cs"/>
          <w:rtl/>
          <w:lang w:bidi="ar-EG"/>
        </w:rPr>
      </w:pPr>
      <w:r w:rsidRPr="00F4643F">
        <w:rPr>
          <w:rFonts w:hint="cs"/>
          <w:rtl/>
        </w:rPr>
        <w:t>16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تنص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المادة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15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قانون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المساواة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الجنسين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</w:t>
      </w:r>
      <w:r w:rsidRPr="00F4643F">
        <w:rPr>
          <w:rFonts w:hint="eastAsia"/>
          <w:rtl/>
          <w:lang w:bidi="ar-EG"/>
        </w:rPr>
        <w:t>تمثيل</w:t>
      </w:r>
      <w:r w:rsidR="00F671F5">
        <w:rPr>
          <w:rFonts w:hint="eastAsia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</w:t>
      </w:r>
      <w:r w:rsidRPr="00F4643F">
        <w:rPr>
          <w:rFonts w:hint="eastAsia"/>
          <w:rtl/>
          <w:lang w:bidi="ar-EG"/>
        </w:rPr>
        <w:t>متساو</w:t>
      </w:r>
      <w:r w:rsidRPr="00F4643F">
        <w:rPr>
          <w:rFonts w:hint="cs"/>
          <w:rtl/>
          <w:lang w:bidi="ar-EG"/>
        </w:rPr>
        <w:t>ي</w:t>
      </w:r>
      <w:r w:rsidR="00F671F5">
        <w:rPr>
          <w:rFonts w:hint="eastAsia"/>
          <w:rtl/>
          <w:lang w:bidi="ar-EG"/>
        </w:rPr>
        <w:t xml:space="preserve"> </w:t>
      </w:r>
      <w:r w:rsidRPr="00F4643F">
        <w:rPr>
          <w:rFonts w:hint="eastAsia"/>
          <w:rtl/>
          <w:lang w:bidi="ar-EG"/>
        </w:rPr>
        <w:t>لل</w:t>
      </w:r>
      <w:r w:rsidRPr="00F4643F">
        <w:rPr>
          <w:rFonts w:hint="cs"/>
          <w:rtl/>
          <w:lang w:bidi="ar-EG"/>
        </w:rPr>
        <w:t>رجل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والمرأة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eastAsia"/>
          <w:rtl/>
          <w:lang w:bidi="ar-EG"/>
        </w:rPr>
        <w:t>السلطات</w:t>
      </w:r>
      <w:r w:rsidR="00F671F5">
        <w:rPr>
          <w:rFonts w:hint="eastAsia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العامة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الميادين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</w:t>
      </w:r>
      <w:r w:rsidRPr="00F4643F">
        <w:rPr>
          <w:rFonts w:hint="eastAsia"/>
          <w:rtl/>
          <w:lang w:bidi="ar-EG"/>
        </w:rPr>
        <w:t>على</w:t>
      </w:r>
      <w:r w:rsidR="00F671F5">
        <w:rPr>
          <w:rFonts w:hint="eastAsia"/>
          <w:rtl/>
          <w:lang w:bidi="ar-EG"/>
        </w:rPr>
        <w:t xml:space="preserve"> </w:t>
      </w:r>
      <w:r w:rsidRPr="00F4643F">
        <w:rPr>
          <w:rFonts w:hint="eastAsia"/>
          <w:rtl/>
          <w:lang w:bidi="ar-EG"/>
        </w:rPr>
        <w:t>جميع</w:t>
      </w:r>
      <w:r w:rsidR="00F671F5">
        <w:rPr>
          <w:rFonts w:hint="eastAsia"/>
          <w:rtl/>
          <w:lang w:bidi="ar-EG"/>
        </w:rPr>
        <w:t xml:space="preserve"> </w:t>
      </w:r>
      <w:r w:rsidRPr="00F4643F">
        <w:rPr>
          <w:rFonts w:hint="eastAsia"/>
          <w:rtl/>
          <w:lang w:bidi="ar-EG"/>
        </w:rPr>
        <w:t>المستويات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(انظر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113).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وهذا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المطلب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يتحقق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الوقت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الحالي.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الجهود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تبذلها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الدولة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الطرف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لكفالة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تنفيذ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متسق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لهذا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القانون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كلا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الكيانين،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جمهورية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صربسكا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وجه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الخصوص؟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وهل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تشمل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هذه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الجهود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خاصة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مؤقتة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وفقا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هو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منصوص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عليه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4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الاتفاقية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والتوصية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العامة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25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الصادرة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اللجنة،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قبيل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توازي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الترشيحات،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والأهداف،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والحصص،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لزيادة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عدد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،</w:t>
      </w:r>
      <w:r w:rsidR="00F671F5">
        <w:rPr>
          <w:rFonts w:hint="cs"/>
          <w:rtl/>
          <w:lang w:bidi="ar-EG"/>
        </w:rPr>
        <w:t xml:space="preserve"> لا </w:t>
      </w:r>
      <w:r w:rsidRPr="00F4643F">
        <w:rPr>
          <w:rFonts w:hint="cs"/>
          <w:rtl/>
          <w:lang w:bidi="ar-EG"/>
        </w:rPr>
        <w:t>سيما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الأرياف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الروما،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هيئات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اتخاذ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القرارات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هذه؟</w:t>
      </w:r>
    </w:p>
    <w:p w:rsidR="00F4643F" w:rsidRPr="00F4643F" w:rsidRDefault="00F4643F" w:rsidP="00F671F5">
      <w:pPr>
        <w:pStyle w:val="SingleTxt"/>
        <w:rPr>
          <w:rFonts w:hint="cs"/>
          <w:rtl/>
        </w:rPr>
      </w:pPr>
      <w:r w:rsidRPr="00F4643F">
        <w:rPr>
          <w:rFonts w:hint="cs"/>
          <w:rtl/>
          <w:lang w:bidi="ar-EG"/>
        </w:rPr>
        <w:t>17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-</w:t>
      </w:r>
      <w:r w:rsidRPr="00F4643F">
        <w:rPr>
          <w:rFonts w:hint="cs"/>
          <w:rtl/>
          <w:lang w:bidi="ar-EG"/>
        </w:rPr>
        <w:tab/>
        <w:t>ولاحظ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التقرير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(الفقرة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105)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أنه،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الرغم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والرجل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يتمتعان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بنفس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التصويت،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ممارسة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التصويت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الأسري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تزال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مستمرة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المناطق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الريفية،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حيث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يقرر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رب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الذكر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يصوت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وهو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أمر</w:t>
      </w:r>
      <w:r w:rsidR="00F671F5">
        <w:rPr>
          <w:rFonts w:hint="cs"/>
          <w:rtl/>
        </w:rPr>
        <w:t xml:space="preserve"> </w:t>
      </w:r>
      <w:r w:rsidR="00F671F5">
        <w:rPr>
          <w:rFonts w:hint="eastAsia"/>
          <w:rtl/>
        </w:rPr>
        <w:t>”</w:t>
      </w:r>
      <w:r w:rsidRPr="00F4643F">
        <w:rPr>
          <w:rFonts w:hint="cs"/>
          <w:rtl/>
        </w:rPr>
        <w:t>تطيعه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معظ</w:t>
      </w:r>
      <w:r w:rsidR="00F671F5">
        <w:rPr>
          <w:rFonts w:hint="cs"/>
          <w:rtl/>
        </w:rPr>
        <w:t>م النساء</w:t>
      </w:r>
      <w:r w:rsidR="00F671F5">
        <w:rPr>
          <w:rFonts w:hint="eastAsia"/>
          <w:rtl/>
        </w:rPr>
        <w:t>“</w:t>
      </w:r>
      <w:r w:rsidRPr="00F4643F">
        <w:rPr>
          <w:rFonts w:hint="cs"/>
          <w:rtl/>
        </w:rPr>
        <w:t>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ويحدد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قانون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الانتخاب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نظام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حصص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(انظر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111)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يلزم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جميع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الأحزاب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تسمية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ثلث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المرشحين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الأقل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الجنس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الذي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يمثل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الأقلية.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  <w:lang w:bidi="ar-EG"/>
        </w:rPr>
        <w:t>ويصطدم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نظام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الحصص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يبدو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بوجود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eastAsia"/>
          <w:rtl/>
          <w:lang w:bidi="ar-EG"/>
        </w:rPr>
        <w:t>”القوائم</w:t>
      </w:r>
      <w:r w:rsidR="00F671F5">
        <w:rPr>
          <w:rFonts w:hint="eastAsia"/>
          <w:rtl/>
          <w:lang w:bidi="ar-EG"/>
        </w:rPr>
        <w:t xml:space="preserve"> </w:t>
      </w:r>
      <w:r w:rsidRPr="00F4643F">
        <w:rPr>
          <w:rFonts w:hint="eastAsia"/>
          <w:rtl/>
          <w:lang w:bidi="ar-EG"/>
        </w:rPr>
        <w:t>المفتوحة</w:t>
      </w:r>
      <w:r w:rsidRPr="00F4643F">
        <w:rPr>
          <w:rFonts w:hint="cs"/>
          <w:rtl/>
          <w:lang w:bidi="ar-EG"/>
        </w:rPr>
        <w:t>“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(الفقرة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117)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تتيح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للناخبين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يختاروا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مرشحين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بصرف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النظر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مركزهم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القائمة،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</w:t>
      </w:r>
      <w:r w:rsidR="00F671F5">
        <w:rPr>
          <w:rFonts w:hint="eastAsia"/>
          <w:rtl/>
          <w:lang w:bidi="ar-EG"/>
        </w:rPr>
        <w:t>”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حالتنا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هذه،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يختار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الناخبون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المرشحين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الرجال</w:t>
      </w:r>
      <w:r w:rsidR="00F671F5">
        <w:rPr>
          <w:rFonts w:hint="eastAsia"/>
          <w:rtl/>
          <w:lang w:bidi="ar-EG"/>
        </w:rPr>
        <w:t>“</w:t>
      </w:r>
      <w:r w:rsidRPr="00F4643F">
        <w:rPr>
          <w:rFonts w:hint="cs"/>
          <w:rtl/>
          <w:lang w:bidi="ar-EG"/>
        </w:rPr>
        <w:t>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ضوء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الوضع،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وصف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تتخذها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مختلف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مستويات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الحكومة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لزيادة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وعي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بحقهن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التصويت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وفقا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لمعتقداتهن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ودون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ضغط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خارجي.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F4643F" w:rsidRPr="00F4643F">
        <w:rPr>
          <w:rFonts w:hint="cs"/>
          <w:rtl/>
          <w:lang w:bidi="ar-EG"/>
        </w:rPr>
        <w:t>المادة</w:t>
      </w:r>
      <w:r>
        <w:rPr>
          <w:rFonts w:hint="cs"/>
          <w:rtl/>
          <w:lang w:bidi="ar-EG"/>
        </w:rPr>
        <w:t xml:space="preserve"> </w:t>
      </w:r>
      <w:r w:rsidR="00F4643F" w:rsidRPr="00F4643F">
        <w:rPr>
          <w:rFonts w:hint="cs"/>
          <w:rtl/>
          <w:lang w:bidi="ar-EG"/>
        </w:rPr>
        <w:t>8</w:t>
      </w:r>
    </w:p>
    <w:p w:rsidR="00F4643F" w:rsidRPr="00F4643F" w:rsidRDefault="00F4643F" w:rsidP="00F4643F">
      <w:pPr>
        <w:pStyle w:val="SingleTxt"/>
        <w:rPr>
          <w:rFonts w:hint="cs"/>
          <w:rtl/>
          <w:lang w:bidi="ar-EG"/>
        </w:rPr>
      </w:pPr>
      <w:r w:rsidRPr="00F4643F">
        <w:rPr>
          <w:rFonts w:hint="cs"/>
          <w:rtl/>
        </w:rPr>
        <w:t>18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أشار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136)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  <w:lang w:bidi="ar-EG"/>
        </w:rPr>
        <w:t>النساء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زلن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غير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ممثلات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تمثيلا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كافيا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المنظمات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الدولية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وتمثيل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البلاد</w:t>
      </w:r>
      <w:r w:rsidR="00F671F5">
        <w:rPr>
          <w:rFonts w:hint="cs"/>
          <w:rtl/>
          <w:lang w:bidi="ar-EG"/>
        </w:rPr>
        <w:t xml:space="preserve"> </w:t>
      </w:r>
      <w:r w:rsidR="00F671F5">
        <w:rPr>
          <w:rFonts w:hint="eastAsia"/>
          <w:rtl/>
          <w:lang w:bidi="ar-EG"/>
        </w:rPr>
        <w:t>”</w:t>
      </w:r>
      <w:r w:rsidRPr="00F4643F">
        <w:rPr>
          <w:rFonts w:hint="cs"/>
          <w:rtl/>
          <w:lang w:bidi="ar-EG"/>
        </w:rPr>
        <w:t>نظرا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لوضعهن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التقليدي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المجتمع</w:t>
      </w:r>
      <w:r w:rsidR="00F671F5">
        <w:rPr>
          <w:rFonts w:hint="eastAsia"/>
          <w:rtl/>
          <w:lang w:bidi="ar-EG"/>
        </w:rPr>
        <w:t>“</w:t>
      </w:r>
      <w:r w:rsidRPr="00F4643F">
        <w:rPr>
          <w:rFonts w:hint="cs"/>
          <w:rtl/>
          <w:lang w:bidi="ar-EG"/>
        </w:rPr>
        <w:t>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تقديم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معلومات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الرامية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زيادة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تمثيل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مراكز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اتخاذ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القرار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بوزارة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الخارجية،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وكذلك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البعثات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الدبلوماسية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والقنصلية.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  <w:lang w:bidi="ar-EG"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 w:rsidR="00F4643F" w:rsidRPr="00F4643F">
        <w:rPr>
          <w:rFonts w:hint="cs"/>
          <w:rtl/>
          <w:lang w:bidi="ar-EG"/>
        </w:rPr>
        <w:t>المادة</w:t>
      </w:r>
      <w:r>
        <w:rPr>
          <w:rFonts w:hint="cs"/>
          <w:rtl/>
          <w:lang w:bidi="ar-EG"/>
        </w:rPr>
        <w:t xml:space="preserve"> </w:t>
      </w:r>
      <w:r w:rsidR="00F4643F" w:rsidRPr="00F4643F">
        <w:rPr>
          <w:rFonts w:hint="cs"/>
          <w:rtl/>
          <w:lang w:bidi="ar-EG"/>
        </w:rPr>
        <w:t>10</w:t>
      </w:r>
    </w:p>
    <w:p w:rsidR="00F4643F" w:rsidRPr="00F4643F" w:rsidRDefault="00F4643F" w:rsidP="00F4643F">
      <w:pPr>
        <w:pStyle w:val="SingleTxt"/>
        <w:rPr>
          <w:rFonts w:hint="cs"/>
          <w:rtl/>
          <w:lang w:bidi="ar-EG"/>
        </w:rPr>
      </w:pPr>
      <w:r w:rsidRPr="00F4643F">
        <w:rPr>
          <w:rFonts w:hint="cs"/>
          <w:rtl/>
          <w:lang w:bidi="ar-EG"/>
        </w:rPr>
        <w:t>19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-</w:t>
      </w:r>
      <w:r w:rsidRPr="00F4643F">
        <w:rPr>
          <w:rFonts w:hint="cs"/>
          <w:rtl/>
          <w:lang w:bidi="ar-EG"/>
        </w:rPr>
        <w:tab/>
        <w:t>أفاد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التقرير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(الفقرة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144)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بأن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عملية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إصلاح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التعليم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قد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بدأت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أجل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مواءمة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وتحديث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النظام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التعليمي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القائم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كلا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الكيانين،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ذلك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اعتماد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إطار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قانوني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جديد.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تقديم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معلومات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مفصلة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الإصلاح،</w:t>
      </w:r>
      <w:r w:rsidR="00F671F5">
        <w:rPr>
          <w:rFonts w:hint="cs"/>
          <w:rtl/>
          <w:lang w:bidi="ar-EG"/>
        </w:rPr>
        <w:t xml:space="preserve"> لا </w:t>
      </w:r>
      <w:r w:rsidRPr="00F4643F">
        <w:rPr>
          <w:rFonts w:hint="cs"/>
          <w:rtl/>
          <w:lang w:bidi="ar-EG"/>
        </w:rPr>
        <w:t>سيما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القوانين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الجديدة،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والجهود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المبذولة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لإعادة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النظر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المفاهيم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تنطوي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قولبة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دور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الرجل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والمرأة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والتي</w:t>
      </w:r>
      <w:r w:rsidR="00F671F5">
        <w:rPr>
          <w:rFonts w:hint="cs"/>
          <w:rtl/>
          <w:lang w:bidi="ar-EG"/>
        </w:rPr>
        <w:t xml:space="preserve"> لا </w:t>
      </w:r>
      <w:r w:rsidRPr="00F4643F">
        <w:rPr>
          <w:rFonts w:hint="cs"/>
          <w:rtl/>
          <w:lang w:bidi="ar-EG"/>
        </w:rPr>
        <w:t>تزال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تتجسد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الكتب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والمناهج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الدراسية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مواقف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وأنماط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سلوك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المدرسين.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  <w:lang w:bidi="ar-EG"/>
        </w:rPr>
        <w:t>20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-</w:t>
      </w:r>
      <w:r w:rsidRPr="00F4643F">
        <w:rPr>
          <w:rFonts w:hint="cs"/>
          <w:rtl/>
          <w:lang w:bidi="ar-EG"/>
        </w:rPr>
        <w:tab/>
      </w:r>
      <w:r w:rsidRPr="00F4643F">
        <w:rPr>
          <w:rFonts w:hint="cs"/>
          <w:rtl/>
        </w:rPr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تعتزم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الحكومة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اتخاذها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لمعالجة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الاختلال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الحالي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الفتيات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والفتيان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مستوى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التعليم،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وكذلك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اختيار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التخصصات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كلا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21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اتخذتها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وحكومتا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لكفالة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التحاق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الفتيات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بالمدارس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المناطق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الريفية،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ودرء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تسربهن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المدارس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بعد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الفصل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الرابع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ومعالجته،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وتحسين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إمكانية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بلوغهن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المدارس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الثانوية،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والقضاء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الأمية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لدى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المسنات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الأرياف.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22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وذكر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يعانين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بشكل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خطير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الأمية.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الخطوات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المزمع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اتخاذها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المتخذة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للتصدي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لمعدلات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الأمية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العالية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أوساط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وكفالة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التحاق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فتيات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بالمدارس.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11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  <w:lang w:bidi="ar-EG"/>
        </w:rPr>
      </w:pPr>
      <w:r w:rsidRPr="00F4643F">
        <w:rPr>
          <w:rFonts w:hint="cs"/>
          <w:rtl/>
        </w:rPr>
        <w:t>23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أشار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187)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أرباب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الأعمال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غالبا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ينزعون</w:t>
      </w:r>
      <w:r w:rsidRPr="00F4643F">
        <w:rPr>
          <w:rFonts w:hint="cs"/>
          <w:rtl/>
        </w:rPr>
        <w:t>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  <w:lang w:bidi="ar-EG"/>
        </w:rPr>
        <w:t>في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الفترة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الانتقالية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بالبوسنة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والهرسك،،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طرد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النساء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أولا.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يرجى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تبيان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كان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هؤلاء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ينتمون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إلى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القطاع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الحكومي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والعام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وتوضيح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التدابير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التي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تتخذها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الدولة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وحكومتا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الكيانين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لصد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النزوع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والمعاقبة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عليه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بغية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تنفيذ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المادة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11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من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الاتفاقية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تنفيذا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تاما.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  <w:lang w:bidi="ar-EG"/>
        </w:rPr>
        <w:t>24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-</w:t>
      </w:r>
      <w:r w:rsidRPr="00F4643F">
        <w:rPr>
          <w:rFonts w:hint="cs"/>
          <w:rtl/>
          <w:lang w:bidi="ar-EG"/>
        </w:rPr>
        <w:tab/>
        <w:t>وما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هي</w:t>
      </w:r>
      <w:r w:rsidR="00F671F5">
        <w:rPr>
          <w:rFonts w:hint="cs"/>
          <w:rtl/>
          <w:lang w:bidi="ar-EG"/>
        </w:rPr>
        <w:t xml:space="preserve"> </w:t>
      </w:r>
      <w:r w:rsidRPr="00F4643F">
        <w:rPr>
          <w:rFonts w:hint="cs"/>
          <w:rtl/>
          <w:lang w:bidi="ar-EG"/>
        </w:rPr>
        <w:t>أسباب</w:t>
      </w:r>
      <w:r w:rsidR="00F671F5">
        <w:rPr>
          <w:rtl/>
        </w:rPr>
        <w:t xml:space="preserve"> </w:t>
      </w:r>
      <w:r w:rsidRPr="00F4643F">
        <w:rPr>
          <w:rFonts w:hint="cs"/>
          <w:rtl/>
        </w:rPr>
        <w:t>الارتفاع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الشديد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جدا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معدلات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البطالة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لدى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أكثر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تعلما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والهرسك؟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تتخذ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للمساعدة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تمكين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الفئة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اقتصاديا،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النتائج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تحققت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بفضلها؟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</w:rPr>
        <w:t>25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وعرض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لحضور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القطاع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الخاص،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كمالكات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متاجر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وكصاحبات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مشاريع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صغيرة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الفترة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الممتدة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عامي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1999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2001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(انظر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الفقرتان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193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194)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حيث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يعتبر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نصف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ملاكا.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تتخذها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وسلطات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لدعم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المرأة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ممارستها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للعمل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القطاع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الخاص،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بتوفير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برامج</w:t>
      </w:r>
      <w:r w:rsidR="00F671F5">
        <w:rPr>
          <w:rFonts w:hint="cs"/>
          <w:rtl/>
        </w:rPr>
        <w:t xml:space="preserve"> </w:t>
      </w:r>
      <w:r w:rsidR="00F671F5" w:rsidRPr="00F4643F">
        <w:rPr>
          <w:rFonts w:hint="cs"/>
          <w:rtl/>
        </w:rPr>
        <w:t>الائتمان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الصغير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وخدمات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التدريب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والدعم؟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توضيح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مدى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تسجيل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مشاريع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الصغيرة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صاحبات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المشاريع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والعاملات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القطاع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يستفدن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نظم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التأمين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الصحي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والعجز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والمعاش.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12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</w:rPr>
        <w:t>26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أشار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التقرير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اعتماد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الإجهاض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كوسيلة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لتنظيم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يسهم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بعيد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حدوث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الوفيات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النفاسية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251).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وأشار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التربية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الجنسية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زالت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غير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كافية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المراهقات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أمر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شائع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يؤدي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الزواج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السن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القانونية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(الفقرة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253).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فما</w:t>
      </w:r>
      <w:r w:rsidR="00F671F5">
        <w:rPr>
          <w:rFonts w:hint="eastAsia"/>
          <w:rtl/>
        </w:rPr>
        <w:t> 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الخطوات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المتخذة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لكفالة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حصول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والرجال،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ذلك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المراهقين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والمراهقات،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المتعلقة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بالصحة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الإنجابية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وتنظيم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وسائل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بأسعار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مقبولة؟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بوجه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خاص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الخطط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القائمة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للحد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المراهقات؟</w:t>
      </w:r>
    </w:p>
    <w:p w:rsidR="00F4643F" w:rsidRPr="00F4643F" w:rsidRDefault="00F4643F" w:rsidP="00E913A1">
      <w:pPr>
        <w:pStyle w:val="SingleTxt"/>
        <w:spacing w:line="380" w:lineRule="exact"/>
        <w:rPr>
          <w:rFonts w:hint="cs"/>
          <w:rtl/>
        </w:rPr>
      </w:pPr>
      <w:r w:rsidRPr="00F4643F">
        <w:rPr>
          <w:rFonts w:hint="cs"/>
          <w:rtl/>
        </w:rPr>
        <w:t>27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وتعود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البيانات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المتعلقة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بالرعاية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الصحية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2001.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عما</w:t>
      </w:r>
      <w:r w:rsidR="00F671F5">
        <w:rPr>
          <w:rFonts w:hint="eastAsia"/>
          <w:rtl/>
        </w:rPr>
        <w:t> </w:t>
      </w:r>
      <w:r w:rsidRPr="00F4643F">
        <w:rPr>
          <w:rFonts w:hint="cs"/>
          <w:rtl/>
        </w:rPr>
        <w:t>إذا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إصلاح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نظام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الرعاية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الصحية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نفذ،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كانت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المصابات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بصدمات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نتيجة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الحروب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والجرائم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المرتبطة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بالحروب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الاغتصاب،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المعوقات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الريفيات،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استفدن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الإصلاح،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مدى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استفدن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منه؟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14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28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اتخذتها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وحكومتا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لتحسين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أوضاع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الريفيات،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المسنات،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تمكينهمن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الاستفادة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التعليم،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وفرص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العمل،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والائتمان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الصغير،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والمساعدة.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أيضا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الجهود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المبذولة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لتوعية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وتمكينهن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المطالبة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بحقوقهن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الحق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الملكية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والحق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الإرث.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16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29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إعطاء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مزيد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أوضاع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المعيشية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تعولها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وينبغي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النسبة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المئوية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المعيشية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قياسا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المعيشية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يوجد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الوالدان،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ووضعها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الاقتصادي،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تتخذها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وحكومتا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لمساعدة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المعيشية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تعولها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الأرامل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والأمهات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الوحيدات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بعد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الطلاق.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30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وضع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اللائي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كن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السابق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الآن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لاجئات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مشردات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داخليا،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سيما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فقدن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أزواجهن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هجرهن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بعالهن.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الصدد،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الإشارة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الخطوات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المتخذة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لتيسير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شمل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والعودة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حيازة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الممتلكات،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وكذلك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توفير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المساعدة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الفئة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الضعيفة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مجالي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التعمير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والتأهيل.</w:t>
      </w:r>
    </w:p>
    <w:p w:rsidR="00F4643F" w:rsidRPr="00F4643F" w:rsidRDefault="00F4643F" w:rsidP="00F671F5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31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وأوصى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ممثل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الأمين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العام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المعني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بحقوق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الإنسان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للمشردين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داخليا،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إثر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زيارته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للبوسنة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والهرسك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حزيران/يونيه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2005،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بالشروع</w:t>
      </w:r>
      <w:r w:rsidR="00F671F5">
        <w:rPr>
          <w:rFonts w:hint="cs"/>
          <w:rtl/>
        </w:rPr>
        <w:t xml:space="preserve"> </w:t>
      </w:r>
      <w:r w:rsidR="00F671F5">
        <w:rPr>
          <w:rFonts w:hint="eastAsia"/>
          <w:rtl/>
        </w:rPr>
        <w:t>”</w:t>
      </w:r>
      <w:r w:rsidRPr="00F4643F">
        <w:rPr>
          <w:rFonts w:hint="cs"/>
          <w:rtl/>
        </w:rPr>
        <w:t>في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بذل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جهود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دؤوبة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لإيجاد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حلول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دائمة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للفئات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الضعيفة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بوجه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خاص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المصابين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بالصدمات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المعوقين،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والمسنين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الذين</w:t>
      </w:r>
      <w:r w:rsidR="00F671F5">
        <w:rPr>
          <w:rFonts w:hint="cs"/>
          <w:rtl/>
        </w:rPr>
        <w:t xml:space="preserve"> لا </w:t>
      </w:r>
      <w:r w:rsidRPr="00F4643F">
        <w:rPr>
          <w:rFonts w:hint="cs"/>
          <w:rtl/>
        </w:rPr>
        <w:t>يستفيدون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دعم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أسري،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والروما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وغير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ذلك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فئات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الأشخاص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الذين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يتعذر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عليهم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الأرجح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يعودوا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إلى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ديارهم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السابقة</w:t>
      </w:r>
      <w:r w:rsidR="00F671F5">
        <w:rPr>
          <w:rFonts w:hint="eastAsia"/>
          <w:rtl/>
        </w:rPr>
        <w:t>“</w:t>
      </w:r>
      <w:r w:rsidRPr="00F4643F">
        <w:rPr>
          <w:rFonts w:hint="cs"/>
          <w:rtl/>
        </w:rPr>
        <w:t>.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تقديم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معلومات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عن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النسبة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المئوية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اللائي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يندرجن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ضمن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الفئات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والخطوات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تتخذها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الدولة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وحكومتا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الكيانين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استجابة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التوصية،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وتبيان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الكيفية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ستستفيد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بها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النساء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هذه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التدابير.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32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هي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البرامج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وضعت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يزمع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وضعها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لمعالجة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مشكل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انعدام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الوثائق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اللازمة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للروما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للاستفادة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الخدمات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الأساسية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إعمالا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لحقوقهم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المدنية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والسياسية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والاجتماعية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والاقتصادية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الأساسية،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من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قبيل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شهادات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الميلاد،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وبطاقات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تحديد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الهوية،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وجوازات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السفر؟</w:t>
      </w:r>
    </w:p>
    <w:p w:rsidR="00F671F5" w:rsidRPr="00F671F5" w:rsidRDefault="00F671F5" w:rsidP="00F671F5">
      <w:pPr>
        <w:pStyle w:val="SingleTxt"/>
        <w:spacing w:after="0" w:line="120" w:lineRule="exact"/>
        <w:rPr>
          <w:rFonts w:hint="cs"/>
          <w:b/>
          <w:bCs/>
          <w:sz w:val="10"/>
          <w:rtl/>
        </w:rPr>
      </w:pPr>
    </w:p>
    <w:p w:rsidR="00F4643F" w:rsidRPr="00F4643F" w:rsidRDefault="00F671F5" w:rsidP="00F671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F4643F" w:rsidRPr="00F4643F">
        <w:rPr>
          <w:rFonts w:hint="cs"/>
          <w:rtl/>
        </w:rPr>
        <w:t>البروتوكول</w:t>
      </w:r>
      <w:r>
        <w:rPr>
          <w:rFonts w:hint="cs"/>
          <w:rtl/>
        </w:rPr>
        <w:t xml:space="preserve"> </w:t>
      </w:r>
      <w:r w:rsidR="00F4643F" w:rsidRPr="00F4643F">
        <w:rPr>
          <w:rFonts w:hint="cs"/>
          <w:rtl/>
        </w:rPr>
        <w:t>الاختياري</w:t>
      </w:r>
    </w:p>
    <w:p w:rsidR="00F4643F" w:rsidRPr="00F4643F" w:rsidRDefault="00F4643F" w:rsidP="00F4643F">
      <w:pPr>
        <w:pStyle w:val="SingleTxt"/>
        <w:rPr>
          <w:rFonts w:hint="cs"/>
          <w:rtl/>
        </w:rPr>
      </w:pPr>
      <w:r w:rsidRPr="00F4643F">
        <w:rPr>
          <w:rFonts w:hint="cs"/>
          <w:rtl/>
        </w:rPr>
        <w:t>33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-</w:t>
      </w:r>
      <w:r w:rsidRPr="00F4643F">
        <w:rPr>
          <w:rFonts w:hint="cs"/>
          <w:rtl/>
        </w:rPr>
        <w:tab/>
        <w:t>يرجى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وصف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التدابير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وضعتها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</w:t>
      </w:r>
      <w:bookmarkStart w:id="1" w:name="TmpSave"/>
      <w:bookmarkEnd w:id="1"/>
      <w:r w:rsidRPr="00F4643F">
        <w:rPr>
          <w:rFonts w:hint="cs"/>
          <w:rtl/>
        </w:rPr>
        <w:t>حكومية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أو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التي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تعتزم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وضعها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للترويج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للبروتوكول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الاختياري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وتشجيع</w:t>
      </w:r>
      <w:r w:rsidR="00F671F5">
        <w:rPr>
          <w:rFonts w:hint="cs"/>
          <w:rtl/>
        </w:rPr>
        <w:t xml:space="preserve"> </w:t>
      </w:r>
      <w:r w:rsidRPr="00F4643F">
        <w:rPr>
          <w:rFonts w:hint="cs"/>
          <w:rtl/>
        </w:rPr>
        <w:t>استخدامه.</w:t>
      </w:r>
    </w:p>
    <w:p w:rsidR="00CD3849" w:rsidRPr="00F671F5" w:rsidRDefault="00F671F5" w:rsidP="00F671F5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6" style="position:absolute;left:0;text-align:left;z-index:1" from="206.6pt,24pt" to="278.6pt,24pt" strokeweight=".25pt"/>
        </w:pict>
      </w:r>
    </w:p>
    <w:sectPr w:rsidR="00CD3849" w:rsidRPr="00F671F5" w:rsidSect="000249E1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3-03T14:48:00Z" w:initials="Start">
    <w:p w:rsidR="008D11AB" w:rsidRDefault="008D11AB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NO&gt;&gt;N0624225A&lt;&lt;ODS JOB NO</w:t>
      </w:r>
      <w:r>
        <w:rPr>
          <w:rtl/>
        </w:rPr>
        <w:t>&gt;&gt;</w:t>
      </w:r>
    </w:p>
    <w:p w:rsidR="008D11AB" w:rsidRDefault="008D11AB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SYMBOL1&gt;&gt;CEDAW/C/BIH/Q/3&lt;&lt;ODS DOC SYMBOL1</w:t>
      </w:r>
      <w:r>
        <w:rPr>
          <w:rtl/>
        </w:rPr>
        <w:t>&gt;&gt;</w:t>
      </w:r>
    </w:p>
    <w:p w:rsidR="008D11AB" w:rsidRDefault="008D11AB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AB" w:rsidRDefault="008D11AB" w:rsidP="000249E1">
      <w:pPr>
        <w:pStyle w:val="Header"/>
      </w:pPr>
      <w:r>
        <w:separator/>
      </w:r>
    </w:p>
  </w:endnote>
  <w:endnote w:type="continuationSeparator" w:id="0">
    <w:p w:rsidR="008D11AB" w:rsidRDefault="008D11AB" w:rsidP="000249E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D11A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D11AB" w:rsidRPr="000249E1" w:rsidRDefault="008D11AB" w:rsidP="000249E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6700BA">
            <w:rPr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D11AB" w:rsidRPr="000249E1" w:rsidRDefault="008D11AB" w:rsidP="000249E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06-24225</w:t>
          </w:r>
          <w:r>
            <w:rPr>
              <w:b w:val="0"/>
              <w:w w:val="103"/>
            </w:rPr>
            <w:fldChar w:fldCharType="end"/>
          </w:r>
        </w:p>
      </w:tc>
    </w:tr>
  </w:tbl>
  <w:p w:rsidR="008D11AB" w:rsidRPr="000249E1" w:rsidRDefault="008D11AB" w:rsidP="00024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D11A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D11AB" w:rsidRPr="000249E1" w:rsidRDefault="008D11AB" w:rsidP="000249E1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06-24225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D11AB" w:rsidRPr="000249E1" w:rsidRDefault="008D11AB" w:rsidP="000249E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6700BA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8D11AB" w:rsidRPr="000249E1" w:rsidRDefault="008D11AB" w:rsidP="00024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AB" w:rsidRDefault="008D11AB">
    <w:pPr>
      <w:pStyle w:val="Footer"/>
    </w:pPr>
  </w:p>
  <w:p w:rsidR="008D11AB" w:rsidRDefault="008D11AB" w:rsidP="000249E1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030306    030306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>
      <w:rPr>
        <w:rFonts w:cs="Times New Roman"/>
        <w:b w:val="0"/>
        <w:w w:val="103"/>
        <w:sz w:val="20"/>
      </w:rPr>
      <w:t>06-24225 (A)</w:t>
    </w:r>
    <w:r>
      <w:rPr>
        <w:rFonts w:cs="Times New Roman"/>
        <w:b w:val="0"/>
        <w:w w:val="103"/>
        <w:sz w:val="20"/>
      </w:rPr>
      <w:fldChar w:fldCharType="end"/>
    </w:r>
  </w:p>
  <w:p w:rsidR="008D11AB" w:rsidRPr="000249E1" w:rsidRDefault="008D11AB" w:rsidP="000249E1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>
      <w:rPr>
        <w:rFonts w:ascii="Barcode 3 of 9 by request" w:hAnsi="Barcode 3 of 9 by request" w:cs="Times New Roman"/>
        <w:b w:val="0"/>
        <w:sz w:val="24"/>
      </w:rPr>
      <w:t>*0624225*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AB" w:rsidRDefault="008D11AB" w:rsidP="000249E1">
      <w:pPr>
        <w:pStyle w:val="Header"/>
      </w:pPr>
      <w:r>
        <w:separator/>
      </w:r>
    </w:p>
  </w:footnote>
  <w:footnote w:type="continuationSeparator" w:id="0">
    <w:p w:rsidR="008D11AB" w:rsidRDefault="008D11AB" w:rsidP="000249E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6"/>
      <w:gridCol w:w="4944"/>
    </w:tblGrid>
    <w:tr w:rsidR="008D11AB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8D11AB" w:rsidRDefault="008D11AB" w:rsidP="000249E1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8D11AB" w:rsidRPr="000249E1" w:rsidRDefault="008D11AB" w:rsidP="000249E1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"sss1"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CEDAW/C/BIH/Q/3</w:t>
          </w:r>
          <w:r>
            <w:rPr>
              <w:w w:val="103"/>
            </w:rPr>
            <w:fldChar w:fldCharType="end"/>
          </w:r>
        </w:p>
      </w:tc>
    </w:tr>
  </w:tbl>
  <w:p w:rsidR="008D11AB" w:rsidRPr="000249E1" w:rsidRDefault="008D11AB" w:rsidP="00024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4"/>
      <w:gridCol w:w="4906"/>
    </w:tblGrid>
    <w:tr w:rsidR="008D11AB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8D11AB" w:rsidRPr="000249E1" w:rsidRDefault="008D11AB" w:rsidP="000249E1">
          <w:pPr>
            <w:pStyle w:val="Header"/>
            <w:bidi/>
            <w:spacing w:after="80"/>
            <w:jc w:val="right"/>
            <w:rPr>
              <w:w w:val="103"/>
            </w:rPr>
          </w:pPr>
          <w:r>
            <w:rPr>
              <w:w w:val="103"/>
              <w:rtl/>
            </w:rPr>
            <w:fldChar w:fldCharType="begin"/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instrText>DOCVARIABLE "sss1" \* MERGEFORMAT</w:instrText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  <w:rtl/>
            </w:rPr>
            <w:fldChar w:fldCharType="separate"/>
          </w:r>
          <w:r>
            <w:rPr>
              <w:w w:val="103"/>
            </w:rPr>
            <w:t>CEDAW/C/BIH/Q/3</w:t>
          </w:r>
          <w:r>
            <w:rPr>
              <w:w w:val="103"/>
              <w:rtl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D11AB" w:rsidRDefault="008D11AB" w:rsidP="000249E1">
          <w:pPr>
            <w:pStyle w:val="Header"/>
          </w:pPr>
        </w:p>
      </w:tc>
    </w:tr>
  </w:tbl>
  <w:p w:rsidR="008D11AB" w:rsidRPr="000249E1" w:rsidRDefault="008D11AB" w:rsidP="00024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8D11AB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D11AB" w:rsidRDefault="008D11AB" w:rsidP="000249E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D11AB" w:rsidRPr="000249E1" w:rsidRDefault="008D11AB" w:rsidP="000249E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D11AB" w:rsidRDefault="008D11AB" w:rsidP="000249E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D11AB" w:rsidRPr="000249E1" w:rsidRDefault="008D11AB" w:rsidP="000249E1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/C/BIH/Q/3</w:t>
          </w:r>
        </w:p>
      </w:tc>
    </w:tr>
    <w:tr w:rsidR="008D11AB" w:rsidRPr="000249E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11AB" w:rsidRDefault="008D11AB" w:rsidP="000249E1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D11AB" w:rsidRPr="000249E1" w:rsidRDefault="008D11AB" w:rsidP="000249E1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11AB" w:rsidRPr="000249E1" w:rsidRDefault="008D11AB" w:rsidP="000249E1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11AB" w:rsidRPr="000249E1" w:rsidRDefault="008D11AB" w:rsidP="000249E1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11AB" w:rsidRDefault="008D11AB" w:rsidP="000249E1">
          <w:pPr>
            <w:bidi w:val="0"/>
            <w:spacing w:before="240" w:line="240" w:lineRule="exact"/>
          </w:pPr>
          <w:r>
            <w:t>Distr.: General</w:t>
          </w:r>
        </w:p>
        <w:p w:rsidR="008D11AB" w:rsidRDefault="008D11AB" w:rsidP="000249E1">
          <w:pPr>
            <w:bidi w:val="0"/>
            <w:spacing w:line="240" w:lineRule="exact"/>
            <w:jc w:val="left"/>
          </w:pPr>
          <w:r>
            <w:t>10 February 2006</w:t>
          </w:r>
        </w:p>
        <w:p w:rsidR="008D11AB" w:rsidRDefault="008D11AB" w:rsidP="000249E1">
          <w:pPr>
            <w:bidi w:val="0"/>
            <w:spacing w:line="240" w:lineRule="exact"/>
            <w:jc w:val="left"/>
          </w:pPr>
          <w:r>
            <w:t>Arabic</w:t>
          </w:r>
        </w:p>
        <w:p w:rsidR="008D11AB" w:rsidRPr="000249E1" w:rsidRDefault="008D11AB" w:rsidP="000249E1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8D11AB" w:rsidRPr="000249E1" w:rsidRDefault="008D11AB" w:rsidP="000249E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24225*"/>
    <w:docVar w:name="CreationDt" w:val="03/03/2006 2:23: PM"/>
    <w:docVar w:name="DocCategory" w:val="Doc"/>
    <w:docVar w:name="DocType" w:val="Final"/>
    <w:docVar w:name="FooterJN" w:val="06-24225"/>
    <w:docVar w:name="jobn" w:val="06-24225 (A)"/>
    <w:docVar w:name="jobnDT" w:val="06-24225 (A)   030306"/>
    <w:docVar w:name="jobnDTDT" w:val="06-24225 (A)   030306   030306"/>
    <w:docVar w:name="JobNo" w:val="0624225A"/>
    <w:docVar w:name="OandT" w:val="نبيل"/>
    <w:docVar w:name="sss1" w:val="CEDAW/C/BIH/Q/3"/>
    <w:docVar w:name="sss2" w:val="-"/>
    <w:docVar w:name="Symbol1" w:val="CEDAW/C/BIH/Q/3"/>
    <w:docVar w:name="Symbol2" w:val="-"/>
  </w:docVars>
  <w:rsids>
    <w:rsidRoot w:val="0016561F"/>
    <w:rsid w:val="000249E1"/>
    <w:rsid w:val="00042425"/>
    <w:rsid w:val="00046CF0"/>
    <w:rsid w:val="0006648F"/>
    <w:rsid w:val="00087310"/>
    <w:rsid w:val="0009732C"/>
    <w:rsid w:val="0009778F"/>
    <w:rsid w:val="000C4EED"/>
    <w:rsid w:val="000D2CEC"/>
    <w:rsid w:val="00101EE8"/>
    <w:rsid w:val="00113349"/>
    <w:rsid w:val="001519A9"/>
    <w:rsid w:val="0016561F"/>
    <w:rsid w:val="001737F8"/>
    <w:rsid w:val="00187870"/>
    <w:rsid w:val="001F6786"/>
    <w:rsid w:val="002416C5"/>
    <w:rsid w:val="00266F59"/>
    <w:rsid w:val="00272B6C"/>
    <w:rsid w:val="0027623A"/>
    <w:rsid w:val="00290F2F"/>
    <w:rsid w:val="002937DA"/>
    <w:rsid w:val="002A09C6"/>
    <w:rsid w:val="002C2AF2"/>
    <w:rsid w:val="002C4E1B"/>
    <w:rsid w:val="00312162"/>
    <w:rsid w:val="003501D5"/>
    <w:rsid w:val="00371AC4"/>
    <w:rsid w:val="00383CA8"/>
    <w:rsid w:val="003A65ED"/>
    <w:rsid w:val="003D4612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83F5B"/>
    <w:rsid w:val="00490874"/>
    <w:rsid w:val="00494EE2"/>
    <w:rsid w:val="00496E83"/>
    <w:rsid w:val="004A2886"/>
    <w:rsid w:val="004B14A0"/>
    <w:rsid w:val="004D1B0C"/>
    <w:rsid w:val="004F1402"/>
    <w:rsid w:val="0050659B"/>
    <w:rsid w:val="00524A2E"/>
    <w:rsid w:val="005279DE"/>
    <w:rsid w:val="00534772"/>
    <w:rsid w:val="00537FCD"/>
    <w:rsid w:val="00544201"/>
    <w:rsid w:val="00545F76"/>
    <w:rsid w:val="005545BB"/>
    <w:rsid w:val="00556882"/>
    <w:rsid w:val="00561E43"/>
    <w:rsid w:val="005838F5"/>
    <w:rsid w:val="00591B45"/>
    <w:rsid w:val="005A0F73"/>
    <w:rsid w:val="005A2EA3"/>
    <w:rsid w:val="005C2ECE"/>
    <w:rsid w:val="005F0735"/>
    <w:rsid w:val="00616E82"/>
    <w:rsid w:val="006218A3"/>
    <w:rsid w:val="006564CE"/>
    <w:rsid w:val="00663F64"/>
    <w:rsid w:val="006700BA"/>
    <w:rsid w:val="00676ADB"/>
    <w:rsid w:val="00696B7A"/>
    <w:rsid w:val="006C38EE"/>
    <w:rsid w:val="0071531E"/>
    <w:rsid w:val="0071645B"/>
    <w:rsid w:val="00716E9D"/>
    <w:rsid w:val="00747B9E"/>
    <w:rsid w:val="007524BE"/>
    <w:rsid w:val="007525FA"/>
    <w:rsid w:val="00774FF0"/>
    <w:rsid w:val="0079046D"/>
    <w:rsid w:val="0079753A"/>
    <w:rsid w:val="007A6DD9"/>
    <w:rsid w:val="007D60E0"/>
    <w:rsid w:val="007E32B9"/>
    <w:rsid w:val="0081284F"/>
    <w:rsid w:val="00814843"/>
    <w:rsid w:val="008170DE"/>
    <w:rsid w:val="00830E32"/>
    <w:rsid w:val="00873A11"/>
    <w:rsid w:val="00873AF9"/>
    <w:rsid w:val="008A2614"/>
    <w:rsid w:val="008B3A39"/>
    <w:rsid w:val="008D11AB"/>
    <w:rsid w:val="008D1C04"/>
    <w:rsid w:val="008F04A0"/>
    <w:rsid w:val="008F64A7"/>
    <w:rsid w:val="0090012B"/>
    <w:rsid w:val="0090351F"/>
    <w:rsid w:val="00970BAD"/>
    <w:rsid w:val="009768D1"/>
    <w:rsid w:val="009829B7"/>
    <w:rsid w:val="009927C0"/>
    <w:rsid w:val="009961E6"/>
    <w:rsid w:val="009C0017"/>
    <w:rsid w:val="009C15F4"/>
    <w:rsid w:val="009D62A3"/>
    <w:rsid w:val="009E2A1F"/>
    <w:rsid w:val="00A37C4B"/>
    <w:rsid w:val="00A66F66"/>
    <w:rsid w:val="00A71AE5"/>
    <w:rsid w:val="00AA1E16"/>
    <w:rsid w:val="00AC002C"/>
    <w:rsid w:val="00AC6CDD"/>
    <w:rsid w:val="00AD38D0"/>
    <w:rsid w:val="00AE108C"/>
    <w:rsid w:val="00AF1A53"/>
    <w:rsid w:val="00AF7AC7"/>
    <w:rsid w:val="00B05ADC"/>
    <w:rsid w:val="00B272BE"/>
    <w:rsid w:val="00B9542C"/>
    <w:rsid w:val="00B95560"/>
    <w:rsid w:val="00BA7FAB"/>
    <w:rsid w:val="00BC2F4C"/>
    <w:rsid w:val="00BC4A05"/>
    <w:rsid w:val="00BF0B15"/>
    <w:rsid w:val="00C12CBB"/>
    <w:rsid w:val="00C25A2D"/>
    <w:rsid w:val="00C260F8"/>
    <w:rsid w:val="00C43FBE"/>
    <w:rsid w:val="00C449C6"/>
    <w:rsid w:val="00C564B0"/>
    <w:rsid w:val="00C814A5"/>
    <w:rsid w:val="00C96573"/>
    <w:rsid w:val="00CA5413"/>
    <w:rsid w:val="00CD0BB8"/>
    <w:rsid w:val="00CD3849"/>
    <w:rsid w:val="00CF1752"/>
    <w:rsid w:val="00CF7384"/>
    <w:rsid w:val="00D2343D"/>
    <w:rsid w:val="00D30EAE"/>
    <w:rsid w:val="00D318F1"/>
    <w:rsid w:val="00D40B0E"/>
    <w:rsid w:val="00DA66B7"/>
    <w:rsid w:val="00DB0865"/>
    <w:rsid w:val="00DE5433"/>
    <w:rsid w:val="00DF5F38"/>
    <w:rsid w:val="00E23336"/>
    <w:rsid w:val="00E31661"/>
    <w:rsid w:val="00E32B52"/>
    <w:rsid w:val="00E47EB8"/>
    <w:rsid w:val="00E750E1"/>
    <w:rsid w:val="00E9114A"/>
    <w:rsid w:val="00E913A1"/>
    <w:rsid w:val="00EA489C"/>
    <w:rsid w:val="00EB0CA7"/>
    <w:rsid w:val="00EB4992"/>
    <w:rsid w:val="00EF2E52"/>
    <w:rsid w:val="00F32E4A"/>
    <w:rsid w:val="00F36D8C"/>
    <w:rsid w:val="00F4643F"/>
    <w:rsid w:val="00F671F5"/>
    <w:rsid w:val="00F93545"/>
    <w:rsid w:val="00F96FBA"/>
    <w:rsid w:val="00FB4E06"/>
    <w:rsid w:val="00FC1978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Normal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0249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2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1910</Words>
  <Characters>10890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Nabil Midani</dc:creator>
  <cp:keywords/>
  <dc:description/>
  <cp:lastModifiedBy>CMS Installer</cp:lastModifiedBy>
  <cp:revision>10</cp:revision>
  <cp:lastPrinted>2006-03-03T14:49:00Z</cp:lastPrinted>
  <dcterms:created xsi:type="dcterms:W3CDTF">2006-03-03T14:46:00Z</dcterms:created>
  <dcterms:modified xsi:type="dcterms:W3CDTF">2006-03-03T14:54:00Z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0624225</vt:lpwstr>
  </property>
  <property fmtid="{D5CDD505-2E9C-101B-9397-08002B2CF9AE}" pid="3" name="Symbol1">
    <vt:lpwstr>CEDAW/C/BIH/Q/3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نبيل</vt:lpwstr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